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tiff" ContentType="image/tiff"/>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5.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6.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7.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8.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9.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0.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1.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2.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3.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4.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5.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6.xml" ContentType="application/vnd.openxmlformats-officedocument.drawingml.chart+xml"/>
  <Override PartName="/word/theme/themeOverride3.xml" ContentType="application/vnd.openxmlformats-officedocument.themeOverride+xml"/>
  <Override PartName="/word/charts/chart17.xml" ContentType="application/vnd.openxmlformats-officedocument.drawingml.chart+xml"/>
  <Override PartName="/word/theme/themeOverride4.xml" ContentType="application/vnd.openxmlformats-officedocument.themeOverride+xml"/>
  <Override PartName="/word/charts/chart18.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9.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20.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21.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22.xml" ContentType="application/vnd.openxmlformats-officedocument.drawingml.chart+xml"/>
  <Override PartName="/word/charts/style18.xml" ContentType="application/vnd.ms-office.chartstyle+xml"/>
  <Override PartName="/word/charts/colors18.xml" ContentType="application/vnd.ms-office.chartcolorstyle+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charts/chart23.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4.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5.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6.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7.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8.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9.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30.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31.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32.xml" ContentType="application/vnd.openxmlformats-officedocument.drawingml.chart+xml"/>
  <Override PartName="/word/charts/style28.xml" ContentType="application/vnd.ms-office.chartstyle+xml"/>
  <Override PartName="/word/charts/colors28.xml" ContentType="application/vnd.ms-office.chartcolorstyle+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charts/chart33.xml" ContentType="application/vnd.openxmlformats-officedocument.drawingml.chart+xml"/>
  <Override PartName="/word/theme/themeOverride5.xml" ContentType="application/vnd.openxmlformats-officedocument.themeOverride+xml"/>
  <Override PartName="/word/header2.xml" ContentType="application/vnd.openxmlformats-officedocument.wordprocessingml.header+xml"/>
  <Override PartName="/word/footer2.xml" ContentType="application/vnd.openxmlformats-officedocument.wordprocessingml.footer+xml"/>
  <Override PartName="/word/charts/chart34.xml" ContentType="application/vnd.openxmlformats-officedocument.drawingml.chart+xml"/>
  <Override PartName="/word/charts/style29.xml" ContentType="application/vnd.ms-office.chartstyle+xml"/>
  <Override PartName="/word/charts/colors29.xml" ContentType="application/vnd.ms-office.chartcolorstyle+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6FA08D" w14:textId="77777777" w:rsidR="00573B45" w:rsidRDefault="00573B45">
      <w:pPr>
        <w:rPr>
          <w:rFonts w:ascii="Calibri" w:hAnsi="Calibri" w:cs="Calibri"/>
        </w:rPr>
      </w:pPr>
    </w:p>
    <w:p w14:paraId="52C326F6" w14:textId="77777777" w:rsidR="00573B45" w:rsidRPr="00573B45" w:rsidRDefault="00573B45" w:rsidP="00573B45">
      <w:pPr>
        <w:spacing w:line="259" w:lineRule="auto"/>
        <w:rPr>
          <w:rFonts w:ascii="Calibri" w:eastAsia="Calibri" w:hAnsi="Calibri" w:cs="Calibri"/>
          <w:color w:val="000000"/>
          <w:szCs w:val="22"/>
          <w:lang w:eastAsia="en-GB"/>
        </w:rPr>
      </w:pPr>
    </w:p>
    <w:p w14:paraId="23BA7C38" w14:textId="77777777" w:rsidR="00573B45" w:rsidRPr="00573B45" w:rsidRDefault="00573B45" w:rsidP="00573B45">
      <w:pPr>
        <w:spacing w:line="216" w:lineRule="auto"/>
        <w:ind w:right="8930"/>
        <w:rPr>
          <w:rFonts w:ascii="Calibri" w:eastAsia="Calibri" w:hAnsi="Calibri" w:cs="Calibri"/>
          <w:color w:val="000000"/>
          <w:szCs w:val="22"/>
          <w:lang w:eastAsia="en-GB"/>
        </w:rPr>
      </w:pPr>
      <w:r w:rsidRPr="00573B45">
        <w:rPr>
          <w:color w:val="000000"/>
          <w:sz w:val="20"/>
          <w:szCs w:val="22"/>
          <w:lang w:eastAsia="en-GB"/>
        </w:rPr>
        <w:t xml:space="preserve">   </w:t>
      </w:r>
    </w:p>
    <w:p w14:paraId="443C2372" w14:textId="77777777" w:rsidR="00573B45" w:rsidRPr="00573B45" w:rsidRDefault="00573B45" w:rsidP="00573B45">
      <w:pPr>
        <w:spacing w:line="216" w:lineRule="auto"/>
        <w:ind w:right="8930"/>
        <w:rPr>
          <w:rFonts w:ascii="Calibri" w:eastAsia="Calibri" w:hAnsi="Calibri" w:cs="Calibri"/>
          <w:color w:val="000000"/>
          <w:szCs w:val="22"/>
          <w:lang w:eastAsia="en-GB"/>
        </w:rPr>
      </w:pPr>
      <w:r w:rsidRPr="00573B45">
        <w:rPr>
          <w:color w:val="000000"/>
          <w:sz w:val="20"/>
          <w:szCs w:val="22"/>
          <w:lang w:eastAsia="en-GB"/>
        </w:rPr>
        <w:t xml:space="preserve">   </w:t>
      </w:r>
    </w:p>
    <w:p w14:paraId="5228A19B" w14:textId="77777777" w:rsidR="00573B45" w:rsidRPr="00573B45" w:rsidRDefault="00573B45" w:rsidP="00573B45">
      <w:pPr>
        <w:spacing w:line="216" w:lineRule="auto"/>
        <w:ind w:right="8930"/>
        <w:rPr>
          <w:rFonts w:ascii="Calibri" w:eastAsia="Calibri" w:hAnsi="Calibri" w:cs="Calibri"/>
          <w:color w:val="000000"/>
          <w:szCs w:val="22"/>
          <w:lang w:eastAsia="en-GB"/>
        </w:rPr>
      </w:pPr>
      <w:r w:rsidRPr="00573B45">
        <w:rPr>
          <w:color w:val="000000"/>
          <w:sz w:val="20"/>
          <w:szCs w:val="22"/>
          <w:lang w:eastAsia="en-GB"/>
        </w:rPr>
        <w:t xml:space="preserve">   </w:t>
      </w:r>
    </w:p>
    <w:p w14:paraId="7BCCA54D" w14:textId="77777777" w:rsidR="00573B45" w:rsidRPr="00573B45" w:rsidRDefault="00573B45" w:rsidP="00573B45">
      <w:pPr>
        <w:spacing w:line="259" w:lineRule="auto"/>
        <w:ind w:right="2020"/>
        <w:rPr>
          <w:rFonts w:ascii="Calibri" w:eastAsia="Calibri" w:hAnsi="Calibri" w:cs="Calibri"/>
          <w:color w:val="000000"/>
          <w:szCs w:val="22"/>
          <w:lang w:eastAsia="en-GB"/>
        </w:rPr>
      </w:pPr>
      <w:r w:rsidRPr="00573B45">
        <w:rPr>
          <w:color w:val="000000"/>
          <w:sz w:val="20"/>
          <w:szCs w:val="22"/>
          <w:lang w:eastAsia="en-GB"/>
        </w:rPr>
        <w:t xml:space="preserve"> </w:t>
      </w:r>
    </w:p>
    <w:p w14:paraId="74EE6DAF" w14:textId="77777777" w:rsidR="00573B45" w:rsidRPr="00573B45" w:rsidRDefault="00573B45" w:rsidP="00573B45">
      <w:pPr>
        <w:spacing w:line="259" w:lineRule="auto"/>
        <w:ind w:left="399"/>
        <w:jc w:val="center"/>
        <w:rPr>
          <w:rFonts w:ascii="Calibri" w:eastAsia="Calibri" w:hAnsi="Calibri" w:cs="Calibri"/>
          <w:color w:val="000000"/>
          <w:szCs w:val="22"/>
          <w:lang w:eastAsia="en-GB"/>
        </w:rPr>
      </w:pPr>
      <w:r w:rsidRPr="00573B45">
        <w:rPr>
          <w:rFonts w:ascii="Calibri" w:eastAsia="Calibri" w:hAnsi="Calibri" w:cs="Calibri"/>
          <w:noProof/>
          <w:color w:val="000000"/>
          <w:szCs w:val="22"/>
          <w:lang w:eastAsia="en-GB"/>
        </w:rPr>
        <w:drawing>
          <wp:inline distT="0" distB="0" distL="0" distR="0" wp14:anchorId="62ECCBA1" wp14:editId="314CDA99">
            <wp:extent cx="2924556" cy="2153412"/>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9"/>
                    <a:stretch>
                      <a:fillRect/>
                    </a:stretch>
                  </pic:blipFill>
                  <pic:spPr>
                    <a:xfrm>
                      <a:off x="0" y="0"/>
                      <a:ext cx="2924556" cy="2153412"/>
                    </a:xfrm>
                    <a:prstGeom prst="rect">
                      <a:avLst/>
                    </a:prstGeom>
                  </pic:spPr>
                </pic:pic>
              </a:graphicData>
            </a:graphic>
          </wp:inline>
        </w:drawing>
      </w:r>
      <w:r w:rsidRPr="00573B45">
        <w:rPr>
          <w:color w:val="000000"/>
          <w:sz w:val="20"/>
          <w:szCs w:val="22"/>
          <w:lang w:eastAsia="en-GB"/>
        </w:rPr>
        <w:t xml:space="preserve"> </w:t>
      </w:r>
    </w:p>
    <w:p w14:paraId="79F2D65F" w14:textId="77777777" w:rsidR="00573B45" w:rsidRPr="00573B45" w:rsidRDefault="00573B45" w:rsidP="00573B45">
      <w:pPr>
        <w:spacing w:after="36" w:line="259" w:lineRule="auto"/>
        <w:rPr>
          <w:rFonts w:ascii="Calibri" w:eastAsia="Calibri" w:hAnsi="Calibri" w:cs="Calibri"/>
          <w:color w:val="000000"/>
          <w:szCs w:val="22"/>
          <w:lang w:eastAsia="en-GB"/>
        </w:rPr>
      </w:pPr>
      <w:r w:rsidRPr="00573B45">
        <w:rPr>
          <w:color w:val="000000"/>
          <w:sz w:val="19"/>
          <w:szCs w:val="22"/>
          <w:lang w:eastAsia="en-GB"/>
        </w:rPr>
        <w:t xml:space="preserve"> </w:t>
      </w:r>
    </w:p>
    <w:p w14:paraId="7416E7D4" w14:textId="77777777" w:rsidR="00573B45" w:rsidRPr="00573B45" w:rsidRDefault="00573B45" w:rsidP="00573B45">
      <w:pPr>
        <w:spacing w:after="11" w:line="276" w:lineRule="auto"/>
        <w:ind w:left="130" w:hanging="10"/>
        <w:jc w:val="both"/>
        <w:rPr>
          <w:rFonts w:ascii="Calibri" w:eastAsia="Calibri" w:hAnsi="Calibri" w:cs="Calibri"/>
          <w:color w:val="000000"/>
          <w:szCs w:val="22"/>
          <w:lang w:eastAsia="en-GB"/>
        </w:rPr>
      </w:pPr>
      <w:r w:rsidRPr="00573B45">
        <w:rPr>
          <w:rFonts w:ascii="Calibri" w:eastAsia="Calibri" w:hAnsi="Calibri" w:cs="Calibri"/>
          <w:color w:val="000000"/>
          <w:szCs w:val="22"/>
          <w:lang w:eastAsia="en-GB"/>
        </w:rPr>
        <w:t xml:space="preserve">This thesis has been submitted in fulfilment of the requirements for a postgraduate degree (e.g. PhD, MPhil, DClinPsychol) at the University of Edinburgh. Please note the following terms and conditions of use: </w:t>
      </w:r>
    </w:p>
    <w:p w14:paraId="2DC8B0D2" w14:textId="77777777" w:rsidR="00573B45" w:rsidRPr="00573B45" w:rsidRDefault="00573B45" w:rsidP="00573B45">
      <w:pPr>
        <w:spacing w:after="1" w:line="259" w:lineRule="auto"/>
        <w:rPr>
          <w:rFonts w:ascii="Calibri" w:eastAsia="Calibri" w:hAnsi="Calibri" w:cs="Calibri"/>
          <w:color w:val="000000"/>
          <w:szCs w:val="22"/>
          <w:lang w:eastAsia="en-GB"/>
        </w:rPr>
      </w:pPr>
      <w:r w:rsidRPr="00573B45">
        <w:rPr>
          <w:rFonts w:ascii="Calibri" w:eastAsia="Calibri" w:hAnsi="Calibri" w:cs="Calibri"/>
          <w:color w:val="000000"/>
          <w:sz w:val="20"/>
          <w:szCs w:val="22"/>
          <w:lang w:eastAsia="en-GB"/>
        </w:rPr>
        <w:t xml:space="preserve"> </w:t>
      </w:r>
    </w:p>
    <w:p w14:paraId="0734250F" w14:textId="77777777" w:rsidR="00573B45" w:rsidRPr="00573B45" w:rsidRDefault="00573B45" w:rsidP="00573B45">
      <w:pPr>
        <w:spacing w:after="11" w:line="276" w:lineRule="auto"/>
        <w:ind w:left="835" w:hanging="10"/>
        <w:jc w:val="both"/>
        <w:rPr>
          <w:rFonts w:ascii="Calibri" w:eastAsia="Calibri" w:hAnsi="Calibri" w:cs="Calibri"/>
          <w:color w:val="000000"/>
          <w:szCs w:val="22"/>
          <w:lang w:eastAsia="en-GB"/>
        </w:rPr>
      </w:pPr>
      <w:r w:rsidRPr="00573B45">
        <w:rPr>
          <w:rFonts w:ascii="Calibri" w:eastAsia="Calibri" w:hAnsi="Calibri" w:cs="Calibri"/>
          <w:color w:val="000000"/>
          <w:szCs w:val="22"/>
          <w:lang w:eastAsia="en-GB"/>
        </w:rPr>
        <w:t xml:space="preserve">This work is protected by copyright and other intellectual property rights, which are retained by the thesis author, unless otherwise stated. </w:t>
      </w:r>
    </w:p>
    <w:p w14:paraId="767E6FD6" w14:textId="77777777" w:rsidR="00573B45" w:rsidRPr="00573B45" w:rsidRDefault="00573B45" w:rsidP="00573B45">
      <w:pPr>
        <w:spacing w:after="11" w:line="276" w:lineRule="auto"/>
        <w:ind w:left="835" w:hanging="10"/>
        <w:jc w:val="both"/>
        <w:rPr>
          <w:rFonts w:ascii="Calibri" w:eastAsia="Calibri" w:hAnsi="Calibri" w:cs="Calibri"/>
          <w:color w:val="000000"/>
          <w:szCs w:val="22"/>
          <w:lang w:eastAsia="en-GB"/>
        </w:rPr>
      </w:pPr>
      <w:r w:rsidRPr="00573B45">
        <w:rPr>
          <w:rFonts w:ascii="Calibri" w:eastAsia="Calibri" w:hAnsi="Calibri" w:cs="Calibri"/>
          <w:color w:val="000000"/>
          <w:szCs w:val="22"/>
          <w:lang w:eastAsia="en-GB"/>
        </w:rPr>
        <w:t xml:space="preserve">A copy can be downloaded for personal non-commercial research or study, without prior permission or charge. </w:t>
      </w:r>
    </w:p>
    <w:p w14:paraId="6B955834" w14:textId="77777777" w:rsidR="00573B45" w:rsidRPr="00573B45" w:rsidRDefault="00573B45" w:rsidP="00573B45">
      <w:pPr>
        <w:spacing w:after="11" w:line="276" w:lineRule="auto"/>
        <w:ind w:left="835" w:hanging="10"/>
        <w:jc w:val="both"/>
        <w:rPr>
          <w:rFonts w:ascii="Calibri" w:eastAsia="Calibri" w:hAnsi="Calibri" w:cs="Calibri"/>
          <w:color w:val="000000"/>
          <w:szCs w:val="22"/>
          <w:lang w:eastAsia="en-GB"/>
        </w:rPr>
      </w:pPr>
      <w:r w:rsidRPr="00573B45">
        <w:rPr>
          <w:rFonts w:ascii="Calibri" w:eastAsia="Calibri" w:hAnsi="Calibri" w:cs="Calibri"/>
          <w:color w:val="000000"/>
          <w:szCs w:val="22"/>
          <w:lang w:eastAsia="en-GB"/>
        </w:rPr>
        <w:t xml:space="preserve">This thesis cannot be reproduced or quoted extensively from without first obtaining permission in writing from the author. </w:t>
      </w:r>
    </w:p>
    <w:p w14:paraId="5B65BFA5" w14:textId="77777777" w:rsidR="00573B45" w:rsidRPr="00573B45" w:rsidRDefault="00573B45" w:rsidP="00573B45">
      <w:pPr>
        <w:spacing w:after="11" w:line="276" w:lineRule="auto"/>
        <w:ind w:left="835" w:hanging="10"/>
        <w:jc w:val="both"/>
        <w:rPr>
          <w:rFonts w:ascii="Calibri" w:eastAsia="Calibri" w:hAnsi="Calibri" w:cs="Calibri"/>
          <w:color w:val="000000"/>
          <w:szCs w:val="22"/>
          <w:lang w:eastAsia="en-GB"/>
        </w:rPr>
      </w:pPr>
      <w:r w:rsidRPr="00573B45">
        <w:rPr>
          <w:rFonts w:ascii="Calibri" w:eastAsia="Calibri" w:hAnsi="Calibri" w:cs="Calibri"/>
          <w:color w:val="000000"/>
          <w:szCs w:val="22"/>
          <w:lang w:eastAsia="en-GB"/>
        </w:rPr>
        <w:t xml:space="preserve">The content must not be changed in any way or sold commercially in any format or medium without the formal permission of the author. </w:t>
      </w:r>
    </w:p>
    <w:p w14:paraId="6976076A" w14:textId="77777777" w:rsidR="00573B45" w:rsidRPr="00573B45" w:rsidRDefault="00573B45" w:rsidP="00573B45">
      <w:pPr>
        <w:spacing w:after="11" w:line="276" w:lineRule="auto"/>
        <w:ind w:left="835" w:hanging="10"/>
        <w:jc w:val="both"/>
        <w:rPr>
          <w:rFonts w:ascii="Calibri" w:eastAsia="Calibri" w:hAnsi="Calibri" w:cs="Calibri"/>
          <w:color w:val="000000"/>
          <w:szCs w:val="22"/>
          <w:lang w:eastAsia="en-GB"/>
        </w:rPr>
      </w:pPr>
      <w:r w:rsidRPr="00573B45">
        <w:rPr>
          <w:rFonts w:ascii="Calibri" w:eastAsia="Calibri" w:hAnsi="Calibri" w:cs="Calibri"/>
          <w:color w:val="000000"/>
          <w:szCs w:val="22"/>
          <w:lang w:eastAsia="en-GB"/>
        </w:rPr>
        <w:t xml:space="preserve">When referring to this work, full bibliographic details including the author, title, awarding institution and date of the thesis must be given. </w:t>
      </w:r>
    </w:p>
    <w:p w14:paraId="70074B9D" w14:textId="77777777" w:rsidR="00573B45" w:rsidRPr="00573B45" w:rsidRDefault="00573B45" w:rsidP="00573B45">
      <w:pPr>
        <w:spacing w:line="259" w:lineRule="auto"/>
        <w:rPr>
          <w:rFonts w:ascii="Calibri" w:eastAsia="Calibri" w:hAnsi="Calibri" w:cs="Calibri"/>
          <w:color w:val="000000"/>
          <w:szCs w:val="22"/>
          <w:lang w:eastAsia="en-GB"/>
        </w:rPr>
      </w:pPr>
      <w:r w:rsidRPr="00573B45">
        <w:rPr>
          <w:rFonts w:ascii="Calibri" w:eastAsia="Calibri" w:hAnsi="Calibri" w:cs="Calibri"/>
          <w:color w:val="000000"/>
          <w:sz w:val="22"/>
          <w:szCs w:val="22"/>
          <w:lang w:eastAsia="en-GB"/>
        </w:rPr>
        <w:t xml:space="preserve"> </w:t>
      </w:r>
    </w:p>
    <w:p w14:paraId="384DE574" w14:textId="77777777" w:rsidR="00573B45" w:rsidRDefault="00573B45">
      <w:pPr>
        <w:spacing w:line="360" w:lineRule="auto"/>
        <w:rPr>
          <w:rFonts w:ascii="Calibri" w:hAnsi="Calibri" w:cs="Calibri"/>
        </w:rPr>
      </w:pPr>
      <w:bookmarkStart w:id="0" w:name="_GoBack"/>
      <w:bookmarkEnd w:id="0"/>
      <w:r>
        <w:rPr>
          <w:rFonts w:ascii="Calibri" w:hAnsi="Calibri" w:cs="Calibri"/>
        </w:rPr>
        <w:br w:type="page"/>
      </w:r>
    </w:p>
    <w:p w14:paraId="0DDB96AC" w14:textId="046F2E3F" w:rsidR="00365006" w:rsidRPr="00D9152B" w:rsidRDefault="00ED2AD2">
      <w:pPr>
        <w:rPr>
          <w:rFonts w:ascii="Calibri" w:hAnsi="Calibri" w:cs="Calibri"/>
        </w:rPr>
      </w:pPr>
      <w:r>
        <w:rPr>
          <w:noProof/>
          <w:lang w:eastAsia="en-GB"/>
        </w:rPr>
        <w:lastRenderedPageBreak/>
        <w:drawing>
          <wp:anchor distT="0" distB="0" distL="114300" distR="114300" simplePos="0" relativeHeight="251684864" behindDoc="0" locked="0" layoutInCell="1" allowOverlap="1" wp14:anchorId="2C000E64" wp14:editId="58E477FA">
            <wp:simplePos x="0" y="0"/>
            <wp:positionH relativeFrom="column">
              <wp:posOffset>1874982</wp:posOffset>
            </wp:positionH>
            <wp:positionV relativeFrom="paragraph">
              <wp:posOffset>7000298</wp:posOffset>
            </wp:positionV>
            <wp:extent cx="1264920" cy="1273175"/>
            <wp:effectExtent l="0" t="0" r="5080" b="0"/>
            <wp:wrapTopAndBottom/>
            <wp:docPr id="1057" name="Picture 1057" descr="Image result for university of edinburg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university of edinburgh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64920" cy="1273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152B">
        <w:rPr>
          <w:rFonts w:ascii="Calibri" w:hAnsi="Calibri" w:cs="Calibri"/>
          <w:noProof/>
          <w:lang w:eastAsia="en-GB"/>
        </w:rPr>
        <mc:AlternateContent>
          <mc:Choice Requires="wps">
            <w:drawing>
              <wp:anchor distT="0" distB="0" distL="114300" distR="114300" simplePos="0" relativeHeight="251657216" behindDoc="0" locked="0" layoutInCell="1" allowOverlap="1" wp14:anchorId="730B3D19" wp14:editId="6F79F37C">
                <wp:simplePos x="0" y="0"/>
                <wp:positionH relativeFrom="margin">
                  <wp:posOffset>-1534795</wp:posOffset>
                </wp:positionH>
                <wp:positionV relativeFrom="page">
                  <wp:posOffset>5174211</wp:posOffset>
                </wp:positionV>
                <wp:extent cx="7114540" cy="1633855"/>
                <wp:effectExtent l="0" t="0" r="0" b="1270"/>
                <wp:wrapSquare wrapText="bothSides"/>
                <wp:docPr id="80" name="Text Box 80"/>
                <wp:cNvGraphicFramePr/>
                <a:graphic xmlns:a="http://schemas.openxmlformats.org/drawingml/2006/main">
                  <a:graphicData uri="http://schemas.microsoft.com/office/word/2010/wordprocessingShape">
                    <wps:wsp>
                      <wps:cNvSpPr txBox="1"/>
                      <wps:spPr>
                        <a:xfrm>
                          <a:off x="0" y="0"/>
                          <a:ext cx="7114540" cy="16338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D7974C" w14:textId="5AD407D0" w:rsidR="00CF189D" w:rsidRDefault="00CF189D" w:rsidP="00E941D5">
                            <w:pPr>
                              <w:pStyle w:val="NoSpacing"/>
                              <w:jc w:val="center"/>
                              <w:rPr>
                                <w:rFonts w:asciiTheme="majorHAnsi" w:hAnsiTheme="majorHAnsi"/>
                                <w:b/>
                                <w:color w:val="767171" w:themeColor="background2" w:themeShade="80"/>
                                <w:sz w:val="28"/>
                                <w:szCs w:val="28"/>
                              </w:rPr>
                            </w:pPr>
                          </w:p>
                          <w:p w14:paraId="133CA22A" w14:textId="1825D271" w:rsidR="00CF189D" w:rsidRDefault="00CF189D" w:rsidP="00E941D5">
                            <w:pPr>
                              <w:pStyle w:val="NoSpacing"/>
                              <w:jc w:val="center"/>
                              <w:rPr>
                                <w:rFonts w:asciiTheme="majorHAnsi" w:hAnsiTheme="majorHAnsi"/>
                                <w:b/>
                                <w:color w:val="767171" w:themeColor="background2" w:themeShade="80"/>
                                <w:sz w:val="28"/>
                                <w:szCs w:val="28"/>
                              </w:rPr>
                            </w:pPr>
                          </w:p>
                          <w:p w14:paraId="7E0700D4" w14:textId="77777777" w:rsidR="00CF189D" w:rsidRPr="00921389" w:rsidRDefault="00CF189D" w:rsidP="00E941D5">
                            <w:pPr>
                              <w:pStyle w:val="NoSpacing"/>
                              <w:jc w:val="center"/>
                              <w:rPr>
                                <w:rFonts w:asciiTheme="majorHAnsi" w:hAnsiTheme="majorHAnsi"/>
                                <w:b/>
                                <w:color w:val="767171" w:themeColor="background2" w:themeShade="80"/>
                                <w:sz w:val="28"/>
                                <w:szCs w:val="28"/>
                              </w:rPr>
                            </w:pPr>
                          </w:p>
                          <w:p w14:paraId="0FACEC52" w14:textId="7C2626A8" w:rsidR="00CF189D" w:rsidRDefault="00CF189D" w:rsidP="00E941D5">
                            <w:pPr>
                              <w:pStyle w:val="NoSpacing"/>
                              <w:jc w:val="center"/>
                              <w:rPr>
                                <w:rFonts w:asciiTheme="majorHAnsi" w:hAnsiTheme="majorHAnsi"/>
                                <w:b/>
                                <w:color w:val="767171" w:themeColor="background2" w:themeShade="80"/>
                                <w:sz w:val="28"/>
                                <w:szCs w:val="28"/>
                              </w:rPr>
                            </w:pPr>
                          </w:p>
                          <w:p w14:paraId="56CBE9C8" w14:textId="00FD11BA" w:rsidR="00CF189D" w:rsidRDefault="00CF189D" w:rsidP="00ED2AD2">
                            <w:pPr>
                              <w:pStyle w:val="NoSpacing"/>
                              <w:jc w:val="center"/>
                              <w:rPr>
                                <w:rFonts w:asciiTheme="majorHAnsi" w:hAnsiTheme="majorHAnsi"/>
                                <w:b/>
                                <w:color w:val="767171" w:themeColor="background2" w:themeShade="80"/>
                                <w:sz w:val="28"/>
                                <w:szCs w:val="28"/>
                              </w:rPr>
                            </w:pPr>
                            <w:r>
                              <w:rPr>
                                <w:rFonts w:asciiTheme="majorHAnsi" w:hAnsiTheme="majorHAnsi"/>
                                <w:b/>
                                <w:color w:val="767171" w:themeColor="background2" w:themeShade="80"/>
                                <w:sz w:val="28"/>
                                <w:szCs w:val="28"/>
                              </w:rPr>
                              <w:t>Janelle Winters</w:t>
                            </w:r>
                          </w:p>
                          <w:p w14:paraId="079DCB37" w14:textId="77777777" w:rsidR="00CF189D" w:rsidRDefault="00CF189D" w:rsidP="00ED2AD2">
                            <w:pPr>
                              <w:pStyle w:val="NoSpacing"/>
                              <w:jc w:val="center"/>
                              <w:rPr>
                                <w:rFonts w:asciiTheme="majorHAnsi" w:hAnsiTheme="majorHAnsi"/>
                                <w:b/>
                                <w:color w:val="767171" w:themeColor="background2" w:themeShade="80"/>
                                <w:sz w:val="28"/>
                                <w:szCs w:val="28"/>
                              </w:rPr>
                            </w:pPr>
                          </w:p>
                          <w:p w14:paraId="5FA83B4E" w14:textId="77777777" w:rsidR="00CF189D" w:rsidRDefault="00CF189D" w:rsidP="00ED2AD2">
                            <w:pPr>
                              <w:pStyle w:val="NoSpacing"/>
                              <w:jc w:val="center"/>
                              <w:rPr>
                                <w:rFonts w:asciiTheme="majorHAnsi" w:hAnsiTheme="majorHAnsi"/>
                                <w:b/>
                                <w:color w:val="767171" w:themeColor="background2" w:themeShade="80"/>
                                <w:sz w:val="28"/>
                                <w:szCs w:val="28"/>
                              </w:rPr>
                            </w:pPr>
                          </w:p>
                          <w:p w14:paraId="4E08D6F9" w14:textId="77777777" w:rsidR="00CF189D" w:rsidRDefault="00CF189D" w:rsidP="00E941D5">
                            <w:pPr>
                              <w:pStyle w:val="NoSpacing"/>
                              <w:jc w:val="center"/>
                              <w:rPr>
                                <w:rFonts w:asciiTheme="majorHAnsi" w:hAnsiTheme="majorHAnsi"/>
                                <w:b/>
                                <w:color w:val="767171" w:themeColor="background2" w:themeShade="80"/>
                                <w:sz w:val="28"/>
                                <w:szCs w:val="28"/>
                              </w:rPr>
                            </w:pPr>
                            <w:r>
                              <w:rPr>
                                <w:rFonts w:asciiTheme="majorHAnsi" w:hAnsiTheme="majorHAnsi"/>
                                <w:b/>
                                <w:color w:val="767171" w:themeColor="background2" w:themeShade="80"/>
                                <w:sz w:val="28"/>
                                <w:szCs w:val="28"/>
                              </w:rPr>
                              <w:t xml:space="preserve">Thesis submitted for the degree of </w:t>
                            </w:r>
                          </w:p>
                          <w:p w14:paraId="5EA5FAA2" w14:textId="6D576D4B" w:rsidR="00CF189D" w:rsidRDefault="00CF189D" w:rsidP="00E941D5">
                            <w:pPr>
                              <w:pStyle w:val="NoSpacing"/>
                              <w:jc w:val="center"/>
                              <w:rPr>
                                <w:rFonts w:asciiTheme="majorHAnsi" w:hAnsiTheme="majorHAnsi"/>
                                <w:b/>
                                <w:color w:val="767171" w:themeColor="background2" w:themeShade="80"/>
                                <w:sz w:val="28"/>
                                <w:szCs w:val="28"/>
                              </w:rPr>
                            </w:pPr>
                            <w:r>
                              <w:rPr>
                                <w:rFonts w:asciiTheme="majorHAnsi" w:hAnsiTheme="majorHAnsi"/>
                                <w:b/>
                                <w:color w:val="767171" w:themeColor="background2" w:themeShade="80"/>
                                <w:sz w:val="28"/>
                                <w:szCs w:val="28"/>
                              </w:rPr>
                              <w:t>Doctor of Philosophy in Population Health Sciences</w:t>
                            </w:r>
                          </w:p>
                          <w:p w14:paraId="5DF8EEF6" w14:textId="606060E5" w:rsidR="00CF189D" w:rsidRDefault="00CF189D" w:rsidP="00E941D5">
                            <w:pPr>
                              <w:pStyle w:val="NoSpacing"/>
                              <w:jc w:val="center"/>
                              <w:rPr>
                                <w:rFonts w:asciiTheme="majorHAnsi" w:hAnsiTheme="majorHAnsi"/>
                                <w:b/>
                                <w:color w:val="767171" w:themeColor="background2" w:themeShade="80"/>
                                <w:sz w:val="28"/>
                                <w:szCs w:val="28"/>
                              </w:rPr>
                            </w:pPr>
                            <w:r>
                              <w:rPr>
                                <w:rFonts w:asciiTheme="majorHAnsi" w:hAnsiTheme="majorHAnsi"/>
                                <w:b/>
                                <w:color w:val="767171" w:themeColor="background2" w:themeShade="80"/>
                                <w:sz w:val="28"/>
                                <w:szCs w:val="28"/>
                              </w:rPr>
                              <w:t>Usher Institute, School of Medicine</w:t>
                            </w:r>
                          </w:p>
                          <w:p w14:paraId="6C722A59" w14:textId="3112AED7" w:rsidR="00CF189D" w:rsidRDefault="00CF189D" w:rsidP="00E941D5">
                            <w:pPr>
                              <w:pStyle w:val="NoSpacing"/>
                              <w:jc w:val="center"/>
                              <w:rPr>
                                <w:rFonts w:asciiTheme="majorHAnsi" w:hAnsiTheme="majorHAnsi"/>
                                <w:b/>
                                <w:color w:val="767171" w:themeColor="background2" w:themeShade="80"/>
                                <w:sz w:val="28"/>
                                <w:szCs w:val="28"/>
                              </w:rPr>
                            </w:pPr>
                            <w:r>
                              <w:rPr>
                                <w:rFonts w:asciiTheme="majorHAnsi" w:hAnsiTheme="majorHAnsi"/>
                                <w:b/>
                                <w:color w:val="767171" w:themeColor="background2" w:themeShade="80"/>
                                <w:sz w:val="28"/>
                                <w:szCs w:val="28"/>
                              </w:rPr>
                              <w:t>University of Edinburgh</w:t>
                            </w:r>
                          </w:p>
                          <w:p w14:paraId="34CA38BC" w14:textId="0220A15E" w:rsidR="00CF189D" w:rsidRDefault="00CF189D" w:rsidP="00E941D5">
                            <w:pPr>
                              <w:pStyle w:val="NoSpacing"/>
                              <w:jc w:val="center"/>
                              <w:rPr>
                                <w:rFonts w:asciiTheme="majorHAnsi" w:hAnsiTheme="majorHAnsi"/>
                                <w:b/>
                                <w:color w:val="767171" w:themeColor="background2" w:themeShade="80"/>
                                <w:sz w:val="28"/>
                                <w:szCs w:val="28"/>
                              </w:rPr>
                            </w:pPr>
                            <w:r>
                              <w:rPr>
                                <w:rFonts w:asciiTheme="majorHAnsi" w:hAnsiTheme="majorHAnsi"/>
                                <w:b/>
                                <w:color w:val="767171" w:themeColor="background2" w:themeShade="80"/>
                                <w:sz w:val="28"/>
                                <w:szCs w:val="28"/>
                              </w:rPr>
                              <w:t>2020</w:t>
                            </w:r>
                          </w:p>
                          <w:p w14:paraId="6D380E9E" w14:textId="7E2C7A1C" w:rsidR="00CF189D" w:rsidRPr="00FF4463" w:rsidRDefault="00CF189D" w:rsidP="00E941D5">
                            <w:pPr>
                              <w:pStyle w:val="NoSpacing"/>
                              <w:jc w:val="center"/>
                              <w:rPr>
                                <w:rFonts w:asciiTheme="majorHAnsi" w:hAnsiTheme="majorHAnsi"/>
                                <w:b/>
                                <w:color w:val="767171" w:themeColor="background2" w:themeShade="8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30B3D19" id="_x0000_t202" coordsize="21600,21600" o:spt="202" path="m,l,21600r21600,l21600,xe">
                <v:stroke joinstyle="miter"/>
                <v:path gradientshapeok="t" o:connecttype="rect"/>
              </v:shapetype>
              <v:shape id="Text Box 80" o:spid="_x0000_s1026" type="#_x0000_t202" style="position:absolute;margin-left:-120.85pt;margin-top:407.4pt;width:560.2pt;height:128.65pt;z-index:251657216;visibility:visible;mso-wrap-style:square;mso-width-percent:941;mso-height-percent:100;mso-wrap-distance-left:9pt;mso-wrap-distance-top:0;mso-wrap-distance-right:9pt;mso-wrap-distance-bottom:0;mso-position-horizontal:absolute;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" filled="f" stroked="f" strokeweight=".5pt">
                <v:textbox style="mso-fit-shape-to-text:t" inset="126pt,0,54pt,0">
                  <w:txbxContent>
                    <w:p w14:paraId="25D7974C" w14:textId="5AD407D0" w:rsidR="00CF189D" w:rsidRDefault="00CF189D" w:rsidP="00E941D5">
                      <w:pPr>
                        <w:pStyle w:val="NoSpacing"/>
                        <w:jc w:val="center"/>
                        <w:rPr>
                          <w:rFonts w:asciiTheme="majorHAnsi" w:hAnsiTheme="majorHAnsi"/>
                          <w:b/>
                          <w:color w:val="767171" w:themeColor="background2" w:themeShade="80"/>
                          <w:sz w:val="28"/>
                          <w:szCs w:val="28"/>
                        </w:rPr>
                      </w:pPr>
                    </w:p>
                    <w:p w14:paraId="133CA22A" w14:textId="1825D271" w:rsidR="00CF189D" w:rsidRDefault="00CF189D" w:rsidP="00E941D5">
                      <w:pPr>
                        <w:pStyle w:val="NoSpacing"/>
                        <w:jc w:val="center"/>
                        <w:rPr>
                          <w:rFonts w:asciiTheme="majorHAnsi" w:hAnsiTheme="majorHAnsi"/>
                          <w:b/>
                          <w:color w:val="767171" w:themeColor="background2" w:themeShade="80"/>
                          <w:sz w:val="28"/>
                          <w:szCs w:val="28"/>
                        </w:rPr>
                      </w:pPr>
                    </w:p>
                    <w:p w14:paraId="7E0700D4" w14:textId="77777777" w:rsidR="00CF189D" w:rsidRPr="00921389" w:rsidRDefault="00CF189D" w:rsidP="00E941D5">
                      <w:pPr>
                        <w:pStyle w:val="NoSpacing"/>
                        <w:jc w:val="center"/>
                        <w:rPr>
                          <w:rFonts w:asciiTheme="majorHAnsi" w:hAnsiTheme="majorHAnsi"/>
                          <w:b/>
                          <w:color w:val="767171" w:themeColor="background2" w:themeShade="80"/>
                          <w:sz w:val="28"/>
                          <w:szCs w:val="28"/>
                        </w:rPr>
                      </w:pPr>
                    </w:p>
                    <w:p w14:paraId="0FACEC52" w14:textId="7C2626A8" w:rsidR="00CF189D" w:rsidRDefault="00CF189D" w:rsidP="00E941D5">
                      <w:pPr>
                        <w:pStyle w:val="NoSpacing"/>
                        <w:jc w:val="center"/>
                        <w:rPr>
                          <w:rFonts w:asciiTheme="majorHAnsi" w:hAnsiTheme="majorHAnsi"/>
                          <w:b/>
                          <w:color w:val="767171" w:themeColor="background2" w:themeShade="80"/>
                          <w:sz w:val="28"/>
                          <w:szCs w:val="28"/>
                        </w:rPr>
                      </w:pPr>
                    </w:p>
                    <w:p w14:paraId="56CBE9C8" w14:textId="00FD11BA" w:rsidR="00CF189D" w:rsidRDefault="00CF189D" w:rsidP="00ED2AD2">
                      <w:pPr>
                        <w:pStyle w:val="NoSpacing"/>
                        <w:jc w:val="center"/>
                        <w:rPr>
                          <w:rFonts w:asciiTheme="majorHAnsi" w:hAnsiTheme="majorHAnsi"/>
                          <w:b/>
                          <w:color w:val="767171" w:themeColor="background2" w:themeShade="80"/>
                          <w:sz w:val="28"/>
                          <w:szCs w:val="28"/>
                        </w:rPr>
                      </w:pPr>
                      <w:r>
                        <w:rPr>
                          <w:rFonts w:asciiTheme="majorHAnsi" w:hAnsiTheme="majorHAnsi"/>
                          <w:b/>
                          <w:color w:val="767171" w:themeColor="background2" w:themeShade="80"/>
                          <w:sz w:val="28"/>
                          <w:szCs w:val="28"/>
                        </w:rPr>
                        <w:t>Janelle Winters</w:t>
                      </w:r>
                    </w:p>
                    <w:p w14:paraId="079DCB37" w14:textId="77777777" w:rsidR="00CF189D" w:rsidRDefault="00CF189D" w:rsidP="00ED2AD2">
                      <w:pPr>
                        <w:pStyle w:val="NoSpacing"/>
                        <w:jc w:val="center"/>
                        <w:rPr>
                          <w:rFonts w:asciiTheme="majorHAnsi" w:hAnsiTheme="majorHAnsi"/>
                          <w:b/>
                          <w:color w:val="767171" w:themeColor="background2" w:themeShade="80"/>
                          <w:sz w:val="28"/>
                          <w:szCs w:val="28"/>
                        </w:rPr>
                      </w:pPr>
                    </w:p>
                    <w:p w14:paraId="5FA83B4E" w14:textId="77777777" w:rsidR="00CF189D" w:rsidRDefault="00CF189D" w:rsidP="00ED2AD2">
                      <w:pPr>
                        <w:pStyle w:val="NoSpacing"/>
                        <w:jc w:val="center"/>
                        <w:rPr>
                          <w:rFonts w:asciiTheme="majorHAnsi" w:hAnsiTheme="majorHAnsi"/>
                          <w:b/>
                          <w:color w:val="767171" w:themeColor="background2" w:themeShade="80"/>
                          <w:sz w:val="28"/>
                          <w:szCs w:val="28"/>
                        </w:rPr>
                      </w:pPr>
                    </w:p>
                    <w:p w14:paraId="4E08D6F9" w14:textId="77777777" w:rsidR="00CF189D" w:rsidRDefault="00CF189D" w:rsidP="00E941D5">
                      <w:pPr>
                        <w:pStyle w:val="NoSpacing"/>
                        <w:jc w:val="center"/>
                        <w:rPr>
                          <w:rFonts w:asciiTheme="majorHAnsi" w:hAnsiTheme="majorHAnsi"/>
                          <w:b/>
                          <w:color w:val="767171" w:themeColor="background2" w:themeShade="80"/>
                          <w:sz w:val="28"/>
                          <w:szCs w:val="28"/>
                        </w:rPr>
                      </w:pPr>
                      <w:r>
                        <w:rPr>
                          <w:rFonts w:asciiTheme="majorHAnsi" w:hAnsiTheme="majorHAnsi"/>
                          <w:b/>
                          <w:color w:val="767171" w:themeColor="background2" w:themeShade="80"/>
                          <w:sz w:val="28"/>
                          <w:szCs w:val="28"/>
                        </w:rPr>
                        <w:t xml:space="preserve">Thesis submitted for the degree of </w:t>
                      </w:r>
                    </w:p>
                    <w:p w14:paraId="5EA5FAA2" w14:textId="6D576D4B" w:rsidR="00CF189D" w:rsidRDefault="00CF189D" w:rsidP="00E941D5">
                      <w:pPr>
                        <w:pStyle w:val="NoSpacing"/>
                        <w:jc w:val="center"/>
                        <w:rPr>
                          <w:rFonts w:asciiTheme="majorHAnsi" w:hAnsiTheme="majorHAnsi"/>
                          <w:b/>
                          <w:color w:val="767171" w:themeColor="background2" w:themeShade="80"/>
                          <w:sz w:val="28"/>
                          <w:szCs w:val="28"/>
                        </w:rPr>
                      </w:pPr>
                      <w:r>
                        <w:rPr>
                          <w:rFonts w:asciiTheme="majorHAnsi" w:hAnsiTheme="majorHAnsi"/>
                          <w:b/>
                          <w:color w:val="767171" w:themeColor="background2" w:themeShade="80"/>
                          <w:sz w:val="28"/>
                          <w:szCs w:val="28"/>
                        </w:rPr>
                        <w:t>Doctor of Philosophy in Population Health Sciences</w:t>
                      </w:r>
                    </w:p>
                    <w:p w14:paraId="5DF8EEF6" w14:textId="606060E5" w:rsidR="00CF189D" w:rsidRDefault="00CF189D" w:rsidP="00E941D5">
                      <w:pPr>
                        <w:pStyle w:val="NoSpacing"/>
                        <w:jc w:val="center"/>
                        <w:rPr>
                          <w:rFonts w:asciiTheme="majorHAnsi" w:hAnsiTheme="majorHAnsi"/>
                          <w:b/>
                          <w:color w:val="767171" w:themeColor="background2" w:themeShade="80"/>
                          <w:sz w:val="28"/>
                          <w:szCs w:val="28"/>
                        </w:rPr>
                      </w:pPr>
                      <w:r>
                        <w:rPr>
                          <w:rFonts w:asciiTheme="majorHAnsi" w:hAnsiTheme="majorHAnsi"/>
                          <w:b/>
                          <w:color w:val="767171" w:themeColor="background2" w:themeShade="80"/>
                          <w:sz w:val="28"/>
                          <w:szCs w:val="28"/>
                        </w:rPr>
                        <w:t>Usher Institute, School of Medicine</w:t>
                      </w:r>
                    </w:p>
                    <w:p w14:paraId="6C722A59" w14:textId="3112AED7" w:rsidR="00CF189D" w:rsidRDefault="00CF189D" w:rsidP="00E941D5">
                      <w:pPr>
                        <w:pStyle w:val="NoSpacing"/>
                        <w:jc w:val="center"/>
                        <w:rPr>
                          <w:rFonts w:asciiTheme="majorHAnsi" w:hAnsiTheme="majorHAnsi"/>
                          <w:b/>
                          <w:color w:val="767171" w:themeColor="background2" w:themeShade="80"/>
                          <w:sz w:val="28"/>
                          <w:szCs w:val="28"/>
                        </w:rPr>
                      </w:pPr>
                      <w:r>
                        <w:rPr>
                          <w:rFonts w:asciiTheme="majorHAnsi" w:hAnsiTheme="majorHAnsi"/>
                          <w:b/>
                          <w:color w:val="767171" w:themeColor="background2" w:themeShade="80"/>
                          <w:sz w:val="28"/>
                          <w:szCs w:val="28"/>
                        </w:rPr>
                        <w:t>University of Edinburgh</w:t>
                      </w:r>
                    </w:p>
                    <w:p w14:paraId="34CA38BC" w14:textId="0220A15E" w:rsidR="00CF189D" w:rsidRDefault="00CF189D" w:rsidP="00E941D5">
                      <w:pPr>
                        <w:pStyle w:val="NoSpacing"/>
                        <w:jc w:val="center"/>
                        <w:rPr>
                          <w:rFonts w:asciiTheme="majorHAnsi" w:hAnsiTheme="majorHAnsi"/>
                          <w:b/>
                          <w:color w:val="767171" w:themeColor="background2" w:themeShade="80"/>
                          <w:sz w:val="28"/>
                          <w:szCs w:val="28"/>
                        </w:rPr>
                      </w:pPr>
                      <w:r>
                        <w:rPr>
                          <w:rFonts w:asciiTheme="majorHAnsi" w:hAnsiTheme="majorHAnsi"/>
                          <w:b/>
                          <w:color w:val="767171" w:themeColor="background2" w:themeShade="80"/>
                          <w:sz w:val="28"/>
                          <w:szCs w:val="28"/>
                        </w:rPr>
                        <w:t>2020</w:t>
                      </w:r>
                    </w:p>
                    <w:p w14:paraId="6D380E9E" w14:textId="7E2C7A1C" w:rsidR="00CF189D" w:rsidRPr="00FF4463" w:rsidRDefault="00CF189D" w:rsidP="00E941D5">
                      <w:pPr>
                        <w:pStyle w:val="NoSpacing"/>
                        <w:jc w:val="center"/>
                        <w:rPr>
                          <w:rFonts w:asciiTheme="majorHAnsi" w:hAnsiTheme="majorHAnsi"/>
                          <w:b/>
                          <w:color w:val="767171" w:themeColor="background2" w:themeShade="80"/>
                        </w:rPr>
                      </w:pPr>
                    </w:p>
                  </w:txbxContent>
                </v:textbox>
                <w10:wrap type="square" anchorx="margin" anchory="page"/>
              </v:shape>
            </w:pict>
          </mc:Fallback>
        </mc:AlternateContent>
      </w:r>
      <w:r w:rsidR="00CD1F2C" w:rsidRPr="00D9152B">
        <w:rPr>
          <w:rFonts w:ascii="Calibri" w:hAnsi="Calibri" w:cs="Calibri"/>
          <w:noProof/>
          <w:lang w:eastAsia="en-GB"/>
        </w:rPr>
        <mc:AlternateContent>
          <mc:Choice Requires="wps">
            <w:drawing>
              <wp:anchor distT="0" distB="0" distL="114300" distR="114300" simplePos="0" relativeHeight="251655168" behindDoc="0" locked="0" layoutInCell="1" allowOverlap="1" wp14:anchorId="0E6EB556" wp14:editId="38528957">
                <wp:simplePos x="0" y="0"/>
                <wp:positionH relativeFrom="page">
                  <wp:posOffset>309880</wp:posOffset>
                </wp:positionH>
                <wp:positionV relativeFrom="page">
                  <wp:posOffset>1090122</wp:posOffset>
                </wp:positionV>
                <wp:extent cx="7934960" cy="3874770"/>
                <wp:effectExtent l="0" t="0" r="0" b="5080"/>
                <wp:wrapSquare wrapText="bothSides"/>
                <wp:docPr id="91" name="Text Box 91"/>
                <wp:cNvGraphicFramePr/>
                <a:graphic xmlns:a="http://schemas.openxmlformats.org/drawingml/2006/main">
                  <a:graphicData uri="http://schemas.microsoft.com/office/word/2010/wordprocessingShape">
                    <wps:wsp>
                      <wps:cNvSpPr txBox="1"/>
                      <wps:spPr>
                        <a:xfrm>
                          <a:off x="0" y="0"/>
                          <a:ext cx="7934960" cy="38747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CB84B5" w14:textId="12465047" w:rsidR="00CF189D" w:rsidRPr="00921389" w:rsidRDefault="00573B45" w:rsidP="00CD1F2C">
                            <w:pPr>
                              <w:shd w:val="clear" w:color="auto" w:fill="FFFFFF" w:themeFill="background1"/>
                              <w:ind w:left="-1134" w:right="-68"/>
                              <w:jc w:val="center"/>
                              <w:rPr>
                                <w:rFonts w:asciiTheme="majorHAnsi" w:hAnsiTheme="majorHAnsi"/>
                                <w:b/>
                                <w:sz w:val="48"/>
                                <w:szCs w:val="48"/>
                              </w:rPr>
                            </w:pPr>
                            <w:sdt>
                              <w:sdtPr>
                                <w:rPr>
                                  <w:rFonts w:asciiTheme="majorHAnsi" w:hAnsiTheme="majorHAnsi"/>
                                  <w:b/>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F189D">
                                  <w:rPr>
                                    <w:rFonts w:asciiTheme="majorHAnsi" w:hAnsiTheme="majorHAnsi"/>
                                    <w:b/>
                                    <w:sz w:val="48"/>
                                    <w:szCs w:val="48"/>
                                    <w:lang w:val="en-US"/>
                                  </w:rPr>
                                  <w:t xml:space="preserve">Constructing Success in Global Health: </w:t>
                                </w:r>
                                <w:r w:rsidR="00CF189D">
                                  <w:rPr>
                                    <w:rFonts w:asciiTheme="majorHAnsi" w:hAnsiTheme="majorHAnsi"/>
                                    <w:b/>
                                    <w:sz w:val="48"/>
                                    <w:szCs w:val="48"/>
                                    <w:lang w:val="en-US"/>
                                  </w:rPr>
                                  <w:br/>
                                  <w:t>The World Bank and the Onchocerciasis Control Programme in West Africa</w:t>
                                </w:r>
                              </w:sdtContent>
                            </w:sdt>
                          </w:p>
                          <w:p w14:paraId="03AF0D71" w14:textId="39E8FB32" w:rsidR="00CF189D" w:rsidRPr="00921389" w:rsidRDefault="00CF189D" w:rsidP="00CD1F2C">
                            <w:pPr>
                              <w:jc w:val="center"/>
                              <w:rPr>
                                <w:rFonts w:asciiTheme="majorHAnsi" w:hAnsiTheme="majorHAnsi"/>
                                <w:b/>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6EB556" id="Text Box 91" o:spid="_x0000_s1027" type="#_x0000_t202" style="position:absolute;margin-left:24.4pt;margin-top:85.85pt;width:624.8pt;height:305.1pt;z-index:251655168;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" filled="f" stroked="f" strokeweight=".5pt">
                <v:textbox inset="126pt,0,54pt,0">
                  <w:txbxContent>
                    <w:p w14:paraId="7DCB84B5" w14:textId="12465047" w:rsidR="00CF189D" w:rsidRPr="00921389" w:rsidRDefault="00CF189D" w:rsidP="00CD1F2C">
                      <w:pPr>
                        <w:shd w:val="clear" w:color="auto" w:fill="FFFFFF" w:themeFill="background1"/>
                        <w:ind w:left="-1134" w:right="-68"/>
                        <w:jc w:val="center"/>
                        <w:rPr>
                          <w:rFonts w:asciiTheme="majorHAnsi" w:hAnsiTheme="majorHAnsi"/>
                          <w:b/>
                          <w:sz w:val="48"/>
                          <w:szCs w:val="48"/>
                        </w:rPr>
                      </w:pPr>
                      <w:sdt>
                        <w:sdtPr>
                          <w:rPr>
                            <w:rFonts w:asciiTheme="majorHAnsi" w:hAnsiTheme="majorHAnsi"/>
                            <w:b/>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Pr>
                              <w:rFonts w:asciiTheme="majorHAnsi" w:hAnsiTheme="majorHAnsi"/>
                              <w:b/>
                              <w:sz w:val="48"/>
                              <w:szCs w:val="48"/>
                              <w:lang w:val="en-US"/>
                            </w:rPr>
                            <w:t xml:space="preserve">Constructing Success in Global Health: </w:t>
                          </w:r>
                          <w:r>
                            <w:rPr>
                              <w:rFonts w:asciiTheme="majorHAnsi" w:hAnsiTheme="majorHAnsi"/>
                              <w:b/>
                              <w:sz w:val="48"/>
                              <w:szCs w:val="48"/>
                              <w:lang w:val="en-US"/>
                            </w:rPr>
                            <w:br/>
                            <w:t>The World Bank and the Onchocerciasis Control Programme in West Africa</w:t>
                          </w:r>
                        </w:sdtContent>
                      </w:sdt>
                    </w:p>
                    <w:p w14:paraId="03AF0D71" w14:textId="39E8FB32" w:rsidR="00CF189D" w:rsidRPr="00921389" w:rsidRDefault="00CF189D" w:rsidP="00CD1F2C">
                      <w:pPr>
                        <w:jc w:val="center"/>
                        <w:rPr>
                          <w:rFonts w:asciiTheme="majorHAnsi" w:hAnsiTheme="majorHAnsi"/>
                          <w:b/>
                          <w:smallCaps/>
                          <w:color w:val="404040" w:themeColor="text1" w:themeTint="BF"/>
                          <w:sz w:val="36"/>
                          <w:szCs w:val="36"/>
                        </w:rPr>
                      </w:pPr>
                    </w:p>
                  </w:txbxContent>
                </v:textbox>
                <w10:wrap type="square" anchorx="page" anchory="page"/>
              </v:shape>
            </w:pict>
          </mc:Fallback>
        </mc:AlternateContent>
      </w:r>
    </w:p>
    <w:p w14:paraId="19988F67" w14:textId="77C61F23" w:rsidR="00365006" w:rsidRDefault="00365006" w:rsidP="007E7FB2">
      <w:pPr>
        <w:pStyle w:val="Heading1"/>
        <w:rPr>
          <w:sz w:val="2"/>
          <w:szCs w:val="2"/>
        </w:rPr>
      </w:pPr>
    </w:p>
    <w:p w14:paraId="609FF365" w14:textId="77777777" w:rsidR="00633CCF" w:rsidRDefault="00633CCF" w:rsidP="007E7FB2"/>
    <w:p w14:paraId="61D7EEB7" w14:textId="77777777" w:rsidR="00633CCF" w:rsidRDefault="00633CCF" w:rsidP="007E7FB2"/>
    <w:p w14:paraId="464C7A32" w14:textId="77777777" w:rsidR="00633CCF" w:rsidRDefault="00633CCF" w:rsidP="007E7FB2"/>
    <w:p w14:paraId="26DDA02C" w14:textId="5234ACA9" w:rsidR="00C02512" w:rsidRDefault="00C02512">
      <w:pPr>
        <w:spacing w:line="360" w:lineRule="auto"/>
      </w:pPr>
      <w:r>
        <w:br w:type="page"/>
      </w:r>
    </w:p>
    <w:p w14:paraId="49D0A291" w14:textId="77777777" w:rsidR="00633CCF" w:rsidRDefault="00633CCF" w:rsidP="007E7FB2"/>
    <w:p w14:paraId="5450BDEA" w14:textId="77777777" w:rsidR="00633CCF" w:rsidRDefault="00633CCF" w:rsidP="007E7FB2"/>
    <w:p w14:paraId="6A94F99F" w14:textId="77777777" w:rsidR="00633CCF" w:rsidRDefault="00633CCF" w:rsidP="007E7FB2"/>
    <w:p w14:paraId="5F580CEB" w14:textId="77777777" w:rsidR="00633CCF" w:rsidRDefault="00633CCF" w:rsidP="007E7FB2"/>
    <w:p w14:paraId="7421C7D5" w14:textId="77777777" w:rsidR="00633CCF" w:rsidRDefault="00633CCF" w:rsidP="007E7FB2"/>
    <w:p w14:paraId="39852962" w14:textId="77777777" w:rsidR="00633CCF" w:rsidRDefault="00633CCF" w:rsidP="007E7FB2"/>
    <w:p w14:paraId="1661439A" w14:textId="77777777" w:rsidR="00633CCF" w:rsidRDefault="00633CCF" w:rsidP="007E7FB2"/>
    <w:p w14:paraId="25FEF573" w14:textId="77777777" w:rsidR="00633CCF" w:rsidRDefault="00633CCF" w:rsidP="007E7FB2"/>
    <w:p w14:paraId="444B7F15" w14:textId="77777777" w:rsidR="00633CCF" w:rsidRDefault="00633CCF" w:rsidP="007E7FB2"/>
    <w:p w14:paraId="6E33B75B" w14:textId="77777777" w:rsidR="00633CCF" w:rsidRDefault="00633CCF" w:rsidP="007E7FB2"/>
    <w:p w14:paraId="246130E3" w14:textId="77777777" w:rsidR="00633CCF" w:rsidRDefault="00633CCF" w:rsidP="007E7FB2"/>
    <w:p w14:paraId="0D092398" w14:textId="77777777" w:rsidR="00633CCF" w:rsidRDefault="00633CCF" w:rsidP="007E7FB2"/>
    <w:p w14:paraId="54411ECA" w14:textId="77777777" w:rsidR="00633CCF" w:rsidRDefault="00633CCF" w:rsidP="007E7FB2"/>
    <w:p w14:paraId="7FE4A7BE" w14:textId="77777777" w:rsidR="00633CCF" w:rsidRDefault="00633CCF" w:rsidP="007E7FB2"/>
    <w:p w14:paraId="725F08B7" w14:textId="77777777" w:rsidR="00633CCF" w:rsidRDefault="00633CCF" w:rsidP="007E7FB2"/>
    <w:p w14:paraId="65EDCBA0" w14:textId="77777777" w:rsidR="00633CCF" w:rsidRDefault="00633CCF" w:rsidP="007E7FB2"/>
    <w:p w14:paraId="06A567C5" w14:textId="5B80B9FE" w:rsidR="007E7FB2" w:rsidRDefault="007E7FB2" w:rsidP="00633CCF">
      <w:pPr>
        <w:jc w:val="both"/>
        <w:rPr>
          <w:rFonts w:ascii="Calibri" w:hAnsi="Calibri" w:cs="Calibri"/>
          <w:sz w:val="22"/>
          <w:szCs w:val="22"/>
        </w:rPr>
      </w:pPr>
      <w:r w:rsidRPr="00633CCF">
        <w:rPr>
          <w:rFonts w:ascii="Calibri" w:hAnsi="Calibri" w:cs="Calibri"/>
          <w:sz w:val="22"/>
          <w:szCs w:val="22"/>
        </w:rPr>
        <w:t>I declare that this thesis has been composed by myself, Janelle Winters</w:t>
      </w:r>
      <w:r w:rsidR="00633CCF" w:rsidRPr="00633CCF">
        <w:rPr>
          <w:rFonts w:ascii="Calibri" w:hAnsi="Calibri" w:cs="Calibri"/>
          <w:sz w:val="22"/>
          <w:szCs w:val="22"/>
        </w:rPr>
        <w:t>. It is my own work, and has not been submitted for any other degree or professional qualification.</w:t>
      </w:r>
    </w:p>
    <w:p w14:paraId="7C692907" w14:textId="77777777" w:rsidR="00633CCF" w:rsidRDefault="00633CCF" w:rsidP="00633CCF">
      <w:pPr>
        <w:jc w:val="both"/>
        <w:rPr>
          <w:rFonts w:ascii="Calibri" w:hAnsi="Calibri" w:cs="Calibri"/>
          <w:sz w:val="22"/>
          <w:szCs w:val="22"/>
        </w:rPr>
      </w:pPr>
    </w:p>
    <w:p w14:paraId="6A782572" w14:textId="79F462AB" w:rsidR="00633CCF" w:rsidRPr="00633CCF" w:rsidRDefault="000047D5" w:rsidP="00633CCF">
      <w:pPr>
        <w:jc w:val="center"/>
        <w:rPr>
          <w:rFonts w:ascii="Calibri" w:hAnsi="Calibri" w:cs="Calibri"/>
          <w:sz w:val="22"/>
          <w:szCs w:val="22"/>
        </w:rPr>
      </w:pPr>
      <w:r>
        <w:rPr>
          <w:rFonts w:ascii="Calibri" w:hAnsi="Calibri" w:cs="Calibri"/>
          <w:sz w:val="22"/>
          <w:szCs w:val="22"/>
        </w:rPr>
        <w:t>2</w:t>
      </w:r>
      <w:r w:rsidR="00DD19C3">
        <w:rPr>
          <w:rFonts w:ascii="Calibri" w:hAnsi="Calibri" w:cs="Calibri"/>
          <w:sz w:val="22"/>
          <w:szCs w:val="22"/>
        </w:rPr>
        <w:t>7</w:t>
      </w:r>
      <w:r w:rsidR="00633CCF">
        <w:rPr>
          <w:rFonts w:ascii="Calibri" w:hAnsi="Calibri" w:cs="Calibri"/>
          <w:sz w:val="22"/>
          <w:szCs w:val="22"/>
        </w:rPr>
        <w:t xml:space="preserve"> </w:t>
      </w:r>
      <w:r>
        <w:rPr>
          <w:rFonts w:ascii="Calibri" w:hAnsi="Calibri" w:cs="Calibri"/>
          <w:sz w:val="22"/>
          <w:szCs w:val="22"/>
        </w:rPr>
        <w:t>May</w:t>
      </w:r>
      <w:r w:rsidR="00633CCF">
        <w:rPr>
          <w:rFonts w:ascii="Calibri" w:hAnsi="Calibri" w:cs="Calibri"/>
          <w:sz w:val="22"/>
          <w:szCs w:val="22"/>
        </w:rPr>
        <w:t>, 2020</w:t>
      </w:r>
    </w:p>
    <w:p w14:paraId="6E0E7148" w14:textId="3B1CDA35" w:rsidR="007E7FB2" w:rsidRDefault="007E7FB2" w:rsidP="007E7FB2"/>
    <w:p w14:paraId="5CEBF141" w14:textId="77777777" w:rsidR="007E7FB2" w:rsidRPr="007E7FB2" w:rsidRDefault="007E7FB2" w:rsidP="007E7FB2"/>
    <w:sdt>
      <w:sdtPr>
        <w:rPr>
          <w:rFonts w:ascii="Calibri" w:eastAsiaTheme="majorEastAsia" w:hAnsi="Calibri" w:cs="Calibri"/>
          <w:color w:val="2E74B5" w:themeColor="accent1" w:themeShade="BF"/>
          <w:sz w:val="22"/>
          <w:szCs w:val="22"/>
        </w:rPr>
        <w:id w:val="-1786344462"/>
        <w:docPartObj>
          <w:docPartGallery w:val="Cover Pages"/>
          <w:docPartUnique/>
        </w:docPartObj>
      </w:sdtPr>
      <w:sdtEndPr>
        <w:rPr>
          <w:rFonts w:ascii="Times New Roman" w:eastAsia="Times New Roman" w:hAnsi="Times New Roman" w:cs="Times New Roman"/>
          <w:color w:val="auto"/>
          <w:sz w:val="24"/>
          <w:szCs w:val="24"/>
        </w:rPr>
      </w:sdtEndPr>
      <w:sdtContent>
        <w:p w14:paraId="2EE41CC0" w14:textId="167DEBA7" w:rsidR="00E941D5" w:rsidRPr="00ED2AD2" w:rsidRDefault="00890A74" w:rsidP="007E7FB2">
          <w:pPr>
            <w:rPr>
              <w:rFonts w:ascii="Calibri" w:hAnsi="Calibri" w:cs="Calibri"/>
              <w:sz w:val="22"/>
              <w:szCs w:val="22"/>
            </w:rPr>
          </w:pPr>
          <w:r w:rsidRPr="00ED2AD2">
            <w:rPr>
              <w:rFonts w:ascii="Calibri" w:hAnsi="Calibri" w:cs="Calibri"/>
              <w:sz w:val="22"/>
              <w:szCs w:val="22"/>
            </w:rPr>
            <w:fldChar w:fldCharType="begin"/>
          </w:r>
          <w:r w:rsidRPr="00ED2AD2">
            <w:rPr>
              <w:rFonts w:ascii="Calibri" w:hAnsi="Calibri" w:cs="Calibri"/>
              <w:sz w:val="22"/>
              <w:szCs w:val="22"/>
            </w:rPr>
            <w:instrText xml:space="preserve"> INCLUDEPICTURE "https://upload.wikimedia.org/wikipedia/en/thumb/7/7a/University_of_Edinburgh_ceremonial_roundel.svg/1200px-University_of_Edinburgh_ceremonial_roundel.svg.png" \* MERGEFORMATINET </w:instrText>
          </w:r>
          <w:r w:rsidRPr="00ED2AD2">
            <w:rPr>
              <w:rFonts w:ascii="Calibri" w:hAnsi="Calibri" w:cs="Calibri"/>
              <w:sz w:val="22"/>
              <w:szCs w:val="22"/>
            </w:rPr>
            <w:fldChar w:fldCharType="end"/>
          </w:r>
        </w:p>
        <w:p w14:paraId="3F1A3333" w14:textId="45B925AB" w:rsidR="00D77B12" w:rsidRPr="00ED2AD2" w:rsidRDefault="00E941D5">
          <w:pPr>
            <w:rPr>
              <w:rFonts w:ascii="Calibri" w:hAnsi="Calibri" w:cs="Calibri"/>
              <w:sz w:val="22"/>
              <w:szCs w:val="22"/>
            </w:rPr>
          </w:pPr>
          <w:r w:rsidRPr="00ED2AD2">
            <w:rPr>
              <w:rFonts w:ascii="Calibri" w:hAnsi="Calibri" w:cs="Calibri"/>
              <w:sz w:val="22"/>
              <w:szCs w:val="22"/>
            </w:rPr>
            <w:br w:type="page"/>
          </w:r>
        </w:p>
        <w:p w14:paraId="6F5ABCEA" w14:textId="77777777" w:rsidR="00C02512" w:rsidRDefault="00C02512">
          <w:pPr>
            <w:spacing w:line="360" w:lineRule="auto"/>
            <w:rPr>
              <w:rFonts w:ascii="Calibri" w:eastAsiaTheme="majorEastAsia" w:hAnsi="Calibri" w:cs="Calibri"/>
              <w:b/>
              <w:color w:val="2E74B5" w:themeColor="accent1" w:themeShade="BF"/>
              <w:sz w:val="36"/>
              <w:szCs w:val="36"/>
            </w:rPr>
          </w:pPr>
          <w:bookmarkStart w:id="1" w:name="_Toc41505576"/>
          <w:r>
            <w:rPr>
              <w:rFonts w:ascii="Calibri" w:hAnsi="Calibri" w:cs="Calibri"/>
              <w:b/>
              <w:sz w:val="36"/>
              <w:szCs w:val="36"/>
            </w:rPr>
            <w:lastRenderedPageBreak/>
            <w:br w:type="page"/>
          </w:r>
        </w:p>
        <w:p w14:paraId="173D5F02" w14:textId="726387B9" w:rsidR="00FF4463" w:rsidRPr="003F4262" w:rsidRDefault="00FF4463" w:rsidP="00FF4463">
          <w:pPr>
            <w:pStyle w:val="Heading1"/>
            <w:rPr>
              <w:rFonts w:ascii="Calibri" w:hAnsi="Calibri" w:cs="Calibri"/>
              <w:b/>
              <w:sz w:val="36"/>
              <w:szCs w:val="36"/>
            </w:rPr>
          </w:pPr>
          <w:r w:rsidRPr="003F4262">
            <w:rPr>
              <w:rFonts w:ascii="Calibri" w:hAnsi="Calibri" w:cs="Calibri"/>
              <w:b/>
              <w:sz w:val="36"/>
              <w:szCs w:val="36"/>
            </w:rPr>
            <w:lastRenderedPageBreak/>
            <w:t>Abstract</w:t>
          </w:r>
          <w:bookmarkEnd w:id="1"/>
        </w:p>
        <w:p w14:paraId="7D2E048B" w14:textId="77777777" w:rsidR="00FF4463" w:rsidRPr="00ED2AD2" w:rsidRDefault="00FF4463" w:rsidP="00FF4463">
          <w:pPr>
            <w:pStyle w:val="Heading1"/>
            <w:rPr>
              <w:rFonts w:ascii="Calibri" w:hAnsi="Calibri" w:cs="Calibri"/>
              <w:b/>
              <w:sz w:val="22"/>
              <w:szCs w:val="22"/>
            </w:rPr>
          </w:pPr>
        </w:p>
        <w:sdt>
          <w:sdtPr>
            <w:rPr>
              <w:rFonts w:ascii="Calibri" w:hAnsi="Calibri" w:cs="Calibri"/>
              <w:sz w:val="22"/>
              <w:szCs w:val="22"/>
            </w:rPr>
            <w:id w:val="-1816101715"/>
          </w:sdtPr>
          <w:sdtEndPr/>
          <w:sdtContent>
            <w:p w14:paraId="6F454EC3" w14:textId="777C6BF0" w:rsidR="00FF4463" w:rsidRPr="00ED2AD2" w:rsidRDefault="00FF4463" w:rsidP="00FF4463">
              <w:pPr>
                <w:rPr>
                  <w:rFonts w:ascii="Calibri" w:hAnsi="Calibri" w:cs="Calibri"/>
                  <w:sz w:val="22"/>
                  <w:szCs w:val="22"/>
                </w:rPr>
              </w:pPr>
              <w:r w:rsidRPr="00ED2AD2">
                <w:rPr>
                  <w:rFonts w:ascii="Calibri" w:hAnsi="Calibri" w:cs="Calibri"/>
                  <w:sz w:val="22"/>
                  <w:szCs w:val="22"/>
                </w:rPr>
                <w:t>The Onchocerciasis Control Programme in West Africa (OCP), a United Nations-sponsored initiative that targeted a neglected tropical disease (NTD) from 1974-2002, has been depicted as a major global health success story since the late 1980s. The programme’s fiscal agency (the World Bank) and executing agency (the World Health Organization) have been vocal in their praise for the programme, which is often put forward as a model disease control and development initiative. This dissertation uses the World Bank’s role in the OCP as a case study for how success is defined and operationalised by global health institutions. It explores three inter-related questions: in what ways and by what definition has the OCP been seen as a success by the Bank and the global health community, what complexities does the Bank’s success narrative overlook, and</w:t>
              </w:r>
              <w:r w:rsidR="008B5E3F" w:rsidRPr="00ED2AD2">
                <w:rPr>
                  <w:rFonts w:ascii="Calibri" w:hAnsi="Calibri" w:cs="Calibri"/>
                  <w:sz w:val="22"/>
                  <w:szCs w:val="22"/>
                </w:rPr>
                <w:t xml:space="preserve"> how does the OCP success narrative relate to frameworks of success used by global health researchers and policymakers? </w:t>
              </w:r>
            </w:p>
            <w:p w14:paraId="50EB762A" w14:textId="77777777" w:rsidR="00FF4463" w:rsidRPr="00ED2AD2" w:rsidRDefault="00FF4463" w:rsidP="00FF4463">
              <w:pPr>
                <w:rPr>
                  <w:rFonts w:ascii="Calibri" w:hAnsi="Calibri" w:cs="Calibri"/>
                  <w:sz w:val="22"/>
                  <w:szCs w:val="22"/>
                </w:rPr>
              </w:pPr>
            </w:p>
            <w:p w14:paraId="742115AD" w14:textId="75D36F8F" w:rsidR="00FF4463" w:rsidRPr="00ED2AD2" w:rsidRDefault="00FF4463" w:rsidP="00FF4463">
              <w:pPr>
                <w:rPr>
                  <w:rFonts w:ascii="Calibri" w:hAnsi="Calibri" w:cs="Calibri"/>
                  <w:sz w:val="22"/>
                  <w:szCs w:val="22"/>
                </w:rPr>
              </w:pPr>
              <w:r w:rsidRPr="00ED2AD2">
                <w:rPr>
                  <w:rFonts w:ascii="Calibri" w:hAnsi="Calibri" w:cs="Calibri"/>
                  <w:sz w:val="22"/>
                  <w:szCs w:val="22"/>
                </w:rPr>
                <w:t>Using global health governance and history methodologies – including a literature review of ‘success’ and the OCP, an analysis of development assistance for health financial flows, oral history interviews, and in-depth archival research at six sponsoring agency and donor institutions – I identify four major components of the Bank’s ‘dominant’ success narrative. These include clear objectives and metrics; sound extra-budgetary financial management; strong partnership among sponsoring agencies, donors, and the private sector; and community-based delivery mechanisms. I then describe the complexities of programme operation (‘</w:t>
              </w:r>
              <w:r w:rsidR="008B5E3F" w:rsidRPr="00ED2AD2">
                <w:rPr>
                  <w:rFonts w:ascii="Calibri" w:hAnsi="Calibri" w:cs="Calibri"/>
                  <w:sz w:val="22"/>
                  <w:szCs w:val="22"/>
                </w:rPr>
                <w:t>underlying</w:t>
              </w:r>
              <w:r w:rsidRPr="00ED2AD2">
                <w:rPr>
                  <w:rFonts w:ascii="Calibri" w:hAnsi="Calibri" w:cs="Calibri"/>
                  <w:sz w:val="22"/>
                  <w:szCs w:val="22"/>
                </w:rPr>
                <w:t xml:space="preserve"> narratives’) for each of these components. </w:t>
              </w:r>
            </w:p>
            <w:p w14:paraId="344987AF" w14:textId="77777777" w:rsidR="00FF4463" w:rsidRPr="00ED2AD2" w:rsidRDefault="00FF4463" w:rsidP="00FF4463">
              <w:pPr>
                <w:rPr>
                  <w:rFonts w:ascii="Calibri" w:hAnsi="Calibri" w:cs="Calibri"/>
                  <w:sz w:val="22"/>
                  <w:szCs w:val="22"/>
                </w:rPr>
              </w:pPr>
            </w:p>
            <w:p w14:paraId="50CC451D" w14:textId="13747421" w:rsidR="00FF4463" w:rsidRPr="00ED2AD2" w:rsidRDefault="00FF4463" w:rsidP="00FF4463">
              <w:pPr>
                <w:rPr>
                  <w:rFonts w:ascii="Calibri" w:hAnsi="Calibri" w:cs="Calibri"/>
                  <w:sz w:val="22"/>
                  <w:szCs w:val="22"/>
                </w:rPr>
              </w:pPr>
              <w:r w:rsidRPr="00ED2AD2">
                <w:rPr>
                  <w:rFonts w:ascii="Calibri" w:hAnsi="Calibri" w:cs="Calibri"/>
                  <w:sz w:val="22"/>
                  <w:szCs w:val="22"/>
                </w:rPr>
                <w:t>Finally, I discuss the legacy of the OCP’s success, in terms of the Bank’s role in global health governance. I engage with four major themes in global health governance to explain the appeal of the OCP dominant narrative. First, the metrics used to justify the OCP’s success are the product of significant assumptions, which themselves reflect the Bank’s heavily politicised ideologies of human capital and efficiency. Second, the OCP showcases the Bank and WHO’s growing reliance on globally-focused trust funds, which allow these institutions to argue that they are ‘catalysing’ novel investments in global health. Third, the rise of public-private partnerships (PPPs) in global health reflects this controversial embrace of cost-effectiveness</w:t>
              </w:r>
              <w:r w:rsidR="009470D1" w:rsidRPr="00ED2AD2">
                <w:rPr>
                  <w:rFonts w:ascii="Calibri" w:hAnsi="Calibri" w:cs="Calibri"/>
                  <w:sz w:val="22"/>
                  <w:szCs w:val="22"/>
                </w:rPr>
                <w:t xml:space="preserve">, </w:t>
              </w:r>
              <w:r w:rsidRPr="00ED2AD2">
                <w:rPr>
                  <w:rFonts w:ascii="Calibri" w:hAnsi="Calibri" w:cs="Calibri"/>
                  <w:sz w:val="22"/>
                  <w:szCs w:val="22"/>
                </w:rPr>
                <w:t>catalytic aid</w:t>
              </w:r>
              <w:r w:rsidR="009470D1" w:rsidRPr="00ED2AD2">
                <w:rPr>
                  <w:rFonts w:ascii="Calibri" w:hAnsi="Calibri" w:cs="Calibri"/>
                  <w:sz w:val="22"/>
                  <w:szCs w:val="22"/>
                </w:rPr>
                <w:t>, and private philanthropy</w:t>
              </w:r>
              <w:r w:rsidRPr="00ED2AD2">
                <w:rPr>
                  <w:rFonts w:ascii="Calibri" w:hAnsi="Calibri" w:cs="Calibri"/>
                  <w:sz w:val="22"/>
                  <w:szCs w:val="22"/>
                </w:rPr>
                <w:t>. Fourth, the Bank and other multilateral institutions’ emphasis on community-based delivery mechanisms for the integrated control of NTDs embraces a ‘selective’ definition of primary health care and health system strengthening. Ultimately, I argue that success in global health is constructible. It is non-absolute, contestable, and inseparable from the ideologies of influential institutions. I conclude with a discussion of mechanisms by which success is constructed in global health, including visual politics and active marketing techniques.</w:t>
              </w:r>
            </w:p>
          </w:sdtContent>
        </w:sdt>
        <w:p w14:paraId="0B4C71EE" w14:textId="77777777" w:rsidR="00ED2AD2" w:rsidRPr="00ED2AD2" w:rsidRDefault="00FF4463" w:rsidP="00FF4463">
          <w:pPr>
            <w:pStyle w:val="Heading1"/>
            <w:rPr>
              <w:rFonts w:ascii="Calibri" w:eastAsiaTheme="minorHAnsi" w:hAnsi="Calibri" w:cs="Calibri"/>
              <w:b/>
              <w:color w:val="auto"/>
              <w:sz w:val="22"/>
              <w:szCs w:val="22"/>
            </w:rPr>
          </w:pPr>
          <w:r w:rsidRPr="00ED2AD2">
            <w:rPr>
              <w:rFonts w:ascii="Calibri" w:eastAsiaTheme="minorHAnsi" w:hAnsi="Calibri" w:cs="Calibri"/>
              <w:b/>
              <w:color w:val="auto"/>
              <w:sz w:val="22"/>
              <w:szCs w:val="22"/>
            </w:rPr>
            <w:t xml:space="preserve"> </w:t>
          </w:r>
          <w:r w:rsidR="00D77B12" w:rsidRPr="00ED2AD2">
            <w:rPr>
              <w:rFonts w:ascii="Calibri" w:eastAsiaTheme="minorHAnsi" w:hAnsi="Calibri" w:cs="Calibri"/>
              <w:b/>
              <w:color w:val="auto"/>
              <w:sz w:val="22"/>
              <w:szCs w:val="22"/>
            </w:rPr>
            <w:br w:type="page"/>
          </w:r>
        </w:p>
        <w:p w14:paraId="4AF2CB32" w14:textId="77777777" w:rsidR="00C02512" w:rsidRDefault="00C02512">
          <w:pPr>
            <w:spacing w:line="360" w:lineRule="auto"/>
            <w:rPr>
              <w:rFonts w:ascii="Calibri" w:eastAsiaTheme="majorEastAsia" w:hAnsi="Calibri" w:cs="Calibri"/>
              <w:b/>
              <w:color w:val="2E74B5" w:themeColor="accent1" w:themeShade="BF"/>
              <w:sz w:val="36"/>
              <w:szCs w:val="36"/>
            </w:rPr>
          </w:pPr>
          <w:bookmarkStart w:id="2" w:name="_Toc41505577"/>
          <w:r>
            <w:rPr>
              <w:rFonts w:ascii="Calibri" w:hAnsi="Calibri" w:cs="Calibri"/>
              <w:b/>
              <w:sz w:val="36"/>
              <w:szCs w:val="36"/>
            </w:rPr>
            <w:lastRenderedPageBreak/>
            <w:br w:type="page"/>
          </w:r>
        </w:p>
        <w:p w14:paraId="2F08558C" w14:textId="070E4ED4" w:rsidR="00ED2AD2" w:rsidRPr="00ED2AD2" w:rsidRDefault="00ED2AD2" w:rsidP="00ED2AD2">
          <w:pPr>
            <w:pStyle w:val="Heading1"/>
            <w:rPr>
              <w:rFonts w:ascii="Calibri" w:hAnsi="Calibri" w:cs="Calibri"/>
              <w:b/>
              <w:sz w:val="36"/>
              <w:szCs w:val="36"/>
            </w:rPr>
          </w:pPr>
          <w:r w:rsidRPr="00ED2AD2">
            <w:rPr>
              <w:rFonts w:ascii="Calibri" w:hAnsi="Calibri" w:cs="Calibri"/>
              <w:b/>
              <w:sz w:val="36"/>
              <w:szCs w:val="36"/>
            </w:rPr>
            <w:lastRenderedPageBreak/>
            <w:t>Lay Summary</w:t>
          </w:r>
          <w:bookmarkEnd w:id="2"/>
        </w:p>
        <w:p w14:paraId="637DE805" w14:textId="703B053E" w:rsidR="00ED2AD2" w:rsidRPr="00ED2AD2" w:rsidRDefault="00ED2AD2" w:rsidP="00ED2AD2">
          <w:pPr>
            <w:rPr>
              <w:rFonts w:ascii="Calibri" w:hAnsi="Calibri" w:cs="Calibri"/>
              <w:sz w:val="22"/>
              <w:szCs w:val="22"/>
            </w:rPr>
          </w:pPr>
        </w:p>
        <w:p w14:paraId="5DF33EF4" w14:textId="2532F853" w:rsidR="00ED2AD2" w:rsidRPr="00ED2AD2" w:rsidRDefault="00ED2AD2" w:rsidP="00ED2AD2">
          <w:pPr>
            <w:rPr>
              <w:rFonts w:ascii="Calibri" w:hAnsi="Calibri" w:cs="Calibri"/>
              <w:sz w:val="22"/>
              <w:szCs w:val="22"/>
            </w:rPr>
          </w:pPr>
          <w:r w:rsidRPr="00ED2AD2">
            <w:rPr>
              <w:rFonts w:ascii="Calibri" w:hAnsi="Calibri" w:cs="Calibri"/>
              <w:sz w:val="22"/>
              <w:szCs w:val="22"/>
            </w:rPr>
            <w:t xml:space="preserve">The Onchocerciasis Control Programme in West Africa (OCP), a disease control initiative targeted at the parasitic disease ‘river blindness’ from 1974-2002, has been depicted as a major global health success story since the late 1980s. The programme was sponsored by the three United Nations organisations – the World Health Organization (WHO), Food and Agriculture Organization, </w:t>
          </w:r>
          <w:r>
            <w:rPr>
              <w:rFonts w:ascii="Calibri" w:hAnsi="Calibri" w:cs="Calibri"/>
              <w:sz w:val="22"/>
              <w:szCs w:val="22"/>
            </w:rPr>
            <w:t xml:space="preserve">and </w:t>
          </w:r>
          <w:r w:rsidRPr="00ED2AD2">
            <w:rPr>
              <w:rFonts w:ascii="Calibri" w:hAnsi="Calibri" w:cs="Calibri"/>
              <w:sz w:val="22"/>
              <w:szCs w:val="22"/>
            </w:rPr>
            <w:t xml:space="preserve">United Nations Development Programme – and the World Bank. The Bank has been particularly vocal in its praise for the programme, as a model disease control and development initiative. This dissertation uses the World Bank’s role in the OCP as a case study for how success is defined and operationalised by global health institutions. It explores three inter-related questions: in what ways and by what definition has the OCP been seen as a success by the Bank and the global health community, what complexities does the Bank’s success narrative overlook, and what is the impact of the OCP success narrative on global health priority-setting today? </w:t>
          </w:r>
        </w:p>
        <w:p w14:paraId="57C303E3" w14:textId="77777777" w:rsidR="00ED2AD2" w:rsidRPr="00ED2AD2" w:rsidRDefault="00ED2AD2" w:rsidP="00ED2AD2">
          <w:pPr>
            <w:rPr>
              <w:rFonts w:ascii="Calibri" w:hAnsi="Calibri" w:cs="Calibri"/>
              <w:sz w:val="22"/>
              <w:szCs w:val="22"/>
            </w:rPr>
          </w:pPr>
        </w:p>
        <w:p w14:paraId="23451E46" w14:textId="129490DB" w:rsidR="00ED2AD2" w:rsidRDefault="00ED2AD2" w:rsidP="00ED2AD2">
          <w:pPr>
            <w:rPr>
              <w:rFonts w:ascii="Calibri" w:hAnsi="Calibri" w:cs="Calibri"/>
              <w:sz w:val="22"/>
              <w:szCs w:val="22"/>
            </w:rPr>
          </w:pPr>
          <w:r w:rsidRPr="00ED2AD2">
            <w:rPr>
              <w:rFonts w:ascii="Calibri" w:hAnsi="Calibri" w:cs="Calibri"/>
              <w:sz w:val="22"/>
              <w:szCs w:val="22"/>
            </w:rPr>
            <w:t xml:space="preserve">Using global health governance and history methodologies – including a literature review of ‘success’ and the OCP, an analysis of development assistance for health financial flows, oral history interviews, and in-depth archival research at six sponsoring agency and donor institutions – I identify four major components of the Bank’s ‘dominant’ success narrative. These include clear objectives and metrics; sound financial management; strong partnership among sponsoring agencies, donors, and the private sector; and community-based delivery mechanisms. I then describe the complexities of programme operation (‘alternative narratives’) for each of these components. Ultimately, based on the OCP success narrative and </w:t>
          </w:r>
          <w:r>
            <w:rPr>
              <w:rFonts w:ascii="Calibri" w:hAnsi="Calibri" w:cs="Calibri"/>
              <w:sz w:val="22"/>
              <w:szCs w:val="22"/>
            </w:rPr>
            <w:t>an analysis of the Bank’s ‘institutional ethos’</w:t>
          </w:r>
          <w:r w:rsidRPr="00ED2AD2">
            <w:rPr>
              <w:rFonts w:ascii="Calibri" w:hAnsi="Calibri" w:cs="Calibri"/>
              <w:sz w:val="22"/>
              <w:szCs w:val="22"/>
            </w:rPr>
            <w:t xml:space="preserve">, I argue that </w:t>
          </w:r>
          <w:r>
            <w:rPr>
              <w:rFonts w:ascii="Calibri" w:hAnsi="Calibri" w:cs="Calibri"/>
              <w:sz w:val="22"/>
              <w:szCs w:val="22"/>
            </w:rPr>
            <w:t>the OCP’s success – and success</w:t>
          </w:r>
          <w:r w:rsidRPr="00ED2AD2">
            <w:rPr>
              <w:rFonts w:ascii="Calibri" w:hAnsi="Calibri" w:cs="Calibri"/>
              <w:sz w:val="22"/>
              <w:szCs w:val="22"/>
            </w:rPr>
            <w:t xml:space="preserve"> in global health</w:t>
          </w:r>
          <w:r>
            <w:rPr>
              <w:rFonts w:ascii="Calibri" w:hAnsi="Calibri" w:cs="Calibri"/>
              <w:sz w:val="22"/>
              <w:szCs w:val="22"/>
            </w:rPr>
            <w:t xml:space="preserve"> – </w:t>
          </w:r>
          <w:r w:rsidRPr="00ED2AD2">
            <w:rPr>
              <w:rFonts w:ascii="Calibri" w:hAnsi="Calibri" w:cs="Calibri"/>
              <w:sz w:val="22"/>
              <w:szCs w:val="22"/>
            </w:rPr>
            <w:t xml:space="preserve">is constructible. It is non-absolute, contestable, and inseparable from the ideologies of influential institutions. </w:t>
          </w:r>
        </w:p>
        <w:p w14:paraId="114DCD42" w14:textId="70C80AC1" w:rsidR="00ED2AD2" w:rsidRDefault="00ED2AD2" w:rsidP="00ED2AD2">
          <w:pPr>
            <w:rPr>
              <w:rFonts w:ascii="Calibri" w:hAnsi="Calibri" w:cs="Calibri"/>
              <w:sz w:val="22"/>
              <w:szCs w:val="22"/>
            </w:rPr>
          </w:pPr>
        </w:p>
        <w:p w14:paraId="45518DA4" w14:textId="77777777" w:rsidR="00ED2AD2" w:rsidRPr="00ED2AD2" w:rsidRDefault="00ED2AD2" w:rsidP="00ED2AD2">
          <w:pPr>
            <w:rPr>
              <w:rFonts w:ascii="Calibri" w:hAnsi="Calibri" w:cs="Calibri"/>
              <w:sz w:val="22"/>
              <w:szCs w:val="22"/>
            </w:rPr>
          </w:pPr>
        </w:p>
        <w:p w14:paraId="7BA86086" w14:textId="77777777" w:rsidR="00ED2AD2" w:rsidRPr="00ED2AD2" w:rsidRDefault="00ED2AD2" w:rsidP="00ED2AD2"/>
        <w:p w14:paraId="11E2241F" w14:textId="2693274D" w:rsidR="00ED2AD2" w:rsidRDefault="00ED2AD2" w:rsidP="00ED2AD2"/>
        <w:p w14:paraId="7657764F" w14:textId="14629D87" w:rsidR="00ED2AD2" w:rsidRDefault="00ED2AD2" w:rsidP="00ED2AD2"/>
        <w:p w14:paraId="2641FC04" w14:textId="4C6DF33A" w:rsidR="00ED2AD2" w:rsidRDefault="00ED2AD2" w:rsidP="00ED2AD2"/>
        <w:p w14:paraId="3118E6BE" w14:textId="2358C55E" w:rsidR="00ED2AD2" w:rsidRDefault="00ED2AD2" w:rsidP="00ED2AD2"/>
        <w:p w14:paraId="1F985F6C" w14:textId="33917585" w:rsidR="00ED2AD2" w:rsidRDefault="00ED2AD2" w:rsidP="00ED2AD2"/>
        <w:p w14:paraId="6E564D80" w14:textId="7FE80DB3" w:rsidR="00ED2AD2" w:rsidRDefault="00ED2AD2" w:rsidP="00ED2AD2"/>
        <w:p w14:paraId="046282F1" w14:textId="52461537" w:rsidR="00ED2AD2" w:rsidRDefault="00ED2AD2" w:rsidP="00ED2AD2"/>
        <w:p w14:paraId="65A8CBA0" w14:textId="1798A181" w:rsidR="00ED2AD2" w:rsidRDefault="00ED2AD2" w:rsidP="00ED2AD2"/>
        <w:p w14:paraId="55788650" w14:textId="0BC58A99" w:rsidR="00ED2AD2" w:rsidRDefault="00ED2AD2" w:rsidP="00ED2AD2"/>
        <w:p w14:paraId="3462D9C3" w14:textId="4F48E0EF" w:rsidR="00ED2AD2" w:rsidRDefault="00ED2AD2" w:rsidP="00ED2AD2"/>
        <w:p w14:paraId="39EA1B86" w14:textId="652EB054" w:rsidR="00ED2AD2" w:rsidRDefault="00ED2AD2" w:rsidP="00ED2AD2"/>
        <w:p w14:paraId="4B2F7FC0" w14:textId="7844BE8A" w:rsidR="00ED2AD2" w:rsidRDefault="00ED2AD2" w:rsidP="00ED2AD2"/>
        <w:p w14:paraId="004EB384" w14:textId="77777777" w:rsidR="00ED2AD2" w:rsidRDefault="00ED2AD2" w:rsidP="00ED2AD2"/>
        <w:p w14:paraId="604C0D73" w14:textId="77777777" w:rsidR="00ED2AD2" w:rsidRDefault="00ED2AD2" w:rsidP="00ED2AD2"/>
        <w:p w14:paraId="623FC0E5" w14:textId="77777777" w:rsidR="00ED2AD2" w:rsidRDefault="00ED2AD2" w:rsidP="00ED2AD2"/>
        <w:p w14:paraId="352FF002" w14:textId="60ACDA4E" w:rsidR="00E941D5" w:rsidRPr="00ED2AD2" w:rsidRDefault="00573B45" w:rsidP="00ED2AD2"/>
      </w:sdtContent>
    </w:sdt>
    <w:p w14:paraId="7A27DB41" w14:textId="77777777" w:rsidR="00380D9B" w:rsidRDefault="00380D9B" w:rsidP="00AD5522">
      <w:pPr>
        <w:pStyle w:val="Heading1"/>
        <w:rPr>
          <w:rFonts w:ascii="Calibri" w:hAnsi="Calibri" w:cs="Calibri"/>
          <w:b/>
          <w:sz w:val="36"/>
          <w:szCs w:val="36"/>
        </w:rPr>
        <w:sectPr w:rsidR="00380D9B" w:rsidSect="00E418AF">
          <w:headerReference w:type="default" r:id="rId11"/>
          <w:footerReference w:type="default" r:id="rId12"/>
          <w:footnotePr>
            <w:numRestart w:val="eachSect"/>
          </w:footnotePr>
          <w:pgSz w:w="11906" w:h="16838"/>
          <w:pgMar w:top="1134" w:right="1558" w:bottom="2268" w:left="2268" w:header="708" w:footer="708" w:gutter="0"/>
          <w:cols w:space="708"/>
          <w:docGrid w:linePitch="360"/>
        </w:sectPr>
      </w:pPr>
    </w:p>
    <w:sdt>
      <w:sdtPr>
        <w:rPr>
          <w:rFonts w:ascii="Times New Roman" w:eastAsia="Times New Roman" w:hAnsi="Times New Roman" w:cs="Times New Roman"/>
          <w:color w:val="auto"/>
          <w:sz w:val="24"/>
          <w:szCs w:val="24"/>
          <w:lang w:val="en-GB"/>
        </w:rPr>
        <w:id w:val="-721365455"/>
        <w:docPartObj>
          <w:docPartGallery w:val="Table of Contents"/>
          <w:docPartUnique/>
        </w:docPartObj>
      </w:sdtPr>
      <w:sdtEndPr>
        <w:rPr>
          <w:rFonts w:ascii="Calibri" w:hAnsi="Calibri" w:cs="Calibri"/>
          <w:noProof/>
          <w:sz w:val="22"/>
          <w:szCs w:val="22"/>
        </w:rPr>
      </w:sdtEndPr>
      <w:sdtContent>
        <w:p w14:paraId="5FA126A3" w14:textId="60D33A3F" w:rsidR="00C02512" w:rsidRPr="00B31D07" w:rsidRDefault="00C02512" w:rsidP="00C02512">
          <w:pPr>
            <w:pStyle w:val="TOCHeading"/>
            <w:rPr>
              <w:rStyle w:val="Heading1Char"/>
            </w:rPr>
          </w:pPr>
          <w:r w:rsidRPr="00CF189D">
            <w:rPr>
              <w:rStyle w:val="Heading1Char"/>
              <w:rFonts w:ascii="Calibri" w:hAnsi="Calibri" w:cs="Calibri"/>
              <w:b/>
              <w:bCs/>
              <w:sz w:val="36"/>
              <w:szCs w:val="36"/>
            </w:rPr>
            <w:t>Table of Contents</w:t>
          </w:r>
        </w:p>
        <w:p w14:paraId="799916C8" w14:textId="77777777" w:rsidR="0057239F" w:rsidRPr="00EB7D38" w:rsidRDefault="0057239F" w:rsidP="00CF189D"/>
        <w:p w14:paraId="445427DC" w14:textId="6D149BF7" w:rsidR="00C02512" w:rsidRPr="00CF189D" w:rsidRDefault="00C02512" w:rsidP="00C02512">
          <w:pPr>
            <w:pStyle w:val="TOC1"/>
            <w:tabs>
              <w:tab w:val="right" w:leader="dot" w:pos="9016"/>
            </w:tabs>
            <w:rPr>
              <w:rFonts w:ascii="Calibri" w:eastAsiaTheme="minorEastAsia" w:hAnsi="Calibri" w:cs="Calibri"/>
              <w:b w:val="0"/>
              <w:bCs w:val="0"/>
              <w:i w:val="0"/>
              <w:iCs w:val="0"/>
              <w:noProof/>
              <w:sz w:val="22"/>
              <w:szCs w:val="22"/>
              <w:lang w:val="en-US"/>
            </w:rPr>
          </w:pPr>
          <w:r w:rsidRPr="00CF189D">
            <w:rPr>
              <w:rFonts w:ascii="Calibri" w:hAnsi="Calibri" w:cs="Calibri"/>
              <w:b w:val="0"/>
              <w:bCs w:val="0"/>
              <w:i w:val="0"/>
              <w:iCs w:val="0"/>
              <w:sz w:val="22"/>
              <w:szCs w:val="22"/>
            </w:rPr>
            <w:fldChar w:fldCharType="begin"/>
          </w:r>
          <w:r w:rsidRPr="00CF189D">
            <w:rPr>
              <w:rFonts w:ascii="Calibri" w:hAnsi="Calibri" w:cs="Calibri"/>
              <w:b w:val="0"/>
              <w:bCs w:val="0"/>
              <w:i w:val="0"/>
              <w:iCs w:val="0"/>
              <w:sz w:val="22"/>
              <w:szCs w:val="22"/>
            </w:rPr>
            <w:instrText xml:space="preserve"> TOC \o "1-3" \h \z \u </w:instrText>
          </w:r>
          <w:r w:rsidRPr="00CF189D">
            <w:rPr>
              <w:rFonts w:ascii="Calibri" w:hAnsi="Calibri" w:cs="Calibri"/>
              <w:b w:val="0"/>
              <w:bCs w:val="0"/>
              <w:i w:val="0"/>
              <w:iCs w:val="0"/>
              <w:sz w:val="22"/>
              <w:szCs w:val="22"/>
            </w:rPr>
            <w:fldChar w:fldCharType="separate"/>
          </w:r>
          <w:hyperlink w:anchor="_Toc41505576" w:history="1">
            <w:r w:rsidRPr="00CF189D">
              <w:rPr>
                <w:rStyle w:val="Hyperlink"/>
                <w:rFonts w:ascii="Calibri" w:hAnsi="Calibri" w:cs="Calibri"/>
                <w:b w:val="0"/>
                <w:bCs w:val="0"/>
                <w:i w:val="0"/>
                <w:iCs w:val="0"/>
                <w:noProof/>
                <w:sz w:val="22"/>
                <w:szCs w:val="22"/>
              </w:rPr>
              <w:t>Abstract</w:t>
            </w:r>
            <w:r w:rsidRPr="00CF189D">
              <w:rPr>
                <w:rFonts w:ascii="Calibri" w:hAnsi="Calibri" w:cs="Calibri"/>
                <w:b w:val="0"/>
                <w:bCs w:val="0"/>
                <w:i w:val="0"/>
                <w:iCs w:val="0"/>
                <w:noProof/>
                <w:webHidden/>
                <w:sz w:val="22"/>
                <w:szCs w:val="22"/>
              </w:rPr>
              <w:tab/>
            </w:r>
            <w:r w:rsidRPr="00CF189D">
              <w:rPr>
                <w:rFonts w:ascii="Calibri" w:hAnsi="Calibri" w:cs="Calibri"/>
                <w:b w:val="0"/>
                <w:bCs w:val="0"/>
                <w:i w:val="0"/>
                <w:iCs w:val="0"/>
                <w:noProof/>
                <w:webHidden/>
                <w:sz w:val="22"/>
                <w:szCs w:val="22"/>
              </w:rPr>
              <w:fldChar w:fldCharType="begin"/>
            </w:r>
            <w:r w:rsidRPr="00CF189D">
              <w:rPr>
                <w:rFonts w:ascii="Calibri" w:hAnsi="Calibri" w:cs="Calibri"/>
                <w:b w:val="0"/>
                <w:bCs w:val="0"/>
                <w:i w:val="0"/>
                <w:iCs w:val="0"/>
                <w:noProof/>
                <w:webHidden/>
                <w:sz w:val="22"/>
                <w:szCs w:val="22"/>
              </w:rPr>
              <w:instrText xml:space="preserve"> PAGEREF _Toc41505576 \h </w:instrText>
            </w:r>
            <w:r w:rsidRPr="00CF189D">
              <w:rPr>
                <w:rFonts w:ascii="Calibri" w:hAnsi="Calibri" w:cs="Calibri"/>
                <w:b w:val="0"/>
                <w:bCs w:val="0"/>
                <w:i w:val="0"/>
                <w:iCs w:val="0"/>
                <w:noProof/>
                <w:webHidden/>
                <w:sz w:val="22"/>
                <w:szCs w:val="22"/>
              </w:rPr>
            </w:r>
            <w:r w:rsidRPr="00CF189D">
              <w:rPr>
                <w:rFonts w:ascii="Calibri" w:hAnsi="Calibri" w:cs="Calibri"/>
                <w:b w:val="0"/>
                <w:bCs w:val="0"/>
                <w:i w:val="0"/>
                <w:iCs w:val="0"/>
                <w:noProof/>
                <w:webHidden/>
                <w:sz w:val="22"/>
                <w:szCs w:val="22"/>
              </w:rPr>
              <w:fldChar w:fldCharType="separate"/>
            </w:r>
            <w:r w:rsidR="00B31D07">
              <w:rPr>
                <w:rFonts w:ascii="Calibri" w:hAnsi="Calibri" w:cs="Calibri"/>
                <w:b w:val="0"/>
                <w:bCs w:val="0"/>
                <w:i w:val="0"/>
                <w:iCs w:val="0"/>
                <w:noProof/>
                <w:webHidden/>
                <w:sz w:val="22"/>
                <w:szCs w:val="22"/>
              </w:rPr>
              <w:t>5</w:t>
            </w:r>
            <w:r w:rsidRPr="00CF189D">
              <w:rPr>
                <w:rFonts w:ascii="Calibri" w:hAnsi="Calibri" w:cs="Calibri"/>
                <w:b w:val="0"/>
                <w:bCs w:val="0"/>
                <w:i w:val="0"/>
                <w:iCs w:val="0"/>
                <w:noProof/>
                <w:webHidden/>
                <w:sz w:val="22"/>
                <w:szCs w:val="22"/>
              </w:rPr>
              <w:fldChar w:fldCharType="end"/>
            </w:r>
          </w:hyperlink>
        </w:p>
        <w:p w14:paraId="6B8A0B4B" w14:textId="67428566" w:rsidR="00C02512" w:rsidRPr="00CF189D" w:rsidRDefault="00573B45" w:rsidP="00C02512">
          <w:pPr>
            <w:pStyle w:val="TOC1"/>
            <w:tabs>
              <w:tab w:val="right" w:leader="dot" w:pos="9016"/>
            </w:tabs>
            <w:rPr>
              <w:rFonts w:ascii="Calibri" w:eastAsiaTheme="minorEastAsia" w:hAnsi="Calibri" w:cs="Calibri"/>
              <w:b w:val="0"/>
              <w:bCs w:val="0"/>
              <w:i w:val="0"/>
              <w:iCs w:val="0"/>
              <w:noProof/>
              <w:sz w:val="22"/>
              <w:szCs w:val="22"/>
              <w:lang w:val="en-US"/>
            </w:rPr>
          </w:pPr>
          <w:hyperlink w:anchor="_Toc41505577" w:history="1">
            <w:r w:rsidR="00C02512" w:rsidRPr="00CF189D">
              <w:rPr>
                <w:rStyle w:val="Hyperlink"/>
                <w:rFonts w:ascii="Calibri" w:hAnsi="Calibri" w:cs="Calibri"/>
                <w:b w:val="0"/>
                <w:bCs w:val="0"/>
                <w:i w:val="0"/>
                <w:iCs w:val="0"/>
                <w:noProof/>
                <w:sz w:val="22"/>
                <w:szCs w:val="22"/>
              </w:rPr>
              <w:t>Lay Summary</w:t>
            </w:r>
            <w:r w:rsidR="00C02512" w:rsidRPr="00CF189D">
              <w:rPr>
                <w:rFonts w:ascii="Calibri" w:hAnsi="Calibri" w:cs="Calibri"/>
                <w:b w:val="0"/>
                <w:bCs w:val="0"/>
                <w:i w:val="0"/>
                <w:iCs w:val="0"/>
                <w:noProof/>
                <w:webHidden/>
                <w:sz w:val="22"/>
                <w:szCs w:val="22"/>
              </w:rPr>
              <w:tab/>
            </w:r>
            <w:r w:rsidR="00C02512" w:rsidRPr="00CF189D">
              <w:rPr>
                <w:rFonts w:ascii="Calibri" w:hAnsi="Calibri" w:cs="Calibri"/>
                <w:b w:val="0"/>
                <w:bCs w:val="0"/>
                <w:i w:val="0"/>
                <w:iCs w:val="0"/>
                <w:noProof/>
                <w:webHidden/>
                <w:sz w:val="22"/>
                <w:szCs w:val="22"/>
              </w:rPr>
              <w:fldChar w:fldCharType="begin"/>
            </w:r>
            <w:r w:rsidR="00C02512" w:rsidRPr="00CF189D">
              <w:rPr>
                <w:rFonts w:ascii="Calibri" w:hAnsi="Calibri" w:cs="Calibri"/>
                <w:b w:val="0"/>
                <w:bCs w:val="0"/>
                <w:i w:val="0"/>
                <w:iCs w:val="0"/>
                <w:noProof/>
                <w:webHidden/>
                <w:sz w:val="22"/>
                <w:szCs w:val="22"/>
              </w:rPr>
              <w:instrText xml:space="preserve"> PAGEREF _Toc41505577 \h </w:instrText>
            </w:r>
            <w:r w:rsidR="00C02512" w:rsidRPr="00CF189D">
              <w:rPr>
                <w:rFonts w:ascii="Calibri" w:hAnsi="Calibri" w:cs="Calibri"/>
                <w:b w:val="0"/>
                <w:bCs w:val="0"/>
                <w:i w:val="0"/>
                <w:iCs w:val="0"/>
                <w:noProof/>
                <w:webHidden/>
                <w:sz w:val="22"/>
                <w:szCs w:val="22"/>
              </w:rPr>
            </w:r>
            <w:r w:rsidR="00C02512" w:rsidRPr="00CF189D">
              <w:rPr>
                <w:rFonts w:ascii="Calibri" w:hAnsi="Calibri" w:cs="Calibri"/>
                <w:b w:val="0"/>
                <w:bCs w:val="0"/>
                <w:i w:val="0"/>
                <w:iCs w:val="0"/>
                <w:noProof/>
                <w:webHidden/>
                <w:sz w:val="22"/>
                <w:szCs w:val="22"/>
              </w:rPr>
              <w:fldChar w:fldCharType="separate"/>
            </w:r>
            <w:r w:rsidR="00B31D07">
              <w:rPr>
                <w:rFonts w:ascii="Calibri" w:hAnsi="Calibri" w:cs="Calibri"/>
                <w:b w:val="0"/>
                <w:bCs w:val="0"/>
                <w:i w:val="0"/>
                <w:iCs w:val="0"/>
                <w:noProof/>
                <w:webHidden/>
                <w:sz w:val="22"/>
                <w:szCs w:val="22"/>
              </w:rPr>
              <w:t>7</w:t>
            </w:r>
            <w:r w:rsidR="00C02512" w:rsidRPr="00CF189D">
              <w:rPr>
                <w:rFonts w:ascii="Calibri" w:hAnsi="Calibri" w:cs="Calibri"/>
                <w:b w:val="0"/>
                <w:bCs w:val="0"/>
                <w:i w:val="0"/>
                <w:iCs w:val="0"/>
                <w:noProof/>
                <w:webHidden/>
                <w:sz w:val="22"/>
                <w:szCs w:val="22"/>
              </w:rPr>
              <w:fldChar w:fldCharType="end"/>
            </w:r>
          </w:hyperlink>
        </w:p>
        <w:p w14:paraId="29E03D6D" w14:textId="1070D53B" w:rsidR="00C02512" w:rsidRPr="00CF189D" w:rsidRDefault="00573B45" w:rsidP="00C02512">
          <w:pPr>
            <w:pStyle w:val="TOC1"/>
            <w:tabs>
              <w:tab w:val="right" w:leader="dot" w:pos="9016"/>
            </w:tabs>
            <w:rPr>
              <w:rFonts w:ascii="Calibri" w:eastAsiaTheme="minorEastAsia" w:hAnsi="Calibri" w:cs="Calibri"/>
              <w:b w:val="0"/>
              <w:bCs w:val="0"/>
              <w:i w:val="0"/>
              <w:iCs w:val="0"/>
              <w:noProof/>
              <w:sz w:val="22"/>
              <w:szCs w:val="22"/>
              <w:lang w:val="en-US"/>
            </w:rPr>
          </w:pPr>
          <w:hyperlink w:anchor="_Toc41505578" w:history="1">
            <w:r w:rsidR="00C02512" w:rsidRPr="00CF189D">
              <w:rPr>
                <w:rStyle w:val="Hyperlink"/>
                <w:rFonts w:ascii="Calibri" w:hAnsi="Calibri" w:cs="Calibri"/>
                <w:b w:val="0"/>
                <w:bCs w:val="0"/>
                <w:i w:val="0"/>
                <w:iCs w:val="0"/>
                <w:noProof/>
                <w:sz w:val="22"/>
                <w:szCs w:val="22"/>
              </w:rPr>
              <w:t>Acknowledgements</w:t>
            </w:r>
            <w:r w:rsidR="00C02512" w:rsidRPr="00CF189D">
              <w:rPr>
                <w:rFonts w:ascii="Calibri" w:hAnsi="Calibri" w:cs="Calibri"/>
                <w:b w:val="0"/>
                <w:bCs w:val="0"/>
                <w:i w:val="0"/>
                <w:iCs w:val="0"/>
                <w:noProof/>
                <w:webHidden/>
                <w:sz w:val="22"/>
                <w:szCs w:val="22"/>
              </w:rPr>
              <w:tab/>
            </w:r>
            <w:r w:rsidR="00C02512" w:rsidRPr="00CF189D">
              <w:rPr>
                <w:rFonts w:ascii="Calibri" w:hAnsi="Calibri" w:cs="Calibri"/>
                <w:b w:val="0"/>
                <w:bCs w:val="0"/>
                <w:i w:val="0"/>
                <w:iCs w:val="0"/>
                <w:noProof/>
                <w:webHidden/>
                <w:sz w:val="22"/>
                <w:szCs w:val="22"/>
              </w:rPr>
              <w:fldChar w:fldCharType="begin"/>
            </w:r>
            <w:r w:rsidR="00C02512" w:rsidRPr="00CF189D">
              <w:rPr>
                <w:rFonts w:ascii="Calibri" w:hAnsi="Calibri" w:cs="Calibri"/>
                <w:b w:val="0"/>
                <w:bCs w:val="0"/>
                <w:i w:val="0"/>
                <w:iCs w:val="0"/>
                <w:noProof/>
                <w:webHidden/>
                <w:sz w:val="22"/>
                <w:szCs w:val="22"/>
              </w:rPr>
              <w:instrText xml:space="preserve"> PAGEREF _Toc41505578 \h </w:instrText>
            </w:r>
            <w:r w:rsidR="00C02512" w:rsidRPr="00CF189D">
              <w:rPr>
                <w:rFonts w:ascii="Calibri" w:hAnsi="Calibri" w:cs="Calibri"/>
                <w:b w:val="0"/>
                <w:bCs w:val="0"/>
                <w:i w:val="0"/>
                <w:iCs w:val="0"/>
                <w:noProof/>
                <w:webHidden/>
                <w:sz w:val="22"/>
                <w:szCs w:val="22"/>
              </w:rPr>
            </w:r>
            <w:r w:rsidR="00C02512" w:rsidRPr="00CF189D">
              <w:rPr>
                <w:rFonts w:ascii="Calibri" w:hAnsi="Calibri" w:cs="Calibri"/>
                <w:b w:val="0"/>
                <w:bCs w:val="0"/>
                <w:i w:val="0"/>
                <w:iCs w:val="0"/>
                <w:noProof/>
                <w:webHidden/>
                <w:sz w:val="22"/>
                <w:szCs w:val="22"/>
              </w:rPr>
              <w:fldChar w:fldCharType="separate"/>
            </w:r>
            <w:r w:rsidR="00B31D07">
              <w:rPr>
                <w:rFonts w:ascii="Calibri" w:hAnsi="Calibri" w:cs="Calibri"/>
                <w:b w:val="0"/>
                <w:bCs w:val="0"/>
                <w:i w:val="0"/>
                <w:iCs w:val="0"/>
                <w:noProof/>
                <w:webHidden/>
                <w:sz w:val="22"/>
                <w:szCs w:val="22"/>
              </w:rPr>
              <w:t>14</w:t>
            </w:r>
            <w:r w:rsidR="00C02512" w:rsidRPr="00CF189D">
              <w:rPr>
                <w:rFonts w:ascii="Calibri" w:hAnsi="Calibri" w:cs="Calibri"/>
                <w:b w:val="0"/>
                <w:bCs w:val="0"/>
                <w:i w:val="0"/>
                <w:iCs w:val="0"/>
                <w:noProof/>
                <w:webHidden/>
                <w:sz w:val="22"/>
                <w:szCs w:val="22"/>
              </w:rPr>
              <w:fldChar w:fldCharType="end"/>
            </w:r>
          </w:hyperlink>
        </w:p>
        <w:p w14:paraId="1AA137C5" w14:textId="46E3C978" w:rsidR="00C02512" w:rsidRPr="00CF189D" w:rsidRDefault="00573B45" w:rsidP="00C02512">
          <w:pPr>
            <w:pStyle w:val="TOC1"/>
            <w:tabs>
              <w:tab w:val="right" w:leader="dot" w:pos="9016"/>
            </w:tabs>
            <w:rPr>
              <w:rFonts w:ascii="Calibri" w:eastAsiaTheme="minorEastAsia" w:hAnsi="Calibri" w:cs="Calibri"/>
              <w:b w:val="0"/>
              <w:bCs w:val="0"/>
              <w:i w:val="0"/>
              <w:iCs w:val="0"/>
              <w:noProof/>
              <w:sz w:val="22"/>
              <w:szCs w:val="22"/>
              <w:lang w:val="en-US"/>
            </w:rPr>
          </w:pPr>
          <w:hyperlink w:anchor="_Toc41505579" w:history="1">
            <w:r w:rsidR="00C02512" w:rsidRPr="00CF189D">
              <w:rPr>
                <w:rStyle w:val="Hyperlink"/>
                <w:rFonts w:ascii="Calibri" w:hAnsi="Calibri" w:cs="Calibri"/>
                <w:b w:val="0"/>
                <w:bCs w:val="0"/>
                <w:i w:val="0"/>
                <w:iCs w:val="0"/>
                <w:noProof/>
                <w:sz w:val="22"/>
                <w:szCs w:val="22"/>
              </w:rPr>
              <w:t>Abbreviations</w:t>
            </w:r>
            <w:r w:rsidR="00C02512" w:rsidRPr="00CF189D">
              <w:rPr>
                <w:rFonts w:ascii="Calibri" w:hAnsi="Calibri" w:cs="Calibri"/>
                <w:b w:val="0"/>
                <w:bCs w:val="0"/>
                <w:i w:val="0"/>
                <w:iCs w:val="0"/>
                <w:noProof/>
                <w:webHidden/>
                <w:sz w:val="22"/>
                <w:szCs w:val="22"/>
              </w:rPr>
              <w:tab/>
            </w:r>
            <w:r w:rsidR="00C02512" w:rsidRPr="00CF189D">
              <w:rPr>
                <w:rFonts w:ascii="Calibri" w:hAnsi="Calibri" w:cs="Calibri"/>
                <w:b w:val="0"/>
                <w:bCs w:val="0"/>
                <w:i w:val="0"/>
                <w:iCs w:val="0"/>
                <w:noProof/>
                <w:webHidden/>
                <w:sz w:val="22"/>
                <w:szCs w:val="22"/>
              </w:rPr>
              <w:fldChar w:fldCharType="begin"/>
            </w:r>
            <w:r w:rsidR="00C02512" w:rsidRPr="00CF189D">
              <w:rPr>
                <w:rFonts w:ascii="Calibri" w:hAnsi="Calibri" w:cs="Calibri"/>
                <w:b w:val="0"/>
                <w:bCs w:val="0"/>
                <w:i w:val="0"/>
                <w:iCs w:val="0"/>
                <w:noProof/>
                <w:webHidden/>
                <w:sz w:val="22"/>
                <w:szCs w:val="22"/>
              </w:rPr>
              <w:instrText xml:space="preserve"> PAGEREF _Toc41505579 \h </w:instrText>
            </w:r>
            <w:r w:rsidR="00C02512" w:rsidRPr="00CF189D">
              <w:rPr>
                <w:rFonts w:ascii="Calibri" w:hAnsi="Calibri" w:cs="Calibri"/>
                <w:b w:val="0"/>
                <w:bCs w:val="0"/>
                <w:i w:val="0"/>
                <w:iCs w:val="0"/>
                <w:noProof/>
                <w:webHidden/>
                <w:sz w:val="22"/>
                <w:szCs w:val="22"/>
              </w:rPr>
            </w:r>
            <w:r w:rsidR="00C02512" w:rsidRPr="00CF189D">
              <w:rPr>
                <w:rFonts w:ascii="Calibri" w:hAnsi="Calibri" w:cs="Calibri"/>
                <w:b w:val="0"/>
                <w:bCs w:val="0"/>
                <w:i w:val="0"/>
                <w:iCs w:val="0"/>
                <w:noProof/>
                <w:webHidden/>
                <w:sz w:val="22"/>
                <w:szCs w:val="22"/>
              </w:rPr>
              <w:fldChar w:fldCharType="separate"/>
            </w:r>
            <w:r w:rsidR="00B31D07">
              <w:rPr>
                <w:rFonts w:ascii="Calibri" w:hAnsi="Calibri" w:cs="Calibri"/>
                <w:b w:val="0"/>
                <w:bCs w:val="0"/>
                <w:i w:val="0"/>
                <w:iCs w:val="0"/>
                <w:noProof/>
                <w:webHidden/>
                <w:sz w:val="22"/>
                <w:szCs w:val="22"/>
              </w:rPr>
              <w:t>16</w:t>
            </w:r>
            <w:r w:rsidR="00C02512" w:rsidRPr="00CF189D">
              <w:rPr>
                <w:rFonts w:ascii="Calibri" w:hAnsi="Calibri" w:cs="Calibri"/>
                <w:b w:val="0"/>
                <w:bCs w:val="0"/>
                <w:i w:val="0"/>
                <w:iCs w:val="0"/>
                <w:noProof/>
                <w:webHidden/>
                <w:sz w:val="22"/>
                <w:szCs w:val="22"/>
              </w:rPr>
              <w:fldChar w:fldCharType="end"/>
            </w:r>
          </w:hyperlink>
        </w:p>
        <w:p w14:paraId="35E54ABF" w14:textId="551E1B22" w:rsidR="00C02512" w:rsidRPr="00CF189D" w:rsidRDefault="00573B45" w:rsidP="00C02512">
          <w:pPr>
            <w:pStyle w:val="TOC1"/>
            <w:tabs>
              <w:tab w:val="right" w:leader="dot" w:pos="9016"/>
            </w:tabs>
            <w:rPr>
              <w:rFonts w:ascii="Calibri" w:eastAsiaTheme="minorEastAsia" w:hAnsi="Calibri" w:cs="Calibri"/>
              <w:b w:val="0"/>
              <w:bCs w:val="0"/>
              <w:i w:val="0"/>
              <w:iCs w:val="0"/>
              <w:noProof/>
              <w:sz w:val="22"/>
              <w:szCs w:val="22"/>
              <w:lang w:val="en-US"/>
            </w:rPr>
          </w:pPr>
          <w:hyperlink w:anchor="_Toc41505580" w:history="1">
            <w:r w:rsidR="00C02512" w:rsidRPr="00CF189D">
              <w:rPr>
                <w:rStyle w:val="Hyperlink"/>
                <w:rFonts w:ascii="Calibri" w:hAnsi="Calibri" w:cs="Calibri"/>
                <w:b w:val="0"/>
                <w:bCs w:val="0"/>
                <w:i w:val="0"/>
                <w:iCs w:val="0"/>
                <w:noProof/>
                <w:sz w:val="22"/>
                <w:szCs w:val="22"/>
              </w:rPr>
              <w:t>List of Figures and Tables</w:t>
            </w:r>
            <w:r w:rsidR="00C02512" w:rsidRPr="00CF189D">
              <w:rPr>
                <w:rFonts w:ascii="Calibri" w:hAnsi="Calibri" w:cs="Calibri"/>
                <w:b w:val="0"/>
                <w:bCs w:val="0"/>
                <w:i w:val="0"/>
                <w:iCs w:val="0"/>
                <w:noProof/>
                <w:webHidden/>
                <w:sz w:val="22"/>
                <w:szCs w:val="22"/>
              </w:rPr>
              <w:tab/>
            </w:r>
            <w:r w:rsidR="00C02512" w:rsidRPr="00CF189D">
              <w:rPr>
                <w:rFonts w:ascii="Calibri" w:hAnsi="Calibri" w:cs="Calibri"/>
                <w:b w:val="0"/>
                <w:bCs w:val="0"/>
                <w:i w:val="0"/>
                <w:iCs w:val="0"/>
                <w:noProof/>
                <w:webHidden/>
                <w:sz w:val="22"/>
                <w:szCs w:val="22"/>
              </w:rPr>
              <w:fldChar w:fldCharType="begin"/>
            </w:r>
            <w:r w:rsidR="00C02512" w:rsidRPr="00CF189D">
              <w:rPr>
                <w:rFonts w:ascii="Calibri" w:hAnsi="Calibri" w:cs="Calibri"/>
                <w:b w:val="0"/>
                <w:bCs w:val="0"/>
                <w:i w:val="0"/>
                <w:iCs w:val="0"/>
                <w:noProof/>
                <w:webHidden/>
                <w:sz w:val="22"/>
                <w:szCs w:val="22"/>
              </w:rPr>
              <w:instrText xml:space="preserve"> PAGEREF _Toc41505580 \h </w:instrText>
            </w:r>
            <w:r w:rsidR="00C02512" w:rsidRPr="00CF189D">
              <w:rPr>
                <w:rFonts w:ascii="Calibri" w:hAnsi="Calibri" w:cs="Calibri"/>
                <w:b w:val="0"/>
                <w:bCs w:val="0"/>
                <w:i w:val="0"/>
                <w:iCs w:val="0"/>
                <w:noProof/>
                <w:webHidden/>
                <w:sz w:val="22"/>
                <w:szCs w:val="22"/>
              </w:rPr>
            </w:r>
            <w:r w:rsidR="00C02512" w:rsidRPr="00CF189D">
              <w:rPr>
                <w:rFonts w:ascii="Calibri" w:hAnsi="Calibri" w:cs="Calibri"/>
                <w:b w:val="0"/>
                <w:bCs w:val="0"/>
                <w:i w:val="0"/>
                <w:iCs w:val="0"/>
                <w:noProof/>
                <w:webHidden/>
                <w:sz w:val="22"/>
                <w:szCs w:val="22"/>
              </w:rPr>
              <w:fldChar w:fldCharType="separate"/>
            </w:r>
            <w:r w:rsidR="00B31D07">
              <w:rPr>
                <w:rFonts w:ascii="Calibri" w:hAnsi="Calibri" w:cs="Calibri"/>
                <w:b w:val="0"/>
                <w:bCs w:val="0"/>
                <w:i w:val="0"/>
                <w:iCs w:val="0"/>
                <w:noProof/>
                <w:webHidden/>
                <w:sz w:val="22"/>
                <w:szCs w:val="22"/>
              </w:rPr>
              <w:t>20</w:t>
            </w:r>
            <w:r w:rsidR="00C02512" w:rsidRPr="00CF189D">
              <w:rPr>
                <w:rFonts w:ascii="Calibri" w:hAnsi="Calibri" w:cs="Calibri"/>
                <w:b w:val="0"/>
                <w:bCs w:val="0"/>
                <w:i w:val="0"/>
                <w:iCs w:val="0"/>
                <w:noProof/>
                <w:webHidden/>
                <w:sz w:val="22"/>
                <w:szCs w:val="22"/>
              </w:rPr>
              <w:fldChar w:fldCharType="end"/>
            </w:r>
          </w:hyperlink>
        </w:p>
        <w:p w14:paraId="3871547C" w14:textId="4DE388CD" w:rsidR="00C02512" w:rsidRPr="00CF189D" w:rsidRDefault="00573B45" w:rsidP="00C02512">
          <w:pPr>
            <w:pStyle w:val="TOC1"/>
            <w:tabs>
              <w:tab w:val="right" w:leader="dot" w:pos="9016"/>
            </w:tabs>
            <w:rPr>
              <w:rFonts w:ascii="Calibri" w:eastAsiaTheme="minorEastAsia" w:hAnsi="Calibri" w:cs="Calibri"/>
              <w:b w:val="0"/>
              <w:bCs w:val="0"/>
              <w:i w:val="0"/>
              <w:iCs w:val="0"/>
              <w:noProof/>
              <w:sz w:val="22"/>
              <w:szCs w:val="22"/>
              <w:lang w:val="en-US"/>
            </w:rPr>
          </w:pPr>
          <w:hyperlink w:anchor="_Toc41505581" w:history="1">
            <w:r w:rsidR="00C02512" w:rsidRPr="00CF189D">
              <w:rPr>
                <w:rStyle w:val="Hyperlink"/>
                <w:rFonts w:ascii="Calibri" w:hAnsi="Calibri" w:cs="Calibri"/>
                <w:b w:val="0"/>
                <w:bCs w:val="0"/>
                <w:i w:val="0"/>
                <w:iCs w:val="0"/>
                <w:noProof/>
                <w:sz w:val="22"/>
                <w:szCs w:val="22"/>
              </w:rPr>
              <w:t>Chapter 1.</w:t>
            </w:r>
            <w:r w:rsidR="00C02512" w:rsidRPr="00CF189D">
              <w:rPr>
                <w:rFonts w:ascii="Calibri" w:hAnsi="Calibri" w:cs="Calibri"/>
                <w:b w:val="0"/>
                <w:bCs w:val="0"/>
                <w:i w:val="0"/>
                <w:iCs w:val="0"/>
                <w:noProof/>
                <w:webHidden/>
                <w:sz w:val="22"/>
                <w:szCs w:val="22"/>
              </w:rPr>
              <w:tab/>
            </w:r>
            <w:r w:rsidR="00C02512" w:rsidRPr="00CF189D">
              <w:rPr>
                <w:rFonts w:ascii="Calibri" w:hAnsi="Calibri" w:cs="Calibri"/>
                <w:b w:val="0"/>
                <w:bCs w:val="0"/>
                <w:i w:val="0"/>
                <w:iCs w:val="0"/>
                <w:noProof/>
                <w:webHidden/>
                <w:sz w:val="22"/>
                <w:szCs w:val="22"/>
              </w:rPr>
              <w:fldChar w:fldCharType="begin"/>
            </w:r>
            <w:r w:rsidR="00C02512" w:rsidRPr="00CF189D">
              <w:rPr>
                <w:rFonts w:ascii="Calibri" w:hAnsi="Calibri" w:cs="Calibri"/>
                <w:b w:val="0"/>
                <w:bCs w:val="0"/>
                <w:i w:val="0"/>
                <w:iCs w:val="0"/>
                <w:noProof/>
                <w:webHidden/>
                <w:sz w:val="22"/>
                <w:szCs w:val="22"/>
              </w:rPr>
              <w:instrText xml:space="preserve"> PAGEREF _Toc41505581 \h </w:instrText>
            </w:r>
            <w:r w:rsidR="00C02512" w:rsidRPr="00CF189D">
              <w:rPr>
                <w:rFonts w:ascii="Calibri" w:hAnsi="Calibri" w:cs="Calibri"/>
                <w:b w:val="0"/>
                <w:bCs w:val="0"/>
                <w:i w:val="0"/>
                <w:iCs w:val="0"/>
                <w:noProof/>
                <w:webHidden/>
                <w:sz w:val="22"/>
                <w:szCs w:val="22"/>
              </w:rPr>
            </w:r>
            <w:r w:rsidR="00C02512" w:rsidRPr="00CF189D">
              <w:rPr>
                <w:rFonts w:ascii="Calibri" w:hAnsi="Calibri" w:cs="Calibri"/>
                <w:b w:val="0"/>
                <w:bCs w:val="0"/>
                <w:i w:val="0"/>
                <w:iCs w:val="0"/>
                <w:noProof/>
                <w:webHidden/>
                <w:sz w:val="22"/>
                <w:szCs w:val="22"/>
              </w:rPr>
              <w:fldChar w:fldCharType="separate"/>
            </w:r>
            <w:r w:rsidR="00B31D07">
              <w:rPr>
                <w:rFonts w:ascii="Calibri" w:hAnsi="Calibri" w:cs="Calibri"/>
                <w:b w:val="0"/>
                <w:bCs w:val="0"/>
                <w:i w:val="0"/>
                <w:iCs w:val="0"/>
                <w:noProof/>
                <w:webHidden/>
                <w:sz w:val="22"/>
                <w:szCs w:val="22"/>
              </w:rPr>
              <w:t>24</w:t>
            </w:r>
            <w:r w:rsidR="00C02512" w:rsidRPr="00CF189D">
              <w:rPr>
                <w:rFonts w:ascii="Calibri" w:hAnsi="Calibri" w:cs="Calibri"/>
                <w:b w:val="0"/>
                <w:bCs w:val="0"/>
                <w:i w:val="0"/>
                <w:iCs w:val="0"/>
                <w:noProof/>
                <w:webHidden/>
                <w:sz w:val="22"/>
                <w:szCs w:val="22"/>
              </w:rPr>
              <w:fldChar w:fldCharType="end"/>
            </w:r>
          </w:hyperlink>
        </w:p>
        <w:p w14:paraId="6EC2DD61" w14:textId="0C33A5E9" w:rsidR="00C02512" w:rsidRPr="00CF189D" w:rsidRDefault="00573B45" w:rsidP="00C02512">
          <w:pPr>
            <w:pStyle w:val="TOC1"/>
            <w:tabs>
              <w:tab w:val="right" w:leader="dot" w:pos="9016"/>
            </w:tabs>
            <w:rPr>
              <w:rFonts w:ascii="Calibri" w:eastAsiaTheme="minorEastAsia" w:hAnsi="Calibri" w:cs="Calibri"/>
              <w:b w:val="0"/>
              <w:bCs w:val="0"/>
              <w:i w:val="0"/>
              <w:iCs w:val="0"/>
              <w:noProof/>
              <w:sz w:val="22"/>
              <w:szCs w:val="22"/>
              <w:lang w:val="en-US"/>
            </w:rPr>
          </w:pPr>
          <w:hyperlink w:anchor="_Toc41505582" w:history="1">
            <w:r w:rsidR="00C02512" w:rsidRPr="00CF189D">
              <w:rPr>
                <w:rStyle w:val="Hyperlink"/>
                <w:rFonts w:ascii="Calibri" w:hAnsi="Calibri" w:cs="Calibri"/>
                <w:b w:val="0"/>
                <w:bCs w:val="0"/>
                <w:i w:val="0"/>
                <w:iCs w:val="0"/>
                <w:noProof/>
                <w:sz w:val="22"/>
                <w:szCs w:val="22"/>
              </w:rPr>
              <w:t>Introduction: The OCP, ‘Sightless Among Miracles’</w:t>
            </w:r>
            <w:r w:rsidR="00C02512" w:rsidRPr="00CF189D">
              <w:rPr>
                <w:rFonts w:ascii="Calibri" w:hAnsi="Calibri" w:cs="Calibri"/>
                <w:b w:val="0"/>
                <w:bCs w:val="0"/>
                <w:i w:val="0"/>
                <w:iCs w:val="0"/>
                <w:noProof/>
                <w:webHidden/>
                <w:sz w:val="22"/>
                <w:szCs w:val="22"/>
              </w:rPr>
              <w:tab/>
            </w:r>
            <w:r w:rsidR="00C02512" w:rsidRPr="00CF189D">
              <w:rPr>
                <w:rFonts w:ascii="Calibri" w:hAnsi="Calibri" w:cs="Calibri"/>
                <w:b w:val="0"/>
                <w:bCs w:val="0"/>
                <w:i w:val="0"/>
                <w:iCs w:val="0"/>
                <w:noProof/>
                <w:webHidden/>
                <w:sz w:val="22"/>
                <w:szCs w:val="22"/>
              </w:rPr>
              <w:fldChar w:fldCharType="begin"/>
            </w:r>
            <w:r w:rsidR="00C02512" w:rsidRPr="00CF189D">
              <w:rPr>
                <w:rFonts w:ascii="Calibri" w:hAnsi="Calibri" w:cs="Calibri"/>
                <w:b w:val="0"/>
                <w:bCs w:val="0"/>
                <w:i w:val="0"/>
                <w:iCs w:val="0"/>
                <w:noProof/>
                <w:webHidden/>
                <w:sz w:val="22"/>
                <w:szCs w:val="22"/>
              </w:rPr>
              <w:instrText xml:space="preserve"> PAGEREF _Toc41505582 \h </w:instrText>
            </w:r>
            <w:r w:rsidR="00C02512" w:rsidRPr="00CF189D">
              <w:rPr>
                <w:rFonts w:ascii="Calibri" w:hAnsi="Calibri" w:cs="Calibri"/>
                <w:b w:val="0"/>
                <w:bCs w:val="0"/>
                <w:i w:val="0"/>
                <w:iCs w:val="0"/>
                <w:noProof/>
                <w:webHidden/>
                <w:sz w:val="22"/>
                <w:szCs w:val="22"/>
              </w:rPr>
            </w:r>
            <w:r w:rsidR="00C02512" w:rsidRPr="00CF189D">
              <w:rPr>
                <w:rFonts w:ascii="Calibri" w:hAnsi="Calibri" w:cs="Calibri"/>
                <w:b w:val="0"/>
                <w:bCs w:val="0"/>
                <w:i w:val="0"/>
                <w:iCs w:val="0"/>
                <w:noProof/>
                <w:webHidden/>
                <w:sz w:val="22"/>
                <w:szCs w:val="22"/>
              </w:rPr>
              <w:fldChar w:fldCharType="separate"/>
            </w:r>
            <w:r w:rsidR="00B31D07">
              <w:rPr>
                <w:rFonts w:ascii="Calibri" w:hAnsi="Calibri" w:cs="Calibri"/>
                <w:b w:val="0"/>
                <w:bCs w:val="0"/>
                <w:i w:val="0"/>
                <w:iCs w:val="0"/>
                <w:noProof/>
                <w:webHidden/>
                <w:sz w:val="22"/>
                <w:szCs w:val="22"/>
              </w:rPr>
              <w:t>24</w:t>
            </w:r>
            <w:r w:rsidR="00C02512" w:rsidRPr="00CF189D">
              <w:rPr>
                <w:rFonts w:ascii="Calibri" w:hAnsi="Calibri" w:cs="Calibri"/>
                <w:b w:val="0"/>
                <w:bCs w:val="0"/>
                <w:i w:val="0"/>
                <w:iCs w:val="0"/>
                <w:noProof/>
                <w:webHidden/>
                <w:sz w:val="22"/>
                <w:szCs w:val="22"/>
              </w:rPr>
              <w:fldChar w:fldCharType="end"/>
            </w:r>
          </w:hyperlink>
        </w:p>
        <w:p w14:paraId="44B3C541" w14:textId="5ED3170D"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583" w:history="1">
            <w:r w:rsidR="00C02512" w:rsidRPr="00CF189D">
              <w:rPr>
                <w:rStyle w:val="Hyperlink"/>
                <w:rFonts w:ascii="Calibri" w:hAnsi="Calibri" w:cs="Calibri"/>
                <w:b w:val="0"/>
                <w:bCs w:val="0"/>
                <w:noProof/>
              </w:rPr>
              <w:t>1.1. The onchocerciasis image &amp; self-evident success</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_Toc41505583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24</w:t>
            </w:r>
            <w:r w:rsidR="00C02512" w:rsidRPr="00CF189D">
              <w:rPr>
                <w:rFonts w:ascii="Calibri" w:hAnsi="Calibri" w:cs="Calibri"/>
                <w:b w:val="0"/>
                <w:bCs w:val="0"/>
                <w:noProof/>
                <w:webHidden/>
              </w:rPr>
              <w:fldChar w:fldCharType="end"/>
            </w:r>
          </w:hyperlink>
        </w:p>
        <w:p w14:paraId="3FA3218F" w14:textId="1842FCD0"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584" w:history="1">
            <w:r w:rsidR="00C02512" w:rsidRPr="00CF189D">
              <w:rPr>
                <w:rStyle w:val="Hyperlink"/>
                <w:rFonts w:ascii="Calibri" w:hAnsi="Calibri" w:cs="Calibri"/>
                <w:b w:val="0"/>
                <w:bCs w:val="0"/>
                <w:noProof/>
              </w:rPr>
              <w:t>1.2. Introducing the OCP</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_Toc41505584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30</w:t>
            </w:r>
            <w:r w:rsidR="00C02512" w:rsidRPr="00CF189D">
              <w:rPr>
                <w:rFonts w:ascii="Calibri" w:hAnsi="Calibri" w:cs="Calibri"/>
                <w:b w:val="0"/>
                <w:bCs w:val="0"/>
                <w:noProof/>
                <w:webHidden/>
              </w:rPr>
              <w:fldChar w:fldCharType="end"/>
            </w:r>
          </w:hyperlink>
        </w:p>
        <w:p w14:paraId="704B47B5" w14:textId="030F610C"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585" w:history="1">
            <w:r w:rsidR="00C02512" w:rsidRPr="00CF189D">
              <w:rPr>
                <w:rStyle w:val="Hyperlink"/>
                <w:rFonts w:ascii="Calibri" w:hAnsi="Calibri" w:cs="Calibri"/>
                <w:noProof/>
                <w:sz w:val="22"/>
                <w:szCs w:val="22"/>
              </w:rPr>
              <w:t>1.2.A. Onchocerciasis transmission in West Africa</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_Toc41505585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31</w:t>
            </w:r>
            <w:r w:rsidR="00C02512" w:rsidRPr="00CF189D">
              <w:rPr>
                <w:rFonts w:ascii="Calibri" w:hAnsi="Calibri" w:cs="Calibri"/>
                <w:noProof/>
                <w:webHidden/>
                <w:sz w:val="22"/>
                <w:szCs w:val="22"/>
              </w:rPr>
              <w:fldChar w:fldCharType="end"/>
            </w:r>
          </w:hyperlink>
        </w:p>
        <w:p w14:paraId="130AE604" w14:textId="38C71ABA"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586" w:history="1">
            <w:r w:rsidR="00C02512" w:rsidRPr="00CF189D">
              <w:rPr>
                <w:rStyle w:val="Hyperlink"/>
                <w:rFonts w:ascii="Calibri" w:hAnsi="Calibri" w:cs="Calibri"/>
                <w:noProof/>
                <w:sz w:val="22"/>
                <w:szCs w:val="22"/>
              </w:rPr>
              <w:t>1.2.B. Major OCP partners and control activities</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_Toc41505586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35</w:t>
            </w:r>
            <w:r w:rsidR="00C02512" w:rsidRPr="00CF189D">
              <w:rPr>
                <w:rFonts w:ascii="Calibri" w:hAnsi="Calibri" w:cs="Calibri"/>
                <w:noProof/>
                <w:webHidden/>
                <w:sz w:val="22"/>
                <w:szCs w:val="22"/>
              </w:rPr>
              <w:fldChar w:fldCharType="end"/>
            </w:r>
          </w:hyperlink>
        </w:p>
        <w:p w14:paraId="2426D34A" w14:textId="79707D38"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587" w:history="1">
            <w:r w:rsidR="00C02512" w:rsidRPr="00CF189D">
              <w:rPr>
                <w:rStyle w:val="Hyperlink"/>
                <w:rFonts w:ascii="Calibri" w:hAnsi="Calibri" w:cs="Calibri"/>
                <w:b w:val="0"/>
                <w:bCs w:val="0"/>
                <w:noProof/>
              </w:rPr>
              <w:t>1.3. Research questions</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_Toc41505587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41</w:t>
            </w:r>
            <w:r w:rsidR="00C02512" w:rsidRPr="00CF189D">
              <w:rPr>
                <w:rFonts w:ascii="Calibri" w:hAnsi="Calibri" w:cs="Calibri"/>
                <w:b w:val="0"/>
                <w:bCs w:val="0"/>
                <w:noProof/>
                <w:webHidden/>
              </w:rPr>
              <w:fldChar w:fldCharType="end"/>
            </w:r>
          </w:hyperlink>
        </w:p>
        <w:p w14:paraId="00847B54" w14:textId="46DEAB18"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588" w:history="1">
            <w:r w:rsidR="00C02512" w:rsidRPr="00CF189D">
              <w:rPr>
                <w:rStyle w:val="Hyperlink"/>
                <w:rFonts w:ascii="Calibri" w:hAnsi="Calibri" w:cs="Calibri"/>
                <w:b w:val="0"/>
                <w:bCs w:val="0"/>
                <w:noProof/>
              </w:rPr>
              <w:t>1.4. Dissertation structure</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_Toc41505588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42</w:t>
            </w:r>
            <w:r w:rsidR="00C02512" w:rsidRPr="00CF189D">
              <w:rPr>
                <w:rFonts w:ascii="Calibri" w:hAnsi="Calibri" w:cs="Calibri"/>
                <w:b w:val="0"/>
                <w:bCs w:val="0"/>
                <w:noProof/>
                <w:webHidden/>
              </w:rPr>
              <w:fldChar w:fldCharType="end"/>
            </w:r>
          </w:hyperlink>
        </w:p>
        <w:p w14:paraId="757BF6E4" w14:textId="7CDC067C" w:rsidR="00C02512" w:rsidRPr="00CF189D" w:rsidRDefault="00573B45" w:rsidP="00C02512">
          <w:pPr>
            <w:pStyle w:val="TOC1"/>
            <w:tabs>
              <w:tab w:val="right" w:leader="dot" w:pos="9016"/>
            </w:tabs>
            <w:rPr>
              <w:rFonts w:ascii="Calibri" w:eastAsiaTheme="minorEastAsia" w:hAnsi="Calibri" w:cs="Calibri"/>
              <w:b w:val="0"/>
              <w:bCs w:val="0"/>
              <w:i w:val="0"/>
              <w:iCs w:val="0"/>
              <w:noProof/>
              <w:sz w:val="22"/>
              <w:szCs w:val="22"/>
              <w:lang w:val="en-US"/>
            </w:rPr>
          </w:pPr>
          <w:hyperlink w:anchor="_Toc41505589" w:history="1">
            <w:r w:rsidR="00C02512" w:rsidRPr="00CF189D">
              <w:rPr>
                <w:rStyle w:val="Hyperlink"/>
                <w:rFonts w:ascii="Calibri" w:hAnsi="Calibri" w:cs="Calibri"/>
                <w:b w:val="0"/>
                <w:bCs w:val="0"/>
                <w:i w:val="0"/>
                <w:iCs w:val="0"/>
                <w:noProof/>
                <w:sz w:val="22"/>
                <w:szCs w:val="22"/>
              </w:rPr>
              <w:t>Chapter 2.</w:t>
            </w:r>
            <w:r w:rsidR="00C02512" w:rsidRPr="00CF189D">
              <w:rPr>
                <w:rFonts w:ascii="Calibri" w:hAnsi="Calibri" w:cs="Calibri"/>
                <w:b w:val="0"/>
                <w:bCs w:val="0"/>
                <w:i w:val="0"/>
                <w:iCs w:val="0"/>
                <w:noProof/>
                <w:webHidden/>
                <w:sz w:val="22"/>
                <w:szCs w:val="22"/>
              </w:rPr>
              <w:tab/>
            </w:r>
            <w:r w:rsidR="00C02512" w:rsidRPr="00CF189D">
              <w:rPr>
                <w:rFonts w:ascii="Calibri" w:hAnsi="Calibri" w:cs="Calibri"/>
                <w:b w:val="0"/>
                <w:bCs w:val="0"/>
                <w:i w:val="0"/>
                <w:iCs w:val="0"/>
                <w:noProof/>
                <w:webHidden/>
                <w:sz w:val="22"/>
                <w:szCs w:val="22"/>
              </w:rPr>
              <w:fldChar w:fldCharType="begin"/>
            </w:r>
            <w:r w:rsidR="00C02512" w:rsidRPr="00CF189D">
              <w:rPr>
                <w:rFonts w:ascii="Calibri" w:hAnsi="Calibri" w:cs="Calibri"/>
                <w:b w:val="0"/>
                <w:bCs w:val="0"/>
                <w:i w:val="0"/>
                <w:iCs w:val="0"/>
                <w:noProof/>
                <w:webHidden/>
                <w:sz w:val="22"/>
                <w:szCs w:val="22"/>
              </w:rPr>
              <w:instrText xml:space="preserve"> PAGEREF _Toc41505589 \h </w:instrText>
            </w:r>
            <w:r w:rsidR="00C02512" w:rsidRPr="00CF189D">
              <w:rPr>
                <w:rFonts w:ascii="Calibri" w:hAnsi="Calibri" w:cs="Calibri"/>
                <w:b w:val="0"/>
                <w:bCs w:val="0"/>
                <w:i w:val="0"/>
                <w:iCs w:val="0"/>
                <w:noProof/>
                <w:webHidden/>
                <w:sz w:val="22"/>
                <w:szCs w:val="22"/>
              </w:rPr>
            </w:r>
            <w:r w:rsidR="00C02512" w:rsidRPr="00CF189D">
              <w:rPr>
                <w:rFonts w:ascii="Calibri" w:hAnsi="Calibri" w:cs="Calibri"/>
                <w:b w:val="0"/>
                <w:bCs w:val="0"/>
                <w:i w:val="0"/>
                <w:iCs w:val="0"/>
                <w:noProof/>
                <w:webHidden/>
                <w:sz w:val="22"/>
                <w:szCs w:val="22"/>
              </w:rPr>
              <w:fldChar w:fldCharType="separate"/>
            </w:r>
            <w:r w:rsidR="00B31D07">
              <w:rPr>
                <w:rFonts w:ascii="Calibri" w:hAnsi="Calibri" w:cs="Calibri"/>
                <w:b w:val="0"/>
                <w:bCs w:val="0"/>
                <w:i w:val="0"/>
                <w:iCs w:val="0"/>
                <w:noProof/>
                <w:webHidden/>
                <w:sz w:val="22"/>
                <w:szCs w:val="22"/>
              </w:rPr>
              <w:t>46</w:t>
            </w:r>
            <w:r w:rsidR="00C02512" w:rsidRPr="00CF189D">
              <w:rPr>
                <w:rFonts w:ascii="Calibri" w:hAnsi="Calibri" w:cs="Calibri"/>
                <w:b w:val="0"/>
                <w:bCs w:val="0"/>
                <w:i w:val="0"/>
                <w:iCs w:val="0"/>
                <w:noProof/>
                <w:webHidden/>
                <w:sz w:val="22"/>
                <w:szCs w:val="22"/>
              </w:rPr>
              <w:fldChar w:fldCharType="end"/>
            </w:r>
          </w:hyperlink>
        </w:p>
        <w:p w14:paraId="2FBB7D92" w14:textId="15D422EB" w:rsidR="00C02512" w:rsidRPr="00CF189D" w:rsidRDefault="00573B45" w:rsidP="00C02512">
          <w:pPr>
            <w:pStyle w:val="TOC1"/>
            <w:tabs>
              <w:tab w:val="right" w:leader="dot" w:pos="9016"/>
            </w:tabs>
            <w:rPr>
              <w:rFonts w:ascii="Calibri" w:eastAsiaTheme="minorEastAsia" w:hAnsi="Calibri" w:cs="Calibri"/>
              <w:b w:val="0"/>
              <w:bCs w:val="0"/>
              <w:i w:val="0"/>
              <w:iCs w:val="0"/>
              <w:noProof/>
              <w:sz w:val="22"/>
              <w:szCs w:val="22"/>
              <w:lang w:val="en-US"/>
            </w:rPr>
          </w:pPr>
          <w:hyperlink w:anchor="_Toc41505590" w:history="1">
            <w:r w:rsidR="00C02512" w:rsidRPr="00CF189D">
              <w:rPr>
                <w:rStyle w:val="Hyperlink"/>
                <w:rFonts w:ascii="Calibri" w:hAnsi="Calibri" w:cs="Calibri"/>
                <w:b w:val="0"/>
                <w:bCs w:val="0"/>
                <w:i w:val="0"/>
                <w:iCs w:val="0"/>
                <w:noProof/>
                <w:sz w:val="22"/>
                <w:szCs w:val="22"/>
              </w:rPr>
              <w:t>Theoretical framework &amp; methodology</w:t>
            </w:r>
            <w:r w:rsidR="00C02512" w:rsidRPr="00CF189D">
              <w:rPr>
                <w:rFonts w:ascii="Calibri" w:hAnsi="Calibri" w:cs="Calibri"/>
                <w:b w:val="0"/>
                <w:bCs w:val="0"/>
                <w:i w:val="0"/>
                <w:iCs w:val="0"/>
                <w:noProof/>
                <w:webHidden/>
                <w:sz w:val="22"/>
                <w:szCs w:val="22"/>
              </w:rPr>
              <w:tab/>
            </w:r>
            <w:r w:rsidR="00C02512" w:rsidRPr="00CF189D">
              <w:rPr>
                <w:rFonts w:ascii="Calibri" w:hAnsi="Calibri" w:cs="Calibri"/>
                <w:b w:val="0"/>
                <w:bCs w:val="0"/>
                <w:i w:val="0"/>
                <w:iCs w:val="0"/>
                <w:noProof/>
                <w:webHidden/>
                <w:sz w:val="22"/>
                <w:szCs w:val="22"/>
              </w:rPr>
              <w:fldChar w:fldCharType="begin"/>
            </w:r>
            <w:r w:rsidR="00C02512" w:rsidRPr="00CF189D">
              <w:rPr>
                <w:rFonts w:ascii="Calibri" w:hAnsi="Calibri" w:cs="Calibri"/>
                <w:b w:val="0"/>
                <w:bCs w:val="0"/>
                <w:i w:val="0"/>
                <w:iCs w:val="0"/>
                <w:noProof/>
                <w:webHidden/>
                <w:sz w:val="22"/>
                <w:szCs w:val="22"/>
              </w:rPr>
              <w:instrText xml:space="preserve"> PAGEREF _Toc41505590 \h </w:instrText>
            </w:r>
            <w:r w:rsidR="00C02512" w:rsidRPr="00CF189D">
              <w:rPr>
                <w:rFonts w:ascii="Calibri" w:hAnsi="Calibri" w:cs="Calibri"/>
                <w:b w:val="0"/>
                <w:bCs w:val="0"/>
                <w:i w:val="0"/>
                <w:iCs w:val="0"/>
                <w:noProof/>
                <w:webHidden/>
                <w:sz w:val="22"/>
                <w:szCs w:val="22"/>
              </w:rPr>
            </w:r>
            <w:r w:rsidR="00C02512" w:rsidRPr="00CF189D">
              <w:rPr>
                <w:rFonts w:ascii="Calibri" w:hAnsi="Calibri" w:cs="Calibri"/>
                <w:b w:val="0"/>
                <w:bCs w:val="0"/>
                <w:i w:val="0"/>
                <w:iCs w:val="0"/>
                <w:noProof/>
                <w:webHidden/>
                <w:sz w:val="22"/>
                <w:szCs w:val="22"/>
              </w:rPr>
              <w:fldChar w:fldCharType="separate"/>
            </w:r>
            <w:r w:rsidR="00B31D07">
              <w:rPr>
                <w:rFonts w:ascii="Calibri" w:hAnsi="Calibri" w:cs="Calibri"/>
                <w:b w:val="0"/>
                <w:bCs w:val="0"/>
                <w:i w:val="0"/>
                <w:iCs w:val="0"/>
                <w:noProof/>
                <w:webHidden/>
                <w:sz w:val="22"/>
                <w:szCs w:val="22"/>
              </w:rPr>
              <w:t>46</w:t>
            </w:r>
            <w:r w:rsidR="00C02512" w:rsidRPr="00CF189D">
              <w:rPr>
                <w:rFonts w:ascii="Calibri" w:hAnsi="Calibri" w:cs="Calibri"/>
                <w:b w:val="0"/>
                <w:bCs w:val="0"/>
                <w:i w:val="0"/>
                <w:iCs w:val="0"/>
                <w:noProof/>
                <w:webHidden/>
                <w:sz w:val="22"/>
                <w:szCs w:val="22"/>
              </w:rPr>
              <w:fldChar w:fldCharType="end"/>
            </w:r>
          </w:hyperlink>
        </w:p>
        <w:p w14:paraId="46CD08E7" w14:textId="37F9DEFF"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591" w:history="1">
            <w:r w:rsidR="00C02512" w:rsidRPr="00CF189D">
              <w:rPr>
                <w:rStyle w:val="Hyperlink"/>
                <w:rFonts w:ascii="Calibri" w:hAnsi="Calibri" w:cs="Calibri"/>
                <w:b w:val="0"/>
                <w:bCs w:val="0"/>
                <w:noProof/>
              </w:rPr>
              <w:t>2.1. Introduction</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_Toc41505591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46</w:t>
            </w:r>
            <w:r w:rsidR="00C02512" w:rsidRPr="00CF189D">
              <w:rPr>
                <w:rFonts w:ascii="Calibri" w:hAnsi="Calibri" w:cs="Calibri"/>
                <w:b w:val="0"/>
                <w:bCs w:val="0"/>
                <w:noProof/>
                <w:webHidden/>
              </w:rPr>
              <w:fldChar w:fldCharType="end"/>
            </w:r>
          </w:hyperlink>
        </w:p>
        <w:p w14:paraId="42DB6EF8" w14:textId="1BD6FDE3"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592" w:history="1">
            <w:r w:rsidR="00C02512" w:rsidRPr="00CF189D">
              <w:rPr>
                <w:rStyle w:val="Hyperlink"/>
                <w:rFonts w:ascii="Calibri" w:hAnsi="Calibri" w:cs="Calibri"/>
                <w:b w:val="0"/>
                <w:bCs w:val="0"/>
                <w:noProof/>
              </w:rPr>
              <w:t>2.2. Theoretical framework: global health governance and success</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_Toc41505592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46</w:t>
            </w:r>
            <w:r w:rsidR="00C02512" w:rsidRPr="00CF189D">
              <w:rPr>
                <w:rFonts w:ascii="Calibri" w:hAnsi="Calibri" w:cs="Calibri"/>
                <w:b w:val="0"/>
                <w:bCs w:val="0"/>
                <w:noProof/>
                <w:webHidden/>
              </w:rPr>
              <w:fldChar w:fldCharType="end"/>
            </w:r>
          </w:hyperlink>
        </w:p>
        <w:p w14:paraId="773CECE4" w14:textId="44925093"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593" w:history="1">
            <w:r w:rsidR="00C02512" w:rsidRPr="00CF189D">
              <w:rPr>
                <w:rStyle w:val="Hyperlink"/>
                <w:rFonts w:ascii="Calibri" w:hAnsi="Calibri" w:cs="Calibri"/>
                <w:noProof/>
                <w:sz w:val="22"/>
                <w:szCs w:val="22"/>
              </w:rPr>
              <w:t>2.2.A. The impact/evidence-based framework</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_Toc41505593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50</w:t>
            </w:r>
            <w:r w:rsidR="00C02512" w:rsidRPr="00CF189D">
              <w:rPr>
                <w:rFonts w:ascii="Calibri" w:hAnsi="Calibri" w:cs="Calibri"/>
                <w:noProof/>
                <w:webHidden/>
                <w:sz w:val="22"/>
                <w:szCs w:val="22"/>
              </w:rPr>
              <w:fldChar w:fldCharType="end"/>
            </w:r>
          </w:hyperlink>
        </w:p>
        <w:p w14:paraId="7758EDFF" w14:textId="2D63E85D"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594" w:history="1">
            <w:r w:rsidR="00C02512" w:rsidRPr="00CF189D">
              <w:rPr>
                <w:rStyle w:val="Hyperlink"/>
                <w:rFonts w:ascii="Calibri" w:hAnsi="Calibri" w:cs="Calibri"/>
                <w:noProof/>
                <w:sz w:val="22"/>
                <w:szCs w:val="22"/>
              </w:rPr>
              <w:t>2.2.B. The marketing framework</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_Toc41505594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53</w:t>
            </w:r>
            <w:r w:rsidR="00C02512" w:rsidRPr="00CF189D">
              <w:rPr>
                <w:rFonts w:ascii="Calibri" w:hAnsi="Calibri" w:cs="Calibri"/>
                <w:noProof/>
                <w:webHidden/>
                <w:sz w:val="22"/>
                <w:szCs w:val="22"/>
              </w:rPr>
              <w:fldChar w:fldCharType="end"/>
            </w:r>
          </w:hyperlink>
        </w:p>
        <w:p w14:paraId="29AF438D" w14:textId="6AB9E0F1"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595" w:history="1">
            <w:r w:rsidR="00C02512" w:rsidRPr="00CF189D">
              <w:rPr>
                <w:rStyle w:val="Hyperlink"/>
                <w:rFonts w:ascii="Calibri" w:hAnsi="Calibri" w:cs="Calibri"/>
                <w:noProof/>
                <w:sz w:val="22"/>
                <w:szCs w:val="22"/>
              </w:rPr>
              <w:t>2.2.C. The constructivist framework</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_Toc41505595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55</w:t>
            </w:r>
            <w:r w:rsidR="00C02512" w:rsidRPr="00CF189D">
              <w:rPr>
                <w:rFonts w:ascii="Calibri" w:hAnsi="Calibri" w:cs="Calibri"/>
                <w:noProof/>
                <w:webHidden/>
                <w:sz w:val="22"/>
                <w:szCs w:val="22"/>
              </w:rPr>
              <w:fldChar w:fldCharType="end"/>
            </w:r>
          </w:hyperlink>
        </w:p>
        <w:p w14:paraId="43BF5210" w14:textId="6B3BB6D2"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596" w:history="1">
            <w:r w:rsidR="00C02512" w:rsidRPr="00CF189D">
              <w:rPr>
                <w:rStyle w:val="Hyperlink"/>
                <w:rFonts w:ascii="Calibri" w:hAnsi="Calibri" w:cs="Calibri"/>
                <w:b w:val="0"/>
                <w:bCs w:val="0"/>
                <w:noProof/>
              </w:rPr>
              <w:t>2.3. Literature review of the OCP success story</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_Toc41505596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58</w:t>
            </w:r>
            <w:r w:rsidR="00C02512" w:rsidRPr="00CF189D">
              <w:rPr>
                <w:rFonts w:ascii="Calibri" w:hAnsi="Calibri" w:cs="Calibri"/>
                <w:b w:val="0"/>
                <w:bCs w:val="0"/>
                <w:noProof/>
                <w:webHidden/>
              </w:rPr>
              <w:fldChar w:fldCharType="end"/>
            </w:r>
          </w:hyperlink>
        </w:p>
        <w:p w14:paraId="1DBC017D" w14:textId="21635F0C"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597" w:history="1">
            <w:r w:rsidR="00C02512" w:rsidRPr="00CF189D">
              <w:rPr>
                <w:rStyle w:val="Hyperlink"/>
                <w:rFonts w:ascii="Calibri" w:hAnsi="Calibri" w:cs="Calibri"/>
                <w:noProof/>
                <w:sz w:val="22"/>
                <w:szCs w:val="22"/>
              </w:rPr>
              <w:t>2.3.A. Global health community (GH) literature review</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_Toc41505597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58</w:t>
            </w:r>
            <w:r w:rsidR="00C02512" w:rsidRPr="00CF189D">
              <w:rPr>
                <w:rFonts w:ascii="Calibri" w:hAnsi="Calibri" w:cs="Calibri"/>
                <w:noProof/>
                <w:webHidden/>
                <w:sz w:val="22"/>
                <w:szCs w:val="22"/>
              </w:rPr>
              <w:fldChar w:fldCharType="end"/>
            </w:r>
          </w:hyperlink>
        </w:p>
        <w:p w14:paraId="5091CB70" w14:textId="0B5C9E74"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598" w:history="1">
            <w:r w:rsidR="00C02512" w:rsidRPr="00CF189D">
              <w:rPr>
                <w:rStyle w:val="Hyperlink"/>
                <w:rFonts w:ascii="Calibri" w:hAnsi="Calibri" w:cs="Calibri"/>
                <w:noProof/>
                <w:sz w:val="22"/>
                <w:szCs w:val="22"/>
              </w:rPr>
              <w:t>2.3.B. Supplementary newspaper and website review</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_Toc41505598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60</w:t>
            </w:r>
            <w:r w:rsidR="00C02512" w:rsidRPr="00CF189D">
              <w:rPr>
                <w:rFonts w:ascii="Calibri" w:hAnsi="Calibri" w:cs="Calibri"/>
                <w:noProof/>
                <w:webHidden/>
                <w:sz w:val="22"/>
                <w:szCs w:val="22"/>
              </w:rPr>
              <w:fldChar w:fldCharType="end"/>
            </w:r>
          </w:hyperlink>
        </w:p>
        <w:p w14:paraId="043655EB" w14:textId="19B3B7E7"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599" w:history="1">
            <w:r w:rsidR="00C02512" w:rsidRPr="00CF189D">
              <w:rPr>
                <w:rStyle w:val="Hyperlink"/>
                <w:rFonts w:ascii="Calibri" w:hAnsi="Calibri" w:cs="Calibri"/>
                <w:noProof/>
                <w:sz w:val="22"/>
                <w:szCs w:val="22"/>
              </w:rPr>
              <w:t>2.3.C. World Bank literature review</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_Toc41505599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61</w:t>
            </w:r>
            <w:r w:rsidR="00C02512" w:rsidRPr="00CF189D">
              <w:rPr>
                <w:rFonts w:ascii="Calibri" w:hAnsi="Calibri" w:cs="Calibri"/>
                <w:noProof/>
                <w:webHidden/>
                <w:sz w:val="22"/>
                <w:szCs w:val="22"/>
              </w:rPr>
              <w:fldChar w:fldCharType="end"/>
            </w:r>
          </w:hyperlink>
        </w:p>
        <w:p w14:paraId="338ABDC3" w14:textId="676E0604"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00" w:history="1">
            <w:r w:rsidR="00C02512" w:rsidRPr="00CF189D">
              <w:rPr>
                <w:rStyle w:val="Hyperlink"/>
                <w:rFonts w:ascii="Calibri" w:hAnsi="Calibri" w:cs="Calibri"/>
                <w:noProof/>
                <w:sz w:val="22"/>
                <w:szCs w:val="22"/>
              </w:rPr>
              <w:t>2.3.D. Archival research and targeted oral histories</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_Toc41505600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64</w:t>
            </w:r>
            <w:r w:rsidR="00C02512" w:rsidRPr="00CF189D">
              <w:rPr>
                <w:rFonts w:ascii="Calibri" w:hAnsi="Calibri" w:cs="Calibri"/>
                <w:noProof/>
                <w:webHidden/>
                <w:sz w:val="22"/>
                <w:szCs w:val="22"/>
              </w:rPr>
              <w:fldChar w:fldCharType="end"/>
            </w:r>
          </w:hyperlink>
        </w:p>
        <w:p w14:paraId="6C9EADD1" w14:textId="5A2231CB"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01" w:history="1">
            <w:r w:rsidR="00C02512" w:rsidRPr="00CF189D">
              <w:rPr>
                <w:rStyle w:val="Hyperlink"/>
                <w:rFonts w:ascii="Calibri" w:hAnsi="Calibri" w:cs="Calibri"/>
                <w:b w:val="0"/>
                <w:bCs w:val="0"/>
                <w:noProof/>
              </w:rPr>
              <w:t>2.4. Quantitative analysis of financial flows</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_Toc41505601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67</w:t>
            </w:r>
            <w:r w:rsidR="00C02512" w:rsidRPr="00CF189D">
              <w:rPr>
                <w:rFonts w:ascii="Calibri" w:hAnsi="Calibri" w:cs="Calibri"/>
                <w:b w:val="0"/>
                <w:bCs w:val="0"/>
                <w:noProof/>
                <w:webHidden/>
              </w:rPr>
              <w:fldChar w:fldCharType="end"/>
            </w:r>
          </w:hyperlink>
        </w:p>
        <w:p w14:paraId="1E7F0BCF" w14:textId="79C85A06"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02" w:history="1">
            <w:r w:rsidR="00C02512" w:rsidRPr="00CF189D">
              <w:rPr>
                <w:rStyle w:val="Hyperlink"/>
                <w:rFonts w:ascii="Calibri" w:hAnsi="Calibri" w:cs="Calibri"/>
                <w:b w:val="0"/>
                <w:bCs w:val="0"/>
                <w:noProof/>
              </w:rPr>
              <w:t>2.5. Limitations of the methodological approach</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_Toc41505602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69</w:t>
            </w:r>
            <w:r w:rsidR="00C02512" w:rsidRPr="00CF189D">
              <w:rPr>
                <w:rFonts w:ascii="Calibri" w:hAnsi="Calibri" w:cs="Calibri"/>
                <w:b w:val="0"/>
                <w:bCs w:val="0"/>
                <w:noProof/>
                <w:webHidden/>
              </w:rPr>
              <w:fldChar w:fldCharType="end"/>
            </w:r>
          </w:hyperlink>
        </w:p>
        <w:p w14:paraId="0AF4D8CC" w14:textId="2D3802EB"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03" w:history="1">
            <w:r w:rsidR="00C02512" w:rsidRPr="00CF189D">
              <w:rPr>
                <w:rStyle w:val="Hyperlink"/>
                <w:rFonts w:ascii="Calibri" w:hAnsi="Calibri" w:cs="Calibri"/>
                <w:noProof/>
                <w:sz w:val="22"/>
                <w:szCs w:val="22"/>
              </w:rPr>
              <w:t>2.5.A. Questions the dissertation does not answer</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_Toc41505603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69</w:t>
            </w:r>
            <w:r w:rsidR="00C02512" w:rsidRPr="00CF189D">
              <w:rPr>
                <w:rFonts w:ascii="Calibri" w:hAnsi="Calibri" w:cs="Calibri"/>
                <w:noProof/>
                <w:webHidden/>
                <w:sz w:val="22"/>
                <w:szCs w:val="22"/>
              </w:rPr>
              <w:fldChar w:fldCharType="end"/>
            </w:r>
          </w:hyperlink>
        </w:p>
        <w:p w14:paraId="6E2DC05B" w14:textId="77340066"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04" w:history="1">
            <w:r w:rsidR="00C02512" w:rsidRPr="00CF189D">
              <w:rPr>
                <w:rStyle w:val="Hyperlink"/>
                <w:rFonts w:ascii="Calibri" w:hAnsi="Calibri" w:cs="Calibri"/>
                <w:noProof/>
                <w:sz w:val="22"/>
                <w:szCs w:val="22"/>
              </w:rPr>
              <w:t>2.5.B. Limitations of the archives-focused methodology</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_Toc41505604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70</w:t>
            </w:r>
            <w:r w:rsidR="00C02512" w:rsidRPr="00CF189D">
              <w:rPr>
                <w:rFonts w:ascii="Calibri" w:hAnsi="Calibri" w:cs="Calibri"/>
                <w:noProof/>
                <w:webHidden/>
                <w:sz w:val="22"/>
                <w:szCs w:val="22"/>
              </w:rPr>
              <w:fldChar w:fldCharType="end"/>
            </w:r>
          </w:hyperlink>
        </w:p>
        <w:p w14:paraId="6C395060" w14:textId="1FC8802D"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05" w:history="1">
            <w:r w:rsidR="00C02512" w:rsidRPr="00CF189D">
              <w:rPr>
                <w:rStyle w:val="Hyperlink"/>
                <w:rFonts w:ascii="Calibri" w:hAnsi="Calibri" w:cs="Calibri"/>
                <w:noProof/>
                <w:sz w:val="22"/>
                <w:szCs w:val="22"/>
              </w:rPr>
              <w:t>2.5.C. Emphasis on the Bank and sponsoring agencies</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_Toc41505605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71</w:t>
            </w:r>
            <w:r w:rsidR="00C02512" w:rsidRPr="00CF189D">
              <w:rPr>
                <w:rFonts w:ascii="Calibri" w:hAnsi="Calibri" w:cs="Calibri"/>
                <w:noProof/>
                <w:webHidden/>
                <w:sz w:val="22"/>
                <w:szCs w:val="22"/>
              </w:rPr>
              <w:fldChar w:fldCharType="end"/>
            </w:r>
          </w:hyperlink>
        </w:p>
        <w:p w14:paraId="6DCD73AD" w14:textId="51368312"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06" w:history="1">
            <w:r w:rsidR="00C02512" w:rsidRPr="00CF189D">
              <w:rPr>
                <w:rStyle w:val="Hyperlink"/>
                <w:rFonts w:ascii="Calibri" w:hAnsi="Calibri" w:cs="Calibri"/>
                <w:noProof/>
                <w:sz w:val="22"/>
                <w:szCs w:val="22"/>
              </w:rPr>
              <w:t>2.5.D. Challenges of interdisciplinary research</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_Toc41505606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71</w:t>
            </w:r>
            <w:r w:rsidR="00C02512" w:rsidRPr="00CF189D">
              <w:rPr>
                <w:rFonts w:ascii="Calibri" w:hAnsi="Calibri" w:cs="Calibri"/>
                <w:noProof/>
                <w:webHidden/>
                <w:sz w:val="22"/>
                <w:szCs w:val="22"/>
              </w:rPr>
              <w:fldChar w:fldCharType="end"/>
            </w:r>
          </w:hyperlink>
        </w:p>
        <w:p w14:paraId="7DDB96F9" w14:textId="7F1865E1" w:rsidR="00C02512" w:rsidRPr="00CF189D" w:rsidRDefault="00573B45" w:rsidP="00C02512">
          <w:pPr>
            <w:pStyle w:val="TOC1"/>
            <w:tabs>
              <w:tab w:val="right" w:leader="dot" w:pos="9016"/>
            </w:tabs>
            <w:rPr>
              <w:rFonts w:ascii="Calibri" w:eastAsiaTheme="minorEastAsia" w:hAnsi="Calibri" w:cs="Calibri"/>
              <w:b w:val="0"/>
              <w:bCs w:val="0"/>
              <w:i w:val="0"/>
              <w:iCs w:val="0"/>
              <w:noProof/>
              <w:sz w:val="22"/>
              <w:szCs w:val="22"/>
              <w:lang w:val="en-US"/>
            </w:rPr>
          </w:pPr>
          <w:hyperlink w:anchor="_Toc41505607" w:history="1">
            <w:r w:rsidR="00C02512" w:rsidRPr="00CF189D">
              <w:rPr>
                <w:rStyle w:val="Hyperlink"/>
                <w:rFonts w:ascii="Calibri" w:hAnsi="Calibri" w:cs="Calibri"/>
                <w:b w:val="0"/>
                <w:bCs w:val="0"/>
                <w:i w:val="0"/>
                <w:iCs w:val="0"/>
                <w:noProof/>
                <w:sz w:val="22"/>
                <w:szCs w:val="22"/>
              </w:rPr>
              <w:t>Chapter 3.</w:t>
            </w:r>
            <w:r w:rsidR="00C02512" w:rsidRPr="00CF189D">
              <w:rPr>
                <w:rFonts w:ascii="Calibri" w:hAnsi="Calibri" w:cs="Calibri"/>
                <w:b w:val="0"/>
                <w:bCs w:val="0"/>
                <w:i w:val="0"/>
                <w:iCs w:val="0"/>
                <w:noProof/>
                <w:webHidden/>
                <w:sz w:val="22"/>
                <w:szCs w:val="22"/>
              </w:rPr>
              <w:tab/>
            </w:r>
            <w:r w:rsidR="00C02512" w:rsidRPr="00CF189D">
              <w:rPr>
                <w:rFonts w:ascii="Calibri" w:hAnsi="Calibri" w:cs="Calibri"/>
                <w:b w:val="0"/>
                <w:bCs w:val="0"/>
                <w:i w:val="0"/>
                <w:iCs w:val="0"/>
                <w:noProof/>
                <w:webHidden/>
                <w:sz w:val="22"/>
                <w:szCs w:val="22"/>
              </w:rPr>
              <w:fldChar w:fldCharType="begin"/>
            </w:r>
            <w:r w:rsidR="00C02512" w:rsidRPr="00CF189D">
              <w:rPr>
                <w:rFonts w:ascii="Calibri" w:hAnsi="Calibri" w:cs="Calibri"/>
                <w:b w:val="0"/>
                <w:bCs w:val="0"/>
                <w:i w:val="0"/>
                <w:iCs w:val="0"/>
                <w:noProof/>
                <w:webHidden/>
                <w:sz w:val="22"/>
                <w:szCs w:val="22"/>
              </w:rPr>
              <w:instrText xml:space="preserve"> PAGEREF _Toc41505607 \h </w:instrText>
            </w:r>
            <w:r w:rsidR="00C02512" w:rsidRPr="00CF189D">
              <w:rPr>
                <w:rFonts w:ascii="Calibri" w:hAnsi="Calibri" w:cs="Calibri"/>
                <w:b w:val="0"/>
                <w:bCs w:val="0"/>
                <w:i w:val="0"/>
                <w:iCs w:val="0"/>
                <w:noProof/>
                <w:webHidden/>
                <w:sz w:val="22"/>
                <w:szCs w:val="22"/>
              </w:rPr>
            </w:r>
            <w:r w:rsidR="00C02512" w:rsidRPr="00CF189D">
              <w:rPr>
                <w:rFonts w:ascii="Calibri" w:hAnsi="Calibri" w:cs="Calibri"/>
                <w:b w:val="0"/>
                <w:bCs w:val="0"/>
                <w:i w:val="0"/>
                <w:iCs w:val="0"/>
                <w:noProof/>
                <w:webHidden/>
                <w:sz w:val="22"/>
                <w:szCs w:val="22"/>
              </w:rPr>
              <w:fldChar w:fldCharType="separate"/>
            </w:r>
            <w:r w:rsidR="00B31D07">
              <w:rPr>
                <w:rFonts w:ascii="Calibri" w:hAnsi="Calibri" w:cs="Calibri"/>
                <w:b w:val="0"/>
                <w:bCs w:val="0"/>
                <w:i w:val="0"/>
                <w:iCs w:val="0"/>
                <w:noProof/>
                <w:webHidden/>
                <w:sz w:val="22"/>
                <w:szCs w:val="22"/>
              </w:rPr>
              <w:t>74</w:t>
            </w:r>
            <w:r w:rsidR="00C02512" w:rsidRPr="00CF189D">
              <w:rPr>
                <w:rFonts w:ascii="Calibri" w:hAnsi="Calibri" w:cs="Calibri"/>
                <w:b w:val="0"/>
                <w:bCs w:val="0"/>
                <w:i w:val="0"/>
                <w:iCs w:val="0"/>
                <w:noProof/>
                <w:webHidden/>
                <w:sz w:val="22"/>
                <w:szCs w:val="22"/>
              </w:rPr>
              <w:fldChar w:fldCharType="end"/>
            </w:r>
          </w:hyperlink>
        </w:p>
        <w:p w14:paraId="6C3BDAA5" w14:textId="1208D781" w:rsidR="00C02512" w:rsidRPr="00CF189D" w:rsidRDefault="00573B45" w:rsidP="00C02512">
          <w:pPr>
            <w:pStyle w:val="TOC1"/>
            <w:tabs>
              <w:tab w:val="right" w:leader="dot" w:pos="9016"/>
            </w:tabs>
            <w:rPr>
              <w:rFonts w:ascii="Calibri" w:eastAsiaTheme="minorEastAsia" w:hAnsi="Calibri" w:cs="Calibri"/>
              <w:b w:val="0"/>
              <w:bCs w:val="0"/>
              <w:i w:val="0"/>
              <w:iCs w:val="0"/>
              <w:noProof/>
              <w:sz w:val="22"/>
              <w:szCs w:val="22"/>
              <w:lang w:val="en-US"/>
            </w:rPr>
          </w:pPr>
          <w:hyperlink w:anchor="_Toc41505608" w:history="1">
            <w:r w:rsidR="00C02512" w:rsidRPr="00CF189D">
              <w:rPr>
                <w:rStyle w:val="Hyperlink"/>
                <w:rFonts w:ascii="Calibri" w:hAnsi="Calibri" w:cs="Calibri"/>
                <w:b w:val="0"/>
                <w:bCs w:val="0"/>
                <w:i w:val="0"/>
                <w:iCs w:val="0"/>
                <w:noProof/>
                <w:sz w:val="22"/>
                <w:szCs w:val="22"/>
              </w:rPr>
              <w:t>The World Bank &amp; the dominant narrative</w:t>
            </w:r>
            <w:r w:rsidR="00C02512" w:rsidRPr="00CF189D">
              <w:rPr>
                <w:rFonts w:ascii="Calibri" w:hAnsi="Calibri" w:cs="Calibri"/>
                <w:b w:val="0"/>
                <w:bCs w:val="0"/>
                <w:i w:val="0"/>
                <w:iCs w:val="0"/>
                <w:noProof/>
                <w:webHidden/>
                <w:sz w:val="22"/>
                <w:szCs w:val="22"/>
              </w:rPr>
              <w:tab/>
            </w:r>
            <w:r w:rsidR="00C02512" w:rsidRPr="00CF189D">
              <w:rPr>
                <w:rFonts w:ascii="Calibri" w:hAnsi="Calibri" w:cs="Calibri"/>
                <w:b w:val="0"/>
                <w:bCs w:val="0"/>
                <w:i w:val="0"/>
                <w:iCs w:val="0"/>
                <w:noProof/>
                <w:webHidden/>
                <w:sz w:val="22"/>
                <w:szCs w:val="22"/>
              </w:rPr>
              <w:fldChar w:fldCharType="begin"/>
            </w:r>
            <w:r w:rsidR="00C02512" w:rsidRPr="00CF189D">
              <w:rPr>
                <w:rFonts w:ascii="Calibri" w:hAnsi="Calibri" w:cs="Calibri"/>
                <w:b w:val="0"/>
                <w:bCs w:val="0"/>
                <w:i w:val="0"/>
                <w:iCs w:val="0"/>
                <w:noProof/>
                <w:webHidden/>
                <w:sz w:val="22"/>
                <w:szCs w:val="22"/>
              </w:rPr>
              <w:instrText xml:space="preserve"> PAGEREF _Toc41505608 \h </w:instrText>
            </w:r>
            <w:r w:rsidR="00C02512" w:rsidRPr="00CF189D">
              <w:rPr>
                <w:rFonts w:ascii="Calibri" w:hAnsi="Calibri" w:cs="Calibri"/>
                <w:b w:val="0"/>
                <w:bCs w:val="0"/>
                <w:i w:val="0"/>
                <w:iCs w:val="0"/>
                <w:noProof/>
                <w:webHidden/>
                <w:sz w:val="22"/>
                <w:szCs w:val="22"/>
              </w:rPr>
            </w:r>
            <w:r w:rsidR="00C02512" w:rsidRPr="00CF189D">
              <w:rPr>
                <w:rFonts w:ascii="Calibri" w:hAnsi="Calibri" w:cs="Calibri"/>
                <w:b w:val="0"/>
                <w:bCs w:val="0"/>
                <w:i w:val="0"/>
                <w:iCs w:val="0"/>
                <w:noProof/>
                <w:webHidden/>
                <w:sz w:val="22"/>
                <w:szCs w:val="22"/>
              </w:rPr>
              <w:fldChar w:fldCharType="separate"/>
            </w:r>
            <w:r w:rsidR="00B31D07">
              <w:rPr>
                <w:rFonts w:ascii="Calibri" w:hAnsi="Calibri" w:cs="Calibri"/>
                <w:b w:val="0"/>
                <w:bCs w:val="0"/>
                <w:i w:val="0"/>
                <w:iCs w:val="0"/>
                <w:noProof/>
                <w:webHidden/>
                <w:sz w:val="22"/>
                <w:szCs w:val="22"/>
              </w:rPr>
              <w:t>74</w:t>
            </w:r>
            <w:r w:rsidR="00C02512" w:rsidRPr="00CF189D">
              <w:rPr>
                <w:rFonts w:ascii="Calibri" w:hAnsi="Calibri" w:cs="Calibri"/>
                <w:b w:val="0"/>
                <w:bCs w:val="0"/>
                <w:i w:val="0"/>
                <w:iCs w:val="0"/>
                <w:noProof/>
                <w:webHidden/>
                <w:sz w:val="22"/>
                <w:szCs w:val="22"/>
              </w:rPr>
              <w:fldChar w:fldCharType="end"/>
            </w:r>
          </w:hyperlink>
        </w:p>
        <w:p w14:paraId="4F3FE673" w14:textId="523C13E3"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09" w:history="1">
            <w:r w:rsidR="00C02512" w:rsidRPr="00CF189D">
              <w:rPr>
                <w:rStyle w:val="Hyperlink"/>
                <w:rFonts w:ascii="Calibri" w:hAnsi="Calibri" w:cs="Calibri"/>
                <w:b w:val="0"/>
                <w:bCs w:val="0"/>
                <w:noProof/>
              </w:rPr>
              <w:t>3.1. Introduction: Disentangling the Bank’s role in the OCP</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_Toc41505609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74</w:t>
            </w:r>
            <w:r w:rsidR="00C02512" w:rsidRPr="00CF189D">
              <w:rPr>
                <w:rFonts w:ascii="Calibri" w:hAnsi="Calibri" w:cs="Calibri"/>
                <w:b w:val="0"/>
                <w:bCs w:val="0"/>
                <w:noProof/>
                <w:webHidden/>
              </w:rPr>
              <w:fldChar w:fldCharType="end"/>
            </w:r>
          </w:hyperlink>
        </w:p>
        <w:p w14:paraId="6178A304" w14:textId="06CF63D3"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10" w:history="1">
            <w:r w:rsidR="00C02512" w:rsidRPr="00CF189D">
              <w:rPr>
                <w:rStyle w:val="Hyperlink"/>
                <w:rFonts w:ascii="Calibri" w:hAnsi="Calibri" w:cs="Calibri"/>
                <w:b w:val="0"/>
                <w:bCs w:val="0"/>
                <w:noProof/>
              </w:rPr>
              <w:t>3.2. The Bank and OCP governance</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_Toc41505610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75</w:t>
            </w:r>
            <w:r w:rsidR="00C02512" w:rsidRPr="00CF189D">
              <w:rPr>
                <w:rFonts w:ascii="Calibri" w:hAnsi="Calibri" w:cs="Calibri"/>
                <w:b w:val="0"/>
                <w:bCs w:val="0"/>
                <w:noProof/>
                <w:webHidden/>
              </w:rPr>
              <w:fldChar w:fldCharType="end"/>
            </w:r>
          </w:hyperlink>
        </w:p>
        <w:p w14:paraId="6C12B71A" w14:textId="5FFE4BC3"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11" w:history="1">
            <w:r w:rsidR="00C02512" w:rsidRPr="00CF189D">
              <w:rPr>
                <w:rStyle w:val="Hyperlink"/>
                <w:rFonts w:ascii="Calibri" w:hAnsi="Calibri" w:cs="Calibri"/>
                <w:noProof/>
                <w:sz w:val="22"/>
                <w:szCs w:val="22"/>
              </w:rPr>
              <w:t>3.2.A. What is the World Bank and how is it financed?</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_Toc41505611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75</w:t>
            </w:r>
            <w:r w:rsidR="00C02512" w:rsidRPr="00CF189D">
              <w:rPr>
                <w:rFonts w:ascii="Calibri" w:hAnsi="Calibri" w:cs="Calibri"/>
                <w:noProof/>
                <w:webHidden/>
                <w:sz w:val="22"/>
                <w:szCs w:val="22"/>
              </w:rPr>
              <w:fldChar w:fldCharType="end"/>
            </w:r>
          </w:hyperlink>
        </w:p>
        <w:p w14:paraId="25075ACE" w14:textId="4C64EC61"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12" w:history="1">
            <w:r w:rsidR="00C02512" w:rsidRPr="00CF189D">
              <w:rPr>
                <w:rStyle w:val="Hyperlink"/>
                <w:rFonts w:ascii="Calibri" w:hAnsi="Calibri" w:cs="Calibri"/>
                <w:noProof/>
                <w:sz w:val="22"/>
                <w:szCs w:val="22"/>
              </w:rPr>
              <w:t>3.2.B. The Bank’s formal and effective roles during the OCP</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_Toc41505612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78</w:t>
            </w:r>
            <w:r w:rsidR="00C02512" w:rsidRPr="00CF189D">
              <w:rPr>
                <w:rFonts w:ascii="Calibri" w:hAnsi="Calibri" w:cs="Calibri"/>
                <w:noProof/>
                <w:webHidden/>
                <w:sz w:val="22"/>
                <w:szCs w:val="22"/>
              </w:rPr>
              <w:fldChar w:fldCharType="end"/>
            </w:r>
          </w:hyperlink>
        </w:p>
        <w:p w14:paraId="26335C24" w14:textId="153C9ECE"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13" w:history="1">
            <w:r w:rsidR="00C02512" w:rsidRPr="00CF189D">
              <w:rPr>
                <w:rStyle w:val="Hyperlink"/>
                <w:rFonts w:ascii="Calibri" w:hAnsi="Calibri" w:cs="Calibri"/>
                <w:b w:val="0"/>
                <w:bCs w:val="0"/>
                <w:noProof/>
              </w:rPr>
              <w:t>3.3. The global health community’s OCP success narrative</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_Toc41505613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83</w:t>
            </w:r>
            <w:r w:rsidR="00C02512" w:rsidRPr="00CF189D">
              <w:rPr>
                <w:rFonts w:ascii="Calibri" w:hAnsi="Calibri" w:cs="Calibri"/>
                <w:b w:val="0"/>
                <w:bCs w:val="0"/>
                <w:noProof/>
                <w:webHidden/>
              </w:rPr>
              <w:fldChar w:fldCharType="end"/>
            </w:r>
          </w:hyperlink>
        </w:p>
        <w:p w14:paraId="1B62999C" w14:textId="40E825F5"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14" w:history="1">
            <w:r w:rsidR="00C02512" w:rsidRPr="00CF189D">
              <w:rPr>
                <w:rStyle w:val="Hyperlink"/>
                <w:rFonts w:ascii="Calibri" w:hAnsi="Calibri" w:cs="Calibri"/>
                <w:b w:val="0"/>
                <w:bCs w:val="0"/>
                <w:noProof/>
              </w:rPr>
              <w:t>3.4. The Bank’s ‘dominant narrative’ and components of success</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_Toc41505614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87</w:t>
            </w:r>
            <w:r w:rsidR="00C02512" w:rsidRPr="00CF189D">
              <w:rPr>
                <w:rFonts w:ascii="Calibri" w:hAnsi="Calibri" w:cs="Calibri"/>
                <w:b w:val="0"/>
                <w:bCs w:val="0"/>
                <w:noProof/>
                <w:webHidden/>
              </w:rPr>
              <w:fldChar w:fldCharType="end"/>
            </w:r>
          </w:hyperlink>
        </w:p>
        <w:p w14:paraId="30ABC8EB" w14:textId="4E1E7661"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15" w:history="1">
            <w:r w:rsidR="00C02512" w:rsidRPr="00CF189D">
              <w:rPr>
                <w:rStyle w:val="Hyperlink"/>
                <w:rFonts w:ascii="Calibri" w:hAnsi="Calibri" w:cs="Calibri"/>
                <w:noProof/>
                <w:sz w:val="22"/>
                <w:szCs w:val="22"/>
              </w:rPr>
              <w:t>3.4.A. Component one: Clear objectives and monitoring</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_Toc41505615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89</w:t>
            </w:r>
            <w:r w:rsidR="00C02512" w:rsidRPr="00CF189D">
              <w:rPr>
                <w:rFonts w:ascii="Calibri" w:hAnsi="Calibri" w:cs="Calibri"/>
                <w:noProof/>
                <w:webHidden/>
                <w:sz w:val="22"/>
                <w:szCs w:val="22"/>
              </w:rPr>
              <w:fldChar w:fldCharType="end"/>
            </w:r>
          </w:hyperlink>
        </w:p>
        <w:p w14:paraId="4947B1A4" w14:textId="62362881"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16" w:history="1">
            <w:r w:rsidR="00C02512" w:rsidRPr="00CF189D">
              <w:rPr>
                <w:rStyle w:val="Hyperlink"/>
                <w:rFonts w:ascii="Calibri" w:hAnsi="Calibri" w:cs="Calibri"/>
                <w:noProof/>
                <w:sz w:val="22"/>
                <w:szCs w:val="22"/>
              </w:rPr>
              <w:t>3.4.B. Component two: Strong financial management</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_Toc41505616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92</w:t>
            </w:r>
            <w:r w:rsidR="00C02512" w:rsidRPr="00CF189D">
              <w:rPr>
                <w:rFonts w:ascii="Calibri" w:hAnsi="Calibri" w:cs="Calibri"/>
                <w:noProof/>
                <w:webHidden/>
                <w:sz w:val="22"/>
                <w:szCs w:val="22"/>
              </w:rPr>
              <w:fldChar w:fldCharType="end"/>
            </w:r>
          </w:hyperlink>
        </w:p>
        <w:p w14:paraId="5E76CB59" w14:textId="2F776083"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17" w:history="1">
            <w:r w:rsidR="00C02512" w:rsidRPr="00CF189D">
              <w:rPr>
                <w:rStyle w:val="Hyperlink"/>
                <w:rFonts w:ascii="Calibri" w:hAnsi="Calibri" w:cs="Calibri"/>
                <w:noProof/>
                <w:sz w:val="22"/>
                <w:szCs w:val="22"/>
              </w:rPr>
              <w:t>3.4.C. Component three: Strong inter-agency and research partnership</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_Toc41505617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93</w:t>
            </w:r>
            <w:r w:rsidR="00C02512" w:rsidRPr="00CF189D">
              <w:rPr>
                <w:rFonts w:ascii="Calibri" w:hAnsi="Calibri" w:cs="Calibri"/>
                <w:noProof/>
                <w:webHidden/>
                <w:sz w:val="22"/>
                <w:szCs w:val="22"/>
              </w:rPr>
              <w:fldChar w:fldCharType="end"/>
            </w:r>
          </w:hyperlink>
        </w:p>
        <w:p w14:paraId="0E640F52" w14:textId="4C22DB06"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18" w:history="1">
            <w:r w:rsidR="00C02512" w:rsidRPr="00CF189D">
              <w:rPr>
                <w:rStyle w:val="Hyperlink"/>
                <w:rFonts w:ascii="Calibri" w:hAnsi="Calibri" w:cs="Calibri"/>
                <w:noProof/>
                <w:sz w:val="22"/>
                <w:szCs w:val="22"/>
              </w:rPr>
              <w:t>3.4.D. Component four: Community-based delivery</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_Toc41505618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95</w:t>
            </w:r>
            <w:r w:rsidR="00C02512" w:rsidRPr="00CF189D">
              <w:rPr>
                <w:rFonts w:ascii="Calibri" w:hAnsi="Calibri" w:cs="Calibri"/>
                <w:noProof/>
                <w:webHidden/>
                <w:sz w:val="22"/>
                <w:szCs w:val="22"/>
              </w:rPr>
              <w:fldChar w:fldCharType="end"/>
            </w:r>
          </w:hyperlink>
        </w:p>
        <w:p w14:paraId="2FAC652D" w14:textId="62EF5519"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19" w:history="1">
            <w:r w:rsidR="00C02512" w:rsidRPr="00CF189D">
              <w:rPr>
                <w:rStyle w:val="Hyperlink"/>
                <w:rFonts w:ascii="Calibri" w:hAnsi="Calibri" w:cs="Calibri"/>
                <w:b w:val="0"/>
                <w:bCs w:val="0"/>
                <w:noProof/>
              </w:rPr>
              <w:t>3.5. The uptake of the Bank’s dominant narrative in the global health community</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_Toc41505619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96</w:t>
            </w:r>
            <w:r w:rsidR="00C02512" w:rsidRPr="00CF189D">
              <w:rPr>
                <w:rFonts w:ascii="Calibri" w:hAnsi="Calibri" w:cs="Calibri"/>
                <w:b w:val="0"/>
                <w:bCs w:val="0"/>
                <w:noProof/>
                <w:webHidden/>
              </w:rPr>
              <w:fldChar w:fldCharType="end"/>
            </w:r>
          </w:hyperlink>
        </w:p>
        <w:p w14:paraId="03B24585" w14:textId="32A2D6B3"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20" w:history="1">
            <w:r w:rsidR="00C02512" w:rsidRPr="00CF189D">
              <w:rPr>
                <w:rStyle w:val="Hyperlink"/>
                <w:rFonts w:ascii="Calibri" w:hAnsi="Calibri" w:cs="Calibri"/>
                <w:b w:val="0"/>
                <w:bCs w:val="0"/>
                <w:noProof/>
              </w:rPr>
              <w:t>3.6. The World Bank’s global health ethos</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_Toc41505620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97</w:t>
            </w:r>
            <w:r w:rsidR="00C02512" w:rsidRPr="00CF189D">
              <w:rPr>
                <w:rFonts w:ascii="Calibri" w:hAnsi="Calibri" w:cs="Calibri"/>
                <w:b w:val="0"/>
                <w:bCs w:val="0"/>
                <w:noProof/>
                <w:webHidden/>
              </w:rPr>
              <w:fldChar w:fldCharType="end"/>
            </w:r>
          </w:hyperlink>
        </w:p>
        <w:p w14:paraId="6921AE72" w14:textId="7DAD32B3"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21" w:history="1">
            <w:r w:rsidR="00C02512" w:rsidRPr="00CF189D">
              <w:rPr>
                <w:rStyle w:val="Hyperlink"/>
                <w:rFonts w:ascii="Calibri" w:hAnsi="Calibri" w:cs="Calibri"/>
                <w:noProof/>
                <w:sz w:val="22"/>
                <w:szCs w:val="22"/>
              </w:rPr>
              <w:t>3.6.A. Overview of existing research on the World Bank and global health</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_Toc41505621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97</w:t>
            </w:r>
            <w:r w:rsidR="00C02512" w:rsidRPr="00CF189D">
              <w:rPr>
                <w:rFonts w:ascii="Calibri" w:hAnsi="Calibri" w:cs="Calibri"/>
                <w:noProof/>
                <w:webHidden/>
                <w:sz w:val="22"/>
                <w:szCs w:val="22"/>
              </w:rPr>
              <w:fldChar w:fldCharType="end"/>
            </w:r>
          </w:hyperlink>
        </w:p>
        <w:p w14:paraId="4C2E2EEB" w14:textId="3A35D8A6"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22" w:history="1">
            <w:r w:rsidR="00C02512" w:rsidRPr="00CF189D">
              <w:rPr>
                <w:rStyle w:val="Hyperlink"/>
                <w:rFonts w:ascii="Calibri" w:hAnsi="Calibri" w:cs="Calibri"/>
                <w:noProof/>
                <w:sz w:val="22"/>
                <w:szCs w:val="22"/>
              </w:rPr>
              <w:t>3.6.B. Three convergent themes describing the Bank’s influence on global health</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_Toc41505622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104</w:t>
            </w:r>
            <w:r w:rsidR="00C02512" w:rsidRPr="00CF189D">
              <w:rPr>
                <w:rFonts w:ascii="Calibri" w:hAnsi="Calibri" w:cs="Calibri"/>
                <w:noProof/>
                <w:webHidden/>
                <w:sz w:val="22"/>
                <w:szCs w:val="22"/>
              </w:rPr>
              <w:fldChar w:fldCharType="end"/>
            </w:r>
          </w:hyperlink>
        </w:p>
        <w:p w14:paraId="22CACF9B" w14:textId="2B80E561"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23" w:history="1">
            <w:r w:rsidR="00C02512" w:rsidRPr="00CF189D">
              <w:rPr>
                <w:rStyle w:val="Hyperlink"/>
                <w:rFonts w:ascii="Calibri" w:hAnsi="Calibri" w:cs="Calibri"/>
                <w:b w:val="0"/>
                <w:bCs w:val="0"/>
                <w:noProof/>
              </w:rPr>
              <w:t>3.7. Conclusion</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_Toc41505623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108</w:t>
            </w:r>
            <w:r w:rsidR="00C02512" w:rsidRPr="00CF189D">
              <w:rPr>
                <w:rFonts w:ascii="Calibri" w:hAnsi="Calibri" w:cs="Calibri"/>
                <w:b w:val="0"/>
                <w:bCs w:val="0"/>
                <w:noProof/>
                <w:webHidden/>
              </w:rPr>
              <w:fldChar w:fldCharType="end"/>
            </w:r>
          </w:hyperlink>
        </w:p>
        <w:p w14:paraId="598B25CE" w14:textId="2BF1CEE1" w:rsidR="00C02512" w:rsidRPr="00CF189D" w:rsidRDefault="00573B45" w:rsidP="00C02512">
          <w:pPr>
            <w:pStyle w:val="TOC1"/>
            <w:tabs>
              <w:tab w:val="right" w:leader="dot" w:pos="9016"/>
            </w:tabs>
            <w:rPr>
              <w:rFonts w:ascii="Calibri" w:eastAsiaTheme="minorEastAsia" w:hAnsi="Calibri" w:cs="Calibri"/>
              <w:b w:val="0"/>
              <w:bCs w:val="0"/>
              <w:i w:val="0"/>
              <w:iCs w:val="0"/>
              <w:noProof/>
              <w:sz w:val="22"/>
              <w:szCs w:val="22"/>
              <w:lang w:val="en-US"/>
            </w:rPr>
          </w:pPr>
          <w:hyperlink w:anchor="_Toc41505624" w:history="1">
            <w:r w:rsidR="00C02512" w:rsidRPr="00CF189D">
              <w:rPr>
                <w:rStyle w:val="Hyperlink"/>
                <w:rFonts w:ascii="Calibri" w:hAnsi="Calibri" w:cs="Calibri"/>
                <w:b w:val="0"/>
                <w:bCs w:val="0"/>
                <w:i w:val="0"/>
                <w:iCs w:val="0"/>
                <w:noProof/>
                <w:sz w:val="22"/>
                <w:szCs w:val="22"/>
              </w:rPr>
              <w:t>Chapter 4.</w:t>
            </w:r>
            <w:r w:rsidR="00C02512" w:rsidRPr="00CF189D">
              <w:rPr>
                <w:rFonts w:ascii="Calibri" w:hAnsi="Calibri" w:cs="Calibri"/>
                <w:b w:val="0"/>
                <w:bCs w:val="0"/>
                <w:i w:val="0"/>
                <w:iCs w:val="0"/>
                <w:noProof/>
                <w:webHidden/>
                <w:sz w:val="22"/>
                <w:szCs w:val="22"/>
              </w:rPr>
              <w:tab/>
            </w:r>
            <w:r w:rsidR="00C02512" w:rsidRPr="00CF189D">
              <w:rPr>
                <w:rFonts w:ascii="Calibri" w:hAnsi="Calibri" w:cs="Calibri"/>
                <w:b w:val="0"/>
                <w:bCs w:val="0"/>
                <w:i w:val="0"/>
                <w:iCs w:val="0"/>
                <w:noProof/>
                <w:webHidden/>
                <w:sz w:val="22"/>
                <w:szCs w:val="22"/>
              </w:rPr>
              <w:fldChar w:fldCharType="begin"/>
            </w:r>
            <w:r w:rsidR="00C02512" w:rsidRPr="00CF189D">
              <w:rPr>
                <w:rFonts w:ascii="Calibri" w:hAnsi="Calibri" w:cs="Calibri"/>
                <w:b w:val="0"/>
                <w:bCs w:val="0"/>
                <w:i w:val="0"/>
                <w:iCs w:val="0"/>
                <w:noProof/>
                <w:webHidden/>
                <w:sz w:val="22"/>
                <w:szCs w:val="22"/>
              </w:rPr>
              <w:instrText xml:space="preserve"> PAGEREF _Toc41505624 \h </w:instrText>
            </w:r>
            <w:r w:rsidR="00C02512" w:rsidRPr="00CF189D">
              <w:rPr>
                <w:rFonts w:ascii="Calibri" w:hAnsi="Calibri" w:cs="Calibri"/>
                <w:b w:val="0"/>
                <w:bCs w:val="0"/>
                <w:i w:val="0"/>
                <w:iCs w:val="0"/>
                <w:noProof/>
                <w:webHidden/>
                <w:sz w:val="22"/>
                <w:szCs w:val="22"/>
              </w:rPr>
            </w:r>
            <w:r w:rsidR="00C02512" w:rsidRPr="00CF189D">
              <w:rPr>
                <w:rFonts w:ascii="Calibri" w:hAnsi="Calibri" w:cs="Calibri"/>
                <w:b w:val="0"/>
                <w:bCs w:val="0"/>
                <w:i w:val="0"/>
                <w:iCs w:val="0"/>
                <w:noProof/>
                <w:webHidden/>
                <w:sz w:val="22"/>
                <w:szCs w:val="22"/>
              </w:rPr>
              <w:fldChar w:fldCharType="separate"/>
            </w:r>
            <w:r w:rsidR="00B31D07">
              <w:rPr>
                <w:rFonts w:ascii="Calibri" w:hAnsi="Calibri" w:cs="Calibri"/>
                <w:b w:val="0"/>
                <w:bCs w:val="0"/>
                <w:i w:val="0"/>
                <w:iCs w:val="0"/>
                <w:noProof/>
                <w:webHidden/>
                <w:sz w:val="22"/>
                <w:szCs w:val="22"/>
              </w:rPr>
              <w:t>112</w:t>
            </w:r>
            <w:r w:rsidR="00C02512" w:rsidRPr="00CF189D">
              <w:rPr>
                <w:rFonts w:ascii="Calibri" w:hAnsi="Calibri" w:cs="Calibri"/>
                <w:b w:val="0"/>
                <w:bCs w:val="0"/>
                <w:i w:val="0"/>
                <w:iCs w:val="0"/>
                <w:noProof/>
                <w:webHidden/>
                <w:sz w:val="22"/>
                <w:szCs w:val="22"/>
              </w:rPr>
              <w:fldChar w:fldCharType="end"/>
            </w:r>
          </w:hyperlink>
        </w:p>
        <w:p w14:paraId="4A362807" w14:textId="176B6527" w:rsidR="00C02512" w:rsidRPr="00CF189D" w:rsidRDefault="00573B45" w:rsidP="00C02512">
          <w:pPr>
            <w:pStyle w:val="TOC1"/>
            <w:tabs>
              <w:tab w:val="right" w:leader="dot" w:pos="9016"/>
            </w:tabs>
            <w:rPr>
              <w:rFonts w:ascii="Calibri" w:eastAsiaTheme="minorEastAsia" w:hAnsi="Calibri" w:cs="Calibri"/>
              <w:b w:val="0"/>
              <w:bCs w:val="0"/>
              <w:i w:val="0"/>
              <w:iCs w:val="0"/>
              <w:noProof/>
              <w:sz w:val="22"/>
              <w:szCs w:val="22"/>
              <w:lang w:val="en-US"/>
            </w:rPr>
          </w:pPr>
          <w:hyperlink w:anchor="_Toc41505625" w:history="1">
            <w:r w:rsidR="00C02512" w:rsidRPr="00CF189D">
              <w:rPr>
                <w:rStyle w:val="Hyperlink"/>
                <w:rFonts w:ascii="Calibri" w:hAnsi="Calibri" w:cs="Calibri"/>
                <w:b w:val="0"/>
                <w:bCs w:val="0"/>
                <w:i w:val="0"/>
                <w:iCs w:val="0"/>
                <w:noProof/>
                <w:sz w:val="22"/>
                <w:szCs w:val="22"/>
              </w:rPr>
              <w:t>Justification: Humanitarianism, empty valleys, &amp; economic blindness</w:t>
            </w:r>
            <w:r w:rsidR="00C02512" w:rsidRPr="00CF189D">
              <w:rPr>
                <w:rFonts w:ascii="Calibri" w:hAnsi="Calibri" w:cs="Calibri"/>
                <w:b w:val="0"/>
                <w:bCs w:val="0"/>
                <w:i w:val="0"/>
                <w:iCs w:val="0"/>
                <w:noProof/>
                <w:webHidden/>
                <w:sz w:val="22"/>
                <w:szCs w:val="22"/>
              </w:rPr>
              <w:tab/>
            </w:r>
            <w:r w:rsidR="00C02512" w:rsidRPr="00CF189D">
              <w:rPr>
                <w:rFonts w:ascii="Calibri" w:hAnsi="Calibri" w:cs="Calibri"/>
                <w:b w:val="0"/>
                <w:bCs w:val="0"/>
                <w:i w:val="0"/>
                <w:iCs w:val="0"/>
                <w:noProof/>
                <w:webHidden/>
                <w:sz w:val="22"/>
                <w:szCs w:val="22"/>
              </w:rPr>
              <w:fldChar w:fldCharType="begin"/>
            </w:r>
            <w:r w:rsidR="00C02512" w:rsidRPr="00CF189D">
              <w:rPr>
                <w:rFonts w:ascii="Calibri" w:hAnsi="Calibri" w:cs="Calibri"/>
                <w:b w:val="0"/>
                <w:bCs w:val="0"/>
                <w:i w:val="0"/>
                <w:iCs w:val="0"/>
                <w:noProof/>
                <w:webHidden/>
                <w:sz w:val="22"/>
                <w:szCs w:val="22"/>
              </w:rPr>
              <w:instrText xml:space="preserve"> PAGEREF _Toc41505625 \h </w:instrText>
            </w:r>
            <w:r w:rsidR="00C02512" w:rsidRPr="00CF189D">
              <w:rPr>
                <w:rFonts w:ascii="Calibri" w:hAnsi="Calibri" w:cs="Calibri"/>
                <w:b w:val="0"/>
                <w:bCs w:val="0"/>
                <w:i w:val="0"/>
                <w:iCs w:val="0"/>
                <w:noProof/>
                <w:webHidden/>
                <w:sz w:val="22"/>
                <w:szCs w:val="22"/>
              </w:rPr>
            </w:r>
            <w:r w:rsidR="00C02512" w:rsidRPr="00CF189D">
              <w:rPr>
                <w:rFonts w:ascii="Calibri" w:hAnsi="Calibri" w:cs="Calibri"/>
                <w:b w:val="0"/>
                <w:bCs w:val="0"/>
                <w:i w:val="0"/>
                <w:iCs w:val="0"/>
                <w:noProof/>
                <w:webHidden/>
                <w:sz w:val="22"/>
                <w:szCs w:val="22"/>
              </w:rPr>
              <w:fldChar w:fldCharType="separate"/>
            </w:r>
            <w:r w:rsidR="00B31D07">
              <w:rPr>
                <w:rFonts w:ascii="Calibri" w:hAnsi="Calibri" w:cs="Calibri"/>
                <w:b w:val="0"/>
                <w:bCs w:val="0"/>
                <w:i w:val="0"/>
                <w:iCs w:val="0"/>
                <w:noProof/>
                <w:webHidden/>
                <w:sz w:val="22"/>
                <w:szCs w:val="22"/>
              </w:rPr>
              <w:t>112</w:t>
            </w:r>
            <w:r w:rsidR="00C02512" w:rsidRPr="00CF189D">
              <w:rPr>
                <w:rFonts w:ascii="Calibri" w:hAnsi="Calibri" w:cs="Calibri"/>
                <w:b w:val="0"/>
                <w:bCs w:val="0"/>
                <w:i w:val="0"/>
                <w:iCs w:val="0"/>
                <w:noProof/>
                <w:webHidden/>
                <w:sz w:val="22"/>
                <w:szCs w:val="22"/>
              </w:rPr>
              <w:fldChar w:fldCharType="end"/>
            </w:r>
          </w:hyperlink>
        </w:p>
        <w:p w14:paraId="1AAA665E" w14:textId="3DC2A56F"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26" w:history="1">
            <w:r w:rsidR="00C02512" w:rsidRPr="00CF189D">
              <w:rPr>
                <w:rStyle w:val="Hyperlink"/>
                <w:rFonts w:ascii="Calibri" w:hAnsi="Calibri" w:cs="Calibri"/>
                <w:b w:val="0"/>
                <w:bCs w:val="0"/>
                <w:noProof/>
              </w:rPr>
              <w:t>4.1. Introduction</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_Toc41505626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112</w:t>
            </w:r>
            <w:r w:rsidR="00C02512" w:rsidRPr="00CF189D">
              <w:rPr>
                <w:rFonts w:ascii="Calibri" w:hAnsi="Calibri" w:cs="Calibri"/>
                <w:b w:val="0"/>
                <w:bCs w:val="0"/>
                <w:noProof/>
                <w:webHidden/>
              </w:rPr>
              <w:fldChar w:fldCharType="end"/>
            </w:r>
          </w:hyperlink>
        </w:p>
        <w:p w14:paraId="1625E51D" w14:textId="239BE180"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27" w:history="1">
            <w:r w:rsidR="00C02512" w:rsidRPr="00CF189D">
              <w:rPr>
                <w:rStyle w:val="Hyperlink"/>
                <w:rFonts w:ascii="Calibri" w:hAnsi="Calibri" w:cs="Calibri"/>
                <w:b w:val="0"/>
                <w:bCs w:val="0"/>
                <w:noProof/>
              </w:rPr>
              <w:t>4.2. The (convoluted) path to a single programme objective</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_Toc41505627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113</w:t>
            </w:r>
            <w:r w:rsidR="00C02512" w:rsidRPr="00CF189D">
              <w:rPr>
                <w:rFonts w:ascii="Calibri" w:hAnsi="Calibri" w:cs="Calibri"/>
                <w:b w:val="0"/>
                <w:bCs w:val="0"/>
                <w:noProof/>
                <w:webHidden/>
              </w:rPr>
              <w:fldChar w:fldCharType="end"/>
            </w:r>
          </w:hyperlink>
        </w:p>
        <w:p w14:paraId="46D34F85" w14:textId="1AC4AD76"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28" w:history="1">
            <w:r w:rsidR="00C02512" w:rsidRPr="00CF189D">
              <w:rPr>
                <w:rStyle w:val="Hyperlink"/>
                <w:rFonts w:ascii="Calibri" w:hAnsi="Calibri" w:cs="Calibri"/>
                <w:noProof/>
                <w:sz w:val="22"/>
                <w:szCs w:val="22"/>
              </w:rPr>
              <w:t>4.2.A. Step 1: USAID staff ask the Bank to perform an economic analysis</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_Toc41505628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114</w:t>
            </w:r>
            <w:r w:rsidR="00C02512" w:rsidRPr="00CF189D">
              <w:rPr>
                <w:rFonts w:ascii="Calibri" w:hAnsi="Calibri" w:cs="Calibri"/>
                <w:noProof/>
                <w:webHidden/>
                <w:sz w:val="22"/>
                <w:szCs w:val="22"/>
              </w:rPr>
              <w:fldChar w:fldCharType="end"/>
            </w:r>
          </w:hyperlink>
        </w:p>
        <w:p w14:paraId="339E6DD2" w14:textId="4392281B"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29" w:history="1">
            <w:r w:rsidR="00C02512" w:rsidRPr="00CF189D">
              <w:rPr>
                <w:rStyle w:val="Hyperlink"/>
                <w:rFonts w:ascii="Calibri" w:hAnsi="Calibri" w:cs="Calibri"/>
                <w:noProof/>
                <w:sz w:val="22"/>
                <w:szCs w:val="22"/>
              </w:rPr>
              <w:t>4.2.B. Step 2: An identity crisis about multilateral mandates</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_Toc41505629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115</w:t>
            </w:r>
            <w:r w:rsidR="00C02512" w:rsidRPr="00CF189D">
              <w:rPr>
                <w:rFonts w:ascii="Calibri" w:hAnsi="Calibri" w:cs="Calibri"/>
                <w:noProof/>
                <w:webHidden/>
                <w:sz w:val="22"/>
                <w:szCs w:val="22"/>
              </w:rPr>
              <w:fldChar w:fldCharType="end"/>
            </w:r>
          </w:hyperlink>
        </w:p>
        <w:p w14:paraId="5FE7D639" w14:textId="3EFAD1B4"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30" w:history="1">
            <w:r w:rsidR="00C02512" w:rsidRPr="00CF189D">
              <w:rPr>
                <w:rStyle w:val="Hyperlink"/>
                <w:rFonts w:ascii="Calibri" w:hAnsi="Calibri" w:cs="Calibri"/>
                <w:noProof/>
                <w:sz w:val="22"/>
                <w:szCs w:val="22"/>
              </w:rPr>
              <w:t>4.2.C. Step 3: Compromising and saving face through a two objective approach</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_Toc41505630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116</w:t>
            </w:r>
            <w:r w:rsidR="00C02512" w:rsidRPr="00CF189D">
              <w:rPr>
                <w:rFonts w:ascii="Calibri" w:hAnsi="Calibri" w:cs="Calibri"/>
                <w:noProof/>
                <w:webHidden/>
                <w:sz w:val="22"/>
                <w:szCs w:val="22"/>
              </w:rPr>
              <w:fldChar w:fldCharType="end"/>
            </w:r>
          </w:hyperlink>
        </w:p>
        <w:p w14:paraId="5C1226BE" w14:textId="6DA7C54C"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31" w:history="1">
            <w:r w:rsidR="00C02512" w:rsidRPr="00CF189D">
              <w:rPr>
                <w:rStyle w:val="Hyperlink"/>
                <w:rFonts w:ascii="Calibri" w:hAnsi="Calibri" w:cs="Calibri"/>
                <w:noProof/>
                <w:sz w:val="22"/>
                <w:szCs w:val="22"/>
              </w:rPr>
              <w:t>4.2.D. Step 4: Faith in economic model-making and a single objective</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_Toc41505631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117</w:t>
            </w:r>
            <w:r w:rsidR="00C02512" w:rsidRPr="00CF189D">
              <w:rPr>
                <w:rFonts w:ascii="Calibri" w:hAnsi="Calibri" w:cs="Calibri"/>
                <w:noProof/>
                <w:webHidden/>
                <w:sz w:val="22"/>
                <w:szCs w:val="22"/>
              </w:rPr>
              <w:fldChar w:fldCharType="end"/>
            </w:r>
          </w:hyperlink>
        </w:p>
        <w:p w14:paraId="3F651F4A" w14:textId="7E7AC89F"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32" w:history="1">
            <w:r w:rsidR="00C02512" w:rsidRPr="00CF189D">
              <w:rPr>
                <w:rStyle w:val="Hyperlink"/>
                <w:rFonts w:ascii="Calibri" w:hAnsi="Calibri" w:cs="Calibri"/>
                <w:noProof/>
                <w:sz w:val="22"/>
                <w:szCs w:val="22"/>
              </w:rPr>
              <w:t>4.2.E. Step 5: Justifying the OCP to donors through vague economic promises</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_Toc41505632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119</w:t>
            </w:r>
            <w:r w:rsidR="00C02512" w:rsidRPr="00CF189D">
              <w:rPr>
                <w:rFonts w:ascii="Calibri" w:hAnsi="Calibri" w:cs="Calibri"/>
                <w:noProof/>
                <w:webHidden/>
                <w:sz w:val="22"/>
                <w:szCs w:val="22"/>
              </w:rPr>
              <w:fldChar w:fldCharType="end"/>
            </w:r>
          </w:hyperlink>
        </w:p>
        <w:p w14:paraId="256E32AD" w14:textId="19F3B011"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33" w:history="1">
            <w:r w:rsidR="00C02512" w:rsidRPr="00CF189D">
              <w:rPr>
                <w:rStyle w:val="Hyperlink"/>
                <w:rFonts w:ascii="Calibri" w:hAnsi="Calibri" w:cs="Calibri"/>
                <w:b w:val="0"/>
                <w:bCs w:val="0"/>
                <w:noProof/>
              </w:rPr>
              <w:t>4.3. Evolving programme objectives</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_Toc41505633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121</w:t>
            </w:r>
            <w:r w:rsidR="00C02512" w:rsidRPr="00CF189D">
              <w:rPr>
                <w:rFonts w:ascii="Calibri" w:hAnsi="Calibri" w:cs="Calibri"/>
                <w:b w:val="0"/>
                <w:bCs w:val="0"/>
                <w:noProof/>
                <w:webHidden/>
              </w:rPr>
              <w:fldChar w:fldCharType="end"/>
            </w:r>
          </w:hyperlink>
        </w:p>
        <w:p w14:paraId="0F9AD3B1" w14:textId="4BCD9129"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34" w:history="1">
            <w:r w:rsidR="00C02512" w:rsidRPr="00CF189D">
              <w:rPr>
                <w:rStyle w:val="Hyperlink"/>
                <w:rFonts w:ascii="Calibri" w:hAnsi="Calibri" w:cs="Calibri"/>
                <w:noProof/>
                <w:sz w:val="22"/>
                <w:szCs w:val="22"/>
              </w:rPr>
              <w:t>4.3.A. Objectives: operationalising socio-economic development</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_Toc41505634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122</w:t>
            </w:r>
            <w:r w:rsidR="00C02512" w:rsidRPr="00CF189D">
              <w:rPr>
                <w:rFonts w:ascii="Calibri" w:hAnsi="Calibri" w:cs="Calibri"/>
                <w:noProof/>
                <w:webHidden/>
                <w:sz w:val="22"/>
                <w:szCs w:val="22"/>
              </w:rPr>
              <w:fldChar w:fldCharType="end"/>
            </w:r>
          </w:hyperlink>
        </w:p>
        <w:p w14:paraId="41B7F3A9" w14:textId="393188BD"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35" w:history="1">
            <w:r w:rsidR="00C02512" w:rsidRPr="00CF189D">
              <w:rPr>
                <w:rStyle w:val="Hyperlink"/>
                <w:rFonts w:ascii="Calibri" w:hAnsi="Calibri" w:cs="Calibri"/>
                <w:noProof/>
                <w:sz w:val="22"/>
                <w:szCs w:val="22"/>
              </w:rPr>
              <w:t>4.3.B. Objectives: operationalising devolution</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_Toc41505635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123</w:t>
            </w:r>
            <w:r w:rsidR="00C02512" w:rsidRPr="00CF189D">
              <w:rPr>
                <w:rFonts w:ascii="Calibri" w:hAnsi="Calibri" w:cs="Calibri"/>
                <w:noProof/>
                <w:webHidden/>
                <w:sz w:val="22"/>
                <w:szCs w:val="22"/>
              </w:rPr>
              <w:fldChar w:fldCharType="end"/>
            </w:r>
          </w:hyperlink>
        </w:p>
        <w:p w14:paraId="490B6360" w14:textId="058CF3D3"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36" w:history="1">
            <w:r w:rsidR="00C02512" w:rsidRPr="00CF189D">
              <w:rPr>
                <w:rStyle w:val="Hyperlink"/>
                <w:rFonts w:ascii="Calibri" w:hAnsi="Calibri" w:cs="Calibri"/>
                <w:b w:val="0"/>
                <w:bCs w:val="0"/>
                <w:noProof/>
              </w:rPr>
              <w:t>4.4. Measuring the OCP’s epidemiological progress</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_Toc41505636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125</w:t>
            </w:r>
            <w:r w:rsidR="00C02512" w:rsidRPr="00CF189D">
              <w:rPr>
                <w:rFonts w:ascii="Calibri" w:hAnsi="Calibri" w:cs="Calibri"/>
                <w:b w:val="0"/>
                <w:bCs w:val="0"/>
                <w:noProof/>
                <w:webHidden/>
              </w:rPr>
              <w:fldChar w:fldCharType="end"/>
            </w:r>
          </w:hyperlink>
        </w:p>
        <w:p w14:paraId="54F03091" w14:textId="46553991"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37" w:history="1">
            <w:r w:rsidR="00C02512" w:rsidRPr="00CF189D">
              <w:rPr>
                <w:rStyle w:val="Hyperlink"/>
                <w:rFonts w:ascii="Calibri" w:hAnsi="Calibri" w:cs="Calibri"/>
                <w:noProof/>
                <w:sz w:val="22"/>
                <w:szCs w:val="22"/>
              </w:rPr>
              <w:t>4.4.A. Public health metrics used during the OCP</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_Toc41505637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125</w:t>
            </w:r>
            <w:r w:rsidR="00C02512" w:rsidRPr="00CF189D">
              <w:rPr>
                <w:rFonts w:ascii="Calibri" w:hAnsi="Calibri" w:cs="Calibri"/>
                <w:noProof/>
                <w:webHidden/>
                <w:sz w:val="22"/>
                <w:szCs w:val="22"/>
              </w:rPr>
              <w:fldChar w:fldCharType="end"/>
            </w:r>
          </w:hyperlink>
        </w:p>
        <w:p w14:paraId="1D840A96" w14:textId="4228CFD3"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38" w:history="1">
            <w:r w:rsidR="00C02512" w:rsidRPr="00CF189D">
              <w:rPr>
                <w:rStyle w:val="Hyperlink"/>
                <w:rFonts w:ascii="Calibri" w:hAnsi="Calibri" w:cs="Calibri"/>
                <w:noProof/>
                <w:sz w:val="22"/>
                <w:szCs w:val="22"/>
              </w:rPr>
              <w:t>4.4.B. Declaring epidemiological success</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_Toc41505638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127</w:t>
            </w:r>
            <w:r w:rsidR="00C02512" w:rsidRPr="00CF189D">
              <w:rPr>
                <w:rFonts w:ascii="Calibri" w:hAnsi="Calibri" w:cs="Calibri"/>
                <w:noProof/>
                <w:webHidden/>
                <w:sz w:val="22"/>
                <w:szCs w:val="22"/>
              </w:rPr>
              <w:fldChar w:fldCharType="end"/>
            </w:r>
          </w:hyperlink>
        </w:p>
        <w:p w14:paraId="6D96E326" w14:textId="198A2037"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39" w:history="1">
            <w:r w:rsidR="00C02512" w:rsidRPr="00CF189D">
              <w:rPr>
                <w:rStyle w:val="Hyperlink"/>
                <w:rFonts w:ascii="Calibri" w:hAnsi="Calibri" w:cs="Calibri"/>
                <w:b w:val="0"/>
                <w:bCs w:val="0"/>
                <w:noProof/>
              </w:rPr>
              <w:t>4.5. Measuring the OCP’s economic and development progress</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_Toc41505639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128</w:t>
            </w:r>
            <w:r w:rsidR="00C02512" w:rsidRPr="00CF189D">
              <w:rPr>
                <w:rFonts w:ascii="Calibri" w:hAnsi="Calibri" w:cs="Calibri"/>
                <w:b w:val="0"/>
                <w:bCs w:val="0"/>
                <w:noProof/>
                <w:webHidden/>
              </w:rPr>
              <w:fldChar w:fldCharType="end"/>
            </w:r>
          </w:hyperlink>
        </w:p>
        <w:p w14:paraId="50950DA8" w14:textId="73AA31A6"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40" w:history="1">
            <w:r w:rsidR="00C02512" w:rsidRPr="00CF189D">
              <w:rPr>
                <w:rStyle w:val="Hyperlink"/>
                <w:rFonts w:ascii="Calibri" w:hAnsi="Calibri" w:cs="Calibri"/>
                <w:noProof/>
                <w:sz w:val="22"/>
                <w:szCs w:val="22"/>
              </w:rPr>
              <w:t>4.5.A. Phase 1: The Bank’s development ‘Methodology’ (c. 1974-1977)</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_Toc41505640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129</w:t>
            </w:r>
            <w:r w:rsidR="00C02512" w:rsidRPr="00CF189D">
              <w:rPr>
                <w:rFonts w:ascii="Calibri" w:hAnsi="Calibri" w:cs="Calibri"/>
                <w:noProof/>
                <w:webHidden/>
                <w:sz w:val="22"/>
                <w:szCs w:val="22"/>
              </w:rPr>
              <w:fldChar w:fldCharType="end"/>
            </w:r>
          </w:hyperlink>
        </w:p>
        <w:p w14:paraId="0139D2C2" w14:textId="1B271A77"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41" w:history="1">
            <w:r w:rsidR="00C02512" w:rsidRPr="00CF189D">
              <w:rPr>
                <w:rStyle w:val="Hyperlink"/>
                <w:rFonts w:ascii="Calibri" w:hAnsi="Calibri" w:cs="Calibri"/>
                <w:noProof/>
                <w:sz w:val="22"/>
                <w:szCs w:val="22"/>
              </w:rPr>
              <w:t>4.5.B. Phase 2: The ‘myth of the fertile valleys’ (c. 1977-1980)</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_Toc41505641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135</w:t>
            </w:r>
            <w:r w:rsidR="00C02512" w:rsidRPr="00CF189D">
              <w:rPr>
                <w:rFonts w:ascii="Calibri" w:hAnsi="Calibri" w:cs="Calibri"/>
                <w:noProof/>
                <w:webHidden/>
                <w:sz w:val="22"/>
                <w:szCs w:val="22"/>
              </w:rPr>
              <w:fldChar w:fldCharType="end"/>
            </w:r>
          </w:hyperlink>
        </w:p>
        <w:p w14:paraId="2256FF18" w14:textId="13B95EE7"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42" w:history="1">
            <w:r w:rsidR="00C02512" w:rsidRPr="00CF189D">
              <w:rPr>
                <w:rStyle w:val="Hyperlink"/>
                <w:rFonts w:ascii="Calibri" w:hAnsi="Calibri" w:cs="Calibri"/>
                <w:noProof/>
                <w:sz w:val="22"/>
                <w:szCs w:val="22"/>
              </w:rPr>
              <w:t>4.5.C. Phase 3: Fresh attempts to model ‘economic blindness’ &amp; land value</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_Toc41505642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141</w:t>
            </w:r>
            <w:r w:rsidR="00C02512" w:rsidRPr="00CF189D">
              <w:rPr>
                <w:rFonts w:ascii="Calibri" w:hAnsi="Calibri" w:cs="Calibri"/>
                <w:noProof/>
                <w:webHidden/>
                <w:sz w:val="22"/>
                <w:szCs w:val="22"/>
              </w:rPr>
              <w:fldChar w:fldCharType="end"/>
            </w:r>
          </w:hyperlink>
        </w:p>
        <w:p w14:paraId="7E851269" w14:textId="7B93803B"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43" w:history="1">
            <w:r w:rsidR="00C02512" w:rsidRPr="00CF189D">
              <w:rPr>
                <w:rStyle w:val="Hyperlink"/>
                <w:rFonts w:ascii="Calibri" w:hAnsi="Calibri" w:cs="Calibri"/>
                <w:noProof/>
                <w:sz w:val="22"/>
                <w:szCs w:val="22"/>
              </w:rPr>
              <w:t>(c. 1981-1990)</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_Toc41505643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141</w:t>
            </w:r>
            <w:r w:rsidR="00C02512" w:rsidRPr="00CF189D">
              <w:rPr>
                <w:rFonts w:ascii="Calibri" w:hAnsi="Calibri" w:cs="Calibri"/>
                <w:noProof/>
                <w:webHidden/>
                <w:sz w:val="22"/>
                <w:szCs w:val="22"/>
              </w:rPr>
              <w:fldChar w:fldCharType="end"/>
            </w:r>
          </w:hyperlink>
        </w:p>
        <w:p w14:paraId="5220318E" w14:textId="18F82073"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44" w:history="1">
            <w:r w:rsidR="00C02512" w:rsidRPr="00CF189D">
              <w:rPr>
                <w:rStyle w:val="Hyperlink"/>
                <w:rFonts w:ascii="Calibri" w:hAnsi="Calibri" w:cs="Calibri"/>
                <w:noProof/>
                <w:sz w:val="22"/>
                <w:szCs w:val="22"/>
              </w:rPr>
              <w:t>4.5.D. Phase 4: A resounding, measurable socio-economic success (c. 1994-2002)</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_Toc41505644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156</w:t>
            </w:r>
            <w:r w:rsidR="00C02512" w:rsidRPr="00CF189D">
              <w:rPr>
                <w:rFonts w:ascii="Calibri" w:hAnsi="Calibri" w:cs="Calibri"/>
                <w:noProof/>
                <w:webHidden/>
                <w:sz w:val="22"/>
                <w:szCs w:val="22"/>
              </w:rPr>
              <w:fldChar w:fldCharType="end"/>
            </w:r>
          </w:hyperlink>
        </w:p>
        <w:p w14:paraId="3819E9EE" w14:textId="125A1159"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45" w:history="1">
            <w:r w:rsidR="00C02512" w:rsidRPr="00CF189D">
              <w:rPr>
                <w:rStyle w:val="Hyperlink"/>
                <w:rFonts w:ascii="Calibri" w:hAnsi="Calibri" w:cs="Calibri"/>
                <w:b w:val="0"/>
                <w:bCs w:val="0"/>
                <w:noProof/>
              </w:rPr>
              <w:t>4.6. Conclusion: Constructing metrics during the OCP</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_Toc41505645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162</w:t>
            </w:r>
            <w:r w:rsidR="00C02512" w:rsidRPr="00CF189D">
              <w:rPr>
                <w:rFonts w:ascii="Calibri" w:hAnsi="Calibri" w:cs="Calibri"/>
                <w:b w:val="0"/>
                <w:bCs w:val="0"/>
                <w:noProof/>
                <w:webHidden/>
              </w:rPr>
              <w:fldChar w:fldCharType="end"/>
            </w:r>
          </w:hyperlink>
        </w:p>
        <w:p w14:paraId="55302507" w14:textId="66BFF16F" w:rsidR="00C02512" w:rsidRPr="00CF189D" w:rsidRDefault="00573B45" w:rsidP="00C02512">
          <w:pPr>
            <w:pStyle w:val="TOC1"/>
            <w:tabs>
              <w:tab w:val="right" w:leader="dot" w:pos="9016"/>
            </w:tabs>
            <w:rPr>
              <w:rFonts w:ascii="Calibri" w:eastAsiaTheme="minorEastAsia" w:hAnsi="Calibri" w:cs="Calibri"/>
              <w:b w:val="0"/>
              <w:bCs w:val="0"/>
              <w:i w:val="0"/>
              <w:iCs w:val="0"/>
              <w:noProof/>
              <w:sz w:val="22"/>
              <w:szCs w:val="22"/>
              <w:lang w:val="en-US"/>
            </w:rPr>
          </w:pPr>
          <w:hyperlink w:anchor="_Toc41505646" w:history="1">
            <w:r w:rsidR="00C02512" w:rsidRPr="00CF189D">
              <w:rPr>
                <w:rStyle w:val="Hyperlink"/>
                <w:rFonts w:ascii="Calibri" w:hAnsi="Calibri" w:cs="Calibri"/>
                <w:b w:val="0"/>
                <w:bCs w:val="0"/>
                <w:i w:val="0"/>
                <w:iCs w:val="0"/>
                <w:noProof/>
                <w:sz w:val="22"/>
                <w:szCs w:val="22"/>
              </w:rPr>
              <w:t>Chapter 5.</w:t>
            </w:r>
            <w:r w:rsidR="00C02512" w:rsidRPr="00CF189D">
              <w:rPr>
                <w:rFonts w:ascii="Calibri" w:hAnsi="Calibri" w:cs="Calibri"/>
                <w:b w:val="0"/>
                <w:bCs w:val="0"/>
                <w:i w:val="0"/>
                <w:iCs w:val="0"/>
                <w:noProof/>
                <w:webHidden/>
                <w:sz w:val="22"/>
                <w:szCs w:val="22"/>
              </w:rPr>
              <w:tab/>
            </w:r>
            <w:r w:rsidR="00C02512" w:rsidRPr="00CF189D">
              <w:rPr>
                <w:rFonts w:ascii="Calibri" w:hAnsi="Calibri" w:cs="Calibri"/>
                <w:b w:val="0"/>
                <w:bCs w:val="0"/>
                <w:i w:val="0"/>
                <w:iCs w:val="0"/>
                <w:noProof/>
                <w:webHidden/>
                <w:sz w:val="22"/>
                <w:szCs w:val="22"/>
              </w:rPr>
              <w:fldChar w:fldCharType="begin"/>
            </w:r>
            <w:r w:rsidR="00C02512" w:rsidRPr="00CF189D">
              <w:rPr>
                <w:rFonts w:ascii="Calibri" w:hAnsi="Calibri" w:cs="Calibri"/>
                <w:b w:val="0"/>
                <w:bCs w:val="0"/>
                <w:i w:val="0"/>
                <w:iCs w:val="0"/>
                <w:noProof/>
                <w:webHidden/>
                <w:sz w:val="22"/>
                <w:szCs w:val="22"/>
              </w:rPr>
              <w:instrText xml:space="preserve"> PAGEREF _Toc41505646 \h </w:instrText>
            </w:r>
            <w:r w:rsidR="00C02512" w:rsidRPr="00CF189D">
              <w:rPr>
                <w:rFonts w:ascii="Calibri" w:hAnsi="Calibri" w:cs="Calibri"/>
                <w:b w:val="0"/>
                <w:bCs w:val="0"/>
                <w:i w:val="0"/>
                <w:iCs w:val="0"/>
                <w:noProof/>
                <w:webHidden/>
                <w:sz w:val="22"/>
                <w:szCs w:val="22"/>
              </w:rPr>
            </w:r>
            <w:r w:rsidR="00C02512" w:rsidRPr="00CF189D">
              <w:rPr>
                <w:rFonts w:ascii="Calibri" w:hAnsi="Calibri" w:cs="Calibri"/>
                <w:b w:val="0"/>
                <w:bCs w:val="0"/>
                <w:i w:val="0"/>
                <w:iCs w:val="0"/>
                <w:noProof/>
                <w:webHidden/>
                <w:sz w:val="22"/>
                <w:szCs w:val="22"/>
              </w:rPr>
              <w:fldChar w:fldCharType="separate"/>
            </w:r>
            <w:r w:rsidR="00B31D07">
              <w:rPr>
                <w:rFonts w:ascii="Calibri" w:hAnsi="Calibri" w:cs="Calibri"/>
                <w:b w:val="0"/>
                <w:bCs w:val="0"/>
                <w:i w:val="0"/>
                <w:iCs w:val="0"/>
                <w:noProof/>
                <w:webHidden/>
                <w:sz w:val="22"/>
                <w:szCs w:val="22"/>
              </w:rPr>
              <w:t>168</w:t>
            </w:r>
            <w:r w:rsidR="00C02512" w:rsidRPr="00CF189D">
              <w:rPr>
                <w:rFonts w:ascii="Calibri" w:hAnsi="Calibri" w:cs="Calibri"/>
                <w:b w:val="0"/>
                <w:bCs w:val="0"/>
                <w:i w:val="0"/>
                <w:iCs w:val="0"/>
                <w:noProof/>
                <w:webHidden/>
                <w:sz w:val="22"/>
                <w:szCs w:val="22"/>
              </w:rPr>
              <w:fldChar w:fldCharType="end"/>
            </w:r>
          </w:hyperlink>
        </w:p>
        <w:p w14:paraId="33096804" w14:textId="07F4895D" w:rsidR="00C02512" w:rsidRPr="00CF189D" w:rsidRDefault="00573B45" w:rsidP="00C02512">
          <w:pPr>
            <w:pStyle w:val="TOC1"/>
            <w:tabs>
              <w:tab w:val="right" w:leader="dot" w:pos="9016"/>
            </w:tabs>
            <w:rPr>
              <w:rFonts w:ascii="Calibri" w:eastAsiaTheme="minorEastAsia" w:hAnsi="Calibri" w:cs="Calibri"/>
              <w:b w:val="0"/>
              <w:bCs w:val="0"/>
              <w:i w:val="0"/>
              <w:iCs w:val="0"/>
              <w:noProof/>
              <w:sz w:val="22"/>
              <w:szCs w:val="22"/>
              <w:lang w:val="en-US"/>
            </w:rPr>
          </w:pPr>
          <w:hyperlink w:anchor="_Toc41505647" w:history="1">
            <w:r w:rsidR="00C02512" w:rsidRPr="00CF189D">
              <w:rPr>
                <w:rStyle w:val="Hyperlink"/>
                <w:rFonts w:ascii="Calibri" w:hAnsi="Calibri" w:cs="Calibri"/>
                <w:b w:val="0"/>
                <w:bCs w:val="0"/>
                <w:i w:val="0"/>
                <w:iCs w:val="0"/>
                <w:noProof/>
                <w:sz w:val="22"/>
                <w:szCs w:val="22"/>
              </w:rPr>
              <w:t>Financing: ‘The Bank, the Godfather of the OCP’</w:t>
            </w:r>
            <w:r w:rsidR="00C02512" w:rsidRPr="00CF189D">
              <w:rPr>
                <w:rFonts w:ascii="Calibri" w:hAnsi="Calibri" w:cs="Calibri"/>
                <w:b w:val="0"/>
                <w:bCs w:val="0"/>
                <w:i w:val="0"/>
                <w:iCs w:val="0"/>
                <w:noProof/>
                <w:webHidden/>
                <w:sz w:val="22"/>
                <w:szCs w:val="22"/>
              </w:rPr>
              <w:tab/>
            </w:r>
            <w:r w:rsidR="00C02512" w:rsidRPr="00CF189D">
              <w:rPr>
                <w:rFonts w:ascii="Calibri" w:hAnsi="Calibri" w:cs="Calibri"/>
                <w:b w:val="0"/>
                <w:bCs w:val="0"/>
                <w:i w:val="0"/>
                <w:iCs w:val="0"/>
                <w:noProof/>
                <w:webHidden/>
                <w:sz w:val="22"/>
                <w:szCs w:val="22"/>
              </w:rPr>
              <w:fldChar w:fldCharType="begin"/>
            </w:r>
            <w:r w:rsidR="00C02512" w:rsidRPr="00CF189D">
              <w:rPr>
                <w:rFonts w:ascii="Calibri" w:hAnsi="Calibri" w:cs="Calibri"/>
                <w:b w:val="0"/>
                <w:bCs w:val="0"/>
                <w:i w:val="0"/>
                <w:iCs w:val="0"/>
                <w:noProof/>
                <w:webHidden/>
                <w:sz w:val="22"/>
                <w:szCs w:val="22"/>
              </w:rPr>
              <w:instrText xml:space="preserve"> PAGEREF _Toc41505647 \h </w:instrText>
            </w:r>
            <w:r w:rsidR="00C02512" w:rsidRPr="00CF189D">
              <w:rPr>
                <w:rFonts w:ascii="Calibri" w:hAnsi="Calibri" w:cs="Calibri"/>
                <w:b w:val="0"/>
                <w:bCs w:val="0"/>
                <w:i w:val="0"/>
                <w:iCs w:val="0"/>
                <w:noProof/>
                <w:webHidden/>
                <w:sz w:val="22"/>
                <w:szCs w:val="22"/>
              </w:rPr>
            </w:r>
            <w:r w:rsidR="00C02512" w:rsidRPr="00CF189D">
              <w:rPr>
                <w:rFonts w:ascii="Calibri" w:hAnsi="Calibri" w:cs="Calibri"/>
                <w:b w:val="0"/>
                <w:bCs w:val="0"/>
                <w:i w:val="0"/>
                <w:iCs w:val="0"/>
                <w:noProof/>
                <w:webHidden/>
                <w:sz w:val="22"/>
                <w:szCs w:val="22"/>
              </w:rPr>
              <w:fldChar w:fldCharType="separate"/>
            </w:r>
            <w:r w:rsidR="00B31D07">
              <w:rPr>
                <w:rFonts w:ascii="Calibri" w:hAnsi="Calibri" w:cs="Calibri"/>
                <w:b w:val="0"/>
                <w:bCs w:val="0"/>
                <w:i w:val="0"/>
                <w:iCs w:val="0"/>
                <w:noProof/>
                <w:webHidden/>
                <w:sz w:val="22"/>
                <w:szCs w:val="22"/>
              </w:rPr>
              <w:t>168</w:t>
            </w:r>
            <w:r w:rsidR="00C02512" w:rsidRPr="00CF189D">
              <w:rPr>
                <w:rFonts w:ascii="Calibri" w:hAnsi="Calibri" w:cs="Calibri"/>
                <w:b w:val="0"/>
                <w:bCs w:val="0"/>
                <w:i w:val="0"/>
                <w:iCs w:val="0"/>
                <w:noProof/>
                <w:webHidden/>
                <w:sz w:val="22"/>
                <w:szCs w:val="22"/>
              </w:rPr>
              <w:fldChar w:fldCharType="end"/>
            </w:r>
          </w:hyperlink>
        </w:p>
        <w:p w14:paraId="0AE83F91" w14:textId="64ADBFF2"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48" w:history="1">
            <w:r w:rsidR="00C02512" w:rsidRPr="00CF189D">
              <w:rPr>
                <w:rStyle w:val="Hyperlink"/>
                <w:rFonts w:ascii="Calibri" w:hAnsi="Calibri" w:cs="Calibri"/>
                <w:b w:val="0"/>
                <w:bCs w:val="0"/>
                <w:noProof/>
              </w:rPr>
              <w:t>5.1. Introduction</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_Toc41505648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168</w:t>
            </w:r>
            <w:r w:rsidR="00C02512" w:rsidRPr="00CF189D">
              <w:rPr>
                <w:rFonts w:ascii="Calibri" w:hAnsi="Calibri" w:cs="Calibri"/>
                <w:b w:val="0"/>
                <w:bCs w:val="0"/>
                <w:noProof/>
                <w:webHidden/>
              </w:rPr>
              <w:fldChar w:fldCharType="end"/>
            </w:r>
          </w:hyperlink>
        </w:p>
        <w:p w14:paraId="0ADB568D" w14:textId="1AD6F11D"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49" w:history="1">
            <w:r w:rsidR="00C02512" w:rsidRPr="00CF189D">
              <w:rPr>
                <w:rStyle w:val="Hyperlink"/>
                <w:rFonts w:ascii="Calibri" w:hAnsi="Calibri" w:cs="Calibri"/>
                <w:b w:val="0"/>
                <w:bCs w:val="0"/>
                <w:noProof/>
              </w:rPr>
              <w:t>5.2. Drivers of the Bank-managed trust fund model</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_Toc41505649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169</w:t>
            </w:r>
            <w:r w:rsidR="00C02512" w:rsidRPr="00CF189D">
              <w:rPr>
                <w:rFonts w:ascii="Calibri" w:hAnsi="Calibri" w:cs="Calibri"/>
                <w:b w:val="0"/>
                <w:bCs w:val="0"/>
                <w:noProof/>
                <w:webHidden/>
              </w:rPr>
              <w:fldChar w:fldCharType="end"/>
            </w:r>
          </w:hyperlink>
        </w:p>
        <w:p w14:paraId="1B940D88" w14:textId="0C5D3B3F"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50" w:history="1">
            <w:r w:rsidR="00C02512" w:rsidRPr="00CF189D">
              <w:rPr>
                <w:rStyle w:val="Hyperlink"/>
                <w:rFonts w:ascii="Calibri" w:hAnsi="Calibri" w:cs="Calibri"/>
                <w:noProof/>
                <w:sz w:val="22"/>
                <w:szCs w:val="22"/>
                <w:lang w:val="en-US"/>
              </w:rPr>
              <w:t>5.2.A. Internal Bank challenges</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_Toc41505650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169</w:t>
            </w:r>
            <w:r w:rsidR="00C02512" w:rsidRPr="00CF189D">
              <w:rPr>
                <w:rFonts w:ascii="Calibri" w:hAnsi="Calibri" w:cs="Calibri"/>
                <w:noProof/>
                <w:webHidden/>
                <w:sz w:val="22"/>
                <w:szCs w:val="22"/>
              </w:rPr>
              <w:fldChar w:fldCharType="end"/>
            </w:r>
          </w:hyperlink>
        </w:p>
        <w:p w14:paraId="19D7D7A0" w14:textId="48298083"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51" w:history="1">
            <w:r w:rsidR="00C02512" w:rsidRPr="00CF189D">
              <w:rPr>
                <w:rStyle w:val="Hyperlink"/>
                <w:rFonts w:ascii="Calibri" w:hAnsi="Calibri" w:cs="Calibri"/>
                <w:noProof/>
                <w:sz w:val="22"/>
                <w:szCs w:val="22"/>
                <w:lang w:val="en-US"/>
              </w:rPr>
              <w:t>5.2.B. External pressures from sponsoring agencies and donors</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_Toc41505651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171</w:t>
            </w:r>
            <w:r w:rsidR="00C02512" w:rsidRPr="00CF189D">
              <w:rPr>
                <w:rFonts w:ascii="Calibri" w:hAnsi="Calibri" w:cs="Calibri"/>
                <w:noProof/>
                <w:webHidden/>
                <w:sz w:val="22"/>
                <w:szCs w:val="22"/>
              </w:rPr>
              <w:fldChar w:fldCharType="end"/>
            </w:r>
          </w:hyperlink>
        </w:p>
        <w:p w14:paraId="0877D7F7" w14:textId="14137EB4"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52" w:history="1">
            <w:r w:rsidR="00C02512" w:rsidRPr="00CF189D">
              <w:rPr>
                <w:rStyle w:val="Hyperlink"/>
                <w:rFonts w:ascii="Calibri" w:hAnsi="Calibri" w:cs="Calibri"/>
                <w:noProof/>
                <w:sz w:val="22"/>
                <w:szCs w:val="22"/>
              </w:rPr>
              <w:t>5.2.C. An entrenched Bank fiscal guardianship</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_Toc41505652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175</w:t>
            </w:r>
            <w:r w:rsidR="00C02512" w:rsidRPr="00CF189D">
              <w:rPr>
                <w:rFonts w:ascii="Calibri" w:hAnsi="Calibri" w:cs="Calibri"/>
                <w:noProof/>
                <w:webHidden/>
                <w:sz w:val="22"/>
                <w:szCs w:val="22"/>
              </w:rPr>
              <w:fldChar w:fldCharType="end"/>
            </w:r>
          </w:hyperlink>
        </w:p>
        <w:p w14:paraId="78A4D31A" w14:textId="0989D140"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53" w:history="1">
            <w:r w:rsidR="00C02512" w:rsidRPr="00CF189D">
              <w:rPr>
                <w:rStyle w:val="Hyperlink"/>
                <w:rFonts w:ascii="Calibri" w:hAnsi="Calibri" w:cs="Calibri"/>
                <w:b w:val="0"/>
                <w:bCs w:val="0"/>
                <w:noProof/>
              </w:rPr>
              <w:t>5.3. Structuring the Onchocerciasis Fund</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_Toc41505653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176</w:t>
            </w:r>
            <w:r w:rsidR="00C02512" w:rsidRPr="00CF189D">
              <w:rPr>
                <w:rFonts w:ascii="Calibri" w:hAnsi="Calibri" w:cs="Calibri"/>
                <w:b w:val="0"/>
                <w:bCs w:val="0"/>
                <w:noProof/>
                <w:webHidden/>
              </w:rPr>
              <w:fldChar w:fldCharType="end"/>
            </w:r>
          </w:hyperlink>
        </w:p>
        <w:p w14:paraId="66438B5F" w14:textId="6C18F3BE"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54" w:history="1">
            <w:r w:rsidR="00C02512" w:rsidRPr="00CF189D">
              <w:rPr>
                <w:rStyle w:val="Hyperlink"/>
                <w:rFonts w:ascii="Calibri" w:hAnsi="Calibri" w:cs="Calibri"/>
                <w:noProof/>
                <w:sz w:val="22"/>
                <w:szCs w:val="22"/>
              </w:rPr>
              <w:t>5.3.A. Pooling contributions for a global public good</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_Toc41505654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177</w:t>
            </w:r>
            <w:r w:rsidR="00C02512" w:rsidRPr="00CF189D">
              <w:rPr>
                <w:rFonts w:ascii="Calibri" w:hAnsi="Calibri" w:cs="Calibri"/>
                <w:noProof/>
                <w:webHidden/>
                <w:sz w:val="22"/>
                <w:szCs w:val="22"/>
              </w:rPr>
              <w:fldChar w:fldCharType="end"/>
            </w:r>
          </w:hyperlink>
        </w:p>
        <w:p w14:paraId="4846B053" w14:textId="349C768C"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55" w:history="1">
            <w:r w:rsidR="00C02512" w:rsidRPr="00CF189D">
              <w:rPr>
                <w:rStyle w:val="Hyperlink"/>
                <w:rFonts w:ascii="Calibri" w:hAnsi="Calibri" w:cs="Calibri"/>
                <w:noProof/>
                <w:sz w:val="22"/>
                <w:szCs w:val="22"/>
              </w:rPr>
              <w:t>5.3.B. Tying of contributions</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_Toc41505655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178</w:t>
            </w:r>
            <w:r w:rsidR="00C02512" w:rsidRPr="00CF189D">
              <w:rPr>
                <w:rFonts w:ascii="Calibri" w:hAnsi="Calibri" w:cs="Calibri"/>
                <w:noProof/>
                <w:webHidden/>
                <w:sz w:val="22"/>
                <w:szCs w:val="22"/>
              </w:rPr>
              <w:fldChar w:fldCharType="end"/>
            </w:r>
          </w:hyperlink>
        </w:p>
        <w:p w14:paraId="5AE740CF" w14:textId="58AC6584"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56" w:history="1">
            <w:r w:rsidR="00C02512" w:rsidRPr="00CF189D">
              <w:rPr>
                <w:rStyle w:val="Hyperlink"/>
                <w:rFonts w:ascii="Calibri" w:hAnsi="Calibri" w:cs="Calibri"/>
                <w:noProof/>
                <w:sz w:val="22"/>
                <w:szCs w:val="22"/>
              </w:rPr>
              <w:t>5.3.C. The Bank as a donor</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_Toc41505656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179</w:t>
            </w:r>
            <w:r w:rsidR="00C02512" w:rsidRPr="00CF189D">
              <w:rPr>
                <w:rFonts w:ascii="Calibri" w:hAnsi="Calibri" w:cs="Calibri"/>
                <w:noProof/>
                <w:webHidden/>
                <w:sz w:val="22"/>
                <w:szCs w:val="22"/>
              </w:rPr>
              <w:fldChar w:fldCharType="end"/>
            </w:r>
          </w:hyperlink>
        </w:p>
        <w:p w14:paraId="74AE2B2C" w14:textId="10EEAF5E"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57" w:history="1">
            <w:r w:rsidR="00C02512" w:rsidRPr="00CF189D">
              <w:rPr>
                <w:rStyle w:val="Hyperlink"/>
                <w:rFonts w:ascii="Calibri" w:hAnsi="Calibri" w:cs="Calibri"/>
                <w:b w:val="0"/>
                <w:bCs w:val="0"/>
                <w:noProof/>
              </w:rPr>
              <w:t>5.4. Onchocerciasis Fund structure</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_Toc41505657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180</w:t>
            </w:r>
            <w:r w:rsidR="00C02512" w:rsidRPr="00CF189D">
              <w:rPr>
                <w:rFonts w:ascii="Calibri" w:hAnsi="Calibri" w:cs="Calibri"/>
                <w:b w:val="0"/>
                <w:bCs w:val="0"/>
                <w:noProof/>
                <w:webHidden/>
              </w:rPr>
              <w:fldChar w:fldCharType="end"/>
            </w:r>
          </w:hyperlink>
        </w:p>
        <w:p w14:paraId="58BB3F5A" w14:textId="015BB749"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58" w:history="1">
            <w:r w:rsidR="00C02512" w:rsidRPr="00CF189D">
              <w:rPr>
                <w:rStyle w:val="Hyperlink"/>
                <w:rFonts w:ascii="Calibri" w:hAnsi="Calibri" w:cs="Calibri"/>
                <w:b w:val="0"/>
                <w:bCs w:val="0"/>
                <w:noProof/>
              </w:rPr>
              <w:t>5.5. A new, influential health trust fund model</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_Toc41505658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182</w:t>
            </w:r>
            <w:r w:rsidR="00C02512" w:rsidRPr="00CF189D">
              <w:rPr>
                <w:rFonts w:ascii="Calibri" w:hAnsi="Calibri" w:cs="Calibri"/>
                <w:b w:val="0"/>
                <w:bCs w:val="0"/>
                <w:noProof/>
                <w:webHidden/>
              </w:rPr>
              <w:fldChar w:fldCharType="end"/>
            </w:r>
          </w:hyperlink>
        </w:p>
        <w:p w14:paraId="227A5004" w14:textId="428F4B8A"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59" w:history="1">
            <w:r w:rsidR="00C02512" w:rsidRPr="00CF189D">
              <w:rPr>
                <w:rStyle w:val="Hyperlink"/>
                <w:rFonts w:ascii="Calibri" w:hAnsi="Calibri" w:cs="Calibri"/>
                <w:b w:val="0"/>
                <w:bCs w:val="0"/>
                <w:noProof/>
              </w:rPr>
              <w:t>5.6. Budgeting: transparency and priorities</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_Toc41505659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183</w:t>
            </w:r>
            <w:r w:rsidR="00C02512" w:rsidRPr="00CF189D">
              <w:rPr>
                <w:rFonts w:ascii="Calibri" w:hAnsi="Calibri" w:cs="Calibri"/>
                <w:b w:val="0"/>
                <w:bCs w:val="0"/>
                <w:noProof/>
                <w:webHidden/>
              </w:rPr>
              <w:fldChar w:fldCharType="end"/>
            </w:r>
          </w:hyperlink>
        </w:p>
        <w:p w14:paraId="495C67A5" w14:textId="6FCA0CF7"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60" w:history="1">
            <w:r w:rsidR="00C02512" w:rsidRPr="00CF189D">
              <w:rPr>
                <w:rStyle w:val="Hyperlink"/>
                <w:rFonts w:ascii="Calibri" w:hAnsi="Calibri" w:cs="Calibri"/>
                <w:noProof/>
                <w:sz w:val="22"/>
                <w:szCs w:val="22"/>
              </w:rPr>
              <w:t>5.6.A. Estimates of total costs</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_Toc41505660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183</w:t>
            </w:r>
            <w:r w:rsidR="00C02512" w:rsidRPr="00CF189D">
              <w:rPr>
                <w:rFonts w:ascii="Calibri" w:hAnsi="Calibri" w:cs="Calibri"/>
                <w:noProof/>
                <w:webHidden/>
                <w:sz w:val="22"/>
                <w:szCs w:val="22"/>
              </w:rPr>
              <w:fldChar w:fldCharType="end"/>
            </w:r>
          </w:hyperlink>
        </w:p>
        <w:p w14:paraId="7900F5A3" w14:textId="4CF9C965"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61" w:history="1">
            <w:r w:rsidR="00C02512" w:rsidRPr="00CF189D">
              <w:rPr>
                <w:rStyle w:val="Hyperlink"/>
                <w:rFonts w:ascii="Calibri" w:hAnsi="Calibri" w:cs="Calibri"/>
                <w:noProof/>
                <w:sz w:val="22"/>
                <w:szCs w:val="22"/>
              </w:rPr>
              <w:t>5.6.B. The Bank’s budgetary prowess?</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_Toc41505661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189</w:t>
            </w:r>
            <w:r w:rsidR="00C02512" w:rsidRPr="00CF189D">
              <w:rPr>
                <w:rFonts w:ascii="Calibri" w:hAnsi="Calibri" w:cs="Calibri"/>
                <w:noProof/>
                <w:webHidden/>
                <w:sz w:val="22"/>
                <w:szCs w:val="22"/>
              </w:rPr>
              <w:fldChar w:fldCharType="end"/>
            </w:r>
          </w:hyperlink>
        </w:p>
        <w:p w14:paraId="34DC601B" w14:textId="6EE6912B"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62" w:history="1">
            <w:r w:rsidR="00C02512" w:rsidRPr="00CF189D">
              <w:rPr>
                <w:rStyle w:val="Hyperlink"/>
                <w:rFonts w:ascii="Calibri" w:hAnsi="Calibri" w:cs="Calibri"/>
                <w:noProof/>
                <w:sz w:val="22"/>
                <w:szCs w:val="22"/>
              </w:rPr>
              <w:t>5.6.C. The programme’s budgetary priorities</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_Toc41505662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191</w:t>
            </w:r>
            <w:r w:rsidR="00C02512" w:rsidRPr="00CF189D">
              <w:rPr>
                <w:rFonts w:ascii="Calibri" w:hAnsi="Calibri" w:cs="Calibri"/>
                <w:noProof/>
                <w:webHidden/>
                <w:sz w:val="22"/>
                <w:szCs w:val="22"/>
              </w:rPr>
              <w:fldChar w:fldCharType="end"/>
            </w:r>
          </w:hyperlink>
        </w:p>
        <w:p w14:paraId="055FC940" w14:textId="4B2663B8"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63" w:history="1">
            <w:r w:rsidR="00C02512" w:rsidRPr="00CF189D">
              <w:rPr>
                <w:rStyle w:val="Hyperlink"/>
                <w:rFonts w:ascii="Calibri" w:hAnsi="Calibri" w:cs="Calibri"/>
                <w:b w:val="0"/>
                <w:bCs w:val="0"/>
                <w:noProof/>
              </w:rPr>
              <w:t>5.7. Onchocerciasis Fund donors: the usual suspects</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_Toc41505663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197</w:t>
            </w:r>
            <w:r w:rsidR="00C02512" w:rsidRPr="00CF189D">
              <w:rPr>
                <w:rFonts w:ascii="Calibri" w:hAnsi="Calibri" w:cs="Calibri"/>
                <w:b w:val="0"/>
                <w:bCs w:val="0"/>
                <w:noProof/>
                <w:webHidden/>
              </w:rPr>
              <w:fldChar w:fldCharType="end"/>
            </w:r>
          </w:hyperlink>
        </w:p>
        <w:p w14:paraId="46B83CC5" w14:textId="2C55B68D"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64" w:history="1">
            <w:r w:rsidR="00C02512" w:rsidRPr="00CF189D">
              <w:rPr>
                <w:rStyle w:val="Hyperlink"/>
                <w:rFonts w:ascii="Calibri" w:hAnsi="Calibri" w:cs="Calibri"/>
                <w:noProof/>
                <w:sz w:val="22"/>
                <w:szCs w:val="22"/>
              </w:rPr>
              <w:t>5.7.A. Donor consistency – but not innovation</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_Toc41505664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197</w:t>
            </w:r>
            <w:r w:rsidR="00C02512" w:rsidRPr="00CF189D">
              <w:rPr>
                <w:rFonts w:ascii="Calibri" w:hAnsi="Calibri" w:cs="Calibri"/>
                <w:noProof/>
                <w:webHidden/>
                <w:sz w:val="22"/>
                <w:szCs w:val="22"/>
              </w:rPr>
              <w:fldChar w:fldCharType="end"/>
            </w:r>
          </w:hyperlink>
        </w:p>
        <w:p w14:paraId="250024F7" w14:textId="617BB62F"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65" w:history="1">
            <w:r w:rsidR="00C02512" w:rsidRPr="00CF189D">
              <w:rPr>
                <w:rStyle w:val="Hyperlink"/>
                <w:rFonts w:ascii="Calibri" w:hAnsi="Calibri" w:cs="Calibri"/>
                <w:noProof/>
                <w:sz w:val="22"/>
                <w:szCs w:val="22"/>
              </w:rPr>
              <w:t>5.7.B. Sponsoring agencies as (inconsistent) donors</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_Toc41505665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201</w:t>
            </w:r>
            <w:r w:rsidR="00C02512" w:rsidRPr="00CF189D">
              <w:rPr>
                <w:rFonts w:ascii="Calibri" w:hAnsi="Calibri" w:cs="Calibri"/>
                <w:noProof/>
                <w:webHidden/>
                <w:sz w:val="22"/>
                <w:szCs w:val="22"/>
              </w:rPr>
              <w:fldChar w:fldCharType="end"/>
            </w:r>
          </w:hyperlink>
        </w:p>
        <w:p w14:paraId="1196D194" w14:textId="0F069994"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66" w:history="1">
            <w:r w:rsidR="00C02512" w:rsidRPr="00CF189D">
              <w:rPr>
                <w:rStyle w:val="Hyperlink"/>
                <w:rFonts w:ascii="Calibri" w:hAnsi="Calibri" w:cs="Calibri"/>
                <w:noProof/>
                <w:sz w:val="22"/>
                <w:szCs w:val="22"/>
              </w:rPr>
              <w:t>5.7.C. Participating countries as donors (in principle)</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_Toc41505666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204</w:t>
            </w:r>
            <w:r w:rsidR="00C02512" w:rsidRPr="00CF189D">
              <w:rPr>
                <w:rFonts w:ascii="Calibri" w:hAnsi="Calibri" w:cs="Calibri"/>
                <w:noProof/>
                <w:webHidden/>
                <w:sz w:val="22"/>
                <w:szCs w:val="22"/>
              </w:rPr>
              <w:fldChar w:fldCharType="end"/>
            </w:r>
          </w:hyperlink>
        </w:p>
        <w:p w14:paraId="61F2D6EE" w14:textId="78A69F09"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67" w:history="1">
            <w:r w:rsidR="00C02512" w:rsidRPr="00CF189D">
              <w:rPr>
                <w:rStyle w:val="Hyperlink"/>
                <w:rFonts w:ascii="Calibri" w:hAnsi="Calibri" w:cs="Calibri"/>
                <w:b w:val="0"/>
                <w:bCs w:val="0"/>
                <w:noProof/>
              </w:rPr>
              <w:t>5.8. Godfathering the Fund</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_Toc41505667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206</w:t>
            </w:r>
            <w:r w:rsidR="00C02512" w:rsidRPr="00CF189D">
              <w:rPr>
                <w:rFonts w:ascii="Calibri" w:hAnsi="Calibri" w:cs="Calibri"/>
                <w:b w:val="0"/>
                <w:bCs w:val="0"/>
                <w:noProof/>
                <w:webHidden/>
              </w:rPr>
              <w:fldChar w:fldCharType="end"/>
            </w:r>
          </w:hyperlink>
        </w:p>
        <w:p w14:paraId="3C2C6332" w14:textId="6C79C577"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68" w:history="1">
            <w:r w:rsidR="00C02512" w:rsidRPr="00CF189D">
              <w:rPr>
                <w:rStyle w:val="Hyperlink"/>
                <w:rFonts w:ascii="Calibri" w:hAnsi="Calibri" w:cs="Calibri"/>
                <w:noProof/>
                <w:sz w:val="22"/>
                <w:szCs w:val="22"/>
              </w:rPr>
              <w:t>5.8.A. Strategically building donor interest: the carrot and the stick</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_Toc41505668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207</w:t>
            </w:r>
            <w:r w:rsidR="00C02512" w:rsidRPr="00CF189D">
              <w:rPr>
                <w:rFonts w:ascii="Calibri" w:hAnsi="Calibri" w:cs="Calibri"/>
                <w:noProof/>
                <w:webHidden/>
                <w:sz w:val="22"/>
                <w:szCs w:val="22"/>
              </w:rPr>
              <w:fldChar w:fldCharType="end"/>
            </w:r>
          </w:hyperlink>
        </w:p>
        <w:p w14:paraId="0DE63CE0" w14:textId="135240CD"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69" w:history="1">
            <w:r w:rsidR="00C02512" w:rsidRPr="00CF189D">
              <w:rPr>
                <w:rStyle w:val="Hyperlink"/>
                <w:rFonts w:ascii="Calibri" w:hAnsi="Calibri" w:cs="Calibri"/>
                <w:noProof/>
                <w:sz w:val="22"/>
                <w:szCs w:val="22"/>
              </w:rPr>
              <w:t>5.9. Maintaining and strengthening donor interest through visual marketing</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_Toc41505669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212</w:t>
            </w:r>
            <w:r w:rsidR="00C02512" w:rsidRPr="00CF189D">
              <w:rPr>
                <w:rFonts w:ascii="Calibri" w:hAnsi="Calibri" w:cs="Calibri"/>
                <w:noProof/>
                <w:webHidden/>
                <w:sz w:val="22"/>
                <w:szCs w:val="22"/>
              </w:rPr>
              <w:fldChar w:fldCharType="end"/>
            </w:r>
          </w:hyperlink>
        </w:p>
        <w:p w14:paraId="54BA0A55" w14:textId="0F96877F"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70" w:history="1">
            <w:r w:rsidR="00C02512" w:rsidRPr="00CF189D">
              <w:rPr>
                <w:rStyle w:val="Hyperlink"/>
                <w:rFonts w:ascii="Calibri" w:hAnsi="Calibri" w:cs="Calibri"/>
                <w:b w:val="0"/>
                <w:bCs w:val="0"/>
                <w:noProof/>
              </w:rPr>
              <w:t>5.9. Conclusion</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_Toc41505670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218</w:t>
            </w:r>
            <w:r w:rsidR="00C02512" w:rsidRPr="00CF189D">
              <w:rPr>
                <w:rFonts w:ascii="Calibri" w:hAnsi="Calibri" w:cs="Calibri"/>
                <w:b w:val="0"/>
                <w:bCs w:val="0"/>
                <w:noProof/>
                <w:webHidden/>
              </w:rPr>
              <w:fldChar w:fldCharType="end"/>
            </w:r>
          </w:hyperlink>
        </w:p>
        <w:p w14:paraId="002B381F" w14:textId="45A10BAE" w:rsidR="00C02512" w:rsidRPr="00CF189D" w:rsidRDefault="00573B45" w:rsidP="00C02512">
          <w:pPr>
            <w:pStyle w:val="TOC1"/>
            <w:tabs>
              <w:tab w:val="right" w:leader="dot" w:pos="9016"/>
            </w:tabs>
            <w:rPr>
              <w:rFonts w:ascii="Calibri" w:eastAsiaTheme="minorEastAsia" w:hAnsi="Calibri" w:cs="Calibri"/>
              <w:b w:val="0"/>
              <w:bCs w:val="0"/>
              <w:i w:val="0"/>
              <w:iCs w:val="0"/>
              <w:noProof/>
              <w:sz w:val="22"/>
              <w:szCs w:val="22"/>
              <w:lang w:val="en-US"/>
            </w:rPr>
          </w:pPr>
          <w:hyperlink w:anchor="_Toc41505671" w:history="1">
            <w:r w:rsidR="00C02512" w:rsidRPr="00CF189D">
              <w:rPr>
                <w:rStyle w:val="Hyperlink"/>
                <w:rFonts w:ascii="Calibri" w:eastAsia="Calibri" w:hAnsi="Calibri" w:cs="Calibri"/>
                <w:b w:val="0"/>
                <w:bCs w:val="0"/>
                <w:i w:val="0"/>
                <w:iCs w:val="0"/>
                <w:noProof/>
                <w:sz w:val="22"/>
                <w:szCs w:val="22"/>
              </w:rPr>
              <w:t>Chapter 6.</w:t>
            </w:r>
            <w:r w:rsidR="00C02512" w:rsidRPr="00CF189D">
              <w:rPr>
                <w:rFonts w:ascii="Calibri" w:hAnsi="Calibri" w:cs="Calibri"/>
                <w:b w:val="0"/>
                <w:bCs w:val="0"/>
                <w:i w:val="0"/>
                <w:iCs w:val="0"/>
                <w:noProof/>
                <w:webHidden/>
                <w:sz w:val="22"/>
                <w:szCs w:val="22"/>
              </w:rPr>
              <w:tab/>
            </w:r>
            <w:r w:rsidR="00C02512" w:rsidRPr="00CF189D">
              <w:rPr>
                <w:rFonts w:ascii="Calibri" w:hAnsi="Calibri" w:cs="Calibri"/>
                <w:b w:val="0"/>
                <w:bCs w:val="0"/>
                <w:i w:val="0"/>
                <w:iCs w:val="0"/>
                <w:noProof/>
                <w:webHidden/>
                <w:sz w:val="22"/>
                <w:szCs w:val="22"/>
              </w:rPr>
              <w:fldChar w:fldCharType="begin"/>
            </w:r>
            <w:r w:rsidR="00C02512" w:rsidRPr="00CF189D">
              <w:rPr>
                <w:rFonts w:ascii="Calibri" w:hAnsi="Calibri" w:cs="Calibri"/>
                <w:b w:val="0"/>
                <w:bCs w:val="0"/>
                <w:i w:val="0"/>
                <w:iCs w:val="0"/>
                <w:noProof/>
                <w:webHidden/>
                <w:sz w:val="22"/>
                <w:szCs w:val="22"/>
              </w:rPr>
              <w:instrText xml:space="preserve"> PAGEREF _Toc41505671 \h </w:instrText>
            </w:r>
            <w:r w:rsidR="00C02512" w:rsidRPr="00CF189D">
              <w:rPr>
                <w:rFonts w:ascii="Calibri" w:hAnsi="Calibri" w:cs="Calibri"/>
                <w:b w:val="0"/>
                <w:bCs w:val="0"/>
                <w:i w:val="0"/>
                <w:iCs w:val="0"/>
                <w:noProof/>
                <w:webHidden/>
                <w:sz w:val="22"/>
                <w:szCs w:val="22"/>
              </w:rPr>
            </w:r>
            <w:r w:rsidR="00C02512" w:rsidRPr="00CF189D">
              <w:rPr>
                <w:rFonts w:ascii="Calibri" w:hAnsi="Calibri" w:cs="Calibri"/>
                <w:b w:val="0"/>
                <w:bCs w:val="0"/>
                <w:i w:val="0"/>
                <w:iCs w:val="0"/>
                <w:noProof/>
                <w:webHidden/>
                <w:sz w:val="22"/>
                <w:szCs w:val="22"/>
              </w:rPr>
              <w:fldChar w:fldCharType="separate"/>
            </w:r>
            <w:r w:rsidR="00B31D07">
              <w:rPr>
                <w:rFonts w:ascii="Calibri" w:hAnsi="Calibri" w:cs="Calibri"/>
                <w:b w:val="0"/>
                <w:bCs w:val="0"/>
                <w:i w:val="0"/>
                <w:iCs w:val="0"/>
                <w:noProof/>
                <w:webHidden/>
                <w:sz w:val="22"/>
                <w:szCs w:val="22"/>
              </w:rPr>
              <w:t>222</w:t>
            </w:r>
            <w:r w:rsidR="00C02512" w:rsidRPr="00CF189D">
              <w:rPr>
                <w:rFonts w:ascii="Calibri" w:hAnsi="Calibri" w:cs="Calibri"/>
                <w:b w:val="0"/>
                <w:bCs w:val="0"/>
                <w:i w:val="0"/>
                <w:iCs w:val="0"/>
                <w:noProof/>
                <w:webHidden/>
                <w:sz w:val="22"/>
                <w:szCs w:val="22"/>
              </w:rPr>
              <w:fldChar w:fldCharType="end"/>
            </w:r>
          </w:hyperlink>
        </w:p>
        <w:p w14:paraId="1514BD8E" w14:textId="02483F0C" w:rsidR="00C02512" w:rsidRPr="00CF189D" w:rsidRDefault="00573B45" w:rsidP="00C02512">
          <w:pPr>
            <w:pStyle w:val="TOC1"/>
            <w:tabs>
              <w:tab w:val="right" w:leader="dot" w:pos="9016"/>
            </w:tabs>
            <w:rPr>
              <w:rFonts w:ascii="Calibri" w:eastAsiaTheme="minorEastAsia" w:hAnsi="Calibri" w:cs="Calibri"/>
              <w:b w:val="0"/>
              <w:bCs w:val="0"/>
              <w:i w:val="0"/>
              <w:iCs w:val="0"/>
              <w:noProof/>
              <w:sz w:val="22"/>
              <w:szCs w:val="22"/>
              <w:lang w:val="en-US"/>
            </w:rPr>
          </w:pPr>
          <w:hyperlink w:anchor="_Toc41505672" w:history="1">
            <w:r w:rsidR="00C02512" w:rsidRPr="00CF189D">
              <w:rPr>
                <w:rStyle w:val="Hyperlink"/>
                <w:rFonts w:ascii="Calibri" w:eastAsia="Calibri" w:hAnsi="Calibri" w:cs="Calibri"/>
                <w:b w:val="0"/>
                <w:bCs w:val="0"/>
                <w:i w:val="0"/>
                <w:iCs w:val="0"/>
                <w:noProof/>
                <w:sz w:val="22"/>
                <w:szCs w:val="22"/>
              </w:rPr>
              <w:t>Sponsoring agency partnership: A showcase in international collaboration?</w:t>
            </w:r>
            <w:r w:rsidR="00C02512" w:rsidRPr="00CF189D">
              <w:rPr>
                <w:rFonts w:ascii="Calibri" w:hAnsi="Calibri" w:cs="Calibri"/>
                <w:b w:val="0"/>
                <w:bCs w:val="0"/>
                <w:i w:val="0"/>
                <w:iCs w:val="0"/>
                <w:noProof/>
                <w:webHidden/>
                <w:sz w:val="22"/>
                <w:szCs w:val="22"/>
              </w:rPr>
              <w:tab/>
            </w:r>
            <w:r w:rsidR="00C02512" w:rsidRPr="00CF189D">
              <w:rPr>
                <w:rFonts w:ascii="Calibri" w:hAnsi="Calibri" w:cs="Calibri"/>
                <w:b w:val="0"/>
                <w:bCs w:val="0"/>
                <w:i w:val="0"/>
                <w:iCs w:val="0"/>
                <w:noProof/>
                <w:webHidden/>
                <w:sz w:val="22"/>
                <w:szCs w:val="22"/>
              </w:rPr>
              <w:fldChar w:fldCharType="begin"/>
            </w:r>
            <w:r w:rsidR="00C02512" w:rsidRPr="00CF189D">
              <w:rPr>
                <w:rFonts w:ascii="Calibri" w:hAnsi="Calibri" w:cs="Calibri"/>
                <w:b w:val="0"/>
                <w:bCs w:val="0"/>
                <w:i w:val="0"/>
                <w:iCs w:val="0"/>
                <w:noProof/>
                <w:webHidden/>
                <w:sz w:val="22"/>
                <w:szCs w:val="22"/>
              </w:rPr>
              <w:instrText xml:space="preserve"> PAGEREF _Toc41505672 \h </w:instrText>
            </w:r>
            <w:r w:rsidR="00C02512" w:rsidRPr="00CF189D">
              <w:rPr>
                <w:rFonts w:ascii="Calibri" w:hAnsi="Calibri" w:cs="Calibri"/>
                <w:b w:val="0"/>
                <w:bCs w:val="0"/>
                <w:i w:val="0"/>
                <w:iCs w:val="0"/>
                <w:noProof/>
                <w:webHidden/>
                <w:sz w:val="22"/>
                <w:szCs w:val="22"/>
              </w:rPr>
            </w:r>
            <w:r w:rsidR="00C02512" w:rsidRPr="00CF189D">
              <w:rPr>
                <w:rFonts w:ascii="Calibri" w:hAnsi="Calibri" w:cs="Calibri"/>
                <w:b w:val="0"/>
                <w:bCs w:val="0"/>
                <w:i w:val="0"/>
                <w:iCs w:val="0"/>
                <w:noProof/>
                <w:webHidden/>
                <w:sz w:val="22"/>
                <w:szCs w:val="22"/>
              </w:rPr>
              <w:fldChar w:fldCharType="separate"/>
            </w:r>
            <w:r w:rsidR="00B31D07">
              <w:rPr>
                <w:rFonts w:ascii="Calibri" w:hAnsi="Calibri" w:cs="Calibri"/>
                <w:b w:val="0"/>
                <w:bCs w:val="0"/>
                <w:i w:val="0"/>
                <w:iCs w:val="0"/>
                <w:noProof/>
                <w:webHidden/>
                <w:sz w:val="22"/>
                <w:szCs w:val="22"/>
              </w:rPr>
              <w:t>222</w:t>
            </w:r>
            <w:r w:rsidR="00C02512" w:rsidRPr="00CF189D">
              <w:rPr>
                <w:rFonts w:ascii="Calibri" w:hAnsi="Calibri" w:cs="Calibri"/>
                <w:b w:val="0"/>
                <w:bCs w:val="0"/>
                <w:i w:val="0"/>
                <w:iCs w:val="0"/>
                <w:noProof/>
                <w:webHidden/>
                <w:sz w:val="22"/>
                <w:szCs w:val="22"/>
              </w:rPr>
              <w:fldChar w:fldCharType="end"/>
            </w:r>
          </w:hyperlink>
        </w:p>
        <w:p w14:paraId="57B89E38" w14:textId="3B19BFCD"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73" w:history="1">
            <w:r w:rsidR="00C02512" w:rsidRPr="00CF189D">
              <w:rPr>
                <w:rStyle w:val="Hyperlink"/>
                <w:rFonts w:ascii="Calibri" w:hAnsi="Calibri" w:cs="Calibri"/>
                <w:b w:val="0"/>
                <w:bCs w:val="0"/>
                <w:noProof/>
              </w:rPr>
              <w:t>6.1. Introduction</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_Toc41505673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222</w:t>
            </w:r>
            <w:r w:rsidR="00C02512" w:rsidRPr="00CF189D">
              <w:rPr>
                <w:rFonts w:ascii="Calibri" w:hAnsi="Calibri" w:cs="Calibri"/>
                <w:b w:val="0"/>
                <w:bCs w:val="0"/>
                <w:noProof/>
                <w:webHidden/>
              </w:rPr>
              <w:fldChar w:fldCharType="end"/>
            </w:r>
          </w:hyperlink>
        </w:p>
        <w:p w14:paraId="609AA3F0" w14:textId="5BC19082"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74" w:history="1">
            <w:r w:rsidR="00C02512" w:rsidRPr="00CF189D">
              <w:rPr>
                <w:rStyle w:val="Hyperlink"/>
                <w:rFonts w:ascii="Calibri" w:hAnsi="Calibri" w:cs="Calibri"/>
                <w:b w:val="0"/>
                <w:bCs w:val="0"/>
                <w:noProof/>
              </w:rPr>
              <w:t>6.2. Tensions over formal and effective mandates</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_Toc41505674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224</w:t>
            </w:r>
            <w:r w:rsidR="00C02512" w:rsidRPr="00CF189D">
              <w:rPr>
                <w:rFonts w:ascii="Calibri" w:hAnsi="Calibri" w:cs="Calibri"/>
                <w:b w:val="0"/>
                <w:bCs w:val="0"/>
                <w:noProof/>
                <w:webHidden/>
              </w:rPr>
              <w:fldChar w:fldCharType="end"/>
            </w:r>
          </w:hyperlink>
        </w:p>
        <w:p w14:paraId="27901930" w14:textId="2859A4F3"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75" w:history="1">
            <w:r w:rsidR="00C02512" w:rsidRPr="00CF189D">
              <w:rPr>
                <w:rStyle w:val="Hyperlink"/>
                <w:rFonts w:ascii="Calibri" w:eastAsia="Calibri" w:hAnsi="Calibri" w:cs="Calibri"/>
                <w:noProof/>
                <w:sz w:val="22"/>
                <w:szCs w:val="22"/>
              </w:rPr>
              <w:t>6.2.A. The WHO’s ability to perform regional planning and economic analyses</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_Toc41505675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225</w:t>
            </w:r>
            <w:r w:rsidR="00C02512" w:rsidRPr="00CF189D">
              <w:rPr>
                <w:rFonts w:ascii="Calibri" w:hAnsi="Calibri" w:cs="Calibri"/>
                <w:noProof/>
                <w:webHidden/>
                <w:sz w:val="22"/>
                <w:szCs w:val="22"/>
              </w:rPr>
              <w:fldChar w:fldCharType="end"/>
            </w:r>
          </w:hyperlink>
        </w:p>
        <w:p w14:paraId="5E230899" w14:textId="7FD33EA0"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76" w:history="1">
            <w:r w:rsidR="00C02512" w:rsidRPr="00CF189D">
              <w:rPr>
                <w:rStyle w:val="Hyperlink"/>
                <w:rFonts w:ascii="Calibri" w:hAnsi="Calibri" w:cs="Calibri"/>
                <w:noProof/>
                <w:sz w:val="22"/>
                <w:szCs w:val="22"/>
                <w:lang w:val="en-US"/>
              </w:rPr>
              <w:t>6.2.B. The FAO and the Bank’s competing ideologies of international development</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_Toc41505676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235</w:t>
            </w:r>
            <w:r w:rsidR="00C02512" w:rsidRPr="00CF189D">
              <w:rPr>
                <w:rFonts w:ascii="Calibri" w:hAnsi="Calibri" w:cs="Calibri"/>
                <w:noProof/>
                <w:webHidden/>
                <w:sz w:val="22"/>
                <w:szCs w:val="22"/>
              </w:rPr>
              <w:fldChar w:fldCharType="end"/>
            </w:r>
          </w:hyperlink>
        </w:p>
        <w:p w14:paraId="010DBE56" w14:textId="07A4EF82"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77" w:history="1">
            <w:r w:rsidR="00C02512" w:rsidRPr="00CF189D">
              <w:rPr>
                <w:rStyle w:val="Hyperlink"/>
                <w:rFonts w:ascii="Calibri" w:hAnsi="Calibri" w:cs="Calibri"/>
                <w:noProof/>
                <w:sz w:val="22"/>
                <w:szCs w:val="22"/>
              </w:rPr>
              <w:t>6.2.C. The Committee of Sponsoring Agencies as a tool of inter-agency of collaborative diplomacy</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_Toc41505677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238</w:t>
            </w:r>
            <w:r w:rsidR="00C02512" w:rsidRPr="00CF189D">
              <w:rPr>
                <w:rFonts w:ascii="Calibri" w:hAnsi="Calibri" w:cs="Calibri"/>
                <w:noProof/>
                <w:webHidden/>
                <w:sz w:val="22"/>
                <w:szCs w:val="22"/>
              </w:rPr>
              <w:fldChar w:fldCharType="end"/>
            </w:r>
          </w:hyperlink>
        </w:p>
        <w:p w14:paraId="074B9A2D" w14:textId="53B03BC7"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78" w:history="1">
            <w:r w:rsidR="00C02512" w:rsidRPr="00CF189D">
              <w:rPr>
                <w:rStyle w:val="Hyperlink"/>
                <w:rFonts w:ascii="Calibri" w:hAnsi="Calibri" w:cs="Calibri"/>
                <w:b w:val="0"/>
                <w:bCs w:val="0"/>
                <w:noProof/>
              </w:rPr>
              <w:t>6.3. Conclusion</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_Toc41505678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242</w:t>
            </w:r>
            <w:r w:rsidR="00C02512" w:rsidRPr="00CF189D">
              <w:rPr>
                <w:rFonts w:ascii="Calibri" w:hAnsi="Calibri" w:cs="Calibri"/>
                <w:b w:val="0"/>
                <w:bCs w:val="0"/>
                <w:noProof/>
                <w:webHidden/>
              </w:rPr>
              <w:fldChar w:fldCharType="end"/>
            </w:r>
          </w:hyperlink>
        </w:p>
        <w:p w14:paraId="7A6654E9" w14:textId="23C8A761" w:rsidR="00C02512" w:rsidRPr="00CF189D" w:rsidRDefault="00573B45" w:rsidP="00C02512">
          <w:pPr>
            <w:pStyle w:val="TOC1"/>
            <w:tabs>
              <w:tab w:val="right" w:leader="dot" w:pos="9016"/>
            </w:tabs>
            <w:rPr>
              <w:rFonts w:ascii="Calibri" w:eastAsiaTheme="minorEastAsia" w:hAnsi="Calibri" w:cs="Calibri"/>
              <w:b w:val="0"/>
              <w:bCs w:val="0"/>
              <w:i w:val="0"/>
              <w:iCs w:val="0"/>
              <w:noProof/>
              <w:sz w:val="22"/>
              <w:szCs w:val="22"/>
              <w:lang w:val="en-US"/>
            </w:rPr>
          </w:pPr>
          <w:hyperlink w:anchor="_Toc41505679" w:history="1">
            <w:r w:rsidR="00C02512" w:rsidRPr="00CF189D">
              <w:rPr>
                <w:rStyle w:val="Hyperlink"/>
                <w:rFonts w:ascii="Calibri" w:hAnsi="Calibri" w:cs="Calibri"/>
                <w:b w:val="0"/>
                <w:bCs w:val="0"/>
                <w:i w:val="0"/>
                <w:iCs w:val="0"/>
                <w:noProof/>
                <w:sz w:val="22"/>
                <w:szCs w:val="22"/>
              </w:rPr>
              <w:t>Chapter 7.</w:t>
            </w:r>
            <w:r w:rsidR="00C02512" w:rsidRPr="00CF189D">
              <w:rPr>
                <w:rFonts w:ascii="Calibri" w:hAnsi="Calibri" w:cs="Calibri"/>
                <w:b w:val="0"/>
                <w:bCs w:val="0"/>
                <w:i w:val="0"/>
                <w:iCs w:val="0"/>
                <w:noProof/>
                <w:webHidden/>
                <w:sz w:val="22"/>
                <w:szCs w:val="22"/>
              </w:rPr>
              <w:tab/>
            </w:r>
            <w:r w:rsidR="00C02512" w:rsidRPr="00CF189D">
              <w:rPr>
                <w:rFonts w:ascii="Calibri" w:hAnsi="Calibri" w:cs="Calibri"/>
                <w:b w:val="0"/>
                <w:bCs w:val="0"/>
                <w:i w:val="0"/>
                <w:iCs w:val="0"/>
                <w:noProof/>
                <w:webHidden/>
                <w:sz w:val="22"/>
                <w:szCs w:val="22"/>
              </w:rPr>
              <w:fldChar w:fldCharType="begin"/>
            </w:r>
            <w:r w:rsidR="00C02512" w:rsidRPr="00CF189D">
              <w:rPr>
                <w:rFonts w:ascii="Calibri" w:hAnsi="Calibri" w:cs="Calibri"/>
                <w:b w:val="0"/>
                <w:bCs w:val="0"/>
                <w:i w:val="0"/>
                <w:iCs w:val="0"/>
                <w:noProof/>
                <w:webHidden/>
                <w:sz w:val="22"/>
                <w:szCs w:val="22"/>
              </w:rPr>
              <w:instrText xml:space="preserve"> PAGEREF _Toc41505679 \h </w:instrText>
            </w:r>
            <w:r w:rsidR="00C02512" w:rsidRPr="00CF189D">
              <w:rPr>
                <w:rFonts w:ascii="Calibri" w:hAnsi="Calibri" w:cs="Calibri"/>
                <w:b w:val="0"/>
                <w:bCs w:val="0"/>
                <w:i w:val="0"/>
                <w:iCs w:val="0"/>
                <w:noProof/>
                <w:webHidden/>
                <w:sz w:val="22"/>
                <w:szCs w:val="22"/>
              </w:rPr>
            </w:r>
            <w:r w:rsidR="00C02512" w:rsidRPr="00CF189D">
              <w:rPr>
                <w:rFonts w:ascii="Calibri" w:hAnsi="Calibri" w:cs="Calibri"/>
                <w:b w:val="0"/>
                <w:bCs w:val="0"/>
                <w:i w:val="0"/>
                <w:iCs w:val="0"/>
                <w:noProof/>
                <w:webHidden/>
                <w:sz w:val="22"/>
                <w:szCs w:val="22"/>
              </w:rPr>
              <w:fldChar w:fldCharType="separate"/>
            </w:r>
            <w:r w:rsidR="00B31D07">
              <w:rPr>
                <w:rFonts w:ascii="Calibri" w:hAnsi="Calibri" w:cs="Calibri"/>
                <w:b w:val="0"/>
                <w:bCs w:val="0"/>
                <w:i w:val="0"/>
                <w:iCs w:val="0"/>
                <w:noProof/>
                <w:webHidden/>
                <w:sz w:val="22"/>
                <w:szCs w:val="22"/>
              </w:rPr>
              <w:t>246</w:t>
            </w:r>
            <w:r w:rsidR="00C02512" w:rsidRPr="00CF189D">
              <w:rPr>
                <w:rFonts w:ascii="Calibri" w:hAnsi="Calibri" w:cs="Calibri"/>
                <w:b w:val="0"/>
                <w:bCs w:val="0"/>
                <w:i w:val="0"/>
                <w:iCs w:val="0"/>
                <w:noProof/>
                <w:webHidden/>
                <w:sz w:val="22"/>
                <w:szCs w:val="22"/>
              </w:rPr>
              <w:fldChar w:fldCharType="end"/>
            </w:r>
          </w:hyperlink>
        </w:p>
        <w:p w14:paraId="42D46C90" w14:textId="59098CC2" w:rsidR="00C02512" w:rsidRPr="00CF189D" w:rsidRDefault="00573B45" w:rsidP="00C02512">
          <w:pPr>
            <w:pStyle w:val="TOC1"/>
            <w:tabs>
              <w:tab w:val="right" w:leader="dot" w:pos="9016"/>
            </w:tabs>
            <w:rPr>
              <w:rFonts w:ascii="Calibri" w:eastAsiaTheme="minorEastAsia" w:hAnsi="Calibri" w:cs="Calibri"/>
              <w:b w:val="0"/>
              <w:bCs w:val="0"/>
              <w:i w:val="0"/>
              <w:iCs w:val="0"/>
              <w:noProof/>
              <w:sz w:val="22"/>
              <w:szCs w:val="22"/>
              <w:lang w:val="en-US"/>
            </w:rPr>
          </w:pPr>
          <w:hyperlink w:anchor="_Toc41505680" w:history="1">
            <w:r w:rsidR="00C02512" w:rsidRPr="00CF189D">
              <w:rPr>
                <w:rStyle w:val="Hyperlink"/>
                <w:rFonts w:ascii="Calibri" w:hAnsi="Calibri" w:cs="Calibri"/>
                <w:b w:val="0"/>
                <w:bCs w:val="0"/>
                <w:i w:val="0"/>
                <w:iCs w:val="0"/>
                <w:noProof/>
                <w:sz w:val="22"/>
                <w:szCs w:val="22"/>
              </w:rPr>
              <w:t>Research partnership: Drug development &amp; ‘Moral Corporations’</w:t>
            </w:r>
            <w:r w:rsidR="00C02512" w:rsidRPr="00CF189D">
              <w:rPr>
                <w:rFonts w:ascii="Calibri" w:hAnsi="Calibri" w:cs="Calibri"/>
                <w:b w:val="0"/>
                <w:bCs w:val="0"/>
                <w:i w:val="0"/>
                <w:iCs w:val="0"/>
                <w:noProof/>
                <w:webHidden/>
                <w:sz w:val="22"/>
                <w:szCs w:val="22"/>
              </w:rPr>
              <w:tab/>
            </w:r>
            <w:r w:rsidR="00C02512" w:rsidRPr="00CF189D">
              <w:rPr>
                <w:rFonts w:ascii="Calibri" w:hAnsi="Calibri" w:cs="Calibri"/>
                <w:b w:val="0"/>
                <w:bCs w:val="0"/>
                <w:i w:val="0"/>
                <w:iCs w:val="0"/>
                <w:noProof/>
                <w:webHidden/>
                <w:sz w:val="22"/>
                <w:szCs w:val="22"/>
              </w:rPr>
              <w:fldChar w:fldCharType="begin"/>
            </w:r>
            <w:r w:rsidR="00C02512" w:rsidRPr="00CF189D">
              <w:rPr>
                <w:rFonts w:ascii="Calibri" w:hAnsi="Calibri" w:cs="Calibri"/>
                <w:b w:val="0"/>
                <w:bCs w:val="0"/>
                <w:i w:val="0"/>
                <w:iCs w:val="0"/>
                <w:noProof/>
                <w:webHidden/>
                <w:sz w:val="22"/>
                <w:szCs w:val="22"/>
              </w:rPr>
              <w:instrText xml:space="preserve"> PAGEREF _Toc41505680 \h </w:instrText>
            </w:r>
            <w:r w:rsidR="00C02512" w:rsidRPr="00CF189D">
              <w:rPr>
                <w:rFonts w:ascii="Calibri" w:hAnsi="Calibri" w:cs="Calibri"/>
                <w:b w:val="0"/>
                <w:bCs w:val="0"/>
                <w:i w:val="0"/>
                <w:iCs w:val="0"/>
                <w:noProof/>
                <w:webHidden/>
                <w:sz w:val="22"/>
                <w:szCs w:val="22"/>
              </w:rPr>
            </w:r>
            <w:r w:rsidR="00C02512" w:rsidRPr="00CF189D">
              <w:rPr>
                <w:rFonts w:ascii="Calibri" w:hAnsi="Calibri" w:cs="Calibri"/>
                <w:b w:val="0"/>
                <w:bCs w:val="0"/>
                <w:i w:val="0"/>
                <w:iCs w:val="0"/>
                <w:noProof/>
                <w:webHidden/>
                <w:sz w:val="22"/>
                <w:szCs w:val="22"/>
              </w:rPr>
              <w:fldChar w:fldCharType="separate"/>
            </w:r>
            <w:r w:rsidR="00B31D07">
              <w:rPr>
                <w:rFonts w:ascii="Calibri" w:hAnsi="Calibri" w:cs="Calibri"/>
                <w:b w:val="0"/>
                <w:bCs w:val="0"/>
                <w:i w:val="0"/>
                <w:iCs w:val="0"/>
                <w:noProof/>
                <w:webHidden/>
                <w:sz w:val="22"/>
                <w:szCs w:val="22"/>
              </w:rPr>
              <w:t>246</w:t>
            </w:r>
            <w:r w:rsidR="00C02512" w:rsidRPr="00CF189D">
              <w:rPr>
                <w:rFonts w:ascii="Calibri" w:hAnsi="Calibri" w:cs="Calibri"/>
                <w:b w:val="0"/>
                <w:bCs w:val="0"/>
                <w:i w:val="0"/>
                <w:iCs w:val="0"/>
                <w:noProof/>
                <w:webHidden/>
                <w:sz w:val="22"/>
                <w:szCs w:val="22"/>
              </w:rPr>
              <w:fldChar w:fldCharType="end"/>
            </w:r>
          </w:hyperlink>
        </w:p>
        <w:p w14:paraId="6A55A08F" w14:textId="1A3108DE"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81" w:history="1">
            <w:r w:rsidR="00C02512" w:rsidRPr="00CF189D">
              <w:rPr>
                <w:rStyle w:val="Hyperlink"/>
                <w:rFonts w:ascii="Calibri" w:hAnsi="Calibri" w:cs="Calibri"/>
                <w:b w:val="0"/>
                <w:bCs w:val="0"/>
                <w:noProof/>
              </w:rPr>
              <w:t>7.1. Introduction</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_Toc41505681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246</w:t>
            </w:r>
            <w:r w:rsidR="00C02512" w:rsidRPr="00CF189D">
              <w:rPr>
                <w:rFonts w:ascii="Calibri" w:hAnsi="Calibri" w:cs="Calibri"/>
                <w:b w:val="0"/>
                <w:bCs w:val="0"/>
                <w:noProof/>
                <w:webHidden/>
              </w:rPr>
              <w:fldChar w:fldCharType="end"/>
            </w:r>
          </w:hyperlink>
        </w:p>
        <w:p w14:paraId="71FD7C64" w14:textId="0D5FEABC"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82" w:history="1">
            <w:r w:rsidR="00C02512" w:rsidRPr="00CF189D">
              <w:rPr>
                <w:rStyle w:val="Hyperlink"/>
                <w:rFonts w:ascii="Calibri" w:hAnsi="Calibri" w:cs="Calibri"/>
                <w:b w:val="0"/>
                <w:bCs w:val="0"/>
                <w:noProof/>
              </w:rPr>
              <w:t>7.2 Structuring the OCT</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_Toc41505682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249</w:t>
            </w:r>
            <w:r w:rsidR="00C02512" w:rsidRPr="00CF189D">
              <w:rPr>
                <w:rFonts w:ascii="Calibri" w:hAnsi="Calibri" w:cs="Calibri"/>
                <w:b w:val="0"/>
                <w:bCs w:val="0"/>
                <w:noProof/>
                <w:webHidden/>
              </w:rPr>
              <w:fldChar w:fldCharType="end"/>
            </w:r>
          </w:hyperlink>
        </w:p>
        <w:p w14:paraId="2499FE7E" w14:textId="701A1B81"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83" w:history="1">
            <w:r w:rsidR="00C02512" w:rsidRPr="00CF189D">
              <w:rPr>
                <w:rStyle w:val="Hyperlink"/>
                <w:rFonts w:ascii="Calibri" w:hAnsi="Calibri" w:cs="Calibri"/>
                <w:noProof/>
                <w:sz w:val="22"/>
                <w:szCs w:val="22"/>
              </w:rPr>
              <w:t>7.2.A. Four models for incentivizing chemotherapy research</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_Toc41505683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251</w:t>
            </w:r>
            <w:r w:rsidR="00C02512" w:rsidRPr="00CF189D">
              <w:rPr>
                <w:rFonts w:ascii="Calibri" w:hAnsi="Calibri" w:cs="Calibri"/>
                <w:noProof/>
                <w:webHidden/>
                <w:sz w:val="22"/>
                <w:szCs w:val="22"/>
              </w:rPr>
              <w:fldChar w:fldCharType="end"/>
            </w:r>
          </w:hyperlink>
        </w:p>
        <w:p w14:paraId="42C4EC7C" w14:textId="305C2333"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84" w:history="1">
            <w:r w:rsidR="00C02512" w:rsidRPr="00CF189D">
              <w:rPr>
                <w:rStyle w:val="Hyperlink"/>
                <w:rFonts w:ascii="Calibri" w:hAnsi="Calibri" w:cs="Calibri"/>
                <w:noProof/>
                <w:sz w:val="22"/>
                <w:szCs w:val="22"/>
              </w:rPr>
              <w:t>7.2.B. TDR and OCP rivalries over control of the OCT</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_Toc41505684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253</w:t>
            </w:r>
            <w:r w:rsidR="00C02512" w:rsidRPr="00CF189D">
              <w:rPr>
                <w:rFonts w:ascii="Calibri" w:hAnsi="Calibri" w:cs="Calibri"/>
                <w:noProof/>
                <w:webHidden/>
                <w:sz w:val="22"/>
                <w:szCs w:val="22"/>
              </w:rPr>
              <w:fldChar w:fldCharType="end"/>
            </w:r>
          </w:hyperlink>
        </w:p>
        <w:p w14:paraId="17B11A2E" w14:textId="155B60C0"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85" w:history="1">
            <w:r w:rsidR="00C02512" w:rsidRPr="00CF189D">
              <w:rPr>
                <w:rStyle w:val="Hyperlink"/>
                <w:rFonts w:ascii="Calibri" w:hAnsi="Calibri" w:cs="Calibri"/>
                <w:b w:val="0"/>
                <w:bCs w:val="0"/>
                <w:noProof/>
              </w:rPr>
              <w:t>7.3. Pharmaceutical company relationships: confidentiality, good faith, and sovereignty</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_Toc41505685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256</w:t>
            </w:r>
            <w:r w:rsidR="00C02512" w:rsidRPr="00CF189D">
              <w:rPr>
                <w:rFonts w:ascii="Calibri" w:hAnsi="Calibri" w:cs="Calibri"/>
                <w:b w:val="0"/>
                <w:bCs w:val="0"/>
                <w:noProof/>
                <w:webHidden/>
              </w:rPr>
              <w:fldChar w:fldCharType="end"/>
            </w:r>
          </w:hyperlink>
        </w:p>
        <w:p w14:paraId="004614FB" w14:textId="7AEEC0EC"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86" w:history="1">
            <w:r w:rsidR="00C02512" w:rsidRPr="00CF189D">
              <w:rPr>
                <w:rStyle w:val="Hyperlink"/>
                <w:rFonts w:ascii="Calibri" w:hAnsi="Calibri" w:cs="Calibri"/>
                <w:b w:val="0"/>
                <w:bCs w:val="0"/>
                <w:noProof/>
              </w:rPr>
              <w:t>7.4. Private contractors &amp; drug candidates</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_Toc41505686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257</w:t>
            </w:r>
            <w:r w:rsidR="00C02512" w:rsidRPr="00CF189D">
              <w:rPr>
                <w:rFonts w:ascii="Calibri" w:hAnsi="Calibri" w:cs="Calibri"/>
                <w:b w:val="0"/>
                <w:bCs w:val="0"/>
                <w:noProof/>
                <w:webHidden/>
              </w:rPr>
              <w:fldChar w:fldCharType="end"/>
            </w:r>
          </w:hyperlink>
        </w:p>
        <w:p w14:paraId="1B9F927D" w14:textId="3091EB49"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87" w:history="1">
            <w:r w:rsidR="00C02512" w:rsidRPr="00CF189D">
              <w:rPr>
                <w:rStyle w:val="Hyperlink"/>
                <w:rFonts w:ascii="Calibri" w:hAnsi="Calibri" w:cs="Calibri"/>
                <w:b w:val="0"/>
                <w:bCs w:val="0"/>
                <w:noProof/>
              </w:rPr>
              <w:t>7.5. Merck &amp; the development of ivermectin</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_Toc41505687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259</w:t>
            </w:r>
            <w:r w:rsidR="00C02512" w:rsidRPr="00CF189D">
              <w:rPr>
                <w:rFonts w:ascii="Calibri" w:hAnsi="Calibri" w:cs="Calibri"/>
                <w:b w:val="0"/>
                <w:bCs w:val="0"/>
                <w:noProof/>
                <w:webHidden/>
              </w:rPr>
              <w:fldChar w:fldCharType="end"/>
            </w:r>
          </w:hyperlink>
        </w:p>
        <w:p w14:paraId="53C38CD1" w14:textId="28565370"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88" w:history="1">
            <w:r w:rsidR="00C02512" w:rsidRPr="00CF189D">
              <w:rPr>
                <w:rStyle w:val="Hyperlink"/>
                <w:rFonts w:ascii="Calibri" w:hAnsi="Calibri" w:cs="Calibri"/>
                <w:noProof/>
                <w:sz w:val="22"/>
                <w:szCs w:val="22"/>
              </w:rPr>
              <w:t>7.5.A. Mixed interest in ivermectin and ad-hoc collaborations with Merck (1978-1985)</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_Toc41505688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259</w:t>
            </w:r>
            <w:r w:rsidR="00C02512" w:rsidRPr="00CF189D">
              <w:rPr>
                <w:rFonts w:ascii="Calibri" w:hAnsi="Calibri" w:cs="Calibri"/>
                <w:noProof/>
                <w:webHidden/>
                <w:sz w:val="22"/>
                <w:szCs w:val="22"/>
              </w:rPr>
              <w:fldChar w:fldCharType="end"/>
            </w:r>
          </w:hyperlink>
        </w:p>
        <w:p w14:paraId="0FFE1A20" w14:textId="2CE589E6"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89" w:history="1">
            <w:r w:rsidR="00C02512" w:rsidRPr="00CF189D">
              <w:rPr>
                <w:rStyle w:val="Hyperlink"/>
                <w:rFonts w:ascii="Calibri" w:hAnsi="Calibri" w:cs="Calibri"/>
                <w:noProof/>
                <w:sz w:val="22"/>
                <w:szCs w:val="22"/>
              </w:rPr>
              <w:t>7.5.B. Legally formalising the partnership between the WHO and Merck (1984-1985)</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_Toc41505689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262</w:t>
            </w:r>
            <w:r w:rsidR="00C02512" w:rsidRPr="00CF189D">
              <w:rPr>
                <w:rFonts w:ascii="Calibri" w:hAnsi="Calibri" w:cs="Calibri"/>
                <w:noProof/>
                <w:webHidden/>
                <w:sz w:val="22"/>
                <w:szCs w:val="22"/>
              </w:rPr>
              <w:fldChar w:fldCharType="end"/>
            </w:r>
          </w:hyperlink>
        </w:p>
        <w:p w14:paraId="223CFC31" w14:textId="6F200D51"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690" w:history="1">
            <w:r w:rsidR="00C02512" w:rsidRPr="00CF189D">
              <w:rPr>
                <w:rStyle w:val="Hyperlink"/>
                <w:rFonts w:ascii="Calibri" w:hAnsi="Calibri" w:cs="Calibri"/>
                <w:noProof/>
                <w:sz w:val="22"/>
                <w:szCs w:val="22"/>
              </w:rPr>
              <w:t>7.5.C. Licensing, pricing, and testing ivermectin (1985-1989)</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_Toc41505690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266</w:t>
            </w:r>
            <w:r w:rsidR="00C02512" w:rsidRPr="00CF189D">
              <w:rPr>
                <w:rFonts w:ascii="Calibri" w:hAnsi="Calibri" w:cs="Calibri"/>
                <w:noProof/>
                <w:webHidden/>
                <w:sz w:val="22"/>
                <w:szCs w:val="22"/>
              </w:rPr>
              <w:fldChar w:fldCharType="end"/>
            </w:r>
          </w:hyperlink>
        </w:p>
        <w:p w14:paraId="18A3B0FB" w14:textId="4A16AB6D"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91" w:history="1">
            <w:r w:rsidR="00C02512" w:rsidRPr="00CF189D">
              <w:rPr>
                <w:rStyle w:val="Hyperlink"/>
                <w:rFonts w:ascii="Calibri" w:hAnsi="Calibri" w:cs="Calibri"/>
                <w:b w:val="0"/>
                <w:bCs w:val="0"/>
                <w:noProof/>
              </w:rPr>
              <w:t>7.6. OCT reflections on lessons learned (1990)</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_Toc41505691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269</w:t>
            </w:r>
            <w:r w:rsidR="00C02512" w:rsidRPr="00CF189D">
              <w:rPr>
                <w:rFonts w:ascii="Calibri" w:hAnsi="Calibri" w:cs="Calibri"/>
                <w:b w:val="0"/>
                <w:bCs w:val="0"/>
                <w:noProof/>
                <w:webHidden/>
              </w:rPr>
              <w:fldChar w:fldCharType="end"/>
            </w:r>
          </w:hyperlink>
        </w:p>
        <w:p w14:paraId="5AC9441B" w14:textId="4777C7F4"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92" w:history="1">
            <w:r w:rsidR="00C02512" w:rsidRPr="00CF189D">
              <w:rPr>
                <w:rStyle w:val="Hyperlink"/>
                <w:rFonts w:ascii="Calibri" w:hAnsi="Calibri" w:cs="Calibri"/>
                <w:b w:val="0"/>
                <w:bCs w:val="0"/>
                <w:noProof/>
              </w:rPr>
              <w:t>7.7. Conclusion</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_Toc41505692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270</w:t>
            </w:r>
            <w:r w:rsidR="00C02512" w:rsidRPr="00CF189D">
              <w:rPr>
                <w:rFonts w:ascii="Calibri" w:hAnsi="Calibri" w:cs="Calibri"/>
                <w:b w:val="0"/>
                <w:bCs w:val="0"/>
                <w:noProof/>
                <w:webHidden/>
              </w:rPr>
              <w:fldChar w:fldCharType="end"/>
            </w:r>
          </w:hyperlink>
        </w:p>
        <w:p w14:paraId="76469F1D" w14:textId="55CDA0F7" w:rsidR="00C02512" w:rsidRPr="00CF189D" w:rsidRDefault="00573B45" w:rsidP="00C02512">
          <w:pPr>
            <w:pStyle w:val="TOC1"/>
            <w:tabs>
              <w:tab w:val="right" w:leader="dot" w:pos="9016"/>
            </w:tabs>
            <w:rPr>
              <w:rFonts w:ascii="Calibri" w:eastAsiaTheme="minorEastAsia" w:hAnsi="Calibri" w:cs="Calibri"/>
              <w:b w:val="0"/>
              <w:bCs w:val="0"/>
              <w:i w:val="0"/>
              <w:iCs w:val="0"/>
              <w:noProof/>
              <w:sz w:val="22"/>
              <w:szCs w:val="22"/>
              <w:lang w:val="en-US"/>
            </w:rPr>
          </w:pPr>
          <w:hyperlink w:anchor="_Toc41505693" w:history="1">
            <w:r w:rsidR="00C02512" w:rsidRPr="00CF189D">
              <w:rPr>
                <w:rStyle w:val="Hyperlink"/>
                <w:rFonts w:ascii="Calibri" w:hAnsi="Calibri" w:cs="Calibri"/>
                <w:b w:val="0"/>
                <w:bCs w:val="0"/>
                <w:i w:val="0"/>
                <w:iCs w:val="0"/>
                <w:noProof/>
                <w:sz w:val="22"/>
                <w:szCs w:val="22"/>
              </w:rPr>
              <w:t>Chapter 8.</w:t>
            </w:r>
            <w:r w:rsidR="00C02512" w:rsidRPr="00CF189D">
              <w:rPr>
                <w:rFonts w:ascii="Calibri" w:hAnsi="Calibri" w:cs="Calibri"/>
                <w:b w:val="0"/>
                <w:bCs w:val="0"/>
                <w:i w:val="0"/>
                <w:iCs w:val="0"/>
                <w:noProof/>
                <w:webHidden/>
                <w:sz w:val="22"/>
                <w:szCs w:val="22"/>
              </w:rPr>
              <w:tab/>
            </w:r>
            <w:r w:rsidR="00C02512" w:rsidRPr="00CF189D">
              <w:rPr>
                <w:rFonts w:ascii="Calibri" w:hAnsi="Calibri" w:cs="Calibri"/>
                <w:b w:val="0"/>
                <w:bCs w:val="0"/>
                <w:i w:val="0"/>
                <w:iCs w:val="0"/>
                <w:noProof/>
                <w:webHidden/>
                <w:sz w:val="22"/>
                <w:szCs w:val="22"/>
              </w:rPr>
              <w:fldChar w:fldCharType="begin"/>
            </w:r>
            <w:r w:rsidR="00C02512" w:rsidRPr="00CF189D">
              <w:rPr>
                <w:rFonts w:ascii="Calibri" w:hAnsi="Calibri" w:cs="Calibri"/>
                <w:b w:val="0"/>
                <w:bCs w:val="0"/>
                <w:i w:val="0"/>
                <w:iCs w:val="0"/>
                <w:noProof/>
                <w:webHidden/>
                <w:sz w:val="22"/>
                <w:szCs w:val="22"/>
              </w:rPr>
              <w:instrText xml:space="preserve"> PAGEREF _Toc41505693 \h </w:instrText>
            </w:r>
            <w:r w:rsidR="00C02512" w:rsidRPr="00CF189D">
              <w:rPr>
                <w:rFonts w:ascii="Calibri" w:hAnsi="Calibri" w:cs="Calibri"/>
                <w:b w:val="0"/>
                <w:bCs w:val="0"/>
                <w:i w:val="0"/>
                <w:iCs w:val="0"/>
                <w:noProof/>
                <w:webHidden/>
                <w:sz w:val="22"/>
                <w:szCs w:val="22"/>
              </w:rPr>
            </w:r>
            <w:r w:rsidR="00C02512" w:rsidRPr="00CF189D">
              <w:rPr>
                <w:rFonts w:ascii="Calibri" w:hAnsi="Calibri" w:cs="Calibri"/>
                <w:b w:val="0"/>
                <w:bCs w:val="0"/>
                <w:i w:val="0"/>
                <w:iCs w:val="0"/>
                <w:noProof/>
                <w:webHidden/>
                <w:sz w:val="22"/>
                <w:szCs w:val="22"/>
              </w:rPr>
              <w:fldChar w:fldCharType="separate"/>
            </w:r>
            <w:r w:rsidR="00B31D07">
              <w:rPr>
                <w:rFonts w:ascii="Calibri" w:hAnsi="Calibri" w:cs="Calibri"/>
                <w:b w:val="0"/>
                <w:bCs w:val="0"/>
                <w:i w:val="0"/>
                <w:iCs w:val="0"/>
                <w:noProof/>
                <w:webHidden/>
                <w:sz w:val="22"/>
                <w:szCs w:val="22"/>
              </w:rPr>
              <w:t>272</w:t>
            </w:r>
            <w:r w:rsidR="00C02512" w:rsidRPr="00CF189D">
              <w:rPr>
                <w:rFonts w:ascii="Calibri" w:hAnsi="Calibri" w:cs="Calibri"/>
                <w:b w:val="0"/>
                <w:bCs w:val="0"/>
                <w:i w:val="0"/>
                <w:iCs w:val="0"/>
                <w:noProof/>
                <w:webHidden/>
                <w:sz w:val="22"/>
                <w:szCs w:val="22"/>
              </w:rPr>
              <w:fldChar w:fldCharType="end"/>
            </w:r>
          </w:hyperlink>
        </w:p>
        <w:p w14:paraId="0E531D8A" w14:textId="7474CF9C" w:rsidR="00C02512" w:rsidRPr="00CF189D" w:rsidRDefault="00573B45" w:rsidP="00C02512">
          <w:pPr>
            <w:pStyle w:val="TOC1"/>
            <w:tabs>
              <w:tab w:val="right" w:leader="dot" w:pos="9016"/>
            </w:tabs>
            <w:rPr>
              <w:rFonts w:ascii="Calibri" w:eastAsiaTheme="minorEastAsia" w:hAnsi="Calibri" w:cs="Calibri"/>
              <w:b w:val="0"/>
              <w:bCs w:val="0"/>
              <w:i w:val="0"/>
              <w:iCs w:val="0"/>
              <w:noProof/>
              <w:sz w:val="22"/>
              <w:szCs w:val="22"/>
              <w:lang w:val="en-US"/>
            </w:rPr>
          </w:pPr>
          <w:hyperlink w:anchor="_Toc41505694" w:history="1">
            <w:r w:rsidR="00C02512" w:rsidRPr="00CF189D">
              <w:rPr>
                <w:rStyle w:val="Hyperlink"/>
                <w:rFonts w:ascii="Calibri" w:hAnsi="Calibri" w:cs="Calibri"/>
                <w:b w:val="0"/>
                <w:bCs w:val="0"/>
                <w:i w:val="0"/>
                <w:iCs w:val="0"/>
                <w:noProof/>
                <w:sz w:val="22"/>
                <w:szCs w:val="22"/>
              </w:rPr>
              <w:t xml:space="preserve">Delivery: </w:t>
            </w:r>
            <w:r w:rsidR="00C02512" w:rsidRPr="00CF189D">
              <w:rPr>
                <w:rStyle w:val="Hyperlink"/>
                <w:rFonts w:ascii="Calibri" w:eastAsiaTheme="minorHAnsi" w:hAnsi="Calibri" w:cs="Calibri"/>
                <w:b w:val="0"/>
                <w:bCs w:val="0"/>
                <w:i w:val="0"/>
                <w:iCs w:val="0"/>
                <w:noProof/>
                <w:sz w:val="22"/>
                <w:szCs w:val="22"/>
              </w:rPr>
              <w:t>The OCP as a ‘Trojan Horse’ for health system strengthening</w:t>
            </w:r>
            <w:r w:rsidR="00C02512" w:rsidRPr="00CF189D">
              <w:rPr>
                <w:rFonts w:ascii="Calibri" w:hAnsi="Calibri" w:cs="Calibri"/>
                <w:b w:val="0"/>
                <w:bCs w:val="0"/>
                <w:i w:val="0"/>
                <w:iCs w:val="0"/>
                <w:noProof/>
                <w:webHidden/>
                <w:sz w:val="22"/>
                <w:szCs w:val="22"/>
              </w:rPr>
              <w:tab/>
            </w:r>
            <w:r w:rsidR="00C02512" w:rsidRPr="00CF189D">
              <w:rPr>
                <w:rFonts w:ascii="Calibri" w:hAnsi="Calibri" w:cs="Calibri"/>
                <w:b w:val="0"/>
                <w:bCs w:val="0"/>
                <w:i w:val="0"/>
                <w:iCs w:val="0"/>
                <w:noProof/>
                <w:webHidden/>
                <w:sz w:val="22"/>
                <w:szCs w:val="22"/>
              </w:rPr>
              <w:fldChar w:fldCharType="begin"/>
            </w:r>
            <w:r w:rsidR="00C02512" w:rsidRPr="00CF189D">
              <w:rPr>
                <w:rFonts w:ascii="Calibri" w:hAnsi="Calibri" w:cs="Calibri"/>
                <w:b w:val="0"/>
                <w:bCs w:val="0"/>
                <w:i w:val="0"/>
                <w:iCs w:val="0"/>
                <w:noProof/>
                <w:webHidden/>
                <w:sz w:val="22"/>
                <w:szCs w:val="22"/>
              </w:rPr>
              <w:instrText xml:space="preserve"> PAGEREF _Toc41505694 \h </w:instrText>
            </w:r>
            <w:r w:rsidR="00C02512" w:rsidRPr="00CF189D">
              <w:rPr>
                <w:rFonts w:ascii="Calibri" w:hAnsi="Calibri" w:cs="Calibri"/>
                <w:b w:val="0"/>
                <w:bCs w:val="0"/>
                <w:i w:val="0"/>
                <w:iCs w:val="0"/>
                <w:noProof/>
                <w:webHidden/>
                <w:sz w:val="22"/>
                <w:szCs w:val="22"/>
              </w:rPr>
            </w:r>
            <w:r w:rsidR="00C02512" w:rsidRPr="00CF189D">
              <w:rPr>
                <w:rFonts w:ascii="Calibri" w:hAnsi="Calibri" w:cs="Calibri"/>
                <w:b w:val="0"/>
                <w:bCs w:val="0"/>
                <w:i w:val="0"/>
                <w:iCs w:val="0"/>
                <w:noProof/>
                <w:webHidden/>
                <w:sz w:val="22"/>
                <w:szCs w:val="22"/>
              </w:rPr>
              <w:fldChar w:fldCharType="separate"/>
            </w:r>
            <w:r w:rsidR="00B31D07">
              <w:rPr>
                <w:rFonts w:ascii="Calibri" w:hAnsi="Calibri" w:cs="Calibri"/>
                <w:b w:val="0"/>
                <w:bCs w:val="0"/>
                <w:i w:val="0"/>
                <w:iCs w:val="0"/>
                <w:noProof/>
                <w:webHidden/>
                <w:sz w:val="22"/>
                <w:szCs w:val="22"/>
              </w:rPr>
              <w:t>272</w:t>
            </w:r>
            <w:r w:rsidR="00C02512" w:rsidRPr="00CF189D">
              <w:rPr>
                <w:rFonts w:ascii="Calibri" w:hAnsi="Calibri" w:cs="Calibri"/>
                <w:b w:val="0"/>
                <w:bCs w:val="0"/>
                <w:i w:val="0"/>
                <w:iCs w:val="0"/>
                <w:noProof/>
                <w:webHidden/>
                <w:sz w:val="22"/>
                <w:szCs w:val="22"/>
              </w:rPr>
              <w:fldChar w:fldCharType="end"/>
            </w:r>
          </w:hyperlink>
        </w:p>
        <w:p w14:paraId="25A0F04E" w14:textId="777D14BE"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95" w:history="1">
            <w:r w:rsidR="00C02512" w:rsidRPr="00CF189D">
              <w:rPr>
                <w:rStyle w:val="Hyperlink"/>
                <w:rFonts w:ascii="Calibri" w:hAnsi="Calibri" w:cs="Calibri"/>
                <w:b w:val="0"/>
                <w:bCs w:val="0"/>
                <w:noProof/>
              </w:rPr>
              <w:t>8.1. Introduction</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_Toc41505695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272</w:t>
            </w:r>
            <w:r w:rsidR="00C02512" w:rsidRPr="00CF189D">
              <w:rPr>
                <w:rFonts w:ascii="Calibri" w:hAnsi="Calibri" w:cs="Calibri"/>
                <w:b w:val="0"/>
                <w:bCs w:val="0"/>
                <w:noProof/>
                <w:webHidden/>
              </w:rPr>
              <w:fldChar w:fldCharType="end"/>
            </w:r>
          </w:hyperlink>
        </w:p>
        <w:p w14:paraId="2A2FAA84" w14:textId="3451E032"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96" w:history="1">
            <w:r w:rsidR="00C02512" w:rsidRPr="00CF189D">
              <w:rPr>
                <w:rStyle w:val="Hyperlink"/>
                <w:rFonts w:ascii="Calibri" w:hAnsi="Calibri" w:cs="Calibri"/>
                <w:b w:val="0"/>
                <w:bCs w:val="0"/>
                <w:noProof/>
                <w:lang w:val="en-US"/>
              </w:rPr>
              <w:t>8.2. A vertical programme, in an inconvenient context</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_Toc41505696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273</w:t>
            </w:r>
            <w:r w:rsidR="00C02512" w:rsidRPr="00CF189D">
              <w:rPr>
                <w:rFonts w:ascii="Calibri" w:hAnsi="Calibri" w:cs="Calibri"/>
                <w:b w:val="0"/>
                <w:bCs w:val="0"/>
                <w:noProof/>
                <w:webHidden/>
              </w:rPr>
              <w:fldChar w:fldCharType="end"/>
            </w:r>
          </w:hyperlink>
        </w:p>
        <w:p w14:paraId="01AD5D0D" w14:textId="1E68E1AF"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97" w:history="1">
            <w:r w:rsidR="00C02512" w:rsidRPr="00CF189D">
              <w:rPr>
                <w:rStyle w:val="Hyperlink"/>
                <w:rFonts w:ascii="Calibri" w:hAnsi="Calibri" w:cs="Calibri"/>
                <w:b w:val="0"/>
                <w:bCs w:val="0"/>
                <w:noProof/>
              </w:rPr>
              <w:t>8.3. Broad confusion over defining ‘devolution’ (c. 1975-1981)</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_Toc41505697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276</w:t>
            </w:r>
            <w:r w:rsidR="00C02512" w:rsidRPr="00CF189D">
              <w:rPr>
                <w:rFonts w:ascii="Calibri" w:hAnsi="Calibri" w:cs="Calibri"/>
                <w:b w:val="0"/>
                <w:bCs w:val="0"/>
                <w:noProof/>
                <w:webHidden/>
              </w:rPr>
              <w:fldChar w:fldCharType="end"/>
            </w:r>
          </w:hyperlink>
        </w:p>
        <w:p w14:paraId="72D7800E" w14:textId="6D356220"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98" w:history="1">
            <w:r w:rsidR="00C02512" w:rsidRPr="00CF189D">
              <w:rPr>
                <w:rStyle w:val="Hyperlink"/>
                <w:rFonts w:ascii="Calibri" w:hAnsi="Calibri" w:cs="Calibri"/>
                <w:b w:val="0"/>
                <w:bCs w:val="0"/>
                <w:noProof/>
              </w:rPr>
              <w:t>8.4. Devolution as PHC support through human resource development</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_Toc41505698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278</w:t>
            </w:r>
            <w:r w:rsidR="00C02512" w:rsidRPr="00CF189D">
              <w:rPr>
                <w:rFonts w:ascii="Calibri" w:hAnsi="Calibri" w:cs="Calibri"/>
                <w:b w:val="0"/>
                <w:bCs w:val="0"/>
                <w:noProof/>
                <w:webHidden/>
              </w:rPr>
              <w:fldChar w:fldCharType="end"/>
            </w:r>
          </w:hyperlink>
        </w:p>
        <w:p w14:paraId="50588C1A" w14:textId="57D60CB2"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699" w:history="1">
            <w:r w:rsidR="00C02512" w:rsidRPr="00CF189D">
              <w:rPr>
                <w:rStyle w:val="Hyperlink"/>
                <w:rFonts w:ascii="Calibri" w:hAnsi="Calibri" w:cs="Calibri"/>
                <w:b w:val="0"/>
                <w:bCs w:val="0"/>
                <w:noProof/>
              </w:rPr>
              <w:t>(c. 1981-1984)</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_Toc41505699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278</w:t>
            </w:r>
            <w:r w:rsidR="00C02512" w:rsidRPr="00CF189D">
              <w:rPr>
                <w:rFonts w:ascii="Calibri" w:hAnsi="Calibri" w:cs="Calibri"/>
                <w:b w:val="0"/>
                <w:bCs w:val="0"/>
                <w:noProof/>
                <w:webHidden/>
              </w:rPr>
              <w:fldChar w:fldCharType="end"/>
            </w:r>
          </w:hyperlink>
        </w:p>
        <w:p w14:paraId="7003AB51" w14:textId="481A62BC"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700" w:history="1">
            <w:r w:rsidR="00C02512" w:rsidRPr="00CF189D">
              <w:rPr>
                <w:rStyle w:val="Hyperlink"/>
                <w:rFonts w:ascii="Calibri" w:hAnsi="Calibri" w:cs="Calibri"/>
                <w:b w:val="0"/>
                <w:bCs w:val="0"/>
                <w:noProof/>
              </w:rPr>
              <w:t>8.5. Retreat from conceptualising devolution as broad PHC support (1985-1988)</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_Toc41505700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282</w:t>
            </w:r>
            <w:r w:rsidR="00C02512" w:rsidRPr="00CF189D">
              <w:rPr>
                <w:rFonts w:ascii="Calibri" w:hAnsi="Calibri" w:cs="Calibri"/>
                <w:b w:val="0"/>
                <w:bCs w:val="0"/>
                <w:noProof/>
                <w:webHidden/>
              </w:rPr>
              <w:fldChar w:fldCharType="end"/>
            </w:r>
          </w:hyperlink>
        </w:p>
        <w:p w14:paraId="57D03584" w14:textId="43DD1CAC"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701" w:history="1">
            <w:r w:rsidR="00C02512" w:rsidRPr="00CF189D">
              <w:rPr>
                <w:rStyle w:val="Hyperlink"/>
                <w:rFonts w:ascii="Calibri" w:hAnsi="Calibri" w:cs="Calibri"/>
                <w:b w:val="0"/>
                <w:bCs w:val="0"/>
                <w:noProof/>
              </w:rPr>
              <w:t>8.6. Ivermectin and recasting devolution as public accountability (1989-1993)</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_Toc41505701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286</w:t>
            </w:r>
            <w:r w:rsidR="00C02512" w:rsidRPr="00CF189D">
              <w:rPr>
                <w:rFonts w:ascii="Calibri" w:hAnsi="Calibri" w:cs="Calibri"/>
                <w:b w:val="0"/>
                <w:bCs w:val="0"/>
                <w:noProof/>
                <w:webHidden/>
              </w:rPr>
              <w:fldChar w:fldCharType="end"/>
            </w:r>
          </w:hyperlink>
        </w:p>
        <w:p w14:paraId="69A1E2CA" w14:textId="1F44F106"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702" w:history="1">
            <w:r w:rsidR="00C02512" w:rsidRPr="00CF189D">
              <w:rPr>
                <w:rStyle w:val="Hyperlink"/>
                <w:rFonts w:ascii="Calibri" w:hAnsi="Calibri" w:cs="Calibri"/>
                <w:noProof/>
                <w:sz w:val="22"/>
                <w:szCs w:val="22"/>
              </w:rPr>
              <w:t>8.6.A. Failure of early devolution plans</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_Toc41505702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286</w:t>
            </w:r>
            <w:r w:rsidR="00C02512" w:rsidRPr="00CF189D">
              <w:rPr>
                <w:rFonts w:ascii="Calibri" w:hAnsi="Calibri" w:cs="Calibri"/>
                <w:noProof/>
                <w:webHidden/>
                <w:sz w:val="22"/>
                <w:szCs w:val="22"/>
              </w:rPr>
              <w:fldChar w:fldCharType="end"/>
            </w:r>
          </w:hyperlink>
        </w:p>
        <w:p w14:paraId="0286576C" w14:textId="37E3154C"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703" w:history="1">
            <w:r w:rsidR="00C02512" w:rsidRPr="00CF189D">
              <w:rPr>
                <w:rStyle w:val="Hyperlink"/>
                <w:rFonts w:ascii="Calibri" w:hAnsi="Calibri" w:cs="Calibri"/>
                <w:noProof/>
                <w:sz w:val="22"/>
                <w:szCs w:val="22"/>
              </w:rPr>
              <w:t>8.6.B. Developing community mechanisms for ivermectin delivery</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_Toc41505703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289</w:t>
            </w:r>
            <w:r w:rsidR="00C02512" w:rsidRPr="00CF189D">
              <w:rPr>
                <w:rFonts w:ascii="Calibri" w:hAnsi="Calibri" w:cs="Calibri"/>
                <w:noProof/>
                <w:webHidden/>
                <w:sz w:val="22"/>
                <w:szCs w:val="22"/>
              </w:rPr>
              <w:fldChar w:fldCharType="end"/>
            </w:r>
          </w:hyperlink>
        </w:p>
        <w:p w14:paraId="76D47D42" w14:textId="3C28F195" w:rsidR="00C02512" w:rsidRPr="00CF189D" w:rsidRDefault="00573B45" w:rsidP="00C02512">
          <w:pPr>
            <w:pStyle w:val="TOC3"/>
            <w:tabs>
              <w:tab w:val="right" w:leader="dot" w:pos="9016"/>
            </w:tabs>
            <w:rPr>
              <w:rFonts w:ascii="Calibri" w:eastAsiaTheme="minorEastAsia" w:hAnsi="Calibri" w:cs="Calibri"/>
              <w:noProof/>
              <w:sz w:val="22"/>
              <w:szCs w:val="22"/>
              <w:lang w:val="en-US"/>
            </w:rPr>
          </w:pPr>
          <w:hyperlink w:anchor="_Toc41505704" w:history="1">
            <w:r w:rsidR="00C02512" w:rsidRPr="00CF189D">
              <w:rPr>
                <w:rStyle w:val="Hyperlink"/>
                <w:rFonts w:ascii="Calibri" w:hAnsi="Calibri" w:cs="Calibri"/>
                <w:noProof/>
                <w:sz w:val="22"/>
                <w:szCs w:val="22"/>
              </w:rPr>
              <w:t>8.6.C. Introducing devolution ‘sensu stricto’, to focus on onchocerciasis and ivermectin</w:t>
            </w:r>
            <w:r w:rsidR="00C02512" w:rsidRPr="00CF189D">
              <w:rPr>
                <w:rFonts w:ascii="Calibri" w:hAnsi="Calibri" w:cs="Calibri"/>
                <w:noProof/>
                <w:webHidden/>
                <w:sz w:val="22"/>
                <w:szCs w:val="22"/>
              </w:rPr>
              <w:tab/>
            </w:r>
            <w:r w:rsidR="00C02512" w:rsidRPr="00CF189D">
              <w:rPr>
                <w:rFonts w:ascii="Calibri" w:hAnsi="Calibri" w:cs="Calibri"/>
                <w:noProof/>
                <w:webHidden/>
                <w:sz w:val="22"/>
                <w:szCs w:val="22"/>
              </w:rPr>
              <w:fldChar w:fldCharType="begin"/>
            </w:r>
            <w:r w:rsidR="00C02512" w:rsidRPr="00CF189D">
              <w:rPr>
                <w:rFonts w:ascii="Calibri" w:hAnsi="Calibri" w:cs="Calibri"/>
                <w:noProof/>
                <w:webHidden/>
                <w:sz w:val="22"/>
                <w:szCs w:val="22"/>
              </w:rPr>
              <w:instrText xml:space="preserve"> PAGEREF _Toc41505704 \h </w:instrText>
            </w:r>
            <w:r w:rsidR="00C02512" w:rsidRPr="00CF189D">
              <w:rPr>
                <w:rFonts w:ascii="Calibri" w:hAnsi="Calibri" w:cs="Calibri"/>
                <w:noProof/>
                <w:webHidden/>
                <w:sz w:val="22"/>
                <w:szCs w:val="22"/>
              </w:rPr>
            </w:r>
            <w:r w:rsidR="00C02512" w:rsidRPr="00CF189D">
              <w:rPr>
                <w:rFonts w:ascii="Calibri" w:hAnsi="Calibri" w:cs="Calibri"/>
                <w:noProof/>
                <w:webHidden/>
                <w:sz w:val="22"/>
                <w:szCs w:val="22"/>
              </w:rPr>
              <w:fldChar w:fldCharType="separate"/>
            </w:r>
            <w:r w:rsidR="00B31D07">
              <w:rPr>
                <w:rFonts w:ascii="Calibri" w:hAnsi="Calibri" w:cs="Calibri"/>
                <w:noProof/>
                <w:webHidden/>
                <w:sz w:val="22"/>
                <w:szCs w:val="22"/>
              </w:rPr>
              <w:t>295</w:t>
            </w:r>
            <w:r w:rsidR="00C02512" w:rsidRPr="00CF189D">
              <w:rPr>
                <w:rFonts w:ascii="Calibri" w:hAnsi="Calibri" w:cs="Calibri"/>
                <w:noProof/>
                <w:webHidden/>
                <w:sz w:val="22"/>
                <w:szCs w:val="22"/>
              </w:rPr>
              <w:fldChar w:fldCharType="end"/>
            </w:r>
          </w:hyperlink>
        </w:p>
        <w:p w14:paraId="50D64191" w14:textId="74D36C99"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705" w:history="1">
            <w:r w:rsidR="00C02512" w:rsidRPr="00CF189D">
              <w:rPr>
                <w:rStyle w:val="Hyperlink"/>
                <w:rFonts w:ascii="Calibri" w:hAnsi="Calibri" w:cs="Calibri"/>
                <w:b w:val="0"/>
                <w:bCs w:val="0"/>
                <w:noProof/>
              </w:rPr>
              <w:t>8.7. Devolution as a ‘Trojan horse’ for health system strengthening (c.1994)</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_Toc41505705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298</w:t>
            </w:r>
            <w:r w:rsidR="00C02512" w:rsidRPr="00CF189D">
              <w:rPr>
                <w:rFonts w:ascii="Calibri" w:hAnsi="Calibri" w:cs="Calibri"/>
                <w:b w:val="0"/>
                <w:bCs w:val="0"/>
                <w:noProof/>
                <w:webHidden/>
              </w:rPr>
              <w:fldChar w:fldCharType="end"/>
            </w:r>
          </w:hyperlink>
        </w:p>
        <w:p w14:paraId="469E3A82" w14:textId="3141746B"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706" w:history="1">
            <w:r w:rsidR="00C02512" w:rsidRPr="00CF189D">
              <w:rPr>
                <w:rStyle w:val="Hyperlink"/>
                <w:rFonts w:ascii="Calibri" w:hAnsi="Calibri" w:cs="Calibri"/>
                <w:b w:val="0"/>
                <w:bCs w:val="0"/>
                <w:noProof/>
              </w:rPr>
              <w:t>8.8. Conclusion</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_Toc41505706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303</w:t>
            </w:r>
            <w:r w:rsidR="00C02512" w:rsidRPr="00CF189D">
              <w:rPr>
                <w:rFonts w:ascii="Calibri" w:hAnsi="Calibri" w:cs="Calibri"/>
                <w:b w:val="0"/>
                <w:bCs w:val="0"/>
                <w:noProof/>
                <w:webHidden/>
              </w:rPr>
              <w:fldChar w:fldCharType="end"/>
            </w:r>
          </w:hyperlink>
        </w:p>
        <w:p w14:paraId="3F37571B" w14:textId="4A373A68" w:rsidR="00C02512" w:rsidRPr="00CF189D" w:rsidRDefault="00573B45" w:rsidP="00C02512">
          <w:pPr>
            <w:pStyle w:val="TOC1"/>
            <w:tabs>
              <w:tab w:val="right" w:leader="dot" w:pos="9016"/>
            </w:tabs>
            <w:rPr>
              <w:rFonts w:ascii="Calibri" w:eastAsiaTheme="minorEastAsia" w:hAnsi="Calibri" w:cs="Calibri"/>
              <w:b w:val="0"/>
              <w:bCs w:val="0"/>
              <w:i w:val="0"/>
              <w:iCs w:val="0"/>
              <w:noProof/>
              <w:sz w:val="22"/>
              <w:szCs w:val="22"/>
              <w:lang w:val="en-US"/>
            </w:rPr>
          </w:pPr>
          <w:hyperlink w:anchor="_Toc41505707" w:history="1">
            <w:r w:rsidR="00C02512" w:rsidRPr="00CF189D">
              <w:rPr>
                <w:rStyle w:val="Hyperlink"/>
                <w:rFonts w:ascii="Calibri" w:hAnsi="Calibri" w:cs="Calibri"/>
                <w:b w:val="0"/>
                <w:bCs w:val="0"/>
                <w:i w:val="0"/>
                <w:iCs w:val="0"/>
                <w:noProof/>
                <w:sz w:val="22"/>
                <w:szCs w:val="22"/>
              </w:rPr>
              <w:t>Chapter 9.</w:t>
            </w:r>
            <w:r w:rsidR="00C02512" w:rsidRPr="00CF189D">
              <w:rPr>
                <w:rFonts w:ascii="Calibri" w:hAnsi="Calibri" w:cs="Calibri"/>
                <w:b w:val="0"/>
                <w:bCs w:val="0"/>
                <w:i w:val="0"/>
                <w:iCs w:val="0"/>
                <w:noProof/>
                <w:webHidden/>
                <w:sz w:val="22"/>
                <w:szCs w:val="22"/>
              </w:rPr>
              <w:tab/>
            </w:r>
            <w:r w:rsidR="00C02512" w:rsidRPr="00CF189D">
              <w:rPr>
                <w:rFonts w:ascii="Calibri" w:hAnsi="Calibri" w:cs="Calibri"/>
                <w:b w:val="0"/>
                <w:bCs w:val="0"/>
                <w:i w:val="0"/>
                <w:iCs w:val="0"/>
                <w:noProof/>
                <w:webHidden/>
                <w:sz w:val="22"/>
                <w:szCs w:val="22"/>
              </w:rPr>
              <w:fldChar w:fldCharType="begin"/>
            </w:r>
            <w:r w:rsidR="00C02512" w:rsidRPr="00CF189D">
              <w:rPr>
                <w:rFonts w:ascii="Calibri" w:hAnsi="Calibri" w:cs="Calibri"/>
                <w:b w:val="0"/>
                <w:bCs w:val="0"/>
                <w:i w:val="0"/>
                <w:iCs w:val="0"/>
                <w:noProof/>
                <w:webHidden/>
                <w:sz w:val="22"/>
                <w:szCs w:val="22"/>
              </w:rPr>
              <w:instrText xml:space="preserve"> PAGEREF _Toc41505707 \h </w:instrText>
            </w:r>
            <w:r w:rsidR="00C02512" w:rsidRPr="00CF189D">
              <w:rPr>
                <w:rFonts w:ascii="Calibri" w:hAnsi="Calibri" w:cs="Calibri"/>
                <w:b w:val="0"/>
                <w:bCs w:val="0"/>
                <w:i w:val="0"/>
                <w:iCs w:val="0"/>
                <w:noProof/>
                <w:webHidden/>
                <w:sz w:val="22"/>
                <w:szCs w:val="22"/>
              </w:rPr>
            </w:r>
            <w:r w:rsidR="00C02512" w:rsidRPr="00CF189D">
              <w:rPr>
                <w:rFonts w:ascii="Calibri" w:hAnsi="Calibri" w:cs="Calibri"/>
                <w:b w:val="0"/>
                <w:bCs w:val="0"/>
                <w:i w:val="0"/>
                <w:iCs w:val="0"/>
                <w:noProof/>
                <w:webHidden/>
                <w:sz w:val="22"/>
                <w:szCs w:val="22"/>
              </w:rPr>
              <w:fldChar w:fldCharType="separate"/>
            </w:r>
            <w:r w:rsidR="00B31D07">
              <w:rPr>
                <w:rFonts w:ascii="Calibri" w:hAnsi="Calibri" w:cs="Calibri"/>
                <w:b w:val="0"/>
                <w:bCs w:val="0"/>
                <w:i w:val="0"/>
                <w:iCs w:val="0"/>
                <w:noProof/>
                <w:webHidden/>
                <w:sz w:val="22"/>
                <w:szCs w:val="22"/>
              </w:rPr>
              <w:t>308</w:t>
            </w:r>
            <w:r w:rsidR="00C02512" w:rsidRPr="00CF189D">
              <w:rPr>
                <w:rFonts w:ascii="Calibri" w:hAnsi="Calibri" w:cs="Calibri"/>
                <w:b w:val="0"/>
                <w:bCs w:val="0"/>
                <w:i w:val="0"/>
                <w:iCs w:val="0"/>
                <w:noProof/>
                <w:webHidden/>
                <w:sz w:val="22"/>
                <w:szCs w:val="22"/>
              </w:rPr>
              <w:fldChar w:fldCharType="end"/>
            </w:r>
          </w:hyperlink>
        </w:p>
        <w:p w14:paraId="49158465" w14:textId="01351F01" w:rsidR="00C02512" w:rsidRPr="00CF189D" w:rsidRDefault="00573B45" w:rsidP="00C02512">
          <w:pPr>
            <w:pStyle w:val="TOC1"/>
            <w:tabs>
              <w:tab w:val="right" w:leader="dot" w:pos="9016"/>
            </w:tabs>
            <w:rPr>
              <w:rFonts w:ascii="Calibri" w:eastAsiaTheme="minorEastAsia" w:hAnsi="Calibri" w:cs="Calibri"/>
              <w:b w:val="0"/>
              <w:bCs w:val="0"/>
              <w:i w:val="0"/>
              <w:iCs w:val="0"/>
              <w:noProof/>
              <w:sz w:val="22"/>
              <w:szCs w:val="22"/>
              <w:lang w:val="en-US"/>
            </w:rPr>
          </w:pPr>
          <w:hyperlink w:anchor="_Toc41505708" w:history="1">
            <w:r w:rsidR="00C02512" w:rsidRPr="00CF189D">
              <w:rPr>
                <w:rStyle w:val="Hyperlink"/>
                <w:rFonts w:ascii="Calibri" w:hAnsi="Calibri" w:cs="Calibri"/>
                <w:b w:val="0"/>
                <w:bCs w:val="0"/>
                <w:i w:val="0"/>
                <w:iCs w:val="0"/>
                <w:noProof/>
                <w:sz w:val="22"/>
                <w:szCs w:val="22"/>
              </w:rPr>
              <w:t>Conclusion: Constructing Success</w:t>
            </w:r>
            <w:r w:rsidR="00C02512" w:rsidRPr="00CF189D">
              <w:rPr>
                <w:rFonts w:ascii="Calibri" w:hAnsi="Calibri" w:cs="Calibri"/>
                <w:b w:val="0"/>
                <w:bCs w:val="0"/>
                <w:i w:val="0"/>
                <w:iCs w:val="0"/>
                <w:noProof/>
                <w:webHidden/>
                <w:sz w:val="22"/>
                <w:szCs w:val="22"/>
              </w:rPr>
              <w:tab/>
            </w:r>
            <w:r w:rsidR="00C02512" w:rsidRPr="00CF189D">
              <w:rPr>
                <w:rFonts w:ascii="Calibri" w:hAnsi="Calibri" w:cs="Calibri"/>
                <w:b w:val="0"/>
                <w:bCs w:val="0"/>
                <w:i w:val="0"/>
                <w:iCs w:val="0"/>
                <w:noProof/>
                <w:webHidden/>
                <w:sz w:val="22"/>
                <w:szCs w:val="22"/>
              </w:rPr>
              <w:fldChar w:fldCharType="begin"/>
            </w:r>
            <w:r w:rsidR="00C02512" w:rsidRPr="00CF189D">
              <w:rPr>
                <w:rFonts w:ascii="Calibri" w:hAnsi="Calibri" w:cs="Calibri"/>
                <w:b w:val="0"/>
                <w:bCs w:val="0"/>
                <w:i w:val="0"/>
                <w:iCs w:val="0"/>
                <w:noProof/>
                <w:webHidden/>
                <w:sz w:val="22"/>
                <w:szCs w:val="22"/>
              </w:rPr>
              <w:instrText xml:space="preserve"> PAGEREF _Toc41505708 \h </w:instrText>
            </w:r>
            <w:r w:rsidR="00C02512" w:rsidRPr="00CF189D">
              <w:rPr>
                <w:rFonts w:ascii="Calibri" w:hAnsi="Calibri" w:cs="Calibri"/>
                <w:b w:val="0"/>
                <w:bCs w:val="0"/>
                <w:i w:val="0"/>
                <w:iCs w:val="0"/>
                <w:noProof/>
                <w:webHidden/>
                <w:sz w:val="22"/>
                <w:szCs w:val="22"/>
              </w:rPr>
            </w:r>
            <w:r w:rsidR="00C02512" w:rsidRPr="00CF189D">
              <w:rPr>
                <w:rFonts w:ascii="Calibri" w:hAnsi="Calibri" w:cs="Calibri"/>
                <w:b w:val="0"/>
                <w:bCs w:val="0"/>
                <w:i w:val="0"/>
                <w:iCs w:val="0"/>
                <w:noProof/>
                <w:webHidden/>
                <w:sz w:val="22"/>
                <w:szCs w:val="22"/>
              </w:rPr>
              <w:fldChar w:fldCharType="separate"/>
            </w:r>
            <w:r w:rsidR="00B31D07">
              <w:rPr>
                <w:rFonts w:ascii="Calibri" w:hAnsi="Calibri" w:cs="Calibri"/>
                <w:b w:val="0"/>
                <w:bCs w:val="0"/>
                <w:i w:val="0"/>
                <w:iCs w:val="0"/>
                <w:noProof/>
                <w:webHidden/>
                <w:sz w:val="22"/>
                <w:szCs w:val="22"/>
              </w:rPr>
              <w:t>308</w:t>
            </w:r>
            <w:r w:rsidR="00C02512" w:rsidRPr="00CF189D">
              <w:rPr>
                <w:rFonts w:ascii="Calibri" w:hAnsi="Calibri" w:cs="Calibri"/>
                <w:b w:val="0"/>
                <w:bCs w:val="0"/>
                <w:i w:val="0"/>
                <w:iCs w:val="0"/>
                <w:noProof/>
                <w:webHidden/>
                <w:sz w:val="22"/>
                <w:szCs w:val="22"/>
              </w:rPr>
              <w:fldChar w:fldCharType="end"/>
            </w:r>
          </w:hyperlink>
        </w:p>
        <w:p w14:paraId="5984EB82" w14:textId="2016D344"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709" w:history="1">
            <w:r w:rsidR="00C02512" w:rsidRPr="00CF189D">
              <w:rPr>
                <w:rStyle w:val="Hyperlink"/>
                <w:rFonts w:ascii="Calibri" w:hAnsi="Calibri" w:cs="Calibri"/>
                <w:b w:val="0"/>
                <w:bCs w:val="0"/>
                <w:noProof/>
              </w:rPr>
              <w:t>9.1. The OCP and the economic gaze</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_Toc41505709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308</w:t>
            </w:r>
            <w:r w:rsidR="00C02512" w:rsidRPr="00CF189D">
              <w:rPr>
                <w:rFonts w:ascii="Calibri" w:hAnsi="Calibri" w:cs="Calibri"/>
                <w:b w:val="0"/>
                <w:bCs w:val="0"/>
                <w:noProof/>
                <w:webHidden/>
              </w:rPr>
              <w:fldChar w:fldCharType="end"/>
            </w:r>
          </w:hyperlink>
        </w:p>
        <w:p w14:paraId="5B4BCBBE" w14:textId="556D01A7"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710" w:history="1">
            <w:r w:rsidR="00C02512" w:rsidRPr="00CF189D">
              <w:rPr>
                <w:rStyle w:val="Hyperlink"/>
                <w:rFonts w:ascii="Calibri" w:hAnsi="Calibri" w:cs="Calibri"/>
                <w:b w:val="0"/>
                <w:bCs w:val="0"/>
                <w:noProof/>
              </w:rPr>
              <w:t>9.2. The dominant narrative &amp; evolving global health ethos at the World Bank</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_Toc41505710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309</w:t>
            </w:r>
            <w:r w:rsidR="00C02512" w:rsidRPr="00CF189D">
              <w:rPr>
                <w:rFonts w:ascii="Calibri" w:hAnsi="Calibri" w:cs="Calibri"/>
                <w:b w:val="0"/>
                <w:bCs w:val="0"/>
                <w:noProof/>
                <w:webHidden/>
              </w:rPr>
              <w:fldChar w:fldCharType="end"/>
            </w:r>
          </w:hyperlink>
        </w:p>
        <w:p w14:paraId="05D418FC" w14:textId="6292349A"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711" w:history="1">
            <w:r w:rsidR="00C02512" w:rsidRPr="00CF189D">
              <w:rPr>
                <w:rStyle w:val="Hyperlink"/>
                <w:rFonts w:ascii="Calibri" w:hAnsi="Calibri" w:cs="Calibri"/>
                <w:b w:val="0"/>
                <w:bCs w:val="0"/>
                <w:noProof/>
              </w:rPr>
              <w:t>9.3. The OCP and the Bank’s impact model of success</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_Toc41505711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314</w:t>
            </w:r>
            <w:r w:rsidR="00C02512" w:rsidRPr="00CF189D">
              <w:rPr>
                <w:rFonts w:ascii="Calibri" w:hAnsi="Calibri" w:cs="Calibri"/>
                <w:b w:val="0"/>
                <w:bCs w:val="0"/>
                <w:noProof/>
                <w:webHidden/>
              </w:rPr>
              <w:fldChar w:fldCharType="end"/>
            </w:r>
          </w:hyperlink>
        </w:p>
        <w:p w14:paraId="34CF30AC" w14:textId="72D6212A"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712" w:history="1">
            <w:r w:rsidR="00C02512" w:rsidRPr="00CF189D">
              <w:rPr>
                <w:rStyle w:val="Hyperlink"/>
                <w:rFonts w:ascii="Calibri" w:hAnsi="Calibri" w:cs="Calibri"/>
                <w:b w:val="0"/>
                <w:bCs w:val="0"/>
                <w:noProof/>
              </w:rPr>
              <w:t>9.4. Marketing as a mechanism to construct success narratives</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_Toc41505712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319</w:t>
            </w:r>
            <w:r w:rsidR="00C02512" w:rsidRPr="00CF189D">
              <w:rPr>
                <w:rFonts w:ascii="Calibri" w:hAnsi="Calibri" w:cs="Calibri"/>
                <w:b w:val="0"/>
                <w:bCs w:val="0"/>
                <w:noProof/>
                <w:webHidden/>
              </w:rPr>
              <w:fldChar w:fldCharType="end"/>
            </w:r>
          </w:hyperlink>
        </w:p>
        <w:p w14:paraId="0B8B0803" w14:textId="2C1BFB7F"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713" w:history="1">
            <w:r w:rsidR="00C02512" w:rsidRPr="00CF189D">
              <w:rPr>
                <w:rStyle w:val="Hyperlink"/>
                <w:rFonts w:ascii="Calibri" w:hAnsi="Calibri" w:cs="Calibri"/>
                <w:b w:val="0"/>
                <w:bCs w:val="0"/>
                <w:noProof/>
              </w:rPr>
              <w:t>9.5. Reproducing the miracle of sight?</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_Toc41505713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322</w:t>
            </w:r>
            <w:r w:rsidR="00C02512" w:rsidRPr="00CF189D">
              <w:rPr>
                <w:rFonts w:ascii="Calibri" w:hAnsi="Calibri" w:cs="Calibri"/>
                <w:b w:val="0"/>
                <w:bCs w:val="0"/>
                <w:noProof/>
                <w:webHidden/>
              </w:rPr>
              <w:fldChar w:fldCharType="end"/>
            </w:r>
          </w:hyperlink>
        </w:p>
        <w:p w14:paraId="6FBF002D" w14:textId="3F9C8231"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714" w:history="1">
            <w:r w:rsidR="00C02512" w:rsidRPr="00CF189D">
              <w:rPr>
                <w:rStyle w:val="Hyperlink"/>
                <w:rFonts w:ascii="Calibri" w:hAnsi="Calibri" w:cs="Calibri"/>
                <w:b w:val="0"/>
                <w:bCs w:val="0"/>
                <w:noProof/>
              </w:rPr>
              <w:t>9.6. Countering the success cartel</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_Toc41505714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324</w:t>
            </w:r>
            <w:r w:rsidR="00C02512" w:rsidRPr="00CF189D">
              <w:rPr>
                <w:rFonts w:ascii="Calibri" w:hAnsi="Calibri" w:cs="Calibri"/>
                <w:b w:val="0"/>
                <w:bCs w:val="0"/>
                <w:noProof/>
                <w:webHidden/>
              </w:rPr>
              <w:fldChar w:fldCharType="end"/>
            </w:r>
          </w:hyperlink>
        </w:p>
        <w:p w14:paraId="0D76BB2E" w14:textId="6CDF6146" w:rsidR="00C02512" w:rsidRPr="00CF189D" w:rsidRDefault="00573B45" w:rsidP="00C02512">
          <w:pPr>
            <w:pStyle w:val="TOC1"/>
            <w:tabs>
              <w:tab w:val="right" w:leader="dot" w:pos="9016"/>
            </w:tabs>
            <w:rPr>
              <w:rFonts w:ascii="Calibri" w:eastAsiaTheme="minorEastAsia" w:hAnsi="Calibri" w:cs="Calibri"/>
              <w:b w:val="0"/>
              <w:bCs w:val="0"/>
              <w:i w:val="0"/>
              <w:iCs w:val="0"/>
              <w:noProof/>
              <w:sz w:val="22"/>
              <w:szCs w:val="22"/>
              <w:lang w:val="en-US"/>
            </w:rPr>
          </w:pPr>
          <w:hyperlink w:anchor="_Toc41505715" w:history="1">
            <w:r w:rsidR="00C02512" w:rsidRPr="00CF189D">
              <w:rPr>
                <w:rStyle w:val="Hyperlink"/>
                <w:rFonts w:ascii="Calibri" w:hAnsi="Calibri" w:cs="Calibri"/>
                <w:b w:val="0"/>
                <w:bCs w:val="0"/>
                <w:i w:val="0"/>
                <w:iCs w:val="0"/>
                <w:noProof/>
                <w:sz w:val="22"/>
                <w:szCs w:val="22"/>
              </w:rPr>
              <w:t>Bibliography</w:t>
            </w:r>
            <w:r w:rsidR="00C02512" w:rsidRPr="00CF189D">
              <w:rPr>
                <w:rFonts w:ascii="Calibri" w:hAnsi="Calibri" w:cs="Calibri"/>
                <w:b w:val="0"/>
                <w:bCs w:val="0"/>
                <w:i w:val="0"/>
                <w:iCs w:val="0"/>
                <w:noProof/>
                <w:webHidden/>
                <w:sz w:val="22"/>
                <w:szCs w:val="22"/>
              </w:rPr>
              <w:tab/>
            </w:r>
            <w:r w:rsidR="00C02512" w:rsidRPr="00CF189D">
              <w:rPr>
                <w:rFonts w:ascii="Calibri" w:hAnsi="Calibri" w:cs="Calibri"/>
                <w:b w:val="0"/>
                <w:bCs w:val="0"/>
                <w:i w:val="0"/>
                <w:iCs w:val="0"/>
                <w:noProof/>
                <w:webHidden/>
                <w:sz w:val="22"/>
                <w:szCs w:val="22"/>
              </w:rPr>
              <w:fldChar w:fldCharType="begin"/>
            </w:r>
            <w:r w:rsidR="00C02512" w:rsidRPr="00CF189D">
              <w:rPr>
                <w:rFonts w:ascii="Calibri" w:hAnsi="Calibri" w:cs="Calibri"/>
                <w:b w:val="0"/>
                <w:bCs w:val="0"/>
                <w:i w:val="0"/>
                <w:iCs w:val="0"/>
                <w:noProof/>
                <w:webHidden/>
                <w:sz w:val="22"/>
                <w:szCs w:val="22"/>
              </w:rPr>
              <w:instrText xml:space="preserve"> PAGEREF _Toc41505715 \h </w:instrText>
            </w:r>
            <w:r w:rsidR="00C02512" w:rsidRPr="00CF189D">
              <w:rPr>
                <w:rFonts w:ascii="Calibri" w:hAnsi="Calibri" w:cs="Calibri"/>
                <w:b w:val="0"/>
                <w:bCs w:val="0"/>
                <w:i w:val="0"/>
                <w:iCs w:val="0"/>
                <w:noProof/>
                <w:webHidden/>
                <w:sz w:val="22"/>
                <w:szCs w:val="22"/>
              </w:rPr>
            </w:r>
            <w:r w:rsidR="00C02512" w:rsidRPr="00CF189D">
              <w:rPr>
                <w:rFonts w:ascii="Calibri" w:hAnsi="Calibri" w:cs="Calibri"/>
                <w:b w:val="0"/>
                <w:bCs w:val="0"/>
                <w:i w:val="0"/>
                <w:iCs w:val="0"/>
                <w:noProof/>
                <w:webHidden/>
                <w:sz w:val="22"/>
                <w:szCs w:val="22"/>
              </w:rPr>
              <w:fldChar w:fldCharType="separate"/>
            </w:r>
            <w:r w:rsidR="00B31D07">
              <w:rPr>
                <w:rFonts w:ascii="Calibri" w:hAnsi="Calibri" w:cs="Calibri"/>
                <w:b w:val="0"/>
                <w:bCs w:val="0"/>
                <w:i w:val="0"/>
                <w:iCs w:val="0"/>
                <w:noProof/>
                <w:webHidden/>
                <w:sz w:val="22"/>
                <w:szCs w:val="22"/>
              </w:rPr>
              <w:t>326</w:t>
            </w:r>
            <w:r w:rsidR="00C02512" w:rsidRPr="00CF189D">
              <w:rPr>
                <w:rFonts w:ascii="Calibri" w:hAnsi="Calibri" w:cs="Calibri"/>
                <w:b w:val="0"/>
                <w:bCs w:val="0"/>
                <w:i w:val="0"/>
                <w:iCs w:val="0"/>
                <w:noProof/>
                <w:webHidden/>
                <w:sz w:val="22"/>
                <w:szCs w:val="22"/>
              </w:rPr>
              <w:fldChar w:fldCharType="end"/>
            </w:r>
          </w:hyperlink>
        </w:p>
        <w:p w14:paraId="1EF79EDE" w14:textId="31788A6A" w:rsidR="00C02512" w:rsidRPr="00CF189D" w:rsidRDefault="00573B45" w:rsidP="00C02512">
          <w:pPr>
            <w:pStyle w:val="TOC1"/>
            <w:tabs>
              <w:tab w:val="right" w:leader="dot" w:pos="9016"/>
            </w:tabs>
            <w:rPr>
              <w:rFonts w:ascii="Calibri" w:eastAsiaTheme="minorEastAsia" w:hAnsi="Calibri" w:cs="Calibri"/>
              <w:b w:val="0"/>
              <w:bCs w:val="0"/>
              <w:i w:val="0"/>
              <w:iCs w:val="0"/>
              <w:noProof/>
              <w:sz w:val="22"/>
              <w:szCs w:val="22"/>
              <w:lang w:val="en-US"/>
            </w:rPr>
          </w:pPr>
          <w:hyperlink w:anchor="_Toc41505716" w:history="1">
            <w:r w:rsidR="00C02512" w:rsidRPr="00CF189D">
              <w:rPr>
                <w:rStyle w:val="Hyperlink"/>
                <w:rFonts w:ascii="Calibri" w:hAnsi="Calibri" w:cs="Calibri"/>
                <w:b w:val="0"/>
                <w:bCs w:val="0"/>
                <w:i w:val="0"/>
                <w:iCs w:val="0"/>
                <w:noProof/>
                <w:sz w:val="22"/>
                <w:szCs w:val="22"/>
              </w:rPr>
              <w:t>Appendices</w:t>
            </w:r>
            <w:r w:rsidR="00C02512" w:rsidRPr="00CF189D">
              <w:rPr>
                <w:rFonts w:ascii="Calibri" w:hAnsi="Calibri" w:cs="Calibri"/>
                <w:b w:val="0"/>
                <w:bCs w:val="0"/>
                <w:i w:val="0"/>
                <w:iCs w:val="0"/>
                <w:noProof/>
                <w:webHidden/>
                <w:sz w:val="22"/>
                <w:szCs w:val="22"/>
              </w:rPr>
              <w:tab/>
            </w:r>
            <w:r w:rsidR="00C02512" w:rsidRPr="00CF189D">
              <w:rPr>
                <w:rFonts w:ascii="Calibri" w:hAnsi="Calibri" w:cs="Calibri"/>
                <w:b w:val="0"/>
                <w:bCs w:val="0"/>
                <w:i w:val="0"/>
                <w:iCs w:val="0"/>
                <w:noProof/>
                <w:webHidden/>
                <w:sz w:val="22"/>
                <w:szCs w:val="22"/>
              </w:rPr>
              <w:fldChar w:fldCharType="begin"/>
            </w:r>
            <w:r w:rsidR="00C02512" w:rsidRPr="00CF189D">
              <w:rPr>
                <w:rFonts w:ascii="Calibri" w:hAnsi="Calibri" w:cs="Calibri"/>
                <w:b w:val="0"/>
                <w:bCs w:val="0"/>
                <w:i w:val="0"/>
                <w:iCs w:val="0"/>
                <w:noProof/>
                <w:webHidden/>
                <w:sz w:val="22"/>
                <w:szCs w:val="22"/>
              </w:rPr>
              <w:instrText xml:space="preserve"> PAGEREF _Toc41505716 \h </w:instrText>
            </w:r>
            <w:r w:rsidR="00C02512" w:rsidRPr="00CF189D">
              <w:rPr>
                <w:rFonts w:ascii="Calibri" w:hAnsi="Calibri" w:cs="Calibri"/>
                <w:b w:val="0"/>
                <w:bCs w:val="0"/>
                <w:i w:val="0"/>
                <w:iCs w:val="0"/>
                <w:noProof/>
                <w:webHidden/>
                <w:sz w:val="22"/>
                <w:szCs w:val="22"/>
              </w:rPr>
            </w:r>
            <w:r w:rsidR="00C02512" w:rsidRPr="00CF189D">
              <w:rPr>
                <w:rFonts w:ascii="Calibri" w:hAnsi="Calibri" w:cs="Calibri"/>
                <w:b w:val="0"/>
                <w:bCs w:val="0"/>
                <w:i w:val="0"/>
                <w:iCs w:val="0"/>
                <w:noProof/>
                <w:webHidden/>
                <w:sz w:val="22"/>
                <w:szCs w:val="22"/>
              </w:rPr>
              <w:fldChar w:fldCharType="separate"/>
            </w:r>
            <w:r w:rsidR="00B31D07">
              <w:rPr>
                <w:rFonts w:ascii="Calibri" w:hAnsi="Calibri" w:cs="Calibri"/>
                <w:b w:val="0"/>
                <w:bCs w:val="0"/>
                <w:i w:val="0"/>
                <w:iCs w:val="0"/>
                <w:noProof/>
                <w:webHidden/>
                <w:sz w:val="22"/>
                <w:szCs w:val="22"/>
              </w:rPr>
              <w:t>370</w:t>
            </w:r>
            <w:r w:rsidR="00C02512" w:rsidRPr="00CF189D">
              <w:rPr>
                <w:rFonts w:ascii="Calibri" w:hAnsi="Calibri" w:cs="Calibri"/>
                <w:b w:val="0"/>
                <w:bCs w:val="0"/>
                <w:i w:val="0"/>
                <w:iCs w:val="0"/>
                <w:noProof/>
                <w:webHidden/>
                <w:sz w:val="22"/>
                <w:szCs w:val="22"/>
              </w:rPr>
              <w:fldChar w:fldCharType="end"/>
            </w:r>
          </w:hyperlink>
        </w:p>
        <w:p w14:paraId="1C96653F" w14:textId="01A5C8C7"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717" w:history="1">
            <w:r w:rsidR="00C02512" w:rsidRPr="00CF189D">
              <w:rPr>
                <w:rStyle w:val="Hyperlink"/>
                <w:rFonts w:ascii="Calibri" w:hAnsi="Calibri" w:cs="Calibri"/>
                <w:b w:val="0"/>
                <w:bCs w:val="0"/>
                <w:noProof/>
              </w:rPr>
              <w:t>Appendix I. OCP and success literature review sources</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_Toc41505717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371</w:t>
            </w:r>
            <w:r w:rsidR="00C02512" w:rsidRPr="00CF189D">
              <w:rPr>
                <w:rFonts w:ascii="Calibri" w:hAnsi="Calibri" w:cs="Calibri"/>
                <w:b w:val="0"/>
                <w:bCs w:val="0"/>
                <w:noProof/>
                <w:webHidden/>
              </w:rPr>
              <w:fldChar w:fldCharType="end"/>
            </w:r>
          </w:hyperlink>
        </w:p>
        <w:p w14:paraId="50B6D703" w14:textId="327A213D"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718" w:history="1">
            <w:r w:rsidR="00C02512" w:rsidRPr="00CF189D">
              <w:rPr>
                <w:rStyle w:val="Hyperlink"/>
                <w:rFonts w:ascii="Calibri" w:hAnsi="Calibri" w:cs="Calibri"/>
                <w:b w:val="0"/>
                <w:bCs w:val="0"/>
                <w:noProof/>
              </w:rPr>
              <w:t>Appendix II. Examples of the use of the ‘onchocerciasis image’ in published materials</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_Toc41505718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390</w:t>
            </w:r>
            <w:r w:rsidR="00C02512" w:rsidRPr="00CF189D">
              <w:rPr>
                <w:rFonts w:ascii="Calibri" w:hAnsi="Calibri" w:cs="Calibri"/>
                <w:b w:val="0"/>
                <w:bCs w:val="0"/>
                <w:noProof/>
                <w:webHidden/>
              </w:rPr>
              <w:fldChar w:fldCharType="end"/>
            </w:r>
          </w:hyperlink>
        </w:p>
        <w:p w14:paraId="11635F9D" w14:textId="1FFF2C2F"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719" w:history="1">
            <w:r w:rsidR="00C02512" w:rsidRPr="00CF189D">
              <w:rPr>
                <w:rStyle w:val="Hyperlink"/>
                <w:rFonts w:ascii="Calibri" w:hAnsi="Calibri" w:cs="Calibri"/>
                <w:b w:val="0"/>
                <w:bCs w:val="0"/>
                <w:noProof/>
              </w:rPr>
              <w:t>Appendix III. Archives identifying information</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_Toc41505719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403</w:t>
            </w:r>
            <w:r w:rsidR="00C02512" w:rsidRPr="00CF189D">
              <w:rPr>
                <w:rFonts w:ascii="Calibri" w:hAnsi="Calibri" w:cs="Calibri"/>
                <w:b w:val="0"/>
                <w:bCs w:val="0"/>
                <w:noProof/>
                <w:webHidden/>
              </w:rPr>
              <w:fldChar w:fldCharType="end"/>
            </w:r>
          </w:hyperlink>
        </w:p>
        <w:p w14:paraId="2C57D57D" w14:textId="397F408E"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720" w:history="1">
            <w:r w:rsidR="00C02512" w:rsidRPr="00CF189D">
              <w:rPr>
                <w:rStyle w:val="Hyperlink"/>
                <w:rFonts w:ascii="Calibri" w:hAnsi="Calibri" w:cs="Calibri"/>
                <w:b w:val="0"/>
                <w:bCs w:val="0"/>
                <w:noProof/>
              </w:rPr>
              <w:t>Appendix IV. Making lending decisions at the Bank</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_Toc41505720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411</w:t>
            </w:r>
            <w:r w:rsidR="00C02512" w:rsidRPr="00CF189D">
              <w:rPr>
                <w:rFonts w:ascii="Calibri" w:hAnsi="Calibri" w:cs="Calibri"/>
                <w:b w:val="0"/>
                <w:bCs w:val="0"/>
                <w:noProof/>
                <w:webHidden/>
              </w:rPr>
              <w:fldChar w:fldCharType="end"/>
            </w:r>
          </w:hyperlink>
        </w:p>
        <w:p w14:paraId="40A5F2E1" w14:textId="5D701154"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721" w:history="1">
            <w:r w:rsidR="00C02512" w:rsidRPr="00CF189D">
              <w:rPr>
                <w:rStyle w:val="Hyperlink"/>
                <w:rFonts w:ascii="Calibri" w:hAnsi="Calibri" w:cs="Calibri"/>
                <w:b w:val="0"/>
                <w:bCs w:val="0"/>
                <w:noProof/>
              </w:rPr>
              <w:t>Appendix V. Summary of OCP programme objectives</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_Toc41505721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415</w:t>
            </w:r>
            <w:r w:rsidR="00C02512" w:rsidRPr="00CF189D">
              <w:rPr>
                <w:rFonts w:ascii="Calibri" w:hAnsi="Calibri" w:cs="Calibri"/>
                <w:b w:val="0"/>
                <w:bCs w:val="0"/>
                <w:noProof/>
                <w:webHidden/>
              </w:rPr>
              <w:fldChar w:fldCharType="end"/>
            </w:r>
          </w:hyperlink>
        </w:p>
        <w:p w14:paraId="39636CBE" w14:textId="0753A641"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722" w:history="1">
            <w:r w:rsidR="00C02512" w:rsidRPr="00CF189D">
              <w:rPr>
                <w:rStyle w:val="Hyperlink"/>
                <w:rFonts w:ascii="Calibri" w:hAnsi="Calibri" w:cs="Calibri"/>
                <w:b w:val="0"/>
                <w:bCs w:val="0"/>
                <w:noProof/>
              </w:rPr>
              <w:t>Appendix VI. Collection of OCP epidemiological data</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_Toc41505722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417</w:t>
            </w:r>
            <w:r w:rsidR="00C02512" w:rsidRPr="00CF189D">
              <w:rPr>
                <w:rFonts w:ascii="Calibri" w:hAnsi="Calibri" w:cs="Calibri"/>
                <w:b w:val="0"/>
                <w:bCs w:val="0"/>
                <w:noProof/>
                <w:webHidden/>
              </w:rPr>
              <w:fldChar w:fldCharType="end"/>
            </w:r>
          </w:hyperlink>
        </w:p>
        <w:p w14:paraId="364F880B" w14:textId="22ABCD5E"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723" w:history="1">
            <w:r w:rsidR="00C02512" w:rsidRPr="00CF189D">
              <w:rPr>
                <w:rStyle w:val="Hyperlink"/>
                <w:rFonts w:ascii="Calibri" w:hAnsi="Calibri" w:cs="Calibri"/>
                <w:b w:val="0"/>
                <w:bCs w:val="0"/>
                <w:noProof/>
              </w:rPr>
              <w:t>Appendix VII. Details about economic models developed during the OCP</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_Toc41505723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420</w:t>
            </w:r>
            <w:r w:rsidR="00C02512" w:rsidRPr="00CF189D">
              <w:rPr>
                <w:rFonts w:ascii="Calibri" w:hAnsi="Calibri" w:cs="Calibri"/>
                <w:b w:val="0"/>
                <w:bCs w:val="0"/>
                <w:noProof/>
                <w:webHidden/>
              </w:rPr>
              <w:fldChar w:fldCharType="end"/>
            </w:r>
          </w:hyperlink>
        </w:p>
        <w:p w14:paraId="2422F1BA" w14:textId="7165951C"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724" w:history="1">
            <w:r w:rsidR="00C02512" w:rsidRPr="00CF189D">
              <w:rPr>
                <w:rStyle w:val="Hyperlink"/>
                <w:rFonts w:ascii="Calibri" w:hAnsi="Calibri" w:cs="Calibri"/>
                <w:b w:val="0"/>
                <w:bCs w:val="0"/>
                <w:noProof/>
              </w:rPr>
              <w:t>Appendix IX. The formal mandates and major activities of each sponsoring agency</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_Toc41505724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423</w:t>
            </w:r>
            <w:r w:rsidR="00C02512" w:rsidRPr="00CF189D">
              <w:rPr>
                <w:rFonts w:ascii="Calibri" w:hAnsi="Calibri" w:cs="Calibri"/>
                <w:b w:val="0"/>
                <w:bCs w:val="0"/>
                <w:noProof/>
                <w:webHidden/>
              </w:rPr>
              <w:fldChar w:fldCharType="end"/>
            </w:r>
          </w:hyperlink>
        </w:p>
        <w:p w14:paraId="6BA03D57" w14:textId="3149F308"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725" w:history="1">
            <w:r w:rsidR="00C02512" w:rsidRPr="00CF189D">
              <w:rPr>
                <w:rStyle w:val="Hyperlink"/>
                <w:rFonts w:ascii="Calibri" w:hAnsi="Calibri" w:cs="Calibri"/>
                <w:b w:val="0"/>
                <w:bCs w:val="0"/>
                <w:noProof/>
              </w:rPr>
              <w:t>Appendix X. Drivers of the Onchocerciasis Chemotherapy Project (OCT)</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_Toc41505725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425</w:t>
            </w:r>
            <w:r w:rsidR="00C02512" w:rsidRPr="00CF189D">
              <w:rPr>
                <w:rFonts w:ascii="Calibri" w:hAnsi="Calibri" w:cs="Calibri"/>
                <w:b w:val="0"/>
                <w:bCs w:val="0"/>
                <w:noProof/>
                <w:webHidden/>
              </w:rPr>
              <w:fldChar w:fldCharType="end"/>
            </w:r>
          </w:hyperlink>
        </w:p>
        <w:p w14:paraId="7D5E2B76" w14:textId="1E65ADD8"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726" w:history="1">
            <w:r w:rsidR="00C02512" w:rsidRPr="00CF189D">
              <w:rPr>
                <w:rStyle w:val="Hyperlink"/>
                <w:rFonts w:ascii="Calibri" w:hAnsi="Calibri" w:cs="Calibri"/>
                <w:b w:val="0"/>
                <w:bCs w:val="0"/>
                <w:noProof/>
              </w:rPr>
              <w:t>Appendix XI. The Bank’s evolving trust fund model for health during the OCP era</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_Toc41505726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427</w:t>
            </w:r>
            <w:r w:rsidR="00C02512" w:rsidRPr="00CF189D">
              <w:rPr>
                <w:rFonts w:ascii="Calibri" w:hAnsi="Calibri" w:cs="Calibri"/>
                <w:b w:val="0"/>
                <w:bCs w:val="0"/>
                <w:noProof/>
                <w:webHidden/>
              </w:rPr>
              <w:fldChar w:fldCharType="end"/>
            </w:r>
          </w:hyperlink>
        </w:p>
        <w:p w14:paraId="20B64D9F" w14:textId="2F89B639" w:rsidR="00C02512" w:rsidRPr="00CF189D" w:rsidRDefault="00573B45" w:rsidP="00C02512">
          <w:pPr>
            <w:pStyle w:val="TOC2"/>
            <w:tabs>
              <w:tab w:val="right" w:leader="dot" w:pos="9016"/>
            </w:tabs>
            <w:rPr>
              <w:rFonts w:ascii="Calibri" w:eastAsiaTheme="minorEastAsia" w:hAnsi="Calibri" w:cs="Calibri"/>
              <w:b w:val="0"/>
              <w:bCs w:val="0"/>
              <w:noProof/>
              <w:lang w:val="en-US"/>
            </w:rPr>
          </w:pPr>
          <w:hyperlink w:anchor="_Toc41505727" w:history="1">
            <w:r w:rsidR="00C02512" w:rsidRPr="00CF189D">
              <w:rPr>
                <w:rStyle w:val="Hyperlink"/>
                <w:rFonts w:ascii="Calibri" w:hAnsi="Calibri" w:cs="Calibri"/>
                <w:b w:val="0"/>
                <w:bCs w:val="0"/>
                <w:noProof/>
              </w:rPr>
              <w:t>Appendix XII. The rise of public-private partnerships for neglected tropical disease control</w:t>
            </w:r>
            <w:r w:rsidR="00C02512" w:rsidRPr="00CF189D">
              <w:rPr>
                <w:rFonts w:ascii="Calibri" w:hAnsi="Calibri" w:cs="Calibri"/>
                <w:b w:val="0"/>
                <w:bCs w:val="0"/>
                <w:noProof/>
                <w:webHidden/>
              </w:rPr>
              <w:tab/>
            </w:r>
            <w:r w:rsidR="00C02512" w:rsidRPr="00CF189D">
              <w:rPr>
                <w:rFonts w:ascii="Calibri" w:hAnsi="Calibri" w:cs="Calibri"/>
                <w:b w:val="0"/>
                <w:bCs w:val="0"/>
                <w:noProof/>
                <w:webHidden/>
              </w:rPr>
              <w:fldChar w:fldCharType="begin"/>
            </w:r>
            <w:r w:rsidR="00C02512" w:rsidRPr="00CF189D">
              <w:rPr>
                <w:rFonts w:ascii="Calibri" w:hAnsi="Calibri" w:cs="Calibri"/>
                <w:b w:val="0"/>
                <w:bCs w:val="0"/>
                <w:noProof/>
                <w:webHidden/>
              </w:rPr>
              <w:instrText xml:space="preserve"> PAGEREF _Toc41505727 \h </w:instrText>
            </w:r>
            <w:r w:rsidR="00C02512" w:rsidRPr="00CF189D">
              <w:rPr>
                <w:rFonts w:ascii="Calibri" w:hAnsi="Calibri" w:cs="Calibri"/>
                <w:b w:val="0"/>
                <w:bCs w:val="0"/>
                <w:noProof/>
                <w:webHidden/>
              </w:rPr>
            </w:r>
            <w:r w:rsidR="00C02512" w:rsidRPr="00CF189D">
              <w:rPr>
                <w:rFonts w:ascii="Calibri" w:hAnsi="Calibri" w:cs="Calibri"/>
                <w:b w:val="0"/>
                <w:bCs w:val="0"/>
                <w:noProof/>
                <w:webHidden/>
              </w:rPr>
              <w:fldChar w:fldCharType="separate"/>
            </w:r>
            <w:r w:rsidR="00B31D07">
              <w:rPr>
                <w:rFonts w:ascii="Calibri" w:hAnsi="Calibri" w:cs="Calibri"/>
                <w:b w:val="0"/>
                <w:bCs w:val="0"/>
                <w:noProof/>
                <w:webHidden/>
              </w:rPr>
              <w:t>429</w:t>
            </w:r>
            <w:r w:rsidR="00C02512" w:rsidRPr="00CF189D">
              <w:rPr>
                <w:rFonts w:ascii="Calibri" w:hAnsi="Calibri" w:cs="Calibri"/>
                <w:b w:val="0"/>
                <w:bCs w:val="0"/>
                <w:noProof/>
                <w:webHidden/>
              </w:rPr>
              <w:fldChar w:fldCharType="end"/>
            </w:r>
          </w:hyperlink>
        </w:p>
        <w:p w14:paraId="0CCC9B11" w14:textId="77777777" w:rsidR="00C02512" w:rsidRPr="00CF189D" w:rsidRDefault="00C02512" w:rsidP="00C02512">
          <w:pPr>
            <w:rPr>
              <w:rFonts w:ascii="Calibri" w:hAnsi="Calibri" w:cs="Calibri"/>
              <w:noProof/>
              <w:sz w:val="22"/>
              <w:szCs w:val="22"/>
            </w:rPr>
          </w:pPr>
          <w:r w:rsidRPr="00CF189D">
            <w:rPr>
              <w:rFonts w:ascii="Calibri" w:hAnsi="Calibri" w:cs="Calibri"/>
              <w:noProof/>
              <w:sz w:val="22"/>
              <w:szCs w:val="22"/>
            </w:rPr>
            <w:fldChar w:fldCharType="end"/>
          </w:r>
        </w:p>
      </w:sdtContent>
    </w:sdt>
    <w:p w14:paraId="268BD2F9" w14:textId="77777777" w:rsidR="00C02512" w:rsidRPr="00CF189D" w:rsidRDefault="00C02512" w:rsidP="00AD5522">
      <w:pPr>
        <w:pStyle w:val="Heading1"/>
        <w:rPr>
          <w:rFonts w:ascii="Calibri" w:hAnsi="Calibri" w:cs="Calibri"/>
          <w:sz w:val="22"/>
          <w:szCs w:val="22"/>
        </w:rPr>
      </w:pPr>
    </w:p>
    <w:p w14:paraId="15C1EE70" w14:textId="77777777" w:rsidR="00C02512" w:rsidRPr="00CF189D" w:rsidRDefault="00C02512" w:rsidP="00AD5522">
      <w:pPr>
        <w:pStyle w:val="Heading1"/>
        <w:rPr>
          <w:rFonts w:ascii="Calibri" w:hAnsi="Calibri" w:cs="Calibri"/>
          <w:sz w:val="22"/>
          <w:szCs w:val="22"/>
        </w:rPr>
      </w:pPr>
    </w:p>
    <w:p w14:paraId="0CE9CA92" w14:textId="77777777" w:rsidR="00C02512" w:rsidRDefault="00C02512" w:rsidP="00AD5522">
      <w:pPr>
        <w:pStyle w:val="Heading1"/>
        <w:rPr>
          <w:rFonts w:ascii="Calibri" w:hAnsi="Calibri" w:cs="Calibri"/>
          <w:b/>
          <w:sz w:val="36"/>
          <w:szCs w:val="36"/>
        </w:rPr>
      </w:pPr>
      <w:bookmarkStart w:id="3" w:name="_Toc41505578"/>
    </w:p>
    <w:p w14:paraId="0BF27C49" w14:textId="77777777" w:rsidR="00C02512" w:rsidRDefault="00C02512" w:rsidP="00AD5522">
      <w:pPr>
        <w:pStyle w:val="Heading1"/>
        <w:rPr>
          <w:rFonts w:ascii="Calibri" w:hAnsi="Calibri" w:cs="Calibri"/>
          <w:b/>
          <w:sz w:val="36"/>
          <w:szCs w:val="36"/>
        </w:rPr>
      </w:pPr>
    </w:p>
    <w:p w14:paraId="5F15F288" w14:textId="77777777" w:rsidR="00C02512" w:rsidRDefault="00C02512" w:rsidP="00AD5522">
      <w:pPr>
        <w:pStyle w:val="Heading1"/>
        <w:rPr>
          <w:rFonts w:ascii="Calibri" w:hAnsi="Calibri" w:cs="Calibri"/>
          <w:b/>
          <w:sz w:val="36"/>
          <w:szCs w:val="36"/>
        </w:rPr>
      </w:pPr>
    </w:p>
    <w:p w14:paraId="535EBF0D" w14:textId="77777777" w:rsidR="00C02512" w:rsidRDefault="00C02512" w:rsidP="00AD5522">
      <w:pPr>
        <w:pStyle w:val="Heading1"/>
        <w:rPr>
          <w:rFonts w:ascii="Calibri" w:hAnsi="Calibri" w:cs="Calibri"/>
          <w:b/>
          <w:sz w:val="36"/>
          <w:szCs w:val="36"/>
        </w:rPr>
      </w:pPr>
    </w:p>
    <w:p w14:paraId="0D596028" w14:textId="77777777" w:rsidR="00C02512" w:rsidRDefault="00C02512" w:rsidP="00AD5522">
      <w:pPr>
        <w:pStyle w:val="Heading1"/>
        <w:rPr>
          <w:rFonts w:ascii="Calibri" w:hAnsi="Calibri" w:cs="Calibri"/>
          <w:b/>
          <w:sz w:val="36"/>
          <w:szCs w:val="36"/>
        </w:rPr>
      </w:pPr>
    </w:p>
    <w:p w14:paraId="506C9016" w14:textId="77777777" w:rsidR="00C02512" w:rsidRDefault="00C02512" w:rsidP="00AD5522">
      <w:pPr>
        <w:pStyle w:val="Heading1"/>
        <w:rPr>
          <w:rFonts w:ascii="Calibri" w:hAnsi="Calibri" w:cs="Calibri"/>
          <w:b/>
          <w:sz w:val="36"/>
          <w:szCs w:val="36"/>
        </w:rPr>
      </w:pPr>
    </w:p>
    <w:p w14:paraId="0FE48BC3" w14:textId="77777777" w:rsidR="00C02512" w:rsidRDefault="00C02512" w:rsidP="00AD5522">
      <w:pPr>
        <w:pStyle w:val="Heading1"/>
        <w:rPr>
          <w:rFonts w:ascii="Calibri" w:hAnsi="Calibri" w:cs="Calibri"/>
          <w:b/>
          <w:sz w:val="36"/>
          <w:szCs w:val="36"/>
        </w:rPr>
      </w:pPr>
    </w:p>
    <w:p w14:paraId="1E93BB45" w14:textId="77777777" w:rsidR="00C02512" w:rsidRDefault="00C02512" w:rsidP="00AD5522">
      <w:pPr>
        <w:pStyle w:val="Heading1"/>
        <w:rPr>
          <w:rFonts w:ascii="Calibri" w:hAnsi="Calibri" w:cs="Calibri"/>
          <w:b/>
          <w:sz w:val="36"/>
          <w:szCs w:val="36"/>
        </w:rPr>
      </w:pPr>
    </w:p>
    <w:p w14:paraId="781FC31C" w14:textId="77777777" w:rsidR="00C02512" w:rsidRDefault="00C02512" w:rsidP="00AD5522">
      <w:pPr>
        <w:pStyle w:val="Heading1"/>
        <w:rPr>
          <w:rFonts w:ascii="Calibri" w:hAnsi="Calibri" w:cs="Calibri"/>
          <w:b/>
          <w:sz w:val="36"/>
          <w:szCs w:val="36"/>
        </w:rPr>
      </w:pPr>
    </w:p>
    <w:p w14:paraId="3EB8F91B" w14:textId="77777777" w:rsidR="00C02512" w:rsidRDefault="00C02512" w:rsidP="00AD5522">
      <w:pPr>
        <w:pStyle w:val="Heading1"/>
        <w:rPr>
          <w:rFonts w:ascii="Calibri" w:hAnsi="Calibri" w:cs="Calibri"/>
          <w:b/>
          <w:sz w:val="36"/>
          <w:szCs w:val="36"/>
        </w:rPr>
      </w:pPr>
    </w:p>
    <w:p w14:paraId="06DBF50D" w14:textId="77777777" w:rsidR="00C02512" w:rsidRDefault="00C02512" w:rsidP="00AD5522">
      <w:pPr>
        <w:pStyle w:val="Heading1"/>
        <w:rPr>
          <w:rFonts w:ascii="Calibri" w:hAnsi="Calibri" w:cs="Calibri"/>
          <w:b/>
          <w:sz w:val="36"/>
          <w:szCs w:val="36"/>
        </w:rPr>
      </w:pPr>
    </w:p>
    <w:p w14:paraId="2E965614" w14:textId="77777777" w:rsidR="00C02512" w:rsidRDefault="00C02512" w:rsidP="00AD5522">
      <w:pPr>
        <w:pStyle w:val="Heading1"/>
        <w:rPr>
          <w:rFonts w:ascii="Calibri" w:hAnsi="Calibri" w:cs="Calibri"/>
          <w:b/>
          <w:sz w:val="36"/>
          <w:szCs w:val="36"/>
        </w:rPr>
      </w:pPr>
    </w:p>
    <w:p w14:paraId="0420490A" w14:textId="77777777" w:rsidR="00C02512" w:rsidRDefault="00C02512" w:rsidP="00AD5522">
      <w:pPr>
        <w:pStyle w:val="Heading1"/>
        <w:rPr>
          <w:rFonts w:ascii="Calibri" w:hAnsi="Calibri" w:cs="Calibri"/>
          <w:b/>
          <w:sz w:val="36"/>
          <w:szCs w:val="36"/>
        </w:rPr>
      </w:pPr>
    </w:p>
    <w:p w14:paraId="1388AD2D" w14:textId="77777777" w:rsidR="00C02512" w:rsidRDefault="00C02512" w:rsidP="00AD5522">
      <w:pPr>
        <w:pStyle w:val="Heading1"/>
        <w:rPr>
          <w:rFonts w:ascii="Calibri" w:hAnsi="Calibri" w:cs="Calibri"/>
          <w:b/>
          <w:sz w:val="36"/>
          <w:szCs w:val="36"/>
        </w:rPr>
      </w:pPr>
    </w:p>
    <w:p w14:paraId="273EB8FA" w14:textId="77777777" w:rsidR="00C02512" w:rsidRDefault="00C02512" w:rsidP="00AD5522">
      <w:pPr>
        <w:pStyle w:val="Heading1"/>
        <w:rPr>
          <w:rFonts w:ascii="Calibri" w:hAnsi="Calibri" w:cs="Calibri"/>
          <w:b/>
          <w:sz w:val="36"/>
          <w:szCs w:val="36"/>
        </w:rPr>
      </w:pPr>
    </w:p>
    <w:p w14:paraId="5A07B134" w14:textId="77777777" w:rsidR="00C02512" w:rsidRDefault="00C02512" w:rsidP="00AD5522">
      <w:pPr>
        <w:pStyle w:val="Heading1"/>
        <w:rPr>
          <w:rFonts w:ascii="Calibri" w:hAnsi="Calibri" w:cs="Calibri"/>
          <w:b/>
          <w:sz w:val="36"/>
          <w:szCs w:val="36"/>
        </w:rPr>
      </w:pPr>
    </w:p>
    <w:p w14:paraId="712A0869" w14:textId="77777777" w:rsidR="00C02512" w:rsidRDefault="00C02512" w:rsidP="00AD5522">
      <w:pPr>
        <w:pStyle w:val="Heading1"/>
        <w:rPr>
          <w:rFonts w:ascii="Calibri" w:hAnsi="Calibri" w:cs="Calibri"/>
          <w:b/>
          <w:sz w:val="36"/>
          <w:szCs w:val="36"/>
        </w:rPr>
      </w:pPr>
    </w:p>
    <w:p w14:paraId="0FE25889" w14:textId="77777777" w:rsidR="00C02512" w:rsidRDefault="00C02512" w:rsidP="00AD5522">
      <w:pPr>
        <w:pStyle w:val="Heading1"/>
        <w:rPr>
          <w:rFonts w:ascii="Calibri" w:hAnsi="Calibri" w:cs="Calibri"/>
          <w:b/>
          <w:sz w:val="36"/>
          <w:szCs w:val="36"/>
        </w:rPr>
      </w:pPr>
    </w:p>
    <w:p w14:paraId="1F7A567E" w14:textId="77777777" w:rsidR="00C02512" w:rsidRDefault="00C02512" w:rsidP="00AD5522">
      <w:pPr>
        <w:pStyle w:val="Heading1"/>
        <w:rPr>
          <w:rFonts w:ascii="Calibri" w:hAnsi="Calibri" w:cs="Calibri"/>
          <w:b/>
          <w:sz w:val="36"/>
          <w:szCs w:val="36"/>
        </w:rPr>
      </w:pPr>
    </w:p>
    <w:p w14:paraId="5C71DF4B" w14:textId="77777777" w:rsidR="00C02512" w:rsidRDefault="00C02512" w:rsidP="00AD5522">
      <w:pPr>
        <w:pStyle w:val="Heading1"/>
        <w:rPr>
          <w:rFonts w:ascii="Calibri" w:hAnsi="Calibri" w:cs="Calibri"/>
          <w:b/>
          <w:sz w:val="36"/>
          <w:szCs w:val="36"/>
        </w:rPr>
      </w:pPr>
    </w:p>
    <w:p w14:paraId="11B52818" w14:textId="77777777" w:rsidR="00C02512" w:rsidRDefault="00C02512" w:rsidP="00AD5522">
      <w:pPr>
        <w:pStyle w:val="Heading1"/>
        <w:rPr>
          <w:rFonts w:ascii="Calibri" w:hAnsi="Calibri" w:cs="Calibri"/>
          <w:b/>
          <w:sz w:val="36"/>
          <w:szCs w:val="36"/>
        </w:rPr>
      </w:pPr>
    </w:p>
    <w:p w14:paraId="59B8CC13" w14:textId="77777777" w:rsidR="00C02512" w:rsidRDefault="00C02512" w:rsidP="00AD5522">
      <w:pPr>
        <w:pStyle w:val="Heading1"/>
        <w:rPr>
          <w:rFonts w:ascii="Calibri" w:hAnsi="Calibri" w:cs="Calibri"/>
          <w:b/>
          <w:sz w:val="36"/>
          <w:szCs w:val="36"/>
        </w:rPr>
      </w:pPr>
    </w:p>
    <w:p w14:paraId="5C21FC7C" w14:textId="77777777" w:rsidR="00C02512" w:rsidRDefault="00C02512" w:rsidP="00AD5522">
      <w:pPr>
        <w:pStyle w:val="Heading1"/>
        <w:rPr>
          <w:rFonts w:ascii="Calibri" w:hAnsi="Calibri" w:cs="Calibri"/>
          <w:b/>
          <w:sz w:val="36"/>
          <w:szCs w:val="36"/>
        </w:rPr>
      </w:pPr>
    </w:p>
    <w:p w14:paraId="11246E17" w14:textId="77777777" w:rsidR="00C02512" w:rsidRDefault="00C02512" w:rsidP="00AD5522">
      <w:pPr>
        <w:pStyle w:val="Heading1"/>
        <w:rPr>
          <w:rFonts w:ascii="Calibri" w:hAnsi="Calibri" w:cs="Calibri"/>
          <w:b/>
          <w:sz w:val="36"/>
          <w:szCs w:val="36"/>
        </w:rPr>
      </w:pPr>
    </w:p>
    <w:p w14:paraId="41F110B5" w14:textId="77777777" w:rsidR="00C02512" w:rsidRDefault="00C02512" w:rsidP="00AD5522">
      <w:pPr>
        <w:pStyle w:val="Heading1"/>
        <w:rPr>
          <w:rFonts w:ascii="Calibri" w:hAnsi="Calibri" w:cs="Calibri"/>
          <w:b/>
          <w:sz w:val="36"/>
          <w:szCs w:val="36"/>
        </w:rPr>
      </w:pPr>
    </w:p>
    <w:p w14:paraId="15DFE777" w14:textId="77777777" w:rsidR="00C02512" w:rsidRDefault="00C02512" w:rsidP="00AD5522">
      <w:pPr>
        <w:pStyle w:val="Heading1"/>
        <w:rPr>
          <w:rFonts w:ascii="Calibri" w:hAnsi="Calibri" w:cs="Calibri"/>
          <w:b/>
          <w:sz w:val="36"/>
          <w:szCs w:val="36"/>
        </w:rPr>
      </w:pPr>
    </w:p>
    <w:p w14:paraId="506ABC90" w14:textId="77777777" w:rsidR="00C02512" w:rsidRDefault="00C02512" w:rsidP="00AD5522">
      <w:pPr>
        <w:pStyle w:val="Heading1"/>
        <w:rPr>
          <w:rFonts w:ascii="Calibri" w:hAnsi="Calibri" w:cs="Calibri"/>
          <w:b/>
          <w:sz w:val="36"/>
          <w:szCs w:val="36"/>
        </w:rPr>
      </w:pPr>
    </w:p>
    <w:p w14:paraId="49F4DFA6" w14:textId="77777777" w:rsidR="00C02512" w:rsidRDefault="00C02512" w:rsidP="00AD5522">
      <w:pPr>
        <w:pStyle w:val="Heading1"/>
        <w:rPr>
          <w:rFonts w:ascii="Calibri" w:hAnsi="Calibri" w:cs="Calibri"/>
          <w:b/>
          <w:sz w:val="36"/>
          <w:szCs w:val="36"/>
        </w:rPr>
      </w:pPr>
    </w:p>
    <w:p w14:paraId="7480B94F" w14:textId="29D0CA7D" w:rsidR="004A5052" w:rsidRPr="00380D9B" w:rsidRDefault="004A5052" w:rsidP="00AD5522">
      <w:pPr>
        <w:pStyle w:val="Heading1"/>
        <w:rPr>
          <w:rFonts w:ascii="Calibri" w:hAnsi="Calibri" w:cs="Calibri"/>
          <w:b/>
          <w:sz w:val="36"/>
          <w:szCs w:val="36"/>
        </w:rPr>
      </w:pPr>
      <w:r w:rsidRPr="00380D9B">
        <w:rPr>
          <w:rFonts w:ascii="Calibri" w:hAnsi="Calibri" w:cs="Calibri"/>
          <w:b/>
          <w:sz w:val="36"/>
          <w:szCs w:val="36"/>
        </w:rPr>
        <w:lastRenderedPageBreak/>
        <w:t>Acknowledgements</w:t>
      </w:r>
      <w:bookmarkEnd w:id="3"/>
    </w:p>
    <w:p w14:paraId="04F15656" w14:textId="77777777" w:rsidR="00D46C4E" w:rsidRPr="00D9152B" w:rsidRDefault="00D46C4E" w:rsidP="00D46C4E">
      <w:pPr>
        <w:rPr>
          <w:rFonts w:ascii="Calibri" w:hAnsi="Calibri" w:cs="Calibri"/>
          <w:sz w:val="22"/>
          <w:szCs w:val="22"/>
        </w:rPr>
      </w:pPr>
    </w:p>
    <w:p w14:paraId="2155EEDB" w14:textId="35BBD192" w:rsidR="00CF6656" w:rsidRPr="00D9152B" w:rsidRDefault="00D46C4E" w:rsidP="00D46C4E">
      <w:pPr>
        <w:rPr>
          <w:rFonts w:ascii="Calibri" w:hAnsi="Calibri" w:cs="Calibri"/>
          <w:sz w:val="22"/>
          <w:szCs w:val="22"/>
        </w:rPr>
      </w:pPr>
      <w:r w:rsidRPr="00D9152B">
        <w:rPr>
          <w:rFonts w:ascii="Calibri" w:hAnsi="Calibri" w:cs="Calibri"/>
          <w:sz w:val="22"/>
          <w:szCs w:val="22"/>
        </w:rPr>
        <w:t xml:space="preserve">A PhD is truly an </w:t>
      </w:r>
      <w:r w:rsidR="0084692D" w:rsidRPr="00D9152B">
        <w:rPr>
          <w:rFonts w:ascii="Calibri" w:hAnsi="Calibri" w:cs="Calibri"/>
          <w:sz w:val="22"/>
          <w:szCs w:val="22"/>
        </w:rPr>
        <w:t>exercise</w:t>
      </w:r>
      <w:r w:rsidRPr="00D9152B">
        <w:rPr>
          <w:rFonts w:ascii="Calibri" w:hAnsi="Calibri" w:cs="Calibri"/>
          <w:sz w:val="22"/>
          <w:szCs w:val="22"/>
        </w:rPr>
        <w:t xml:space="preserve"> </w:t>
      </w:r>
      <w:r w:rsidR="0084692D" w:rsidRPr="00D9152B">
        <w:rPr>
          <w:rFonts w:ascii="Calibri" w:hAnsi="Calibri" w:cs="Calibri"/>
          <w:sz w:val="22"/>
          <w:szCs w:val="22"/>
        </w:rPr>
        <w:t>of</w:t>
      </w:r>
      <w:r w:rsidRPr="00D9152B">
        <w:rPr>
          <w:rFonts w:ascii="Calibri" w:hAnsi="Calibri" w:cs="Calibri"/>
          <w:sz w:val="22"/>
          <w:szCs w:val="22"/>
        </w:rPr>
        <w:t xml:space="preserve"> ‘Blood, Sweat</w:t>
      </w:r>
      <w:r w:rsidR="000047D5">
        <w:rPr>
          <w:rFonts w:ascii="Calibri" w:hAnsi="Calibri" w:cs="Calibri"/>
          <w:sz w:val="22"/>
          <w:szCs w:val="22"/>
        </w:rPr>
        <w:t xml:space="preserve"> &amp; </w:t>
      </w:r>
      <w:r w:rsidRPr="00D9152B">
        <w:rPr>
          <w:rFonts w:ascii="Calibri" w:hAnsi="Calibri" w:cs="Calibri"/>
          <w:sz w:val="22"/>
          <w:szCs w:val="22"/>
        </w:rPr>
        <w:t xml:space="preserve">Tears’ (to reference a favourite band). </w:t>
      </w:r>
      <w:r w:rsidR="000047D5">
        <w:rPr>
          <w:rFonts w:ascii="Calibri" w:hAnsi="Calibri" w:cs="Calibri"/>
          <w:sz w:val="22"/>
          <w:szCs w:val="22"/>
        </w:rPr>
        <w:t>Yet</w:t>
      </w:r>
      <w:r w:rsidRPr="00D9152B">
        <w:rPr>
          <w:rFonts w:ascii="Calibri" w:hAnsi="Calibri" w:cs="Calibri"/>
          <w:sz w:val="22"/>
          <w:szCs w:val="22"/>
        </w:rPr>
        <w:t xml:space="preserve">, it is also an incredible growth process – and I was lucky to make some fantastically fabulous friends along the way. </w:t>
      </w:r>
      <w:r w:rsidR="00CF6656" w:rsidRPr="00D9152B">
        <w:rPr>
          <w:rFonts w:ascii="Calibri" w:hAnsi="Calibri" w:cs="Calibri"/>
          <w:sz w:val="22"/>
          <w:szCs w:val="22"/>
        </w:rPr>
        <w:t>Cameron, Genev</w:t>
      </w:r>
      <w:r w:rsidR="00890A74">
        <w:rPr>
          <w:rFonts w:ascii="Calibri" w:hAnsi="Calibri" w:cs="Calibri"/>
          <w:sz w:val="22"/>
          <w:szCs w:val="22"/>
        </w:rPr>
        <w:t>ie</w:t>
      </w:r>
      <w:r w:rsidR="00CF6656" w:rsidRPr="00D9152B">
        <w:rPr>
          <w:rFonts w:ascii="Calibri" w:hAnsi="Calibri" w:cs="Calibri"/>
          <w:sz w:val="22"/>
          <w:szCs w:val="22"/>
        </w:rPr>
        <w:t>,</w:t>
      </w:r>
      <w:r w:rsidR="00890A74">
        <w:rPr>
          <w:rFonts w:ascii="Calibri" w:hAnsi="Calibri" w:cs="Calibri"/>
          <w:sz w:val="22"/>
          <w:szCs w:val="22"/>
        </w:rPr>
        <w:t xml:space="preserve"> Gabby,</w:t>
      </w:r>
      <w:r w:rsidR="00CF6656" w:rsidRPr="00D9152B">
        <w:rPr>
          <w:rFonts w:ascii="Calibri" w:hAnsi="Calibri" w:cs="Calibri"/>
          <w:sz w:val="22"/>
          <w:szCs w:val="22"/>
        </w:rPr>
        <w:t xml:space="preserve"> and the rest of the ‘815’ crew: I could never have stayed sane without you. You have such beautiful spirits, and understand the importance of office naps, dogs, outdoor adventures, and good coffee. </w:t>
      </w:r>
      <w:r w:rsidR="00916B00" w:rsidRPr="00D9152B">
        <w:rPr>
          <w:rFonts w:ascii="Calibri" w:hAnsi="Calibri" w:cs="Calibri"/>
          <w:sz w:val="22"/>
          <w:szCs w:val="22"/>
        </w:rPr>
        <w:t>To all my other friends around the world who put up with me and my late replies</w:t>
      </w:r>
      <w:r w:rsidR="00810BB6" w:rsidRPr="00D9152B">
        <w:rPr>
          <w:rFonts w:ascii="Calibri" w:hAnsi="Calibri" w:cs="Calibri"/>
          <w:sz w:val="22"/>
          <w:szCs w:val="22"/>
        </w:rPr>
        <w:t>/vegan food</w:t>
      </w:r>
      <w:r w:rsidR="00916B00" w:rsidRPr="00D9152B">
        <w:rPr>
          <w:rFonts w:ascii="Calibri" w:hAnsi="Calibri" w:cs="Calibri"/>
          <w:sz w:val="22"/>
          <w:szCs w:val="22"/>
        </w:rPr>
        <w:t xml:space="preserve"> over the last </w:t>
      </w:r>
      <w:r w:rsidR="00810BB6" w:rsidRPr="00D9152B">
        <w:rPr>
          <w:rFonts w:ascii="Calibri" w:hAnsi="Calibri" w:cs="Calibri"/>
          <w:sz w:val="22"/>
          <w:szCs w:val="22"/>
        </w:rPr>
        <w:t>few years</w:t>
      </w:r>
      <w:r w:rsidR="00916B00" w:rsidRPr="00D9152B">
        <w:rPr>
          <w:rFonts w:ascii="Calibri" w:hAnsi="Calibri" w:cs="Calibri"/>
          <w:sz w:val="22"/>
          <w:szCs w:val="22"/>
        </w:rPr>
        <w:t xml:space="preserve"> (</w:t>
      </w:r>
      <w:r w:rsidR="00544EB8">
        <w:rPr>
          <w:rFonts w:ascii="Calibri" w:hAnsi="Calibri" w:cs="Calibri"/>
          <w:sz w:val="22"/>
          <w:szCs w:val="22"/>
        </w:rPr>
        <w:t>a special thanks to</w:t>
      </w:r>
      <w:r w:rsidR="00916B00" w:rsidRPr="00D9152B">
        <w:rPr>
          <w:rFonts w:ascii="Calibri" w:hAnsi="Calibri" w:cs="Calibri"/>
          <w:sz w:val="22"/>
          <w:szCs w:val="22"/>
        </w:rPr>
        <w:t xml:space="preserve"> Nisha who lodged me twice</w:t>
      </w:r>
      <w:r w:rsidR="0084692D" w:rsidRPr="00D9152B">
        <w:rPr>
          <w:rFonts w:ascii="Calibri" w:hAnsi="Calibri" w:cs="Calibri"/>
          <w:sz w:val="22"/>
          <w:szCs w:val="22"/>
        </w:rPr>
        <w:t xml:space="preserve"> and encouraged me to take the PhD path</w:t>
      </w:r>
      <w:r w:rsidR="00916B00" w:rsidRPr="00D9152B">
        <w:rPr>
          <w:rFonts w:ascii="Calibri" w:hAnsi="Calibri" w:cs="Calibri"/>
          <w:sz w:val="22"/>
          <w:szCs w:val="22"/>
        </w:rPr>
        <w:t>, Natalie who shared old-style adventures on two continents, Alle who made me take holidays</w:t>
      </w:r>
      <w:r w:rsidR="0084692D" w:rsidRPr="00D9152B">
        <w:rPr>
          <w:rFonts w:ascii="Calibri" w:hAnsi="Calibri" w:cs="Calibri"/>
          <w:sz w:val="22"/>
          <w:szCs w:val="22"/>
        </w:rPr>
        <w:t xml:space="preserve">, and Abb/Jane who are model cat parents and generously helped a stranger </w:t>
      </w:r>
      <w:r w:rsidR="00544EB8">
        <w:rPr>
          <w:rFonts w:ascii="Calibri" w:hAnsi="Calibri" w:cs="Calibri"/>
          <w:sz w:val="22"/>
          <w:szCs w:val="22"/>
        </w:rPr>
        <w:t>with</w:t>
      </w:r>
      <w:r w:rsidR="0084692D" w:rsidRPr="00D9152B">
        <w:rPr>
          <w:rFonts w:ascii="Calibri" w:hAnsi="Calibri" w:cs="Calibri"/>
          <w:sz w:val="22"/>
          <w:szCs w:val="22"/>
        </w:rPr>
        <w:t xml:space="preserve"> hers</w:t>
      </w:r>
      <w:r w:rsidR="00916B00" w:rsidRPr="00D9152B">
        <w:rPr>
          <w:rFonts w:ascii="Calibri" w:hAnsi="Calibri" w:cs="Calibri"/>
          <w:sz w:val="22"/>
          <w:szCs w:val="22"/>
        </w:rPr>
        <w:t xml:space="preserve">), you know how much I love you and how I always </w:t>
      </w:r>
      <w:r w:rsidR="00916B00" w:rsidRPr="00544EB8">
        <w:rPr>
          <w:rFonts w:ascii="Calibri" w:hAnsi="Calibri" w:cs="Calibri"/>
          <w:i/>
          <w:sz w:val="22"/>
          <w:szCs w:val="22"/>
        </w:rPr>
        <w:t>intend</w:t>
      </w:r>
      <w:r w:rsidR="00916B00" w:rsidRPr="00D9152B">
        <w:rPr>
          <w:rFonts w:ascii="Calibri" w:hAnsi="Calibri" w:cs="Calibri"/>
          <w:sz w:val="22"/>
          <w:szCs w:val="22"/>
        </w:rPr>
        <w:t xml:space="preserve"> to stay in touch! I’m more grateful than I can say for your support, uniqueness, and all-around loveliness.</w:t>
      </w:r>
    </w:p>
    <w:p w14:paraId="6C946DA7" w14:textId="77777777" w:rsidR="00CF6656" w:rsidRPr="00D9152B" w:rsidRDefault="00CF6656" w:rsidP="00D46C4E">
      <w:pPr>
        <w:rPr>
          <w:rFonts w:ascii="Calibri" w:hAnsi="Calibri" w:cs="Calibri"/>
          <w:sz w:val="22"/>
          <w:szCs w:val="22"/>
        </w:rPr>
      </w:pPr>
    </w:p>
    <w:p w14:paraId="154F6096" w14:textId="51BA54F3" w:rsidR="00D46C4E" w:rsidRPr="00D9152B" w:rsidRDefault="00D46C4E" w:rsidP="00D46C4E">
      <w:pPr>
        <w:rPr>
          <w:rFonts w:ascii="Calibri" w:hAnsi="Calibri" w:cs="Calibri"/>
          <w:sz w:val="22"/>
          <w:szCs w:val="22"/>
        </w:rPr>
      </w:pPr>
      <w:r w:rsidRPr="00D9152B">
        <w:rPr>
          <w:rFonts w:ascii="Calibri" w:hAnsi="Calibri" w:cs="Calibri"/>
          <w:sz w:val="22"/>
          <w:szCs w:val="22"/>
        </w:rPr>
        <w:t>I am</w:t>
      </w:r>
      <w:r w:rsidR="00916B00" w:rsidRPr="00D9152B">
        <w:rPr>
          <w:rFonts w:ascii="Calibri" w:hAnsi="Calibri" w:cs="Calibri"/>
          <w:sz w:val="22"/>
          <w:szCs w:val="22"/>
        </w:rPr>
        <w:t xml:space="preserve"> also</w:t>
      </w:r>
      <w:r w:rsidRPr="00D9152B">
        <w:rPr>
          <w:rFonts w:ascii="Calibri" w:hAnsi="Calibri" w:cs="Calibri"/>
          <w:sz w:val="22"/>
          <w:szCs w:val="22"/>
        </w:rPr>
        <w:t xml:space="preserve"> </w:t>
      </w:r>
      <w:r w:rsidR="00CF6656" w:rsidRPr="00D9152B">
        <w:rPr>
          <w:rFonts w:ascii="Calibri" w:hAnsi="Calibri" w:cs="Calibri"/>
          <w:sz w:val="22"/>
          <w:szCs w:val="22"/>
        </w:rPr>
        <w:t xml:space="preserve">incredibly </w:t>
      </w:r>
      <w:r w:rsidRPr="00D9152B">
        <w:rPr>
          <w:rFonts w:ascii="Calibri" w:hAnsi="Calibri" w:cs="Calibri"/>
          <w:sz w:val="22"/>
          <w:szCs w:val="22"/>
        </w:rPr>
        <w:t>grateful to my supervisors, Dr. Devi Sridhar and Dr. Lawrence Dritsas</w:t>
      </w:r>
      <w:r w:rsidR="00CF6656" w:rsidRPr="00D9152B">
        <w:rPr>
          <w:rFonts w:ascii="Calibri" w:hAnsi="Calibri" w:cs="Calibri"/>
          <w:sz w:val="22"/>
          <w:szCs w:val="22"/>
        </w:rPr>
        <w:t>. You</w:t>
      </w:r>
      <w:r w:rsidRPr="00D9152B">
        <w:rPr>
          <w:rFonts w:ascii="Calibri" w:hAnsi="Calibri" w:cs="Calibri"/>
          <w:sz w:val="22"/>
          <w:szCs w:val="22"/>
        </w:rPr>
        <w:t xml:space="preserve"> </w:t>
      </w:r>
      <w:r w:rsidR="00CF6656" w:rsidRPr="00D9152B">
        <w:rPr>
          <w:rFonts w:ascii="Calibri" w:hAnsi="Calibri" w:cs="Calibri"/>
          <w:sz w:val="22"/>
          <w:szCs w:val="22"/>
        </w:rPr>
        <w:t>pointed</w:t>
      </w:r>
      <w:r w:rsidRPr="00D9152B">
        <w:rPr>
          <w:rFonts w:ascii="Calibri" w:hAnsi="Calibri" w:cs="Calibri"/>
          <w:sz w:val="22"/>
          <w:szCs w:val="22"/>
        </w:rPr>
        <w:t xml:space="preserve"> me in a rational direction when I was over-ambitious and imaginative, </w:t>
      </w:r>
      <w:r w:rsidR="00CF6656" w:rsidRPr="00D9152B">
        <w:rPr>
          <w:rFonts w:ascii="Calibri" w:hAnsi="Calibri" w:cs="Calibri"/>
          <w:sz w:val="22"/>
          <w:szCs w:val="22"/>
        </w:rPr>
        <w:t>understood</w:t>
      </w:r>
      <w:r w:rsidRPr="00D9152B">
        <w:rPr>
          <w:rFonts w:ascii="Calibri" w:hAnsi="Calibri" w:cs="Calibri"/>
          <w:sz w:val="22"/>
          <w:szCs w:val="22"/>
        </w:rPr>
        <w:t xml:space="preserve"> when a chapter simply took longer to fine-tune than I ever expected it would, </w:t>
      </w:r>
      <w:r w:rsidR="00CF6656" w:rsidRPr="00D9152B">
        <w:rPr>
          <w:rFonts w:ascii="Calibri" w:hAnsi="Calibri" w:cs="Calibri"/>
          <w:sz w:val="22"/>
          <w:szCs w:val="22"/>
        </w:rPr>
        <w:t>and were supportive</w:t>
      </w:r>
      <w:r w:rsidR="00916B00" w:rsidRPr="00D9152B">
        <w:rPr>
          <w:rFonts w:ascii="Calibri" w:hAnsi="Calibri" w:cs="Calibri"/>
          <w:sz w:val="22"/>
          <w:szCs w:val="22"/>
        </w:rPr>
        <w:t xml:space="preserve"> of</w:t>
      </w:r>
      <w:r w:rsidR="00CF6656" w:rsidRPr="00D9152B">
        <w:rPr>
          <w:rFonts w:ascii="Calibri" w:hAnsi="Calibri" w:cs="Calibri"/>
          <w:sz w:val="22"/>
          <w:szCs w:val="22"/>
        </w:rPr>
        <w:t xml:space="preserve"> me being wherever I needed to be</w:t>
      </w:r>
      <w:r w:rsidR="000047D5">
        <w:rPr>
          <w:rFonts w:ascii="Calibri" w:hAnsi="Calibri" w:cs="Calibri"/>
          <w:sz w:val="22"/>
          <w:szCs w:val="22"/>
        </w:rPr>
        <w:t xml:space="preserve"> geographically</w:t>
      </w:r>
      <w:r w:rsidR="00CF6656" w:rsidRPr="00D9152B">
        <w:rPr>
          <w:rFonts w:ascii="Calibri" w:hAnsi="Calibri" w:cs="Calibri"/>
          <w:sz w:val="22"/>
          <w:szCs w:val="22"/>
        </w:rPr>
        <w:t xml:space="preserve"> to grow the most as a student. </w:t>
      </w:r>
      <w:r w:rsidR="00FC1FA5" w:rsidRPr="00D9152B">
        <w:rPr>
          <w:rFonts w:ascii="Calibri" w:hAnsi="Calibri" w:cs="Calibri"/>
          <w:sz w:val="22"/>
          <w:szCs w:val="22"/>
        </w:rPr>
        <w:t>It was a wonderful experience to be</w:t>
      </w:r>
      <w:r w:rsidR="00CF6656" w:rsidRPr="00D9152B">
        <w:rPr>
          <w:rFonts w:ascii="Calibri" w:hAnsi="Calibri" w:cs="Calibri"/>
          <w:sz w:val="22"/>
          <w:szCs w:val="22"/>
        </w:rPr>
        <w:t xml:space="preserve"> part of such a rigorous intellectual community</w:t>
      </w:r>
      <w:r w:rsidR="00FC1FA5" w:rsidRPr="00D9152B">
        <w:rPr>
          <w:rFonts w:ascii="Calibri" w:hAnsi="Calibri" w:cs="Calibri"/>
          <w:sz w:val="22"/>
          <w:szCs w:val="22"/>
        </w:rPr>
        <w:t xml:space="preserve"> (and thank you,</w:t>
      </w:r>
      <w:r w:rsidR="00AB7788">
        <w:rPr>
          <w:rFonts w:ascii="Calibri" w:hAnsi="Calibri" w:cs="Calibri"/>
          <w:sz w:val="22"/>
          <w:szCs w:val="22"/>
        </w:rPr>
        <w:t xml:space="preserve"> </w:t>
      </w:r>
      <w:r w:rsidR="00FC1FA5" w:rsidRPr="00D9152B">
        <w:rPr>
          <w:rFonts w:ascii="Calibri" w:hAnsi="Calibri" w:cs="Calibri"/>
          <w:sz w:val="22"/>
          <w:szCs w:val="22"/>
        </w:rPr>
        <w:t>Marlee and Felix, for being such interesting characters and researchers within this community!).</w:t>
      </w:r>
      <w:r w:rsidR="00916B00" w:rsidRPr="00D9152B">
        <w:rPr>
          <w:rFonts w:ascii="Calibri" w:hAnsi="Calibri" w:cs="Calibri"/>
          <w:sz w:val="22"/>
          <w:szCs w:val="22"/>
        </w:rPr>
        <w:t xml:space="preserve"> I will always remember your brilliance and the opportunities that you gave me</w:t>
      </w:r>
      <w:r w:rsidR="00810BB6" w:rsidRPr="00D9152B">
        <w:rPr>
          <w:rFonts w:ascii="Calibri" w:hAnsi="Calibri" w:cs="Calibri"/>
          <w:sz w:val="22"/>
          <w:szCs w:val="22"/>
        </w:rPr>
        <w:t>, and will try to pass it forward</w:t>
      </w:r>
      <w:r w:rsidR="00916B00" w:rsidRPr="00D9152B">
        <w:rPr>
          <w:rFonts w:ascii="Calibri" w:hAnsi="Calibri" w:cs="Calibri"/>
          <w:sz w:val="22"/>
          <w:szCs w:val="22"/>
        </w:rPr>
        <w:t>.</w:t>
      </w:r>
    </w:p>
    <w:p w14:paraId="44664681" w14:textId="77777777" w:rsidR="00CF6656" w:rsidRPr="00D9152B" w:rsidRDefault="00CF6656" w:rsidP="00D46C4E">
      <w:pPr>
        <w:rPr>
          <w:rFonts w:ascii="Calibri" w:hAnsi="Calibri" w:cs="Calibri"/>
          <w:sz w:val="22"/>
          <w:szCs w:val="22"/>
        </w:rPr>
      </w:pPr>
    </w:p>
    <w:p w14:paraId="30A26515" w14:textId="3A28C84C" w:rsidR="00CF6656" w:rsidRPr="00D9152B" w:rsidRDefault="00CF6656" w:rsidP="00D46C4E">
      <w:pPr>
        <w:rPr>
          <w:rFonts w:ascii="Calibri" w:hAnsi="Calibri" w:cs="Calibri"/>
          <w:sz w:val="22"/>
          <w:szCs w:val="22"/>
        </w:rPr>
      </w:pPr>
      <w:r w:rsidRPr="00D9152B">
        <w:rPr>
          <w:rFonts w:ascii="Calibri" w:hAnsi="Calibri" w:cs="Calibri"/>
          <w:sz w:val="22"/>
          <w:szCs w:val="22"/>
        </w:rPr>
        <w:t>This PhD would not have been possible without the support of many other people</w:t>
      </w:r>
      <w:r w:rsidR="00FC1FA5" w:rsidRPr="00D9152B">
        <w:rPr>
          <w:rFonts w:ascii="Calibri" w:hAnsi="Calibri" w:cs="Calibri"/>
          <w:sz w:val="22"/>
          <w:szCs w:val="22"/>
        </w:rPr>
        <w:t xml:space="preserve"> and institutions</w:t>
      </w:r>
      <w:r w:rsidRPr="00D9152B">
        <w:rPr>
          <w:rFonts w:ascii="Calibri" w:hAnsi="Calibri" w:cs="Calibri"/>
          <w:sz w:val="22"/>
          <w:szCs w:val="22"/>
        </w:rPr>
        <w:t xml:space="preserve">, </w:t>
      </w:r>
      <w:r w:rsidR="005751F3">
        <w:rPr>
          <w:rFonts w:ascii="Calibri" w:hAnsi="Calibri" w:cs="Calibri"/>
          <w:sz w:val="22"/>
          <w:szCs w:val="22"/>
        </w:rPr>
        <w:t xml:space="preserve">only </w:t>
      </w:r>
      <w:r w:rsidRPr="00D9152B">
        <w:rPr>
          <w:rFonts w:ascii="Calibri" w:hAnsi="Calibri" w:cs="Calibri"/>
          <w:sz w:val="22"/>
          <w:szCs w:val="22"/>
        </w:rPr>
        <w:t xml:space="preserve">a few of whom I will mention by name. </w:t>
      </w:r>
      <w:r w:rsidR="00810BB6" w:rsidRPr="00D9152B">
        <w:rPr>
          <w:rFonts w:ascii="Calibri" w:hAnsi="Calibri" w:cs="Calibri"/>
          <w:sz w:val="22"/>
          <w:szCs w:val="22"/>
        </w:rPr>
        <w:t>Thank</w:t>
      </w:r>
      <w:r w:rsidRPr="00D9152B">
        <w:rPr>
          <w:rFonts w:ascii="Calibri" w:hAnsi="Calibri" w:cs="Calibri"/>
          <w:sz w:val="22"/>
          <w:szCs w:val="22"/>
        </w:rPr>
        <w:t xml:space="preserve"> you to the archival teams who helped me navigate the overwhelming records-keeping systems, and found obscure documents that add flavour and substance to my </w:t>
      </w:r>
      <w:r w:rsidR="00810BB6" w:rsidRPr="00D9152B">
        <w:rPr>
          <w:rFonts w:ascii="Calibri" w:hAnsi="Calibri" w:cs="Calibri"/>
          <w:sz w:val="22"/>
          <w:szCs w:val="22"/>
        </w:rPr>
        <w:t>dissertation</w:t>
      </w:r>
      <w:r w:rsidRPr="00D9152B">
        <w:rPr>
          <w:rFonts w:ascii="Calibri" w:hAnsi="Calibri" w:cs="Calibri"/>
          <w:sz w:val="22"/>
          <w:szCs w:val="22"/>
        </w:rPr>
        <w:t xml:space="preserve"> (and stayed long hours around the holidays so that I could poke through a few more folders). I am especially appreciative of the support of Ann May (</w:t>
      </w:r>
      <w:r w:rsidR="004A4C5C">
        <w:rPr>
          <w:rFonts w:ascii="Calibri" w:hAnsi="Calibri" w:cs="Calibri"/>
          <w:sz w:val="22"/>
          <w:szCs w:val="22"/>
        </w:rPr>
        <w:t xml:space="preserve">and the </w:t>
      </w:r>
      <w:r w:rsidRPr="00D9152B">
        <w:rPr>
          <w:rFonts w:ascii="Calibri" w:hAnsi="Calibri" w:cs="Calibri"/>
          <w:sz w:val="22"/>
          <w:szCs w:val="22"/>
        </w:rPr>
        <w:t>World Bank Group Archives</w:t>
      </w:r>
      <w:r w:rsidR="004A4C5C">
        <w:rPr>
          <w:rFonts w:ascii="Calibri" w:hAnsi="Calibri" w:cs="Calibri"/>
          <w:sz w:val="22"/>
          <w:szCs w:val="22"/>
        </w:rPr>
        <w:t xml:space="preserve"> team</w:t>
      </w:r>
      <w:r w:rsidRPr="00D9152B">
        <w:rPr>
          <w:rFonts w:ascii="Calibri" w:hAnsi="Calibri" w:cs="Calibri"/>
          <w:sz w:val="22"/>
          <w:szCs w:val="22"/>
        </w:rPr>
        <w:t>), Reynald Erard (World Health Organization</w:t>
      </w:r>
      <w:r w:rsidR="008F1047" w:rsidRPr="00D9152B">
        <w:rPr>
          <w:rFonts w:ascii="Calibri" w:hAnsi="Calibri" w:cs="Calibri"/>
          <w:sz w:val="22"/>
          <w:szCs w:val="22"/>
        </w:rPr>
        <w:t xml:space="preserve"> Archives), and Fabio Ciccarello (Food and Agriculture Organization Archives). </w:t>
      </w:r>
      <w:r w:rsidR="00EF3BCF" w:rsidRPr="00D9152B">
        <w:rPr>
          <w:rFonts w:ascii="Calibri" w:hAnsi="Calibri" w:cs="Calibri"/>
          <w:sz w:val="22"/>
          <w:szCs w:val="22"/>
        </w:rPr>
        <w:t xml:space="preserve">I am also indebted to Jean-Paul Dailly and Bruce Benton, who took the time to speak with a lowly PhD student about their fascinating career experiences. </w:t>
      </w:r>
      <w:r w:rsidR="00CF189D">
        <w:rPr>
          <w:rFonts w:ascii="Calibri" w:hAnsi="Calibri" w:cs="Calibri"/>
          <w:sz w:val="22"/>
          <w:szCs w:val="22"/>
        </w:rPr>
        <w:t xml:space="preserve">Drs. Martin Gorsky and Harry Campbell provided invaluable advice about fine-tuning the dissertation as my viva examiners, and Drs. Steve Sturdy and Igor Rudan helped launch me on a solid historical path as members of my doctoral committee. </w:t>
      </w:r>
      <w:r w:rsidR="008F1047" w:rsidRPr="00D9152B">
        <w:rPr>
          <w:rFonts w:ascii="Calibri" w:hAnsi="Calibri" w:cs="Calibri"/>
          <w:sz w:val="22"/>
          <w:szCs w:val="22"/>
        </w:rPr>
        <w:t xml:space="preserve">Dr. Jesse Bump </w:t>
      </w:r>
      <w:r w:rsidR="00916B00" w:rsidRPr="00D9152B">
        <w:rPr>
          <w:rFonts w:ascii="Calibri" w:hAnsi="Calibri" w:cs="Calibri"/>
          <w:sz w:val="22"/>
          <w:szCs w:val="22"/>
        </w:rPr>
        <w:t>shared</w:t>
      </w:r>
      <w:r w:rsidR="008F1047" w:rsidRPr="00D9152B">
        <w:rPr>
          <w:rFonts w:ascii="Calibri" w:hAnsi="Calibri" w:cs="Calibri"/>
          <w:sz w:val="22"/>
          <w:szCs w:val="22"/>
        </w:rPr>
        <w:t xml:space="preserve"> wisdom</w:t>
      </w:r>
      <w:r w:rsidR="00EF3BCF" w:rsidRPr="00D9152B">
        <w:rPr>
          <w:rFonts w:ascii="Calibri" w:hAnsi="Calibri" w:cs="Calibri"/>
          <w:sz w:val="22"/>
          <w:szCs w:val="22"/>
        </w:rPr>
        <w:t xml:space="preserve"> about</w:t>
      </w:r>
      <w:r w:rsidR="008F1047" w:rsidRPr="00D9152B">
        <w:rPr>
          <w:rFonts w:ascii="Calibri" w:hAnsi="Calibri" w:cs="Calibri"/>
          <w:sz w:val="22"/>
          <w:szCs w:val="22"/>
        </w:rPr>
        <w:t xml:space="preserve"> studying onchocerciasis in West Africa</w:t>
      </w:r>
      <w:r w:rsidR="00EF3BCF" w:rsidRPr="00D9152B">
        <w:rPr>
          <w:rFonts w:ascii="Calibri" w:hAnsi="Calibri" w:cs="Calibri"/>
          <w:sz w:val="22"/>
          <w:szCs w:val="22"/>
        </w:rPr>
        <w:t xml:space="preserve"> (as well as some excellent food)</w:t>
      </w:r>
      <w:r w:rsidR="008F1047" w:rsidRPr="00D9152B">
        <w:rPr>
          <w:rFonts w:ascii="Calibri" w:hAnsi="Calibri" w:cs="Calibri"/>
          <w:sz w:val="22"/>
          <w:szCs w:val="22"/>
        </w:rPr>
        <w:t xml:space="preserve">. </w:t>
      </w:r>
      <w:r w:rsidR="00FC1FA5" w:rsidRPr="00D9152B">
        <w:rPr>
          <w:rFonts w:ascii="Calibri" w:hAnsi="Calibri" w:cs="Calibri"/>
          <w:sz w:val="22"/>
          <w:szCs w:val="22"/>
        </w:rPr>
        <w:t>University of Edinburgh students Ellie Strong, Iona Frost, and Shu-Han Chen</w:t>
      </w:r>
      <w:r w:rsidR="00EF3BCF" w:rsidRPr="00D9152B">
        <w:rPr>
          <w:rFonts w:ascii="Calibri" w:hAnsi="Calibri" w:cs="Calibri"/>
          <w:sz w:val="22"/>
          <w:szCs w:val="22"/>
        </w:rPr>
        <w:t xml:space="preserve"> also</w:t>
      </w:r>
      <w:r w:rsidR="00FC1FA5" w:rsidRPr="00D9152B">
        <w:rPr>
          <w:rFonts w:ascii="Calibri" w:hAnsi="Calibri" w:cs="Calibri"/>
          <w:sz w:val="22"/>
          <w:szCs w:val="22"/>
        </w:rPr>
        <w:t xml:space="preserve"> provided </w:t>
      </w:r>
      <w:r w:rsidR="005751F3">
        <w:rPr>
          <w:rFonts w:ascii="Calibri" w:hAnsi="Calibri" w:cs="Calibri"/>
          <w:sz w:val="22"/>
          <w:szCs w:val="22"/>
        </w:rPr>
        <w:t>valuable</w:t>
      </w:r>
      <w:r w:rsidR="00FC1FA5" w:rsidRPr="00D9152B">
        <w:rPr>
          <w:rFonts w:ascii="Calibri" w:hAnsi="Calibri" w:cs="Calibri"/>
          <w:sz w:val="22"/>
          <w:szCs w:val="22"/>
        </w:rPr>
        <w:t xml:space="preserve"> data analysis, especially for tracking the World Bank’s health expenditures. The Brocher Foundation </w:t>
      </w:r>
      <w:r w:rsidR="00EF3BCF" w:rsidRPr="00D9152B">
        <w:rPr>
          <w:rFonts w:ascii="Calibri" w:hAnsi="Calibri" w:cs="Calibri"/>
          <w:sz w:val="22"/>
          <w:szCs w:val="22"/>
        </w:rPr>
        <w:t>gave me</w:t>
      </w:r>
      <w:r w:rsidR="00FC1FA5" w:rsidRPr="00D9152B">
        <w:rPr>
          <w:rFonts w:ascii="Calibri" w:hAnsi="Calibri" w:cs="Calibri"/>
          <w:sz w:val="22"/>
          <w:szCs w:val="22"/>
        </w:rPr>
        <w:t xml:space="preserve"> a dream-like location at which to mull through my archival data, as well as to get back into one of life’s joys (biking). They </w:t>
      </w:r>
      <w:r w:rsidR="005751F3">
        <w:rPr>
          <w:rFonts w:ascii="Calibri" w:hAnsi="Calibri" w:cs="Calibri"/>
          <w:sz w:val="22"/>
          <w:szCs w:val="22"/>
        </w:rPr>
        <w:t xml:space="preserve">also </w:t>
      </w:r>
      <w:r w:rsidR="00FC1FA5" w:rsidRPr="00D9152B">
        <w:rPr>
          <w:rFonts w:ascii="Calibri" w:hAnsi="Calibri" w:cs="Calibri"/>
          <w:sz w:val="22"/>
          <w:szCs w:val="22"/>
        </w:rPr>
        <w:t xml:space="preserve">generously funded a symposium on the </w:t>
      </w:r>
      <w:r w:rsidR="004A4C5C">
        <w:rPr>
          <w:rFonts w:ascii="Calibri" w:hAnsi="Calibri" w:cs="Calibri"/>
          <w:sz w:val="22"/>
          <w:szCs w:val="22"/>
        </w:rPr>
        <w:t xml:space="preserve">World </w:t>
      </w:r>
      <w:r w:rsidR="00FC1FA5" w:rsidRPr="00D9152B">
        <w:rPr>
          <w:rFonts w:ascii="Calibri" w:hAnsi="Calibri" w:cs="Calibri"/>
          <w:sz w:val="22"/>
          <w:szCs w:val="22"/>
        </w:rPr>
        <w:t>Bank and global health, which helped me pull together themes underpinning the entire dissertation. And, the Usher Institute’s small grants programme and the Society for the Social History of Medicine helped me ‘pilot’ many of my thoughts</w:t>
      </w:r>
      <w:r w:rsidR="00916B00" w:rsidRPr="00D9152B">
        <w:rPr>
          <w:rFonts w:ascii="Calibri" w:hAnsi="Calibri" w:cs="Calibri"/>
          <w:sz w:val="22"/>
          <w:szCs w:val="22"/>
        </w:rPr>
        <w:t xml:space="preserve"> and gain exposure to some fascinating minds</w:t>
      </w:r>
      <w:r w:rsidR="00FC1FA5" w:rsidRPr="00D9152B">
        <w:rPr>
          <w:rFonts w:ascii="Calibri" w:hAnsi="Calibri" w:cs="Calibri"/>
          <w:sz w:val="22"/>
          <w:szCs w:val="22"/>
        </w:rPr>
        <w:t>, by attending conferences from Liverpool to Los Angeles to Shanghai.</w:t>
      </w:r>
      <w:r w:rsidR="00EF3BCF" w:rsidRPr="00D9152B">
        <w:rPr>
          <w:rFonts w:ascii="Calibri" w:hAnsi="Calibri" w:cs="Calibri"/>
          <w:sz w:val="22"/>
          <w:szCs w:val="22"/>
        </w:rPr>
        <w:t xml:space="preserve"> Finally, the Wellcome Trust </w:t>
      </w:r>
      <w:r w:rsidR="00EF3BCF" w:rsidRPr="00D9152B">
        <w:rPr>
          <w:rFonts w:ascii="Calibri" w:hAnsi="Calibri" w:cs="Calibri"/>
          <w:sz w:val="22"/>
          <w:szCs w:val="22"/>
        </w:rPr>
        <w:lastRenderedPageBreak/>
        <w:t>provided three years</w:t>
      </w:r>
      <w:r w:rsidR="004A4C5C">
        <w:rPr>
          <w:rFonts w:ascii="Calibri" w:hAnsi="Calibri" w:cs="Calibri"/>
          <w:sz w:val="22"/>
          <w:szCs w:val="22"/>
        </w:rPr>
        <w:t xml:space="preserve"> </w:t>
      </w:r>
      <w:r w:rsidR="00EF3BCF" w:rsidRPr="00D9152B">
        <w:rPr>
          <w:rFonts w:ascii="Calibri" w:hAnsi="Calibri" w:cs="Calibri"/>
          <w:sz w:val="22"/>
          <w:szCs w:val="22"/>
        </w:rPr>
        <w:t>of not worry</w:t>
      </w:r>
      <w:r w:rsidR="00810BB6" w:rsidRPr="00D9152B">
        <w:rPr>
          <w:rFonts w:ascii="Calibri" w:hAnsi="Calibri" w:cs="Calibri"/>
          <w:sz w:val="22"/>
          <w:szCs w:val="22"/>
        </w:rPr>
        <w:t>ing</w:t>
      </w:r>
      <w:r w:rsidR="00EF3BCF" w:rsidRPr="00D9152B">
        <w:rPr>
          <w:rFonts w:ascii="Calibri" w:hAnsi="Calibri" w:cs="Calibri"/>
          <w:sz w:val="22"/>
          <w:szCs w:val="22"/>
        </w:rPr>
        <w:t xml:space="preserve"> about money while doing research full-time</w:t>
      </w:r>
      <w:r w:rsidR="00810BB6" w:rsidRPr="00D9152B">
        <w:rPr>
          <w:rFonts w:ascii="Calibri" w:hAnsi="Calibri" w:cs="Calibri"/>
          <w:sz w:val="22"/>
          <w:szCs w:val="22"/>
        </w:rPr>
        <w:t xml:space="preserve">. </w:t>
      </w:r>
      <w:r w:rsidR="00EF3BCF" w:rsidRPr="00D9152B">
        <w:rPr>
          <w:rFonts w:ascii="Calibri" w:hAnsi="Calibri" w:cs="Calibri"/>
          <w:sz w:val="22"/>
          <w:szCs w:val="22"/>
        </w:rPr>
        <w:t>I realize what a rare gift this is.</w:t>
      </w:r>
    </w:p>
    <w:p w14:paraId="571A7F25" w14:textId="77777777" w:rsidR="00810BB6" w:rsidRPr="00D9152B" w:rsidRDefault="00810BB6" w:rsidP="00D46C4E">
      <w:pPr>
        <w:rPr>
          <w:rFonts w:ascii="Calibri" w:hAnsi="Calibri" w:cs="Calibri"/>
          <w:sz w:val="22"/>
          <w:szCs w:val="22"/>
        </w:rPr>
      </w:pPr>
    </w:p>
    <w:p w14:paraId="081618D4" w14:textId="35872133" w:rsidR="00916B00" w:rsidRPr="00D9152B" w:rsidRDefault="00916B00" w:rsidP="00D46C4E">
      <w:pPr>
        <w:rPr>
          <w:rFonts w:ascii="Calibri" w:hAnsi="Calibri" w:cs="Calibri"/>
          <w:sz w:val="22"/>
          <w:szCs w:val="22"/>
        </w:rPr>
      </w:pPr>
      <w:r w:rsidRPr="00D9152B">
        <w:rPr>
          <w:rFonts w:ascii="Calibri" w:hAnsi="Calibri" w:cs="Calibri"/>
          <w:sz w:val="22"/>
          <w:szCs w:val="22"/>
        </w:rPr>
        <w:t>Last, but</w:t>
      </w:r>
      <w:r w:rsidR="00810BB6" w:rsidRPr="00D9152B">
        <w:rPr>
          <w:rFonts w:ascii="Calibri" w:hAnsi="Calibri" w:cs="Calibri"/>
          <w:sz w:val="22"/>
          <w:szCs w:val="22"/>
        </w:rPr>
        <w:t xml:space="preserve"> far from least</w:t>
      </w:r>
      <w:r w:rsidRPr="00D9152B">
        <w:rPr>
          <w:rFonts w:ascii="Calibri" w:hAnsi="Calibri" w:cs="Calibri"/>
          <w:sz w:val="22"/>
          <w:szCs w:val="22"/>
        </w:rPr>
        <w:t xml:space="preserve">, I could never be where I am in life without the </w:t>
      </w:r>
      <w:r w:rsidR="00810BB6" w:rsidRPr="00D9152B">
        <w:rPr>
          <w:rFonts w:ascii="Calibri" w:hAnsi="Calibri" w:cs="Calibri"/>
          <w:sz w:val="22"/>
          <w:szCs w:val="22"/>
        </w:rPr>
        <w:t>loyal, wonderful</w:t>
      </w:r>
      <w:r w:rsidRPr="00D9152B">
        <w:rPr>
          <w:rFonts w:ascii="Calibri" w:hAnsi="Calibri" w:cs="Calibri"/>
          <w:sz w:val="22"/>
          <w:szCs w:val="22"/>
        </w:rPr>
        <w:t xml:space="preserve"> weirdos that make up my family. </w:t>
      </w:r>
      <w:r w:rsidR="00185132" w:rsidRPr="00D9152B">
        <w:rPr>
          <w:rFonts w:ascii="Calibri" w:hAnsi="Calibri" w:cs="Calibri"/>
          <w:sz w:val="22"/>
          <w:szCs w:val="22"/>
        </w:rPr>
        <w:t>Aunt Bea</w:t>
      </w:r>
      <w:r w:rsidR="0084692D" w:rsidRPr="00D9152B">
        <w:rPr>
          <w:rFonts w:ascii="Calibri" w:hAnsi="Calibri" w:cs="Calibri"/>
          <w:sz w:val="22"/>
          <w:szCs w:val="22"/>
        </w:rPr>
        <w:t>t</w:t>
      </w:r>
      <w:r w:rsidR="00185132" w:rsidRPr="00D9152B">
        <w:rPr>
          <w:rFonts w:ascii="Calibri" w:hAnsi="Calibri" w:cs="Calibri"/>
          <w:sz w:val="22"/>
          <w:szCs w:val="22"/>
        </w:rPr>
        <w:t xml:space="preserve">rice, I so appreciate you putting me up in DC and sharing such interesting family history with me (as well as coffee). Grandma Rosemary, I loved visiting you after the conference in Los Angeles, and the joy of beating you at Scrabble helped give me the energy to endure! </w:t>
      </w:r>
      <w:r w:rsidR="00810BB6" w:rsidRPr="00D9152B">
        <w:rPr>
          <w:rFonts w:ascii="Calibri" w:hAnsi="Calibri" w:cs="Calibri"/>
          <w:sz w:val="22"/>
          <w:szCs w:val="22"/>
        </w:rPr>
        <w:t xml:space="preserve">Uncle Marvin, you’re such a generous spirit, and the gifts you gave me helped me ‘treat myself’ on a PhD stipend. </w:t>
      </w:r>
      <w:r w:rsidR="00544EB8">
        <w:rPr>
          <w:rFonts w:ascii="Calibri" w:hAnsi="Calibri" w:cs="Calibri"/>
          <w:sz w:val="22"/>
          <w:szCs w:val="22"/>
        </w:rPr>
        <w:t>Dad, you’ve always shown how the path to a PhD is possible. Sandy</w:t>
      </w:r>
      <w:r w:rsidRPr="00D9152B">
        <w:rPr>
          <w:rFonts w:ascii="Calibri" w:hAnsi="Calibri" w:cs="Calibri"/>
          <w:sz w:val="22"/>
          <w:szCs w:val="22"/>
        </w:rPr>
        <w:t xml:space="preserve"> and John, thank you for putting up with a </w:t>
      </w:r>
      <w:r w:rsidR="00185132" w:rsidRPr="00D9152B">
        <w:rPr>
          <w:rFonts w:ascii="Calibri" w:hAnsi="Calibri" w:cs="Calibri"/>
          <w:sz w:val="22"/>
          <w:szCs w:val="22"/>
        </w:rPr>
        <w:t xml:space="preserve">sister who sometimes loses perspective about what is important in life, and for setting me on track (whether I like it or not at the time!). Life wouldn’t be nearly as </w:t>
      </w:r>
      <w:r w:rsidR="00544EB8">
        <w:rPr>
          <w:rFonts w:ascii="Calibri" w:hAnsi="Calibri" w:cs="Calibri"/>
          <w:sz w:val="22"/>
          <w:szCs w:val="22"/>
        </w:rPr>
        <w:t>meaningful</w:t>
      </w:r>
      <w:r w:rsidR="00185132" w:rsidRPr="00D9152B">
        <w:rPr>
          <w:rFonts w:ascii="Calibri" w:hAnsi="Calibri" w:cs="Calibri"/>
          <w:sz w:val="22"/>
          <w:szCs w:val="22"/>
        </w:rPr>
        <w:t xml:space="preserve"> without you, and I’d </w:t>
      </w:r>
      <w:r w:rsidR="0084692D" w:rsidRPr="00D9152B">
        <w:rPr>
          <w:rFonts w:ascii="Calibri" w:hAnsi="Calibri" w:cs="Calibri"/>
          <w:sz w:val="22"/>
          <w:szCs w:val="22"/>
        </w:rPr>
        <w:t xml:space="preserve">definitely </w:t>
      </w:r>
      <w:r w:rsidR="00185132" w:rsidRPr="00D9152B">
        <w:rPr>
          <w:rFonts w:ascii="Calibri" w:hAnsi="Calibri" w:cs="Calibri"/>
          <w:sz w:val="22"/>
          <w:szCs w:val="22"/>
        </w:rPr>
        <w:t xml:space="preserve">have my head in the clouds. </w:t>
      </w:r>
      <w:r w:rsidR="0084692D" w:rsidRPr="00D9152B">
        <w:rPr>
          <w:rFonts w:ascii="Calibri" w:hAnsi="Calibri" w:cs="Calibri"/>
          <w:sz w:val="22"/>
          <w:szCs w:val="22"/>
        </w:rPr>
        <w:t>Savannah and Gemini, I miss you more than you</w:t>
      </w:r>
      <w:r w:rsidR="004A4C5C">
        <w:rPr>
          <w:rFonts w:ascii="Calibri" w:hAnsi="Calibri" w:cs="Calibri"/>
          <w:sz w:val="22"/>
          <w:szCs w:val="22"/>
        </w:rPr>
        <w:t xml:space="preserve"> </w:t>
      </w:r>
      <w:r w:rsidR="0084692D" w:rsidRPr="00D9152B">
        <w:rPr>
          <w:rFonts w:ascii="Calibri" w:hAnsi="Calibri" w:cs="Calibri"/>
          <w:sz w:val="22"/>
          <w:szCs w:val="22"/>
        </w:rPr>
        <w:t>know, and think that you’re out there somewhere in the molecules. You, Maya, Koosh, and now Monkey</w:t>
      </w:r>
      <w:r w:rsidR="00C16894">
        <w:rPr>
          <w:rFonts w:ascii="Calibri" w:hAnsi="Calibri" w:cs="Calibri"/>
          <w:sz w:val="22"/>
          <w:szCs w:val="22"/>
        </w:rPr>
        <w:t xml:space="preserve"> and Ted</w:t>
      </w:r>
      <w:r w:rsidR="0084692D" w:rsidRPr="00D9152B">
        <w:rPr>
          <w:rFonts w:ascii="Calibri" w:hAnsi="Calibri" w:cs="Calibri"/>
          <w:sz w:val="22"/>
          <w:szCs w:val="22"/>
        </w:rPr>
        <w:t xml:space="preserve"> have made my life so much richer and have helped ground me when I needed it the most. </w:t>
      </w:r>
      <w:r w:rsidR="00185132" w:rsidRPr="00D9152B">
        <w:rPr>
          <w:rFonts w:ascii="Calibri" w:hAnsi="Calibri" w:cs="Calibri"/>
          <w:sz w:val="22"/>
          <w:szCs w:val="22"/>
        </w:rPr>
        <w:t xml:space="preserve">And, Mom, </w:t>
      </w:r>
      <w:r w:rsidR="00810BB6" w:rsidRPr="00D9152B">
        <w:rPr>
          <w:rFonts w:ascii="Calibri" w:hAnsi="Calibri" w:cs="Calibri"/>
          <w:sz w:val="22"/>
          <w:szCs w:val="22"/>
        </w:rPr>
        <w:t>you know that you’re my person in life</w:t>
      </w:r>
      <w:r w:rsidR="0084692D" w:rsidRPr="00D9152B">
        <w:rPr>
          <w:rFonts w:ascii="Calibri" w:hAnsi="Calibri" w:cs="Calibri"/>
          <w:sz w:val="22"/>
          <w:szCs w:val="22"/>
        </w:rPr>
        <w:t>. Y</w:t>
      </w:r>
      <w:r w:rsidR="00810BB6" w:rsidRPr="00D9152B">
        <w:rPr>
          <w:rFonts w:ascii="Calibri" w:hAnsi="Calibri" w:cs="Calibri"/>
          <w:sz w:val="22"/>
          <w:szCs w:val="22"/>
        </w:rPr>
        <w:t>ou’ve inspired me to live by my own terms and stay strong</w:t>
      </w:r>
      <w:r w:rsidR="0084692D" w:rsidRPr="00D9152B">
        <w:rPr>
          <w:rFonts w:ascii="Calibri" w:hAnsi="Calibri" w:cs="Calibri"/>
          <w:sz w:val="22"/>
          <w:szCs w:val="22"/>
        </w:rPr>
        <w:t>, and have always encouraged me to bring out my inner writer</w:t>
      </w:r>
      <w:r w:rsidR="00810BB6" w:rsidRPr="00D9152B">
        <w:rPr>
          <w:rFonts w:ascii="Calibri" w:hAnsi="Calibri" w:cs="Calibri"/>
          <w:sz w:val="22"/>
          <w:szCs w:val="22"/>
        </w:rPr>
        <w:t xml:space="preserve">. I don’t know where I’d be without your free-spirited look on life, but I know that life certainly wouldn’t be as authentic and colourful. </w:t>
      </w:r>
      <w:r w:rsidR="00544EB8">
        <w:rPr>
          <w:rFonts w:ascii="Calibri" w:hAnsi="Calibri" w:cs="Calibri"/>
          <w:sz w:val="22"/>
          <w:szCs w:val="22"/>
        </w:rPr>
        <w:t>Thank you!</w:t>
      </w:r>
    </w:p>
    <w:p w14:paraId="333E1CA3" w14:textId="77777777" w:rsidR="00EF3BCF" w:rsidRPr="00D9152B" w:rsidRDefault="00EF3BCF" w:rsidP="00D46C4E">
      <w:pPr>
        <w:rPr>
          <w:rFonts w:ascii="Calibri" w:hAnsi="Calibri" w:cs="Calibri"/>
          <w:sz w:val="22"/>
          <w:szCs w:val="22"/>
        </w:rPr>
      </w:pPr>
    </w:p>
    <w:p w14:paraId="58B80798" w14:textId="77777777" w:rsidR="00916B00" w:rsidRPr="00D9152B" w:rsidRDefault="00916B00" w:rsidP="00D46C4E">
      <w:pPr>
        <w:rPr>
          <w:rFonts w:ascii="Calibri" w:hAnsi="Calibri" w:cs="Calibri"/>
          <w:sz w:val="22"/>
          <w:szCs w:val="22"/>
        </w:rPr>
      </w:pPr>
    </w:p>
    <w:p w14:paraId="1A89CF4F" w14:textId="326B480E" w:rsidR="00916B00" w:rsidRPr="00D9152B" w:rsidRDefault="00916B00" w:rsidP="00D46C4E">
      <w:pPr>
        <w:rPr>
          <w:rFonts w:ascii="Calibri" w:hAnsi="Calibri" w:cs="Calibri"/>
          <w:sz w:val="22"/>
          <w:szCs w:val="22"/>
        </w:rPr>
        <w:sectPr w:rsidR="00916B00" w:rsidRPr="00D9152B" w:rsidSect="00E418AF">
          <w:footnotePr>
            <w:numRestart w:val="eachSect"/>
          </w:footnotePr>
          <w:pgSz w:w="11906" w:h="16838"/>
          <w:pgMar w:top="1134" w:right="1558" w:bottom="2268" w:left="2268" w:header="708" w:footer="708" w:gutter="0"/>
          <w:cols w:space="708"/>
          <w:docGrid w:linePitch="360"/>
        </w:sectPr>
      </w:pPr>
    </w:p>
    <w:p w14:paraId="4E5C977E" w14:textId="7E6D3C17" w:rsidR="007E502F" w:rsidRPr="00380D9B" w:rsidRDefault="00AD5522" w:rsidP="00AD5522">
      <w:pPr>
        <w:pStyle w:val="Heading1"/>
        <w:rPr>
          <w:rFonts w:ascii="Calibri" w:hAnsi="Calibri" w:cs="Calibri"/>
          <w:b/>
          <w:sz w:val="36"/>
          <w:szCs w:val="36"/>
        </w:rPr>
      </w:pPr>
      <w:bookmarkStart w:id="4" w:name="_Toc41505579"/>
      <w:r w:rsidRPr="00380D9B">
        <w:rPr>
          <w:rFonts w:ascii="Calibri" w:hAnsi="Calibri" w:cs="Calibri"/>
          <w:b/>
          <w:sz w:val="36"/>
          <w:szCs w:val="36"/>
        </w:rPr>
        <w:lastRenderedPageBreak/>
        <w:t>Abbreviations</w:t>
      </w:r>
      <w:bookmarkEnd w:id="4"/>
    </w:p>
    <w:p w14:paraId="0113C87C" w14:textId="2BC3C833" w:rsidR="00AD5522" w:rsidRPr="00D9152B" w:rsidRDefault="00AD5522" w:rsidP="00AD5522">
      <w:pPr>
        <w:rPr>
          <w:rFonts w:ascii="Calibri" w:hAnsi="Calibri" w:cs="Calibri"/>
        </w:rPr>
      </w:pPr>
    </w:p>
    <w:p w14:paraId="10E41523" w14:textId="77777777" w:rsidR="00656BE2" w:rsidRPr="00D9152B" w:rsidRDefault="00656BE2" w:rsidP="00AD5522">
      <w:pPr>
        <w:rPr>
          <w:rFonts w:ascii="Calibri" w:hAnsi="Calibri" w:cs="Calibri"/>
        </w:rPr>
      </w:pPr>
    </w:p>
    <w:p w14:paraId="7C76BCD0" w14:textId="4F7D47A8" w:rsidR="00AD5522" w:rsidRPr="00D9152B" w:rsidRDefault="00AD5522" w:rsidP="00AD5522">
      <w:pPr>
        <w:rPr>
          <w:rFonts w:ascii="Calibri" w:hAnsi="Calibri" w:cs="Calibri"/>
        </w:rPr>
      </w:pPr>
      <w:r w:rsidRPr="00D9152B">
        <w:rPr>
          <w:rFonts w:ascii="Calibri" w:hAnsi="Calibri" w:cs="Calibri"/>
          <w:b/>
        </w:rPr>
        <w:t>ABR</w:t>
      </w:r>
      <w:r w:rsidRPr="00D9152B">
        <w:rPr>
          <w:rFonts w:ascii="Calibri" w:hAnsi="Calibri" w:cs="Calibri"/>
        </w:rPr>
        <w:t xml:space="preserve"> – Annual bite rate (</w:t>
      </w:r>
      <w:r w:rsidR="00D168E3" w:rsidRPr="00D9152B">
        <w:rPr>
          <w:rFonts w:ascii="Calibri" w:hAnsi="Calibri" w:cs="Calibri"/>
        </w:rPr>
        <w:t xml:space="preserve">vector-based estimate of </w:t>
      </w:r>
      <w:r w:rsidRPr="00D9152B">
        <w:rPr>
          <w:rFonts w:ascii="Calibri" w:hAnsi="Calibri" w:cs="Calibri"/>
        </w:rPr>
        <w:t>onchocerciasis transmission)</w:t>
      </w:r>
    </w:p>
    <w:p w14:paraId="72366C13" w14:textId="1FEECD61" w:rsidR="00AD5522" w:rsidRPr="00D9152B" w:rsidRDefault="00AD5522" w:rsidP="00AD5522">
      <w:pPr>
        <w:rPr>
          <w:rFonts w:ascii="Calibri" w:hAnsi="Calibri" w:cs="Calibri"/>
        </w:rPr>
      </w:pPr>
      <w:r w:rsidRPr="00D9152B">
        <w:rPr>
          <w:rFonts w:ascii="Calibri" w:hAnsi="Calibri" w:cs="Calibri"/>
          <w:b/>
        </w:rPr>
        <w:t>AFDB</w:t>
      </w:r>
      <w:r w:rsidRPr="00D9152B">
        <w:rPr>
          <w:rFonts w:ascii="Calibri" w:hAnsi="Calibri" w:cs="Calibri"/>
        </w:rPr>
        <w:t xml:space="preserve"> – African Development Bank</w:t>
      </w:r>
    </w:p>
    <w:p w14:paraId="2CDD0020" w14:textId="08EEABEE" w:rsidR="00AD5522" w:rsidRPr="00D9152B" w:rsidRDefault="00AD5522" w:rsidP="00AD5522">
      <w:pPr>
        <w:rPr>
          <w:rFonts w:ascii="Calibri" w:hAnsi="Calibri" w:cs="Calibri"/>
        </w:rPr>
      </w:pPr>
      <w:r w:rsidRPr="00D9152B">
        <w:rPr>
          <w:rFonts w:ascii="Calibri" w:hAnsi="Calibri" w:cs="Calibri"/>
          <w:b/>
        </w:rPr>
        <w:t>AFRO</w:t>
      </w:r>
      <w:r w:rsidRPr="00D9152B">
        <w:rPr>
          <w:rFonts w:ascii="Calibri" w:hAnsi="Calibri" w:cs="Calibri"/>
        </w:rPr>
        <w:t xml:space="preserve"> – </w:t>
      </w:r>
      <w:r w:rsidR="00890A74">
        <w:rPr>
          <w:rFonts w:ascii="Calibri" w:hAnsi="Calibri" w:cs="Calibri"/>
        </w:rPr>
        <w:t>World Health Organization</w:t>
      </w:r>
      <w:r w:rsidRPr="00D9152B">
        <w:rPr>
          <w:rFonts w:ascii="Calibri" w:hAnsi="Calibri" w:cs="Calibri"/>
        </w:rPr>
        <w:t xml:space="preserve"> Regional Office for Africa</w:t>
      </w:r>
    </w:p>
    <w:p w14:paraId="355AA2C5" w14:textId="13780093" w:rsidR="00AD5522" w:rsidRPr="00D9152B" w:rsidRDefault="00AD5522" w:rsidP="00AD5522">
      <w:pPr>
        <w:rPr>
          <w:rFonts w:ascii="Calibri" w:hAnsi="Calibri" w:cs="Calibri"/>
        </w:rPr>
      </w:pPr>
      <w:r w:rsidRPr="00D9152B">
        <w:rPr>
          <w:rFonts w:ascii="Calibri" w:hAnsi="Calibri" w:cs="Calibri"/>
          <w:b/>
        </w:rPr>
        <w:t>APOC</w:t>
      </w:r>
      <w:r w:rsidRPr="00D9152B">
        <w:rPr>
          <w:rFonts w:ascii="Calibri" w:hAnsi="Calibri" w:cs="Calibri"/>
        </w:rPr>
        <w:t xml:space="preserve"> – African Programme for Onchocerciasis Control</w:t>
      </w:r>
    </w:p>
    <w:p w14:paraId="71231C8E" w14:textId="4E009A3E" w:rsidR="00AD5522" w:rsidRPr="00D9152B" w:rsidRDefault="00AD5522" w:rsidP="00AD5522">
      <w:pPr>
        <w:rPr>
          <w:rFonts w:ascii="Calibri" w:hAnsi="Calibri" w:cs="Calibri"/>
        </w:rPr>
      </w:pPr>
      <w:r w:rsidRPr="00D9152B">
        <w:rPr>
          <w:rFonts w:ascii="Calibri" w:hAnsi="Calibri" w:cs="Calibri"/>
          <w:b/>
        </w:rPr>
        <w:t>ATP</w:t>
      </w:r>
      <w:r w:rsidRPr="00D9152B">
        <w:rPr>
          <w:rFonts w:ascii="Calibri" w:hAnsi="Calibri" w:cs="Calibri"/>
        </w:rPr>
        <w:t xml:space="preserve"> – Annual transmission potential (</w:t>
      </w:r>
      <w:r w:rsidR="00D168E3" w:rsidRPr="00D9152B">
        <w:rPr>
          <w:rFonts w:ascii="Calibri" w:hAnsi="Calibri" w:cs="Calibri"/>
        </w:rPr>
        <w:t xml:space="preserve">vector-based estimate </w:t>
      </w:r>
      <w:r w:rsidRPr="00D9152B">
        <w:rPr>
          <w:rFonts w:ascii="Calibri" w:hAnsi="Calibri" w:cs="Calibri"/>
        </w:rPr>
        <w:t>of onchocerciasis transmission)</w:t>
      </w:r>
    </w:p>
    <w:p w14:paraId="6B0B6E3E" w14:textId="3F918F99" w:rsidR="00AD5522" w:rsidRPr="00D9152B" w:rsidRDefault="00AD5522" w:rsidP="00AD5522">
      <w:pPr>
        <w:rPr>
          <w:rFonts w:ascii="Calibri" w:hAnsi="Calibri" w:cs="Calibri"/>
        </w:rPr>
      </w:pPr>
      <w:r w:rsidRPr="00D9152B">
        <w:rPr>
          <w:rFonts w:ascii="Calibri" w:hAnsi="Calibri" w:cs="Calibri"/>
          <w:b/>
        </w:rPr>
        <w:t>BMGF</w:t>
      </w:r>
      <w:r w:rsidRPr="00D9152B">
        <w:rPr>
          <w:rFonts w:ascii="Calibri" w:hAnsi="Calibri" w:cs="Calibri"/>
        </w:rPr>
        <w:t xml:space="preserve"> – Bill and Melinda Gates Foundation</w:t>
      </w:r>
    </w:p>
    <w:p w14:paraId="309127B3" w14:textId="16FE8B7F" w:rsidR="00AD5522" w:rsidRPr="00D9152B" w:rsidRDefault="00AD5522" w:rsidP="00AD5522">
      <w:pPr>
        <w:rPr>
          <w:rFonts w:ascii="Calibri" w:hAnsi="Calibri" w:cs="Calibri"/>
        </w:rPr>
      </w:pPr>
      <w:r w:rsidRPr="00D9152B">
        <w:rPr>
          <w:rFonts w:ascii="Calibri" w:hAnsi="Calibri" w:cs="Calibri"/>
          <w:b/>
        </w:rPr>
        <w:t>CBD</w:t>
      </w:r>
      <w:r w:rsidRPr="00D9152B">
        <w:rPr>
          <w:rFonts w:ascii="Calibri" w:hAnsi="Calibri" w:cs="Calibri"/>
        </w:rPr>
        <w:t xml:space="preserve"> – Community-based distributor (of drugs)</w:t>
      </w:r>
    </w:p>
    <w:p w14:paraId="4BACDC83" w14:textId="4507404A" w:rsidR="00AD5522" w:rsidRPr="00D9152B" w:rsidRDefault="00AD5522" w:rsidP="00AD5522">
      <w:pPr>
        <w:rPr>
          <w:rFonts w:ascii="Calibri" w:hAnsi="Calibri" w:cs="Calibri"/>
        </w:rPr>
      </w:pPr>
      <w:r w:rsidRPr="00D9152B">
        <w:rPr>
          <w:rFonts w:ascii="Calibri" w:hAnsi="Calibri" w:cs="Calibri"/>
          <w:b/>
        </w:rPr>
        <w:t>CDD</w:t>
      </w:r>
      <w:r w:rsidRPr="00D9152B">
        <w:rPr>
          <w:rFonts w:ascii="Calibri" w:hAnsi="Calibri" w:cs="Calibri"/>
        </w:rPr>
        <w:t xml:space="preserve"> – Community-directed distributor (of drugs)</w:t>
      </w:r>
    </w:p>
    <w:p w14:paraId="4194694D" w14:textId="24E90653" w:rsidR="00AD5522" w:rsidRPr="00D9152B" w:rsidRDefault="00AD5522" w:rsidP="00AD5522">
      <w:pPr>
        <w:rPr>
          <w:rFonts w:ascii="Calibri" w:hAnsi="Calibri" w:cs="Calibri"/>
        </w:rPr>
      </w:pPr>
      <w:r w:rsidRPr="00D9152B">
        <w:rPr>
          <w:rFonts w:ascii="Calibri" w:hAnsi="Calibri" w:cs="Calibri"/>
          <w:b/>
        </w:rPr>
        <w:t>CDTI</w:t>
      </w:r>
      <w:r w:rsidRPr="00D9152B">
        <w:rPr>
          <w:rFonts w:ascii="Calibri" w:hAnsi="Calibri" w:cs="Calibri"/>
        </w:rPr>
        <w:t xml:space="preserve"> – Community-directed treatment with ivermectin</w:t>
      </w:r>
    </w:p>
    <w:p w14:paraId="75989566" w14:textId="6AA24F64" w:rsidR="00AD5522" w:rsidRPr="00D9152B" w:rsidRDefault="00AD5522" w:rsidP="00AD5522">
      <w:pPr>
        <w:rPr>
          <w:rFonts w:ascii="Calibri" w:hAnsi="Calibri" w:cs="Calibri"/>
        </w:rPr>
      </w:pPr>
      <w:r w:rsidRPr="00D9152B">
        <w:rPr>
          <w:rFonts w:ascii="Calibri" w:hAnsi="Calibri" w:cs="Calibri"/>
          <w:b/>
        </w:rPr>
        <w:t>CGD</w:t>
      </w:r>
      <w:r w:rsidRPr="00D9152B">
        <w:rPr>
          <w:rFonts w:ascii="Calibri" w:hAnsi="Calibri" w:cs="Calibri"/>
        </w:rPr>
        <w:t xml:space="preserve"> – Center for Global Health Development</w:t>
      </w:r>
    </w:p>
    <w:p w14:paraId="79A84F81" w14:textId="335DCD1E" w:rsidR="00AD5522" w:rsidRPr="00D9152B" w:rsidRDefault="00AD5522" w:rsidP="00AD5522">
      <w:pPr>
        <w:rPr>
          <w:rFonts w:ascii="Calibri" w:hAnsi="Calibri" w:cs="Calibri"/>
        </w:rPr>
      </w:pPr>
      <w:r w:rsidRPr="00D9152B">
        <w:rPr>
          <w:rFonts w:ascii="Calibri" w:hAnsi="Calibri" w:cs="Calibri"/>
          <w:b/>
        </w:rPr>
        <w:t>CGIAR</w:t>
      </w:r>
      <w:r w:rsidRPr="00D9152B">
        <w:rPr>
          <w:rFonts w:ascii="Calibri" w:hAnsi="Calibri" w:cs="Calibri"/>
        </w:rPr>
        <w:t xml:space="preserve"> – Consultative Group for International Agricultural Research  </w:t>
      </w:r>
    </w:p>
    <w:p w14:paraId="48FF05F8" w14:textId="130E64AE" w:rsidR="00AD5522" w:rsidRPr="00D9152B" w:rsidRDefault="00AD5522" w:rsidP="00AD5522">
      <w:pPr>
        <w:rPr>
          <w:rFonts w:ascii="Calibri" w:hAnsi="Calibri" w:cs="Calibri"/>
        </w:rPr>
      </w:pPr>
      <w:r w:rsidRPr="00D9152B">
        <w:rPr>
          <w:rFonts w:ascii="Calibri" w:hAnsi="Calibri" w:cs="Calibri"/>
          <w:b/>
        </w:rPr>
        <w:t>CMFL</w:t>
      </w:r>
      <w:r w:rsidRPr="00D9152B">
        <w:rPr>
          <w:rFonts w:ascii="Calibri" w:hAnsi="Calibri" w:cs="Calibri"/>
        </w:rPr>
        <w:t xml:space="preserve"> – Community micro</w:t>
      </w:r>
      <w:r w:rsidR="00D168E3" w:rsidRPr="00D9152B">
        <w:rPr>
          <w:rFonts w:ascii="Calibri" w:hAnsi="Calibri" w:cs="Calibri"/>
        </w:rPr>
        <w:t xml:space="preserve">filarial load (epidemiologically-based </w:t>
      </w:r>
      <w:r w:rsidRPr="00D9152B">
        <w:rPr>
          <w:rFonts w:ascii="Calibri" w:hAnsi="Calibri" w:cs="Calibri"/>
        </w:rPr>
        <w:t>measure of onchocerciasis transmission)</w:t>
      </w:r>
    </w:p>
    <w:p w14:paraId="7A94C98A" w14:textId="079C3F0F" w:rsidR="00AD5522" w:rsidRPr="00D9152B" w:rsidRDefault="00AD5522" w:rsidP="00AD5522">
      <w:pPr>
        <w:rPr>
          <w:rFonts w:ascii="Calibri" w:hAnsi="Calibri" w:cs="Calibri"/>
        </w:rPr>
      </w:pPr>
      <w:r w:rsidRPr="00D9152B">
        <w:rPr>
          <w:rFonts w:ascii="Calibri" w:hAnsi="Calibri" w:cs="Calibri"/>
          <w:b/>
        </w:rPr>
        <w:t>CSA</w:t>
      </w:r>
      <w:r w:rsidR="00D168E3" w:rsidRPr="00D9152B">
        <w:rPr>
          <w:rFonts w:ascii="Calibri" w:hAnsi="Calibri" w:cs="Calibri"/>
        </w:rPr>
        <w:t xml:space="preserve"> – OCP </w:t>
      </w:r>
      <w:r w:rsidR="0054751F" w:rsidRPr="00D9152B">
        <w:rPr>
          <w:rFonts w:ascii="Calibri" w:hAnsi="Calibri" w:cs="Calibri"/>
        </w:rPr>
        <w:t>Committee</w:t>
      </w:r>
      <w:r w:rsidR="00D168E3" w:rsidRPr="00D9152B">
        <w:rPr>
          <w:rFonts w:ascii="Calibri" w:hAnsi="Calibri" w:cs="Calibri"/>
        </w:rPr>
        <w:t xml:space="preserve"> of Sponsoring Agencies</w:t>
      </w:r>
      <w:r w:rsidR="006F403E" w:rsidRPr="00D9152B">
        <w:rPr>
          <w:rFonts w:ascii="Calibri" w:hAnsi="Calibri" w:cs="Calibri"/>
        </w:rPr>
        <w:t xml:space="preserve"> (initially the S</w:t>
      </w:r>
      <w:r w:rsidR="00890A74">
        <w:rPr>
          <w:rFonts w:ascii="Calibri" w:hAnsi="Calibri" w:cs="Calibri"/>
        </w:rPr>
        <w:t>teering Committee</w:t>
      </w:r>
      <w:r w:rsidR="006F403E" w:rsidRPr="00D9152B">
        <w:rPr>
          <w:rFonts w:ascii="Calibri" w:hAnsi="Calibri" w:cs="Calibri"/>
        </w:rPr>
        <w:t>)</w:t>
      </w:r>
    </w:p>
    <w:p w14:paraId="3904BA28" w14:textId="01FB4A0A" w:rsidR="00AD5522" w:rsidRPr="00D9152B" w:rsidRDefault="00AD5522" w:rsidP="00AD5522">
      <w:pPr>
        <w:rPr>
          <w:rFonts w:ascii="Calibri" w:hAnsi="Calibri" w:cs="Calibri"/>
        </w:rPr>
      </w:pPr>
      <w:r w:rsidRPr="00D9152B">
        <w:rPr>
          <w:rFonts w:ascii="Calibri" w:hAnsi="Calibri" w:cs="Calibri"/>
          <w:b/>
        </w:rPr>
        <w:t>DAC-CRS</w:t>
      </w:r>
      <w:r w:rsidR="00D168E3" w:rsidRPr="00D9152B">
        <w:rPr>
          <w:rFonts w:ascii="Calibri" w:hAnsi="Calibri" w:cs="Calibri"/>
        </w:rPr>
        <w:t xml:space="preserve"> –</w:t>
      </w:r>
      <w:r w:rsidR="0054751F" w:rsidRPr="00D9152B">
        <w:rPr>
          <w:rFonts w:ascii="Calibri" w:hAnsi="Calibri" w:cs="Calibri"/>
        </w:rPr>
        <w:t xml:space="preserve"> OECD’s</w:t>
      </w:r>
      <w:r w:rsidR="00D168E3" w:rsidRPr="00D9152B">
        <w:rPr>
          <w:rFonts w:ascii="Calibri" w:hAnsi="Calibri" w:cs="Calibri"/>
        </w:rPr>
        <w:t xml:space="preserve"> Development Assistance Committee – Creditor Reporting Service</w:t>
      </w:r>
    </w:p>
    <w:p w14:paraId="7448C989" w14:textId="448BFEBF" w:rsidR="006F403E" w:rsidRPr="00D9152B" w:rsidRDefault="006F403E" w:rsidP="00AD5522">
      <w:pPr>
        <w:rPr>
          <w:rFonts w:ascii="Calibri" w:hAnsi="Calibri" w:cs="Calibri"/>
        </w:rPr>
      </w:pPr>
      <w:r w:rsidRPr="00D9152B">
        <w:rPr>
          <w:rFonts w:ascii="Calibri" w:hAnsi="Calibri" w:cs="Calibri"/>
          <w:b/>
        </w:rPr>
        <w:t>DAH</w:t>
      </w:r>
      <w:r w:rsidRPr="00D9152B">
        <w:rPr>
          <w:rFonts w:ascii="Calibri" w:hAnsi="Calibri" w:cs="Calibri"/>
        </w:rPr>
        <w:t xml:space="preserve"> – Development assistance for health</w:t>
      </w:r>
    </w:p>
    <w:p w14:paraId="0566504D" w14:textId="22F4963D" w:rsidR="00AD5522" w:rsidRPr="00D9152B" w:rsidRDefault="00AD5522" w:rsidP="00AD5522">
      <w:pPr>
        <w:rPr>
          <w:rFonts w:ascii="Calibri" w:hAnsi="Calibri" w:cs="Calibri"/>
        </w:rPr>
      </w:pPr>
      <w:r w:rsidRPr="00D9152B">
        <w:rPr>
          <w:rFonts w:ascii="Calibri" w:hAnsi="Calibri" w:cs="Calibri"/>
          <w:b/>
        </w:rPr>
        <w:t>DALYs</w:t>
      </w:r>
      <w:r w:rsidR="00D168E3" w:rsidRPr="00D9152B">
        <w:rPr>
          <w:rFonts w:ascii="Calibri" w:hAnsi="Calibri" w:cs="Calibri"/>
        </w:rPr>
        <w:t xml:space="preserve"> –</w:t>
      </w:r>
      <w:r w:rsidR="0054751F" w:rsidRPr="00D9152B">
        <w:rPr>
          <w:rFonts w:ascii="Calibri" w:hAnsi="Calibri" w:cs="Calibri"/>
        </w:rPr>
        <w:t xml:space="preserve"> Disability-</w:t>
      </w:r>
      <w:r w:rsidR="00D168E3" w:rsidRPr="00D9152B">
        <w:rPr>
          <w:rFonts w:ascii="Calibri" w:hAnsi="Calibri" w:cs="Calibri"/>
        </w:rPr>
        <w:t>adjusted life years</w:t>
      </w:r>
    </w:p>
    <w:p w14:paraId="41233D30" w14:textId="3B504A01" w:rsidR="00AD5522" w:rsidRPr="00D9152B" w:rsidRDefault="00AD5522" w:rsidP="00AD5522">
      <w:pPr>
        <w:rPr>
          <w:rFonts w:ascii="Calibri" w:hAnsi="Calibri" w:cs="Calibri"/>
        </w:rPr>
      </w:pPr>
      <w:r w:rsidRPr="00D9152B">
        <w:rPr>
          <w:rFonts w:ascii="Calibri" w:hAnsi="Calibri" w:cs="Calibri"/>
          <w:b/>
        </w:rPr>
        <w:t>DGF</w:t>
      </w:r>
      <w:r w:rsidR="00D168E3" w:rsidRPr="00D9152B">
        <w:rPr>
          <w:rFonts w:ascii="Calibri" w:hAnsi="Calibri" w:cs="Calibri"/>
        </w:rPr>
        <w:t xml:space="preserve"> –</w:t>
      </w:r>
      <w:r w:rsidR="0054751F" w:rsidRPr="00D9152B">
        <w:rPr>
          <w:rFonts w:ascii="Calibri" w:hAnsi="Calibri" w:cs="Calibri"/>
        </w:rPr>
        <w:t xml:space="preserve"> </w:t>
      </w:r>
      <w:r w:rsidR="00D168E3" w:rsidRPr="00D9152B">
        <w:rPr>
          <w:rFonts w:ascii="Calibri" w:hAnsi="Calibri" w:cs="Calibri"/>
        </w:rPr>
        <w:t>World Bank Development Grant Facility</w:t>
      </w:r>
    </w:p>
    <w:p w14:paraId="7FEF4282" w14:textId="63F45744" w:rsidR="00AD5522" w:rsidRPr="00D9152B" w:rsidRDefault="00AD5522" w:rsidP="00AD5522">
      <w:pPr>
        <w:rPr>
          <w:rFonts w:ascii="Calibri" w:hAnsi="Calibri" w:cs="Calibri"/>
        </w:rPr>
      </w:pPr>
      <w:r w:rsidRPr="00D9152B">
        <w:rPr>
          <w:rFonts w:ascii="Calibri" w:hAnsi="Calibri" w:cs="Calibri"/>
          <w:b/>
        </w:rPr>
        <w:t>EAC</w:t>
      </w:r>
      <w:r w:rsidR="00D168E3" w:rsidRPr="00D9152B">
        <w:rPr>
          <w:rFonts w:ascii="Calibri" w:hAnsi="Calibri" w:cs="Calibri"/>
        </w:rPr>
        <w:t xml:space="preserve"> –</w:t>
      </w:r>
      <w:r w:rsidR="0054751F" w:rsidRPr="00D9152B">
        <w:rPr>
          <w:rFonts w:ascii="Calibri" w:hAnsi="Calibri" w:cs="Calibri"/>
        </w:rPr>
        <w:t xml:space="preserve"> </w:t>
      </w:r>
      <w:r w:rsidR="00D168E3" w:rsidRPr="00D9152B">
        <w:rPr>
          <w:rFonts w:ascii="Calibri" w:hAnsi="Calibri" w:cs="Calibri"/>
        </w:rPr>
        <w:t>OCP Expert Advisory Committee</w:t>
      </w:r>
      <w:r w:rsidR="006F403E" w:rsidRPr="00D9152B">
        <w:rPr>
          <w:rFonts w:ascii="Calibri" w:hAnsi="Calibri" w:cs="Calibri"/>
        </w:rPr>
        <w:t xml:space="preserve"> (initially the STAC)</w:t>
      </w:r>
    </w:p>
    <w:p w14:paraId="18D780E5" w14:textId="0C34F9CE" w:rsidR="00AD5522" w:rsidRPr="00D9152B" w:rsidRDefault="00AD5522" w:rsidP="00AD5522">
      <w:pPr>
        <w:rPr>
          <w:rFonts w:ascii="Calibri" w:hAnsi="Calibri" w:cs="Calibri"/>
        </w:rPr>
      </w:pPr>
      <w:r w:rsidRPr="00D9152B">
        <w:rPr>
          <w:rFonts w:ascii="Calibri" w:hAnsi="Calibri" w:cs="Calibri"/>
          <w:b/>
        </w:rPr>
        <w:t>EC</w:t>
      </w:r>
      <w:r w:rsidR="00D168E3" w:rsidRPr="00D9152B">
        <w:rPr>
          <w:rFonts w:ascii="Calibri" w:hAnsi="Calibri" w:cs="Calibri"/>
        </w:rPr>
        <w:t xml:space="preserve"> – European Commission</w:t>
      </w:r>
    </w:p>
    <w:p w14:paraId="1E789AD9" w14:textId="2F9E4C23" w:rsidR="00AD5522" w:rsidRPr="00D9152B" w:rsidRDefault="00AD5522" w:rsidP="00AD5522">
      <w:pPr>
        <w:rPr>
          <w:rFonts w:ascii="Calibri" w:hAnsi="Calibri" w:cs="Calibri"/>
        </w:rPr>
      </w:pPr>
      <w:r w:rsidRPr="00D9152B">
        <w:rPr>
          <w:rFonts w:ascii="Calibri" w:hAnsi="Calibri" w:cs="Calibri"/>
          <w:b/>
        </w:rPr>
        <w:t>EDAP</w:t>
      </w:r>
      <w:r w:rsidR="00D168E3" w:rsidRPr="00D9152B">
        <w:rPr>
          <w:rFonts w:ascii="Calibri" w:hAnsi="Calibri" w:cs="Calibri"/>
        </w:rPr>
        <w:t xml:space="preserve"> –</w:t>
      </w:r>
      <w:r w:rsidR="0054751F" w:rsidRPr="00D9152B">
        <w:rPr>
          <w:rFonts w:ascii="Calibri" w:hAnsi="Calibri" w:cs="Calibri"/>
        </w:rPr>
        <w:t xml:space="preserve"> OCP</w:t>
      </w:r>
      <w:r w:rsidR="00D168E3" w:rsidRPr="00D9152B">
        <w:rPr>
          <w:rFonts w:ascii="Calibri" w:hAnsi="Calibri" w:cs="Calibri"/>
        </w:rPr>
        <w:t xml:space="preserve"> Economic Development Advisory Panel</w:t>
      </w:r>
    </w:p>
    <w:p w14:paraId="13D93F84" w14:textId="1F98F98C" w:rsidR="00AD5522" w:rsidRPr="00D9152B" w:rsidRDefault="00AD5522" w:rsidP="00AD5522">
      <w:pPr>
        <w:rPr>
          <w:rFonts w:ascii="Calibri" w:hAnsi="Calibri" w:cs="Calibri"/>
        </w:rPr>
      </w:pPr>
      <w:r w:rsidRPr="00D9152B">
        <w:rPr>
          <w:rFonts w:ascii="Calibri" w:hAnsi="Calibri" w:cs="Calibri"/>
          <w:b/>
        </w:rPr>
        <w:t>EDU</w:t>
      </w:r>
      <w:r w:rsidR="00D168E3" w:rsidRPr="00D9152B">
        <w:rPr>
          <w:rFonts w:ascii="Calibri" w:hAnsi="Calibri" w:cs="Calibri"/>
        </w:rPr>
        <w:t xml:space="preserve"> –</w:t>
      </w:r>
      <w:r w:rsidR="0054751F" w:rsidRPr="00D9152B">
        <w:rPr>
          <w:rFonts w:ascii="Calibri" w:hAnsi="Calibri" w:cs="Calibri"/>
        </w:rPr>
        <w:t xml:space="preserve"> </w:t>
      </w:r>
      <w:r w:rsidR="00D168E3" w:rsidRPr="00D9152B">
        <w:rPr>
          <w:rFonts w:ascii="Calibri" w:hAnsi="Calibri" w:cs="Calibri"/>
        </w:rPr>
        <w:t>OCP Economic Development Unit</w:t>
      </w:r>
    </w:p>
    <w:p w14:paraId="106665C6" w14:textId="14375825" w:rsidR="00AD5522" w:rsidRPr="00D9152B" w:rsidRDefault="00AD5522" w:rsidP="00AD5522">
      <w:pPr>
        <w:rPr>
          <w:rFonts w:ascii="Calibri" w:hAnsi="Calibri" w:cs="Calibri"/>
        </w:rPr>
      </w:pPr>
      <w:r w:rsidRPr="00D9152B">
        <w:rPr>
          <w:rFonts w:ascii="Calibri" w:hAnsi="Calibri" w:cs="Calibri"/>
          <w:b/>
        </w:rPr>
        <w:t>EEU</w:t>
      </w:r>
      <w:r w:rsidR="00D168E3" w:rsidRPr="00D9152B">
        <w:rPr>
          <w:rFonts w:ascii="Calibri" w:hAnsi="Calibri" w:cs="Calibri"/>
        </w:rPr>
        <w:t xml:space="preserve"> –</w:t>
      </w:r>
      <w:r w:rsidR="0054751F" w:rsidRPr="00D9152B">
        <w:rPr>
          <w:rFonts w:ascii="Calibri" w:hAnsi="Calibri" w:cs="Calibri"/>
        </w:rPr>
        <w:t xml:space="preserve"> </w:t>
      </w:r>
      <w:r w:rsidR="00D168E3" w:rsidRPr="00D9152B">
        <w:rPr>
          <w:rFonts w:ascii="Calibri" w:hAnsi="Calibri" w:cs="Calibri"/>
        </w:rPr>
        <w:t>OCP Epidemiological Evaluation Unit</w:t>
      </w:r>
    </w:p>
    <w:p w14:paraId="435B26F5" w14:textId="7EA120BC" w:rsidR="00AD5522" w:rsidRPr="00D9152B" w:rsidRDefault="00AD5522" w:rsidP="00AD5522">
      <w:pPr>
        <w:rPr>
          <w:rFonts w:ascii="Calibri" w:hAnsi="Calibri" w:cs="Calibri"/>
        </w:rPr>
      </w:pPr>
      <w:r w:rsidRPr="00D9152B">
        <w:rPr>
          <w:rFonts w:ascii="Calibri" w:hAnsi="Calibri" w:cs="Calibri"/>
          <w:b/>
        </w:rPr>
        <w:t>ERR</w:t>
      </w:r>
      <w:r w:rsidR="00D168E3" w:rsidRPr="00D9152B">
        <w:rPr>
          <w:rFonts w:ascii="Calibri" w:hAnsi="Calibri" w:cs="Calibri"/>
        </w:rPr>
        <w:t xml:space="preserve"> – Economic rate of return (a measure of program a project’s net gain/loss of investment)</w:t>
      </w:r>
    </w:p>
    <w:p w14:paraId="1AF27087" w14:textId="0CB83AD2" w:rsidR="00AD5522" w:rsidRPr="00D9152B" w:rsidRDefault="00AD5522" w:rsidP="00AD5522">
      <w:pPr>
        <w:rPr>
          <w:rFonts w:ascii="Calibri" w:hAnsi="Calibri" w:cs="Calibri"/>
        </w:rPr>
      </w:pPr>
      <w:r w:rsidRPr="00D9152B">
        <w:rPr>
          <w:rFonts w:ascii="Calibri" w:hAnsi="Calibri" w:cs="Calibri"/>
          <w:b/>
        </w:rPr>
        <w:t>ESPEN</w:t>
      </w:r>
      <w:r w:rsidR="00D168E3" w:rsidRPr="00D9152B">
        <w:rPr>
          <w:rFonts w:ascii="Calibri" w:hAnsi="Calibri" w:cs="Calibri"/>
        </w:rPr>
        <w:t xml:space="preserve"> – Expanded Special </w:t>
      </w:r>
      <w:r w:rsidR="00890A74">
        <w:rPr>
          <w:rFonts w:ascii="Calibri" w:hAnsi="Calibri" w:cs="Calibri"/>
        </w:rPr>
        <w:t>Project</w:t>
      </w:r>
      <w:r w:rsidR="00D168E3" w:rsidRPr="00D9152B">
        <w:rPr>
          <w:rFonts w:ascii="Calibri" w:hAnsi="Calibri" w:cs="Calibri"/>
        </w:rPr>
        <w:t xml:space="preserve"> for Elimination of Neglected Tropical Diseases</w:t>
      </w:r>
    </w:p>
    <w:p w14:paraId="61D3B79E" w14:textId="39513AD2" w:rsidR="00AD5522" w:rsidRPr="00D9152B" w:rsidRDefault="00AD5522" w:rsidP="00AD5522">
      <w:pPr>
        <w:rPr>
          <w:rFonts w:ascii="Calibri" w:hAnsi="Calibri" w:cs="Calibri"/>
        </w:rPr>
      </w:pPr>
      <w:r w:rsidRPr="00D9152B">
        <w:rPr>
          <w:rFonts w:ascii="Calibri" w:hAnsi="Calibri" w:cs="Calibri"/>
          <w:b/>
        </w:rPr>
        <w:t>FAO</w:t>
      </w:r>
      <w:r w:rsidR="00D168E3" w:rsidRPr="00D9152B">
        <w:rPr>
          <w:rFonts w:ascii="Calibri" w:hAnsi="Calibri" w:cs="Calibri"/>
        </w:rPr>
        <w:t xml:space="preserve"> – Food and Agriculture Organization</w:t>
      </w:r>
    </w:p>
    <w:p w14:paraId="12381AAB" w14:textId="4DF85AE9" w:rsidR="00AD5522" w:rsidRPr="00D9152B" w:rsidRDefault="00AD5522" w:rsidP="00AD5522">
      <w:pPr>
        <w:rPr>
          <w:rFonts w:ascii="Calibri" w:hAnsi="Calibri" w:cs="Calibri"/>
        </w:rPr>
      </w:pPr>
      <w:r w:rsidRPr="00D9152B">
        <w:rPr>
          <w:rFonts w:ascii="Calibri" w:hAnsi="Calibri" w:cs="Calibri"/>
          <w:b/>
        </w:rPr>
        <w:t>FED</w:t>
      </w:r>
      <w:r w:rsidR="00D168E3" w:rsidRPr="00D9152B">
        <w:rPr>
          <w:rFonts w:ascii="Calibri" w:hAnsi="Calibri" w:cs="Calibri"/>
        </w:rPr>
        <w:t xml:space="preserve"> – Fonds Européen de </w:t>
      </w:r>
      <w:r w:rsidR="00890A74">
        <w:rPr>
          <w:rFonts w:ascii="Calibri" w:hAnsi="Calibri" w:cs="Calibri"/>
        </w:rPr>
        <w:t>D</w:t>
      </w:r>
      <w:r w:rsidR="00D168E3" w:rsidRPr="00D9152B">
        <w:rPr>
          <w:rFonts w:ascii="Calibri" w:hAnsi="Calibri" w:cs="Calibri"/>
        </w:rPr>
        <w:t>éveloppement</w:t>
      </w:r>
    </w:p>
    <w:p w14:paraId="0D63C5AD" w14:textId="2A1C515E" w:rsidR="00AD5522" w:rsidRPr="00D9152B" w:rsidRDefault="00AD5522" w:rsidP="00AD5522">
      <w:pPr>
        <w:rPr>
          <w:rFonts w:ascii="Calibri" w:hAnsi="Calibri" w:cs="Calibri"/>
        </w:rPr>
      </w:pPr>
      <w:r w:rsidRPr="00D9152B">
        <w:rPr>
          <w:rFonts w:ascii="Calibri" w:hAnsi="Calibri" w:cs="Calibri"/>
          <w:b/>
        </w:rPr>
        <w:t>FIF</w:t>
      </w:r>
      <w:r w:rsidR="00D168E3" w:rsidRPr="00D9152B">
        <w:rPr>
          <w:rFonts w:ascii="Calibri" w:hAnsi="Calibri" w:cs="Calibri"/>
        </w:rPr>
        <w:t xml:space="preserve"> – </w:t>
      </w:r>
      <w:r w:rsidR="00890A74">
        <w:rPr>
          <w:rFonts w:ascii="Calibri" w:hAnsi="Calibri" w:cs="Calibri"/>
        </w:rPr>
        <w:t>Financial intermediary fund (World Bank trust fund)</w:t>
      </w:r>
      <w:r w:rsidR="00D168E3" w:rsidRPr="00D9152B">
        <w:rPr>
          <w:rFonts w:ascii="Calibri" w:hAnsi="Calibri" w:cs="Calibri"/>
        </w:rPr>
        <w:t xml:space="preserve"> </w:t>
      </w:r>
    </w:p>
    <w:p w14:paraId="47A33020" w14:textId="1698CBF3" w:rsidR="00AD5522" w:rsidRPr="00D9152B" w:rsidRDefault="00D168E3" w:rsidP="00AD5522">
      <w:pPr>
        <w:rPr>
          <w:rFonts w:ascii="Calibri" w:hAnsi="Calibri" w:cs="Calibri"/>
        </w:rPr>
      </w:pPr>
      <w:r w:rsidRPr="00D9152B">
        <w:rPr>
          <w:rFonts w:ascii="Calibri" w:hAnsi="Calibri" w:cs="Calibri"/>
          <w:b/>
        </w:rPr>
        <w:t>Gavi</w:t>
      </w:r>
      <w:r w:rsidRPr="00D9152B">
        <w:rPr>
          <w:rFonts w:ascii="Calibri" w:hAnsi="Calibri" w:cs="Calibri"/>
        </w:rPr>
        <w:t xml:space="preserve"> – Gavi, the Vaccine Alliance</w:t>
      </w:r>
      <w:r w:rsidR="0054751F" w:rsidRPr="00D9152B">
        <w:rPr>
          <w:rFonts w:ascii="Calibri" w:hAnsi="Calibri" w:cs="Calibri"/>
        </w:rPr>
        <w:t xml:space="preserve"> (formerly the Global Alliance for Vaccines and Immunization)</w:t>
      </w:r>
    </w:p>
    <w:p w14:paraId="5A7A10E4" w14:textId="5FCB898E" w:rsidR="00AD5522" w:rsidRPr="00D9152B" w:rsidRDefault="00AD5522" w:rsidP="00AD5522">
      <w:pPr>
        <w:rPr>
          <w:rFonts w:ascii="Calibri" w:hAnsi="Calibri" w:cs="Calibri"/>
        </w:rPr>
      </w:pPr>
      <w:r w:rsidRPr="00D9152B">
        <w:rPr>
          <w:rFonts w:ascii="Calibri" w:hAnsi="Calibri" w:cs="Calibri"/>
          <w:b/>
        </w:rPr>
        <w:t>GBD</w:t>
      </w:r>
      <w:r w:rsidR="00D168E3" w:rsidRPr="00D9152B">
        <w:rPr>
          <w:rFonts w:ascii="Calibri" w:hAnsi="Calibri" w:cs="Calibri"/>
        </w:rPr>
        <w:t xml:space="preserve"> – Global burden of disease</w:t>
      </w:r>
    </w:p>
    <w:p w14:paraId="17E6EFCB" w14:textId="3D65F1A2" w:rsidR="00AD5522" w:rsidRPr="00D9152B" w:rsidRDefault="00AD5522" w:rsidP="00AD5522">
      <w:pPr>
        <w:rPr>
          <w:rFonts w:ascii="Calibri" w:hAnsi="Calibri" w:cs="Calibri"/>
        </w:rPr>
      </w:pPr>
      <w:r w:rsidRPr="00D9152B">
        <w:rPr>
          <w:rFonts w:ascii="Calibri" w:hAnsi="Calibri" w:cs="Calibri"/>
          <w:b/>
        </w:rPr>
        <w:t>Global Fund</w:t>
      </w:r>
      <w:r w:rsidR="00D168E3" w:rsidRPr="00D9152B">
        <w:rPr>
          <w:rFonts w:ascii="Calibri" w:hAnsi="Calibri" w:cs="Calibri"/>
        </w:rPr>
        <w:t xml:space="preserve"> – Global Fund to Fight AIDS, Tuberculosis and Malaria</w:t>
      </w:r>
    </w:p>
    <w:p w14:paraId="118A06FB" w14:textId="12FEB099" w:rsidR="00AD5522" w:rsidRPr="00D9152B" w:rsidRDefault="00AD5522" w:rsidP="00AD5522">
      <w:pPr>
        <w:rPr>
          <w:rFonts w:ascii="Calibri" w:hAnsi="Calibri" w:cs="Calibri"/>
        </w:rPr>
      </w:pPr>
      <w:r w:rsidRPr="00D9152B">
        <w:rPr>
          <w:rFonts w:ascii="Calibri" w:hAnsi="Calibri" w:cs="Calibri"/>
          <w:b/>
        </w:rPr>
        <w:t>HNP</w:t>
      </w:r>
      <w:r w:rsidR="00D168E3" w:rsidRPr="00D9152B">
        <w:rPr>
          <w:rFonts w:ascii="Calibri" w:hAnsi="Calibri" w:cs="Calibri"/>
        </w:rPr>
        <w:t xml:space="preserve"> –</w:t>
      </w:r>
      <w:r w:rsidR="0054751F" w:rsidRPr="00D9152B">
        <w:rPr>
          <w:rFonts w:ascii="Calibri" w:hAnsi="Calibri" w:cs="Calibri"/>
        </w:rPr>
        <w:t xml:space="preserve"> </w:t>
      </w:r>
      <w:r w:rsidR="00D168E3" w:rsidRPr="00D9152B">
        <w:rPr>
          <w:rFonts w:ascii="Calibri" w:hAnsi="Calibri" w:cs="Calibri"/>
        </w:rPr>
        <w:t>World Bank Health, Nutrition and Population department</w:t>
      </w:r>
    </w:p>
    <w:p w14:paraId="773A828D" w14:textId="107C4E35" w:rsidR="00AD5522" w:rsidRPr="00D9152B" w:rsidRDefault="00AD5522" w:rsidP="00AD5522">
      <w:pPr>
        <w:rPr>
          <w:rFonts w:ascii="Calibri" w:hAnsi="Calibri" w:cs="Calibri"/>
        </w:rPr>
      </w:pPr>
      <w:r w:rsidRPr="00D9152B">
        <w:rPr>
          <w:rFonts w:ascii="Calibri" w:hAnsi="Calibri" w:cs="Calibri"/>
          <w:b/>
        </w:rPr>
        <w:t>HSS</w:t>
      </w:r>
      <w:r w:rsidR="00D168E3" w:rsidRPr="00D9152B">
        <w:rPr>
          <w:rFonts w:ascii="Calibri" w:hAnsi="Calibri" w:cs="Calibri"/>
        </w:rPr>
        <w:t xml:space="preserve"> – Health system strengthening</w:t>
      </w:r>
    </w:p>
    <w:p w14:paraId="1AAF6458" w14:textId="026D3A71" w:rsidR="00AD5522" w:rsidRPr="00D9152B" w:rsidRDefault="00AD5522" w:rsidP="00AD5522">
      <w:pPr>
        <w:rPr>
          <w:rFonts w:ascii="Calibri" w:hAnsi="Calibri" w:cs="Calibri"/>
        </w:rPr>
      </w:pPr>
      <w:r w:rsidRPr="00D9152B">
        <w:rPr>
          <w:rFonts w:ascii="Calibri" w:hAnsi="Calibri" w:cs="Calibri"/>
          <w:b/>
        </w:rPr>
        <w:t>IBRD</w:t>
      </w:r>
      <w:r w:rsidR="00D168E3" w:rsidRPr="00D9152B">
        <w:rPr>
          <w:rFonts w:ascii="Calibri" w:hAnsi="Calibri" w:cs="Calibri"/>
        </w:rPr>
        <w:t xml:space="preserve"> – International Bank for Reconstruction and Development (World Bank)</w:t>
      </w:r>
    </w:p>
    <w:p w14:paraId="7B5C068B" w14:textId="66CECF8D" w:rsidR="00890A74" w:rsidRDefault="00AD5522" w:rsidP="00AD5522">
      <w:pPr>
        <w:rPr>
          <w:rFonts w:ascii="Calibri" w:hAnsi="Calibri" w:cs="Calibri"/>
          <w:b/>
        </w:rPr>
      </w:pPr>
      <w:r w:rsidRPr="00D9152B">
        <w:rPr>
          <w:rFonts w:ascii="Calibri" w:hAnsi="Calibri" w:cs="Calibri"/>
          <w:b/>
        </w:rPr>
        <w:t>IDA</w:t>
      </w:r>
      <w:r w:rsidR="00D168E3" w:rsidRPr="00D9152B">
        <w:rPr>
          <w:rFonts w:ascii="Calibri" w:hAnsi="Calibri" w:cs="Calibri"/>
        </w:rPr>
        <w:t xml:space="preserve"> – International Development Association (World Bank)</w:t>
      </w:r>
    </w:p>
    <w:p w14:paraId="26FD4238" w14:textId="02240511" w:rsidR="00890A74" w:rsidRPr="00890A74" w:rsidRDefault="00890A74" w:rsidP="00AD5522">
      <w:pPr>
        <w:rPr>
          <w:rFonts w:ascii="Calibri" w:hAnsi="Calibri" w:cs="Calibri"/>
        </w:rPr>
      </w:pPr>
      <w:r>
        <w:rPr>
          <w:rFonts w:ascii="Calibri" w:hAnsi="Calibri" w:cs="Calibri"/>
          <w:b/>
        </w:rPr>
        <w:t xml:space="preserve">IEG </w:t>
      </w:r>
      <w:r>
        <w:rPr>
          <w:rFonts w:ascii="Calibri" w:hAnsi="Calibri" w:cs="Calibri"/>
        </w:rPr>
        <w:t>– Independent Evaluation Group (of the World Bank)</w:t>
      </w:r>
    </w:p>
    <w:p w14:paraId="5A16C72F" w14:textId="10ADB460" w:rsidR="00AD5522" w:rsidRPr="00D9152B" w:rsidRDefault="00AD5522" w:rsidP="00AD5522">
      <w:pPr>
        <w:rPr>
          <w:rFonts w:ascii="Calibri" w:hAnsi="Calibri" w:cs="Calibri"/>
        </w:rPr>
      </w:pPr>
      <w:r w:rsidRPr="00D9152B">
        <w:rPr>
          <w:rFonts w:ascii="Calibri" w:hAnsi="Calibri" w:cs="Calibri"/>
          <w:b/>
        </w:rPr>
        <w:lastRenderedPageBreak/>
        <w:t>IFC</w:t>
      </w:r>
      <w:r w:rsidR="00D168E3" w:rsidRPr="00D9152B">
        <w:rPr>
          <w:rFonts w:ascii="Calibri" w:hAnsi="Calibri" w:cs="Calibri"/>
        </w:rPr>
        <w:t xml:space="preserve"> – International Finance Corporation (World Bank Group)</w:t>
      </w:r>
    </w:p>
    <w:p w14:paraId="72ED8942" w14:textId="36AE9739" w:rsidR="006F403E" w:rsidRPr="00D9152B" w:rsidRDefault="006F403E" w:rsidP="00AD5522">
      <w:pPr>
        <w:rPr>
          <w:rFonts w:ascii="Calibri" w:hAnsi="Calibri" w:cs="Calibri"/>
        </w:rPr>
      </w:pPr>
      <w:r w:rsidRPr="00D9152B">
        <w:rPr>
          <w:rFonts w:ascii="Calibri" w:hAnsi="Calibri" w:cs="Calibri"/>
          <w:b/>
        </w:rPr>
        <w:t>IHME</w:t>
      </w:r>
      <w:r w:rsidRPr="00D9152B">
        <w:rPr>
          <w:rFonts w:ascii="Calibri" w:hAnsi="Calibri" w:cs="Calibri"/>
        </w:rPr>
        <w:t xml:space="preserve"> – Institute for Health Metrics and Evaluation</w:t>
      </w:r>
    </w:p>
    <w:p w14:paraId="5A139430" w14:textId="5B42F48A" w:rsidR="006F403E" w:rsidRPr="00D9152B" w:rsidRDefault="006F403E" w:rsidP="00AD5522">
      <w:pPr>
        <w:rPr>
          <w:rFonts w:ascii="Calibri" w:hAnsi="Calibri" w:cs="Calibri"/>
        </w:rPr>
      </w:pPr>
      <w:r w:rsidRPr="00D9152B">
        <w:rPr>
          <w:rFonts w:ascii="Calibri" w:hAnsi="Calibri" w:cs="Calibri"/>
          <w:b/>
        </w:rPr>
        <w:t>IMF</w:t>
      </w:r>
      <w:r w:rsidRPr="00D9152B">
        <w:rPr>
          <w:rFonts w:ascii="Calibri" w:hAnsi="Calibri" w:cs="Calibri"/>
        </w:rPr>
        <w:t xml:space="preserve"> – International Monetary Fund</w:t>
      </w:r>
    </w:p>
    <w:p w14:paraId="36E448A4" w14:textId="05F34D01" w:rsidR="00AD5522" w:rsidRPr="00D9152B" w:rsidRDefault="00AD5522" w:rsidP="00AD5522">
      <w:pPr>
        <w:rPr>
          <w:rFonts w:ascii="Calibri" w:hAnsi="Calibri" w:cs="Calibri"/>
        </w:rPr>
      </w:pPr>
      <w:r w:rsidRPr="00D9152B">
        <w:rPr>
          <w:rFonts w:ascii="Calibri" w:hAnsi="Calibri" w:cs="Calibri"/>
          <w:b/>
        </w:rPr>
        <w:t>IRR</w:t>
      </w:r>
      <w:r w:rsidR="00D168E3" w:rsidRPr="00D9152B">
        <w:rPr>
          <w:rFonts w:ascii="Calibri" w:hAnsi="Calibri" w:cs="Calibri"/>
        </w:rPr>
        <w:t xml:space="preserve"> – Internal rate of return (a measure of a project’s net gain/loss of investment)</w:t>
      </w:r>
    </w:p>
    <w:p w14:paraId="6EC38B00" w14:textId="62EE0194" w:rsidR="00AD5522" w:rsidRPr="00D9152B" w:rsidRDefault="00AD5522" w:rsidP="00AD5522">
      <w:pPr>
        <w:rPr>
          <w:rFonts w:ascii="Calibri" w:hAnsi="Calibri" w:cs="Calibri"/>
        </w:rPr>
      </w:pPr>
      <w:r w:rsidRPr="00D9152B">
        <w:rPr>
          <w:rFonts w:ascii="Calibri" w:hAnsi="Calibri" w:cs="Calibri"/>
          <w:b/>
        </w:rPr>
        <w:t>IVM</w:t>
      </w:r>
      <w:r w:rsidR="00D168E3" w:rsidRPr="00D9152B">
        <w:rPr>
          <w:rFonts w:ascii="Calibri" w:hAnsi="Calibri" w:cs="Calibri"/>
        </w:rPr>
        <w:t xml:space="preserve"> – Ivermectin (Mectizan®)</w:t>
      </w:r>
    </w:p>
    <w:p w14:paraId="5EB86D85" w14:textId="7B3C072B" w:rsidR="00AD5522" w:rsidRPr="00D9152B" w:rsidRDefault="00AD5522" w:rsidP="00AD5522">
      <w:pPr>
        <w:rPr>
          <w:rFonts w:ascii="Calibri" w:hAnsi="Calibri" w:cs="Calibri"/>
        </w:rPr>
      </w:pPr>
      <w:r w:rsidRPr="00D9152B">
        <w:rPr>
          <w:rFonts w:ascii="Calibri" w:hAnsi="Calibri" w:cs="Calibri"/>
          <w:b/>
        </w:rPr>
        <w:t>JCC</w:t>
      </w:r>
      <w:r w:rsidR="00D168E3" w:rsidRPr="00D9152B">
        <w:rPr>
          <w:rFonts w:ascii="Calibri" w:hAnsi="Calibri" w:cs="Calibri"/>
        </w:rPr>
        <w:t xml:space="preserve"> – OCP Joint Coordinating Committee</w:t>
      </w:r>
      <w:r w:rsidR="006F403E" w:rsidRPr="00D9152B">
        <w:rPr>
          <w:rFonts w:ascii="Calibri" w:hAnsi="Calibri" w:cs="Calibri"/>
        </w:rPr>
        <w:t xml:space="preserve"> (renamed the JPC)</w:t>
      </w:r>
    </w:p>
    <w:p w14:paraId="644E5E28" w14:textId="41586629" w:rsidR="00AD5522" w:rsidRPr="00D9152B" w:rsidRDefault="00AD5522" w:rsidP="00AD5522">
      <w:pPr>
        <w:rPr>
          <w:rFonts w:ascii="Calibri" w:hAnsi="Calibri" w:cs="Calibri"/>
        </w:rPr>
      </w:pPr>
      <w:r w:rsidRPr="00D9152B">
        <w:rPr>
          <w:rFonts w:ascii="Calibri" w:hAnsi="Calibri" w:cs="Calibri"/>
          <w:b/>
        </w:rPr>
        <w:t>JPC</w:t>
      </w:r>
      <w:r w:rsidR="00D168E3" w:rsidRPr="00D9152B">
        <w:rPr>
          <w:rFonts w:ascii="Calibri" w:hAnsi="Calibri" w:cs="Calibri"/>
        </w:rPr>
        <w:t xml:space="preserve"> –</w:t>
      </w:r>
      <w:r w:rsidR="0054751F" w:rsidRPr="00D9152B">
        <w:rPr>
          <w:rFonts w:ascii="Calibri" w:hAnsi="Calibri" w:cs="Calibri"/>
        </w:rPr>
        <w:t xml:space="preserve"> </w:t>
      </w:r>
      <w:r w:rsidR="00D168E3" w:rsidRPr="00D9152B">
        <w:rPr>
          <w:rFonts w:ascii="Calibri" w:hAnsi="Calibri" w:cs="Calibri"/>
        </w:rPr>
        <w:t>OCP Joint Programme Committee (initially the JCC)</w:t>
      </w:r>
    </w:p>
    <w:p w14:paraId="2D7F1261" w14:textId="0540ED17" w:rsidR="00AD5522" w:rsidRPr="00D9152B" w:rsidRDefault="00AD5522" w:rsidP="00AD5522">
      <w:pPr>
        <w:rPr>
          <w:rFonts w:ascii="Calibri" w:hAnsi="Calibri" w:cs="Calibri"/>
        </w:rPr>
      </w:pPr>
      <w:r w:rsidRPr="00D9152B">
        <w:rPr>
          <w:rFonts w:ascii="Calibri" w:hAnsi="Calibri" w:cs="Calibri"/>
          <w:b/>
        </w:rPr>
        <w:t>MAP</w:t>
      </w:r>
      <w:r w:rsidR="006F403E" w:rsidRPr="00D9152B">
        <w:rPr>
          <w:rFonts w:ascii="Calibri" w:hAnsi="Calibri" w:cs="Calibri"/>
        </w:rPr>
        <w:t xml:space="preserve"> – The World Bank’s Multi-country AIDS Program</w:t>
      </w:r>
    </w:p>
    <w:p w14:paraId="7EF0D1A6" w14:textId="43F37524" w:rsidR="00AD5522" w:rsidRPr="00D9152B" w:rsidRDefault="00AD5522" w:rsidP="00AD5522">
      <w:pPr>
        <w:rPr>
          <w:rFonts w:ascii="Calibri" w:hAnsi="Calibri" w:cs="Calibri"/>
        </w:rPr>
      </w:pPr>
      <w:r w:rsidRPr="00D9152B">
        <w:rPr>
          <w:rFonts w:ascii="Calibri" w:hAnsi="Calibri" w:cs="Calibri"/>
          <w:b/>
        </w:rPr>
        <w:t>MDA</w:t>
      </w:r>
      <w:r w:rsidR="006F403E" w:rsidRPr="00D9152B">
        <w:rPr>
          <w:rFonts w:ascii="Calibri" w:hAnsi="Calibri" w:cs="Calibri"/>
        </w:rPr>
        <w:t xml:space="preserve"> – Mass drug administration</w:t>
      </w:r>
    </w:p>
    <w:p w14:paraId="77A7D945" w14:textId="70192C23" w:rsidR="00AD5522" w:rsidRPr="00D9152B" w:rsidRDefault="00AD5522" w:rsidP="00AD5522">
      <w:pPr>
        <w:rPr>
          <w:rFonts w:ascii="Calibri" w:hAnsi="Calibri" w:cs="Calibri"/>
        </w:rPr>
      </w:pPr>
      <w:r w:rsidRPr="00D9152B">
        <w:rPr>
          <w:rFonts w:ascii="Calibri" w:hAnsi="Calibri" w:cs="Calibri"/>
          <w:b/>
        </w:rPr>
        <w:t>MDG</w:t>
      </w:r>
      <w:r w:rsidR="006F403E" w:rsidRPr="00D9152B">
        <w:rPr>
          <w:rFonts w:ascii="Calibri" w:hAnsi="Calibri" w:cs="Calibri"/>
        </w:rPr>
        <w:t xml:space="preserve"> – Millennium Development Goals</w:t>
      </w:r>
    </w:p>
    <w:p w14:paraId="7D471197" w14:textId="03E5F430" w:rsidR="00AD5522" w:rsidRPr="00D9152B" w:rsidRDefault="00AD5522" w:rsidP="00AD5522">
      <w:pPr>
        <w:rPr>
          <w:rFonts w:ascii="Calibri" w:hAnsi="Calibri" w:cs="Calibri"/>
        </w:rPr>
      </w:pPr>
      <w:r w:rsidRPr="00D9152B">
        <w:rPr>
          <w:rFonts w:ascii="Calibri" w:hAnsi="Calibri" w:cs="Calibri"/>
          <w:b/>
        </w:rPr>
        <w:t>MDP</w:t>
      </w:r>
      <w:r w:rsidR="006F403E" w:rsidRPr="00D9152B">
        <w:rPr>
          <w:rFonts w:ascii="Calibri" w:hAnsi="Calibri" w:cs="Calibri"/>
        </w:rPr>
        <w:t xml:space="preserve"> – Mectizan Donation Programme</w:t>
      </w:r>
    </w:p>
    <w:p w14:paraId="2A7AD2DB" w14:textId="0F705F5A" w:rsidR="00AD5522" w:rsidRPr="00D9152B" w:rsidRDefault="00AD5522" w:rsidP="00AD5522">
      <w:pPr>
        <w:rPr>
          <w:rFonts w:ascii="Calibri" w:hAnsi="Calibri" w:cs="Calibri"/>
        </w:rPr>
      </w:pPr>
      <w:r w:rsidRPr="00D9152B">
        <w:rPr>
          <w:rFonts w:ascii="Calibri" w:hAnsi="Calibri" w:cs="Calibri"/>
          <w:b/>
        </w:rPr>
        <w:t>MEC</w:t>
      </w:r>
      <w:r w:rsidR="006F403E" w:rsidRPr="00D9152B">
        <w:rPr>
          <w:rFonts w:ascii="Calibri" w:hAnsi="Calibri" w:cs="Calibri"/>
        </w:rPr>
        <w:t xml:space="preserve"> – Mectizan Expert Committee</w:t>
      </w:r>
    </w:p>
    <w:p w14:paraId="44F7DEEB" w14:textId="6CD49955" w:rsidR="00AD5522" w:rsidRPr="00D9152B" w:rsidRDefault="00AD5522" w:rsidP="00AD5522">
      <w:pPr>
        <w:rPr>
          <w:rFonts w:ascii="Calibri" w:hAnsi="Calibri" w:cs="Calibri"/>
        </w:rPr>
      </w:pPr>
      <w:r w:rsidRPr="00D9152B">
        <w:rPr>
          <w:rFonts w:ascii="Calibri" w:hAnsi="Calibri" w:cs="Calibri"/>
          <w:b/>
        </w:rPr>
        <w:t>MIGA</w:t>
      </w:r>
      <w:r w:rsidR="006F403E" w:rsidRPr="00D9152B">
        <w:rPr>
          <w:rFonts w:ascii="Calibri" w:hAnsi="Calibri" w:cs="Calibri"/>
        </w:rPr>
        <w:t xml:space="preserve"> – Multilateral Investment Guarantee Agency (World Bank Group)</w:t>
      </w:r>
    </w:p>
    <w:p w14:paraId="742FC285" w14:textId="2D77F825" w:rsidR="00AD5522" w:rsidRPr="00D9152B" w:rsidRDefault="00AD5522" w:rsidP="00AD5522">
      <w:pPr>
        <w:rPr>
          <w:rFonts w:ascii="Calibri" w:hAnsi="Calibri" w:cs="Calibri"/>
        </w:rPr>
      </w:pPr>
      <w:r w:rsidRPr="00D9152B">
        <w:rPr>
          <w:rFonts w:ascii="Calibri" w:hAnsi="Calibri" w:cs="Calibri"/>
          <w:b/>
        </w:rPr>
        <w:t>NGDO</w:t>
      </w:r>
      <w:r w:rsidR="006F403E" w:rsidRPr="00D9152B">
        <w:rPr>
          <w:rFonts w:ascii="Calibri" w:hAnsi="Calibri" w:cs="Calibri"/>
        </w:rPr>
        <w:t xml:space="preserve"> – Non-</w:t>
      </w:r>
      <w:r w:rsidR="0054751F" w:rsidRPr="00D9152B">
        <w:rPr>
          <w:rFonts w:ascii="Calibri" w:hAnsi="Calibri" w:cs="Calibri"/>
        </w:rPr>
        <w:t>g</w:t>
      </w:r>
      <w:r w:rsidR="006F403E" w:rsidRPr="00D9152B">
        <w:rPr>
          <w:rFonts w:ascii="Calibri" w:hAnsi="Calibri" w:cs="Calibri"/>
        </w:rPr>
        <w:t>overnmental Development Organization</w:t>
      </w:r>
    </w:p>
    <w:p w14:paraId="674670C2" w14:textId="70E02098" w:rsidR="00AD5522" w:rsidRPr="00D9152B" w:rsidRDefault="00AD5522" w:rsidP="00AD5522">
      <w:pPr>
        <w:rPr>
          <w:rFonts w:ascii="Calibri" w:hAnsi="Calibri" w:cs="Calibri"/>
        </w:rPr>
      </w:pPr>
      <w:r w:rsidRPr="00D9152B">
        <w:rPr>
          <w:rFonts w:ascii="Calibri" w:hAnsi="Calibri" w:cs="Calibri"/>
          <w:b/>
        </w:rPr>
        <w:t>NGO</w:t>
      </w:r>
      <w:r w:rsidR="006F403E" w:rsidRPr="00D9152B">
        <w:rPr>
          <w:rFonts w:ascii="Calibri" w:hAnsi="Calibri" w:cs="Calibri"/>
        </w:rPr>
        <w:t xml:space="preserve"> – Non-</w:t>
      </w:r>
      <w:r w:rsidR="0054751F" w:rsidRPr="00D9152B">
        <w:rPr>
          <w:rFonts w:ascii="Calibri" w:hAnsi="Calibri" w:cs="Calibri"/>
        </w:rPr>
        <w:t>g</w:t>
      </w:r>
      <w:r w:rsidR="006F403E" w:rsidRPr="00D9152B">
        <w:rPr>
          <w:rFonts w:ascii="Calibri" w:hAnsi="Calibri" w:cs="Calibri"/>
        </w:rPr>
        <w:t>overnmental Organization</w:t>
      </w:r>
    </w:p>
    <w:p w14:paraId="1460B9D7" w14:textId="4CA072FD" w:rsidR="00AD5522" w:rsidRPr="00D9152B" w:rsidRDefault="00AD5522" w:rsidP="00AD5522">
      <w:pPr>
        <w:rPr>
          <w:rFonts w:ascii="Calibri" w:hAnsi="Calibri" w:cs="Calibri"/>
        </w:rPr>
      </w:pPr>
      <w:r w:rsidRPr="00D9152B">
        <w:rPr>
          <w:rFonts w:ascii="Calibri" w:hAnsi="Calibri" w:cs="Calibri"/>
          <w:b/>
        </w:rPr>
        <w:t>NOCs</w:t>
      </w:r>
      <w:r w:rsidR="006F403E" w:rsidRPr="00D9152B">
        <w:rPr>
          <w:rFonts w:ascii="Calibri" w:hAnsi="Calibri" w:cs="Calibri"/>
        </w:rPr>
        <w:t xml:space="preserve"> –</w:t>
      </w:r>
      <w:r w:rsidR="0054751F" w:rsidRPr="00D9152B">
        <w:rPr>
          <w:rFonts w:ascii="Calibri" w:hAnsi="Calibri" w:cs="Calibri"/>
        </w:rPr>
        <w:t xml:space="preserve"> </w:t>
      </w:r>
      <w:r w:rsidR="006F403E" w:rsidRPr="00D9152B">
        <w:rPr>
          <w:rFonts w:ascii="Calibri" w:hAnsi="Calibri" w:cs="Calibri"/>
        </w:rPr>
        <w:t>OCP National Onchocerciasis Committees</w:t>
      </w:r>
    </w:p>
    <w:p w14:paraId="5DC62E24" w14:textId="17812757" w:rsidR="00AD5522" w:rsidRPr="00D9152B" w:rsidRDefault="00AD5522" w:rsidP="00AD5522">
      <w:pPr>
        <w:rPr>
          <w:rFonts w:ascii="Calibri" w:hAnsi="Calibri" w:cs="Calibri"/>
        </w:rPr>
      </w:pPr>
      <w:r w:rsidRPr="00D9152B">
        <w:rPr>
          <w:rFonts w:ascii="Calibri" w:hAnsi="Calibri" w:cs="Calibri"/>
          <w:b/>
        </w:rPr>
        <w:t>NOZDS</w:t>
      </w:r>
      <w:r w:rsidR="006F403E" w:rsidRPr="00D9152B">
        <w:rPr>
          <w:rFonts w:ascii="Calibri" w:hAnsi="Calibri" w:cs="Calibri"/>
        </w:rPr>
        <w:t xml:space="preserve"> – National Onchocerciasis Zone Development Studies</w:t>
      </w:r>
    </w:p>
    <w:p w14:paraId="16E50E65" w14:textId="0F2AE1A2" w:rsidR="00AD5522" w:rsidRPr="00D9152B" w:rsidRDefault="00AD5522" w:rsidP="00AD5522">
      <w:pPr>
        <w:rPr>
          <w:rFonts w:ascii="Calibri" w:hAnsi="Calibri" w:cs="Calibri"/>
        </w:rPr>
      </w:pPr>
      <w:r w:rsidRPr="00D9152B">
        <w:rPr>
          <w:rFonts w:ascii="Calibri" w:hAnsi="Calibri" w:cs="Calibri"/>
          <w:b/>
        </w:rPr>
        <w:t>NPV</w:t>
      </w:r>
      <w:r w:rsidR="006F403E" w:rsidRPr="00D9152B">
        <w:rPr>
          <w:rFonts w:ascii="Calibri" w:hAnsi="Calibri" w:cs="Calibri"/>
        </w:rPr>
        <w:t xml:space="preserve"> – Net present value (</w:t>
      </w:r>
      <w:r w:rsidR="0054751F" w:rsidRPr="00D9152B">
        <w:rPr>
          <w:rFonts w:ascii="Calibri" w:hAnsi="Calibri" w:cs="Calibri"/>
        </w:rPr>
        <w:t xml:space="preserve">economic </w:t>
      </w:r>
      <w:r w:rsidR="006F403E" w:rsidRPr="00D9152B">
        <w:rPr>
          <w:rFonts w:ascii="Calibri" w:hAnsi="Calibri" w:cs="Calibri"/>
        </w:rPr>
        <w:t>difference between present cash inflows and outflows)</w:t>
      </w:r>
    </w:p>
    <w:p w14:paraId="6C660112" w14:textId="3EDD3AD0" w:rsidR="00AD5522" w:rsidRPr="00D9152B" w:rsidRDefault="00AD5522" w:rsidP="00AD5522">
      <w:pPr>
        <w:rPr>
          <w:rFonts w:ascii="Calibri" w:hAnsi="Calibri" w:cs="Calibri"/>
        </w:rPr>
      </w:pPr>
      <w:r w:rsidRPr="00D9152B">
        <w:rPr>
          <w:rFonts w:ascii="Calibri" w:hAnsi="Calibri" w:cs="Calibri"/>
          <w:b/>
        </w:rPr>
        <w:t>NTD</w:t>
      </w:r>
      <w:r w:rsidR="006F403E" w:rsidRPr="00D9152B">
        <w:rPr>
          <w:rFonts w:ascii="Calibri" w:hAnsi="Calibri" w:cs="Calibri"/>
        </w:rPr>
        <w:t xml:space="preserve"> – Neglected tropical disease</w:t>
      </w:r>
    </w:p>
    <w:p w14:paraId="2043FB37" w14:textId="64449CA0" w:rsidR="00AD5522" w:rsidRPr="00D9152B" w:rsidRDefault="00AD5522" w:rsidP="00AD5522">
      <w:pPr>
        <w:rPr>
          <w:rFonts w:ascii="Calibri" w:hAnsi="Calibri" w:cs="Calibri"/>
        </w:rPr>
      </w:pPr>
      <w:r w:rsidRPr="00D9152B">
        <w:rPr>
          <w:rFonts w:ascii="Calibri" w:hAnsi="Calibri" w:cs="Calibri"/>
          <w:b/>
        </w:rPr>
        <w:t>OCCGE</w:t>
      </w:r>
      <w:r w:rsidR="006F403E" w:rsidRPr="00D9152B">
        <w:rPr>
          <w:rFonts w:ascii="Calibri" w:hAnsi="Calibri" w:cs="Calibri"/>
        </w:rPr>
        <w:t xml:space="preserve"> – Organisation de Coordination et de Coopération pour la Luttre contre les Grandes Endémies</w:t>
      </w:r>
    </w:p>
    <w:p w14:paraId="6B092134" w14:textId="6FB805AE" w:rsidR="00AD5522" w:rsidRPr="00D9152B" w:rsidRDefault="00AD5522" w:rsidP="00AD5522">
      <w:pPr>
        <w:rPr>
          <w:rFonts w:ascii="Calibri" w:hAnsi="Calibri" w:cs="Calibri"/>
        </w:rPr>
      </w:pPr>
      <w:r w:rsidRPr="00D9152B">
        <w:rPr>
          <w:rFonts w:ascii="Calibri" w:hAnsi="Calibri" w:cs="Calibri"/>
          <w:b/>
        </w:rPr>
        <w:t>OCP</w:t>
      </w:r>
      <w:r w:rsidR="006F403E" w:rsidRPr="00D9152B">
        <w:rPr>
          <w:rFonts w:ascii="Calibri" w:hAnsi="Calibri" w:cs="Calibri"/>
        </w:rPr>
        <w:t xml:space="preserve"> – Onchocerciasis Control Programme</w:t>
      </w:r>
    </w:p>
    <w:p w14:paraId="4BF21F31" w14:textId="58E77A17" w:rsidR="006F403E" w:rsidRPr="00D9152B" w:rsidRDefault="00AD5522" w:rsidP="00AD5522">
      <w:pPr>
        <w:rPr>
          <w:rFonts w:ascii="Calibri" w:hAnsi="Calibri" w:cs="Calibri"/>
        </w:rPr>
      </w:pPr>
      <w:r w:rsidRPr="00D9152B">
        <w:rPr>
          <w:rFonts w:ascii="Calibri" w:hAnsi="Calibri" w:cs="Calibri"/>
          <w:b/>
        </w:rPr>
        <w:t>OCT</w:t>
      </w:r>
      <w:r w:rsidR="006F403E" w:rsidRPr="00D9152B">
        <w:rPr>
          <w:rFonts w:ascii="Calibri" w:hAnsi="Calibri" w:cs="Calibri"/>
        </w:rPr>
        <w:t xml:space="preserve"> – Onchocerciasis Chemotherapy Project</w:t>
      </w:r>
    </w:p>
    <w:p w14:paraId="2BB17896" w14:textId="59C4AEF0" w:rsidR="006F403E" w:rsidRPr="00D9152B" w:rsidRDefault="006F403E" w:rsidP="006F403E">
      <w:pPr>
        <w:rPr>
          <w:rFonts w:ascii="Calibri" w:hAnsi="Calibri" w:cs="Calibri"/>
        </w:rPr>
      </w:pPr>
      <w:r w:rsidRPr="00D9152B">
        <w:rPr>
          <w:rFonts w:ascii="Calibri" w:hAnsi="Calibri" w:cs="Calibri"/>
          <w:b/>
        </w:rPr>
        <w:t>ODA</w:t>
      </w:r>
      <w:r w:rsidRPr="00D9152B">
        <w:rPr>
          <w:rFonts w:ascii="Calibri" w:hAnsi="Calibri" w:cs="Calibri"/>
        </w:rPr>
        <w:t xml:space="preserve"> – Official development assistance</w:t>
      </w:r>
      <w:r w:rsidR="0054751F" w:rsidRPr="00D9152B">
        <w:rPr>
          <w:rFonts w:ascii="Calibri" w:hAnsi="Calibri" w:cs="Calibri"/>
        </w:rPr>
        <w:t xml:space="preserve"> </w:t>
      </w:r>
      <w:r w:rsidR="0054751F" w:rsidRPr="00D9152B">
        <w:rPr>
          <w:rFonts w:ascii="Calibri" w:hAnsi="Calibri" w:cs="Calibri"/>
          <w:i/>
        </w:rPr>
        <w:t xml:space="preserve">or </w:t>
      </w:r>
      <w:r w:rsidR="0054751F" w:rsidRPr="00D9152B">
        <w:rPr>
          <w:rFonts w:ascii="Calibri" w:hAnsi="Calibri" w:cs="Calibri"/>
        </w:rPr>
        <w:t>ODA (UK) – the United Kingdom’s Office of Development Assistance</w:t>
      </w:r>
    </w:p>
    <w:p w14:paraId="526BE822" w14:textId="7CB7F274" w:rsidR="006F403E" w:rsidRDefault="006F403E" w:rsidP="006F403E">
      <w:pPr>
        <w:rPr>
          <w:rFonts w:ascii="Calibri" w:hAnsi="Calibri" w:cs="Calibri"/>
        </w:rPr>
      </w:pPr>
      <w:r w:rsidRPr="00D9152B">
        <w:rPr>
          <w:rFonts w:ascii="Calibri" w:hAnsi="Calibri" w:cs="Calibri"/>
          <w:b/>
        </w:rPr>
        <w:t>OECD</w:t>
      </w:r>
      <w:r w:rsidRPr="00D9152B">
        <w:rPr>
          <w:rFonts w:ascii="Calibri" w:hAnsi="Calibri" w:cs="Calibri"/>
        </w:rPr>
        <w:t xml:space="preserve"> – Organization for Economic Cooperation and Development</w:t>
      </w:r>
    </w:p>
    <w:p w14:paraId="37DD552F" w14:textId="07EB0920" w:rsidR="00890A74" w:rsidRPr="00890A74" w:rsidRDefault="00890A74" w:rsidP="006F403E">
      <w:pPr>
        <w:rPr>
          <w:rFonts w:ascii="Calibri" w:hAnsi="Calibri" w:cs="Calibri"/>
        </w:rPr>
      </w:pPr>
      <w:r>
        <w:rPr>
          <w:rFonts w:ascii="Calibri" w:hAnsi="Calibri" w:cs="Calibri"/>
          <w:b/>
        </w:rPr>
        <w:t xml:space="preserve">OPEC </w:t>
      </w:r>
      <w:r>
        <w:rPr>
          <w:rFonts w:ascii="Calibri" w:hAnsi="Calibri" w:cs="Calibri"/>
        </w:rPr>
        <w:t>–Organization of Petroleum Exporting Countries</w:t>
      </w:r>
    </w:p>
    <w:p w14:paraId="10B551CC" w14:textId="48CEB103" w:rsidR="006F403E" w:rsidRPr="00D9152B" w:rsidRDefault="006F403E" w:rsidP="006F403E">
      <w:pPr>
        <w:rPr>
          <w:rFonts w:ascii="Calibri" w:hAnsi="Calibri" w:cs="Calibri"/>
        </w:rPr>
      </w:pPr>
      <w:r w:rsidRPr="00D9152B">
        <w:rPr>
          <w:rFonts w:ascii="Calibri" w:hAnsi="Calibri" w:cs="Calibri"/>
          <w:b/>
        </w:rPr>
        <w:t>ORSTOM</w:t>
      </w:r>
      <w:r w:rsidRPr="00D9152B">
        <w:rPr>
          <w:rFonts w:ascii="Calibri" w:hAnsi="Calibri" w:cs="Calibri"/>
        </w:rPr>
        <w:t xml:space="preserve"> – Office de la </w:t>
      </w:r>
      <w:r w:rsidR="007C568B">
        <w:rPr>
          <w:rFonts w:ascii="Calibri" w:hAnsi="Calibri" w:cs="Calibri"/>
        </w:rPr>
        <w:t>R</w:t>
      </w:r>
      <w:r w:rsidRPr="00D9152B">
        <w:rPr>
          <w:rFonts w:ascii="Calibri" w:hAnsi="Calibri" w:cs="Calibri"/>
        </w:rPr>
        <w:t xml:space="preserve">echerché </w:t>
      </w:r>
      <w:r w:rsidR="007C568B">
        <w:rPr>
          <w:rFonts w:ascii="Calibri" w:hAnsi="Calibri" w:cs="Calibri"/>
        </w:rPr>
        <w:t>S</w:t>
      </w:r>
      <w:r w:rsidRPr="00D9152B">
        <w:rPr>
          <w:rFonts w:ascii="Calibri" w:hAnsi="Calibri" w:cs="Calibri"/>
        </w:rPr>
        <w:t xml:space="preserve">cientifique et </w:t>
      </w:r>
      <w:r w:rsidR="007C568B">
        <w:rPr>
          <w:rFonts w:ascii="Calibri" w:hAnsi="Calibri" w:cs="Calibri"/>
        </w:rPr>
        <w:t>T</w:t>
      </w:r>
      <w:r w:rsidRPr="00D9152B">
        <w:rPr>
          <w:rFonts w:ascii="Calibri" w:hAnsi="Calibri" w:cs="Calibri"/>
        </w:rPr>
        <w:t xml:space="preserve">echnique </w:t>
      </w:r>
      <w:r w:rsidR="007C568B">
        <w:rPr>
          <w:rFonts w:ascii="Calibri" w:hAnsi="Calibri" w:cs="Calibri"/>
        </w:rPr>
        <w:t>O</w:t>
      </w:r>
      <w:r w:rsidRPr="00D9152B">
        <w:rPr>
          <w:rFonts w:ascii="Calibri" w:hAnsi="Calibri" w:cs="Calibri"/>
        </w:rPr>
        <w:t>utre-</w:t>
      </w:r>
      <w:r w:rsidR="007C568B">
        <w:rPr>
          <w:rFonts w:ascii="Calibri" w:hAnsi="Calibri" w:cs="Calibri"/>
        </w:rPr>
        <w:t>M</w:t>
      </w:r>
      <w:r w:rsidRPr="00D9152B">
        <w:rPr>
          <w:rFonts w:ascii="Calibri" w:hAnsi="Calibri" w:cs="Calibri"/>
        </w:rPr>
        <w:t>er</w:t>
      </w:r>
    </w:p>
    <w:p w14:paraId="170FB2BD" w14:textId="163F2086" w:rsidR="006F403E" w:rsidRPr="00D9152B" w:rsidRDefault="006F403E" w:rsidP="006F403E">
      <w:pPr>
        <w:rPr>
          <w:rFonts w:ascii="Calibri" w:hAnsi="Calibri" w:cs="Calibri"/>
        </w:rPr>
      </w:pPr>
      <w:r w:rsidRPr="00D9152B">
        <w:rPr>
          <w:rFonts w:ascii="Calibri" w:hAnsi="Calibri" w:cs="Calibri"/>
          <w:b/>
        </w:rPr>
        <w:t>PAB</w:t>
      </w:r>
      <w:r w:rsidRPr="00D9152B">
        <w:rPr>
          <w:rFonts w:ascii="Calibri" w:hAnsi="Calibri" w:cs="Calibri"/>
        </w:rPr>
        <w:t xml:space="preserve"> – OCP Plan of Action and Budgets</w:t>
      </w:r>
    </w:p>
    <w:p w14:paraId="5048B5E8" w14:textId="434F9C37" w:rsidR="006F403E" w:rsidRPr="00D9152B" w:rsidRDefault="006F403E" w:rsidP="006F403E">
      <w:pPr>
        <w:rPr>
          <w:rFonts w:ascii="Calibri" w:hAnsi="Calibri" w:cs="Calibri"/>
        </w:rPr>
      </w:pPr>
      <w:r w:rsidRPr="00D9152B">
        <w:rPr>
          <w:rFonts w:ascii="Calibri" w:hAnsi="Calibri" w:cs="Calibri"/>
          <w:b/>
        </w:rPr>
        <w:t>PAG</w:t>
      </w:r>
      <w:r w:rsidRPr="00D9152B">
        <w:rPr>
          <w:rFonts w:ascii="Calibri" w:hAnsi="Calibri" w:cs="Calibri"/>
        </w:rPr>
        <w:t xml:space="preserve">– OCP Preparatory Assistance mission/report </w:t>
      </w:r>
    </w:p>
    <w:p w14:paraId="1077566F" w14:textId="155F1BE1" w:rsidR="006F403E" w:rsidRPr="00D9152B" w:rsidRDefault="006F403E" w:rsidP="006F403E">
      <w:pPr>
        <w:rPr>
          <w:rFonts w:ascii="Calibri" w:hAnsi="Calibri" w:cs="Calibri"/>
        </w:rPr>
      </w:pPr>
      <w:r w:rsidRPr="00D9152B">
        <w:rPr>
          <w:rFonts w:ascii="Calibri" w:hAnsi="Calibri" w:cs="Calibri"/>
          <w:b/>
        </w:rPr>
        <w:t>PAHO</w:t>
      </w:r>
      <w:r w:rsidRPr="00D9152B">
        <w:rPr>
          <w:rFonts w:ascii="Calibri" w:hAnsi="Calibri" w:cs="Calibri"/>
        </w:rPr>
        <w:t xml:space="preserve"> – Pan-American Health Organization</w:t>
      </w:r>
    </w:p>
    <w:p w14:paraId="4D3B88EF" w14:textId="79D05C5D" w:rsidR="006F403E" w:rsidRPr="00D9152B" w:rsidRDefault="006F403E" w:rsidP="006F403E">
      <w:pPr>
        <w:rPr>
          <w:rFonts w:ascii="Calibri" w:hAnsi="Calibri" w:cs="Calibri"/>
        </w:rPr>
      </w:pPr>
      <w:r w:rsidRPr="00D9152B">
        <w:rPr>
          <w:rFonts w:ascii="Calibri" w:hAnsi="Calibri" w:cs="Calibri"/>
          <w:b/>
        </w:rPr>
        <w:t>PHC</w:t>
      </w:r>
      <w:r w:rsidRPr="00D9152B">
        <w:rPr>
          <w:rFonts w:ascii="Calibri" w:hAnsi="Calibri" w:cs="Calibri"/>
        </w:rPr>
        <w:t xml:space="preserve"> – Primary health care</w:t>
      </w:r>
    </w:p>
    <w:p w14:paraId="000123E7" w14:textId="58AE24B1" w:rsidR="006F403E" w:rsidRPr="00D9152B" w:rsidRDefault="006F403E" w:rsidP="006F403E">
      <w:pPr>
        <w:rPr>
          <w:rFonts w:ascii="Calibri" w:hAnsi="Calibri" w:cs="Calibri"/>
        </w:rPr>
      </w:pPr>
      <w:r w:rsidRPr="00D9152B">
        <w:rPr>
          <w:rFonts w:ascii="Calibri" w:hAnsi="Calibri" w:cs="Calibri"/>
          <w:b/>
        </w:rPr>
        <w:t>PHN</w:t>
      </w:r>
      <w:r w:rsidRPr="00D9152B">
        <w:rPr>
          <w:rFonts w:ascii="Calibri" w:hAnsi="Calibri" w:cs="Calibri"/>
        </w:rPr>
        <w:t xml:space="preserve"> –</w:t>
      </w:r>
      <w:r w:rsidR="0054751F" w:rsidRPr="00D9152B">
        <w:rPr>
          <w:rFonts w:ascii="Calibri" w:hAnsi="Calibri" w:cs="Calibri"/>
        </w:rPr>
        <w:t xml:space="preserve"> </w:t>
      </w:r>
      <w:r w:rsidRPr="00D9152B">
        <w:rPr>
          <w:rFonts w:ascii="Calibri" w:hAnsi="Calibri" w:cs="Calibri"/>
        </w:rPr>
        <w:t>World Bank Population, Health and Nutrition department</w:t>
      </w:r>
    </w:p>
    <w:p w14:paraId="46CAF7AF" w14:textId="3AE31D77" w:rsidR="006F403E" w:rsidRDefault="006F403E" w:rsidP="006F403E">
      <w:pPr>
        <w:rPr>
          <w:rFonts w:ascii="Calibri" w:hAnsi="Calibri" w:cs="Calibri"/>
        </w:rPr>
      </w:pPr>
      <w:r w:rsidRPr="00D9152B">
        <w:rPr>
          <w:rFonts w:ascii="Calibri" w:hAnsi="Calibri" w:cs="Calibri"/>
          <w:b/>
        </w:rPr>
        <w:t>PPP</w:t>
      </w:r>
      <w:r w:rsidRPr="00D9152B">
        <w:rPr>
          <w:rFonts w:ascii="Calibri" w:hAnsi="Calibri" w:cs="Calibri"/>
        </w:rPr>
        <w:t xml:space="preserve"> – Public-private partnership</w:t>
      </w:r>
    </w:p>
    <w:p w14:paraId="35EE323A" w14:textId="380D991E" w:rsidR="00890A74" w:rsidRPr="00890A74" w:rsidRDefault="00890A74" w:rsidP="006F403E">
      <w:pPr>
        <w:rPr>
          <w:rFonts w:ascii="Calibri" w:hAnsi="Calibri" w:cs="Calibri"/>
        </w:rPr>
      </w:pPr>
      <w:r>
        <w:rPr>
          <w:rFonts w:ascii="Calibri" w:hAnsi="Calibri" w:cs="Calibri"/>
          <w:b/>
        </w:rPr>
        <w:t xml:space="preserve">QALY </w:t>
      </w:r>
      <w:r>
        <w:rPr>
          <w:rFonts w:ascii="Calibri" w:hAnsi="Calibri" w:cs="Calibri"/>
        </w:rPr>
        <w:t>– Quality-adjusted life year</w:t>
      </w:r>
    </w:p>
    <w:p w14:paraId="738CD934" w14:textId="63A84398" w:rsidR="006F403E" w:rsidRPr="00D9152B" w:rsidRDefault="006F403E" w:rsidP="006F403E">
      <w:pPr>
        <w:rPr>
          <w:rFonts w:ascii="Calibri" w:hAnsi="Calibri" w:cs="Calibri"/>
        </w:rPr>
      </w:pPr>
      <w:r w:rsidRPr="00D9152B">
        <w:rPr>
          <w:rFonts w:ascii="Calibri" w:hAnsi="Calibri" w:cs="Calibri"/>
          <w:b/>
        </w:rPr>
        <w:t>SC</w:t>
      </w:r>
      <w:r w:rsidRPr="00D9152B">
        <w:rPr>
          <w:rFonts w:ascii="Calibri" w:hAnsi="Calibri" w:cs="Calibri"/>
        </w:rPr>
        <w:t xml:space="preserve"> – The OCP Steering Committee (renamed the CSA)</w:t>
      </w:r>
    </w:p>
    <w:p w14:paraId="7D75856A" w14:textId="5C616C84" w:rsidR="006F403E" w:rsidRPr="00D9152B" w:rsidRDefault="006F403E" w:rsidP="006F403E">
      <w:pPr>
        <w:rPr>
          <w:rFonts w:ascii="Calibri" w:hAnsi="Calibri" w:cs="Calibri"/>
        </w:rPr>
      </w:pPr>
      <w:r w:rsidRPr="00D9152B">
        <w:rPr>
          <w:rFonts w:ascii="Calibri" w:hAnsi="Calibri" w:cs="Calibri"/>
          <w:b/>
        </w:rPr>
        <w:t>SDG</w:t>
      </w:r>
      <w:r w:rsidRPr="00D9152B">
        <w:rPr>
          <w:rFonts w:ascii="Calibri" w:hAnsi="Calibri" w:cs="Calibri"/>
        </w:rPr>
        <w:t xml:space="preserve"> – Sustainable Development Goals</w:t>
      </w:r>
    </w:p>
    <w:p w14:paraId="208C3882" w14:textId="3A8FF983" w:rsidR="006F403E" w:rsidRPr="00D9152B" w:rsidRDefault="006F403E" w:rsidP="006F403E">
      <w:pPr>
        <w:rPr>
          <w:rFonts w:ascii="Calibri" w:hAnsi="Calibri" w:cs="Calibri"/>
        </w:rPr>
      </w:pPr>
      <w:r w:rsidRPr="00D9152B">
        <w:rPr>
          <w:rFonts w:ascii="Calibri" w:hAnsi="Calibri" w:cs="Calibri"/>
          <w:b/>
        </w:rPr>
        <w:t>SED</w:t>
      </w:r>
      <w:r w:rsidRPr="00D9152B">
        <w:rPr>
          <w:rFonts w:ascii="Calibri" w:hAnsi="Calibri" w:cs="Calibri"/>
        </w:rPr>
        <w:t xml:space="preserve"> – Socio-economic development</w:t>
      </w:r>
    </w:p>
    <w:p w14:paraId="3E609696" w14:textId="40A9FB2A" w:rsidR="006F403E" w:rsidRPr="00D9152B" w:rsidRDefault="006F403E" w:rsidP="006F403E">
      <w:pPr>
        <w:rPr>
          <w:rFonts w:ascii="Calibri" w:hAnsi="Calibri" w:cs="Calibri"/>
        </w:rPr>
      </w:pPr>
      <w:r w:rsidRPr="00D9152B">
        <w:rPr>
          <w:rFonts w:ascii="Calibri" w:hAnsi="Calibri" w:cs="Calibri"/>
          <w:b/>
        </w:rPr>
        <w:t>SGP</w:t>
      </w:r>
      <w:r w:rsidRPr="00D9152B">
        <w:rPr>
          <w:rFonts w:ascii="Calibri" w:hAnsi="Calibri" w:cs="Calibri"/>
        </w:rPr>
        <w:t xml:space="preserve"> –</w:t>
      </w:r>
      <w:r w:rsidR="0054751F" w:rsidRPr="00D9152B">
        <w:rPr>
          <w:rFonts w:ascii="Calibri" w:hAnsi="Calibri" w:cs="Calibri"/>
        </w:rPr>
        <w:t xml:space="preserve"> </w:t>
      </w:r>
      <w:r w:rsidRPr="00D9152B">
        <w:rPr>
          <w:rFonts w:ascii="Calibri" w:hAnsi="Calibri" w:cs="Calibri"/>
        </w:rPr>
        <w:t>World Bank Special Grants Programme</w:t>
      </w:r>
    </w:p>
    <w:p w14:paraId="1A7DDDA6" w14:textId="1D743AEE" w:rsidR="006F403E" w:rsidRPr="00D9152B" w:rsidRDefault="006F403E" w:rsidP="006F403E">
      <w:pPr>
        <w:rPr>
          <w:rFonts w:ascii="Calibri" w:hAnsi="Calibri" w:cs="Calibri"/>
        </w:rPr>
      </w:pPr>
      <w:r w:rsidRPr="00D9152B">
        <w:rPr>
          <w:rFonts w:ascii="Calibri" w:hAnsi="Calibri" w:cs="Calibri"/>
          <w:b/>
        </w:rPr>
        <w:t>SPHC</w:t>
      </w:r>
      <w:r w:rsidRPr="00D9152B">
        <w:rPr>
          <w:rFonts w:ascii="Calibri" w:hAnsi="Calibri" w:cs="Calibri"/>
        </w:rPr>
        <w:t xml:space="preserve"> – Selective primary health care</w:t>
      </w:r>
    </w:p>
    <w:p w14:paraId="69ACE505" w14:textId="6D8BB398" w:rsidR="006F403E" w:rsidRPr="00D9152B" w:rsidRDefault="006F403E" w:rsidP="006F403E">
      <w:pPr>
        <w:rPr>
          <w:rFonts w:ascii="Calibri" w:hAnsi="Calibri" w:cs="Calibri"/>
        </w:rPr>
      </w:pPr>
      <w:r w:rsidRPr="00D9152B">
        <w:rPr>
          <w:rFonts w:ascii="Calibri" w:hAnsi="Calibri" w:cs="Calibri"/>
          <w:b/>
        </w:rPr>
        <w:t>STAC</w:t>
      </w:r>
      <w:r w:rsidRPr="00D9152B">
        <w:rPr>
          <w:rFonts w:ascii="Calibri" w:hAnsi="Calibri" w:cs="Calibri"/>
        </w:rPr>
        <w:t xml:space="preserve"> – OCP Science and Technology Advisory Committee (renamed the EAC)</w:t>
      </w:r>
    </w:p>
    <w:p w14:paraId="28DAE81B" w14:textId="6F8198DA" w:rsidR="006F403E" w:rsidRPr="00D9152B" w:rsidRDefault="006F403E" w:rsidP="006F403E">
      <w:pPr>
        <w:rPr>
          <w:rFonts w:ascii="Calibri" w:hAnsi="Calibri" w:cs="Calibri"/>
        </w:rPr>
      </w:pPr>
      <w:r w:rsidRPr="00D9152B">
        <w:rPr>
          <w:rFonts w:ascii="Calibri" w:hAnsi="Calibri" w:cs="Calibri"/>
          <w:b/>
        </w:rPr>
        <w:t>TDR</w:t>
      </w:r>
      <w:r w:rsidRPr="00D9152B">
        <w:rPr>
          <w:rFonts w:ascii="Calibri" w:hAnsi="Calibri" w:cs="Calibri"/>
        </w:rPr>
        <w:t xml:space="preserve"> – Special Programme for Research and Training in Tropical Diseases</w:t>
      </w:r>
    </w:p>
    <w:p w14:paraId="71070DE0" w14:textId="0D39F976" w:rsidR="006F403E" w:rsidRPr="00D9152B" w:rsidRDefault="006F403E" w:rsidP="006F403E">
      <w:pPr>
        <w:rPr>
          <w:rFonts w:ascii="Calibri" w:hAnsi="Calibri" w:cs="Calibri"/>
        </w:rPr>
      </w:pPr>
      <w:r w:rsidRPr="00D9152B">
        <w:rPr>
          <w:rFonts w:ascii="Calibri" w:hAnsi="Calibri" w:cs="Calibri"/>
          <w:b/>
        </w:rPr>
        <w:t>UN</w:t>
      </w:r>
      <w:r w:rsidRPr="00D9152B">
        <w:rPr>
          <w:rFonts w:ascii="Calibri" w:hAnsi="Calibri" w:cs="Calibri"/>
        </w:rPr>
        <w:t xml:space="preserve"> – United Nations</w:t>
      </w:r>
    </w:p>
    <w:p w14:paraId="36AC41D0" w14:textId="1282DEA8" w:rsidR="006F403E" w:rsidRPr="00D9152B" w:rsidRDefault="006F403E" w:rsidP="006F403E">
      <w:pPr>
        <w:rPr>
          <w:rFonts w:ascii="Calibri" w:hAnsi="Calibri" w:cs="Calibri"/>
        </w:rPr>
      </w:pPr>
      <w:r w:rsidRPr="00D9152B">
        <w:rPr>
          <w:rFonts w:ascii="Calibri" w:hAnsi="Calibri" w:cs="Calibri"/>
          <w:b/>
        </w:rPr>
        <w:lastRenderedPageBreak/>
        <w:t>UNDP</w:t>
      </w:r>
      <w:r w:rsidRPr="00D9152B">
        <w:rPr>
          <w:rFonts w:ascii="Calibri" w:hAnsi="Calibri" w:cs="Calibri"/>
        </w:rPr>
        <w:t xml:space="preserve"> – United Nations Development Programme</w:t>
      </w:r>
    </w:p>
    <w:p w14:paraId="096590B9" w14:textId="6E8B8CEF" w:rsidR="006F403E" w:rsidRPr="00D9152B" w:rsidRDefault="006F403E" w:rsidP="006F403E">
      <w:pPr>
        <w:rPr>
          <w:rFonts w:ascii="Calibri" w:hAnsi="Calibri" w:cs="Calibri"/>
        </w:rPr>
      </w:pPr>
      <w:r w:rsidRPr="00D9152B">
        <w:rPr>
          <w:rFonts w:ascii="Calibri" w:hAnsi="Calibri" w:cs="Calibri"/>
          <w:b/>
        </w:rPr>
        <w:t>UNESCO</w:t>
      </w:r>
      <w:r w:rsidRPr="00D9152B">
        <w:rPr>
          <w:rFonts w:ascii="Calibri" w:hAnsi="Calibri" w:cs="Calibri"/>
        </w:rPr>
        <w:t xml:space="preserve"> – United Nations Educational, Scientific and Cultural Organization</w:t>
      </w:r>
    </w:p>
    <w:p w14:paraId="7AAA9DD0" w14:textId="1818F31D" w:rsidR="0054751F" w:rsidRPr="00D9152B" w:rsidRDefault="0054751F" w:rsidP="006F403E">
      <w:pPr>
        <w:rPr>
          <w:rFonts w:ascii="Calibri" w:hAnsi="Calibri" w:cs="Calibri"/>
        </w:rPr>
      </w:pPr>
      <w:r w:rsidRPr="00D9152B">
        <w:rPr>
          <w:rFonts w:ascii="Calibri" w:hAnsi="Calibri" w:cs="Calibri"/>
          <w:b/>
        </w:rPr>
        <w:t>UNFPA</w:t>
      </w:r>
      <w:r w:rsidRPr="00D9152B">
        <w:rPr>
          <w:rFonts w:ascii="Calibri" w:hAnsi="Calibri" w:cs="Calibri"/>
        </w:rPr>
        <w:t xml:space="preserve"> – United Nations Population Fund</w:t>
      </w:r>
    </w:p>
    <w:p w14:paraId="186DB99D" w14:textId="6E400D52" w:rsidR="006F403E" w:rsidRPr="00D9152B" w:rsidRDefault="006F403E" w:rsidP="006F403E">
      <w:pPr>
        <w:rPr>
          <w:rFonts w:ascii="Calibri" w:hAnsi="Calibri" w:cs="Calibri"/>
        </w:rPr>
      </w:pPr>
      <w:r w:rsidRPr="00D9152B">
        <w:rPr>
          <w:rFonts w:ascii="Calibri" w:hAnsi="Calibri" w:cs="Calibri"/>
          <w:b/>
        </w:rPr>
        <w:t>UNICEF</w:t>
      </w:r>
      <w:r w:rsidRPr="00D9152B">
        <w:rPr>
          <w:rFonts w:ascii="Calibri" w:hAnsi="Calibri" w:cs="Calibri"/>
        </w:rPr>
        <w:t xml:space="preserve"> – United Nations Children’s Fund</w:t>
      </w:r>
    </w:p>
    <w:p w14:paraId="44767C8C" w14:textId="64078656" w:rsidR="006F403E" w:rsidRPr="00D9152B" w:rsidRDefault="006F403E" w:rsidP="006F403E">
      <w:pPr>
        <w:rPr>
          <w:rFonts w:ascii="Calibri" w:hAnsi="Calibri" w:cs="Calibri"/>
        </w:rPr>
      </w:pPr>
      <w:r w:rsidRPr="00D9152B">
        <w:rPr>
          <w:rFonts w:ascii="Calibri" w:hAnsi="Calibri" w:cs="Calibri"/>
          <w:b/>
        </w:rPr>
        <w:t>USAID</w:t>
      </w:r>
      <w:r w:rsidRPr="00D9152B">
        <w:rPr>
          <w:rFonts w:ascii="Calibri" w:hAnsi="Calibri" w:cs="Calibri"/>
        </w:rPr>
        <w:t xml:space="preserve"> –United States</w:t>
      </w:r>
      <w:r w:rsidR="0054751F" w:rsidRPr="00D9152B">
        <w:rPr>
          <w:rFonts w:ascii="Calibri" w:hAnsi="Calibri" w:cs="Calibri"/>
        </w:rPr>
        <w:t xml:space="preserve"> Agency for International Development</w:t>
      </w:r>
    </w:p>
    <w:p w14:paraId="1094EFC3" w14:textId="5EC9D568" w:rsidR="006F403E" w:rsidRDefault="006F403E" w:rsidP="006F403E">
      <w:pPr>
        <w:rPr>
          <w:rFonts w:ascii="Calibri" w:hAnsi="Calibri" w:cs="Calibri"/>
        </w:rPr>
      </w:pPr>
      <w:r w:rsidRPr="00D9152B">
        <w:rPr>
          <w:rFonts w:ascii="Calibri" w:hAnsi="Calibri" w:cs="Calibri"/>
          <w:b/>
        </w:rPr>
        <w:t>VCU</w:t>
      </w:r>
      <w:r w:rsidRPr="00D9152B">
        <w:rPr>
          <w:rFonts w:ascii="Calibri" w:hAnsi="Calibri" w:cs="Calibri"/>
        </w:rPr>
        <w:t xml:space="preserve"> –</w:t>
      </w:r>
      <w:r w:rsidR="0054751F" w:rsidRPr="00D9152B">
        <w:rPr>
          <w:rFonts w:ascii="Calibri" w:hAnsi="Calibri" w:cs="Calibri"/>
        </w:rPr>
        <w:t xml:space="preserve"> </w:t>
      </w:r>
      <w:r w:rsidRPr="00D9152B">
        <w:rPr>
          <w:rFonts w:ascii="Calibri" w:hAnsi="Calibri" w:cs="Calibri"/>
        </w:rPr>
        <w:t>OCP Vector Control Unit</w:t>
      </w:r>
    </w:p>
    <w:p w14:paraId="000CED3F" w14:textId="6E57AA61" w:rsidR="00890A74" w:rsidRPr="00890A74" w:rsidRDefault="00890A74" w:rsidP="006F403E">
      <w:pPr>
        <w:rPr>
          <w:rFonts w:ascii="Calibri" w:hAnsi="Calibri" w:cs="Calibri"/>
        </w:rPr>
      </w:pPr>
      <w:r>
        <w:rPr>
          <w:rFonts w:ascii="Calibri" w:hAnsi="Calibri" w:cs="Calibri"/>
          <w:b/>
        </w:rPr>
        <w:t xml:space="preserve">WBG </w:t>
      </w:r>
      <w:r>
        <w:rPr>
          <w:rFonts w:ascii="Calibri" w:hAnsi="Calibri" w:cs="Calibri"/>
        </w:rPr>
        <w:t>– World Bank Group</w:t>
      </w:r>
    </w:p>
    <w:p w14:paraId="3CBECAB5" w14:textId="165B1065" w:rsidR="006F403E" w:rsidRPr="00D9152B" w:rsidRDefault="006F403E" w:rsidP="006F403E">
      <w:pPr>
        <w:rPr>
          <w:rFonts w:ascii="Calibri" w:hAnsi="Calibri" w:cs="Calibri"/>
        </w:rPr>
      </w:pPr>
      <w:r w:rsidRPr="00D9152B">
        <w:rPr>
          <w:rFonts w:ascii="Calibri" w:hAnsi="Calibri" w:cs="Calibri"/>
          <w:b/>
        </w:rPr>
        <w:t>WDR</w:t>
      </w:r>
      <w:r w:rsidRPr="00D9152B">
        <w:rPr>
          <w:rFonts w:ascii="Calibri" w:hAnsi="Calibri" w:cs="Calibri"/>
        </w:rPr>
        <w:t xml:space="preserve"> – The World Bank’s World Development Report</w:t>
      </w:r>
    </w:p>
    <w:p w14:paraId="7E734470" w14:textId="0C651F33" w:rsidR="006F403E" w:rsidRPr="00D9152B" w:rsidRDefault="006F403E" w:rsidP="006F403E">
      <w:pPr>
        <w:rPr>
          <w:rFonts w:ascii="Calibri" w:hAnsi="Calibri" w:cs="Calibri"/>
        </w:rPr>
      </w:pPr>
      <w:r w:rsidRPr="00D9152B">
        <w:rPr>
          <w:rFonts w:ascii="Calibri" w:hAnsi="Calibri" w:cs="Calibri"/>
          <w:b/>
        </w:rPr>
        <w:t>WHA</w:t>
      </w:r>
      <w:r w:rsidRPr="00D9152B">
        <w:rPr>
          <w:rFonts w:ascii="Calibri" w:hAnsi="Calibri" w:cs="Calibri"/>
        </w:rPr>
        <w:t xml:space="preserve"> </w:t>
      </w:r>
      <w:r w:rsidR="00825DE1" w:rsidRPr="00D9152B">
        <w:rPr>
          <w:rFonts w:ascii="Calibri" w:hAnsi="Calibri" w:cs="Calibri"/>
        </w:rPr>
        <w:t>–</w:t>
      </w:r>
      <w:r w:rsidRPr="00D9152B">
        <w:rPr>
          <w:rFonts w:ascii="Calibri" w:hAnsi="Calibri" w:cs="Calibri"/>
        </w:rPr>
        <w:t xml:space="preserve"> World Health Assembly</w:t>
      </w:r>
      <w:r w:rsidR="00825DE1" w:rsidRPr="00D9152B">
        <w:rPr>
          <w:rFonts w:ascii="Calibri" w:hAnsi="Calibri" w:cs="Calibri"/>
        </w:rPr>
        <w:t xml:space="preserve"> (of the World Health Organization)</w:t>
      </w:r>
    </w:p>
    <w:p w14:paraId="27156FDB" w14:textId="24B77EA2" w:rsidR="006F403E" w:rsidRPr="00D9152B" w:rsidRDefault="006F403E" w:rsidP="006F403E">
      <w:pPr>
        <w:rPr>
          <w:rFonts w:ascii="Calibri" w:hAnsi="Calibri" w:cs="Calibri"/>
        </w:rPr>
      </w:pPr>
      <w:r w:rsidRPr="00D9152B">
        <w:rPr>
          <w:rFonts w:ascii="Calibri" w:hAnsi="Calibri" w:cs="Calibri"/>
          <w:b/>
        </w:rPr>
        <w:t>WHO</w:t>
      </w:r>
      <w:r w:rsidRPr="00D9152B">
        <w:rPr>
          <w:rFonts w:ascii="Calibri" w:hAnsi="Calibri" w:cs="Calibri"/>
        </w:rPr>
        <w:t xml:space="preserve"> – World Health Organization</w:t>
      </w:r>
    </w:p>
    <w:p w14:paraId="584BB8E2" w14:textId="32FA6B46" w:rsidR="00AD5522" w:rsidRPr="00D9152B" w:rsidRDefault="00AD5522" w:rsidP="00AD5522">
      <w:pPr>
        <w:rPr>
          <w:rFonts w:ascii="Calibri" w:hAnsi="Calibri" w:cs="Calibri"/>
        </w:rPr>
      </w:pPr>
      <w:r w:rsidRPr="00D9152B">
        <w:rPr>
          <w:rFonts w:ascii="Calibri" w:hAnsi="Calibri" w:cs="Calibri"/>
        </w:rPr>
        <w:br w:type="page"/>
      </w:r>
    </w:p>
    <w:p w14:paraId="3F5E31E2" w14:textId="77777777" w:rsidR="0057239F" w:rsidRDefault="0057239F">
      <w:pPr>
        <w:spacing w:line="360" w:lineRule="auto"/>
        <w:rPr>
          <w:rFonts w:ascii="Calibri" w:eastAsiaTheme="majorEastAsia" w:hAnsi="Calibri" w:cs="Calibri"/>
          <w:b/>
          <w:color w:val="2E74B5" w:themeColor="accent1" w:themeShade="BF"/>
          <w:sz w:val="36"/>
          <w:szCs w:val="36"/>
        </w:rPr>
      </w:pPr>
      <w:bookmarkStart w:id="5" w:name="_Toc41505580"/>
      <w:r>
        <w:rPr>
          <w:rFonts w:ascii="Calibri" w:hAnsi="Calibri" w:cs="Calibri"/>
          <w:b/>
          <w:sz w:val="36"/>
          <w:szCs w:val="36"/>
        </w:rPr>
        <w:lastRenderedPageBreak/>
        <w:br w:type="page"/>
      </w:r>
    </w:p>
    <w:p w14:paraId="56AF48CB" w14:textId="010BDE5C" w:rsidR="006F403E" w:rsidRPr="00380D9B" w:rsidRDefault="006F403E" w:rsidP="006F403E">
      <w:pPr>
        <w:pStyle w:val="Heading1"/>
        <w:rPr>
          <w:rFonts w:ascii="Calibri" w:hAnsi="Calibri" w:cs="Calibri"/>
          <w:b/>
          <w:sz w:val="36"/>
          <w:szCs w:val="36"/>
        </w:rPr>
      </w:pPr>
      <w:r w:rsidRPr="00380D9B">
        <w:rPr>
          <w:rFonts w:ascii="Calibri" w:hAnsi="Calibri" w:cs="Calibri"/>
          <w:b/>
          <w:sz w:val="36"/>
          <w:szCs w:val="36"/>
        </w:rPr>
        <w:lastRenderedPageBreak/>
        <w:t>List of Figures</w:t>
      </w:r>
      <w:r w:rsidR="003F373B" w:rsidRPr="00380D9B">
        <w:rPr>
          <w:rFonts w:ascii="Calibri" w:hAnsi="Calibri" w:cs="Calibri"/>
          <w:b/>
          <w:sz w:val="36"/>
          <w:szCs w:val="36"/>
        </w:rPr>
        <w:t xml:space="preserve"> and Tables</w:t>
      </w:r>
      <w:bookmarkEnd w:id="5"/>
    </w:p>
    <w:p w14:paraId="6213F642" w14:textId="6209A315" w:rsidR="003C482B" w:rsidRPr="00D9152B" w:rsidRDefault="003C482B" w:rsidP="00AD5522">
      <w:pPr>
        <w:rPr>
          <w:rFonts w:ascii="Calibri" w:hAnsi="Calibri" w:cs="Calibri"/>
        </w:rPr>
      </w:pPr>
    </w:p>
    <w:p w14:paraId="26C24575" w14:textId="01418F17" w:rsidR="004C5A66" w:rsidRPr="00D9152B" w:rsidRDefault="004C5A66" w:rsidP="004C5A66">
      <w:pPr>
        <w:rPr>
          <w:rFonts w:ascii="Calibri" w:hAnsi="Calibri" w:cs="Calibri"/>
          <w:b/>
          <w:sz w:val="28"/>
          <w:szCs w:val="28"/>
        </w:rPr>
      </w:pPr>
      <w:r w:rsidRPr="00D9152B">
        <w:rPr>
          <w:rFonts w:ascii="Calibri" w:hAnsi="Calibri" w:cs="Calibri"/>
          <w:b/>
          <w:sz w:val="28"/>
          <w:szCs w:val="28"/>
        </w:rPr>
        <w:t>Figures</w:t>
      </w:r>
    </w:p>
    <w:p w14:paraId="4B1B1D07" w14:textId="77777777" w:rsidR="00FF4463" w:rsidRPr="00D9152B" w:rsidRDefault="00FF4463" w:rsidP="004C5A66">
      <w:pPr>
        <w:rPr>
          <w:rFonts w:ascii="Calibri" w:hAnsi="Calibri" w:cs="Calibri"/>
          <w:b/>
        </w:rPr>
      </w:pPr>
    </w:p>
    <w:p w14:paraId="34F59A72" w14:textId="1F260289" w:rsidR="003C482B" w:rsidRPr="00D9152B" w:rsidRDefault="003C482B" w:rsidP="00BF09D2">
      <w:pPr>
        <w:ind w:left="567" w:hanging="567"/>
        <w:rPr>
          <w:rFonts w:ascii="Calibri" w:hAnsi="Calibri" w:cs="Calibri"/>
        </w:rPr>
      </w:pPr>
      <w:r w:rsidRPr="00D9152B">
        <w:rPr>
          <w:rFonts w:ascii="Calibri" w:hAnsi="Calibri" w:cs="Calibri"/>
        </w:rPr>
        <w:t>1.1</w:t>
      </w:r>
      <w:r w:rsidR="00BF09D2" w:rsidRPr="00D9152B">
        <w:rPr>
          <w:rFonts w:ascii="Calibri" w:hAnsi="Calibri" w:cs="Calibri"/>
        </w:rPr>
        <w:t xml:space="preserve"> </w:t>
      </w:r>
      <w:r w:rsidRPr="00D9152B">
        <w:rPr>
          <w:rFonts w:ascii="Calibri" w:hAnsi="Calibri" w:cs="Calibri"/>
        </w:rPr>
        <w:t xml:space="preserve"> – The quintessential ‘onchocerciasis image’</w:t>
      </w:r>
    </w:p>
    <w:p w14:paraId="28109251" w14:textId="103C056F" w:rsidR="003C482B" w:rsidRPr="00D9152B" w:rsidRDefault="003C482B" w:rsidP="00BF09D2">
      <w:pPr>
        <w:ind w:left="567" w:hanging="567"/>
        <w:rPr>
          <w:rFonts w:ascii="Calibri" w:hAnsi="Calibri" w:cs="Calibri"/>
        </w:rPr>
      </w:pPr>
      <w:r w:rsidRPr="00D9152B">
        <w:rPr>
          <w:rFonts w:ascii="Calibri" w:hAnsi="Calibri" w:cs="Calibri"/>
        </w:rPr>
        <w:t>1.2</w:t>
      </w:r>
      <w:r w:rsidR="00BF09D2" w:rsidRPr="00D9152B">
        <w:rPr>
          <w:rFonts w:ascii="Calibri" w:hAnsi="Calibri" w:cs="Calibri"/>
        </w:rPr>
        <w:t xml:space="preserve"> </w:t>
      </w:r>
      <w:r w:rsidRPr="00D9152B">
        <w:rPr>
          <w:rFonts w:ascii="Calibri" w:hAnsi="Calibri" w:cs="Calibri"/>
        </w:rPr>
        <w:t xml:space="preserve"> – The onchocerciasis statue at the World Bank</w:t>
      </w:r>
    </w:p>
    <w:p w14:paraId="1140676E" w14:textId="69A9279F" w:rsidR="004C5A66" w:rsidRPr="00D9152B" w:rsidRDefault="003C482B" w:rsidP="00BF09D2">
      <w:pPr>
        <w:ind w:left="567" w:hanging="567"/>
        <w:rPr>
          <w:rFonts w:ascii="Calibri" w:hAnsi="Calibri" w:cs="Calibri"/>
        </w:rPr>
      </w:pPr>
      <w:r w:rsidRPr="00D9152B">
        <w:rPr>
          <w:rFonts w:ascii="Calibri" w:hAnsi="Calibri" w:cs="Calibri"/>
        </w:rPr>
        <w:t>1.3</w:t>
      </w:r>
      <w:r w:rsidR="00BF09D2" w:rsidRPr="00D9152B">
        <w:rPr>
          <w:rFonts w:ascii="Calibri" w:hAnsi="Calibri" w:cs="Calibri"/>
        </w:rPr>
        <w:t xml:space="preserve"> </w:t>
      </w:r>
      <w:r w:rsidR="004C5A66" w:rsidRPr="00D9152B">
        <w:rPr>
          <w:rFonts w:ascii="Calibri" w:hAnsi="Calibri" w:cs="Calibri"/>
        </w:rPr>
        <w:t xml:space="preserve"> – The OCP’s </w:t>
      </w:r>
      <w:r w:rsidR="004C5A66" w:rsidRPr="00D9152B">
        <w:rPr>
          <w:rFonts w:ascii="Calibri" w:hAnsi="Calibri" w:cs="Calibri"/>
          <w:i/>
        </w:rPr>
        <w:t xml:space="preserve">Success in Africa </w:t>
      </w:r>
      <w:r w:rsidR="004C5A66" w:rsidRPr="00D9152B">
        <w:rPr>
          <w:rFonts w:ascii="Calibri" w:hAnsi="Calibri" w:cs="Calibri"/>
        </w:rPr>
        <w:t>book</w:t>
      </w:r>
      <w:r w:rsidR="00242346" w:rsidRPr="00D9152B">
        <w:rPr>
          <w:rFonts w:ascii="Calibri" w:hAnsi="Calibri" w:cs="Calibri"/>
        </w:rPr>
        <w:t xml:space="preserve"> cover</w:t>
      </w:r>
    </w:p>
    <w:p w14:paraId="10E77F5C" w14:textId="1961F6B9" w:rsidR="004C5A66" w:rsidRPr="00D9152B" w:rsidRDefault="004C5A66" w:rsidP="00BF09D2">
      <w:pPr>
        <w:ind w:left="567" w:hanging="567"/>
        <w:rPr>
          <w:rFonts w:ascii="Calibri" w:hAnsi="Calibri" w:cs="Calibri"/>
        </w:rPr>
      </w:pPr>
      <w:r w:rsidRPr="00D9152B">
        <w:rPr>
          <w:rFonts w:ascii="Calibri" w:hAnsi="Calibri" w:cs="Calibri"/>
        </w:rPr>
        <w:t>1.4</w:t>
      </w:r>
      <w:r w:rsidR="00BF09D2" w:rsidRPr="00D9152B">
        <w:rPr>
          <w:rFonts w:ascii="Calibri" w:hAnsi="Calibri" w:cs="Calibri"/>
        </w:rPr>
        <w:t xml:space="preserve"> </w:t>
      </w:r>
      <w:r w:rsidRPr="00D9152B">
        <w:rPr>
          <w:rFonts w:ascii="Calibri" w:hAnsi="Calibri" w:cs="Calibri"/>
        </w:rPr>
        <w:t xml:space="preserve"> – The </w:t>
      </w:r>
      <w:r w:rsidRPr="00D9152B">
        <w:rPr>
          <w:rFonts w:ascii="Calibri" w:hAnsi="Calibri" w:cs="Calibri"/>
          <w:i/>
        </w:rPr>
        <w:t xml:space="preserve">Onchocerca volvulus </w:t>
      </w:r>
      <w:r w:rsidRPr="00D9152B">
        <w:rPr>
          <w:rFonts w:ascii="Calibri" w:hAnsi="Calibri" w:cs="Calibri"/>
        </w:rPr>
        <w:t>(parasite) lifecycle</w:t>
      </w:r>
    </w:p>
    <w:p w14:paraId="332ADC12" w14:textId="5E42E9A0" w:rsidR="00242346" w:rsidRPr="00D9152B" w:rsidRDefault="00242346" w:rsidP="00BF09D2">
      <w:pPr>
        <w:ind w:left="567" w:hanging="567"/>
        <w:rPr>
          <w:rFonts w:ascii="Calibri" w:hAnsi="Calibri" w:cs="Calibri"/>
        </w:rPr>
      </w:pPr>
      <w:r w:rsidRPr="00D9152B">
        <w:rPr>
          <w:rFonts w:ascii="Calibri" w:hAnsi="Calibri" w:cs="Calibri"/>
        </w:rPr>
        <w:t>1.5</w:t>
      </w:r>
      <w:r w:rsidR="00BF09D2" w:rsidRPr="00D9152B">
        <w:rPr>
          <w:rFonts w:ascii="Calibri" w:hAnsi="Calibri" w:cs="Calibri"/>
        </w:rPr>
        <w:t xml:space="preserve"> </w:t>
      </w:r>
      <w:r w:rsidRPr="00D9152B">
        <w:rPr>
          <w:rFonts w:ascii="Calibri" w:hAnsi="Calibri" w:cs="Calibri"/>
        </w:rPr>
        <w:t xml:space="preserve"> – Map of OCP area and extensions</w:t>
      </w:r>
    </w:p>
    <w:p w14:paraId="2EA85915" w14:textId="480997D6" w:rsidR="004C5A66" w:rsidRPr="00D9152B" w:rsidRDefault="004C5A66" w:rsidP="00BF09D2">
      <w:pPr>
        <w:ind w:left="567" w:hanging="567"/>
        <w:rPr>
          <w:rFonts w:ascii="Calibri" w:hAnsi="Calibri" w:cs="Calibri"/>
        </w:rPr>
      </w:pPr>
      <w:r w:rsidRPr="00D9152B">
        <w:rPr>
          <w:rFonts w:ascii="Calibri" w:hAnsi="Calibri" w:cs="Calibri"/>
        </w:rPr>
        <w:t>1.</w:t>
      </w:r>
      <w:r w:rsidR="00242346" w:rsidRPr="00D9152B">
        <w:rPr>
          <w:rFonts w:ascii="Calibri" w:hAnsi="Calibri" w:cs="Calibri"/>
        </w:rPr>
        <w:t>6</w:t>
      </w:r>
      <w:r w:rsidR="00BF09D2" w:rsidRPr="00D9152B">
        <w:rPr>
          <w:rFonts w:ascii="Calibri" w:hAnsi="Calibri" w:cs="Calibri"/>
        </w:rPr>
        <w:t xml:space="preserve"> </w:t>
      </w:r>
      <w:r w:rsidRPr="00D9152B">
        <w:rPr>
          <w:rFonts w:ascii="Calibri" w:hAnsi="Calibri" w:cs="Calibri"/>
        </w:rPr>
        <w:t xml:space="preserve"> – Timeline of pre-OCP onchocerciasis control activities and events</w:t>
      </w:r>
    </w:p>
    <w:p w14:paraId="6A5D8D0D" w14:textId="34303FFA" w:rsidR="004C5A66" w:rsidRPr="00D9152B" w:rsidRDefault="004C5A66" w:rsidP="00BF09D2">
      <w:pPr>
        <w:ind w:left="567" w:hanging="567"/>
        <w:rPr>
          <w:rFonts w:ascii="Calibri" w:hAnsi="Calibri" w:cs="Calibri"/>
        </w:rPr>
      </w:pPr>
      <w:r w:rsidRPr="00D9152B">
        <w:rPr>
          <w:rFonts w:ascii="Calibri" w:hAnsi="Calibri" w:cs="Calibri"/>
        </w:rPr>
        <w:t>1.</w:t>
      </w:r>
      <w:r w:rsidR="00242346" w:rsidRPr="00D9152B">
        <w:rPr>
          <w:rFonts w:ascii="Calibri" w:hAnsi="Calibri" w:cs="Calibri"/>
        </w:rPr>
        <w:t>7</w:t>
      </w:r>
      <w:r w:rsidRPr="00D9152B">
        <w:rPr>
          <w:rFonts w:ascii="Calibri" w:hAnsi="Calibri" w:cs="Calibri"/>
        </w:rPr>
        <w:t xml:space="preserve"> </w:t>
      </w:r>
      <w:r w:rsidR="00BF09D2" w:rsidRPr="00D9152B">
        <w:rPr>
          <w:rFonts w:ascii="Calibri" w:hAnsi="Calibri" w:cs="Calibri"/>
        </w:rPr>
        <w:t xml:space="preserve"> </w:t>
      </w:r>
      <w:r w:rsidRPr="00D9152B">
        <w:rPr>
          <w:rFonts w:ascii="Calibri" w:hAnsi="Calibri" w:cs="Calibri"/>
        </w:rPr>
        <w:t>– Timeline of major OCP and onchocerciasis activities and events, 1974-201</w:t>
      </w:r>
      <w:r w:rsidR="00890A74">
        <w:rPr>
          <w:rFonts w:ascii="Calibri" w:hAnsi="Calibri" w:cs="Calibri"/>
        </w:rPr>
        <w:t>0</w:t>
      </w:r>
    </w:p>
    <w:p w14:paraId="5A2079E6" w14:textId="702E4CC2" w:rsidR="004C5A66" w:rsidRPr="00D9152B" w:rsidRDefault="004C5A66" w:rsidP="00BF09D2">
      <w:pPr>
        <w:ind w:left="567" w:hanging="567"/>
        <w:rPr>
          <w:rFonts w:ascii="Calibri" w:hAnsi="Calibri" w:cs="Calibri"/>
        </w:rPr>
      </w:pPr>
      <w:r w:rsidRPr="00D9152B">
        <w:rPr>
          <w:rFonts w:ascii="Calibri" w:hAnsi="Calibri" w:cs="Calibri"/>
        </w:rPr>
        <w:t>1.</w:t>
      </w:r>
      <w:r w:rsidR="00242346" w:rsidRPr="00D9152B">
        <w:rPr>
          <w:rFonts w:ascii="Calibri" w:hAnsi="Calibri" w:cs="Calibri"/>
        </w:rPr>
        <w:t>8</w:t>
      </w:r>
      <w:r w:rsidRPr="00D9152B">
        <w:rPr>
          <w:rFonts w:ascii="Calibri" w:hAnsi="Calibri" w:cs="Calibri"/>
        </w:rPr>
        <w:t xml:space="preserve"> </w:t>
      </w:r>
      <w:r w:rsidR="00BF09D2" w:rsidRPr="00D9152B">
        <w:rPr>
          <w:rFonts w:ascii="Calibri" w:hAnsi="Calibri" w:cs="Calibri"/>
        </w:rPr>
        <w:t xml:space="preserve"> </w:t>
      </w:r>
      <w:r w:rsidRPr="00D9152B">
        <w:rPr>
          <w:rFonts w:ascii="Calibri" w:hAnsi="Calibri" w:cs="Calibri"/>
        </w:rPr>
        <w:t>– Dissertation guiding questions, by chapter</w:t>
      </w:r>
    </w:p>
    <w:p w14:paraId="3D07DCB6" w14:textId="3B43A3F7" w:rsidR="004C5A66" w:rsidRPr="00D9152B" w:rsidRDefault="004C5A66" w:rsidP="00BF09D2">
      <w:pPr>
        <w:ind w:left="567" w:hanging="567"/>
        <w:rPr>
          <w:rFonts w:ascii="Calibri" w:hAnsi="Calibri" w:cs="Calibri"/>
        </w:rPr>
      </w:pPr>
      <w:r w:rsidRPr="00D9152B">
        <w:rPr>
          <w:rFonts w:ascii="Calibri" w:hAnsi="Calibri" w:cs="Calibri"/>
        </w:rPr>
        <w:t xml:space="preserve">2.1 </w:t>
      </w:r>
      <w:r w:rsidR="00BF09D2" w:rsidRPr="00D9152B">
        <w:rPr>
          <w:rFonts w:ascii="Calibri" w:hAnsi="Calibri" w:cs="Calibri"/>
        </w:rPr>
        <w:t xml:space="preserve"> </w:t>
      </w:r>
      <w:r w:rsidRPr="00D9152B">
        <w:rPr>
          <w:rFonts w:ascii="Calibri" w:hAnsi="Calibri" w:cs="Calibri"/>
        </w:rPr>
        <w:t>– Three theoretical frameworks for understanding success in global health</w:t>
      </w:r>
    </w:p>
    <w:p w14:paraId="7EF2AAE1" w14:textId="2CF60D61" w:rsidR="004C5A66" w:rsidRPr="00D9152B" w:rsidRDefault="004C5A66" w:rsidP="00BF09D2">
      <w:pPr>
        <w:ind w:left="567" w:hanging="567"/>
        <w:rPr>
          <w:rFonts w:ascii="Calibri" w:hAnsi="Calibri" w:cs="Calibri"/>
        </w:rPr>
      </w:pPr>
      <w:r w:rsidRPr="00D9152B">
        <w:rPr>
          <w:rFonts w:ascii="Calibri" w:hAnsi="Calibri" w:cs="Calibri"/>
        </w:rPr>
        <w:t>2.2</w:t>
      </w:r>
      <w:r w:rsidR="00BF09D2" w:rsidRPr="00D9152B">
        <w:rPr>
          <w:rFonts w:ascii="Calibri" w:hAnsi="Calibri" w:cs="Calibri"/>
        </w:rPr>
        <w:t xml:space="preserve"> </w:t>
      </w:r>
      <w:r w:rsidRPr="00D9152B">
        <w:rPr>
          <w:rFonts w:ascii="Calibri" w:hAnsi="Calibri" w:cs="Calibri"/>
        </w:rPr>
        <w:t xml:space="preserve"> – Inclusion and exclusion criteria for literature review </w:t>
      </w:r>
    </w:p>
    <w:p w14:paraId="48A45ABB" w14:textId="766C0320" w:rsidR="00242346" w:rsidRPr="00D9152B" w:rsidRDefault="004C5A66" w:rsidP="00BF09D2">
      <w:pPr>
        <w:ind w:left="567" w:hanging="567"/>
        <w:rPr>
          <w:rFonts w:ascii="Calibri" w:hAnsi="Calibri" w:cs="Calibri"/>
        </w:rPr>
      </w:pPr>
      <w:r w:rsidRPr="00D9152B">
        <w:rPr>
          <w:rFonts w:ascii="Calibri" w:hAnsi="Calibri" w:cs="Calibri"/>
        </w:rPr>
        <w:t xml:space="preserve">3.1 </w:t>
      </w:r>
      <w:r w:rsidR="00BF09D2" w:rsidRPr="00D9152B">
        <w:rPr>
          <w:rFonts w:ascii="Calibri" w:hAnsi="Calibri" w:cs="Calibri"/>
        </w:rPr>
        <w:t xml:space="preserve"> </w:t>
      </w:r>
      <w:r w:rsidRPr="00D9152B">
        <w:rPr>
          <w:rFonts w:ascii="Calibri" w:hAnsi="Calibri" w:cs="Calibri"/>
        </w:rPr>
        <w:t>–</w:t>
      </w:r>
      <w:r w:rsidR="00242346" w:rsidRPr="00D9152B">
        <w:rPr>
          <w:rFonts w:ascii="Calibri" w:hAnsi="Calibri" w:cs="Calibri"/>
        </w:rPr>
        <w:t xml:space="preserve"> The relationship between OCP structural units</w:t>
      </w:r>
    </w:p>
    <w:p w14:paraId="6CB0D1F6" w14:textId="28C0C801" w:rsidR="00242346" w:rsidRPr="00D9152B" w:rsidRDefault="00242346" w:rsidP="00BF09D2">
      <w:pPr>
        <w:ind w:left="567" w:hanging="567"/>
        <w:rPr>
          <w:rFonts w:ascii="Calibri" w:hAnsi="Calibri" w:cs="Calibri"/>
        </w:rPr>
      </w:pPr>
      <w:r w:rsidRPr="00D9152B">
        <w:rPr>
          <w:rFonts w:ascii="Calibri" w:hAnsi="Calibri" w:cs="Calibri"/>
        </w:rPr>
        <w:t>3.2</w:t>
      </w:r>
      <w:r w:rsidR="00BF09D2" w:rsidRPr="00D9152B">
        <w:rPr>
          <w:rFonts w:ascii="Calibri" w:hAnsi="Calibri" w:cs="Calibri"/>
        </w:rPr>
        <w:t xml:space="preserve"> </w:t>
      </w:r>
      <w:r w:rsidRPr="00D9152B">
        <w:rPr>
          <w:rFonts w:ascii="Calibri" w:hAnsi="Calibri" w:cs="Calibri"/>
        </w:rPr>
        <w:t xml:space="preserve"> – References </w:t>
      </w:r>
      <w:r w:rsidR="004240B1" w:rsidRPr="00D9152B">
        <w:rPr>
          <w:rFonts w:ascii="Calibri" w:hAnsi="Calibri" w:cs="Calibri"/>
        </w:rPr>
        <w:t>to OCP success in the global health community over time</w:t>
      </w:r>
    </w:p>
    <w:p w14:paraId="52D9D42D" w14:textId="06C59F11" w:rsidR="004240B1" w:rsidRPr="00D9152B" w:rsidRDefault="004240B1" w:rsidP="00BF09D2">
      <w:pPr>
        <w:ind w:left="567" w:hanging="567"/>
        <w:rPr>
          <w:rFonts w:ascii="Calibri" w:hAnsi="Calibri" w:cs="Calibri"/>
        </w:rPr>
      </w:pPr>
      <w:r w:rsidRPr="00D9152B">
        <w:rPr>
          <w:rFonts w:ascii="Calibri" w:hAnsi="Calibri" w:cs="Calibri"/>
        </w:rPr>
        <w:t>3.3</w:t>
      </w:r>
      <w:r w:rsidR="00BF09D2" w:rsidRPr="00D9152B">
        <w:rPr>
          <w:rFonts w:ascii="Calibri" w:hAnsi="Calibri" w:cs="Calibri"/>
        </w:rPr>
        <w:t xml:space="preserve"> </w:t>
      </w:r>
      <w:r w:rsidRPr="00D9152B">
        <w:rPr>
          <w:rFonts w:ascii="Calibri" w:hAnsi="Calibri" w:cs="Calibri"/>
        </w:rPr>
        <w:t xml:space="preserve"> – References to OCP success in the global health community by metric</w:t>
      </w:r>
    </w:p>
    <w:p w14:paraId="2E6A17AC" w14:textId="6673F457" w:rsidR="004240B1" w:rsidRPr="00D9152B" w:rsidRDefault="004240B1" w:rsidP="00BF09D2">
      <w:pPr>
        <w:ind w:left="567" w:hanging="567"/>
        <w:rPr>
          <w:rFonts w:ascii="Calibri" w:hAnsi="Calibri" w:cs="Calibri"/>
        </w:rPr>
      </w:pPr>
      <w:r w:rsidRPr="00D9152B">
        <w:rPr>
          <w:rFonts w:ascii="Calibri" w:hAnsi="Calibri" w:cs="Calibri"/>
        </w:rPr>
        <w:t>3.4</w:t>
      </w:r>
      <w:r w:rsidR="00BF09D2" w:rsidRPr="00D9152B">
        <w:rPr>
          <w:rFonts w:ascii="Calibri" w:hAnsi="Calibri" w:cs="Calibri"/>
        </w:rPr>
        <w:t xml:space="preserve"> </w:t>
      </w:r>
      <w:r w:rsidRPr="00D9152B">
        <w:rPr>
          <w:rFonts w:ascii="Calibri" w:hAnsi="Calibri" w:cs="Calibri"/>
        </w:rPr>
        <w:t xml:space="preserve"> – References to OCP success in the global health community by component of success</w:t>
      </w:r>
    </w:p>
    <w:p w14:paraId="4B37B9A6" w14:textId="09718B0B" w:rsidR="004240B1" w:rsidRPr="00D9152B" w:rsidRDefault="004240B1" w:rsidP="00BF09D2">
      <w:pPr>
        <w:ind w:left="567" w:hanging="567"/>
        <w:rPr>
          <w:rFonts w:ascii="Calibri" w:hAnsi="Calibri" w:cs="Calibri"/>
        </w:rPr>
      </w:pPr>
      <w:r w:rsidRPr="00D9152B">
        <w:rPr>
          <w:rFonts w:ascii="Calibri" w:hAnsi="Calibri" w:cs="Calibri"/>
        </w:rPr>
        <w:t>3.5</w:t>
      </w:r>
      <w:r w:rsidR="00BF09D2" w:rsidRPr="00D9152B">
        <w:rPr>
          <w:rFonts w:ascii="Calibri" w:hAnsi="Calibri" w:cs="Calibri"/>
        </w:rPr>
        <w:t xml:space="preserve"> </w:t>
      </w:r>
      <w:r w:rsidRPr="00D9152B">
        <w:rPr>
          <w:rFonts w:ascii="Calibri" w:hAnsi="Calibri" w:cs="Calibri"/>
        </w:rPr>
        <w:t xml:space="preserve"> –</w:t>
      </w:r>
      <w:r w:rsidR="00BF09D2" w:rsidRPr="00D9152B">
        <w:rPr>
          <w:rFonts w:ascii="Calibri" w:hAnsi="Calibri" w:cs="Calibri"/>
        </w:rPr>
        <w:t xml:space="preserve"> </w:t>
      </w:r>
      <w:r w:rsidRPr="00D9152B">
        <w:rPr>
          <w:rFonts w:ascii="Calibri" w:hAnsi="Calibri" w:cs="Calibri"/>
        </w:rPr>
        <w:t>References to OCP success in the global health community by specific rationale for each component of success</w:t>
      </w:r>
    </w:p>
    <w:p w14:paraId="23317D72" w14:textId="63EFEBE0" w:rsidR="004240B1" w:rsidRPr="00D9152B" w:rsidRDefault="004240B1" w:rsidP="00BF09D2">
      <w:pPr>
        <w:ind w:left="567" w:hanging="567"/>
        <w:rPr>
          <w:rFonts w:ascii="Calibri" w:hAnsi="Calibri" w:cs="Calibri"/>
        </w:rPr>
      </w:pPr>
      <w:r w:rsidRPr="00D9152B">
        <w:rPr>
          <w:rFonts w:ascii="Calibri" w:hAnsi="Calibri" w:cs="Calibri"/>
        </w:rPr>
        <w:t>3.6</w:t>
      </w:r>
      <w:r w:rsidR="00BF09D2" w:rsidRPr="00D9152B">
        <w:rPr>
          <w:rFonts w:ascii="Calibri" w:hAnsi="Calibri" w:cs="Calibri"/>
        </w:rPr>
        <w:t xml:space="preserve"> </w:t>
      </w:r>
      <w:r w:rsidRPr="00D9152B">
        <w:rPr>
          <w:rFonts w:ascii="Calibri" w:hAnsi="Calibri" w:cs="Calibri"/>
        </w:rPr>
        <w:t xml:space="preserve"> – References to OCP success in World Bank documents by year and type of source</w:t>
      </w:r>
    </w:p>
    <w:p w14:paraId="3F15195F" w14:textId="0638EA23" w:rsidR="004240B1" w:rsidRPr="00D9152B" w:rsidRDefault="004240B1" w:rsidP="00BF09D2">
      <w:pPr>
        <w:ind w:left="567" w:hanging="567"/>
        <w:rPr>
          <w:rFonts w:ascii="Calibri" w:hAnsi="Calibri" w:cs="Calibri"/>
        </w:rPr>
      </w:pPr>
      <w:r w:rsidRPr="00D9152B">
        <w:rPr>
          <w:rFonts w:ascii="Calibri" w:hAnsi="Calibri" w:cs="Calibri"/>
        </w:rPr>
        <w:t>3.7</w:t>
      </w:r>
      <w:r w:rsidR="00BF09D2" w:rsidRPr="00D9152B">
        <w:rPr>
          <w:rFonts w:ascii="Calibri" w:hAnsi="Calibri" w:cs="Calibri"/>
        </w:rPr>
        <w:t xml:space="preserve"> </w:t>
      </w:r>
      <w:r w:rsidRPr="00D9152B">
        <w:rPr>
          <w:rFonts w:ascii="Calibri" w:hAnsi="Calibri" w:cs="Calibri"/>
        </w:rPr>
        <w:t xml:space="preserve"> – References to OCP success in World Bank publications by year</w:t>
      </w:r>
    </w:p>
    <w:p w14:paraId="08F58315" w14:textId="507AFA8F" w:rsidR="004240B1" w:rsidRPr="00D9152B" w:rsidRDefault="004240B1" w:rsidP="00BF09D2">
      <w:pPr>
        <w:ind w:left="567" w:hanging="567"/>
        <w:rPr>
          <w:rFonts w:ascii="Calibri" w:hAnsi="Calibri" w:cs="Calibri"/>
        </w:rPr>
      </w:pPr>
      <w:r w:rsidRPr="00D9152B">
        <w:rPr>
          <w:rFonts w:ascii="Calibri" w:hAnsi="Calibri" w:cs="Calibri"/>
        </w:rPr>
        <w:t>3.8</w:t>
      </w:r>
      <w:r w:rsidR="00BF09D2" w:rsidRPr="00D9152B">
        <w:rPr>
          <w:rFonts w:ascii="Calibri" w:hAnsi="Calibri" w:cs="Calibri"/>
        </w:rPr>
        <w:t xml:space="preserve"> </w:t>
      </w:r>
      <w:r w:rsidRPr="00D9152B">
        <w:rPr>
          <w:rFonts w:ascii="Calibri" w:hAnsi="Calibri" w:cs="Calibri"/>
        </w:rPr>
        <w:t xml:space="preserve"> – References to four components of OCP success in World Bank publications</w:t>
      </w:r>
    </w:p>
    <w:p w14:paraId="3B308D5D" w14:textId="18EB227C" w:rsidR="004240B1" w:rsidRPr="00D9152B" w:rsidRDefault="004240B1" w:rsidP="00BF09D2">
      <w:pPr>
        <w:ind w:left="567" w:hanging="567"/>
        <w:rPr>
          <w:rFonts w:ascii="Calibri" w:hAnsi="Calibri" w:cs="Calibri"/>
        </w:rPr>
      </w:pPr>
      <w:r w:rsidRPr="00D9152B">
        <w:rPr>
          <w:rFonts w:ascii="Calibri" w:hAnsi="Calibri" w:cs="Calibri"/>
        </w:rPr>
        <w:t xml:space="preserve">3.9 </w:t>
      </w:r>
      <w:r w:rsidR="00BF09D2" w:rsidRPr="00D9152B">
        <w:rPr>
          <w:rFonts w:ascii="Calibri" w:hAnsi="Calibri" w:cs="Calibri"/>
        </w:rPr>
        <w:t xml:space="preserve"> </w:t>
      </w:r>
      <w:r w:rsidRPr="00D9152B">
        <w:rPr>
          <w:rFonts w:ascii="Calibri" w:hAnsi="Calibri" w:cs="Calibri"/>
        </w:rPr>
        <w:t>– Categories of the Bank’s first component of success: clear objectives and monitoring</w:t>
      </w:r>
    </w:p>
    <w:p w14:paraId="5FBA55FD" w14:textId="46097D2D" w:rsidR="004240B1" w:rsidRPr="00D9152B" w:rsidRDefault="004240B1" w:rsidP="00BF09D2">
      <w:pPr>
        <w:ind w:left="567" w:hanging="567"/>
        <w:rPr>
          <w:rFonts w:ascii="Calibri" w:hAnsi="Calibri" w:cs="Calibri"/>
        </w:rPr>
      </w:pPr>
      <w:r w:rsidRPr="00D9152B">
        <w:rPr>
          <w:rFonts w:ascii="Calibri" w:hAnsi="Calibri" w:cs="Calibri"/>
        </w:rPr>
        <w:t xml:space="preserve">3.10 – Public health metrics used to justify OCP success in </w:t>
      </w:r>
      <w:r w:rsidR="00763CD0" w:rsidRPr="00D9152B">
        <w:rPr>
          <w:rFonts w:ascii="Calibri" w:hAnsi="Calibri" w:cs="Calibri"/>
        </w:rPr>
        <w:t xml:space="preserve">World </w:t>
      </w:r>
      <w:r w:rsidRPr="00D9152B">
        <w:rPr>
          <w:rFonts w:ascii="Calibri" w:hAnsi="Calibri" w:cs="Calibri"/>
        </w:rPr>
        <w:t>Bank-affiliated publications</w:t>
      </w:r>
    </w:p>
    <w:p w14:paraId="19187330" w14:textId="686F6CD8" w:rsidR="004240B1" w:rsidRPr="00D9152B" w:rsidRDefault="004240B1" w:rsidP="00BF09D2">
      <w:pPr>
        <w:ind w:left="567" w:hanging="567"/>
        <w:rPr>
          <w:rFonts w:ascii="Calibri" w:hAnsi="Calibri" w:cs="Calibri"/>
        </w:rPr>
      </w:pPr>
      <w:r w:rsidRPr="00D9152B">
        <w:rPr>
          <w:rFonts w:ascii="Calibri" w:hAnsi="Calibri" w:cs="Calibri"/>
        </w:rPr>
        <w:t xml:space="preserve">3.11 – Socio-economic metrics used to justify OCP success in </w:t>
      </w:r>
      <w:r w:rsidR="00763CD0" w:rsidRPr="00D9152B">
        <w:rPr>
          <w:rFonts w:ascii="Calibri" w:hAnsi="Calibri" w:cs="Calibri"/>
        </w:rPr>
        <w:t xml:space="preserve">World </w:t>
      </w:r>
      <w:r w:rsidRPr="00D9152B">
        <w:rPr>
          <w:rFonts w:ascii="Calibri" w:hAnsi="Calibri" w:cs="Calibri"/>
        </w:rPr>
        <w:t>Bank-affiliated publications</w:t>
      </w:r>
    </w:p>
    <w:p w14:paraId="26CEF622" w14:textId="7D1FF3A5" w:rsidR="004240B1" w:rsidRPr="00D9152B" w:rsidRDefault="004240B1" w:rsidP="00BF09D2">
      <w:pPr>
        <w:ind w:left="567" w:hanging="567"/>
        <w:rPr>
          <w:rFonts w:ascii="Calibri" w:hAnsi="Calibri" w:cs="Calibri"/>
        </w:rPr>
      </w:pPr>
      <w:r w:rsidRPr="00D9152B">
        <w:rPr>
          <w:rFonts w:ascii="Calibri" w:hAnsi="Calibri" w:cs="Calibri"/>
        </w:rPr>
        <w:t xml:space="preserve">3.12 – Categories of the </w:t>
      </w:r>
      <w:r w:rsidR="00763CD0" w:rsidRPr="00D9152B">
        <w:rPr>
          <w:rFonts w:ascii="Calibri" w:hAnsi="Calibri" w:cs="Calibri"/>
        </w:rPr>
        <w:t xml:space="preserve">World </w:t>
      </w:r>
      <w:r w:rsidRPr="00D9152B">
        <w:rPr>
          <w:rFonts w:ascii="Calibri" w:hAnsi="Calibri" w:cs="Calibri"/>
        </w:rPr>
        <w:t>Bank’s second component of success: partnership</w:t>
      </w:r>
    </w:p>
    <w:p w14:paraId="71678911" w14:textId="656A7AAB" w:rsidR="004240B1" w:rsidRPr="00D9152B" w:rsidRDefault="004240B1" w:rsidP="00BF09D2">
      <w:pPr>
        <w:ind w:left="567" w:hanging="567"/>
        <w:rPr>
          <w:rFonts w:ascii="Calibri" w:hAnsi="Calibri" w:cs="Calibri"/>
        </w:rPr>
      </w:pPr>
      <w:r w:rsidRPr="00D9152B">
        <w:rPr>
          <w:rFonts w:ascii="Calibri" w:hAnsi="Calibri" w:cs="Calibri"/>
        </w:rPr>
        <w:t>3.13 – Citation-tracking for references to success in</w:t>
      </w:r>
      <w:r w:rsidR="00890A74">
        <w:rPr>
          <w:rFonts w:ascii="Calibri" w:hAnsi="Calibri" w:cs="Calibri"/>
        </w:rPr>
        <w:t xml:space="preserve"> the</w:t>
      </w:r>
      <w:r w:rsidRPr="00D9152B">
        <w:rPr>
          <w:rFonts w:ascii="Calibri" w:hAnsi="Calibri" w:cs="Calibri"/>
        </w:rPr>
        <w:t xml:space="preserve"> global health community </w:t>
      </w:r>
    </w:p>
    <w:p w14:paraId="091C4CCB" w14:textId="2BBB565A" w:rsidR="00763CD0" w:rsidRPr="00D9152B" w:rsidRDefault="00763CD0" w:rsidP="00BF09D2">
      <w:pPr>
        <w:ind w:left="567" w:hanging="567"/>
        <w:rPr>
          <w:rFonts w:ascii="Calibri" w:hAnsi="Calibri" w:cs="Calibri"/>
        </w:rPr>
      </w:pPr>
      <w:r w:rsidRPr="00D9152B">
        <w:rPr>
          <w:rFonts w:ascii="Calibri" w:hAnsi="Calibri" w:cs="Calibri"/>
        </w:rPr>
        <w:t>3.14 – World Bank commitments to health sector projects, 1970-2018</w:t>
      </w:r>
    </w:p>
    <w:p w14:paraId="4CEC83AD" w14:textId="47DEA40F" w:rsidR="00763CD0" w:rsidRPr="00D9152B" w:rsidRDefault="00763CD0" w:rsidP="00BF09D2">
      <w:pPr>
        <w:ind w:left="567" w:hanging="567"/>
        <w:rPr>
          <w:rFonts w:ascii="Calibri" w:hAnsi="Calibri" w:cs="Calibri"/>
        </w:rPr>
      </w:pPr>
      <w:r w:rsidRPr="00D9152B">
        <w:rPr>
          <w:rFonts w:ascii="Calibri" w:hAnsi="Calibri" w:cs="Calibri"/>
        </w:rPr>
        <w:t>3.15 – Timeline of major World Bank health sector events, publications, and programmes (1968-2002)</w:t>
      </w:r>
    </w:p>
    <w:p w14:paraId="4348B4EE" w14:textId="504A1EA3" w:rsidR="00763CD0" w:rsidRPr="00D9152B" w:rsidRDefault="00763CD0" w:rsidP="00BF09D2">
      <w:pPr>
        <w:ind w:left="567" w:hanging="567"/>
        <w:rPr>
          <w:rFonts w:ascii="Calibri" w:hAnsi="Calibri" w:cs="Calibri"/>
        </w:rPr>
      </w:pPr>
      <w:r w:rsidRPr="00D9152B">
        <w:rPr>
          <w:rFonts w:ascii="Calibri" w:hAnsi="Calibri" w:cs="Calibri"/>
        </w:rPr>
        <w:t xml:space="preserve">3.16 – Timeline of major </w:t>
      </w:r>
      <w:r w:rsidR="00890A74">
        <w:rPr>
          <w:rFonts w:ascii="Calibri" w:hAnsi="Calibri" w:cs="Calibri"/>
        </w:rPr>
        <w:t>international</w:t>
      </w:r>
      <w:r w:rsidRPr="00D9152B">
        <w:rPr>
          <w:rFonts w:ascii="Calibri" w:hAnsi="Calibri" w:cs="Calibri"/>
        </w:rPr>
        <w:t xml:space="preserve"> health milestones (1954-2002)</w:t>
      </w:r>
    </w:p>
    <w:p w14:paraId="3E4F7691" w14:textId="0F969D0E" w:rsidR="004C5A66" w:rsidRPr="00D9152B" w:rsidRDefault="00766C3E" w:rsidP="00BF09D2">
      <w:pPr>
        <w:rPr>
          <w:rFonts w:ascii="Calibri" w:hAnsi="Calibri" w:cs="Calibri"/>
        </w:rPr>
      </w:pPr>
      <w:r w:rsidRPr="00D9152B">
        <w:rPr>
          <w:rFonts w:ascii="Calibri" w:hAnsi="Calibri" w:cs="Calibri"/>
        </w:rPr>
        <w:t>4.1</w:t>
      </w:r>
      <w:r w:rsidR="00BF09D2" w:rsidRPr="00D9152B">
        <w:rPr>
          <w:rFonts w:ascii="Calibri" w:hAnsi="Calibri" w:cs="Calibri"/>
        </w:rPr>
        <w:t xml:space="preserve"> </w:t>
      </w:r>
      <w:r w:rsidRPr="00D9152B">
        <w:rPr>
          <w:rFonts w:ascii="Calibri" w:hAnsi="Calibri" w:cs="Calibri"/>
        </w:rPr>
        <w:t xml:space="preserve"> – OCP vector and epidemiology data collection strategy</w:t>
      </w:r>
    </w:p>
    <w:p w14:paraId="07904CE0" w14:textId="2013E9CB" w:rsidR="00766C3E" w:rsidRPr="00D9152B" w:rsidRDefault="00766C3E" w:rsidP="00BF09D2">
      <w:pPr>
        <w:ind w:left="567" w:hanging="567"/>
        <w:rPr>
          <w:rFonts w:ascii="Calibri" w:hAnsi="Calibri" w:cs="Calibri"/>
        </w:rPr>
      </w:pPr>
      <w:r w:rsidRPr="00D9152B">
        <w:rPr>
          <w:rFonts w:ascii="Calibri" w:hAnsi="Calibri" w:cs="Calibri"/>
        </w:rPr>
        <w:t>4.2</w:t>
      </w:r>
      <w:r w:rsidR="00BF09D2" w:rsidRPr="00D9152B">
        <w:rPr>
          <w:rFonts w:ascii="Calibri" w:hAnsi="Calibri" w:cs="Calibri"/>
        </w:rPr>
        <w:t xml:space="preserve"> </w:t>
      </w:r>
      <w:r w:rsidRPr="00D9152B">
        <w:rPr>
          <w:rFonts w:ascii="Calibri" w:hAnsi="Calibri" w:cs="Calibri"/>
        </w:rPr>
        <w:t xml:space="preserve"> – USAID impact review’s prediction of increased production in OCP countries</w:t>
      </w:r>
    </w:p>
    <w:p w14:paraId="28014374" w14:textId="36FCE411" w:rsidR="00766C3E" w:rsidRPr="00D9152B" w:rsidRDefault="00766C3E" w:rsidP="00BF09D2">
      <w:pPr>
        <w:ind w:left="567" w:hanging="567"/>
        <w:rPr>
          <w:rFonts w:ascii="Calibri" w:hAnsi="Calibri" w:cs="Calibri"/>
        </w:rPr>
      </w:pPr>
      <w:r w:rsidRPr="00D9152B">
        <w:rPr>
          <w:rFonts w:ascii="Calibri" w:hAnsi="Calibri" w:cs="Calibri"/>
        </w:rPr>
        <w:t>4.3</w:t>
      </w:r>
      <w:r w:rsidR="00BF09D2" w:rsidRPr="00D9152B">
        <w:rPr>
          <w:rFonts w:ascii="Calibri" w:hAnsi="Calibri" w:cs="Calibri"/>
        </w:rPr>
        <w:t xml:space="preserve"> </w:t>
      </w:r>
      <w:r w:rsidRPr="00D9152B">
        <w:rPr>
          <w:rFonts w:ascii="Calibri" w:hAnsi="Calibri" w:cs="Calibri"/>
        </w:rPr>
        <w:t xml:space="preserve"> – Younger and Zongo’s cost-benefit calculations (labour)</w:t>
      </w:r>
    </w:p>
    <w:p w14:paraId="112AAD70" w14:textId="1EC6396B" w:rsidR="00766C3E" w:rsidRPr="00D9152B" w:rsidRDefault="00766C3E" w:rsidP="00BF09D2">
      <w:pPr>
        <w:ind w:left="567" w:hanging="567"/>
        <w:rPr>
          <w:rFonts w:ascii="Calibri" w:hAnsi="Calibri" w:cs="Calibri"/>
        </w:rPr>
      </w:pPr>
      <w:r w:rsidRPr="00D9152B">
        <w:rPr>
          <w:rFonts w:ascii="Calibri" w:hAnsi="Calibri" w:cs="Calibri"/>
        </w:rPr>
        <w:t>4.4</w:t>
      </w:r>
      <w:r w:rsidR="00BF09D2" w:rsidRPr="00D9152B">
        <w:rPr>
          <w:rFonts w:ascii="Calibri" w:hAnsi="Calibri" w:cs="Calibri"/>
        </w:rPr>
        <w:t xml:space="preserve"> </w:t>
      </w:r>
      <w:r w:rsidRPr="00D9152B">
        <w:rPr>
          <w:rFonts w:ascii="Calibri" w:hAnsi="Calibri" w:cs="Calibri"/>
        </w:rPr>
        <w:t xml:space="preserve"> – Younger and Zongo’s cost-benefit calculations (land)</w:t>
      </w:r>
    </w:p>
    <w:p w14:paraId="725195C8" w14:textId="22644347" w:rsidR="00766C3E" w:rsidRPr="00D9152B" w:rsidRDefault="00766C3E" w:rsidP="00BF09D2">
      <w:pPr>
        <w:ind w:left="567" w:hanging="567"/>
        <w:rPr>
          <w:rFonts w:ascii="Calibri" w:hAnsi="Calibri" w:cs="Calibri"/>
        </w:rPr>
      </w:pPr>
      <w:r w:rsidRPr="00D9152B">
        <w:rPr>
          <w:rFonts w:ascii="Calibri" w:hAnsi="Calibri" w:cs="Calibri"/>
        </w:rPr>
        <w:t>4.5</w:t>
      </w:r>
      <w:r w:rsidR="00BF09D2" w:rsidRPr="00D9152B">
        <w:rPr>
          <w:rFonts w:ascii="Calibri" w:hAnsi="Calibri" w:cs="Calibri"/>
        </w:rPr>
        <w:t xml:space="preserve"> </w:t>
      </w:r>
      <w:r w:rsidRPr="00D9152B">
        <w:rPr>
          <w:rFonts w:ascii="Calibri" w:hAnsi="Calibri" w:cs="Calibri"/>
        </w:rPr>
        <w:t xml:space="preserve"> – Kim and Benton’s predicted utilization of OCP lands</w:t>
      </w:r>
      <w:r w:rsidR="00BF09D2" w:rsidRPr="00D9152B">
        <w:rPr>
          <w:rFonts w:ascii="Calibri" w:hAnsi="Calibri" w:cs="Calibri"/>
        </w:rPr>
        <w:t>, 1982-2013</w:t>
      </w:r>
    </w:p>
    <w:p w14:paraId="518189AE" w14:textId="6D629A6E" w:rsidR="00766C3E" w:rsidRPr="00D9152B" w:rsidRDefault="00766C3E" w:rsidP="00BF09D2">
      <w:pPr>
        <w:ind w:left="567" w:hanging="567"/>
        <w:rPr>
          <w:rFonts w:ascii="Calibri" w:hAnsi="Calibri" w:cs="Calibri"/>
        </w:rPr>
      </w:pPr>
      <w:r w:rsidRPr="00D9152B">
        <w:rPr>
          <w:rFonts w:ascii="Calibri" w:hAnsi="Calibri" w:cs="Calibri"/>
        </w:rPr>
        <w:lastRenderedPageBreak/>
        <w:t>4.6</w:t>
      </w:r>
      <w:r w:rsidR="00BF09D2" w:rsidRPr="00D9152B">
        <w:rPr>
          <w:rFonts w:ascii="Calibri" w:hAnsi="Calibri" w:cs="Calibri"/>
        </w:rPr>
        <w:t xml:space="preserve"> </w:t>
      </w:r>
      <w:r w:rsidRPr="00D9152B">
        <w:rPr>
          <w:rFonts w:ascii="Calibri" w:hAnsi="Calibri" w:cs="Calibri"/>
        </w:rPr>
        <w:t xml:space="preserve"> – Example of</w:t>
      </w:r>
      <w:r w:rsidR="00BF09D2" w:rsidRPr="00D9152B">
        <w:rPr>
          <w:rFonts w:ascii="Calibri" w:hAnsi="Calibri" w:cs="Calibri"/>
        </w:rPr>
        <w:t xml:space="preserve"> World</w:t>
      </w:r>
      <w:r w:rsidRPr="00D9152B">
        <w:rPr>
          <w:rFonts w:ascii="Calibri" w:hAnsi="Calibri" w:cs="Calibri"/>
        </w:rPr>
        <w:t xml:space="preserve"> Bank press promotion of </w:t>
      </w:r>
      <w:r w:rsidR="00BF09D2" w:rsidRPr="00D9152B">
        <w:rPr>
          <w:rFonts w:ascii="Calibri" w:hAnsi="Calibri" w:cs="Calibri"/>
        </w:rPr>
        <w:t>the OCP’s</w:t>
      </w:r>
      <w:r w:rsidRPr="00D9152B">
        <w:rPr>
          <w:rFonts w:ascii="Calibri" w:hAnsi="Calibri" w:cs="Calibri"/>
        </w:rPr>
        <w:t xml:space="preserve"> impact on development</w:t>
      </w:r>
    </w:p>
    <w:p w14:paraId="310BF3C3" w14:textId="5D7BAE4F" w:rsidR="00766C3E" w:rsidRPr="00D9152B" w:rsidRDefault="00766C3E" w:rsidP="00BF09D2">
      <w:pPr>
        <w:ind w:left="567" w:hanging="567"/>
        <w:rPr>
          <w:rFonts w:ascii="Calibri" w:hAnsi="Calibri" w:cs="Calibri"/>
        </w:rPr>
      </w:pPr>
      <w:r w:rsidRPr="00D9152B">
        <w:rPr>
          <w:rFonts w:ascii="Calibri" w:hAnsi="Calibri" w:cs="Calibri"/>
        </w:rPr>
        <w:t xml:space="preserve">5.1 – The </w:t>
      </w:r>
      <w:r w:rsidR="00BF09D2" w:rsidRPr="00D9152B">
        <w:rPr>
          <w:rFonts w:ascii="Calibri" w:hAnsi="Calibri" w:cs="Calibri"/>
        </w:rPr>
        <w:t xml:space="preserve">World </w:t>
      </w:r>
      <w:r w:rsidRPr="00D9152B">
        <w:rPr>
          <w:rFonts w:ascii="Calibri" w:hAnsi="Calibri" w:cs="Calibri"/>
        </w:rPr>
        <w:t>Bank’s health component lending, 1962-1978</w:t>
      </w:r>
    </w:p>
    <w:p w14:paraId="134C40C0" w14:textId="48F9204F" w:rsidR="00766C3E" w:rsidRPr="00D9152B" w:rsidRDefault="00766C3E" w:rsidP="00BF09D2">
      <w:pPr>
        <w:ind w:left="567" w:hanging="567"/>
        <w:rPr>
          <w:rFonts w:ascii="Calibri" w:hAnsi="Calibri" w:cs="Calibri"/>
        </w:rPr>
      </w:pPr>
      <w:r w:rsidRPr="00D9152B">
        <w:rPr>
          <w:rFonts w:ascii="Calibri" w:hAnsi="Calibri" w:cs="Calibri"/>
        </w:rPr>
        <w:t>5.2 – The Onchocerciasis Fund basic financing mechanism</w:t>
      </w:r>
    </w:p>
    <w:p w14:paraId="287C03C2" w14:textId="411D5168" w:rsidR="00BF09D2" w:rsidRPr="00D9152B" w:rsidRDefault="00766C3E" w:rsidP="00BF09D2">
      <w:pPr>
        <w:ind w:left="567" w:hanging="567"/>
        <w:rPr>
          <w:rFonts w:ascii="Calibri" w:hAnsi="Calibri" w:cs="Calibri"/>
        </w:rPr>
      </w:pPr>
      <w:r w:rsidRPr="00D9152B">
        <w:rPr>
          <w:rFonts w:ascii="Calibri" w:hAnsi="Calibri" w:cs="Calibri"/>
        </w:rPr>
        <w:t xml:space="preserve">5.3 – </w:t>
      </w:r>
      <w:r w:rsidR="00BF09D2" w:rsidRPr="00D9152B">
        <w:rPr>
          <w:rFonts w:ascii="Calibri" w:hAnsi="Calibri" w:cs="Calibri"/>
        </w:rPr>
        <w:t>Estimate of Onchocerciasis Fund expenditures, by World Bank source</w:t>
      </w:r>
    </w:p>
    <w:p w14:paraId="2E407D99" w14:textId="75F637E3" w:rsidR="00BF09D2" w:rsidRPr="00D9152B" w:rsidRDefault="00766C3E" w:rsidP="00BF09D2">
      <w:pPr>
        <w:ind w:left="567" w:hanging="567"/>
        <w:rPr>
          <w:rFonts w:ascii="Calibri" w:hAnsi="Calibri" w:cs="Calibri"/>
        </w:rPr>
      </w:pPr>
      <w:r w:rsidRPr="00D9152B">
        <w:rPr>
          <w:rFonts w:ascii="Calibri" w:hAnsi="Calibri" w:cs="Calibri"/>
        </w:rPr>
        <w:t xml:space="preserve">5.4 – </w:t>
      </w:r>
      <w:r w:rsidR="00BF09D2" w:rsidRPr="00D9152B">
        <w:rPr>
          <w:rFonts w:ascii="Calibri" w:hAnsi="Calibri" w:cs="Calibri"/>
        </w:rPr>
        <w:t>Comparison of OCP funding by data source, 1974-2002</w:t>
      </w:r>
    </w:p>
    <w:p w14:paraId="43BDBA4D" w14:textId="75FDCBEB" w:rsidR="00766C3E" w:rsidRPr="00D9152B" w:rsidRDefault="00766C3E" w:rsidP="00BF09D2">
      <w:pPr>
        <w:rPr>
          <w:rFonts w:ascii="Calibri" w:hAnsi="Calibri" w:cs="Calibri"/>
        </w:rPr>
      </w:pPr>
      <w:r w:rsidRPr="00D9152B">
        <w:rPr>
          <w:rFonts w:ascii="Calibri" w:hAnsi="Calibri" w:cs="Calibri"/>
        </w:rPr>
        <w:t>5.5 – Total OCP expenditures by phase and category of expenditure</w:t>
      </w:r>
    </w:p>
    <w:p w14:paraId="2484EA4A" w14:textId="58B4189E" w:rsidR="00766C3E" w:rsidRPr="00D9152B" w:rsidRDefault="00766C3E" w:rsidP="00BF09D2">
      <w:pPr>
        <w:ind w:left="567" w:hanging="567"/>
        <w:rPr>
          <w:rFonts w:ascii="Calibri" w:hAnsi="Calibri" w:cs="Calibri"/>
        </w:rPr>
      </w:pPr>
      <w:r w:rsidRPr="00D9152B">
        <w:rPr>
          <w:rFonts w:ascii="Calibri" w:hAnsi="Calibri" w:cs="Calibri"/>
        </w:rPr>
        <w:t>5.6 – Relative OCP expenditures by phase and category of expenditure</w:t>
      </w:r>
    </w:p>
    <w:p w14:paraId="10213FC4" w14:textId="0E3C7513" w:rsidR="00766C3E" w:rsidRPr="00D9152B" w:rsidRDefault="00766C3E" w:rsidP="00BF09D2">
      <w:pPr>
        <w:ind w:left="567" w:hanging="567"/>
        <w:rPr>
          <w:rFonts w:ascii="Calibri" w:hAnsi="Calibri" w:cs="Calibri"/>
        </w:rPr>
      </w:pPr>
      <w:r w:rsidRPr="00D9152B">
        <w:rPr>
          <w:rFonts w:ascii="Calibri" w:hAnsi="Calibri" w:cs="Calibri"/>
        </w:rPr>
        <w:t>5.7 – Total OCP expenditures by program</w:t>
      </w:r>
      <w:r w:rsidR="00656BE2" w:rsidRPr="00D9152B">
        <w:rPr>
          <w:rFonts w:ascii="Calibri" w:hAnsi="Calibri" w:cs="Calibri"/>
        </w:rPr>
        <w:t>me</w:t>
      </w:r>
      <w:r w:rsidRPr="00D9152B">
        <w:rPr>
          <w:rFonts w:ascii="Calibri" w:hAnsi="Calibri" w:cs="Calibri"/>
        </w:rPr>
        <w:t xml:space="preserve"> activity type and phase</w:t>
      </w:r>
    </w:p>
    <w:p w14:paraId="4D107B02" w14:textId="3AD866D1" w:rsidR="00766C3E" w:rsidRPr="00D9152B" w:rsidRDefault="00766C3E" w:rsidP="00BF09D2">
      <w:pPr>
        <w:ind w:left="567" w:hanging="567"/>
        <w:rPr>
          <w:rFonts w:ascii="Calibri" w:hAnsi="Calibri" w:cs="Calibri"/>
        </w:rPr>
      </w:pPr>
      <w:r w:rsidRPr="00D9152B">
        <w:rPr>
          <w:rFonts w:ascii="Calibri" w:hAnsi="Calibri" w:cs="Calibri"/>
        </w:rPr>
        <w:t xml:space="preserve">5.8 – </w:t>
      </w:r>
      <w:r w:rsidR="00BF09D2" w:rsidRPr="00D9152B">
        <w:rPr>
          <w:rFonts w:ascii="Calibri" w:hAnsi="Calibri" w:cs="Calibri"/>
        </w:rPr>
        <w:t>Relative d</w:t>
      </w:r>
      <w:r w:rsidRPr="00D9152B">
        <w:rPr>
          <w:rFonts w:ascii="Calibri" w:hAnsi="Calibri" w:cs="Calibri"/>
        </w:rPr>
        <w:t>onor contributions to the Onchocerciasis Fund by phase</w:t>
      </w:r>
    </w:p>
    <w:p w14:paraId="46B20130" w14:textId="70FE889C" w:rsidR="00766C3E" w:rsidRPr="00D9152B" w:rsidRDefault="00766C3E" w:rsidP="00BF09D2">
      <w:pPr>
        <w:ind w:left="567" w:hanging="567"/>
        <w:rPr>
          <w:rFonts w:ascii="Calibri" w:hAnsi="Calibri" w:cs="Calibri"/>
        </w:rPr>
      </w:pPr>
      <w:r w:rsidRPr="00D9152B">
        <w:rPr>
          <w:rFonts w:ascii="Calibri" w:hAnsi="Calibri" w:cs="Calibri"/>
        </w:rPr>
        <w:t xml:space="preserve">5.9 – </w:t>
      </w:r>
      <w:r w:rsidR="00BF09D2" w:rsidRPr="00D9152B">
        <w:rPr>
          <w:rFonts w:ascii="Calibri" w:hAnsi="Calibri" w:cs="Calibri"/>
        </w:rPr>
        <w:t>Percentage share of o</w:t>
      </w:r>
      <w:r w:rsidRPr="00D9152B">
        <w:rPr>
          <w:rFonts w:ascii="Calibri" w:hAnsi="Calibri" w:cs="Calibri"/>
        </w:rPr>
        <w:t>fficial development assistance by donor</w:t>
      </w:r>
      <w:r w:rsidR="00BF09D2" w:rsidRPr="00D9152B">
        <w:rPr>
          <w:rFonts w:ascii="Calibri" w:hAnsi="Calibri" w:cs="Calibri"/>
        </w:rPr>
        <w:t>, 1970-1997</w:t>
      </w:r>
    </w:p>
    <w:p w14:paraId="572C9365" w14:textId="0619C4A3" w:rsidR="00766C3E" w:rsidRPr="00D9152B" w:rsidRDefault="00766C3E" w:rsidP="00890A74">
      <w:pPr>
        <w:ind w:left="567" w:hanging="567"/>
        <w:rPr>
          <w:rFonts w:ascii="Calibri" w:hAnsi="Calibri" w:cs="Calibri"/>
        </w:rPr>
      </w:pPr>
      <w:r w:rsidRPr="00D9152B">
        <w:rPr>
          <w:rFonts w:ascii="Calibri" w:hAnsi="Calibri" w:cs="Calibri"/>
        </w:rPr>
        <w:t xml:space="preserve">5.10 – </w:t>
      </w:r>
      <w:r w:rsidR="00BF09D2" w:rsidRPr="00D9152B">
        <w:rPr>
          <w:rFonts w:ascii="Calibri" w:hAnsi="Calibri" w:cs="Calibri"/>
        </w:rPr>
        <w:t xml:space="preserve">World </w:t>
      </w:r>
      <w:r w:rsidRPr="00D9152B">
        <w:rPr>
          <w:rFonts w:ascii="Calibri" w:hAnsi="Calibri" w:cs="Calibri"/>
        </w:rPr>
        <w:t xml:space="preserve">Bank </w:t>
      </w:r>
      <w:r w:rsidR="00BF09D2" w:rsidRPr="00D9152B">
        <w:rPr>
          <w:rFonts w:ascii="Calibri" w:hAnsi="Calibri" w:cs="Calibri"/>
        </w:rPr>
        <w:t xml:space="preserve">OCP </w:t>
      </w:r>
      <w:r w:rsidRPr="00D9152B">
        <w:rPr>
          <w:rFonts w:ascii="Calibri" w:hAnsi="Calibri" w:cs="Calibri"/>
        </w:rPr>
        <w:t>donor strategy</w:t>
      </w:r>
      <w:r w:rsidR="00890A74">
        <w:rPr>
          <w:rFonts w:ascii="Calibri" w:hAnsi="Calibri" w:cs="Calibri"/>
        </w:rPr>
        <w:t xml:space="preserve"> –</w:t>
      </w:r>
      <w:r w:rsidRPr="00D9152B">
        <w:rPr>
          <w:rFonts w:ascii="Calibri" w:hAnsi="Calibri" w:cs="Calibri"/>
        </w:rPr>
        <w:t xml:space="preserve"> </w:t>
      </w:r>
      <w:r w:rsidR="005A78EB" w:rsidRPr="00D9152B">
        <w:rPr>
          <w:rFonts w:ascii="Calibri" w:hAnsi="Calibri" w:cs="Calibri"/>
        </w:rPr>
        <w:t>travel and notes</w:t>
      </w:r>
    </w:p>
    <w:p w14:paraId="10E5ED2B" w14:textId="7255A7F6" w:rsidR="005A78EB" w:rsidRPr="00D9152B" w:rsidRDefault="005A78EB" w:rsidP="00BF09D2">
      <w:pPr>
        <w:ind w:left="567" w:hanging="567"/>
        <w:rPr>
          <w:rFonts w:ascii="Calibri" w:hAnsi="Calibri" w:cs="Calibri"/>
        </w:rPr>
      </w:pPr>
      <w:r w:rsidRPr="00D9152B">
        <w:rPr>
          <w:rFonts w:ascii="Calibri" w:hAnsi="Calibri" w:cs="Calibri"/>
        </w:rPr>
        <w:t>5.11 – Excerpts from the</w:t>
      </w:r>
      <w:r w:rsidR="00BF09D2" w:rsidRPr="00D9152B">
        <w:rPr>
          <w:rFonts w:ascii="Calibri" w:hAnsi="Calibri" w:cs="Calibri"/>
        </w:rPr>
        <w:t xml:space="preserve"> OCP</w:t>
      </w:r>
      <w:r w:rsidRPr="00D9152B">
        <w:rPr>
          <w:rFonts w:ascii="Calibri" w:hAnsi="Calibri" w:cs="Calibri"/>
        </w:rPr>
        <w:t xml:space="preserve"> film script, ‘Mara, the </w:t>
      </w:r>
      <w:r w:rsidR="00BF09D2" w:rsidRPr="00D9152B">
        <w:rPr>
          <w:rFonts w:ascii="Calibri" w:hAnsi="Calibri" w:cs="Calibri"/>
        </w:rPr>
        <w:t>l</w:t>
      </w:r>
      <w:r w:rsidRPr="00D9152B">
        <w:rPr>
          <w:rFonts w:ascii="Calibri" w:hAnsi="Calibri" w:cs="Calibri"/>
        </w:rPr>
        <w:t xml:space="preserve">ion’s </w:t>
      </w:r>
      <w:r w:rsidR="00BF09D2" w:rsidRPr="00D9152B">
        <w:rPr>
          <w:rFonts w:ascii="Calibri" w:hAnsi="Calibri" w:cs="Calibri"/>
        </w:rPr>
        <w:t>l</w:t>
      </w:r>
      <w:r w:rsidRPr="00D9152B">
        <w:rPr>
          <w:rFonts w:ascii="Calibri" w:hAnsi="Calibri" w:cs="Calibri"/>
        </w:rPr>
        <w:t>ook’</w:t>
      </w:r>
    </w:p>
    <w:p w14:paraId="4F6A7C32" w14:textId="41DB9C6C" w:rsidR="005A78EB" w:rsidRPr="00D9152B" w:rsidRDefault="005A78EB" w:rsidP="00BF09D2">
      <w:pPr>
        <w:ind w:left="567" w:hanging="567"/>
        <w:rPr>
          <w:rFonts w:ascii="Calibri" w:hAnsi="Calibri" w:cs="Calibri"/>
        </w:rPr>
      </w:pPr>
      <w:r w:rsidRPr="00D9152B">
        <w:rPr>
          <w:rFonts w:ascii="Calibri" w:hAnsi="Calibri" w:cs="Calibri"/>
        </w:rPr>
        <w:t>5.12 – Components of the Bank’s 1983 onchocerciasis press kit</w:t>
      </w:r>
    </w:p>
    <w:p w14:paraId="210CA3D8" w14:textId="40E7782B" w:rsidR="005A78EB" w:rsidRPr="00D9152B" w:rsidRDefault="005A78EB" w:rsidP="00BF09D2">
      <w:pPr>
        <w:ind w:left="567" w:hanging="567"/>
        <w:rPr>
          <w:rFonts w:ascii="Calibri" w:hAnsi="Calibri" w:cs="Calibri"/>
        </w:rPr>
      </w:pPr>
      <w:r w:rsidRPr="00D9152B">
        <w:rPr>
          <w:rFonts w:ascii="Calibri" w:hAnsi="Calibri" w:cs="Calibri"/>
        </w:rPr>
        <w:t xml:space="preserve">5.13 – </w:t>
      </w:r>
      <w:r w:rsidR="005641C4" w:rsidRPr="00D9152B">
        <w:rPr>
          <w:rFonts w:ascii="Calibri" w:hAnsi="Calibri" w:cs="Calibri"/>
        </w:rPr>
        <w:t xml:space="preserve">Photo of </w:t>
      </w:r>
      <w:r w:rsidRPr="00D9152B">
        <w:rPr>
          <w:rFonts w:ascii="Calibri" w:hAnsi="Calibri" w:cs="Calibri"/>
        </w:rPr>
        <w:t>Robert McNamara and Lewis Preston at the 1992 Fund signing ceremony</w:t>
      </w:r>
    </w:p>
    <w:p w14:paraId="0AF9EB42" w14:textId="3B1E6986" w:rsidR="005641C4" w:rsidRPr="00D9152B" w:rsidRDefault="005641C4" w:rsidP="00BF09D2">
      <w:pPr>
        <w:ind w:left="567" w:hanging="567"/>
        <w:rPr>
          <w:rFonts w:ascii="Calibri" w:hAnsi="Calibri" w:cs="Calibri"/>
        </w:rPr>
      </w:pPr>
      <w:r w:rsidRPr="00D9152B">
        <w:rPr>
          <w:rFonts w:ascii="Calibri" w:hAnsi="Calibri" w:cs="Calibri"/>
        </w:rPr>
        <w:t>5.14 – Summary of underlying lessons on the OCP’s financial management</w:t>
      </w:r>
    </w:p>
    <w:p w14:paraId="068DCECE" w14:textId="42C09885" w:rsidR="005A78EB" w:rsidRPr="00D9152B" w:rsidRDefault="005A78EB" w:rsidP="00BF09D2">
      <w:pPr>
        <w:ind w:left="567" w:hanging="567"/>
        <w:rPr>
          <w:rFonts w:ascii="Calibri" w:hAnsi="Calibri" w:cs="Calibri"/>
        </w:rPr>
      </w:pPr>
      <w:r w:rsidRPr="00D9152B">
        <w:rPr>
          <w:rFonts w:ascii="Calibri" w:hAnsi="Calibri" w:cs="Calibri"/>
        </w:rPr>
        <w:t>6.1 – Example of the Bank’s wariness of WHO economic analyses</w:t>
      </w:r>
    </w:p>
    <w:p w14:paraId="71A7FD61" w14:textId="43B5B396" w:rsidR="005A78EB" w:rsidRPr="00D9152B" w:rsidRDefault="005A78EB" w:rsidP="00BF09D2">
      <w:pPr>
        <w:ind w:left="567" w:hanging="567"/>
        <w:rPr>
          <w:rFonts w:ascii="Calibri" w:hAnsi="Calibri" w:cs="Calibri"/>
        </w:rPr>
      </w:pPr>
      <w:r w:rsidRPr="00D9152B">
        <w:rPr>
          <w:rFonts w:ascii="Calibri" w:hAnsi="Calibri" w:cs="Calibri"/>
        </w:rPr>
        <w:t>6.2 – Annotated FAO copy of an article on the Bank’s African development ideology</w:t>
      </w:r>
      <w:r w:rsidR="005641C4" w:rsidRPr="00D9152B">
        <w:rPr>
          <w:rFonts w:ascii="Calibri" w:hAnsi="Calibri" w:cs="Calibri"/>
        </w:rPr>
        <w:t>, 1982</w:t>
      </w:r>
    </w:p>
    <w:p w14:paraId="7C41CC01" w14:textId="2CA2E5A1" w:rsidR="005A78EB" w:rsidRPr="00D9152B" w:rsidRDefault="005A78EB" w:rsidP="00BF09D2">
      <w:pPr>
        <w:ind w:left="567" w:hanging="567"/>
        <w:rPr>
          <w:rFonts w:ascii="Calibri" w:hAnsi="Calibri" w:cs="Calibri"/>
        </w:rPr>
      </w:pPr>
      <w:r w:rsidRPr="00D9152B">
        <w:rPr>
          <w:rFonts w:ascii="Calibri" w:hAnsi="Calibri" w:cs="Calibri"/>
        </w:rPr>
        <w:t xml:space="preserve">6.3 – </w:t>
      </w:r>
      <w:r w:rsidR="005641C4" w:rsidRPr="00D9152B">
        <w:rPr>
          <w:rFonts w:ascii="Calibri" w:hAnsi="Calibri" w:cs="Calibri"/>
        </w:rPr>
        <w:t xml:space="preserve">World Bank Group Archives </w:t>
      </w:r>
      <w:r w:rsidRPr="00D9152B">
        <w:rPr>
          <w:rFonts w:ascii="Calibri" w:hAnsi="Calibri" w:cs="Calibri"/>
        </w:rPr>
        <w:t>Access to Information file restriction example</w:t>
      </w:r>
    </w:p>
    <w:p w14:paraId="3D3B3B46" w14:textId="25994B67" w:rsidR="005A78EB" w:rsidRPr="00D9152B" w:rsidRDefault="005A78EB" w:rsidP="00BF09D2">
      <w:pPr>
        <w:ind w:left="567" w:hanging="567"/>
        <w:rPr>
          <w:rFonts w:ascii="Calibri" w:hAnsi="Calibri" w:cs="Calibri"/>
        </w:rPr>
      </w:pPr>
      <w:r w:rsidRPr="00D9152B">
        <w:rPr>
          <w:rFonts w:ascii="Calibri" w:hAnsi="Calibri" w:cs="Calibri"/>
        </w:rPr>
        <w:t xml:space="preserve">6.4 – FAO annotations on </w:t>
      </w:r>
      <w:r w:rsidR="005641C4" w:rsidRPr="00D9152B">
        <w:rPr>
          <w:rFonts w:ascii="Calibri" w:hAnsi="Calibri" w:cs="Calibri"/>
        </w:rPr>
        <w:t xml:space="preserve">the </w:t>
      </w:r>
      <w:r w:rsidRPr="00D9152B">
        <w:rPr>
          <w:rFonts w:ascii="Calibri" w:hAnsi="Calibri" w:cs="Calibri"/>
        </w:rPr>
        <w:t>WHO’s capacity to budget</w:t>
      </w:r>
      <w:r w:rsidR="005641C4" w:rsidRPr="00D9152B">
        <w:rPr>
          <w:rFonts w:ascii="Calibri" w:hAnsi="Calibri" w:cs="Calibri"/>
        </w:rPr>
        <w:t>, 1983</w:t>
      </w:r>
    </w:p>
    <w:p w14:paraId="6966074C" w14:textId="6E0432BE" w:rsidR="005A78EB" w:rsidRPr="00D9152B" w:rsidRDefault="005A78EB" w:rsidP="00BF09D2">
      <w:pPr>
        <w:ind w:left="567" w:hanging="567"/>
        <w:rPr>
          <w:rFonts w:ascii="Calibri" w:hAnsi="Calibri" w:cs="Calibri"/>
        </w:rPr>
      </w:pPr>
      <w:r w:rsidRPr="00D9152B">
        <w:rPr>
          <w:rFonts w:ascii="Calibri" w:hAnsi="Calibri" w:cs="Calibri"/>
        </w:rPr>
        <w:t>7.1 – Examples of media coverage of Merck’s ivermectin donation</w:t>
      </w:r>
    </w:p>
    <w:p w14:paraId="321B9969" w14:textId="3971F3D8" w:rsidR="005A78EB" w:rsidRPr="00D9152B" w:rsidRDefault="005A78EB" w:rsidP="00BF09D2">
      <w:pPr>
        <w:ind w:left="567" w:hanging="567"/>
        <w:rPr>
          <w:rFonts w:ascii="Calibri" w:hAnsi="Calibri" w:cs="Calibri"/>
        </w:rPr>
      </w:pPr>
      <w:r w:rsidRPr="00D9152B">
        <w:rPr>
          <w:rFonts w:ascii="Calibri" w:hAnsi="Calibri" w:cs="Calibri"/>
        </w:rPr>
        <w:t>7.2 – Merck CEO’s self-depiction as a ‘Moral Corporation’</w:t>
      </w:r>
    </w:p>
    <w:p w14:paraId="246B5073" w14:textId="5AF5D7C9" w:rsidR="00D46C4E" w:rsidRPr="00D9152B" w:rsidRDefault="005A78EB" w:rsidP="00BF09D2">
      <w:pPr>
        <w:ind w:left="567" w:hanging="567"/>
        <w:rPr>
          <w:rFonts w:ascii="Calibri" w:hAnsi="Calibri" w:cs="Calibri"/>
        </w:rPr>
      </w:pPr>
      <w:r w:rsidRPr="00D9152B">
        <w:rPr>
          <w:rFonts w:ascii="Calibri" w:hAnsi="Calibri" w:cs="Calibri"/>
        </w:rPr>
        <w:t xml:space="preserve">7.3 – </w:t>
      </w:r>
      <w:r w:rsidR="00D46C4E" w:rsidRPr="00D9152B">
        <w:rPr>
          <w:rFonts w:ascii="Calibri" w:hAnsi="Calibri" w:cs="Calibri"/>
        </w:rPr>
        <w:t>Snapshot of the TDR programme in the 1970s-1980s</w:t>
      </w:r>
    </w:p>
    <w:p w14:paraId="63A46827" w14:textId="05ED5233" w:rsidR="005A78EB" w:rsidRPr="00D9152B" w:rsidRDefault="00D46C4E" w:rsidP="00D46C4E">
      <w:pPr>
        <w:ind w:left="567" w:hanging="567"/>
        <w:rPr>
          <w:rFonts w:ascii="Calibri" w:hAnsi="Calibri" w:cs="Calibri"/>
        </w:rPr>
      </w:pPr>
      <w:r w:rsidRPr="00D9152B">
        <w:rPr>
          <w:rFonts w:ascii="Calibri" w:hAnsi="Calibri" w:cs="Calibri"/>
        </w:rPr>
        <w:t xml:space="preserve">7.4 – </w:t>
      </w:r>
      <w:r w:rsidR="005A78EB" w:rsidRPr="00D9152B">
        <w:rPr>
          <w:rFonts w:ascii="Calibri" w:hAnsi="Calibri" w:cs="Calibri"/>
        </w:rPr>
        <w:t>Ciba-Geigy and WHO good faith agreement for onchocerciasis drug development</w:t>
      </w:r>
    </w:p>
    <w:p w14:paraId="0016CE03" w14:textId="707DF151" w:rsidR="005A78EB" w:rsidRPr="00D9152B" w:rsidRDefault="005A78EB" w:rsidP="00BF09D2">
      <w:pPr>
        <w:ind w:left="567" w:hanging="567"/>
        <w:rPr>
          <w:rFonts w:ascii="Calibri" w:hAnsi="Calibri" w:cs="Calibri"/>
        </w:rPr>
      </w:pPr>
      <w:r w:rsidRPr="00D9152B">
        <w:rPr>
          <w:rFonts w:ascii="Calibri" w:hAnsi="Calibri" w:cs="Calibri"/>
        </w:rPr>
        <w:t>8.1 – Timeline of the development of PHC and SPHC</w:t>
      </w:r>
    </w:p>
    <w:p w14:paraId="2A9F9EDF" w14:textId="41E1E4A0" w:rsidR="005A78EB" w:rsidRPr="00D9152B" w:rsidRDefault="005A78EB" w:rsidP="00BF09D2">
      <w:pPr>
        <w:ind w:left="567" w:hanging="567"/>
        <w:rPr>
          <w:rFonts w:ascii="Calibri" w:hAnsi="Calibri" w:cs="Calibri"/>
        </w:rPr>
      </w:pPr>
      <w:r w:rsidRPr="00D9152B">
        <w:rPr>
          <w:rFonts w:ascii="Calibri" w:hAnsi="Calibri" w:cs="Calibri"/>
        </w:rPr>
        <w:t>8.2 – OCP training by country and discipline, 1974-1984</w:t>
      </w:r>
    </w:p>
    <w:p w14:paraId="120CB00F" w14:textId="49CE6D4D" w:rsidR="005A78EB" w:rsidRPr="00D9152B" w:rsidRDefault="005A78EB" w:rsidP="00BF09D2">
      <w:pPr>
        <w:ind w:left="567" w:hanging="567"/>
        <w:rPr>
          <w:rFonts w:ascii="Calibri" w:hAnsi="Calibri" w:cs="Calibri"/>
        </w:rPr>
      </w:pPr>
      <w:r w:rsidRPr="00D9152B">
        <w:rPr>
          <w:rFonts w:ascii="Calibri" w:hAnsi="Calibri" w:cs="Calibri"/>
        </w:rPr>
        <w:t>8.3 – The step-wise transition from mobile teams to CDTI (c. 1988-1995)</w:t>
      </w:r>
    </w:p>
    <w:p w14:paraId="0F4407E8" w14:textId="70886557" w:rsidR="005A78EB" w:rsidRPr="00D9152B" w:rsidRDefault="005A78EB" w:rsidP="00BF09D2">
      <w:pPr>
        <w:ind w:left="567" w:hanging="567"/>
        <w:rPr>
          <w:rFonts w:ascii="Calibri" w:hAnsi="Calibri" w:cs="Calibri"/>
        </w:rPr>
      </w:pPr>
      <w:r w:rsidRPr="00D9152B">
        <w:rPr>
          <w:rFonts w:ascii="Calibri" w:hAnsi="Calibri" w:cs="Calibri"/>
        </w:rPr>
        <w:t>8.4 – Bank notes on the 1994 donor conference and devolution</w:t>
      </w:r>
    </w:p>
    <w:p w14:paraId="3BA4B913" w14:textId="26A985AD" w:rsidR="005A78EB" w:rsidRPr="00364EA3" w:rsidRDefault="005A78EB" w:rsidP="00BF09D2">
      <w:pPr>
        <w:ind w:left="567" w:hanging="567"/>
        <w:rPr>
          <w:rFonts w:ascii="Calibri" w:hAnsi="Calibri" w:cs="Calibri"/>
        </w:rPr>
      </w:pPr>
      <w:r w:rsidRPr="00D9152B">
        <w:rPr>
          <w:rFonts w:ascii="Calibri" w:hAnsi="Calibri" w:cs="Calibri"/>
        </w:rPr>
        <w:t xml:space="preserve">8.5 – Bank notes on the </w:t>
      </w:r>
      <w:r w:rsidRPr="00364EA3">
        <w:rPr>
          <w:rFonts w:ascii="Calibri" w:hAnsi="Calibri" w:cs="Calibri"/>
        </w:rPr>
        <w:t>relationship between the OCP and country health workers</w:t>
      </w:r>
    </w:p>
    <w:p w14:paraId="507A00C2" w14:textId="5A9C595A" w:rsidR="005A78EB" w:rsidRPr="00364EA3" w:rsidRDefault="005A78EB" w:rsidP="00BF09D2">
      <w:pPr>
        <w:ind w:left="567" w:hanging="567"/>
        <w:rPr>
          <w:rFonts w:ascii="Calibri" w:hAnsi="Calibri" w:cs="Calibri"/>
        </w:rPr>
      </w:pPr>
      <w:r w:rsidRPr="00364EA3">
        <w:rPr>
          <w:rFonts w:ascii="Calibri" w:hAnsi="Calibri" w:cs="Calibri"/>
        </w:rPr>
        <w:t>8.6 – Bank staff handwritten reservations about the OCP and PHC strengthening</w:t>
      </w:r>
    </w:p>
    <w:p w14:paraId="7F59800A" w14:textId="1E5F00CE" w:rsidR="00656BE2" w:rsidRPr="00364EA3" w:rsidRDefault="00BA4A1F" w:rsidP="00364EA3">
      <w:pPr>
        <w:ind w:left="567" w:hanging="567"/>
        <w:rPr>
          <w:rFonts w:ascii="Calibri" w:hAnsi="Calibri" w:cs="Calibri"/>
        </w:rPr>
      </w:pPr>
      <w:r w:rsidRPr="00364EA3">
        <w:rPr>
          <w:rFonts w:ascii="Calibri" w:hAnsi="Calibri" w:cs="Calibri"/>
        </w:rPr>
        <w:t>9</w:t>
      </w:r>
      <w:r w:rsidR="00364EA3" w:rsidRPr="00364EA3">
        <w:rPr>
          <w:rFonts w:ascii="Calibri" w:hAnsi="Calibri" w:cs="Calibri"/>
        </w:rPr>
        <w:t>.1 – Evidence of onchocerciasis image staging</w:t>
      </w:r>
    </w:p>
    <w:p w14:paraId="79470BCC" w14:textId="3351F899" w:rsidR="000A3862" w:rsidRPr="00D9152B" w:rsidRDefault="00364EA3" w:rsidP="00BF09D2">
      <w:pPr>
        <w:ind w:left="567" w:hanging="567"/>
        <w:rPr>
          <w:rFonts w:ascii="Calibri" w:hAnsi="Calibri" w:cs="Calibri"/>
        </w:rPr>
      </w:pPr>
      <w:r w:rsidRPr="00364EA3">
        <w:rPr>
          <w:rFonts w:ascii="Calibri" w:hAnsi="Calibri" w:cs="Calibri"/>
        </w:rPr>
        <w:t>9.2</w:t>
      </w:r>
      <w:r w:rsidR="000A3862" w:rsidRPr="00364EA3">
        <w:rPr>
          <w:rFonts w:ascii="Calibri" w:hAnsi="Calibri" w:cs="Calibri"/>
        </w:rPr>
        <w:t xml:space="preserve"> – Brueghel’s ‘The blind leading the blind’</w:t>
      </w:r>
      <w:r w:rsidR="0090298E">
        <w:rPr>
          <w:rFonts w:ascii="Calibri" w:hAnsi="Calibri" w:cs="Calibri"/>
        </w:rPr>
        <w:t xml:space="preserve"> painting</w:t>
      </w:r>
    </w:p>
    <w:p w14:paraId="244E0A66" w14:textId="77777777" w:rsidR="00BA4A1F" w:rsidRPr="00D9152B" w:rsidRDefault="00BA4A1F" w:rsidP="00BF09D2">
      <w:pPr>
        <w:ind w:left="567" w:hanging="567"/>
        <w:rPr>
          <w:rFonts w:ascii="Calibri" w:hAnsi="Calibri" w:cs="Calibri"/>
        </w:rPr>
      </w:pPr>
    </w:p>
    <w:p w14:paraId="3626AC08" w14:textId="77777777" w:rsidR="00766C3E" w:rsidRPr="00D9152B" w:rsidRDefault="00766C3E" w:rsidP="00BF09D2">
      <w:pPr>
        <w:ind w:left="567" w:hanging="567"/>
        <w:rPr>
          <w:rFonts w:ascii="Calibri" w:hAnsi="Calibri" w:cs="Calibri"/>
        </w:rPr>
      </w:pPr>
    </w:p>
    <w:p w14:paraId="400D860A" w14:textId="75F96801" w:rsidR="004C5A66" w:rsidRPr="00D9152B" w:rsidRDefault="004C5A66" w:rsidP="00BF09D2">
      <w:pPr>
        <w:ind w:left="567" w:hanging="567"/>
        <w:rPr>
          <w:rFonts w:ascii="Calibri" w:hAnsi="Calibri" w:cs="Calibri"/>
          <w:b/>
          <w:sz w:val="28"/>
          <w:szCs w:val="28"/>
        </w:rPr>
      </w:pPr>
      <w:r w:rsidRPr="00D9152B">
        <w:rPr>
          <w:rFonts w:ascii="Calibri" w:hAnsi="Calibri" w:cs="Calibri"/>
          <w:b/>
          <w:sz w:val="28"/>
          <w:szCs w:val="28"/>
        </w:rPr>
        <w:t>Tables</w:t>
      </w:r>
    </w:p>
    <w:p w14:paraId="7C17E798" w14:textId="77777777" w:rsidR="00FF4463" w:rsidRPr="00D9152B" w:rsidRDefault="00FF4463" w:rsidP="00BF09D2">
      <w:pPr>
        <w:ind w:left="567" w:hanging="567"/>
        <w:rPr>
          <w:rFonts w:ascii="Calibri" w:hAnsi="Calibri" w:cs="Calibri"/>
          <w:b/>
        </w:rPr>
      </w:pPr>
    </w:p>
    <w:p w14:paraId="319D6FAD" w14:textId="79098B99" w:rsidR="004C5A66" w:rsidRPr="00890A74" w:rsidRDefault="004C5A66" w:rsidP="00890A74">
      <w:pPr>
        <w:pStyle w:val="ListParagraph"/>
        <w:numPr>
          <w:ilvl w:val="1"/>
          <w:numId w:val="24"/>
        </w:numPr>
        <w:rPr>
          <w:rFonts w:ascii="Calibri" w:hAnsi="Calibri" w:cs="Calibri"/>
        </w:rPr>
      </w:pPr>
      <w:r w:rsidRPr="00890A74">
        <w:rPr>
          <w:rFonts w:ascii="Calibri" w:hAnsi="Calibri" w:cs="Calibri"/>
        </w:rPr>
        <w:t xml:space="preserve">– Estimated number of cases of onchocerciasis before </w:t>
      </w:r>
      <w:r w:rsidR="00890A74">
        <w:rPr>
          <w:rFonts w:ascii="Calibri" w:hAnsi="Calibri" w:cs="Calibri"/>
        </w:rPr>
        <w:t xml:space="preserve">the </w:t>
      </w:r>
      <w:r w:rsidRPr="00890A74">
        <w:rPr>
          <w:rFonts w:ascii="Calibri" w:hAnsi="Calibri" w:cs="Calibri"/>
        </w:rPr>
        <w:t>OCP, by country</w:t>
      </w:r>
    </w:p>
    <w:p w14:paraId="25BC8C9C" w14:textId="77777777" w:rsidR="00766C3E" w:rsidRPr="00D9152B" w:rsidRDefault="004C5A66" w:rsidP="00BF09D2">
      <w:pPr>
        <w:ind w:left="567" w:hanging="567"/>
        <w:rPr>
          <w:rFonts w:ascii="Calibri" w:hAnsi="Calibri" w:cs="Calibri"/>
        </w:rPr>
      </w:pPr>
      <w:r w:rsidRPr="00D9152B">
        <w:rPr>
          <w:rFonts w:ascii="Calibri" w:hAnsi="Calibri" w:cs="Calibri"/>
        </w:rPr>
        <w:t>2.1 – Functional descriptions of OCP structural units</w:t>
      </w:r>
    </w:p>
    <w:p w14:paraId="741171C9" w14:textId="77777777" w:rsidR="00766C3E" w:rsidRPr="00D9152B" w:rsidRDefault="00766C3E" w:rsidP="00BF09D2">
      <w:pPr>
        <w:ind w:left="567" w:hanging="567"/>
        <w:rPr>
          <w:rFonts w:ascii="Calibri" w:hAnsi="Calibri" w:cs="Calibri"/>
        </w:rPr>
      </w:pPr>
      <w:r w:rsidRPr="00D9152B">
        <w:rPr>
          <w:rFonts w:ascii="Calibri" w:hAnsi="Calibri" w:cs="Calibri"/>
        </w:rPr>
        <w:t>4.1 – Major epidemiological metrics used during the OCP</w:t>
      </w:r>
    </w:p>
    <w:p w14:paraId="776CAD68" w14:textId="1118C6BD" w:rsidR="00766C3E" w:rsidRPr="00D9152B" w:rsidRDefault="00766C3E" w:rsidP="00BF09D2">
      <w:pPr>
        <w:ind w:left="567" w:hanging="567"/>
        <w:rPr>
          <w:rFonts w:ascii="Calibri" w:hAnsi="Calibri" w:cs="Calibri"/>
        </w:rPr>
      </w:pPr>
      <w:r w:rsidRPr="00D9152B">
        <w:rPr>
          <w:rFonts w:ascii="Calibri" w:hAnsi="Calibri" w:cs="Calibri"/>
        </w:rPr>
        <w:t>4.2 – Summary of major socio-economic models developed during the OCP</w:t>
      </w:r>
    </w:p>
    <w:p w14:paraId="50BDA2F7" w14:textId="4E64D520" w:rsidR="00766C3E" w:rsidRPr="00D9152B" w:rsidRDefault="00766C3E" w:rsidP="00BF09D2">
      <w:pPr>
        <w:ind w:left="567" w:hanging="567"/>
        <w:rPr>
          <w:rFonts w:ascii="Calibri" w:hAnsi="Calibri" w:cs="Calibri"/>
        </w:rPr>
      </w:pPr>
      <w:r w:rsidRPr="00D9152B">
        <w:rPr>
          <w:rFonts w:ascii="Calibri" w:hAnsi="Calibri" w:cs="Calibri"/>
        </w:rPr>
        <w:t xml:space="preserve">4.3 – Summary of </w:t>
      </w:r>
      <w:r w:rsidR="009B3804" w:rsidRPr="00D9152B">
        <w:rPr>
          <w:rFonts w:ascii="Calibri" w:hAnsi="Calibri" w:cs="Calibri"/>
        </w:rPr>
        <w:t xml:space="preserve">variations in </w:t>
      </w:r>
      <w:r w:rsidRPr="00D9152B">
        <w:rPr>
          <w:rFonts w:ascii="Calibri" w:hAnsi="Calibri" w:cs="Calibri"/>
        </w:rPr>
        <w:t>socio-economic metrics developed during the OCP</w:t>
      </w:r>
    </w:p>
    <w:p w14:paraId="386F4E9B" w14:textId="1ED18C9D" w:rsidR="00766C3E" w:rsidRPr="00D9152B" w:rsidRDefault="00766C3E" w:rsidP="00BF09D2">
      <w:pPr>
        <w:ind w:left="567" w:hanging="567"/>
        <w:rPr>
          <w:rFonts w:ascii="Calibri" w:hAnsi="Calibri" w:cs="Calibri"/>
        </w:rPr>
      </w:pPr>
      <w:r w:rsidRPr="00D9152B">
        <w:rPr>
          <w:rFonts w:ascii="Calibri" w:hAnsi="Calibri" w:cs="Calibri"/>
        </w:rPr>
        <w:lastRenderedPageBreak/>
        <w:t>7.1 – Four models put forward for a</w:t>
      </w:r>
      <w:r w:rsidR="00890A74">
        <w:rPr>
          <w:rFonts w:ascii="Calibri" w:hAnsi="Calibri" w:cs="Calibri"/>
        </w:rPr>
        <w:t>n onchocerciasis</w:t>
      </w:r>
      <w:r w:rsidRPr="00D9152B">
        <w:rPr>
          <w:rFonts w:ascii="Calibri" w:hAnsi="Calibri" w:cs="Calibri"/>
        </w:rPr>
        <w:t xml:space="preserve"> chemotherapy partnership</w:t>
      </w:r>
    </w:p>
    <w:p w14:paraId="3833DDF5" w14:textId="77777777" w:rsidR="00766C3E" w:rsidRPr="00D9152B" w:rsidRDefault="00766C3E" w:rsidP="00BF09D2">
      <w:pPr>
        <w:ind w:left="567" w:hanging="567"/>
        <w:rPr>
          <w:rFonts w:ascii="Calibri" w:hAnsi="Calibri" w:cs="Calibri"/>
        </w:rPr>
      </w:pPr>
      <w:r w:rsidRPr="00D9152B">
        <w:rPr>
          <w:rFonts w:ascii="Calibri" w:hAnsi="Calibri" w:cs="Calibri"/>
        </w:rPr>
        <w:t>7.2 – Major OCP chemotherapy research and industrial collaborations</w:t>
      </w:r>
    </w:p>
    <w:p w14:paraId="4136B516" w14:textId="77777777" w:rsidR="00656BE2" w:rsidRPr="00364EA3" w:rsidRDefault="00766C3E" w:rsidP="00BF09D2">
      <w:pPr>
        <w:ind w:left="567" w:hanging="567"/>
        <w:rPr>
          <w:rFonts w:ascii="Calibri" w:hAnsi="Calibri" w:cs="Calibri"/>
        </w:rPr>
      </w:pPr>
      <w:r w:rsidRPr="00D9152B">
        <w:rPr>
          <w:rFonts w:ascii="Calibri" w:hAnsi="Calibri" w:cs="Calibri"/>
        </w:rPr>
        <w:t xml:space="preserve">7.3 – WHO and Merck self-stated contributions to ivermectin </w:t>
      </w:r>
      <w:r w:rsidRPr="00364EA3">
        <w:rPr>
          <w:rFonts w:ascii="Calibri" w:hAnsi="Calibri" w:cs="Calibri"/>
        </w:rPr>
        <w:t>development</w:t>
      </w:r>
    </w:p>
    <w:p w14:paraId="5D8F72FA" w14:textId="2A4720DD" w:rsidR="007E502F" w:rsidRPr="00D9152B" w:rsidRDefault="00656BE2" w:rsidP="00364EA3">
      <w:pPr>
        <w:ind w:left="567" w:hanging="567"/>
        <w:rPr>
          <w:rFonts w:ascii="Calibri" w:hAnsi="Calibri" w:cs="Calibri"/>
        </w:rPr>
      </w:pPr>
      <w:r w:rsidRPr="00364EA3">
        <w:rPr>
          <w:rFonts w:ascii="Calibri" w:hAnsi="Calibri" w:cs="Calibri"/>
        </w:rPr>
        <w:t xml:space="preserve">9.1 – </w:t>
      </w:r>
      <w:r w:rsidR="00364EA3" w:rsidRPr="00364EA3">
        <w:rPr>
          <w:rFonts w:ascii="Calibri" w:hAnsi="Calibri" w:cs="Calibri"/>
        </w:rPr>
        <w:t>Examples of alternative OCP lessons and proposed research questions</w:t>
      </w:r>
      <w:r w:rsidR="00364EA3" w:rsidRPr="00D9152B">
        <w:rPr>
          <w:rFonts w:ascii="Calibri" w:hAnsi="Calibri" w:cs="Calibri"/>
        </w:rPr>
        <w:t xml:space="preserve"> </w:t>
      </w:r>
      <w:r w:rsidR="00AD5522" w:rsidRPr="00D9152B">
        <w:rPr>
          <w:rFonts w:ascii="Calibri" w:hAnsi="Calibri" w:cs="Calibri"/>
        </w:rPr>
        <w:br w:type="page"/>
      </w:r>
    </w:p>
    <w:p w14:paraId="451E870E" w14:textId="77777777" w:rsidR="0057239F" w:rsidRDefault="0057239F">
      <w:pPr>
        <w:spacing w:line="360" w:lineRule="auto"/>
        <w:rPr>
          <w:rFonts w:ascii="Calibri" w:eastAsiaTheme="majorEastAsia" w:hAnsi="Calibri" w:cs="Calibri"/>
          <w:b/>
          <w:color w:val="2E74B5" w:themeColor="accent1" w:themeShade="BF"/>
          <w:sz w:val="36"/>
          <w:szCs w:val="36"/>
        </w:rPr>
      </w:pPr>
      <w:bookmarkStart w:id="6" w:name="_Toc41505581"/>
      <w:r>
        <w:rPr>
          <w:rFonts w:ascii="Calibri" w:hAnsi="Calibri" w:cs="Calibri"/>
          <w:b/>
          <w:sz w:val="36"/>
          <w:szCs w:val="36"/>
        </w:rPr>
        <w:lastRenderedPageBreak/>
        <w:br w:type="page"/>
      </w:r>
    </w:p>
    <w:p w14:paraId="0B940880" w14:textId="1BAC895D" w:rsidR="00413CE4" w:rsidRPr="00D9152B" w:rsidRDefault="00BD580E" w:rsidP="001F4A40">
      <w:pPr>
        <w:pStyle w:val="Heading1"/>
        <w:rPr>
          <w:rFonts w:ascii="Calibri" w:hAnsi="Calibri" w:cs="Calibri"/>
          <w:b/>
          <w:sz w:val="36"/>
          <w:szCs w:val="36"/>
        </w:rPr>
      </w:pPr>
      <w:r w:rsidRPr="00D9152B">
        <w:rPr>
          <w:rFonts w:ascii="Calibri" w:hAnsi="Calibri" w:cs="Calibri"/>
          <w:b/>
          <w:sz w:val="36"/>
          <w:szCs w:val="36"/>
        </w:rPr>
        <w:lastRenderedPageBreak/>
        <w:t>Chapter 1</w:t>
      </w:r>
      <w:r w:rsidR="00E94B66" w:rsidRPr="00D9152B">
        <w:rPr>
          <w:rFonts w:ascii="Calibri" w:hAnsi="Calibri" w:cs="Calibri"/>
          <w:b/>
          <w:sz w:val="36"/>
          <w:szCs w:val="36"/>
        </w:rPr>
        <w:t>.</w:t>
      </w:r>
      <w:bookmarkEnd w:id="6"/>
    </w:p>
    <w:p w14:paraId="511B6E8F" w14:textId="7B93B97F" w:rsidR="00E94B66" w:rsidRPr="00D9152B" w:rsidRDefault="00413CE4" w:rsidP="001F4A40">
      <w:pPr>
        <w:pStyle w:val="Heading1"/>
        <w:rPr>
          <w:rFonts w:ascii="Calibri" w:hAnsi="Calibri" w:cs="Calibri"/>
          <w:b/>
          <w:sz w:val="36"/>
          <w:szCs w:val="36"/>
        </w:rPr>
      </w:pPr>
      <w:bookmarkStart w:id="7" w:name="_Toc41505582"/>
      <w:r w:rsidRPr="00D9152B">
        <w:rPr>
          <w:rFonts w:ascii="Calibri" w:hAnsi="Calibri" w:cs="Calibri"/>
          <w:b/>
          <w:sz w:val="36"/>
          <w:szCs w:val="36"/>
        </w:rPr>
        <w:t>Introduction:</w:t>
      </w:r>
      <w:r w:rsidR="00E94B66" w:rsidRPr="00D9152B">
        <w:rPr>
          <w:rFonts w:ascii="Calibri" w:hAnsi="Calibri" w:cs="Calibri"/>
          <w:b/>
          <w:sz w:val="36"/>
          <w:szCs w:val="36"/>
        </w:rPr>
        <w:t xml:space="preserve"> </w:t>
      </w:r>
      <w:r w:rsidRPr="00D9152B">
        <w:rPr>
          <w:rFonts w:ascii="Calibri" w:hAnsi="Calibri" w:cs="Calibri"/>
          <w:b/>
          <w:sz w:val="36"/>
          <w:szCs w:val="36"/>
        </w:rPr>
        <w:t>The OC</w:t>
      </w:r>
      <w:r w:rsidR="00890A74">
        <w:rPr>
          <w:rFonts w:ascii="Calibri" w:hAnsi="Calibri" w:cs="Calibri"/>
          <w:b/>
          <w:sz w:val="36"/>
          <w:szCs w:val="36"/>
        </w:rPr>
        <w:t>P</w:t>
      </w:r>
      <w:r w:rsidRPr="00D9152B">
        <w:rPr>
          <w:rFonts w:ascii="Calibri" w:hAnsi="Calibri" w:cs="Calibri"/>
          <w:b/>
          <w:sz w:val="36"/>
          <w:szCs w:val="36"/>
        </w:rPr>
        <w:t>,</w:t>
      </w:r>
      <w:r w:rsidR="005737F7" w:rsidRPr="00D9152B">
        <w:rPr>
          <w:rFonts w:ascii="Calibri" w:hAnsi="Calibri" w:cs="Calibri"/>
          <w:b/>
          <w:sz w:val="36"/>
          <w:szCs w:val="36"/>
        </w:rPr>
        <w:t xml:space="preserve"> </w:t>
      </w:r>
      <w:r w:rsidR="00E94B66" w:rsidRPr="00D9152B">
        <w:rPr>
          <w:rFonts w:ascii="Calibri" w:hAnsi="Calibri" w:cs="Calibri"/>
          <w:b/>
          <w:sz w:val="36"/>
          <w:szCs w:val="36"/>
        </w:rPr>
        <w:t>‘Sightless Among Miracles’</w:t>
      </w:r>
      <w:bookmarkEnd w:id="7"/>
    </w:p>
    <w:p w14:paraId="25DAE5BD" w14:textId="77777777" w:rsidR="00523632" w:rsidRPr="00D9152B" w:rsidRDefault="00523632" w:rsidP="00523632">
      <w:pPr>
        <w:pStyle w:val="Heading2"/>
        <w:rPr>
          <w:rFonts w:ascii="Calibri" w:hAnsi="Calibri" w:cs="Calibri"/>
          <w:b/>
        </w:rPr>
      </w:pPr>
    </w:p>
    <w:p w14:paraId="246D54F1" w14:textId="57690D2A" w:rsidR="00E94B66" w:rsidRPr="00D9152B" w:rsidRDefault="002F22C3" w:rsidP="00523632">
      <w:pPr>
        <w:pStyle w:val="Heading2"/>
        <w:rPr>
          <w:rFonts w:ascii="Calibri" w:hAnsi="Calibri" w:cs="Calibri"/>
          <w:b/>
          <w:color w:val="000000" w:themeColor="text1"/>
          <w:sz w:val="26"/>
          <w:szCs w:val="26"/>
        </w:rPr>
      </w:pPr>
      <w:bookmarkStart w:id="8" w:name="_Toc41505583"/>
      <w:r w:rsidRPr="00D9152B">
        <w:rPr>
          <w:rFonts w:ascii="Calibri" w:hAnsi="Calibri" w:cs="Calibri"/>
          <w:b/>
          <w:color w:val="000000" w:themeColor="text1"/>
          <w:sz w:val="26"/>
          <w:szCs w:val="26"/>
        </w:rPr>
        <w:t>1</w:t>
      </w:r>
      <w:r w:rsidR="00523632" w:rsidRPr="00D9152B">
        <w:rPr>
          <w:rFonts w:ascii="Calibri" w:hAnsi="Calibri" w:cs="Calibri"/>
          <w:b/>
          <w:color w:val="000000" w:themeColor="text1"/>
          <w:sz w:val="26"/>
          <w:szCs w:val="26"/>
        </w:rPr>
        <w:t>.1</w:t>
      </w:r>
      <w:r w:rsidRPr="00D9152B">
        <w:rPr>
          <w:rFonts w:ascii="Calibri" w:hAnsi="Calibri" w:cs="Calibri"/>
          <w:b/>
          <w:color w:val="000000" w:themeColor="text1"/>
          <w:sz w:val="26"/>
          <w:szCs w:val="26"/>
        </w:rPr>
        <w:t xml:space="preserve">. </w:t>
      </w:r>
      <w:r w:rsidR="005737F7" w:rsidRPr="00D9152B">
        <w:rPr>
          <w:rFonts w:ascii="Calibri" w:hAnsi="Calibri" w:cs="Calibri"/>
          <w:b/>
          <w:color w:val="000000" w:themeColor="text1"/>
          <w:sz w:val="26"/>
          <w:szCs w:val="26"/>
        </w:rPr>
        <w:t xml:space="preserve">The onchocerciasis image </w:t>
      </w:r>
      <w:r w:rsidR="000A3862" w:rsidRPr="00D9152B">
        <w:rPr>
          <w:rFonts w:ascii="Calibri" w:hAnsi="Calibri" w:cs="Calibri"/>
          <w:b/>
          <w:color w:val="000000" w:themeColor="text1"/>
          <w:sz w:val="26"/>
          <w:szCs w:val="26"/>
        </w:rPr>
        <w:t>&amp;</w:t>
      </w:r>
      <w:r w:rsidR="005737F7" w:rsidRPr="00D9152B">
        <w:rPr>
          <w:rFonts w:ascii="Calibri" w:hAnsi="Calibri" w:cs="Calibri"/>
          <w:b/>
          <w:color w:val="000000" w:themeColor="text1"/>
          <w:sz w:val="26"/>
          <w:szCs w:val="26"/>
        </w:rPr>
        <w:t xml:space="preserve"> self-evident success</w:t>
      </w:r>
      <w:bookmarkEnd w:id="8"/>
    </w:p>
    <w:p w14:paraId="3C359400" w14:textId="1C11699C" w:rsidR="0019763A" w:rsidRPr="00D9152B" w:rsidRDefault="00BD580E" w:rsidP="009440D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Onchocerciasis, a parasitic disease commonly called ‘river blindness’, evokes powerful humanitarian imagery. Since the 1970s, hundreds of newspaper and magazine articles</w:t>
      </w:r>
      <w:r w:rsidR="005C76A9" w:rsidRPr="00D9152B">
        <w:rPr>
          <w:rStyle w:val="FootnoteReference"/>
          <w:rFonts w:ascii="Calibri" w:hAnsi="Calibri" w:cs="Calibri"/>
          <w:sz w:val="22"/>
          <w:szCs w:val="22"/>
        </w:rPr>
        <w:footnoteReference w:id="1"/>
      </w:r>
      <w:r w:rsidRPr="00D9152B">
        <w:rPr>
          <w:rFonts w:ascii="Calibri" w:hAnsi="Calibri" w:cs="Calibri"/>
          <w:sz w:val="22"/>
          <w:szCs w:val="22"/>
        </w:rPr>
        <w:t xml:space="preserve"> and at least ten films</w:t>
      </w:r>
      <w:r w:rsidR="005C76A9" w:rsidRPr="00D9152B">
        <w:rPr>
          <w:rStyle w:val="FootnoteReference"/>
          <w:rFonts w:ascii="Calibri" w:hAnsi="Calibri" w:cs="Calibri"/>
          <w:sz w:val="22"/>
          <w:szCs w:val="22"/>
        </w:rPr>
        <w:footnoteReference w:id="2"/>
      </w:r>
      <w:r w:rsidRPr="00D9152B">
        <w:rPr>
          <w:rFonts w:ascii="Calibri" w:hAnsi="Calibri" w:cs="Calibri"/>
          <w:sz w:val="22"/>
          <w:szCs w:val="22"/>
        </w:rPr>
        <w:t xml:space="preserve"> have transported readers to the West African Sahel, a semi-arid zone sandwiched between the Sahara</w:t>
      </w:r>
      <w:r w:rsidR="00C16894">
        <w:rPr>
          <w:rFonts w:ascii="Calibri" w:hAnsi="Calibri" w:cs="Calibri"/>
          <w:sz w:val="22"/>
          <w:szCs w:val="22"/>
        </w:rPr>
        <w:t>n</w:t>
      </w:r>
      <w:r w:rsidRPr="00D9152B">
        <w:rPr>
          <w:rFonts w:ascii="Calibri" w:hAnsi="Calibri" w:cs="Calibri"/>
          <w:sz w:val="22"/>
          <w:szCs w:val="22"/>
        </w:rPr>
        <w:t xml:space="preserve"> desert in the north and humid savannah lands in the south, where blind sufferers of this ‘ancient scourge’ are led by sticks </w:t>
      </w:r>
      <w:r w:rsidR="003E26A3" w:rsidRPr="00D9152B">
        <w:rPr>
          <w:rFonts w:ascii="Calibri" w:hAnsi="Calibri" w:cs="Calibri"/>
          <w:sz w:val="22"/>
          <w:szCs w:val="22"/>
        </w:rPr>
        <w:t>in</w:t>
      </w:r>
      <w:r w:rsidRPr="00D9152B">
        <w:rPr>
          <w:rFonts w:ascii="Calibri" w:hAnsi="Calibri" w:cs="Calibri"/>
          <w:sz w:val="22"/>
          <w:szCs w:val="22"/>
        </w:rPr>
        <w:t xml:space="preserve"> rural villages. In </w:t>
      </w:r>
      <w:r w:rsidR="004039D6" w:rsidRPr="00D9152B">
        <w:rPr>
          <w:rFonts w:ascii="Calibri" w:hAnsi="Calibri" w:cs="Calibri"/>
          <w:sz w:val="22"/>
          <w:szCs w:val="22"/>
        </w:rPr>
        <w:t>a typical feature</w:t>
      </w:r>
      <w:r w:rsidRPr="00D9152B">
        <w:rPr>
          <w:rFonts w:ascii="Calibri" w:hAnsi="Calibri" w:cs="Calibri"/>
          <w:sz w:val="22"/>
          <w:szCs w:val="22"/>
        </w:rPr>
        <w:t xml:space="preserve"> </w:t>
      </w:r>
      <w:r w:rsidR="00FF3AF3" w:rsidRPr="00D9152B">
        <w:rPr>
          <w:rFonts w:ascii="Calibri" w:hAnsi="Calibri" w:cs="Calibri"/>
          <w:sz w:val="22"/>
          <w:szCs w:val="22"/>
        </w:rPr>
        <w:t>story</w:t>
      </w:r>
      <w:r w:rsidRPr="00D9152B">
        <w:rPr>
          <w:rFonts w:ascii="Calibri" w:hAnsi="Calibri" w:cs="Calibri"/>
          <w:sz w:val="22"/>
          <w:szCs w:val="22"/>
        </w:rPr>
        <w:t>,</w:t>
      </w:r>
      <w:r w:rsidR="00FF3AF3" w:rsidRPr="00D9152B">
        <w:rPr>
          <w:rStyle w:val="FootnoteReference"/>
          <w:rFonts w:ascii="Calibri" w:hAnsi="Calibri" w:cs="Calibri"/>
          <w:sz w:val="22"/>
          <w:szCs w:val="22"/>
        </w:rPr>
        <w:footnoteReference w:id="3"/>
      </w:r>
      <w:r w:rsidRPr="00D9152B">
        <w:rPr>
          <w:rFonts w:ascii="Calibri" w:hAnsi="Calibri" w:cs="Calibri"/>
          <w:sz w:val="22"/>
          <w:szCs w:val="22"/>
        </w:rPr>
        <w:t xml:space="preserve"> the reader meets a few of these ‘living dead’,</w:t>
      </w:r>
      <w:r w:rsidR="00C34A02" w:rsidRPr="00D9152B">
        <w:rPr>
          <w:rStyle w:val="FootnoteReference"/>
          <w:rFonts w:ascii="Calibri" w:hAnsi="Calibri" w:cs="Calibri"/>
          <w:sz w:val="22"/>
          <w:szCs w:val="22"/>
        </w:rPr>
        <w:footnoteReference w:id="4"/>
      </w:r>
      <w:r w:rsidR="00FF180B" w:rsidRPr="00D9152B">
        <w:rPr>
          <w:rFonts w:ascii="Calibri" w:hAnsi="Calibri" w:cs="Calibri"/>
          <w:sz w:val="22"/>
          <w:szCs w:val="22"/>
        </w:rPr>
        <w:t xml:space="preserve"> who </w:t>
      </w:r>
      <w:r w:rsidRPr="00D9152B">
        <w:rPr>
          <w:rFonts w:ascii="Calibri" w:hAnsi="Calibri" w:cs="Calibri"/>
          <w:sz w:val="22"/>
          <w:szCs w:val="22"/>
        </w:rPr>
        <w:t>reinforce the disease’s debilitating personal and societal impacts. Rather than dwelling on wider health and developmental problems in this impoverished reg</w:t>
      </w:r>
      <w:r w:rsidR="00FF3AF3" w:rsidRPr="00D9152B">
        <w:rPr>
          <w:rFonts w:ascii="Calibri" w:hAnsi="Calibri" w:cs="Calibri"/>
          <w:sz w:val="22"/>
          <w:szCs w:val="22"/>
        </w:rPr>
        <w:t xml:space="preserve">ion of Africa, the story </w:t>
      </w:r>
      <w:r w:rsidRPr="00D9152B">
        <w:rPr>
          <w:rFonts w:ascii="Calibri" w:hAnsi="Calibri" w:cs="Calibri"/>
          <w:sz w:val="22"/>
          <w:szCs w:val="22"/>
        </w:rPr>
        <w:t>zoom</w:t>
      </w:r>
      <w:r w:rsidR="00FF3AF3" w:rsidRPr="00D9152B">
        <w:rPr>
          <w:rFonts w:ascii="Calibri" w:hAnsi="Calibri" w:cs="Calibri"/>
          <w:sz w:val="22"/>
          <w:szCs w:val="22"/>
        </w:rPr>
        <w:t>s</w:t>
      </w:r>
      <w:r w:rsidRPr="00D9152B">
        <w:rPr>
          <w:rFonts w:ascii="Calibri" w:hAnsi="Calibri" w:cs="Calibri"/>
          <w:sz w:val="22"/>
          <w:szCs w:val="22"/>
        </w:rPr>
        <w:t>-in to a new source of hope: western technology and its potential to empower</w:t>
      </w:r>
      <w:r w:rsidR="003E26A3" w:rsidRPr="00D9152B">
        <w:rPr>
          <w:rFonts w:ascii="Calibri" w:hAnsi="Calibri" w:cs="Calibri"/>
          <w:sz w:val="22"/>
          <w:szCs w:val="22"/>
        </w:rPr>
        <w:t xml:space="preserve"> people</w:t>
      </w:r>
      <w:r w:rsidRPr="00D9152B">
        <w:rPr>
          <w:rFonts w:ascii="Calibri" w:hAnsi="Calibri" w:cs="Calibri"/>
          <w:sz w:val="22"/>
          <w:szCs w:val="22"/>
        </w:rPr>
        <w:t xml:space="preserve"> to help themselves, by making them healthier. This technology takes the form of helicopters, which spray insecticides to stop disease transmission, and – beginning in the late 1980s – pills, which are donated by a pharmaceutical company. </w:t>
      </w:r>
      <w:r w:rsidR="00FF3AF3" w:rsidRPr="00D9152B">
        <w:rPr>
          <w:rFonts w:ascii="Calibri" w:hAnsi="Calibri" w:cs="Calibri"/>
          <w:sz w:val="22"/>
          <w:szCs w:val="22"/>
        </w:rPr>
        <w:t>The protagonist of the story is</w:t>
      </w:r>
      <w:r w:rsidRPr="00D9152B">
        <w:rPr>
          <w:rFonts w:ascii="Calibri" w:hAnsi="Calibri" w:cs="Calibri"/>
          <w:sz w:val="22"/>
          <w:szCs w:val="22"/>
        </w:rPr>
        <w:t xml:space="preserve"> a regional health programme, the Onchocerciasis Control Programme (OCP)</w:t>
      </w:r>
      <w:r w:rsidR="0019763A" w:rsidRPr="00D9152B">
        <w:rPr>
          <w:rFonts w:ascii="Calibri" w:hAnsi="Calibri" w:cs="Calibri"/>
          <w:sz w:val="22"/>
          <w:szCs w:val="22"/>
        </w:rPr>
        <w:t xml:space="preserve">, </w:t>
      </w:r>
      <w:r w:rsidR="00FF3AF3" w:rsidRPr="00D9152B">
        <w:rPr>
          <w:rFonts w:ascii="Calibri" w:hAnsi="Calibri" w:cs="Calibri"/>
          <w:sz w:val="22"/>
          <w:szCs w:val="22"/>
        </w:rPr>
        <w:lastRenderedPageBreak/>
        <w:t>which represents a unique international partnership with</w:t>
      </w:r>
      <w:r w:rsidR="0019763A" w:rsidRPr="00D9152B">
        <w:rPr>
          <w:rFonts w:ascii="Calibri" w:hAnsi="Calibri" w:cs="Calibri"/>
          <w:sz w:val="22"/>
          <w:szCs w:val="22"/>
        </w:rPr>
        <w:t xml:space="preserve"> a measurable health and economic impact</w:t>
      </w:r>
      <w:r w:rsidRPr="00D9152B">
        <w:rPr>
          <w:rFonts w:ascii="Calibri" w:hAnsi="Calibri" w:cs="Calibri"/>
          <w:sz w:val="22"/>
          <w:szCs w:val="22"/>
        </w:rPr>
        <w:t>.</w:t>
      </w:r>
    </w:p>
    <w:p w14:paraId="546D5E01" w14:textId="2B1E61C4" w:rsidR="00FA6458" w:rsidRPr="00D9152B" w:rsidRDefault="00303578" w:rsidP="009271F3">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Most</w:t>
      </w:r>
      <w:r w:rsidR="0019763A" w:rsidRPr="00D9152B">
        <w:rPr>
          <w:rFonts w:ascii="Calibri" w:hAnsi="Calibri" w:cs="Calibri"/>
          <w:sz w:val="22"/>
          <w:szCs w:val="22"/>
        </w:rPr>
        <w:t xml:space="preserve"> </w:t>
      </w:r>
      <w:r w:rsidR="00FF3AF3" w:rsidRPr="00D9152B">
        <w:rPr>
          <w:rFonts w:ascii="Calibri" w:hAnsi="Calibri" w:cs="Calibri"/>
          <w:sz w:val="22"/>
          <w:szCs w:val="22"/>
        </w:rPr>
        <w:t xml:space="preserve">feature stories </w:t>
      </w:r>
      <w:r w:rsidR="0019763A" w:rsidRPr="00D9152B">
        <w:rPr>
          <w:rFonts w:ascii="Calibri" w:hAnsi="Calibri" w:cs="Calibri"/>
          <w:sz w:val="22"/>
          <w:szCs w:val="22"/>
        </w:rPr>
        <w:t xml:space="preserve">use </w:t>
      </w:r>
      <w:r w:rsidR="00814600" w:rsidRPr="00D9152B">
        <w:rPr>
          <w:rFonts w:ascii="Calibri" w:hAnsi="Calibri" w:cs="Calibri"/>
          <w:sz w:val="22"/>
          <w:szCs w:val="22"/>
        </w:rPr>
        <w:t>visuals</w:t>
      </w:r>
      <w:r w:rsidR="0019763A" w:rsidRPr="00D9152B">
        <w:rPr>
          <w:rFonts w:ascii="Calibri" w:hAnsi="Calibri" w:cs="Calibri"/>
          <w:sz w:val="22"/>
          <w:szCs w:val="22"/>
        </w:rPr>
        <w:t xml:space="preserve"> to depict the OCP as a successful health and development programme.</w:t>
      </w:r>
      <w:r w:rsidRPr="00D9152B">
        <w:rPr>
          <w:rFonts w:ascii="Calibri" w:hAnsi="Calibri" w:cs="Calibri"/>
          <w:sz w:val="22"/>
          <w:szCs w:val="22"/>
        </w:rPr>
        <w:t xml:space="preserve"> </w:t>
      </w:r>
      <w:r w:rsidR="0019763A" w:rsidRPr="00D9152B">
        <w:rPr>
          <w:rFonts w:ascii="Calibri" w:hAnsi="Calibri" w:cs="Calibri"/>
          <w:sz w:val="22"/>
          <w:szCs w:val="22"/>
        </w:rPr>
        <w:t xml:space="preserve">The ‘onchocerciasis image’ – a blind man being led by a child </w:t>
      </w:r>
      <w:r w:rsidR="00FF3AF3" w:rsidRPr="00D9152B">
        <w:rPr>
          <w:rFonts w:ascii="Calibri" w:hAnsi="Calibri" w:cs="Calibri"/>
          <w:sz w:val="22"/>
          <w:szCs w:val="22"/>
        </w:rPr>
        <w:t>with</w:t>
      </w:r>
      <w:r w:rsidR="0019763A" w:rsidRPr="00D9152B">
        <w:rPr>
          <w:rFonts w:ascii="Calibri" w:hAnsi="Calibri" w:cs="Calibri"/>
          <w:sz w:val="22"/>
          <w:szCs w:val="22"/>
        </w:rPr>
        <w:t xml:space="preserve"> a stick – dates back to at least 1952. That year, Lady Jean Wilson accompanied her husband,</w:t>
      </w:r>
      <w:r w:rsidR="003E26A3" w:rsidRPr="00D9152B">
        <w:rPr>
          <w:rFonts w:ascii="Calibri" w:hAnsi="Calibri" w:cs="Calibri"/>
          <w:sz w:val="22"/>
          <w:szCs w:val="22"/>
        </w:rPr>
        <w:t xml:space="preserve"> Sir John Wilson, the d</w:t>
      </w:r>
      <w:r w:rsidR="00FF3AF3" w:rsidRPr="00D9152B">
        <w:rPr>
          <w:rFonts w:ascii="Calibri" w:hAnsi="Calibri" w:cs="Calibri"/>
          <w:sz w:val="22"/>
          <w:szCs w:val="22"/>
        </w:rPr>
        <w:t xml:space="preserve">irector of the </w:t>
      </w:r>
      <w:r w:rsidR="005E5401" w:rsidRPr="00D9152B">
        <w:rPr>
          <w:rFonts w:ascii="Calibri" w:hAnsi="Calibri" w:cs="Calibri"/>
          <w:sz w:val="22"/>
          <w:szCs w:val="22"/>
        </w:rPr>
        <w:t>non-governmental organization (NGO)</w:t>
      </w:r>
      <w:r w:rsidR="00FF3AF3" w:rsidRPr="00D9152B">
        <w:rPr>
          <w:rFonts w:ascii="Calibri" w:hAnsi="Calibri" w:cs="Calibri"/>
          <w:sz w:val="22"/>
          <w:szCs w:val="22"/>
        </w:rPr>
        <w:t xml:space="preserve"> Sightsavers,</w:t>
      </w:r>
      <w:r w:rsidR="0019763A" w:rsidRPr="00D9152B">
        <w:rPr>
          <w:rFonts w:ascii="Calibri" w:hAnsi="Calibri" w:cs="Calibri"/>
          <w:sz w:val="22"/>
          <w:szCs w:val="22"/>
        </w:rPr>
        <w:t xml:space="preserve"> on a trip f</w:t>
      </w:r>
      <w:r w:rsidR="00FF3AF3" w:rsidRPr="00D9152B">
        <w:rPr>
          <w:rFonts w:ascii="Calibri" w:hAnsi="Calibri" w:cs="Calibri"/>
          <w:sz w:val="22"/>
          <w:szCs w:val="22"/>
        </w:rPr>
        <w:t>rom Accra to the Volta River</w:t>
      </w:r>
      <w:r w:rsidR="0019763A" w:rsidRPr="00D9152B">
        <w:rPr>
          <w:rFonts w:ascii="Calibri" w:hAnsi="Calibri" w:cs="Calibri"/>
          <w:sz w:val="22"/>
          <w:szCs w:val="22"/>
        </w:rPr>
        <w:t xml:space="preserve">. Passing through hundreds of villages ‘abandoned for fear of the dreaded infection’, she saw blind men being led by children and blind women using a rope to find village wells. She deemed </w:t>
      </w:r>
      <w:r w:rsidR="003E26A3" w:rsidRPr="00D9152B">
        <w:rPr>
          <w:rFonts w:ascii="Calibri" w:hAnsi="Calibri" w:cs="Calibri"/>
          <w:sz w:val="22"/>
          <w:szCs w:val="22"/>
        </w:rPr>
        <w:t>the Gold Coast (</w:t>
      </w:r>
      <w:r w:rsidR="003147E7" w:rsidRPr="00D9152B">
        <w:rPr>
          <w:rFonts w:ascii="Calibri" w:hAnsi="Calibri" w:cs="Calibri"/>
          <w:sz w:val="22"/>
          <w:szCs w:val="22"/>
        </w:rPr>
        <w:t xml:space="preserve">modern </w:t>
      </w:r>
      <w:r w:rsidR="0019763A" w:rsidRPr="00D9152B">
        <w:rPr>
          <w:rFonts w:ascii="Calibri" w:hAnsi="Calibri" w:cs="Calibri"/>
          <w:sz w:val="22"/>
          <w:szCs w:val="22"/>
        </w:rPr>
        <w:t>Ghana</w:t>
      </w:r>
      <w:r w:rsidR="003E26A3" w:rsidRPr="00D9152B">
        <w:rPr>
          <w:rFonts w:ascii="Calibri" w:hAnsi="Calibri" w:cs="Calibri"/>
          <w:sz w:val="22"/>
          <w:szCs w:val="22"/>
        </w:rPr>
        <w:t>)</w:t>
      </w:r>
      <w:r w:rsidR="0019763A" w:rsidRPr="00D9152B">
        <w:rPr>
          <w:rFonts w:ascii="Calibri" w:hAnsi="Calibri" w:cs="Calibri"/>
          <w:sz w:val="22"/>
          <w:szCs w:val="22"/>
        </w:rPr>
        <w:t xml:space="preserve"> the ‘country of the blind’, and </w:t>
      </w:r>
      <w:r w:rsidR="006F0444" w:rsidRPr="00D9152B">
        <w:rPr>
          <w:rFonts w:ascii="Calibri" w:hAnsi="Calibri" w:cs="Calibri"/>
          <w:sz w:val="22"/>
          <w:szCs w:val="22"/>
        </w:rPr>
        <w:t>onchocerciasis ‘river blindness’, due to its increased prevalence near fertile river basins.</w:t>
      </w:r>
      <w:r w:rsidR="006F0444" w:rsidRPr="00D9152B">
        <w:rPr>
          <w:rStyle w:val="FootnoteReference"/>
          <w:rFonts w:ascii="Calibri" w:hAnsi="Calibri" w:cs="Calibri"/>
          <w:sz w:val="22"/>
          <w:szCs w:val="22"/>
        </w:rPr>
        <w:footnoteReference w:id="5"/>
      </w:r>
      <w:r w:rsidR="00252ECD" w:rsidRPr="00D9152B">
        <w:rPr>
          <w:rFonts w:ascii="Calibri" w:hAnsi="Calibri" w:cs="Calibri"/>
          <w:sz w:val="22"/>
          <w:szCs w:val="22"/>
        </w:rPr>
        <w:t xml:space="preserve"> </w:t>
      </w:r>
      <w:r w:rsidR="00204DB4" w:rsidRPr="00D9152B">
        <w:rPr>
          <w:rFonts w:ascii="Calibri" w:hAnsi="Calibri" w:cs="Calibri"/>
          <w:sz w:val="22"/>
          <w:szCs w:val="22"/>
        </w:rPr>
        <w:t>Figure 1</w:t>
      </w:r>
      <w:r w:rsidR="00890A74">
        <w:rPr>
          <w:rFonts w:ascii="Calibri" w:hAnsi="Calibri" w:cs="Calibri"/>
          <w:sz w:val="22"/>
          <w:szCs w:val="22"/>
        </w:rPr>
        <w:t>.1</w:t>
      </w:r>
      <w:r w:rsidR="00204DB4" w:rsidRPr="00D9152B">
        <w:rPr>
          <w:rFonts w:ascii="Calibri" w:hAnsi="Calibri" w:cs="Calibri"/>
          <w:sz w:val="22"/>
          <w:szCs w:val="22"/>
        </w:rPr>
        <w:t xml:space="preserve"> shows one of the earliest and most famous onchocerciasis image photographs. </w:t>
      </w:r>
      <w:r w:rsidR="00FF3AF3" w:rsidRPr="00D9152B">
        <w:rPr>
          <w:rFonts w:ascii="Calibri" w:hAnsi="Calibri" w:cs="Calibri"/>
          <w:sz w:val="22"/>
          <w:szCs w:val="22"/>
        </w:rPr>
        <w:t xml:space="preserve">A 1987 feature story in the </w:t>
      </w:r>
      <w:r w:rsidR="00FF3AF3" w:rsidRPr="00D9152B">
        <w:rPr>
          <w:rFonts w:ascii="Calibri" w:hAnsi="Calibri" w:cs="Calibri"/>
          <w:i/>
          <w:sz w:val="22"/>
          <w:szCs w:val="22"/>
        </w:rPr>
        <w:t xml:space="preserve">New York Times </w:t>
      </w:r>
      <w:r w:rsidR="00FF3AF3" w:rsidRPr="00D9152B">
        <w:rPr>
          <w:rFonts w:ascii="Calibri" w:hAnsi="Calibri" w:cs="Calibri"/>
          <w:sz w:val="22"/>
          <w:szCs w:val="22"/>
        </w:rPr>
        <w:t>similarly pointed to the ‘medieval sight of a small child leading blind men linked by poles’</w:t>
      </w:r>
      <w:r w:rsidR="008A1977" w:rsidRPr="00D9152B">
        <w:rPr>
          <w:rFonts w:ascii="Calibri" w:hAnsi="Calibri" w:cs="Calibri"/>
          <w:sz w:val="22"/>
          <w:szCs w:val="22"/>
        </w:rPr>
        <w:t>.</w:t>
      </w:r>
      <w:r w:rsidR="008A1977" w:rsidRPr="00D9152B">
        <w:rPr>
          <w:rStyle w:val="FootnoteReference"/>
          <w:rFonts w:ascii="Calibri" w:hAnsi="Calibri" w:cs="Calibri"/>
          <w:sz w:val="22"/>
          <w:szCs w:val="22"/>
        </w:rPr>
        <w:footnoteReference w:id="6"/>
      </w:r>
      <w:r w:rsidR="008A1977" w:rsidRPr="00D9152B">
        <w:rPr>
          <w:rFonts w:ascii="Calibri" w:hAnsi="Calibri" w:cs="Calibri"/>
          <w:sz w:val="22"/>
          <w:szCs w:val="22"/>
        </w:rPr>
        <w:t xml:space="preserve"> Countless publications targeted at donors, global health practitioners, and the general public have featured variations of this same image, from the 1960s to today</w:t>
      </w:r>
      <w:r w:rsidR="000A2AC0" w:rsidRPr="00D9152B">
        <w:rPr>
          <w:rFonts w:ascii="Calibri" w:hAnsi="Calibri" w:cs="Calibri"/>
          <w:sz w:val="22"/>
          <w:szCs w:val="22"/>
        </w:rPr>
        <w:t xml:space="preserve"> (Appendix II includes more examples)</w:t>
      </w:r>
      <w:r w:rsidR="008A1977" w:rsidRPr="00D9152B">
        <w:rPr>
          <w:rFonts w:ascii="Calibri" w:hAnsi="Calibri" w:cs="Calibri"/>
          <w:sz w:val="22"/>
          <w:szCs w:val="22"/>
        </w:rPr>
        <w:t>.</w:t>
      </w:r>
      <w:r w:rsidR="008A1977" w:rsidRPr="00D9152B">
        <w:rPr>
          <w:rStyle w:val="FootnoteReference"/>
          <w:rFonts w:ascii="Calibri" w:hAnsi="Calibri" w:cs="Calibri"/>
          <w:sz w:val="22"/>
          <w:szCs w:val="22"/>
        </w:rPr>
        <w:footnoteReference w:id="7"/>
      </w:r>
      <w:r w:rsidR="00302392" w:rsidRPr="00D9152B">
        <w:rPr>
          <w:rFonts w:ascii="Calibri" w:hAnsi="Calibri" w:cs="Calibri"/>
          <w:sz w:val="22"/>
          <w:szCs w:val="22"/>
        </w:rPr>
        <w:t xml:space="preserve"> As Bill Moyers </w:t>
      </w:r>
      <w:r w:rsidR="009271F3" w:rsidRPr="00D9152B">
        <w:rPr>
          <w:rFonts w:ascii="Calibri" w:hAnsi="Calibri" w:cs="Calibri"/>
          <w:sz w:val="22"/>
          <w:szCs w:val="22"/>
        </w:rPr>
        <w:t xml:space="preserve">– </w:t>
      </w:r>
      <w:r w:rsidR="00302392" w:rsidRPr="00D9152B">
        <w:rPr>
          <w:rFonts w:ascii="Calibri" w:hAnsi="Calibri" w:cs="Calibri"/>
          <w:sz w:val="22"/>
          <w:szCs w:val="22"/>
        </w:rPr>
        <w:t xml:space="preserve">later the host of </w:t>
      </w:r>
      <w:r w:rsidR="00302392" w:rsidRPr="00D9152B">
        <w:rPr>
          <w:rFonts w:ascii="Calibri" w:hAnsi="Calibri" w:cs="Calibri"/>
          <w:i/>
          <w:sz w:val="22"/>
          <w:szCs w:val="22"/>
        </w:rPr>
        <w:t>60 Minutes</w:t>
      </w:r>
      <w:r w:rsidR="009271F3" w:rsidRPr="00D9152B">
        <w:rPr>
          <w:rFonts w:ascii="Calibri" w:hAnsi="Calibri" w:cs="Calibri"/>
          <w:sz w:val="22"/>
          <w:szCs w:val="22"/>
        </w:rPr>
        <w:t xml:space="preserve"> –</w:t>
      </w:r>
      <w:r w:rsidR="00302392" w:rsidRPr="00D9152B">
        <w:rPr>
          <w:rFonts w:ascii="Calibri" w:hAnsi="Calibri" w:cs="Calibri"/>
          <w:sz w:val="22"/>
          <w:szCs w:val="22"/>
        </w:rPr>
        <w:t xml:space="preserve"> stated in his </w:t>
      </w:r>
      <w:r w:rsidR="00890A74">
        <w:rPr>
          <w:rFonts w:ascii="Calibri" w:hAnsi="Calibri" w:cs="Calibri"/>
          <w:sz w:val="22"/>
          <w:szCs w:val="22"/>
        </w:rPr>
        <w:t>television</w:t>
      </w:r>
      <w:r w:rsidR="00302392" w:rsidRPr="00D9152B">
        <w:rPr>
          <w:rFonts w:ascii="Calibri" w:hAnsi="Calibri" w:cs="Calibri"/>
          <w:sz w:val="22"/>
          <w:szCs w:val="22"/>
        </w:rPr>
        <w:t xml:space="preserve"> program: </w:t>
      </w:r>
    </w:p>
    <w:p w14:paraId="36745C70" w14:textId="5BBC5058" w:rsidR="00302392" w:rsidRPr="00D9152B" w:rsidRDefault="00BB0799" w:rsidP="001F4A40">
      <w:pPr>
        <w:pStyle w:val="Quote"/>
        <w:spacing w:before="100" w:beforeAutospacing="1" w:after="100" w:afterAutospacing="1"/>
        <w:ind w:left="862" w:right="862"/>
        <w:rPr>
          <w:rFonts w:cs="Calibri"/>
          <w:i/>
          <w:color w:val="auto"/>
          <w:sz w:val="22"/>
          <w:szCs w:val="22"/>
        </w:rPr>
      </w:pPr>
      <w:r w:rsidRPr="00D9152B">
        <w:rPr>
          <w:rFonts w:cs="Calibri"/>
          <w:i/>
          <w:color w:val="auto"/>
          <w:sz w:val="22"/>
          <w:szCs w:val="22"/>
        </w:rPr>
        <w:t>‘</w:t>
      </w:r>
      <w:r w:rsidR="00302392" w:rsidRPr="00D9152B">
        <w:rPr>
          <w:rFonts w:cs="Calibri"/>
          <w:i/>
          <w:color w:val="auto"/>
          <w:sz w:val="22"/>
          <w:szCs w:val="22"/>
        </w:rPr>
        <w:t>In time, the afflicted villages begin to die. Young people leave as soon as they can, trying to escape the fly. There are fewer marriages and fewer children. And the blind, the blind live on in darkness isolated, lonely, and dependent. Life at the end of the stick…To these people blindness is another of life’s mysteries, a fate they can neither understand nor overcome.</w:t>
      </w:r>
      <w:r w:rsidRPr="00D9152B">
        <w:rPr>
          <w:rFonts w:cs="Calibri"/>
          <w:i/>
          <w:color w:val="auto"/>
          <w:sz w:val="22"/>
          <w:szCs w:val="22"/>
        </w:rPr>
        <w:t>’</w:t>
      </w:r>
      <w:r w:rsidR="00302392" w:rsidRPr="00D9152B">
        <w:rPr>
          <w:rStyle w:val="FootnoteReference"/>
          <w:rFonts w:ascii="Calibri" w:hAnsi="Calibri" w:cs="Calibri"/>
          <w:i/>
          <w:color w:val="auto"/>
          <w:sz w:val="22"/>
          <w:szCs w:val="22"/>
        </w:rPr>
        <w:footnoteReference w:id="8"/>
      </w:r>
    </w:p>
    <w:p w14:paraId="6263353B" w14:textId="64B13F53" w:rsidR="0068035F" w:rsidRPr="00D9152B" w:rsidRDefault="0068035F" w:rsidP="0068035F">
      <w:pPr>
        <w:rPr>
          <w:rFonts w:ascii="Calibri" w:hAnsi="Calibri" w:cs="Calibri"/>
          <w:lang w:val="fr-CH"/>
        </w:rPr>
      </w:pPr>
    </w:p>
    <w:p w14:paraId="7ED74D0F" w14:textId="24B42699" w:rsidR="0068035F" w:rsidRPr="00D9152B" w:rsidRDefault="0068035F" w:rsidP="0068035F">
      <w:pPr>
        <w:rPr>
          <w:rFonts w:ascii="Calibri" w:hAnsi="Calibri" w:cs="Calibri"/>
          <w:lang w:val="fr-CH"/>
        </w:rPr>
      </w:pPr>
    </w:p>
    <w:p w14:paraId="2E396FA9" w14:textId="77777777" w:rsidR="0068035F" w:rsidRPr="00D9152B" w:rsidRDefault="0068035F" w:rsidP="0068035F">
      <w:pPr>
        <w:rPr>
          <w:rFonts w:ascii="Calibri" w:hAnsi="Calibri" w:cs="Calibri"/>
          <w:lang w:val="fr-CH"/>
        </w:rPr>
      </w:pPr>
    </w:p>
    <w:p w14:paraId="11DACE81" w14:textId="12EEB7E7" w:rsidR="00204DB4" w:rsidRPr="00D9152B" w:rsidRDefault="00204DB4" w:rsidP="0068035F">
      <w:pPr>
        <w:ind w:firstLine="720"/>
        <w:jc w:val="center"/>
        <w:rPr>
          <w:rFonts w:ascii="Calibri" w:hAnsi="Calibri" w:cs="Calibri"/>
          <w:color w:val="808080" w:themeColor="background1" w:themeShade="80"/>
        </w:rPr>
      </w:pPr>
      <w:r w:rsidRPr="00D9152B">
        <w:rPr>
          <w:rFonts w:ascii="Calibri" w:hAnsi="Calibri" w:cs="Calibri"/>
          <w:noProof/>
          <w:color w:val="808080" w:themeColor="background1" w:themeShade="80"/>
          <w:lang w:eastAsia="en-GB"/>
        </w:rPr>
        <w:lastRenderedPageBreak/>
        <w:drawing>
          <wp:inline distT="0" distB="0" distL="0" distR="0" wp14:anchorId="43EC3BDF" wp14:editId="3647F4C5">
            <wp:extent cx="4600624" cy="3112973"/>
            <wp:effectExtent l="0" t="0" r="0" b="0"/>
            <wp:docPr id="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3" cstate="print">
                      <a:extLst>
                        <a:ext uri="{28A0092B-C50C-407E-A947-70E740481C1C}">
                          <a14:useLocalDpi xmlns:a14="http://schemas.microsoft.com/office/drawing/2010/main" val="0"/>
                        </a:ext>
                      </a:extLst>
                    </a:blip>
                    <a:srcRect r="1650"/>
                    <a:stretch/>
                  </pic:blipFill>
                  <pic:spPr>
                    <a:xfrm>
                      <a:off x="0" y="0"/>
                      <a:ext cx="4643029" cy="3141666"/>
                    </a:xfrm>
                    <a:prstGeom prst="rect">
                      <a:avLst/>
                    </a:prstGeom>
                  </pic:spPr>
                </pic:pic>
              </a:graphicData>
            </a:graphic>
          </wp:inline>
        </w:drawing>
      </w:r>
    </w:p>
    <w:p w14:paraId="59AF0890" w14:textId="77777777" w:rsidR="001F4A40" w:rsidRPr="00D9152B" w:rsidRDefault="001F4A40" w:rsidP="00F32524">
      <w:pPr>
        <w:jc w:val="both"/>
        <w:rPr>
          <w:rFonts w:ascii="Calibri" w:hAnsi="Calibri" w:cs="Calibri"/>
          <w:color w:val="808080" w:themeColor="background1" w:themeShade="80"/>
        </w:rPr>
      </w:pPr>
    </w:p>
    <w:p w14:paraId="6B11D409" w14:textId="67B9DBEA" w:rsidR="00204DB4" w:rsidRPr="00D9152B" w:rsidRDefault="00204DB4" w:rsidP="00F32524">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Figure 1</w:t>
      </w:r>
      <w:r w:rsidR="00890A74">
        <w:rPr>
          <w:rFonts w:ascii="Calibri" w:hAnsi="Calibri" w:cs="Calibri"/>
          <w:color w:val="808080" w:themeColor="background1" w:themeShade="80"/>
          <w:sz w:val="22"/>
          <w:szCs w:val="22"/>
        </w:rPr>
        <w:t>.1</w:t>
      </w:r>
      <w:r w:rsidRPr="00D9152B">
        <w:rPr>
          <w:rFonts w:ascii="Calibri" w:hAnsi="Calibri" w:cs="Calibri"/>
          <w:color w:val="808080" w:themeColor="background1" w:themeShade="80"/>
          <w:sz w:val="22"/>
          <w:szCs w:val="22"/>
        </w:rPr>
        <w:t xml:space="preserve">. </w:t>
      </w:r>
      <w:r w:rsidR="008E4552" w:rsidRPr="00D9152B">
        <w:rPr>
          <w:rFonts w:ascii="Calibri" w:hAnsi="Calibri" w:cs="Calibri"/>
          <w:color w:val="808080" w:themeColor="background1" w:themeShade="80"/>
          <w:sz w:val="22"/>
          <w:szCs w:val="22"/>
        </w:rPr>
        <w:t xml:space="preserve">The most famous ‘onchocerciasis image’, which featured on the front of the initial preparatory report for the programme, was used by Merck, Sharpe and Dohme in marketing materials when they donated ivermectin, and </w:t>
      </w:r>
      <w:r w:rsidR="00890A74">
        <w:rPr>
          <w:rFonts w:ascii="Calibri" w:hAnsi="Calibri" w:cs="Calibri"/>
          <w:color w:val="808080" w:themeColor="background1" w:themeShade="80"/>
          <w:sz w:val="22"/>
          <w:szCs w:val="22"/>
        </w:rPr>
        <w:t>is the reference figure</w:t>
      </w:r>
      <w:r w:rsidR="008E4552" w:rsidRPr="00D9152B">
        <w:rPr>
          <w:rFonts w:ascii="Calibri" w:hAnsi="Calibri" w:cs="Calibri"/>
          <w:color w:val="808080" w:themeColor="background1" w:themeShade="80"/>
          <w:sz w:val="22"/>
          <w:szCs w:val="22"/>
        </w:rPr>
        <w:t xml:space="preserve"> on the disease’s Wikipedia page today.</w:t>
      </w:r>
      <w:r w:rsidR="008E4552" w:rsidRPr="00D9152B">
        <w:rPr>
          <w:rStyle w:val="FootnoteReference"/>
          <w:rFonts w:ascii="Calibri" w:hAnsi="Calibri" w:cs="Calibri"/>
          <w:color w:val="808080" w:themeColor="background1" w:themeShade="80"/>
          <w:sz w:val="22"/>
          <w:szCs w:val="22"/>
        </w:rPr>
        <w:footnoteReference w:id="9"/>
      </w:r>
    </w:p>
    <w:p w14:paraId="5681A291" w14:textId="6D5A167D" w:rsidR="00814600" w:rsidRPr="00D9152B" w:rsidRDefault="00BD580E" w:rsidP="009440D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 OCP itself was partially the product of an influential man’s first-hand experience observing this onchocerciasis image. In a narrative frequently relayed in World Bank publications</w:t>
      </w:r>
      <w:r w:rsidR="00DE42F3" w:rsidRPr="00D9152B">
        <w:rPr>
          <w:rFonts w:ascii="Calibri" w:hAnsi="Calibri" w:cs="Calibri"/>
          <w:sz w:val="22"/>
          <w:szCs w:val="22"/>
        </w:rPr>
        <w:t>,</w:t>
      </w:r>
      <w:r w:rsidRPr="00D9152B">
        <w:rPr>
          <w:rStyle w:val="FootnoteReference"/>
          <w:rFonts w:ascii="Calibri" w:hAnsi="Calibri" w:cs="Calibri"/>
          <w:sz w:val="22"/>
          <w:szCs w:val="22"/>
        </w:rPr>
        <w:footnoteReference w:id="10"/>
      </w:r>
      <w:r w:rsidRPr="00D9152B">
        <w:rPr>
          <w:rFonts w:ascii="Calibri" w:hAnsi="Calibri" w:cs="Calibri"/>
          <w:sz w:val="22"/>
          <w:szCs w:val="22"/>
        </w:rPr>
        <w:t xml:space="preserve"> former United States Secretary of Defen</w:t>
      </w:r>
      <w:r w:rsidR="00783875">
        <w:rPr>
          <w:rFonts w:ascii="Calibri" w:hAnsi="Calibri" w:cs="Calibri"/>
          <w:sz w:val="22"/>
          <w:szCs w:val="22"/>
        </w:rPr>
        <w:t>s</w:t>
      </w:r>
      <w:r w:rsidRPr="00D9152B">
        <w:rPr>
          <w:rFonts w:ascii="Calibri" w:hAnsi="Calibri" w:cs="Calibri"/>
          <w:sz w:val="22"/>
          <w:szCs w:val="22"/>
        </w:rPr>
        <w:t xml:space="preserve">e Robert McNamara, then President of the World Bank (1968-1981), visited Upper Volta (modern Burkina Faso) in March 1972. The Bank had begun discussions with other international agencies in the mid-1960s about a regional onchocerciasis control project, but it had never sponsored a health </w:t>
      </w:r>
      <w:r w:rsidR="00090C0D" w:rsidRPr="00D9152B">
        <w:rPr>
          <w:rFonts w:ascii="Calibri" w:hAnsi="Calibri" w:cs="Calibri"/>
          <w:sz w:val="22"/>
          <w:szCs w:val="22"/>
        </w:rPr>
        <w:t>programme</w:t>
      </w:r>
      <w:r w:rsidRPr="00D9152B">
        <w:rPr>
          <w:rFonts w:ascii="Calibri" w:hAnsi="Calibri" w:cs="Calibri"/>
          <w:sz w:val="22"/>
          <w:szCs w:val="22"/>
        </w:rPr>
        <w:t xml:space="preserve"> or held a financial stake in onchocerciasis control planning. McNamara later recalled that his trip to villages in West Africa left a profound impact on him, and</w:t>
      </w:r>
      <w:r w:rsidR="00FF14C7" w:rsidRPr="00D9152B">
        <w:rPr>
          <w:rFonts w:ascii="Calibri" w:hAnsi="Calibri" w:cs="Calibri"/>
          <w:sz w:val="22"/>
          <w:szCs w:val="22"/>
        </w:rPr>
        <w:t xml:space="preserve"> he</w:t>
      </w:r>
      <w:r w:rsidRPr="00D9152B">
        <w:rPr>
          <w:rFonts w:ascii="Calibri" w:hAnsi="Calibri" w:cs="Calibri"/>
          <w:sz w:val="22"/>
          <w:szCs w:val="22"/>
        </w:rPr>
        <w:t xml:space="preserve"> </w:t>
      </w:r>
      <w:r w:rsidRPr="00D9152B">
        <w:rPr>
          <w:rFonts w:ascii="Calibri" w:hAnsi="Calibri" w:cs="Calibri"/>
          <w:sz w:val="22"/>
          <w:szCs w:val="22"/>
        </w:rPr>
        <w:lastRenderedPageBreak/>
        <w:t>invited ‘those who question the value of development’ to ‘come with me on a tour of West Africa’.</w:t>
      </w:r>
      <w:r w:rsidRPr="00D9152B">
        <w:rPr>
          <w:rStyle w:val="FootnoteReference"/>
          <w:rFonts w:ascii="Calibri" w:hAnsi="Calibri" w:cs="Calibri"/>
          <w:sz w:val="22"/>
          <w:szCs w:val="22"/>
        </w:rPr>
        <w:footnoteReference w:id="11"/>
      </w:r>
      <w:r w:rsidRPr="00D9152B">
        <w:rPr>
          <w:rFonts w:ascii="Calibri" w:hAnsi="Calibri" w:cs="Calibri"/>
          <w:sz w:val="22"/>
          <w:szCs w:val="22"/>
        </w:rPr>
        <w:t xml:space="preserve"> Within a month of returning to</w:t>
      </w:r>
      <w:r w:rsidR="00890A74">
        <w:rPr>
          <w:rFonts w:ascii="Calibri" w:hAnsi="Calibri" w:cs="Calibri"/>
          <w:sz w:val="22"/>
          <w:szCs w:val="22"/>
        </w:rPr>
        <w:t xml:space="preserve"> Washington</w:t>
      </w:r>
      <w:r w:rsidRPr="00D9152B">
        <w:rPr>
          <w:rFonts w:ascii="Calibri" w:hAnsi="Calibri" w:cs="Calibri"/>
          <w:sz w:val="22"/>
          <w:szCs w:val="22"/>
        </w:rPr>
        <w:t xml:space="preserve"> DC in 1972,</w:t>
      </w:r>
      <w:r w:rsidR="00303578" w:rsidRPr="00D9152B">
        <w:rPr>
          <w:rFonts w:ascii="Calibri" w:hAnsi="Calibri" w:cs="Calibri"/>
          <w:sz w:val="22"/>
          <w:szCs w:val="22"/>
        </w:rPr>
        <w:t xml:space="preserve"> he was so ‘moved’ by the images of the blind</w:t>
      </w:r>
      <w:r w:rsidR="00466E53" w:rsidRPr="00D9152B">
        <w:rPr>
          <w:rFonts w:ascii="Calibri" w:hAnsi="Calibri" w:cs="Calibri"/>
          <w:sz w:val="22"/>
          <w:szCs w:val="22"/>
        </w:rPr>
        <w:t xml:space="preserve"> and their connection to poverty</w:t>
      </w:r>
      <w:r w:rsidR="00303578" w:rsidRPr="00D9152B">
        <w:rPr>
          <w:rStyle w:val="FootnoteReference"/>
          <w:rFonts w:ascii="Calibri" w:hAnsi="Calibri" w:cs="Calibri"/>
          <w:sz w:val="22"/>
          <w:szCs w:val="22"/>
        </w:rPr>
        <w:footnoteReference w:id="12"/>
      </w:r>
      <w:r w:rsidR="00303578" w:rsidRPr="00D9152B">
        <w:rPr>
          <w:rFonts w:ascii="Calibri" w:hAnsi="Calibri" w:cs="Calibri"/>
          <w:sz w:val="22"/>
          <w:szCs w:val="22"/>
        </w:rPr>
        <w:t xml:space="preserve"> that</w:t>
      </w:r>
      <w:r w:rsidRPr="00D9152B">
        <w:rPr>
          <w:rFonts w:ascii="Calibri" w:hAnsi="Calibri" w:cs="Calibri"/>
          <w:sz w:val="22"/>
          <w:szCs w:val="22"/>
        </w:rPr>
        <w:t xml:space="preserve"> he initiated a meeting of four </w:t>
      </w:r>
      <w:r w:rsidR="0068035F" w:rsidRPr="00D9152B">
        <w:rPr>
          <w:rFonts w:ascii="Calibri" w:hAnsi="Calibri" w:cs="Calibri"/>
          <w:sz w:val="22"/>
          <w:szCs w:val="22"/>
        </w:rPr>
        <w:t xml:space="preserve">multilateral </w:t>
      </w:r>
      <w:r w:rsidRPr="00D9152B">
        <w:rPr>
          <w:rFonts w:ascii="Calibri" w:hAnsi="Calibri" w:cs="Calibri"/>
          <w:sz w:val="22"/>
          <w:szCs w:val="22"/>
        </w:rPr>
        <w:t>agencies</w:t>
      </w:r>
      <w:r w:rsidR="0068035F" w:rsidRPr="00D9152B">
        <w:rPr>
          <w:rFonts w:ascii="Calibri" w:hAnsi="Calibri" w:cs="Calibri"/>
          <w:sz w:val="22"/>
          <w:szCs w:val="22"/>
        </w:rPr>
        <w:t xml:space="preserve"> who had previously expressed interest in a</w:t>
      </w:r>
      <w:r w:rsidR="003147E7" w:rsidRPr="00D9152B">
        <w:rPr>
          <w:rFonts w:ascii="Calibri" w:hAnsi="Calibri" w:cs="Calibri"/>
          <w:sz w:val="22"/>
          <w:szCs w:val="22"/>
        </w:rPr>
        <w:t xml:space="preserve"> regional</w:t>
      </w:r>
      <w:r w:rsidR="0068035F" w:rsidRPr="00D9152B">
        <w:rPr>
          <w:rFonts w:ascii="Calibri" w:hAnsi="Calibri" w:cs="Calibri"/>
          <w:sz w:val="22"/>
          <w:szCs w:val="22"/>
        </w:rPr>
        <w:t xml:space="preserve"> control scheme</w:t>
      </w:r>
      <w:r w:rsidRPr="00D9152B">
        <w:rPr>
          <w:rFonts w:ascii="Calibri" w:hAnsi="Calibri" w:cs="Calibri"/>
          <w:sz w:val="22"/>
          <w:szCs w:val="22"/>
        </w:rPr>
        <w:t xml:space="preserve"> – the </w:t>
      </w:r>
      <w:r w:rsidR="00890A74">
        <w:rPr>
          <w:rFonts w:ascii="Calibri" w:hAnsi="Calibri" w:cs="Calibri"/>
          <w:sz w:val="22"/>
          <w:szCs w:val="22"/>
        </w:rPr>
        <w:t xml:space="preserve">World </w:t>
      </w:r>
      <w:r w:rsidRPr="00D9152B">
        <w:rPr>
          <w:rFonts w:ascii="Calibri" w:hAnsi="Calibri" w:cs="Calibri"/>
          <w:sz w:val="22"/>
          <w:szCs w:val="22"/>
        </w:rPr>
        <w:t xml:space="preserve">Bank, </w:t>
      </w:r>
      <w:r w:rsidR="003E26A3" w:rsidRPr="00D9152B">
        <w:rPr>
          <w:rFonts w:ascii="Calibri" w:hAnsi="Calibri" w:cs="Calibri"/>
          <w:sz w:val="22"/>
          <w:szCs w:val="22"/>
        </w:rPr>
        <w:t>World Health Organization (WHO)</w:t>
      </w:r>
      <w:r w:rsidRPr="00D9152B">
        <w:rPr>
          <w:rFonts w:ascii="Calibri" w:hAnsi="Calibri" w:cs="Calibri"/>
          <w:sz w:val="22"/>
          <w:szCs w:val="22"/>
        </w:rPr>
        <w:t>, United Nations Development Programme (UNDP), and the Food and Agriculture Organization (FAO) – to formalize plans</w:t>
      </w:r>
      <w:r w:rsidR="0068035F" w:rsidRPr="00D9152B">
        <w:rPr>
          <w:rFonts w:ascii="Calibri" w:hAnsi="Calibri" w:cs="Calibri"/>
          <w:sz w:val="22"/>
          <w:szCs w:val="22"/>
        </w:rPr>
        <w:t>. L</w:t>
      </w:r>
      <w:r w:rsidRPr="00D9152B">
        <w:rPr>
          <w:rFonts w:ascii="Calibri" w:hAnsi="Calibri" w:cs="Calibri"/>
          <w:sz w:val="22"/>
          <w:szCs w:val="22"/>
        </w:rPr>
        <w:t>ater that year</w:t>
      </w:r>
      <w:r w:rsidR="0068035F" w:rsidRPr="00D9152B">
        <w:rPr>
          <w:rFonts w:ascii="Calibri" w:hAnsi="Calibri" w:cs="Calibri"/>
          <w:sz w:val="22"/>
          <w:szCs w:val="22"/>
        </w:rPr>
        <w:t>,</w:t>
      </w:r>
      <w:r w:rsidRPr="00D9152B">
        <w:rPr>
          <w:rFonts w:ascii="Calibri" w:hAnsi="Calibri" w:cs="Calibri"/>
          <w:sz w:val="22"/>
          <w:szCs w:val="22"/>
        </w:rPr>
        <w:t xml:space="preserve"> he convinced the Bank’s Executive Directors to allow the Bank to both serve as a fiscal agent for the long-term programme and to finance up to 10 percent of it.</w:t>
      </w:r>
      <w:r w:rsidR="00303578" w:rsidRPr="00D9152B">
        <w:rPr>
          <w:rStyle w:val="FootnoteReference"/>
          <w:rFonts w:ascii="Calibri" w:hAnsi="Calibri" w:cs="Calibri"/>
          <w:sz w:val="22"/>
          <w:szCs w:val="22"/>
        </w:rPr>
        <w:footnoteReference w:id="13"/>
      </w:r>
    </w:p>
    <w:p w14:paraId="19C9D0CA" w14:textId="4560AD8C" w:rsidR="00BD580E" w:rsidRPr="00D9152B" w:rsidRDefault="00BD580E" w:rsidP="009440D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Twenty-three years later, in 1995, </w:t>
      </w:r>
      <w:r w:rsidR="0068035F" w:rsidRPr="00D9152B">
        <w:rPr>
          <w:rFonts w:ascii="Calibri" w:hAnsi="Calibri" w:cs="Calibri"/>
          <w:sz w:val="22"/>
          <w:szCs w:val="22"/>
        </w:rPr>
        <w:t xml:space="preserve">the Texas businessman John Moores </w:t>
      </w:r>
      <w:r w:rsidRPr="00D9152B">
        <w:rPr>
          <w:rFonts w:ascii="Calibri" w:hAnsi="Calibri" w:cs="Calibri"/>
          <w:sz w:val="22"/>
          <w:szCs w:val="22"/>
        </w:rPr>
        <w:t xml:space="preserve">read a feature story on onchocerciasis in the </w:t>
      </w:r>
      <w:r w:rsidRPr="00D9152B">
        <w:rPr>
          <w:rFonts w:ascii="Calibri" w:hAnsi="Calibri" w:cs="Calibri"/>
          <w:i/>
          <w:sz w:val="22"/>
          <w:szCs w:val="22"/>
        </w:rPr>
        <w:t>Houston Chronicle</w:t>
      </w:r>
      <w:r w:rsidRPr="00D9152B">
        <w:rPr>
          <w:rFonts w:ascii="Calibri" w:hAnsi="Calibri" w:cs="Calibri"/>
          <w:sz w:val="22"/>
          <w:szCs w:val="22"/>
        </w:rPr>
        <w:t>, and was moved to donate $25 million for onchocerciasis control efforts.</w:t>
      </w:r>
      <w:r w:rsidRPr="00D9152B">
        <w:rPr>
          <w:rStyle w:val="FootnoteReference"/>
          <w:rFonts w:ascii="Calibri" w:hAnsi="Calibri" w:cs="Calibri"/>
          <w:sz w:val="22"/>
          <w:szCs w:val="22"/>
        </w:rPr>
        <w:footnoteReference w:id="14"/>
      </w:r>
      <w:r w:rsidRPr="00D9152B">
        <w:rPr>
          <w:rFonts w:ascii="Calibri" w:hAnsi="Calibri" w:cs="Calibri"/>
          <w:sz w:val="22"/>
          <w:szCs w:val="22"/>
        </w:rPr>
        <w:t xml:space="preserve"> </w:t>
      </w:r>
      <w:r w:rsidR="0068035F" w:rsidRPr="00D9152B">
        <w:rPr>
          <w:rFonts w:ascii="Calibri" w:hAnsi="Calibri" w:cs="Calibri"/>
          <w:sz w:val="22"/>
          <w:szCs w:val="22"/>
        </w:rPr>
        <w:t>Moores</w:t>
      </w:r>
      <w:r w:rsidRPr="00D9152B">
        <w:rPr>
          <w:rFonts w:ascii="Calibri" w:hAnsi="Calibri" w:cs="Calibri"/>
          <w:sz w:val="22"/>
          <w:szCs w:val="22"/>
        </w:rPr>
        <w:t xml:space="preserve"> provided seed funding for the Carter Center’s River Blindness Foundation, which would collaborate with the OCP (1974-2002) and its follow-up programme, the African Programme for Onchocerciasis Control (APOC, 1995-2015), to distribute over 250 million doses of chemotherapeutic drugs to 30 African countries by 2009.</w:t>
      </w:r>
      <w:r w:rsidRPr="00D9152B">
        <w:rPr>
          <w:rStyle w:val="FootnoteReference"/>
          <w:rFonts w:ascii="Calibri" w:hAnsi="Calibri" w:cs="Calibri"/>
          <w:sz w:val="22"/>
          <w:szCs w:val="22"/>
        </w:rPr>
        <w:footnoteReference w:id="15"/>
      </w:r>
      <w:r w:rsidRPr="00D9152B">
        <w:rPr>
          <w:rFonts w:ascii="Calibri" w:hAnsi="Calibri" w:cs="Calibri"/>
          <w:sz w:val="22"/>
          <w:szCs w:val="22"/>
        </w:rPr>
        <w:t xml:space="preserve"> </w:t>
      </w:r>
      <w:r w:rsidR="0068035F" w:rsidRPr="00D9152B">
        <w:rPr>
          <w:rFonts w:ascii="Calibri" w:hAnsi="Calibri" w:cs="Calibri"/>
          <w:sz w:val="22"/>
          <w:szCs w:val="22"/>
        </w:rPr>
        <w:t>He</w:t>
      </w:r>
      <w:r w:rsidRPr="00D9152B">
        <w:rPr>
          <w:rFonts w:ascii="Calibri" w:hAnsi="Calibri" w:cs="Calibri"/>
          <w:sz w:val="22"/>
          <w:szCs w:val="22"/>
        </w:rPr>
        <w:t xml:space="preserve"> decided to memorialize the onchocerciasis image, and commissioned a bronze statue</w:t>
      </w:r>
      <w:r w:rsidR="001E5FB4" w:rsidRPr="00D9152B">
        <w:rPr>
          <w:rFonts w:ascii="Calibri" w:hAnsi="Calibri" w:cs="Calibri"/>
          <w:sz w:val="22"/>
          <w:szCs w:val="22"/>
        </w:rPr>
        <w:t xml:space="preserve"> for the main building of the pharmaceutical company Merck &amp; Co. Inc</w:t>
      </w:r>
      <w:r w:rsidR="00896AE0" w:rsidRPr="00D9152B">
        <w:rPr>
          <w:rFonts w:ascii="Calibri" w:hAnsi="Calibri" w:cs="Calibri"/>
          <w:sz w:val="22"/>
          <w:szCs w:val="22"/>
        </w:rPr>
        <w:t>orporated</w:t>
      </w:r>
      <w:r w:rsidRPr="00D9152B">
        <w:rPr>
          <w:rFonts w:ascii="Calibri" w:hAnsi="Calibri" w:cs="Calibri"/>
          <w:sz w:val="22"/>
          <w:szCs w:val="22"/>
        </w:rPr>
        <w:t>, named ‘The Gift of Sight’, and later re-consecrated as ‘Sightless Among Miracles’. Six identical statues now stand prominently at global health institutions around the world, including at the WHO’s main entrance in Geneva (next to the other statue at this location, commemorating smallpox eradication) and the World Bank’s atrium in Washington DC.</w:t>
      </w:r>
      <w:r w:rsidRPr="00D9152B">
        <w:rPr>
          <w:rStyle w:val="FootnoteReference"/>
          <w:rFonts w:ascii="Calibri" w:hAnsi="Calibri" w:cs="Calibri"/>
          <w:sz w:val="22"/>
          <w:szCs w:val="22"/>
        </w:rPr>
        <w:footnoteReference w:id="16"/>
      </w:r>
      <w:r w:rsidRPr="00D9152B">
        <w:rPr>
          <w:rFonts w:ascii="Calibri" w:hAnsi="Calibri" w:cs="Calibri"/>
          <w:sz w:val="22"/>
          <w:szCs w:val="22"/>
        </w:rPr>
        <w:t xml:space="preserve"> The inscription of the Bank’s statue reads, ‘the pending elimination of onchocerciasis is one of the true success stories in the battle against infectious disease in the 20</w:t>
      </w:r>
      <w:r w:rsidRPr="00D9152B">
        <w:rPr>
          <w:rFonts w:ascii="Calibri" w:hAnsi="Calibri" w:cs="Calibri"/>
          <w:sz w:val="22"/>
          <w:szCs w:val="22"/>
          <w:vertAlign w:val="superscript"/>
        </w:rPr>
        <w:t>th</w:t>
      </w:r>
      <w:r w:rsidRPr="00D9152B">
        <w:rPr>
          <w:rFonts w:ascii="Calibri" w:hAnsi="Calibri" w:cs="Calibri"/>
          <w:sz w:val="22"/>
          <w:szCs w:val="22"/>
        </w:rPr>
        <w:t xml:space="preserve"> and 21</w:t>
      </w:r>
      <w:r w:rsidRPr="00D9152B">
        <w:rPr>
          <w:rFonts w:ascii="Calibri" w:hAnsi="Calibri" w:cs="Calibri"/>
          <w:sz w:val="22"/>
          <w:szCs w:val="22"/>
          <w:vertAlign w:val="superscript"/>
        </w:rPr>
        <w:t>st</w:t>
      </w:r>
      <w:r w:rsidRPr="00D9152B">
        <w:rPr>
          <w:rFonts w:ascii="Calibri" w:hAnsi="Calibri" w:cs="Calibri"/>
          <w:sz w:val="22"/>
          <w:szCs w:val="22"/>
        </w:rPr>
        <w:t xml:space="preserve"> centuries’</w:t>
      </w:r>
      <w:r w:rsidR="00896AE0" w:rsidRPr="00D9152B">
        <w:rPr>
          <w:rFonts w:ascii="Calibri" w:hAnsi="Calibri" w:cs="Calibri"/>
          <w:sz w:val="22"/>
          <w:szCs w:val="22"/>
        </w:rPr>
        <w:t xml:space="preserve"> (Figure </w:t>
      </w:r>
      <w:r w:rsidR="00584E00">
        <w:rPr>
          <w:rFonts w:ascii="Calibri" w:hAnsi="Calibri" w:cs="Calibri"/>
          <w:sz w:val="22"/>
          <w:szCs w:val="22"/>
        </w:rPr>
        <w:t>1.</w:t>
      </w:r>
      <w:r w:rsidR="008E4552" w:rsidRPr="00D9152B">
        <w:rPr>
          <w:rFonts w:ascii="Calibri" w:hAnsi="Calibri" w:cs="Calibri"/>
          <w:sz w:val="22"/>
          <w:szCs w:val="22"/>
        </w:rPr>
        <w:t>2</w:t>
      </w:r>
      <w:r w:rsidR="00896AE0" w:rsidRPr="00D9152B">
        <w:rPr>
          <w:rFonts w:ascii="Calibri" w:hAnsi="Calibri" w:cs="Calibri"/>
          <w:sz w:val="22"/>
          <w:szCs w:val="22"/>
        </w:rPr>
        <w:t>)</w:t>
      </w:r>
      <w:r w:rsidRPr="00D9152B">
        <w:rPr>
          <w:rFonts w:ascii="Calibri" w:hAnsi="Calibri" w:cs="Calibri"/>
          <w:sz w:val="22"/>
          <w:szCs w:val="22"/>
        </w:rPr>
        <w:t>.</w:t>
      </w:r>
      <w:r w:rsidR="00050099" w:rsidRPr="00D9152B">
        <w:rPr>
          <w:rFonts w:ascii="Calibri" w:hAnsi="Calibri" w:cs="Calibri"/>
          <w:sz w:val="22"/>
          <w:szCs w:val="22"/>
        </w:rPr>
        <w:t xml:space="preserve"> </w:t>
      </w:r>
      <w:r w:rsidR="00F85498" w:rsidRPr="00D9152B">
        <w:rPr>
          <w:rFonts w:ascii="Calibri" w:hAnsi="Calibri" w:cs="Calibri"/>
          <w:sz w:val="22"/>
          <w:szCs w:val="22"/>
        </w:rPr>
        <w:t>Years later</w:t>
      </w:r>
      <w:r w:rsidR="00167B20" w:rsidRPr="00D9152B">
        <w:rPr>
          <w:rFonts w:ascii="Calibri" w:hAnsi="Calibri" w:cs="Calibri"/>
          <w:sz w:val="22"/>
          <w:szCs w:val="22"/>
        </w:rPr>
        <w:t>,</w:t>
      </w:r>
      <w:r w:rsidR="00F85498" w:rsidRPr="00D9152B">
        <w:rPr>
          <w:rFonts w:ascii="Calibri" w:hAnsi="Calibri" w:cs="Calibri"/>
          <w:sz w:val="22"/>
          <w:szCs w:val="22"/>
        </w:rPr>
        <w:t xml:space="preserve"> in 2014, the</w:t>
      </w:r>
      <w:r w:rsidR="008F642E" w:rsidRPr="00D9152B">
        <w:rPr>
          <w:rFonts w:ascii="Calibri" w:hAnsi="Calibri" w:cs="Calibri"/>
          <w:sz w:val="22"/>
          <w:szCs w:val="22"/>
        </w:rPr>
        <w:t xml:space="preserve"> Bill </w:t>
      </w:r>
      <w:r w:rsidR="0052142C">
        <w:rPr>
          <w:rFonts w:ascii="Calibri" w:hAnsi="Calibri" w:cs="Calibri"/>
          <w:sz w:val="22"/>
          <w:szCs w:val="22"/>
        </w:rPr>
        <w:lastRenderedPageBreak/>
        <w:t>and</w:t>
      </w:r>
      <w:r w:rsidR="008F642E" w:rsidRPr="00D9152B">
        <w:rPr>
          <w:rFonts w:ascii="Calibri" w:hAnsi="Calibri" w:cs="Calibri"/>
          <w:sz w:val="22"/>
          <w:szCs w:val="22"/>
        </w:rPr>
        <w:t xml:space="preserve"> Melinda</w:t>
      </w:r>
      <w:r w:rsidR="00F85498" w:rsidRPr="00D9152B">
        <w:rPr>
          <w:rFonts w:ascii="Calibri" w:hAnsi="Calibri" w:cs="Calibri"/>
          <w:sz w:val="22"/>
          <w:szCs w:val="22"/>
        </w:rPr>
        <w:t xml:space="preserve"> Gates Foundation published a note by </w:t>
      </w:r>
      <w:r w:rsidR="00050099" w:rsidRPr="00D9152B">
        <w:rPr>
          <w:rFonts w:ascii="Calibri" w:hAnsi="Calibri" w:cs="Calibri"/>
          <w:sz w:val="22"/>
          <w:szCs w:val="22"/>
        </w:rPr>
        <w:t>William</w:t>
      </w:r>
      <w:r w:rsidR="00167B20" w:rsidRPr="00D9152B">
        <w:rPr>
          <w:rFonts w:ascii="Calibri" w:hAnsi="Calibri" w:cs="Calibri"/>
          <w:sz w:val="22"/>
          <w:szCs w:val="22"/>
        </w:rPr>
        <w:t xml:space="preserve"> (Bill)</w:t>
      </w:r>
      <w:r w:rsidR="00050099" w:rsidRPr="00D9152B">
        <w:rPr>
          <w:rFonts w:ascii="Calibri" w:hAnsi="Calibri" w:cs="Calibri"/>
          <w:sz w:val="22"/>
          <w:szCs w:val="22"/>
        </w:rPr>
        <w:t xml:space="preserve"> Foege, the</w:t>
      </w:r>
      <w:r w:rsidR="00F85498" w:rsidRPr="00D9152B">
        <w:rPr>
          <w:rFonts w:ascii="Calibri" w:hAnsi="Calibri" w:cs="Calibri"/>
          <w:sz w:val="22"/>
          <w:szCs w:val="22"/>
        </w:rPr>
        <w:t xml:space="preserve"> former</w:t>
      </w:r>
      <w:r w:rsidR="00050099" w:rsidRPr="00D9152B">
        <w:rPr>
          <w:rFonts w:ascii="Calibri" w:hAnsi="Calibri" w:cs="Calibri"/>
          <w:sz w:val="22"/>
          <w:szCs w:val="22"/>
        </w:rPr>
        <w:t xml:space="preserve"> Director of the River Blindness Foundation and leader of the Global Smallpox Eradication Pr</w:t>
      </w:r>
      <w:r w:rsidR="008F642E" w:rsidRPr="00D9152B">
        <w:rPr>
          <w:rFonts w:ascii="Calibri" w:hAnsi="Calibri" w:cs="Calibri"/>
          <w:sz w:val="22"/>
          <w:szCs w:val="22"/>
        </w:rPr>
        <w:t>ogramme. Foege</w:t>
      </w:r>
      <w:r w:rsidR="00050099" w:rsidRPr="00D9152B">
        <w:rPr>
          <w:rFonts w:ascii="Calibri" w:hAnsi="Calibri" w:cs="Calibri"/>
          <w:sz w:val="22"/>
          <w:szCs w:val="22"/>
        </w:rPr>
        <w:t xml:space="preserve"> </w:t>
      </w:r>
      <w:r w:rsidR="00F85498" w:rsidRPr="00D9152B">
        <w:rPr>
          <w:rFonts w:ascii="Calibri" w:hAnsi="Calibri" w:cs="Calibri"/>
          <w:sz w:val="22"/>
          <w:szCs w:val="22"/>
        </w:rPr>
        <w:t>attested</w:t>
      </w:r>
      <w:r w:rsidR="00050099" w:rsidRPr="00D9152B">
        <w:rPr>
          <w:rFonts w:ascii="Calibri" w:hAnsi="Calibri" w:cs="Calibri"/>
          <w:sz w:val="22"/>
          <w:szCs w:val="22"/>
        </w:rPr>
        <w:t xml:space="preserve"> that the ‘familiar figure of the small boy’ was ‘investing in the future of his African village’</w:t>
      </w:r>
      <w:r w:rsidR="008F642E" w:rsidRPr="00D9152B">
        <w:rPr>
          <w:rFonts w:ascii="Calibri" w:hAnsi="Calibri" w:cs="Calibri"/>
          <w:sz w:val="22"/>
          <w:szCs w:val="22"/>
        </w:rPr>
        <w:t>, such that the statue (and OCP) represented a</w:t>
      </w:r>
      <w:r w:rsidR="00F85498" w:rsidRPr="00D9152B">
        <w:rPr>
          <w:rFonts w:ascii="Calibri" w:hAnsi="Calibri" w:cs="Calibri"/>
          <w:sz w:val="22"/>
          <w:szCs w:val="22"/>
        </w:rPr>
        <w:t xml:space="preserve"> ‘monument to human and corporate decency’ and ‘a symbol of hope in the midst of world problems’.</w:t>
      </w:r>
      <w:r w:rsidR="00F85498" w:rsidRPr="00D9152B">
        <w:rPr>
          <w:rStyle w:val="FootnoteReference"/>
          <w:rFonts w:ascii="Calibri" w:hAnsi="Calibri" w:cs="Calibri"/>
          <w:sz w:val="22"/>
          <w:szCs w:val="22"/>
        </w:rPr>
        <w:footnoteReference w:id="17"/>
      </w:r>
    </w:p>
    <w:p w14:paraId="6E5B8CE7" w14:textId="77777777" w:rsidR="009139D4" w:rsidRPr="00D9152B" w:rsidRDefault="009139D4" w:rsidP="00F32524">
      <w:pPr>
        <w:jc w:val="center"/>
        <w:rPr>
          <w:rFonts w:ascii="Calibri" w:hAnsi="Calibri" w:cs="Calibri"/>
        </w:rPr>
      </w:pPr>
      <w:r w:rsidRPr="00D9152B">
        <w:rPr>
          <w:rFonts w:ascii="Calibri" w:hAnsi="Calibri" w:cs="Calibri"/>
          <w:noProof/>
          <w:lang w:eastAsia="en-GB"/>
        </w:rPr>
        <w:drawing>
          <wp:inline distT="0" distB="0" distL="0" distR="0" wp14:anchorId="7DE01EE7" wp14:editId="37AE4D6E">
            <wp:extent cx="4203568" cy="2364509"/>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email">
                      <a:extLst>
                        <a:ext uri="{28A0092B-C50C-407E-A947-70E740481C1C}">
                          <a14:useLocalDpi xmlns:a14="http://schemas.microsoft.com/office/drawing/2010/main"/>
                        </a:ext>
                      </a:extLst>
                    </a:blip>
                    <a:stretch>
                      <a:fillRect/>
                    </a:stretch>
                  </pic:blipFill>
                  <pic:spPr>
                    <a:xfrm>
                      <a:off x="0" y="0"/>
                      <a:ext cx="4393947" cy="2471597"/>
                    </a:xfrm>
                    <a:prstGeom prst="rect">
                      <a:avLst/>
                    </a:prstGeom>
                  </pic:spPr>
                </pic:pic>
              </a:graphicData>
            </a:graphic>
          </wp:inline>
        </w:drawing>
      </w:r>
    </w:p>
    <w:p w14:paraId="20A8CBCD" w14:textId="77777777" w:rsidR="001F4A40" w:rsidRPr="00D9152B" w:rsidRDefault="001F4A40" w:rsidP="00F32524">
      <w:pPr>
        <w:jc w:val="both"/>
        <w:rPr>
          <w:rFonts w:ascii="Calibri" w:hAnsi="Calibri" w:cs="Calibri"/>
          <w:color w:val="808080" w:themeColor="background1" w:themeShade="80"/>
        </w:rPr>
      </w:pPr>
    </w:p>
    <w:p w14:paraId="42DB2FFA" w14:textId="7EB62599" w:rsidR="00896AE0" w:rsidRPr="00D9152B" w:rsidRDefault="009139D4" w:rsidP="00F32524">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52142C">
        <w:rPr>
          <w:rFonts w:ascii="Calibri" w:hAnsi="Calibri" w:cs="Calibri"/>
          <w:color w:val="808080" w:themeColor="background1" w:themeShade="80"/>
          <w:sz w:val="22"/>
          <w:szCs w:val="22"/>
        </w:rPr>
        <w:t>1.</w:t>
      </w:r>
      <w:r w:rsidR="008E4552" w:rsidRPr="00D9152B">
        <w:rPr>
          <w:rFonts w:ascii="Calibri" w:hAnsi="Calibri" w:cs="Calibri"/>
          <w:color w:val="808080" w:themeColor="background1" w:themeShade="80"/>
          <w:sz w:val="22"/>
          <w:szCs w:val="22"/>
        </w:rPr>
        <w:t>2</w:t>
      </w:r>
      <w:r w:rsidRPr="00D9152B">
        <w:rPr>
          <w:rFonts w:ascii="Calibri" w:hAnsi="Calibri" w:cs="Calibri"/>
          <w:color w:val="808080" w:themeColor="background1" w:themeShade="80"/>
          <w:sz w:val="22"/>
          <w:szCs w:val="22"/>
        </w:rPr>
        <w:t xml:space="preserve">. </w:t>
      </w:r>
      <w:r w:rsidR="00FB0ADE" w:rsidRPr="00D9152B">
        <w:rPr>
          <w:rFonts w:ascii="Calibri" w:hAnsi="Calibri" w:cs="Calibri"/>
          <w:color w:val="808080" w:themeColor="background1" w:themeShade="80"/>
          <w:sz w:val="22"/>
          <w:szCs w:val="22"/>
        </w:rPr>
        <w:t xml:space="preserve">Former </w:t>
      </w:r>
      <w:r w:rsidRPr="00D9152B">
        <w:rPr>
          <w:rFonts w:ascii="Calibri" w:hAnsi="Calibri" w:cs="Calibri"/>
          <w:color w:val="808080" w:themeColor="background1" w:themeShade="80"/>
          <w:sz w:val="22"/>
          <w:szCs w:val="22"/>
        </w:rPr>
        <w:t xml:space="preserve">Bank President </w:t>
      </w:r>
      <w:r w:rsidR="00FB0ADE" w:rsidRPr="00D9152B">
        <w:rPr>
          <w:rFonts w:ascii="Calibri" w:hAnsi="Calibri" w:cs="Calibri"/>
          <w:color w:val="808080" w:themeColor="background1" w:themeShade="80"/>
          <w:sz w:val="22"/>
          <w:szCs w:val="22"/>
        </w:rPr>
        <w:t>James</w:t>
      </w:r>
      <w:r w:rsidR="0052142C">
        <w:rPr>
          <w:rFonts w:ascii="Calibri" w:hAnsi="Calibri" w:cs="Calibri"/>
          <w:color w:val="808080" w:themeColor="background1" w:themeShade="80"/>
          <w:sz w:val="22"/>
          <w:szCs w:val="22"/>
        </w:rPr>
        <w:t xml:space="preserve"> (Jim)</w:t>
      </w:r>
      <w:r w:rsidR="00FB0ADE" w:rsidRPr="00D9152B">
        <w:rPr>
          <w:rFonts w:ascii="Calibri" w:hAnsi="Calibri" w:cs="Calibri"/>
          <w:color w:val="808080" w:themeColor="background1" w:themeShade="80"/>
          <w:sz w:val="22"/>
          <w:szCs w:val="22"/>
        </w:rPr>
        <w:t xml:space="preserve"> Lee</w:t>
      </w:r>
      <w:r w:rsidRPr="00D9152B">
        <w:rPr>
          <w:rFonts w:ascii="Calibri" w:hAnsi="Calibri" w:cs="Calibri"/>
          <w:color w:val="808080" w:themeColor="background1" w:themeShade="80"/>
          <w:sz w:val="22"/>
          <w:szCs w:val="22"/>
        </w:rPr>
        <w:t xml:space="preserve"> Kim and Princess Alexandra, President of Sightsavers, with the onchocerciasis statue at the Bank.</w:t>
      </w:r>
      <w:r w:rsidRPr="00D9152B">
        <w:rPr>
          <w:rStyle w:val="FootnoteReference"/>
          <w:rFonts w:ascii="Calibri" w:hAnsi="Calibri" w:cs="Calibri"/>
          <w:color w:val="808080" w:themeColor="background1" w:themeShade="80"/>
          <w:sz w:val="22"/>
          <w:szCs w:val="22"/>
        </w:rPr>
        <w:footnoteReference w:id="18"/>
      </w:r>
    </w:p>
    <w:p w14:paraId="0BAF8F9B" w14:textId="5B928EC0" w:rsidR="00FB0ADE" w:rsidRPr="00D9152B" w:rsidRDefault="008F642E" w:rsidP="009440DF">
      <w:pPr>
        <w:spacing w:before="100" w:beforeAutospacing="1" w:after="100" w:afterAutospacing="1" w:line="360" w:lineRule="auto"/>
        <w:ind w:firstLine="720"/>
        <w:rPr>
          <w:rStyle w:val="IntenseQuoteChar"/>
          <w:rFonts w:ascii="Calibri" w:hAnsi="Calibri" w:cs="Calibri"/>
          <w:sz w:val="22"/>
          <w:szCs w:val="22"/>
        </w:rPr>
      </w:pPr>
      <w:r w:rsidRPr="00D9152B">
        <w:rPr>
          <w:rFonts w:ascii="Calibri" w:hAnsi="Calibri" w:cs="Calibri"/>
          <w:sz w:val="22"/>
          <w:szCs w:val="22"/>
        </w:rPr>
        <w:t>Beyond feature stories</w:t>
      </w:r>
      <w:r w:rsidR="00BD580E" w:rsidRPr="00D9152B">
        <w:rPr>
          <w:rFonts w:ascii="Calibri" w:hAnsi="Calibri" w:cs="Calibri"/>
          <w:sz w:val="22"/>
          <w:szCs w:val="22"/>
        </w:rPr>
        <w:t xml:space="preserve"> and statues, onchocerciasis control occupies a major place in the collective memory of both the WHO, </w:t>
      </w:r>
      <w:r w:rsidR="00167B20" w:rsidRPr="00D9152B">
        <w:rPr>
          <w:rFonts w:ascii="Calibri" w:hAnsi="Calibri" w:cs="Calibri"/>
          <w:sz w:val="22"/>
          <w:szCs w:val="22"/>
        </w:rPr>
        <w:t>the OCP’s</w:t>
      </w:r>
      <w:r w:rsidR="00BD580E" w:rsidRPr="00D9152B">
        <w:rPr>
          <w:rFonts w:ascii="Calibri" w:hAnsi="Calibri" w:cs="Calibri"/>
          <w:sz w:val="22"/>
          <w:szCs w:val="22"/>
        </w:rPr>
        <w:t xml:space="preserve"> executing agency, and the Bank, its fiscal agent. The OCP’s position as a disease control success story is perhaps only surpassed by smallpox eradication in the 1970s.</w:t>
      </w:r>
      <w:r w:rsidR="00BD580E" w:rsidRPr="00D9152B">
        <w:rPr>
          <w:rStyle w:val="FootnoteReference"/>
          <w:rFonts w:ascii="Calibri" w:hAnsi="Calibri" w:cs="Calibri"/>
          <w:sz w:val="22"/>
          <w:szCs w:val="22"/>
        </w:rPr>
        <w:footnoteReference w:id="19"/>
      </w:r>
      <w:r w:rsidR="00BD580E" w:rsidRPr="00D9152B">
        <w:rPr>
          <w:rFonts w:ascii="Calibri" w:hAnsi="Calibri" w:cs="Calibri"/>
          <w:sz w:val="22"/>
          <w:szCs w:val="22"/>
        </w:rPr>
        <w:t xml:space="preserve"> For instance, the WHO’s </w:t>
      </w:r>
      <w:r w:rsidR="00BD580E" w:rsidRPr="00D9152B">
        <w:rPr>
          <w:rFonts w:ascii="Calibri" w:hAnsi="Calibri" w:cs="Calibri"/>
          <w:i/>
          <w:sz w:val="22"/>
          <w:szCs w:val="22"/>
        </w:rPr>
        <w:t xml:space="preserve">World Health </w:t>
      </w:r>
      <w:r w:rsidR="00BD580E" w:rsidRPr="00D9152B">
        <w:rPr>
          <w:rFonts w:ascii="Calibri" w:hAnsi="Calibri" w:cs="Calibri"/>
          <w:sz w:val="22"/>
          <w:szCs w:val="22"/>
        </w:rPr>
        <w:t>magazine, which was marketed largely to educated lay and medical audiences,</w:t>
      </w:r>
      <w:r w:rsidR="00BD580E" w:rsidRPr="00D9152B">
        <w:rPr>
          <w:rStyle w:val="FootnoteReference"/>
          <w:rFonts w:ascii="Calibri" w:hAnsi="Calibri" w:cs="Calibri"/>
          <w:sz w:val="22"/>
          <w:szCs w:val="22"/>
        </w:rPr>
        <w:footnoteReference w:id="20"/>
      </w:r>
      <w:r w:rsidR="00BD580E" w:rsidRPr="00D9152B">
        <w:rPr>
          <w:rFonts w:ascii="Calibri" w:hAnsi="Calibri" w:cs="Calibri"/>
          <w:sz w:val="22"/>
          <w:szCs w:val="22"/>
        </w:rPr>
        <w:t xml:space="preserve"> ran over 20 stories on the OCP from 1974-1989,</w:t>
      </w:r>
      <w:r w:rsidR="00BD580E" w:rsidRPr="00D9152B">
        <w:rPr>
          <w:rStyle w:val="FootnoteReference"/>
          <w:rFonts w:ascii="Calibri" w:hAnsi="Calibri" w:cs="Calibri"/>
          <w:sz w:val="22"/>
          <w:szCs w:val="22"/>
        </w:rPr>
        <w:footnoteReference w:id="21"/>
      </w:r>
      <w:r w:rsidR="00896AE0" w:rsidRPr="00D9152B">
        <w:rPr>
          <w:rFonts w:ascii="Calibri" w:hAnsi="Calibri" w:cs="Calibri"/>
          <w:sz w:val="22"/>
          <w:szCs w:val="22"/>
        </w:rPr>
        <w:t xml:space="preserve"> </w:t>
      </w:r>
      <w:r w:rsidR="00BD580E" w:rsidRPr="00D9152B">
        <w:rPr>
          <w:rFonts w:ascii="Calibri" w:hAnsi="Calibri" w:cs="Calibri"/>
          <w:sz w:val="22"/>
          <w:szCs w:val="22"/>
        </w:rPr>
        <w:t xml:space="preserve">and in 1994 the WHO published a book on the </w:t>
      </w:r>
      <w:r w:rsidR="00BD580E" w:rsidRPr="00D9152B">
        <w:rPr>
          <w:rFonts w:ascii="Calibri" w:hAnsi="Calibri" w:cs="Calibri"/>
          <w:sz w:val="22"/>
          <w:szCs w:val="22"/>
        </w:rPr>
        <w:lastRenderedPageBreak/>
        <w:t xml:space="preserve">achievements of the OCP entitled </w:t>
      </w:r>
      <w:r w:rsidR="00BD580E" w:rsidRPr="00D9152B">
        <w:rPr>
          <w:rFonts w:ascii="Calibri" w:hAnsi="Calibri" w:cs="Calibri"/>
          <w:i/>
          <w:sz w:val="22"/>
          <w:szCs w:val="22"/>
        </w:rPr>
        <w:t xml:space="preserve">The Onchocerciasis Control Programme: </w:t>
      </w:r>
      <w:r w:rsidR="000517E2" w:rsidRPr="00D9152B">
        <w:rPr>
          <w:rFonts w:ascii="Calibri" w:hAnsi="Calibri" w:cs="Calibri"/>
          <w:i/>
          <w:sz w:val="22"/>
          <w:szCs w:val="22"/>
        </w:rPr>
        <w:t>a l</w:t>
      </w:r>
      <w:r w:rsidR="00BD580E" w:rsidRPr="00D9152B">
        <w:rPr>
          <w:rFonts w:ascii="Calibri" w:hAnsi="Calibri" w:cs="Calibri"/>
          <w:i/>
          <w:sz w:val="22"/>
          <w:szCs w:val="22"/>
        </w:rPr>
        <w:t>ong-</w:t>
      </w:r>
      <w:r w:rsidR="000517E2" w:rsidRPr="00D9152B">
        <w:rPr>
          <w:rFonts w:ascii="Calibri" w:hAnsi="Calibri" w:cs="Calibri"/>
          <w:i/>
          <w:sz w:val="22"/>
          <w:szCs w:val="22"/>
        </w:rPr>
        <w:t>term c</w:t>
      </w:r>
      <w:r w:rsidR="00BD580E" w:rsidRPr="00D9152B">
        <w:rPr>
          <w:rFonts w:ascii="Calibri" w:hAnsi="Calibri" w:cs="Calibri"/>
          <w:i/>
          <w:sz w:val="22"/>
          <w:szCs w:val="22"/>
        </w:rPr>
        <w:t xml:space="preserve">ommitment to </w:t>
      </w:r>
      <w:r w:rsidR="000517E2" w:rsidRPr="00D9152B">
        <w:rPr>
          <w:rFonts w:ascii="Calibri" w:hAnsi="Calibri" w:cs="Calibri"/>
          <w:i/>
          <w:sz w:val="22"/>
          <w:szCs w:val="22"/>
        </w:rPr>
        <w:t>s</w:t>
      </w:r>
      <w:r w:rsidR="00BD580E" w:rsidRPr="00D9152B">
        <w:rPr>
          <w:rFonts w:ascii="Calibri" w:hAnsi="Calibri" w:cs="Calibri"/>
          <w:i/>
          <w:sz w:val="22"/>
          <w:szCs w:val="22"/>
        </w:rPr>
        <w:t>uccess</w:t>
      </w:r>
      <w:r w:rsidR="002100AF" w:rsidRPr="00D9152B">
        <w:rPr>
          <w:rFonts w:ascii="Calibri" w:hAnsi="Calibri" w:cs="Calibri"/>
          <w:i/>
          <w:sz w:val="22"/>
          <w:szCs w:val="22"/>
        </w:rPr>
        <w:t xml:space="preserve"> </w:t>
      </w:r>
      <w:r w:rsidR="002100AF" w:rsidRPr="00D9152B">
        <w:rPr>
          <w:rFonts w:ascii="Calibri" w:hAnsi="Calibri" w:cs="Calibri"/>
          <w:sz w:val="22"/>
          <w:szCs w:val="22"/>
        </w:rPr>
        <w:t xml:space="preserve">(Figure </w:t>
      </w:r>
      <w:r w:rsidR="0052142C">
        <w:rPr>
          <w:rFonts w:ascii="Calibri" w:hAnsi="Calibri" w:cs="Calibri"/>
          <w:sz w:val="22"/>
          <w:szCs w:val="22"/>
        </w:rPr>
        <w:t>1.</w:t>
      </w:r>
      <w:r w:rsidR="008E4552" w:rsidRPr="00D9152B">
        <w:rPr>
          <w:rFonts w:ascii="Calibri" w:hAnsi="Calibri" w:cs="Calibri"/>
          <w:sz w:val="22"/>
          <w:szCs w:val="22"/>
        </w:rPr>
        <w:t>3</w:t>
      </w:r>
      <w:r w:rsidR="002100AF" w:rsidRPr="00D9152B">
        <w:rPr>
          <w:rFonts w:ascii="Calibri" w:hAnsi="Calibri" w:cs="Calibri"/>
          <w:sz w:val="22"/>
          <w:szCs w:val="22"/>
        </w:rPr>
        <w:t>)</w:t>
      </w:r>
      <w:r w:rsidR="00BD580E" w:rsidRPr="00D9152B">
        <w:rPr>
          <w:rFonts w:ascii="Calibri" w:hAnsi="Calibri" w:cs="Calibri"/>
          <w:sz w:val="22"/>
          <w:szCs w:val="22"/>
        </w:rPr>
        <w:t>.</w:t>
      </w:r>
      <w:r w:rsidR="00896AE0" w:rsidRPr="00D9152B">
        <w:rPr>
          <w:rStyle w:val="FootnoteReference"/>
          <w:rFonts w:ascii="Calibri" w:hAnsi="Calibri" w:cs="Calibri"/>
          <w:sz w:val="22"/>
          <w:szCs w:val="22"/>
        </w:rPr>
        <w:footnoteReference w:id="22"/>
      </w:r>
      <w:r w:rsidR="00BD580E" w:rsidRPr="00D9152B">
        <w:rPr>
          <w:rFonts w:ascii="Calibri" w:hAnsi="Calibri" w:cs="Calibri"/>
          <w:sz w:val="22"/>
          <w:szCs w:val="22"/>
        </w:rPr>
        <w:t xml:space="preserve"> In the mid-1990s alone, Bank President James Wolfensohn explained that the OCP ‘exemplified the Bank at its best’, OCP Director (1980-1994) and later WHO </w:t>
      </w:r>
      <w:r w:rsidR="000517E2" w:rsidRPr="00D9152B">
        <w:rPr>
          <w:rFonts w:ascii="Calibri" w:hAnsi="Calibri" w:cs="Calibri"/>
          <w:sz w:val="22"/>
          <w:szCs w:val="22"/>
        </w:rPr>
        <w:t>Regional Director for Africa (AFRO)</w:t>
      </w:r>
      <w:r w:rsidR="00BD580E" w:rsidRPr="00D9152B">
        <w:rPr>
          <w:rFonts w:ascii="Calibri" w:hAnsi="Calibri" w:cs="Calibri"/>
          <w:sz w:val="22"/>
          <w:szCs w:val="22"/>
        </w:rPr>
        <w:t xml:space="preserve"> E.M. Samba stated that ‘it proves it can be done – effective aid programs deliver lasting results’,</w:t>
      </w:r>
      <w:r w:rsidR="00BD580E" w:rsidRPr="00D9152B">
        <w:rPr>
          <w:rStyle w:val="FootnoteReference"/>
          <w:rFonts w:ascii="Calibri" w:hAnsi="Calibri" w:cs="Calibri"/>
          <w:sz w:val="22"/>
          <w:szCs w:val="22"/>
        </w:rPr>
        <w:footnoteReference w:id="23"/>
      </w:r>
      <w:r w:rsidR="00BD580E" w:rsidRPr="00D9152B">
        <w:rPr>
          <w:rFonts w:ascii="Calibri" w:hAnsi="Calibri" w:cs="Calibri"/>
          <w:sz w:val="22"/>
          <w:szCs w:val="22"/>
        </w:rPr>
        <w:t xml:space="preserve"> and the World Health Assembly observed a special commemoration for the OCP’s twentieth anniversary.</w:t>
      </w:r>
      <w:r w:rsidR="00BD580E" w:rsidRPr="00D9152B">
        <w:rPr>
          <w:rStyle w:val="FootnoteReference"/>
          <w:rFonts w:ascii="Calibri" w:hAnsi="Calibri" w:cs="Calibri"/>
          <w:sz w:val="22"/>
          <w:szCs w:val="22"/>
        </w:rPr>
        <w:footnoteReference w:id="24"/>
      </w:r>
      <w:r w:rsidR="00BD580E" w:rsidRPr="00D9152B">
        <w:rPr>
          <w:rFonts w:ascii="Calibri" w:hAnsi="Calibri" w:cs="Calibri"/>
          <w:sz w:val="22"/>
          <w:szCs w:val="22"/>
        </w:rPr>
        <w:t xml:space="preserve"> </w:t>
      </w:r>
      <w:r w:rsidRPr="00D9152B">
        <w:rPr>
          <w:rFonts w:ascii="Calibri" w:hAnsi="Calibri" w:cs="Calibri"/>
          <w:sz w:val="22"/>
          <w:szCs w:val="22"/>
        </w:rPr>
        <w:t xml:space="preserve">The World Bank </w:t>
      </w:r>
      <w:r w:rsidR="005E5401" w:rsidRPr="00D9152B">
        <w:rPr>
          <w:rFonts w:ascii="Calibri" w:hAnsi="Calibri" w:cs="Calibri"/>
          <w:sz w:val="22"/>
          <w:szCs w:val="22"/>
        </w:rPr>
        <w:t xml:space="preserve">also </w:t>
      </w:r>
      <w:r w:rsidRPr="00D9152B">
        <w:rPr>
          <w:rFonts w:ascii="Calibri" w:hAnsi="Calibri" w:cs="Calibri"/>
          <w:sz w:val="22"/>
          <w:szCs w:val="22"/>
        </w:rPr>
        <w:t xml:space="preserve">widely disseminated four videos on the OCP from 1974 to 2015, one of which featured former United States President James </w:t>
      </w:r>
      <w:r w:rsidR="00167B20" w:rsidRPr="00D9152B">
        <w:rPr>
          <w:rFonts w:ascii="Calibri" w:hAnsi="Calibri" w:cs="Calibri"/>
          <w:sz w:val="22"/>
          <w:szCs w:val="22"/>
        </w:rPr>
        <w:t xml:space="preserve">(Jimmy) </w:t>
      </w:r>
      <w:r w:rsidRPr="00D9152B">
        <w:rPr>
          <w:rFonts w:ascii="Calibri" w:hAnsi="Calibri" w:cs="Calibri"/>
          <w:sz w:val="22"/>
          <w:szCs w:val="22"/>
        </w:rPr>
        <w:t>Carter and World Bank President Robert McNamara attesting to its successes (1994),</w:t>
      </w:r>
      <w:r w:rsidRPr="00D9152B">
        <w:rPr>
          <w:rStyle w:val="FootnoteReference"/>
          <w:rFonts w:ascii="Calibri" w:hAnsi="Calibri" w:cs="Calibri"/>
          <w:sz w:val="22"/>
          <w:szCs w:val="22"/>
        </w:rPr>
        <w:footnoteReference w:id="25"/>
      </w:r>
      <w:r w:rsidRPr="00D9152B">
        <w:rPr>
          <w:rFonts w:ascii="Calibri" w:hAnsi="Calibri" w:cs="Calibri"/>
          <w:sz w:val="22"/>
          <w:szCs w:val="22"/>
        </w:rPr>
        <w:t xml:space="preserve"> and hosted a highly-publicized ceremony to highlight programme successes during the 1997 statue unveiling</w:t>
      </w:r>
      <w:r w:rsidR="00F85498" w:rsidRPr="00D9152B">
        <w:rPr>
          <w:rFonts w:ascii="Calibri" w:hAnsi="Calibri" w:cs="Calibri"/>
          <w:sz w:val="22"/>
          <w:szCs w:val="22"/>
        </w:rPr>
        <w:t>.</w:t>
      </w:r>
      <w:r w:rsidR="00F85498" w:rsidRPr="00D9152B">
        <w:rPr>
          <w:rStyle w:val="FootnoteReference"/>
          <w:rFonts w:ascii="Calibri" w:hAnsi="Calibri" w:cs="Calibri"/>
          <w:sz w:val="22"/>
          <w:szCs w:val="22"/>
        </w:rPr>
        <w:footnoteReference w:id="26"/>
      </w:r>
      <w:r w:rsidRPr="00D9152B">
        <w:rPr>
          <w:rFonts w:ascii="Calibri" w:hAnsi="Calibri" w:cs="Calibri"/>
          <w:sz w:val="22"/>
          <w:szCs w:val="22"/>
        </w:rPr>
        <w:t xml:space="preserve"> A</w:t>
      </w:r>
      <w:r w:rsidR="00167B20" w:rsidRPr="00D9152B">
        <w:rPr>
          <w:rFonts w:ascii="Calibri" w:hAnsi="Calibri" w:cs="Calibri"/>
          <w:sz w:val="22"/>
          <w:szCs w:val="22"/>
        </w:rPr>
        <w:t xml:space="preserve">t </w:t>
      </w:r>
      <w:r w:rsidR="00BD580E" w:rsidRPr="00D9152B">
        <w:rPr>
          <w:rFonts w:ascii="Calibri" w:hAnsi="Calibri" w:cs="Calibri"/>
          <w:sz w:val="22"/>
          <w:szCs w:val="22"/>
        </w:rPr>
        <w:t xml:space="preserve">the OCP’s closing ceremony in 2002, WHO Director General Harlem Brundtland </w:t>
      </w:r>
      <w:r w:rsidR="00FB0ADE" w:rsidRPr="00D9152B">
        <w:rPr>
          <w:rFonts w:ascii="Calibri" w:hAnsi="Calibri" w:cs="Calibri"/>
          <w:sz w:val="22"/>
          <w:szCs w:val="22"/>
        </w:rPr>
        <w:t>simi</w:t>
      </w:r>
      <w:r w:rsidR="00896AE0" w:rsidRPr="00D9152B">
        <w:rPr>
          <w:rFonts w:ascii="Calibri" w:hAnsi="Calibri" w:cs="Calibri"/>
          <w:sz w:val="22"/>
          <w:szCs w:val="22"/>
        </w:rPr>
        <w:t xml:space="preserve">larly </w:t>
      </w:r>
      <w:r w:rsidR="00BD580E" w:rsidRPr="00D9152B">
        <w:rPr>
          <w:rFonts w:ascii="Calibri" w:hAnsi="Calibri" w:cs="Calibri"/>
          <w:sz w:val="22"/>
          <w:szCs w:val="22"/>
        </w:rPr>
        <w:t>depicted the programme as an ‘undeniable and exemplary success’, which prevented 600,000 cases of blindness and made 25 million hectares of land safe for development.</w:t>
      </w:r>
      <w:r w:rsidR="00BD580E" w:rsidRPr="00D9152B">
        <w:rPr>
          <w:rStyle w:val="FootnoteReference"/>
          <w:rFonts w:ascii="Calibri" w:hAnsi="Calibri" w:cs="Calibri"/>
          <w:sz w:val="22"/>
          <w:szCs w:val="22"/>
        </w:rPr>
        <w:footnoteReference w:id="27"/>
      </w:r>
      <w:r w:rsidR="00BD580E" w:rsidRPr="00D9152B">
        <w:rPr>
          <w:rFonts w:ascii="Calibri" w:hAnsi="Calibri" w:cs="Calibri"/>
          <w:sz w:val="22"/>
          <w:szCs w:val="22"/>
        </w:rPr>
        <w:t xml:space="preserve"> </w:t>
      </w:r>
      <w:r w:rsidR="00167B20" w:rsidRPr="00D9152B">
        <w:rPr>
          <w:rFonts w:ascii="Calibri" w:hAnsi="Calibri" w:cs="Calibri"/>
          <w:sz w:val="22"/>
          <w:szCs w:val="22"/>
        </w:rPr>
        <w:t>More recently</w:t>
      </w:r>
      <w:r w:rsidRPr="00D9152B">
        <w:rPr>
          <w:rFonts w:ascii="Calibri" w:hAnsi="Calibri" w:cs="Calibri"/>
          <w:sz w:val="22"/>
          <w:szCs w:val="22"/>
        </w:rPr>
        <w:t>, to</w:t>
      </w:r>
      <w:r w:rsidR="00F85498" w:rsidRPr="00D9152B">
        <w:rPr>
          <w:rFonts w:ascii="Calibri" w:hAnsi="Calibri" w:cs="Calibri"/>
          <w:sz w:val="22"/>
          <w:szCs w:val="22"/>
        </w:rPr>
        <w:t xml:space="preserve"> commemorate the programme’s </w:t>
      </w:r>
      <w:r w:rsidR="000517E2" w:rsidRPr="00D9152B">
        <w:rPr>
          <w:rFonts w:ascii="Calibri" w:hAnsi="Calibri" w:cs="Calibri"/>
          <w:sz w:val="22"/>
          <w:szCs w:val="22"/>
        </w:rPr>
        <w:t>fortieth</w:t>
      </w:r>
      <w:r w:rsidR="00F85498" w:rsidRPr="00D9152B">
        <w:rPr>
          <w:rFonts w:ascii="Calibri" w:hAnsi="Calibri" w:cs="Calibri"/>
          <w:sz w:val="22"/>
          <w:szCs w:val="22"/>
        </w:rPr>
        <w:t xml:space="preserve"> anniversary, the Bank ho</w:t>
      </w:r>
      <w:r w:rsidR="00167B20" w:rsidRPr="00D9152B">
        <w:rPr>
          <w:rFonts w:ascii="Calibri" w:hAnsi="Calibri" w:cs="Calibri"/>
          <w:sz w:val="22"/>
          <w:szCs w:val="22"/>
        </w:rPr>
        <w:t>sted a river blindness summit</w:t>
      </w:r>
      <w:r w:rsidRPr="00D9152B">
        <w:rPr>
          <w:rFonts w:ascii="Calibri" w:hAnsi="Calibri" w:cs="Calibri"/>
          <w:sz w:val="22"/>
          <w:szCs w:val="22"/>
        </w:rPr>
        <w:t xml:space="preserve">. </w:t>
      </w:r>
      <w:r w:rsidR="00E94B66" w:rsidRPr="00D9152B">
        <w:rPr>
          <w:rFonts w:ascii="Calibri" w:hAnsi="Calibri" w:cs="Calibri"/>
          <w:sz w:val="22"/>
          <w:szCs w:val="22"/>
        </w:rPr>
        <w:t>During</w:t>
      </w:r>
      <w:r w:rsidRPr="00D9152B">
        <w:rPr>
          <w:rFonts w:ascii="Calibri" w:hAnsi="Calibri" w:cs="Calibri"/>
          <w:sz w:val="22"/>
          <w:szCs w:val="22"/>
        </w:rPr>
        <w:t xml:space="preserve"> this</w:t>
      </w:r>
      <w:r w:rsidR="00167B20" w:rsidRPr="00D9152B">
        <w:rPr>
          <w:rFonts w:ascii="Calibri" w:hAnsi="Calibri" w:cs="Calibri"/>
          <w:sz w:val="22"/>
          <w:szCs w:val="22"/>
        </w:rPr>
        <w:t xml:space="preserve"> 2014</w:t>
      </w:r>
      <w:r w:rsidRPr="00D9152B">
        <w:rPr>
          <w:rFonts w:ascii="Calibri" w:hAnsi="Calibri" w:cs="Calibri"/>
          <w:sz w:val="22"/>
          <w:szCs w:val="22"/>
        </w:rPr>
        <w:t xml:space="preserve"> event, </w:t>
      </w:r>
      <w:r w:rsidR="00F85498" w:rsidRPr="00D9152B">
        <w:rPr>
          <w:rFonts w:ascii="Calibri" w:hAnsi="Calibri" w:cs="Calibri"/>
          <w:sz w:val="22"/>
          <w:szCs w:val="22"/>
        </w:rPr>
        <w:t>the lea</w:t>
      </w:r>
      <w:r w:rsidR="00167B20" w:rsidRPr="00D9152B">
        <w:rPr>
          <w:rFonts w:ascii="Calibri" w:hAnsi="Calibri" w:cs="Calibri"/>
          <w:sz w:val="22"/>
          <w:szCs w:val="22"/>
        </w:rPr>
        <w:t xml:space="preserve">dership of the NGO Sightsavers and </w:t>
      </w:r>
      <w:r w:rsidR="003147E7" w:rsidRPr="00D9152B">
        <w:rPr>
          <w:rFonts w:ascii="Calibri" w:hAnsi="Calibri" w:cs="Calibri"/>
          <w:sz w:val="22"/>
          <w:szCs w:val="22"/>
        </w:rPr>
        <w:t xml:space="preserve">then </w:t>
      </w:r>
      <w:r w:rsidR="00F85498" w:rsidRPr="00D9152B">
        <w:rPr>
          <w:rFonts w:ascii="Calibri" w:hAnsi="Calibri" w:cs="Calibri"/>
          <w:sz w:val="22"/>
          <w:szCs w:val="22"/>
        </w:rPr>
        <w:t>Bank President Kim spoke about ‘looking to the future to consider how the success of the river blindness programmes can be replicated across other neglected tropical diseases’.</w:t>
      </w:r>
      <w:r w:rsidR="00F85498" w:rsidRPr="00D9152B">
        <w:rPr>
          <w:rStyle w:val="FootnoteReference"/>
          <w:rFonts w:ascii="Calibri" w:hAnsi="Calibri" w:cs="Calibri"/>
          <w:sz w:val="22"/>
          <w:szCs w:val="22"/>
        </w:rPr>
        <w:footnoteReference w:id="28"/>
      </w:r>
    </w:p>
    <w:p w14:paraId="2C241EAF" w14:textId="1EFBCB8B" w:rsidR="00FB0ADE" w:rsidRPr="00D9152B" w:rsidRDefault="002100AF" w:rsidP="00F32524">
      <w:pPr>
        <w:ind w:firstLine="720"/>
        <w:jc w:val="center"/>
        <w:rPr>
          <w:rFonts w:ascii="Calibri" w:hAnsi="Calibri" w:cs="Calibri"/>
          <w:i/>
          <w:iCs/>
          <w:color w:val="5B9BD5" w:themeColor="accent1"/>
        </w:rPr>
      </w:pPr>
      <w:r w:rsidRPr="00D9152B">
        <w:rPr>
          <w:rFonts w:ascii="Calibri" w:hAnsi="Calibri" w:cs="Calibri"/>
          <w:i/>
          <w:iCs/>
          <w:noProof/>
          <w:color w:val="5B9BD5" w:themeColor="accent1"/>
          <w:lang w:eastAsia="en-GB"/>
        </w:rPr>
        <w:lastRenderedPageBreak/>
        <w:drawing>
          <wp:inline distT="0" distB="0" distL="0" distR="0" wp14:anchorId="4B164A09" wp14:editId="09A2C7F8">
            <wp:extent cx="2604887" cy="3522071"/>
            <wp:effectExtent l="0" t="0" r="0" b="0"/>
            <wp:docPr id="35" name="Picture 35" descr="C:\Users\s1684475\Downloads\Success in Africa book co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1684475\Downloads\Success in Africa book cover.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69659" cy="3609650"/>
                    </a:xfrm>
                    <a:prstGeom prst="rect">
                      <a:avLst/>
                    </a:prstGeom>
                    <a:noFill/>
                    <a:ln>
                      <a:noFill/>
                    </a:ln>
                  </pic:spPr>
                </pic:pic>
              </a:graphicData>
            </a:graphic>
          </wp:inline>
        </w:drawing>
      </w:r>
    </w:p>
    <w:p w14:paraId="00C0F6E4" w14:textId="77777777" w:rsidR="001F4A40" w:rsidRPr="00D9152B" w:rsidRDefault="001F4A40" w:rsidP="00D32A95">
      <w:pPr>
        <w:jc w:val="both"/>
        <w:rPr>
          <w:rFonts w:ascii="Calibri" w:hAnsi="Calibri" w:cs="Calibri"/>
          <w:color w:val="808080" w:themeColor="background1" w:themeShade="80"/>
        </w:rPr>
      </w:pPr>
    </w:p>
    <w:p w14:paraId="7F23D659" w14:textId="6E04CE89" w:rsidR="00F32524" w:rsidRPr="00D9152B" w:rsidRDefault="008E4552" w:rsidP="00D32A95">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52142C">
        <w:rPr>
          <w:rFonts w:ascii="Calibri" w:hAnsi="Calibri" w:cs="Calibri"/>
          <w:color w:val="808080" w:themeColor="background1" w:themeShade="80"/>
          <w:sz w:val="22"/>
          <w:szCs w:val="22"/>
        </w:rPr>
        <w:t>1.</w:t>
      </w:r>
      <w:r w:rsidRPr="00D9152B">
        <w:rPr>
          <w:rFonts w:ascii="Calibri" w:hAnsi="Calibri" w:cs="Calibri"/>
          <w:color w:val="808080" w:themeColor="background1" w:themeShade="80"/>
          <w:sz w:val="22"/>
          <w:szCs w:val="22"/>
        </w:rPr>
        <w:t>3</w:t>
      </w:r>
      <w:r w:rsidR="002100AF" w:rsidRPr="00D9152B">
        <w:rPr>
          <w:rFonts w:ascii="Calibri" w:hAnsi="Calibri" w:cs="Calibri"/>
          <w:color w:val="808080" w:themeColor="background1" w:themeShade="80"/>
          <w:sz w:val="22"/>
          <w:szCs w:val="22"/>
        </w:rPr>
        <w:t>. The WHO and OCP published a book to commemorate the programme in 2003, whose cover pointed to its success and showcased the onchocerciasis image.</w:t>
      </w:r>
      <w:r w:rsidR="002100AF" w:rsidRPr="00D9152B">
        <w:rPr>
          <w:rStyle w:val="FootnoteReference"/>
          <w:rFonts w:ascii="Calibri" w:hAnsi="Calibri" w:cs="Calibri"/>
          <w:color w:val="808080" w:themeColor="background1" w:themeShade="80"/>
          <w:sz w:val="22"/>
          <w:szCs w:val="22"/>
        </w:rPr>
        <w:footnoteReference w:id="29"/>
      </w:r>
    </w:p>
    <w:p w14:paraId="4B965226" w14:textId="77777777" w:rsidR="00F32524" w:rsidRPr="00D9152B" w:rsidRDefault="00F32524" w:rsidP="00F32524">
      <w:pPr>
        <w:rPr>
          <w:rFonts w:ascii="Calibri" w:hAnsi="Calibri" w:cs="Calibri"/>
          <w:color w:val="7F7F7F" w:themeColor="text1" w:themeTint="80"/>
        </w:rPr>
      </w:pPr>
    </w:p>
    <w:p w14:paraId="4E8C0767" w14:textId="67B0F91E" w:rsidR="00BD580E" w:rsidRPr="00D9152B" w:rsidRDefault="00523632" w:rsidP="00523632">
      <w:pPr>
        <w:pStyle w:val="Heading2"/>
        <w:rPr>
          <w:rFonts w:ascii="Calibri" w:hAnsi="Calibri" w:cs="Calibri"/>
          <w:b/>
          <w:sz w:val="26"/>
          <w:szCs w:val="26"/>
        </w:rPr>
      </w:pPr>
      <w:bookmarkStart w:id="9" w:name="_Toc41505584"/>
      <w:r w:rsidRPr="00D9152B">
        <w:rPr>
          <w:rFonts w:ascii="Calibri" w:hAnsi="Calibri" w:cs="Calibri"/>
          <w:b/>
          <w:sz w:val="26"/>
          <w:szCs w:val="26"/>
        </w:rPr>
        <w:t>1.2</w:t>
      </w:r>
      <w:r w:rsidR="002F22C3" w:rsidRPr="00D9152B">
        <w:rPr>
          <w:rFonts w:ascii="Calibri" w:hAnsi="Calibri" w:cs="Calibri"/>
          <w:b/>
          <w:sz w:val="26"/>
          <w:szCs w:val="26"/>
        </w:rPr>
        <w:t xml:space="preserve">. </w:t>
      </w:r>
      <w:r w:rsidR="00D710B6" w:rsidRPr="00D9152B">
        <w:rPr>
          <w:rFonts w:ascii="Calibri" w:hAnsi="Calibri" w:cs="Calibri"/>
          <w:b/>
          <w:sz w:val="26"/>
          <w:szCs w:val="26"/>
        </w:rPr>
        <w:t>Introducing the OCP</w:t>
      </w:r>
      <w:bookmarkEnd w:id="9"/>
    </w:p>
    <w:p w14:paraId="61A92FC7" w14:textId="341DB352" w:rsidR="00D710B6" w:rsidRPr="00D9152B" w:rsidRDefault="006B6776" w:rsidP="001B06C7">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OCP was launched in the early 1970s, </w:t>
      </w:r>
      <w:r w:rsidR="001B06C7" w:rsidRPr="00D9152B">
        <w:rPr>
          <w:rFonts w:ascii="Calibri" w:hAnsi="Calibri" w:cs="Calibri"/>
          <w:sz w:val="22"/>
          <w:szCs w:val="22"/>
        </w:rPr>
        <w:t xml:space="preserve">during a decade </w:t>
      </w:r>
      <w:r w:rsidRPr="00D9152B">
        <w:rPr>
          <w:rFonts w:ascii="Calibri" w:hAnsi="Calibri" w:cs="Calibri"/>
          <w:sz w:val="22"/>
          <w:szCs w:val="22"/>
        </w:rPr>
        <w:t>in which single disease-control efforts were increasingly out of vogue.</w:t>
      </w:r>
      <w:r w:rsidR="001B06C7" w:rsidRPr="00D9152B">
        <w:rPr>
          <w:rStyle w:val="FootnoteReference"/>
          <w:rFonts w:ascii="Calibri" w:hAnsi="Calibri" w:cs="Calibri"/>
        </w:rPr>
        <w:footnoteReference w:id="30"/>
      </w:r>
      <w:r w:rsidRPr="00D9152B">
        <w:rPr>
          <w:rFonts w:ascii="Calibri" w:hAnsi="Calibri" w:cs="Calibri"/>
          <w:sz w:val="22"/>
          <w:szCs w:val="22"/>
        </w:rPr>
        <w:t xml:space="preserve"> </w:t>
      </w:r>
      <w:r w:rsidR="001B06C7" w:rsidRPr="00D9152B">
        <w:rPr>
          <w:rFonts w:ascii="Calibri" w:hAnsi="Calibri" w:cs="Calibri"/>
          <w:sz w:val="22"/>
          <w:szCs w:val="22"/>
        </w:rPr>
        <w:t xml:space="preserve">It targeted a </w:t>
      </w:r>
      <w:r w:rsidR="00D710B6" w:rsidRPr="00D9152B">
        <w:rPr>
          <w:rFonts w:ascii="Calibri" w:hAnsi="Calibri" w:cs="Calibri"/>
          <w:sz w:val="22"/>
          <w:szCs w:val="22"/>
        </w:rPr>
        <w:t xml:space="preserve">disease that </w:t>
      </w:r>
      <w:r w:rsidR="00090C0D" w:rsidRPr="00D9152B">
        <w:rPr>
          <w:rFonts w:ascii="Calibri" w:hAnsi="Calibri" w:cs="Calibri"/>
          <w:sz w:val="22"/>
          <w:szCs w:val="22"/>
        </w:rPr>
        <w:t>did</w:t>
      </w:r>
      <w:r w:rsidR="00D710B6" w:rsidRPr="00D9152B">
        <w:rPr>
          <w:rFonts w:ascii="Calibri" w:hAnsi="Calibri" w:cs="Calibri"/>
          <w:sz w:val="22"/>
          <w:szCs w:val="22"/>
        </w:rPr>
        <w:t xml:space="preserve"> not pose a health security threat to Western countries</w:t>
      </w:r>
      <w:r w:rsidR="001B06C7" w:rsidRPr="00D9152B">
        <w:rPr>
          <w:rFonts w:ascii="Calibri" w:hAnsi="Calibri" w:cs="Calibri"/>
          <w:sz w:val="22"/>
          <w:szCs w:val="22"/>
        </w:rPr>
        <w:t>, and whose prevalence was lower than numerous other diseases in West Africa</w:t>
      </w:r>
      <w:r w:rsidR="00D710B6" w:rsidRPr="00D9152B">
        <w:rPr>
          <w:rFonts w:ascii="Calibri" w:hAnsi="Calibri" w:cs="Calibri"/>
          <w:sz w:val="22"/>
          <w:szCs w:val="22"/>
        </w:rPr>
        <w:t>.</w:t>
      </w:r>
      <w:r w:rsidRPr="00D9152B">
        <w:rPr>
          <w:rStyle w:val="FootnoteReference"/>
          <w:rFonts w:ascii="Calibri" w:hAnsi="Calibri" w:cs="Calibri"/>
        </w:rPr>
        <w:footnoteReference w:id="31"/>
      </w:r>
      <w:r w:rsidR="00D710B6" w:rsidRPr="00D9152B">
        <w:rPr>
          <w:rFonts w:ascii="Calibri" w:hAnsi="Calibri" w:cs="Calibri"/>
          <w:sz w:val="22"/>
          <w:szCs w:val="22"/>
        </w:rPr>
        <w:t xml:space="preserve"> </w:t>
      </w:r>
      <w:r w:rsidRPr="00D9152B">
        <w:rPr>
          <w:rFonts w:ascii="Calibri" w:hAnsi="Calibri" w:cs="Calibri"/>
          <w:sz w:val="22"/>
          <w:szCs w:val="22"/>
        </w:rPr>
        <w:t xml:space="preserve">Chapter </w:t>
      </w:r>
      <w:r w:rsidR="001B06C7" w:rsidRPr="00D9152B">
        <w:rPr>
          <w:rFonts w:ascii="Calibri" w:hAnsi="Calibri" w:cs="Calibri"/>
          <w:sz w:val="22"/>
          <w:szCs w:val="22"/>
        </w:rPr>
        <w:t>3</w:t>
      </w:r>
      <w:r w:rsidRPr="00D9152B">
        <w:rPr>
          <w:rFonts w:ascii="Calibri" w:hAnsi="Calibri" w:cs="Calibri"/>
          <w:sz w:val="22"/>
          <w:szCs w:val="22"/>
        </w:rPr>
        <w:t xml:space="preserve"> describe</w:t>
      </w:r>
      <w:r w:rsidR="00090C0D" w:rsidRPr="00D9152B">
        <w:rPr>
          <w:rFonts w:ascii="Calibri" w:hAnsi="Calibri" w:cs="Calibri"/>
          <w:sz w:val="22"/>
          <w:szCs w:val="22"/>
        </w:rPr>
        <w:t>s</w:t>
      </w:r>
      <w:r w:rsidRPr="00D9152B">
        <w:rPr>
          <w:rFonts w:ascii="Calibri" w:hAnsi="Calibri" w:cs="Calibri"/>
          <w:sz w:val="22"/>
          <w:szCs w:val="22"/>
        </w:rPr>
        <w:t xml:space="preserve"> existing historical research on </w:t>
      </w:r>
      <w:r w:rsidR="001B06C7" w:rsidRPr="00D9152B">
        <w:rPr>
          <w:rFonts w:ascii="Calibri" w:hAnsi="Calibri" w:cs="Calibri"/>
          <w:sz w:val="22"/>
          <w:szCs w:val="22"/>
        </w:rPr>
        <w:t xml:space="preserve">why partners decided to focus on onchocerciasis. This section </w:t>
      </w:r>
      <w:r w:rsidR="003147E7" w:rsidRPr="00D9152B">
        <w:rPr>
          <w:rFonts w:ascii="Calibri" w:hAnsi="Calibri" w:cs="Calibri"/>
          <w:sz w:val="22"/>
          <w:szCs w:val="22"/>
        </w:rPr>
        <w:t>provides a broad introduction to</w:t>
      </w:r>
      <w:r w:rsidR="001B06C7" w:rsidRPr="00D9152B">
        <w:rPr>
          <w:rFonts w:ascii="Calibri" w:hAnsi="Calibri" w:cs="Calibri"/>
          <w:sz w:val="22"/>
          <w:szCs w:val="22"/>
        </w:rPr>
        <w:t xml:space="preserve"> the OCP partnership that emerged in the early 1970s. First, it </w:t>
      </w:r>
      <w:r w:rsidR="003147E7" w:rsidRPr="00D9152B">
        <w:rPr>
          <w:rFonts w:ascii="Calibri" w:hAnsi="Calibri" w:cs="Calibri"/>
          <w:sz w:val="22"/>
          <w:szCs w:val="22"/>
        </w:rPr>
        <w:t>gives</w:t>
      </w:r>
      <w:r w:rsidR="001B06C7" w:rsidRPr="00D9152B">
        <w:rPr>
          <w:rFonts w:ascii="Calibri" w:hAnsi="Calibri" w:cs="Calibri"/>
          <w:sz w:val="22"/>
          <w:szCs w:val="22"/>
        </w:rPr>
        <w:t xml:space="preserve"> background </w:t>
      </w:r>
      <w:r w:rsidR="00090C0D" w:rsidRPr="00D9152B">
        <w:rPr>
          <w:rFonts w:ascii="Calibri" w:hAnsi="Calibri" w:cs="Calibri"/>
          <w:sz w:val="22"/>
          <w:szCs w:val="22"/>
        </w:rPr>
        <w:t>on</w:t>
      </w:r>
      <w:r w:rsidR="001B06C7" w:rsidRPr="00D9152B">
        <w:rPr>
          <w:rFonts w:ascii="Calibri" w:hAnsi="Calibri" w:cs="Calibri"/>
          <w:sz w:val="22"/>
          <w:szCs w:val="22"/>
        </w:rPr>
        <w:t xml:space="preserve"> the onchocerciasis disease and its transmission. Next, it describes the major players involved in the programme, the programme’s geographic scope, and its overarching operational strategy.</w:t>
      </w:r>
    </w:p>
    <w:p w14:paraId="7913F675" w14:textId="4BD86184" w:rsidR="00FB0ADE" w:rsidRPr="00D9152B" w:rsidRDefault="00523632" w:rsidP="00523632">
      <w:pPr>
        <w:pStyle w:val="Heading3"/>
        <w:rPr>
          <w:rFonts w:ascii="Calibri" w:hAnsi="Calibri" w:cs="Calibri"/>
          <w:b/>
          <w:i/>
          <w:color w:val="000000" w:themeColor="text1"/>
          <w:sz w:val="22"/>
          <w:szCs w:val="22"/>
        </w:rPr>
      </w:pPr>
      <w:bookmarkStart w:id="10" w:name="_Toc41505585"/>
      <w:r w:rsidRPr="00D9152B">
        <w:rPr>
          <w:rFonts w:ascii="Calibri" w:hAnsi="Calibri" w:cs="Calibri"/>
          <w:b/>
          <w:i/>
          <w:color w:val="000000" w:themeColor="text1"/>
          <w:sz w:val="22"/>
          <w:szCs w:val="22"/>
        </w:rPr>
        <w:lastRenderedPageBreak/>
        <w:t>1.</w:t>
      </w:r>
      <w:r w:rsidR="00FB0ADE" w:rsidRPr="00D9152B">
        <w:rPr>
          <w:rFonts w:ascii="Calibri" w:hAnsi="Calibri" w:cs="Calibri"/>
          <w:b/>
          <w:i/>
          <w:color w:val="000000" w:themeColor="text1"/>
          <w:sz w:val="22"/>
          <w:szCs w:val="22"/>
        </w:rPr>
        <w:t>2.</w:t>
      </w:r>
      <w:r w:rsidRPr="00D9152B">
        <w:rPr>
          <w:rFonts w:ascii="Calibri" w:hAnsi="Calibri" w:cs="Calibri"/>
          <w:b/>
          <w:i/>
          <w:color w:val="000000" w:themeColor="text1"/>
          <w:sz w:val="22"/>
          <w:szCs w:val="22"/>
        </w:rPr>
        <w:t>A.</w:t>
      </w:r>
      <w:r w:rsidR="00FB0ADE" w:rsidRPr="00D9152B">
        <w:rPr>
          <w:rFonts w:ascii="Calibri" w:hAnsi="Calibri" w:cs="Calibri"/>
          <w:b/>
          <w:i/>
          <w:color w:val="000000" w:themeColor="text1"/>
          <w:sz w:val="22"/>
          <w:szCs w:val="22"/>
        </w:rPr>
        <w:t xml:space="preserve"> </w:t>
      </w:r>
      <w:r w:rsidR="005737F7" w:rsidRPr="00D9152B">
        <w:rPr>
          <w:rFonts w:ascii="Calibri" w:hAnsi="Calibri" w:cs="Calibri"/>
          <w:b/>
          <w:i/>
          <w:color w:val="000000" w:themeColor="text1"/>
          <w:sz w:val="22"/>
          <w:szCs w:val="22"/>
        </w:rPr>
        <w:t>Onchocerciasis transmission in West Africa</w:t>
      </w:r>
      <w:bookmarkEnd w:id="10"/>
    </w:p>
    <w:p w14:paraId="1FAF99B1" w14:textId="727518A4" w:rsidR="005A78EB" w:rsidRPr="00D9152B" w:rsidRDefault="00D710B6"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Onchocerciasis, now classified as one of thirteen major neglected tropical diseases (NTDs),</w:t>
      </w:r>
      <w:r w:rsidRPr="00D9152B">
        <w:rPr>
          <w:rStyle w:val="FootnoteReference"/>
          <w:rFonts w:ascii="Calibri" w:hAnsi="Calibri" w:cs="Calibri"/>
          <w:sz w:val="22"/>
          <w:szCs w:val="22"/>
        </w:rPr>
        <w:footnoteReference w:id="32"/>
      </w:r>
      <w:r w:rsidRPr="00D9152B">
        <w:rPr>
          <w:rFonts w:ascii="Calibri" w:hAnsi="Calibri" w:cs="Calibri"/>
        </w:rPr>
        <w:t xml:space="preserve"> </w:t>
      </w:r>
      <w:r w:rsidR="00BD580E" w:rsidRPr="00D9152B">
        <w:rPr>
          <w:rFonts w:ascii="Calibri" w:hAnsi="Calibri" w:cs="Calibri"/>
          <w:sz w:val="22"/>
          <w:szCs w:val="22"/>
        </w:rPr>
        <w:t xml:space="preserve">is a vector-borne filarial (worm) disease, caused by the roundworm </w:t>
      </w:r>
      <w:r w:rsidR="00BD580E" w:rsidRPr="00D9152B">
        <w:rPr>
          <w:rFonts w:ascii="Calibri" w:hAnsi="Calibri" w:cs="Calibri"/>
          <w:i/>
          <w:sz w:val="22"/>
          <w:szCs w:val="22"/>
        </w:rPr>
        <w:t>Onchocerca volvulus</w:t>
      </w:r>
      <w:r w:rsidR="00BD580E" w:rsidRPr="00D9152B">
        <w:rPr>
          <w:rFonts w:ascii="Calibri" w:hAnsi="Calibri" w:cs="Calibri"/>
          <w:sz w:val="22"/>
          <w:szCs w:val="22"/>
        </w:rPr>
        <w:t>. The general lifecycle of onchocerciasis was well understoo</w:t>
      </w:r>
      <w:r w:rsidR="00D12011" w:rsidRPr="00D9152B">
        <w:rPr>
          <w:rFonts w:ascii="Calibri" w:hAnsi="Calibri" w:cs="Calibri"/>
          <w:sz w:val="22"/>
          <w:szCs w:val="22"/>
        </w:rPr>
        <w:t>d at the launch of the OCP.</w:t>
      </w:r>
      <w:r w:rsidR="00BD580E" w:rsidRPr="00D9152B">
        <w:rPr>
          <w:rStyle w:val="FootnoteReference"/>
          <w:rFonts w:ascii="Calibri" w:hAnsi="Calibri" w:cs="Calibri"/>
          <w:sz w:val="22"/>
          <w:szCs w:val="22"/>
        </w:rPr>
        <w:footnoteReference w:id="33"/>
      </w:r>
      <w:r w:rsidR="00BD580E" w:rsidRPr="00D9152B">
        <w:rPr>
          <w:rFonts w:ascii="Calibri" w:hAnsi="Calibri" w:cs="Calibri"/>
          <w:sz w:val="22"/>
          <w:szCs w:val="22"/>
        </w:rPr>
        <w:t xml:space="preserve"> Essentially,</w:t>
      </w:r>
      <w:r w:rsidR="00D12011" w:rsidRPr="00D9152B">
        <w:rPr>
          <w:rFonts w:ascii="Calibri" w:hAnsi="Calibri" w:cs="Calibri"/>
          <w:sz w:val="22"/>
          <w:szCs w:val="22"/>
        </w:rPr>
        <w:t xml:space="preserve"> as de</w:t>
      </w:r>
      <w:r w:rsidR="00632460" w:rsidRPr="00D9152B">
        <w:rPr>
          <w:rFonts w:ascii="Calibri" w:hAnsi="Calibri" w:cs="Calibri"/>
          <w:sz w:val="22"/>
          <w:szCs w:val="22"/>
        </w:rPr>
        <w:t xml:space="preserve">picted in Figure </w:t>
      </w:r>
      <w:r w:rsidR="0052142C">
        <w:rPr>
          <w:rFonts w:ascii="Calibri" w:hAnsi="Calibri" w:cs="Calibri"/>
          <w:sz w:val="22"/>
          <w:szCs w:val="22"/>
        </w:rPr>
        <w:t>1.</w:t>
      </w:r>
      <w:r w:rsidR="008E4552" w:rsidRPr="00D9152B">
        <w:rPr>
          <w:rFonts w:ascii="Calibri" w:hAnsi="Calibri" w:cs="Calibri"/>
          <w:sz w:val="22"/>
          <w:szCs w:val="22"/>
        </w:rPr>
        <w:t>4</w:t>
      </w:r>
      <w:r w:rsidR="00D12011" w:rsidRPr="00D9152B">
        <w:rPr>
          <w:rFonts w:ascii="Calibri" w:hAnsi="Calibri" w:cs="Calibri"/>
          <w:sz w:val="22"/>
          <w:szCs w:val="22"/>
        </w:rPr>
        <w:t>,</w:t>
      </w:r>
      <w:r w:rsidR="00BD580E" w:rsidRPr="00D9152B">
        <w:rPr>
          <w:rFonts w:ascii="Calibri" w:hAnsi="Calibri" w:cs="Calibri"/>
          <w:sz w:val="22"/>
          <w:szCs w:val="22"/>
        </w:rPr>
        <w:t xml:space="preserve"> worm larvae develop in black flies of the </w:t>
      </w:r>
      <w:r w:rsidR="00BD580E" w:rsidRPr="00D9152B">
        <w:rPr>
          <w:rFonts w:ascii="Calibri" w:hAnsi="Calibri" w:cs="Calibri"/>
          <w:i/>
          <w:sz w:val="22"/>
          <w:szCs w:val="22"/>
        </w:rPr>
        <w:t xml:space="preserve">Simulium </w:t>
      </w:r>
      <w:r w:rsidR="008C3110" w:rsidRPr="00D9152B">
        <w:rPr>
          <w:rFonts w:ascii="Calibri" w:hAnsi="Calibri" w:cs="Calibri"/>
          <w:sz w:val="22"/>
          <w:szCs w:val="22"/>
        </w:rPr>
        <w:t>genus</w:t>
      </w:r>
      <w:r w:rsidR="00BD580E" w:rsidRPr="00D9152B">
        <w:rPr>
          <w:rFonts w:ascii="Calibri" w:hAnsi="Calibri" w:cs="Calibri"/>
          <w:sz w:val="22"/>
          <w:szCs w:val="22"/>
        </w:rPr>
        <w:t xml:space="preserve">, and are transmitted to humans through fly bites. </w:t>
      </w:r>
      <w:r w:rsidR="00487255" w:rsidRPr="00D9152B">
        <w:rPr>
          <w:rFonts w:ascii="Calibri" w:hAnsi="Calibri" w:cs="Calibri"/>
          <w:sz w:val="22"/>
          <w:szCs w:val="22"/>
        </w:rPr>
        <w:t>Black flies deposit their larvae in fast-flowing, highly oxygenated areas of rivers.</w:t>
      </w:r>
      <w:r w:rsidR="00487255" w:rsidRPr="00D9152B">
        <w:rPr>
          <w:rStyle w:val="FootnoteReference"/>
          <w:rFonts w:ascii="Calibri" w:hAnsi="Calibri" w:cs="Calibri"/>
          <w:sz w:val="22"/>
          <w:szCs w:val="22"/>
        </w:rPr>
        <w:footnoteReference w:id="34"/>
      </w:r>
      <w:r w:rsidR="00487255" w:rsidRPr="00D9152B">
        <w:rPr>
          <w:rFonts w:ascii="Calibri" w:hAnsi="Calibri" w:cs="Calibri"/>
          <w:sz w:val="22"/>
          <w:szCs w:val="22"/>
        </w:rPr>
        <w:t xml:space="preserve"> Fly density and transmission to humans are therefore associated with river valleys in Africa. When a human is bitten by an infected fly</w:t>
      </w:r>
      <w:r w:rsidR="00BD580E" w:rsidRPr="00D9152B">
        <w:rPr>
          <w:rFonts w:ascii="Calibri" w:hAnsi="Calibri" w:cs="Calibri"/>
          <w:sz w:val="22"/>
          <w:szCs w:val="22"/>
        </w:rPr>
        <w:t xml:space="preserve">, </w:t>
      </w:r>
      <w:r w:rsidR="00487255" w:rsidRPr="00D9152B">
        <w:rPr>
          <w:rFonts w:ascii="Calibri" w:hAnsi="Calibri" w:cs="Calibri"/>
          <w:sz w:val="22"/>
          <w:szCs w:val="22"/>
        </w:rPr>
        <w:t>the worm</w:t>
      </w:r>
      <w:r w:rsidR="00BD580E" w:rsidRPr="00D9152B">
        <w:rPr>
          <w:rFonts w:ascii="Calibri" w:hAnsi="Calibri" w:cs="Calibri"/>
          <w:sz w:val="22"/>
          <w:szCs w:val="22"/>
        </w:rPr>
        <w:t xml:space="preserve"> larvae</w:t>
      </w:r>
      <w:r w:rsidR="00487255" w:rsidRPr="00D9152B">
        <w:rPr>
          <w:rFonts w:ascii="Calibri" w:hAnsi="Calibri" w:cs="Calibri"/>
          <w:sz w:val="22"/>
          <w:szCs w:val="22"/>
        </w:rPr>
        <w:t xml:space="preserve"> (</w:t>
      </w:r>
      <w:r w:rsidR="00487255" w:rsidRPr="00D9152B">
        <w:rPr>
          <w:rFonts w:ascii="Calibri" w:hAnsi="Calibri" w:cs="Calibri"/>
          <w:i/>
          <w:sz w:val="22"/>
          <w:szCs w:val="22"/>
        </w:rPr>
        <w:t>micro</w:t>
      </w:r>
      <w:r w:rsidR="00487255" w:rsidRPr="00D9152B">
        <w:rPr>
          <w:rFonts w:ascii="Calibri" w:hAnsi="Calibri" w:cs="Calibri"/>
          <w:sz w:val="22"/>
          <w:szCs w:val="22"/>
        </w:rPr>
        <w:t>filariae)</w:t>
      </w:r>
      <w:r w:rsidR="00BD580E" w:rsidRPr="00D9152B">
        <w:rPr>
          <w:rFonts w:ascii="Calibri" w:hAnsi="Calibri" w:cs="Calibri"/>
          <w:sz w:val="22"/>
          <w:szCs w:val="22"/>
        </w:rPr>
        <w:t xml:space="preserve"> migrate through the </w:t>
      </w:r>
      <w:r w:rsidR="005E5401" w:rsidRPr="00D9152B">
        <w:rPr>
          <w:rFonts w:ascii="Calibri" w:hAnsi="Calibri" w:cs="Calibri"/>
          <w:sz w:val="22"/>
          <w:szCs w:val="22"/>
        </w:rPr>
        <w:t xml:space="preserve">host’s </w:t>
      </w:r>
      <w:r w:rsidR="00BD580E" w:rsidRPr="00D9152B">
        <w:rPr>
          <w:rFonts w:ascii="Calibri" w:hAnsi="Calibri" w:cs="Calibri"/>
          <w:sz w:val="22"/>
          <w:szCs w:val="22"/>
        </w:rPr>
        <w:t>lymph and develop into adult worms (</w:t>
      </w:r>
      <w:r w:rsidR="00BD580E" w:rsidRPr="00D9152B">
        <w:rPr>
          <w:rFonts w:ascii="Calibri" w:hAnsi="Calibri" w:cs="Calibri"/>
          <w:i/>
          <w:sz w:val="22"/>
          <w:szCs w:val="22"/>
        </w:rPr>
        <w:t>macro</w:t>
      </w:r>
      <w:r w:rsidR="00BD580E" w:rsidRPr="00D9152B">
        <w:rPr>
          <w:rFonts w:ascii="Calibri" w:hAnsi="Calibri" w:cs="Calibri"/>
          <w:sz w:val="22"/>
          <w:szCs w:val="22"/>
        </w:rPr>
        <w:t>filariae). Mating pairs of the worms then intertwine around each other, forming bumps called nodules</w:t>
      </w:r>
      <w:r w:rsidR="0068035F" w:rsidRPr="00D9152B">
        <w:rPr>
          <w:rFonts w:ascii="Calibri" w:hAnsi="Calibri" w:cs="Calibri"/>
          <w:sz w:val="22"/>
          <w:szCs w:val="22"/>
        </w:rPr>
        <w:t xml:space="preserve">, which have been used as a proxy for </w:t>
      </w:r>
      <w:r w:rsidR="008468A8" w:rsidRPr="00D9152B">
        <w:rPr>
          <w:rFonts w:ascii="Calibri" w:hAnsi="Calibri" w:cs="Calibri"/>
          <w:sz w:val="22"/>
          <w:szCs w:val="22"/>
        </w:rPr>
        <w:t>onchocerciasis</w:t>
      </w:r>
      <w:r w:rsidR="0068035F" w:rsidRPr="00D9152B">
        <w:rPr>
          <w:rFonts w:ascii="Calibri" w:hAnsi="Calibri" w:cs="Calibri"/>
          <w:sz w:val="22"/>
          <w:szCs w:val="22"/>
        </w:rPr>
        <w:t xml:space="preserve"> prevalence</w:t>
      </w:r>
      <w:r w:rsidR="00BD580E" w:rsidRPr="00D9152B">
        <w:rPr>
          <w:rFonts w:ascii="Calibri" w:hAnsi="Calibri" w:cs="Calibri"/>
          <w:sz w:val="22"/>
          <w:szCs w:val="22"/>
        </w:rPr>
        <w:t>.</w:t>
      </w:r>
      <w:r w:rsidR="00BD580E" w:rsidRPr="00D9152B">
        <w:rPr>
          <w:rStyle w:val="FootnoteReference"/>
          <w:rFonts w:ascii="Calibri" w:hAnsi="Calibri" w:cs="Calibri"/>
          <w:sz w:val="22"/>
          <w:szCs w:val="22"/>
        </w:rPr>
        <w:footnoteReference w:id="35"/>
      </w:r>
      <w:r w:rsidR="00BD580E" w:rsidRPr="00D9152B">
        <w:rPr>
          <w:rFonts w:ascii="Calibri" w:hAnsi="Calibri" w:cs="Calibri"/>
          <w:sz w:val="22"/>
          <w:szCs w:val="22"/>
        </w:rPr>
        <w:t xml:space="preserve"> While the exact lifespan of worms was unknown at the start of the OCP, it is now known that adult worms live for approximately 13-14 years</w:t>
      </w:r>
      <w:r w:rsidR="0034332C" w:rsidRPr="00D9152B">
        <w:rPr>
          <w:rFonts w:ascii="Calibri" w:hAnsi="Calibri" w:cs="Calibri"/>
          <w:sz w:val="22"/>
          <w:szCs w:val="22"/>
        </w:rPr>
        <w:t xml:space="preserve">, with females producing millions of </w:t>
      </w:r>
      <w:r w:rsidR="00BD580E" w:rsidRPr="00D9152B">
        <w:rPr>
          <w:rFonts w:ascii="Calibri" w:hAnsi="Calibri" w:cs="Calibri"/>
          <w:sz w:val="22"/>
          <w:szCs w:val="22"/>
        </w:rPr>
        <w:t>microfilariae</w:t>
      </w:r>
      <w:r w:rsidR="001D2B5B" w:rsidRPr="00D9152B">
        <w:rPr>
          <w:rFonts w:ascii="Calibri" w:hAnsi="Calibri" w:cs="Calibri"/>
          <w:sz w:val="22"/>
          <w:szCs w:val="22"/>
        </w:rPr>
        <w:t>.</w:t>
      </w:r>
      <w:r w:rsidR="00BD580E" w:rsidRPr="00D9152B">
        <w:rPr>
          <w:rStyle w:val="FootnoteReference"/>
          <w:rFonts w:ascii="Calibri" w:hAnsi="Calibri" w:cs="Calibri"/>
          <w:sz w:val="22"/>
          <w:szCs w:val="22"/>
        </w:rPr>
        <w:footnoteReference w:id="36"/>
      </w:r>
    </w:p>
    <w:p w14:paraId="70F3C10D" w14:textId="700C373A" w:rsidR="00632460" w:rsidRPr="00D9152B" w:rsidRDefault="002A4836" w:rsidP="00F32524">
      <w:pPr>
        <w:jc w:val="center"/>
        <w:rPr>
          <w:rFonts w:ascii="Calibri" w:hAnsi="Calibri" w:cs="Calibri"/>
          <w:color w:val="808080" w:themeColor="background1" w:themeShade="80"/>
        </w:rPr>
      </w:pPr>
      <w:r w:rsidRPr="00D9152B">
        <w:rPr>
          <w:rFonts w:ascii="Calibri" w:hAnsi="Calibri" w:cs="Calibri"/>
          <w:b/>
          <w:noProof/>
          <w:color w:val="808080" w:themeColor="background1" w:themeShade="80"/>
          <w:lang w:eastAsia="en-GB"/>
        </w:rPr>
        <w:lastRenderedPageBreak/>
        <w:drawing>
          <wp:inline distT="0" distB="0" distL="0" distR="0" wp14:anchorId="6663A92C" wp14:editId="380442C1">
            <wp:extent cx="5307878" cy="4672208"/>
            <wp:effectExtent l="0" t="0" r="1270" b="190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a:extLst>
                        <a:ext uri="{28A0092B-C50C-407E-A947-70E740481C1C}">
                          <a14:useLocalDpi xmlns:a14="http://schemas.microsoft.com/office/drawing/2010/main" val="0"/>
                        </a:ext>
                      </a:extLst>
                    </a:blip>
                    <a:srcRect l="3726" t="9440" r="7253" b="2847"/>
                    <a:stretch/>
                  </pic:blipFill>
                  <pic:spPr bwMode="auto">
                    <a:xfrm>
                      <a:off x="0" y="0"/>
                      <a:ext cx="5483915" cy="4827163"/>
                    </a:xfrm>
                    <a:prstGeom prst="rect">
                      <a:avLst/>
                    </a:prstGeom>
                    <a:noFill/>
                    <a:ln>
                      <a:noFill/>
                    </a:ln>
                    <a:extLst>
                      <a:ext uri="{53640926-AAD7-44D8-BBD7-CCE9431645EC}">
                        <a14:shadowObscured xmlns:a14="http://schemas.microsoft.com/office/drawing/2010/main"/>
                      </a:ext>
                    </a:extLst>
                  </pic:spPr>
                </pic:pic>
              </a:graphicData>
            </a:graphic>
          </wp:inline>
        </w:drawing>
      </w:r>
    </w:p>
    <w:p w14:paraId="363F9FB0" w14:textId="77777777" w:rsidR="001F4A40" w:rsidRPr="00D9152B" w:rsidRDefault="001F4A40" w:rsidP="00D32A95">
      <w:pPr>
        <w:jc w:val="both"/>
        <w:rPr>
          <w:rFonts w:ascii="Calibri" w:hAnsi="Calibri" w:cs="Calibri"/>
          <w:color w:val="808080" w:themeColor="background1" w:themeShade="80"/>
        </w:rPr>
      </w:pPr>
    </w:p>
    <w:p w14:paraId="02136892" w14:textId="6A417929" w:rsidR="002A4836" w:rsidRPr="00D9152B" w:rsidRDefault="00632460" w:rsidP="00D32A95">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52142C">
        <w:rPr>
          <w:rFonts w:ascii="Calibri" w:hAnsi="Calibri" w:cs="Calibri"/>
          <w:color w:val="808080" w:themeColor="background1" w:themeShade="80"/>
          <w:sz w:val="22"/>
          <w:szCs w:val="22"/>
        </w:rPr>
        <w:t>1.</w:t>
      </w:r>
      <w:r w:rsidR="008E4552" w:rsidRPr="00D9152B">
        <w:rPr>
          <w:rFonts w:ascii="Calibri" w:hAnsi="Calibri" w:cs="Calibri"/>
          <w:color w:val="808080" w:themeColor="background1" w:themeShade="80"/>
          <w:sz w:val="22"/>
          <w:szCs w:val="22"/>
        </w:rPr>
        <w:t>4</w:t>
      </w:r>
      <w:r w:rsidR="002A4836" w:rsidRPr="00D9152B">
        <w:rPr>
          <w:rFonts w:ascii="Calibri" w:hAnsi="Calibri" w:cs="Calibri"/>
          <w:color w:val="808080" w:themeColor="background1" w:themeShade="80"/>
          <w:sz w:val="22"/>
          <w:szCs w:val="22"/>
        </w:rPr>
        <w:t xml:space="preserve">. </w:t>
      </w:r>
      <w:r w:rsidR="00D12011" w:rsidRPr="00D9152B">
        <w:rPr>
          <w:rFonts w:ascii="Calibri" w:hAnsi="Calibri" w:cs="Calibri"/>
          <w:color w:val="808080" w:themeColor="background1" w:themeShade="80"/>
          <w:sz w:val="22"/>
          <w:szCs w:val="22"/>
        </w:rPr>
        <w:t xml:space="preserve">The </w:t>
      </w:r>
      <w:r w:rsidR="002A4836" w:rsidRPr="00D9152B">
        <w:rPr>
          <w:rFonts w:ascii="Calibri" w:hAnsi="Calibri" w:cs="Calibri"/>
          <w:i/>
          <w:color w:val="808080" w:themeColor="background1" w:themeShade="80"/>
          <w:sz w:val="22"/>
          <w:szCs w:val="22"/>
        </w:rPr>
        <w:t>Onchocerca volvulus</w:t>
      </w:r>
      <w:r w:rsidR="002A4836" w:rsidRPr="00D9152B">
        <w:rPr>
          <w:rFonts w:ascii="Calibri" w:hAnsi="Calibri" w:cs="Calibri"/>
          <w:color w:val="808080" w:themeColor="background1" w:themeShade="80"/>
          <w:sz w:val="22"/>
          <w:szCs w:val="22"/>
        </w:rPr>
        <w:t xml:space="preserve"> life cycle, as understood </w:t>
      </w:r>
      <w:r w:rsidR="00D53DA4" w:rsidRPr="00D9152B">
        <w:rPr>
          <w:rFonts w:ascii="Calibri" w:hAnsi="Calibri" w:cs="Calibri"/>
          <w:color w:val="808080" w:themeColor="background1" w:themeShade="80"/>
          <w:sz w:val="22"/>
          <w:szCs w:val="22"/>
        </w:rPr>
        <w:t>at the launch of the OCP</w:t>
      </w:r>
      <w:r w:rsidR="002A4836" w:rsidRPr="00D9152B">
        <w:rPr>
          <w:rFonts w:ascii="Calibri" w:hAnsi="Calibri" w:cs="Calibri"/>
          <w:color w:val="808080" w:themeColor="background1" w:themeShade="80"/>
          <w:sz w:val="22"/>
          <w:szCs w:val="22"/>
        </w:rPr>
        <w:t>.</w:t>
      </w:r>
      <w:r w:rsidR="002A4836" w:rsidRPr="00D9152B">
        <w:rPr>
          <w:rStyle w:val="FootnoteReference"/>
          <w:rFonts w:ascii="Calibri" w:hAnsi="Calibri" w:cs="Calibri"/>
          <w:color w:val="808080" w:themeColor="background1" w:themeShade="80"/>
          <w:sz w:val="22"/>
          <w:szCs w:val="22"/>
        </w:rPr>
        <w:footnoteReference w:id="37"/>
      </w:r>
    </w:p>
    <w:p w14:paraId="44A21EDA" w14:textId="065CBBA7" w:rsidR="00487255" w:rsidRPr="00D9152B" w:rsidRDefault="00961D08"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These m</w:t>
      </w:r>
      <w:r w:rsidR="00BD580E" w:rsidRPr="00D9152B">
        <w:rPr>
          <w:rFonts w:ascii="Calibri" w:hAnsi="Calibri" w:cs="Calibri"/>
          <w:sz w:val="22"/>
          <w:szCs w:val="22"/>
        </w:rPr>
        <w:t>icrofilariae contribute to disease in two main ways: first, they directly cause disease in their human hosts, and second, they can be taken-up by biting black flies and ultimately transmitted to other humans. In savannah zones of Africa, the main symptoms of onchocerciasis are blindness and disfigured, itchy skin; these are caused by immune reactions to microfilariae that have spread to the eyes and skin.</w:t>
      </w:r>
      <w:r w:rsidR="00487255" w:rsidRPr="00D9152B">
        <w:rPr>
          <w:rStyle w:val="FootnoteReference"/>
          <w:rFonts w:ascii="Calibri" w:hAnsi="Calibri" w:cs="Calibri"/>
          <w:sz w:val="22"/>
          <w:szCs w:val="22"/>
        </w:rPr>
        <w:footnoteReference w:id="38"/>
      </w:r>
      <w:r w:rsidR="00BD580E" w:rsidRPr="00D9152B">
        <w:rPr>
          <w:rFonts w:ascii="Calibri" w:hAnsi="Calibri" w:cs="Calibri"/>
          <w:sz w:val="22"/>
          <w:szCs w:val="22"/>
        </w:rPr>
        <w:t xml:space="preserve"> The disease is often called ‘Mara’ </w:t>
      </w:r>
      <w:r w:rsidR="00B05CBF" w:rsidRPr="00D9152B">
        <w:rPr>
          <w:rFonts w:ascii="Calibri" w:hAnsi="Calibri" w:cs="Calibri"/>
          <w:sz w:val="22"/>
          <w:szCs w:val="22"/>
        </w:rPr>
        <w:t>(which loosely translates to</w:t>
      </w:r>
      <w:r w:rsidR="00BD580E" w:rsidRPr="00D9152B">
        <w:rPr>
          <w:rFonts w:ascii="Calibri" w:hAnsi="Calibri" w:cs="Calibri"/>
          <w:sz w:val="22"/>
          <w:szCs w:val="22"/>
        </w:rPr>
        <w:t xml:space="preserve"> the ‘Look of the </w:t>
      </w:r>
      <w:r w:rsidR="0052142C">
        <w:rPr>
          <w:rFonts w:ascii="Calibri" w:hAnsi="Calibri" w:cs="Calibri"/>
          <w:sz w:val="22"/>
          <w:szCs w:val="22"/>
        </w:rPr>
        <w:t>li</w:t>
      </w:r>
      <w:r w:rsidR="00BD580E" w:rsidRPr="00D9152B">
        <w:rPr>
          <w:rFonts w:ascii="Calibri" w:hAnsi="Calibri" w:cs="Calibri"/>
          <w:sz w:val="22"/>
          <w:szCs w:val="22"/>
        </w:rPr>
        <w:t>on’</w:t>
      </w:r>
      <w:r w:rsidR="00487255" w:rsidRPr="00D9152B">
        <w:rPr>
          <w:rFonts w:ascii="Calibri" w:hAnsi="Calibri" w:cs="Calibri"/>
          <w:sz w:val="22"/>
          <w:szCs w:val="22"/>
        </w:rPr>
        <w:t xml:space="preserve"> in the Cote d’Ivoire Malkieke dialect</w:t>
      </w:r>
      <w:r w:rsidR="00B05CBF" w:rsidRPr="00D9152B">
        <w:rPr>
          <w:rFonts w:ascii="Calibri" w:hAnsi="Calibri" w:cs="Calibri"/>
          <w:sz w:val="22"/>
          <w:szCs w:val="22"/>
        </w:rPr>
        <w:t>)</w:t>
      </w:r>
      <w:r w:rsidR="00BD580E" w:rsidRPr="00D9152B">
        <w:rPr>
          <w:rFonts w:ascii="Calibri" w:hAnsi="Calibri" w:cs="Calibri"/>
          <w:sz w:val="22"/>
          <w:szCs w:val="22"/>
        </w:rPr>
        <w:t>, due to</w:t>
      </w:r>
      <w:r w:rsidR="00487255" w:rsidRPr="00D9152B">
        <w:rPr>
          <w:rFonts w:ascii="Calibri" w:hAnsi="Calibri" w:cs="Calibri"/>
          <w:sz w:val="22"/>
          <w:szCs w:val="22"/>
        </w:rPr>
        <w:t xml:space="preserve"> the far-off look of the blind.</w:t>
      </w:r>
      <w:r w:rsidR="00487255" w:rsidRPr="00D9152B">
        <w:rPr>
          <w:rStyle w:val="FootnoteReference"/>
          <w:rFonts w:ascii="Calibri" w:hAnsi="Calibri" w:cs="Calibri"/>
          <w:sz w:val="22"/>
          <w:szCs w:val="22"/>
        </w:rPr>
        <w:footnoteReference w:id="39"/>
      </w:r>
      <w:r w:rsidR="00630548" w:rsidRPr="00D9152B">
        <w:rPr>
          <w:rFonts w:ascii="Calibri" w:hAnsi="Calibri" w:cs="Calibri"/>
          <w:sz w:val="22"/>
          <w:szCs w:val="22"/>
        </w:rPr>
        <w:t xml:space="preserve"> The link</w:t>
      </w:r>
      <w:r w:rsidR="00994C45" w:rsidRPr="00D9152B">
        <w:rPr>
          <w:rFonts w:ascii="Calibri" w:hAnsi="Calibri" w:cs="Calibri"/>
          <w:sz w:val="22"/>
          <w:szCs w:val="22"/>
        </w:rPr>
        <w:t xml:space="preserve"> between blindness</w:t>
      </w:r>
      <w:r w:rsidR="00630548" w:rsidRPr="00D9152B">
        <w:rPr>
          <w:rFonts w:ascii="Calibri" w:hAnsi="Calibri" w:cs="Calibri"/>
          <w:sz w:val="22"/>
          <w:szCs w:val="22"/>
        </w:rPr>
        <w:t xml:space="preserve"> and</w:t>
      </w:r>
      <w:r w:rsidR="00487255" w:rsidRPr="00D9152B">
        <w:rPr>
          <w:rFonts w:ascii="Calibri" w:hAnsi="Calibri" w:cs="Calibri"/>
          <w:sz w:val="22"/>
          <w:szCs w:val="22"/>
        </w:rPr>
        <w:t xml:space="preserve"> </w:t>
      </w:r>
      <w:r w:rsidR="00487255" w:rsidRPr="00D9152B">
        <w:rPr>
          <w:rFonts w:ascii="Calibri" w:hAnsi="Calibri" w:cs="Calibri"/>
          <w:sz w:val="22"/>
          <w:szCs w:val="22"/>
        </w:rPr>
        <w:lastRenderedPageBreak/>
        <w:t xml:space="preserve">fertile river valleys </w:t>
      </w:r>
      <w:r w:rsidR="00994C45" w:rsidRPr="00D9152B">
        <w:rPr>
          <w:rFonts w:ascii="Calibri" w:hAnsi="Calibri" w:cs="Calibri"/>
          <w:sz w:val="22"/>
          <w:szCs w:val="22"/>
        </w:rPr>
        <w:t>was recognized by some l</w:t>
      </w:r>
      <w:r w:rsidR="00630548" w:rsidRPr="00D9152B">
        <w:rPr>
          <w:rFonts w:ascii="Calibri" w:hAnsi="Calibri" w:cs="Calibri"/>
          <w:sz w:val="22"/>
          <w:szCs w:val="22"/>
        </w:rPr>
        <w:t>ocal populations long before the visit of Lady Wilson, and an oral tradition in Burkina Faso refers to the big rivers eating one’s eyes.</w:t>
      </w:r>
      <w:r w:rsidR="00630548" w:rsidRPr="00D9152B">
        <w:rPr>
          <w:rStyle w:val="FootnoteReference"/>
          <w:rFonts w:ascii="Calibri" w:hAnsi="Calibri" w:cs="Calibri"/>
          <w:sz w:val="22"/>
          <w:szCs w:val="22"/>
        </w:rPr>
        <w:footnoteReference w:id="40"/>
      </w:r>
    </w:p>
    <w:p w14:paraId="57BE630A" w14:textId="45679CAD" w:rsidR="008C3110" w:rsidRPr="00D9152B" w:rsidRDefault="00BD580E"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two major ways to control onchocerciasis transmission are to either attack the vector – the black fly – through spraying larvicides, or to attack the parasite – </w:t>
      </w:r>
      <w:r w:rsidRPr="00D9152B">
        <w:rPr>
          <w:rFonts w:ascii="Calibri" w:hAnsi="Calibri" w:cs="Calibri"/>
          <w:i/>
          <w:sz w:val="22"/>
          <w:szCs w:val="22"/>
        </w:rPr>
        <w:t xml:space="preserve">O. volvulus </w:t>
      </w:r>
      <w:r w:rsidRPr="00D9152B">
        <w:rPr>
          <w:rFonts w:ascii="Calibri" w:hAnsi="Calibri" w:cs="Calibri"/>
          <w:sz w:val="22"/>
          <w:szCs w:val="22"/>
        </w:rPr>
        <w:softHyphen/>
        <w:t>– by administering chemotherapy to human hosts.</w:t>
      </w:r>
      <w:r w:rsidR="008C3110" w:rsidRPr="00D9152B">
        <w:rPr>
          <w:rStyle w:val="FootnoteReference"/>
          <w:rFonts w:ascii="Calibri" w:hAnsi="Calibri" w:cs="Calibri"/>
          <w:sz w:val="22"/>
          <w:szCs w:val="22"/>
        </w:rPr>
        <w:footnoteReference w:id="41"/>
      </w:r>
      <w:r w:rsidRPr="00D9152B">
        <w:rPr>
          <w:rFonts w:ascii="Calibri" w:hAnsi="Calibri" w:cs="Calibri"/>
          <w:sz w:val="22"/>
          <w:szCs w:val="22"/>
        </w:rPr>
        <w:t xml:space="preserve"> </w:t>
      </w:r>
      <w:r w:rsidR="008C3110" w:rsidRPr="00D9152B">
        <w:rPr>
          <w:rFonts w:ascii="Calibri" w:hAnsi="Calibri" w:cs="Calibri"/>
          <w:sz w:val="22"/>
          <w:szCs w:val="22"/>
        </w:rPr>
        <w:t>Beginning in the mid-1960s,</w:t>
      </w:r>
      <w:r w:rsidRPr="00D9152B">
        <w:rPr>
          <w:rFonts w:ascii="Calibri" w:hAnsi="Calibri" w:cs="Calibri"/>
          <w:sz w:val="22"/>
          <w:szCs w:val="22"/>
        </w:rPr>
        <w:t xml:space="preserve"> onchocerciasis was diagnosed through ‘skin snips’, in which a small chunk of the skin is removed and washed in saline; laboratory technicians </w:t>
      </w:r>
      <w:r w:rsidR="00994C45" w:rsidRPr="00D9152B">
        <w:rPr>
          <w:rFonts w:ascii="Calibri" w:hAnsi="Calibri" w:cs="Calibri"/>
          <w:sz w:val="22"/>
          <w:szCs w:val="22"/>
        </w:rPr>
        <w:t>would</w:t>
      </w:r>
      <w:r w:rsidRPr="00D9152B">
        <w:rPr>
          <w:rFonts w:ascii="Calibri" w:hAnsi="Calibri" w:cs="Calibri"/>
          <w:sz w:val="22"/>
          <w:szCs w:val="22"/>
        </w:rPr>
        <w:t xml:space="preserve"> then look for the presence of tiny microfilariae in these samples.</w:t>
      </w:r>
      <w:r w:rsidR="00827303" w:rsidRPr="00D9152B">
        <w:rPr>
          <w:rStyle w:val="FootnoteReference"/>
          <w:rFonts w:ascii="Calibri" w:hAnsi="Calibri" w:cs="Calibri"/>
          <w:sz w:val="22"/>
          <w:szCs w:val="22"/>
        </w:rPr>
        <w:footnoteReference w:id="42"/>
      </w:r>
      <w:r w:rsidR="008C3110" w:rsidRPr="00D9152B">
        <w:rPr>
          <w:rFonts w:ascii="Calibri" w:hAnsi="Calibri" w:cs="Calibri"/>
          <w:sz w:val="22"/>
          <w:szCs w:val="22"/>
        </w:rPr>
        <w:t xml:space="preserve"> </w:t>
      </w:r>
      <w:r w:rsidR="000A2AC0" w:rsidRPr="00D9152B">
        <w:rPr>
          <w:rFonts w:ascii="Calibri" w:hAnsi="Calibri" w:cs="Calibri"/>
          <w:sz w:val="22"/>
          <w:szCs w:val="22"/>
        </w:rPr>
        <w:t xml:space="preserve">Appendix </w:t>
      </w:r>
      <w:r w:rsidR="006C21A0">
        <w:rPr>
          <w:rFonts w:ascii="Calibri" w:hAnsi="Calibri" w:cs="Calibri"/>
          <w:sz w:val="22"/>
          <w:szCs w:val="22"/>
        </w:rPr>
        <w:t>VI</w:t>
      </w:r>
      <w:r w:rsidR="008C3110" w:rsidRPr="00D9152B">
        <w:rPr>
          <w:rFonts w:ascii="Calibri" w:hAnsi="Calibri" w:cs="Calibri"/>
          <w:sz w:val="22"/>
          <w:szCs w:val="22"/>
        </w:rPr>
        <w:t xml:space="preserve"> gives more details about how onchocerciasis transmission was measured before and during the OCP.</w:t>
      </w:r>
      <w:r w:rsidR="00961D08" w:rsidRPr="00D9152B">
        <w:rPr>
          <w:rFonts w:ascii="Calibri" w:hAnsi="Calibri" w:cs="Calibri"/>
          <w:sz w:val="22"/>
          <w:szCs w:val="22"/>
        </w:rPr>
        <w:t xml:space="preserve"> The long lifespan made scientists most interested in targeting the adult worms through drugs (‘macrofilaricides’); targeting the larvae with drugs (‘microfilaricides’) would require continual annual treatment over many years, until the adult worms died.</w:t>
      </w:r>
      <w:r w:rsidR="00961D08" w:rsidRPr="00D9152B">
        <w:rPr>
          <w:rStyle w:val="FootnoteReference"/>
          <w:rFonts w:ascii="Calibri" w:hAnsi="Calibri" w:cs="Calibri"/>
          <w:sz w:val="22"/>
          <w:szCs w:val="22"/>
        </w:rPr>
        <w:footnoteReference w:id="43"/>
      </w:r>
    </w:p>
    <w:p w14:paraId="0A6C43BC" w14:textId="0926A455" w:rsidR="00D5684E" w:rsidRPr="00D9152B" w:rsidRDefault="00BD580E" w:rsidP="00DB5AC6">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How prevalent was onchocerciasis at the launch of the OCP, compared to other endemic diseases in West Africa? Estimating the incidence and prevalence of onchocerciasis around 1970 is challenging because it </w:t>
      </w:r>
      <w:r w:rsidR="008C3110" w:rsidRPr="00D9152B">
        <w:rPr>
          <w:rFonts w:ascii="Calibri" w:hAnsi="Calibri" w:cs="Calibri"/>
          <w:sz w:val="22"/>
          <w:szCs w:val="22"/>
        </w:rPr>
        <w:t xml:space="preserve">is </w:t>
      </w:r>
      <w:r w:rsidRPr="00D9152B">
        <w:rPr>
          <w:rFonts w:ascii="Calibri" w:hAnsi="Calibri" w:cs="Calibri"/>
          <w:sz w:val="22"/>
          <w:szCs w:val="22"/>
        </w:rPr>
        <w:t xml:space="preserve">primarily a rural disease, was often not captured by decentralized (and sometimes non-existent) health surveillance </w:t>
      </w:r>
      <w:r w:rsidR="008C3110" w:rsidRPr="00D9152B">
        <w:rPr>
          <w:rFonts w:ascii="Calibri" w:hAnsi="Calibri" w:cs="Calibri"/>
          <w:sz w:val="22"/>
          <w:szCs w:val="22"/>
        </w:rPr>
        <w:t xml:space="preserve">systems </w:t>
      </w:r>
      <w:r w:rsidRPr="00D9152B">
        <w:rPr>
          <w:rFonts w:ascii="Calibri" w:hAnsi="Calibri" w:cs="Calibri"/>
          <w:sz w:val="22"/>
          <w:szCs w:val="22"/>
        </w:rPr>
        <w:t>in these regions, and was endemic in former British, French, and Belgian colonies, which had different health record keeping protocols.</w:t>
      </w:r>
      <w:r w:rsidR="00D0238C" w:rsidRPr="00D9152B">
        <w:rPr>
          <w:rStyle w:val="FootnoteReference"/>
          <w:rFonts w:ascii="Calibri" w:hAnsi="Calibri" w:cs="Calibri"/>
          <w:sz w:val="22"/>
          <w:szCs w:val="22"/>
        </w:rPr>
        <w:footnoteReference w:id="44"/>
      </w:r>
      <w:r w:rsidRPr="00D9152B">
        <w:rPr>
          <w:rFonts w:ascii="Calibri" w:hAnsi="Calibri" w:cs="Calibri"/>
          <w:sz w:val="22"/>
          <w:szCs w:val="22"/>
        </w:rPr>
        <w:t xml:space="preserve"> This </w:t>
      </w:r>
      <w:r w:rsidR="008C3110" w:rsidRPr="00D9152B">
        <w:rPr>
          <w:rFonts w:ascii="Calibri" w:hAnsi="Calibri" w:cs="Calibri"/>
          <w:sz w:val="22"/>
          <w:szCs w:val="22"/>
        </w:rPr>
        <w:t>poor state of surveillance data was</w:t>
      </w:r>
      <w:r w:rsidRPr="00D9152B">
        <w:rPr>
          <w:rFonts w:ascii="Calibri" w:hAnsi="Calibri" w:cs="Calibri"/>
          <w:sz w:val="22"/>
          <w:szCs w:val="22"/>
        </w:rPr>
        <w:t xml:space="preserve"> particularly evident at a planning meeting </w:t>
      </w:r>
      <w:r w:rsidR="00B05CBF" w:rsidRPr="00D9152B">
        <w:rPr>
          <w:rFonts w:ascii="Calibri" w:hAnsi="Calibri" w:cs="Calibri"/>
          <w:sz w:val="22"/>
          <w:szCs w:val="22"/>
        </w:rPr>
        <w:t xml:space="preserve">for </w:t>
      </w:r>
      <w:r w:rsidRPr="00D9152B">
        <w:rPr>
          <w:rFonts w:ascii="Calibri" w:hAnsi="Calibri" w:cs="Calibri"/>
          <w:sz w:val="22"/>
          <w:szCs w:val="22"/>
        </w:rPr>
        <w:t>regional onchocerciasis control in Africa in 1968 (the ‘Tunis meeting’). During this meeting, the most comprehensive study</w:t>
      </w:r>
      <w:r w:rsidR="000F57BB" w:rsidRPr="00D9152B">
        <w:rPr>
          <w:rFonts w:ascii="Calibri" w:hAnsi="Calibri" w:cs="Calibri"/>
          <w:sz w:val="22"/>
          <w:szCs w:val="22"/>
        </w:rPr>
        <w:t xml:space="preserve"> available on</w:t>
      </w:r>
      <w:r w:rsidRPr="00D9152B">
        <w:rPr>
          <w:rFonts w:ascii="Calibri" w:hAnsi="Calibri" w:cs="Calibri"/>
          <w:sz w:val="22"/>
          <w:szCs w:val="22"/>
        </w:rPr>
        <w:t xml:space="preserve"> the rates of onchocerciasis blinding was a </w:t>
      </w:r>
      <w:r w:rsidR="005A78EB" w:rsidRPr="00D9152B">
        <w:rPr>
          <w:rFonts w:ascii="Calibri" w:hAnsi="Calibri" w:cs="Calibri"/>
          <w:sz w:val="22"/>
          <w:szCs w:val="22"/>
        </w:rPr>
        <w:t>1949 colonial survey of the Gold Coast (</w:t>
      </w:r>
      <w:r w:rsidR="00961D08" w:rsidRPr="00D9152B">
        <w:rPr>
          <w:rFonts w:ascii="Calibri" w:hAnsi="Calibri" w:cs="Calibri"/>
          <w:sz w:val="22"/>
          <w:szCs w:val="22"/>
        </w:rPr>
        <w:t xml:space="preserve">focused on </w:t>
      </w:r>
      <w:r w:rsidR="005A78EB" w:rsidRPr="00D9152B">
        <w:rPr>
          <w:rFonts w:ascii="Calibri" w:hAnsi="Calibri" w:cs="Calibri"/>
          <w:sz w:val="22"/>
          <w:szCs w:val="22"/>
        </w:rPr>
        <w:t>Northern Ghana)</w:t>
      </w:r>
      <w:r w:rsidRPr="00D9152B">
        <w:rPr>
          <w:rFonts w:ascii="Calibri" w:hAnsi="Calibri" w:cs="Calibri"/>
          <w:sz w:val="22"/>
          <w:szCs w:val="22"/>
        </w:rPr>
        <w:t>,</w:t>
      </w:r>
      <w:r w:rsidRPr="00D9152B">
        <w:rPr>
          <w:rStyle w:val="FootnoteReference"/>
          <w:rFonts w:ascii="Calibri" w:hAnsi="Calibri" w:cs="Calibri"/>
          <w:sz w:val="22"/>
          <w:szCs w:val="22"/>
        </w:rPr>
        <w:footnoteReference w:id="45"/>
      </w:r>
      <w:r w:rsidR="008C3110" w:rsidRPr="00D9152B">
        <w:rPr>
          <w:rFonts w:ascii="Calibri" w:hAnsi="Calibri" w:cs="Calibri"/>
          <w:sz w:val="22"/>
          <w:szCs w:val="22"/>
        </w:rPr>
        <w:t xml:space="preserve"> and </w:t>
      </w:r>
      <w:r w:rsidR="005A78EB" w:rsidRPr="00D9152B">
        <w:rPr>
          <w:rFonts w:ascii="Calibri" w:hAnsi="Calibri" w:cs="Calibri"/>
          <w:sz w:val="22"/>
          <w:szCs w:val="22"/>
        </w:rPr>
        <w:t xml:space="preserve">it was evident </w:t>
      </w:r>
      <w:r w:rsidRPr="00D9152B">
        <w:rPr>
          <w:rFonts w:ascii="Calibri" w:hAnsi="Calibri" w:cs="Calibri"/>
          <w:sz w:val="22"/>
          <w:szCs w:val="22"/>
        </w:rPr>
        <w:t>that many</w:t>
      </w:r>
      <w:r w:rsidR="00E87CF8" w:rsidRPr="00D9152B">
        <w:rPr>
          <w:rFonts w:ascii="Calibri" w:hAnsi="Calibri" w:cs="Calibri"/>
          <w:sz w:val="22"/>
          <w:szCs w:val="22"/>
        </w:rPr>
        <w:t xml:space="preserve"> at-</w:t>
      </w:r>
      <w:r w:rsidR="000F57BB" w:rsidRPr="00D9152B">
        <w:rPr>
          <w:rFonts w:ascii="Calibri" w:hAnsi="Calibri" w:cs="Calibri"/>
          <w:sz w:val="22"/>
          <w:szCs w:val="22"/>
        </w:rPr>
        <w:t>risk</w:t>
      </w:r>
      <w:r w:rsidRPr="00D9152B">
        <w:rPr>
          <w:rFonts w:ascii="Calibri" w:hAnsi="Calibri" w:cs="Calibri"/>
          <w:sz w:val="22"/>
          <w:szCs w:val="22"/>
        </w:rPr>
        <w:t xml:space="preserve"> areas had never been surveyed. In the early 1970s, the WHO crudely estimated that,</w:t>
      </w:r>
      <w:r w:rsidR="00BC7665" w:rsidRPr="00D9152B">
        <w:rPr>
          <w:rFonts w:ascii="Calibri" w:hAnsi="Calibri" w:cs="Calibri"/>
          <w:sz w:val="22"/>
          <w:szCs w:val="22"/>
        </w:rPr>
        <w:t xml:space="preserve"> of the 10 million people in control areas within the</w:t>
      </w:r>
      <w:r w:rsidRPr="00D9152B">
        <w:rPr>
          <w:rFonts w:ascii="Calibri" w:hAnsi="Calibri" w:cs="Calibri"/>
          <w:sz w:val="22"/>
          <w:szCs w:val="22"/>
        </w:rPr>
        <w:t xml:space="preserve"> seven OCP countries, approximately 1 million were infected with </w:t>
      </w:r>
      <w:r w:rsidRPr="00D9152B">
        <w:rPr>
          <w:rFonts w:ascii="Calibri" w:hAnsi="Calibri" w:cs="Calibri"/>
          <w:sz w:val="22"/>
          <w:szCs w:val="22"/>
        </w:rPr>
        <w:lastRenderedPageBreak/>
        <w:t>onchocerciasis and 70,000 were blind or had severe vision impairment.</w:t>
      </w:r>
      <w:r w:rsidRPr="00D9152B">
        <w:rPr>
          <w:rStyle w:val="FootnoteReference"/>
          <w:rFonts w:ascii="Calibri" w:hAnsi="Calibri" w:cs="Calibri"/>
          <w:sz w:val="22"/>
          <w:szCs w:val="22"/>
        </w:rPr>
        <w:footnoteReference w:id="46"/>
      </w:r>
      <w:r w:rsidRPr="00D9152B">
        <w:rPr>
          <w:rFonts w:ascii="Calibri" w:hAnsi="Calibri" w:cs="Calibri"/>
          <w:sz w:val="22"/>
          <w:szCs w:val="22"/>
        </w:rPr>
        <w:t xml:space="preserve"> </w:t>
      </w:r>
      <w:r w:rsidR="003F373B" w:rsidRPr="00D9152B">
        <w:rPr>
          <w:rFonts w:ascii="Calibri" w:hAnsi="Calibri" w:cs="Calibri"/>
          <w:sz w:val="22"/>
          <w:szCs w:val="22"/>
        </w:rPr>
        <w:t>Table 1</w:t>
      </w:r>
      <w:r w:rsidR="0052142C">
        <w:rPr>
          <w:rFonts w:ascii="Calibri" w:hAnsi="Calibri" w:cs="Calibri"/>
          <w:sz w:val="22"/>
          <w:szCs w:val="22"/>
        </w:rPr>
        <w:t>.1</w:t>
      </w:r>
      <w:r w:rsidR="002943E3" w:rsidRPr="00D9152B">
        <w:rPr>
          <w:rFonts w:ascii="Calibri" w:hAnsi="Calibri" w:cs="Calibri"/>
          <w:sz w:val="22"/>
          <w:szCs w:val="22"/>
        </w:rPr>
        <w:t xml:space="preserve"> shows the initial estimates of onchocerciasis infection in the OCP area. </w:t>
      </w:r>
      <w:r w:rsidR="005E5401" w:rsidRPr="00D9152B">
        <w:rPr>
          <w:rFonts w:ascii="Calibri" w:hAnsi="Calibri" w:cs="Calibri"/>
          <w:sz w:val="22"/>
          <w:szCs w:val="22"/>
        </w:rPr>
        <w:t>In hyper</w:t>
      </w:r>
      <w:r w:rsidRPr="00D9152B">
        <w:rPr>
          <w:rFonts w:ascii="Calibri" w:hAnsi="Calibri" w:cs="Calibri"/>
          <w:sz w:val="22"/>
          <w:szCs w:val="22"/>
        </w:rPr>
        <w:t>endemic</w:t>
      </w:r>
      <w:r w:rsidR="008C3110" w:rsidRPr="00D9152B">
        <w:rPr>
          <w:rFonts w:ascii="Calibri" w:hAnsi="Calibri" w:cs="Calibri"/>
          <w:sz w:val="22"/>
          <w:szCs w:val="22"/>
        </w:rPr>
        <w:t xml:space="preserve"> (the most heavily infected)</w:t>
      </w:r>
      <w:r w:rsidRPr="00D9152B">
        <w:rPr>
          <w:rFonts w:ascii="Calibri" w:hAnsi="Calibri" w:cs="Calibri"/>
          <w:sz w:val="22"/>
          <w:szCs w:val="22"/>
        </w:rPr>
        <w:t xml:space="preserve"> villages, surveys noted a blindness rate often exceeding 10 percent, with a common onset of blindness around 30 years of age.</w:t>
      </w:r>
      <w:r w:rsidRPr="00D9152B">
        <w:rPr>
          <w:rStyle w:val="FootnoteReference"/>
          <w:rFonts w:ascii="Calibri" w:hAnsi="Calibri" w:cs="Calibri"/>
          <w:sz w:val="22"/>
          <w:szCs w:val="22"/>
        </w:rPr>
        <w:footnoteReference w:id="47"/>
      </w:r>
      <w:r w:rsidRPr="00D9152B">
        <w:rPr>
          <w:rFonts w:ascii="Calibri" w:hAnsi="Calibri" w:cs="Calibri"/>
          <w:sz w:val="22"/>
          <w:szCs w:val="22"/>
        </w:rPr>
        <w:t xml:space="preserve"> Some later sources indicate that the actual level of onchocerciasis infection may have been closer to 2.</w:t>
      </w:r>
      <w:r w:rsidR="00135C4A" w:rsidRPr="00D9152B">
        <w:rPr>
          <w:rFonts w:ascii="Calibri" w:hAnsi="Calibri" w:cs="Calibri"/>
          <w:sz w:val="22"/>
          <w:szCs w:val="22"/>
        </w:rPr>
        <w:t>2</w:t>
      </w:r>
      <w:r w:rsidRPr="00D9152B">
        <w:rPr>
          <w:rFonts w:ascii="Calibri" w:hAnsi="Calibri" w:cs="Calibri"/>
          <w:sz w:val="22"/>
          <w:szCs w:val="22"/>
        </w:rPr>
        <w:t>5 million, with approximately 100,000 blind or near blind.</w:t>
      </w:r>
      <w:r w:rsidRPr="00D9152B">
        <w:rPr>
          <w:rStyle w:val="FootnoteReference"/>
          <w:rFonts w:ascii="Calibri" w:hAnsi="Calibri" w:cs="Calibri"/>
          <w:sz w:val="22"/>
          <w:szCs w:val="22"/>
        </w:rPr>
        <w:footnoteReference w:id="48"/>
      </w:r>
      <w:r w:rsidRPr="00D9152B">
        <w:rPr>
          <w:rFonts w:ascii="Calibri" w:hAnsi="Calibri" w:cs="Calibri"/>
          <w:sz w:val="22"/>
          <w:szCs w:val="22"/>
        </w:rPr>
        <w:t xml:space="preserve"> </w:t>
      </w:r>
    </w:p>
    <w:tbl>
      <w:tblPr>
        <w:tblStyle w:val="GridTable3-Accent3"/>
        <w:tblW w:w="8222" w:type="dxa"/>
        <w:jc w:val="center"/>
        <w:tblLook w:val="04A0" w:firstRow="1" w:lastRow="0" w:firstColumn="1" w:lastColumn="0" w:noHBand="0" w:noVBand="1"/>
      </w:tblPr>
      <w:tblGrid>
        <w:gridCol w:w="2268"/>
        <w:gridCol w:w="2127"/>
        <w:gridCol w:w="1984"/>
        <w:gridCol w:w="1843"/>
      </w:tblGrid>
      <w:tr w:rsidR="00C128CC" w:rsidRPr="00D9152B" w14:paraId="23AF91AC" w14:textId="77777777" w:rsidTr="00BC464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268" w:type="dxa"/>
            <w:tcBorders>
              <w:bottom w:val="single" w:sz="4" w:space="0" w:color="auto"/>
              <w:right w:val="single" w:sz="4" w:space="0" w:color="auto"/>
            </w:tcBorders>
          </w:tcPr>
          <w:p w14:paraId="183462DA" w14:textId="77777777" w:rsidR="009B2D92" w:rsidRPr="00D9152B" w:rsidRDefault="009B2D92" w:rsidP="00F32524">
            <w:pPr>
              <w:jc w:val="left"/>
              <w:rPr>
                <w:rFonts w:ascii="Calibri" w:hAnsi="Calibri" w:cs="Calibri"/>
                <w:sz w:val="18"/>
                <w:szCs w:val="18"/>
              </w:rPr>
            </w:pPr>
            <w:r w:rsidRPr="00D9152B">
              <w:rPr>
                <w:rFonts w:ascii="Calibri" w:hAnsi="Calibri" w:cs="Calibri"/>
                <w:sz w:val="18"/>
                <w:szCs w:val="18"/>
              </w:rPr>
              <w:t>OCP country</w:t>
            </w:r>
          </w:p>
        </w:tc>
        <w:tc>
          <w:tcPr>
            <w:tcW w:w="2127" w:type="dxa"/>
            <w:tcBorders>
              <w:left w:val="single" w:sz="4" w:space="0" w:color="auto"/>
              <w:bottom w:val="single" w:sz="4" w:space="0" w:color="auto"/>
              <w:right w:val="single" w:sz="4" w:space="0" w:color="auto"/>
            </w:tcBorders>
          </w:tcPr>
          <w:p w14:paraId="2CC0F0CE" w14:textId="6644CA96" w:rsidR="009B2D92" w:rsidRPr="00D9152B" w:rsidRDefault="00BC4643" w:rsidP="00BC4643">
            <w:pPr>
              <w:cnfStyle w:val="100000000000" w:firstRow="1" w:lastRow="0" w:firstColumn="0" w:lastColumn="0" w:oddVBand="0" w:evenVBand="0" w:oddHBand="0" w:evenHBand="0" w:firstRowFirstColumn="0" w:firstRowLastColumn="0" w:lastRowFirstColumn="0" w:lastRowLastColumn="0"/>
              <w:rPr>
                <w:rFonts w:ascii="Calibri" w:hAnsi="Calibri" w:cs="Calibri"/>
                <w:i/>
                <w:sz w:val="18"/>
                <w:szCs w:val="18"/>
              </w:rPr>
            </w:pPr>
            <w:r w:rsidRPr="00D9152B">
              <w:rPr>
                <w:rFonts w:ascii="Calibri" w:hAnsi="Calibri" w:cs="Calibri"/>
                <w:i/>
                <w:sz w:val="18"/>
                <w:szCs w:val="18"/>
              </w:rPr>
              <w:t>Est.</w:t>
            </w:r>
            <w:r w:rsidR="009B2D92" w:rsidRPr="00D9152B">
              <w:rPr>
                <w:rFonts w:ascii="Calibri" w:hAnsi="Calibri" w:cs="Calibri"/>
                <w:i/>
                <w:sz w:val="18"/>
                <w:szCs w:val="18"/>
              </w:rPr>
              <w:t xml:space="preserve"> onchocerciasis cases (# infected)</w:t>
            </w:r>
            <w:r w:rsidR="009B2D92" w:rsidRPr="00D9152B">
              <w:rPr>
                <w:rStyle w:val="FootnoteReference"/>
                <w:rFonts w:ascii="Calibri" w:hAnsi="Calibri" w:cs="Calibri"/>
                <w:b w:val="0"/>
                <w:sz w:val="18"/>
                <w:szCs w:val="18"/>
              </w:rPr>
              <w:footnoteReference w:id="49"/>
            </w:r>
          </w:p>
        </w:tc>
        <w:tc>
          <w:tcPr>
            <w:tcW w:w="1984" w:type="dxa"/>
            <w:tcBorders>
              <w:left w:val="single" w:sz="4" w:space="0" w:color="auto"/>
              <w:bottom w:val="single" w:sz="4" w:space="0" w:color="auto"/>
              <w:right w:val="single" w:sz="4" w:space="0" w:color="auto"/>
            </w:tcBorders>
          </w:tcPr>
          <w:p w14:paraId="00E2DDBD" w14:textId="77777777" w:rsidR="009B2D92" w:rsidRPr="00D9152B" w:rsidRDefault="009B2D92" w:rsidP="00F32524">
            <w:pPr>
              <w:cnfStyle w:val="100000000000" w:firstRow="1" w:lastRow="0" w:firstColumn="0" w:lastColumn="0" w:oddVBand="0" w:evenVBand="0" w:oddHBand="0" w:evenHBand="0" w:firstRowFirstColumn="0" w:firstRowLastColumn="0" w:lastRowFirstColumn="0" w:lastRowLastColumn="0"/>
              <w:rPr>
                <w:rFonts w:ascii="Calibri" w:hAnsi="Calibri" w:cs="Calibri"/>
                <w:i/>
                <w:sz w:val="18"/>
                <w:szCs w:val="18"/>
              </w:rPr>
            </w:pPr>
            <w:r w:rsidRPr="00D9152B">
              <w:rPr>
                <w:rFonts w:ascii="Calibri" w:hAnsi="Calibri" w:cs="Calibri"/>
                <w:i/>
                <w:sz w:val="18"/>
                <w:szCs w:val="18"/>
              </w:rPr>
              <w:t>Total population size</w:t>
            </w:r>
            <w:r w:rsidRPr="00D9152B">
              <w:rPr>
                <w:rStyle w:val="FootnoteReference"/>
                <w:rFonts w:ascii="Calibri" w:hAnsi="Calibri" w:cs="Calibri"/>
                <w:b w:val="0"/>
                <w:sz w:val="18"/>
                <w:szCs w:val="18"/>
              </w:rPr>
              <w:footnoteReference w:id="50"/>
            </w:r>
          </w:p>
        </w:tc>
        <w:tc>
          <w:tcPr>
            <w:tcW w:w="1843" w:type="dxa"/>
            <w:tcBorders>
              <w:left w:val="single" w:sz="4" w:space="0" w:color="auto"/>
              <w:bottom w:val="single" w:sz="4" w:space="0" w:color="auto"/>
            </w:tcBorders>
          </w:tcPr>
          <w:p w14:paraId="1A615967" w14:textId="3BF7531C" w:rsidR="009B2D92" w:rsidRPr="00D9152B" w:rsidRDefault="00BC4643" w:rsidP="00BC4643">
            <w:pPr>
              <w:cnfStyle w:val="100000000000" w:firstRow="1" w:lastRow="0" w:firstColumn="0" w:lastColumn="0" w:oddVBand="0" w:evenVBand="0" w:oddHBand="0" w:evenHBand="0" w:firstRowFirstColumn="0" w:firstRowLastColumn="0" w:lastRowFirstColumn="0" w:lastRowLastColumn="0"/>
              <w:rPr>
                <w:rFonts w:ascii="Calibri" w:hAnsi="Calibri" w:cs="Calibri"/>
                <w:i/>
                <w:sz w:val="18"/>
                <w:szCs w:val="18"/>
              </w:rPr>
            </w:pPr>
            <w:r w:rsidRPr="00D9152B">
              <w:rPr>
                <w:rFonts w:ascii="Calibri" w:hAnsi="Calibri" w:cs="Calibri"/>
                <w:i/>
                <w:sz w:val="18"/>
                <w:szCs w:val="18"/>
              </w:rPr>
              <w:t>Est.</w:t>
            </w:r>
            <w:r w:rsidR="00774F7F" w:rsidRPr="00D9152B">
              <w:rPr>
                <w:rFonts w:ascii="Calibri" w:hAnsi="Calibri" w:cs="Calibri"/>
                <w:i/>
                <w:sz w:val="18"/>
                <w:szCs w:val="18"/>
              </w:rPr>
              <w:t xml:space="preserve"> </w:t>
            </w:r>
            <w:r w:rsidRPr="00D9152B">
              <w:rPr>
                <w:rFonts w:ascii="Calibri" w:hAnsi="Calibri" w:cs="Calibri"/>
                <w:i/>
                <w:sz w:val="18"/>
                <w:szCs w:val="18"/>
              </w:rPr>
              <w:t xml:space="preserve">onchocerciasis </w:t>
            </w:r>
            <w:r w:rsidR="009B2D92" w:rsidRPr="00D9152B">
              <w:rPr>
                <w:rFonts w:ascii="Calibri" w:hAnsi="Calibri" w:cs="Calibri"/>
                <w:i/>
                <w:sz w:val="18"/>
                <w:szCs w:val="18"/>
              </w:rPr>
              <w:t>prevalence</w:t>
            </w:r>
            <w:r w:rsidR="002B0285" w:rsidRPr="00D9152B">
              <w:rPr>
                <w:rFonts w:ascii="Calibri" w:hAnsi="Calibri" w:cs="Calibri"/>
                <w:i/>
                <w:sz w:val="18"/>
                <w:szCs w:val="18"/>
              </w:rPr>
              <w:t xml:space="preserve"> (%)</w:t>
            </w:r>
          </w:p>
        </w:tc>
      </w:tr>
      <w:tr w:rsidR="00C128CC" w:rsidRPr="00D9152B" w14:paraId="285B41EF" w14:textId="77777777" w:rsidTr="00BC4643">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bottom w:val="single" w:sz="4" w:space="0" w:color="auto"/>
              <w:right w:val="single" w:sz="4" w:space="0" w:color="auto"/>
            </w:tcBorders>
          </w:tcPr>
          <w:p w14:paraId="21743CE1" w14:textId="77777777" w:rsidR="009B2D92" w:rsidRPr="00D9152B" w:rsidRDefault="009B2D92" w:rsidP="00F32524">
            <w:pPr>
              <w:jc w:val="left"/>
              <w:rPr>
                <w:rFonts w:ascii="Calibri" w:hAnsi="Calibri" w:cs="Calibri"/>
                <w:b/>
                <w:sz w:val="18"/>
                <w:szCs w:val="18"/>
              </w:rPr>
            </w:pPr>
            <w:r w:rsidRPr="00D9152B">
              <w:rPr>
                <w:rFonts w:ascii="Calibri" w:hAnsi="Calibri" w:cs="Calibri"/>
                <w:b/>
                <w:sz w:val="18"/>
                <w:szCs w:val="18"/>
              </w:rPr>
              <w:t>Dahomey (Benin)</w:t>
            </w:r>
          </w:p>
        </w:tc>
        <w:tc>
          <w:tcPr>
            <w:tcW w:w="2127" w:type="dxa"/>
            <w:tcBorders>
              <w:top w:val="single" w:sz="4" w:space="0" w:color="auto"/>
              <w:left w:val="single" w:sz="4" w:space="0" w:color="auto"/>
              <w:bottom w:val="single" w:sz="4" w:space="0" w:color="auto"/>
              <w:right w:val="single" w:sz="4" w:space="0" w:color="auto"/>
            </w:tcBorders>
          </w:tcPr>
          <w:p w14:paraId="03504737" w14:textId="77777777" w:rsidR="009B2D92" w:rsidRPr="00D9152B" w:rsidRDefault="009B2D92" w:rsidP="00F32524">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120,000</w:t>
            </w:r>
          </w:p>
        </w:tc>
        <w:tc>
          <w:tcPr>
            <w:tcW w:w="1984" w:type="dxa"/>
            <w:tcBorders>
              <w:top w:val="single" w:sz="4" w:space="0" w:color="auto"/>
              <w:left w:val="single" w:sz="4" w:space="0" w:color="auto"/>
              <w:bottom w:val="single" w:sz="4" w:space="0" w:color="auto"/>
              <w:right w:val="single" w:sz="4" w:space="0" w:color="auto"/>
            </w:tcBorders>
          </w:tcPr>
          <w:p w14:paraId="39C8BF0B" w14:textId="77777777" w:rsidR="009B2D92" w:rsidRPr="00D9152B" w:rsidRDefault="00774F7F" w:rsidP="00F32524">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2,770,000</w:t>
            </w:r>
          </w:p>
        </w:tc>
        <w:tc>
          <w:tcPr>
            <w:tcW w:w="1843" w:type="dxa"/>
            <w:tcBorders>
              <w:top w:val="single" w:sz="4" w:space="0" w:color="auto"/>
              <w:left w:val="single" w:sz="4" w:space="0" w:color="auto"/>
              <w:bottom w:val="single" w:sz="4" w:space="0" w:color="auto"/>
              <w:right w:val="single" w:sz="4" w:space="0" w:color="auto"/>
            </w:tcBorders>
          </w:tcPr>
          <w:p w14:paraId="6555D1B7" w14:textId="20D9A1F2" w:rsidR="009B2D92" w:rsidRPr="00D9152B" w:rsidRDefault="002B0285" w:rsidP="00F32524">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4.3</w:t>
            </w:r>
          </w:p>
        </w:tc>
      </w:tr>
      <w:tr w:rsidR="00C128CC" w:rsidRPr="00D9152B" w14:paraId="0D1BA6AE" w14:textId="77777777" w:rsidTr="00BC4643">
        <w:trPr>
          <w:jc w:val="center"/>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bottom w:val="single" w:sz="4" w:space="0" w:color="auto"/>
              <w:right w:val="single" w:sz="4" w:space="0" w:color="auto"/>
            </w:tcBorders>
          </w:tcPr>
          <w:p w14:paraId="4FFD293E" w14:textId="77777777" w:rsidR="009B2D92" w:rsidRPr="00D9152B" w:rsidRDefault="009B2D92" w:rsidP="00F32524">
            <w:pPr>
              <w:jc w:val="left"/>
              <w:rPr>
                <w:rFonts w:ascii="Calibri" w:hAnsi="Calibri" w:cs="Calibri"/>
                <w:b/>
                <w:sz w:val="18"/>
                <w:szCs w:val="18"/>
              </w:rPr>
            </w:pPr>
            <w:r w:rsidRPr="00D9152B">
              <w:rPr>
                <w:rFonts w:ascii="Calibri" w:hAnsi="Calibri" w:cs="Calibri"/>
                <w:b/>
                <w:sz w:val="18"/>
                <w:szCs w:val="18"/>
              </w:rPr>
              <w:t>Ghana</w:t>
            </w:r>
          </w:p>
        </w:tc>
        <w:tc>
          <w:tcPr>
            <w:tcW w:w="2127" w:type="dxa"/>
            <w:tcBorders>
              <w:top w:val="single" w:sz="4" w:space="0" w:color="auto"/>
              <w:left w:val="single" w:sz="4" w:space="0" w:color="auto"/>
              <w:bottom w:val="single" w:sz="4" w:space="0" w:color="auto"/>
              <w:right w:val="single" w:sz="4" w:space="0" w:color="auto"/>
            </w:tcBorders>
          </w:tcPr>
          <w:p w14:paraId="3E240AF0" w14:textId="77777777" w:rsidR="009B2D92" w:rsidRPr="00D9152B" w:rsidRDefault="009B2D92" w:rsidP="00F32524">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150,000</w:t>
            </w:r>
          </w:p>
        </w:tc>
        <w:tc>
          <w:tcPr>
            <w:tcW w:w="1984" w:type="dxa"/>
            <w:tcBorders>
              <w:top w:val="single" w:sz="4" w:space="0" w:color="auto"/>
              <w:left w:val="single" w:sz="4" w:space="0" w:color="auto"/>
              <w:bottom w:val="single" w:sz="4" w:space="0" w:color="auto"/>
              <w:right w:val="single" w:sz="4" w:space="0" w:color="auto"/>
            </w:tcBorders>
          </w:tcPr>
          <w:p w14:paraId="07C463BF" w14:textId="77777777" w:rsidR="009B2D92" w:rsidRPr="00D9152B" w:rsidRDefault="00774F7F" w:rsidP="00F32524">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8,546,000</w:t>
            </w:r>
          </w:p>
        </w:tc>
        <w:tc>
          <w:tcPr>
            <w:tcW w:w="1843" w:type="dxa"/>
            <w:tcBorders>
              <w:top w:val="single" w:sz="4" w:space="0" w:color="auto"/>
              <w:left w:val="single" w:sz="4" w:space="0" w:color="auto"/>
              <w:bottom w:val="single" w:sz="4" w:space="0" w:color="auto"/>
              <w:right w:val="single" w:sz="4" w:space="0" w:color="auto"/>
            </w:tcBorders>
          </w:tcPr>
          <w:p w14:paraId="14333F9A" w14:textId="1288B91C" w:rsidR="009B2D92" w:rsidRPr="00D9152B" w:rsidRDefault="002B0285" w:rsidP="00F32524">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1.8</w:t>
            </w:r>
          </w:p>
        </w:tc>
      </w:tr>
      <w:tr w:rsidR="00C128CC" w:rsidRPr="00D9152B" w14:paraId="5CD5638E" w14:textId="77777777" w:rsidTr="00BC46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bottom w:val="single" w:sz="4" w:space="0" w:color="auto"/>
              <w:right w:val="single" w:sz="4" w:space="0" w:color="auto"/>
            </w:tcBorders>
          </w:tcPr>
          <w:p w14:paraId="78D6095F" w14:textId="77777777" w:rsidR="009B2D92" w:rsidRPr="00D9152B" w:rsidRDefault="009B2D92" w:rsidP="00F32524">
            <w:pPr>
              <w:jc w:val="left"/>
              <w:rPr>
                <w:rFonts w:ascii="Calibri" w:hAnsi="Calibri" w:cs="Calibri"/>
                <w:b/>
                <w:sz w:val="18"/>
                <w:szCs w:val="18"/>
              </w:rPr>
            </w:pPr>
            <w:r w:rsidRPr="00D9152B">
              <w:rPr>
                <w:rFonts w:ascii="Calibri" w:hAnsi="Calibri" w:cs="Calibri"/>
                <w:b/>
                <w:sz w:val="18"/>
                <w:szCs w:val="18"/>
              </w:rPr>
              <w:t>Ivory Coast</w:t>
            </w:r>
          </w:p>
        </w:tc>
        <w:tc>
          <w:tcPr>
            <w:tcW w:w="2127" w:type="dxa"/>
            <w:tcBorders>
              <w:top w:val="single" w:sz="4" w:space="0" w:color="auto"/>
              <w:left w:val="single" w:sz="4" w:space="0" w:color="auto"/>
              <w:bottom w:val="single" w:sz="4" w:space="0" w:color="auto"/>
              <w:right w:val="single" w:sz="4" w:space="0" w:color="auto"/>
            </w:tcBorders>
          </w:tcPr>
          <w:p w14:paraId="46326923" w14:textId="77777777" w:rsidR="009B2D92" w:rsidRPr="00D9152B" w:rsidRDefault="009B2D92" w:rsidP="00F32524">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150,000</w:t>
            </w:r>
          </w:p>
        </w:tc>
        <w:tc>
          <w:tcPr>
            <w:tcW w:w="1984" w:type="dxa"/>
            <w:tcBorders>
              <w:top w:val="single" w:sz="4" w:space="0" w:color="auto"/>
              <w:left w:val="single" w:sz="4" w:space="0" w:color="auto"/>
              <w:bottom w:val="single" w:sz="4" w:space="0" w:color="auto"/>
              <w:right w:val="single" w:sz="4" w:space="0" w:color="auto"/>
            </w:tcBorders>
          </w:tcPr>
          <w:p w14:paraId="16F845A6" w14:textId="77777777" w:rsidR="009B2D92" w:rsidRPr="00D9152B" w:rsidRDefault="00774F7F" w:rsidP="00F32524">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5,100,000</w:t>
            </w:r>
          </w:p>
        </w:tc>
        <w:tc>
          <w:tcPr>
            <w:tcW w:w="1843" w:type="dxa"/>
            <w:tcBorders>
              <w:top w:val="single" w:sz="4" w:space="0" w:color="auto"/>
              <w:left w:val="single" w:sz="4" w:space="0" w:color="auto"/>
              <w:bottom w:val="single" w:sz="4" w:space="0" w:color="auto"/>
              <w:right w:val="single" w:sz="4" w:space="0" w:color="auto"/>
            </w:tcBorders>
          </w:tcPr>
          <w:p w14:paraId="4D94B44A" w14:textId="7DFD6FA5" w:rsidR="009B2D92" w:rsidRPr="00D9152B" w:rsidRDefault="002B0285" w:rsidP="00F32524">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2.9</w:t>
            </w:r>
          </w:p>
        </w:tc>
      </w:tr>
      <w:tr w:rsidR="00C128CC" w:rsidRPr="00D9152B" w14:paraId="08A0CBF7" w14:textId="77777777" w:rsidTr="00BC4643">
        <w:trPr>
          <w:jc w:val="center"/>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bottom w:val="single" w:sz="4" w:space="0" w:color="auto"/>
              <w:right w:val="single" w:sz="4" w:space="0" w:color="auto"/>
            </w:tcBorders>
          </w:tcPr>
          <w:p w14:paraId="01593547" w14:textId="77777777" w:rsidR="009B2D92" w:rsidRPr="00D9152B" w:rsidRDefault="009B2D92" w:rsidP="00F32524">
            <w:pPr>
              <w:jc w:val="left"/>
              <w:rPr>
                <w:rFonts w:ascii="Calibri" w:hAnsi="Calibri" w:cs="Calibri"/>
                <w:b/>
                <w:sz w:val="18"/>
                <w:szCs w:val="18"/>
              </w:rPr>
            </w:pPr>
            <w:r w:rsidRPr="00D9152B">
              <w:rPr>
                <w:rFonts w:ascii="Calibri" w:hAnsi="Calibri" w:cs="Calibri"/>
                <w:b/>
                <w:sz w:val="18"/>
                <w:szCs w:val="18"/>
              </w:rPr>
              <w:t>Mali</w:t>
            </w:r>
          </w:p>
        </w:tc>
        <w:tc>
          <w:tcPr>
            <w:tcW w:w="2127" w:type="dxa"/>
            <w:tcBorders>
              <w:top w:val="single" w:sz="4" w:space="0" w:color="auto"/>
              <w:left w:val="single" w:sz="4" w:space="0" w:color="auto"/>
              <w:bottom w:val="single" w:sz="4" w:space="0" w:color="auto"/>
              <w:right w:val="single" w:sz="4" w:space="0" w:color="auto"/>
            </w:tcBorders>
          </w:tcPr>
          <w:p w14:paraId="565D8D7A" w14:textId="77777777" w:rsidR="009B2D92" w:rsidRPr="00D9152B" w:rsidRDefault="009B2D92" w:rsidP="00F32524">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150,000</w:t>
            </w:r>
          </w:p>
        </w:tc>
        <w:tc>
          <w:tcPr>
            <w:tcW w:w="1984" w:type="dxa"/>
            <w:tcBorders>
              <w:top w:val="single" w:sz="4" w:space="0" w:color="auto"/>
              <w:left w:val="single" w:sz="4" w:space="0" w:color="auto"/>
              <w:bottom w:val="single" w:sz="4" w:space="0" w:color="auto"/>
              <w:right w:val="single" w:sz="4" w:space="0" w:color="auto"/>
            </w:tcBorders>
          </w:tcPr>
          <w:p w14:paraId="5E09735C" w14:textId="77777777" w:rsidR="009B2D92" w:rsidRPr="00D9152B" w:rsidRDefault="00774F7F" w:rsidP="00F32524">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5,300,000</w:t>
            </w:r>
          </w:p>
        </w:tc>
        <w:tc>
          <w:tcPr>
            <w:tcW w:w="1843" w:type="dxa"/>
            <w:tcBorders>
              <w:top w:val="single" w:sz="4" w:space="0" w:color="auto"/>
              <w:left w:val="single" w:sz="4" w:space="0" w:color="auto"/>
              <w:bottom w:val="single" w:sz="4" w:space="0" w:color="auto"/>
              <w:right w:val="single" w:sz="4" w:space="0" w:color="auto"/>
            </w:tcBorders>
          </w:tcPr>
          <w:p w14:paraId="2B9B8742" w14:textId="120DE397" w:rsidR="009B2D92" w:rsidRPr="00D9152B" w:rsidRDefault="002B0285" w:rsidP="00F32524">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2.8</w:t>
            </w:r>
          </w:p>
        </w:tc>
      </w:tr>
      <w:tr w:rsidR="00C128CC" w:rsidRPr="00D9152B" w14:paraId="5D8454A3" w14:textId="77777777" w:rsidTr="00BC46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bottom w:val="single" w:sz="4" w:space="0" w:color="auto"/>
              <w:right w:val="single" w:sz="4" w:space="0" w:color="auto"/>
            </w:tcBorders>
          </w:tcPr>
          <w:p w14:paraId="1BBD862B" w14:textId="77777777" w:rsidR="009B2D92" w:rsidRPr="00D9152B" w:rsidRDefault="009B2D92" w:rsidP="00F32524">
            <w:pPr>
              <w:jc w:val="left"/>
              <w:rPr>
                <w:rFonts w:ascii="Calibri" w:hAnsi="Calibri" w:cs="Calibri"/>
                <w:b/>
                <w:sz w:val="18"/>
                <w:szCs w:val="18"/>
              </w:rPr>
            </w:pPr>
            <w:r w:rsidRPr="00D9152B">
              <w:rPr>
                <w:rFonts w:ascii="Calibri" w:hAnsi="Calibri" w:cs="Calibri"/>
                <w:b/>
                <w:sz w:val="18"/>
                <w:szCs w:val="18"/>
              </w:rPr>
              <w:t>Niger</w:t>
            </w:r>
          </w:p>
        </w:tc>
        <w:tc>
          <w:tcPr>
            <w:tcW w:w="2127" w:type="dxa"/>
            <w:tcBorders>
              <w:top w:val="single" w:sz="4" w:space="0" w:color="auto"/>
              <w:left w:val="single" w:sz="4" w:space="0" w:color="auto"/>
              <w:bottom w:val="single" w:sz="4" w:space="0" w:color="auto"/>
              <w:right w:val="single" w:sz="4" w:space="0" w:color="auto"/>
            </w:tcBorders>
          </w:tcPr>
          <w:p w14:paraId="50D0E561" w14:textId="77777777" w:rsidR="009B2D92" w:rsidRPr="00D9152B" w:rsidRDefault="009B2D92" w:rsidP="00F32524">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Several thousand</w:t>
            </w:r>
          </w:p>
        </w:tc>
        <w:tc>
          <w:tcPr>
            <w:tcW w:w="1984" w:type="dxa"/>
            <w:tcBorders>
              <w:top w:val="single" w:sz="4" w:space="0" w:color="auto"/>
              <w:left w:val="single" w:sz="4" w:space="0" w:color="auto"/>
              <w:bottom w:val="single" w:sz="4" w:space="0" w:color="auto"/>
              <w:right w:val="single" w:sz="4" w:space="0" w:color="auto"/>
            </w:tcBorders>
          </w:tcPr>
          <w:p w14:paraId="78FC9832" w14:textId="77777777" w:rsidR="009B2D92" w:rsidRPr="00D9152B" w:rsidRDefault="00774F7F" w:rsidP="00F32524">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4,000,000</w:t>
            </w:r>
          </w:p>
        </w:tc>
        <w:tc>
          <w:tcPr>
            <w:tcW w:w="1843" w:type="dxa"/>
            <w:tcBorders>
              <w:top w:val="single" w:sz="4" w:space="0" w:color="auto"/>
              <w:left w:val="single" w:sz="4" w:space="0" w:color="auto"/>
              <w:bottom w:val="single" w:sz="4" w:space="0" w:color="auto"/>
              <w:right w:val="single" w:sz="4" w:space="0" w:color="auto"/>
            </w:tcBorders>
          </w:tcPr>
          <w:p w14:paraId="0D67ADD4" w14:textId="77777777" w:rsidR="009B2D92" w:rsidRPr="00D9152B" w:rsidRDefault="00774F7F" w:rsidP="00F32524">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w:t>
            </w:r>
          </w:p>
        </w:tc>
      </w:tr>
      <w:tr w:rsidR="00C128CC" w:rsidRPr="00D9152B" w14:paraId="5F1EE8B9" w14:textId="77777777" w:rsidTr="00BC4643">
        <w:trPr>
          <w:jc w:val="center"/>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bottom w:val="single" w:sz="4" w:space="0" w:color="auto"/>
              <w:right w:val="single" w:sz="4" w:space="0" w:color="auto"/>
            </w:tcBorders>
          </w:tcPr>
          <w:p w14:paraId="38AFDB04" w14:textId="77777777" w:rsidR="009B2D92" w:rsidRPr="00D9152B" w:rsidRDefault="009B2D92" w:rsidP="00F32524">
            <w:pPr>
              <w:jc w:val="left"/>
              <w:rPr>
                <w:rFonts w:ascii="Calibri" w:hAnsi="Calibri" w:cs="Calibri"/>
                <w:b/>
                <w:sz w:val="18"/>
                <w:szCs w:val="18"/>
              </w:rPr>
            </w:pPr>
            <w:r w:rsidRPr="00D9152B">
              <w:rPr>
                <w:rFonts w:ascii="Calibri" w:hAnsi="Calibri" w:cs="Calibri"/>
                <w:b/>
                <w:sz w:val="18"/>
                <w:szCs w:val="18"/>
              </w:rPr>
              <w:t>Togo</w:t>
            </w:r>
          </w:p>
        </w:tc>
        <w:tc>
          <w:tcPr>
            <w:tcW w:w="2127" w:type="dxa"/>
            <w:tcBorders>
              <w:top w:val="single" w:sz="4" w:space="0" w:color="auto"/>
              <w:left w:val="single" w:sz="4" w:space="0" w:color="auto"/>
              <w:bottom w:val="single" w:sz="4" w:space="0" w:color="auto"/>
              <w:right w:val="single" w:sz="4" w:space="0" w:color="auto"/>
            </w:tcBorders>
          </w:tcPr>
          <w:p w14:paraId="4D71EE36" w14:textId="77777777" w:rsidR="009B2D92" w:rsidRPr="00D9152B" w:rsidRDefault="009B2D92" w:rsidP="00F32524">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50,000</w:t>
            </w:r>
          </w:p>
        </w:tc>
        <w:tc>
          <w:tcPr>
            <w:tcW w:w="1984" w:type="dxa"/>
            <w:tcBorders>
              <w:top w:val="single" w:sz="4" w:space="0" w:color="auto"/>
              <w:left w:val="single" w:sz="4" w:space="0" w:color="auto"/>
              <w:bottom w:val="single" w:sz="4" w:space="0" w:color="auto"/>
              <w:right w:val="single" w:sz="4" w:space="0" w:color="auto"/>
            </w:tcBorders>
          </w:tcPr>
          <w:p w14:paraId="26CC6B94" w14:textId="77777777" w:rsidR="009B2D92" w:rsidRPr="00D9152B" w:rsidRDefault="00774F7F" w:rsidP="00F32524">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1,956,000</w:t>
            </w:r>
          </w:p>
        </w:tc>
        <w:tc>
          <w:tcPr>
            <w:tcW w:w="1843" w:type="dxa"/>
            <w:tcBorders>
              <w:top w:val="single" w:sz="4" w:space="0" w:color="auto"/>
              <w:left w:val="single" w:sz="4" w:space="0" w:color="auto"/>
              <w:bottom w:val="single" w:sz="4" w:space="0" w:color="auto"/>
              <w:right w:val="single" w:sz="4" w:space="0" w:color="auto"/>
            </w:tcBorders>
          </w:tcPr>
          <w:p w14:paraId="0B47DE11" w14:textId="478908CF" w:rsidR="009B2D92" w:rsidRPr="00D9152B" w:rsidRDefault="002B0285" w:rsidP="00F32524">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2.6</w:t>
            </w:r>
          </w:p>
        </w:tc>
      </w:tr>
      <w:tr w:rsidR="00C128CC" w:rsidRPr="00D9152B" w14:paraId="347FEBC6" w14:textId="77777777" w:rsidTr="00BC46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right w:val="single" w:sz="4" w:space="0" w:color="auto"/>
            </w:tcBorders>
          </w:tcPr>
          <w:p w14:paraId="3FD2E40A" w14:textId="77777777" w:rsidR="009B2D92" w:rsidRPr="00D9152B" w:rsidRDefault="009B2D92" w:rsidP="00F32524">
            <w:pPr>
              <w:jc w:val="left"/>
              <w:rPr>
                <w:rFonts w:ascii="Calibri" w:hAnsi="Calibri" w:cs="Calibri"/>
                <w:b/>
                <w:sz w:val="18"/>
                <w:szCs w:val="18"/>
              </w:rPr>
            </w:pPr>
            <w:r w:rsidRPr="00D9152B">
              <w:rPr>
                <w:rFonts w:ascii="Calibri" w:hAnsi="Calibri" w:cs="Calibri"/>
                <w:b/>
                <w:sz w:val="18"/>
                <w:szCs w:val="18"/>
              </w:rPr>
              <w:t>Upper Volta (Burkina Faso)</w:t>
            </w:r>
          </w:p>
        </w:tc>
        <w:tc>
          <w:tcPr>
            <w:tcW w:w="2127" w:type="dxa"/>
            <w:tcBorders>
              <w:top w:val="single" w:sz="4" w:space="0" w:color="auto"/>
              <w:left w:val="single" w:sz="4" w:space="0" w:color="auto"/>
              <w:bottom w:val="single" w:sz="4" w:space="0" w:color="auto"/>
              <w:right w:val="single" w:sz="4" w:space="0" w:color="auto"/>
            </w:tcBorders>
          </w:tcPr>
          <w:p w14:paraId="18831D84" w14:textId="77777777" w:rsidR="009B2D92" w:rsidRPr="00D9152B" w:rsidRDefault="009B2D92" w:rsidP="00F32524">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410,000</w:t>
            </w:r>
          </w:p>
        </w:tc>
        <w:tc>
          <w:tcPr>
            <w:tcW w:w="1984" w:type="dxa"/>
            <w:tcBorders>
              <w:top w:val="single" w:sz="4" w:space="0" w:color="auto"/>
              <w:left w:val="single" w:sz="4" w:space="0" w:color="auto"/>
              <w:bottom w:val="single" w:sz="4" w:space="0" w:color="auto"/>
              <w:right w:val="single" w:sz="4" w:space="0" w:color="auto"/>
            </w:tcBorders>
          </w:tcPr>
          <w:p w14:paraId="7910082C" w14:textId="77777777" w:rsidR="009B2D92" w:rsidRPr="00D9152B" w:rsidRDefault="00774F7F" w:rsidP="00F32524">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5,421,000</w:t>
            </w:r>
          </w:p>
        </w:tc>
        <w:tc>
          <w:tcPr>
            <w:tcW w:w="1843" w:type="dxa"/>
            <w:tcBorders>
              <w:top w:val="single" w:sz="4" w:space="0" w:color="auto"/>
              <w:left w:val="single" w:sz="4" w:space="0" w:color="auto"/>
              <w:bottom w:val="single" w:sz="4" w:space="0" w:color="auto"/>
              <w:right w:val="single" w:sz="4" w:space="0" w:color="auto"/>
            </w:tcBorders>
          </w:tcPr>
          <w:p w14:paraId="77167B2A" w14:textId="0528BF4B" w:rsidR="009B2D92" w:rsidRPr="00D9152B" w:rsidRDefault="002B0285" w:rsidP="00F32524">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7.6</w:t>
            </w:r>
          </w:p>
        </w:tc>
      </w:tr>
    </w:tbl>
    <w:p w14:paraId="2496AC64" w14:textId="77777777" w:rsidR="005A78EB" w:rsidRPr="00D9152B" w:rsidRDefault="005A78EB" w:rsidP="00D32A95">
      <w:pPr>
        <w:jc w:val="both"/>
        <w:rPr>
          <w:rFonts w:ascii="Calibri" w:hAnsi="Calibri" w:cs="Calibri"/>
          <w:color w:val="808080" w:themeColor="background1" w:themeShade="80"/>
        </w:rPr>
      </w:pPr>
    </w:p>
    <w:p w14:paraId="485D1ED3" w14:textId="09A5B49C" w:rsidR="00774F7F" w:rsidRPr="00D9152B" w:rsidRDefault="003F373B" w:rsidP="00D32A95">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Table </w:t>
      </w:r>
      <w:r w:rsidR="0052142C">
        <w:rPr>
          <w:rFonts w:ascii="Calibri" w:hAnsi="Calibri" w:cs="Calibri"/>
          <w:color w:val="808080" w:themeColor="background1" w:themeShade="80"/>
          <w:sz w:val="22"/>
          <w:szCs w:val="22"/>
        </w:rPr>
        <w:t>1.</w:t>
      </w:r>
      <w:r w:rsidRPr="00D9152B">
        <w:rPr>
          <w:rFonts w:ascii="Calibri" w:hAnsi="Calibri" w:cs="Calibri"/>
          <w:color w:val="808080" w:themeColor="background1" w:themeShade="80"/>
          <w:sz w:val="22"/>
          <w:szCs w:val="22"/>
        </w:rPr>
        <w:t>1</w:t>
      </w:r>
      <w:r w:rsidR="00774F7F" w:rsidRPr="00D9152B">
        <w:rPr>
          <w:rFonts w:ascii="Calibri" w:hAnsi="Calibri" w:cs="Calibri"/>
          <w:color w:val="808080" w:themeColor="background1" w:themeShade="80"/>
          <w:sz w:val="22"/>
          <w:szCs w:val="22"/>
        </w:rPr>
        <w:t>. OCP planning</w:t>
      </w:r>
      <w:r w:rsidR="009139D4" w:rsidRPr="00D9152B">
        <w:rPr>
          <w:rFonts w:ascii="Calibri" w:hAnsi="Calibri" w:cs="Calibri"/>
          <w:color w:val="808080" w:themeColor="background1" w:themeShade="80"/>
          <w:sz w:val="22"/>
          <w:szCs w:val="22"/>
        </w:rPr>
        <w:t xml:space="preserve"> commission</w:t>
      </w:r>
      <w:r w:rsidR="00774F7F" w:rsidRPr="00D9152B">
        <w:rPr>
          <w:rFonts w:ascii="Calibri" w:hAnsi="Calibri" w:cs="Calibri"/>
          <w:color w:val="808080" w:themeColor="background1" w:themeShade="80"/>
          <w:sz w:val="22"/>
          <w:szCs w:val="22"/>
        </w:rPr>
        <w:t xml:space="preserve"> estimates of the number </w:t>
      </w:r>
      <w:r w:rsidR="009139D4" w:rsidRPr="00D9152B">
        <w:rPr>
          <w:rFonts w:ascii="Calibri" w:hAnsi="Calibri" w:cs="Calibri"/>
          <w:color w:val="808080" w:themeColor="background1" w:themeShade="80"/>
          <w:sz w:val="22"/>
          <w:szCs w:val="22"/>
        </w:rPr>
        <w:t xml:space="preserve">of cases of onchocerciasis </w:t>
      </w:r>
      <w:r w:rsidR="00BC7665" w:rsidRPr="00D9152B">
        <w:rPr>
          <w:rFonts w:ascii="Calibri" w:hAnsi="Calibri" w:cs="Calibri"/>
          <w:color w:val="808080" w:themeColor="background1" w:themeShade="80"/>
          <w:sz w:val="22"/>
          <w:szCs w:val="22"/>
        </w:rPr>
        <w:t>by country</w:t>
      </w:r>
      <w:r w:rsidR="009139D4" w:rsidRPr="00D9152B">
        <w:rPr>
          <w:rFonts w:ascii="Calibri" w:hAnsi="Calibri" w:cs="Calibri"/>
          <w:color w:val="808080" w:themeColor="background1" w:themeShade="80"/>
          <w:sz w:val="22"/>
          <w:szCs w:val="22"/>
        </w:rPr>
        <w:t>. Estimates indicated</w:t>
      </w:r>
      <w:r w:rsidR="00BC7665" w:rsidRPr="00D9152B">
        <w:rPr>
          <w:rFonts w:ascii="Calibri" w:hAnsi="Calibri" w:cs="Calibri"/>
          <w:color w:val="808080" w:themeColor="background1" w:themeShade="80"/>
          <w:sz w:val="22"/>
          <w:szCs w:val="22"/>
        </w:rPr>
        <w:t xml:space="preserve"> that between about</w:t>
      </w:r>
      <w:r w:rsidR="0034332C" w:rsidRPr="00D9152B">
        <w:rPr>
          <w:rFonts w:ascii="Calibri" w:hAnsi="Calibri" w:cs="Calibri"/>
          <w:color w:val="808080" w:themeColor="background1" w:themeShade="80"/>
          <w:sz w:val="22"/>
          <w:szCs w:val="22"/>
        </w:rPr>
        <w:t xml:space="preserve"> one percent</w:t>
      </w:r>
      <w:r w:rsidR="00BC7665" w:rsidRPr="00D9152B">
        <w:rPr>
          <w:rFonts w:ascii="Calibri" w:hAnsi="Calibri" w:cs="Calibri"/>
          <w:color w:val="808080" w:themeColor="background1" w:themeShade="80"/>
          <w:sz w:val="22"/>
          <w:szCs w:val="22"/>
        </w:rPr>
        <w:t xml:space="preserve"> and</w:t>
      </w:r>
      <w:r w:rsidR="0034332C" w:rsidRPr="00D9152B">
        <w:rPr>
          <w:rFonts w:ascii="Calibri" w:hAnsi="Calibri" w:cs="Calibri"/>
          <w:color w:val="808080" w:themeColor="background1" w:themeShade="80"/>
          <w:sz w:val="22"/>
          <w:szCs w:val="22"/>
        </w:rPr>
        <w:t xml:space="preserve"> eight percent</w:t>
      </w:r>
      <w:r w:rsidR="00BC7665" w:rsidRPr="00D9152B">
        <w:rPr>
          <w:rFonts w:ascii="Calibri" w:hAnsi="Calibri" w:cs="Calibri"/>
          <w:color w:val="808080" w:themeColor="background1" w:themeShade="80"/>
          <w:sz w:val="22"/>
          <w:szCs w:val="22"/>
        </w:rPr>
        <w:t xml:space="preserve"> of the population in OCP countries were infected with </w:t>
      </w:r>
      <w:r w:rsidR="00BC7665" w:rsidRPr="00D9152B">
        <w:rPr>
          <w:rFonts w:ascii="Calibri" w:hAnsi="Calibri" w:cs="Calibri"/>
          <w:i/>
          <w:color w:val="808080" w:themeColor="background1" w:themeShade="80"/>
          <w:sz w:val="22"/>
          <w:szCs w:val="22"/>
        </w:rPr>
        <w:t>O. volvulus</w:t>
      </w:r>
      <w:r w:rsidR="009139D4" w:rsidRPr="00D9152B">
        <w:rPr>
          <w:rFonts w:ascii="Calibri" w:hAnsi="Calibri" w:cs="Calibri"/>
          <w:color w:val="808080" w:themeColor="background1" w:themeShade="80"/>
          <w:sz w:val="22"/>
          <w:szCs w:val="22"/>
        </w:rPr>
        <w:t>, and a much smaller number were clinically blind</w:t>
      </w:r>
      <w:r w:rsidR="00BC7665" w:rsidRPr="00D9152B">
        <w:rPr>
          <w:rFonts w:ascii="Calibri" w:hAnsi="Calibri" w:cs="Calibri"/>
          <w:color w:val="808080" w:themeColor="background1" w:themeShade="80"/>
          <w:sz w:val="22"/>
          <w:szCs w:val="22"/>
        </w:rPr>
        <w:t>.</w:t>
      </w:r>
      <w:r w:rsidR="00BC7665" w:rsidRPr="00D9152B">
        <w:rPr>
          <w:rStyle w:val="FootnoteReference"/>
          <w:rFonts w:ascii="Calibri" w:hAnsi="Calibri" w:cs="Calibri"/>
          <w:color w:val="808080" w:themeColor="background1" w:themeShade="80"/>
          <w:sz w:val="22"/>
          <w:szCs w:val="22"/>
        </w:rPr>
        <w:footnoteReference w:id="51"/>
      </w:r>
    </w:p>
    <w:p w14:paraId="32ACC4A1" w14:textId="604A8EEA" w:rsidR="00EB4914" w:rsidRDefault="00C128CC"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OCP s</w:t>
      </w:r>
      <w:r w:rsidR="00BC3DCA" w:rsidRPr="00D9152B">
        <w:rPr>
          <w:rFonts w:ascii="Calibri" w:hAnsi="Calibri" w:cs="Calibri"/>
          <w:sz w:val="22"/>
          <w:szCs w:val="22"/>
        </w:rPr>
        <w:t xml:space="preserve">ponsoring agencies like the Bank were well aware that onchocerciasis placed a </w:t>
      </w:r>
      <w:r w:rsidRPr="00D9152B">
        <w:rPr>
          <w:rFonts w:ascii="Calibri" w:hAnsi="Calibri" w:cs="Calibri"/>
          <w:sz w:val="22"/>
          <w:szCs w:val="22"/>
        </w:rPr>
        <w:t xml:space="preserve">significant </w:t>
      </w:r>
      <w:r w:rsidR="00BC3DCA" w:rsidRPr="00D9152B">
        <w:rPr>
          <w:rFonts w:ascii="Calibri" w:hAnsi="Calibri" w:cs="Calibri"/>
          <w:sz w:val="22"/>
          <w:szCs w:val="22"/>
        </w:rPr>
        <w:t xml:space="preserve">burden on health, </w:t>
      </w:r>
      <w:r w:rsidR="00AD6AD6" w:rsidRPr="00D9152B">
        <w:rPr>
          <w:rFonts w:ascii="Calibri" w:hAnsi="Calibri" w:cs="Calibri"/>
          <w:sz w:val="22"/>
          <w:szCs w:val="22"/>
        </w:rPr>
        <w:t>especially</w:t>
      </w:r>
      <w:r w:rsidR="00BC3DCA" w:rsidRPr="00D9152B">
        <w:rPr>
          <w:rFonts w:ascii="Calibri" w:hAnsi="Calibri" w:cs="Calibri"/>
          <w:sz w:val="22"/>
          <w:szCs w:val="22"/>
        </w:rPr>
        <w:t xml:space="preserve"> in Upper Volta, </w:t>
      </w:r>
      <w:r w:rsidR="00AD6AD6" w:rsidRPr="00D9152B">
        <w:rPr>
          <w:rFonts w:ascii="Calibri" w:hAnsi="Calibri" w:cs="Calibri"/>
          <w:sz w:val="22"/>
          <w:szCs w:val="22"/>
        </w:rPr>
        <w:t>but that it was not the highest regional health priority</w:t>
      </w:r>
      <w:r w:rsidR="00BC3DCA" w:rsidRPr="00D9152B">
        <w:rPr>
          <w:rFonts w:ascii="Calibri" w:hAnsi="Calibri" w:cs="Calibri"/>
          <w:sz w:val="22"/>
          <w:szCs w:val="22"/>
        </w:rPr>
        <w:t xml:space="preserve">. </w:t>
      </w:r>
      <w:r w:rsidR="00DA39C0" w:rsidRPr="00D9152B">
        <w:rPr>
          <w:rFonts w:ascii="Calibri" w:hAnsi="Calibri" w:cs="Calibri"/>
          <w:sz w:val="22"/>
          <w:szCs w:val="22"/>
        </w:rPr>
        <w:t>As</w:t>
      </w:r>
      <w:r w:rsidR="00BD580E" w:rsidRPr="00D9152B">
        <w:rPr>
          <w:rFonts w:ascii="Calibri" w:hAnsi="Calibri" w:cs="Calibri"/>
          <w:sz w:val="22"/>
          <w:szCs w:val="22"/>
        </w:rPr>
        <w:t xml:space="preserve"> John Evans, the </w:t>
      </w:r>
      <w:r w:rsidRPr="00D9152B">
        <w:rPr>
          <w:rFonts w:ascii="Calibri" w:hAnsi="Calibri" w:cs="Calibri"/>
          <w:sz w:val="22"/>
          <w:szCs w:val="22"/>
        </w:rPr>
        <w:t>first Director of the Population, Health and Nutrition (PHN)</w:t>
      </w:r>
      <w:r w:rsidR="00BD580E" w:rsidRPr="00D9152B">
        <w:rPr>
          <w:rFonts w:ascii="Calibri" w:hAnsi="Calibri" w:cs="Calibri"/>
          <w:sz w:val="22"/>
          <w:szCs w:val="22"/>
        </w:rPr>
        <w:t xml:space="preserve"> department at the World Bank</w:t>
      </w:r>
      <w:r w:rsidRPr="00D9152B">
        <w:rPr>
          <w:rFonts w:ascii="Calibri" w:hAnsi="Calibri" w:cs="Calibri"/>
          <w:sz w:val="22"/>
          <w:szCs w:val="22"/>
        </w:rPr>
        <w:t xml:space="preserve"> in the early 1980s</w:t>
      </w:r>
      <w:r w:rsidR="00BD580E" w:rsidRPr="00D9152B">
        <w:rPr>
          <w:rFonts w:ascii="Calibri" w:hAnsi="Calibri" w:cs="Calibri"/>
          <w:sz w:val="22"/>
          <w:szCs w:val="22"/>
        </w:rPr>
        <w:t>,</w:t>
      </w:r>
      <w:r w:rsidR="00DA39C0" w:rsidRPr="00D9152B">
        <w:rPr>
          <w:rFonts w:ascii="Calibri" w:hAnsi="Calibri" w:cs="Calibri"/>
          <w:sz w:val="22"/>
          <w:szCs w:val="22"/>
        </w:rPr>
        <w:t xml:space="preserve"> noted,</w:t>
      </w:r>
      <w:r w:rsidR="00BD580E" w:rsidRPr="00D9152B">
        <w:rPr>
          <w:rFonts w:ascii="Calibri" w:hAnsi="Calibri" w:cs="Calibri"/>
          <w:sz w:val="22"/>
          <w:szCs w:val="22"/>
        </w:rPr>
        <w:t xml:space="preserve"> ‘Oncho not very important to health or development in comparison with </w:t>
      </w:r>
      <w:r w:rsidR="00DA39C0" w:rsidRPr="00D9152B">
        <w:rPr>
          <w:rFonts w:ascii="Calibri" w:hAnsi="Calibri" w:cs="Calibri"/>
          <w:sz w:val="22"/>
          <w:szCs w:val="22"/>
        </w:rPr>
        <w:t>Malaria, S</w:t>
      </w:r>
      <w:r w:rsidR="00BD580E" w:rsidRPr="00D9152B">
        <w:rPr>
          <w:rFonts w:ascii="Calibri" w:hAnsi="Calibri" w:cs="Calibri"/>
          <w:sz w:val="22"/>
          <w:szCs w:val="22"/>
        </w:rPr>
        <w:t xml:space="preserve">chistosomiasis, </w:t>
      </w:r>
      <w:r w:rsidR="00DA39C0" w:rsidRPr="00D9152B">
        <w:rPr>
          <w:rFonts w:ascii="Calibri" w:hAnsi="Calibri" w:cs="Calibri"/>
          <w:sz w:val="22"/>
          <w:szCs w:val="22"/>
        </w:rPr>
        <w:lastRenderedPageBreak/>
        <w:t>T</w:t>
      </w:r>
      <w:r w:rsidR="00BD580E" w:rsidRPr="00D9152B">
        <w:rPr>
          <w:rFonts w:ascii="Calibri" w:hAnsi="Calibri" w:cs="Calibri"/>
          <w:sz w:val="22"/>
          <w:szCs w:val="22"/>
        </w:rPr>
        <w:t>rypanosomiasis and general health’.</w:t>
      </w:r>
      <w:r w:rsidR="00BD580E" w:rsidRPr="00D9152B">
        <w:rPr>
          <w:rStyle w:val="FootnoteReference"/>
          <w:rFonts w:ascii="Calibri" w:hAnsi="Calibri" w:cs="Calibri"/>
          <w:sz w:val="22"/>
          <w:szCs w:val="22"/>
        </w:rPr>
        <w:footnoteReference w:id="52"/>
      </w:r>
      <w:r w:rsidR="00BD580E" w:rsidRPr="00D9152B">
        <w:rPr>
          <w:rFonts w:ascii="Calibri" w:hAnsi="Calibri" w:cs="Calibri"/>
          <w:sz w:val="22"/>
          <w:szCs w:val="22"/>
        </w:rPr>
        <w:t xml:space="preserve"> </w:t>
      </w:r>
      <w:r w:rsidR="005E5401" w:rsidRPr="00D9152B">
        <w:rPr>
          <w:rFonts w:ascii="Calibri" w:hAnsi="Calibri" w:cs="Calibri"/>
          <w:sz w:val="22"/>
          <w:szCs w:val="22"/>
        </w:rPr>
        <w:t xml:space="preserve">When discussing the OCP, </w:t>
      </w:r>
      <w:r w:rsidR="009B491E" w:rsidRPr="00D9152B">
        <w:rPr>
          <w:rFonts w:ascii="Calibri" w:hAnsi="Calibri" w:cs="Calibri"/>
          <w:sz w:val="22"/>
          <w:szCs w:val="22"/>
        </w:rPr>
        <w:t>Alexander</w:t>
      </w:r>
      <w:r w:rsidR="002D4F2F" w:rsidRPr="00D9152B">
        <w:rPr>
          <w:rFonts w:ascii="Calibri" w:hAnsi="Calibri" w:cs="Calibri"/>
          <w:sz w:val="22"/>
          <w:szCs w:val="22"/>
        </w:rPr>
        <w:t xml:space="preserve"> Storra</w:t>
      </w:r>
      <w:r w:rsidR="00B05CBF" w:rsidRPr="00D9152B">
        <w:rPr>
          <w:rFonts w:ascii="Calibri" w:hAnsi="Calibri" w:cs="Calibri"/>
          <w:sz w:val="22"/>
          <w:szCs w:val="22"/>
        </w:rPr>
        <w:t xml:space="preserve">r, a Senior Advisor for </w:t>
      </w:r>
      <w:r w:rsidR="00A2292A">
        <w:rPr>
          <w:rFonts w:ascii="Calibri" w:hAnsi="Calibri" w:cs="Calibri"/>
          <w:sz w:val="22"/>
          <w:szCs w:val="22"/>
        </w:rPr>
        <w:t>Sub-Saharan</w:t>
      </w:r>
      <w:r w:rsidR="00B05CBF" w:rsidRPr="00D9152B">
        <w:rPr>
          <w:rFonts w:ascii="Calibri" w:hAnsi="Calibri" w:cs="Calibri"/>
          <w:sz w:val="22"/>
          <w:szCs w:val="22"/>
        </w:rPr>
        <w:t xml:space="preserve"> Africa at the Bank</w:t>
      </w:r>
      <w:r w:rsidR="004074DD" w:rsidRPr="00D9152B">
        <w:rPr>
          <w:rFonts w:ascii="Calibri" w:hAnsi="Calibri" w:cs="Calibri"/>
          <w:sz w:val="22"/>
          <w:szCs w:val="22"/>
        </w:rPr>
        <w:t xml:space="preserve"> in the 1970s</w:t>
      </w:r>
      <w:r w:rsidR="005E5401" w:rsidRPr="00D9152B">
        <w:rPr>
          <w:rFonts w:ascii="Calibri" w:hAnsi="Calibri" w:cs="Calibri"/>
          <w:sz w:val="22"/>
          <w:szCs w:val="22"/>
        </w:rPr>
        <w:t>, later reflected that</w:t>
      </w:r>
      <w:r w:rsidR="004074DD" w:rsidRPr="00D9152B">
        <w:rPr>
          <w:rFonts w:ascii="Calibri" w:hAnsi="Calibri" w:cs="Calibri"/>
          <w:sz w:val="22"/>
          <w:szCs w:val="22"/>
        </w:rPr>
        <w:t xml:space="preserve">: </w:t>
      </w:r>
    </w:p>
    <w:p w14:paraId="072EFBFE" w14:textId="27598BA3" w:rsidR="00EB4914" w:rsidRPr="00CF189D" w:rsidRDefault="004074DD" w:rsidP="00CF189D">
      <w:pPr>
        <w:pStyle w:val="Quote"/>
        <w:rPr>
          <w:i/>
        </w:rPr>
      </w:pPr>
      <w:r w:rsidRPr="00CF189D">
        <w:rPr>
          <w:i/>
          <w:iCs w:val="0"/>
        </w:rPr>
        <w:t>‘I think there are very serious problems. Number one, in consulting particularly th</w:t>
      </w:r>
      <w:r w:rsidR="009B491E" w:rsidRPr="00CF189D">
        <w:rPr>
          <w:i/>
          <w:iCs w:val="0"/>
        </w:rPr>
        <w:t>e headquarters in Upper Volta--now Burkina Faso--</w:t>
      </w:r>
      <w:r w:rsidRPr="00CF189D">
        <w:rPr>
          <w:i/>
          <w:iCs w:val="0"/>
        </w:rPr>
        <w:t>headed, by the way, mainly by very competent Africans, in the international headquarters there, it does seem that there’s no great likelihood that the nations, the individual nations themselves, would give a priority to a policy</w:t>
      </w:r>
      <w:r w:rsidR="009B491E" w:rsidRPr="00CF189D">
        <w:rPr>
          <w:i/>
          <w:iCs w:val="0"/>
        </w:rPr>
        <w:t xml:space="preserve"> [of regional onchocerciasis control] such that reinvasion would not take place. And I would have to go along with this</w:t>
      </w:r>
      <w:r w:rsidRPr="00CF189D">
        <w:rPr>
          <w:i/>
          <w:iCs w:val="0"/>
        </w:rPr>
        <w:t>’</w:t>
      </w:r>
      <w:r w:rsidR="00EB4914">
        <w:rPr>
          <w:i/>
          <w:iCs w:val="0"/>
        </w:rPr>
        <w:t>.</w:t>
      </w:r>
      <w:r w:rsidRPr="00CF189D">
        <w:rPr>
          <w:rStyle w:val="FootnoteReference"/>
          <w:rFonts w:ascii="Calibri" w:hAnsi="Calibri" w:cs="Calibri"/>
          <w:i/>
          <w:iCs w:val="0"/>
          <w:sz w:val="22"/>
          <w:szCs w:val="22"/>
        </w:rPr>
        <w:footnoteReference w:id="53"/>
      </w:r>
      <w:r w:rsidR="00D710B6" w:rsidRPr="00CF189D">
        <w:rPr>
          <w:i/>
          <w:iCs w:val="0"/>
        </w:rPr>
        <w:t xml:space="preserve"> </w:t>
      </w:r>
    </w:p>
    <w:p w14:paraId="48E354EE" w14:textId="314EC3E2" w:rsidR="00C03836" w:rsidRPr="00D9152B" w:rsidRDefault="005051E6" w:rsidP="00CF189D">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 xml:space="preserve">Chapter 4 explores donor and sponsoring agency motivations for investing in the OCP, which were centred at least as much on socio-economic interests as on improving regional health outcomes. </w:t>
      </w:r>
      <w:r w:rsidR="0034332C" w:rsidRPr="00D9152B">
        <w:rPr>
          <w:rFonts w:ascii="Calibri" w:hAnsi="Calibri" w:cs="Calibri"/>
          <w:sz w:val="22"/>
          <w:szCs w:val="22"/>
        </w:rPr>
        <w:t xml:space="preserve"> </w:t>
      </w:r>
    </w:p>
    <w:p w14:paraId="7D6FF969" w14:textId="6C065134" w:rsidR="003C5F00" w:rsidRPr="00D9152B" w:rsidRDefault="00A73E63" w:rsidP="00A73E63">
      <w:pPr>
        <w:pStyle w:val="Heading3"/>
        <w:rPr>
          <w:rFonts w:ascii="Calibri" w:hAnsi="Calibri" w:cs="Calibri"/>
          <w:b/>
          <w:i/>
          <w:color w:val="000000" w:themeColor="text1"/>
          <w:sz w:val="22"/>
          <w:szCs w:val="22"/>
        </w:rPr>
      </w:pPr>
      <w:bookmarkStart w:id="11" w:name="_Toc41505586"/>
      <w:r w:rsidRPr="00D9152B">
        <w:rPr>
          <w:rFonts w:ascii="Calibri" w:hAnsi="Calibri" w:cs="Calibri"/>
          <w:b/>
          <w:i/>
          <w:color w:val="000000" w:themeColor="text1"/>
          <w:sz w:val="22"/>
          <w:szCs w:val="22"/>
        </w:rPr>
        <w:t>1.2.</w:t>
      </w:r>
      <w:r w:rsidR="001B06C7" w:rsidRPr="00D9152B">
        <w:rPr>
          <w:rFonts w:ascii="Calibri" w:hAnsi="Calibri" w:cs="Calibri"/>
          <w:b/>
          <w:i/>
          <w:color w:val="000000" w:themeColor="text1"/>
          <w:sz w:val="22"/>
          <w:szCs w:val="22"/>
        </w:rPr>
        <w:t>B</w:t>
      </w:r>
      <w:r w:rsidRPr="00D9152B">
        <w:rPr>
          <w:rFonts w:ascii="Calibri" w:hAnsi="Calibri" w:cs="Calibri"/>
          <w:b/>
          <w:i/>
          <w:color w:val="000000" w:themeColor="text1"/>
          <w:sz w:val="22"/>
          <w:szCs w:val="22"/>
        </w:rPr>
        <w:t>. Major OCP partners and control activities</w:t>
      </w:r>
      <w:bookmarkEnd w:id="11"/>
    </w:p>
    <w:p w14:paraId="6E765ACA" w14:textId="09E6E800" w:rsidR="000E1D4B" w:rsidRPr="00D9152B" w:rsidRDefault="000E1D4B" w:rsidP="00A73E63">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OCP </w:t>
      </w:r>
      <w:r w:rsidR="0034332C" w:rsidRPr="00D9152B">
        <w:rPr>
          <w:rFonts w:ascii="Calibri" w:hAnsi="Calibri" w:cs="Calibri"/>
          <w:sz w:val="22"/>
          <w:szCs w:val="22"/>
        </w:rPr>
        <w:t>formed as</w:t>
      </w:r>
      <w:r w:rsidRPr="00D9152B">
        <w:rPr>
          <w:rFonts w:ascii="Calibri" w:hAnsi="Calibri" w:cs="Calibri"/>
          <w:sz w:val="22"/>
          <w:szCs w:val="22"/>
        </w:rPr>
        <w:t xml:space="preserve"> a coalition of three major types of partners: sponsoring agencies, donors, and participating countries. Four sponsoring agencies coordinated the OCP throughout its operations, from 1974-2002. The WHO served as its executing agency, mostly through its African regional (AFRO) office, and opened an OCP secretariat in Ouagadougou, Burkina Faso</w:t>
      </w:r>
      <w:r w:rsidR="00A73E9C" w:rsidRPr="00D9152B">
        <w:rPr>
          <w:rFonts w:ascii="Calibri" w:hAnsi="Calibri" w:cs="Calibri"/>
          <w:sz w:val="22"/>
          <w:szCs w:val="22"/>
        </w:rPr>
        <w:t xml:space="preserve"> in 1976</w:t>
      </w:r>
      <w:r w:rsidRPr="00D9152B">
        <w:rPr>
          <w:rFonts w:ascii="Calibri" w:hAnsi="Calibri" w:cs="Calibri"/>
          <w:sz w:val="22"/>
          <w:szCs w:val="22"/>
        </w:rPr>
        <w:t xml:space="preserve">. The Bank took the role of fiscal agency, </w:t>
      </w:r>
      <w:r w:rsidR="00A73E63" w:rsidRPr="00D9152B">
        <w:rPr>
          <w:rFonts w:ascii="Calibri" w:hAnsi="Calibri" w:cs="Calibri"/>
          <w:sz w:val="22"/>
          <w:szCs w:val="22"/>
        </w:rPr>
        <w:t xml:space="preserve">including </w:t>
      </w:r>
      <w:r w:rsidRPr="00D9152B">
        <w:rPr>
          <w:rFonts w:ascii="Calibri" w:hAnsi="Calibri" w:cs="Calibri"/>
          <w:sz w:val="22"/>
          <w:szCs w:val="22"/>
        </w:rPr>
        <w:t>fundraising, serving as trustee of programme funds, and releasing funds to the WHO for implementation.</w:t>
      </w:r>
      <w:r w:rsidRPr="00D9152B">
        <w:rPr>
          <w:rStyle w:val="FootnoteReference"/>
          <w:rFonts w:ascii="Calibri" w:hAnsi="Calibri" w:cs="Calibri"/>
          <w:sz w:val="22"/>
          <w:szCs w:val="22"/>
        </w:rPr>
        <w:footnoteReference w:id="54"/>
      </w:r>
      <w:r w:rsidRPr="00D9152B">
        <w:rPr>
          <w:rFonts w:ascii="Calibri" w:hAnsi="Calibri" w:cs="Calibri"/>
          <w:sz w:val="22"/>
          <w:szCs w:val="22"/>
        </w:rPr>
        <w:t xml:space="preserve"> The UNDP and FAO were primarily involved with planning and coordinating activities related to the development of onchocerciasis-freed lands. A total of 20 donors</w:t>
      </w:r>
      <w:r w:rsidR="00A73E9C" w:rsidRPr="00D9152B">
        <w:rPr>
          <w:rFonts w:ascii="Calibri" w:hAnsi="Calibri" w:cs="Calibri"/>
          <w:sz w:val="22"/>
          <w:szCs w:val="22"/>
        </w:rPr>
        <w:t>, the majority of whom were bilateral donors,</w:t>
      </w:r>
      <w:r w:rsidR="003D48C9" w:rsidRPr="00D9152B">
        <w:rPr>
          <w:rFonts w:ascii="Calibri" w:hAnsi="Calibri" w:cs="Calibri"/>
          <w:sz w:val="22"/>
          <w:szCs w:val="22"/>
        </w:rPr>
        <w:t xml:space="preserve"> ultimately</w:t>
      </w:r>
      <w:r w:rsidRPr="00D9152B">
        <w:rPr>
          <w:rFonts w:ascii="Calibri" w:hAnsi="Calibri" w:cs="Calibri"/>
          <w:sz w:val="22"/>
          <w:szCs w:val="22"/>
        </w:rPr>
        <w:t xml:space="preserve"> financed the OCP</w:t>
      </w:r>
      <w:r w:rsidR="00A73E9C" w:rsidRPr="00D9152B">
        <w:rPr>
          <w:rFonts w:ascii="Calibri" w:hAnsi="Calibri" w:cs="Calibri"/>
          <w:sz w:val="22"/>
          <w:szCs w:val="22"/>
        </w:rPr>
        <w:t xml:space="preserve"> by contributing to a Bank-held trust fund</w:t>
      </w:r>
      <w:r w:rsidRPr="00D9152B">
        <w:rPr>
          <w:rFonts w:ascii="Calibri" w:hAnsi="Calibri" w:cs="Calibri"/>
          <w:sz w:val="22"/>
          <w:szCs w:val="22"/>
        </w:rPr>
        <w:t>.</w:t>
      </w:r>
      <w:r w:rsidRPr="00D9152B">
        <w:rPr>
          <w:rStyle w:val="FootnoteReference"/>
          <w:rFonts w:ascii="Calibri" w:hAnsi="Calibri" w:cs="Calibri"/>
          <w:sz w:val="22"/>
          <w:szCs w:val="22"/>
        </w:rPr>
        <w:footnoteReference w:id="55"/>
      </w:r>
      <w:r w:rsidRPr="00D9152B">
        <w:rPr>
          <w:rFonts w:ascii="Calibri" w:hAnsi="Calibri" w:cs="Calibri"/>
          <w:sz w:val="22"/>
          <w:szCs w:val="22"/>
        </w:rPr>
        <w:t xml:space="preserve"> </w:t>
      </w:r>
    </w:p>
    <w:p w14:paraId="4D85DDCF" w14:textId="2985B4A1" w:rsidR="000E1D4B" w:rsidRPr="00D9152B" w:rsidRDefault="004C45F6" w:rsidP="000E1D4B">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When</w:t>
      </w:r>
      <w:r w:rsidR="000E1D4B" w:rsidRPr="00D9152B">
        <w:rPr>
          <w:rFonts w:ascii="Calibri" w:hAnsi="Calibri" w:cs="Calibri"/>
          <w:sz w:val="22"/>
          <w:szCs w:val="22"/>
        </w:rPr>
        <w:t xml:space="preserve"> </w:t>
      </w:r>
      <w:r w:rsidR="00A73E9C" w:rsidRPr="00D9152B">
        <w:rPr>
          <w:rFonts w:ascii="Calibri" w:hAnsi="Calibri" w:cs="Calibri"/>
          <w:sz w:val="22"/>
          <w:szCs w:val="22"/>
        </w:rPr>
        <w:t xml:space="preserve">these </w:t>
      </w:r>
      <w:r w:rsidR="000E1D4B" w:rsidRPr="00D9152B">
        <w:rPr>
          <w:rFonts w:ascii="Calibri" w:hAnsi="Calibri" w:cs="Calibri"/>
          <w:sz w:val="22"/>
          <w:szCs w:val="22"/>
        </w:rPr>
        <w:t>partners signed the Onchocerciasis Fund Agreement in 1974</w:t>
      </w:r>
      <w:r w:rsidRPr="00D9152B">
        <w:rPr>
          <w:rFonts w:ascii="Calibri" w:hAnsi="Calibri" w:cs="Calibri"/>
          <w:sz w:val="22"/>
          <w:szCs w:val="22"/>
        </w:rPr>
        <w:t>, the OCP was officially launched</w:t>
      </w:r>
      <w:r w:rsidR="000E1D4B" w:rsidRPr="00D9152B">
        <w:rPr>
          <w:rFonts w:ascii="Calibri" w:hAnsi="Calibri" w:cs="Calibri"/>
          <w:sz w:val="22"/>
          <w:szCs w:val="22"/>
        </w:rPr>
        <w:t xml:space="preserve">. </w:t>
      </w:r>
      <w:r w:rsidR="00A73E9C" w:rsidRPr="00D9152B">
        <w:rPr>
          <w:rFonts w:ascii="Calibri" w:hAnsi="Calibri" w:cs="Calibri"/>
          <w:sz w:val="22"/>
          <w:szCs w:val="22"/>
        </w:rPr>
        <w:t xml:space="preserve">It primarily focused on the Volta River basin, which was considered the worst nexus of onchocerciasis-related blindness in the world. </w:t>
      </w:r>
      <w:r w:rsidR="003D48C9" w:rsidRPr="00D9152B">
        <w:rPr>
          <w:rFonts w:ascii="Calibri" w:hAnsi="Calibri" w:cs="Calibri"/>
          <w:sz w:val="22"/>
          <w:szCs w:val="22"/>
        </w:rPr>
        <w:t xml:space="preserve">By 1975, </w:t>
      </w:r>
      <w:r w:rsidR="00A73E9C" w:rsidRPr="00D9152B">
        <w:rPr>
          <w:rFonts w:ascii="Calibri" w:hAnsi="Calibri" w:cs="Calibri"/>
          <w:sz w:val="22"/>
          <w:szCs w:val="22"/>
        </w:rPr>
        <w:t xml:space="preserve">the </w:t>
      </w:r>
      <w:r w:rsidR="00A73E9C" w:rsidRPr="00D9152B">
        <w:rPr>
          <w:rFonts w:ascii="Calibri" w:hAnsi="Calibri" w:cs="Calibri"/>
          <w:sz w:val="22"/>
          <w:szCs w:val="22"/>
        </w:rPr>
        <w:lastRenderedPageBreak/>
        <w:t>programme</w:t>
      </w:r>
      <w:r w:rsidR="003D48C9" w:rsidRPr="00D9152B">
        <w:rPr>
          <w:rFonts w:ascii="Calibri" w:hAnsi="Calibri" w:cs="Calibri"/>
          <w:sz w:val="22"/>
          <w:szCs w:val="22"/>
        </w:rPr>
        <w:t xml:space="preserve"> </w:t>
      </w:r>
      <w:r w:rsidR="0034332C" w:rsidRPr="00D9152B">
        <w:rPr>
          <w:rFonts w:ascii="Calibri" w:hAnsi="Calibri" w:cs="Calibri"/>
          <w:sz w:val="22"/>
          <w:szCs w:val="22"/>
        </w:rPr>
        <w:t xml:space="preserve">began </w:t>
      </w:r>
      <w:r w:rsidR="003D48C9" w:rsidRPr="00D9152B">
        <w:rPr>
          <w:rFonts w:ascii="Calibri" w:hAnsi="Calibri" w:cs="Calibri"/>
          <w:sz w:val="22"/>
          <w:szCs w:val="22"/>
        </w:rPr>
        <w:t xml:space="preserve">larvicide </w:t>
      </w:r>
      <w:r w:rsidR="000E1D4B" w:rsidRPr="00D9152B">
        <w:rPr>
          <w:rFonts w:ascii="Calibri" w:hAnsi="Calibri" w:cs="Calibri"/>
          <w:sz w:val="22"/>
          <w:szCs w:val="22"/>
        </w:rPr>
        <w:t>spraying operations in seven participating countries: Upper Volta, Dahomey (</w:t>
      </w:r>
      <w:r w:rsidR="0052142C">
        <w:rPr>
          <w:rFonts w:ascii="Calibri" w:hAnsi="Calibri" w:cs="Calibri"/>
          <w:sz w:val="22"/>
          <w:szCs w:val="22"/>
        </w:rPr>
        <w:t xml:space="preserve">modern </w:t>
      </w:r>
      <w:r w:rsidR="000E1D4B" w:rsidRPr="00D9152B">
        <w:rPr>
          <w:rFonts w:ascii="Calibri" w:hAnsi="Calibri" w:cs="Calibri"/>
          <w:sz w:val="22"/>
          <w:szCs w:val="22"/>
        </w:rPr>
        <w:t xml:space="preserve">Benin), Mali, Niger, Ghana, Togo, and Cote d’Ivoire. After recognizing that the ecological zones of black fly populations in the original control zone extended beyond these regions (meaning that there were problems with reinvasion of black flies), the programme was expanded into southern Cote d’Ivoire in 1977, and then into Senegal, the Gambia, and Guinea in 1986 (the ‘Senegambia Expansion’, Figure </w:t>
      </w:r>
      <w:r w:rsidR="0052142C">
        <w:rPr>
          <w:rFonts w:ascii="Calibri" w:hAnsi="Calibri" w:cs="Calibri"/>
          <w:sz w:val="22"/>
          <w:szCs w:val="22"/>
        </w:rPr>
        <w:t>1.</w:t>
      </w:r>
      <w:r w:rsidR="001107A6" w:rsidRPr="00D9152B">
        <w:rPr>
          <w:rFonts w:ascii="Calibri" w:hAnsi="Calibri" w:cs="Calibri"/>
          <w:sz w:val="22"/>
          <w:szCs w:val="22"/>
        </w:rPr>
        <w:t>5</w:t>
      </w:r>
      <w:r w:rsidR="000E1D4B" w:rsidRPr="00D9152B">
        <w:rPr>
          <w:rFonts w:ascii="Calibri" w:hAnsi="Calibri" w:cs="Calibri"/>
          <w:sz w:val="22"/>
          <w:szCs w:val="22"/>
        </w:rPr>
        <w:t>).</w:t>
      </w:r>
      <w:r w:rsidR="000E1D4B" w:rsidRPr="00D9152B">
        <w:rPr>
          <w:rStyle w:val="FootnoteReference"/>
          <w:rFonts w:ascii="Calibri" w:hAnsi="Calibri" w:cs="Calibri"/>
          <w:sz w:val="22"/>
          <w:szCs w:val="22"/>
        </w:rPr>
        <w:footnoteReference w:id="56"/>
      </w:r>
      <w:r w:rsidR="000E1D4B" w:rsidRPr="00D9152B">
        <w:rPr>
          <w:rFonts w:ascii="Calibri" w:hAnsi="Calibri" w:cs="Calibri"/>
          <w:sz w:val="22"/>
          <w:szCs w:val="22"/>
        </w:rPr>
        <w:t xml:space="preserve"> </w:t>
      </w:r>
    </w:p>
    <w:p w14:paraId="239B33BB" w14:textId="77777777" w:rsidR="000E1D4B" w:rsidRPr="00D9152B" w:rsidRDefault="000E1D4B" w:rsidP="000E1D4B">
      <w:pPr>
        <w:jc w:val="both"/>
        <w:rPr>
          <w:rFonts w:ascii="Calibri" w:hAnsi="Calibri" w:cs="Calibri"/>
          <w:b/>
          <w:color w:val="808080" w:themeColor="background1" w:themeShade="80"/>
        </w:rPr>
      </w:pPr>
      <w:r w:rsidRPr="00D9152B">
        <w:rPr>
          <w:rFonts w:ascii="Calibri" w:hAnsi="Calibri" w:cs="Calibri"/>
          <w:noProof/>
          <w:color w:val="808080" w:themeColor="background1" w:themeShade="80"/>
          <w:lang w:eastAsia="en-GB"/>
        </w:rPr>
        <w:drawing>
          <wp:inline distT="0" distB="0" distL="0" distR="0" wp14:anchorId="1F5F426D" wp14:editId="1C7C070C">
            <wp:extent cx="5217459" cy="30278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36016" cy="3038574"/>
                    </a:xfrm>
                    <a:prstGeom prst="rect">
                      <a:avLst/>
                    </a:prstGeom>
                    <a:noFill/>
                    <a:ln>
                      <a:noFill/>
                    </a:ln>
                  </pic:spPr>
                </pic:pic>
              </a:graphicData>
            </a:graphic>
          </wp:inline>
        </w:drawing>
      </w:r>
    </w:p>
    <w:p w14:paraId="141C4522" w14:textId="77777777" w:rsidR="000E1D4B" w:rsidRPr="00D9152B" w:rsidRDefault="000E1D4B" w:rsidP="000E1D4B">
      <w:pPr>
        <w:jc w:val="both"/>
        <w:rPr>
          <w:rFonts w:ascii="Calibri" w:hAnsi="Calibri" w:cs="Calibri"/>
          <w:color w:val="808080" w:themeColor="background1" w:themeShade="80"/>
          <w:sz w:val="22"/>
          <w:szCs w:val="22"/>
        </w:rPr>
      </w:pPr>
    </w:p>
    <w:p w14:paraId="1B94E5AC" w14:textId="0D049669" w:rsidR="000E1D4B" w:rsidRPr="00D9152B" w:rsidRDefault="000E1D4B" w:rsidP="000E1D4B">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52142C">
        <w:rPr>
          <w:rFonts w:ascii="Calibri" w:hAnsi="Calibri" w:cs="Calibri"/>
          <w:color w:val="808080" w:themeColor="background1" w:themeShade="80"/>
          <w:sz w:val="22"/>
          <w:szCs w:val="22"/>
        </w:rPr>
        <w:t>1.</w:t>
      </w:r>
      <w:r w:rsidR="001107A6" w:rsidRPr="00D9152B">
        <w:rPr>
          <w:rFonts w:ascii="Calibri" w:hAnsi="Calibri" w:cs="Calibri"/>
          <w:color w:val="808080" w:themeColor="background1" w:themeShade="80"/>
          <w:sz w:val="22"/>
          <w:szCs w:val="22"/>
        </w:rPr>
        <w:t>5</w:t>
      </w:r>
      <w:r w:rsidRPr="00D9152B">
        <w:rPr>
          <w:rFonts w:ascii="Calibri" w:hAnsi="Calibri" w:cs="Calibri"/>
          <w:color w:val="808080" w:themeColor="background1" w:themeShade="80"/>
          <w:sz w:val="22"/>
          <w:szCs w:val="22"/>
        </w:rPr>
        <w:t>. The original OCP area and extensions ultimately covered portions of 11 countries in West Africa, including 10 Francophone countries and one Anglophone country (Ghana).</w:t>
      </w:r>
      <w:r w:rsidRPr="00D9152B">
        <w:rPr>
          <w:rStyle w:val="FootnoteReference"/>
          <w:rFonts w:ascii="Calibri" w:hAnsi="Calibri" w:cs="Calibri"/>
          <w:color w:val="808080" w:themeColor="background1" w:themeShade="80"/>
          <w:sz w:val="22"/>
          <w:szCs w:val="22"/>
        </w:rPr>
        <w:footnoteReference w:id="57"/>
      </w:r>
    </w:p>
    <w:p w14:paraId="395E5DAE" w14:textId="7C41C807" w:rsidR="003D48C9" w:rsidRPr="00D9152B" w:rsidRDefault="00EA3CCA" w:rsidP="00766EFA">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For the programme’s first fifteen years, its operational strategy focused on aerial spraying of insecticides in strategically-located river</w:t>
      </w:r>
      <w:r w:rsidR="001107A6" w:rsidRPr="00D9152B">
        <w:rPr>
          <w:rFonts w:ascii="Calibri" w:hAnsi="Calibri" w:cs="Calibri"/>
          <w:sz w:val="22"/>
          <w:szCs w:val="22"/>
        </w:rPr>
        <w:t xml:space="preserve"> basins</w:t>
      </w:r>
      <w:r w:rsidRPr="00D9152B">
        <w:rPr>
          <w:rFonts w:ascii="Calibri" w:hAnsi="Calibri" w:cs="Calibri"/>
          <w:sz w:val="22"/>
          <w:szCs w:val="22"/>
        </w:rPr>
        <w:t xml:space="preserve"> across the OCP area. The OCP area was divided into regional zones, which were sprayed cyclically to kill black fly larvae at their breeding sites. </w:t>
      </w:r>
      <w:r w:rsidR="005602AC" w:rsidRPr="00D9152B">
        <w:rPr>
          <w:rFonts w:ascii="Calibri" w:hAnsi="Calibri" w:cs="Calibri"/>
          <w:sz w:val="22"/>
          <w:szCs w:val="22"/>
        </w:rPr>
        <w:t xml:space="preserve">In addition to these aerial operations, </w:t>
      </w:r>
      <w:r w:rsidR="008D5FD4" w:rsidRPr="00D9152B">
        <w:rPr>
          <w:rFonts w:ascii="Calibri" w:hAnsi="Calibri" w:cs="Calibri"/>
          <w:sz w:val="22"/>
          <w:szCs w:val="22"/>
        </w:rPr>
        <w:t xml:space="preserve">major </w:t>
      </w:r>
      <w:r w:rsidR="005602AC" w:rsidRPr="00D9152B">
        <w:rPr>
          <w:rFonts w:ascii="Calibri" w:hAnsi="Calibri" w:cs="Calibri"/>
          <w:sz w:val="22"/>
          <w:szCs w:val="22"/>
        </w:rPr>
        <w:t>programme activities included ecological monitoring; epidemiological monitoring;</w:t>
      </w:r>
      <w:r w:rsidR="000D21E8" w:rsidRPr="00D9152B">
        <w:rPr>
          <w:rFonts w:ascii="Calibri" w:hAnsi="Calibri" w:cs="Calibri"/>
          <w:sz w:val="22"/>
          <w:szCs w:val="22"/>
        </w:rPr>
        <w:t xml:space="preserve"> black fly (vector) monitoring;</w:t>
      </w:r>
      <w:r w:rsidR="005602AC" w:rsidRPr="00D9152B">
        <w:rPr>
          <w:rFonts w:ascii="Calibri" w:hAnsi="Calibri" w:cs="Calibri"/>
          <w:sz w:val="22"/>
          <w:szCs w:val="22"/>
        </w:rPr>
        <w:t xml:space="preserve"> </w:t>
      </w:r>
      <w:r w:rsidR="008D5FD4" w:rsidRPr="00D9152B">
        <w:rPr>
          <w:rFonts w:ascii="Calibri" w:hAnsi="Calibri" w:cs="Calibri"/>
          <w:sz w:val="22"/>
          <w:szCs w:val="22"/>
        </w:rPr>
        <w:t xml:space="preserve">socio-economic surveys of OCP lands; </w:t>
      </w:r>
      <w:r w:rsidR="005602AC" w:rsidRPr="00D9152B">
        <w:rPr>
          <w:rFonts w:ascii="Calibri" w:hAnsi="Calibri" w:cs="Calibri"/>
          <w:sz w:val="22"/>
          <w:szCs w:val="22"/>
        </w:rPr>
        <w:t>insecticide development and vector control research activities (to address potential future vector resistance issues, which had plagued malaria eradication initiatives in the 1960s); and anti-parasite drug development research.</w:t>
      </w:r>
      <w:r w:rsidR="00766EFA" w:rsidRPr="00D9152B">
        <w:rPr>
          <w:rFonts w:ascii="Calibri" w:hAnsi="Calibri" w:cs="Calibri"/>
          <w:sz w:val="22"/>
          <w:szCs w:val="22"/>
        </w:rPr>
        <w:t xml:space="preserve"> </w:t>
      </w:r>
      <w:r w:rsidR="00766EFA" w:rsidRPr="00D9152B">
        <w:rPr>
          <w:rFonts w:ascii="Calibri" w:hAnsi="Calibri" w:cs="Calibri"/>
          <w:sz w:val="22"/>
          <w:szCs w:val="22"/>
        </w:rPr>
        <w:lastRenderedPageBreak/>
        <w:t>By the mid-1980s, vector and epidemiological surveillance</w:t>
      </w:r>
      <w:r w:rsidR="005602AC" w:rsidRPr="00D9152B">
        <w:rPr>
          <w:rFonts w:ascii="Calibri" w:hAnsi="Calibri" w:cs="Calibri"/>
          <w:sz w:val="22"/>
          <w:szCs w:val="22"/>
        </w:rPr>
        <w:t xml:space="preserve"> </w:t>
      </w:r>
      <w:r w:rsidR="00766EFA" w:rsidRPr="00D9152B">
        <w:rPr>
          <w:rFonts w:ascii="Calibri" w:hAnsi="Calibri" w:cs="Calibri"/>
          <w:sz w:val="22"/>
          <w:szCs w:val="22"/>
        </w:rPr>
        <w:t>revealed that most areas would have to be sprayed for fifteen years, in order to prevent black fly reproduction long enough to break the parasite transmission cycle. Later that decade</w:t>
      </w:r>
      <w:r w:rsidR="005602AC" w:rsidRPr="00D9152B">
        <w:rPr>
          <w:rFonts w:ascii="Calibri" w:hAnsi="Calibri" w:cs="Calibri"/>
          <w:sz w:val="22"/>
          <w:szCs w:val="22"/>
        </w:rPr>
        <w:t xml:space="preserve">, the operational strategy began to shift, when </w:t>
      </w:r>
      <w:r w:rsidR="008D5FD4" w:rsidRPr="00D9152B">
        <w:rPr>
          <w:rFonts w:ascii="Calibri" w:hAnsi="Calibri" w:cs="Calibri"/>
          <w:sz w:val="22"/>
          <w:szCs w:val="22"/>
        </w:rPr>
        <w:t>a microfilaricide</w:t>
      </w:r>
      <w:r w:rsidR="005602AC" w:rsidRPr="00D9152B">
        <w:rPr>
          <w:rFonts w:ascii="Calibri" w:hAnsi="Calibri" w:cs="Calibri"/>
          <w:sz w:val="22"/>
          <w:szCs w:val="22"/>
        </w:rPr>
        <w:t xml:space="preserve"> – ivermectin – emerged as a</w:t>
      </w:r>
      <w:r w:rsidR="000D21E8" w:rsidRPr="00D9152B">
        <w:rPr>
          <w:rFonts w:ascii="Calibri" w:hAnsi="Calibri" w:cs="Calibri"/>
          <w:sz w:val="22"/>
          <w:szCs w:val="22"/>
        </w:rPr>
        <w:t xml:space="preserve"> candidate for preventative mass-drug administration. </w:t>
      </w:r>
      <w:r w:rsidR="00766EFA" w:rsidRPr="00D9152B">
        <w:rPr>
          <w:rFonts w:ascii="Calibri" w:hAnsi="Calibri" w:cs="Calibri"/>
          <w:sz w:val="22"/>
          <w:szCs w:val="22"/>
        </w:rPr>
        <w:t xml:space="preserve">Aerial </w:t>
      </w:r>
      <w:r w:rsidR="000D21E8" w:rsidRPr="00D9152B">
        <w:rPr>
          <w:rFonts w:ascii="Calibri" w:hAnsi="Calibri" w:cs="Calibri"/>
          <w:sz w:val="22"/>
          <w:szCs w:val="22"/>
        </w:rPr>
        <w:t>spraying began winding-down</w:t>
      </w:r>
      <w:r w:rsidR="00766EFA" w:rsidRPr="00D9152B">
        <w:rPr>
          <w:rFonts w:ascii="Calibri" w:hAnsi="Calibri" w:cs="Calibri"/>
          <w:sz w:val="22"/>
          <w:szCs w:val="22"/>
        </w:rPr>
        <w:t xml:space="preserve"> in the 1990s</w:t>
      </w:r>
      <w:r w:rsidR="000D21E8" w:rsidRPr="00D9152B">
        <w:rPr>
          <w:rFonts w:ascii="Calibri" w:hAnsi="Calibri" w:cs="Calibri"/>
          <w:sz w:val="22"/>
          <w:szCs w:val="22"/>
        </w:rPr>
        <w:t xml:space="preserve">, and </w:t>
      </w:r>
      <w:r w:rsidR="00D71B9C" w:rsidRPr="00D9152B">
        <w:rPr>
          <w:rFonts w:ascii="Calibri" w:hAnsi="Calibri" w:cs="Calibri"/>
          <w:sz w:val="22"/>
          <w:szCs w:val="22"/>
        </w:rPr>
        <w:t>drug distribution was scaled-up</w:t>
      </w:r>
      <w:r w:rsidR="00766EFA" w:rsidRPr="00D9152B">
        <w:rPr>
          <w:rFonts w:ascii="Calibri" w:hAnsi="Calibri" w:cs="Calibri"/>
          <w:sz w:val="22"/>
          <w:szCs w:val="22"/>
        </w:rPr>
        <w:t>. The OCP first coordinated ivermectin distribution through mobile teams, and later, in collaboration with non-governmental organizations (NGOs), pioneered community-directed distribution.</w:t>
      </w:r>
      <w:r w:rsidR="00766EFA" w:rsidRPr="00D9152B">
        <w:rPr>
          <w:rStyle w:val="FootnoteReference"/>
          <w:rFonts w:ascii="Calibri" w:hAnsi="Calibri" w:cs="Calibri"/>
        </w:rPr>
        <w:footnoteReference w:id="58"/>
      </w:r>
      <w:r w:rsidR="00766EFA" w:rsidRPr="00D9152B">
        <w:rPr>
          <w:rFonts w:ascii="Calibri" w:hAnsi="Calibri" w:cs="Calibri"/>
          <w:sz w:val="22"/>
          <w:szCs w:val="22"/>
        </w:rPr>
        <w:t xml:space="preserve"> </w:t>
      </w:r>
    </w:p>
    <w:p w14:paraId="190031F0" w14:textId="4BC30456" w:rsidR="009E5F04" w:rsidRPr="00D9152B" w:rsidRDefault="000E1D4B" w:rsidP="009E5F04">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In terms of its size, the OCP was </w:t>
      </w:r>
      <w:r w:rsidR="0052142C">
        <w:rPr>
          <w:rFonts w:ascii="Calibri" w:hAnsi="Calibri" w:cs="Calibri"/>
          <w:sz w:val="22"/>
          <w:szCs w:val="22"/>
        </w:rPr>
        <w:t xml:space="preserve">also </w:t>
      </w:r>
      <w:r w:rsidRPr="00D9152B">
        <w:rPr>
          <w:rFonts w:ascii="Calibri" w:hAnsi="Calibri" w:cs="Calibri"/>
          <w:sz w:val="22"/>
          <w:szCs w:val="22"/>
        </w:rPr>
        <w:t>a pioneering programme – it was the largest regional programme</w:t>
      </w:r>
      <w:r w:rsidR="00783875">
        <w:rPr>
          <w:rFonts w:ascii="Calibri" w:hAnsi="Calibri" w:cs="Calibri"/>
          <w:sz w:val="22"/>
          <w:szCs w:val="22"/>
        </w:rPr>
        <w:t xml:space="preserve"> in the United Nations system</w:t>
      </w:r>
      <w:r w:rsidRPr="00D9152B">
        <w:rPr>
          <w:rFonts w:ascii="Calibri" w:hAnsi="Calibri" w:cs="Calibri"/>
          <w:sz w:val="22"/>
          <w:szCs w:val="22"/>
        </w:rPr>
        <w:t xml:space="preserve"> when it began, covering an area more than twice the size of France.</w:t>
      </w:r>
      <w:r w:rsidRPr="00D9152B">
        <w:rPr>
          <w:rStyle w:val="FootnoteReference"/>
          <w:rFonts w:ascii="Calibri" w:hAnsi="Calibri" w:cs="Calibri"/>
          <w:sz w:val="22"/>
          <w:szCs w:val="22"/>
        </w:rPr>
        <w:footnoteReference w:id="59"/>
      </w:r>
      <w:r w:rsidRPr="00D9152B">
        <w:rPr>
          <w:rFonts w:ascii="Calibri" w:hAnsi="Calibri" w:cs="Calibri"/>
          <w:sz w:val="22"/>
          <w:szCs w:val="22"/>
        </w:rPr>
        <w:t xml:space="preserve"> It </w:t>
      </w:r>
      <w:r w:rsidR="0052142C">
        <w:rPr>
          <w:rFonts w:ascii="Calibri" w:hAnsi="Calibri" w:cs="Calibri"/>
          <w:sz w:val="22"/>
          <w:szCs w:val="22"/>
        </w:rPr>
        <w:t>was</w:t>
      </w:r>
      <w:r w:rsidRPr="00D9152B">
        <w:rPr>
          <w:rFonts w:ascii="Calibri" w:hAnsi="Calibri" w:cs="Calibri"/>
          <w:sz w:val="22"/>
          <w:szCs w:val="22"/>
        </w:rPr>
        <w:t xml:space="preserve"> the first of three </w:t>
      </w:r>
      <w:r w:rsidR="0052142C">
        <w:rPr>
          <w:rFonts w:ascii="Calibri" w:hAnsi="Calibri" w:cs="Calibri"/>
          <w:sz w:val="22"/>
          <w:szCs w:val="22"/>
        </w:rPr>
        <w:t>large-scale regional</w:t>
      </w:r>
      <w:r w:rsidRPr="00D9152B">
        <w:rPr>
          <w:rFonts w:ascii="Calibri" w:hAnsi="Calibri" w:cs="Calibri"/>
          <w:sz w:val="22"/>
          <w:szCs w:val="22"/>
        </w:rPr>
        <w:t xml:space="preserve"> river blindness control schemes in West Africa. In 1995, the WHO initiated a follow-up programme to the OCP, which expanded its </w:t>
      </w:r>
      <w:r w:rsidR="00766EFA" w:rsidRPr="00D9152B">
        <w:rPr>
          <w:rFonts w:ascii="Calibri" w:hAnsi="Calibri" w:cs="Calibri"/>
          <w:sz w:val="22"/>
          <w:szCs w:val="22"/>
        </w:rPr>
        <w:t xml:space="preserve">ivermectin distribution </w:t>
      </w:r>
      <w:r w:rsidRPr="00D9152B">
        <w:rPr>
          <w:rFonts w:ascii="Calibri" w:hAnsi="Calibri" w:cs="Calibri"/>
          <w:sz w:val="22"/>
          <w:szCs w:val="22"/>
        </w:rPr>
        <w:t>operations to 31 countries. This programme, the African Programme for Onchocerciasis Control (APOC, 1995-2015), is also widely considered a success</w:t>
      </w:r>
      <w:r w:rsidR="00A61662" w:rsidRPr="00D9152B">
        <w:rPr>
          <w:rFonts w:ascii="Calibri" w:hAnsi="Calibri" w:cs="Calibri"/>
          <w:sz w:val="22"/>
          <w:szCs w:val="22"/>
        </w:rPr>
        <w:t>ful disease control programme</w:t>
      </w:r>
      <w:r w:rsidRPr="00D9152B">
        <w:rPr>
          <w:rFonts w:ascii="Calibri" w:hAnsi="Calibri" w:cs="Calibri"/>
          <w:sz w:val="22"/>
          <w:szCs w:val="22"/>
        </w:rPr>
        <w:t>.</w:t>
      </w:r>
      <w:r w:rsidRPr="00D9152B">
        <w:rPr>
          <w:rStyle w:val="FootnoteReference"/>
          <w:rFonts w:ascii="Calibri" w:hAnsi="Calibri" w:cs="Calibri"/>
          <w:sz w:val="22"/>
          <w:szCs w:val="22"/>
        </w:rPr>
        <w:footnoteReference w:id="60"/>
      </w:r>
      <w:r w:rsidRPr="00D9152B">
        <w:rPr>
          <w:rFonts w:ascii="Calibri" w:hAnsi="Calibri" w:cs="Calibri"/>
          <w:sz w:val="22"/>
          <w:szCs w:val="22"/>
        </w:rPr>
        <w:t xml:space="preserve"> More recently, the WHO launched the Expanded Special </w:t>
      </w:r>
      <w:r w:rsidR="00A66EAE" w:rsidRPr="00D9152B">
        <w:rPr>
          <w:rFonts w:ascii="Calibri" w:hAnsi="Calibri" w:cs="Calibri"/>
          <w:sz w:val="22"/>
          <w:szCs w:val="22"/>
        </w:rPr>
        <w:t>Project for Elimination of</w:t>
      </w:r>
      <w:r w:rsidRPr="00D9152B">
        <w:rPr>
          <w:rFonts w:ascii="Calibri" w:hAnsi="Calibri" w:cs="Calibri"/>
          <w:sz w:val="22"/>
          <w:szCs w:val="22"/>
        </w:rPr>
        <w:t xml:space="preserve"> Neglected Tropical Diseases (ESPEN)</w:t>
      </w:r>
      <w:r w:rsidR="00A61662" w:rsidRPr="00D9152B">
        <w:rPr>
          <w:rFonts w:ascii="Calibri" w:hAnsi="Calibri" w:cs="Calibri"/>
          <w:sz w:val="22"/>
          <w:szCs w:val="22"/>
        </w:rPr>
        <w:t xml:space="preserve"> in 2016</w:t>
      </w:r>
      <w:r w:rsidRPr="00D9152B">
        <w:rPr>
          <w:rFonts w:ascii="Calibri" w:hAnsi="Calibri" w:cs="Calibri"/>
          <w:sz w:val="22"/>
          <w:szCs w:val="22"/>
        </w:rPr>
        <w:t>, which</w:t>
      </w:r>
      <w:r w:rsidR="00A61662" w:rsidRPr="00D9152B">
        <w:rPr>
          <w:rFonts w:ascii="Calibri" w:hAnsi="Calibri" w:cs="Calibri"/>
          <w:sz w:val="22"/>
          <w:szCs w:val="22"/>
        </w:rPr>
        <w:t xml:space="preserve"> distributes drugs for both onchocerciasis and </w:t>
      </w:r>
      <w:r w:rsidRPr="00D9152B">
        <w:rPr>
          <w:rFonts w:ascii="Calibri" w:hAnsi="Calibri" w:cs="Calibri"/>
          <w:sz w:val="22"/>
          <w:szCs w:val="22"/>
        </w:rPr>
        <w:t>additional NTDs.</w:t>
      </w:r>
      <w:r w:rsidRPr="00D9152B">
        <w:rPr>
          <w:rStyle w:val="FootnoteReference"/>
          <w:rFonts w:ascii="Calibri" w:hAnsi="Calibri" w:cs="Calibri"/>
          <w:sz w:val="22"/>
          <w:szCs w:val="22"/>
        </w:rPr>
        <w:footnoteReference w:id="61"/>
      </w:r>
      <w:r w:rsidRPr="00D9152B">
        <w:rPr>
          <w:rFonts w:ascii="Calibri" w:hAnsi="Calibri" w:cs="Calibri"/>
          <w:sz w:val="22"/>
          <w:szCs w:val="22"/>
        </w:rPr>
        <w:t xml:space="preserve"> As of 2017, 1 billion tablets of ivermectin had been donated from the pharmaceutical company Merck &amp; Co. and distributed to Africans through the OCP, </w:t>
      </w:r>
      <w:r w:rsidR="00A66EAE" w:rsidRPr="00D9152B">
        <w:rPr>
          <w:rFonts w:ascii="Calibri" w:hAnsi="Calibri" w:cs="Calibri"/>
          <w:sz w:val="22"/>
          <w:szCs w:val="22"/>
        </w:rPr>
        <w:t>the African Programme for Onchocerciasis Control</w:t>
      </w:r>
      <w:r w:rsidRPr="00D9152B">
        <w:rPr>
          <w:rFonts w:ascii="Calibri" w:hAnsi="Calibri" w:cs="Calibri"/>
          <w:sz w:val="22"/>
          <w:szCs w:val="22"/>
        </w:rPr>
        <w:t xml:space="preserve">, </w:t>
      </w:r>
      <w:r w:rsidR="00A66EAE" w:rsidRPr="00D9152B">
        <w:rPr>
          <w:rFonts w:ascii="Calibri" w:hAnsi="Calibri" w:cs="Calibri"/>
          <w:sz w:val="22"/>
          <w:szCs w:val="22"/>
        </w:rPr>
        <w:t>the Expanded Special Project</w:t>
      </w:r>
      <w:r w:rsidRPr="00D9152B">
        <w:rPr>
          <w:rFonts w:ascii="Calibri" w:hAnsi="Calibri" w:cs="Calibri"/>
          <w:sz w:val="22"/>
          <w:szCs w:val="22"/>
        </w:rPr>
        <w:t>, and related programmes.</w:t>
      </w:r>
      <w:r w:rsidRPr="00D9152B">
        <w:rPr>
          <w:rStyle w:val="FootnoteReference"/>
          <w:rFonts w:ascii="Calibri" w:hAnsi="Calibri" w:cs="Calibri"/>
          <w:sz w:val="22"/>
          <w:szCs w:val="22"/>
        </w:rPr>
        <w:footnoteReference w:id="62"/>
      </w:r>
      <w:r w:rsidR="00766EFA" w:rsidRPr="00D9152B">
        <w:rPr>
          <w:rFonts w:ascii="Calibri" w:hAnsi="Calibri" w:cs="Calibri"/>
          <w:sz w:val="22"/>
          <w:szCs w:val="22"/>
        </w:rPr>
        <w:t xml:space="preserve"> Figures </w:t>
      </w:r>
      <w:r w:rsidR="0052142C">
        <w:rPr>
          <w:rFonts w:ascii="Calibri" w:hAnsi="Calibri" w:cs="Calibri"/>
          <w:sz w:val="22"/>
          <w:szCs w:val="22"/>
        </w:rPr>
        <w:t>1.</w:t>
      </w:r>
      <w:r w:rsidR="001107A6" w:rsidRPr="00D9152B">
        <w:rPr>
          <w:rFonts w:ascii="Calibri" w:hAnsi="Calibri" w:cs="Calibri"/>
          <w:sz w:val="22"/>
          <w:szCs w:val="22"/>
        </w:rPr>
        <w:t>6</w:t>
      </w:r>
      <w:r w:rsidR="00766EFA" w:rsidRPr="00D9152B">
        <w:rPr>
          <w:rFonts w:ascii="Calibri" w:hAnsi="Calibri" w:cs="Calibri"/>
          <w:sz w:val="22"/>
          <w:szCs w:val="22"/>
        </w:rPr>
        <w:t xml:space="preserve"> and </w:t>
      </w:r>
      <w:r w:rsidR="0052142C">
        <w:rPr>
          <w:rFonts w:ascii="Calibri" w:hAnsi="Calibri" w:cs="Calibri"/>
          <w:sz w:val="22"/>
          <w:szCs w:val="22"/>
        </w:rPr>
        <w:t>1.</w:t>
      </w:r>
      <w:r w:rsidR="001107A6" w:rsidRPr="00D9152B">
        <w:rPr>
          <w:rFonts w:ascii="Calibri" w:hAnsi="Calibri" w:cs="Calibri"/>
          <w:sz w:val="22"/>
          <w:szCs w:val="22"/>
        </w:rPr>
        <w:t xml:space="preserve">7 </w:t>
      </w:r>
      <w:r w:rsidR="00766EFA" w:rsidRPr="00D9152B">
        <w:rPr>
          <w:rFonts w:ascii="Calibri" w:hAnsi="Calibri" w:cs="Calibri"/>
          <w:sz w:val="22"/>
          <w:szCs w:val="22"/>
        </w:rPr>
        <w:t xml:space="preserve">contextualise </w:t>
      </w:r>
      <w:r w:rsidR="00C77E5C" w:rsidRPr="00D9152B">
        <w:rPr>
          <w:rFonts w:ascii="Calibri" w:hAnsi="Calibri" w:cs="Calibri"/>
          <w:sz w:val="22"/>
          <w:szCs w:val="22"/>
        </w:rPr>
        <w:t>the OCP’s operations within wider river</w:t>
      </w:r>
      <w:r w:rsidR="00783875">
        <w:rPr>
          <w:rFonts w:ascii="Calibri" w:hAnsi="Calibri" w:cs="Calibri"/>
          <w:sz w:val="22"/>
          <w:szCs w:val="22"/>
        </w:rPr>
        <w:t xml:space="preserve"> </w:t>
      </w:r>
      <w:r w:rsidR="00C77E5C" w:rsidRPr="00D9152B">
        <w:rPr>
          <w:rFonts w:ascii="Calibri" w:hAnsi="Calibri" w:cs="Calibri"/>
          <w:sz w:val="22"/>
          <w:szCs w:val="22"/>
        </w:rPr>
        <w:t>blindness control activities that occurred before, during, and after the programm</w:t>
      </w:r>
      <w:r w:rsidR="00B86D8C" w:rsidRPr="00D9152B">
        <w:rPr>
          <w:rFonts w:ascii="Calibri" w:hAnsi="Calibri" w:cs="Calibri"/>
          <w:sz w:val="22"/>
          <w:szCs w:val="22"/>
        </w:rPr>
        <w:t>e.</w:t>
      </w:r>
    </w:p>
    <w:p w14:paraId="6F8E0666" w14:textId="0E38FEBA" w:rsidR="009E5F04" w:rsidRPr="00CF189D" w:rsidRDefault="00AF05DD" w:rsidP="00AF05DD">
      <w:pPr>
        <w:spacing w:before="100" w:beforeAutospacing="1" w:after="100" w:afterAutospacing="1" w:line="360" w:lineRule="auto"/>
        <w:ind w:firstLine="720"/>
        <w:rPr>
          <w:rFonts w:ascii="Calibri" w:hAnsi="Calibri" w:cs="Calibri"/>
          <w:sz w:val="22"/>
          <w:szCs w:val="22"/>
        </w:rPr>
        <w:sectPr w:rsidR="009E5F04" w:rsidRPr="00CF189D" w:rsidSect="00BF09D2">
          <w:footnotePr>
            <w:numRestart w:val="eachSect"/>
          </w:footnotePr>
          <w:pgSz w:w="11906" w:h="16838"/>
          <w:pgMar w:top="1134" w:right="1558" w:bottom="2268" w:left="2268" w:header="708" w:footer="708" w:gutter="0"/>
          <w:cols w:space="708"/>
          <w:docGrid w:linePitch="360"/>
        </w:sectPr>
      </w:pPr>
      <w:r w:rsidRPr="00D9152B">
        <w:rPr>
          <w:rFonts w:ascii="Calibri" w:hAnsi="Calibri" w:cs="Calibri"/>
          <w:sz w:val="22"/>
          <w:szCs w:val="22"/>
        </w:rPr>
        <w:lastRenderedPageBreak/>
        <w:t xml:space="preserve">The OCP was the Bank’s first investment in a stand-alone health programme, and is frequently presented as a </w:t>
      </w:r>
      <w:r w:rsidRPr="00D9152B">
        <w:rPr>
          <w:rFonts w:ascii="Calibri" w:hAnsi="Calibri" w:cs="Calibri"/>
          <w:i/>
          <w:sz w:val="22"/>
          <w:szCs w:val="22"/>
        </w:rPr>
        <w:t xml:space="preserve">Bank </w:t>
      </w:r>
      <w:r w:rsidRPr="00D9152B">
        <w:rPr>
          <w:rFonts w:ascii="Calibri" w:hAnsi="Calibri" w:cs="Calibri"/>
          <w:sz w:val="22"/>
          <w:szCs w:val="22"/>
        </w:rPr>
        <w:t>success. It also spans pivotal years in the Bank’s health programming, from its emphases on ‘health components’ lending (1970s) through structural adjustment (late 1980s) and the rise of public-private partnerships (1990s and early 2000s).</w:t>
      </w:r>
      <w:r>
        <w:rPr>
          <w:rFonts w:ascii="Calibri" w:hAnsi="Calibri" w:cs="Calibri"/>
          <w:sz w:val="22"/>
          <w:szCs w:val="22"/>
        </w:rPr>
        <w:t xml:space="preserve"> This dissertation focuses on the Bank’s role during the OCP, as a sponsoring agency heavily involved in</w:t>
      </w:r>
      <w:r w:rsidR="00A07F95">
        <w:rPr>
          <w:rFonts w:ascii="Calibri" w:hAnsi="Calibri" w:cs="Calibri"/>
          <w:sz w:val="22"/>
          <w:szCs w:val="22"/>
        </w:rPr>
        <w:t xml:space="preserve"> producing and</w:t>
      </w:r>
      <w:r>
        <w:rPr>
          <w:rFonts w:ascii="Calibri" w:hAnsi="Calibri" w:cs="Calibri"/>
          <w:sz w:val="22"/>
          <w:szCs w:val="22"/>
        </w:rPr>
        <w:t xml:space="preserve"> promoting OCP metrics and success narratives. Chapter 3 further situates the Bank’s pivotal role during the OCP. </w:t>
      </w:r>
    </w:p>
    <w:p w14:paraId="6AB946C2" w14:textId="7E44BCA5" w:rsidR="00B71F78" w:rsidRPr="00D9152B" w:rsidRDefault="003C5F00" w:rsidP="00562F38">
      <w:pPr>
        <w:spacing w:before="100" w:beforeAutospacing="1" w:after="100" w:afterAutospacing="1"/>
        <w:ind w:firstLine="720"/>
        <w:jc w:val="center"/>
        <w:rPr>
          <w:rFonts w:ascii="Calibri" w:hAnsi="Calibri" w:cs="Calibri"/>
          <w:sz w:val="22"/>
          <w:szCs w:val="22"/>
        </w:rPr>
      </w:pPr>
      <w:r w:rsidRPr="00D9152B">
        <w:rPr>
          <w:rFonts w:ascii="Calibri" w:hAnsi="Calibri" w:cs="Calibri"/>
          <w:noProof/>
          <w:lang w:eastAsia="en-GB"/>
        </w:rPr>
        <w:lastRenderedPageBreak/>
        <w:drawing>
          <wp:inline distT="0" distB="0" distL="0" distR="0" wp14:anchorId="6E49EC6B" wp14:editId="7515AB55">
            <wp:extent cx="8452918" cy="3598816"/>
            <wp:effectExtent l="0" t="0" r="5715" b="0"/>
            <wp:docPr id="109" name="Chart 109" descr="Line chart that plots each project on the corresponding timeframe." title="Project Timeline"/>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9974AC4" w14:textId="395CB8FF" w:rsidR="00B86D8C" w:rsidRPr="00D9152B" w:rsidRDefault="009C6643" w:rsidP="00562F38">
      <w:pPr>
        <w:ind w:left="720"/>
        <w:jc w:val="both"/>
        <w:rPr>
          <w:rFonts w:ascii="Calibri" w:hAnsi="Calibri" w:cs="Calibri"/>
          <w:sz w:val="22"/>
          <w:szCs w:val="22"/>
        </w:rPr>
      </w:pPr>
      <w:r w:rsidRPr="00D9152B">
        <w:rPr>
          <w:rFonts w:ascii="Calibri" w:hAnsi="Calibri" w:cs="Calibri"/>
          <w:color w:val="808080" w:themeColor="background1" w:themeShade="80"/>
          <w:sz w:val="22"/>
          <w:szCs w:val="22"/>
        </w:rPr>
        <w:t xml:space="preserve">Figure </w:t>
      </w:r>
      <w:r w:rsidR="0052142C">
        <w:rPr>
          <w:rFonts w:ascii="Calibri" w:hAnsi="Calibri" w:cs="Calibri"/>
          <w:color w:val="808080" w:themeColor="background1" w:themeShade="80"/>
          <w:sz w:val="22"/>
          <w:szCs w:val="22"/>
        </w:rPr>
        <w:t>1.</w:t>
      </w:r>
      <w:r w:rsidR="001107A6" w:rsidRPr="00D9152B">
        <w:rPr>
          <w:rFonts w:ascii="Calibri" w:hAnsi="Calibri" w:cs="Calibri"/>
          <w:color w:val="808080" w:themeColor="background1" w:themeShade="80"/>
          <w:sz w:val="22"/>
          <w:szCs w:val="22"/>
        </w:rPr>
        <w:t>6</w:t>
      </w:r>
      <w:r w:rsidR="003C5F00" w:rsidRPr="00D9152B">
        <w:rPr>
          <w:rFonts w:ascii="Calibri" w:hAnsi="Calibri" w:cs="Calibri"/>
          <w:color w:val="808080" w:themeColor="background1" w:themeShade="80"/>
          <w:sz w:val="22"/>
          <w:szCs w:val="22"/>
        </w:rPr>
        <w:t>. Key events in onchocerciasis control before the OCP, including transmission understandings (red), vector control activities (blue), and major international meetings (green</w:t>
      </w:r>
      <w:r w:rsidR="002B0285" w:rsidRPr="00D9152B">
        <w:rPr>
          <w:rFonts w:ascii="Calibri" w:hAnsi="Calibri" w:cs="Calibri"/>
          <w:color w:val="808080" w:themeColor="background1" w:themeShade="80"/>
          <w:sz w:val="22"/>
          <w:szCs w:val="22"/>
        </w:rPr>
        <w:t>)</w:t>
      </w:r>
      <w:r w:rsidR="003C5F00" w:rsidRPr="00D9152B">
        <w:rPr>
          <w:rFonts w:ascii="Calibri" w:hAnsi="Calibri" w:cs="Calibri"/>
          <w:color w:val="808080" w:themeColor="background1" w:themeShade="80"/>
          <w:sz w:val="22"/>
          <w:szCs w:val="22"/>
        </w:rPr>
        <w:t>.</w:t>
      </w:r>
      <w:r w:rsidR="00562F38" w:rsidRPr="00D9152B">
        <w:rPr>
          <w:rStyle w:val="FootnoteReference"/>
          <w:rFonts w:ascii="Calibri" w:hAnsi="Calibri" w:cs="Calibri"/>
          <w:color w:val="808080" w:themeColor="background1" w:themeShade="80"/>
        </w:rPr>
        <w:footnoteReference w:customMarkFollows="1" w:id="63"/>
        <w:t>63</w:t>
      </w:r>
      <w:r w:rsidR="003C5F00" w:rsidRPr="00D9152B">
        <w:rPr>
          <w:rFonts w:ascii="Calibri" w:hAnsi="Calibri" w:cs="Calibri"/>
          <w:color w:val="808080" w:themeColor="background1" w:themeShade="80"/>
          <w:sz w:val="22"/>
          <w:szCs w:val="22"/>
        </w:rPr>
        <w:t xml:space="preserve"> [ORSTOM </w:t>
      </w:r>
      <w:r w:rsidR="003C5F00" w:rsidRPr="000C0532">
        <w:rPr>
          <w:rFonts w:ascii="Calibri" w:hAnsi="Calibri" w:cs="Calibri"/>
          <w:color w:val="808080" w:themeColor="background1" w:themeShade="80"/>
          <w:sz w:val="22"/>
          <w:szCs w:val="22"/>
        </w:rPr>
        <w:t xml:space="preserve">is the </w:t>
      </w:r>
      <w:r w:rsidR="000C0532" w:rsidRPr="000C0532">
        <w:rPr>
          <w:rFonts w:ascii="Calibri" w:hAnsi="Calibri" w:cs="Calibri"/>
          <w:color w:val="808080" w:themeColor="background1" w:themeShade="80"/>
        </w:rPr>
        <w:t>Office de la recherché scientifique et technique outre-mer</w:t>
      </w:r>
      <w:r w:rsidR="0028715E" w:rsidRPr="000C0532">
        <w:rPr>
          <w:rFonts w:ascii="Calibri" w:hAnsi="Calibri" w:cs="Calibri"/>
          <w:color w:val="808080" w:themeColor="background1" w:themeShade="80"/>
          <w:sz w:val="22"/>
          <w:szCs w:val="22"/>
        </w:rPr>
        <w:t xml:space="preserve">, </w:t>
      </w:r>
      <w:r w:rsidR="003C5F00" w:rsidRPr="000C0532">
        <w:rPr>
          <w:rFonts w:ascii="Calibri" w:hAnsi="Calibri" w:cs="Calibri"/>
          <w:color w:val="808080" w:themeColor="background1" w:themeShade="80"/>
          <w:sz w:val="22"/>
          <w:szCs w:val="22"/>
        </w:rPr>
        <w:t>OCCGE is the Organization for Coordination and Cooperation in the Control of Major Endemic Disease</w:t>
      </w:r>
      <w:r w:rsidR="000E1D4B" w:rsidRPr="000C0532">
        <w:rPr>
          <w:rFonts w:ascii="Calibri" w:hAnsi="Calibri" w:cs="Calibri"/>
          <w:color w:val="808080" w:themeColor="background1" w:themeShade="80"/>
          <w:sz w:val="22"/>
          <w:szCs w:val="22"/>
        </w:rPr>
        <w:t>s</w:t>
      </w:r>
      <w:r w:rsidR="0028715E" w:rsidRPr="000C0532">
        <w:rPr>
          <w:rFonts w:ascii="Calibri" w:hAnsi="Calibri" w:cs="Calibri"/>
          <w:color w:val="808080" w:themeColor="background1" w:themeShade="80"/>
          <w:sz w:val="22"/>
          <w:szCs w:val="22"/>
        </w:rPr>
        <w:t xml:space="preserve">, and DRC is the Democratic Republic of the </w:t>
      </w:r>
      <w:r w:rsidR="0028715E" w:rsidRPr="00D9152B">
        <w:rPr>
          <w:rFonts w:ascii="Calibri" w:hAnsi="Calibri" w:cs="Calibri"/>
          <w:color w:val="808080" w:themeColor="background1" w:themeShade="80"/>
          <w:sz w:val="22"/>
          <w:szCs w:val="22"/>
        </w:rPr>
        <w:t>Congo.</w:t>
      </w:r>
      <w:r w:rsidR="000E1D4B" w:rsidRPr="00D9152B">
        <w:rPr>
          <w:rFonts w:ascii="Calibri" w:hAnsi="Calibri" w:cs="Calibri"/>
          <w:color w:val="808080" w:themeColor="background1" w:themeShade="80"/>
          <w:sz w:val="22"/>
          <w:szCs w:val="22"/>
        </w:rPr>
        <w:t>]</w:t>
      </w:r>
      <w:bookmarkStart w:id="12" w:name="_Toc10822788"/>
    </w:p>
    <w:p w14:paraId="6DF395D7" w14:textId="45182EE6" w:rsidR="009E5F04" w:rsidRPr="00D9152B" w:rsidRDefault="00791A5A" w:rsidP="00562F38">
      <w:pPr>
        <w:jc w:val="both"/>
        <w:rPr>
          <w:rFonts w:ascii="Calibri" w:hAnsi="Calibri" w:cs="Calibri"/>
          <w:color w:val="808080" w:themeColor="background1" w:themeShade="80"/>
          <w:sz w:val="22"/>
          <w:szCs w:val="22"/>
        </w:rPr>
      </w:pPr>
      <w:r w:rsidRPr="00D9152B">
        <w:rPr>
          <w:rFonts w:ascii="Calibri" w:hAnsi="Calibri" w:cs="Calibri"/>
          <w:noProof/>
          <w:lang w:eastAsia="en-GB"/>
        </w:rPr>
        <w:lastRenderedPageBreak/>
        <w:drawing>
          <wp:inline distT="0" distB="0" distL="0" distR="0" wp14:anchorId="68B1E2FF" wp14:editId="160BDDA6">
            <wp:extent cx="8809789" cy="4037845"/>
            <wp:effectExtent l="0" t="0" r="4445" b="1270"/>
            <wp:docPr id="114" name="Chart 114" descr="Line chart that plots each project on the corresponding timeframe." title="Project Timeline"/>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12"/>
      <w:r w:rsidRPr="00D9152B">
        <w:rPr>
          <w:rFonts w:ascii="Calibri" w:hAnsi="Calibri" w:cs="Calibri"/>
          <w:color w:val="808080" w:themeColor="background1" w:themeShade="80"/>
          <w:sz w:val="22"/>
          <w:szCs w:val="22"/>
        </w:rPr>
        <w:t xml:space="preserve">Figure </w:t>
      </w:r>
      <w:r w:rsidR="001107A6" w:rsidRPr="00D9152B">
        <w:rPr>
          <w:rFonts w:ascii="Calibri" w:hAnsi="Calibri" w:cs="Calibri"/>
          <w:color w:val="808080" w:themeColor="background1" w:themeShade="80"/>
          <w:sz w:val="22"/>
          <w:szCs w:val="22"/>
        </w:rPr>
        <w:t>7.</w:t>
      </w:r>
      <w:r w:rsidRPr="00D9152B">
        <w:rPr>
          <w:rFonts w:ascii="Calibri" w:hAnsi="Calibri" w:cs="Calibri"/>
          <w:color w:val="808080" w:themeColor="background1" w:themeShade="80"/>
          <w:sz w:val="22"/>
          <w:szCs w:val="22"/>
        </w:rPr>
        <w:t xml:space="preserve"> Timeline of major OCP events and onchocerciasis-relevant events since its conclusion.</w:t>
      </w:r>
      <w:r w:rsidR="00BC3FAB" w:rsidRPr="00D9152B">
        <w:rPr>
          <w:rFonts w:ascii="Calibri" w:hAnsi="Calibri" w:cs="Calibri"/>
          <w:color w:val="808080" w:themeColor="background1" w:themeShade="80"/>
          <w:sz w:val="22"/>
          <w:szCs w:val="22"/>
        </w:rPr>
        <w:t xml:space="preserve"> [NGDO is non-governmental development organization.]</w:t>
      </w:r>
      <w:r w:rsidR="00562F38" w:rsidRPr="00D9152B">
        <w:rPr>
          <w:rStyle w:val="FootnoteReference"/>
          <w:rFonts w:ascii="Calibri" w:hAnsi="Calibri" w:cs="Calibri"/>
          <w:color w:val="808080" w:themeColor="background1" w:themeShade="80"/>
        </w:rPr>
        <w:footnoteReference w:customMarkFollows="1" w:id="64"/>
        <w:t>64</w:t>
      </w:r>
      <w:r w:rsidR="009E5F04" w:rsidRPr="00D9152B">
        <w:rPr>
          <w:rFonts w:ascii="Calibri" w:hAnsi="Calibri" w:cs="Calibri"/>
          <w:color w:val="808080" w:themeColor="background1" w:themeShade="80"/>
          <w:sz w:val="22"/>
          <w:szCs w:val="22"/>
        </w:rPr>
        <w:t xml:space="preserve">     </w:t>
      </w:r>
    </w:p>
    <w:p w14:paraId="0E77FAF1" w14:textId="77777777" w:rsidR="009E5F04" w:rsidRPr="00D9152B" w:rsidRDefault="009E5F04" w:rsidP="009E5F04">
      <w:pPr>
        <w:jc w:val="both"/>
        <w:rPr>
          <w:rStyle w:val="IntenseQuoteChar"/>
          <w:rFonts w:ascii="Calibri" w:hAnsi="Calibri" w:cs="Calibri"/>
          <w:b/>
          <w:i w:val="0"/>
          <w:iCs w:val="0"/>
          <w:color w:val="auto"/>
          <w:sz w:val="26"/>
          <w:szCs w:val="26"/>
        </w:rPr>
        <w:sectPr w:rsidR="009E5F04" w:rsidRPr="00D9152B" w:rsidSect="009E5F04">
          <w:footnotePr>
            <w:numRestart w:val="eachSect"/>
          </w:footnotePr>
          <w:pgSz w:w="16838" w:h="11906" w:orient="landscape"/>
          <w:pgMar w:top="1559" w:right="2268" w:bottom="2268" w:left="1134" w:header="709" w:footer="709" w:gutter="0"/>
          <w:cols w:space="708"/>
          <w:docGrid w:linePitch="360"/>
        </w:sectPr>
      </w:pPr>
    </w:p>
    <w:p w14:paraId="43714460" w14:textId="5C55492C" w:rsidR="00050775" w:rsidRPr="00380D9B" w:rsidRDefault="0009749C" w:rsidP="00380D9B">
      <w:pPr>
        <w:pStyle w:val="Heading2"/>
        <w:rPr>
          <w:rStyle w:val="IntenseQuoteChar"/>
          <w:rFonts w:ascii="Calibri" w:hAnsi="Calibri" w:cs="Calibri"/>
          <w:b/>
          <w:i w:val="0"/>
          <w:iCs w:val="0"/>
          <w:color w:val="auto"/>
          <w:sz w:val="26"/>
          <w:szCs w:val="26"/>
        </w:rPr>
      </w:pPr>
      <w:bookmarkStart w:id="13" w:name="_Toc41505587"/>
      <w:r w:rsidRPr="00380D9B">
        <w:rPr>
          <w:rStyle w:val="IntenseQuoteChar"/>
          <w:rFonts w:ascii="Calibri" w:hAnsi="Calibri" w:cs="Calibri"/>
          <w:b/>
          <w:i w:val="0"/>
          <w:iCs w:val="0"/>
          <w:color w:val="auto"/>
          <w:sz w:val="26"/>
          <w:szCs w:val="26"/>
        </w:rPr>
        <w:lastRenderedPageBreak/>
        <w:t>1.</w:t>
      </w:r>
      <w:r w:rsidR="00C77E5C" w:rsidRPr="00380D9B">
        <w:rPr>
          <w:rStyle w:val="IntenseQuoteChar"/>
          <w:rFonts w:ascii="Calibri" w:hAnsi="Calibri" w:cs="Calibri"/>
          <w:b/>
          <w:i w:val="0"/>
          <w:iCs w:val="0"/>
          <w:color w:val="auto"/>
          <w:sz w:val="26"/>
          <w:szCs w:val="26"/>
        </w:rPr>
        <w:t>3</w:t>
      </w:r>
      <w:r w:rsidR="00EB3737" w:rsidRPr="00380D9B">
        <w:rPr>
          <w:rStyle w:val="IntenseQuoteChar"/>
          <w:rFonts w:ascii="Calibri" w:hAnsi="Calibri" w:cs="Calibri"/>
          <w:b/>
          <w:i w:val="0"/>
          <w:iCs w:val="0"/>
          <w:color w:val="auto"/>
          <w:sz w:val="26"/>
          <w:szCs w:val="26"/>
        </w:rPr>
        <w:t>.</w:t>
      </w:r>
      <w:r w:rsidR="009E5F04" w:rsidRPr="00380D9B">
        <w:rPr>
          <w:rStyle w:val="IntenseQuoteChar"/>
          <w:rFonts w:ascii="Calibri" w:hAnsi="Calibri" w:cs="Calibri"/>
          <w:b/>
          <w:i w:val="0"/>
          <w:iCs w:val="0"/>
          <w:color w:val="auto"/>
          <w:sz w:val="26"/>
          <w:szCs w:val="26"/>
        </w:rPr>
        <w:t xml:space="preserve"> </w:t>
      </w:r>
      <w:r w:rsidR="00C77E5C" w:rsidRPr="00380D9B">
        <w:rPr>
          <w:rStyle w:val="IntenseQuoteChar"/>
          <w:rFonts w:ascii="Calibri" w:hAnsi="Calibri" w:cs="Calibri"/>
          <w:b/>
          <w:i w:val="0"/>
          <w:iCs w:val="0"/>
          <w:color w:val="auto"/>
          <w:sz w:val="26"/>
          <w:szCs w:val="26"/>
        </w:rPr>
        <w:t>Research questions</w:t>
      </w:r>
      <w:bookmarkEnd w:id="13"/>
    </w:p>
    <w:p w14:paraId="53105C67" w14:textId="682D8DB8" w:rsidR="000C7B2A" w:rsidRPr="00D9152B" w:rsidRDefault="000C7B2A"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Since </w:t>
      </w:r>
      <w:r w:rsidR="001107A6" w:rsidRPr="00D9152B">
        <w:rPr>
          <w:rFonts w:ascii="Calibri" w:hAnsi="Calibri" w:cs="Calibri"/>
          <w:sz w:val="22"/>
          <w:szCs w:val="22"/>
        </w:rPr>
        <w:t>1975</w:t>
      </w:r>
      <w:r w:rsidRPr="00D9152B">
        <w:rPr>
          <w:rFonts w:ascii="Calibri" w:hAnsi="Calibri" w:cs="Calibri"/>
          <w:sz w:val="22"/>
          <w:szCs w:val="22"/>
        </w:rPr>
        <w:t>, at least 218 publications, including peer-reviewed articles, books, and grey literature, have directly referred to the OCP and success. Over 80 news articles, magazine stories, blogs, and websites also reference success and the OCP.</w:t>
      </w:r>
      <w:r w:rsidR="00562F38" w:rsidRPr="00D9152B">
        <w:rPr>
          <w:rStyle w:val="FootnoteReference"/>
          <w:rFonts w:ascii="Calibri" w:hAnsi="Calibri" w:cs="Calibri"/>
        </w:rPr>
        <w:footnoteReference w:customMarkFollows="1" w:id="65"/>
        <w:t>65</w:t>
      </w:r>
      <w:r w:rsidRPr="00D9152B">
        <w:rPr>
          <w:rFonts w:ascii="Calibri" w:hAnsi="Calibri" w:cs="Calibri"/>
          <w:sz w:val="22"/>
          <w:szCs w:val="22"/>
        </w:rPr>
        <w:t xml:space="preserve"> And, aspects of programme successes are discussed in hundreds of memoranda, reports, handwritten notes, and draft documents in the World Bank archives. In contrast, a search for secondary articles on the OCP and ‘failure’ identified only one article, although some publications qualified success and discussed areas for OCP improvement.</w:t>
      </w:r>
      <w:r w:rsidR="00562F38" w:rsidRPr="00D9152B">
        <w:rPr>
          <w:rStyle w:val="FootnoteReference"/>
          <w:rFonts w:ascii="Calibri" w:hAnsi="Calibri" w:cs="Calibri"/>
        </w:rPr>
        <w:footnoteReference w:customMarkFollows="1" w:id="66"/>
        <w:t>66</w:t>
      </w:r>
    </w:p>
    <w:p w14:paraId="00FB2104" w14:textId="5AE2E8FF" w:rsidR="003F63E7" w:rsidRPr="00D9152B" w:rsidRDefault="00C77E5C" w:rsidP="00C77E5C">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Rather than viewing the OCP as an un-contestable success, this dissertation considers more broadly what it means to be a success in global health and the complexity that is left behind in triumphalist narratives. I use the OCP as a case study to untangle the concept of ‘success’ and </w:t>
      </w:r>
      <w:r w:rsidR="00F62177" w:rsidRPr="00D9152B">
        <w:rPr>
          <w:rFonts w:ascii="Calibri" w:hAnsi="Calibri" w:cs="Calibri"/>
          <w:sz w:val="22"/>
          <w:szCs w:val="22"/>
        </w:rPr>
        <w:t>reflect on</w:t>
      </w:r>
      <w:r w:rsidRPr="00D9152B">
        <w:rPr>
          <w:rFonts w:ascii="Calibri" w:hAnsi="Calibri" w:cs="Calibri"/>
          <w:sz w:val="22"/>
          <w:szCs w:val="22"/>
        </w:rPr>
        <w:t xml:space="preserve"> the </w:t>
      </w:r>
      <w:r w:rsidR="00F62177" w:rsidRPr="00D9152B">
        <w:rPr>
          <w:rFonts w:ascii="Calibri" w:hAnsi="Calibri" w:cs="Calibri"/>
          <w:sz w:val="22"/>
          <w:szCs w:val="22"/>
        </w:rPr>
        <w:t xml:space="preserve">historical </w:t>
      </w:r>
      <w:r w:rsidRPr="00D9152B">
        <w:rPr>
          <w:rFonts w:ascii="Calibri" w:hAnsi="Calibri" w:cs="Calibri"/>
          <w:sz w:val="22"/>
          <w:szCs w:val="22"/>
        </w:rPr>
        <w:t xml:space="preserve">role of the World Bank in global health. Using a </w:t>
      </w:r>
      <w:r w:rsidR="003A5A87" w:rsidRPr="00D9152B">
        <w:rPr>
          <w:rFonts w:ascii="Calibri" w:hAnsi="Calibri" w:cs="Calibri"/>
          <w:sz w:val="22"/>
          <w:szCs w:val="22"/>
        </w:rPr>
        <w:t>global health governance lens</w:t>
      </w:r>
      <w:r w:rsidRPr="00D9152B">
        <w:rPr>
          <w:rFonts w:ascii="Calibri" w:hAnsi="Calibri" w:cs="Calibri"/>
          <w:sz w:val="22"/>
          <w:szCs w:val="22"/>
        </w:rPr>
        <w:t>, I</w:t>
      </w:r>
      <w:r w:rsidR="003A5A87" w:rsidRPr="00D9152B">
        <w:rPr>
          <w:rFonts w:ascii="Calibri" w:hAnsi="Calibri" w:cs="Calibri"/>
          <w:sz w:val="22"/>
          <w:szCs w:val="22"/>
        </w:rPr>
        <w:t xml:space="preserve"> focus</w:t>
      </w:r>
      <w:r w:rsidR="00763386" w:rsidRPr="00D9152B">
        <w:rPr>
          <w:rFonts w:ascii="Calibri" w:hAnsi="Calibri" w:cs="Calibri"/>
          <w:sz w:val="22"/>
          <w:szCs w:val="22"/>
        </w:rPr>
        <w:t xml:space="preserve"> on </w:t>
      </w:r>
      <w:r w:rsidRPr="00D9152B">
        <w:rPr>
          <w:rFonts w:ascii="Calibri" w:hAnsi="Calibri" w:cs="Calibri"/>
          <w:sz w:val="22"/>
          <w:szCs w:val="22"/>
        </w:rPr>
        <w:t>four</w:t>
      </w:r>
      <w:r w:rsidR="00763386" w:rsidRPr="00D9152B">
        <w:rPr>
          <w:rFonts w:ascii="Calibri" w:hAnsi="Calibri" w:cs="Calibri"/>
          <w:sz w:val="22"/>
          <w:szCs w:val="22"/>
        </w:rPr>
        <w:t xml:space="preserve"> inter-related research questions:</w:t>
      </w:r>
      <w:r w:rsidR="007C4FA3" w:rsidRPr="00D9152B">
        <w:rPr>
          <w:rFonts w:ascii="Calibri" w:hAnsi="Calibri" w:cs="Calibri"/>
          <w:sz w:val="22"/>
          <w:szCs w:val="22"/>
        </w:rPr>
        <w:t xml:space="preserve"> </w:t>
      </w:r>
    </w:p>
    <w:p w14:paraId="7407867D" w14:textId="5FBF584D" w:rsidR="003F63E7" w:rsidRPr="00D9152B" w:rsidRDefault="007C4FA3" w:rsidP="003F63E7">
      <w:pPr>
        <w:pStyle w:val="ListParagraph"/>
        <w:numPr>
          <w:ilvl w:val="0"/>
          <w:numId w:val="5"/>
        </w:num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When did the OCP become a success, and by what definition?</w:t>
      </w:r>
    </w:p>
    <w:p w14:paraId="0936F2DA" w14:textId="77777777" w:rsidR="003F63E7" w:rsidRPr="00D9152B" w:rsidRDefault="007C4FA3" w:rsidP="003F63E7">
      <w:pPr>
        <w:pStyle w:val="ListParagraph"/>
        <w:numPr>
          <w:ilvl w:val="0"/>
          <w:numId w:val="5"/>
        </w:num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In what specific ways has the OCP been seen as a success in global health, by the Bank and more broadly?</w:t>
      </w:r>
    </w:p>
    <w:p w14:paraId="351FB8AD" w14:textId="77777777" w:rsidR="003F63E7" w:rsidRPr="00D9152B" w:rsidRDefault="007C4FA3" w:rsidP="003F63E7">
      <w:pPr>
        <w:pStyle w:val="ListParagraph"/>
        <w:numPr>
          <w:ilvl w:val="0"/>
          <w:numId w:val="5"/>
        </w:num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What complexities does the Bank’s success narrative overlook?</w:t>
      </w:r>
    </w:p>
    <w:p w14:paraId="47BD479E" w14:textId="66E688EC" w:rsidR="00050775" w:rsidRPr="00D9152B" w:rsidRDefault="007C4FA3" w:rsidP="003F63E7">
      <w:pPr>
        <w:pStyle w:val="ListParagraph"/>
        <w:numPr>
          <w:ilvl w:val="0"/>
          <w:numId w:val="5"/>
        </w:num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What is the OCP’s legacy today, in terms of global health financing, priority-setting, and programme delivery?</w:t>
      </w:r>
    </w:p>
    <w:p w14:paraId="04E7385E" w14:textId="0991D27D" w:rsidR="003F63E7" w:rsidRPr="00D9152B" w:rsidRDefault="003A5A87" w:rsidP="003F63E7">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To approach these questions, </w:t>
      </w:r>
      <w:r w:rsidR="003F63E7" w:rsidRPr="00D9152B">
        <w:rPr>
          <w:rFonts w:ascii="Calibri" w:hAnsi="Calibri" w:cs="Calibri"/>
          <w:sz w:val="22"/>
          <w:szCs w:val="22"/>
        </w:rPr>
        <w:t xml:space="preserve">I first define and situate the ‘dominant narrative’ of the OCP, through a literature review of global health community publications. </w:t>
      </w:r>
      <w:r w:rsidR="00D22BB7" w:rsidRPr="00D9152B">
        <w:rPr>
          <w:rFonts w:ascii="Calibri" w:hAnsi="Calibri" w:cs="Calibri"/>
          <w:sz w:val="22"/>
          <w:szCs w:val="22"/>
        </w:rPr>
        <w:t xml:space="preserve">For the purposes of this dissertation, the global health community includes any author specifically referencing the OCP’s success, </w:t>
      </w:r>
      <w:r w:rsidR="00D22BB7" w:rsidRPr="00D9152B">
        <w:rPr>
          <w:rFonts w:ascii="Calibri" w:hAnsi="Calibri" w:cs="Calibri"/>
          <w:i/>
          <w:sz w:val="22"/>
          <w:szCs w:val="22"/>
        </w:rPr>
        <w:t xml:space="preserve">except </w:t>
      </w:r>
      <w:r w:rsidR="00D22BB7" w:rsidRPr="00D9152B">
        <w:rPr>
          <w:rFonts w:ascii="Calibri" w:hAnsi="Calibri" w:cs="Calibri"/>
          <w:sz w:val="22"/>
          <w:szCs w:val="22"/>
        </w:rPr>
        <w:t xml:space="preserve">those </w:t>
      </w:r>
      <w:r w:rsidR="00B327AE" w:rsidRPr="00D9152B">
        <w:rPr>
          <w:rFonts w:ascii="Calibri" w:hAnsi="Calibri" w:cs="Calibri"/>
          <w:sz w:val="22"/>
          <w:szCs w:val="22"/>
        </w:rPr>
        <w:t xml:space="preserve">closely </w:t>
      </w:r>
      <w:r w:rsidR="00D22BB7" w:rsidRPr="00D9152B">
        <w:rPr>
          <w:rFonts w:ascii="Calibri" w:hAnsi="Calibri" w:cs="Calibri"/>
          <w:sz w:val="22"/>
          <w:szCs w:val="22"/>
        </w:rPr>
        <w:t xml:space="preserve">affiliated with the Bank. </w:t>
      </w:r>
      <w:r w:rsidR="003F63E7" w:rsidRPr="00D9152B">
        <w:rPr>
          <w:rFonts w:ascii="Calibri" w:hAnsi="Calibri" w:cs="Calibri"/>
          <w:sz w:val="22"/>
          <w:szCs w:val="22"/>
        </w:rPr>
        <w:t xml:space="preserve">I then </w:t>
      </w:r>
      <w:r w:rsidR="00F62177" w:rsidRPr="00D9152B">
        <w:rPr>
          <w:rFonts w:ascii="Calibri" w:hAnsi="Calibri" w:cs="Calibri"/>
          <w:sz w:val="22"/>
          <w:szCs w:val="22"/>
        </w:rPr>
        <w:t>use Bank-published documents to consider how the success story developed at the Bank</w:t>
      </w:r>
      <w:r w:rsidR="00D22BB7" w:rsidRPr="00D9152B">
        <w:rPr>
          <w:rFonts w:ascii="Calibri" w:hAnsi="Calibri" w:cs="Calibri"/>
          <w:sz w:val="22"/>
          <w:szCs w:val="22"/>
        </w:rPr>
        <w:t>.</w:t>
      </w:r>
      <w:r w:rsidR="00E05856" w:rsidRPr="00D9152B">
        <w:rPr>
          <w:rFonts w:ascii="Calibri" w:hAnsi="Calibri" w:cs="Calibri"/>
          <w:sz w:val="22"/>
          <w:szCs w:val="22"/>
        </w:rPr>
        <w:t xml:space="preserve"> I identify four </w:t>
      </w:r>
      <w:r w:rsidR="003F63E7" w:rsidRPr="00D9152B">
        <w:rPr>
          <w:rFonts w:ascii="Calibri" w:hAnsi="Calibri" w:cs="Calibri"/>
          <w:sz w:val="22"/>
          <w:szCs w:val="22"/>
        </w:rPr>
        <w:t xml:space="preserve">common thematic components of the Bank and global health community’s dominant </w:t>
      </w:r>
      <w:r w:rsidR="008D5FD4" w:rsidRPr="00D9152B">
        <w:rPr>
          <w:rFonts w:ascii="Calibri" w:hAnsi="Calibri" w:cs="Calibri"/>
          <w:sz w:val="22"/>
          <w:szCs w:val="22"/>
        </w:rPr>
        <w:t xml:space="preserve">success </w:t>
      </w:r>
      <w:r w:rsidR="003F63E7" w:rsidRPr="00D9152B">
        <w:rPr>
          <w:rFonts w:ascii="Calibri" w:hAnsi="Calibri" w:cs="Calibri"/>
          <w:sz w:val="22"/>
          <w:szCs w:val="22"/>
        </w:rPr>
        <w:t xml:space="preserve">narratives. Finally, </w:t>
      </w:r>
      <w:r w:rsidR="008D5FD4" w:rsidRPr="00D9152B">
        <w:rPr>
          <w:rFonts w:ascii="Calibri" w:hAnsi="Calibri" w:cs="Calibri"/>
          <w:sz w:val="22"/>
          <w:szCs w:val="22"/>
        </w:rPr>
        <w:t xml:space="preserve">I </w:t>
      </w:r>
      <w:r w:rsidR="003F63E7" w:rsidRPr="00D9152B">
        <w:rPr>
          <w:rFonts w:ascii="Calibri" w:hAnsi="Calibri" w:cs="Calibri"/>
          <w:sz w:val="22"/>
          <w:szCs w:val="22"/>
        </w:rPr>
        <w:t>use archival data from sponsoring agencie</w:t>
      </w:r>
      <w:r w:rsidR="008D5FD4" w:rsidRPr="00D9152B">
        <w:rPr>
          <w:rFonts w:ascii="Calibri" w:hAnsi="Calibri" w:cs="Calibri"/>
          <w:sz w:val="22"/>
          <w:szCs w:val="22"/>
        </w:rPr>
        <w:t>s,</w:t>
      </w:r>
      <w:r w:rsidR="003F63E7" w:rsidRPr="00D9152B">
        <w:rPr>
          <w:rFonts w:ascii="Calibri" w:hAnsi="Calibri" w:cs="Calibri"/>
          <w:sz w:val="22"/>
          <w:szCs w:val="22"/>
        </w:rPr>
        <w:t xml:space="preserve"> a quantitative analysis of Bank financial flows, and targeted oral history interviews</w:t>
      </w:r>
      <w:r w:rsidR="008D5FD4" w:rsidRPr="00D9152B">
        <w:rPr>
          <w:rFonts w:ascii="Calibri" w:hAnsi="Calibri" w:cs="Calibri"/>
          <w:sz w:val="22"/>
          <w:szCs w:val="22"/>
        </w:rPr>
        <w:t>,</w:t>
      </w:r>
      <w:r w:rsidR="003F63E7" w:rsidRPr="00D9152B">
        <w:rPr>
          <w:rFonts w:ascii="Calibri" w:hAnsi="Calibri" w:cs="Calibri"/>
          <w:sz w:val="22"/>
          <w:szCs w:val="22"/>
        </w:rPr>
        <w:t xml:space="preserve"> to </w:t>
      </w:r>
      <w:r w:rsidR="003F63E7" w:rsidRPr="00D9152B">
        <w:rPr>
          <w:rFonts w:ascii="Calibri" w:hAnsi="Calibri" w:cs="Calibri"/>
          <w:sz w:val="22"/>
          <w:szCs w:val="22"/>
        </w:rPr>
        <w:lastRenderedPageBreak/>
        <w:t xml:space="preserve">unpack an </w:t>
      </w:r>
      <w:r w:rsidR="00E05856" w:rsidRPr="00D9152B">
        <w:rPr>
          <w:rFonts w:ascii="Calibri" w:hAnsi="Calibri" w:cs="Calibri"/>
          <w:sz w:val="22"/>
          <w:szCs w:val="22"/>
        </w:rPr>
        <w:t>‘</w:t>
      </w:r>
      <w:r w:rsidR="003F63E7" w:rsidRPr="00D9152B">
        <w:rPr>
          <w:rFonts w:ascii="Calibri" w:hAnsi="Calibri" w:cs="Calibri"/>
          <w:sz w:val="22"/>
          <w:szCs w:val="22"/>
        </w:rPr>
        <w:t>underlying</w:t>
      </w:r>
      <w:r w:rsidR="00E05856" w:rsidRPr="00D9152B">
        <w:rPr>
          <w:rFonts w:ascii="Calibri" w:hAnsi="Calibri" w:cs="Calibri"/>
          <w:sz w:val="22"/>
          <w:szCs w:val="22"/>
        </w:rPr>
        <w:t>’</w:t>
      </w:r>
      <w:r w:rsidR="003F63E7" w:rsidRPr="00D9152B">
        <w:rPr>
          <w:rFonts w:ascii="Calibri" w:hAnsi="Calibri" w:cs="Calibri"/>
          <w:sz w:val="22"/>
          <w:szCs w:val="22"/>
        </w:rPr>
        <w:t xml:space="preserve"> OCP narrative for each of these thematic components.</w:t>
      </w:r>
      <w:r w:rsidR="00E05856" w:rsidRPr="00D9152B">
        <w:rPr>
          <w:rFonts w:ascii="Calibri" w:hAnsi="Calibri" w:cs="Calibri"/>
          <w:sz w:val="22"/>
          <w:szCs w:val="22"/>
        </w:rPr>
        <w:t xml:space="preserve"> This underlying narrative considers the programm</w:t>
      </w:r>
      <w:r w:rsidR="00CF189D">
        <w:rPr>
          <w:rFonts w:ascii="Calibri" w:hAnsi="Calibri" w:cs="Calibri"/>
          <w:sz w:val="22"/>
          <w:szCs w:val="22"/>
        </w:rPr>
        <w:t>e</w:t>
      </w:r>
      <w:r w:rsidR="00E05856" w:rsidRPr="00D9152B">
        <w:rPr>
          <w:rFonts w:ascii="Calibri" w:hAnsi="Calibri" w:cs="Calibri"/>
          <w:sz w:val="22"/>
          <w:szCs w:val="22"/>
        </w:rPr>
        <w:t xml:space="preserve"> </w:t>
      </w:r>
      <w:r w:rsidR="008D5FD4" w:rsidRPr="00D9152B">
        <w:rPr>
          <w:rFonts w:ascii="Calibri" w:hAnsi="Calibri" w:cs="Calibri"/>
          <w:sz w:val="22"/>
          <w:szCs w:val="22"/>
        </w:rPr>
        <w:t xml:space="preserve">players, decisions, and activities </w:t>
      </w:r>
      <w:r w:rsidR="00E05856" w:rsidRPr="00D9152B">
        <w:rPr>
          <w:rFonts w:ascii="Calibri" w:hAnsi="Calibri" w:cs="Calibri"/>
          <w:sz w:val="22"/>
          <w:szCs w:val="22"/>
        </w:rPr>
        <w:t>that have been overlooked by the Bank and global health community’s dominant narrative.</w:t>
      </w:r>
    </w:p>
    <w:p w14:paraId="72A62495" w14:textId="39C3D9DD" w:rsidR="003F63E7" w:rsidRPr="00380D9B" w:rsidRDefault="003F63E7" w:rsidP="00380D9B">
      <w:pPr>
        <w:pStyle w:val="Heading2"/>
        <w:rPr>
          <w:rFonts w:ascii="Calibri" w:hAnsi="Calibri" w:cs="Calibri"/>
          <w:b/>
          <w:sz w:val="26"/>
          <w:szCs w:val="26"/>
        </w:rPr>
      </w:pPr>
      <w:bookmarkStart w:id="14" w:name="_Toc41505588"/>
      <w:r w:rsidRPr="00380D9B">
        <w:rPr>
          <w:rStyle w:val="IntenseQuoteChar"/>
          <w:rFonts w:ascii="Calibri" w:hAnsi="Calibri" w:cs="Calibri"/>
          <w:b/>
          <w:i w:val="0"/>
          <w:iCs w:val="0"/>
          <w:color w:val="auto"/>
          <w:sz w:val="26"/>
          <w:szCs w:val="26"/>
        </w:rPr>
        <w:t>1.4. Dissertation structure</w:t>
      </w:r>
      <w:bookmarkEnd w:id="14"/>
    </w:p>
    <w:p w14:paraId="71B1834A" w14:textId="68E49072" w:rsidR="007949A8" w:rsidRPr="00D9152B" w:rsidRDefault="007949A8" w:rsidP="00E05856">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Figure </w:t>
      </w:r>
      <w:r w:rsidR="0052142C">
        <w:rPr>
          <w:rFonts w:ascii="Calibri" w:hAnsi="Calibri" w:cs="Calibri"/>
          <w:sz w:val="22"/>
          <w:szCs w:val="22"/>
        </w:rPr>
        <w:t>1.</w:t>
      </w:r>
      <w:r w:rsidR="00A66EAE" w:rsidRPr="00D9152B">
        <w:rPr>
          <w:rFonts w:ascii="Calibri" w:hAnsi="Calibri" w:cs="Calibri"/>
          <w:sz w:val="22"/>
          <w:szCs w:val="22"/>
        </w:rPr>
        <w:t>8</w:t>
      </w:r>
      <w:r w:rsidRPr="00D9152B">
        <w:rPr>
          <w:rFonts w:ascii="Calibri" w:hAnsi="Calibri" w:cs="Calibri"/>
          <w:sz w:val="22"/>
          <w:szCs w:val="22"/>
        </w:rPr>
        <w:t xml:space="preserve"> provides guiding questions for each of the forthcoming chapters.</w:t>
      </w:r>
      <w:r w:rsidR="00E05856" w:rsidRPr="00D9152B">
        <w:rPr>
          <w:rFonts w:ascii="Calibri" w:hAnsi="Calibri" w:cs="Calibri"/>
          <w:sz w:val="22"/>
          <w:szCs w:val="22"/>
        </w:rPr>
        <w:t xml:space="preserve"> First, Chapter 2 describes the </w:t>
      </w:r>
      <w:r w:rsidR="008D5FD4" w:rsidRPr="00D9152B">
        <w:rPr>
          <w:rFonts w:ascii="Calibri" w:hAnsi="Calibri" w:cs="Calibri"/>
          <w:sz w:val="22"/>
          <w:szCs w:val="22"/>
        </w:rPr>
        <w:t xml:space="preserve">dissertation’s </w:t>
      </w:r>
      <w:r w:rsidR="00E05856" w:rsidRPr="00D9152B">
        <w:rPr>
          <w:rFonts w:ascii="Calibri" w:hAnsi="Calibri" w:cs="Calibri"/>
          <w:sz w:val="22"/>
          <w:szCs w:val="22"/>
        </w:rPr>
        <w:t xml:space="preserve">methodology and its limitations, and proposes three frameworks that are used to explain success in global health: impact, marketing, and constructivist models. Chapter 3 then focuses on the World Bank’s role in the OCP and its dominant narrative. It contextualizes the OCP within the Bank’s governance structure, and the Bank’s role within the OCP governance structure. The chapter describes when the OCP began to be depicted as a success by the Bank, and </w:t>
      </w:r>
      <w:r w:rsidR="00EE3FAF" w:rsidRPr="00D9152B">
        <w:rPr>
          <w:rFonts w:ascii="Calibri" w:hAnsi="Calibri" w:cs="Calibri"/>
          <w:sz w:val="22"/>
          <w:szCs w:val="22"/>
        </w:rPr>
        <w:t xml:space="preserve">qualitatively and quantitatively </w:t>
      </w:r>
      <w:r w:rsidR="00E05856" w:rsidRPr="00D9152B">
        <w:rPr>
          <w:rFonts w:ascii="Calibri" w:hAnsi="Calibri" w:cs="Calibri"/>
          <w:sz w:val="22"/>
          <w:szCs w:val="22"/>
        </w:rPr>
        <w:t xml:space="preserve">describes </w:t>
      </w:r>
      <w:r w:rsidR="00EE3FAF" w:rsidRPr="00D9152B">
        <w:rPr>
          <w:rFonts w:ascii="Calibri" w:hAnsi="Calibri" w:cs="Calibri"/>
          <w:sz w:val="22"/>
          <w:szCs w:val="22"/>
        </w:rPr>
        <w:t xml:space="preserve">the </w:t>
      </w:r>
      <w:r w:rsidR="00E05856" w:rsidRPr="00D9152B">
        <w:rPr>
          <w:rFonts w:ascii="Calibri" w:hAnsi="Calibri" w:cs="Calibri"/>
          <w:sz w:val="22"/>
          <w:szCs w:val="22"/>
        </w:rPr>
        <w:t>four thematic components of the OCP dominant narrative of success: its justification, financing, partnership, and delivery.</w:t>
      </w:r>
    </w:p>
    <w:p w14:paraId="1611EB27" w14:textId="72D61405" w:rsidR="007949A8" w:rsidRPr="00D9152B" w:rsidRDefault="007949A8" w:rsidP="00562F38">
      <w:pPr>
        <w:ind w:firstLine="720"/>
        <w:rPr>
          <w:rFonts w:ascii="Calibri" w:hAnsi="Calibri" w:cs="Calibri"/>
        </w:rPr>
      </w:pPr>
      <w:r w:rsidRPr="00D9152B">
        <w:rPr>
          <w:rFonts w:ascii="Calibri" w:hAnsi="Calibri" w:cs="Calibri"/>
          <w:noProof/>
          <w:lang w:eastAsia="en-GB"/>
        </w:rPr>
        <w:lastRenderedPageBreak/>
        <w:drawing>
          <wp:inline distT="0" distB="0" distL="0" distR="0" wp14:anchorId="4876F090" wp14:editId="761637E3">
            <wp:extent cx="4603805" cy="4694555"/>
            <wp:effectExtent l="0" t="0" r="19050" b="0"/>
            <wp:docPr id="116" name="Diagram 1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r w:rsidRPr="00D9152B">
        <w:rPr>
          <w:rFonts w:ascii="Calibri" w:hAnsi="Calibri" w:cs="Calibri"/>
          <w:color w:val="808080" w:themeColor="background1" w:themeShade="80"/>
          <w:sz w:val="22"/>
          <w:szCs w:val="22"/>
        </w:rPr>
        <w:t xml:space="preserve">Figure </w:t>
      </w:r>
      <w:r w:rsidR="0052142C">
        <w:rPr>
          <w:rFonts w:ascii="Calibri" w:hAnsi="Calibri" w:cs="Calibri"/>
          <w:color w:val="808080" w:themeColor="background1" w:themeShade="80"/>
          <w:sz w:val="22"/>
          <w:szCs w:val="22"/>
        </w:rPr>
        <w:t>1.</w:t>
      </w:r>
      <w:r w:rsidR="00A66EAE" w:rsidRPr="00D9152B">
        <w:rPr>
          <w:rFonts w:ascii="Calibri" w:hAnsi="Calibri" w:cs="Calibri"/>
          <w:color w:val="808080" w:themeColor="background1" w:themeShade="80"/>
          <w:sz w:val="22"/>
          <w:szCs w:val="22"/>
        </w:rPr>
        <w:t>8</w:t>
      </w:r>
      <w:r w:rsidRPr="00D9152B">
        <w:rPr>
          <w:rFonts w:ascii="Calibri" w:hAnsi="Calibri" w:cs="Calibri"/>
          <w:color w:val="808080" w:themeColor="background1" w:themeShade="80"/>
          <w:sz w:val="22"/>
          <w:szCs w:val="22"/>
        </w:rPr>
        <w:t>. Guiding questions for each upcoming dissertation chapter.</w:t>
      </w:r>
    </w:p>
    <w:p w14:paraId="6C4AAD5C" w14:textId="3F4B4F1C" w:rsidR="003A5A87" w:rsidRPr="00D9152B" w:rsidRDefault="000B6F34" w:rsidP="0018061A">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Chapters 4-8 </w:t>
      </w:r>
      <w:r w:rsidR="004E4040" w:rsidRPr="00D9152B">
        <w:rPr>
          <w:rFonts w:ascii="Calibri" w:hAnsi="Calibri" w:cs="Calibri"/>
          <w:sz w:val="22"/>
          <w:szCs w:val="22"/>
        </w:rPr>
        <w:t>detail</w:t>
      </w:r>
      <w:r w:rsidRPr="00D9152B">
        <w:rPr>
          <w:rFonts w:ascii="Calibri" w:hAnsi="Calibri" w:cs="Calibri"/>
          <w:sz w:val="22"/>
          <w:szCs w:val="22"/>
        </w:rPr>
        <w:t xml:space="preserve"> </w:t>
      </w:r>
      <w:r w:rsidR="000D6F0D" w:rsidRPr="00D9152B">
        <w:rPr>
          <w:rFonts w:ascii="Calibri" w:hAnsi="Calibri" w:cs="Calibri"/>
          <w:sz w:val="22"/>
          <w:szCs w:val="22"/>
        </w:rPr>
        <w:t>underlying</w:t>
      </w:r>
      <w:r w:rsidRPr="00D9152B">
        <w:rPr>
          <w:rFonts w:ascii="Calibri" w:hAnsi="Calibri" w:cs="Calibri"/>
          <w:sz w:val="22"/>
          <w:szCs w:val="22"/>
        </w:rPr>
        <w:t xml:space="preserve"> narratives for each of these </w:t>
      </w:r>
      <w:r w:rsidR="008D5FD4" w:rsidRPr="00D9152B">
        <w:rPr>
          <w:rFonts w:ascii="Calibri" w:hAnsi="Calibri" w:cs="Calibri"/>
          <w:sz w:val="22"/>
          <w:szCs w:val="22"/>
        </w:rPr>
        <w:t xml:space="preserve">thematic </w:t>
      </w:r>
      <w:r w:rsidRPr="00D9152B">
        <w:rPr>
          <w:rFonts w:ascii="Calibri" w:hAnsi="Calibri" w:cs="Calibri"/>
          <w:sz w:val="22"/>
          <w:szCs w:val="22"/>
        </w:rPr>
        <w:t>components of the OCP success story</w:t>
      </w:r>
      <w:r w:rsidR="007844D1" w:rsidRPr="00D9152B">
        <w:rPr>
          <w:rFonts w:ascii="Calibri" w:hAnsi="Calibri" w:cs="Calibri"/>
          <w:sz w:val="22"/>
          <w:szCs w:val="22"/>
        </w:rPr>
        <w:t xml:space="preserve">. </w:t>
      </w:r>
      <w:r w:rsidR="00D22BB7" w:rsidRPr="00D9152B">
        <w:rPr>
          <w:rFonts w:ascii="Calibri" w:hAnsi="Calibri" w:cs="Calibri"/>
          <w:sz w:val="22"/>
          <w:szCs w:val="22"/>
        </w:rPr>
        <w:t xml:space="preserve">Chapter 4 breaks apart the </w:t>
      </w:r>
      <w:r w:rsidR="00EE3FAF" w:rsidRPr="00D9152B">
        <w:rPr>
          <w:rFonts w:ascii="Calibri" w:hAnsi="Calibri" w:cs="Calibri"/>
          <w:sz w:val="22"/>
          <w:szCs w:val="22"/>
        </w:rPr>
        <w:t>first component of the OCP dominant narrative: its</w:t>
      </w:r>
      <w:r w:rsidR="00D22BB7" w:rsidRPr="00D9152B">
        <w:rPr>
          <w:rFonts w:ascii="Calibri" w:hAnsi="Calibri" w:cs="Calibri"/>
          <w:sz w:val="22"/>
          <w:szCs w:val="22"/>
        </w:rPr>
        <w:t xml:space="preserve"> justification. It </w:t>
      </w:r>
      <w:r w:rsidR="009F5661" w:rsidRPr="00D9152B">
        <w:rPr>
          <w:rFonts w:ascii="Calibri" w:hAnsi="Calibri" w:cs="Calibri"/>
          <w:sz w:val="22"/>
          <w:szCs w:val="22"/>
        </w:rPr>
        <w:t>considers</w:t>
      </w:r>
      <w:r w:rsidR="00D22BB7" w:rsidRPr="00D9152B">
        <w:rPr>
          <w:rFonts w:ascii="Calibri" w:hAnsi="Calibri" w:cs="Calibri"/>
          <w:sz w:val="22"/>
          <w:szCs w:val="22"/>
        </w:rPr>
        <w:t xml:space="preserve"> programme’s evolving objectives, and the development of </w:t>
      </w:r>
      <w:r w:rsidR="001A0E9C" w:rsidRPr="00D9152B">
        <w:rPr>
          <w:rFonts w:ascii="Calibri" w:hAnsi="Calibri" w:cs="Calibri"/>
          <w:sz w:val="22"/>
          <w:szCs w:val="22"/>
        </w:rPr>
        <w:t xml:space="preserve">its </w:t>
      </w:r>
      <w:r w:rsidR="00D22BB7" w:rsidRPr="00D9152B">
        <w:rPr>
          <w:rFonts w:ascii="Calibri" w:hAnsi="Calibri" w:cs="Calibri"/>
          <w:sz w:val="22"/>
          <w:szCs w:val="22"/>
        </w:rPr>
        <w:t xml:space="preserve">socio-economic and public health metrics. Chapter 5 describes the OCP’s financing mechanisms, with particular emphasis on the Bank’s administration of the Onchocerciasis Fund (a trust fund) and strategies for </w:t>
      </w:r>
      <w:r w:rsidR="00127D1C" w:rsidRPr="00D9152B">
        <w:rPr>
          <w:rFonts w:ascii="Calibri" w:hAnsi="Calibri" w:cs="Calibri"/>
          <w:sz w:val="22"/>
          <w:szCs w:val="22"/>
        </w:rPr>
        <w:t xml:space="preserve">initiating and </w:t>
      </w:r>
      <w:r w:rsidR="00D22BB7" w:rsidRPr="00D9152B">
        <w:rPr>
          <w:rFonts w:ascii="Calibri" w:hAnsi="Calibri" w:cs="Calibri"/>
          <w:sz w:val="22"/>
          <w:szCs w:val="22"/>
        </w:rPr>
        <w:t xml:space="preserve">maintaining donor interest. </w:t>
      </w:r>
      <w:r w:rsidR="00127D1C" w:rsidRPr="00D9152B">
        <w:rPr>
          <w:rFonts w:ascii="Calibri" w:hAnsi="Calibri" w:cs="Calibri"/>
          <w:sz w:val="22"/>
          <w:szCs w:val="22"/>
        </w:rPr>
        <w:t xml:space="preserve">Chapters 6 and 7 describe the OCP partnership; Chapter 6 focuses on the roles and collaborations of sponsoring agencies, and Chapter 7 on the </w:t>
      </w:r>
      <w:r w:rsidR="006A6940" w:rsidRPr="00D9152B">
        <w:rPr>
          <w:rFonts w:ascii="Calibri" w:hAnsi="Calibri" w:cs="Calibri"/>
          <w:sz w:val="22"/>
          <w:szCs w:val="22"/>
        </w:rPr>
        <w:t xml:space="preserve">research and pharmaceutical company partnership that led to the delivery of the </w:t>
      </w:r>
      <w:r w:rsidR="00EE3FAF" w:rsidRPr="00D9152B">
        <w:rPr>
          <w:rFonts w:ascii="Calibri" w:hAnsi="Calibri" w:cs="Calibri"/>
          <w:sz w:val="22"/>
          <w:szCs w:val="22"/>
        </w:rPr>
        <w:t>drug</w:t>
      </w:r>
      <w:r w:rsidR="006A6940" w:rsidRPr="00D9152B">
        <w:rPr>
          <w:rFonts w:ascii="Calibri" w:hAnsi="Calibri" w:cs="Calibri"/>
          <w:sz w:val="22"/>
          <w:szCs w:val="22"/>
        </w:rPr>
        <w:t xml:space="preserve"> ivermectin (and the trial of many less successful </w:t>
      </w:r>
      <w:r w:rsidR="00EE3FAF" w:rsidRPr="00D9152B">
        <w:rPr>
          <w:rFonts w:ascii="Calibri" w:hAnsi="Calibri" w:cs="Calibri"/>
          <w:sz w:val="22"/>
          <w:szCs w:val="22"/>
        </w:rPr>
        <w:t>drugs</w:t>
      </w:r>
      <w:r w:rsidR="006A6940" w:rsidRPr="00D9152B">
        <w:rPr>
          <w:rFonts w:ascii="Calibri" w:hAnsi="Calibri" w:cs="Calibri"/>
          <w:sz w:val="22"/>
          <w:szCs w:val="22"/>
        </w:rPr>
        <w:t>). Chapter 8 explores the programme’s delivery, with</w:t>
      </w:r>
      <w:r w:rsidR="009F5661" w:rsidRPr="00D9152B">
        <w:rPr>
          <w:rFonts w:ascii="Calibri" w:hAnsi="Calibri" w:cs="Calibri"/>
          <w:sz w:val="22"/>
          <w:szCs w:val="22"/>
        </w:rPr>
        <w:t xml:space="preserve"> an </w:t>
      </w:r>
      <w:r w:rsidR="006A6940" w:rsidRPr="00D9152B">
        <w:rPr>
          <w:rFonts w:ascii="Calibri" w:hAnsi="Calibri" w:cs="Calibri"/>
          <w:sz w:val="22"/>
          <w:szCs w:val="22"/>
        </w:rPr>
        <w:t xml:space="preserve">emphasis on ‘devolution’, or the </w:t>
      </w:r>
      <w:r w:rsidR="00703366" w:rsidRPr="00D9152B">
        <w:rPr>
          <w:rFonts w:ascii="Calibri" w:hAnsi="Calibri" w:cs="Calibri"/>
          <w:sz w:val="22"/>
          <w:szCs w:val="22"/>
        </w:rPr>
        <w:t xml:space="preserve">gradual transfer of surveillance and control activities to participating countries. </w:t>
      </w:r>
    </w:p>
    <w:p w14:paraId="096B3072" w14:textId="43A60275" w:rsidR="00B327AE" w:rsidRPr="00D9152B" w:rsidRDefault="00CD3514" w:rsidP="004E4040">
      <w:pPr>
        <w:spacing w:before="100" w:beforeAutospacing="1" w:after="100" w:afterAutospacing="1" w:line="360" w:lineRule="auto"/>
        <w:ind w:firstLine="720"/>
        <w:rPr>
          <w:rFonts w:ascii="Calibri" w:hAnsi="Calibri" w:cs="Calibri"/>
          <w:color w:val="808080" w:themeColor="background1" w:themeShade="80"/>
          <w:sz w:val="22"/>
          <w:szCs w:val="22"/>
        </w:rPr>
      </w:pPr>
      <w:r w:rsidRPr="00D9152B">
        <w:rPr>
          <w:rFonts w:ascii="Calibri" w:hAnsi="Calibri" w:cs="Calibri"/>
          <w:sz w:val="22"/>
          <w:szCs w:val="22"/>
        </w:rPr>
        <w:lastRenderedPageBreak/>
        <w:t xml:space="preserve">Chapter 9 </w:t>
      </w:r>
      <w:r w:rsidR="004E4040" w:rsidRPr="00D9152B">
        <w:rPr>
          <w:rFonts w:ascii="Calibri" w:hAnsi="Calibri" w:cs="Calibri"/>
          <w:sz w:val="22"/>
          <w:szCs w:val="22"/>
        </w:rPr>
        <w:t>relates this analysis of underlying narratives to the legacy of the OCP at the Bank and the proposed frameworks of success in global health. It positions</w:t>
      </w:r>
      <w:r w:rsidRPr="00D9152B">
        <w:rPr>
          <w:rFonts w:ascii="Calibri" w:hAnsi="Calibri" w:cs="Calibri"/>
          <w:sz w:val="22"/>
          <w:szCs w:val="22"/>
        </w:rPr>
        <w:t xml:space="preserve"> the OCP within wider global health governance themes</w:t>
      </w:r>
      <w:r w:rsidR="007844D1" w:rsidRPr="00D9152B">
        <w:rPr>
          <w:rFonts w:ascii="Calibri" w:hAnsi="Calibri" w:cs="Calibri"/>
          <w:sz w:val="22"/>
          <w:szCs w:val="22"/>
        </w:rPr>
        <w:t xml:space="preserve"> that have </w:t>
      </w:r>
      <w:r w:rsidR="0018061A" w:rsidRPr="00D9152B">
        <w:rPr>
          <w:rFonts w:ascii="Calibri" w:hAnsi="Calibri" w:cs="Calibri"/>
          <w:sz w:val="22"/>
          <w:szCs w:val="22"/>
        </w:rPr>
        <w:t>become prominent</w:t>
      </w:r>
      <w:r w:rsidR="007844D1" w:rsidRPr="00D9152B">
        <w:rPr>
          <w:rFonts w:ascii="Calibri" w:hAnsi="Calibri" w:cs="Calibri"/>
          <w:sz w:val="22"/>
          <w:szCs w:val="22"/>
        </w:rPr>
        <w:t xml:space="preserve"> since the OCP ceased operations in 2002. These themes include</w:t>
      </w:r>
      <w:r w:rsidRPr="00D9152B">
        <w:rPr>
          <w:rFonts w:ascii="Calibri" w:hAnsi="Calibri" w:cs="Calibri"/>
          <w:sz w:val="22"/>
          <w:szCs w:val="22"/>
        </w:rPr>
        <w:t xml:space="preserve"> the use of specific metrics to justify vertical and integrated disease control initiatives (the ‘Gates Approach’); the turn towards extra-budgetary financing mechanisms to provide ‘innovative financing’ for global health projects; the emphasis on public-private partnerships to promote drug research and community-based delivery mechanisms; and the </w:t>
      </w:r>
      <w:r w:rsidR="00464293" w:rsidRPr="00D9152B">
        <w:rPr>
          <w:rFonts w:ascii="Calibri" w:hAnsi="Calibri" w:cs="Calibri"/>
          <w:sz w:val="22"/>
          <w:szCs w:val="22"/>
        </w:rPr>
        <w:t>adoption</w:t>
      </w:r>
      <w:r w:rsidRPr="00D9152B">
        <w:rPr>
          <w:rFonts w:ascii="Calibri" w:hAnsi="Calibri" w:cs="Calibri"/>
          <w:sz w:val="22"/>
          <w:szCs w:val="22"/>
        </w:rPr>
        <w:t xml:space="preserve"> of versions of selective primary healthcare (well beyond the 1980s). The chapter </w:t>
      </w:r>
      <w:r w:rsidR="009F5661" w:rsidRPr="00D9152B">
        <w:rPr>
          <w:rFonts w:ascii="Calibri" w:hAnsi="Calibri" w:cs="Calibri"/>
          <w:sz w:val="22"/>
          <w:szCs w:val="22"/>
        </w:rPr>
        <w:t>focuses on the</w:t>
      </w:r>
      <w:r w:rsidRPr="00D9152B">
        <w:rPr>
          <w:rFonts w:ascii="Calibri" w:hAnsi="Calibri" w:cs="Calibri"/>
          <w:sz w:val="22"/>
          <w:szCs w:val="22"/>
        </w:rPr>
        <w:t xml:space="preserve"> role of the World Bank in catalysing each of these trends and shaping the </w:t>
      </w:r>
      <w:r w:rsidR="009F5661" w:rsidRPr="00D9152B">
        <w:rPr>
          <w:rFonts w:ascii="Calibri" w:hAnsi="Calibri" w:cs="Calibri"/>
          <w:sz w:val="22"/>
          <w:szCs w:val="22"/>
        </w:rPr>
        <w:t xml:space="preserve">modern </w:t>
      </w:r>
      <w:r w:rsidRPr="00D9152B">
        <w:rPr>
          <w:rFonts w:ascii="Calibri" w:hAnsi="Calibri" w:cs="Calibri"/>
          <w:sz w:val="22"/>
          <w:szCs w:val="22"/>
        </w:rPr>
        <w:t xml:space="preserve">global health priority-setting agenda. </w:t>
      </w:r>
      <w:r w:rsidR="00464293" w:rsidRPr="00D9152B">
        <w:rPr>
          <w:rFonts w:ascii="Calibri" w:hAnsi="Calibri" w:cs="Calibri"/>
          <w:sz w:val="22"/>
          <w:szCs w:val="22"/>
        </w:rPr>
        <w:t>It then returns</w:t>
      </w:r>
      <w:r w:rsidRPr="00D9152B">
        <w:rPr>
          <w:rFonts w:ascii="Calibri" w:hAnsi="Calibri" w:cs="Calibri"/>
          <w:sz w:val="22"/>
          <w:szCs w:val="22"/>
        </w:rPr>
        <w:t xml:space="preserve"> to the question of what makes a programme a success in global health. Through an analysis of OCP visual politics</w:t>
      </w:r>
      <w:r w:rsidR="009F5661" w:rsidRPr="00D9152B">
        <w:rPr>
          <w:rFonts w:ascii="Calibri" w:hAnsi="Calibri" w:cs="Calibri"/>
          <w:sz w:val="22"/>
          <w:szCs w:val="22"/>
        </w:rPr>
        <w:t>, it</w:t>
      </w:r>
      <w:r w:rsidRPr="00D9152B">
        <w:rPr>
          <w:rFonts w:ascii="Calibri" w:hAnsi="Calibri" w:cs="Calibri"/>
          <w:sz w:val="22"/>
          <w:szCs w:val="22"/>
        </w:rPr>
        <w:t xml:space="preserve"> argues that metrics can (and have) been constructed for programmes like the OCP</w:t>
      </w:r>
      <w:r w:rsidR="00E05856" w:rsidRPr="00D9152B">
        <w:rPr>
          <w:rFonts w:ascii="Calibri" w:hAnsi="Calibri" w:cs="Calibri"/>
          <w:sz w:val="22"/>
          <w:szCs w:val="22"/>
        </w:rPr>
        <w:t xml:space="preserve">, based on their congruence with the ethos of major global health actors. It reflects on how marketing was the most important component in the spread of the OCP dominant narrative of success – and </w:t>
      </w:r>
      <w:r w:rsidR="008D5FD4" w:rsidRPr="00D9152B">
        <w:rPr>
          <w:rFonts w:ascii="Calibri" w:hAnsi="Calibri" w:cs="Calibri"/>
          <w:sz w:val="22"/>
          <w:szCs w:val="22"/>
        </w:rPr>
        <w:t>how</w:t>
      </w:r>
      <w:r w:rsidR="00E05856" w:rsidRPr="00D9152B">
        <w:rPr>
          <w:rFonts w:ascii="Calibri" w:hAnsi="Calibri" w:cs="Calibri"/>
          <w:sz w:val="22"/>
          <w:szCs w:val="22"/>
        </w:rPr>
        <w:t xml:space="preserve"> ‘visual politics’ continue to be in instrumental in </w:t>
      </w:r>
      <w:r w:rsidR="00EE3FAF" w:rsidRPr="00D9152B">
        <w:rPr>
          <w:rFonts w:ascii="Calibri" w:hAnsi="Calibri" w:cs="Calibri"/>
          <w:sz w:val="22"/>
          <w:szCs w:val="22"/>
        </w:rPr>
        <w:t xml:space="preserve">disseminating and institutionalising </w:t>
      </w:r>
      <w:r w:rsidR="00E05856" w:rsidRPr="00D9152B">
        <w:rPr>
          <w:rFonts w:ascii="Calibri" w:hAnsi="Calibri" w:cs="Calibri"/>
          <w:sz w:val="22"/>
          <w:szCs w:val="22"/>
        </w:rPr>
        <w:t xml:space="preserve">global health success stories.  </w:t>
      </w:r>
    </w:p>
    <w:p w14:paraId="62866017" w14:textId="240F693B" w:rsidR="00BD60B6" w:rsidRPr="00D9152B" w:rsidRDefault="00562F38" w:rsidP="00562F38">
      <w:pPr>
        <w:spacing w:line="360" w:lineRule="auto"/>
        <w:rPr>
          <w:rFonts w:ascii="Calibri" w:hAnsi="Calibri" w:cs="Calibri"/>
        </w:rPr>
      </w:pPr>
      <w:r w:rsidRPr="00D9152B">
        <w:rPr>
          <w:rFonts w:ascii="Calibri" w:hAnsi="Calibri" w:cs="Calibri"/>
        </w:rPr>
        <w:br w:type="page"/>
      </w:r>
    </w:p>
    <w:p w14:paraId="28723322" w14:textId="77777777" w:rsidR="00FC2551" w:rsidRDefault="00FC2551">
      <w:pPr>
        <w:spacing w:line="360" w:lineRule="auto"/>
        <w:rPr>
          <w:rFonts w:ascii="Calibri" w:eastAsiaTheme="majorEastAsia" w:hAnsi="Calibri" w:cs="Calibri"/>
          <w:b/>
          <w:color w:val="2E74B5" w:themeColor="accent1" w:themeShade="BF"/>
          <w:sz w:val="36"/>
          <w:szCs w:val="36"/>
        </w:rPr>
      </w:pPr>
      <w:r>
        <w:rPr>
          <w:rFonts w:ascii="Calibri" w:hAnsi="Calibri" w:cs="Calibri"/>
          <w:b/>
          <w:sz w:val="36"/>
          <w:szCs w:val="36"/>
        </w:rPr>
        <w:lastRenderedPageBreak/>
        <w:br w:type="page"/>
      </w:r>
    </w:p>
    <w:p w14:paraId="4D33A54A" w14:textId="44C3D940" w:rsidR="00D46281" w:rsidRPr="00D9152B" w:rsidRDefault="00AC53E7" w:rsidP="00D46281">
      <w:pPr>
        <w:pStyle w:val="Heading1"/>
        <w:rPr>
          <w:rFonts w:ascii="Calibri" w:hAnsi="Calibri" w:cs="Calibri"/>
          <w:b/>
          <w:sz w:val="36"/>
          <w:szCs w:val="36"/>
        </w:rPr>
      </w:pPr>
      <w:bookmarkStart w:id="15" w:name="_Toc41505589"/>
      <w:r w:rsidRPr="00D9152B">
        <w:rPr>
          <w:rFonts w:ascii="Calibri" w:hAnsi="Calibri" w:cs="Calibri"/>
          <w:b/>
          <w:sz w:val="36"/>
          <w:szCs w:val="36"/>
        </w:rPr>
        <w:lastRenderedPageBreak/>
        <w:t>Chapter 2.</w:t>
      </w:r>
      <w:bookmarkEnd w:id="15"/>
      <w:r w:rsidRPr="00D9152B">
        <w:rPr>
          <w:rFonts w:ascii="Calibri" w:hAnsi="Calibri" w:cs="Calibri"/>
          <w:b/>
          <w:sz w:val="36"/>
          <w:szCs w:val="36"/>
        </w:rPr>
        <w:t xml:space="preserve"> </w:t>
      </w:r>
    </w:p>
    <w:p w14:paraId="17B417AC" w14:textId="64B6510F" w:rsidR="00AC53E7" w:rsidRPr="00D9152B" w:rsidRDefault="00631D31" w:rsidP="00D46281">
      <w:pPr>
        <w:pStyle w:val="Heading1"/>
        <w:rPr>
          <w:rFonts w:ascii="Calibri" w:hAnsi="Calibri" w:cs="Calibri"/>
          <w:b/>
          <w:sz w:val="36"/>
          <w:szCs w:val="36"/>
        </w:rPr>
      </w:pPr>
      <w:bookmarkStart w:id="16" w:name="_Toc41505590"/>
      <w:r w:rsidRPr="00D9152B">
        <w:rPr>
          <w:rFonts w:ascii="Calibri" w:hAnsi="Calibri" w:cs="Calibri"/>
          <w:b/>
          <w:sz w:val="36"/>
          <w:szCs w:val="36"/>
        </w:rPr>
        <w:t>T</w:t>
      </w:r>
      <w:r w:rsidR="005A6DC3" w:rsidRPr="00D9152B">
        <w:rPr>
          <w:rFonts w:ascii="Calibri" w:hAnsi="Calibri" w:cs="Calibri"/>
          <w:b/>
          <w:sz w:val="36"/>
          <w:szCs w:val="36"/>
        </w:rPr>
        <w:t>heoretical framework</w:t>
      </w:r>
      <w:r w:rsidRPr="00D9152B">
        <w:rPr>
          <w:rFonts w:ascii="Calibri" w:hAnsi="Calibri" w:cs="Calibri"/>
          <w:b/>
          <w:sz w:val="36"/>
          <w:szCs w:val="36"/>
        </w:rPr>
        <w:t xml:space="preserve"> &amp; methodology</w:t>
      </w:r>
      <w:bookmarkEnd w:id="16"/>
    </w:p>
    <w:p w14:paraId="7CCB011B" w14:textId="77777777" w:rsidR="00D46281" w:rsidRPr="00D9152B" w:rsidRDefault="00D46281" w:rsidP="00D46281">
      <w:pPr>
        <w:rPr>
          <w:rFonts w:ascii="Calibri" w:hAnsi="Calibri" w:cs="Calibri"/>
        </w:rPr>
      </w:pPr>
    </w:p>
    <w:p w14:paraId="6B635477" w14:textId="1BCCDBD2" w:rsidR="0009749C" w:rsidRPr="00D9152B" w:rsidRDefault="0009749C" w:rsidP="0009749C">
      <w:pPr>
        <w:pStyle w:val="Heading2"/>
        <w:rPr>
          <w:rFonts w:ascii="Calibri" w:hAnsi="Calibri" w:cs="Calibri"/>
          <w:b/>
          <w:sz w:val="26"/>
          <w:szCs w:val="26"/>
        </w:rPr>
      </w:pPr>
      <w:bookmarkStart w:id="17" w:name="_Toc41505591"/>
      <w:r w:rsidRPr="00D9152B">
        <w:rPr>
          <w:rFonts w:ascii="Calibri" w:hAnsi="Calibri" w:cs="Calibri"/>
          <w:b/>
          <w:sz w:val="26"/>
          <w:szCs w:val="26"/>
        </w:rPr>
        <w:t>2.1. Introduction</w:t>
      </w:r>
      <w:bookmarkEnd w:id="17"/>
    </w:p>
    <w:p w14:paraId="69CA644B" w14:textId="3CA6651D" w:rsidR="00AC53E7"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This dissertation uses a case study of the OCP to explore how success is defined and constructed in global health. While the word ‘success’ and the related word ‘effectiveness’ are used pervasively in global health, </w:t>
      </w:r>
      <w:r w:rsidR="00631D31" w:rsidRPr="00D9152B">
        <w:rPr>
          <w:rFonts w:ascii="Calibri" w:hAnsi="Calibri" w:cs="Calibri"/>
          <w:sz w:val="22"/>
          <w:szCs w:val="22"/>
        </w:rPr>
        <w:t>rarely are they</w:t>
      </w:r>
      <w:r w:rsidRPr="00D9152B">
        <w:rPr>
          <w:rFonts w:ascii="Calibri" w:hAnsi="Calibri" w:cs="Calibri"/>
          <w:sz w:val="22"/>
          <w:szCs w:val="22"/>
        </w:rPr>
        <w:t xml:space="preserve"> explicitly defined. This chapter begins by </w:t>
      </w:r>
      <w:r w:rsidR="00860CFE" w:rsidRPr="00D9152B">
        <w:rPr>
          <w:rFonts w:ascii="Calibri" w:hAnsi="Calibri" w:cs="Calibri"/>
          <w:sz w:val="22"/>
          <w:szCs w:val="22"/>
        </w:rPr>
        <w:t xml:space="preserve">proposing and </w:t>
      </w:r>
      <w:r w:rsidR="00227361" w:rsidRPr="00D9152B">
        <w:rPr>
          <w:rFonts w:ascii="Calibri" w:hAnsi="Calibri" w:cs="Calibri"/>
          <w:sz w:val="22"/>
          <w:szCs w:val="22"/>
        </w:rPr>
        <w:t>delineating</w:t>
      </w:r>
      <w:r w:rsidRPr="00D9152B">
        <w:rPr>
          <w:rFonts w:ascii="Calibri" w:hAnsi="Calibri" w:cs="Calibri"/>
          <w:sz w:val="22"/>
          <w:szCs w:val="22"/>
        </w:rPr>
        <w:t xml:space="preserve"> </w:t>
      </w:r>
      <w:r w:rsidR="00CD7F2E" w:rsidRPr="00D9152B">
        <w:rPr>
          <w:rFonts w:ascii="Calibri" w:hAnsi="Calibri" w:cs="Calibri"/>
          <w:sz w:val="22"/>
          <w:szCs w:val="22"/>
        </w:rPr>
        <w:t>three</w:t>
      </w:r>
      <w:r w:rsidRPr="00D9152B">
        <w:rPr>
          <w:rFonts w:ascii="Calibri" w:hAnsi="Calibri" w:cs="Calibri"/>
          <w:sz w:val="22"/>
          <w:szCs w:val="22"/>
        </w:rPr>
        <w:t xml:space="preserve"> frameworks that </w:t>
      </w:r>
      <w:r w:rsidR="009427DE" w:rsidRPr="00D9152B">
        <w:rPr>
          <w:rFonts w:ascii="Calibri" w:hAnsi="Calibri" w:cs="Calibri"/>
          <w:sz w:val="22"/>
          <w:szCs w:val="22"/>
        </w:rPr>
        <w:t>have</w:t>
      </w:r>
      <w:r w:rsidRPr="00D9152B">
        <w:rPr>
          <w:rFonts w:ascii="Calibri" w:hAnsi="Calibri" w:cs="Calibri"/>
          <w:sz w:val="22"/>
          <w:szCs w:val="22"/>
        </w:rPr>
        <w:t xml:space="preserve"> been used </w:t>
      </w:r>
      <w:r w:rsidR="00CD7F2E" w:rsidRPr="00D9152B">
        <w:rPr>
          <w:rFonts w:ascii="Calibri" w:hAnsi="Calibri" w:cs="Calibri"/>
          <w:sz w:val="22"/>
          <w:szCs w:val="22"/>
        </w:rPr>
        <w:t xml:space="preserve">to </w:t>
      </w:r>
      <w:r w:rsidRPr="00D9152B">
        <w:rPr>
          <w:rFonts w:ascii="Calibri" w:hAnsi="Calibri" w:cs="Calibri"/>
          <w:sz w:val="22"/>
          <w:szCs w:val="22"/>
        </w:rPr>
        <w:t>study success in global health: impact</w:t>
      </w:r>
      <w:r w:rsidR="00631D31" w:rsidRPr="00D9152B">
        <w:rPr>
          <w:rFonts w:ascii="Calibri" w:hAnsi="Calibri" w:cs="Calibri"/>
          <w:sz w:val="22"/>
          <w:szCs w:val="22"/>
        </w:rPr>
        <w:t>/evidence-based</w:t>
      </w:r>
      <w:r w:rsidRPr="00D9152B">
        <w:rPr>
          <w:rFonts w:ascii="Calibri" w:hAnsi="Calibri" w:cs="Calibri"/>
          <w:sz w:val="22"/>
          <w:szCs w:val="22"/>
        </w:rPr>
        <w:t xml:space="preserve">, </w:t>
      </w:r>
      <w:r w:rsidR="00CD7F2E" w:rsidRPr="00D9152B">
        <w:rPr>
          <w:rFonts w:ascii="Calibri" w:hAnsi="Calibri" w:cs="Calibri"/>
          <w:sz w:val="22"/>
          <w:szCs w:val="22"/>
        </w:rPr>
        <w:t>marketing</w:t>
      </w:r>
      <w:r w:rsidRPr="00D9152B">
        <w:rPr>
          <w:rFonts w:ascii="Calibri" w:hAnsi="Calibri" w:cs="Calibri"/>
          <w:sz w:val="22"/>
          <w:szCs w:val="22"/>
        </w:rPr>
        <w:t xml:space="preserve">, and </w:t>
      </w:r>
      <w:r w:rsidR="00CD7F2E" w:rsidRPr="00D9152B">
        <w:rPr>
          <w:rFonts w:ascii="Calibri" w:hAnsi="Calibri" w:cs="Calibri"/>
          <w:sz w:val="22"/>
          <w:szCs w:val="22"/>
        </w:rPr>
        <w:t>constructivist</w:t>
      </w:r>
      <w:r w:rsidRPr="00D9152B">
        <w:rPr>
          <w:rFonts w:ascii="Calibri" w:hAnsi="Calibri" w:cs="Calibri"/>
          <w:sz w:val="22"/>
          <w:szCs w:val="22"/>
        </w:rPr>
        <w:t xml:space="preserve"> models. After presenting these global health governance-based success </w:t>
      </w:r>
      <w:r w:rsidR="00325069">
        <w:rPr>
          <w:rFonts w:ascii="Calibri" w:hAnsi="Calibri" w:cs="Calibri"/>
          <w:sz w:val="22"/>
          <w:szCs w:val="22"/>
        </w:rPr>
        <w:t>frameworks</w:t>
      </w:r>
      <w:r w:rsidRPr="00D9152B">
        <w:rPr>
          <w:rFonts w:ascii="Calibri" w:hAnsi="Calibri" w:cs="Calibri"/>
          <w:sz w:val="22"/>
          <w:szCs w:val="22"/>
        </w:rPr>
        <w:t>, the chapter describes the particular research methodologies used in the dissertation to study the OCP’s success. These include an in-depth literature review of success and the OCP, archival research at OCP sponsoring and donor agencies, supplementary oral history interviews, and quantitative analyses of financial flows at the World Bank. The chapter concludes with a discussion of the limitations of the methodological approach and the questions that it can – and cannot – answer.</w:t>
      </w:r>
    </w:p>
    <w:p w14:paraId="223B4B86" w14:textId="7AE870B4" w:rsidR="00AC53E7" w:rsidRPr="00D9152B" w:rsidRDefault="0009749C" w:rsidP="002F22C3">
      <w:pPr>
        <w:pStyle w:val="Heading2"/>
        <w:spacing w:before="0"/>
        <w:rPr>
          <w:rFonts w:ascii="Calibri" w:hAnsi="Calibri" w:cs="Calibri"/>
          <w:b/>
          <w:sz w:val="26"/>
          <w:szCs w:val="26"/>
        </w:rPr>
      </w:pPr>
      <w:bookmarkStart w:id="18" w:name="_Toc41505592"/>
      <w:r w:rsidRPr="00D9152B">
        <w:rPr>
          <w:rFonts w:ascii="Calibri" w:hAnsi="Calibri" w:cs="Calibri"/>
          <w:b/>
          <w:sz w:val="26"/>
          <w:szCs w:val="26"/>
        </w:rPr>
        <w:t>2.2</w:t>
      </w:r>
      <w:r w:rsidR="002F22C3" w:rsidRPr="00D9152B">
        <w:rPr>
          <w:rFonts w:ascii="Calibri" w:hAnsi="Calibri" w:cs="Calibri"/>
          <w:b/>
          <w:sz w:val="26"/>
          <w:szCs w:val="26"/>
        </w:rPr>
        <w:t xml:space="preserve">. </w:t>
      </w:r>
      <w:r w:rsidR="00361A57" w:rsidRPr="00D9152B">
        <w:rPr>
          <w:rFonts w:ascii="Calibri" w:hAnsi="Calibri" w:cs="Calibri"/>
          <w:b/>
          <w:sz w:val="26"/>
          <w:szCs w:val="26"/>
        </w:rPr>
        <w:t>Theoretical framework: g</w:t>
      </w:r>
      <w:r w:rsidR="00A14D17" w:rsidRPr="00D9152B">
        <w:rPr>
          <w:rFonts w:ascii="Calibri" w:hAnsi="Calibri" w:cs="Calibri"/>
          <w:b/>
          <w:sz w:val="26"/>
          <w:szCs w:val="26"/>
        </w:rPr>
        <w:t>lobal heal</w:t>
      </w:r>
      <w:r w:rsidR="00810635" w:rsidRPr="00D9152B">
        <w:rPr>
          <w:rFonts w:ascii="Calibri" w:hAnsi="Calibri" w:cs="Calibri"/>
          <w:b/>
          <w:sz w:val="26"/>
          <w:szCs w:val="26"/>
        </w:rPr>
        <w:t xml:space="preserve">th governance and </w:t>
      </w:r>
      <w:r w:rsidR="00A14D17" w:rsidRPr="00D9152B">
        <w:rPr>
          <w:rFonts w:ascii="Calibri" w:hAnsi="Calibri" w:cs="Calibri"/>
          <w:b/>
          <w:sz w:val="26"/>
          <w:szCs w:val="26"/>
        </w:rPr>
        <w:t>success</w:t>
      </w:r>
      <w:bookmarkEnd w:id="18"/>
    </w:p>
    <w:p w14:paraId="29270AFD" w14:textId="280DFC37" w:rsidR="008B05ED" w:rsidRPr="00D9152B" w:rsidRDefault="00AC53E7" w:rsidP="00631D31">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According to the Bank’s </w:t>
      </w:r>
      <w:r w:rsidR="00D40D32" w:rsidRPr="00D9152B">
        <w:rPr>
          <w:rFonts w:ascii="Calibri" w:hAnsi="Calibri" w:cs="Calibri"/>
          <w:sz w:val="22"/>
          <w:szCs w:val="22"/>
        </w:rPr>
        <w:t>previous</w:t>
      </w:r>
      <w:r w:rsidRPr="00D9152B">
        <w:rPr>
          <w:rFonts w:ascii="Calibri" w:hAnsi="Calibri" w:cs="Calibri"/>
          <w:sz w:val="22"/>
          <w:szCs w:val="22"/>
        </w:rPr>
        <w:t xml:space="preserve"> Africa </w:t>
      </w:r>
      <w:r w:rsidR="00860CFE" w:rsidRPr="00D9152B">
        <w:rPr>
          <w:rFonts w:ascii="Calibri" w:hAnsi="Calibri" w:cs="Calibri"/>
          <w:sz w:val="22"/>
          <w:szCs w:val="22"/>
        </w:rPr>
        <w:t>r</w:t>
      </w:r>
      <w:r w:rsidRPr="00D9152B">
        <w:rPr>
          <w:rFonts w:ascii="Calibri" w:hAnsi="Calibri" w:cs="Calibri"/>
          <w:sz w:val="22"/>
          <w:szCs w:val="22"/>
        </w:rPr>
        <w:t>egion Vice President, Edward Jaycox</w:t>
      </w:r>
      <w:r w:rsidR="008B05ED" w:rsidRPr="00D9152B">
        <w:rPr>
          <w:rFonts w:ascii="Calibri" w:hAnsi="Calibri" w:cs="Calibri"/>
          <w:sz w:val="22"/>
          <w:szCs w:val="22"/>
        </w:rPr>
        <w:t xml:space="preserve">, </w:t>
      </w:r>
      <w:r w:rsidR="00D40D32" w:rsidRPr="00D9152B">
        <w:rPr>
          <w:rFonts w:ascii="Calibri" w:hAnsi="Calibri" w:cs="Calibri"/>
          <w:sz w:val="22"/>
          <w:szCs w:val="22"/>
        </w:rPr>
        <w:t>the World Bank</w:t>
      </w:r>
      <w:r w:rsidRPr="00D9152B">
        <w:rPr>
          <w:rFonts w:ascii="Calibri" w:hAnsi="Calibri" w:cs="Calibri"/>
          <w:sz w:val="22"/>
          <w:szCs w:val="22"/>
        </w:rPr>
        <w:t xml:space="preserve"> ‘invented the appli</w:t>
      </w:r>
      <w:r w:rsidR="008B05ED" w:rsidRPr="00D9152B">
        <w:rPr>
          <w:rFonts w:ascii="Calibri" w:hAnsi="Calibri" w:cs="Calibri"/>
          <w:sz w:val="22"/>
          <w:szCs w:val="22"/>
        </w:rPr>
        <w:t xml:space="preserve">cation’ of the </w:t>
      </w:r>
      <w:r w:rsidR="009C2327" w:rsidRPr="00D9152B">
        <w:rPr>
          <w:rFonts w:ascii="Calibri" w:hAnsi="Calibri" w:cs="Calibri"/>
          <w:sz w:val="22"/>
          <w:szCs w:val="22"/>
        </w:rPr>
        <w:t>term</w:t>
      </w:r>
      <w:r w:rsidR="008B05ED" w:rsidRPr="00D9152B">
        <w:rPr>
          <w:rFonts w:ascii="Calibri" w:hAnsi="Calibri" w:cs="Calibri"/>
          <w:sz w:val="22"/>
          <w:szCs w:val="22"/>
        </w:rPr>
        <w:t xml:space="preserve"> ‘governance’</w:t>
      </w:r>
      <w:r w:rsidRPr="00D9152B">
        <w:rPr>
          <w:rFonts w:ascii="Calibri" w:hAnsi="Calibri" w:cs="Calibri"/>
          <w:sz w:val="22"/>
          <w:szCs w:val="22"/>
        </w:rPr>
        <w:t xml:space="preserve"> in its </w:t>
      </w:r>
      <w:r w:rsidR="00EE77CB" w:rsidRPr="00D9152B">
        <w:rPr>
          <w:rFonts w:ascii="Calibri" w:hAnsi="Calibri" w:cs="Calibri"/>
          <w:i/>
          <w:sz w:val="22"/>
          <w:szCs w:val="22"/>
        </w:rPr>
        <w:t>Long term prospective s</w:t>
      </w:r>
      <w:r w:rsidRPr="00D9152B">
        <w:rPr>
          <w:rFonts w:ascii="Calibri" w:hAnsi="Calibri" w:cs="Calibri"/>
          <w:i/>
          <w:sz w:val="22"/>
          <w:szCs w:val="22"/>
        </w:rPr>
        <w:t xml:space="preserve">tudy on Africa </w:t>
      </w:r>
      <w:r w:rsidRPr="00D9152B">
        <w:rPr>
          <w:rFonts w:ascii="Calibri" w:hAnsi="Calibri" w:cs="Calibri"/>
          <w:sz w:val="22"/>
          <w:szCs w:val="22"/>
        </w:rPr>
        <w:t>in 1987. The Bank was ‘searching for a word that would talk about the quality of the government’ of states, with a ‘positive ring’</w:t>
      </w:r>
      <w:r w:rsidR="00BE4EC5" w:rsidRPr="00D9152B">
        <w:rPr>
          <w:rFonts w:ascii="Calibri" w:hAnsi="Calibri" w:cs="Calibri"/>
          <w:sz w:val="22"/>
          <w:szCs w:val="22"/>
        </w:rPr>
        <w:t xml:space="preserve"> (rather than using the word ‘corruption’ directly)</w:t>
      </w:r>
      <w:r w:rsidRPr="00D9152B">
        <w:rPr>
          <w:rFonts w:ascii="Calibri" w:hAnsi="Calibri" w:cs="Calibri"/>
          <w:sz w:val="22"/>
          <w:szCs w:val="22"/>
        </w:rPr>
        <w:t xml:space="preserve">, and </w:t>
      </w:r>
      <w:r w:rsidRPr="00D9152B">
        <w:rPr>
          <w:rFonts w:ascii="Calibri" w:hAnsi="Calibri" w:cs="Calibri"/>
          <w:i/>
          <w:sz w:val="22"/>
          <w:szCs w:val="22"/>
        </w:rPr>
        <w:t>governance</w:t>
      </w:r>
      <w:r w:rsidRPr="00D9152B">
        <w:rPr>
          <w:rFonts w:ascii="Calibri" w:hAnsi="Calibri" w:cs="Calibri"/>
          <w:sz w:val="22"/>
          <w:szCs w:val="22"/>
        </w:rPr>
        <w:t xml:space="preserve"> fit the bill perfectly.</w:t>
      </w:r>
      <w:r w:rsidRPr="00D9152B">
        <w:rPr>
          <w:rStyle w:val="FootnoteReference"/>
          <w:rFonts w:ascii="Calibri" w:hAnsi="Calibri" w:cs="Calibri"/>
          <w:sz w:val="22"/>
          <w:szCs w:val="22"/>
        </w:rPr>
        <w:footnoteReference w:id="67"/>
      </w:r>
      <w:r w:rsidRPr="00D9152B">
        <w:rPr>
          <w:rFonts w:ascii="Calibri" w:hAnsi="Calibri" w:cs="Calibri"/>
          <w:sz w:val="22"/>
          <w:szCs w:val="22"/>
        </w:rPr>
        <w:t xml:space="preserve"> Governance, or more specifically </w:t>
      </w:r>
      <w:r w:rsidRPr="00D9152B">
        <w:rPr>
          <w:rFonts w:ascii="Calibri" w:hAnsi="Calibri" w:cs="Calibri"/>
          <w:i/>
          <w:sz w:val="22"/>
          <w:szCs w:val="22"/>
        </w:rPr>
        <w:t>good governance</w:t>
      </w:r>
      <w:r w:rsidR="00BE4EC5" w:rsidRPr="00D9152B">
        <w:rPr>
          <w:rFonts w:ascii="Calibri" w:hAnsi="Calibri" w:cs="Calibri"/>
          <w:sz w:val="22"/>
          <w:szCs w:val="22"/>
        </w:rPr>
        <w:t>, was constructed to</w:t>
      </w:r>
      <w:r w:rsidRPr="00D9152B">
        <w:rPr>
          <w:rFonts w:ascii="Calibri" w:hAnsi="Calibri" w:cs="Calibri"/>
          <w:sz w:val="22"/>
          <w:szCs w:val="22"/>
        </w:rPr>
        <w:t xml:space="preserve"> measure countries’ accountability, transparency, rule of law, predictability and sustained policy, and </w:t>
      </w:r>
      <w:r w:rsidR="00860CFE" w:rsidRPr="00D9152B">
        <w:rPr>
          <w:rFonts w:ascii="Calibri" w:hAnsi="Calibri" w:cs="Calibri"/>
          <w:sz w:val="22"/>
          <w:szCs w:val="22"/>
        </w:rPr>
        <w:t>inclusion</w:t>
      </w:r>
      <w:r w:rsidRPr="00D9152B">
        <w:rPr>
          <w:rFonts w:ascii="Calibri" w:hAnsi="Calibri" w:cs="Calibri"/>
          <w:sz w:val="22"/>
          <w:szCs w:val="22"/>
        </w:rPr>
        <w:t xml:space="preserve"> of stakeholders in the decision-making process.</w:t>
      </w:r>
      <w:r w:rsidRPr="00D9152B">
        <w:rPr>
          <w:rStyle w:val="FootnoteReference"/>
          <w:rFonts w:ascii="Calibri" w:hAnsi="Calibri" w:cs="Calibri"/>
          <w:sz w:val="22"/>
          <w:szCs w:val="22"/>
        </w:rPr>
        <w:footnoteReference w:id="68"/>
      </w:r>
      <w:r w:rsidRPr="00D9152B">
        <w:rPr>
          <w:rFonts w:ascii="Calibri" w:hAnsi="Calibri" w:cs="Calibri"/>
          <w:sz w:val="22"/>
          <w:szCs w:val="22"/>
        </w:rPr>
        <w:t xml:space="preserve"> This concept of governance came to be widely applied by the World Bank and other multilateral organizations towards country governments at the end of the Cold War.</w:t>
      </w:r>
      <w:r w:rsidRPr="00D9152B">
        <w:rPr>
          <w:rStyle w:val="FootnoteReference"/>
          <w:rFonts w:ascii="Calibri" w:hAnsi="Calibri" w:cs="Calibri"/>
          <w:sz w:val="22"/>
          <w:szCs w:val="22"/>
        </w:rPr>
        <w:footnoteReference w:id="69"/>
      </w:r>
      <w:r w:rsidRPr="00D9152B">
        <w:rPr>
          <w:rFonts w:ascii="Calibri" w:hAnsi="Calibri" w:cs="Calibri"/>
          <w:sz w:val="22"/>
          <w:szCs w:val="22"/>
        </w:rPr>
        <w:t xml:space="preserve"> The World Bank established widely used </w:t>
      </w:r>
      <w:r w:rsidRPr="00D9152B">
        <w:rPr>
          <w:rFonts w:ascii="Calibri" w:hAnsi="Calibri" w:cs="Calibri"/>
          <w:sz w:val="22"/>
          <w:szCs w:val="22"/>
        </w:rPr>
        <w:lastRenderedPageBreak/>
        <w:t>worldwide governance indicators</w:t>
      </w:r>
      <w:r w:rsidR="00631D31" w:rsidRPr="00D9152B">
        <w:rPr>
          <w:rFonts w:ascii="Calibri" w:hAnsi="Calibri" w:cs="Calibri"/>
          <w:sz w:val="22"/>
          <w:szCs w:val="22"/>
        </w:rPr>
        <w:t xml:space="preserve"> – </w:t>
      </w:r>
      <w:r w:rsidRPr="00D9152B">
        <w:rPr>
          <w:rFonts w:ascii="Calibri" w:hAnsi="Calibri" w:cs="Calibri"/>
          <w:sz w:val="22"/>
          <w:szCs w:val="22"/>
        </w:rPr>
        <w:t xml:space="preserve">voice, accountability, </w:t>
      </w:r>
      <w:r w:rsidR="006E3247">
        <w:rPr>
          <w:rFonts w:ascii="Calibri" w:hAnsi="Calibri" w:cs="Calibri"/>
          <w:sz w:val="22"/>
          <w:szCs w:val="22"/>
        </w:rPr>
        <w:t xml:space="preserve">and </w:t>
      </w:r>
      <w:r w:rsidRPr="00D9152B">
        <w:rPr>
          <w:rFonts w:ascii="Calibri" w:hAnsi="Calibri" w:cs="Calibri"/>
          <w:sz w:val="22"/>
          <w:szCs w:val="22"/>
        </w:rPr>
        <w:t>political stability</w:t>
      </w:r>
      <w:r w:rsidR="006E3247">
        <w:rPr>
          <w:rFonts w:ascii="Calibri" w:hAnsi="Calibri" w:cs="Calibri"/>
          <w:sz w:val="22"/>
          <w:szCs w:val="22"/>
        </w:rPr>
        <w:t xml:space="preserve"> </w:t>
      </w:r>
      <w:r w:rsidR="00631D31" w:rsidRPr="00D9152B">
        <w:rPr>
          <w:rFonts w:ascii="Calibri" w:hAnsi="Calibri" w:cs="Calibri"/>
          <w:sz w:val="22"/>
          <w:szCs w:val="22"/>
        </w:rPr>
        <w:t xml:space="preserve">– </w:t>
      </w:r>
      <w:r w:rsidRPr="00D9152B">
        <w:rPr>
          <w:rFonts w:ascii="Calibri" w:hAnsi="Calibri" w:cs="Calibri"/>
          <w:sz w:val="22"/>
          <w:szCs w:val="22"/>
        </w:rPr>
        <w:t>to foster informed priority setting and policy making at the country level.</w:t>
      </w:r>
      <w:r w:rsidRPr="00D9152B">
        <w:rPr>
          <w:rStyle w:val="FootnoteReference"/>
          <w:rFonts w:ascii="Calibri" w:hAnsi="Calibri" w:cs="Calibri"/>
          <w:sz w:val="22"/>
          <w:szCs w:val="22"/>
        </w:rPr>
        <w:footnoteReference w:id="70"/>
      </w:r>
      <w:r w:rsidRPr="00D9152B">
        <w:rPr>
          <w:rFonts w:ascii="Calibri" w:hAnsi="Calibri" w:cs="Calibri"/>
          <w:sz w:val="22"/>
          <w:szCs w:val="22"/>
        </w:rPr>
        <w:t xml:space="preserve"> Yet, as political scientist Woods has argued, the Bank has been less motivated to apply good governance analyses to its own operations.</w:t>
      </w:r>
      <w:r w:rsidRPr="00D9152B">
        <w:rPr>
          <w:rStyle w:val="FootnoteReference"/>
          <w:rFonts w:ascii="Calibri" w:hAnsi="Calibri" w:cs="Calibri"/>
          <w:sz w:val="22"/>
          <w:szCs w:val="22"/>
        </w:rPr>
        <w:footnoteReference w:id="71"/>
      </w:r>
    </w:p>
    <w:p w14:paraId="7090900B" w14:textId="552024F6" w:rsidR="008B05ED"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i/>
          <w:sz w:val="22"/>
          <w:szCs w:val="22"/>
        </w:rPr>
        <w:t xml:space="preserve">Global governance </w:t>
      </w:r>
      <w:r w:rsidRPr="00D9152B">
        <w:rPr>
          <w:rFonts w:ascii="Calibri" w:hAnsi="Calibri" w:cs="Calibri"/>
          <w:sz w:val="22"/>
          <w:szCs w:val="22"/>
        </w:rPr>
        <w:t>is defi</w:t>
      </w:r>
      <w:r w:rsidR="008B05ED" w:rsidRPr="00D9152B">
        <w:rPr>
          <w:rFonts w:ascii="Calibri" w:hAnsi="Calibri" w:cs="Calibri"/>
          <w:sz w:val="22"/>
          <w:szCs w:val="22"/>
        </w:rPr>
        <w:t xml:space="preserve">ned more specifically by the United Nations </w:t>
      </w:r>
      <w:r w:rsidRPr="00D9152B">
        <w:rPr>
          <w:rFonts w:ascii="Calibri" w:hAnsi="Calibri" w:cs="Calibri"/>
          <w:sz w:val="22"/>
          <w:szCs w:val="22"/>
        </w:rPr>
        <w:t>as the ‘sum of the many ways individuals and institutions, public and private, manage their common affairs’.</w:t>
      </w:r>
      <w:r w:rsidRPr="00D9152B">
        <w:rPr>
          <w:rStyle w:val="FootnoteReference"/>
          <w:rFonts w:ascii="Calibri" w:hAnsi="Calibri" w:cs="Calibri"/>
          <w:sz w:val="22"/>
          <w:szCs w:val="22"/>
        </w:rPr>
        <w:footnoteReference w:id="72"/>
      </w:r>
      <w:r w:rsidRPr="00D9152B">
        <w:rPr>
          <w:rFonts w:ascii="Calibri" w:hAnsi="Calibri" w:cs="Calibri"/>
          <w:sz w:val="22"/>
          <w:szCs w:val="22"/>
        </w:rPr>
        <w:t xml:space="preserve"> Extending this definition to the realm of global health may initially seem straightforward; global health governance would consider how decisions about health programming are made by formal institutions and informal arrangements between stakeholders. However, since </w:t>
      </w:r>
      <w:r w:rsidR="009F3DA8" w:rsidRPr="00D9152B">
        <w:rPr>
          <w:rFonts w:ascii="Calibri" w:hAnsi="Calibri" w:cs="Calibri"/>
          <w:sz w:val="22"/>
          <w:szCs w:val="22"/>
        </w:rPr>
        <w:t>it was first defined by the WHO in</w:t>
      </w:r>
      <w:r w:rsidRPr="00D9152B">
        <w:rPr>
          <w:rFonts w:ascii="Calibri" w:hAnsi="Calibri" w:cs="Calibri"/>
          <w:sz w:val="22"/>
          <w:szCs w:val="22"/>
        </w:rPr>
        <w:t xml:space="preserve"> 2002, the term </w:t>
      </w:r>
      <w:r w:rsidRPr="00D9152B">
        <w:rPr>
          <w:rFonts w:ascii="Calibri" w:hAnsi="Calibri" w:cs="Calibri"/>
          <w:i/>
          <w:sz w:val="22"/>
          <w:szCs w:val="22"/>
        </w:rPr>
        <w:t>global health governance</w:t>
      </w:r>
      <w:r w:rsidRPr="00D9152B">
        <w:rPr>
          <w:rFonts w:ascii="Calibri" w:hAnsi="Calibri" w:cs="Calibri"/>
          <w:sz w:val="22"/>
          <w:szCs w:val="22"/>
        </w:rPr>
        <w:t xml:space="preserve"> has come to represent a variety of objectives, processes, and ideals.</w:t>
      </w:r>
      <w:r w:rsidRPr="00D9152B">
        <w:rPr>
          <w:rStyle w:val="FootnoteReference"/>
          <w:rFonts w:ascii="Calibri" w:hAnsi="Calibri" w:cs="Calibri"/>
          <w:sz w:val="22"/>
          <w:szCs w:val="22"/>
        </w:rPr>
        <w:footnoteReference w:id="73"/>
      </w:r>
      <w:r w:rsidR="001A18A1" w:rsidRPr="00D9152B">
        <w:rPr>
          <w:rFonts w:ascii="Calibri" w:hAnsi="Calibri" w:cs="Calibri"/>
          <w:sz w:val="22"/>
          <w:szCs w:val="22"/>
        </w:rPr>
        <w:t xml:space="preserve"> A 2011</w:t>
      </w:r>
      <w:r w:rsidRPr="00D9152B">
        <w:rPr>
          <w:rFonts w:ascii="Calibri" w:hAnsi="Calibri" w:cs="Calibri"/>
          <w:sz w:val="22"/>
          <w:szCs w:val="22"/>
        </w:rPr>
        <w:t xml:space="preserve"> review of the term revealed three distinct uses</w:t>
      </w:r>
      <w:r w:rsidRPr="00D9152B">
        <w:rPr>
          <w:rFonts w:ascii="Calibri" w:hAnsi="Calibri" w:cs="Calibri"/>
          <w:i/>
          <w:sz w:val="22"/>
          <w:szCs w:val="22"/>
        </w:rPr>
        <w:t>: globalisation and health governance</w:t>
      </w:r>
      <w:r w:rsidRPr="00D9152B">
        <w:rPr>
          <w:rFonts w:ascii="Calibri" w:hAnsi="Calibri" w:cs="Calibri"/>
          <w:sz w:val="22"/>
          <w:szCs w:val="22"/>
        </w:rPr>
        <w:t xml:space="preserve">, </w:t>
      </w:r>
      <w:r w:rsidRPr="00D9152B">
        <w:rPr>
          <w:rFonts w:ascii="Calibri" w:hAnsi="Calibri" w:cs="Calibri"/>
          <w:i/>
          <w:sz w:val="22"/>
          <w:szCs w:val="22"/>
        </w:rPr>
        <w:t>global governance and health</w:t>
      </w:r>
      <w:r w:rsidRPr="00D9152B">
        <w:rPr>
          <w:rFonts w:ascii="Calibri" w:hAnsi="Calibri" w:cs="Calibri"/>
          <w:sz w:val="22"/>
          <w:szCs w:val="22"/>
        </w:rPr>
        <w:t xml:space="preserve">, and </w:t>
      </w:r>
      <w:r w:rsidRPr="00D9152B">
        <w:rPr>
          <w:rFonts w:ascii="Calibri" w:hAnsi="Calibri" w:cs="Calibri"/>
          <w:i/>
          <w:sz w:val="22"/>
          <w:szCs w:val="22"/>
        </w:rPr>
        <w:t>governance for global health</w:t>
      </w:r>
      <w:r w:rsidRPr="00D9152B">
        <w:rPr>
          <w:rFonts w:ascii="Calibri" w:hAnsi="Calibri" w:cs="Calibri"/>
          <w:sz w:val="22"/>
          <w:szCs w:val="22"/>
        </w:rPr>
        <w:t xml:space="preserve">. The first, ‘globalisation and health’, deals primarily with the institutional actors, arrangements, and policy-making processes that govern </w:t>
      </w:r>
      <w:r w:rsidR="00631D31" w:rsidRPr="00D9152B">
        <w:rPr>
          <w:rFonts w:ascii="Calibri" w:hAnsi="Calibri" w:cs="Calibri"/>
          <w:sz w:val="22"/>
          <w:szCs w:val="22"/>
        </w:rPr>
        <w:t xml:space="preserve">trans-national </w:t>
      </w:r>
      <w:r w:rsidRPr="00D9152B">
        <w:rPr>
          <w:rFonts w:ascii="Calibri" w:hAnsi="Calibri" w:cs="Calibri"/>
          <w:sz w:val="22"/>
          <w:szCs w:val="22"/>
        </w:rPr>
        <w:t>health issues. The second, ‘global governance and health’ emphasizes how actors from outside the traditional health sector (like the World Bank) have influenced the global health ideologies and provisions. Finally, ‘governance for global health’ takes a policy-oriented direction, considering the governance arrangements required to reach global health goals.</w:t>
      </w:r>
      <w:r w:rsidR="00227361" w:rsidRPr="00D9152B">
        <w:rPr>
          <w:rStyle w:val="FootnoteReference"/>
          <w:rFonts w:ascii="Calibri" w:hAnsi="Calibri" w:cs="Calibri"/>
          <w:sz w:val="22"/>
          <w:szCs w:val="22"/>
        </w:rPr>
        <w:footnoteReference w:id="74"/>
      </w:r>
      <w:r w:rsidRPr="00D9152B">
        <w:rPr>
          <w:rFonts w:ascii="Calibri" w:hAnsi="Calibri" w:cs="Calibri"/>
          <w:sz w:val="22"/>
          <w:szCs w:val="22"/>
        </w:rPr>
        <w:t xml:space="preserve"> This dissertation uses the </w:t>
      </w:r>
      <w:r w:rsidR="00631D31" w:rsidRPr="00D9152B">
        <w:rPr>
          <w:rFonts w:ascii="Calibri" w:hAnsi="Calibri" w:cs="Calibri"/>
          <w:sz w:val="22"/>
          <w:szCs w:val="22"/>
        </w:rPr>
        <w:t>‘</w:t>
      </w:r>
      <w:r w:rsidRPr="00D9152B">
        <w:rPr>
          <w:rFonts w:ascii="Calibri" w:hAnsi="Calibri" w:cs="Calibri"/>
          <w:sz w:val="22"/>
          <w:szCs w:val="22"/>
        </w:rPr>
        <w:t>globalisation and health</w:t>
      </w:r>
      <w:r w:rsidR="00631D31" w:rsidRPr="00D9152B">
        <w:rPr>
          <w:rFonts w:ascii="Calibri" w:hAnsi="Calibri" w:cs="Calibri"/>
          <w:sz w:val="22"/>
          <w:szCs w:val="22"/>
        </w:rPr>
        <w:t>’</w:t>
      </w:r>
      <w:r w:rsidRPr="00D9152B">
        <w:rPr>
          <w:rFonts w:ascii="Calibri" w:hAnsi="Calibri" w:cs="Calibri"/>
          <w:sz w:val="22"/>
          <w:szCs w:val="22"/>
        </w:rPr>
        <w:t xml:space="preserve"> and </w:t>
      </w:r>
      <w:r w:rsidR="00631D31" w:rsidRPr="00D9152B">
        <w:rPr>
          <w:rFonts w:ascii="Calibri" w:hAnsi="Calibri" w:cs="Calibri"/>
          <w:sz w:val="22"/>
          <w:szCs w:val="22"/>
        </w:rPr>
        <w:t>‘</w:t>
      </w:r>
      <w:r w:rsidRPr="00D9152B">
        <w:rPr>
          <w:rFonts w:ascii="Calibri" w:hAnsi="Calibri" w:cs="Calibri"/>
          <w:sz w:val="22"/>
          <w:szCs w:val="22"/>
        </w:rPr>
        <w:t>global governance and health</w:t>
      </w:r>
      <w:r w:rsidR="00631D31" w:rsidRPr="00D9152B">
        <w:rPr>
          <w:rFonts w:ascii="Calibri" w:hAnsi="Calibri" w:cs="Calibri"/>
          <w:sz w:val="22"/>
          <w:szCs w:val="22"/>
        </w:rPr>
        <w:t>’</w:t>
      </w:r>
      <w:r w:rsidRPr="00D9152B">
        <w:rPr>
          <w:rFonts w:ascii="Calibri" w:hAnsi="Calibri" w:cs="Calibri"/>
          <w:sz w:val="22"/>
          <w:szCs w:val="22"/>
        </w:rPr>
        <w:t xml:space="preserve"> perspectives to study the OCP. It considers the relationships between partnering agencies and governments during the programme, decision-making authority, and accountability, with a particular emphasis on the World Bank’s entrance into the health field. The secondary literature </w:t>
      </w:r>
      <w:r w:rsidRPr="00D9152B">
        <w:rPr>
          <w:rFonts w:ascii="Calibri" w:hAnsi="Calibri" w:cs="Calibri"/>
          <w:sz w:val="22"/>
          <w:szCs w:val="22"/>
        </w:rPr>
        <w:lastRenderedPageBreak/>
        <w:t>referenced throughout the dissertation is primarily centred on global health governance themes, with contextualization from global health history.</w:t>
      </w:r>
    </w:p>
    <w:p w14:paraId="6699B770" w14:textId="1C6EBB06" w:rsidR="0020506E"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Despite the fact that many programme evaluation documents and modern initiatives, such as the Global Health Security Agenda and the Global Fund to Fight AIDS, Malaria and Tuberculosis (Global Fund), refer to programme successes,</w:t>
      </w:r>
      <w:r w:rsidRPr="00D9152B">
        <w:rPr>
          <w:rStyle w:val="FootnoteReference"/>
          <w:rFonts w:ascii="Calibri" w:hAnsi="Calibri" w:cs="Calibri"/>
          <w:sz w:val="22"/>
          <w:szCs w:val="22"/>
        </w:rPr>
        <w:footnoteReference w:id="75"/>
      </w:r>
      <w:r w:rsidRPr="00D9152B">
        <w:rPr>
          <w:rFonts w:ascii="Calibri" w:hAnsi="Calibri" w:cs="Calibri"/>
          <w:sz w:val="22"/>
          <w:szCs w:val="22"/>
        </w:rPr>
        <w:t xml:space="preserve"> few global health governance scholars</w:t>
      </w:r>
      <w:r w:rsidR="0018457D" w:rsidRPr="00D9152B">
        <w:rPr>
          <w:rFonts w:ascii="Calibri" w:hAnsi="Calibri" w:cs="Calibri"/>
          <w:sz w:val="22"/>
          <w:szCs w:val="22"/>
        </w:rPr>
        <w:t>, historians,</w:t>
      </w:r>
      <w:r w:rsidR="0018457D" w:rsidRPr="00D9152B">
        <w:rPr>
          <w:rStyle w:val="FootnoteReference"/>
          <w:rFonts w:ascii="Calibri" w:hAnsi="Calibri" w:cs="Calibri"/>
          <w:sz w:val="22"/>
          <w:szCs w:val="22"/>
        </w:rPr>
        <w:footnoteReference w:id="76"/>
      </w:r>
      <w:r w:rsidR="0018457D" w:rsidRPr="00D9152B">
        <w:rPr>
          <w:rFonts w:ascii="Calibri" w:hAnsi="Calibri" w:cs="Calibri"/>
          <w:sz w:val="22"/>
          <w:szCs w:val="22"/>
        </w:rPr>
        <w:t xml:space="preserve"> or policy scholars</w:t>
      </w:r>
      <w:r w:rsidRPr="00D9152B">
        <w:rPr>
          <w:rFonts w:ascii="Calibri" w:hAnsi="Calibri" w:cs="Calibri"/>
          <w:sz w:val="22"/>
          <w:szCs w:val="22"/>
        </w:rPr>
        <w:t xml:space="preserve"> have explicitly defined ‘success’. Drawing on Birn’s work</w:t>
      </w:r>
      <w:r w:rsidR="0020506E" w:rsidRPr="00D9152B">
        <w:rPr>
          <w:rFonts w:ascii="Calibri" w:hAnsi="Calibri" w:cs="Calibri"/>
          <w:sz w:val="22"/>
          <w:szCs w:val="22"/>
        </w:rPr>
        <w:t>, which summari</w:t>
      </w:r>
      <w:r w:rsidR="00254A9B">
        <w:rPr>
          <w:rFonts w:ascii="Calibri" w:hAnsi="Calibri" w:cs="Calibri"/>
          <w:sz w:val="22"/>
          <w:szCs w:val="22"/>
        </w:rPr>
        <w:t>s</w:t>
      </w:r>
      <w:r w:rsidR="0020506E" w:rsidRPr="00D9152B">
        <w:rPr>
          <w:rFonts w:ascii="Calibri" w:hAnsi="Calibri" w:cs="Calibri"/>
          <w:sz w:val="22"/>
          <w:szCs w:val="22"/>
        </w:rPr>
        <w:t>ed different periods of understanding of success in global health,</w:t>
      </w:r>
      <w:r w:rsidR="0020506E" w:rsidRPr="00D9152B">
        <w:rPr>
          <w:rStyle w:val="FootnoteReference"/>
          <w:rFonts w:ascii="Calibri" w:hAnsi="Calibri" w:cs="Calibri"/>
          <w:sz w:val="22"/>
          <w:szCs w:val="22"/>
        </w:rPr>
        <w:footnoteReference w:id="77"/>
      </w:r>
      <w:r w:rsidR="0020506E" w:rsidRPr="00D9152B">
        <w:rPr>
          <w:rFonts w:ascii="Calibri" w:hAnsi="Calibri" w:cs="Calibri"/>
          <w:sz w:val="22"/>
          <w:szCs w:val="22"/>
        </w:rPr>
        <w:t xml:space="preserve"> </w:t>
      </w:r>
      <w:r w:rsidRPr="00D9152B">
        <w:rPr>
          <w:rFonts w:ascii="Calibri" w:hAnsi="Calibri" w:cs="Calibri"/>
          <w:sz w:val="22"/>
          <w:szCs w:val="22"/>
        </w:rPr>
        <w:t xml:space="preserve">and a </w:t>
      </w:r>
      <w:r w:rsidR="006E3247">
        <w:rPr>
          <w:rFonts w:ascii="Calibri" w:hAnsi="Calibri" w:cs="Calibri"/>
          <w:sz w:val="22"/>
          <w:szCs w:val="22"/>
        </w:rPr>
        <w:t xml:space="preserve">literature </w:t>
      </w:r>
      <w:r w:rsidR="0020506E" w:rsidRPr="00D9152B">
        <w:rPr>
          <w:rFonts w:ascii="Calibri" w:hAnsi="Calibri" w:cs="Calibri"/>
          <w:sz w:val="22"/>
          <w:szCs w:val="22"/>
        </w:rPr>
        <w:t>review of global health governance scholars who have tackled the concept of success or effectiveness</w:t>
      </w:r>
      <w:r w:rsidRPr="00D9152B">
        <w:rPr>
          <w:rFonts w:ascii="Calibri" w:hAnsi="Calibri" w:cs="Calibri"/>
          <w:sz w:val="22"/>
          <w:szCs w:val="22"/>
        </w:rPr>
        <w:t xml:space="preserve">, </w:t>
      </w:r>
      <w:r w:rsidR="0020506E" w:rsidRPr="00D9152B">
        <w:rPr>
          <w:rFonts w:ascii="Calibri" w:hAnsi="Calibri" w:cs="Calibri"/>
          <w:sz w:val="22"/>
          <w:szCs w:val="22"/>
        </w:rPr>
        <w:t xml:space="preserve">I </w:t>
      </w:r>
      <w:r w:rsidR="00A42200" w:rsidRPr="00D9152B">
        <w:rPr>
          <w:rFonts w:ascii="Calibri" w:hAnsi="Calibri" w:cs="Calibri"/>
          <w:sz w:val="22"/>
          <w:szCs w:val="22"/>
        </w:rPr>
        <w:t>propose</w:t>
      </w:r>
      <w:r w:rsidR="0020506E" w:rsidRPr="00D9152B">
        <w:rPr>
          <w:rFonts w:ascii="Calibri" w:hAnsi="Calibri" w:cs="Calibri"/>
          <w:sz w:val="22"/>
          <w:szCs w:val="22"/>
        </w:rPr>
        <w:t xml:space="preserve"> three frameworks for understanding success in global health</w:t>
      </w:r>
      <w:r w:rsidRPr="00D9152B">
        <w:rPr>
          <w:rFonts w:ascii="Calibri" w:hAnsi="Calibri" w:cs="Calibri"/>
          <w:sz w:val="22"/>
          <w:szCs w:val="22"/>
        </w:rPr>
        <w:t xml:space="preserve">. I have </w:t>
      </w:r>
      <w:r w:rsidR="00A42200" w:rsidRPr="00D9152B">
        <w:rPr>
          <w:rFonts w:ascii="Calibri" w:hAnsi="Calibri" w:cs="Calibri"/>
          <w:sz w:val="22"/>
          <w:szCs w:val="22"/>
        </w:rPr>
        <w:t>defined these frameworks as:</w:t>
      </w:r>
      <w:r w:rsidRPr="00D9152B">
        <w:rPr>
          <w:rFonts w:ascii="Calibri" w:hAnsi="Calibri" w:cs="Calibri"/>
          <w:sz w:val="22"/>
          <w:szCs w:val="22"/>
        </w:rPr>
        <w:t xml:space="preserve"> ‘impact</w:t>
      </w:r>
      <w:r w:rsidR="00A42200" w:rsidRPr="00D9152B">
        <w:rPr>
          <w:rFonts w:ascii="Calibri" w:hAnsi="Calibri" w:cs="Calibri"/>
          <w:sz w:val="22"/>
          <w:szCs w:val="22"/>
        </w:rPr>
        <w:t>/</w:t>
      </w:r>
      <w:r w:rsidRPr="00D9152B">
        <w:rPr>
          <w:rFonts w:ascii="Calibri" w:hAnsi="Calibri" w:cs="Calibri"/>
          <w:sz w:val="22"/>
          <w:szCs w:val="22"/>
        </w:rPr>
        <w:t>evidence-base</w:t>
      </w:r>
      <w:r w:rsidR="00CD7F2E" w:rsidRPr="00D9152B">
        <w:rPr>
          <w:rFonts w:ascii="Calibri" w:hAnsi="Calibri" w:cs="Calibri"/>
          <w:sz w:val="22"/>
          <w:szCs w:val="22"/>
        </w:rPr>
        <w:t>d’, ‘marketing’, and ‘constructivist’</w:t>
      </w:r>
      <w:r w:rsidRPr="00D9152B">
        <w:rPr>
          <w:rFonts w:ascii="Calibri" w:hAnsi="Calibri" w:cs="Calibri"/>
          <w:sz w:val="22"/>
          <w:szCs w:val="22"/>
        </w:rPr>
        <w:t>.</w:t>
      </w:r>
      <w:r w:rsidR="009B20B2" w:rsidRPr="00D9152B">
        <w:rPr>
          <w:rFonts w:ascii="Calibri" w:hAnsi="Calibri" w:cs="Calibri"/>
          <w:sz w:val="22"/>
          <w:szCs w:val="22"/>
        </w:rPr>
        <w:t xml:space="preserve"> </w:t>
      </w:r>
    </w:p>
    <w:p w14:paraId="0CDC0A72" w14:textId="0E81278A" w:rsidR="00AC53E7"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 first framework</w:t>
      </w:r>
      <w:r w:rsidR="00A42200" w:rsidRPr="00D9152B">
        <w:rPr>
          <w:rFonts w:ascii="Calibri" w:hAnsi="Calibri" w:cs="Calibri"/>
          <w:sz w:val="22"/>
          <w:szCs w:val="22"/>
        </w:rPr>
        <w:t>, impact/evidenced-based,</w:t>
      </w:r>
      <w:r w:rsidRPr="00D9152B">
        <w:rPr>
          <w:rFonts w:ascii="Calibri" w:hAnsi="Calibri" w:cs="Calibri"/>
          <w:sz w:val="22"/>
          <w:szCs w:val="22"/>
        </w:rPr>
        <w:t xml:space="preserve"> is grounded </w:t>
      </w:r>
      <w:r w:rsidR="00CD7F2E" w:rsidRPr="00D9152B">
        <w:rPr>
          <w:rFonts w:ascii="Calibri" w:hAnsi="Calibri" w:cs="Calibri"/>
          <w:sz w:val="22"/>
          <w:szCs w:val="22"/>
        </w:rPr>
        <w:t xml:space="preserve">in </w:t>
      </w:r>
      <w:r w:rsidRPr="00D9152B">
        <w:rPr>
          <w:rFonts w:ascii="Calibri" w:hAnsi="Calibri" w:cs="Calibri"/>
          <w:sz w:val="22"/>
          <w:szCs w:val="22"/>
        </w:rPr>
        <w:t>evidence-based decision-making,</w:t>
      </w:r>
      <w:r w:rsidR="00A42200" w:rsidRPr="00D9152B">
        <w:rPr>
          <w:rFonts w:ascii="Calibri" w:hAnsi="Calibri" w:cs="Calibri"/>
          <w:sz w:val="22"/>
          <w:szCs w:val="22"/>
        </w:rPr>
        <w:t xml:space="preserve"> and</w:t>
      </w:r>
      <w:r w:rsidRPr="00D9152B">
        <w:rPr>
          <w:rFonts w:ascii="Calibri" w:hAnsi="Calibri" w:cs="Calibri"/>
          <w:sz w:val="22"/>
          <w:szCs w:val="22"/>
        </w:rPr>
        <w:t xml:space="preserve"> is favoured by the Center for Global Development (CGD), Bil</w:t>
      </w:r>
      <w:r w:rsidR="00EE77CB" w:rsidRPr="00D9152B">
        <w:rPr>
          <w:rFonts w:ascii="Calibri" w:hAnsi="Calibri" w:cs="Calibri"/>
          <w:sz w:val="22"/>
          <w:szCs w:val="22"/>
        </w:rPr>
        <w:t>l and Melinda Gates Foundation</w:t>
      </w:r>
      <w:r w:rsidRPr="00D9152B">
        <w:rPr>
          <w:rFonts w:ascii="Calibri" w:hAnsi="Calibri" w:cs="Calibri"/>
          <w:sz w:val="22"/>
          <w:szCs w:val="22"/>
        </w:rPr>
        <w:t>, and representatives from major multilateral health players like</w:t>
      </w:r>
      <w:r w:rsidR="00EE77CB" w:rsidRPr="00D9152B">
        <w:rPr>
          <w:rFonts w:ascii="Calibri" w:hAnsi="Calibri" w:cs="Calibri"/>
          <w:sz w:val="22"/>
          <w:szCs w:val="22"/>
        </w:rPr>
        <w:t xml:space="preserve"> the World Bank and WHO</w:t>
      </w:r>
      <w:r w:rsidRPr="00D9152B">
        <w:rPr>
          <w:rFonts w:ascii="Calibri" w:hAnsi="Calibri" w:cs="Calibri"/>
          <w:sz w:val="22"/>
          <w:szCs w:val="22"/>
        </w:rPr>
        <w:t>. The second framework</w:t>
      </w:r>
      <w:r w:rsidR="00A42200" w:rsidRPr="00D9152B">
        <w:rPr>
          <w:rFonts w:ascii="Calibri" w:hAnsi="Calibri" w:cs="Calibri"/>
          <w:sz w:val="22"/>
          <w:szCs w:val="22"/>
        </w:rPr>
        <w:t xml:space="preserve">, </w:t>
      </w:r>
      <w:r w:rsidR="003B4510" w:rsidRPr="00D9152B">
        <w:rPr>
          <w:rFonts w:ascii="Calibri" w:hAnsi="Calibri" w:cs="Calibri"/>
          <w:sz w:val="22"/>
          <w:szCs w:val="22"/>
        </w:rPr>
        <w:t>marketing</w:t>
      </w:r>
      <w:r w:rsidR="00A42200" w:rsidRPr="00D9152B">
        <w:rPr>
          <w:rFonts w:ascii="Calibri" w:hAnsi="Calibri" w:cs="Calibri"/>
          <w:sz w:val="22"/>
          <w:szCs w:val="22"/>
        </w:rPr>
        <w:t>,</w:t>
      </w:r>
      <w:r w:rsidRPr="00D9152B">
        <w:rPr>
          <w:rFonts w:ascii="Calibri" w:hAnsi="Calibri" w:cs="Calibri"/>
          <w:sz w:val="22"/>
          <w:szCs w:val="22"/>
        </w:rPr>
        <w:t xml:space="preserve"> emphasizes how success is the product of consensus decision-making of major global actors, and is advanced by scholars </w:t>
      </w:r>
      <w:r w:rsidR="0020506E" w:rsidRPr="00D9152B">
        <w:rPr>
          <w:rFonts w:ascii="Calibri" w:hAnsi="Calibri" w:cs="Calibri"/>
          <w:sz w:val="22"/>
          <w:szCs w:val="22"/>
        </w:rPr>
        <w:t xml:space="preserve">studying global health priority </w:t>
      </w:r>
      <w:r w:rsidR="00EE77CB" w:rsidRPr="00D9152B">
        <w:rPr>
          <w:rFonts w:ascii="Calibri" w:hAnsi="Calibri" w:cs="Calibri"/>
          <w:sz w:val="22"/>
          <w:szCs w:val="22"/>
        </w:rPr>
        <w:t>setting</w:t>
      </w:r>
      <w:r w:rsidRPr="00D9152B">
        <w:rPr>
          <w:rFonts w:ascii="Calibri" w:hAnsi="Calibri" w:cs="Calibri"/>
          <w:sz w:val="22"/>
          <w:szCs w:val="22"/>
        </w:rPr>
        <w:t>. The third framework</w:t>
      </w:r>
      <w:r w:rsidR="00A42200" w:rsidRPr="00D9152B">
        <w:rPr>
          <w:rFonts w:ascii="Calibri" w:hAnsi="Calibri" w:cs="Calibri"/>
          <w:sz w:val="22"/>
          <w:szCs w:val="22"/>
        </w:rPr>
        <w:t>, constructivist,</w:t>
      </w:r>
      <w:r w:rsidRPr="00D9152B">
        <w:rPr>
          <w:rFonts w:ascii="Calibri" w:hAnsi="Calibri" w:cs="Calibri"/>
          <w:sz w:val="22"/>
          <w:szCs w:val="22"/>
        </w:rPr>
        <w:t xml:space="preserve"> departs even further from the impact model. It emphasizes that success is a product of the times and of the most influential decision-makers in these times</w:t>
      </w:r>
      <w:r w:rsidR="00EE77CB" w:rsidRPr="00D9152B">
        <w:rPr>
          <w:rFonts w:ascii="Calibri" w:hAnsi="Calibri" w:cs="Calibri"/>
          <w:sz w:val="22"/>
          <w:szCs w:val="22"/>
        </w:rPr>
        <w:t>.</w:t>
      </w:r>
      <w:r w:rsidR="009B20B2" w:rsidRPr="00D9152B">
        <w:rPr>
          <w:rFonts w:ascii="Calibri" w:hAnsi="Calibri" w:cs="Calibri"/>
          <w:sz w:val="22"/>
          <w:szCs w:val="22"/>
        </w:rPr>
        <w:t xml:space="preserve"> While such success frameworks have been used operationally, to my knowledge, no global health governance scholars have attempted to delineate or label them. Figure </w:t>
      </w:r>
      <w:r w:rsidR="006E3247">
        <w:rPr>
          <w:rFonts w:ascii="Calibri" w:hAnsi="Calibri" w:cs="Calibri"/>
          <w:sz w:val="22"/>
          <w:szCs w:val="22"/>
        </w:rPr>
        <w:t>2.</w:t>
      </w:r>
      <w:r w:rsidR="009B20B2" w:rsidRPr="00D9152B">
        <w:rPr>
          <w:rFonts w:ascii="Calibri" w:hAnsi="Calibri" w:cs="Calibri"/>
          <w:sz w:val="22"/>
          <w:szCs w:val="22"/>
        </w:rPr>
        <w:t>1 provides an overview of each of these frameworks, which are best viewed on a continuous spectrum (rather than as frameworks with rigid borders).</w:t>
      </w:r>
    </w:p>
    <w:p w14:paraId="70897A19" w14:textId="77777777" w:rsidR="003B4510" w:rsidRPr="00D9152B" w:rsidRDefault="003B4510" w:rsidP="00413CE4">
      <w:pPr>
        <w:spacing w:before="100" w:beforeAutospacing="1" w:after="100" w:afterAutospacing="1"/>
        <w:rPr>
          <w:rFonts w:ascii="Calibri" w:hAnsi="Calibri" w:cs="Calibri"/>
        </w:rPr>
      </w:pPr>
      <w:r w:rsidRPr="00D9152B">
        <w:rPr>
          <w:rFonts w:ascii="Calibri" w:hAnsi="Calibri" w:cs="Calibri"/>
          <w:noProof/>
          <w:lang w:eastAsia="en-GB"/>
        </w:rPr>
        <w:lastRenderedPageBreak/>
        <mc:AlternateContent>
          <mc:Choice Requires="wps">
            <w:drawing>
              <wp:anchor distT="0" distB="0" distL="114300" distR="114300" simplePos="0" relativeHeight="251653120" behindDoc="0" locked="0" layoutInCell="1" allowOverlap="1" wp14:anchorId="15BC99FF" wp14:editId="25E71D0D">
                <wp:simplePos x="0" y="0"/>
                <wp:positionH relativeFrom="margin">
                  <wp:posOffset>189500</wp:posOffset>
                </wp:positionH>
                <wp:positionV relativeFrom="paragraph">
                  <wp:posOffset>3992245</wp:posOffset>
                </wp:positionV>
                <wp:extent cx="5322627" cy="559558"/>
                <wp:effectExtent l="0" t="19050" r="30480" b="31115"/>
                <wp:wrapNone/>
                <wp:docPr id="104" name="Right Arrow 104"/>
                <wp:cNvGraphicFramePr/>
                <a:graphic xmlns:a="http://schemas.openxmlformats.org/drawingml/2006/main">
                  <a:graphicData uri="http://schemas.microsoft.com/office/word/2010/wordprocessingShape">
                    <wps:wsp>
                      <wps:cNvSpPr/>
                      <wps:spPr>
                        <a:xfrm>
                          <a:off x="0" y="0"/>
                          <a:ext cx="5322627" cy="559558"/>
                        </a:xfrm>
                        <a:prstGeom prst="rightArrow">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528BDE07" w14:textId="77777777" w:rsidR="00CF189D" w:rsidRPr="00791A5A" w:rsidRDefault="00CF189D" w:rsidP="003B4510">
                            <w:pPr>
                              <w:jc w:val="center"/>
                              <w:rPr>
                                <w:rFonts w:asciiTheme="majorHAnsi" w:hAnsiTheme="majorHAnsi"/>
                                <w:sz w:val="20"/>
                                <w:szCs w:val="20"/>
                              </w:rPr>
                            </w:pPr>
                            <w:r w:rsidRPr="00791A5A">
                              <w:rPr>
                                <w:rFonts w:asciiTheme="majorHAnsi" w:hAnsiTheme="majorHAnsi"/>
                                <w:sz w:val="20"/>
                                <w:szCs w:val="20"/>
                              </w:rPr>
                              <w:t>Spectrum: increasing contestability of success and decreasing emphasis on metrics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5BC99F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04" o:spid="_x0000_s1028" type="#_x0000_t13" style="position:absolute;margin-left:14.9pt;margin-top:314.35pt;width:419.1pt;height:44.0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" adj="20465" fillcolor="#a5a5a5 [3206]" strokecolor="#525252 [1606]" strokeweight="1pt">
                <v:textbox>
                  <w:txbxContent>
                    <w:p w14:paraId="528BDE07" w14:textId="77777777" w:rsidR="00CF189D" w:rsidRPr="00791A5A" w:rsidRDefault="00CF189D" w:rsidP="003B4510">
                      <w:pPr>
                        <w:jc w:val="center"/>
                        <w:rPr>
                          <w:rFonts w:asciiTheme="majorHAnsi" w:hAnsiTheme="majorHAnsi"/>
                          <w:sz w:val="20"/>
                          <w:szCs w:val="20"/>
                        </w:rPr>
                      </w:pPr>
                      <w:r w:rsidRPr="00791A5A">
                        <w:rPr>
                          <w:rFonts w:asciiTheme="majorHAnsi" w:hAnsiTheme="majorHAnsi"/>
                          <w:sz w:val="20"/>
                          <w:szCs w:val="20"/>
                        </w:rPr>
                        <w:t>Spectrum: increasing contestability of success and decreasing emphasis on metrics</w:t>
                      </w:r>
                    </w:p>
                  </w:txbxContent>
                </v:textbox>
                <w10:wrap anchorx="margin"/>
              </v:shape>
            </w:pict>
          </mc:Fallback>
        </mc:AlternateContent>
      </w:r>
      <w:r w:rsidRPr="00D9152B">
        <w:rPr>
          <w:rFonts w:ascii="Calibri" w:hAnsi="Calibri" w:cs="Calibri"/>
          <w:noProof/>
          <w:lang w:eastAsia="en-GB"/>
        </w:rPr>
        <w:drawing>
          <wp:inline distT="0" distB="0" distL="0" distR="0" wp14:anchorId="037A2900" wp14:editId="1D800DA1">
            <wp:extent cx="5581934" cy="3890038"/>
            <wp:effectExtent l="38100" t="38100" r="31750" b="34290"/>
            <wp:docPr id="74" name="Diagram 7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651E043F" w14:textId="77777777" w:rsidR="003B4510" w:rsidRPr="00D9152B" w:rsidRDefault="003B4510" w:rsidP="00810635">
      <w:pPr>
        <w:jc w:val="both"/>
        <w:rPr>
          <w:rFonts w:ascii="Calibri" w:hAnsi="Calibri" w:cs="Calibri"/>
          <w:color w:val="808080" w:themeColor="background1" w:themeShade="80"/>
        </w:rPr>
      </w:pPr>
    </w:p>
    <w:p w14:paraId="08FE2CEE" w14:textId="77777777" w:rsidR="00810635" w:rsidRPr="00D9152B" w:rsidRDefault="00810635" w:rsidP="00810635">
      <w:pPr>
        <w:jc w:val="both"/>
        <w:rPr>
          <w:rFonts w:ascii="Calibri" w:hAnsi="Calibri" w:cs="Calibri"/>
          <w:color w:val="808080" w:themeColor="background1" w:themeShade="80"/>
        </w:rPr>
      </w:pPr>
    </w:p>
    <w:p w14:paraId="4BD0EB16" w14:textId="416FA7C0" w:rsidR="003B4510" w:rsidRPr="00D9152B" w:rsidRDefault="003B4510" w:rsidP="00810635">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6E3247">
        <w:rPr>
          <w:rFonts w:ascii="Calibri" w:hAnsi="Calibri" w:cs="Calibri"/>
          <w:color w:val="808080" w:themeColor="background1" w:themeShade="80"/>
          <w:sz w:val="22"/>
          <w:szCs w:val="22"/>
        </w:rPr>
        <w:t>2.</w:t>
      </w:r>
      <w:r w:rsidRPr="00D9152B">
        <w:rPr>
          <w:rFonts w:ascii="Calibri" w:hAnsi="Calibri" w:cs="Calibri"/>
          <w:color w:val="808080" w:themeColor="background1" w:themeShade="80"/>
          <w:sz w:val="22"/>
          <w:szCs w:val="22"/>
        </w:rPr>
        <w:t>1. Definitions and attributes of the three theoretical frameworks for understanding success in global health.</w:t>
      </w:r>
    </w:p>
    <w:p w14:paraId="6E6EB84A" w14:textId="2FCFF048" w:rsidR="00AC53E7"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following sections describe each of the frameworks in more detail, by looking at how </w:t>
      </w:r>
      <w:r w:rsidR="00A42200" w:rsidRPr="00D9152B">
        <w:rPr>
          <w:rFonts w:ascii="Calibri" w:hAnsi="Calibri" w:cs="Calibri"/>
          <w:sz w:val="22"/>
          <w:szCs w:val="22"/>
        </w:rPr>
        <w:t xml:space="preserve">success is defined through them, the attributes that they give to successful programmes, and the rationales (criteria) that they apply in selecting success stories. </w:t>
      </w:r>
      <w:r w:rsidR="009B20B2" w:rsidRPr="00D9152B">
        <w:rPr>
          <w:rFonts w:ascii="Calibri" w:hAnsi="Calibri" w:cs="Calibri"/>
          <w:sz w:val="22"/>
          <w:szCs w:val="22"/>
        </w:rPr>
        <w:t>By</w:t>
      </w:r>
      <w:r w:rsidR="00A42200" w:rsidRPr="00D9152B">
        <w:rPr>
          <w:rFonts w:ascii="Calibri" w:hAnsi="Calibri" w:cs="Calibri"/>
          <w:sz w:val="22"/>
          <w:szCs w:val="22"/>
        </w:rPr>
        <w:t xml:space="preserve"> proposing these frameworks, I analyse how success is conceived in the global health governance field. In other words, I apply these frameworks to the institutional level of global health </w:t>
      </w:r>
      <w:r w:rsidRPr="00D9152B">
        <w:rPr>
          <w:rFonts w:ascii="Calibri" w:hAnsi="Calibri" w:cs="Calibri"/>
          <w:sz w:val="22"/>
          <w:szCs w:val="22"/>
        </w:rPr>
        <w:t>(i.e. considering success at the level of priority setting</w:t>
      </w:r>
      <w:r w:rsidR="0020506E" w:rsidRPr="00D9152B">
        <w:rPr>
          <w:rFonts w:ascii="Calibri" w:hAnsi="Calibri" w:cs="Calibri"/>
          <w:sz w:val="22"/>
          <w:szCs w:val="22"/>
        </w:rPr>
        <w:t xml:space="preserve"> and policy</w:t>
      </w:r>
      <w:r w:rsidRPr="00D9152B">
        <w:rPr>
          <w:rFonts w:ascii="Calibri" w:hAnsi="Calibri" w:cs="Calibri"/>
          <w:sz w:val="22"/>
          <w:szCs w:val="22"/>
        </w:rPr>
        <w:t xml:space="preserve"> by major actors like the World Bank and World Health Organization), rather than at a project management</w:t>
      </w:r>
      <w:r w:rsidRPr="00D9152B">
        <w:rPr>
          <w:rStyle w:val="FootnoteReference"/>
          <w:rFonts w:ascii="Calibri" w:hAnsi="Calibri" w:cs="Calibri"/>
          <w:sz w:val="22"/>
          <w:szCs w:val="22"/>
        </w:rPr>
        <w:footnoteReference w:id="78"/>
      </w:r>
      <w:r w:rsidRPr="00D9152B">
        <w:rPr>
          <w:rFonts w:ascii="Calibri" w:hAnsi="Calibri" w:cs="Calibri"/>
          <w:sz w:val="22"/>
          <w:szCs w:val="22"/>
        </w:rPr>
        <w:t xml:space="preserve"> or beneficiary population level.</w:t>
      </w:r>
    </w:p>
    <w:p w14:paraId="4106B07B" w14:textId="7C78B682" w:rsidR="00AC53E7" w:rsidRPr="00D9152B" w:rsidRDefault="0009749C" w:rsidP="00984DC0">
      <w:pPr>
        <w:pStyle w:val="Heading3"/>
        <w:rPr>
          <w:rFonts w:ascii="Calibri" w:hAnsi="Calibri" w:cs="Calibri"/>
          <w:b/>
          <w:i/>
          <w:color w:val="000000" w:themeColor="text1"/>
          <w:sz w:val="22"/>
          <w:szCs w:val="22"/>
        </w:rPr>
      </w:pPr>
      <w:bookmarkStart w:id="19" w:name="_Toc41505593"/>
      <w:r w:rsidRPr="00D9152B">
        <w:rPr>
          <w:rFonts w:ascii="Calibri" w:hAnsi="Calibri" w:cs="Calibri"/>
          <w:b/>
          <w:i/>
          <w:color w:val="000000" w:themeColor="text1"/>
          <w:sz w:val="22"/>
          <w:szCs w:val="22"/>
        </w:rPr>
        <w:lastRenderedPageBreak/>
        <w:t>2.2.A</w:t>
      </w:r>
      <w:r w:rsidR="00DF52DF" w:rsidRPr="00D9152B">
        <w:rPr>
          <w:rFonts w:ascii="Calibri" w:hAnsi="Calibri" w:cs="Calibri"/>
          <w:b/>
          <w:i/>
          <w:color w:val="000000" w:themeColor="text1"/>
          <w:sz w:val="22"/>
          <w:szCs w:val="22"/>
        </w:rPr>
        <w:t>.</w:t>
      </w:r>
      <w:r w:rsidR="00A14D17" w:rsidRPr="00D9152B">
        <w:rPr>
          <w:rFonts w:ascii="Calibri" w:hAnsi="Calibri" w:cs="Calibri"/>
          <w:b/>
          <w:i/>
          <w:color w:val="000000" w:themeColor="text1"/>
          <w:sz w:val="22"/>
          <w:szCs w:val="22"/>
        </w:rPr>
        <w:t xml:space="preserve"> </w:t>
      </w:r>
      <w:r w:rsidR="002F22C3" w:rsidRPr="00D9152B">
        <w:rPr>
          <w:rFonts w:ascii="Calibri" w:hAnsi="Calibri" w:cs="Calibri"/>
          <w:b/>
          <w:i/>
          <w:color w:val="000000" w:themeColor="text1"/>
          <w:sz w:val="22"/>
          <w:szCs w:val="22"/>
        </w:rPr>
        <w:t>The i</w:t>
      </w:r>
      <w:r w:rsidR="0020506E" w:rsidRPr="00D9152B">
        <w:rPr>
          <w:rFonts w:ascii="Calibri" w:hAnsi="Calibri" w:cs="Calibri"/>
          <w:b/>
          <w:i/>
          <w:color w:val="000000" w:themeColor="text1"/>
          <w:sz w:val="22"/>
          <w:szCs w:val="22"/>
        </w:rPr>
        <w:t>mpact/evidence-based f</w:t>
      </w:r>
      <w:r w:rsidR="00AC53E7" w:rsidRPr="00D9152B">
        <w:rPr>
          <w:rFonts w:ascii="Calibri" w:hAnsi="Calibri" w:cs="Calibri"/>
          <w:b/>
          <w:i/>
          <w:color w:val="000000" w:themeColor="text1"/>
          <w:sz w:val="22"/>
          <w:szCs w:val="22"/>
        </w:rPr>
        <w:t>ramework</w:t>
      </w:r>
      <w:bookmarkEnd w:id="19"/>
    </w:p>
    <w:p w14:paraId="02577D95" w14:textId="6A8B2551" w:rsidR="00B52843"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This framework defines success as the reduced prevalence of disease or </w:t>
      </w:r>
      <w:r w:rsidR="00314478" w:rsidRPr="00D9152B">
        <w:rPr>
          <w:rFonts w:ascii="Calibri" w:hAnsi="Calibri" w:cs="Calibri"/>
          <w:sz w:val="22"/>
          <w:szCs w:val="22"/>
        </w:rPr>
        <w:t xml:space="preserve">the </w:t>
      </w:r>
      <w:r w:rsidRPr="00D9152B">
        <w:rPr>
          <w:rFonts w:ascii="Calibri" w:hAnsi="Calibri" w:cs="Calibri"/>
          <w:sz w:val="22"/>
          <w:szCs w:val="22"/>
        </w:rPr>
        <w:t xml:space="preserve">improvement of specific health outcomes, for the largest population possible. </w:t>
      </w:r>
      <w:r w:rsidR="00B77A1A" w:rsidRPr="00D9152B">
        <w:rPr>
          <w:rFonts w:ascii="Calibri" w:hAnsi="Calibri" w:cs="Calibri"/>
          <w:sz w:val="22"/>
          <w:szCs w:val="22"/>
        </w:rPr>
        <w:t xml:space="preserve">Proponents of this framework place emphasis on technically-grounded indicators – metrics – of success, such as reduced disability-adjusted life years (DALYs), cost-effectiveness, and level of distribution (i.e. number of drugs or bed-nets distributed) for the health intervention. </w:t>
      </w:r>
      <w:r w:rsidRPr="00D9152B">
        <w:rPr>
          <w:rFonts w:ascii="Calibri" w:hAnsi="Calibri" w:cs="Calibri"/>
          <w:sz w:val="22"/>
          <w:szCs w:val="22"/>
        </w:rPr>
        <w:t xml:space="preserve">Success is seen as an endpoint; it is the meeting of a programme’s objectives over time, on a sufficiently large scale. As such, </w:t>
      </w:r>
      <w:r w:rsidR="00B77A1A" w:rsidRPr="00D9152B">
        <w:rPr>
          <w:rFonts w:ascii="Calibri" w:hAnsi="Calibri" w:cs="Calibri"/>
          <w:sz w:val="22"/>
          <w:szCs w:val="22"/>
        </w:rPr>
        <w:t xml:space="preserve">the use of specific metrics provides a specific point that </w:t>
      </w:r>
      <w:r w:rsidRPr="00D9152B">
        <w:rPr>
          <w:rFonts w:ascii="Calibri" w:hAnsi="Calibri" w:cs="Calibri"/>
          <w:sz w:val="22"/>
          <w:szCs w:val="22"/>
        </w:rPr>
        <w:t>can be reached at which a programme becomes a success (such as an evaluation showing improvement of health outcomes). A declar</w:t>
      </w:r>
      <w:r w:rsidR="00EE77CB" w:rsidRPr="00D9152B">
        <w:rPr>
          <w:rFonts w:ascii="Calibri" w:hAnsi="Calibri" w:cs="Calibri"/>
          <w:sz w:val="22"/>
          <w:szCs w:val="22"/>
        </w:rPr>
        <w:t xml:space="preserve">ation of success is </w:t>
      </w:r>
      <w:r w:rsidRPr="00D9152B">
        <w:rPr>
          <w:rFonts w:ascii="Calibri" w:hAnsi="Calibri" w:cs="Calibri"/>
          <w:sz w:val="22"/>
          <w:szCs w:val="22"/>
        </w:rPr>
        <w:t xml:space="preserve">evidence-based and largely non-contestable. </w:t>
      </w:r>
    </w:p>
    <w:p w14:paraId="404CDB68" w14:textId="283C162E" w:rsidR="00332C89"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Since 2000, the Gates Foundation has been one of the major supporters of the impact framework. In 2009, it launched a Living Proof Project Campaign to showcase ‘extraordinary success through stories of U.S. involvement in global health’. This awareness campaign used specific metrics to identify and showcase global health successes.</w:t>
      </w:r>
      <w:r w:rsidR="00DF2EAB" w:rsidRPr="00D9152B">
        <w:rPr>
          <w:rStyle w:val="FootnoteReference"/>
          <w:rFonts w:ascii="Calibri" w:hAnsi="Calibri" w:cs="Calibri"/>
          <w:sz w:val="22"/>
          <w:szCs w:val="22"/>
        </w:rPr>
        <w:footnoteReference w:id="79"/>
      </w:r>
      <w:r w:rsidR="00332C89" w:rsidRPr="00D9152B">
        <w:rPr>
          <w:rFonts w:ascii="Calibri" w:hAnsi="Calibri" w:cs="Calibri"/>
          <w:sz w:val="22"/>
          <w:szCs w:val="22"/>
        </w:rPr>
        <w:t xml:space="preserve"> </w:t>
      </w:r>
      <w:r w:rsidRPr="00D9152B">
        <w:rPr>
          <w:rFonts w:ascii="Calibri" w:hAnsi="Calibri" w:cs="Calibri"/>
          <w:sz w:val="22"/>
          <w:szCs w:val="22"/>
        </w:rPr>
        <w:t xml:space="preserve">The Gates Foundation also funded a major initiative at </w:t>
      </w:r>
      <w:r w:rsidR="00AA0BC1" w:rsidRPr="00D9152B">
        <w:rPr>
          <w:rFonts w:ascii="Calibri" w:hAnsi="Calibri" w:cs="Calibri"/>
          <w:sz w:val="22"/>
          <w:szCs w:val="22"/>
        </w:rPr>
        <w:t xml:space="preserve">the </w:t>
      </w:r>
      <w:r w:rsidR="008F1481" w:rsidRPr="00D9152B">
        <w:rPr>
          <w:rFonts w:ascii="Calibri" w:hAnsi="Calibri" w:cs="Calibri"/>
          <w:sz w:val="22"/>
          <w:szCs w:val="22"/>
        </w:rPr>
        <w:t>Center for Global Development</w:t>
      </w:r>
      <w:r w:rsidRPr="00D9152B">
        <w:rPr>
          <w:rFonts w:ascii="Calibri" w:hAnsi="Calibri" w:cs="Calibri"/>
          <w:sz w:val="22"/>
          <w:szCs w:val="22"/>
        </w:rPr>
        <w:t>, the What’s Worked Working Group, which identified large-scale global health success stories from 2002-2016.</w:t>
      </w:r>
      <w:r w:rsidRPr="00D9152B">
        <w:rPr>
          <w:rStyle w:val="FootnoteReference"/>
          <w:rFonts w:ascii="Calibri" w:hAnsi="Calibri" w:cs="Calibri"/>
          <w:sz w:val="22"/>
          <w:szCs w:val="22"/>
        </w:rPr>
        <w:footnoteReference w:id="80"/>
      </w:r>
      <w:r w:rsidRPr="00D9152B">
        <w:rPr>
          <w:rFonts w:ascii="Calibri" w:hAnsi="Calibri" w:cs="Calibri"/>
          <w:sz w:val="22"/>
          <w:szCs w:val="22"/>
        </w:rPr>
        <w:t xml:space="preserve"> This working group was composed of fifteen international health experts, development economists, and public policy experts, approximately half of whom were former Bank employees.</w:t>
      </w:r>
      <w:r w:rsidRPr="00D9152B">
        <w:rPr>
          <w:rStyle w:val="FootnoteReference"/>
          <w:rFonts w:ascii="Calibri" w:hAnsi="Calibri" w:cs="Calibri"/>
          <w:sz w:val="22"/>
          <w:szCs w:val="22"/>
        </w:rPr>
        <w:footnoteReference w:id="81"/>
      </w:r>
      <w:r w:rsidRPr="00D9152B">
        <w:rPr>
          <w:rFonts w:ascii="Calibri" w:hAnsi="Calibri" w:cs="Calibri"/>
          <w:sz w:val="22"/>
          <w:szCs w:val="22"/>
        </w:rPr>
        <w:t xml:space="preserve"> Based on the </w:t>
      </w:r>
      <w:r w:rsidRPr="00D9152B">
        <w:rPr>
          <w:rFonts w:ascii="Calibri" w:hAnsi="Calibri" w:cs="Calibri"/>
          <w:sz w:val="22"/>
          <w:szCs w:val="22"/>
        </w:rPr>
        <w:lastRenderedPageBreak/>
        <w:t xml:space="preserve">recommendations of this group, the </w:t>
      </w:r>
      <w:r w:rsidR="008F1481" w:rsidRPr="00D9152B">
        <w:rPr>
          <w:rFonts w:ascii="Calibri" w:hAnsi="Calibri" w:cs="Calibri"/>
          <w:sz w:val="22"/>
          <w:szCs w:val="22"/>
        </w:rPr>
        <w:t>Center for Global Development</w:t>
      </w:r>
      <w:r w:rsidRPr="00D9152B">
        <w:rPr>
          <w:rFonts w:ascii="Calibri" w:hAnsi="Calibri" w:cs="Calibri"/>
          <w:sz w:val="22"/>
          <w:szCs w:val="22"/>
        </w:rPr>
        <w:t xml:space="preserve"> released three editions of a book, </w:t>
      </w:r>
      <w:r w:rsidRPr="00D9152B">
        <w:rPr>
          <w:rFonts w:ascii="Calibri" w:hAnsi="Calibri" w:cs="Calibri"/>
          <w:i/>
          <w:sz w:val="22"/>
          <w:szCs w:val="22"/>
        </w:rPr>
        <w:t xml:space="preserve">Millions </w:t>
      </w:r>
      <w:r w:rsidR="006521ED" w:rsidRPr="00D9152B">
        <w:rPr>
          <w:rFonts w:ascii="Calibri" w:hAnsi="Calibri" w:cs="Calibri"/>
          <w:i/>
          <w:sz w:val="22"/>
          <w:szCs w:val="22"/>
        </w:rPr>
        <w:t>s</w:t>
      </w:r>
      <w:r w:rsidRPr="00D9152B">
        <w:rPr>
          <w:rFonts w:ascii="Calibri" w:hAnsi="Calibri" w:cs="Calibri"/>
          <w:i/>
          <w:sz w:val="22"/>
          <w:szCs w:val="22"/>
        </w:rPr>
        <w:t>aved</w:t>
      </w:r>
      <w:r w:rsidRPr="00D9152B">
        <w:rPr>
          <w:rFonts w:ascii="Calibri" w:hAnsi="Calibri" w:cs="Calibri"/>
          <w:sz w:val="22"/>
          <w:szCs w:val="22"/>
        </w:rPr>
        <w:t>, in 2004, 2007, and 2016.</w:t>
      </w:r>
      <w:r w:rsidRPr="00D9152B">
        <w:rPr>
          <w:rStyle w:val="FootnoteReference"/>
          <w:rFonts w:ascii="Calibri" w:hAnsi="Calibri" w:cs="Calibri"/>
          <w:sz w:val="22"/>
          <w:szCs w:val="22"/>
        </w:rPr>
        <w:footnoteReference w:id="82"/>
      </w:r>
      <w:r w:rsidRPr="00D9152B">
        <w:rPr>
          <w:rFonts w:ascii="Calibri" w:hAnsi="Calibri" w:cs="Calibri"/>
          <w:sz w:val="22"/>
          <w:szCs w:val="22"/>
        </w:rPr>
        <w:t xml:space="preserve"> </w:t>
      </w:r>
    </w:p>
    <w:p w14:paraId="0870BE47" w14:textId="1568639D" w:rsidR="00332C89"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In the first two </w:t>
      </w:r>
      <w:r w:rsidR="00EE77CB" w:rsidRPr="00D9152B">
        <w:rPr>
          <w:rFonts w:ascii="Calibri" w:hAnsi="Calibri" w:cs="Calibri"/>
          <w:sz w:val="22"/>
          <w:szCs w:val="22"/>
        </w:rPr>
        <w:t>iterations</w:t>
      </w:r>
      <w:r w:rsidR="00332C89" w:rsidRPr="00D9152B">
        <w:rPr>
          <w:rFonts w:ascii="Calibri" w:hAnsi="Calibri" w:cs="Calibri"/>
          <w:sz w:val="22"/>
          <w:szCs w:val="22"/>
        </w:rPr>
        <w:t xml:space="preserve"> of </w:t>
      </w:r>
      <w:r w:rsidR="00332C89" w:rsidRPr="00D9152B">
        <w:rPr>
          <w:rFonts w:ascii="Calibri" w:hAnsi="Calibri" w:cs="Calibri"/>
          <w:i/>
          <w:sz w:val="22"/>
          <w:szCs w:val="22"/>
        </w:rPr>
        <w:t xml:space="preserve">Millions </w:t>
      </w:r>
      <w:r w:rsidR="006521ED" w:rsidRPr="00D9152B">
        <w:rPr>
          <w:rFonts w:ascii="Calibri" w:hAnsi="Calibri" w:cs="Calibri"/>
          <w:i/>
          <w:sz w:val="22"/>
          <w:szCs w:val="22"/>
        </w:rPr>
        <w:t>s</w:t>
      </w:r>
      <w:r w:rsidR="00332C89" w:rsidRPr="00D9152B">
        <w:rPr>
          <w:rFonts w:ascii="Calibri" w:hAnsi="Calibri" w:cs="Calibri"/>
          <w:i/>
          <w:sz w:val="22"/>
          <w:szCs w:val="22"/>
        </w:rPr>
        <w:t>aved</w:t>
      </w:r>
      <w:r w:rsidRPr="00D9152B">
        <w:rPr>
          <w:rFonts w:ascii="Calibri" w:hAnsi="Calibri" w:cs="Calibri"/>
          <w:sz w:val="22"/>
          <w:szCs w:val="22"/>
        </w:rPr>
        <w:t>, success was defined in terms of impact and a data-driven approach was used to measure impact through precise metrics. For example, the five criteria for success included scale,</w:t>
      </w:r>
      <w:r w:rsidRPr="00D9152B">
        <w:rPr>
          <w:rStyle w:val="FootnoteReference"/>
          <w:rFonts w:ascii="Calibri" w:hAnsi="Calibri" w:cs="Calibri"/>
          <w:sz w:val="22"/>
          <w:szCs w:val="22"/>
        </w:rPr>
        <w:footnoteReference w:id="83"/>
      </w:r>
      <w:r w:rsidRPr="00D9152B">
        <w:rPr>
          <w:rFonts w:ascii="Calibri" w:hAnsi="Calibri" w:cs="Calibri"/>
          <w:sz w:val="22"/>
          <w:szCs w:val="22"/>
        </w:rPr>
        <w:t xml:space="preserve"> importance, impact, duration,</w:t>
      </w:r>
      <w:r w:rsidRPr="00D9152B">
        <w:rPr>
          <w:rStyle w:val="FootnoteReference"/>
          <w:rFonts w:ascii="Calibri" w:hAnsi="Calibri" w:cs="Calibri"/>
          <w:sz w:val="22"/>
          <w:szCs w:val="22"/>
        </w:rPr>
        <w:footnoteReference w:id="84"/>
      </w:r>
      <w:r w:rsidRPr="00D9152B">
        <w:rPr>
          <w:rFonts w:ascii="Calibri" w:hAnsi="Calibri" w:cs="Calibri"/>
          <w:sz w:val="22"/>
          <w:szCs w:val="22"/>
        </w:rPr>
        <w:t xml:space="preserve"> and cost-effectiveness. DALYs were used as indicators for project ‘importance’, statistics like immunization coverage and changes in morbidity/mortality were used as indicators for project ‘impact’, and a DALYs-saved threshold was used as an indicator of cost-effectiveness.</w:t>
      </w:r>
      <w:r w:rsidRPr="00D9152B">
        <w:rPr>
          <w:rStyle w:val="FootnoteReference"/>
          <w:rFonts w:ascii="Calibri" w:hAnsi="Calibri" w:cs="Calibri"/>
          <w:sz w:val="22"/>
          <w:szCs w:val="22"/>
        </w:rPr>
        <w:footnoteReference w:id="85"/>
      </w:r>
      <w:r w:rsidRPr="00D9152B">
        <w:rPr>
          <w:rFonts w:ascii="Calibri" w:hAnsi="Calibri" w:cs="Calibri"/>
          <w:sz w:val="22"/>
          <w:szCs w:val="22"/>
        </w:rPr>
        <w:t xml:space="preserve"> Once projects were selected based on these indicators, the </w:t>
      </w:r>
      <w:r w:rsidR="006521ED" w:rsidRPr="00D9152B">
        <w:rPr>
          <w:rFonts w:ascii="Calibri" w:hAnsi="Calibri" w:cs="Calibri"/>
          <w:sz w:val="22"/>
          <w:szCs w:val="22"/>
        </w:rPr>
        <w:t>Center for Global Development</w:t>
      </w:r>
      <w:r w:rsidRPr="00D9152B">
        <w:rPr>
          <w:rFonts w:ascii="Calibri" w:hAnsi="Calibri" w:cs="Calibri"/>
          <w:sz w:val="22"/>
          <w:szCs w:val="22"/>
        </w:rPr>
        <w:t xml:space="preserve"> group looked for commonalities between the success stories. The </w:t>
      </w:r>
      <w:r w:rsidR="006521ED" w:rsidRPr="00D9152B">
        <w:rPr>
          <w:rFonts w:ascii="Calibri" w:hAnsi="Calibri" w:cs="Calibri"/>
          <w:sz w:val="22"/>
          <w:szCs w:val="22"/>
        </w:rPr>
        <w:t>group</w:t>
      </w:r>
      <w:r w:rsidRPr="00D9152B">
        <w:rPr>
          <w:rFonts w:ascii="Calibri" w:hAnsi="Calibri" w:cs="Calibri"/>
          <w:sz w:val="22"/>
          <w:szCs w:val="22"/>
        </w:rPr>
        <w:t xml:space="preserve"> ultimately argued that global health successes shared six commonalities: political leadership and champions, technological innovation, expert consensus around the approach, management that effectively uses information, sufficient financial resources, and (ideally) community participation or strong </w:t>
      </w:r>
      <w:r w:rsidR="006521ED" w:rsidRPr="00D9152B">
        <w:rPr>
          <w:rFonts w:ascii="Calibri" w:hAnsi="Calibri" w:cs="Calibri"/>
          <w:sz w:val="22"/>
          <w:szCs w:val="22"/>
        </w:rPr>
        <w:t>non-governmental organization (NGO)</w:t>
      </w:r>
      <w:r w:rsidRPr="00D9152B">
        <w:rPr>
          <w:rFonts w:ascii="Calibri" w:hAnsi="Calibri" w:cs="Calibri"/>
          <w:sz w:val="22"/>
          <w:szCs w:val="22"/>
        </w:rPr>
        <w:t xml:space="preserve"> involvement. The success stories selected were heavily skewed towards vertical programmes, whose impact could be measured through these tight statist</w:t>
      </w:r>
      <w:r w:rsidR="00B52843" w:rsidRPr="00D9152B">
        <w:rPr>
          <w:rFonts w:ascii="Calibri" w:hAnsi="Calibri" w:cs="Calibri"/>
          <w:sz w:val="22"/>
          <w:szCs w:val="22"/>
        </w:rPr>
        <w:t>ics, and included the OCP</w:t>
      </w:r>
      <w:r w:rsidR="006521ED" w:rsidRPr="00D9152B">
        <w:rPr>
          <w:rFonts w:ascii="Calibri" w:hAnsi="Calibri" w:cs="Calibri"/>
          <w:sz w:val="22"/>
          <w:szCs w:val="22"/>
        </w:rPr>
        <w:t xml:space="preserve"> and African Programme for Onchocerciasis Control (APOC)</w:t>
      </w:r>
      <w:r w:rsidR="00B52843" w:rsidRPr="00D9152B">
        <w:rPr>
          <w:rFonts w:ascii="Calibri" w:hAnsi="Calibri" w:cs="Calibri"/>
          <w:sz w:val="22"/>
          <w:szCs w:val="22"/>
        </w:rPr>
        <w:t>.</w:t>
      </w:r>
      <w:r w:rsidR="006521ED" w:rsidRPr="00D9152B">
        <w:rPr>
          <w:rStyle w:val="FootnoteReference"/>
          <w:rFonts w:ascii="Calibri" w:hAnsi="Calibri" w:cs="Calibri"/>
        </w:rPr>
        <w:footnoteReference w:id="86"/>
      </w:r>
    </w:p>
    <w:p w14:paraId="3A2D2D89" w14:textId="6D984255" w:rsidR="00B52843"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Bill Gates wrote the forward for the 2016 edition of </w:t>
      </w:r>
      <w:r w:rsidRPr="00D9152B">
        <w:rPr>
          <w:rFonts w:ascii="Calibri" w:hAnsi="Calibri" w:cs="Calibri"/>
          <w:i/>
          <w:sz w:val="22"/>
          <w:szCs w:val="22"/>
        </w:rPr>
        <w:t xml:space="preserve">Millions </w:t>
      </w:r>
      <w:r w:rsidR="006521ED" w:rsidRPr="00D9152B">
        <w:rPr>
          <w:rFonts w:ascii="Calibri" w:hAnsi="Calibri" w:cs="Calibri"/>
          <w:i/>
          <w:sz w:val="22"/>
          <w:szCs w:val="22"/>
        </w:rPr>
        <w:t>s</w:t>
      </w:r>
      <w:r w:rsidRPr="00D9152B">
        <w:rPr>
          <w:rFonts w:ascii="Calibri" w:hAnsi="Calibri" w:cs="Calibri"/>
          <w:i/>
          <w:sz w:val="22"/>
          <w:szCs w:val="22"/>
        </w:rPr>
        <w:t>aved</w:t>
      </w:r>
      <w:r w:rsidRPr="00D9152B">
        <w:rPr>
          <w:rFonts w:ascii="Calibri" w:hAnsi="Calibri" w:cs="Calibri"/>
          <w:sz w:val="22"/>
          <w:szCs w:val="22"/>
        </w:rPr>
        <w:t xml:space="preserve">, which showcased 22 new success stories – and four ‘disappointments’. Cases in this edition contained slightly </w:t>
      </w:r>
      <w:r w:rsidR="00EB4914">
        <w:rPr>
          <w:rFonts w:ascii="Calibri" w:hAnsi="Calibri" w:cs="Calibri"/>
          <w:sz w:val="22"/>
          <w:szCs w:val="22"/>
        </w:rPr>
        <w:t>fewer</w:t>
      </w:r>
      <w:r w:rsidR="00EB4914" w:rsidRPr="00D9152B">
        <w:rPr>
          <w:rFonts w:ascii="Calibri" w:hAnsi="Calibri" w:cs="Calibri"/>
          <w:sz w:val="22"/>
          <w:szCs w:val="22"/>
        </w:rPr>
        <w:t xml:space="preserve"> </w:t>
      </w:r>
      <w:r w:rsidRPr="00D9152B">
        <w:rPr>
          <w:rFonts w:ascii="Calibri" w:hAnsi="Calibri" w:cs="Calibri"/>
          <w:sz w:val="22"/>
          <w:szCs w:val="22"/>
        </w:rPr>
        <w:t xml:space="preserve">vertical initiatives, and more emphasis was placed on innovative financing techniques like targeted cash transfers. Ultimately, however, the new edition offered a similar definition of success: the highest impact on one or more health outcomes, ideally supported with cost-effectiveness studies. Criteria for success were also </w:t>
      </w:r>
      <w:r w:rsidRPr="00D9152B">
        <w:rPr>
          <w:rFonts w:ascii="Calibri" w:hAnsi="Calibri" w:cs="Calibri"/>
          <w:sz w:val="22"/>
          <w:szCs w:val="22"/>
        </w:rPr>
        <w:lastRenderedPageBreak/>
        <w:t xml:space="preserve">similar, although slightly less emphasis was placed on </w:t>
      </w:r>
      <w:r w:rsidR="00EE77CB" w:rsidRPr="00D9152B">
        <w:rPr>
          <w:rFonts w:ascii="Calibri" w:hAnsi="Calibri" w:cs="Calibri"/>
          <w:sz w:val="22"/>
          <w:szCs w:val="22"/>
        </w:rPr>
        <w:t>DALYs as a single indicator</w:t>
      </w:r>
      <w:r w:rsidRPr="00D9152B">
        <w:rPr>
          <w:rFonts w:ascii="Calibri" w:hAnsi="Calibri" w:cs="Calibri"/>
          <w:sz w:val="22"/>
          <w:szCs w:val="22"/>
        </w:rPr>
        <w:t>.</w:t>
      </w:r>
      <w:r w:rsidR="00F5331D" w:rsidRPr="00D9152B">
        <w:rPr>
          <w:rStyle w:val="FootnoteReference"/>
          <w:rFonts w:ascii="Calibri" w:hAnsi="Calibri" w:cs="Calibri"/>
          <w:sz w:val="22"/>
          <w:szCs w:val="22"/>
        </w:rPr>
        <w:footnoteReference w:id="87"/>
      </w:r>
      <w:r w:rsidR="00332C89" w:rsidRPr="00D9152B">
        <w:rPr>
          <w:rFonts w:ascii="Calibri" w:hAnsi="Calibri" w:cs="Calibri"/>
          <w:sz w:val="22"/>
          <w:szCs w:val="22"/>
        </w:rPr>
        <w:t xml:space="preserve"> </w:t>
      </w:r>
      <w:r w:rsidRPr="00D9152B">
        <w:rPr>
          <w:rFonts w:ascii="Calibri" w:hAnsi="Calibri" w:cs="Calibri"/>
          <w:sz w:val="22"/>
          <w:szCs w:val="22"/>
        </w:rPr>
        <w:t xml:space="preserve">The successes taught in the recent </w:t>
      </w:r>
      <w:r w:rsidRPr="00D9152B">
        <w:rPr>
          <w:rFonts w:ascii="Calibri" w:hAnsi="Calibri" w:cs="Calibri"/>
          <w:i/>
          <w:sz w:val="22"/>
          <w:szCs w:val="22"/>
        </w:rPr>
        <w:t xml:space="preserve">Millions </w:t>
      </w:r>
      <w:r w:rsidR="006E3247">
        <w:rPr>
          <w:rFonts w:ascii="Calibri" w:hAnsi="Calibri" w:cs="Calibri"/>
          <w:i/>
          <w:sz w:val="22"/>
          <w:szCs w:val="22"/>
        </w:rPr>
        <w:t>s</w:t>
      </w:r>
      <w:r w:rsidRPr="00D9152B">
        <w:rPr>
          <w:rFonts w:ascii="Calibri" w:hAnsi="Calibri" w:cs="Calibri"/>
          <w:i/>
          <w:sz w:val="22"/>
          <w:szCs w:val="22"/>
        </w:rPr>
        <w:t xml:space="preserve">aved </w:t>
      </w:r>
      <w:r w:rsidRPr="00D9152B">
        <w:rPr>
          <w:rFonts w:ascii="Calibri" w:hAnsi="Calibri" w:cs="Calibri"/>
          <w:sz w:val="22"/>
          <w:szCs w:val="22"/>
        </w:rPr>
        <w:t>volume are now required readings at more than 60 universities worldwide,</w:t>
      </w:r>
      <w:r w:rsidRPr="00D9152B">
        <w:rPr>
          <w:rStyle w:val="FootnoteReference"/>
          <w:rFonts w:ascii="Calibri" w:hAnsi="Calibri" w:cs="Calibri"/>
          <w:sz w:val="22"/>
          <w:szCs w:val="22"/>
        </w:rPr>
        <w:footnoteReference w:id="88"/>
      </w:r>
      <w:r w:rsidRPr="00D9152B">
        <w:rPr>
          <w:rFonts w:ascii="Calibri" w:hAnsi="Calibri" w:cs="Calibri"/>
          <w:sz w:val="22"/>
          <w:szCs w:val="22"/>
        </w:rPr>
        <w:t xml:space="preserve"> and are seen as teachable, stand-alone lessons for rolling-out global health programmes.</w:t>
      </w:r>
      <w:r w:rsidR="00F5331D" w:rsidRPr="00D9152B">
        <w:rPr>
          <w:rFonts w:ascii="Calibri" w:hAnsi="Calibri" w:cs="Calibri"/>
          <w:sz w:val="22"/>
          <w:szCs w:val="22"/>
        </w:rPr>
        <w:t xml:space="preserve"> </w:t>
      </w:r>
    </w:p>
    <w:p w14:paraId="2AC6D86E" w14:textId="237A28B0" w:rsidR="00354EFB"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Other major global health funders began to embrace the impact framework well before </w:t>
      </w:r>
      <w:r w:rsidR="00EE77CB" w:rsidRPr="00D9152B">
        <w:rPr>
          <w:rFonts w:ascii="Calibri" w:hAnsi="Calibri" w:cs="Calibri"/>
          <w:sz w:val="22"/>
          <w:szCs w:val="22"/>
        </w:rPr>
        <w:t xml:space="preserve">the </w:t>
      </w:r>
      <w:r w:rsidR="006521ED" w:rsidRPr="00D9152B">
        <w:rPr>
          <w:rFonts w:ascii="Calibri" w:hAnsi="Calibri" w:cs="Calibri"/>
          <w:sz w:val="22"/>
          <w:szCs w:val="22"/>
        </w:rPr>
        <w:t>Center for Global Development</w:t>
      </w:r>
      <w:r w:rsidRPr="00D9152B">
        <w:rPr>
          <w:rFonts w:ascii="Calibri" w:hAnsi="Calibri" w:cs="Calibri"/>
          <w:sz w:val="22"/>
          <w:szCs w:val="22"/>
        </w:rPr>
        <w:t xml:space="preserve"> and the Gates Foundations’ highly publicized work.</w:t>
      </w:r>
      <w:r w:rsidRPr="00D9152B">
        <w:rPr>
          <w:rStyle w:val="FootnoteReference"/>
          <w:rFonts w:ascii="Calibri" w:hAnsi="Calibri" w:cs="Calibri"/>
          <w:sz w:val="22"/>
          <w:szCs w:val="22"/>
        </w:rPr>
        <w:footnoteReference w:id="89"/>
      </w:r>
      <w:r w:rsidRPr="00D9152B">
        <w:rPr>
          <w:rFonts w:ascii="Calibri" w:hAnsi="Calibri" w:cs="Calibri"/>
          <w:sz w:val="22"/>
          <w:szCs w:val="22"/>
        </w:rPr>
        <w:t xml:space="preserve"> For instance,</w:t>
      </w:r>
      <w:r w:rsidR="00075D7D" w:rsidRPr="00D9152B">
        <w:rPr>
          <w:rFonts w:ascii="Calibri" w:hAnsi="Calibri" w:cs="Calibri"/>
          <w:sz w:val="22"/>
          <w:szCs w:val="22"/>
        </w:rPr>
        <w:t xml:space="preserve"> the </w:t>
      </w:r>
      <w:r w:rsidR="006521ED" w:rsidRPr="00D9152B">
        <w:rPr>
          <w:rFonts w:ascii="Calibri" w:hAnsi="Calibri" w:cs="Calibri"/>
          <w:sz w:val="22"/>
          <w:szCs w:val="22"/>
        </w:rPr>
        <w:t xml:space="preserve">World </w:t>
      </w:r>
      <w:r w:rsidR="00075D7D" w:rsidRPr="00D9152B">
        <w:rPr>
          <w:rFonts w:ascii="Calibri" w:hAnsi="Calibri" w:cs="Calibri"/>
          <w:sz w:val="22"/>
          <w:szCs w:val="22"/>
        </w:rPr>
        <w:t>Bank’s Operations and Evaluations Department</w:t>
      </w:r>
      <w:r w:rsidR="006521ED" w:rsidRPr="00D9152B">
        <w:rPr>
          <w:rFonts w:ascii="Calibri" w:hAnsi="Calibri" w:cs="Calibri"/>
          <w:sz w:val="22"/>
          <w:szCs w:val="22"/>
        </w:rPr>
        <w:t xml:space="preserve"> (OED)</w:t>
      </w:r>
      <w:r w:rsidR="00075D7D" w:rsidRPr="00D9152B">
        <w:rPr>
          <w:rFonts w:ascii="Calibri" w:hAnsi="Calibri" w:cs="Calibri"/>
          <w:sz w:val="22"/>
          <w:szCs w:val="22"/>
        </w:rPr>
        <w:t>, now the Independent Evaluation Group (IEG), was founded during McNamara’s tenure, based on McNamara’s stated belief that, ‘All large organizations…if they’re honest with themselves, will admit that they have successes and failures’. McNamara hoped that this evaluation department would allow the Bank to ‘learn from these experiences of successes and failures’.</w:t>
      </w:r>
      <w:r w:rsidR="00075D7D" w:rsidRPr="00D9152B">
        <w:rPr>
          <w:rStyle w:val="FootnoteReference"/>
          <w:rFonts w:ascii="Calibri" w:hAnsi="Calibri" w:cs="Calibri"/>
          <w:sz w:val="22"/>
          <w:szCs w:val="22"/>
        </w:rPr>
        <w:footnoteReference w:id="90"/>
      </w:r>
      <w:r w:rsidRPr="00D9152B">
        <w:rPr>
          <w:rFonts w:ascii="Calibri" w:hAnsi="Calibri" w:cs="Calibri"/>
          <w:sz w:val="22"/>
          <w:szCs w:val="22"/>
        </w:rPr>
        <w:t xml:space="preserve"> </w:t>
      </w:r>
      <w:r w:rsidR="00075D7D" w:rsidRPr="00D9152B">
        <w:rPr>
          <w:rFonts w:ascii="Calibri" w:hAnsi="Calibri" w:cs="Calibri"/>
          <w:sz w:val="22"/>
          <w:szCs w:val="22"/>
        </w:rPr>
        <w:t>I</w:t>
      </w:r>
      <w:r w:rsidRPr="00D9152B">
        <w:rPr>
          <w:rFonts w:ascii="Calibri" w:hAnsi="Calibri" w:cs="Calibri"/>
          <w:sz w:val="22"/>
          <w:szCs w:val="22"/>
        </w:rPr>
        <w:t xml:space="preserve">n the late 1980s, the Bank and the Clark Foundation partnered on an empirical study to identify health successes in the developing world. They defined success as sustained achievement of programme objectives, as documented by clear evidence and international recognition. The study was only able to identify seven major global health successes in </w:t>
      </w:r>
      <w:r w:rsidR="00A2292A">
        <w:rPr>
          <w:rFonts w:ascii="Calibri" w:hAnsi="Calibri" w:cs="Calibri"/>
          <w:sz w:val="22"/>
          <w:szCs w:val="22"/>
        </w:rPr>
        <w:t>Sub-Saharan</w:t>
      </w:r>
      <w:r w:rsidRPr="00D9152B">
        <w:rPr>
          <w:rFonts w:ascii="Calibri" w:hAnsi="Calibri" w:cs="Calibri"/>
          <w:sz w:val="22"/>
          <w:szCs w:val="22"/>
        </w:rPr>
        <w:t xml:space="preserve"> Africa, one of which was the OCP. It concluded that successful programmes are technology-driven, efficiently managed, and community-oriented, run ‘almost like a well-trained guerrilla unit’. Successes were stories that could stand-alone, were demonstrable through distinct evidence, and could form a lessons</w:t>
      </w:r>
      <w:r w:rsidR="00354EFB" w:rsidRPr="00D9152B">
        <w:rPr>
          <w:rFonts w:ascii="Calibri" w:hAnsi="Calibri" w:cs="Calibri"/>
          <w:sz w:val="22"/>
          <w:szCs w:val="22"/>
        </w:rPr>
        <w:t xml:space="preserve"> base for future interventions,</w:t>
      </w:r>
      <w:r w:rsidRPr="00D9152B">
        <w:rPr>
          <w:rFonts w:ascii="Calibri" w:hAnsi="Calibri" w:cs="Calibri"/>
          <w:sz w:val="22"/>
          <w:szCs w:val="22"/>
        </w:rPr>
        <w:t xml:space="preserve"> irrespective of the precise location</w:t>
      </w:r>
      <w:r w:rsidR="003B4510" w:rsidRPr="00D9152B">
        <w:rPr>
          <w:rFonts w:ascii="Calibri" w:hAnsi="Calibri" w:cs="Calibri"/>
          <w:sz w:val="22"/>
          <w:szCs w:val="22"/>
        </w:rPr>
        <w:t>, time (historical period)</w:t>
      </w:r>
      <w:r w:rsidRPr="00D9152B">
        <w:rPr>
          <w:rFonts w:ascii="Calibri" w:hAnsi="Calibri" w:cs="Calibri"/>
          <w:sz w:val="22"/>
          <w:szCs w:val="22"/>
        </w:rPr>
        <w:t xml:space="preserve"> or actors involved in these future endeavours.</w:t>
      </w:r>
      <w:r w:rsidR="00332C89" w:rsidRPr="00D9152B">
        <w:rPr>
          <w:rStyle w:val="FootnoteReference"/>
          <w:rFonts w:ascii="Calibri" w:hAnsi="Calibri" w:cs="Calibri"/>
          <w:sz w:val="22"/>
          <w:szCs w:val="22"/>
        </w:rPr>
        <w:footnoteReference w:id="91"/>
      </w:r>
      <w:r w:rsidR="00EE77CB" w:rsidRPr="00D9152B">
        <w:rPr>
          <w:rFonts w:ascii="Calibri" w:hAnsi="Calibri" w:cs="Calibri"/>
          <w:sz w:val="22"/>
          <w:szCs w:val="22"/>
        </w:rPr>
        <w:t xml:space="preserve"> </w:t>
      </w:r>
      <w:r w:rsidR="00354EFB" w:rsidRPr="00D9152B">
        <w:rPr>
          <w:rFonts w:ascii="Calibri" w:hAnsi="Calibri" w:cs="Calibri"/>
          <w:sz w:val="22"/>
          <w:szCs w:val="22"/>
        </w:rPr>
        <w:t xml:space="preserve">The </w:t>
      </w:r>
      <w:r w:rsidR="006521ED" w:rsidRPr="00D9152B">
        <w:rPr>
          <w:rFonts w:ascii="Calibri" w:hAnsi="Calibri" w:cs="Calibri"/>
          <w:sz w:val="22"/>
          <w:szCs w:val="22"/>
        </w:rPr>
        <w:t>Independent Evaluation Group’s</w:t>
      </w:r>
      <w:r w:rsidR="00354EFB" w:rsidRPr="00D9152B">
        <w:rPr>
          <w:rFonts w:ascii="Calibri" w:hAnsi="Calibri" w:cs="Calibri"/>
          <w:sz w:val="22"/>
          <w:szCs w:val="22"/>
        </w:rPr>
        <w:t xml:space="preserve"> recent </w:t>
      </w:r>
      <w:r w:rsidR="00A70A89" w:rsidRPr="00D9152B">
        <w:rPr>
          <w:rFonts w:ascii="Calibri" w:hAnsi="Calibri" w:cs="Calibri"/>
          <w:sz w:val="22"/>
          <w:szCs w:val="22"/>
        </w:rPr>
        <w:lastRenderedPageBreak/>
        <w:t>studies, based on its ‘What works’ framework,</w:t>
      </w:r>
      <w:r w:rsidR="00A70A89" w:rsidRPr="00D9152B">
        <w:rPr>
          <w:rStyle w:val="FootnoteReference"/>
          <w:rFonts w:ascii="Calibri" w:hAnsi="Calibri" w:cs="Calibri"/>
          <w:sz w:val="22"/>
          <w:szCs w:val="22"/>
        </w:rPr>
        <w:footnoteReference w:id="92"/>
      </w:r>
      <w:r w:rsidR="00A70A89" w:rsidRPr="00D9152B">
        <w:rPr>
          <w:rFonts w:ascii="Calibri" w:hAnsi="Calibri" w:cs="Calibri"/>
          <w:sz w:val="22"/>
          <w:szCs w:val="22"/>
        </w:rPr>
        <w:t xml:space="preserve"> have </w:t>
      </w:r>
      <w:r w:rsidR="00075D7D" w:rsidRPr="00D9152B">
        <w:rPr>
          <w:rFonts w:ascii="Calibri" w:hAnsi="Calibri" w:cs="Calibri"/>
          <w:sz w:val="22"/>
          <w:szCs w:val="22"/>
        </w:rPr>
        <w:t xml:space="preserve">also </w:t>
      </w:r>
      <w:r w:rsidR="00A70A89" w:rsidRPr="00D9152B">
        <w:rPr>
          <w:rFonts w:ascii="Calibri" w:hAnsi="Calibri" w:cs="Calibri"/>
          <w:sz w:val="22"/>
          <w:szCs w:val="22"/>
        </w:rPr>
        <w:t>looked for factors that influence the success or failure of Bank projects.</w:t>
      </w:r>
      <w:r w:rsidR="00A70A89" w:rsidRPr="00D9152B">
        <w:rPr>
          <w:rStyle w:val="FootnoteReference"/>
          <w:rFonts w:ascii="Calibri" w:hAnsi="Calibri" w:cs="Calibri"/>
          <w:sz w:val="22"/>
          <w:szCs w:val="22"/>
        </w:rPr>
        <w:footnoteReference w:id="93"/>
      </w:r>
    </w:p>
    <w:p w14:paraId="482CDC1D" w14:textId="464BC787" w:rsidR="00AC53E7" w:rsidRPr="00D9152B" w:rsidRDefault="0009749C" w:rsidP="00984DC0">
      <w:pPr>
        <w:pStyle w:val="Heading3"/>
        <w:rPr>
          <w:rFonts w:ascii="Calibri" w:hAnsi="Calibri" w:cs="Calibri"/>
          <w:b/>
          <w:i/>
          <w:color w:val="000000" w:themeColor="text1"/>
          <w:sz w:val="22"/>
          <w:szCs w:val="22"/>
        </w:rPr>
      </w:pPr>
      <w:bookmarkStart w:id="20" w:name="_Toc41505594"/>
      <w:r w:rsidRPr="00D9152B">
        <w:rPr>
          <w:rFonts w:ascii="Calibri" w:hAnsi="Calibri" w:cs="Calibri"/>
          <w:b/>
          <w:i/>
          <w:color w:val="000000" w:themeColor="text1"/>
          <w:sz w:val="22"/>
          <w:szCs w:val="22"/>
        </w:rPr>
        <w:t>2</w:t>
      </w:r>
      <w:r w:rsidR="00A14D17" w:rsidRPr="00D9152B">
        <w:rPr>
          <w:rFonts w:ascii="Calibri" w:hAnsi="Calibri" w:cs="Calibri"/>
          <w:b/>
          <w:i/>
          <w:color w:val="000000" w:themeColor="text1"/>
          <w:sz w:val="22"/>
          <w:szCs w:val="22"/>
        </w:rPr>
        <w:t>.2</w:t>
      </w:r>
      <w:r w:rsidR="00DF52DF" w:rsidRPr="00D9152B">
        <w:rPr>
          <w:rFonts w:ascii="Calibri" w:hAnsi="Calibri" w:cs="Calibri"/>
          <w:b/>
          <w:i/>
          <w:color w:val="000000" w:themeColor="text1"/>
          <w:sz w:val="22"/>
          <w:szCs w:val="22"/>
        </w:rPr>
        <w:t>.</w:t>
      </w:r>
      <w:r w:rsidRPr="00D9152B">
        <w:rPr>
          <w:rFonts w:ascii="Calibri" w:hAnsi="Calibri" w:cs="Calibri"/>
          <w:b/>
          <w:i/>
          <w:color w:val="000000" w:themeColor="text1"/>
          <w:sz w:val="22"/>
          <w:szCs w:val="22"/>
        </w:rPr>
        <w:t>B.</w:t>
      </w:r>
      <w:r w:rsidR="00A14D17" w:rsidRPr="00D9152B">
        <w:rPr>
          <w:rFonts w:ascii="Calibri" w:hAnsi="Calibri" w:cs="Calibri"/>
          <w:b/>
          <w:i/>
          <w:color w:val="000000" w:themeColor="text1"/>
          <w:sz w:val="22"/>
          <w:szCs w:val="22"/>
        </w:rPr>
        <w:t xml:space="preserve"> </w:t>
      </w:r>
      <w:r w:rsidR="00AC53E7" w:rsidRPr="00D9152B">
        <w:rPr>
          <w:rFonts w:ascii="Calibri" w:hAnsi="Calibri" w:cs="Calibri"/>
          <w:b/>
          <w:i/>
          <w:color w:val="000000" w:themeColor="text1"/>
          <w:sz w:val="22"/>
          <w:szCs w:val="22"/>
        </w:rPr>
        <w:t xml:space="preserve">The </w:t>
      </w:r>
      <w:r w:rsidR="00810635" w:rsidRPr="00D9152B">
        <w:rPr>
          <w:rFonts w:ascii="Calibri" w:hAnsi="Calibri" w:cs="Calibri"/>
          <w:b/>
          <w:i/>
          <w:color w:val="000000" w:themeColor="text1"/>
          <w:sz w:val="22"/>
          <w:szCs w:val="22"/>
        </w:rPr>
        <w:t>m</w:t>
      </w:r>
      <w:r w:rsidR="002305A6" w:rsidRPr="00D9152B">
        <w:rPr>
          <w:rFonts w:ascii="Calibri" w:hAnsi="Calibri" w:cs="Calibri"/>
          <w:b/>
          <w:i/>
          <w:color w:val="000000" w:themeColor="text1"/>
          <w:sz w:val="22"/>
          <w:szCs w:val="22"/>
        </w:rPr>
        <w:t>arketing</w:t>
      </w:r>
      <w:r w:rsidR="00810635" w:rsidRPr="00D9152B">
        <w:rPr>
          <w:rFonts w:ascii="Calibri" w:hAnsi="Calibri" w:cs="Calibri"/>
          <w:b/>
          <w:i/>
          <w:color w:val="000000" w:themeColor="text1"/>
          <w:sz w:val="22"/>
          <w:szCs w:val="22"/>
        </w:rPr>
        <w:t xml:space="preserve"> f</w:t>
      </w:r>
      <w:r w:rsidR="00AC53E7" w:rsidRPr="00D9152B">
        <w:rPr>
          <w:rFonts w:ascii="Calibri" w:hAnsi="Calibri" w:cs="Calibri"/>
          <w:b/>
          <w:i/>
          <w:color w:val="000000" w:themeColor="text1"/>
          <w:sz w:val="22"/>
          <w:szCs w:val="22"/>
        </w:rPr>
        <w:t>ramework</w:t>
      </w:r>
      <w:bookmarkEnd w:id="20"/>
    </w:p>
    <w:p w14:paraId="0D3BA015" w14:textId="5546474B" w:rsidR="00C005D3" w:rsidRPr="00D9152B" w:rsidRDefault="00C005D3"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In recent years, </w:t>
      </w:r>
      <w:r w:rsidR="00A70D3D" w:rsidRPr="00D9152B">
        <w:rPr>
          <w:rFonts w:ascii="Calibri" w:hAnsi="Calibri" w:cs="Calibri"/>
          <w:sz w:val="22"/>
          <w:szCs w:val="22"/>
        </w:rPr>
        <w:t xml:space="preserve">some health policy </w:t>
      </w:r>
      <w:r w:rsidR="00EE77CB" w:rsidRPr="00D9152B">
        <w:rPr>
          <w:rFonts w:ascii="Calibri" w:hAnsi="Calibri" w:cs="Calibri"/>
          <w:sz w:val="22"/>
          <w:szCs w:val="22"/>
        </w:rPr>
        <w:t>scholars have challenged this</w:t>
      </w:r>
      <w:r w:rsidRPr="00D9152B">
        <w:rPr>
          <w:rFonts w:ascii="Calibri" w:hAnsi="Calibri" w:cs="Calibri"/>
          <w:sz w:val="22"/>
          <w:szCs w:val="22"/>
        </w:rPr>
        <w:t xml:space="preserve"> emphasis on metrics and health program</w:t>
      </w:r>
      <w:r w:rsidR="00783875">
        <w:rPr>
          <w:rFonts w:ascii="Calibri" w:hAnsi="Calibri" w:cs="Calibri"/>
          <w:sz w:val="22"/>
          <w:szCs w:val="22"/>
        </w:rPr>
        <w:t>me</w:t>
      </w:r>
      <w:r w:rsidRPr="00D9152B">
        <w:rPr>
          <w:rFonts w:ascii="Calibri" w:hAnsi="Calibri" w:cs="Calibri"/>
          <w:sz w:val="22"/>
          <w:szCs w:val="22"/>
        </w:rPr>
        <w:t xml:space="preserve"> outputs</w:t>
      </w:r>
      <w:r w:rsidR="00A70D3D" w:rsidRPr="00D9152B">
        <w:rPr>
          <w:rFonts w:ascii="Calibri" w:hAnsi="Calibri" w:cs="Calibri"/>
          <w:sz w:val="22"/>
          <w:szCs w:val="22"/>
        </w:rPr>
        <w:t>, which they argue can distort global health priority-setting</w:t>
      </w:r>
      <w:r w:rsidRPr="00D9152B">
        <w:rPr>
          <w:rFonts w:ascii="Calibri" w:hAnsi="Calibri" w:cs="Calibri"/>
          <w:sz w:val="22"/>
          <w:szCs w:val="22"/>
        </w:rPr>
        <w:t>. For instance, Rajkot</w:t>
      </w:r>
      <w:r w:rsidR="006E3247">
        <w:rPr>
          <w:rFonts w:ascii="Calibri" w:hAnsi="Calibri" w:cs="Calibri"/>
          <w:sz w:val="22"/>
          <w:szCs w:val="22"/>
        </w:rPr>
        <w:t>i</w:t>
      </w:r>
      <w:r w:rsidRPr="00D9152B">
        <w:rPr>
          <w:rFonts w:ascii="Calibri" w:hAnsi="Calibri" w:cs="Calibri"/>
          <w:sz w:val="22"/>
          <w:szCs w:val="22"/>
        </w:rPr>
        <w:t>a depicts success stories as over-emphasizing targets and over-relying on poorly verified statistics. Rajkot</w:t>
      </w:r>
      <w:r w:rsidR="006E3247">
        <w:rPr>
          <w:rFonts w:ascii="Calibri" w:hAnsi="Calibri" w:cs="Calibri"/>
          <w:sz w:val="22"/>
          <w:szCs w:val="22"/>
        </w:rPr>
        <w:t>i</w:t>
      </w:r>
      <w:r w:rsidRPr="00D9152B">
        <w:rPr>
          <w:rFonts w:ascii="Calibri" w:hAnsi="Calibri" w:cs="Calibri"/>
          <w:sz w:val="22"/>
          <w:szCs w:val="22"/>
        </w:rPr>
        <w:t>a argues that the enormous pressure to achieve specific health targets has created a</w:t>
      </w:r>
      <w:r w:rsidR="00EE77CB" w:rsidRPr="00D9152B">
        <w:rPr>
          <w:rFonts w:ascii="Calibri" w:hAnsi="Calibri" w:cs="Calibri"/>
          <w:sz w:val="22"/>
          <w:szCs w:val="22"/>
        </w:rPr>
        <w:t xml:space="preserve"> global health</w:t>
      </w:r>
      <w:r w:rsidRPr="00D9152B">
        <w:rPr>
          <w:rFonts w:ascii="Calibri" w:hAnsi="Calibri" w:cs="Calibri"/>
          <w:sz w:val="22"/>
          <w:szCs w:val="22"/>
        </w:rPr>
        <w:t xml:space="preserve"> ‘success cartel’, which in itself undermines innovation and risk-taking in global health.</w:t>
      </w:r>
      <w:r w:rsidRPr="00D9152B">
        <w:rPr>
          <w:rStyle w:val="FootnoteReference"/>
          <w:rFonts w:ascii="Calibri" w:hAnsi="Calibri" w:cs="Calibri"/>
          <w:sz w:val="22"/>
          <w:szCs w:val="22"/>
        </w:rPr>
        <w:footnoteReference w:id="94"/>
      </w:r>
      <w:r w:rsidRPr="00D9152B">
        <w:rPr>
          <w:rFonts w:ascii="Calibri" w:hAnsi="Calibri" w:cs="Calibri"/>
          <w:sz w:val="22"/>
          <w:szCs w:val="22"/>
        </w:rPr>
        <w:t xml:space="preserve"> Tichenor and Sridhar similarly pointed to the assumptions and knowledge gaps involved in producing the global burden of disease (GBD) datasets that are widely used for global health priority setting,</w:t>
      </w:r>
      <w:r w:rsidRPr="00D9152B">
        <w:rPr>
          <w:rStyle w:val="FootnoteReference"/>
          <w:rFonts w:ascii="Calibri" w:hAnsi="Calibri" w:cs="Calibri"/>
          <w:sz w:val="22"/>
          <w:szCs w:val="22"/>
        </w:rPr>
        <w:footnoteReference w:id="95"/>
      </w:r>
      <w:r w:rsidRPr="00D9152B">
        <w:rPr>
          <w:rFonts w:ascii="Calibri" w:hAnsi="Calibri" w:cs="Calibri"/>
          <w:sz w:val="22"/>
          <w:szCs w:val="22"/>
        </w:rPr>
        <w:t xml:space="preserve"> and Storeng and Palmer have argued that some donors commissioning global health research are so focused on positive data outputs that they pressure researchers to censor negative findings.</w:t>
      </w:r>
      <w:r w:rsidRPr="00D9152B">
        <w:rPr>
          <w:rStyle w:val="FootnoteReference"/>
          <w:rFonts w:ascii="Calibri" w:hAnsi="Calibri" w:cs="Calibri"/>
          <w:sz w:val="22"/>
          <w:szCs w:val="22"/>
        </w:rPr>
        <w:footnoteReference w:id="96"/>
      </w:r>
      <w:r w:rsidRPr="00D9152B">
        <w:rPr>
          <w:rFonts w:ascii="Calibri" w:hAnsi="Calibri" w:cs="Calibri"/>
          <w:sz w:val="22"/>
          <w:szCs w:val="22"/>
        </w:rPr>
        <w:t xml:space="preserve">  </w:t>
      </w:r>
    </w:p>
    <w:p w14:paraId="73AD5801" w14:textId="2E523F4F" w:rsidR="00A313A9" w:rsidRPr="00D9152B" w:rsidRDefault="00A313A9"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Like the impact</w:t>
      </w:r>
      <w:r w:rsidR="0098044D" w:rsidRPr="00D9152B">
        <w:rPr>
          <w:rFonts w:ascii="Calibri" w:hAnsi="Calibri" w:cs="Calibri"/>
          <w:sz w:val="22"/>
          <w:szCs w:val="22"/>
        </w:rPr>
        <w:t>/evidence-based</w:t>
      </w:r>
      <w:r w:rsidRPr="00D9152B">
        <w:rPr>
          <w:rFonts w:ascii="Calibri" w:hAnsi="Calibri" w:cs="Calibri"/>
          <w:sz w:val="22"/>
          <w:szCs w:val="22"/>
        </w:rPr>
        <w:t xml:space="preserve"> framework, the marketing</w:t>
      </w:r>
      <w:r w:rsidR="00AC53E7" w:rsidRPr="00D9152B">
        <w:rPr>
          <w:rFonts w:ascii="Calibri" w:hAnsi="Calibri" w:cs="Calibri"/>
          <w:sz w:val="22"/>
          <w:szCs w:val="22"/>
        </w:rPr>
        <w:t xml:space="preserve"> framework emphasizes the importance of </w:t>
      </w:r>
      <w:r w:rsidRPr="00D9152B">
        <w:rPr>
          <w:rFonts w:ascii="Calibri" w:hAnsi="Calibri" w:cs="Calibri"/>
          <w:sz w:val="22"/>
          <w:szCs w:val="22"/>
        </w:rPr>
        <w:t>empirical evidence</w:t>
      </w:r>
      <w:r w:rsidR="00AC53E7" w:rsidRPr="00D9152B">
        <w:rPr>
          <w:rFonts w:ascii="Calibri" w:hAnsi="Calibri" w:cs="Calibri"/>
          <w:sz w:val="22"/>
          <w:szCs w:val="22"/>
        </w:rPr>
        <w:t xml:space="preserve"> for defining success. However, </w:t>
      </w:r>
      <w:r w:rsidR="00C005D3" w:rsidRPr="00D9152B">
        <w:rPr>
          <w:rFonts w:ascii="Calibri" w:hAnsi="Calibri" w:cs="Calibri"/>
          <w:sz w:val="22"/>
          <w:szCs w:val="22"/>
        </w:rPr>
        <w:t>it addresses some of the criticisms of using metrics in isolation, and views success as</w:t>
      </w:r>
      <w:r w:rsidR="00AC53E7" w:rsidRPr="00D9152B">
        <w:rPr>
          <w:rFonts w:ascii="Calibri" w:hAnsi="Calibri" w:cs="Calibri"/>
          <w:sz w:val="22"/>
          <w:szCs w:val="22"/>
        </w:rPr>
        <w:t xml:space="preserve"> inseparable from a health interven</w:t>
      </w:r>
      <w:r w:rsidR="00C005D3" w:rsidRPr="00D9152B">
        <w:rPr>
          <w:rFonts w:ascii="Calibri" w:hAnsi="Calibri" w:cs="Calibri"/>
          <w:sz w:val="22"/>
          <w:szCs w:val="22"/>
        </w:rPr>
        <w:t xml:space="preserve">tion’s socio-political climate. The marketing perspective instead places strong emphasis on political precedent; </w:t>
      </w:r>
      <w:r w:rsidR="00AC53E7" w:rsidRPr="00D9152B">
        <w:rPr>
          <w:rFonts w:ascii="Calibri" w:hAnsi="Calibri" w:cs="Calibri"/>
          <w:sz w:val="22"/>
          <w:szCs w:val="22"/>
        </w:rPr>
        <w:t xml:space="preserve">a programme’s status as a ‘success story’ is due at least as much to its being showcased and marketed as to its actual </w:t>
      </w:r>
      <w:r w:rsidR="00AC53E7" w:rsidRPr="00D9152B">
        <w:rPr>
          <w:rFonts w:ascii="Calibri" w:hAnsi="Calibri" w:cs="Calibri"/>
          <w:sz w:val="22"/>
          <w:szCs w:val="22"/>
        </w:rPr>
        <w:lastRenderedPageBreak/>
        <w:t xml:space="preserve">measured impact. In </w:t>
      </w:r>
      <w:r w:rsidR="00C005D3" w:rsidRPr="00D9152B">
        <w:rPr>
          <w:rFonts w:ascii="Calibri" w:hAnsi="Calibri" w:cs="Calibri"/>
          <w:sz w:val="22"/>
          <w:szCs w:val="22"/>
        </w:rPr>
        <w:t>such a way, success is relative. A</w:t>
      </w:r>
      <w:r w:rsidR="00AC53E7" w:rsidRPr="00D9152B">
        <w:rPr>
          <w:rFonts w:ascii="Calibri" w:hAnsi="Calibri" w:cs="Calibri"/>
          <w:sz w:val="22"/>
          <w:szCs w:val="22"/>
        </w:rPr>
        <w:t xml:space="preserve"> programme may fail</w:t>
      </w:r>
      <w:r w:rsidR="00CD3602" w:rsidRPr="00D9152B">
        <w:rPr>
          <w:rFonts w:ascii="Calibri" w:hAnsi="Calibri" w:cs="Calibri"/>
          <w:sz w:val="22"/>
          <w:szCs w:val="22"/>
        </w:rPr>
        <w:t xml:space="preserve"> in some </w:t>
      </w:r>
      <w:r w:rsidR="0081759A" w:rsidRPr="00D9152B">
        <w:rPr>
          <w:rFonts w:ascii="Calibri" w:hAnsi="Calibri" w:cs="Calibri"/>
          <w:sz w:val="22"/>
          <w:szCs w:val="22"/>
        </w:rPr>
        <w:t xml:space="preserve">(or many) </w:t>
      </w:r>
      <w:r w:rsidR="00CD3602" w:rsidRPr="00D9152B">
        <w:rPr>
          <w:rFonts w:ascii="Calibri" w:hAnsi="Calibri" w:cs="Calibri"/>
          <w:sz w:val="22"/>
          <w:szCs w:val="22"/>
        </w:rPr>
        <w:t>of</w:t>
      </w:r>
      <w:r w:rsidR="00AC53E7" w:rsidRPr="00D9152B">
        <w:rPr>
          <w:rFonts w:ascii="Calibri" w:hAnsi="Calibri" w:cs="Calibri"/>
          <w:sz w:val="22"/>
          <w:szCs w:val="22"/>
        </w:rPr>
        <w:t xml:space="preserve"> its stated objectives, but it may still set a political precedent and transform into a long-term success. This framework is grounded in global health governance priority-setting research, and views success as complex and largely intangible; it argues that success is often reduced to stories of disease control and technical solutions, but in reality</w:t>
      </w:r>
      <w:r w:rsidR="00A07F95">
        <w:rPr>
          <w:rFonts w:ascii="Calibri" w:hAnsi="Calibri" w:cs="Calibri"/>
          <w:sz w:val="22"/>
          <w:szCs w:val="22"/>
        </w:rPr>
        <w:t>,</w:t>
      </w:r>
      <w:r w:rsidR="00AC53E7" w:rsidRPr="00D9152B">
        <w:rPr>
          <w:rFonts w:ascii="Calibri" w:hAnsi="Calibri" w:cs="Calibri"/>
          <w:sz w:val="22"/>
          <w:szCs w:val="22"/>
        </w:rPr>
        <w:t xml:space="preserve"> political forces below the surface determine which stories are showcased</w:t>
      </w:r>
      <w:r w:rsidR="006E3247">
        <w:rPr>
          <w:rFonts w:ascii="Calibri" w:hAnsi="Calibri" w:cs="Calibri"/>
          <w:sz w:val="22"/>
          <w:szCs w:val="22"/>
        </w:rPr>
        <w:t xml:space="preserve"> (and when they become successes)</w:t>
      </w:r>
      <w:r w:rsidR="00AC53E7" w:rsidRPr="00D9152B">
        <w:rPr>
          <w:rFonts w:ascii="Calibri" w:hAnsi="Calibri" w:cs="Calibri"/>
          <w:sz w:val="22"/>
          <w:szCs w:val="22"/>
        </w:rPr>
        <w:t>.</w:t>
      </w:r>
    </w:p>
    <w:p w14:paraId="456BF9D7" w14:textId="31C83654" w:rsidR="00EE77CB" w:rsidRPr="00D9152B" w:rsidRDefault="00CD3602"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w:t>
      </w:r>
      <w:r w:rsidR="00AC53E7" w:rsidRPr="00D9152B">
        <w:rPr>
          <w:rFonts w:ascii="Calibri" w:hAnsi="Calibri" w:cs="Calibri"/>
          <w:sz w:val="22"/>
          <w:szCs w:val="22"/>
        </w:rPr>
        <w:t xml:space="preserve"> healt</w:t>
      </w:r>
      <w:r w:rsidRPr="00D9152B">
        <w:rPr>
          <w:rFonts w:ascii="Calibri" w:hAnsi="Calibri" w:cs="Calibri"/>
          <w:sz w:val="22"/>
          <w:szCs w:val="22"/>
        </w:rPr>
        <w:t xml:space="preserve">h policy </w:t>
      </w:r>
      <w:r w:rsidR="00B52843" w:rsidRPr="00D9152B">
        <w:rPr>
          <w:rFonts w:ascii="Calibri" w:hAnsi="Calibri" w:cs="Calibri"/>
          <w:sz w:val="22"/>
          <w:szCs w:val="22"/>
        </w:rPr>
        <w:t>scholar</w:t>
      </w:r>
      <w:r w:rsidRPr="00D9152B">
        <w:rPr>
          <w:rFonts w:ascii="Calibri" w:hAnsi="Calibri" w:cs="Calibri"/>
          <w:sz w:val="22"/>
          <w:szCs w:val="22"/>
        </w:rPr>
        <w:t xml:space="preserve"> Shiffman has </w:t>
      </w:r>
      <w:r w:rsidR="00AC53E7" w:rsidRPr="00D9152B">
        <w:rPr>
          <w:rFonts w:ascii="Calibri" w:hAnsi="Calibri" w:cs="Calibri"/>
          <w:sz w:val="22"/>
          <w:szCs w:val="22"/>
        </w:rPr>
        <w:t>worked within this framework. Shiffman argues that ‘policy images’ (conceptuali</w:t>
      </w:r>
      <w:r w:rsidR="002D31A3">
        <w:rPr>
          <w:rFonts w:ascii="Calibri" w:hAnsi="Calibri" w:cs="Calibri"/>
          <w:sz w:val="22"/>
          <w:szCs w:val="22"/>
        </w:rPr>
        <w:t>s</w:t>
      </w:r>
      <w:r w:rsidR="00AC53E7" w:rsidRPr="00D9152B">
        <w:rPr>
          <w:rFonts w:ascii="Calibri" w:hAnsi="Calibri" w:cs="Calibri"/>
          <w:sz w:val="22"/>
          <w:szCs w:val="22"/>
        </w:rPr>
        <w:t>ations of the health problem or solution) and ‘policy venues’ (shifts in decision-making actors and institutions) are critical for building global health priority.</w:t>
      </w:r>
      <w:r w:rsidR="00AC53E7" w:rsidRPr="00D9152B">
        <w:rPr>
          <w:rStyle w:val="FootnoteReference"/>
          <w:rFonts w:ascii="Calibri" w:hAnsi="Calibri" w:cs="Calibri"/>
          <w:sz w:val="22"/>
          <w:szCs w:val="22"/>
        </w:rPr>
        <w:footnoteReference w:id="97"/>
      </w:r>
      <w:r w:rsidR="00AC53E7" w:rsidRPr="00D9152B">
        <w:rPr>
          <w:rFonts w:ascii="Calibri" w:hAnsi="Calibri" w:cs="Calibri"/>
          <w:sz w:val="22"/>
          <w:szCs w:val="22"/>
        </w:rPr>
        <w:t xml:space="preserve"> Some global health programmes become dramatic successes because they establish political priority, and can be operationalized to set a precedent for particular types of investments in health. </w:t>
      </w:r>
      <w:r w:rsidRPr="00D9152B">
        <w:rPr>
          <w:rFonts w:ascii="Calibri" w:hAnsi="Calibri" w:cs="Calibri"/>
          <w:sz w:val="22"/>
          <w:szCs w:val="22"/>
        </w:rPr>
        <w:t xml:space="preserve">These successes typically have metrics to support their effectiveness, but only become widely understood as models and dramatic successes because of </w:t>
      </w:r>
      <w:r w:rsidR="00A70D3D" w:rsidRPr="00D9152B">
        <w:rPr>
          <w:rFonts w:ascii="Calibri" w:hAnsi="Calibri" w:cs="Calibri"/>
          <w:sz w:val="22"/>
          <w:szCs w:val="22"/>
        </w:rPr>
        <w:t>how they are marketed.</w:t>
      </w:r>
      <w:r w:rsidR="00C005D3" w:rsidRPr="00D9152B">
        <w:rPr>
          <w:rFonts w:ascii="Calibri" w:hAnsi="Calibri" w:cs="Calibri"/>
          <w:sz w:val="22"/>
          <w:szCs w:val="22"/>
        </w:rPr>
        <w:t xml:space="preserve"> </w:t>
      </w:r>
    </w:p>
    <w:p w14:paraId="5038A9D2" w14:textId="6D458D1B" w:rsidR="00BC691E"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As an example of such ‘demonstrative success’, Shiffman points to polio eradication. He argues that there was a lack of political will for polio control in the early 1980s, even after a 1980 conference (in the wake of smallpox eradication) identified polio as a candidate for eradication. It was not until the Pan</w:t>
      </w:r>
      <w:r w:rsidR="006E3247">
        <w:rPr>
          <w:rFonts w:ascii="Calibri" w:hAnsi="Calibri" w:cs="Calibri"/>
          <w:sz w:val="22"/>
          <w:szCs w:val="22"/>
        </w:rPr>
        <w:t>-</w:t>
      </w:r>
      <w:r w:rsidRPr="00D9152B">
        <w:rPr>
          <w:rFonts w:ascii="Calibri" w:hAnsi="Calibri" w:cs="Calibri"/>
          <w:sz w:val="22"/>
          <w:szCs w:val="22"/>
        </w:rPr>
        <w:t xml:space="preserve">American Health Organization (PAHO) eliminated indigenous transmission that polio received a surge of financing, and the ‘demonstration effects of PAHO’s efforts and success cannot be overstated’. While the elimination of indigenous transmission in the Americas did have a measurable impact – DALYs were saved and cases prevented – this </w:t>
      </w:r>
      <w:r w:rsidR="006E3247">
        <w:rPr>
          <w:rFonts w:ascii="Calibri" w:hAnsi="Calibri" w:cs="Calibri"/>
          <w:sz w:val="22"/>
          <w:szCs w:val="22"/>
        </w:rPr>
        <w:t>alone would not have</w:t>
      </w:r>
      <w:r w:rsidRPr="00D9152B">
        <w:rPr>
          <w:rFonts w:ascii="Calibri" w:hAnsi="Calibri" w:cs="Calibri"/>
          <w:sz w:val="22"/>
          <w:szCs w:val="22"/>
        </w:rPr>
        <w:t xml:space="preserve"> made the programme a </w:t>
      </w:r>
      <w:r w:rsidR="006E3247">
        <w:rPr>
          <w:rFonts w:ascii="Calibri" w:hAnsi="Calibri" w:cs="Calibri"/>
          <w:sz w:val="22"/>
          <w:szCs w:val="22"/>
        </w:rPr>
        <w:t xml:space="preserve">widely understood </w:t>
      </w:r>
      <w:r w:rsidRPr="00D9152B">
        <w:rPr>
          <w:rFonts w:ascii="Calibri" w:hAnsi="Calibri" w:cs="Calibri"/>
          <w:sz w:val="22"/>
          <w:szCs w:val="22"/>
        </w:rPr>
        <w:t xml:space="preserve">success. Instead, PAHO’s programme was a success because it took place when a powerful coalition of actors was able to publicize its achievements. The success of the programme was not its impact per-se, but the </w:t>
      </w:r>
      <w:r w:rsidRPr="00D9152B">
        <w:rPr>
          <w:rFonts w:ascii="Calibri" w:hAnsi="Calibri" w:cs="Calibri"/>
          <w:i/>
          <w:sz w:val="22"/>
          <w:szCs w:val="22"/>
        </w:rPr>
        <w:t xml:space="preserve">perception </w:t>
      </w:r>
      <w:r w:rsidRPr="00D9152B">
        <w:rPr>
          <w:rFonts w:ascii="Calibri" w:hAnsi="Calibri" w:cs="Calibri"/>
          <w:sz w:val="22"/>
          <w:szCs w:val="22"/>
        </w:rPr>
        <w:t xml:space="preserve">that it was successful and the </w:t>
      </w:r>
      <w:r w:rsidRPr="00D9152B">
        <w:rPr>
          <w:rFonts w:ascii="Calibri" w:hAnsi="Calibri" w:cs="Calibri"/>
          <w:i/>
          <w:sz w:val="22"/>
          <w:szCs w:val="22"/>
        </w:rPr>
        <w:t xml:space="preserve">precedent </w:t>
      </w:r>
      <w:r w:rsidRPr="00D9152B">
        <w:rPr>
          <w:rFonts w:ascii="Calibri" w:hAnsi="Calibri" w:cs="Calibri"/>
          <w:sz w:val="22"/>
          <w:szCs w:val="22"/>
        </w:rPr>
        <w:t xml:space="preserve">that it set for future similar disease control efforts. </w:t>
      </w:r>
      <w:r w:rsidR="00CD3602" w:rsidRPr="00D9152B">
        <w:rPr>
          <w:rFonts w:ascii="Calibri" w:hAnsi="Calibri" w:cs="Calibri"/>
          <w:sz w:val="22"/>
          <w:szCs w:val="22"/>
        </w:rPr>
        <w:t xml:space="preserve">The </w:t>
      </w:r>
      <w:r w:rsidR="00DB47EA" w:rsidRPr="00D9152B">
        <w:rPr>
          <w:rFonts w:ascii="Calibri" w:hAnsi="Calibri" w:cs="Calibri"/>
          <w:sz w:val="22"/>
          <w:szCs w:val="22"/>
        </w:rPr>
        <w:t>marketing</w:t>
      </w:r>
      <w:r w:rsidR="00CD3602" w:rsidRPr="00D9152B">
        <w:rPr>
          <w:rFonts w:ascii="Calibri" w:hAnsi="Calibri" w:cs="Calibri"/>
          <w:sz w:val="22"/>
          <w:szCs w:val="22"/>
        </w:rPr>
        <w:t xml:space="preserve"> model therefore places a strong </w:t>
      </w:r>
      <w:r w:rsidR="00A70D3D" w:rsidRPr="00D9152B">
        <w:rPr>
          <w:rFonts w:ascii="Calibri" w:hAnsi="Calibri" w:cs="Calibri"/>
          <w:sz w:val="22"/>
          <w:szCs w:val="22"/>
        </w:rPr>
        <w:t xml:space="preserve">analytical </w:t>
      </w:r>
      <w:r w:rsidR="00CD3602" w:rsidRPr="00D9152B">
        <w:rPr>
          <w:rFonts w:ascii="Calibri" w:hAnsi="Calibri" w:cs="Calibri"/>
          <w:sz w:val="22"/>
          <w:szCs w:val="22"/>
        </w:rPr>
        <w:t xml:space="preserve">emphasis on the marketing tools </w:t>
      </w:r>
      <w:r w:rsidR="00CD3602" w:rsidRPr="00D9152B">
        <w:rPr>
          <w:rFonts w:ascii="Calibri" w:hAnsi="Calibri" w:cs="Calibri"/>
          <w:sz w:val="22"/>
          <w:szCs w:val="22"/>
        </w:rPr>
        <w:lastRenderedPageBreak/>
        <w:t>that global health actors use to construct policy images</w:t>
      </w:r>
      <w:r w:rsidR="00945FC9" w:rsidRPr="00D9152B">
        <w:rPr>
          <w:rFonts w:ascii="Calibri" w:hAnsi="Calibri" w:cs="Calibri"/>
          <w:sz w:val="22"/>
          <w:szCs w:val="22"/>
        </w:rPr>
        <w:t xml:space="preserve">, because these images have the power to </w:t>
      </w:r>
      <w:r w:rsidR="00CD3602" w:rsidRPr="00D9152B">
        <w:rPr>
          <w:rFonts w:ascii="Calibri" w:hAnsi="Calibri" w:cs="Calibri"/>
          <w:sz w:val="22"/>
          <w:szCs w:val="22"/>
        </w:rPr>
        <w:t>change perceptions of success.</w:t>
      </w:r>
      <w:r w:rsidR="000325A9" w:rsidRPr="00D9152B">
        <w:rPr>
          <w:rStyle w:val="FootnoteReference"/>
          <w:rFonts w:ascii="Calibri" w:hAnsi="Calibri" w:cs="Calibri"/>
          <w:sz w:val="22"/>
          <w:szCs w:val="22"/>
        </w:rPr>
        <w:footnoteReference w:id="98"/>
      </w:r>
      <w:r w:rsidR="00992A29" w:rsidRPr="00D9152B">
        <w:rPr>
          <w:rFonts w:ascii="Calibri" w:hAnsi="Calibri" w:cs="Calibri"/>
          <w:sz w:val="22"/>
          <w:szCs w:val="22"/>
        </w:rPr>
        <w:t xml:space="preserve"> In her analysis of the Bank’s role in nutrition, Sridhar similarly points to how the Bank’s marketing of the Tamil Nadu Integrated Nutrition Project allowed it to serve as a ‘model for success’, in spite of internal confusion about how to operationalise cost-effective analyses for social sector projects.</w:t>
      </w:r>
      <w:r w:rsidR="00992A29" w:rsidRPr="00D9152B">
        <w:rPr>
          <w:rStyle w:val="FootnoteReference"/>
          <w:rFonts w:ascii="Calibri" w:hAnsi="Calibri" w:cs="Calibri"/>
          <w:sz w:val="22"/>
          <w:szCs w:val="22"/>
        </w:rPr>
        <w:footnoteReference w:id="99"/>
      </w:r>
    </w:p>
    <w:p w14:paraId="303FE62D" w14:textId="688F9204" w:rsidR="00AC53E7" w:rsidRPr="00D9152B" w:rsidRDefault="0009749C" w:rsidP="00984DC0">
      <w:pPr>
        <w:pStyle w:val="Heading3"/>
        <w:rPr>
          <w:rFonts w:ascii="Calibri" w:hAnsi="Calibri" w:cs="Calibri"/>
          <w:b/>
          <w:i/>
          <w:color w:val="000000" w:themeColor="text1"/>
          <w:sz w:val="22"/>
          <w:szCs w:val="22"/>
        </w:rPr>
      </w:pPr>
      <w:bookmarkStart w:id="21" w:name="_Toc41505595"/>
      <w:r w:rsidRPr="00D9152B">
        <w:rPr>
          <w:rFonts w:ascii="Calibri" w:hAnsi="Calibri" w:cs="Calibri"/>
          <w:b/>
          <w:i/>
          <w:color w:val="000000" w:themeColor="text1"/>
          <w:sz w:val="22"/>
          <w:szCs w:val="22"/>
        </w:rPr>
        <w:t>2.2.C</w:t>
      </w:r>
      <w:r w:rsidR="00DF52DF" w:rsidRPr="00D9152B">
        <w:rPr>
          <w:rFonts w:ascii="Calibri" w:hAnsi="Calibri" w:cs="Calibri"/>
          <w:b/>
          <w:i/>
          <w:color w:val="000000" w:themeColor="text1"/>
          <w:sz w:val="22"/>
          <w:szCs w:val="22"/>
        </w:rPr>
        <w:t>.</w:t>
      </w:r>
      <w:r w:rsidR="00A14D17" w:rsidRPr="00D9152B">
        <w:rPr>
          <w:rFonts w:ascii="Calibri" w:hAnsi="Calibri" w:cs="Calibri"/>
          <w:b/>
          <w:i/>
          <w:color w:val="000000" w:themeColor="text1"/>
          <w:sz w:val="22"/>
          <w:szCs w:val="22"/>
        </w:rPr>
        <w:t xml:space="preserve"> </w:t>
      </w:r>
      <w:r w:rsidR="00AC53E7" w:rsidRPr="00D9152B">
        <w:rPr>
          <w:rFonts w:ascii="Calibri" w:hAnsi="Calibri" w:cs="Calibri"/>
          <w:b/>
          <w:i/>
          <w:color w:val="000000" w:themeColor="text1"/>
          <w:sz w:val="22"/>
          <w:szCs w:val="22"/>
        </w:rPr>
        <w:t xml:space="preserve">The </w:t>
      </w:r>
      <w:r w:rsidR="00810635" w:rsidRPr="00D9152B">
        <w:rPr>
          <w:rFonts w:ascii="Calibri" w:hAnsi="Calibri" w:cs="Calibri"/>
          <w:b/>
          <w:i/>
          <w:color w:val="000000" w:themeColor="text1"/>
          <w:sz w:val="22"/>
          <w:szCs w:val="22"/>
        </w:rPr>
        <w:t>c</w:t>
      </w:r>
      <w:r w:rsidR="00CD3602" w:rsidRPr="00D9152B">
        <w:rPr>
          <w:rFonts w:ascii="Calibri" w:hAnsi="Calibri" w:cs="Calibri"/>
          <w:b/>
          <w:i/>
          <w:color w:val="000000" w:themeColor="text1"/>
          <w:sz w:val="22"/>
          <w:szCs w:val="22"/>
        </w:rPr>
        <w:t>onstructivist</w:t>
      </w:r>
      <w:r w:rsidR="00810635" w:rsidRPr="00D9152B">
        <w:rPr>
          <w:rFonts w:ascii="Calibri" w:hAnsi="Calibri" w:cs="Calibri"/>
          <w:b/>
          <w:i/>
          <w:color w:val="000000" w:themeColor="text1"/>
          <w:sz w:val="22"/>
          <w:szCs w:val="22"/>
        </w:rPr>
        <w:t xml:space="preserve"> f</w:t>
      </w:r>
      <w:r w:rsidR="00AC53E7" w:rsidRPr="00D9152B">
        <w:rPr>
          <w:rFonts w:ascii="Calibri" w:hAnsi="Calibri" w:cs="Calibri"/>
          <w:b/>
          <w:i/>
          <w:color w:val="000000" w:themeColor="text1"/>
          <w:sz w:val="22"/>
          <w:szCs w:val="22"/>
        </w:rPr>
        <w:t>ramework</w:t>
      </w:r>
      <w:bookmarkEnd w:id="21"/>
    </w:p>
    <w:p w14:paraId="31E4CF63" w14:textId="2D95DBDC" w:rsidR="00A313A9" w:rsidRPr="00D9152B" w:rsidRDefault="00AC53E7" w:rsidP="00A70D3D">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Building on the idea of success as appearance, this framework </w:t>
      </w:r>
      <w:r w:rsidR="00A70D3D" w:rsidRPr="00D9152B">
        <w:rPr>
          <w:rFonts w:ascii="Calibri" w:hAnsi="Calibri" w:cs="Calibri"/>
          <w:sz w:val="22"/>
          <w:szCs w:val="22"/>
        </w:rPr>
        <w:t>analyses</w:t>
      </w:r>
      <w:r w:rsidRPr="00D9152B">
        <w:rPr>
          <w:rFonts w:ascii="Calibri" w:hAnsi="Calibri" w:cs="Calibri"/>
          <w:sz w:val="22"/>
          <w:szCs w:val="22"/>
        </w:rPr>
        <w:t xml:space="preserve"> success as the product of its historical era and influential global health actors. </w:t>
      </w:r>
      <w:r w:rsidR="00A313A9" w:rsidRPr="00D9152B">
        <w:rPr>
          <w:rFonts w:ascii="Calibri" w:hAnsi="Calibri" w:cs="Calibri"/>
          <w:sz w:val="22"/>
          <w:szCs w:val="22"/>
        </w:rPr>
        <w:t>Like the marketing framework, it</w:t>
      </w:r>
      <w:r w:rsidR="00A70D3D" w:rsidRPr="00D9152B">
        <w:rPr>
          <w:rFonts w:ascii="Calibri" w:hAnsi="Calibri" w:cs="Calibri"/>
          <w:sz w:val="22"/>
          <w:szCs w:val="22"/>
        </w:rPr>
        <w:t xml:space="preserve">s </w:t>
      </w:r>
      <w:r w:rsidR="0081759A" w:rsidRPr="00D9152B">
        <w:rPr>
          <w:rFonts w:ascii="Calibri" w:hAnsi="Calibri" w:cs="Calibri"/>
          <w:sz w:val="22"/>
          <w:szCs w:val="22"/>
        </w:rPr>
        <w:t xml:space="preserve">emphasises that success can </w:t>
      </w:r>
      <w:r w:rsidR="0081759A" w:rsidRPr="00D9152B">
        <w:rPr>
          <w:rFonts w:ascii="Calibri" w:hAnsi="Calibri" w:cs="Calibri"/>
          <w:i/>
          <w:sz w:val="22"/>
          <w:szCs w:val="22"/>
        </w:rPr>
        <w:t xml:space="preserve">only </w:t>
      </w:r>
      <w:r w:rsidR="0081759A" w:rsidRPr="00D9152B">
        <w:rPr>
          <w:rFonts w:ascii="Calibri" w:hAnsi="Calibri" w:cs="Calibri"/>
          <w:sz w:val="22"/>
          <w:szCs w:val="22"/>
        </w:rPr>
        <w:t>be understood by analysing a programme’s precise location, timing, and actors</w:t>
      </w:r>
      <w:r w:rsidR="00A313A9" w:rsidRPr="00D9152B">
        <w:rPr>
          <w:rFonts w:ascii="Calibri" w:hAnsi="Calibri" w:cs="Calibri"/>
          <w:sz w:val="22"/>
          <w:szCs w:val="22"/>
        </w:rPr>
        <w:t xml:space="preserve">. </w:t>
      </w:r>
      <w:r w:rsidR="003F2299" w:rsidRPr="00D9152B">
        <w:rPr>
          <w:rFonts w:ascii="Calibri" w:hAnsi="Calibri" w:cs="Calibri"/>
          <w:sz w:val="22"/>
          <w:szCs w:val="22"/>
        </w:rPr>
        <w:t>It</w:t>
      </w:r>
      <w:r w:rsidR="00A313A9" w:rsidRPr="00D9152B">
        <w:rPr>
          <w:rFonts w:ascii="Calibri" w:hAnsi="Calibri" w:cs="Calibri"/>
          <w:sz w:val="22"/>
          <w:szCs w:val="22"/>
        </w:rPr>
        <w:t xml:space="preserve"> portrays </w:t>
      </w:r>
      <w:r w:rsidRPr="00D9152B">
        <w:rPr>
          <w:rFonts w:ascii="Calibri" w:hAnsi="Calibri" w:cs="Calibri"/>
          <w:sz w:val="22"/>
          <w:szCs w:val="22"/>
        </w:rPr>
        <w:t xml:space="preserve">successful programmes </w:t>
      </w:r>
      <w:r w:rsidR="00A313A9" w:rsidRPr="00D9152B">
        <w:rPr>
          <w:rFonts w:ascii="Calibri" w:hAnsi="Calibri" w:cs="Calibri"/>
          <w:sz w:val="22"/>
          <w:szCs w:val="22"/>
        </w:rPr>
        <w:t>as</w:t>
      </w:r>
      <w:r w:rsidRPr="00D9152B">
        <w:rPr>
          <w:rFonts w:ascii="Calibri" w:hAnsi="Calibri" w:cs="Calibri"/>
          <w:sz w:val="22"/>
          <w:szCs w:val="22"/>
        </w:rPr>
        <w:t xml:space="preserve"> </w:t>
      </w:r>
      <w:r w:rsidR="0081759A" w:rsidRPr="00D9152B">
        <w:rPr>
          <w:rFonts w:ascii="Calibri" w:hAnsi="Calibri" w:cs="Calibri"/>
          <w:i/>
          <w:sz w:val="22"/>
          <w:szCs w:val="22"/>
        </w:rPr>
        <w:t xml:space="preserve">entirely </w:t>
      </w:r>
      <w:r w:rsidRPr="00D9152B">
        <w:rPr>
          <w:rFonts w:ascii="Calibri" w:hAnsi="Calibri" w:cs="Calibri"/>
          <w:i/>
          <w:sz w:val="22"/>
          <w:szCs w:val="22"/>
        </w:rPr>
        <w:t>constructed</w:t>
      </w:r>
      <w:r w:rsidRPr="00D9152B">
        <w:rPr>
          <w:rFonts w:ascii="Calibri" w:hAnsi="Calibri" w:cs="Calibri"/>
          <w:sz w:val="22"/>
          <w:szCs w:val="22"/>
        </w:rPr>
        <w:t xml:space="preserve"> by powerful actors like the Bank and WHO, to showcase programmes that fit with their entrenched institutional ethos. According to this framework, metrics used to measure impact are highly biased, as they are often created by powerful actors to promote the</w:t>
      </w:r>
      <w:r w:rsidR="006C0DFB" w:rsidRPr="00D9152B">
        <w:rPr>
          <w:rFonts w:ascii="Calibri" w:hAnsi="Calibri" w:cs="Calibri"/>
          <w:sz w:val="22"/>
          <w:szCs w:val="22"/>
        </w:rPr>
        <w:t>ir interests</w:t>
      </w:r>
      <w:r w:rsidRPr="00D9152B">
        <w:rPr>
          <w:rFonts w:ascii="Calibri" w:hAnsi="Calibri" w:cs="Calibri"/>
          <w:sz w:val="22"/>
          <w:szCs w:val="22"/>
        </w:rPr>
        <w:t xml:space="preserve">. </w:t>
      </w:r>
      <w:r w:rsidR="00CD3602" w:rsidRPr="00D9152B">
        <w:rPr>
          <w:rFonts w:ascii="Calibri" w:hAnsi="Calibri" w:cs="Calibri"/>
          <w:sz w:val="22"/>
          <w:szCs w:val="22"/>
        </w:rPr>
        <w:t xml:space="preserve">This framework is supported by the </w:t>
      </w:r>
      <w:r w:rsidR="00A313A9" w:rsidRPr="00D9152B">
        <w:rPr>
          <w:rFonts w:ascii="Calibri" w:hAnsi="Calibri" w:cs="Calibri"/>
          <w:sz w:val="22"/>
          <w:szCs w:val="22"/>
        </w:rPr>
        <w:t xml:space="preserve">some of the </w:t>
      </w:r>
      <w:r w:rsidR="00CD3602" w:rsidRPr="00D9152B">
        <w:rPr>
          <w:rFonts w:ascii="Calibri" w:hAnsi="Calibri" w:cs="Calibri"/>
          <w:sz w:val="22"/>
          <w:szCs w:val="22"/>
        </w:rPr>
        <w:t xml:space="preserve">research of </w:t>
      </w:r>
      <w:r w:rsidR="00BC691E" w:rsidRPr="00D9152B">
        <w:rPr>
          <w:rFonts w:ascii="Calibri" w:hAnsi="Calibri" w:cs="Calibri"/>
          <w:sz w:val="22"/>
          <w:szCs w:val="22"/>
        </w:rPr>
        <w:t>Bhattacharya</w:t>
      </w:r>
      <w:r w:rsidR="0098491A" w:rsidRPr="00D9152B">
        <w:rPr>
          <w:rFonts w:ascii="Calibri" w:hAnsi="Calibri" w:cs="Calibri"/>
          <w:sz w:val="22"/>
          <w:szCs w:val="22"/>
        </w:rPr>
        <w:t xml:space="preserve">, </w:t>
      </w:r>
      <w:r w:rsidR="00CD3602" w:rsidRPr="00D9152B">
        <w:rPr>
          <w:rFonts w:ascii="Calibri" w:hAnsi="Calibri" w:cs="Calibri"/>
          <w:sz w:val="22"/>
          <w:szCs w:val="22"/>
        </w:rPr>
        <w:t xml:space="preserve">Storeng and Harman, and is powerfully </w:t>
      </w:r>
      <w:r w:rsidR="003F2299" w:rsidRPr="00D9152B">
        <w:rPr>
          <w:rFonts w:ascii="Calibri" w:hAnsi="Calibri" w:cs="Calibri"/>
          <w:sz w:val="22"/>
          <w:szCs w:val="22"/>
        </w:rPr>
        <w:t>embraced</w:t>
      </w:r>
      <w:r w:rsidR="00CD3602" w:rsidRPr="00D9152B">
        <w:rPr>
          <w:rFonts w:ascii="Calibri" w:hAnsi="Calibri" w:cs="Calibri"/>
          <w:sz w:val="22"/>
          <w:szCs w:val="22"/>
        </w:rPr>
        <w:t xml:space="preserve"> by Birn.</w:t>
      </w:r>
    </w:p>
    <w:p w14:paraId="5F971F86" w14:textId="7FDA03B3" w:rsidR="0098491A" w:rsidRPr="00D9152B" w:rsidRDefault="00A313A9"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For </w:t>
      </w:r>
      <w:r w:rsidR="00A70D3D" w:rsidRPr="00D9152B">
        <w:rPr>
          <w:rFonts w:ascii="Calibri" w:hAnsi="Calibri" w:cs="Calibri"/>
          <w:sz w:val="22"/>
          <w:szCs w:val="22"/>
        </w:rPr>
        <w:t>example</w:t>
      </w:r>
      <w:r w:rsidRPr="00D9152B">
        <w:rPr>
          <w:rFonts w:ascii="Calibri" w:hAnsi="Calibri" w:cs="Calibri"/>
          <w:sz w:val="22"/>
          <w:szCs w:val="22"/>
        </w:rPr>
        <w:t xml:space="preserve">, </w:t>
      </w:r>
      <w:r w:rsidR="00BC691E" w:rsidRPr="00D9152B">
        <w:rPr>
          <w:rFonts w:ascii="Calibri" w:hAnsi="Calibri" w:cs="Calibri"/>
          <w:sz w:val="22"/>
          <w:szCs w:val="22"/>
        </w:rPr>
        <w:t xml:space="preserve">Bhattacharya </w:t>
      </w:r>
      <w:r w:rsidR="006C0DFB" w:rsidRPr="00D9152B">
        <w:rPr>
          <w:rFonts w:ascii="Calibri" w:hAnsi="Calibri" w:cs="Calibri"/>
          <w:sz w:val="22"/>
          <w:szCs w:val="22"/>
        </w:rPr>
        <w:t>argues</w:t>
      </w:r>
      <w:r w:rsidR="00BC691E" w:rsidRPr="00D9152B">
        <w:rPr>
          <w:rFonts w:ascii="Calibri" w:hAnsi="Calibri" w:cs="Calibri"/>
          <w:sz w:val="22"/>
          <w:szCs w:val="22"/>
        </w:rPr>
        <w:t xml:space="preserve"> that the WHO’s histories of smallpox eradication often depict the transfer of expertise as unidirectional, universal, and uncontested, based on </w:t>
      </w:r>
      <w:r w:rsidR="003F2299" w:rsidRPr="00D9152B">
        <w:rPr>
          <w:rFonts w:ascii="Calibri" w:hAnsi="Calibri" w:cs="Calibri"/>
          <w:sz w:val="22"/>
          <w:szCs w:val="22"/>
        </w:rPr>
        <w:t>a selective use of metrics and primary sources</w:t>
      </w:r>
      <w:r w:rsidR="00BC691E" w:rsidRPr="00D9152B">
        <w:rPr>
          <w:rFonts w:ascii="Calibri" w:hAnsi="Calibri" w:cs="Calibri"/>
          <w:sz w:val="22"/>
          <w:szCs w:val="22"/>
        </w:rPr>
        <w:t xml:space="preserve">. He </w:t>
      </w:r>
      <w:r w:rsidR="006C0DFB" w:rsidRPr="00D9152B">
        <w:rPr>
          <w:rFonts w:ascii="Calibri" w:hAnsi="Calibri" w:cs="Calibri"/>
          <w:sz w:val="22"/>
          <w:szCs w:val="22"/>
        </w:rPr>
        <w:t>contends</w:t>
      </w:r>
      <w:r w:rsidR="00BC691E" w:rsidRPr="00D9152B">
        <w:rPr>
          <w:rFonts w:ascii="Calibri" w:hAnsi="Calibri" w:cs="Calibri"/>
          <w:sz w:val="22"/>
          <w:szCs w:val="22"/>
        </w:rPr>
        <w:t xml:space="preserve"> that complex issues like societal resistance are ‘frequently downplayed in </w:t>
      </w:r>
      <w:r w:rsidR="00A70D3D" w:rsidRPr="00D9152B">
        <w:rPr>
          <w:rFonts w:ascii="Calibri" w:hAnsi="Calibri" w:cs="Calibri"/>
          <w:sz w:val="22"/>
          <w:szCs w:val="22"/>
        </w:rPr>
        <w:t>tomes</w:t>
      </w:r>
      <w:r w:rsidR="00BC691E" w:rsidRPr="00D9152B">
        <w:rPr>
          <w:rFonts w:ascii="Calibri" w:hAnsi="Calibri" w:cs="Calibri"/>
          <w:sz w:val="22"/>
          <w:szCs w:val="22"/>
        </w:rPr>
        <w:t xml:space="preserve"> seeking to celebrate the contributions of individuals, institutions, and national governments’</w:t>
      </w:r>
      <w:r w:rsidR="006C0DFB" w:rsidRPr="00D9152B">
        <w:rPr>
          <w:rFonts w:ascii="Calibri" w:hAnsi="Calibri" w:cs="Calibri"/>
          <w:sz w:val="22"/>
          <w:szCs w:val="22"/>
        </w:rPr>
        <w:t>, which help organisations like the WHO institutionalise their power</w:t>
      </w:r>
      <w:r w:rsidR="00BC691E" w:rsidRPr="00D9152B">
        <w:rPr>
          <w:rFonts w:ascii="Calibri" w:hAnsi="Calibri" w:cs="Calibri"/>
          <w:sz w:val="22"/>
          <w:szCs w:val="22"/>
        </w:rPr>
        <w:t>.</w:t>
      </w:r>
      <w:r w:rsidR="00BC691E" w:rsidRPr="00D9152B">
        <w:rPr>
          <w:rStyle w:val="FootnoteReference"/>
          <w:rFonts w:ascii="Calibri" w:hAnsi="Calibri" w:cs="Calibri"/>
          <w:sz w:val="22"/>
          <w:szCs w:val="22"/>
        </w:rPr>
        <w:footnoteReference w:id="100"/>
      </w:r>
      <w:r w:rsidR="00BC691E" w:rsidRPr="00D9152B">
        <w:rPr>
          <w:rFonts w:ascii="Calibri" w:hAnsi="Calibri" w:cs="Calibri"/>
          <w:sz w:val="22"/>
          <w:szCs w:val="22"/>
        </w:rPr>
        <w:t xml:space="preserve"> </w:t>
      </w:r>
      <w:r w:rsidR="00CD3602" w:rsidRPr="00D9152B">
        <w:rPr>
          <w:rFonts w:ascii="Calibri" w:hAnsi="Calibri" w:cs="Calibri"/>
          <w:sz w:val="22"/>
          <w:szCs w:val="22"/>
        </w:rPr>
        <w:t>Storeng</w:t>
      </w:r>
      <w:r w:rsidR="00BC691E" w:rsidRPr="00D9152B">
        <w:rPr>
          <w:rFonts w:ascii="Calibri" w:hAnsi="Calibri" w:cs="Calibri"/>
          <w:sz w:val="22"/>
          <w:szCs w:val="22"/>
        </w:rPr>
        <w:t xml:space="preserve"> similarly</w:t>
      </w:r>
      <w:r w:rsidR="00CD3602" w:rsidRPr="00D9152B">
        <w:rPr>
          <w:rFonts w:ascii="Calibri" w:hAnsi="Calibri" w:cs="Calibri"/>
          <w:sz w:val="22"/>
          <w:szCs w:val="22"/>
        </w:rPr>
        <w:t xml:space="preserve"> </w:t>
      </w:r>
      <w:r w:rsidR="006C0DFB" w:rsidRPr="00D9152B">
        <w:rPr>
          <w:rFonts w:ascii="Calibri" w:hAnsi="Calibri" w:cs="Calibri"/>
          <w:sz w:val="22"/>
          <w:szCs w:val="22"/>
        </w:rPr>
        <w:t xml:space="preserve">points to the constructible nature of metrics, by criticising </w:t>
      </w:r>
      <w:r w:rsidR="00CD3602" w:rsidRPr="00D9152B">
        <w:rPr>
          <w:rFonts w:ascii="Calibri" w:hAnsi="Calibri" w:cs="Calibri"/>
          <w:sz w:val="22"/>
          <w:szCs w:val="22"/>
        </w:rPr>
        <w:t xml:space="preserve">policymakers’ </w:t>
      </w:r>
      <w:r w:rsidR="006C0DFB" w:rsidRPr="00D9152B">
        <w:rPr>
          <w:rFonts w:ascii="Calibri" w:hAnsi="Calibri" w:cs="Calibri"/>
          <w:sz w:val="22"/>
          <w:szCs w:val="22"/>
        </w:rPr>
        <w:t>tendencies</w:t>
      </w:r>
      <w:r w:rsidR="00CD3602" w:rsidRPr="00D9152B">
        <w:rPr>
          <w:rFonts w:ascii="Calibri" w:hAnsi="Calibri" w:cs="Calibri"/>
          <w:sz w:val="22"/>
          <w:szCs w:val="22"/>
        </w:rPr>
        <w:t xml:space="preserve"> to overlook programmes’ complexity when they focus on measuring programme impact. In her research on the GAVI Alliance and health system strengthening (HSS), she argues that, ‘HSS is presented as a technical solution and is articulated within an internally foolproof logic of cost-effectiveness and “saving lives” that is politically appealing and difficult to </w:t>
      </w:r>
      <w:r w:rsidR="00CD3602" w:rsidRPr="00D9152B">
        <w:rPr>
          <w:rFonts w:ascii="Calibri" w:hAnsi="Calibri" w:cs="Calibri"/>
          <w:sz w:val="22"/>
          <w:szCs w:val="22"/>
        </w:rPr>
        <w:lastRenderedPageBreak/>
        <w:t>challenge’.</w:t>
      </w:r>
      <w:r w:rsidR="00CD3602" w:rsidRPr="00D9152B">
        <w:rPr>
          <w:rStyle w:val="FootnoteReference"/>
          <w:rFonts w:ascii="Calibri" w:hAnsi="Calibri" w:cs="Calibri"/>
          <w:sz w:val="22"/>
          <w:szCs w:val="22"/>
        </w:rPr>
        <w:footnoteReference w:id="101"/>
      </w:r>
      <w:r w:rsidR="00CD3602" w:rsidRPr="00D9152B">
        <w:rPr>
          <w:rFonts w:ascii="Calibri" w:hAnsi="Calibri" w:cs="Calibri"/>
          <w:sz w:val="22"/>
          <w:szCs w:val="22"/>
        </w:rPr>
        <w:t xml:space="preserve"> </w:t>
      </w:r>
      <w:r w:rsidR="006E3247">
        <w:rPr>
          <w:rFonts w:ascii="Calibri" w:hAnsi="Calibri" w:cs="Calibri"/>
          <w:sz w:val="22"/>
          <w:szCs w:val="22"/>
        </w:rPr>
        <w:t xml:space="preserve">She calls this the ‘Gates Approach’ to HSS. </w:t>
      </w:r>
      <w:r w:rsidR="00CD3602" w:rsidRPr="00D9152B">
        <w:rPr>
          <w:rFonts w:ascii="Calibri" w:hAnsi="Calibri" w:cs="Calibri"/>
          <w:sz w:val="22"/>
          <w:szCs w:val="22"/>
        </w:rPr>
        <w:t>By promoting HSS successes</w:t>
      </w:r>
      <w:r w:rsidR="006C0DFB" w:rsidRPr="00D9152B">
        <w:rPr>
          <w:rFonts w:ascii="Calibri" w:hAnsi="Calibri" w:cs="Calibri"/>
          <w:sz w:val="22"/>
          <w:szCs w:val="22"/>
        </w:rPr>
        <w:t xml:space="preserve"> using its internally-produced metrics</w:t>
      </w:r>
      <w:r w:rsidR="00CD3602" w:rsidRPr="00D9152B">
        <w:rPr>
          <w:rFonts w:ascii="Calibri" w:hAnsi="Calibri" w:cs="Calibri"/>
          <w:sz w:val="22"/>
          <w:szCs w:val="22"/>
        </w:rPr>
        <w:t xml:space="preserve">, GAVI is able to silence critics of its narrow focus on vaccines. According to this view, the </w:t>
      </w:r>
      <w:r w:rsidR="00332C89" w:rsidRPr="00D9152B">
        <w:rPr>
          <w:rFonts w:ascii="Calibri" w:hAnsi="Calibri" w:cs="Calibri"/>
          <w:sz w:val="22"/>
          <w:szCs w:val="22"/>
        </w:rPr>
        <w:t>way that</w:t>
      </w:r>
      <w:r w:rsidR="00CD3602" w:rsidRPr="00D9152B">
        <w:rPr>
          <w:rFonts w:ascii="Calibri" w:hAnsi="Calibri" w:cs="Calibri"/>
          <w:sz w:val="22"/>
          <w:szCs w:val="22"/>
        </w:rPr>
        <w:t xml:space="preserve"> metrics are </w:t>
      </w:r>
      <w:r w:rsidR="00EE77CB" w:rsidRPr="00D9152B">
        <w:rPr>
          <w:rFonts w:ascii="Calibri" w:hAnsi="Calibri" w:cs="Calibri"/>
          <w:i/>
          <w:sz w:val="22"/>
          <w:szCs w:val="22"/>
        </w:rPr>
        <w:t>constructed</w:t>
      </w:r>
      <w:r w:rsidR="00CD3602" w:rsidRPr="00D9152B">
        <w:rPr>
          <w:rFonts w:ascii="Calibri" w:hAnsi="Calibri" w:cs="Calibri"/>
          <w:sz w:val="22"/>
          <w:szCs w:val="22"/>
        </w:rPr>
        <w:t xml:space="preserve"> </w:t>
      </w:r>
      <w:r w:rsidR="00992A29" w:rsidRPr="00D9152B">
        <w:rPr>
          <w:rFonts w:ascii="Calibri" w:hAnsi="Calibri" w:cs="Calibri"/>
          <w:sz w:val="22"/>
          <w:szCs w:val="22"/>
        </w:rPr>
        <w:t>(</w:t>
      </w:r>
      <w:r w:rsidR="006C0DFB" w:rsidRPr="00D9152B">
        <w:rPr>
          <w:rFonts w:ascii="Calibri" w:hAnsi="Calibri" w:cs="Calibri"/>
          <w:sz w:val="22"/>
          <w:szCs w:val="22"/>
        </w:rPr>
        <w:t xml:space="preserve">in addition to how these metrics are </w:t>
      </w:r>
      <w:r w:rsidR="00992A29" w:rsidRPr="00D9152B">
        <w:rPr>
          <w:rFonts w:ascii="Calibri" w:hAnsi="Calibri" w:cs="Calibri"/>
          <w:sz w:val="22"/>
          <w:szCs w:val="22"/>
        </w:rPr>
        <w:t xml:space="preserve">marketed) </w:t>
      </w:r>
      <w:r w:rsidR="00CD3602" w:rsidRPr="00D9152B">
        <w:rPr>
          <w:rFonts w:ascii="Calibri" w:hAnsi="Calibri" w:cs="Calibri"/>
          <w:sz w:val="22"/>
          <w:szCs w:val="22"/>
        </w:rPr>
        <w:t>by powerful public-private actors is what makes a programme like GAVI successful.</w:t>
      </w:r>
      <w:r w:rsidR="00332C89" w:rsidRPr="00D9152B">
        <w:rPr>
          <w:rFonts w:ascii="Calibri" w:hAnsi="Calibri" w:cs="Calibri"/>
          <w:sz w:val="22"/>
          <w:szCs w:val="22"/>
        </w:rPr>
        <w:t xml:space="preserve"> </w:t>
      </w:r>
    </w:p>
    <w:p w14:paraId="42199CB0" w14:textId="5285FE04" w:rsidR="00332C89" w:rsidRPr="00D9152B" w:rsidRDefault="00CD3602"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Harman continues this line of reasoning in her case study of the World Bank’s Multi-Country AIDS project (MAP). She argues that </w:t>
      </w:r>
      <w:r w:rsidR="00400AF7" w:rsidRPr="00D9152B">
        <w:rPr>
          <w:rFonts w:ascii="Calibri" w:hAnsi="Calibri" w:cs="Calibri"/>
          <w:sz w:val="22"/>
          <w:szCs w:val="22"/>
        </w:rPr>
        <w:t>the project’s</w:t>
      </w:r>
      <w:r w:rsidRPr="00D9152B">
        <w:rPr>
          <w:rFonts w:ascii="Calibri" w:hAnsi="Calibri" w:cs="Calibri"/>
          <w:sz w:val="22"/>
          <w:szCs w:val="22"/>
        </w:rPr>
        <w:t xml:space="preserve"> success is related more to the scope and originality of its management model than its programme outcomes.</w:t>
      </w:r>
      <w:r w:rsidRPr="00D9152B">
        <w:rPr>
          <w:rStyle w:val="FootnoteReference"/>
          <w:rFonts w:ascii="Calibri" w:hAnsi="Calibri" w:cs="Calibri"/>
          <w:sz w:val="22"/>
          <w:szCs w:val="22"/>
        </w:rPr>
        <w:footnoteReference w:id="102"/>
      </w:r>
      <w:r w:rsidRPr="00D9152B">
        <w:rPr>
          <w:rFonts w:ascii="Calibri" w:hAnsi="Calibri" w:cs="Calibri"/>
          <w:sz w:val="22"/>
          <w:szCs w:val="22"/>
        </w:rPr>
        <w:t xml:space="preserve"> Specifically, </w:t>
      </w:r>
      <w:r w:rsidR="00400AF7" w:rsidRPr="00D9152B">
        <w:rPr>
          <w:rFonts w:ascii="Calibri" w:hAnsi="Calibri" w:cs="Calibri"/>
          <w:sz w:val="22"/>
          <w:szCs w:val="22"/>
        </w:rPr>
        <w:t>the Multi-Country AIDS project</w:t>
      </w:r>
      <w:r w:rsidRPr="00D9152B">
        <w:rPr>
          <w:rFonts w:ascii="Calibri" w:hAnsi="Calibri" w:cs="Calibri"/>
          <w:sz w:val="22"/>
          <w:szCs w:val="22"/>
        </w:rPr>
        <w:t xml:space="preserve"> was a success because it placed HIV/AIDS on top of the political agenda and provided a foundation for future HIV/AIDS frameworks, including UNAIDS and the Global Fund. At the same time, Harman distinguishes the appearance of success from the reality of impact. </w:t>
      </w:r>
      <w:r w:rsidR="00400AF7" w:rsidRPr="00D9152B">
        <w:rPr>
          <w:rFonts w:ascii="Calibri" w:hAnsi="Calibri" w:cs="Calibri"/>
          <w:sz w:val="22"/>
          <w:szCs w:val="22"/>
        </w:rPr>
        <w:t>The programme</w:t>
      </w:r>
      <w:r w:rsidRPr="00D9152B">
        <w:rPr>
          <w:rFonts w:ascii="Calibri" w:hAnsi="Calibri" w:cs="Calibri"/>
          <w:sz w:val="22"/>
          <w:szCs w:val="22"/>
        </w:rPr>
        <w:t xml:space="preserve"> might have been an ‘ideological’ success that served as a model for future programmes, but it was also ‘accompanied by distinct failure’ to meet its set objectives. Like Shiffman and Storeng, Harman sees success as </w:t>
      </w:r>
      <w:r w:rsidRPr="00D9152B">
        <w:rPr>
          <w:rFonts w:ascii="Calibri" w:hAnsi="Calibri" w:cs="Calibri"/>
          <w:i/>
          <w:sz w:val="22"/>
          <w:szCs w:val="22"/>
        </w:rPr>
        <w:t>appearance</w:t>
      </w:r>
      <w:r w:rsidRPr="00D9152B">
        <w:rPr>
          <w:rFonts w:ascii="Calibri" w:hAnsi="Calibri" w:cs="Calibri"/>
          <w:sz w:val="22"/>
          <w:szCs w:val="22"/>
        </w:rPr>
        <w:t xml:space="preserve"> in global health: programmes with strong indicators for impact only become public successes in the right political context. Taking their arguments further, she argues that even programmes with ‘failed’ indicators can be re-constructed as successes in the right context.</w:t>
      </w:r>
    </w:p>
    <w:p w14:paraId="2FEC5787" w14:textId="6AD62FFB" w:rsidR="00332C89"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Birn’s writings on success in global health form the heart of the </w:t>
      </w:r>
      <w:r w:rsidR="00CD3602" w:rsidRPr="00D9152B">
        <w:rPr>
          <w:rFonts w:ascii="Calibri" w:hAnsi="Calibri" w:cs="Calibri"/>
          <w:sz w:val="22"/>
          <w:szCs w:val="22"/>
        </w:rPr>
        <w:t>constructivist</w:t>
      </w:r>
      <w:r w:rsidRPr="00D9152B">
        <w:rPr>
          <w:rFonts w:ascii="Calibri" w:hAnsi="Calibri" w:cs="Calibri"/>
          <w:sz w:val="22"/>
          <w:szCs w:val="22"/>
        </w:rPr>
        <w:t xml:space="preserve"> framework. In her 2009 article on the stages of international health success, she makes four inter-connected </w:t>
      </w:r>
      <w:r w:rsidR="00332C89" w:rsidRPr="00D9152B">
        <w:rPr>
          <w:rFonts w:ascii="Calibri" w:hAnsi="Calibri" w:cs="Calibri"/>
          <w:sz w:val="22"/>
          <w:szCs w:val="22"/>
        </w:rPr>
        <w:t>arguments</w:t>
      </w:r>
      <w:r w:rsidRPr="00D9152B">
        <w:rPr>
          <w:rFonts w:ascii="Calibri" w:hAnsi="Calibri" w:cs="Calibri"/>
          <w:sz w:val="22"/>
          <w:szCs w:val="22"/>
        </w:rPr>
        <w:t xml:space="preserve"> about the nature of success. </w:t>
      </w:r>
      <w:r w:rsidR="00332C89" w:rsidRPr="00D9152B">
        <w:rPr>
          <w:rFonts w:ascii="Calibri" w:hAnsi="Calibri" w:cs="Calibri"/>
          <w:sz w:val="22"/>
          <w:szCs w:val="22"/>
        </w:rPr>
        <w:t>First,</w:t>
      </w:r>
      <w:r w:rsidRPr="00D9152B">
        <w:rPr>
          <w:rFonts w:ascii="Calibri" w:hAnsi="Calibri" w:cs="Calibri"/>
          <w:sz w:val="22"/>
          <w:szCs w:val="22"/>
        </w:rPr>
        <w:t xml:space="preserve"> since 1985, global health has been in a stage of ‘uncontested success’. The business orientation of emergent players like the World Bank, Gates Foundation, and </w:t>
      </w:r>
      <w:r w:rsidR="00332C89" w:rsidRPr="00D9152B">
        <w:rPr>
          <w:rFonts w:ascii="Calibri" w:hAnsi="Calibri" w:cs="Calibri"/>
          <w:sz w:val="22"/>
          <w:szCs w:val="22"/>
        </w:rPr>
        <w:t>public-private partnerships (PPPs)</w:t>
      </w:r>
      <w:r w:rsidRPr="00D9152B">
        <w:rPr>
          <w:rFonts w:ascii="Calibri" w:hAnsi="Calibri" w:cs="Calibri"/>
          <w:sz w:val="22"/>
          <w:szCs w:val="22"/>
        </w:rPr>
        <w:t xml:space="preserve"> has defined success in terms of reaching concrete goals through management-style performance accountability measures, with a heavy emphasis on technically-based disease control initiatives. This stands in contrast to an earlier stage of ‘contested success’ (1970-1985), which emphasized broader assessments of health and social well-being. Second, when programmes set objectives or goals, these goals must be seen within this </w:t>
      </w:r>
      <w:r w:rsidRPr="00D9152B">
        <w:rPr>
          <w:rFonts w:ascii="Calibri" w:hAnsi="Calibri" w:cs="Calibri"/>
          <w:sz w:val="22"/>
          <w:szCs w:val="22"/>
        </w:rPr>
        <w:lastRenderedPageBreak/>
        <w:t>contested success landscape. The setting of objectives themselves is political, and often determined by anticipated success. Third, when measuring progress towards these goals, attention has to be given to what metrics are being used. Like objectives, metrics are the products of particular political, economic, and social-medical contexts; seeing them as progressive or uniform over time plays into the wider un-contested success agenda. Finally, the same powerful institutional actors – particularly the World Bank – who contributed to this uncontested success era actively puts forward successes that support its business model.</w:t>
      </w:r>
      <w:r w:rsidR="00400AF7" w:rsidRPr="00D9152B">
        <w:rPr>
          <w:rStyle w:val="FootnoteReference"/>
          <w:rFonts w:ascii="Calibri" w:hAnsi="Calibri" w:cs="Calibri"/>
        </w:rPr>
        <w:footnoteReference w:id="103"/>
      </w:r>
      <w:r w:rsidRPr="00D9152B">
        <w:rPr>
          <w:rFonts w:ascii="Calibri" w:hAnsi="Calibri" w:cs="Calibri"/>
          <w:sz w:val="22"/>
          <w:szCs w:val="22"/>
        </w:rPr>
        <w:t xml:space="preserve"> </w:t>
      </w:r>
    </w:p>
    <w:p w14:paraId="12B37B78" w14:textId="42C55EE0" w:rsidR="0042130A" w:rsidRPr="00D9152B" w:rsidRDefault="00AC53E7" w:rsidP="00DB16CC">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In her 2011 article, ‘Small(pox) success?’, Birn </w:t>
      </w:r>
      <w:r w:rsidR="00332C89" w:rsidRPr="00D9152B">
        <w:rPr>
          <w:rFonts w:ascii="Calibri" w:hAnsi="Calibri" w:cs="Calibri"/>
          <w:sz w:val="22"/>
          <w:szCs w:val="22"/>
        </w:rPr>
        <w:t>uses archival research and secondary literature to provide</w:t>
      </w:r>
      <w:r w:rsidRPr="00D9152B">
        <w:rPr>
          <w:rFonts w:ascii="Calibri" w:hAnsi="Calibri" w:cs="Calibri"/>
          <w:sz w:val="22"/>
          <w:szCs w:val="22"/>
        </w:rPr>
        <w:t xml:space="preserve"> a case study of how success is constructed and becomes u</w:t>
      </w:r>
      <w:r w:rsidR="00332C89" w:rsidRPr="00D9152B">
        <w:rPr>
          <w:rFonts w:ascii="Calibri" w:hAnsi="Calibri" w:cs="Calibri"/>
          <w:sz w:val="22"/>
          <w:szCs w:val="22"/>
        </w:rPr>
        <w:t>n-contestable. Birn argues that</w:t>
      </w:r>
      <w:r w:rsidRPr="00D9152B">
        <w:rPr>
          <w:rFonts w:ascii="Calibri" w:hAnsi="Calibri" w:cs="Calibri"/>
          <w:sz w:val="22"/>
          <w:szCs w:val="22"/>
        </w:rPr>
        <w:t xml:space="preserve"> even the success of smallpox eradication, widely considered to be ‘the single greatest public health success in history… a quintessential global health parable</w:t>
      </w:r>
      <w:r w:rsidR="00332C89" w:rsidRPr="00D9152B">
        <w:rPr>
          <w:rFonts w:ascii="Calibri" w:hAnsi="Calibri" w:cs="Calibri"/>
          <w:sz w:val="22"/>
          <w:szCs w:val="22"/>
        </w:rPr>
        <w:t>’, can and should be questioned</w:t>
      </w:r>
      <w:r w:rsidRPr="00D9152B">
        <w:rPr>
          <w:rFonts w:ascii="Calibri" w:hAnsi="Calibri" w:cs="Calibri"/>
          <w:sz w:val="22"/>
          <w:szCs w:val="22"/>
        </w:rPr>
        <w:t>. Birn concludes that what constitutes success, both historically and today, has been inadequately analysed. She argues that historians and policymakers should increase their collaborations in the future, to better grapple with the complexity of extracting lessons from the past to support their current global health approaches. Doing so would require more in-depth analysis of health ‘successes’, and contextualizing them within the deeper policy images and policy venues of their historic eras.</w:t>
      </w:r>
      <w:r w:rsidR="00332C89" w:rsidRPr="00D9152B">
        <w:rPr>
          <w:rStyle w:val="FootnoteReference"/>
          <w:rFonts w:ascii="Calibri" w:hAnsi="Calibri" w:cs="Calibri"/>
          <w:sz w:val="22"/>
          <w:szCs w:val="22"/>
        </w:rPr>
        <w:footnoteReference w:id="104"/>
      </w:r>
    </w:p>
    <w:p w14:paraId="3939B1E1" w14:textId="32045B65" w:rsidR="004600E3" w:rsidRPr="00D9152B" w:rsidRDefault="00820D80" w:rsidP="00E047C2">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marketing and constructivist frameworks share many features, and constructivism is best viewed as the extreme end of the marketing </w:t>
      </w:r>
      <w:r w:rsidR="000040B4" w:rsidRPr="00D9152B">
        <w:rPr>
          <w:rFonts w:ascii="Calibri" w:hAnsi="Calibri" w:cs="Calibri"/>
          <w:sz w:val="22"/>
          <w:szCs w:val="22"/>
        </w:rPr>
        <w:t xml:space="preserve">framework’s </w:t>
      </w:r>
      <w:r w:rsidRPr="00D9152B">
        <w:rPr>
          <w:rFonts w:ascii="Calibri" w:hAnsi="Calibri" w:cs="Calibri"/>
          <w:sz w:val="22"/>
          <w:szCs w:val="22"/>
        </w:rPr>
        <w:t xml:space="preserve">spectrum. </w:t>
      </w:r>
      <w:r w:rsidR="00DB16CC" w:rsidRPr="00D9152B">
        <w:rPr>
          <w:rFonts w:ascii="Calibri" w:hAnsi="Calibri" w:cs="Calibri"/>
          <w:sz w:val="22"/>
          <w:szCs w:val="22"/>
        </w:rPr>
        <w:t xml:space="preserve">Both </w:t>
      </w:r>
      <w:r w:rsidR="000040B4" w:rsidRPr="00D9152B">
        <w:rPr>
          <w:rFonts w:ascii="Calibri" w:hAnsi="Calibri" w:cs="Calibri"/>
          <w:sz w:val="22"/>
          <w:szCs w:val="22"/>
        </w:rPr>
        <w:t xml:space="preserve">frameworks do not view success as an end-point; a programme can never reach a point at which it is a stand-alone ‘success’, because when venues change, </w:t>
      </w:r>
      <w:r w:rsidR="00E047C2" w:rsidRPr="00D9152B">
        <w:rPr>
          <w:rFonts w:ascii="Calibri" w:hAnsi="Calibri" w:cs="Calibri"/>
          <w:sz w:val="22"/>
          <w:szCs w:val="22"/>
        </w:rPr>
        <w:t>definitions (and designations) of success also change.</w:t>
      </w:r>
      <w:r w:rsidR="004600E3" w:rsidRPr="00D9152B">
        <w:rPr>
          <w:rFonts w:ascii="Calibri" w:hAnsi="Calibri" w:cs="Calibri"/>
          <w:sz w:val="22"/>
          <w:szCs w:val="22"/>
        </w:rPr>
        <w:t xml:space="preserve"> </w:t>
      </w:r>
      <w:r w:rsidR="00E047C2" w:rsidRPr="00D9152B">
        <w:rPr>
          <w:rFonts w:ascii="Calibri" w:hAnsi="Calibri" w:cs="Calibri"/>
          <w:sz w:val="22"/>
          <w:szCs w:val="22"/>
        </w:rPr>
        <w:t xml:space="preserve">The distinguishing characteristic of the constructivist framework is its heavy emphasis on institutional power. Within the marketing framework, metrics are at least somewhat evidence-based, and it is </w:t>
      </w:r>
      <w:r w:rsidR="00DB16CC" w:rsidRPr="00D9152B">
        <w:rPr>
          <w:rFonts w:ascii="Calibri" w:hAnsi="Calibri" w:cs="Calibri"/>
          <w:sz w:val="22"/>
          <w:szCs w:val="22"/>
        </w:rPr>
        <w:t>the</w:t>
      </w:r>
      <w:r w:rsidR="00E047C2" w:rsidRPr="00D9152B">
        <w:rPr>
          <w:rFonts w:ascii="Calibri" w:hAnsi="Calibri" w:cs="Calibri"/>
          <w:sz w:val="22"/>
          <w:szCs w:val="22"/>
        </w:rPr>
        <w:t xml:space="preserve"> </w:t>
      </w:r>
      <w:r w:rsidR="00E047C2" w:rsidRPr="00D9152B">
        <w:rPr>
          <w:rFonts w:ascii="Calibri" w:hAnsi="Calibri" w:cs="Calibri"/>
          <w:i/>
          <w:sz w:val="22"/>
          <w:szCs w:val="22"/>
        </w:rPr>
        <w:t xml:space="preserve">dissemination </w:t>
      </w:r>
      <w:r w:rsidR="00DB16CC" w:rsidRPr="00D9152B">
        <w:rPr>
          <w:rFonts w:ascii="Calibri" w:hAnsi="Calibri" w:cs="Calibri"/>
          <w:i/>
          <w:sz w:val="22"/>
          <w:szCs w:val="22"/>
        </w:rPr>
        <w:t>of these metrics</w:t>
      </w:r>
      <w:r w:rsidR="00DB16CC" w:rsidRPr="00D9152B">
        <w:rPr>
          <w:rFonts w:ascii="Calibri" w:hAnsi="Calibri" w:cs="Calibri"/>
          <w:sz w:val="22"/>
          <w:szCs w:val="22"/>
        </w:rPr>
        <w:t xml:space="preserve"> </w:t>
      </w:r>
      <w:r w:rsidR="00E047C2" w:rsidRPr="00D9152B">
        <w:rPr>
          <w:rFonts w:ascii="Calibri" w:hAnsi="Calibri" w:cs="Calibri"/>
          <w:sz w:val="22"/>
          <w:szCs w:val="22"/>
        </w:rPr>
        <w:t xml:space="preserve">that </w:t>
      </w:r>
      <w:r w:rsidR="00DB16CC" w:rsidRPr="00D9152B">
        <w:rPr>
          <w:rFonts w:ascii="Calibri" w:hAnsi="Calibri" w:cs="Calibri"/>
          <w:sz w:val="22"/>
          <w:szCs w:val="22"/>
        </w:rPr>
        <w:t>determines a programme’s success status</w:t>
      </w:r>
      <w:r w:rsidR="00E047C2" w:rsidRPr="00D9152B">
        <w:rPr>
          <w:rFonts w:ascii="Calibri" w:hAnsi="Calibri" w:cs="Calibri"/>
          <w:sz w:val="22"/>
          <w:szCs w:val="22"/>
        </w:rPr>
        <w:t xml:space="preserve">. </w:t>
      </w:r>
      <w:r w:rsidR="00DB16CC" w:rsidRPr="00D9152B">
        <w:rPr>
          <w:rFonts w:ascii="Calibri" w:hAnsi="Calibri" w:cs="Calibri"/>
          <w:sz w:val="22"/>
          <w:szCs w:val="22"/>
        </w:rPr>
        <w:t>In contrast</w:t>
      </w:r>
      <w:r w:rsidR="00E047C2" w:rsidRPr="00D9152B">
        <w:rPr>
          <w:rFonts w:ascii="Calibri" w:hAnsi="Calibri" w:cs="Calibri"/>
          <w:sz w:val="22"/>
          <w:szCs w:val="22"/>
        </w:rPr>
        <w:t xml:space="preserve">, within the constructivist framework, metrics are created </w:t>
      </w:r>
      <w:r w:rsidR="00DB16CC" w:rsidRPr="00D9152B">
        <w:rPr>
          <w:rFonts w:ascii="Calibri" w:hAnsi="Calibri" w:cs="Calibri"/>
          <w:sz w:val="22"/>
          <w:szCs w:val="22"/>
        </w:rPr>
        <w:t>based on institutional power and ethos themselves</w:t>
      </w:r>
      <w:r w:rsidR="00E047C2" w:rsidRPr="00D9152B">
        <w:rPr>
          <w:rFonts w:ascii="Calibri" w:hAnsi="Calibri" w:cs="Calibri"/>
          <w:sz w:val="22"/>
          <w:szCs w:val="22"/>
        </w:rPr>
        <w:t xml:space="preserve">. According to constructivists, </w:t>
      </w:r>
      <w:r w:rsidR="00DB16CC" w:rsidRPr="00D9152B">
        <w:rPr>
          <w:rFonts w:ascii="Calibri" w:hAnsi="Calibri" w:cs="Calibri"/>
          <w:sz w:val="22"/>
          <w:szCs w:val="22"/>
        </w:rPr>
        <w:t>‘</w:t>
      </w:r>
      <w:r w:rsidR="00E047C2" w:rsidRPr="00D9152B">
        <w:rPr>
          <w:rFonts w:ascii="Calibri" w:hAnsi="Calibri" w:cs="Calibri"/>
          <w:sz w:val="22"/>
          <w:szCs w:val="22"/>
        </w:rPr>
        <w:t>evidence-based</w:t>
      </w:r>
      <w:r w:rsidR="00DB16CC" w:rsidRPr="00D9152B">
        <w:rPr>
          <w:rFonts w:ascii="Calibri" w:hAnsi="Calibri" w:cs="Calibri"/>
          <w:sz w:val="22"/>
          <w:szCs w:val="22"/>
        </w:rPr>
        <w:t>’</w:t>
      </w:r>
      <w:r w:rsidR="00E047C2" w:rsidRPr="00D9152B">
        <w:rPr>
          <w:rFonts w:ascii="Calibri" w:hAnsi="Calibri" w:cs="Calibri"/>
          <w:i/>
          <w:sz w:val="22"/>
          <w:szCs w:val="22"/>
        </w:rPr>
        <w:t xml:space="preserve"> data</w:t>
      </w:r>
      <w:r w:rsidR="00DB16CC" w:rsidRPr="00D9152B">
        <w:rPr>
          <w:rFonts w:ascii="Calibri" w:hAnsi="Calibri" w:cs="Calibri"/>
          <w:i/>
          <w:sz w:val="22"/>
          <w:szCs w:val="22"/>
        </w:rPr>
        <w:t xml:space="preserve"> itself</w:t>
      </w:r>
      <w:r w:rsidR="00E047C2" w:rsidRPr="00D9152B">
        <w:rPr>
          <w:rFonts w:ascii="Calibri" w:hAnsi="Calibri" w:cs="Calibri"/>
          <w:i/>
          <w:sz w:val="22"/>
          <w:szCs w:val="22"/>
        </w:rPr>
        <w:t xml:space="preserve"> bends</w:t>
      </w:r>
      <w:r w:rsidR="00E047C2" w:rsidRPr="00D9152B">
        <w:rPr>
          <w:rFonts w:ascii="Calibri" w:hAnsi="Calibri" w:cs="Calibri"/>
          <w:sz w:val="22"/>
          <w:szCs w:val="22"/>
        </w:rPr>
        <w:t xml:space="preserve"> to the ethos of institutions </w:t>
      </w:r>
      <w:r w:rsidR="00E047C2" w:rsidRPr="00D9152B">
        <w:rPr>
          <w:rFonts w:ascii="Calibri" w:hAnsi="Calibri" w:cs="Calibri"/>
          <w:sz w:val="22"/>
          <w:szCs w:val="22"/>
        </w:rPr>
        <w:lastRenderedPageBreak/>
        <w:t xml:space="preserve">and their policy images. </w:t>
      </w:r>
      <w:r w:rsidR="004600E3" w:rsidRPr="00D9152B">
        <w:rPr>
          <w:rFonts w:ascii="Calibri" w:hAnsi="Calibri" w:cs="Calibri"/>
          <w:sz w:val="22"/>
          <w:szCs w:val="22"/>
        </w:rPr>
        <w:t xml:space="preserve">Many scholars, including Sridhar, Battacharya, Storeng, and Harman, have operated across the boundaries of </w:t>
      </w:r>
      <w:r w:rsidR="003F2708" w:rsidRPr="00D9152B">
        <w:rPr>
          <w:rFonts w:ascii="Calibri" w:hAnsi="Calibri" w:cs="Calibri"/>
          <w:sz w:val="22"/>
          <w:szCs w:val="22"/>
        </w:rPr>
        <w:t>both the marketing and the constructivist</w:t>
      </w:r>
      <w:r w:rsidR="004600E3" w:rsidRPr="00D9152B">
        <w:rPr>
          <w:rFonts w:ascii="Calibri" w:hAnsi="Calibri" w:cs="Calibri"/>
          <w:sz w:val="22"/>
          <w:szCs w:val="22"/>
        </w:rPr>
        <w:t xml:space="preserve"> framework.</w:t>
      </w:r>
      <w:r w:rsidR="003F2708" w:rsidRPr="00D9152B">
        <w:rPr>
          <w:rFonts w:ascii="Calibri" w:hAnsi="Calibri" w:cs="Calibri"/>
          <w:sz w:val="22"/>
          <w:szCs w:val="22"/>
        </w:rPr>
        <w:t xml:space="preserve"> They look at programme effectiveness and legacy from the vantage of both how metrics were decided-upon and defined during a programme, and how this evidence was disseminated by powerful actors.</w:t>
      </w:r>
    </w:p>
    <w:p w14:paraId="557F3855" w14:textId="2890121B" w:rsidR="00AC53E7" w:rsidRPr="00D9152B" w:rsidRDefault="00F65E95" w:rsidP="00984DC0">
      <w:pPr>
        <w:pStyle w:val="Heading2"/>
        <w:rPr>
          <w:rFonts w:ascii="Calibri" w:hAnsi="Calibri" w:cs="Calibri"/>
          <w:b/>
          <w:color w:val="000000" w:themeColor="text1"/>
          <w:sz w:val="26"/>
          <w:szCs w:val="26"/>
        </w:rPr>
      </w:pPr>
      <w:bookmarkStart w:id="22" w:name="_Toc41505596"/>
      <w:r w:rsidRPr="00D9152B">
        <w:rPr>
          <w:rFonts w:ascii="Calibri" w:hAnsi="Calibri" w:cs="Calibri"/>
          <w:b/>
          <w:color w:val="000000" w:themeColor="text1"/>
          <w:sz w:val="26"/>
          <w:szCs w:val="26"/>
        </w:rPr>
        <w:t>2</w:t>
      </w:r>
      <w:r w:rsidR="00A14D17" w:rsidRPr="00D9152B">
        <w:rPr>
          <w:rFonts w:ascii="Calibri" w:hAnsi="Calibri" w:cs="Calibri"/>
          <w:b/>
          <w:color w:val="000000" w:themeColor="text1"/>
          <w:sz w:val="26"/>
          <w:szCs w:val="26"/>
        </w:rPr>
        <w:t>.</w:t>
      </w:r>
      <w:r w:rsidR="00992A29" w:rsidRPr="00D9152B">
        <w:rPr>
          <w:rFonts w:ascii="Calibri" w:hAnsi="Calibri" w:cs="Calibri"/>
          <w:b/>
          <w:color w:val="000000" w:themeColor="text1"/>
          <w:sz w:val="26"/>
          <w:szCs w:val="26"/>
        </w:rPr>
        <w:t>3</w:t>
      </w:r>
      <w:r w:rsidR="00DF52DF" w:rsidRPr="00D9152B">
        <w:rPr>
          <w:rFonts w:ascii="Calibri" w:hAnsi="Calibri" w:cs="Calibri"/>
          <w:b/>
          <w:color w:val="000000" w:themeColor="text1"/>
          <w:sz w:val="26"/>
          <w:szCs w:val="26"/>
        </w:rPr>
        <w:t>.</w:t>
      </w:r>
      <w:r w:rsidR="00A14D17" w:rsidRPr="00D9152B">
        <w:rPr>
          <w:rFonts w:ascii="Calibri" w:hAnsi="Calibri" w:cs="Calibri"/>
          <w:b/>
          <w:color w:val="000000" w:themeColor="text1"/>
          <w:sz w:val="26"/>
          <w:szCs w:val="26"/>
        </w:rPr>
        <w:t xml:space="preserve"> </w:t>
      </w:r>
      <w:r w:rsidR="006F7471" w:rsidRPr="00D9152B">
        <w:rPr>
          <w:rFonts w:ascii="Calibri" w:hAnsi="Calibri" w:cs="Calibri"/>
          <w:b/>
          <w:color w:val="000000" w:themeColor="text1"/>
          <w:sz w:val="26"/>
          <w:szCs w:val="26"/>
        </w:rPr>
        <w:t>Literature</w:t>
      </w:r>
      <w:r w:rsidR="00810635" w:rsidRPr="00D9152B">
        <w:rPr>
          <w:rFonts w:ascii="Calibri" w:hAnsi="Calibri" w:cs="Calibri"/>
          <w:b/>
          <w:color w:val="000000" w:themeColor="text1"/>
          <w:sz w:val="26"/>
          <w:szCs w:val="26"/>
        </w:rPr>
        <w:t xml:space="preserve"> review of </w:t>
      </w:r>
      <w:r w:rsidR="006F7471" w:rsidRPr="00D9152B">
        <w:rPr>
          <w:rFonts w:ascii="Calibri" w:hAnsi="Calibri" w:cs="Calibri"/>
          <w:b/>
          <w:color w:val="000000" w:themeColor="text1"/>
          <w:sz w:val="26"/>
          <w:szCs w:val="26"/>
        </w:rPr>
        <w:t>the OCP success story</w:t>
      </w:r>
      <w:bookmarkEnd w:id="22"/>
      <w:r w:rsidR="006F7471" w:rsidRPr="00D9152B">
        <w:rPr>
          <w:rFonts w:ascii="Calibri" w:hAnsi="Calibri" w:cs="Calibri"/>
          <w:b/>
          <w:color w:val="000000" w:themeColor="text1"/>
          <w:sz w:val="26"/>
          <w:szCs w:val="26"/>
        </w:rPr>
        <w:t xml:space="preserve"> </w:t>
      </w:r>
    </w:p>
    <w:p w14:paraId="5C588302" w14:textId="75C1C89B" w:rsidR="006F7471"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An in-depth literature review on the OCP’s success was conducted for two major purposes. First, by identifying major articles and authors that have referenced the OCP’s success since 1974, it documents the position of the OCP within the global health community’s collective memory (</w:t>
      </w:r>
      <w:r w:rsidR="003F463D" w:rsidRPr="00D9152B">
        <w:rPr>
          <w:rFonts w:ascii="Calibri" w:hAnsi="Calibri" w:cs="Calibri"/>
          <w:sz w:val="22"/>
          <w:szCs w:val="22"/>
        </w:rPr>
        <w:t xml:space="preserve">global health </w:t>
      </w:r>
      <w:r w:rsidRPr="00D9152B">
        <w:rPr>
          <w:rFonts w:ascii="Calibri" w:hAnsi="Calibri" w:cs="Calibri"/>
          <w:sz w:val="22"/>
          <w:szCs w:val="22"/>
        </w:rPr>
        <w:t xml:space="preserve">review). Second, by zooming-in on the World Bank within this wider literature review, it identifies the ways in which the Bank has publicly pointed-to the OCP’s success (Bank review). </w:t>
      </w:r>
    </w:p>
    <w:p w14:paraId="593134FD" w14:textId="7F2853AD" w:rsidR="006F7471" w:rsidRPr="00D9152B" w:rsidRDefault="00F65E95" w:rsidP="00984DC0">
      <w:pPr>
        <w:pStyle w:val="Heading3"/>
        <w:rPr>
          <w:rFonts w:ascii="Calibri" w:hAnsi="Calibri" w:cs="Calibri"/>
          <w:b/>
          <w:i/>
          <w:color w:val="000000" w:themeColor="text1"/>
          <w:sz w:val="22"/>
          <w:szCs w:val="22"/>
        </w:rPr>
      </w:pPr>
      <w:bookmarkStart w:id="23" w:name="_Toc41505597"/>
      <w:r w:rsidRPr="00D9152B">
        <w:rPr>
          <w:rFonts w:ascii="Calibri" w:hAnsi="Calibri" w:cs="Calibri"/>
          <w:b/>
          <w:i/>
          <w:color w:val="000000" w:themeColor="text1"/>
          <w:sz w:val="22"/>
          <w:szCs w:val="22"/>
        </w:rPr>
        <w:t>2</w:t>
      </w:r>
      <w:r w:rsidR="006F7471" w:rsidRPr="00D9152B">
        <w:rPr>
          <w:rFonts w:ascii="Calibri" w:hAnsi="Calibri" w:cs="Calibri"/>
          <w:b/>
          <w:i/>
          <w:color w:val="000000" w:themeColor="text1"/>
          <w:sz w:val="22"/>
          <w:szCs w:val="22"/>
        </w:rPr>
        <w:t>.</w:t>
      </w:r>
      <w:r w:rsidR="00992A29" w:rsidRPr="00D9152B">
        <w:rPr>
          <w:rFonts w:ascii="Calibri" w:hAnsi="Calibri" w:cs="Calibri"/>
          <w:b/>
          <w:i/>
          <w:color w:val="000000" w:themeColor="text1"/>
          <w:sz w:val="22"/>
          <w:szCs w:val="22"/>
        </w:rPr>
        <w:t>3</w:t>
      </w:r>
      <w:r w:rsidR="00E70E9E" w:rsidRPr="00D9152B">
        <w:rPr>
          <w:rFonts w:ascii="Calibri" w:hAnsi="Calibri" w:cs="Calibri"/>
          <w:b/>
          <w:i/>
          <w:color w:val="000000" w:themeColor="text1"/>
          <w:sz w:val="22"/>
          <w:szCs w:val="22"/>
        </w:rPr>
        <w:t>.A</w:t>
      </w:r>
      <w:r w:rsidR="00DF52DF" w:rsidRPr="00D9152B">
        <w:rPr>
          <w:rFonts w:ascii="Calibri" w:hAnsi="Calibri" w:cs="Calibri"/>
          <w:b/>
          <w:i/>
          <w:color w:val="000000" w:themeColor="text1"/>
          <w:sz w:val="22"/>
          <w:szCs w:val="22"/>
        </w:rPr>
        <w:t>.</w:t>
      </w:r>
      <w:r w:rsidR="006F7471" w:rsidRPr="00D9152B">
        <w:rPr>
          <w:rFonts w:ascii="Calibri" w:hAnsi="Calibri" w:cs="Calibri"/>
          <w:b/>
          <w:i/>
          <w:color w:val="000000" w:themeColor="text1"/>
          <w:sz w:val="22"/>
          <w:szCs w:val="22"/>
        </w:rPr>
        <w:t xml:space="preserve"> </w:t>
      </w:r>
      <w:r w:rsidRPr="00D9152B">
        <w:rPr>
          <w:rFonts w:ascii="Calibri" w:hAnsi="Calibri" w:cs="Calibri"/>
          <w:b/>
          <w:i/>
          <w:color w:val="000000" w:themeColor="text1"/>
          <w:sz w:val="22"/>
          <w:szCs w:val="22"/>
        </w:rPr>
        <w:t>G</w:t>
      </w:r>
      <w:r w:rsidR="006F7471" w:rsidRPr="00D9152B">
        <w:rPr>
          <w:rFonts w:ascii="Calibri" w:hAnsi="Calibri" w:cs="Calibri"/>
          <w:b/>
          <w:i/>
          <w:color w:val="000000" w:themeColor="text1"/>
          <w:sz w:val="22"/>
          <w:szCs w:val="22"/>
        </w:rPr>
        <w:t xml:space="preserve">lobal health community (GH) </w:t>
      </w:r>
      <w:r w:rsidR="00810635" w:rsidRPr="00D9152B">
        <w:rPr>
          <w:rFonts w:ascii="Calibri" w:hAnsi="Calibri" w:cs="Calibri"/>
          <w:b/>
          <w:i/>
          <w:color w:val="000000" w:themeColor="text1"/>
          <w:sz w:val="22"/>
          <w:szCs w:val="22"/>
        </w:rPr>
        <w:t xml:space="preserve">literature </w:t>
      </w:r>
      <w:r w:rsidR="006F7471" w:rsidRPr="00D9152B">
        <w:rPr>
          <w:rFonts w:ascii="Calibri" w:hAnsi="Calibri" w:cs="Calibri"/>
          <w:b/>
          <w:i/>
          <w:color w:val="000000" w:themeColor="text1"/>
          <w:sz w:val="22"/>
          <w:szCs w:val="22"/>
        </w:rPr>
        <w:t>review</w:t>
      </w:r>
      <w:bookmarkEnd w:id="23"/>
    </w:p>
    <w:p w14:paraId="7A8D634C" w14:textId="42591076" w:rsidR="00AC53E7"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literature review was conducted </w:t>
      </w:r>
      <w:r w:rsidR="00992146" w:rsidRPr="00D9152B">
        <w:rPr>
          <w:rFonts w:ascii="Calibri" w:hAnsi="Calibri" w:cs="Calibri"/>
          <w:sz w:val="22"/>
          <w:szCs w:val="22"/>
        </w:rPr>
        <w:t>through</w:t>
      </w:r>
      <w:r w:rsidRPr="00D9152B">
        <w:rPr>
          <w:rFonts w:ascii="Calibri" w:hAnsi="Calibri" w:cs="Calibri"/>
          <w:sz w:val="22"/>
          <w:szCs w:val="22"/>
        </w:rPr>
        <w:t xml:space="preserve"> online databases and search engines (Figure 2</w:t>
      </w:r>
      <w:r w:rsidR="00455681">
        <w:rPr>
          <w:rFonts w:ascii="Calibri" w:hAnsi="Calibri" w:cs="Calibri"/>
          <w:sz w:val="22"/>
          <w:szCs w:val="22"/>
        </w:rPr>
        <w:t>.2</w:t>
      </w:r>
      <w:r w:rsidRPr="00D9152B">
        <w:rPr>
          <w:rFonts w:ascii="Calibri" w:hAnsi="Calibri" w:cs="Calibri"/>
          <w:sz w:val="22"/>
          <w:szCs w:val="22"/>
        </w:rPr>
        <w:t>), using a thematic analysis methodology.</w:t>
      </w:r>
      <w:r w:rsidRPr="00D9152B">
        <w:rPr>
          <w:rStyle w:val="FootnoteReference"/>
          <w:rFonts w:ascii="Calibri" w:hAnsi="Calibri" w:cs="Calibri"/>
          <w:sz w:val="22"/>
          <w:szCs w:val="22"/>
        </w:rPr>
        <w:footnoteReference w:id="105"/>
      </w:r>
      <w:r w:rsidRPr="00D9152B">
        <w:rPr>
          <w:rFonts w:ascii="Calibri" w:hAnsi="Calibri" w:cs="Calibri"/>
          <w:sz w:val="22"/>
          <w:szCs w:val="22"/>
        </w:rPr>
        <w:t xml:space="preserve"> For the GH review, published literature – books, book chapters, peer-reviewed articles, grey literature, and newspaper/magazine articles – was identified through systematic searches of eleven databases. These databases included seven databases with biomedical and social science emphases: ProQuest, Web of Science, PubMed, Lexus Nexis, Google Scholar, Google Books, and JSTOR. They also included the document search portals of the OCP sponsoring agencies: the Bank (World Bank Documents &amp; Reports),</w:t>
      </w:r>
      <w:r w:rsidRPr="00D9152B">
        <w:rPr>
          <w:rStyle w:val="FootnoteReference"/>
          <w:rFonts w:ascii="Calibri" w:hAnsi="Calibri" w:cs="Calibri"/>
          <w:sz w:val="22"/>
          <w:szCs w:val="22"/>
        </w:rPr>
        <w:footnoteReference w:id="106"/>
      </w:r>
      <w:r w:rsidRPr="00D9152B">
        <w:rPr>
          <w:rFonts w:ascii="Calibri" w:hAnsi="Calibri" w:cs="Calibri"/>
          <w:sz w:val="22"/>
          <w:szCs w:val="22"/>
        </w:rPr>
        <w:t xml:space="preserve"> WHO (WHO Iris),</w:t>
      </w:r>
      <w:r w:rsidRPr="00D9152B">
        <w:rPr>
          <w:rStyle w:val="FootnoteReference"/>
          <w:rFonts w:ascii="Calibri" w:hAnsi="Calibri" w:cs="Calibri"/>
          <w:sz w:val="22"/>
          <w:szCs w:val="22"/>
        </w:rPr>
        <w:footnoteReference w:id="107"/>
      </w:r>
      <w:r w:rsidRPr="00D9152B">
        <w:rPr>
          <w:rFonts w:ascii="Calibri" w:hAnsi="Calibri" w:cs="Calibri"/>
          <w:sz w:val="22"/>
          <w:szCs w:val="22"/>
        </w:rPr>
        <w:t xml:space="preserve"> UNDP (United Nations Documents),</w:t>
      </w:r>
      <w:r w:rsidRPr="00D9152B">
        <w:rPr>
          <w:rStyle w:val="FootnoteReference"/>
          <w:rFonts w:ascii="Calibri" w:hAnsi="Calibri" w:cs="Calibri"/>
          <w:sz w:val="22"/>
          <w:szCs w:val="22"/>
        </w:rPr>
        <w:footnoteReference w:id="108"/>
      </w:r>
      <w:r w:rsidRPr="00D9152B">
        <w:rPr>
          <w:rFonts w:ascii="Calibri" w:hAnsi="Calibri" w:cs="Calibri"/>
          <w:sz w:val="22"/>
          <w:szCs w:val="22"/>
        </w:rPr>
        <w:t xml:space="preserve"> and FAO</w:t>
      </w:r>
      <w:r w:rsidR="00992146" w:rsidRPr="00D9152B">
        <w:rPr>
          <w:rFonts w:ascii="Calibri" w:hAnsi="Calibri" w:cs="Calibri"/>
          <w:sz w:val="22"/>
          <w:szCs w:val="22"/>
        </w:rPr>
        <w:t xml:space="preserve"> (Publications)</w:t>
      </w:r>
      <w:r w:rsidRPr="00D9152B">
        <w:rPr>
          <w:rFonts w:ascii="Calibri" w:hAnsi="Calibri" w:cs="Calibri"/>
          <w:sz w:val="22"/>
          <w:szCs w:val="22"/>
        </w:rPr>
        <w:t>.</w:t>
      </w:r>
      <w:r w:rsidRPr="00D9152B">
        <w:rPr>
          <w:rStyle w:val="FootnoteReference"/>
          <w:rFonts w:ascii="Calibri" w:hAnsi="Calibri" w:cs="Calibri"/>
          <w:sz w:val="22"/>
          <w:szCs w:val="22"/>
        </w:rPr>
        <w:footnoteReference w:id="109"/>
      </w:r>
      <w:r w:rsidRPr="00D9152B">
        <w:rPr>
          <w:rFonts w:ascii="Calibri" w:hAnsi="Calibri" w:cs="Calibri"/>
          <w:sz w:val="22"/>
          <w:szCs w:val="22"/>
        </w:rPr>
        <w:t xml:space="preserve"> In each database, the keywords </w:t>
      </w:r>
      <w:r w:rsidRPr="00D9152B">
        <w:rPr>
          <w:rFonts w:ascii="Calibri" w:hAnsi="Calibri" w:cs="Calibri"/>
          <w:sz w:val="22"/>
          <w:szCs w:val="22"/>
        </w:rPr>
        <w:lastRenderedPageBreak/>
        <w:t>‘Onchocerciasis</w:t>
      </w:r>
      <w:r w:rsidR="00D93D47" w:rsidRPr="00D9152B">
        <w:rPr>
          <w:rFonts w:ascii="Calibri" w:hAnsi="Calibri" w:cs="Calibri"/>
          <w:sz w:val="22"/>
          <w:szCs w:val="22"/>
        </w:rPr>
        <w:t xml:space="preserve"> Control Program*’ AND ‘success</w:t>
      </w:r>
      <w:r w:rsidRPr="00D9152B">
        <w:rPr>
          <w:rFonts w:ascii="Calibri" w:hAnsi="Calibri" w:cs="Calibri"/>
          <w:sz w:val="22"/>
          <w:szCs w:val="22"/>
        </w:rPr>
        <w:t>*</w:t>
      </w:r>
      <w:r w:rsidR="00D93D47" w:rsidRPr="00D9152B">
        <w:rPr>
          <w:rFonts w:ascii="Calibri" w:hAnsi="Calibri" w:cs="Calibri"/>
          <w:sz w:val="22"/>
          <w:szCs w:val="22"/>
        </w:rPr>
        <w:t>’</w:t>
      </w:r>
      <w:r w:rsidRPr="00D9152B">
        <w:rPr>
          <w:rFonts w:ascii="Calibri" w:hAnsi="Calibri" w:cs="Calibri"/>
          <w:sz w:val="22"/>
          <w:szCs w:val="22"/>
        </w:rPr>
        <w:t xml:space="preserve"> were used.</w:t>
      </w:r>
      <w:r w:rsidRPr="00D9152B">
        <w:rPr>
          <w:rStyle w:val="FootnoteReference"/>
          <w:rFonts w:ascii="Calibri" w:hAnsi="Calibri" w:cs="Calibri"/>
          <w:sz w:val="22"/>
          <w:szCs w:val="22"/>
        </w:rPr>
        <w:footnoteReference w:id="110"/>
      </w:r>
      <w:r w:rsidRPr="00D9152B">
        <w:rPr>
          <w:rFonts w:ascii="Calibri" w:hAnsi="Calibri" w:cs="Calibri"/>
          <w:sz w:val="22"/>
          <w:szCs w:val="22"/>
        </w:rPr>
        <w:t xml:space="preserve"> While this may leave out synonyms to success like ‘effectiveness’, including these synonyms increased the number of results to an unmanageable level.</w:t>
      </w:r>
      <w:r w:rsidR="00AF05DD">
        <w:rPr>
          <w:rFonts w:ascii="Calibri" w:hAnsi="Calibri" w:cs="Calibri"/>
          <w:sz w:val="22"/>
          <w:szCs w:val="22"/>
        </w:rPr>
        <w:t xml:space="preserve"> The literature review is not a systematic review, and is </w:t>
      </w:r>
      <w:r w:rsidR="007336DD">
        <w:rPr>
          <w:rFonts w:ascii="Calibri" w:hAnsi="Calibri" w:cs="Calibri"/>
          <w:sz w:val="22"/>
          <w:szCs w:val="22"/>
        </w:rPr>
        <w:t xml:space="preserve">heavily </w:t>
      </w:r>
      <w:r w:rsidR="00AF05DD">
        <w:rPr>
          <w:rFonts w:ascii="Calibri" w:hAnsi="Calibri" w:cs="Calibri"/>
          <w:sz w:val="22"/>
          <w:szCs w:val="22"/>
        </w:rPr>
        <w:t>biased towards sponsoring agency and major donor countries’ perspectives on the OCP.</w:t>
      </w:r>
      <w:r w:rsidR="007336DD">
        <w:rPr>
          <w:rFonts w:ascii="Calibri" w:hAnsi="Calibri" w:cs="Calibri"/>
          <w:sz w:val="22"/>
          <w:szCs w:val="22"/>
        </w:rPr>
        <w:t xml:space="preserve"> It should be interpreted as a snapshot </w:t>
      </w:r>
      <w:r w:rsidR="00AE557A">
        <w:rPr>
          <w:rFonts w:ascii="Calibri" w:hAnsi="Calibri" w:cs="Calibri"/>
          <w:sz w:val="22"/>
          <w:szCs w:val="22"/>
        </w:rPr>
        <w:t>of</w:t>
      </w:r>
      <w:r w:rsidR="007336DD">
        <w:rPr>
          <w:rFonts w:ascii="Calibri" w:hAnsi="Calibri" w:cs="Calibri"/>
          <w:sz w:val="22"/>
          <w:szCs w:val="22"/>
        </w:rPr>
        <w:t xml:space="preserve"> sponsoring agencies and influential global health actors’ depictions of the OCP’s success, and not a complete </w:t>
      </w:r>
      <w:r w:rsidR="00AE557A">
        <w:rPr>
          <w:rFonts w:ascii="Calibri" w:hAnsi="Calibri" w:cs="Calibri"/>
          <w:sz w:val="22"/>
          <w:szCs w:val="22"/>
        </w:rPr>
        <w:t>representation</w:t>
      </w:r>
      <w:r w:rsidR="007336DD">
        <w:rPr>
          <w:rFonts w:ascii="Calibri" w:hAnsi="Calibri" w:cs="Calibri"/>
          <w:sz w:val="22"/>
          <w:szCs w:val="22"/>
        </w:rPr>
        <w:t xml:space="preserve"> of the global health community’s depictions of programme successes (or failures). </w:t>
      </w:r>
    </w:p>
    <w:p w14:paraId="127982B8" w14:textId="2077A8E7" w:rsidR="006F7471" w:rsidRPr="00D9152B" w:rsidRDefault="00AC53E7" w:rsidP="00455681">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For the GH review, search results were exported into Endnote, and duplicate results were deleted manually. A total of 458 unique publications were tagged for inclusion in the GH review. Publications that were not in English or were unavailable for download were excluded (n=24). The remaining 432 publications were downloaded, and each was keyword searched for ‘Onchocerciasis Control Program’, ‘Onchocerciasis Control Programme’, ‘OCP’, and ‘success’. If the word success related directly to the OCP, the publications was included in the literature review; publications in which success was related to another programme or section in the publication were excluded. A total of 218 publications were ultima</w:t>
      </w:r>
      <w:r w:rsidR="006F7471" w:rsidRPr="00D9152B">
        <w:rPr>
          <w:rFonts w:ascii="Calibri" w:hAnsi="Calibri" w:cs="Calibri"/>
          <w:sz w:val="22"/>
          <w:szCs w:val="22"/>
        </w:rPr>
        <w:t>tely included in the GH review.</w:t>
      </w:r>
    </w:p>
    <w:p w14:paraId="6AD02298" w14:textId="4582D375" w:rsidR="00992146"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These 218 publications comprising the GH review were then exported from Endnote to Microsoft Excel, and each was coded according to date, author, rationales given for the OCP’s success (if any), and citation given for the OCP’s success (if any). Author designations were taken from each publication, and each article was categorized as being a Bank publication (i.e. published directly by the IBRD, IDA, or the World Bank Group); Bank author-affiliated publication (i.e. not published by the Bank, but written by author</w:t>
      </w:r>
      <w:r w:rsidR="00992146" w:rsidRPr="00D9152B">
        <w:rPr>
          <w:rFonts w:ascii="Calibri" w:hAnsi="Calibri" w:cs="Calibri"/>
          <w:sz w:val="22"/>
          <w:szCs w:val="22"/>
        </w:rPr>
        <w:t>s</w:t>
      </w:r>
      <w:r w:rsidRPr="00D9152B">
        <w:rPr>
          <w:rFonts w:ascii="Calibri" w:hAnsi="Calibri" w:cs="Calibri"/>
          <w:sz w:val="22"/>
          <w:szCs w:val="22"/>
        </w:rPr>
        <w:t xml:space="preserve"> that were at the time or had previously worked in an official capacity for the Bank, as a staff member or long-term consultant); WHO/OCP publication (i.e. published directly by the WHO Headquarters or AFRO secretariat, or published by the WHO on behalf of the OCP); WHO/OCP-affiliated author publication (i.e. not published by the WHO, but written by author</w:t>
      </w:r>
      <w:r w:rsidR="00992146" w:rsidRPr="00D9152B">
        <w:rPr>
          <w:rFonts w:ascii="Calibri" w:hAnsi="Calibri" w:cs="Calibri"/>
          <w:sz w:val="22"/>
          <w:szCs w:val="22"/>
        </w:rPr>
        <w:t>s</w:t>
      </w:r>
      <w:r w:rsidRPr="00D9152B">
        <w:rPr>
          <w:rFonts w:ascii="Calibri" w:hAnsi="Calibri" w:cs="Calibri"/>
          <w:sz w:val="22"/>
          <w:szCs w:val="22"/>
        </w:rPr>
        <w:t xml:space="preserve"> that were </w:t>
      </w:r>
      <w:r w:rsidR="00992146" w:rsidRPr="00D9152B">
        <w:rPr>
          <w:rFonts w:ascii="Calibri" w:hAnsi="Calibri" w:cs="Calibri"/>
          <w:sz w:val="22"/>
          <w:szCs w:val="22"/>
        </w:rPr>
        <w:t>currently</w:t>
      </w:r>
      <w:r w:rsidRPr="00D9152B">
        <w:rPr>
          <w:rFonts w:ascii="Calibri" w:hAnsi="Calibri" w:cs="Calibri"/>
          <w:sz w:val="22"/>
          <w:szCs w:val="22"/>
        </w:rPr>
        <w:t xml:space="preserve"> or had previously worked in an official capacity for</w:t>
      </w:r>
      <w:r w:rsidR="00455681">
        <w:rPr>
          <w:rFonts w:ascii="Calibri" w:hAnsi="Calibri" w:cs="Calibri"/>
          <w:sz w:val="22"/>
          <w:szCs w:val="22"/>
        </w:rPr>
        <w:t xml:space="preserve"> the</w:t>
      </w:r>
      <w:r w:rsidRPr="00D9152B">
        <w:rPr>
          <w:rFonts w:ascii="Calibri" w:hAnsi="Calibri" w:cs="Calibri"/>
          <w:sz w:val="22"/>
          <w:szCs w:val="22"/>
        </w:rPr>
        <w:t xml:space="preserve"> WHO or OCP); or non-affiliated author publication (i.e. publications by </w:t>
      </w:r>
      <w:r w:rsidRPr="00D9152B">
        <w:rPr>
          <w:rFonts w:ascii="Calibri" w:hAnsi="Calibri" w:cs="Calibri"/>
          <w:sz w:val="22"/>
          <w:szCs w:val="22"/>
        </w:rPr>
        <w:lastRenderedPageBreak/>
        <w:t>author</w:t>
      </w:r>
      <w:r w:rsidR="00992146" w:rsidRPr="00D9152B">
        <w:rPr>
          <w:rFonts w:ascii="Calibri" w:hAnsi="Calibri" w:cs="Calibri"/>
          <w:sz w:val="22"/>
          <w:szCs w:val="22"/>
        </w:rPr>
        <w:t>s</w:t>
      </w:r>
      <w:r w:rsidRPr="00D9152B">
        <w:rPr>
          <w:rFonts w:ascii="Calibri" w:hAnsi="Calibri" w:cs="Calibri"/>
          <w:sz w:val="22"/>
          <w:szCs w:val="22"/>
        </w:rPr>
        <w:t xml:space="preserve"> that had no discernible major link to the Bank, WHO, </w:t>
      </w:r>
      <w:r w:rsidR="00455681">
        <w:rPr>
          <w:rFonts w:ascii="Calibri" w:hAnsi="Calibri" w:cs="Calibri"/>
          <w:sz w:val="22"/>
          <w:szCs w:val="22"/>
        </w:rPr>
        <w:t>or</w:t>
      </w:r>
      <w:r w:rsidRPr="00D9152B">
        <w:rPr>
          <w:rFonts w:ascii="Calibri" w:hAnsi="Calibri" w:cs="Calibri"/>
          <w:sz w:val="22"/>
          <w:szCs w:val="22"/>
        </w:rPr>
        <w:t xml:space="preserve"> OCP). As discussed in the limitations section of this chapter, categorizing by author was a somewhat subjective task. After authors</w:t>
      </w:r>
      <w:r w:rsidR="00992146" w:rsidRPr="00D9152B">
        <w:rPr>
          <w:rFonts w:ascii="Calibri" w:hAnsi="Calibri" w:cs="Calibri"/>
          <w:sz w:val="22"/>
          <w:szCs w:val="22"/>
        </w:rPr>
        <w:t xml:space="preserve">, </w:t>
      </w:r>
      <w:r w:rsidRPr="00D9152B">
        <w:rPr>
          <w:rFonts w:ascii="Calibri" w:hAnsi="Calibri" w:cs="Calibri"/>
          <w:sz w:val="22"/>
          <w:szCs w:val="22"/>
        </w:rPr>
        <w:t>affiliations</w:t>
      </w:r>
      <w:r w:rsidR="00992146" w:rsidRPr="00D9152B">
        <w:rPr>
          <w:rFonts w:ascii="Calibri" w:hAnsi="Calibri" w:cs="Calibri"/>
          <w:sz w:val="22"/>
          <w:szCs w:val="22"/>
        </w:rPr>
        <w:t>,</w:t>
      </w:r>
      <w:r w:rsidRPr="00D9152B">
        <w:rPr>
          <w:rFonts w:ascii="Calibri" w:hAnsi="Calibri" w:cs="Calibri"/>
          <w:sz w:val="22"/>
          <w:szCs w:val="22"/>
        </w:rPr>
        <w:t xml:space="preserve"> and dates were coded, each publication was categorized by how it rationalized the OCP’s success</w:t>
      </w:r>
      <w:r w:rsidR="00992146" w:rsidRPr="00D9152B">
        <w:rPr>
          <w:rFonts w:ascii="Calibri" w:hAnsi="Calibri" w:cs="Calibri"/>
          <w:sz w:val="22"/>
          <w:szCs w:val="22"/>
        </w:rPr>
        <w:t xml:space="preserve"> (i.e. the components of success that it put forward)</w:t>
      </w:r>
      <w:r w:rsidRPr="00D9152B">
        <w:rPr>
          <w:rFonts w:ascii="Calibri" w:hAnsi="Calibri" w:cs="Calibri"/>
          <w:sz w:val="22"/>
          <w:szCs w:val="22"/>
        </w:rPr>
        <w:t>. This included any evidence or reason that it gave for the OCP’s success, such as metrics/statistics on its impact, particular ways in which it was successful, and programme characteristics (often called ‘lessons’) that contributed to its success. Finally, citations given for the OCP’s success were recorded for each publication. To be recorded, the citation had to be used in the same sentence or paragraph of the publication’s initial mentioning of the OCP’s success, or had to directly support any evidence that it gave for the OCP’s success. After each publication was coded, patterns in the rationales</w:t>
      </w:r>
      <w:r w:rsidR="00992146" w:rsidRPr="00D9152B">
        <w:rPr>
          <w:rFonts w:ascii="Calibri" w:hAnsi="Calibri" w:cs="Calibri"/>
          <w:sz w:val="22"/>
          <w:szCs w:val="22"/>
        </w:rPr>
        <w:t xml:space="preserve"> of success and supporting evidence</w:t>
      </w:r>
      <w:r w:rsidRPr="00D9152B">
        <w:rPr>
          <w:rFonts w:ascii="Calibri" w:hAnsi="Calibri" w:cs="Calibri"/>
          <w:sz w:val="22"/>
          <w:szCs w:val="22"/>
        </w:rPr>
        <w:t xml:space="preserve"> </w:t>
      </w:r>
      <w:r w:rsidR="00992146" w:rsidRPr="00D9152B">
        <w:rPr>
          <w:rFonts w:ascii="Calibri" w:hAnsi="Calibri" w:cs="Calibri"/>
          <w:sz w:val="22"/>
          <w:szCs w:val="22"/>
        </w:rPr>
        <w:t>were used to identify the four major ‘components of success’.</w:t>
      </w:r>
    </w:p>
    <w:p w14:paraId="3F4745DB" w14:textId="03F32750" w:rsidR="006F7471" w:rsidRPr="00D9152B" w:rsidRDefault="00F65E95" w:rsidP="00984DC0">
      <w:pPr>
        <w:pStyle w:val="Heading3"/>
        <w:rPr>
          <w:rFonts w:ascii="Calibri" w:hAnsi="Calibri" w:cs="Calibri"/>
          <w:b/>
          <w:i/>
          <w:color w:val="000000" w:themeColor="text1"/>
          <w:sz w:val="22"/>
          <w:szCs w:val="22"/>
        </w:rPr>
      </w:pPr>
      <w:bookmarkStart w:id="24" w:name="_Toc41505598"/>
      <w:r w:rsidRPr="00D9152B">
        <w:rPr>
          <w:rFonts w:ascii="Calibri" w:hAnsi="Calibri" w:cs="Calibri"/>
          <w:b/>
          <w:i/>
          <w:color w:val="000000" w:themeColor="text1"/>
          <w:sz w:val="22"/>
          <w:szCs w:val="22"/>
        </w:rPr>
        <w:t>2</w:t>
      </w:r>
      <w:r w:rsidR="006F7471" w:rsidRPr="00D9152B">
        <w:rPr>
          <w:rFonts w:ascii="Calibri" w:hAnsi="Calibri" w:cs="Calibri"/>
          <w:b/>
          <w:i/>
          <w:color w:val="000000" w:themeColor="text1"/>
          <w:sz w:val="22"/>
          <w:szCs w:val="22"/>
        </w:rPr>
        <w:t>.</w:t>
      </w:r>
      <w:r w:rsidR="00992A29" w:rsidRPr="00D9152B">
        <w:rPr>
          <w:rFonts w:ascii="Calibri" w:hAnsi="Calibri" w:cs="Calibri"/>
          <w:b/>
          <w:i/>
          <w:color w:val="000000" w:themeColor="text1"/>
          <w:sz w:val="22"/>
          <w:szCs w:val="22"/>
        </w:rPr>
        <w:t>3</w:t>
      </w:r>
      <w:r w:rsidR="006F7471" w:rsidRPr="00D9152B">
        <w:rPr>
          <w:rFonts w:ascii="Calibri" w:hAnsi="Calibri" w:cs="Calibri"/>
          <w:b/>
          <w:i/>
          <w:color w:val="000000" w:themeColor="text1"/>
          <w:sz w:val="22"/>
          <w:szCs w:val="22"/>
        </w:rPr>
        <w:t>.B</w:t>
      </w:r>
      <w:r w:rsidR="00DF52DF" w:rsidRPr="00D9152B">
        <w:rPr>
          <w:rFonts w:ascii="Calibri" w:hAnsi="Calibri" w:cs="Calibri"/>
          <w:b/>
          <w:i/>
          <w:color w:val="000000" w:themeColor="text1"/>
          <w:sz w:val="22"/>
          <w:szCs w:val="22"/>
        </w:rPr>
        <w:t>.</w:t>
      </w:r>
      <w:r w:rsidR="006F7471" w:rsidRPr="00D9152B">
        <w:rPr>
          <w:rFonts w:ascii="Calibri" w:hAnsi="Calibri" w:cs="Calibri"/>
          <w:b/>
          <w:i/>
          <w:color w:val="000000" w:themeColor="text1"/>
          <w:sz w:val="22"/>
          <w:szCs w:val="22"/>
        </w:rPr>
        <w:t xml:space="preserve"> Supplementary newspaper and website review</w:t>
      </w:r>
      <w:bookmarkEnd w:id="24"/>
      <w:r w:rsidR="006F7471" w:rsidRPr="00D9152B">
        <w:rPr>
          <w:rFonts w:ascii="Calibri" w:hAnsi="Calibri" w:cs="Calibri"/>
          <w:b/>
          <w:i/>
          <w:color w:val="000000" w:themeColor="text1"/>
          <w:sz w:val="22"/>
          <w:szCs w:val="22"/>
        </w:rPr>
        <w:t xml:space="preserve"> </w:t>
      </w:r>
    </w:p>
    <w:p w14:paraId="2AA202B9" w14:textId="29976BE7" w:rsidR="006F7471"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As a supplement to the GH literature review, a search was conducted for newspaper/magazine articles and webpages (especially blogs) that referenced the OCP’s success (</w:t>
      </w:r>
      <w:r w:rsidR="00C02BE3" w:rsidRPr="00D9152B">
        <w:rPr>
          <w:rFonts w:ascii="Calibri" w:hAnsi="Calibri" w:cs="Calibri"/>
          <w:sz w:val="22"/>
          <w:szCs w:val="22"/>
        </w:rPr>
        <w:t xml:space="preserve">see </w:t>
      </w:r>
      <w:r w:rsidRPr="00D9152B">
        <w:rPr>
          <w:rFonts w:ascii="Calibri" w:hAnsi="Calibri" w:cs="Calibri"/>
          <w:sz w:val="22"/>
          <w:szCs w:val="22"/>
        </w:rPr>
        <w:t xml:space="preserve">Figure </w:t>
      </w:r>
      <w:r w:rsidR="00455681">
        <w:rPr>
          <w:rFonts w:ascii="Calibri" w:hAnsi="Calibri" w:cs="Calibri"/>
          <w:sz w:val="22"/>
          <w:szCs w:val="22"/>
        </w:rPr>
        <w:t>2.</w:t>
      </w:r>
      <w:r w:rsidRPr="00D9152B">
        <w:rPr>
          <w:rFonts w:ascii="Calibri" w:hAnsi="Calibri" w:cs="Calibri"/>
          <w:sz w:val="22"/>
          <w:szCs w:val="22"/>
        </w:rPr>
        <w:t xml:space="preserve">2). A similar search strategy, including identical search terms, was used to search five newspaper databases: Factiva, and the archives of the </w:t>
      </w:r>
      <w:r w:rsidRPr="00D9152B">
        <w:rPr>
          <w:rFonts w:ascii="Calibri" w:hAnsi="Calibri" w:cs="Calibri"/>
          <w:i/>
          <w:sz w:val="22"/>
          <w:szCs w:val="22"/>
        </w:rPr>
        <w:t>Houston Chronicle</w:t>
      </w:r>
      <w:r w:rsidRPr="00D9152B">
        <w:rPr>
          <w:rFonts w:ascii="Calibri" w:hAnsi="Calibri" w:cs="Calibri"/>
          <w:sz w:val="22"/>
          <w:szCs w:val="22"/>
        </w:rPr>
        <w:t xml:space="preserve">, </w:t>
      </w:r>
      <w:r w:rsidRPr="00D9152B">
        <w:rPr>
          <w:rFonts w:ascii="Calibri" w:hAnsi="Calibri" w:cs="Calibri"/>
          <w:i/>
          <w:sz w:val="22"/>
          <w:szCs w:val="22"/>
        </w:rPr>
        <w:t>Guardian</w:t>
      </w:r>
      <w:r w:rsidRPr="00D9152B">
        <w:rPr>
          <w:rFonts w:ascii="Calibri" w:hAnsi="Calibri" w:cs="Calibri"/>
          <w:sz w:val="22"/>
          <w:szCs w:val="22"/>
        </w:rPr>
        <w:t xml:space="preserve">, </w:t>
      </w:r>
      <w:r w:rsidRPr="00D9152B">
        <w:rPr>
          <w:rFonts w:ascii="Calibri" w:hAnsi="Calibri" w:cs="Calibri"/>
          <w:i/>
          <w:sz w:val="22"/>
          <w:szCs w:val="22"/>
        </w:rPr>
        <w:t xml:space="preserve">New York Times, </w:t>
      </w:r>
      <w:r w:rsidRPr="00D9152B">
        <w:rPr>
          <w:rFonts w:ascii="Calibri" w:hAnsi="Calibri" w:cs="Calibri"/>
          <w:sz w:val="22"/>
          <w:szCs w:val="22"/>
        </w:rPr>
        <w:t xml:space="preserve">and </w:t>
      </w:r>
      <w:r w:rsidRPr="00D9152B">
        <w:rPr>
          <w:rFonts w:ascii="Calibri" w:hAnsi="Calibri" w:cs="Calibri"/>
          <w:i/>
          <w:sz w:val="22"/>
          <w:szCs w:val="22"/>
        </w:rPr>
        <w:t>Washington Post</w:t>
      </w:r>
      <w:r w:rsidRPr="00D9152B">
        <w:rPr>
          <w:rFonts w:ascii="Calibri" w:hAnsi="Calibri" w:cs="Calibri"/>
          <w:sz w:val="22"/>
          <w:szCs w:val="22"/>
        </w:rPr>
        <w:t xml:space="preserve">. Factiva </w:t>
      </w:r>
      <w:r w:rsidR="00C02BE3" w:rsidRPr="00D9152B">
        <w:rPr>
          <w:rFonts w:ascii="Calibri" w:hAnsi="Calibri" w:cs="Calibri"/>
          <w:sz w:val="22"/>
          <w:szCs w:val="22"/>
        </w:rPr>
        <w:t>contains</w:t>
      </w:r>
      <w:r w:rsidRPr="00D9152B">
        <w:rPr>
          <w:rFonts w:ascii="Calibri" w:hAnsi="Calibri" w:cs="Calibri"/>
          <w:sz w:val="22"/>
          <w:szCs w:val="22"/>
        </w:rPr>
        <w:t xml:space="preserve"> news articles from the early 1980s to the present, including the </w:t>
      </w:r>
      <w:r w:rsidRPr="00D9152B">
        <w:rPr>
          <w:rFonts w:ascii="Calibri" w:hAnsi="Calibri" w:cs="Calibri"/>
          <w:i/>
          <w:sz w:val="22"/>
          <w:szCs w:val="22"/>
        </w:rPr>
        <w:t>Wall Street Journal</w:t>
      </w:r>
      <w:r w:rsidRPr="00D9152B">
        <w:rPr>
          <w:rFonts w:ascii="Calibri" w:hAnsi="Calibri" w:cs="Calibri"/>
          <w:sz w:val="22"/>
          <w:szCs w:val="22"/>
        </w:rPr>
        <w:t xml:space="preserve">, </w:t>
      </w:r>
      <w:r w:rsidRPr="00D9152B">
        <w:rPr>
          <w:rFonts w:ascii="Calibri" w:hAnsi="Calibri" w:cs="Calibri"/>
          <w:i/>
          <w:sz w:val="22"/>
          <w:szCs w:val="22"/>
        </w:rPr>
        <w:t>Financial Times</w:t>
      </w:r>
      <w:r w:rsidRPr="00D9152B">
        <w:rPr>
          <w:rFonts w:ascii="Calibri" w:hAnsi="Calibri" w:cs="Calibri"/>
          <w:sz w:val="22"/>
          <w:szCs w:val="22"/>
        </w:rPr>
        <w:t>, Reuter’s affiliates, Dow Jones syndicate, and U</w:t>
      </w:r>
      <w:r w:rsidR="00783875">
        <w:rPr>
          <w:rFonts w:ascii="Calibri" w:hAnsi="Calibri" w:cs="Calibri"/>
          <w:sz w:val="22"/>
          <w:szCs w:val="22"/>
        </w:rPr>
        <w:t>nited Kingdom</w:t>
      </w:r>
      <w:r w:rsidRPr="00D9152B">
        <w:rPr>
          <w:rFonts w:ascii="Calibri" w:hAnsi="Calibri" w:cs="Calibri"/>
          <w:sz w:val="22"/>
          <w:szCs w:val="22"/>
        </w:rPr>
        <w:t xml:space="preserve"> national/regional press. Based on known coverage of the OCP by particular news outlets</w:t>
      </w:r>
      <w:r w:rsidRPr="00D9152B">
        <w:rPr>
          <w:rStyle w:val="FootnoteReference"/>
          <w:rFonts w:ascii="Calibri" w:hAnsi="Calibri" w:cs="Calibri"/>
          <w:sz w:val="22"/>
          <w:szCs w:val="22"/>
        </w:rPr>
        <w:footnoteReference w:id="111"/>
      </w:r>
      <w:r w:rsidRPr="00D9152B">
        <w:rPr>
          <w:rFonts w:ascii="Calibri" w:hAnsi="Calibri" w:cs="Calibri"/>
          <w:sz w:val="22"/>
          <w:szCs w:val="22"/>
        </w:rPr>
        <w:t xml:space="preserve"> and a desire to include news articles from the early years of the OCP (1974-early 1980s), the archives of the additional four news outlets were selected. The searches therefore included the major press outlets of two of the OCP’s largest English-speaking donors, the </w:t>
      </w:r>
      <w:r w:rsidR="00D93D47" w:rsidRPr="00D9152B">
        <w:rPr>
          <w:rFonts w:ascii="Calibri" w:hAnsi="Calibri" w:cs="Calibri"/>
          <w:sz w:val="22"/>
          <w:szCs w:val="22"/>
        </w:rPr>
        <w:t>United States</w:t>
      </w:r>
      <w:r w:rsidRPr="00D9152B">
        <w:rPr>
          <w:rFonts w:ascii="Calibri" w:hAnsi="Calibri" w:cs="Calibri"/>
          <w:sz w:val="22"/>
          <w:szCs w:val="22"/>
        </w:rPr>
        <w:t xml:space="preserve"> and the </w:t>
      </w:r>
      <w:r w:rsidR="00D93D47" w:rsidRPr="00D9152B">
        <w:rPr>
          <w:rFonts w:ascii="Calibri" w:hAnsi="Calibri" w:cs="Calibri"/>
          <w:sz w:val="22"/>
          <w:szCs w:val="22"/>
        </w:rPr>
        <w:t>United Kingdom</w:t>
      </w:r>
      <w:r w:rsidRPr="00D9152B">
        <w:rPr>
          <w:rFonts w:ascii="Calibri" w:hAnsi="Calibri" w:cs="Calibri"/>
          <w:sz w:val="22"/>
          <w:szCs w:val="22"/>
        </w:rPr>
        <w:t>. A total of 55 relevant articles were identified; again, articles that did not have a direct link between the</w:t>
      </w:r>
      <w:r w:rsidR="006F7471" w:rsidRPr="00D9152B">
        <w:rPr>
          <w:rFonts w:ascii="Calibri" w:hAnsi="Calibri" w:cs="Calibri"/>
          <w:sz w:val="22"/>
          <w:szCs w:val="22"/>
        </w:rPr>
        <w:t xml:space="preserve"> OCP and success were excluded.</w:t>
      </w:r>
      <w:r w:rsidR="00C65DA7">
        <w:rPr>
          <w:rFonts w:ascii="Calibri" w:hAnsi="Calibri" w:cs="Calibri"/>
          <w:sz w:val="22"/>
          <w:szCs w:val="22"/>
        </w:rPr>
        <w:t xml:space="preserve"> This approach captured the World Bank and major donors’ public depictions of the OCP’s success, </w:t>
      </w:r>
      <w:r w:rsidR="007E34F1">
        <w:rPr>
          <w:rFonts w:ascii="Calibri" w:hAnsi="Calibri" w:cs="Calibri"/>
          <w:sz w:val="22"/>
          <w:szCs w:val="22"/>
        </w:rPr>
        <w:t xml:space="preserve">but admittedly overlooks those of African sources. Future research should directly explore </w:t>
      </w:r>
      <w:r w:rsidR="007E34F1">
        <w:rPr>
          <w:rFonts w:ascii="Calibri" w:hAnsi="Calibri" w:cs="Calibri"/>
          <w:sz w:val="22"/>
          <w:szCs w:val="22"/>
        </w:rPr>
        <w:lastRenderedPageBreak/>
        <w:t>both the WHO African Region (AFRO)’s and African newspapers’ depictions of the OCP’s success.</w:t>
      </w:r>
    </w:p>
    <w:p w14:paraId="33F786DD" w14:textId="0761CF03" w:rsidR="00AC53E7"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Beyond these newspaper/magazine searches, webpages referencing the OCP’s success were identifi</w:t>
      </w:r>
      <w:r w:rsidR="00D93D47" w:rsidRPr="00D9152B">
        <w:rPr>
          <w:rFonts w:ascii="Calibri" w:hAnsi="Calibri" w:cs="Calibri"/>
          <w:sz w:val="22"/>
          <w:szCs w:val="22"/>
        </w:rPr>
        <w:t>ed through an advanced Google se</w:t>
      </w:r>
      <w:r w:rsidRPr="00D9152B">
        <w:rPr>
          <w:rFonts w:ascii="Calibri" w:hAnsi="Calibri" w:cs="Calibri"/>
          <w:sz w:val="22"/>
          <w:szCs w:val="22"/>
        </w:rPr>
        <w:t xml:space="preserve">arch, using the same search terminology. A total of 782 webpages were </w:t>
      </w:r>
      <w:r w:rsidR="00C02BE3" w:rsidRPr="00D9152B">
        <w:rPr>
          <w:rFonts w:ascii="Calibri" w:hAnsi="Calibri" w:cs="Calibri"/>
          <w:sz w:val="22"/>
          <w:szCs w:val="22"/>
        </w:rPr>
        <w:t>found</w:t>
      </w:r>
      <w:r w:rsidRPr="00D9152B">
        <w:rPr>
          <w:rFonts w:ascii="Calibri" w:hAnsi="Calibri" w:cs="Calibri"/>
          <w:sz w:val="22"/>
          <w:szCs w:val="22"/>
        </w:rPr>
        <w:t xml:space="preserve"> through the Google Scholar search. All but 24 were excludable based on repetition and obvious irrelevance. An Excel sheet was created to code each of these websites. Coding was not as extensive as for the formal GH publications literature review; notes were taken on any rationale given for the OCP’</w:t>
      </w:r>
      <w:r w:rsidR="00783875">
        <w:rPr>
          <w:rFonts w:ascii="Calibri" w:hAnsi="Calibri" w:cs="Calibri"/>
          <w:sz w:val="22"/>
          <w:szCs w:val="22"/>
        </w:rPr>
        <w:t>s</w:t>
      </w:r>
      <w:r w:rsidRPr="00D9152B">
        <w:rPr>
          <w:rFonts w:ascii="Calibri" w:hAnsi="Calibri" w:cs="Calibri"/>
          <w:sz w:val="22"/>
          <w:szCs w:val="22"/>
        </w:rPr>
        <w:t xml:space="preserve"> success and articles were flagged if they were published by the World Bank or a World Bank-affiliated author. No citation tracking was done for these newspaper and webpage articles, and none were included in the data analysis for the GH literature review, which was limited to the 218 originally identified publications. Instead, they are used intermittently throughout the dissertation as evidence for the wide</w:t>
      </w:r>
      <w:r w:rsidR="00BA3F3A" w:rsidRPr="00D9152B">
        <w:rPr>
          <w:rFonts w:ascii="Calibri" w:hAnsi="Calibri" w:cs="Calibri"/>
          <w:sz w:val="22"/>
          <w:szCs w:val="22"/>
        </w:rPr>
        <w:t>r</w:t>
      </w:r>
      <w:r w:rsidRPr="00D9152B">
        <w:rPr>
          <w:rFonts w:ascii="Calibri" w:hAnsi="Calibri" w:cs="Calibri"/>
          <w:sz w:val="22"/>
          <w:szCs w:val="22"/>
        </w:rPr>
        <w:t xml:space="preserve"> understanding of the OCP’s success within the global health community.</w:t>
      </w:r>
    </w:p>
    <w:p w14:paraId="08ED2970" w14:textId="28A53956" w:rsidR="00046270" w:rsidRPr="00D9152B" w:rsidRDefault="00F65E95" w:rsidP="00984DC0">
      <w:pPr>
        <w:pStyle w:val="Heading3"/>
        <w:rPr>
          <w:rFonts w:ascii="Calibri" w:hAnsi="Calibri" w:cs="Calibri"/>
          <w:b/>
          <w:i/>
          <w:color w:val="000000" w:themeColor="text1"/>
          <w:sz w:val="22"/>
          <w:szCs w:val="22"/>
        </w:rPr>
      </w:pPr>
      <w:bookmarkStart w:id="25" w:name="_Toc41505599"/>
      <w:r w:rsidRPr="00D9152B">
        <w:rPr>
          <w:rFonts w:ascii="Calibri" w:hAnsi="Calibri" w:cs="Calibri"/>
          <w:b/>
          <w:i/>
          <w:color w:val="000000" w:themeColor="text1"/>
          <w:sz w:val="22"/>
          <w:szCs w:val="22"/>
        </w:rPr>
        <w:t>2.</w:t>
      </w:r>
      <w:r w:rsidR="00992A29" w:rsidRPr="00D9152B">
        <w:rPr>
          <w:rFonts w:ascii="Calibri" w:hAnsi="Calibri" w:cs="Calibri"/>
          <w:b/>
          <w:i/>
          <w:color w:val="000000" w:themeColor="text1"/>
          <w:sz w:val="22"/>
          <w:szCs w:val="22"/>
        </w:rPr>
        <w:t>3</w:t>
      </w:r>
      <w:r w:rsidRPr="00D9152B">
        <w:rPr>
          <w:rFonts w:ascii="Calibri" w:hAnsi="Calibri" w:cs="Calibri"/>
          <w:b/>
          <w:i/>
          <w:color w:val="000000" w:themeColor="text1"/>
          <w:sz w:val="22"/>
          <w:szCs w:val="22"/>
        </w:rPr>
        <w:t>.C</w:t>
      </w:r>
      <w:r w:rsidR="00DF52DF" w:rsidRPr="00D9152B">
        <w:rPr>
          <w:rFonts w:ascii="Calibri" w:hAnsi="Calibri" w:cs="Calibri"/>
          <w:b/>
          <w:i/>
          <w:color w:val="000000" w:themeColor="text1"/>
          <w:sz w:val="22"/>
          <w:szCs w:val="22"/>
        </w:rPr>
        <w:t>.</w:t>
      </w:r>
      <w:r w:rsidR="006F7471" w:rsidRPr="00D9152B">
        <w:rPr>
          <w:rFonts w:ascii="Calibri" w:hAnsi="Calibri" w:cs="Calibri"/>
          <w:b/>
          <w:i/>
          <w:color w:val="000000" w:themeColor="text1"/>
          <w:sz w:val="22"/>
          <w:szCs w:val="22"/>
        </w:rPr>
        <w:t xml:space="preserve"> World Bank </w:t>
      </w:r>
      <w:r w:rsidR="00810635" w:rsidRPr="00D9152B">
        <w:rPr>
          <w:rFonts w:ascii="Calibri" w:hAnsi="Calibri" w:cs="Calibri"/>
          <w:b/>
          <w:i/>
          <w:color w:val="000000" w:themeColor="text1"/>
          <w:sz w:val="22"/>
          <w:szCs w:val="22"/>
        </w:rPr>
        <w:t xml:space="preserve">literature </w:t>
      </w:r>
      <w:r w:rsidR="006F7471" w:rsidRPr="00D9152B">
        <w:rPr>
          <w:rFonts w:ascii="Calibri" w:hAnsi="Calibri" w:cs="Calibri"/>
          <w:b/>
          <w:i/>
          <w:color w:val="000000" w:themeColor="text1"/>
          <w:sz w:val="22"/>
          <w:szCs w:val="22"/>
        </w:rPr>
        <w:t>review</w:t>
      </w:r>
      <w:bookmarkEnd w:id="25"/>
    </w:p>
    <w:p w14:paraId="4E6DB2CB" w14:textId="3FA4105B" w:rsidR="00F65E95"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After the GH and accessory literature review were completed, particular components of each were combined to create the World Bank </w:t>
      </w:r>
      <w:r w:rsidR="00455681">
        <w:rPr>
          <w:rFonts w:ascii="Calibri" w:hAnsi="Calibri" w:cs="Calibri"/>
          <w:sz w:val="22"/>
          <w:szCs w:val="22"/>
        </w:rPr>
        <w:t xml:space="preserve">literature </w:t>
      </w:r>
      <w:r w:rsidRPr="00D9152B">
        <w:rPr>
          <w:rFonts w:ascii="Calibri" w:hAnsi="Calibri" w:cs="Calibri"/>
          <w:sz w:val="22"/>
          <w:szCs w:val="22"/>
        </w:rPr>
        <w:t>review (Chapter 3). First, all coded Bank publications and Bank author-affiliated publications from the GH dataset (n=39) were exported to a new Excel file. Next, each of the newspaper</w:t>
      </w:r>
      <w:r w:rsidR="00332133" w:rsidRPr="00D9152B">
        <w:rPr>
          <w:rFonts w:ascii="Calibri" w:hAnsi="Calibri" w:cs="Calibri"/>
          <w:sz w:val="22"/>
          <w:szCs w:val="22"/>
        </w:rPr>
        <w:t xml:space="preserve"> or </w:t>
      </w:r>
      <w:r w:rsidRPr="00D9152B">
        <w:rPr>
          <w:rFonts w:ascii="Calibri" w:hAnsi="Calibri" w:cs="Calibri"/>
          <w:sz w:val="22"/>
          <w:szCs w:val="22"/>
        </w:rPr>
        <w:t>magazine articles and webpages from the GH accessory literature review that were flagged as Bank or Bank-affiliated author publications (n=9) were exported into this new Excel file. The World Bank literature review therefore included 48 unique publications, of which 39 were eligible for citation tracking. In an effort to make this review as unbiased as possible, it did not include any additional documents found in the World Bank Group Archives that referred to the OCP’s success. As detailed in the next section on the archival methodology, these internal Bank documents were instead used to construct its internal success story, and form the primary data source for Chapters 4-8, which put-forward complexities left out of this official OCP narrative</w:t>
      </w:r>
      <w:r w:rsidR="00332133" w:rsidRPr="00D9152B">
        <w:rPr>
          <w:rFonts w:ascii="Calibri" w:hAnsi="Calibri" w:cs="Calibri"/>
          <w:sz w:val="22"/>
          <w:szCs w:val="22"/>
        </w:rPr>
        <w:t xml:space="preserve"> (i.e. ‘underlying narratives’)</w:t>
      </w:r>
      <w:r w:rsidRPr="00D9152B">
        <w:rPr>
          <w:rFonts w:ascii="Calibri" w:hAnsi="Calibri" w:cs="Calibri"/>
          <w:sz w:val="22"/>
          <w:szCs w:val="22"/>
        </w:rPr>
        <w:t xml:space="preserve">. The Bank literature review focuses on its publicly released success story, as all documents analysed in the literature review are written specifically for the public or </w:t>
      </w:r>
      <w:r w:rsidR="00783875">
        <w:rPr>
          <w:rFonts w:ascii="Calibri" w:hAnsi="Calibri" w:cs="Calibri"/>
          <w:sz w:val="22"/>
          <w:szCs w:val="22"/>
        </w:rPr>
        <w:t xml:space="preserve">are </w:t>
      </w:r>
      <w:r w:rsidRPr="00D9152B">
        <w:rPr>
          <w:rFonts w:ascii="Calibri" w:hAnsi="Calibri" w:cs="Calibri"/>
          <w:sz w:val="22"/>
          <w:szCs w:val="22"/>
        </w:rPr>
        <w:t>available publicly.</w:t>
      </w:r>
    </w:p>
    <w:p w14:paraId="6CA8C99E" w14:textId="363CCBE3" w:rsidR="009E6828" w:rsidRDefault="00AC53E7">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lastRenderedPageBreak/>
        <w:t>Within this Bank literature review, the first public references to the Bank success we</w:t>
      </w:r>
      <w:r w:rsidR="00D93D47" w:rsidRPr="00D9152B">
        <w:rPr>
          <w:rFonts w:ascii="Calibri" w:hAnsi="Calibri" w:cs="Calibri"/>
          <w:sz w:val="22"/>
          <w:szCs w:val="22"/>
        </w:rPr>
        <w:t>re tracked over time</w:t>
      </w:r>
      <w:r w:rsidRPr="00D9152B">
        <w:rPr>
          <w:rFonts w:ascii="Calibri" w:hAnsi="Calibri" w:cs="Calibri"/>
          <w:sz w:val="22"/>
          <w:szCs w:val="22"/>
        </w:rPr>
        <w:t xml:space="preserve">. Citations were then compiled for the 39 relevant publications, and used to identify the most commonly cited articles and their affiliated agencies. Finally, the coded rationales and evidence for success for all 48 articles were analysed. To facilitate comparison, categories were created for rationales, based on which component of the project structure and lifecycle they put forward as essential for success. Rationales were either categorized as ‘no rationale’ (no reason given for the OCP’s success), ‘justification’ (relating to clear objectives and monitoring and metrics), ‘financial’ (relating to extra-budgetary funding and fund management’), ‘partnership’ (relating to research, multilateral, bilateral, or general collaboration), or ‘delivery’ (relating to vector control, drug distribution, or any aspect of community delivery). More details of the precise rationales assigned to each category are given in </w:t>
      </w:r>
      <w:r w:rsidR="00455681">
        <w:rPr>
          <w:rFonts w:ascii="Calibri" w:hAnsi="Calibri" w:cs="Calibri"/>
          <w:sz w:val="22"/>
          <w:szCs w:val="22"/>
        </w:rPr>
        <w:t>section 3.4</w:t>
      </w:r>
      <w:r w:rsidRPr="00D9152B">
        <w:rPr>
          <w:rFonts w:ascii="Calibri" w:hAnsi="Calibri" w:cs="Calibri"/>
          <w:sz w:val="22"/>
          <w:szCs w:val="22"/>
        </w:rPr>
        <w:t>. Rationale categories were non-exclusive; each Bank publication could be placed into multiple categories, if it provided multiple reasons for or statistics to support the OCP’s success.</w:t>
      </w:r>
    </w:p>
    <w:p w14:paraId="5566A0F9" w14:textId="5D3A64AB" w:rsidR="00FE3D45" w:rsidRDefault="00FE3D45" w:rsidP="00FE3D45">
      <w:pPr>
        <w:spacing w:before="100" w:beforeAutospacing="1" w:after="100" w:afterAutospacing="1" w:line="360" w:lineRule="auto"/>
        <w:rPr>
          <w:rFonts w:ascii="Calibri" w:hAnsi="Calibri" w:cs="Calibri"/>
          <w:sz w:val="22"/>
          <w:szCs w:val="22"/>
        </w:rPr>
      </w:pPr>
    </w:p>
    <w:p w14:paraId="2434E9C3" w14:textId="1CF89810" w:rsidR="00FE3D45" w:rsidRDefault="00FE3D45" w:rsidP="00FE3D45">
      <w:pPr>
        <w:spacing w:before="100" w:beforeAutospacing="1" w:after="100" w:afterAutospacing="1" w:line="360" w:lineRule="auto"/>
        <w:rPr>
          <w:rFonts w:ascii="Calibri" w:hAnsi="Calibri" w:cs="Calibri"/>
          <w:sz w:val="22"/>
          <w:szCs w:val="22"/>
        </w:rPr>
      </w:pPr>
    </w:p>
    <w:p w14:paraId="07EE5676" w14:textId="5D77ACA1" w:rsidR="00FE3D45" w:rsidRDefault="00FE3D45" w:rsidP="00FE3D45">
      <w:pPr>
        <w:spacing w:before="100" w:beforeAutospacing="1" w:after="100" w:afterAutospacing="1" w:line="360" w:lineRule="auto"/>
        <w:rPr>
          <w:rFonts w:ascii="Calibri" w:hAnsi="Calibri" w:cs="Calibri"/>
          <w:sz w:val="22"/>
          <w:szCs w:val="22"/>
        </w:rPr>
      </w:pPr>
    </w:p>
    <w:p w14:paraId="53268C6E" w14:textId="08E6400A" w:rsidR="00FE3D45" w:rsidRDefault="00FE3D45" w:rsidP="00FE3D45">
      <w:pPr>
        <w:spacing w:before="100" w:beforeAutospacing="1" w:after="100" w:afterAutospacing="1" w:line="360" w:lineRule="auto"/>
        <w:rPr>
          <w:rFonts w:ascii="Calibri" w:hAnsi="Calibri" w:cs="Calibri"/>
          <w:sz w:val="22"/>
          <w:szCs w:val="22"/>
        </w:rPr>
      </w:pPr>
    </w:p>
    <w:p w14:paraId="04337E94" w14:textId="468B970F" w:rsidR="00FE3D45" w:rsidRDefault="00FE3D45" w:rsidP="00FE3D45">
      <w:pPr>
        <w:spacing w:before="100" w:beforeAutospacing="1" w:after="100" w:afterAutospacing="1" w:line="360" w:lineRule="auto"/>
        <w:rPr>
          <w:rFonts w:ascii="Calibri" w:hAnsi="Calibri" w:cs="Calibri"/>
          <w:sz w:val="22"/>
          <w:szCs w:val="22"/>
        </w:rPr>
      </w:pPr>
    </w:p>
    <w:p w14:paraId="742EE320" w14:textId="45CC4A2C" w:rsidR="00FE3D45" w:rsidRDefault="00FE3D45" w:rsidP="00FE3D45">
      <w:pPr>
        <w:spacing w:before="100" w:beforeAutospacing="1" w:after="100" w:afterAutospacing="1" w:line="360" w:lineRule="auto"/>
        <w:rPr>
          <w:rFonts w:ascii="Calibri" w:hAnsi="Calibri" w:cs="Calibri"/>
          <w:sz w:val="22"/>
          <w:szCs w:val="22"/>
        </w:rPr>
      </w:pPr>
    </w:p>
    <w:p w14:paraId="49464417" w14:textId="27AEF27C" w:rsidR="00FE3D45" w:rsidRDefault="00FE3D45" w:rsidP="00FE3D45">
      <w:pPr>
        <w:spacing w:before="100" w:beforeAutospacing="1" w:after="100" w:afterAutospacing="1" w:line="360" w:lineRule="auto"/>
        <w:rPr>
          <w:rFonts w:ascii="Calibri" w:hAnsi="Calibri" w:cs="Calibri"/>
          <w:sz w:val="22"/>
          <w:szCs w:val="22"/>
        </w:rPr>
      </w:pPr>
    </w:p>
    <w:p w14:paraId="7D994780" w14:textId="7C58EC23" w:rsidR="00FE3D45" w:rsidRDefault="00FE3D45" w:rsidP="00FE3D45">
      <w:pPr>
        <w:spacing w:before="100" w:beforeAutospacing="1" w:after="100" w:afterAutospacing="1" w:line="360" w:lineRule="auto"/>
        <w:rPr>
          <w:rFonts w:ascii="Calibri" w:hAnsi="Calibri" w:cs="Calibri"/>
          <w:sz w:val="22"/>
          <w:szCs w:val="22"/>
        </w:rPr>
      </w:pPr>
    </w:p>
    <w:p w14:paraId="7A67F79E" w14:textId="019360D0" w:rsidR="00FE3D45" w:rsidRDefault="00FE3D45" w:rsidP="00FE3D45">
      <w:pPr>
        <w:spacing w:before="100" w:beforeAutospacing="1" w:after="100" w:afterAutospacing="1" w:line="360" w:lineRule="auto"/>
        <w:rPr>
          <w:rFonts w:ascii="Calibri" w:hAnsi="Calibri" w:cs="Calibri"/>
          <w:sz w:val="22"/>
          <w:szCs w:val="22"/>
        </w:rPr>
      </w:pPr>
    </w:p>
    <w:p w14:paraId="0DF5BB25" w14:textId="27193B08" w:rsidR="00FE3D45" w:rsidRDefault="00FE3D45" w:rsidP="00FE3D45">
      <w:pPr>
        <w:spacing w:before="100" w:beforeAutospacing="1" w:after="100" w:afterAutospacing="1" w:line="360" w:lineRule="auto"/>
        <w:rPr>
          <w:rFonts w:ascii="Calibri" w:hAnsi="Calibri" w:cs="Calibri"/>
          <w:sz w:val="22"/>
          <w:szCs w:val="22"/>
        </w:rPr>
      </w:pPr>
    </w:p>
    <w:p w14:paraId="5F9CC1E0" w14:textId="4EA2490C" w:rsidR="006E3247" w:rsidRDefault="006E3247" w:rsidP="00CF189D">
      <w:pPr>
        <w:spacing w:before="100" w:beforeAutospacing="1" w:after="100" w:afterAutospacing="1" w:line="360" w:lineRule="auto"/>
        <w:rPr>
          <w:rFonts w:ascii="Calibri" w:hAnsi="Calibri" w:cs="Calibri"/>
          <w:sz w:val="22"/>
          <w:szCs w:val="22"/>
        </w:rPr>
      </w:pPr>
    </w:p>
    <w:p w14:paraId="2A4D78B0" w14:textId="42D92EF2" w:rsidR="006E3247" w:rsidRDefault="004663AD"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noProof/>
          <w:lang w:eastAsia="en-GB"/>
        </w:rPr>
        <w:lastRenderedPageBreak/>
        <mc:AlternateContent>
          <mc:Choice Requires="wpg">
            <w:drawing>
              <wp:anchor distT="0" distB="0" distL="114300" distR="114300" simplePos="0" relativeHeight="251646976" behindDoc="0" locked="0" layoutInCell="1" allowOverlap="1" wp14:anchorId="52FED7AF" wp14:editId="2DF8F587">
                <wp:simplePos x="0" y="0"/>
                <wp:positionH relativeFrom="margin">
                  <wp:posOffset>-94870</wp:posOffset>
                </wp:positionH>
                <wp:positionV relativeFrom="paragraph">
                  <wp:posOffset>-39930</wp:posOffset>
                </wp:positionV>
                <wp:extent cx="5705475" cy="6521845"/>
                <wp:effectExtent l="0" t="0" r="9525" b="19050"/>
                <wp:wrapNone/>
                <wp:docPr id="5" name="Group 5"/>
                <wp:cNvGraphicFramePr/>
                <a:graphic xmlns:a="http://schemas.openxmlformats.org/drawingml/2006/main">
                  <a:graphicData uri="http://schemas.microsoft.com/office/word/2010/wordprocessingGroup">
                    <wpg:wgp>
                      <wpg:cNvGrpSpPr/>
                      <wpg:grpSpPr>
                        <a:xfrm>
                          <a:off x="0" y="0"/>
                          <a:ext cx="5705475" cy="6521845"/>
                          <a:chOff x="114300" y="0"/>
                          <a:chExt cx="5705475" cy="6521851"/>
                        </a:xfrm>
                      </wpg:grpSpPr>
                      <wpg:grpSp>
                        <wpg:cNvPr id="6" name="Group 6"/>
                        <wpg:cNvGrpSpPr/>
                        <wpg:grpSpPr>
                          <a:xfrm>
                            <a:off x="114300" y="0"/>
                            <a:ext cx="5705475" cy="6521851"/>
                            <a:chOff x="114300" y="0"/>
                            <a:chExt cx="5705475" cy="6521851"/>
                          </a:xfrm>
                        </wpg:grpSpPr>
                        <wps:wsp>
                          <wps:cNvPr id="10" name="Straight Connector 10"/>
                          <wps:cNvCnPr/>
                          <wps:spPr>
                            <a:xfrm>
                              <a:off x="1476375" y="4857750"/>
                              <a:ext cx="361950" cy="0"/>
                            </a:xfrm>
                            <a:prstGeom prst="line">
                              <a:avLst/>
                            </a:prstGeom>
                          </wps:spPr>
                          <wps:style>
                            <a:lnRef idx="1">
                              <a:schemeClr val="accent1"/>
                            </a:lnRef>
                            <a:fillRef idx="0">
                              <a:schemeClr val="accent1"/>
                            </a:fillRef>
                            <a:effectRef idx="0">
                              <a:schemeClr val="accent1"/>
                            </a:effectRef>
                            <a:fontRef idx="minor">
                              <a:schemeClr val="tx1"/>
                            </a:fontRef>
                          </wps:style>
                          <wps:bodyPr/>
                        </wps:wsp>
                        <wpg:grpSp>
                          <wpg:cNvPr id="11" name="Group 11"/>
                          <wpg:cNvGrpSpPr/>
                          <wpg:grpSpPr>
                            <a:xfrm>
                              <a:off x="114300" y="0"/>
                              <a:ext cx="5705475" cy="6521851"/>
                              <a:chOff x="114300" y="0"/>
                              <a:chExt cx="5705475" cy="6521851"/>
                            </a:xfrm>
                          </wpg:grpSpPr>
                          <wps:wsp>
                            <wps:cNvPr id="12" name="Straight Arrow Connector 12"/>
                            <wps:cNvCnPr/>
                            <wps:spPr>
                              <a:xfrm>
                                <a:off x="4057650" y="3971925"/>
                                <a:ext cx="0" cy="30492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cNvPr id="13" name="Group 13"/>
                            <wpg:cNvGrpSpPr/>
                            <wpg:grpSpPr>
                              <a:xfrm>
                                <a:off x="114300" y="0"/>
                                <a:ext cx="5705475" cy="6521851"/>
                                <a:chOff x="114300" y="0"/>
                                <a:chExt cx="5705475" cy="6521851"/>
                              </a:xfrm>
                            </wpg:grpSpPr>
                            <wps:wsp>
                              <wps:cNvPr id="14" name="Straight Arrow Connector 14"/>
                              <wps:cNvCnPr/>
                              <wps:spPr>
                                <a:xfrm flipH="1">
                                  <a:off x="3705015" y="4933950"/>
                                  <a:ext cx="381210" cy="752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5" name="Straight Arrow Connector 15"/>
                              <wps:cNvCnPr>
                                <a:stCxn id="67" idx="3"/>
                              </wps:cNvCnPr>
                              <wps:spPr>
                                <a:xfrm flipV="1">
                                  <a:off x="2452825" y="5946728"/>
                                  <a:ext cx="838234" cy="1603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6" name="Rounded Rectangle 16"/>
                              <wps:cNvSpPr/>
                              <wps:spPr>
                                <a:xfrm>
                                  <a:off x="3384295" y="5774783"/>
                                  <a:ext cx="2162175" cy="747068"/>
                                </a:xfrm>
                                <a:prstGeom prst="roundRect">
                                  <a:avLst/>
                                </a:prstGeom>
                                <a:solidFill>
                                  <a:schemeClr val="accent1"/>
                                </a:solidFill>
                              </wps:spPr>
                              <wps:style>
                                <a:lnRef idx="2">
                                  <a:schemeClr val="dk1"/>
                                </a:lnRef>
                                <a:fillRef idx="1">
                                  <a:schemeClr val="lt1"/>
                                </a:fillRef>
                                <a:effectRef idx="0">
                                  <a:schemeClr val="dk1"/>
                                </a:effectRef>
                                <a:fontRef idx="minor">
                                  <a:schemeClr val="dk1"/>
                                </a:fontRef>
                              </wps:style>
                              <wps:txbx>
                                <w:txbxContent>
                                  <w:p w14:paraId="37F17003" w14:textId="21EFFC55" w:rsidR="00CF189D" w:rsidRPr="00810635" w:rsidRDefault="00CF189D" w:rsidP="00810635">
                                    <w:pPr>
                                      <w:jc w:val="center"/>
                                      <w:rPr>
                                        <w:rFonts w:asciiTheme="majorHAnsi" w:hAnsiTheme="majorHAnsi"/>
                                        <w:sz w:val="18"/>
                                        <w:szCs w:val="18"/>
                                      </w:rPr>
                                    </w:pPr>
                                    <w:r w:rsidRPr="00810635">
                                      <w:rPr>
                                        <w:rFonts w:asciiTheme="majorHAnsi" w:hAnsiTheme="majorHAnsi"/>
                                        <w:sz w:val="18"/>
                                        <w:szCs w:val="18"/>
                                      </w:rPr>
                                      <w:t>B</w:t>
                                    </w:r>
                                    <w:r>
                                      <w:rPr>
                                        <w:rFonts w:asciiTheme="majorHAnsi" w:hAnsiTheme="majorHAnsi"/>
                                        <w:sz w:val="18"/>
                                        <w:szCs w:val="18"/>
                                      </w:rPr>
                                      <w:t>ank literature review - a</w:t>
                                    </w:r>
                                    <w:r w:rsidRPr="00810635">
                                      <w:rPr>
                                        <w:rFonts w:asciiTheme="majorHAnsi" w:hAnsiTheme="majorHAnsi"/>
                                        <w:sz w:val="18"/>
                                        <w:szCs w:val="18"/>
                                      </w:rPr>
                                      <w:t>ll articles &amp; websites published by Bank or Bank-affiliated authors on the OCP and success (n=48)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 name="Group 17"/>
                              <wpg:cNvGrpSpPr/>
                              <wpg:grpSpPr>
                                <a:xfrm>
                                  <a:off x="114300" y="0"/>
                                  <a:ext cx="5705475" cy="6382333"/>
                                  <a:chOff x="114300" y="0"/>
                                  <a:chExt cx="5705475" cy="6382333"/>
                                </a:xfrm>
                              </wpg:grpSpPr>
                              <wpg:grpSp>
                                <wpg:cNvPr id="18" name="Group 18"/>
                                <wpg:cNvGrpSpPr/>
                                <wpg:grpSpPr>
                                  <a:xfrm>
                                    <a:off x="114300" y="0"/>
                                    <a:ext cx="5705475" cy="5200777"/>
                                    <a:chOff x="0" y="-488069"/>
                                    <a:chExt cx="7000999" cy="6054806"/>
                                  </a:xfrm>
                                </wpg:grpSpPr>
                                <wps:wsp>
                                  <wps:cNvPr id="19" name="Straight Arrow Connector 19"/>
                                  <wps:cNvCnPr/>
                                  <wps:spPr>
                                    <a:xfrm>
                                      <a:off x="4770304" y="495759"/>
                                      <a:ext cx="0" cy="99151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0" name="Straight Arrow Connector 20"/>
                                  <wps:cNvCnPr/>
                                  <wps:spPr>
                                    <a:xfrm>
                                      <a:off x="2247441" y="528809"/>
                                      <a:ext cx="0" cy="99151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1" name="Straight Arrow Connector 21"/>
                                  <wps:cNvCnPr/>
                                  <wps:spPr>
                                    <a:xfrm>
                                      <a:off x="2247441" y="2038120"/>
                                      <a:ext cx="0" cy="99151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2" name="Rounded Rectangle 22"/>
                                  <wps:cNvSpPr/>
                                  <wps:spPr>
                                    <a:xfrm>
                                      <a:off x="198693" y="-488069"/>
                                      <a:ext cx="3299265" cy="1112222"/>
                                    </a:xfrm>
                                    <a:prstGeom prst="roundRect">
                                      <a:avLst/>
                                    </a:prstGeom>
                                  </wps:spPr>
                                  <wps:style>
                                    <a:lnRef idx="2">
                                      <a:schemeClr val="dk1"/>
                                    </a:lnRef>
                                    <a:fillRef idx="1">
                                      <a:schemeClr val="lt1"/>
                                    </a:fillRef>
                                    <a:effectRef idx="0">
                                      <a:schemeClr val="dk1"/>
                                    </a:effectRef>
                                    <a:fontRef idx="minor">
                                      <a:schemeClr val="dk1"/>
                                    </a:fontRef>
                                  </wps:style>
                                  <wps:txbx>
                                    <w:txbxContent>
                                      <w:p w14:paraId="210D307C" w14:textId="77777777" w:rsidR="00CF189D" w:rsidRPr="00810635" w:rsidRDefault="00CF189D" w:rsidP="00810635">
                                        <w:pPr>
                                          <w:jc w:val="center"/>
                                          <w:rPr>
                                            <w:rFonts w:asciiTheme="majorHAnsi" w:hAnsiTheme="majorHAnsi"/>
                                            <w:b/>
                                            <w:sz w:val="18"/>
                                            <w:szCs w:val="18"/>
                                          </w:rPr>
                                        </w:pPr>
                                        <w:r w:rsidRPr="00810635">
                                          <w:rPr>
                                            <w:rFonts w:asciiTheme="majorHAnsi" w:hAnsiTheme="majorHAnsi"/>
                                            <w:b/>
                                            <w:sz w:val="18"/>
                                            <w:szCs w:val="18"/>
                                          </w:rPr>
                                          <w:t xml:space="preserve">Published &amp; peer-reviewed literature (including articles &amp; books): </w:t>
                                        </w:r>
                                      </w:p>
                                      <w:p w14:paraId="1209CBDB" w14:textId="77777777" w:rsidR="00CF189D" w:rsidRPr="00810635" w:rsidRDefault="00CF189D" w:rsidP="00810635">
                                        <w:pPr>
                                          <w:jc w:val="center"/>
                                          <w:rPr>
                                            <w:rFonts w:asciiTheme="majorHAnsi" w:hAnsiTheme="majorHAnsi"/>
                                            <w:b/>
                                            <w:sz w:val="18"/>
                                            <w:szCs w:val="18"/>
                                          </w:rPr>
                                        </w:pPr>
                                        <w:r w:rsidRPr="00810635">
                                          <w:rPr>
                                            <w:rFonts w:asciiTheme="majorHAnsi" w:hAnsiTheme="majorHAnsi"/>
                                            <w:b/>
                                            <w:sz w:val="18"/>
                                            <w:szCs w:val="18"/>
                                          </w:rPr>
                                          <w:t>Database searches of ‘Onchocerciasis Control Program*’ AND ‘success*’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Rounded Rectangle 37"/>
                                  <wps:cNvSpPr/>
                                  <wps:spPr>
                                    <a:xfrm>
                                      <a:off x="11017" y="826171"/>
                                      <a:ext cx="1178675" cy="1069920"/>
                                    </a:xfrm>
                                    <a:prstGeom prst="roundRect">
                                      <a:avLst/>
                                    </a:prstGeom>
                                    <a:solidFill>
                                      <a:schemeClr val="bg1">
                                        <a:lumMod val="75000"/>
                                      </a:schemeClr>
                                    </a:solidFill>
                                  </wps:spPr>
                                  <wps:style>
                                    <a:lnRef idx="2">
                                      <a:schemeClr val="dk1"/>
                                    </a:lnRef>
                                    <a:fillRef idx="1">
                                      <a:schemeClr val="lt1"/>
                                    </a:fillRef>
                                    <a:effectRef idx="0">
                                      <a:schemeClr val="dk1"/>
                                    </a:effectRef>
                                    <a:fontRef idx="minor">
                                      <a:schemeClr val="dk1"/>
                                    </a:fontRef>
                                  </wps:style>
                                  <wps:txbx>
                                    <w:txbxContent>
                                      <w:p w14:paraId="19A213E1" w14:textId="77777777" w:rsidR="00CF189D" w:rsidRPr="00810635" w:rsidRDefault="00CF189D" w:rsidP="00810635">
                                        <w:pPr>
                                          <w:jc w:val="center"/>
                                          <w:rPr>
                                            <w:rFonts w:asciiTheme="majorHAnsi" w:hAnsiTheme="majorHAnsi"/>
                                            <w:sz w:val="18"/>
                                            <w:szCs w:val="18"/>
                                          </w:rPr>
                                        </w:pPr>
                                        <w:r w:rsidRPr="00810635">
                                          <w:rPr>
                                            <w:rFonts w:asciiTheme="majorHAnsi" w:hAnsiTheme="majorHAnsi"/>
                                            <w:sz w:val="18"/>
                                            <w:szCs w:val="18"/>
                                          </w:rPr>
                                          <w:t>Repeated &amp; non-English or unavailable articles excluded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Straight Arrow Connector 38"/>
                                  <wps:cNvCnPr/>
                                  <wps:spPr>
                                    <a:xfrm flipH="1">
                                      <a:off x="1189822" y="1112703"/>
                                      <a:ext cx="99151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9" name="Rounded Rectangle 39"/>
                                  <wps:cNvSpPr/>
                                  <wps:spPr>
                                    <a:xfrm>
                                      <a:off x="1244906" y="1608462"/>
                                      <a:ext cx="1905635" cy="638979"/>
                                    </a:xfrm>
                                    <a:prstGeom prst="roundRect">
                                      <a:avLst/>
                                    </a:prstGeom>
                                  </wps:spPr>
                                  <wps:style>
                                    <a:lnRef idx="2">
                                      <a:schemeClr val="dk1"/>
                                    </a:lnRef>
                                    <a:fillRef idx="1">
                                      <a:schemeClr val="lt1"/>
                                    </a:fillRef>
                                    <a:effectRef idx="0">
                                      <a:schemeClr val="dk1"/>
                                    </a:effectRef>
                                    <a:fontRef idx="minor">
                                      <a:schemeClr val="dk1"/>
                                    </a:fontRef>
                                  </wps:style>
                                  <wps:txbx>
                                    <w:txbxContent>
                                      <w:p w14:paraId="555AEB4C" w14:textId="77777777" w:rsidR="00CF189D" w:rsidRPr="00810635" w:rsidRDefault="00CF189D" w:rsidP="00810635">
                                        <w:pPr>
                                          <w:jc w:val="center"/>
                                          <w:rPr>
                                            <w:rFonts w:asciiTheme="majorHAnsi" w:hAnsiTheme="majorHAnsi"/>
                                            <w:sz w:val="18"/>
                                            <w:szCs w:val="18"/>
                                          </w:rPr>
                                        </w:pPr>
                                        <w:r w:rsidRPr="00810635">
                                          <w:rPr>
                                            <w:rFonts w:asciiTheme="majorHAnsi" w:hAnsiTheme="majorHAnsi"/>
                                            <w:sz w:val="18"/>
                                            <w:szCs w:val="18"/>
                                          </w:rPr>
                                          <w:t>Articles containing search terms (n=458)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Rounded Rectangle 40"/>
                                  <wps:cNvSpPr/>
                                  <wps:spPr>
                                    <a:xfrm>
                                      <a:off x="0" y="2401403"/>
                                      <a:ext cx="1178560" cy="1080579"/>
                                    </a:xfrm>
                                    <a:prstGeom prst="roundRect">
                                      <a:avLst/>
                                    </a:prstGeom>
                                    <a:solidFill>
                                      <a:schemeClr val="bg1">
                                        <a:lumMod val="75000"/>
                                      </a:schemeClr>
                                    </a:solidFill>
                                  </wps:spPr>
                                  <wps:style>
                                    <a:lnRef idx="2">
                                      <a:schemeClr val="dk1"/>
                                    </a:lnRef>
                                    <a:fillRef idx="1">
                                      <a:schemeClr val="lt1"/>
                                    </a:fillRef>
                                    <a:effectRef idx="0">
                                      <a:schemeClr val="dk1"/>
                                    </a:effectRef>
                                    <a:fontRef idx="minor">
                                      <a:schemeClr val="dk1"/>
                                    </a:fontRef>
                                  </wps:style>
                                  <wps:txbx>
                                    <w:txbxContent>
                                      <w:p w14:paraId="053D750E" w14:textId="77777777" w:rsidR="00CF189D" w:rsidRPr="00810635" w:rsidRDefault="00CF189D" w:rsidP="00810635">
                                        <w:pPr>
                                          <w:jc w:val="center"/>
                                          <w:rPr>
                                            <w:rFonts w:asciiTheme="majorHAnsi" w:hAnsiTheme="majorHAnsi"/>
                                            <w:sz w:val="18"/>
                                            <w:szCs w:val="18"/>
                                          </w:rPr>
                                        </w:pPr>
                                        <w:r w:rsidRPr="00810635">
                                          <w:rPr>
                                            <w:rFonts w:asciiTheme="majorHAnsi" w:hAnsiTheme="majorHAnsi"/>
                                            <w:sz w:val="18"/>
                                            <w:szCs w:val="18"/>
                                          </w:rPr>
                                          <w:t xml:space="preserve">Articles without direct reference to </w:t>
                                        </w:r>
                                        <w:r w:rsidRPr="00810635">
                                          <w:rPr>
                                            <w:rFonts w:asciiTheme="majorHAnsi" w:hAnsiTheme="majorHAnsi"/>
                                            <w:i/>
                                            <w:sz w:val="18"/>
                                            <w:szCs w:val="18"/>
                                          </w:rPr>
                                          <w:t xml:space="preserve">OCP’s </w:t>
                                        </w:r>
                                        <w:r w:rsidRPr="00810635">
                                          <w:rPr>
                                            <w:rFonts w:asciiTheme="majorHAnsi" w:hAnsiTheme="majorHAnsi"/>
                                            <w:sz w:val="18"/>
                                            <w:szCs w:val="18"/>
                                          </w:rPr>
                                          <w:t>success excluded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Straight Arrow Connector 44"/>
                                  <wps:cNvCnPr/>
                                  <wps:spPr>
                                    <a:xfrm flipH="1">
                                      <a:off x="1200839" y="2710149"/>
                                      <a:ext cx="99151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45" name="Rounded Rectangle 45"/>
                                  <wps:cNvSpPr/>
                                  <wps:spPr>
                                    <a:xfrm>
                                      <a:off x="1266940" y="3095034"/>
                                      <a:ext cx="1905765" cy="919079"/>
                                    </a:xfrm>
                                    <a:prstGeom prst="roundRect">
                                      <a:avLst/>
                                    </a:prstGeom>
                                    <a:solidFill>
                                      <a:schemeClr val="accent6"/>
                                    </a:solidFill>
                                  </wps:spPr>
                                  <wps:style>
                                    <a:lnRef idx="2">
                                      <a:schemeClr val="dk1"/>
                                    </a:lnRef>
                                    <a:fillRef idx="1">
                                      <a:schemeClr val="lt1"/>
                                    </a:fillRef>
                                    <a:effectRef idx="0">
                                      <a:schemeClr val="dk1"/>
                                    </a:effectRef>
                                    <a:fontRef idx="minor">
                                      <a:schemeClr val="dk1"/>
                                    </a:fontRef>
                                  </wps:style>
                                  <wps:txbx>
                                    <w:txbxContent>
                                      <w:p w14:paraId="14103C0C" w14:textId="23031BD4" w:rsidR="00CF189D" w:rsidRDefault="00CF189D" w:rsidP="005F0ABB">
                                        <w:pPr>
                                          <w:jc w:val="center"/>
                                          <w:rPr>
                                            <w:rFonts w:asciiTheme="majorHAnsi" w:hAnsiTheme="majorHAnsi"/>
                                            <w:sz w:val="18"/>
                                            <w:szCs w:val="18"/>
                                          </w:rPr>
                                        </w:pPr>
                                        <w:r>
                                          <w:rPr>
                                            <w:rFonts w:asciiTheme="majorHAnsi" w:hAnsiTheme="majorHAnsi"/>
                                            <w:sz w:val="18"/>
                                            <w:szCs w:val="18"/>
                                          </w:rPr>
                                          <w:t>GH literature review -</w:t>
                                        </w:r>
                                      </w:p>
                                      <w:p w14:paraId="6B5AC8BD" w14:textId="4DDC6130" w:rsidR="00CF189D" w:rsidRPr="00810635" w:rsidRDefault="00CF189D" w:rsidP="005F0ABB">
                                        <w:pPr>
                                          <w:jc w:val="center"/>
                                          <w:rPr>
                                            <w:rFonts w:asciiTheme="majorHAnsi" w:hAnsiTheme="majorHAnsi"/>
                                            <w:sz w:val="18"/>
                                            <w:szCs w:val="18"/>
                                          </w:rPr>
                                        </w:pPr>
                                        <w:r>
                                          <w:rPr>
                                            <w:rFonts w:asciiTheme="majorHAnsi" w:hAnsiTheme="majorHAnsi"/>
                                            <w:sz w:val="18"/>
                                            <w:szCs w:val="18"/>
                                          </w:rPr>
                                          <w:t>all</w:t>
                                        </w:r>
                                        <w:r w:rsidRPr="00810635">
                                          <w:rPr>
                                            <w:rFonts w:asciiTheme="majorHAnsi" w:hAnsiTheme="majorHAnsi"/>
                                            <w:sz w:val="18"/>
                                            <w:szCs w:val="18"/>
                                          </w:rPr>
                                          <w:t xml:space="preserve"> articles about OCP’s success (n=218), by any author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Straight Arrow Connector 55"/>
                                  <wps:cNvCnPr/>
                                  <wps:spPr>
                                    <a:xfrm flipH="1">
                                      <a:off x="1393249" y="4047528"/>
                                      <a:ext cx="500037" cy="3371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6" name="Rounded Rectangle 56"/>
                                  <wps:cNvSpPr/>
                                  <wps:spPr>
                                    <a:xfrm>
                                      <a:off x="85750" y="4502466"/>
                                      <a:ext cx="1527050" cy="1064271"/>
                                    </a:xfrm>
                                    <a:prstGeom prst="roundRect">
                                      <a:avLst/>
                                    </a:prstGeom>
                                  </wps:spPr>
                                  <wps:style>
                                    <a:lnRef idx="2">
                                      <a:schemeClr val="dk1"/>
                                    </a:lnRef>
                                    <a:fillRef idx="1">
                                      <a:schemeClr val="lt1"/>
                                    </a:fillRef>
                                    <a:effectRef idx="0">
                                      <a:schemeClr val="dk1"/>
                                    </a:effectRef>
                                    <a:fontRef idx="minor">
                                      <a:schemeClr val="dk1"/>
                                    </a:fontRef>
                                  </wps:style>
                                  <wps:txbx>
                                    <w:txbxContent>
                                      <w:p w14:paraId="207D225E" w14:textId="77777777" w:rsidR="00CF189D" w:rsidRPr="00810635" w:rsidRDefault="00CF189D" w:rsidP="00810635">
                                        <w:pPr>
                                          <w:jc w:val="center"/>
                                          <w:rPr>
                                            <w:rFonts w:asciiTheme="majorHAnsi" w:hAnsiTheme="majorHAnsi"/>
                                            <w:sz w:val="18"/>
                                            <w:szCs w:val="18"/>
                                          </w:rPr>
                                        </w:pPr>
                                        <w:r w:rsidRPr="00810635">
                                          <w:rPr>
                                            <w:rFonts w:asciiTheme="majorHAnsi" w:hAnsiTheme="majorHAnsi"/>
                                            <w:sz w:val="18"/>
                                            <w:szCs w:val="18"/>
                                          </w:rPr>
                                          <w:t>Citation tracking for statement that OCP is a success, for each article (n=218)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Rounded Rectangle 57"/>
                                  <wps:cNvSpPr/>
                                  <wps:spPr>
                                    <a:xfrm>
                                      <a:off x="2181341" y="4524360"/>
                                      <a:ext cx="1575410" cy="1042377"/>
                                    </a:xfrm>
                                    <a:prstGeom prst="roundRect">
                                      <a:avLst/>
                                    </a:prstGeom>
                                  </wps:spPr>
                                  <wps:style>
                                    <a:lnRef idx="2">
                                      <a:schemeClr val="dk1"/>
                                    </a:lnRef>
                                    <a:fillRef idx="1">
                                      <a:schemeClr val="lt1"/>
                                    </a:fillRef>
                                    <a:effectRef idx="0">
                                      <a:schemeClr val="dk1"/>
                                    </a:effectRef>
                                    <a:fontRef idx="minor">
                                      <a:schemeClr val="dk1"/>
                                    </a:fontRef>
                                  </wps:style>
                                  <wps:txbx>
                                    <w:txbxContent>
                                      <w:p w14:paraId="3034E11E" w14:textId="77777777" w:rsidR="00CF189D" w:rsidRPr="00810635" w:rsidRDefault="00CF189D" w:rsidP="00810635">
                                        <w:pPr>
                                          <w:jc w:val="center"/>
                                          <w:rPr>
                                            <w:rFonts w:asciiTheme="majorHAnsi" w:hAnsiTheme="majorHAnsi"/>
                                            <w:sz w:val="18"/>
                                            <w:szCs w:val="18"/>
                                          </w:rPr>
                                        </w:pPr>
                                        <w:r w:rsidRPr="00810635">
                                          <w:rPr>
                                            <w:rFonts w:asciiTheme="majorHAnsi" w:hAnsiTheme="majorHAnsi"/>
                                            <w:sz w:val="18"/>
                                            <w:szCs w:val="18"/>
                                          </w:rPr>
                                          <w:t>Coding for rationales (if any) for success given, for each article (n = 218)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Straight Arrow Connector 59"/>
                                  <wps:cNvCnPr/>
                                  <wps:spPr>
                                    <a:xfrm>
                                      <a:off x="2395825" y="4058617"/>
                                      <a:ext cx="523703" cy="32609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0" name="Rounded Rectangle 60"/>
                                  <wps:cNvSpPr/>
                                  <wps:spPr>
                                    <a:xfrm>
                                      <a:off x="3756750" y="-476981"/>
                                      <a:ext cx="3197498" cy="1124967"/>
                                    </a:xfrm>
                                    <a:prstGeom prst="roundRect">
                                      <a:avLst/>
                                    </a:prstGeom>
                                  </wps:spPr>
                                  <wps:style>
                                    <a:lnRef idx="2">
                                      <a:schemeClr val="dk1"/>
                                    </a:lnRef>
                                    <a:fillRef idx="1">
                                      <a:schemeClr val="lt1"/>
                                    </a:fillRef>
                                    <a:effectRef idx="0">
                                      <a:schemeClr val="dk1"/>
                                    </a:effectRef>
                                    <a:fontRef idx="minor">
                                      <a:schemeClr val="dk1"/>
                                    </a:fontRef>
                                  </wps:style>
                                  <wps:txbx>
                                    <w:txbxContent>
                                      <w:p w14:paraId="43D1E03B" w14:textId="42F25D3E" w:rsidR="00CF189D" w:rsidRPr="00810635" w:rsidRDefault="00CF189D" w:rsidP="00810635">
                                        <w:pPr>
                                          <w:jc w:val="center"/>
                                          <w:rPr>
                                            <w:rFonts w:asciiTheme="majorHAnsi" w:hAnsiTheme="majorHAnsi"/>
                                            <w:b/>
                                            <w:sz w:val="18"/>
                                            <w:szCs w:val="18"/>
                                          </w:rPr>
                                        </w:pPr>
                                        <w:r w:rsidRPr="00810635">
                                          <w:rPr>
                                            <w:rFonts w:asciiTheme="majorHAnsi" w:hAnsiTheme="majorHAnsi"/>
                                            <w:b/>
                                            <w:sz w:val="18"/>
                                            <w:szCs w:val="18"/>
                                          </w:rPr>
                                          <w:t xml:space="preserve">Newspaper databases &amp; webpages (including blogs, digital news stories): </w:t>
                                        </w:r>
                                      </w:p>
                                      <w:p w14:paraId="65941E29" w14:textId="77777777" w:rsidR="00CF189D" w:rsidRPr="00810635" w:rsidRDefault="00CF189D" w:rsidP="00810635">
                                        <w:pPr>
                                          <w:jc w:val="center"/>
                                          <w:rPr>
                                            <w:rFonts w:asciiTheme="majorHAnsi" w:hAnsiTheme="majorHAnsi"/>
                                            <w:b/>
                                            <w:sz w:val="18"/>
                                            <w:szCs w:val="18"/>
                                          </w:rPr>
                                        </w:pPr>
                                        <w:r w:rsidRPr="00810635">
                                          <w:rPr>
                                            <w:rFonts w:asciiTheme="majorHAnsi" w:hAnsiTheme="majorHAnsi"/>
                                            <w:b/>
                                            <w:sz w:val="18"/>
                                            <w:szCs w:val="18"/>
                                          </w:rPr>
                                          <w:t>Google search for ‘Onchocerciasis Control Program*’ AND ‘success*’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Straight Arrow Connector 61"/>
                                  <wps:cNvCnPr/>
                                  <wps:spPr>
                                    <a:xfrm>
                                      <a:off x="4770304" y="2038120"/>
                                      <a:ext cx="0" cy="9912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2" name="Rounded Rectangle 62"/>
                                  <wps:cNvSpPr/>
                                  <wps:spPr>
                                    <a:xfrm>
                                      <a:off x="3739825" y="3062136"/>
                                      <a:ext cx="1966630" cy="1062733"/>
                                    </a:xfrm>
                                    <a:prstGeom prst="roundRect">
                                      <a:avLst/>
                                    </a:prstGeom>
                                  </wps:spPr>
                                  <wps:style>
                                    <a:lnRef idx="2">
                                      <a:schemeClr val="dk1"/>
                                    </a:lnRef>
                                    <a:fillRef idx="1">
                                      <a:schemeClr val="lt1"/>
                                    </a:fillRef>
                                    <a:effectRef idx="0">
                                      <a:schemeClr val="dk1"/>
                                    </a:effectRef>
                                    <a:fontRef idx="minor">
                                      <a:schemeClr val="dk1"/>
                                    </a:fontRef>
                                  </wps:style>
                                  <wps:txbx>
                                    <w:txbxContent>
                                      <w:p w14:paraId="405FF007" w14:textId="3A9ED568" w:rsidR="00CF189D" w:rsidRPr="00810635" w:rsidRDefault="00CF189D" w:rsidP="00810635">
                                        <w:pPr>
                                          <w:jc w:val="center"/>
                                          <w:rPr>
                                            <w:rFonts w:asciiTheme="majorHAnsi" w:hAnsiTheme="majorHAnsi"/>
                                            <w:sz w:val="18"/>
                                            <w:szCs w:val="18"/>
                                          </w:rPr>
                                        </w:pPr>
                                        <w:r w:rsidRPr="00810635">
                                          <w:rPr>
                                            <w:rFonts w:asciiTheme="majorHAnsi" w:hAnsiTheme="majorHAnsi"/>
                                            <w:sz w:val="18"/>
                                            <w:szCs w:val="18"/>
                                          </w:rPr>
                                          <w:t>Items about the OCP’s success included in analysis throughout dissertation (n=</w:t>
                                        </w:r>
                                        <w:r>
                                          <w:rPr>
                                            <w:rFonts w:asciiTheme="majorHAnsi" w:hAnsiTheme="majorHAnsi"/>
                                            <w:sz w:val="18"/>
                                            <w:szCs w:val="18"/>
                                          </w:rPr>
                                          <w:t>79</w:t>
                                        </w:r>
                                        <w:r w:rsidRPr="00810635">
                                          <w:rPr>
                                            <w:rFonts w:asciiTheme="majorHAnsi" w:hAnsiTheme="majorHAnsi"/>
                                            <w:sz w:val="18"/>
                                            <w:szCs w:val="18"/>
                                          </w:rPr>
                                          <w:t xml:space="preserve">), but </w:t>
                                        </w:r>
                                        <w:r w:rsidRPr="00810635">
                                          <w:rPr>
                                            <w:rFonts w:asciiTheme="majorHAnsi" w:hAnsiTheme="majorHAnsi"/>
                                            <w:i/>
                                            <w:sz w:val="18"/>
                                            <w:szCs w:val="18"/>
                                          </w:rPr>
                                          <w:t xml:space="preserve">not </w:t>
                                        </w:r>
                                        <w:r w:rsidRPr="00810635">
                                          <w:rPr>
                                            <w:rFonts w:asciiTheme="majorHAnsi" w:hAnsiTheme="majorHAnsi"/>
                                            <w:sz w:val="18"/>
                                            <w:szCs w:val="18"/>
                                          </w:rPr>
                                          <w:t>in literature review statistics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Rounded Rectangle 63"/>
                                  <wps:cNvSpPr/>
                                  <wps:spPr>
                                    <a:xfrm>
                                      <a:off x="5738293" y="2279366"/>
                                      <a:ext cx="1262706" cy="1113756"/>
                                    </a:xfrm>
                                    <a:prstGeom prst="roundRect">
                                      <a:avLst/>
                                    </a:prstGeom>
                                    <a:solidFill>
                                      <a:schemeClr val="bg1">
                                        <a:lumMod val="75000"/>
                                      </a:schemeClr>
                                    </a:solidFill>
                                  </wps:spPr>
                                  <wps:style>
                                    <a:lnRef idx="2">
                                      <a:schemeClr val="dk1"/>
                                    </a:lnRef>
                                    <a:fillRef idx="1">
                                      <a:schemeClr val="lt1"/>
                                    </a:fillRef>
                                    <a:effectRef idx="0">
                                      <a:schemeClr val="dk1"/>
                                    </a:effectRef>
                                    <a:fontRef idx="minor">
                                      <a:schemeClr val="dk1"/>
                                    </a:fontRef>
                                  </wps:style>
                                  <wps:txbx>
                                    <w:txbxContent>
                                      <w:p w14:paraId="70FD262E" w14:textId="77777777" w:rsidR="00CF189D" w:rsidRPr="00810635" w:rsidRDefault="00CF189D" w:rsidP="00810635">
                                        <w:pPr>
                                          <w:jc w:val="center"/>
                                          <w:rPr>
                                            <w:rFonts w:asciiTheme="majorHAnsi" w:hAnsiTheme="majorHAnsi"/>
                                            <w:sz w:val="18"/>
                                            <w:szCs w:val="18"/>
                                          </w:rPr>
                                        </w:pPr>
                                        <w:r w:rsidRPr="00810635">
                                          <w:rPr>
                                            <w:rFonts w:asciiTheme="majorHAnsi" w:hAnsiTheme="majorHAnsi"/>
                                            <w:sz w:val="18"/>
                                            <w:szCs w:val="18"/>
                                          </w:rPr>
                                          <w:t xml:space="preserve">Items without direct reference to </w:t>
                                        </w:r>
                                        <w:r w:rsidRPr="00810635">
                                          <w:rPr>
                                            <w:rFonts w:asciiTheme="majorHAnsi" w:hAnsiTheme="majorHAnsi"/>
                                            <w:i/>
                                            <w:sz w:val="18"/>
                                            <w:szCs w:val="18"/>
                                          </w:rPr>
                                          <w:t>OCP</w:t>
                                        </w:r>
                                        <w:r w:rsidRPr="00810635">
                                          <w:rPr>
                                            <w:rFonts w:asciiTheme="majorHAnsi" w:hAnsiTheme="majorHAnsi"/>
                                            <w:sz w:val="18"/>
                                            <w:szCs w:val="18"/>
                                          </w:rPr>
                                          <w:t>’s success excluded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Straight Arrow Connector 64"/>
                                  <wps:cNvCnPr/>
                                  <wps:spPr>
                                    <a:xfrm>
                                      <a:off x="4803354" y="2688115"/>
                                      <a:ext cx="903100" cy="1101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s:wsp>
                                <wps:cNvPr id="65" name="Rounded Rectangle 65"/>
                                <wps:cNvSpPr/>
                                <wps:spPr>
                                  <a:xfrm>
                                    <a:off x="3238500" y="1762125"/>
                                    <a:ext cx="1553114" cy="600075"/>
                                  </a:xfrm>
                                  <a:prstGeom prst="roundRect">
                                    <a:avLst/>
                                  </a:prstGeom>
                                </wps:spPr>
                                <wps:style>
                                  <a:lnRef idx="2">
                                    <a:schemeClr val="dk1"/>
                                  </a:lnRef>
                                  <a:fillRef idx="1">
                                    <a:schemeClr val="lt1"/>
                                  </a:fillRef>
                                  <a:effectRef idx="0">
                                    <a:schemeClr val="dk1"/>
                                  </a:effectRef>
                                  <a:fontRef idx="minor">
                                    <a:schemeClr val="dk1"/>
                                  </a:fontRef>
                                </wps:style>
                                <wps:txbx>
                                  <w:txbxContent>
                                    <w:p w14:paraId="5BED02ED" w14:textId="77777777" w:rsidR="00CF189D" w:rsidRPr="00810635" w:rsidRDefault="00CF189D" w:rsidP="00810635">
                                      <w:pPr>
                                        <w:jc w:val="center"/>
                                        <w:rPr>
                                          <w:rFonts w:asciiTheme="majorHAnsi" w:hAnsiTheme="majorHAnsi"/>
                                          <w:sz w:val="18"/>
                                          <w:szCs w:val="18"/>
                                        </w:rPr>
                                      </w:pPr>
                                      <w:r w:rsidRPr="00810635">
                                        <w:rPr>
                                          <w:rFonts w:asciiTheme="majorHAnsi" w:hAnsiTheme="majorHAnsi"/>
                                          <w:sz w:val="18"/>
                                          <w:szCs w:val="18"/>
                                        </w:rPr>
                                        <w:t>News items &amp; webpages containing search terms (n=782)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Rounded Rectangle 67"/>
                                <wps:cNvSpPr/>
                                <wps:spPr>
                                  <a:xfrm>
                                    <a:off x="1147900" y="5831815"/>
                                    <a:ext cx="1304925" cy="550518"/>
                                  </a:xfrm>
                                  <a:prstGeom prst="roundRect">
                                    <a:avLst/>
                                  </a:prstGeom>
                                </wps:spPr>
                                <wps:style>
                                  <a:lnRef idx="2">
                                    <a:schemeClr val="dk1"/>
                                  </a:lnRef>
                                  <a:fillRef idx="1">
                                    <a:schemeClr val="lt1"/>
                                  </a:fillRef>
                                  <a:effectRef idx="0">
                                    <a:schemeClr val="dk1"/>
                                  </a:effectRef>
                                  <a:fontRef idx="minor">
                                    <a:schemeClr val="dk1"/>
                                  </a:fontRef>
                                </wps:style>
                                <wps:txbx>
                                  <w:txbxContent>
                                    <w:p w14:paraId="4F29C379" w14:textId="77777777" w:rsidR="00CF189D" w:rsidRPr="00810635" w:rsidRDefault="00CF189D" w:rsidP="00810635">
                                      <w:pPr>
                                        <w:jc w:val="center"/>
                                        <w:rPr>
                                          <w:rFonts w:asciiTheme="majorHAnsi" w:hAnsiTheme="majorHAnsi"/>
                                          <w:sz w:val="18"/>
                                          <w:szCs w:val="18"/>
                                        </w:rPr>
                                      </w:pPr>
                                      <w:r w:rsidRPr="00810635">
                                        <w:rPr>
                                          <w:rFonts w:asciiTheme="majorHAnsi" w:hAnsiTheme="majorHAnsi"/>
                                          <w:sz w:val="18"/>
                                          <w:szCs w:val="18"/>
                                        </w:rPr>
                                        <w:t>Articles published by Bank or Bank-affiliated authors (n=39)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Straight Arrow Connector 69"/>
                                <wps:cNvCnPr/>
                                <wps:spPr>
                                  <a:xfrm flipH="1">
                                    <a:off x="919314" y="5488945"/>
                                    <a:ext cx="6572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70" name="Rounded Rectangle 70"/>
                                <wps:cNvSpPr/>
                                <wps:spPr>
                                  <a:xfrm>
                                    <a:off x="119198" y="5374645"/>
                                    <a:ext cx="802549" cy="762000"/>
                                  </a:xfrm>
                                  <a:prstGeom prst="roundRect">
                                    <a:avLst/>
                                  </a:prstGeom>
                                  <a:solidFill>
                                    <a:schemeClr val="bg1">
                                      <a:lumMod val="75000"/>
                                    </a:schemeClr>
                                  </a:solidFill>
                                </wps:spPr>
                                <wps:style>
                                  <a:lnRef idx="2">
                                    <a:schemeClr val="dk1"/>
                                  </a:lnRef>
                                  <a:fillRef idx="1">
                                    <a:schemeClr val="lt1"/>
                                  </a:fillRef>
                                  <a:effectRef idx="0">
                                    <a:schemeClr val="dk1"/>
                                  </a:effectRef>
                                  <a:fontRef idx="minor">
                                    <a:schemeClr val="dk1"/>
                                  </a:fontRef>
                                </wps:style>
                                <wps:txbx>
                                  <w:txbxContent>
                                    <w:p w14:paraId="463726E9" w14:textId="77777777" w:rsidR="00CF189D" w:rsidRPr="00810635" w:rsidRDefault="00CF189D" w:rsidP="00810635">
                                      <w:pPr>
                                        <w:jc w:val="center"/>
                                        <w:rPr>
                                          <w:rFonts w:asciiTheme="majorHAnsi" w:hAnsiTheme="majorHAnsi"/>
                                          <w:sz w:val="18"/>
                                          <w:szCs w:val="18"/>
                                        </w:rPr>
                                      </w:pPr>
                                      <w:r w:rsidRPr="00810635">
                                        <w:rPr>
                                          <w:rFonts w:asciiTheme="majorHAnsi" w:hAnsiTheme="majorHAnsi"/>
                                          <w:sz w:val="18"/>
                                          <w:szCs w:val="18"/>
                                        </w:rPr>
                                        <w:t>Articles by non-Bank authors excluded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71" name="Rounded Rectangle 71"/>
                            <wps:cNvSpPr/>
                            <wps:spPr>
                              <a:xfrm>
                                <a:off x="3552824" y="4295774"/>
                                <a:ext cx="1123951" cy="771525"/>
                              </a:xfrm>
                              <a:prstGeom prst="roundRect">
                                <a:avLst/>
                              </a:prstGeom>
                            </wps:spPr>
                            <wps:style>
                              <a:lnRef idx="2">
                                <a:schemeClr val="dk1"/>
                              </a:lnRef>
                              <a:fillRef idx="1">
                                <a:schemeClr val="lt1"/>
                              </a:fillRef>
                              <a:effectRef idx="0">
                                <a:schemeClr val="dk1"/>
                              </a:effectRef>
                              <a:fontRef idx="minor">
                                <a:schemeClr val="dk1"/>
                              </a:fontRef>
                            </wps:style>
                            <wps:txbx>
                              <w:txbxContent>
                                <w:p w14:paraId="46D23ADD" w14:textId="77777777" w:rsidR="00CF189D" w:rsidRPr="00810635" w:rsidRDefault="00CF189D" w:rsidP="00810635">
                                  <w:pPr>
                                    <w:jc w:val="center"/>
                                    <w:rPr>
                                      <w:rFonts w:asciiTheme="majorHAnsi" w:hAnsiTheme="majorHAnsi"/>
                                      <w:sz w:val="18"/>
                                      <w:szCs w:val="18"/>
                                    </w:rPr>
                                  </w:pPr>
                                  <w:r w:rsidRPr="00810635">
                                    <w:rPr>
                                      <w:rFonts w:asciiTheme="majorHAnsi" w:hAnsiTheme="majorHAnsi"/>
                                      <w:sz w:val="18"/>
                                      <w:szCs w:val="18"/>
                                    </w:rPr>
                                    <w:t>World Bank-affiliated news items &amp; webpages (n=9)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72" name="Rounded Rectangle 72"/>
                        <wps:cNvSpPr/>
                        <wps:spPr>
                          <a:xfrm>
                            <a:off x="4819650" y="3800475"/>
                            <a:ext cx="960563" cy="762000"/>
                          </a:xfrm>
                          <a:prstGeom prst="roundRect">
                            <a:avLst/>
                          </a:prstGeom>
                          <a:solidFill>
                            <a:schemeClr val="bg1">
                              <a:lumMod val="75000"/>
                            </a:schemeClr>
                          </a:solidFill>
                        </wps:spPr>
                        <wps:style>
                          <a:lnRef idx="2">
                            <a:schemeClr val="dk1"/>
                          </a:lnRef>
                          <a:fillRef idx="1">
                            <a:schemeClr val="lt1"/>
                          </a:fillRef>
                          <a:effectRef idx="0">
                            <a:schemeClr val="dk1"/>
                          </a:effectRef>
                          <a:fontRef idx="minor">
                            <a:schemeClr val="dk1"/>
                          </a:fontRef>
                        </wps:style>
                        <wps:txbx>
                          <w:txbxContent>
                            <w:p w14:paraId="6281EA4A" w14:textId="77777777" w:rsidR="00CF189D" w:rsidRPr="00810635" w:rsidRDefault="00CF189D" w:rsidP="00810635">
                              <w:pPr>
                                <w:jc w:val="center"/>
                                <w:rPr>
                                  <w:rFonts w:asciiTheme="majorHAnsi" w:hAnsiTheme="majorHAnsi"/>
                                  <w:sz w:val="18"/>
                                  <w:szCs w:val="18"/>
                                </w:rPr>
                              </w:pPr>
                              <w:r w:rsidRPr="00810635">
                                <w:rPr>
                                  <w:rFonts w:asciiTheme="majorHAnsi" w:hAnsiTheme="majorHAnsi"/>
                                  <w:sz w:val="18"/>
                                  <w:szCs w:val="18"/>
                                </w:rPr>
                                <w:t>Articles by non-Bank authors excluded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Straight Arrow Connector 73"/>
                        <wps:cNvCnPr/>
                        <wps:spPr>
                          <a:xfrm>
                            <a:off x="4086225" y="4086225"/>
                            <a:ext cx="735983" cy="946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2FED7AF" id="Group 5" o:spid="_x0000_s1029" style="position:absolute;left:0;text-align:left;margin-left:-7.45pt;margin-top:-3.15pt;width:449.25pt;height:513.55pt;z-index:251646976;mso-position-horizontal-relative:margin;mso-width-relative:margin;mso-height-relative:margin" coordorigin="1143" coordsize="57054,65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">
                <v:group id="Group 6" o:spid="_x0000_s1030" style="position:absolute;left:1143;width:57054;height:65218" coordorigin="1143" coordsize="57054,65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">
                  <v:line id="Straight Connector 10" o:spid="_x0000_s1031" style="position:absolute;visibility:visible;mso-wrap-style:square" from="14763,48577" to="18383,48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" strokecolor="#5b9bd5 [3204]" strokeweight=".5pt">
                    <v:stroke joinstyle="miter"/>
                  </v:line>
                  <v:group id="Group 11" o:spid="_x0000_s1032" style="position:absolute;left:1143;width:57054;height:65218" coordorigin="1143" coordsize="57054,65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">
                    <v:shapetype id="_x0000_t32" coordsize="21600,21600" o:spt="32" o:oned="t" path="m,l21600,21600e" filled="f">
                      <v:path arrowok="t" fillok="f" o:connecttype="none"/>
                      <o:lock v:ext="edit" shapetype="t"/>
                    </v:shapetype>
                    <v:shape id="Straight Arrow Connector 12" o:spid="_x0000_s1033" type="#_x0000_t32" style="position:absolute;left:40576;top:39719;width:0;height:30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" strokecolor="#5b9bd5 [3204]" strokeweight=".5pt">
                      <v:stroke endarrow="block" joinstyle="miter"/>
                    </v:shape>
                    <v:group id="Group 13" o:spid="_x0000_s1034" style="position:absolute;left:1143;width:57054;height:65218" coordorigin="1143" coordsize="57054,65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">
                      <v:shape id="Straight Arrow Connector 14" o:spid="_x0000_s1035" type="#_x0000_t32" style="position:absolute;left:37050;top:49339;width:3812;height:752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" strokecolor="#5b9bd5 [3204]" strokeweight=".5pt">
                        <v:stroke endarrow="block" joinstyle="miter"/>
                      </v:shape>
                      <v:shape id="Straight Arrow Connector 15" o:spid="_x0000_s1036" type="#_x0000_t32" style="position:absolute;left:24528;top:59467;width:8382;height:160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" strokecolor="#5b9bd5 [3204]" strokeweight=".5pt">
                        <v:stroke endarrow="block" joinstyle="miter"/>
                      </v:shape>
                      <v:roundrect id="Rounded Rectangle 16" o:spid="_x0000_s1037" style="position:absolute;left:33842;top:57747;width:21622;height:747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" fillcolor="#5b9bd5 [3204]" strokecolor="black [3200]" strokeweight="1pt">
                        <v:stroke joinstyle="miter"/>
                        <v:textbox>
                          <w:txbxContent>
                            <w:p w14:paraId="37F17003" w14:textId="21EFFC55" w:rsidR="00CF189D" w:rsidRPr="00810635" w:rsidRDefault="00CF189D" w:rsidP="00810635">
                              <w:pPr>
                                <w:jc w:val="center"/>
                                <w:rPr>
                                  <w:rFonts w:asciiTheme="majorHAnsi" w:hAnsiTheme="majorHAnsi"/>
                                  <w:sz w:val="18"/>
                                  <w:szCs w:val="18"/>
                                </w:rPr>
                              </w:pPr>
                              <w:r w:rsidRPr="00810635">
                                <w:rPr>
                                  <w:rFonts w:asciiTheme="majorHAnsi" w:hAnsiTheme="majorHAnsi"/>
                                  <w:sz w:val="18"/>
                                  <w:szCs w:val="18"/>
                                </w:rPr>
                                <w:t>B</w:t>
                              </w:r>
                              <w:r>
                                <w:rPr>
                                  <w:rFonts w:asciiTheme="majorHAnsi" w:hAnsiTheme="majorHAnsi"/>
                                  <w:sz w:val="18"/>
                                  <w:szCs w:val="18"/>
                                </w:rPr>
                                <w:t>ank literature review - a</w:t>
                              </w:r>
                              <w:r w:rsidRPr="00810635">
                                <w:rPr>
                                  <w:rFonts w:asciiTheme="majorHAnsi" w:hAnsiTheme="majorHAnsi"/>
                                  <w:sz w:val="18"/>
                                  <w:szCs w:val="18"/>
                                </w:rPr>
                                <w:t>ll articles &amp; websites published by Bank or Bank-affiliated authors on the OCP and success (n=48)</w:t>
                              </w:r>
                            </w:p>
                          </w:txbxContent>
                        </v:textbox>
                      </v:roundrect>
                      <v:group id="Group 17" o:spid="_x0000_s1038" style="position:absolute;left:1143;width:57054;height:63823" coordorigin="1143" coordsize="57054,63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">
                        <v:group id="Group 18" o:spid="_x0000_s1039" style="position:absolute;left:1143;width:57054;height:52007" coordorigin=",-4880" coordsize="70009,60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">
                          <v:shape id="Straight Arrow Connector 19" o:spid="_x0000_s1040" type="#_x0000_t32" style="position:absolute;left:47703;top:4957;width:0;height:99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" strokecolor="#5b9bd5 [3204]" strokeweight=".5pt">
                            <v:stroke endarrow="block" joinstyle="miter"/>
                          </v:shape>
                          <v:shape id="Straight Arrow Connector 20" o:spid="_x0000_s1041" type="#_x0000_t32" style="position:absolute;left:22474;top:5288;width:0;height:99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" strokecolor="#5b9bd5 [3204]" strokeweight=".5pt">
                            <v:stroke endarrow="block" joinstyle="miter"/>
                          </v:shape>
                          <v:shape id="Straight Arrow Connector 21" o:spid="_x0000_s1042" type="#_x0000_t32" style="position:absolute;left:22474;top:20381;width:0;height:99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" strokecolor="#5b9bd5 [3204]" strokeweight=".5pt">
                            <v:stroke endarrow="block" joinstyle="miter"/>
                          </v:shape>
                          <v:roundrect id="Rounded Rectangle 22" o:spid="_x0000_s1043" style="position:absolute;left:1986;top:-4880;width:32993;height:111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" fillcolor="white [3201]" strokecolor="black [3200]" strokeweight="1pt">
                            <v:stroke joinstyle="miter"/>
                            <v:textbox>
                              <w:txbxContent>
                                <w:p w14:paraId="210D307C" w14:textId="77777777" w:rsidR="00CF189D" w:rsidRPr="00810635" w:rsidRDefault="00CF189D" w:rsidP="00810635">
                                  <w:pPr>
                                    <w:jc w:val="center"/>
                                    <w:rPr>
                                      <w:rFonts w:asciiTheme="majorHAnsi" w:hAnsiTheme="majorHAnsi"/>
                                      <w:b/>
                                      <w:sz w:val="18"/>
                                      <w:szCs w:val="18"/>
                                    </w:rPr>
                                  </w:pPr>
                                  <w:r w:rsidRPr="00810635">
                                    <w:rPr>
                                      <w:rFonts w:asciiTheme="majorHAnsi" w:hAnsiTheme="majorHAnsi"/>
                                      <w:b/>
                                      <w:sz w:val="18"/>
                                      <w:szCs w:val="18"/>
                                    </w:rPr>
                                    <w:t xml:space="preserve">Published &amp; peer-reviewed literature (including articles &amp; books): </w:t>
                                  </w:r>
                                </w:p>
                                <w:p w14:paraId="1209CBDB" w14:textId="77777777" w:rsidR="00CF189D" w:rsidRPr="00810635" w:rsidRDefault="00CF189D" w:rsidP="00810635">
                                  <w:pPr>
                                    <w:jc w:val="center"/>
                                    <w:rPr>
                                      <w:rFonts w:asciiTheme="majorHAnsi" w:hAnsiTheme="majorHAnsi"/>
                                      <w:b/>
                                      <w:sz w:val="18"/>
                                      <w:szCs w:val="18"/>
                                    </w:rPr>
                                  </w:pPr>
                                  <w:r w:rsidRPr="00810635">
                                    <w:rPr>
                                      <w:rFonts w:asciiTheme="majorHAnsi" w:hAnsiTheme="majorHAnsi"/>
                                      <w:b/>
                                      <w:sz w:val="18"/>
                                      <w:szCs w:val="18"/>
                                    </w:rPr>
                                    <w:t>Database searches of ‘Onchocerciasis Control Program*’ AND ‘success*’</w:t>
                                  </w:r>
                                </w:p>
                              </w:txbxContent>
                            </v:textbox>
                          </v:roundrect>
                          <v:roundrect id="Rounded Rectangle 37" o:spid="_x0000_s1044" style="position:absolute;left:110;top:8261;width:11786;height:106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" fillcolor="#bfbfbf [2412]" strokecolor="black [3200]" strokeweight="1pt">
                            <v:stroke joinstyle="miter"/>
                            <v:textbox>
                              <w:txbxContent>
                                <w:p w14:paraId="19A213E1" w14:textId="77777777" w:rsidR="00CF189D" w:rsidRPr="00810635" w:rsidRDefault="00CF189D" w:rsidP="00810635">
                                  <w:pPr>
                                    <w:jc w:val="center"/>
                                    <w:rPr>
                                      <w:rFonts w:asciiTheme="majorHAnsi" w:hAnsiTheme="majorHAnsi"/>
                                      <w:sz w:val="18"/>
                                      <w:szCs w:val="18"/>
                                    </w:rPr>
                                  </w:pPr>
                                  <w:r w:rsidRPr="00810635">
                                    <w:rPr>
                                      <w:rFonts w:asciiTheme="majorHAnsi" w:hAnsiTheme="majorHAnsi"/>
                                      <w:sz w:val="18"/>
                                      <w:szCs w:val="18"/>
                                    </w:rPr>
                                    <w:t>Repeated &amp; non-English or unavailable articles excluded</w:t>
                                  </w:r>
                                </w:p>
                              </w:txbxContent>
                            </v:textbox>
                          </v:roundrect>
                          <v:shape id="Straight Arrow Connector 38" o:spid="_x0000_s1045" type="#_x0000_t32" style="position:absolute;left:11898;top:11127;width:991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" strokecolor="#5b9bd5 [3204]" strokeweight=".5pt">
                            <v:stroke endarrow="block" joinstyle="miter"/>
                          </v:shape>
                          <v:roundrect id="Rounded Rectangle 39" o:spid="_x0000_s1046" style="position:absolute;left:12449;top:16084;width:19056;height:63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" fillcolor="white [3201]" strokecolor="black [3200]" strokeweight="1pt">
                            <v:stroke joinstyle="miter"/>
                            <v:textbox>
                              <w:txbxContent>
                                <w:p w14:paraId="555AEB4C" w14:textId="77777777" w:rsidR="00CF189D" w:rsidRPr="00810635" w:rsidRDefault="00CF189D" w:rsidP="00810635">
                                  <w:pPr>
                                    <w:jc w:val="center"/>
                                    <w:rPr>
                                      <w:rFonts w:asciiTheme="majorHAnsi" w:hAnsiTheme="majorHAnsi"/>
                                      <w:sz w:val="18"/>
                                      <w:szCs w:val="18"/>
                                    </w:rPr>
                                  </w:pPr>
                                  <w:r w:rsidRPr="00810635">
                                    <w:rPr>
                                      <w:rFonts w:asciiTheme="majorHAnsi" w:hAnsiTheme="majorHAnsi"/>
                                      <w:sz w:val="18"/>
                                      <w:szCs w:val="18"/>
                                    </w:rPr>
                                    <w:t>Articles containing search terms (n=458)</w:t>
                                  </w:r>
                                </w:p>
                              </w:txbxContent>
                            </v:textbox>
                          </v:roundrect>
                          <v:roundrect id="Rounded Rectangle 40" o:spid="_x0000_s1047" style="position:absolute;top:24014;width:11785;height:108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" fillcolor="#bfbfbf [2412]" strokecolor="black [3200]" strokeweight="1pt">
                            <v:stroke joinstyle="miter"/>
                            <v:textbox>
                              <w:txbxContent>
                                <w:p w14:paraId="053D750E" w14:textId="77777777" w:rsidR="00CF189D" w:rsidRPr="00810635" w:rsidRDefault="00CF189D" w:rsidP="00810635">
                                  <w:pPr>
                                    <w:jc w:val="center"/>
                                    <w:rPr>
                                      <w:rFonts w:asciiTheme="majorHAnsi" w:hAnsiTheme="majorHAnsi"/>
                                      <w:sz w:val="18"/>
                                      <w:szCs w:val="18"/>
                                    </w:rPr>
                                  </w:pPr>
                                  <w:r w:rsidRPr="00810635">
                                    <w:rPr>
                                      <w:rFonts w:asciiTheme="majorHAnsi" w:hAnsiTheme="majorHAnsi"/>
                                      <w:sz w:val="18"/>
                                      <w:szCs w:val="18"/>
                                    </w:rPr>
                                    <w:t xml:space="preserve">Articles without direct reference to </w:t>
                                  </w:r>
                                  <w:r w:rsidRPr="00810635">
                                    <w:rPr>
                                      <w:rFonts w:asciiTheme="majorHAnsi" w:hAnsiTheme="majorHAnsi"/>
                                      <w:i/>
                                      <w:sz w:val="18"/>
                                      <w:szCs w:val="18"/>
                                    </w:rPr>
                                    <w:t xml:space="preserve">OCP’s </w:t>
                                  </w:r>
                                  <w:r w:rsidRPr="00810635">
                                    <w:rPr>
                                      <w:rFonts w:asciiTheme="majorHAnsi" w:hAnsiTheme="majorHAnsi"/>
                                      <w:sz w:val="18"/>
                                      <w:szCs w:val="18"/>
                                    </w:rPr>
                                    <w:t>success excluded</w:t>
                                  </w:r>
                                </w:p>
                              </w:txbxContent>
                            </v:textbox>
                          </v:roundrect>
                          <v:shape id="Straight Arrow Connector 44" o:spid="_x0000_s1048" type="#_x0000_t32" style="position:absolute;left:12008;top:27101;width:991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" strokecolor="#5b9bd5 [3204]" strokeweight=".5pt">
                            <v:stroke endarrow="block" joinstyle="miter"/>
                          </v:shape>
                          <v:roundrect id="Rounded Rectangle 45" o:spid="_x0000_s1049" style="position:absolute;left:12669;top:30950;width:19058;height:91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" fillcolor="#70ad47 [3209]" strokecolor="black [3200]" strokeweight="1pt">
                            <v:stroke joinstyle="miter"/>
                            <v:textbox>
                              <w:txbxContent>
                                <w:p w14:paraId="14103C0C" w14:textId="23031BD4" w:rsidR="00CF189D" w:rsidRDefault="00CF189D" w:rsidP="005F0ABB">
                                  <w:pPr>
                                    <w:jc w:val="center"/>
                                    <w:rPr>
                                      <w:rFonts w:asciiTheme="majorHAnsi" w:hAnsiTheme="majorHAnsi"/>
                                      <w:sz w:val="18"/>
                                      <w:szCs w:val="18"/>
                                    </w:rPr>
                                  </w:pPr>
                                  <w:r>
                                    <w:rPr>
                                      <w:rFonts w:asciiTheme="majorHAnsi" w:hAnsiTheme="majorHAnsi"/>
                                      <w:sz w:val="18"/>
                                      <w:szCs w:val="18"/>
                                    </w:rPr>
                                    <w:t>GH literature review -</w:t>
                                  </w:r>
                                </w:p>
                                <w:p w14:paraId="6B5AC8BD" w14:textId="4DDC6130" w:rsidR="00CF189D" w:rsidRPr="00810635" w:rsidRDefault="00CF189D" w:rsidP="005F0ABB">
                                  <w:pPr>
                                    <w:jc w:val="center"/>
                                    <w:rPr>
                                      <w:rFonts w:asciiTheme="majorHAnsi" w:hAnsiTheme="majorHAnsi"/>
                                      <w:sz w:val="18"/>
                                      <w:szCs w:val="18"/>
                                    </w:rPr>
                                  </w:pPr>
                                  <w:r>
                                    <w:rPr>
                                      <w:rFonts w:asciiTheme="majorHAnsi" w:hAnsiTheme="majorHAnsi"/>
                                      <w:sz w:val="18"/>
                                      <w:szCs w:val="18"/>
                                    </w:rPr>
                                    <w:t>all</w:t>
                                  </w:r>
                                  <w:r w:rsidRPr="00810635">
                                    <w:rPr>
                                      <w:rFonts w:asciiTheme="majorHAnsi" w:hAnsiTheme="majorHAnsi"/>
                                      <w:sz w:val="18"/>
                                      <w:szCs w:val="18"/>
                                    </w:rPr>
                                    <w:t xml:space="preserve"> articles about OCP’s success (n=218), by any author</w:t>
                                  </w:r>
                                </w:p>
                              </w:txbxContent>
                            </v:textbox>
                          </v:roundrect>
                          <v:shape id="Straight Arrow Connector 55" o:spid="_x0000_s1050" type="#_x0000_t32" style="position:absolute;left:13932;top:40475;width:5000;height:337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" strokecolor="#5b9bd5 [3204]" strokeweight=".5pt">
                            <v:stroke endarrow="block" joinstyle="miter"/>
                          </v:shape>
                          <v:roundrect id="Rounded Rectangle 56" o:spid="_x0000_s1051" style="position:absolute;left:857;top:45024;width:15271;height:106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" fillcolor="white [3201]" strokecolor="black [3200]" strokeweight="1pt">
                            <v:stroke joinstyle="miter"/>
                            <v:textbox>
                              <w:txbxContent>
                                <w:p w14:paraId="207D225E" w14:textId="77777777" w:rsidR="00CF189D" w:rsidRPr="00810635" w:rsidRDefault="00CF189D" w:rsidP="00810635">
                                  <w:pPr>
                                    <w:jc w:val="center"/>
                                    <w:rPr>
                                      <w:rFonts w:asciiTheme="majorHAnsi" w:hAnsiTheme="majorHAnsi"/>
                                      <w:sz w:val="18"/>
                                      <w:szCs w:val="18"/>
                                    </w:rPr>
                                  </w:pPr>
                                  <w:r w:rsidRPr="00810635">
                                    <w:rPr>
                                      <w:rFonts w:asciiTheme="majorHAnsi" w:hAnsiTheme="majorHAnsi"/>
                                      <w:sz w:val="18"/>
                                      <w:szCs w:val="18"/>
                                    </w:rPr>
                                    <w:t>Citation tracking for statement that OCP is a success, for each article (n=218)</w:t>
                                  </w:r>
                                </w:p>
                              </w:txbxContent>
                            </v:textbox>
                          </v:roundrect>
                          <v:roundrect id="Rounded Rectangle 57" o:spid="_x0000_s1052" style="position:absolute;left:21813;top:45243;width:15754;height:104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" fillcolor="white [3201]" strokecolor="black [3200]" strokeweight="1pt">
                            <v:stroke joinstyle="miter"/>
                            <v:textbox>
                              <w:txbxContent>
                                <w:p w14:paraId="3034E11E" w14:textId="77777777" w:rsidR="00CF189D" w:rsidRPr="00810635" w:rsidRDefault="00CF189D" w:rsidP="00810635">
                                  <w:pPr>
                                    <w:jc w:val="center"/>
                                    <w:rPr>
                                      <w:rFonts w:asciiTheme="majorHAnsi" w:hAnsiTheme="majorHAnsi"/>
                                      <w:sz w:val="18"/>
                                      <w:szCs w:val="18"/>
                                    </w:rPr>
                                  </w:pPr>
                                  <w:r w:rsidRPr="00810635">
                                    <w:rPr>
                                      <w:rFonts w:asciiTheme="majorHAnsi" w:hAnsiTheme="majorHAnsi"/>
                                      <w:sz w:val="18"/>
                                      <w:szCs w:val="18"/>
                                    </w:rPr>
                                    <w:t>Coding for rationales (if any) for success given, for each article (n = 218)</w:t>
                                  </w:r>
                                </w:p>
                              </w:txbxContent>
                            </v:textbox>
                          </v:roundrect>
                          <v:shape id="Straight Arrow Connector 59" o:spid="_x0000_s1053" type="#_x0000_t32" style="position:absolute;left:23958;top:40586;width:5237;height:32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" strokecolor="#5b9bd5 [3204]" strokeweight=".5pt">
                            <v:stroke endarrow="block" joinstyle="miter"/>
                          </v:shape>
                          <v:roundrect id="Rounded Rectangle 60" o:spid="_x0000_s1054" style="position:absolute;left:37567;top:-4769;width:31975;height:112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" fillcolor="white [3201]" strokecolor="black [3200]" strokeweight="1pt">
                            <v:stroke joinstyle="miter"/>
                            <v:textbox>
                              <w:txbxContent>
                                <w:p w14:paraId="43D1E03B" w14:textId="42F25D3E" w:rsidR="00CF189D" w:rsidRPr="00810635" w:rsidRDefault="00CF189D" w:rsidP="00810635">
                                  <w:pPr>
                                    <w:jc w:val="center"/>
                                    <w:rPr>
                                      <w:rFonts w:asciiTheme="majorHAnsi" w:hAnsiTheme="majorHAnsi"/>
                                      <w:b/>
                                      <w:sz w:val="18"/>
                                      <w:szCs w:val="18"/>
                                    </w:rPr>
                                  </w:pPr>
                                  <w:r w:rsidRPr="00810635">
                                    <w:rPr>
                                      <w:rFonts w:asciiTheme="majorHAnsi" w:hAnsiTheme="majorHAnsi"/>
                                      <w:b/>
                                      <w:sz w:val="18"/>
                                      <w:szCs w:val="18"/>
                                    </w:rPr>
                                    <w:t xml:space="preserve">Newspaper databases &amp; webpages (including blogs, digital news stories): </w:t>
                                  </w:r>
                                </w:p>
                                <w:p w14:paraId="65941E29" w14:textId="77777777" w:rsidR="00CF189D" w:rsidRPr="00810635" w:rsidRDefault="00CF189D" w:rsidP="00810635">
                                  <w:pPr>
                                    <w:jc w:val="center"/>
                                    <w:rPr>
                                      <w:rFonts w:asciiTheme="majorHAnsi" w:hAnsiTheme="majorHAnsi"/>
                                      <w:b/>
                                      <w:sz w:val="18"/>
                                      <w:szCs w:val="18"/>
                                    </w:rPr>
                                  </w:pPr>
                                  <w:r w:rsidRPr="00810635">
                                    <w:rPr>
                                      <w:rFonts w:asciiTheme="majorHAnsi" w:hAnsiTheme="majorHAnsi"/>
                                      <w:b/>
                                      <w:sz w:val="18"/>
                                      <w:szCs w:val="18"/>
                                    </w:rPr>
                                    <w:t>Google search for ‘Onchocerciasis Control Program*’ AND ‘success*’</w:t>
                                  </w:r>
                                </w:p>
                              </w:txbxContent>
                            </v:textbox>
                          </v:roundrect>
                          <v:shape id="Straight Arrow Connector 61" o:spid="_x0000_s1055" type="#_x0000_t32" style="position:absolute;left:47703;top:20381;width:0;height:99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" strokecolor="#5b9bd5 [3204]" strokeweight=".5pt">
                            <v:stroke endarrow="block" joinstyle="miter"/>
                          </v:shape>
                          <v:roundrect id="Rounded Rectangle 62" o:spid="_x0000_s1056" style="position:absolute;left:37398;top:30621;width:19666;height:106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" fillcolor="white [3201]" strokecolor="black [3200]" strokeweight="1pt">
                            <v:stroke joinstyle="miter"/>
                            <v:textbox>
                              <w:txbxContent>
                                <w:p w14:paraId="405FF007" w14:textId="3A9ED568" w:rsidR="00CF189D" w:rsidRPr="00810635" w:rsidRDefault="00CF189D" w:rsidP="00810635">
                                  <w:pPr>
                                    <w:jc w:val="center"/>
                                    <w:rPr>
                                      <w:rFonts w:asciiTheme="majorHAnsi" w:hAnsiTheme="majorHAnsi"/>
                                      <w:sz w:val="18"/>
                                      <w:szCs w:val="18"/>
                                    </w:rPr>
                                  </w:pPr>
                                  <w:r w:rsidRPr="00810635">
                                    <w:rPr>
                                      <w:rFonts w:asciiTheme="majorHAnsi" w:hAnsiTheme="majorHAnsi"/>
                                      <w:sz w:val="18"/>
                                      <w:szCs w:val="18"/>
                                    </w:rPr>
                                    <w:t>Items about the OCP’s success included in analysis throughout dissertation (n=</w:t>
                                  </w:r>
                                  <w:r>
                                    <w:rPr>
                                      <w:rFonts w:asciiTheme="majorHAnsi" w:hAnsiTheme="majorHAnsi"/>
                                      <w:sz w:val="18"/>
                                      <w:szCs w:val="18"/>
                                    </w:rPr>
                                    <w:t>79</w:t>
                                  </w:r>
                                  <w:r w:rsidRPr="00810635">
                                    <w:rPr>
                                      <w:rFonts w:asciiTheme="majorHAnsi" w:hAnsiTheme="majorHAnsi"/>
                                      <w:sz w:val="18"/>
                                      <w:szCs w:val="18"/>
                                    </w:rPr>
                                    <w:t xml:space="preserve">), but </w:t>
                                  </w:r>
                                  <w:r w:rsidRPr="00810635">
                                    <w:rPr>
                                      <w:rFonts w:asciiTheme="majorHAnsi" w:hAnsiTheme="majorHAnsi"/>
                                      <w:i/>
                                      <w:sz w:val="18"/>
                                      <w:szCs w:val="18"/>
                                    </w:rPr>
                                    <w:t xml:space="preserve">not </w:t>
                                  </w:r>
                                  <w:r w:rsidRPr="00810635">
                                    <w:rPr>
                                      <w:rFonts w:asciiTheme="majorHAnsi" w:hAnsiTheme="majorHAnsi"/>
                                      <w:sz w:val="18"/>
                                      <w:szCs w:val="18"/>
                                    </w:rPr>
                                    <w:t>in literature review statistics</w:t>
                                  </w:r>
                                </w:p>
                              </w:txbxContent>
                            </v:textbox>
                          </v:roundrect>
                          <v:roundrect id="Rounded Rectangle 63" o:spid="_x0000_s1057" style="position:absolute;left:57382;top:22793;width:12627;height:1113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" fillcolor="#bfbfbf [2412]" strokecolor="black [3200]" strokeweight="1pt">
                            <v:stroke joinstyle="miter"/>
                            <v:textbox>
                              <w:txbxContent>
                                <w:p w14:paraId="70FD262E" w14:textId="77777777" w:rsidR="00CF189D" w:rsidRPr="00810635" w:rsidRDefault="00CF189D" w:rsidP="00810635">
                                  <w:pPr>
                                    <w:jc w:val="center"/>
                                    <w:rPr>
                                      <w:rFonts w:asciiTheme="majorHAnsi" w:hAnsiTheme="majorHAnsi"/>
                                      <w:sz w:val="18"/>
                                      <w:szCs w:val="18"/>
                                    </w:rPr>
                                  </w:pPr>
                                  <w:r w:rsidRPr="00810635">
                                    <w:rPr>
                                      <w:rFonts w:asciiTheme="majorHAnsi" w:hAnsiTheme="majorHAnsi"/>
                                      <w:sz w:val="18"/>
                                      <w:szCs w:val="18"/>
                                    </w:rPr>
                                    <w:t xml:space="preserve">Items without direct reference to </w:t>
                                  </w:r>
                                  <w:r w:rsidRPr="00810635">
                                    <w:rPr>
                                      <w:rFonts w:asciiTheme="majorHAnsi" w:hAnsiTheme="majorHAnsi"/>
                                      <w:i/>
                                      <w:sz w:val="18"/>
                                      <w:szCs w:val="18"/>
                                    </w:rPr>
                                    <w:t>OCP</w:t>
                                  </w:r>
                                  <w:r w:rsidRPr="00810635">
                                    <w:rPr>
                                      <w:rFonts w:asciiTheme="majorHAnsi" w:hAnsiTheme="majorHAnsi"/>
                                      <w:sz w:val="18"/>
                                      <w:szCs w:val="18"/>
                                    </w:rPr>
                                    <w:t>’s success excluded</w:t>
                                  </w:r>
                                </w:p>
                              </w:txbxContent>
                            </v:textbox>
                          </v:roundrect>
                          <v:shape id="Straight Arrow Connector 64" o:spid="_x0000_s1058" type="#_x0000_t32" style="position:absolute;left:48033;top:26881;width:9031;height:1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" strokecolor="#5b9bd5 [3204]" strokeweight=".5pt">
                            <v:stroke endarrow="block" joinstyle="miter"/>
                          </v:shape>
                        </v:group>
                        <v:roundrect id="Rounded Rectangle 65" o:spid="_x0000_s1059" style="position:absolute;left:32385;top:17621;width:15531;height:60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" fillcolor="white [3201]" strokecolor="black [3200]" strokeweight="1pt">
                          <v:stroke joinstyle="miter"/>
                          <v:textbox>
                            <w:txbxContent>
                              <w:p w14:paraId="5BED02ED" w14:textId="77777777" w:rsidR="00CF189D" w:rsidRPr="00810635" w:rsidRDefault="00CF189D" w:rsidP="00810635">
                                <w:pPr>
                                  <w:jc w:val="center"/>
                                  <w:rPr>
                                    <w:rFonts w:asciiTheme="majorHAnsi" w:hAnsiTheme="majorHAnsi"/>
                                    <w:sz w:val="18"/>
                                    <w:szCs w:val="18"/>
                                  </w:rPr>
                                </w:pPr>
                                <w:r w:rsidRPr="00810635">
                                  <w:rPr>
                                    <w:rFonts w:asciiTheme="majorHAnsi" w:hAnsiTheme="majorHAnsi"/>
                                    <w:sz w:val="18"/>
                                    <w:szCs w:val="18"/>
                                  </w:rPr>
                                  <w:t>News items &amp; webpages containing search terms (n=782)</w:t>
                                </w:r>
                              </w:p>
                            </w:txbxContent>
                          </v:textbox>
                        </v:roundrect>
                        <v:roundrect id="Rounded Rectangle 67" o:spid="_x0000_s1060" style="position:absolute;left:11479;top:58318;width:13049;height:55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" fillcolor="white [3201]" strokecolor="black [3200]" strokeweight="1pt">
                          <v:stroke joinstyle="miter"/>
                          <v:textbox>
                            <w:txbxContent>
                              <w:p w14:paraId="4F29C379" w14:textId="77777777" w:rsidR="00CF189D" w:rsidRPr="00810635" w:rsidRDefault="00CF189D" w:rsidP="00810635">
                                <w:pPr>
                                  <w:jc w:val="center"/>
                                  <w:rPr>
                                    <w:rFonts w:asciiTheme="majorHAnsi" w:hAnsiTheme="majorHAnsi"/>
                                    <w:sz w:val="18"/>
                                    <w:szCs w:val="18"/>
                                  </w:rPr>
                                </w:pPr>
                                <w:r w:rsidRPr="00810635">
                                  <w:rPr>
                                    <w:rFonts w:asciiTheme="majorHAnsi" w:hAnsiTheme="majorHAnsi"/>
                                    <w:sz w:val="18"/>
                                    <w:szCs w:val="18"/>
                                  </w:rPr>
                                  <w:t>Articles published by Bank or Bank-affiliated authors (n=39)</w:t>
                                </w:r>
                              </w:p>
                            </w:txbxContent>
                          </v:textbox>
                        </v:roundrect>
                        <v:shape id="Straight Arrow Connector 69" o:spid="_x0000_s1061" type="#_x0000_t32" style="position:absolute;left:9193;top:54889;width:657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" strokecolor="#5b9bd5 [3204]" strokeweight=".5pt">
                          <v:stroke endarrow="block" joinstyle="miter"/>
                        </v:shape>
                        <v:roundrect id="Rounded Rectangle 70" o:spid="_x0000_s1062" style="position:absolute;left:1191;top:53746;width:8026;height:76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" fillcolor="#bfbfbf [2412]" strokecolor="black [3200]" strokeweight="1pt">
                          <v:stroke joinstyle="miter"/>
                          <v:textbox>
                            <w:txbxContent>
                              <w:p w14:paraId="463726E9" w14:textId="77777777" w:rsidR="00CF189D" w:rsidRPr="00810635" w:rsidRDefault="00CF189D" w:rsidP="00810635">
                                <w:pPr>
                                  <w:jc w:val="center"/>
                                  <w:rPr>
                                    <w:rFonts w:asciiTheme="majorHAnsi" w:hAnsiTheme="majorHAnsi"/>
                                    <w:sz w:val="18"/>
                                    <w:szCs w:val="18"/>
                                  </w:rPr>
                                </w:pPr>
                                <w:r w:rsidRPr="00810635">
                                  <w:rPr>
                                    <w:rFonts w:asciiTheme="majorHAnsi" w:hAnsiTheme="majorHAnsi"/>
                                    <w:sz w:val="18"/>
                                    <w:szCs w:val="18"/>
                                  </w:rPr>
                                  <w:t>Articles by non-Bank authors excluded</w:t>
                                </w:r>
                              </w:p>
                            </w:txbxContent>
                          </v:textbox>
                        </v:roundrect>
                      </v:group>
                    </v:group>
                    <v:roundrect id="Rounded Rectangle 71" o:spid="_x0000_s1063" style="position:absolute;left:35528;top:42957;width:11239;height:7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" fillcolor="white [3201]" strokecolor="black [3200]" strokeweight="1pt">
                      <v:stroke joinstyle="miter"/>
                      <v:textbox>
                        <w:txbxContent>
                          <w:p w14:paraId="46D23ADD" w14:textId="77777777" w:rsidR="00CF189D" w:rsidRPr="00810635" w:rsidRDefault="00CF189D" w:rsidP="00810635">
                            <w:pPr>
                              <w:jc w:val="center"/>
                              <w:rPr>
                                <w:rFonts w:asciiTheme="majorHAnsi" w:hAnsiTheme="majorHAnsi"/>
                                <w:sz w:val="18"/>
                                <w:szCs w:val="18"/>
                              </w:rPr>
                            </w:pPr>
                            <w:r w:rsidRPr="00810635">
                              <w:rPr>
                                <w:rFonts w:asciiTheme="majorHAnsi" w:hAnsiTheme="majorHAnsi"/>
                                <w:sz w:val="18"/>
                                <w:szCs w:val="18"/>
                              </w:rPr>
                              <w:t>World Bank-affiliated news items &amp; webpages (n=9)</w:t>
                            </w:r>
                          </w:p>
                        </w:txbxContent>
                      </v:textbox>
                    </v:roundrect>
                  </v:group>
                </v:group>
                <v:roundrect id="Rounded Rectangle 72" o:spid="_x0000_s1064" style="position:absolute;left:48196;top:38004;width:9606;height:76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" fillcolor="#bfbfbf [2412]" strokecolor="black [3200]" strokeweight="1pt">
                  <v:stroke joinstyle="miter"/>
                  <v:textbox>
                    <w:txbxContent>
                      <w:p w14:paraId="6281EA4A" w14:textId="77777777" w:rsidR="00CF189D" w:rsidRPr="00810635" w:rsidRDefault="00CF189D" w:rsidP="00810635">
                        <w:pPr>
                          <w:jc w:val="center"/>
                          <w:rPr>
                            <w:rFonts w:asciiTheme="majorHAnsi" w:hAnsiTheme="majorHAnsi"/>
                            <w:sz w:val="18"/>
                            <w:szCs w:val="18"/>
                          </w:rPr>
                        </w:pPr>
                        <w:r w:rsidRPr="00810635">
                          <w:rPr>
                            <w:rFonts w:asciiTheme="majorHAnsi" w:hAnsiTheme="majorHAnsi"/>
                            <w:sz w:val="18"/>
                            <w:szCs w:val="18"/>
                          </w:rPr>
                          <w:t>Articles by non-Bank authors excluded</w:t>
                        </w:r>
                      </w:p>
                    </w:txbxContent>
                  </v:textbox>
                </v:roundrect>
                <v:shape id="Straight Arrow Connector 73" o:spid="_x0000_s1065" type="#_x0000_t32" style="position:absolute;left:40862;top:40862;width:7360;height: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" strokecolor="#5b9bd5 [3204]" strokeweight=".5pt">
                  <v:stroke endarrow="block" joinstyle="miter"/>
                </v:shape>
                <w10:wrap anchorx="margin"/>
              </v:group>
            </w:pict>
          </mc:Fallback>
        </mc:AlternateContent>
      </w:r>
    </w:p>
    <w:p w14:paraId="3A6B5B0E" w14:textId="4390E9A6" w:rsidR="006E3247" w:rsidRDefault="006E3247" w:rsidP="00D5684E">
      <w:pPr>
        <w:spacing w:before="100" w:beforeAutospacing="1" w:after="100" w:afterAutospacing="1" w:line="360" w:lineRule="auto"/>
        <w:ind w:firstLine="720"/>
        <w:rPr>
          <w:rFonts w:ascii="Calibri" w:hAnsi="Calibri" w:cs="Calibri"/>
          <w:sz w:val="22"/>
          <w:szCs w:val="22"/>
        </w:rPr>
      </w:pPr>
    </w:p>
    <w:p w14:paraId="29605CAC" w14:textId="70D00461" w:rsidR="006E3247" w:rsidRDefault="006E3247" w:rsidP="00D5684E">
      <w:pPr>
        <w:spacing w:before="100" w:beforeAutospacing="1" w:after="100" w:afterAutospacing="1" w:line="360" w:lineRule="auto"/>
        <w:ind w:firstLine="720"/>
        <w:rPr>
          <w:rFonts w:ascii="Calibri" w:hAnsi="Calibri" w:cs="Calibri"/>
          <w:sz w:val="22"/>
          <w:szCs w:val="22"/>
        </w:rPr>
      </w:pPr>
    </w:p>
    <w:p w14:paraId="7744EB88" w14:textId="2A0CA8A2" w:rsidR="006E3247" w:rsidRDefault="006E3247" w:rsidP="00D5684E">
      <w:pPr>
        <w:spacing w:before="100" w:beforeAutospacing="1" w:after="100" w:afterAutospacing="1" w:line="360" w:lineRule="auto"/>
        <w:ind w:firstLine="720"/>
        <w:rPr>
          <w:rFonts w:ascii="Calibri" w:hAnsi="Calibri" w:cs="Calibri"/>
          <w:sz w:val="22"/>
          <w:szCs w:val="22"/>
        </w:rPr>
      </w:pPr>
    </w:p>
    <w:p w14:paraId="42AE1BCE" w14:textId="2C6D7638" w:rsidR="006E3247" w:rsidRDefault="006E3247" w:rsidP="00D5684E">
      <w:pPr>
        <w:spacing w:before="100" w:beforeAutospacing="1" w:after="100" w:afterAutospacing="1" w:line="360" w:lineRule="auto"/>
        <w:ind w:firstLine="720"/>
        <w:rPr>
          <w:rFonts w:ascii="Calibri" w:hAnsi="Calibri" w:cs="Calibri"/>
          <w:sz w:val="22"/>
          <w:szCs w:val="22"/>
        </w:rPr>
      </w:pPr>
    </w:p>
    <w:p w14:paraId="7E5D07A6" w14:textId="07EB3413" w:rsidR="006E3247" w:rsidRDefault="006E3247" w:rsidP="00D5684E">
      <w:pPr>
        <w:spacing w:before="100" w:beforeAutospacing="1" w:after="100" w:afterAutospacing="1" w:line="360" w:lineRule="auto"/>
        <w:ind w:firstLine="720"/>
        <w:rPr>
          <w:rFonts w:ascii="Calibri" w:hAnsi="Calibri" w:cs="Calibri"/>
          <w:sz w:val="22"/>
          <w:szCs w:val="22"/>
        </w:rPr>
      </w:pPr>
    </w:p>
    <w:p w14:paraId="35720ABC" w14:textId="357EE09E" w:rsidR="006E3247" w:rsidRDefault="006E3247" w:rsidP="00D5684E">
      <w:pPr>
        <w:spacing w:before="100" w:beforeAutospacing="1" w:after="100" w:afterAutospacing="1" w:line="360" w:lineRule="auto"/>
        <w:ind w:firstLine="720"/>
        <w:rPr>
          <w:rFonts w:ascii="Calibri" w:hAnsi="Calibri" w:cs="Calibri"/>
          <w:sz w:val="22"/>
          <w:szCs w:val="22"/>
        </w:rPr>
      </w:pPr>
    </w:p>
    <w:p w14:paraId="2DE8B6F7" w14:textId="7C81CC16" w:rsidR="006E3247" w:rsidRPr="00D9152B" w:rsidRDefault="006E3247" w:rsidP="00D5684E">
      <w:pPr>
        <w:spacing w:before="100" w:beforeAutospacing="1" w:after="100" w:afterAutospacing="1" w:line="360" w:lineRule="auto"/>
        <w:ind w:firstLine="720"/>
        <w:rPr>
          <w:rFonts w:ascii="Calibri" w:hAnsi="Calibri" w:cs="Calibri"/>
          <w:sz w:val="22"/>
          <w:szCs w:val="22"/>
        </w:rPr>
      </w:pPr>
    </w:p>
    <w:p w14:paraId="19AAEDA5" w14:textId="439612E7" w:rsidR="00562F38" w:rsidRDefault="00562F38" w:rsidP="00984DC0">
      <w:pPr>
        <w:jc w:val="both"/>
        <w:rPr>
          <w:rFonts w:ascii="Calibri" w:eastAsiaTheme="minorHAnsi" w:hAnsi="Calibri" w:cs="Calibri"/>
          <w:sz w:val="22"/>
          <w:szCs w:val="22"/>
        </w:rPr>
      </w:pPr>
    </w:p>
    <w:p w14:paraId="375B42F4" w14:textId="4B4478E1" w:rsidR="006E3247" w:rsidRDefault="006E3247" w:rsidP="00984DC0">
      <w:pPr>
        <w:jc w:val="both"/>
        <w:rPr>
          <w:rFonts w:ascii="Calibri" w:hAnsi="Calibri" w:cs="Calibri"/>
          <w:color w:val="808080" w:themeColor="background1" w:themeShade="80"/>
          <w:sz w:val="22"/>
          <w:szCs w:val="22"/>
        </w:rPr>
      </w:pPr>
    </w:p>
    <w:p w14:paraId="2752FA5F" w14:textId="71CACF4E" w:rsidR="00455681" w:rsidRDefault="004663AD" w:rsidP="00455681">
      <w:pPr>
        <w:jc w:val="both"/>
        <w:rPr>
          <w:rFonts w:ascii="Calibri" w:hAnsi="Calibri" w:cs="Calibri"/>
          <w:color w:val="808080" w:themeColor="background1" w:themeShade="80"/>
          <w:sz w:val="22"/>
          <w:szCs w:val="22"/>
        </w:rPr>
      </w:pPr>
      <w:r>
        <w:rPr>
          <w:noProof/>
          <w:lang w:eastAsia="en-GB"/>
        </w:rPr>
        <mc:AlternateContent>
          <mc:Choice Requires="wps">
            <w:drawing>
              <wp:anchor distT="0" distB="0" distL="114300" distR="114300" simplePos="0" relativeHeight="251686912" behindDoc="0" locked="0" layoutInCell="1" allowOverlap="1" wp14:anchorId="34B6A50E" wp14:editId="55097D13">
                <wp:simplePos x="0" y="0"/>
                <wp:positionH relativeFrom="column">
                  <wp:posOffset>1520416</wp:posOffset>
                </wp:positionH>
                <wp:positionV relativeFrom="paragraph">
                  <wp:posOffset>46971</wp:posOffset>
                </wp:positionV>
                <wp:extent cx="0" cy="851587"/>
                <wp:effectExtent l="0" t="0" r="0" b="0"/>
                <wp:wrapNone/>
                <wp:docPr id="1058" name="Straight Arrow Connector 1058"/>
                <wp:cNvGraphicFramePr/>
                <a:graphic xmlns:a="http://schemas.openxmlformats.org/drawingml/2006/main">
                  <a:graphicData uri="http://schemas.microsoft.com/office/word/2010/wordprocessingShape">
                    <wps:wsp>
                      <wps:cNvCnPr/>
                      <wps:spPr>
                        <a:xfrm>
                          <a:off x="0" y="0"/>
                          <a:ext cx="0" cy="85158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37C58EC" id="Straight Arrow Connector 1058" o:spid="_x0000_s1026" type="#_x0000_t32" style="position:absolute;margin-left:119.7pt;margin-top:3.7pt;width:0;height:67.0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" strokecolor="#5b9bd5 [3204]" strokeweight=".5pt">
                <v:stroke endarrow="block" joinstyle="miter"/>
              </v:shape>
            </w:pict>
          </mc:Fallback>
        </mc:AlternateContent>
      </w:r>
    </w:p>
    <w:p w14:paraId="6B09CD73" w14:textId="30E78478" w:rsidR="004663AD" w:rsidRDefault="004663AD" w:rsidP="00455681">
      <w:pPr>
        <w:jc w:val="both"/>
        <w:rPr>
          <w:rFonts w:ascii="Calibri" w:hAnsi="Calibri" w:cs="Calibri"/>
          <w:color w:val="808080" w:themeColor="background1" w:themeShade="80"/>
          <w:sz w:val="22"/>
          <w:szCs w:val="22"/>
        </w:rPr>
      </w:pPr>
    </w:p>
    <w:p w14:paraId="274C28F0" w14:textId="4A2DFB9A" w:rsidR="004663AD" w:rsidRDefault="004663AD" w:rsidP="00455681">
      <w:pPr>
        <w:jc w:val="both"/>
        <w:rPr>
          <w:rFonts w:ascii="Calibri" w:hAnsi="Calibri" w:cs="Calibri"/>
          <w:color w:val="808080" w:themeColor="background1" w:themeShade="80"/>
          <w:sz w:val="22"/>
          <w:szCs w:val="22"/>
        </w:rPr>
      </w:pPr>
    </w:p>
    <w:p w14:paraId="223DEB9A" w14:textId="3C84460B" w:rsidR="004663AD" w:rsidRDefault="004663AD" w:rsidP="00455681">
      <w:pPr>
        <w:jc w:val="both"/>
        <w:rPr>
          <w:rFonts w:ascii="Calibri" w:hAnsi="Calibri" w:cs="Calibri"/>
          <w:color w:val="808080" w:themeColor="background1" w:themeShade="80"/>
          <w:sz w:val="22"/>
          <w:szCs w:val="22"/>
        </w:rPr>
      </w:pPr>
    </w:p>
    <w:p w14:paraId="397FD855" w14:textId="35856B16" w:rsidR="004663AD" w:rsidRDefault="004663AD" w:rsidP="00455681">
      <w:pPr>
        <w:jc w:val="both"/>
        <w:rPr>
          <w:rFonts w:ascii="Calibri" w:hAnsi="Calibri" w:cs="Calibri"/>
          <w:color w:val="808080" w:themeColor="background1" w:themeShade="80"/>
          <w:sz w:val="22"/>
          <w:szCs w:val="22"/>
        </w:rPr>
      </w:pPr>
    </w:p>
    <w:p w14:paraId="6D969146" w14:textId="4864311B" w:rsidR="004663AD" w:rsidRDefault="004663AD" w:rsidP="00455681">
      <w:pPr>
        <w:jc w:val="both"/>
        <w:rPr>
          <w:rFonts w:ascii="Calibri" w:hAnsi="Calibri" w:cs="Calibri"/>
          <w:color w:val="808080" w:themeColor="background1" w:themeShade="80"/>
          <w:sz w:val="22"/>
          <w:szCs w:val="22"/>
        </w:rPr>
      </w:pPr>
    </w:p>
    <w:p w14:paraId="51EAE153" w14:textId="0C7FC845" w:rsidR="004663AD" w:rsidRDefault="00FE3D45" w:rsidP="00455681">
      <w:pPr>
        <w:jc w:val="both"/>
        <w:rPr>
          <w:rFonts w:ascii="Calibri" w:hAnsi="Calibri" w:cs="Calibri"/>
          <w:color w:val="808080" w:themeColor="background1" w:themeShade="80"/>
          <w:sz w:val="22"/>
          <w:szCs w:val="22"/>
        </w:rPr>
      </w:pPr>
      <w:r>
        <w:rPr>
          <w:noProof/>
          <w:lang w:eastAsia="en-GB"/>
        </w:rPr>
        <mc:AlternateContent>
          <mc:Choice Requires="wps">
            <w:drawing>
              <wp:anchor distT="0" distB="0" distL="114300" distR="114300" simplePos="0" relativeHeight="251689984" behindDoc="0" locked="0" layoutInCell="1" allowOverlap="1" wp14:anchorId="49E6CAA2" wp14:editId="33E1CBA0">
                <wp:simplePos x="0" y="0"/>
                <wp:positionH relativeFrom="column">
                  <wp:posOffset>1517832</wp:posOffset>
                </wp:positionH>
                <wp:positionV relativeFrom="paragraph">
                  <wp:posOffset>30480</wp:posOffset>
                </wp:positionV>
                <wp:extent cx="0" cy="851587"/>
                <wp:effectExtent l="0" t="0" r="0" b="0"/>
                <wp:wrapNone/>
                <wp:docPr id="1062" name="Straight Arrow Connector 1062"/>
                <wp:cNvGraphicFramePr/>
                <a:graphic xmlns:a="http://schemas.openxmlformats.org/drawingml/2006/main">
                  <a:graphicData uri="http://schemas.microsoft.com/office/word/2010/wordprocessingShape">
                    <wps:wsp>
                      <wps:cNvCnPr/>
                      <wps:spPr>
                        <a:xfrm>
                          <a:off x="0" y="0"/>
                          <a:ext cx="0" cy="85158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0E4BB57" id="Straight Arrow Connector 1062" o:spid="_x0000_s1026" type="#_x0000_t32" style="position:absolute;margin-left:119.5pt;margin-top:2.4pt;width:0;height:67.0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" strokecolor="#5b9bd5 [3204]" strokeweight=".5pt">
                <v:stroke endarrow="block" joinstyle="miter"/>
              </v:shape>
            </w:pict>
          </mc:Fallback>
        </mc:AlternateContent>
      </w:r>
    </w:p>
    <w:p w14:paraId="4B58C01C" w14:textId="26CEDBF9" w:rsidR="004663AD" w:rsidRDefault="004663AD" w:rsidP="00455681">
      <w:pPr>
        <w:jc w:val="both"/>
        <w:rPr>
          <w:rFonts w:ascii="Calibri" w:hAnsi="Calibri" w:cs="Calibri"/>
          <w:color w:val="808080" w:themeColor="background1" w:themeShade="80"/>
          <w:sz w:val="22"/>
          <w:szCs w:val="22"/>
        </w:rPr>
      </w:pPr>
    </w:p>
    <w:p w14:paraId="68D9A537" w14:textId="00A40CF2" w:rsidR="004663AD" w:rsidRDefault="004663AD" w:rsidP="00455681">
      <w:pPr>
        <w:jc w:val="both"/>
        <w:rPr>
          <w:rFonts w:ascii="Calibri" w:hAnsi="Calibri" w:cs="Calibri"/>
          <w:color w:val="808080" w:themeColor="background1" w:themeShade="80"/>
          <w:sz w:val="22"/>
          <w:szCs w:val="22"/>
        </w:rPr>
      </w:pPr>
    </w:p>
    <w:p w14:paraId="30914AD9" w14:textId="50F143BE" w:rsidR="004663AD" w:rsidRDefault="004663AD" w:rsidP="00455681">
      <w:pPr>
        <w:jc w:val="both"/>
        <w:rPr>
          <w:rFonts w:ascii="Calibri" w:hAnsi="Calibri" w:cs="Calibri"/>
          <w:color w:val="808080" w:themeColor="background1" w:themeShade="80"/>
          <w:sz w:val="22"/>
          <w:szCs w:val="22"/>
        </w:rPr>
      </w:pPr>
    </w:p>
    <w:p w14:paraId="52C0BE5B" w14:textId="475381A0" w:rsidR="004663AD" w:rsidRDefault="004663AD" w:rsidP="00455681">
      <w:pPr>
        <w:jc w:val="both"/>
        <w:rPr>
          <w:rFonts w:ascii="Calibri" w:hAnsi="Calibri" w:cs="Calibri"/>
          <w:color w:val="808080" w:themeColor="background1" w:themeShade="80"/>
          <w:sz w:val="22"/>
          <w:szCs w:val="22"/>
        </w:rPr>
      </w:pPr>
    </w:p>
    <w:p w14:paraId="69A0A56C" w14:textId="52F71951" w:rsidR="004663AD" w:rsidRDefault="004663AD" w:rsidP="00455681">
      <w:pPr>
        <w:jc w:val="both"/>
        <w:rPr>
          <w:rFonts w:ascii="Calibri" w:hAnsi="Calibri" w:cs="Calibri"/>
          <w:color w:val="808080" w:themeColor="background1" w:themeShade="80"/>
          <w:sz w:val="22"/>
          <w:szCs w:val="22"/>
        </w:rPr>
      </w:pPr>
    </w:p>
    <w:p w14:paraId="6C9326A5" w14:textId="643E6932" w:rsidR="004663AD" w:rsidRDefault="004663AD" w:rsidP="00455681">
      <w:pPr>
        <w:jc w:val="both"/>
        <w:rPr>
          <w:rFonts w:ascii="Calibri" w:hAnsi="Calibri" w:cs="Calibri"/>
          <w:color w:val="808080" w:themeColor="background1" w:themeShade="80"/>
          <w:sz w:val="22"/>
          <w:szCs w:val="22"/>
        </w:rPr>
      </w:pPr>
    </w:p>
    <w:p w14:paraId="49569AAD" w14:textId="1A78ADD3" w:rsidR="004663AD" w:rsidRDefault="004663AD" w:rsidP="00455681">
      <w:pPr>
        <w:jc w:val="both"/>
        <w:rPr>
          <w:rFonts w:ascii="Calibri" w:hAnsi="Calibri" w:cs="Calibri"/>
          <w:color w:val="808080" w:themeColor="background1" w:themeShade="80"/>
          <w:sz w:val="22"/>
          <w:szCs w:val="22"/>
        </w:rPr>
      </w:pPr>
    </w:p>
    <w:p w14:paraId="22B13C5D" w14:textId="046584EB" w:rsidR="004663AD" w:rsidRDefault="004663AD" w:rsidP="00455681">
      <w:pPr>
        <w:jc w:val="both"/>
        <w:rPr>
          <w:rFonts w:ascii="Calibri" w:hAnsi="Calibri" w:cs="Calibri"/>
          <w:color w:val="808080" w:themeColor="background1" w:themeShade="80"/>
          <w:sz w:val="22"/>
          <w:szCs w:val="22"/>
        </w:rPr>
      </w:pPr>
    </w:p>
    <w:p w14:paraId="45A8E9A3" w14:textId="7C17E9E1" w:rsidR="004663AD" w:rsidRDefault="004663AD" w:rsidP="00455681">
      <w:pPr>
        <w:jc w:val="both"/>
        <w:rPr>
          <w:rFonts w:ascii="Calibri" w:hAnsi="Calibri" w:cs="Calibri"/>
          <w:color w:val="808080" w:themeColor="background1" w:themeShade="80"/>
          <w:sz w:val="22"/>
          <w:szCs w:val="22"/>
        </w:rPr>
      </w:pPr>
    </w:p>
    <w:p w14:paraId="3C744A82" w14:textId="545B3B1C" w:rsidR="004663AD" w:rsidRDefault="004663AD" w:rsidP="00455681">
      <w:pPr>
        <w:jc w:val="both"/>
        <w:rPr>
          <w:rFonts w:ascii="Calibri" w:hAnsi="Calibri" w:cs="Calibri"/>
          <w:color w:val="808080" w:themeColor="background1" w:themeShade="80"/>
          <w:sz w:val="22"/>
          <w:szCs w:val="22"/>
        </w:rPr>
      </w:pPr>
    </w:p>
    <w:p w14:paraId="4AF791DD" w14:textId="77777777" w:rsidR="004663AD" w:rsidRDefault="004663AD" w:rsidP="00455681">
      <w:pPr>
        <w:jc w:val="both"/>
        <w:rPr>
          <w:rFonts w:ascii="Calibri" w:hAnsi="Calibri" w:cs="Calibri"/>
          <w:color w:val="808080" w:themeColor="background1" w:themeShade="80"/>
          <w:sz w:val="22"/>
          <w:szCs w:val="22"/>
        </w:rPr>
      </w:pPr>
    </w:p>
    <w:p w14:paraId="63774731" w14:textId="77777777" w:rsidR="00455681" w:rsidRDefault="00455681" w:rsidP="00455681">
      <w:pPr>
        <w:jc w:val="both"/>
        <w:rPr>
          <w:rFonts w:ascii="Calibri" w:hAnsi="Calibri" w:cs="Calibri"/>
          <w:color w:val="808080" w:themeColor="background1" w:themeShade="80"/>
          <w:sz w:val="22"/>
          <w:szCs w:val="22"/>
        </w:rPr>
      </w:pPr>
    </w:p>
    <w:p w14:paraId="249871C7" w14:textId="71F2FDFC" w:rsidR="00984DC0" w:rsidRPr="00D9152B" w:rsidRDefault="00AC53E7" w:rsidP="00455681">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Figure 2</w:t>
      </w:r>
      <w:r w:rsidR="00455681">
        <w:rPr>
          <w:rFonts w:ascii="Calibri" w:hAnsi="Calibri" w:cs="Calibri"/>
          <w:color w:val="808080" w:themeColor="background1" w:themeShade="80"/>
          <w:sz w:val="22"/>
          <w:szCs w:val="22"/>
        </w:rPr>
        <w:t>.2</w:t>
      </w:r>
      <w:r w:rsidRPr="00D9152B">
        <w:rPr>
          <w:rFonts w:ascii="Calibri" w:hAnsi="Calibri" w:cs="Calibri"/>
          <w:color w:val="808080" w:themeColor="background1" w:themeShade="80"/>
          <w:sz w:val="22"/>
          <w:szCs w:val="22"/>
        </w:rPr>
        <w:t>. Search strategy and inclusion/exclusio</w:t>
      </w:r>
      <w:r w:rsidR="00846426" w:rsidRPr="00D9152B">
        <w:rPr>
          <w:rFonts w:ascii="Calibri" w:hAnsi="Calibri" w:cs="Calibri"/>
          <w:color w:val="808080" w:themeColor="background1" w:themeShade="80"/>
          <w:sz w:val="22"/>
          <w:szCs w:val="22"/>
        </w:rPr>
        <w:t>n criteria for the global h</w:t>
      </w:r>
      <w:r w:rsidRPr="00D9152B">
        <w:rPr>
          <w:rFonts w:ascii="Calibri" w:hAnsi="Calibri" w:cs="Calibri"/>
          <w:color w:val="808080" w:themeColor="background1" w:themeShade="80"/>
          <w:sz w:val="22"/>
          <w:szCs w:val="22"/>
        </w:rPr>
        <w:t>ealth (GH, blue) and World Bank (green) literature reviews.</w:t>
      </w:r>
    </w:p>
    <w:p w14:paraId="1BB80550" w14:textId="20D4A881" w:rsidR="00AC53E7" w:rsidRPr="00D9152B" w:rsidRDefault="00F65E95" w:rsidP="00D5684E">
      <w:pPr>
        <w:pStyle w:val="Heading3"/>
        <w:spacing w:before="100" w:beforeAutospacing="1" w:after="100" w:afterAutospacing="1" w:line="360" w:lineRule="auto"/>
        <w:rPr>
          <w:rFonts w:ascii="Calibri" w:hAnsi="Calibri" w:cs="Calibri"/>
          <w:b/>
          <w:i/>
          <w:color w:val="000000" w:themeColor="text1"/>
          <w:sz w:val="22"/>
          <w:szCs w:val="22"/>
        </w:rPr>
      </w:pPr>
      <w:bookmarkStart w:id="26" w:name="_Toc41505600"/>
      <w:r w:rsidRPr="00D9152B">
        <w:rPr>
          <w:rFonts w:ascii="Calibri" w:hAnsi="Calibri" w:cs="Calibri"/>
          <w:b/>
          <w:i/>
          <w:color w:val="000000" w:themeColor="text1"/>
          <w:sz w:val="22"/>
          <w:szCs w:val="22"/>
        </w:rPr>
        <w:lastRenderedPageBreak/>
        <w:t>2.</w:t>
      </w:r>
      <w:r w:rsidR="00992A29" w:rsidRPr="00D9152B">
        <w:rPr>
          <w:rFonts w:ascii="Calibri" w:hAnsi="Calibri" w:cs="Calibri"/>
          <w:b/>
          <w:i/>
          <w:color w:val="000000" w:themeColor="text1"/>
          <w:sz w:val="22"/>
          <w:szCs w:val="22"/>
        </w:rPr>
        <w:t>3.</w:t>
      </w:r>
      <w:r w:rsidR="0009749C" w:rsidRPr="00D9152B">
        <w:rPr>
          <w:rFonts w:ascii="Calibri" w:hAnsi="Calibri" w:cs="Calibri"/>
          <w:b/>
          <w:i/>
          <w:color w:val="000000" w:themeColor="text1"/>
          <w:sz w:val="22"/>
          <w:szCs w:val="22"/>
        </w:rPr>
        <w:t>D</w:t>
      </w:r>
      <w:r w:rsidR="00DF52DF" w:rsidRPr="00D9152B">
        <w:rPr>
          <w:rFonts w:ascii="Calibri" w:hAnsi="Calibri" w:cs="Calibri"/>
          <w:b/>
          <w:i/>
          <w:color w:val="000000" w:themeColor="text1"/>
          <w:sz w:val="22"/>
          <w:szCs w:val="22"/>
        </w:rPr>
        <w:t>.</w:t>
      </w:r>
      <w:r w:rsidR="003B171F" w:rsidRPr="00D9152B">
        <w:rPr>
          <w:rFonts w:ascii="Calibri" w:hAnsi="Calibri" w:cs="Calibri"/>
          <w:b/>
          <w:i/>
          <w:color w:val="000000" w:themeColor="text1"/>
          <w:sz w:val="22"/>
          <w:szCs w:val="22"/>
        </w:rPr>
        <w:t xml:space="preserve"> </w:t>
      </w:r>
      <w:r w:rsidR="00AC53E7" w:rsidRPr="00D9152B">
        <w:rPr>
          <w:rFonts w:ascii="Calibri" w:hAnsi="Calibri" w:cs="Calibri"/>
          <w:b/>
          <w:i/>
          <w:color w:val="000000" w:themeColor="text1"/>
          <w:sz w:val="22"/>
          <w:szCs w:val="22"/>
        </w:rPr>
        <w:t xml:space="preserve">Archival </w:t>
      </w:r>
      <w:r w:rsidRPr="00D9152B">
        <w:rPr>
          <w:rFonts w:ascii="Calibri" w:hAnsi="Calibri" w:cs="Calibri"/>
          <w:b/>
          <w:i/>
          <w:color w:val="000000" w:themeColor="text1"/>
          <w:sz w:val="22"/>
          <w:szCs w:val="22"/>
        </w:rPr>
        <w:t>research and targeted oral histories</w:t>
      </w:r>
      <w:bookmarkEnd w:id="26"/>
    </w:p>
    <w:p w14:paraId="2DF5D216" w14:textId="3113496C" w:rsidR="00F65E95"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In contrast to the literature review, which aimed to understand the prevailing OCP success story and how it developed over time, archival research was primarily used to unpack the OCP’s operational realities. </w:t>
      </w:r>
      <w:r w:rsidR="00332133" w:rsidRPr="00D9152B">
        <w:rPr>
          <w:rFonts w:ascii="Calibri" w:hAnsi="Calibri" w:cs="Calibri"/>
          <w:sz w:val="22"/>
          <w:szCs w:val="22"/>
        </w:rPr>
        <w:t>Six</w:t>
      </w:r>
      <w:r w:rsidRPr="00D9152B">
        <w:rPr>
          <w:rFonts w:ascii="Calibri" w:hAnsi="Calibri" w:cs="Calibri"/>
          <w:sz w:val="22"/>
          <w:szCs w:val="22"/>
        </w:rPr>
        <w:t xml:space="preserve"> archives were consulted. These included the archives of the World Bank (Washington D</w:t>
      </w:r>
      <w:r w:rsidR="005F0ABB" w:rsidRPr="00D9152B">
        <w:rPr>
          <w:rFonts w:ascii="Calibri" w:hAnsi="Calibri" w:cs="Calibri"/>
          <w:sz w:val="22"/>
          <w:szCs w:val="22"/>
        </w:rPr>
        <w:t>C), World Health Organization (</w:t>
      </w:r>
      <w:r w:rsidR="00332133" w:rsidRPr="00D9152B">
        <w:rPr>
          <w:rFonts w:ascii="Calibri" w:hAnsi="Calibri" w:cs="Calibri"/>
          <w:sz w:val="22"/>
          <w:szCs w:val="22"/>
        </w:rPr>
        <w:t xml:space="preserve">WHO, </w:t>
      </w:r>
      <w:r w:rsidR="005F0ABB" w:rsidRPr="00D9152B">
        <w:rPr>
          <w:rFonts w:ascii="Calibri" w:hAnsi="Calibri" w:cs="Calibri"/>
          <w:sz w:val="22"/>
          <w:szCs w:val="22"/>
        </w:rPr>
        <w:t>h</w:t>
      </w:r>
      <w:r w:rsidRPr="00D9152B">
        <w:rPr>
          <w:rFonts w:ascii="Calibri" w:hAnsi="Calibri" w:cs="Calibri"/>
          <w:sz w:val="22"/>
          <w:szCs w:val="22"/>
        </w:rPr>
        <w:t xml:space="preserve">eadquarters, Geneva), </w:t>
      </w:r>
      <w:r w:rsidR="00332133" w:rsidRPr="00D9152B">
        <w:rPr>
          <w:rFonts w:ascii="Calibri" w:hAnsi="Calibri" w:cs="Calibri"/>
          <w:sz w:val="22"/>
          <w:szCs w:val="22"/>
        </w:rPr>
        <w:t>Food and Agriculture Organization</w:t>
      </w:r>
      <w:r w:rsidRPr="00D9152B">
        <w:rPr>
          <w:rFonts w:ascii="Calibri" w:hAnsi="Calibri" w:cs="Calibri"/>
          <w:sz w:val="22"/>
          <w:szCs w:val="22"/>
        </w:rPr>
        <w:t xml:space="preserve"> (</w:t>
      </w:r>
      <w:r w:rsidR="00332133" w:rsidRPr="00D9152B">
        <w:rPr>
          <w:rFonts w:ascii="Calibri" w:hAnsi="Calibri" w:cs="Calibri"/>
          <w:sz w:val="22"/>
          <w:szCs w:val="22"/>
        </w:rPr>
        <w:t xml:space="preserve">FAO, </w:t>
      </w:r>
      <w:r w:rsidRPr="00D9152B">
        <w:rPr>
          <w:rFonts w:ascii="Calibri" w:hAnsi="Calibri" w:cs="Calibri"/>
          <w:sz w:val="22"/>
          <w:szCs w:val="22"/>
        </w:rPr>
        <w:t>Rome), United Nations (</w:t>
      </w:r>
      <w:r w:rsidR="00332133" w:rsidRPr="00D9152B">
        <w:rPr>
          <w:rFonts w:ascii="Calibri" w:hAnsi="Calibri" w:cs="Calibri"/>
          <w:sz w:val="22"/>
          <w:szCs w:val="22"/>
        </w:rPr>
        <w:t xml:space="preserve">UN, </w:t>
      </w:r>
      <w:r w:rsidR="005F0ABB" w:rsidRPr="00D9152B">
        <w:rPr>
          <w:rFonts w:ascii="Calibri" w:hAnsi="Calibri" w:cs="Calibri"/>
          <w:sz w:val="22"/>
          <w:szCs w:val="22"/>
        </w:rPr>
        <w:t>New York</w:t>
      </w:r>
      <w:r w:rsidRPr="00D9152B">
        <w:rPr>
          <w:rFonts w:ascii="Calibri" w:hAnsi="Calibri" w:cs="Calibri"/>
          <w:sz w:val="22"/>
          <w:szCs w:val="22"/>
        </w:rPr>
        <w:t>), United Kingdom (National Archives-Kew)</w:t>
      </w:r>
      <w:r w:rsidR="00332133" w:rsidRPr="00D9152B">
        <w:rPr>
          <w:rFonts w:ascii="Calibri" w:hAnsi="Calibri" w:cs="Calibri"/>
          <w:sz w:val="22"/>
          <w:szCs w:val="22"/>
        </w:rPr>
        <w:t>, and Wellcome Trust (London)</w:t>
      </w:r>
      <w:r w:rsidRPr="00D9152B">
        <w:rPr>
          <w:rFonts w:ascii="Calibri" w:hAnsi="Calibri" w:cs="Calibri"/>
          <w:sz w:val="22"/>
          <w:szCs w:val="22"/>
        </w:rPr>
        <w:t>. Appendix I</w:t>
      </w:r>
      <w:r w:rsidR="006C21A0">
        <w:rPr>
          <w:rFonts w:ascii="Calibri" w:hAnsi="Calibri" w:cs="Calibri"/>
          <w:sz w:val="22"/>
          <w:szCs w:val="22"/>
        </w:rPr>
        <w:t>II</w:t>
      </w:r>
      <w:r w:rsidRPr="00D9152B">
        <w:rPr>
          <w:rFonts w:ascii="Calibri" w:hAnsi="Calibri" w:cs="Calibri"/>
          <w:sz w:val="22"/>
          <w:szCs w:val="22"/>
        </w:rPr>
        <w:t xml:space="preserve"> </w:t>
      </w:r>
      <w:r w:rsidR="000A2AC0" w:rsidRPr="00D9152B">
        <w:rPr>
          <w:rFonts w:ascii="Calibri" w:hAnsi="Calibri" w:cs="Calibri"/>
          <w:sz w:val="22"/>
          <w:szCs w:val="22"/>
        </w:rPr>
        <w:t>lists</w:t>
      </w:r>
      <w:r w:rsidRPr="00D9152B">
        <w:rPr>
          <w:rFonts w:ascii="Calibri" w:hAnsi="Calibri" w:cs="Calibri"/>
          <w:sz w:val="22"/>
          <w:szCs w:val="22"/>
        </w:rPr>
        <w:t xml:space="preserve"> the folders </w:t>
      </w:r>
      <w:r w:rsidR="000A2AC0" w:rsidRPr="00D9152B">
        <w:rPr>
          <w:rFonts w:ascii="Calibri" w:hAnsi="Calibri" w:cs="Calibri"/>
          <w:sz w:val="22"/>
          <w:szCs w:val="22"/>
        </w:rPr>
        <w:t>cited</w:t>
      </w:r>
      <w:r w:rsidR="00F65E95" w:rsidRPr="00D9152B">
        <w:rPr>
          <w:rFonts w:ascii="Calibri" w:hAnsi="Calibri" w:cs="Calibri"/>
          <w:sz w:val="22"/>
          <w:szCs w:val="22"/>
        </w:rPr>
        <w:t xml:space="preserve"> from</w:t>
      </w:r>
      <w:r w:rsidRPr="00D9152B">
        <w:rPr>
          <w:rFonts w:ascii="Calibri" w:hAnsi="Calibri" w:cs="Calibri"/>
          <w:sz w:val="22"/>
          <w:szCs w:val="22"/>
        </w:rPr>
        <w:t xml:space="preserve"> each location</w:t>
      </w:r>
      <w:r w:rsidR="005F0ABB" w:rsidRPr="00D9152B">
        <w:rPr>
          <w:rFonts w:ascii="Calibri" w:hAnsi="Calibri" w:cs="Calibri"/>
          <w:sz w:val="22"/>
          <w:szCs w:val="22"/>
        </w:rPr>
        <w:t>, and the abbreviations used in footnotes for each archival collection</w:t>
      </w:r>
      <w:r w:rsidRPr="00D9152B">
        <w:rPr>
          <w:rFonts w:ascii="Calibri" w:hAnsi="Calibri" w:cs="Calibri"/>
          <w:sz w:val="22"/>
          <w:szCs w:val="22"/>
        </w:rPr>
        <w:t>. In addition to physical archives visits, records were sought digitally from the National Archives (United States) and the document repository of the United States Agency for International Development (USAID). In total, more than 360 folders related to OCP operations were viewed.</w:t>
      </w:r>
    </w:p>
    <w:p w14:paraId="1B12CCA3" w14:textId="37D3A34D" w:rsidR="00F65E95"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These folders include files from 1965 to 2002. However, they are</w:t>
      </w:r>
      <w:r w:rsidR="00F65E95" w:rsidRPr="00D9152B">
        <w:rPr>
          <w:rFonts w:ascii="Calibri" w:hAnsi="Calibri" w:cs="Calibri"/>
          <w:sz w:val="22"/>
          <w:szCs w:val="22"/>
        </w:rPr>
        <w:t xml:space="preserve"> no</w:t>
      </w:r>
      <w:r w:rsidR="00992A29" w:rsidRPr="00D9152B">
        <w:rPr>
          <w:rFonts w:ascii="Calibri" w:hAnsi="Calibri" w:cs="Calibri"/>
          <w:sz w:val="22"/>
          <w:szCs w:val="22"/>
        </w:rPr>
        <w:t>t</w:t>
      </w:r>
      <w:r w:rsidRPr="00D9152B">
        <w:rPr>
          <w:rFonts w:ascii="Calibri" w:hAnsi="Calibri" w:cs="Calibri"/>
          <w:sz w:val="22"/>
          <w:szCs w:val="22"/>
        </w:rPr>
        <w:t xml:space="preserve"> exhaustive of all OCP archived materials, particularly for the World Bank. Due to Access to Information restrictions at the Bank, which limited the number of folders that could be disclosed for each visit and the frequency of visits, archival materials were collected in two phases. First, I visited the Bank in late 2016 to scope a wide variety of folders. These included folders with very little descriptive information available (e.g. ‘Onchocerciasis Control Program files’). I also visited the WHO, UN, and FAO archives, which have less restrictive Access to Information policies, to obtain general programme documents, such as meeting reports, and agency-specific correspondence and notes. During the second phase of archival research, I focused exclusively on the Bank archives. Based on findings during my initial scoping visit, I requested a second set of folders for 2017-2018. I focused on obtaining multiple folders from folder groups that had contained the most relevant information during my previous visit. Additionally, I reques</w:t>
      </w:r>
      <w:r w:rsidR="00F65E95" w:rsidRPr="00D9152B">
        <w:rPr>
          <w:rFonts w:ascii="Calibri" w:hAnsi="Calibri" w:cs="Calibri"/>
          <w:sz w:val="22"/>
          <w:szCs w:val="22"/>
        </w:rPr>
        <w:t>ted items from the</w:t>
      </w:r>
      <w:r w:rsidR="00332133" w:rsidRPr="00D9152B">
        <w:rPr>
          <w:rFonts w:ascii="Calibri" w:hAnsi="Calibri" w:cs="Calibri"/>
          <w:sz w:val="22"/>
          <w:szCs w:val="22"/>
        </w:rPr>
        <w:t xml:space="preserve"> Bank’s</w:t>
      </w:r>
      <w:r w:rsidR="00F65E95" w:rsidRPr="00D9152B">
        <w:rPr>
          <w:rFonts w:ascii="Calibri" w:hAnsi="Calibri" w:cs="Calibri"/>
          <w:sz w:val="22"/>
          <w:szCs w:val="22"/>
        </w:rPr>
        <w:t xml:space="preserve"> Information and Public Affairs (IPA)</w:t>
      </w:r>
      <w:r w:rsidRPr="00D9152B">
        <w:rPr>
          <w:rFonts w:ascii="Calibri" w:hAnsi="Calibri" w:cs="Calibri"/>
          <w:sz w:val="22"/>
          <w:szCs w:val="22"/>
        </w:rPr>
        <w:t xml:space="preserve"> department on onchocerciasis-related pre</w:t>
      </w:r>
      <w:r w:rsidR="00F65E95" w:rsidRPr="00D9152B">
        <w:rPr>
          <w:rFonts w:ascii="Calibri" w:hAnsi="Calibri" w:cs="Calibri"/>
          <w:sz w:val="22"/>
          <w:szCs w:val="22"/>
        </w:rPr>
        <w:t>ss activities and visual media.</w:t>
      </w:r>
    </w:p>
    <w:p w14:paraId="328336F0" w14:textId="4D2C9E55" w:rsidR="00AC53E7"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These folders contained a wide variety of files. As over 3</w:t>
      </w:r>
      <w:r w:rsidR="00332133" w:rsidRPr="00D9152B">
        <w:rPr>
          <w:rFonts w:ascii="Calibri" w:hAnsi="Calibri" w:cs="Calibri"/>
          <w:sz w:val="22"/>
          <w:szCs w:val="22"/>
        </w:rPr>
        <w:t>,</w:t>
      </w:r>
      <w:r w:rsidRPr="00D9152B">
        <w:rPr>
          <w:rFonts w:ascii="Calibri" w:hAnsi="Calibri" w:cs="Calibri"/>
          <w:sz w:val="22"/>
          <w:szCs w:val="22"/>
        </w:rPr>
        <w:t>000 distinct documents were viewed, it is not practical to list each file or categorize the files explicitly by type. At the Bank, files used in the dissertation roughly fall into fifteen categories:</w:t>
      </w:r>
    </w:p>
    <w:p w14:paraId="6EDF5D6A" w14:textId="77777777" w:rsidR="00AC53E7" w:rsidRPr="00D9152B" w:rsidRDefault="00AC53E7" w:rsidP="00846426">
      <w:pPr>
        <w:pStyle w:val="ListParagraph"/>
        <w:numPr>
          <w:ilvl w:val="0"/>
          <w:numId w:val="1"/>
        </w:numPr>
        <w:ind w:left="714" w:hanging="357"/>
        <w:rPr>
          <w:rFonts w:ascii="Calibri" w:hAnsi="Calibri" w:cs="Calibri"/>
          <w:sz w:val="22"/>
          <w:szCs w:val="22"/>
        </w:rPr>
      </w:pPr>
      <w:r w:rsidRPr="00D9152B">
        <w:rPr>
          <w:rFonts w:ascii="Calibri" w:hAnsi="Calibri" w:cs="Calibri"/>
          <w:sz w:val="22"/>
          <w:szCs w:val="22"/>
        </w:rPr>
        <w:lastRenderedPageBreak/>
        <w:t>OCP-related memoranda and intra-office mailings</w:t>
      </w:r>
    </w:p>
    <w:p w14:paraId="0A0FAF9C" w14:textId="31979CBE" w:rsidR="00AC53E7" w:rsidRPr="00D9152B" w:rsidRDefault="00AC53E7" w:rsidP="00846426">
      <w:pPr>
        <w:pStyle w:val="ListParagraph"/>
        <w:numPr>
          <w:ilvl w:val="0"/>
          <w:numId w:val="1"/>
        </w:numPr>
        <w:ind w:left="714" w:hanging="357"/>
        <w:rPr>
          <w:rFonts w:ascii="Calibri" w:hAnsi="Calibri" w:cs="Calibri"/>
          <w:sz w:val="22"/>
          <w:szCs w:val="22"/>
        </w:rPr>
      </w:pPr>
      <w:r w:rsidRPr="00D9152B">
        <w:rPr>
          <w:rFonts w:ascii="Calibri" w:hAnsi="Calibri" w:cs="Calibri"/>
          <w:sz w:val="22"/>
          <w:szCs w:val="22"/>
        </w:rPr>
        <w:t xml:space="preserve">OCP-related correspondence, both </w:t>
      </w:r>
      <w:r w:rsidR="00F65E95" w:rsidRPr="00D9152B">
        <w:rPr>
          <w:rFonts w:ascii="Calibri" w:hAnsi="Calibri" w:cs="Calibri"/>
          <w:sz w:val="22"/>
          <w:szCs w:val="22"/>
        </w:rPr>
        <w:t>inter</w:t>
      </w:r>
      <w:r w:rsidRPr="00D9152B">
        <w:rPr>
          <w:rFonts w:ascii="Calibri" w:hAnsi="Calibri" w:cs="Calibri"/>
          <w:sz w:val="22"/>
          <w:szCs w:val="22"/>
        </w:rPr>
        <w:t>-</w:t>
      </w:r>
      <w:r w:rsidR="00F65E95" w:rsidRPr="00D9152B">
        <w:rPr>
          <w:rFonts w:ascii="Calibri" w:hAnsi="Calibri" w:cs="Calibri"/>
          <w:sz w:val="22"/>
          <w:szCs w:val="22"/>
        </w:rPr>
        <w:t xml:space="preserve">agency </w:t>
      </w:r>
      <w:r w:rsidRPr="00D9152B">
        <w:rPr>
          <w:rFonts w:ascii="Calibri" w:hAnsi="Calibri" w:cs="Calibri"/>
          <w:sz w:val="22"/>
          <w:szCs w:val="22"/>
        </w:rPr>
        <w:t>and between units at the Bank</w:t>
      </w:r>
    </w:p>
    <w:p w14:paraId="16D0B024" w14:textId="52D6E485" w:rsidR="00AC53E7" w:rsidRPr="00D9152B" w:rsidRDefault="00AC53E7" w:rsidP="00846426">
      <w:pPr>
        <w:pStyle w:val="ListParagraph"/>
        <w:numPr>
          <w:ilvl w:val="0"/>
          <w:numId w:val="1"/>
        </w:numPr>
        <w:ind w:left="714" w:hanging="357"/>
        <w:rPr>
          <w:rFonts w:ascii="Calibri" w:hAnsi="Calibri" w:cs="Calibri"/>
          <w:sz w:val="22"/>
          <w:szCs w:val="22"/>
        </w:rPr>
      </w:pPr>
      <w:r w:rsidRPr="00D9152B">
        <w:rPr>
          <w:rFonts w:ascii="Calibri" w:hAnsi="Calibri" w:cs="Calibri"/>
          <w:sz w:val="22"/>
          <w:szCs w:val="22"/>
        </w:rPr>
        <w:t>Reports and draft reports, including evaluations and OCP and Bank-initiated studies</w:t>
      </w:r>
    </w:p>
    <w:p w14:paraId="5F021EF5" w14:textId="74460371" w:rsidR="00AC53E7" w:rsidRPr="00D9152B" w:rsidRDefault="00AC53E7" w:rsidP="00846426">
      <w:pPr>
        <w:pStyle w:val="ListParagraph"/>
        <w:numPr>
          <w:ilvl w:val="0"/>
          <w:numId w:val="1"/>
        </w:numPr>
        <w:ind w:left="714" w:hanging="357"/>
        <w:rPr>
          <w:rFonts w:ascii="Calibri" w:hAnsi="Calibri" w:cs="Calibri"/>
          <w:sz w:val="22"/>
          <w:szCs w:val="22"/>
        </w:rPr>
      </w:pPr>
      <w:r w:rsidRPr="00D9152B">
        <w:rPr>
          <w:rFonts w:ascii="Calibri" w:hAnsi="Calibri" w:cs="Calibri"/>
          <w:sz w:val="22"/>
          <w:szCs w:val="22"/>
        </w:rPr>
        <w:t>Donor’s meeting materials</w:t>
      </w:r>
      <w:r w:rsidR="00F65E95" w:rsidRPr="00D9152B">
        <w:rPr>
          <w:rFonts w:ascii="Calibri" w:hAnsi="Calibri" w:cs="Calibri"/>
          <w:sz w:val="22"/>
          <w:szCs w:val="22"/>
        </w:rPr>
        <w:t>, including hand-written notes</w:t>
      </w:r>
    </w:p>
    <w:p w14:paraId="6F6A7A96" w14:textId="1A9A6D99" w:rsidR="00AC53E7" w:rsidRPr="00D9152B" w:rsidRDefault="00AC53E7" w:rsidP="00846426">
      <w:pPr>
        <w:pStyle w:val="ListParagraph"/>
        <w:numPr>
          <w:ilvl w:val="0"/>
          <w:numId w:val="1"/>
        </w:numPr>
        <w:ind w:left="714" w:hanging="357"/>
        <w:rPr>
          <w:rFonts w:ascii="Calibri" w:hAnsi="Calibri" w:cs="Calibri"/>
          <w:sz w:val="22"/>
          <w:szCs w:val="22"/>
        </w:rPr>
      </w:pPr>
      <w:r w:rsidRPr="00D9152B">
        <w:rPr>
          <w:rFonts w:ascii="Calibri" w:hAnsi="Calibri" w:cs="Calibri"/>
          <w:sz w:val="22"/>
          <w:szCs w:val="22"/>
        </w:rPr>
        <w:t>Committee of Sponsoring Agencies materials</w:t>
      </w:r>
      <w:r w:rsidR="00F65E95" w:rsidRPr="00D9152B">
        <w:rPr>
          <w:rFonts w:ascii="Calibri" w:hAnsi="Calibri" w:cs="Calibri"/>
          <w:sz w:val="22"/>
          <w:szCs w:val="22"/>
        </w:rPr>
        <w:t>, including report drafts and corresponden</w:t>
      </w:r>
      <w:r w:rsidR="005F0ABB" w:rsidRPr="00D9152B">
        <w:rPr>
          <w:rFonts w:ascii="Calibri" w:hAnsi="Calibri" w:cs="Calibri"/>
          <w:sz w:val="22"/>
          <w:szCs w:val="22"/>
        </w:rPr>
        <w:t>c</w:t>
      </w:r>
      <w:r w:rsidR="00F65E95" w:rsidRPr="00D9152B">
        <w:rPr>
          <w:rFonts w:ascii="Calibri" w:hAnsi="Calibri" w:cs="Calibri"/>
          <w:sz w:val="22"/>
          <w:szCs w:val="22"/>
        </w:rPr>
        <w:t>e</w:t>
      </w:r>
    </w:p>
    <w:p w14:paraId="62EDC7AC" w14:textId="77777777" w:rsidR="00AC53E7" w:rsidRPr="00D9152B" w:rsidRDefault="00AC53E7" w:rsidP="00846426">
      <w:pPr>
        <w:pStyle w:val="ListParagraph"/>
        <w:numPr>
          <w:ilvl w:val="0"/>
          <w:numId w:val="1"/>
        </w:numPr>
        <w:ind w:left="714" w:hanging="357"/>
        <w:rPr>
          <w:rFonts w:ascii="Calibri" w:hAnsi="Calibri" w:cs="Calibri"/>
          <w:sz w:val="22"/>
          <w:szCs w:val="22"/>
        </w:rPr>
      </w:pPr>
      <w:r w:rsidRPr="00D9152B">
        <w:rPr>
          <w:rFonts w:ascii="Calibri" w:hAnsi="Calibri" w:cs="Calibri"/>
          <w:sz w:val="22"/>
          <w:szCs w:val="22"/>
        </w:rPr>
        <w:t>Files relating to the Expert Advisory Committee (EAC) of the OCP, particularly the Economic Development Advisory Panel (EDAP)</w:t>
      </w:r>
    </w:p>
    <w:p w14:paraId="57120300" w14:textId="77777777" w:rsidR="00AC53E7" w:rsidRPr="00D9152B" w:rsidRDefault="00AC53E7" w:rsidP="00846426">
      <w:pPr>
        <w:pStyle w:val="ListParagraph"/>
        <w:numPr>
          <w:ilvl w:val="0"/>
          <w:numId w:val="1"/>
        </w:numPr>
        <w:ind w:left="714" w:hanging="357"/>
        <w:rPr>
          <w:rFonts w:ascii="Calibri" w:hAnsi="Calibri" w:cs="Calibri"/>
          <w:sz w:val="22"/>
          <w:szCs w:val="22"/>
        </w:rPr>
      </w:pPr>
      <w:r w:rsidRPr="00D9152B">
        <w:rPr>
          <w:rFonts w:ascii="Calibri" w:hAnsi="Calibri" w:cs="Calibri"/>
          <w:sz w:val="22"/>
          <w:szCs w:val="22"/>
        </w:rPr>
        <w:t>Devolution documents, including correspondence with countries, country devolution plans, and the Bank’s devolution work programme</w:t>
      </w:r>
    </w:p>
    <w:p w14:paraId="6909F7F4" w14:textId="77777777" w:rsidR="00AC53E7" w:rsidRPr="00D9152B" w:rsidRDefault="00AC53E7" w:rsidP="00846426">
      <w:pPr>
        <w:pStyle w:val="ListParagraph"/>
        <w:numPr>
          <w:ilvl w:val="0"/>
          <w:numId w:val="1"/>
        </w:numPr>
        <w:ind w:left="714" w:hanging="357"/>
        <w:rPr>
          <w:rFonts w:ascii="Calibri" w:hAnsi="Calibri" w:cs="Calibri"/>
          <w:sz w:val="22"/>
          <w:szCs w:val="22"/>
        </w:rPr>
      </w:pPr>
      <w:r w:rsidRPr="00D9152B">
        <w:rPr>
          <w:rFonts w:ascii="Calibri" w:hAnsi="Calibri" w:cs="Calibri"/>
          <w:sz w:val="22"/>
          <w:szCs w:val="22"/>
        </w:rPr>
        <w:t>OCP-related press releases and clippings</w:t>
      </w:r>
    </w:p>
    <w:p w14:paraId="3E7A4D7E" w14:textId="77777777" w:rsidR="00AC53E7" w:rsidRPr="00D9152B" w:rsidRDefault="00AC53E7" w:rsidP="00846426">
      <w:pPr>
        <w:pStyle w:val="ListParagraph"/>
        <w:numPr>
          <w:ilvl w:val="0"/>
          <w:numId w:val="1"/>
        </w:numPr>
        <w:ind w:left="714" w:hanging="357"/>
        <w:rPr>
          <w:rFonts w:ascii="Calibri" w:hAnsi="Calibri" w:cs="Calibri"/>
          <w:sz w:val="22"/>
          <w:szCs w:val="22"/>
        </w:rPr>
      </w:pPr>
      <w:r w:rsidRPr="00D9152B">
        <w:rPr>
          <w:rFonts w:ascii="Calibri" w:hAnsi="Calibri" w:cs="Calibri"/>
          <w:sz w:val="22"/>
          <w:szCs w:val="22"/>
        </w:rPr>
        <w:t>OCP-related audio-visual files (video, digitized) and photos (including photo negatives)</w:t>
      </w:r>
    </w:p>
    <w:p w14:paraId="74FBAC4B" w14:textId="77777777" w:rsidR="00AC53E7" w:rsidRPr="00D9152B" w:rsidRDefault="00AC53E7" w:rsidP="00846426">
      <w:pPr>
        <w:pStyle w:val="ListParagraph"/>
        <w:numPr>
          <w:ilvl w:val="0"/>
          <w:numId w:val="1"/>
        </w:numPr>
        <w:ind w:left="714" w:hanging="357"/>
        <w:rPr>
          <w:rFonts w:ascii="Calibri" w:hAnsi="Calibri" w:cs="Calibri"/>
          <w:sz w:val="22"/>
          <w:szCs w:val="22"/>
        </w:rPr>
      </w:pPr>
      <w:r w:rsidRPr="00D9152B">
        <w:rPr>
          <w:rFonts w:ascii="Calibri" w:hAnsi="Calibri" w:cs="Calibri"/>
          <w:sz w:val="22"/>
          <w:szCs w:val="22"/>
        </w:rPr>
        <w:t>Budgetary documents, including biannual Plan of Action and Budgets (PABs)</w:t>
      </w:r>
    </w:p>
    <w:p w14:paraId="760DAB0F" w14:textId="77777777" w:rsidR="00AC53E7" w:rsidRPr="00D9152B" w:rsidRDefault="00AC53E7" w:rsidP="00846426">
      <w:pPr>
        <w:pStyle w:val="ListParagraph"/>
        <w:numPr>
          <w:ilvl w:val="0"/>
          <w:numId w:val="1"/>
        </w:numPr>
        <w:ind w:left="714" w:hanging="357"/>
        <w:rPr>
          <w:rFonts w:ascii="Calibri" w:hAnsi="Calibri" w:cs="Calibri"/>
          <w:sz w:val="22"/>
          <w:szCs w:val="22"/>
        </w:rPr>
      </w:pPr>
      <w:r w:rsidRPr="00D9152B">
        <w:rPr>
          <w:rFonts w:ascii="Calibri" w:hAnsi="Calibri" w:cs="Calibri"/>
          <w:sz w:val="22"/>
          <w:szCs w:val="22"/>
        </w:rPr>
        <w:t>Legal documents, relating to the Onchocerciasis Fund</w:t>
      </w:r>
    </w:p>
    <w:p w14:paraId="05685B5C" w14:textId="71773908" w:rsidR="00AC53E7" w:rsidRPr="00D9152B" w:rsidRDefault="00AC53E7" w:rsidP="00846426">
      <w:pPr>
        <w:pStyle w:val="ListParagraph"/>
        <w:numPr>
          <w:ilvl w:val="0"/>
          <w:numId w:val="1"/>
        </w:numPr>
        <w:ind w:left="714" w:hanging="357"/>
        <w:rPr>
          <w:rFonts w:ascii="Calibri" w:hAnsi="Calibri" w:cs="Calibri"/>
          <w:sz w:val="22"/>
          <w:szCs w:val="22"/>
        </w:rPr>
      </w:pPr>
      <w:r w:rsidRPr="00D9152B">
        <w:rPr>
          <w:rFonts w:ascii="Calibri" w:hAnsi="Calibri" w:cs="Calibri"/>
          <w:sz w:val="22"/>
          <w:szCs w:val="22"/>
        </w:rPr>
        <w:t xml:space="preserve">Proposals for Bank involvement in and funding of </w:t>
      </w:r>
      <w:r w:rsidR="005F0ABB" w:rsidRPr="00D9152B">
        <w:rPr>
          <w:rFonts w:ascii="Calibri" w:hAnsi="Calibri" w:cs="Calibri"/>
          <w:sz w:val="22"/>
          <w:szCs w:val="22"/>
        </w:rPr>
        <w:t>onchocerciasis</w:t>
      </w:r>
      <w:r w:rsidRPr="00D9152B">
        <w:rPr>
          <w:rFonts w:ascii="Calibri" w:hAnsi="Calibri" w:cs="Calibri"/>
          <w:sz w:val="22"/>
          <w:szCs w:val="22"/>
        </w:rPr>
        <w:t xml:space="preserve">-related activities, including </w:t>
      </w:r>
      <w:r w:rsidR="00332133" w:rsidRPr="00D9152B">
        <w:rPr>
          <w:rFonts w:ascii="Calibri" w:hAnsi="Calibri" w:cs="Calibri"/>
          <w:sz w:val="22"/>
          <w:szCs w:val="22"/>
        </w:rPr>
        <w:t>the African Programme for Onchocerciasis Control (APOC)</w:t>
      </w:r>
    </w:p>
    <w:p w14:paraId="0F85841C" w14:textId="77777777" w:rsidR="00AC53E7" w:rsidRPr="00D9152B" w:rsidRDefault="00AC53E7" w:rsidP="00846426">
      <w:pPr>
        <w:pStyle w:val="ListParagraph"/>
        <w:numPr>
          <w:ilvl w:val="0"/>
          <w:numId w:val="1"/>
        </w:numPr>
        <w:ind w:left="714" w:hanging="357"/>
        <w:rPr>
          <w:rFonts w:ascii="Calibri" w:hAnsi="Calibri" w:cs="Calibri"/>
          <w:sz w:val="22"/>
          <w:szCs w:val="22"/>
        </w:rPr>
      </w:pPr>
      <w:r w:rsidRPr="00D9152B">
        <w:rPr>
          <w:rFonts w:ascii="Calibri" w:hAnsi="Calibri" w:cs="Calibri"/>
          <w:sz w:val="22"/>
          <w:szCs w:val="22"/>
        </w:rPr>
        <w:t>Chemotherapy project documents</w:t>
      </w:r>
    </w:p>
    <w:p w14:paraId="1029D5AE" w14:textId="77777777" w:rsidR="00AC53E7" w:rsidRPr="00D9152B" w:rsidRDefault="00AC53E7" w:rsidP="00846426">
      <w:pPr>
        <w:pStyle w:val="ListParagraph"/>
        <w:numPr>
          <w:ilvl w:val="0"/>
          <w:numId w:val="1"/>
        </w:numPr>
        <w:ind w:left="714" w:hanging="357"/>
        <w:rPr>
          <w:rFonts w:ascii="Calibri" w:hAnsi="Calibri" w:cs="Calibri"/>
          <w:sz w:val="22"/>
          <w:szCs w:val="22"/>
        </w:rPr>
      </w:pPr>
      <w:r w:rsidRPr="00D9152B">
        <w:rPr>
          <w:rFonts w:ascii="Calibri" w:hAnsi="Calibri" w:cs="Calibri"/>
          <w:sz w:val="22"/>
          <w:szCs w:val="22"/>
        </w:rPr>
        <w:t>Joint Coordinating Committee (JCC)/Joint Program Committee (JPC) files</w:t>
      </w:r>
    </w:p>
    <w:p w14:paraId="3B8626C0" w14:textId="619C36E4" w:rsidR="00846426" w:rsidRPr="00D9152B" w:rsidRDefault="00AC53E7" w:rsidP="00846426">
      <w:pPr>
        <w:pStyle w:val="ListParagraph"/>
        <w:numPr>
          <w:ilvl w:val="0"/>
          <w:numId w:val="1"/>
        </w:numPr>
        <w:ind w:left="714" w:hanging="357"/>
        <w:rPr>
          <w:rFonts w:ascii="Calibri" w:hAnsi="Calibri" w:cs="Calibri"/>
          <w:sz w:val="22"/>
          <w:szCs w:val="22"/>
        </w:rPr>
      </w:pPr>
      <w:r w:rsidRPr="00D9152B">
        <w:rPr>
          <w:rFonts w:ascii="Calibri" w:hAnsi="Calibri" w:cs="Calibri"/>
          <w:sz w:val="22"/>
          <w:szCs w:val="22"/>
        </w:rPr>
        <w:t>National Onchocerciasis Committee (NOC) files</w:t>
      </w:r>
    </w:p>
    <w:p w14:paraId="3F24892D" w14:textId="1F4473BA" w:rsidR="00F65E95" w:rsidRPr="00D9152B" w:rsidRDefault="00F65E95" w:rsidP="00D5684E">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The most useful documents were often the Bank internal memoranda. These were scattered throughout the folders, and provide information about the Bank’s perspective on its role in OCP operations, as well as its candid dealings with controversies.</w:t>
      </w:r>
    </w:p>
    <w:p w14:paraId="279881A5" w14:textId="0DFCD470" w:rsidR="00AC53E7"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At the WHO archives and library, files viewed were primarily related to the partnership between sponsoring agencies and pharmaceutical companies during the OCP. However, files on media/press interaction, general OCP progress reports, and budgetary documents were also viewed. These included ten general categories of documents:</w:t>
      </w:r>
    </w:p>
    <w:p w14:paraId="764A7518" w14:textId="77777777" w:rsidR="00AC53E7" w:rsidRPr="00D9152B" w:rsidRDefault="00AC53E7" w:rsidP="00846426">
      <w:pPr>
        <w:pStyle w:val="ListParagraph"/>
        <w:numPr>
          <w:ilvl w:val="0"/>
          <w:numId w:val="2"/>
        </w:numPr>
        <w:ind w:left="714" w:hanging="357"/>
        <w:rPr>
          <w:rFonts w:ascii="Calibri" w:hAnsi="Calibri" w:cs="Calibri"/>
          <w:sz w:val="22"/>
          <w:szCs w:val="22"/>
        </w:rPr>
      </w:pPr>
      <w:r w:rsidRPr="00D9152B">
        <w:rPr>
          <w:rFonts w:ascii="Calibri" w:hAnsi="Calibri" w:cs="Calibri"/>
          <w:sz w:val="22"/>
          <w:szCs w:val="22"/>
        </w:rPr>
        <w:t>OCP official progress reports</w:t>
      </w:r>
    </w:p>
    <w:p w14:paraId="217B228A" w14:textId="5A714364" w:rsidR="00AC53E7" w:rsidRPr="00D9152B" w:rsidRDefault="00AC53E7" w:rsidP="00846426">
      <w:pPr>
        <w:pStyle w:val="ListParagraph"/>
        <w:numPr>
          <w:ilvl w:val="0"/>
          <w:numId w:val="2"/>
        </w:numPr>
        <w:ind w:left="714" w:hanging="357"/>
        <w:rPr>
          <w:rFonts w:ascii="Calibri" w:hAnsi="Calibri" w:cs="Calibri"/>
          <w:sz w:val="22"/>
          <w:szCs w:val="22"/>
        </w:rPr>
      </w:pPr>
      <w:r w:rsidRPr="00D9152B">
        <w:rPr>
          <w:rFonts w:ascii="Calibri" w:hAnsi="Calibri" w:cs="Calibri"/>
          <w:i/>
          <w:sz w:val="22"/>
          <w:szCs w:val="22"/>
        </w:rPr>
        <w:t xml:space="preserve">World Health </w:t>
      </w:r>
      <w:r w:rsidR="00F65E95" w:rsidRPr="00D9152B">
        <w:rPr>
          <w:rFonts w:ascii="Calibri" w:hAnsi="Calibri" w:cs="Calibri"/>
          <w:sz w:val="22"/>
          <w:szCs w:val="22"/>
        </w:rPr>
        <w:t>magazine (1965-1994) and</w:t>
      </w:r>
      <w:r w:rsidRPr="00D9152B">
        <w:rPr>
          <w:rFonts w:ascii="Calibri" w:hAnsi="Calibri" w:cs="Calibri"/>
          <w:sz w:val="22"/>
          <w:szCs w:val="22"/>
        </w:rPr>
        <w:t xml:space="preserve"> onchocerciasis-related </w:t>
      </w:r>
      <w:r w:rsidR="00F65E95" w:rsidRPr="00D9152B">
        <w:rPr>
          <w:rFonts w:ascii="Calibri" w:hAnsi="Calibri" w:cs="Calibri"/>
          <w:sz w:val="22"/>
          <w:szCs w:val="22"/>
        </w:rPr>
        <w:t xml:space="preserve">publicity </w:t>
      </w:r>
      <w:r w:rsidRPr="00D9152B">
        <w:rPr>
          <w:rFonts w:ascii="Calibri" w:hAnsi="Calibri" w:cs="Calibri"/>
          <w:sz w:val="22"/>
          <w:szCs w:val="22"/>
        </w:rPr>
        <w:t>articles</w:t>
      </w:r>
    </w:p>
    <w:p w14:paraId="0BE8D5B0" w14:textId="18D9C267" w:rsidR="00AC53E7" w:rsidRPr="00D9152B" w:rsidRDefault="00F65E95" w:rsidP="00846426">
      <w:pPr>
        <w:pStyle w:val="ListParagraph"/>
        <w:numPr>
          <w:ilvl w:val="0"/>
          <w:numId w:val="2"/>
        </w:numPr>
        <w:ind w:left="714" w:hanging="357"/>
        <w:rPr>
          <w:rFonts w:ascii="Calibri" w:hAnsi="Calibri" w:cs="Calibri"/>
          <w:sz w:val="22"/>
          <w:szCs w:val="22"/>
        </w:rPr>
      </w:pPr>
      <w:r w:rsidRPr="00D9152B">
        <w:rPr>
          <w:rFonts w:ascii="Calibri" w:hAnsi="Calibri" w:cs="Calibri"/>
          <w:sz w:val="22"/>
          <w:szCs w:val="22"/>
        </w:rPr>
        <w:t>E</w:t>
      </w:r>
      <w:r w:rsidR="009F7334">
        <w:rPr>
          <w:rFonts w:ascii="Calibri" w:hAnsi="Calibri" w:cs="Calibri"/>
          <w:sz w:val="22"/>
          <w:szCs w:val="22"/>
        </w:rPr>
        <w:t>xpert Advisory Committee (EACH)</w:t>
      </w:r>
      <w:r w:rsidR="00AC53E7" w:rsidRPr="00D9152B">
        <w:rPr>
          <w:rFonts w:ascii="Calibri" w:hAnsi="Calibri" w:cs="Calibri"/>
          <w:sz w:val="22"/>
          <w:szCs w:val="22"/>
        </w:rPr>
        <w:t xml:space="preserve"> reports</w:t>
      </w:r>
    </w:p>
    <w:p w14:paraId="7E5A7456" w14:textId="750397B9" w:rsidR="00AC53E7" w:rsidRPr="00D9152B" w:rsidRDefault="00AC53E7" w:rsidP="00846426">
      <w:pPr>
        <w:pStyle w:val="ListParagraph"/>
        <w:numPr>
          <w:ilvl w:val="0"/>
          <w:numId w:val="2"/>
        </w:numPr>
        <w:ind w:left="714" w:hanging="357"/>
        <w:rPr>
          <w:rFonts w:ascii="Calibri" w:hAnsi="Calibri" w:cs="Calibri"/>
          <w:sz w:val="22"/>
          <w:szCs w:val="22"/>
        </w:rPr>
      </w:pPr>
      <w:r w:rsidRPr="00D9152B">
        <w:rPr>
          <w:rFonts w:ascii="Calibri" w:hAnsi="Calibri" w:cs="Calibri"/>
          <w:sz w:val="22"/>
          <w:szCs w:val="22"/>
        </w:rPr>
        <w:t>Correspondence between WHO, OCP</w:t>
      </w:r>
      <w:r w:rsidR="00332133" w:rsidRPr="00D9152B">
        <w:rPr>
          <w:rFonts w:ascii="Calibri" w:hAnsi="Calibri" w:cs="Calibri"/>
          <w:sz w:val="22"/>
          <w:szCs w:val="22"/>
        </w:rPr>
        <w:t>, Special Programme for Research and Training in Tropical Diseases (TDR)</w:t>
      </w:r>
      <w:r w:rsidRPr="00D9152B">
        <w:rPr>
          <w:rFonts w:ascii="Calibri" w:hAnsi="Calibri" w:cs="Calibri"/>
          <w:sz w:val="22"/>
          <w:szCs w:val="22"/>
        </w:rPr>
        <w:t xml:space="preserve">, </w:t>
      </w:r>
      <w:r w:rsidR="00F65E95" w:rsidRPr="00D9152B">
        <w:rPr>
          <w:rFonts w:ascii="Calibri" w:hAnsi="Calibri" w:cs="Calibri"/>
          <w:sz w:val="22"/>
          <w:szCs w:val="22"/>
        </w:rPr>
        <w:t>Bank,</w:t>
      </w:r>
      <w:r w:rsidRPr="00D9152B">
        <w:rPr>
          <w:rFonts w:ascii="Calibri" w:hAnsi="Calibri" w:cs="Calibri"/>
          <w:sz w:val="22"/>
          <w:szCs w:val="22"/>
        </w:rPr>
        <w:t xml:space="preserve"> and other programme partners</w:t>
      </w:r>
    </w:p>
    <w:p w14:paraId="6F2DF84E" w14:textId="77777777" w:rsidR="00AC53E7" w:rsidRPr="00D9152B" w:rsidRDefault="00AC53E7" w:rsidP="00846426">
      <w:pPr>
        <w:pStyle w:val="ListParagraph"/>
        <w:numPr>
          <w:ilvl w:val="0"/>
          <w:numId w:val="2"/>
        </w:numPr>
        <w:ind w:left="714" w:hanging="357"/>
        <w:rPr>
          <w:rFonts w:ascii="Calibri" w:hAnsi="Calibri" w:cs="Calibri"/>
          <w:sz w:val="22"/>
          <w:szCs w:val="22"/>
        </w:rPr>
      </w:pPr>
      <w:r w:rsidRPr="00D9152B">
        <w:rPr>
          <w:rFonts w:ascii="Calibri" w:hAnsi="Calibri" w:cs="Calibri"/>
          <w:sz w:val="22"/>
          <w:szCs w:val="22"/>
        </w:rPr>
        <w:t>Internal WHO notes on OCP management</w:t>
      </w:r>
    </w:p>
    <w:p w14:paraId="519BCC49" w14:textId="77777777" w:rsidR="00AC53E7" w:rsidRPr="00D9152B" w:rsidRDefault="00AC53E7" w:rsidP="00846426">
      <w:pPr>
        <w:pStyle w:val="ListParagraph"/>
        <w:numPr>
          <w:ilvl w:val="0"/>
          <w:numId w:val="2"/>
        </w:numPr>
        <w:ind w:left="714" w:hanging="357"/>
        <w:rPr>
          <w:rFonts w:ascii="Calibri" w:hAnsi="Calibri" w:cs="Calibri"/>
          <w:sz w:val="22"/>
          <w:szCs w:val="22"/>
        </w:rPr>
      </w:pPr>
      <w:r w:rsidRPr="00D9152B">
        <w:rPr>
          <w:rFonts w:ascii="Calibri" w:hAnsi="Calibri" w:cs="Calibri"/>
          <w:sz w:val="22"/>
          <w:szCs w:val="22"/>
        </w:rPr>
        <w:t>Confidentiality agreements with pharmaceutical and research companies</w:t>
      </w:r>
    </w:p>
    <w:p w14:paraId="60F8E169" w14:textId="77777777" w:rsidR="00AC53E7" w:rsidRPr="00D9152B" w:rsidRDefault="00AC53E7" w:rsidP="00846426">
      <w:pPr>
        <w:pStyle w:val="ListParagraph"/>
        <w:numPr>
          <w:ilvl w:val="0"/>
          <w:numId w:val="2"/>
        </w:numPr>
        <w:ind w:left="714" w:hanging="357"/>
        <w:rPr>
          <w:rFonts w:ascii="Calibri" w:hAnsi="Calibri" w:cs="Calibri"/>
          <w:sz w:val="22"/>
          <w:szCs w:val="22"/>
        </w:rPr>
      </w:pPr>
      <w:r w:rsidRPr="00D9152B">
        <w:rPr>
          <w:rFonts w:ascii="Calibri" w:hAnsi="Calibri" w:cs="Calibri"/>
          <w:sz w:val="22"/>
          <w:szCs w:val="22"/>
        </w:rPr>
        <w:t>Ethics agreements and chemotherapy population testing protocols</w:t>
      </w:r>
    </w:p>
    <w:p w14:paraId="46EC71A1" w14:textId="6B3988FB" w:rsidR="00AC53E7" w:rsidRPr="00D9152B" w:rsidRDefault="00F65E95" w:rsidP="00846426">
      <w:pPr>
        <w:pStyle w:val="ListParagraph"/>
        <w:numPr>
          <w:ilvl w:val="0"/>
          <w:numId w:val="2"/>
        </w:numPr>
        <w:ind w:left="714" w:hanging="357"/>
        <w:rPr>
          <w:rFonts w:ascii="Calibri" w:hAnsi="Calibri" w:cs="Calibri"/>
          <w:sz w:val="22"/>
          <w:szCs w:val="22"/>
        </w:rPr>
      </w:pPr>
      <w:r w:rsidRPr="00D9152B">
        <w:rPr>
          <w:rFonts w:ascii="Calibri" w:hAnsi="Calibri" w:cs="Calibri"/>
          <w:sz w:val="22"/>
          <w:szCs w:val="22"/>
        </w:rPr>
        <w:t>Ivermectin non-governmental organization (NGO)</w:t>
      </w:r>
      <w:r w:rsidR="00AC53E7" w:rsidRPr="00D9152B">
        <w:rPr>
          <w:rFonts w:ascii="Calibri" w:hAnsi="Calibri" w:cs="Calibri"/>
          <w:sz w:val="22"/>
          <w:szCs w:val="22"/>
        </w:rPr>
        <w:t xml:space="preserve"> coordinating committee meeting documents</w:t>
      </w:r>
    </w:p>
    <w:p w14:paraId="77D00A52" w14:textId="77777777" w:rsidR="00AC53E7" w:rsidRPr="00D9152B" w:rsidRDefault="00AC53E7" w:rsidP="00846426">
      <w:pPr>
        <w:pStyle w:val="ListParagraph"/>
        <w:numPr>
          <w:ilvl w:val="0"/>
          <w:numId w:val="2"/>
        </w:numPr>
        <w:ind w:left="714" w:hanging="357"/>
        <w:rPr>
          <w:rFonts w:ascii="Calibri" w:hAnsi="Calibri" w:cs="Calibri"/>
          <w:sz w:val="22"/>
          <w:szCs w:val="22"/>
        </w:rPr>
      </w:pPr>
      <w:r w:rsidRPr="00D9152B">
        <w:rPr>
          <w:rFonts w:ascii="Calibri" w:hAnsi="Calibri" w:cs="Calibri"/>
          <w:sz w:val="22"/>
          <w:szCs w:val="22"/>
        </w:rPr>
        <w:t>Meeting reports, related to chemotherapy and drug development</w:t>
      </w:r>
    </w:p>
    <w:p w14:paraId="543FDD9A" w14:textId="4FB0EC4B" w:rsidR="00AC53E7" w:rsidRPr="00D9152B" w:rsidRDefault="00AC53E7" w:rsidP="005F0ABB">
      <w:pPr>
        <w:pStyle w:val="ListParagraph"/>
        <w:numPr>
          <w:ilvl w:val="0"/>
          <w:numId w:val="2"/>
        </w:numPr>
        <w:ind w:left="714" w:hanging="357"/>
        <w:rPr>
          <w:rFonts w:ascii="Calibri" w:hAnsi="Calibri" w:cs="Calibri"/>
          <w:sz w:val="22"/>
          <w:szCs w:val="22"/>
        </w:rPr>
      </w:pPr>
      <w:r w:rsidRPr="00D9152B">
        <w:rPr>
          <w:rFonts w:ascii="Calibri" w:hAnsi="Calibri" w:cs="Calibri"/>
          <w:sz w:val="22"/>
          <w:szCs w:val="22"/>
        </w:rPr>
        <w:t>Pharmaceutical company drug reports</w:t>
      </w:r>
    </w:p>
    <w:p w14:paraId="31254819" w14:textId="0CB6F874" w:rsidR="00AC53E7"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lastRenderedPageBreak/>
        <w:t xml:space="preserve">The </w:t>
      </w:r>
      <w:r w:rsidR="00A908CF" w:rsidRPr="00D9152B">
        <w:rPr>
          <w:rFonts w:ascii="Calibri" w:hAnsi="Calibri" w:cs="Calibri"/>
          <w:sz w:val="22"/>
          <w:szCs w:val="22"/>
        </w:rPr>
        <w:t>FA</w:t>
      </w:r>
      <w:r w:rsidR="00846426" w:rsidRPr="00D9152B">
        <w:rPr>
          <w:rFonts w:ascii="Calibri" w:hAnsi="Calibri" w:cs="Calibri"/>
          <w:sz w:val="22"/>
          <w:szCs w:val="22"/>
        </w:rPr>
        <w:t xml:space="preserve">O, </w:t>
      </w:r>
      <w:r w:rsidR="009F7334">
        <w:rPr>
          <w:rFonts w:ascii="Calibri" w:hAnsi="Calibri" w:cs="Calibri"/>
          <w:sz w:val="22"/>
          <w:szCs w:val="22"/>
        </w:rPr>
        <w:t>UN</w:t>
      </w:r>
      <w:r w:rsidR="00846426" w:rsidRPr="00D9152B">
        <w:rPr>
          <w:rFonts w:ascii="Calibri" w:hAnsi="Calibri" w:cs="Calibri"/>
          <w:sz w:val="22"/>
          <w:szCs w:val="22"/>
        </w:rPr>
        <w:t>, and National Archives (Kew, United Kingdom</w:t>
      </w:r>
      <w:r w:rsidR="00A908CF" w:rsidRPr="00D9152B">
        <w:rPr>
          <w:rFonts w:ascii="Calibri" w:hAnsi="Calibri" w:cs="Calibri"/>
          <w:sz w:val="22"/>
          <w:szCs w:val="22"/>
        </w:rPr>
        <w:t xml:space="preserve">) </w:t>
      </w:r>
      <w:r w:rsidRPr="00D9152B">
        <w:rPr>
          <w:rFonts w:ascii="Calibri" w:hAnsi="Calibri" w:cs="Calibri"/>
          <w:sz w:val="22"/>
          <w:szCs w:val="22"/>
        </w:rPr>
        <w:t xml:space="preserve">contained similar mixes of reports, draft reports, correspondence, internal notes or memoranda, and meeting minutes. In addition to the physical archives documents, the World Bank archives digital collections, USAID digital collections, and the WHO photo library </w:t>
      </w:r>
      <w:r w:rsidR="009F7334">
        <w:rPr>
          <w:rFonts w:ascii="Calibri" w:hAnsi="Calibri" w:cs="Calibri"/>
          <w:sz w:val="22"/>
          <w:szCs w:val="22"/>
        </w:rPr>
        <w:t xml:space="preserve">(WHO-PL) </w:t>
      </w:r>
      <w:r w:rsidRPr="00D9152B">
        <w:rPr>
          <w:rFonts w:ascii="Calibri" w:hAnsi="Calibri" w:cs="Calibri"/>
          <w:sz w:val="22"/>
          <w:szCs w:val="22"/>
        </w:rPr>
        <w:t>were searched for relevant documents.</w:t>
      </w:r>
      <w:r w:rsidRPr="00D9152B">
        <w:rPr>
          <w:rStyle w:val="FootnoteReference"/>
          <w:rFonts w:ascii="Calibri" w:hAnsi="Calibri" w:cs="Calibri"/>
          <w:sz w:val="22"/>
          <w:szCs w:val="22"/>
        </w:rPr>
        <w:footnoteReference w:id="112"/>
      </w:r>
      <w:r w:rsidRPr="00D9152B">
        <w:rPr>
          <w:rFonts w:ascii="Calibri" w:hAnsi="Calibri" w:cs="Calibri"/>
          <w:sz w:val="22"/>
          <w:szCs w:val="22"/>
        </w:rPr>
        <w:t xml:space="preserve"> In particular, the Bank’s online collections provide information on McNamara’s launch of the OCP and speeches by Bank presidents that highlight the OCP’s successes. USAID had limited archival collections related to the OCP, but did have some budgetary documents and USAID-led programme evaluations. The WHO photo library provided numerous depictions of the onchocerciasis image, as shown in </w:t>
      </w:r>
      <w:r w:rsidR="000A2AC0" w:rsidRPr="00D9152B">
        <w:rPr>
          <w:rFonts w:ascii="Calibri" w:hAnsi="Calibri" w:cs="Calibri"/>
          <w:sz w:val="22"/>
          <w:szCs w:val="22"/>
        </w:rPr>
        <w:t>Appendix II</w:t>
      </w:r>
      <w:r w:rsidRPr="00D9152B">
        <w:rPr>
          <w:rFonts w:ascii="Calibri" w:hAnsi="Calibri" w:cs="Calibri"/>
          <w:sz w:val="22"/>
          <w:szCs w:val="22"/>
        </w:rPr>
        <w:t>.</w:t>
      </w:r>
      <w:r w:rsidR="005F0ABB" w:rsidRPr="00D9152B">
        <w:rPr>
          <w:rFonts w:ascii="Calibri" w:hAnsi="Calibri" w:cs="Calibri"/>
          <w:sz w:val="22"/>
          <w:szCs w:val="22"/>
        </w:rPr>
        <w:t xml:space="preserve"> </w:t>
      </w:r>
    </w:p>
    <w:p w14:paraId="736AD7E9" w14:textId="6E967F9B" w:rsidR="00A908CF"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In order to reduce bias in depicting the Bank’s success story and </w:t>
      </w:r>
      <w:r w:rsidR="00332133" w:rsidRPr="00D9152B">
        <w:rPr>
          <w:rFonts w:ascii="Calibri" w:hAnsi="Calibri" w:cs="Calibri"/>
          <w:sz w:val="22"/>
          <w:szCs w:val="22"/>
        </w:rPr>
        <w:t>underlying</w:t>
      </w:r>
      <w:r w:rsidRPr="00D9152B">
        <w:rPr>
          <w:rFonts w:ascii="Calibri" w:hAnsi="Calibri" w:cs="Calibri"/>
          <w:sz w:val="22"/>
          <w:szCs w:val="22"/>
        </w:rPr>
        <w:t xml:space="preserve"> narratives, the dissertation initially focused exclusively on archival research. Many key players in the OCP are deceased, particularly those involved in critical decision making during the 1970s and 1980s, such as McNamara and long-term OCP Director E.M. Samba. Interviewing a small number of stakeholders at an early stage may, therefore, have given disproportional influence to their opinions about the OCP’s success. Instead, the majority of the dissertation was written using archival data. When gaps existed in the archival record, particularly in the late 1990s (for which Bank archival sources were not available), targeted interviews were then used to fill these gaps. These interviews took two major forms. Fi</w:t>
      </w:r>
      <w:r w:rsidR="00A908CF" w:rsidRPr="00D9152B">
        <w:rPr>
          <w:rFonts w:ascii="Calibri" w:hAnsi="Calibri" w:cs="Calibri"/>
          <w:sz w:val="22"/>
          <w:szCs w:val="22"/>
        </w:rPr>
        <w:t>rst, all oral history interview transcripts</w:t>
      </w:r>
      <w:r w:rsidRPr="00D9152B">
        <w:rPr>
          <w:rFonts w:ascii="Calibri" w:hAnsi="Calibri" w:cs="Calibri"/>
          <w:sz w:val="22"/>
          <w:szCs w:val="22"/>
        </w:rPr>
        <w:t xml:space="preserve"> conducted by the World Bank of former staff which mentioned onchocerciasis or river blindness were downloaded.</w:t>
      </w:r>
      <w:r w:rsidRPr="00D9152B">
        <w:rPr>
          <w:rStyle w:val="FootnoteReference"/>
          <w:rFonts w:ascii="Calibri" w:hAnsi="Calibri" w:cs="Calibri"/>
          <w:sz w:val="22"/>
          <w:szCs w:val="22"/>
        </w:rPr>
        <w:footnoteReference w:id="113"/>
      </w:r>
      <w:r w:rsidRPr="00D9152B">
        <w:rPr>
          <w:rFonts w:ascii="Calibri" w:hAnsi="Calibri" w:cs="Calibri"/>
          <w:sz w:val="22"/>
          <w:szCs w:val="22"/>
        </w:rPr>
        <w:t xml:space="preserve"> Interviews used in the dissertation include the former Onchocerciasis Unit coordinator (Bruce Benton); Agriculture Development Service head for East Africa (Alexander Storrar); Deputy Chief of the Population, Health and Nutrition department (Bernhard Liese); Vice President of the Africa Region (Edward Jaycox); Senior Counsel, Legal Department (Georges Delaume); Public Affairs Division Chief and Senior Loan Officer for West Africa </w:t>
      </w:r>
      <w:r w:rsidRPr="00D9152B">
        <w:rPr>
          <w:rFonts w:ascii="Calibri" w:hAnsi="Calibri" w:cs="Calibri"/>
          <w:sz w:val="22"/>
          <w:szCs w:val="22"/>
        </w:rPr>
        <w:lastRenderedPageBreak/>
        <w:t>(Thomas Blinkhorn); and Regional Vice President for West Africa (Roger Chaufournier).</w:t>
      </w:r>
      <w:r w:rsidRPr="00D9152B">
        <w:rPr>
          <w:rStyle w:val="FootnoteReference"/>
          <w:rFonts w:ascii="Calibri" w:hAnsi="Calibri" w:cs="Calibri"/>
          <w:sz w:val="22"/>
          <w:szCs w:val="22"/>
        </w:rPr>
        <w:footnoteReference w:id="114"/>
      </w:r>
      <w:r w:rsidRPr="00D9152B">
        <w:rPr>
          <w:rFonts w:ascii="Calibri" w:hAnsi="Calibri" w:cs="Calibri"/>
          <w:sz w:val="22"/>
          <w:szCs w:val="22"/>
        </w:rPr>
        <w:t xml:space="preserve"> These oral history interview transcripts were supplemented by </w:t>
      </w:r>
      <w:r w:rsidR="00AD53D0" w:rsidRPr="00D9152B">
        <w:rPr>
          <w:rFonts w:ascii="Calibri" w:hAnsi="Calibri" w:cs="Calibri"/>
          <w:sz w:val="22"/>
          <w:szCs w:val="22"/>
        </w:rPr>
        <w:t>two</w:t>
      </w:r>
      <w:r w:rsidRPr="00D9152B">
        <w:rPr>
          <w:rFonts w:ascii="Calibri" w:hAnsi="Calibri" w:cs="Calibri"/>
          <w:sz w:val="22"/>
          <w:szCs w:val="22"/>
        </w:rPr>
        <w:t xml:space="preserve"> targeted, semi-structured interview</w:t>
      </w:r>
      <w:r w:rsidR="00AD53D0" w:rsidRPr="00D9152B">
        <w:rPr>
          <w:rFonts w:ascii="Calibri" w:hAnsi="Calibri" w:cs="Calibri"/>
          <w:sz w:val="22"/>
          <w:szCs w:val="22"/>
        </w:rPr>
        <w:t>s with the former onchocerciasis coordinators at the Bank, Jean-Paul Dailly and Bruce Benton</w:t>
      </w:r>
      <w:r w:rsidRPr="00D9152B">
        <w:rPr>
          <w:rFonts w:ascii="Calibri" w:hAnsi="Calibri" w:cs="Calibri"/>
          <w:sz w:val="22"/>
          <w:szCs w:val="22"/>
        </w:rPr>
        <w:t>.</w:t>
      </w:r>
      <w:r w:rsidR="00DD2BEE" w:rsidRPr="00D9152B">
        <w:rPr>
          <w:rFonts w:ascii="Calibri" w:hAnsi="Calibri" w:cs="Calibri"/>
          <w:sz w:val="22"/>
          <w:szCs w:val="22"/>
        </w:rPr>
        <w:t xml:space="preserve"> </w:t>
      </w:r>
      <w:r w:rsidRPr="00D9152B">
        <w:rPr>
          <w:rFonts w:ascii="Calibri" w:hAnsi="Calibri" w:cs="Calibri"/>
          <w:sz w:val="22"/>
          <w:szCs w:val="22"/>
        </w:rPr>
        <w:t>Ethics approval for the interviews was obtained from the Usher Institute for Population Health Sciences and Informatics at the University of Edinburgh in October 2017.</w:t>
      </w:r>
      <w:r w:rsidR="009779E1" w:rsidRPr="00D9152B">
        <w:rPr>
          <w:rStyle w:val="FootnoteReference"/>
          <w:rFonts w:ascii="Calibri" w:hAnsi="Calibri" w:cs="Calibri"/>
        </w:rPr>
        <w:footnoteReference w:id="115"/>
      </w:r>
    </w:p>
    <w:p w14:paraId="3E0A4C27" w14:textId="6518B1D0" w:rsidR="00AC53E7" w:rsidRPr="00D9152B" w:rsidRDefault="00AC53E7" w:rsidP="0004533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A similar archives-focused methodology </w:t>
      </w:r>
      <w:r w:rsidR="005F0ABB" w:rsidRPr="00D9152B">
        <w:rPr>
          <w:rFonts w:ascii="Calibri" w:hAnsi="Calibri" w:cs="Calibri"/>
          <w:sz w:val="22"/>
          <w:szCs w:val="22"/>
        </w:rPr>
        <w:t>has been employed by</w:t>
      </w:r>
      <w:r w:rsidR="00945FC9" w:rsidRPr="00D9152B">
        <w:rPr>
          <w:rFonts w:ascii="Calibri" w:hAnsi="Calibri" w:cs="Calibri"/>
          <w:sz w:val="22"/>
          <w:szCs w:val="22"/>
        </w:rPr>
        <w:t xml:space="preserve"> </w:t>
      </w:r>
      <w:r w:rsidRPr="00D9152B">
        <w:rPr>
          <w:rFonts w:ascii="Calibri" w:hAnsi="Calibri" w:cs="Calibri"/>
          <w:sz w:val="22"/>
          <w:szCs w:val="22"/>
        </w:rPr>
        <w:t>other scholars studying global health governance topics. For instance, Ruger used a combination of Bank archival research, targeted oral history interview transcripts, and publicly available policy documents and reports in her research on the Bank’s global health development agenda.</w:t>
      </w:r>
      <w:r w:rsidRPr="00D9152B">
        <w:rPr>
          <w:rStyle w:val="FootnoteReference"/>
          <w:rFonts w:ascii="Calibri" w:hAnsi="Calibri" w:cs="Calibri"/>
          <w:sz w:val="22"/>
          <w:szCs w:val="22"/>
        </w:rPr>
        <w:footnoteReference w:id="116"/>
      </w:r>
      <w:r w:rsidRPr="00D9152B">
        <w:rPr>
          <w:rFonts w:ascii="Calibri" w:hAnsi="Calibri" w:cs="Calibri"/>
          <w:sz w:val="22"/>
          <w:szCs w:val="22"/>
        </w:rPr>
        <w:t xml:space="preserve"> Ruger’s work </w:t>
      </w:r>
      <w:r w:rsidR="00DD2BEE" w:rsidRPr="00D9152B">
        <w:rPr>
          <w:rFonts w:ascii="Calibri" w:hAnsi="Calibri" w:cs="Calibri"/>
          <w:sz w:val="22"/>
          <w:szCs w:val="22"/>
        </w:rPr>
        <w:t>is summari</w:t>
      </w:r>
      <w:r w:rsidR="00254A9B">
        <w:rPr>
          <w:rFonts w:ascii="Calibri" w:hAnsi="Calibri" w:cs="Calibri"/>
          <w:sz w:val="22"/>
          <w:szCs w:val="22"/>
        </w:rPr>
        <w:t>s</w:t>
      </w:r>
      <w:r w:rsidR="00DD2BEE" w:rsidRPr="00D9152B">
        <w:rPr>
          <w:rFonts w:ascii="Calibri" w:hAnsi="Calibri" w:cs="Calibri"/>
          <w:sz w:val="22"/>
          <w:szCs w:val="22"/>
        </w:rPr>
        <w:t>ed in Chapter 3.</w:t>
      </w:r>
      <w:r w:rsidRPr="00D9152B">
        <w:rPr>
          <w:rFonts w:ascii="Calibri" w:hAnsi="Calibri" w:cs="Calibri"/>
          <w:sz w:val="22"/>
          <w:szCs w:val="22"/>
        </w:rPr>
        <w:t xml:space="preserve"> Birn also relied primarily on archival research and reports for her ground</w:t>
      </w:r>
      <w:r w:rsidR="00945FC9" w:rsidRPr="00D9152B">
        <w:rPr>
          <w:rFonts w:ascii="Calibri" w:hAnsi="Calibri" w:cs="Calibri"/>
          <w:sz w:val="22"/>
          <w:szCs w:val="22"/>
        </w:rPr>
        <w:t>-</w:t>
      </w:r>
      <w:r w:rsidRPr="00D9152B">
        <w:rPr>
          <w:rFonts w:ascii="Calibri" w:hAnsi="Calibri" w:cs="Calibri"/>
          <w:sz w:val="22"/>
          <w:szCs w:val="22"/>
        </w:rPr>
        <w:t>breaking work on global health success.</w:t>
      </w:r>
      <w:r w:rsidRPr="00D9152B">
        <w:rPr>
          <w:rStyle w:val="FootnoteReference"/>
          <w:rFonts w:ascii="Calibri" w:hAnsi="Calibri" w:cs="Calibri"/>
          <w:sz w:val="22"/>
          <w:szCs w:val="22"/>
        </w:rPr>
        <w:footnoteReference w:id="117"/>
      </w:r>
      <w:r w:rsidR="0004533F">
        <w:rPr>
          <w:rFonts w:ascii="Calibri" w:hAnsi="Calibri" w:cs="Calibri"/>
          <w:sz w:val="22"/>
          <w:szCs w:val="22"/>
        </w:rPr>
        <w:t xml:space="preserve"> </w:t>
      </w:r>
      <w:r w:rsidR="0004533F" w:rsidRPr="00D9152B">
        <w:rPr>
          <w:rFonts w:ascii="Calibri" w:hAnsi="Calibri" w:cs="Calibri"/>
          <w:sz w:val="22"/>
          <w:szCs w:val="22"/>
        </w:rPr>
        <w:t>Bhattacharya</w:t>
      </w:r>
      <w:r w:rsidR="0004533F">
        <w:rPr>
          <w:rFonts w:ascii="Calibri" w:hAnsi="Calibri" w:cs="Calibri"/>
          <w:sz w:val="22"/>
          <w:szCs w:val="22"/>
        </w:rPr>
        <w:t xml:space="preserve"> has also relied on archival research at programme sponsoring agencies to distinguish between </w:t>
      </w:r>
      <w:r w:rsidR="0004533F" w:rsidRPr="00D9152B">
        <w:rPr>
          <w:rFonts w:ascii="Calibri" w:hAnsi="Calibri" w:cs="Calibri"/>
          <w:sz w:val="22"/>
          <w:szCs w:val="22"/>
        </w:rPr>
        <w:t>rhetoric and practice at international health organizations.</w:t>
      </w:r>
      <w:r w:rsidR="0004533F" w:rsidRPr="00D9152B">
        <w:rPr>
          <w:rStyle w:val="FootnoteReference"/>
          <w:rFonts w:ascii="Calibri" w:hAnsi="Calibri" w:cs="Calibri"/>
          <w:sz w:val="22"/>
          <w:szCs w:val="22"/>
        </w:rPr>
        <w:footnoteReference w:id="118"/>
      </w:r>
      <w:r w:rsidR="0004533F" w:rsidRPr="00D9152B">
        <w:rPr>
          <w:rFonts w:ascii="Calibri" w:hAnsi="Calibri" w:cs="Calibri"/>
          <w:sz w:val="22"/>
          <w:szCs w:val="22"/>
        </w:rPr>
        <w:t xml:space="preserve"> </w:t>
      </w:r>
    </w:p>
    <w:p w14:paraId="3B08C918" w14:textId="478CF691" w:rsidR="00984DC0" w:rsidRPr="0004533F" w:rsidRDefault="00BE1220" w:rsidP="0004533F">
      <w:pPr>
        <w:pStyle w:val="Heading2"/>
        <w:spacing w:line="360" w:lineRule="auto"/>
        <w:rPr>
          <w:rFonts w:ascii="Calibri" w:hAnsi="Calibri" w:cs="Calibri"/>
          <w:b/>
          <w:color w:val="000000" w:themeColor="text1"/>
          <w:sz w:val="26"/>
          <w:szCs w:val="26"/>
        </w:rPr>
      </w:pPr>
      <w:bookmarkStart w:id="27" w:name="_Toc41505601"/>
      <w:r w:rsidRPr="00D9152B">
        <w:rPr>
          <w:rFonts w:ascii="Calibri" w:hAnsi="Calibri" w:cs="Calibri"/>
          <w:b/>
          <w:color w:val="000000" w:themeColor="text1"/>
          <w:sz w:val="26"/>
          <w:szCs w:val="26"/>
        </w:rPr>
        <w:t>2.</w:t>
      </w:r>
      <w:r w:rsidR="00992A29" w:rsidRPr="00D9152B">
        <w:rPr>
          <w:rFonts w:ascii="Calibri" w:hAnsi="Calibri" w:cs="Calibri"/>
          <w:b/>
          <w:color w:val="000000" w:themeColor="text1"/>
          <w:sz w:val="26"/>
          <w:szCs w:val="26"/>
        </w:rPr>
        <w:t>4</w:t>
      </w:r>
      <w:r w:rsidR="00DF52DF" w:rsidRPr="00D9152B">
        <w:rPr>
          <w:rFonts w:ascii="Calibri" w:hAnsi="Calibri" w:cs="Calibri"/>
          <w:b/>
          <w:color w:val="000000" w:themeColor="text1"/>
          <w:sz w:val="26"/>
          <w:szCs w:val="26"/>
        </w:rPr>
        <w:t>.</w:t>
      </w:r>
      <w:r w:rsidR="003B171F" w:rsidRPr="00D9152B">
        <w:rPr>
          <w:rFonts w:ascii="Calibri" w:hAnsi="Calibri" w:cs="Calibri"/>
          <w:b/>
          <w:color w:val="000000" w:themeColor="text1"/>
          <w:sz w:val="26"/>
          <w:szCs w:val="26"/>
        </w:rPr>
        <w:t xml:space="preserve"> </w:t>
      </w:r>
      <w:r w:rsidRPr="00D9152B">
        <w:rPr>
          <w:rFonts w:ascii="Calibri" w:hAnsi="Calibri" w:cs="Calibri"/>
          <w:b/>
          <w:color w:val="000000" w:themeColor="text1"/>
          <w:sz w:val="26"/>
          <w:szCs w:val="26"/>
        </w:rPr>
        <w:t>Quantitative a</w:t>
      </w:r>
      <w:r w:rsidR="00AC53E7" w:rsidRPr="00D9152B">
        <w:rPr>
          <w:rFonts w:ascii="Calibri" w:hAnsi="Calibri" w:cs="Calibri"/>
          <w:b/>
          <w:color w:val="000000" w:themeColor="text1"/>
          <w:sz w:val="26"/>
          <w:szCs w:val="26"/>
        </w:rPr>
        <w:t xml:space="preserve">nalysis of </w:t>
      </w:r>
      <w:r w:rsidRPr="00D9152B">
        <w:rPr>
          <w:rFonts w:ascii="Calibri" w:hAnsi="Calibri" w:cs="Calibri"/>
          <w:b/>
          <w:color w:val="000000" w:themeColor="text1"/>
          <w:sz w:val="26"/>
          <w:szCs w:val="26"/>
        </w:rPr>
        <w:t>financial flows</w:t>
      </w:r>
      <w:bookmarkEnd w:id="27"/>
    </w:p>
    <w:p w14:paraId="6792CE6E" w14:textId="362BB94C" w:rsidR="00AC53E7" w:rsidRPr="00D9152B" w:rsidRDefault="00AC53E7" w:rsidP="0004533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In addition to the literature review and archival data collection, data on the Bank’s OCP budget and</w:t>
      </w:r>
      <w:r w:rsidR="00BE1220" w:rsidRPr="00D9152B">
        <w:rPr>
          <w:rFonts w:ascii="Calibri" w:hAnsi="Calibri" w:cs="Calibri"/>
          <w:sz w:val="22"/>
          <w:szCs w:val="22"/>
        </w:rPr>
        <w:t xml:space="preserve"> the World Bank’s</w:t>
      </w:r>
      <w:r w:rsidRPr="00D9152B">
        <w:rPr>
          <w:rFonts w:ascii="Calibri" w:hAnsi="Calibri" w:cs="Calibri"/>
          <w:sz w:val="22"/>
          <w:szCs w:val="22"/>
        </w:rPr>
        <w:t xml:space="preserve"> trust fund portfolio for health w</w:t>
      </w:r>
      <w:r w:rsidR="00EB4914">
        <w:rPr>
          <w:rFonts w:ascii="Calibri" w:hAnsi="Calibri" w:cs="Calibri"/>
          <w:sz w:val="22"/>
          <w:szCs w:val="22"/>
        </w:rPr>
        <w:t>ere</w:t>
      </w:r>
      <w:r w:rsidRPr="00D9152B">
        <w:rPr>
          <w:rFonts w:ascii="Calibri" w:hAnsi="Calibri" w:cs="Calibri"/>
          <w:sz w:val="22"/>
          <w:szCs w:val="22"/>
        </w:rPr>
        <w:t xml:space="preserve"> collected and analysed. Th</w:t>
      </w:r>
      <w:r w:rsidR="00EB4914">
        <w:rPr>
          <w:rFonts w:ascii="Calibri" w:hAnsi="Calibri" w:cs="Calibri"/>
          <w:sz w:val="22"/>
          <w:szCs w:val="22"/>
        </w:rPr>
        <w:t>ese</w:t>
      </w:r>
      <w:r w:rsidRPr="00D9152B">
        <w:rPr>
          <w:rFonts w:ascii="Calibri" w:hAnsi="Calibri" w:cs="Calibri"/>
          <w:sz w:val="22"/>
          <w:szCs w:val="22"/>
        </w:rPr>
        <w:t xml:space="preserve"> data </w:t>
      </w:r>
      <w:r w:rsidR="00EB4914">
        <w:rPr>
          <w:rFonts w:ascii="Calibri" w:hAnsi="Calibri" w:cs="Calibri"/>
          <w:sz w:val="22"/>
          <w:szCs w:val="22"/>
        </w:rPr>
        <w:t>are</w:t>
      </w:r>
      <w:r w:rsidR="00EB4914" w:rsidRPr="00D9152B">
        <w:rPr>
          <w:rFonts w:ascii="Calibri" w:hAnsi="Calibri" w:cs="Calibri"/>
          <w:sz w:val="22"/>
          <w:szCs w:val="22"/>
        </w:rPr>
        <w:t xml:space="preserve"> </w:t>
      </w:r>
      <w:r w:rsidRPr="00D9152B">
        <w:rPr>
          <w:rFonts w:ascii="Calibri" w:hAnsi="Calibri" w:cs="Calibri"/>
          <w:sz w:val="22"/>
          <w:szCs w:val="22"/>
        </w:rPr>
        <w:t xml:space="preserve">used to better understand the Bank’s role in financial management of the OCP (Chapter 5), which is a key part of its success narrative. </w:t>
      </w:r>
      <w:r w:rsidR="005F0ABB" w:rsidRPr="00D9152B">
        <w:rPr>
          <w:rFonts w:ascii="Calibri" w:hAnsi="Calibri" w:cs="Calibri"/>
          <w:sz w:val="22"/>
          <w:szCs w:val="22"/>
        </w:rPr>
        <w:t>W</w:t>
      </w:r>
      <w:r w:rsidRPr="00D9152B">
        <w:rPr>
          <w:rFonts w:ascii="Calibri" w:hAnsi="Calibri" w:cs="Calibri"/>
          <w:sz w:val="22"/>
          <w:szCs w:val="22"/>
        </w:rPr>
        <w:t xml:space="preserve">hile a </w:t>
      </w:r>
      <w:r w:rsidRPr="00D9152B">
        <w:rPr>
          <w:rFonts w:ascii="Calibri" w:hAnsi="Calibri" w:cs="Calibri"/>
          <w:sz w:val="22"/>
          <w:szCs w:val="22"/>
        </w:rPr>
        <w:lastRenderedPageBreak/>
        <w:t>few Bank and WHO publications include limited information about the budget and trust fund structure of the OCP,</w:t>
      </w:r>
      <w:r w:rsidRPr="00D9152B">
        <w:rPr>
          <w:rStyle w:val="FootnoteReference"/>
          <w:rFonts w:ascii="Calibri" w:hAnsi="Calibri" w:cs="Calibri"/>
          <w:sz w:val="22"/>
          <w:szCs w:val="22"/>
        </w:rPr>
        <w:footnoteReference w:id="119"/>
      </w:r>
      <w:r w:rsidRPr="00D9152B">
        <w:rPr>
          <w:rFonts w:ascii="Calibri" w:hAnsi="Calibri" w:cs="Calibri"/>
          <w:sz w:val="22"/>
          <w:szCs w:val="22"/>
        </w:rPr>
        <w:t xml:space="preserve"> the Bank’s precise role as fiscal manager and the OCP’s importance to the wider growth of trust funds at the Bank from the 1990s to the present </w:t>
      </w:r>
      <w:r w:rsidR="00992A29" w:rsidRPr="00D9152B">
        <w:rPr>
          <w:rFonts w:ascii="Calibri" w:hAnsi="Calibri" w:cs="Calibri"/>
          <w:sz w:val="22"/>
          <w:szCs w:val="22"/>
        </w:rPr>
        <w:t>have been</w:t>
      </w:r>
      <w:r w:rsidRPr="00D9152B">
        <w:rPr>
          <w:rFonts w:ascii="Calibri" w:hAnsi="Calibri" w:cs="Calibri"/>
          <w:sz w:val="22"/>
          <w:szCs w:val="22"/>
        </w:rPr>
        <w:t xml:space="preserve"> largely neglected.</w:t>
      </w:r>
    </w:p>
    <w:p w14:paraId="47A4B933" w14:textId="05EBC949" w:rsidR="00BE1220" w:rsidRPr="00D9152B" w:rsidRDefault="00AC53E7" w:rsidP="00622466">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quantitative analysis includes three major components. First, data on the OCP budget was pulled from archival records of </w:t>
      </w:r>
      <w:r w:rsidR="00BE1220" w:rsidRPr="00D9152B">
        <w:rPr>
          <w:rFonts w:ascii="Calibri" w:hAnsi="Calibri" w:cs="Calibri"/>
          <w:sz w:val="22"/>
          <w:szCs w:val="22"/>
        </w:rPr>
        <w:t>the Bank, UN, and FAO,</w:t>
      </w:r>
      <w:r w:rsidRPr="00D9152B">
        <w:rPr>
          <w:rFonts w:ascii="Calibri" w:hAnsi="Calibri" w:cs="Calibri"/>
          <w:sz w:val="22"/>
          <w:szCs w:val="22"/>
        </w:rPr>
        <w:t xml:space="preserve"> and programme documents in the WHO library. This data</w:t>
      </w:r>
      <w:r w:rsidR="005F0ABB" w:rsidRPr="00D9152B">
        <w:rPr>
          <w:rFonts w:ascii="Calibri" w:hAnsi="Calibri" w:cs="Calibri"/>
          <w:sz w:val="22"/>
          <w:szCs w:val="22"/>
        </w:rPr>
        <w:t>, which is scattered across archived folders and available intermittently,</w:t>
      </w:r>
      <w:r w:rsidRPr="00D9152B">
        <w:rPr>
          <w:rFonts w:ascii="Calibri" w:hAnsi="Calibri" w:cs="Calibri"/>
          <w:sz w:val="22"/>
          <w:szCs w:val="22"/>
        </w:rPr>
        <w:t xml:space="preserve"> includes information on donor commitments, total commitments, and expenditures in each programmatic area (i.e. vector control, research, administration, etc.) for most years from 1974-2002. Next, official data on onchocerciasis commitments was obtained through the World Bank’s annual reports, semi-annual trust fund reports, and financial portal, World Bank </w:t>
      </w:r>
      <w:r w:rsidR="00BE1220" w:rsidRPr="00D9152B">
        <w:rPr>
          <w:rFonts w:ascii="Calibri" w:hAnsi="Calibri" w:cs="Calibri"/>
          <w:sz w:val="22"/>
          <w:szCs w:val="22"/>
        </w:rPr>
        <w:t xml:space="preserve">Group </w:t>
      </w:r>
      <w:r w:rsidRPr="00D9152B">
        <w:rPr>
          <w:rFonts w:ascii="Calibri" w:hAnsi="Calibri" w:cs="Calibri"/>
          <w:sz w:val="22"/>
          <w:szCs w:val="22"/>
        </w:rPr>
        <w:t>Finances.</w:t>
      </w:r>
      <w:r w:rsidRPr="00D9152B">
        <w:rPr>
          <w:rStyle w:val="FootnoteReference"/>
          <w:rFonts w:ascii="Calibri" w:hAnsi="Calibri" w:cs="Calibri"/>
          <w:sz w:val="22"/>
          <w:szCs w:val="22"/>
        </w:rPr>
        <w:footnoteReference w:id="120"/>
      </w:r>
      <w:r w:rsidRPr="00D9152B">
        <w:rPr>
          <w:rFonts w:ascii="Calibri" w:hAnsi="Calibri" w:cs="Calibri"/>
          <w:sz w:val="22"/>
          <w:szCs w:val="22"/>
        </w:rPr>
        <w:t xml:space="preserve"> This data on the OCP budget and commitments is used to understand how OCP priorities changed over time, and to raise issues of public transparency. Finally, the Onchocerciasis Fund commitments and policies are contextualized within the wider trust fund landscape. Contextualization is accomplished by a novel analysis of the Bank’s health trust fund portfolio, from the 1970s to 2015.</w:t>
      </w:r>
      <w:r w:rsidRPr="00D9152B">
        <w:rPr>
          <w:rStyle w:val="FootnoteReference"/>
          <w:rFonts w:ascii="Calibri" w:hAnsi="Calibri" w:cs="Calibri"/>
          <w:sz w:val="22"/>
          <w:szCs w:val="22"/>
        </w:rPr>
        <w:footnoteReference w:id="121"/>
      </w:r>
      <w:r w:rsidRPr="00D9152B">
        <w:rPr>
          <w:rFonts w:ascii="Calibri" w:hAnsi="Calibri" w:cs="Calibri"/>
          <w:sz w:val="22"/>
          <w:szCs w:val="22"/>
        </w:rPr>
        <w:t xml:space="preserve"> This analysis relies on data on Bank paid-in contributions from the World Bank Finances portal and trust fund contribution data located in the Bank archives.</w:t>
      </w:r>
    </w:p>
    <w:p w14:paraId="393AC192" w14:textId="66E876FB" w:rsidR="00AC53E7"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Together, the financial analysis methodology is based on an understanding that finances can provide a lens into institutional and programmatic decision-making and monitoring. Other governance scholars have used in-depth analyses of financing mechanisms and budgets to understand multilateral institutions’ priority-setting and ability to meet global health goals. In these studies, health programme and/or trust fund </w:t>
      </w:r>
      <w:r w:rsidRPr="00D9152B">
        <w:rPr>
          <w:rFonts w:ascii="Calibri" w:hAnsi="Calibri" w:cs="Calibri"/>
          <w:sz w:val="22"/>
          <w:szCs w:val="22"/>
        </w:rPr>
        <w:lastRenderedPageBreak/>
        <w:t>financial data is often used to complement archival or interview-based (qualitative) research. For instance, Sridhar and Woods used disbursement data from trust funds like the Global Fund to demonstrate trust fund risks, including verticalization and asymmetry with donor or beneficiary priorities.</w:t>
      </w:r>
      <w:r w:rsidRPr="00D9152B">
        <w:rPr>
          <w:rStyle w:val="FootnoteReference"/>
          <w:rFonts w:ascii="Calibri" w:hAnsi="Calibri" w:cs="Calibri"/>
          <w:sz w:val="22"/>
          <w:szCs w:val="22"/>
        </w:rPr>
        <w:footnoteReference w:id="122"/>
      </w:r>
      <w:r w:rsidRPr="00D9152B">
        <w:rPr>
          <w:rFonts w:ascii="Calibri" w:hAnsi="Calibri" w:cs="Calibri"/>
          <w:sz w:val="22"/>
          <w:szCs w:val="22"/>
        </w:rPr>
        <w:t xml:space="preserve"> Winters and Sridhar later used evidence from databases like World Bank Finances to explore how the Bank</w:t>
      </w:r>
      <w:r w:rsidR="00992A29" w:rsidRPr="00D9152B">
        <w:rPr>
          <w:rFonts w:ascii="Calibri" w:hAnsi="Calibri" w:cs="Calibri"/>
          <w:sz w:val="22"/>
          <w:szCs w:val="22"/>
        </w:rPr>
        <w:t>’s</w:t>
      </w:r>
      <w:r w:rsidRPr="00D9152B">
        <w:rPr>
          <w:rFonts w:ascii="Calibri" w:hAnsi="Calibri" w:cs="Calibri"/>
          <w:sz w:val="22"/>
          <w:szCs w:val="22"/>
        </w:rPr>
        <w:t xml:space="preserve"> trust fund model is skewed towards global partnerships and disease-specific programmes.</w:t>
      </w:r>
      <w:r w:rsidRPr="00D9152B">
        <w:rPr>
          <w:rStyle w:val="FootnoteReference"/>
          <w:rFonts w:ascii="Calibri" w:hAnsi="Calibri" w:cs="Calibri"/>
          <w:sz w:val="22"/>
          <w:szCs w:val="22"/>
        </w:rPr>
        <w:footnoteReference w:id="123"/>
      </w:r>
      <w:r w:rsidRPr="00D9152B">
        <w:rPr>
          <w:rFonts w:ascii="Calibri" w:hAnsi="Calibri" w:cs="Calibri"/>
          <w:sz w:val="22"/>
          <w:szCs w:val="22"/>
        </w:rPr>
        <w:t xml:space="preserve"> Reinsberg</w:t>
      </w:r>
      <w:r w:rsidR="00CB7AFF" w:rsidRPr="00D9152B">
        <w:rPr>
          <w:rFonts w:ascii="Calibri" w:hAnsi="Calibri" w:cs="Calibri"/>
          <w:sz w:val="22"/>
          <w:szCs w:val="22"/>
        </w:rPr>
        <w:t xml:space="preserve"> et al.</w:t>
      </w:r>
      <w:r w:rsidRPr="00D9152B">
        <w:rPr>
          <w:rFonts w:ascii="Calibri" w:hAnsi="Calibri" w:cs="Calibri"/>
          <w:sz w:val="22"/>
          <w:szCs w:val="22"/>
        </w:rPr>
        <w:t xml:space="preserve"> and Buse </w:t>
      </w:r>
      <w:r w:rsidR="00B45E5A" w:rsidRPr="00D9152B">
        <w:rPr>
          <w:rFonts w:ascii="Calibri" w:hAnsi="Calibri" w:cs="Calibri"/>
          <w:sz w:val="22"/>
          <w:szCs w:val="22"/>
        </w:rPr>
        <w:t xml:space="preserve">and Walt </w:t>
      </w:r>
      <w:r w:rsidRPr="00D9152B">
        <w:rPr>
          <w:rFonts w:ascii="Calibri" w:hAnsi="Calibri" w:cs="Calibri"/>
          <w:sz w:val="22"/>
          <w:szCs w:val="22"/>
        </w:rPr>
        <w:t>have also analysed financing patterns for multilateral extra-budgetary projects and public-private partnerships, respectively, to explore the implications of private investment in development projects.</w:t>
      </w:r>
      <w:r w:rsidRPr="00D9152B">
        <w:rPr>
          <w:rStyle w:val="FootnoteReference"/>
          <w:rFonts w:ascii="Calibri" w:hAnsi="Calibri" w:cs="Calibri"/>
          <w:sz w:val="22"/>
          <w:szCs w:val="22"/>
        </w:rPr>
        <w:footnoteReference w:id="124"/>
      </w:r>
    </w:p>
    <w:p w14:paraId="6DB31CA6" w14:textId="5BE95D9C" w:rsidR="00AC53E7" w:rsidRPr="00D9152B" w:rsidRDefault="0009749C" w:rsidP="002F22C3">
      <w:pPr>
        <w:pStyle w:val="Heading2"/>
        <w:spacing w:before="100" w:beforeAutospacing="1" w:after="100" w:afterAutospacing="1" w:line="360" w:lineRule="auto"/>
        <w:rPr>
          <w:rFonts w:ascii="Calibri" w:hAnsi="Calibri" w:cs="Calibri"/>
          <w:b/>
          <w:sz w:val="26"/>
          <w:szCs w:val="26"/>
        </w:rPr>
      </w:pPr>
      <w:bookmarkStart w:id="28" w:name="_Toc41505602"/>
      <w:r w:rsidRPr="00D9152B">
        <w:rPr>
          <w:rFonts w:ascii="Calibri" w:hAnsi="Calibri" w:cs="Calibri"/>
          <w:b/>
          <w:sz w:val="26"/>
          <w:szCs w:val="26"/>
        </w:rPr>
        <w:t>2.</w:t>
      </w:r>
      <w:r w:rsidR="00992A29" w:rsidRPr="00D9152B">
        <w:rPr>
          <w:rFonts w:ascii="Calibri" w:hAnsi="Calibri" w:cs="Calibri"/>
          <w:b/>
          <w:sz w:val="26"/>
          <w:szCs w:val="26"/>
        </w:rPr>
        <w:t>5.</w:t>
      </w:r>
      <w:r w:rsidR="002F22C3" w:rsidRPr="00D9152B">
        <w:rPr>
          <w:rFonts w:ascii="Calibri" w:hAnsi="Calibri" w:cs="Calibri"/>
          <w:b/>
          <w:sz w:val="26"/>
          <w:szCs w:val="26"/>
        </w:rPr>
        <w:t xml:space="preserve"> </w:t>
      </w:r>
      <w:r w:rsidR="00AC53E7" w:rsidRPr="00D9152B">
        <w:rPr>
          <w:rFonts w:ascii="Calibri" w:hAnsi="Calibri" w:cs="Calibri"/>
          <w:b/>
          <w:sz w:val="26"/>
          <w:szCs w:val="26"/>
        </w:rPr>
        <w:t xml:space="preserve">Limitations of </w:t>
      </w:r>
      <w:r w:rsidR="003B171F" w:rsidRPr="00D9152B">
        <w:rPr>
          <w:rFonts w:ascii="Calibri" w:hAnsi="Calibri" w:cs="Calibri"/>
          <w:b/>
          <w:sz w:val="26"/>
          <w:szCs w:val="26"/>
        </w:rPr>
        <w:t xml:space="preserve">the </w:t>
      </w:r>
      <w:r w:rsidR="00361A57" w:rsidRPr="00D9152B">
        <w:rPr>
          <w:rFonts w:ascii="Calibri" w:hAnsi="Calibri" w:cs="Calibri"/>
          <w:b/>
          <w:sz w:val="26"/>
          <w:szCs w:val="26"/>
        </w:rPr>
        <w:t>methodological a</w:t>
      </w:r>
      <w:r w:rsidR="00AC53E7" w:rsidRPr="00D9152B">
        <w:rPr>
          <w:rFonts w:ascii="Calibri" w:hAnsi="Calibri" w:cs="Calibri"/>
          <w:b/>
          <w:sz w:val="26"/>
          <w:szCs w:val="26"/>
        </w:rPr>
        <w:t>pproach</w:t>
      </w:r>
      <w:bookmarkEnd w:id="28"/>
    </w:p>
    <w:p w14:paraId="55CF073C" w14:textId="428AA89A" w:rsidR="00AC53E7" w:rsidRPr="00D9152B" w:rsidRDefault="0009749C" w:rsidP="00D5684E">
      <w:pPr>
        <w:pStyle w:val="Heading3"/>
        <w:spacing w:before="100" w:beforeAutospacing="1" w:after="100" w:afterAutospacing="1" w:line="360" w:lineRule="auto"/>
        <w:rPr>
          <w:rFonts w:ascii="Calibri" w:hAnsi="Calibri" w:cs="Calibri"/>
          <w:b/>
          <w:i/>
          <w:color w:val="000000" w:themeColor="text1"/>
          <w:sz w:val="22"/>
          <w:szCs w:val="22"/>
        </w:rPr>
      </w:pPr>
      <w:bookmarkStart w:id="29" w:name="_Toc41505603"/>
      <w:r w:rsidRPr="00D9152B">
        <w:rPr>
          <w:rFonts w:ascii="Calibri" w:hAnsi="Calibri" w:cs="Calibri"/>
          <w:b/>
          <w:i/>
          <w:color w:val="000000" w:themeColor="text1"/>
          <w:sz w:val="22"/>
          <w:szCs w:val="22"/>
        </w:rPr>
        <w:t>2.</w:t>
      </w:r>
      <w:r w:rsidR="00992A29" w:rsidRPr="00D9152B">
        <w:rPr>
          <w:rFonts w:ascii="Calibri" w:hAnsi="Calibri" w:cs="Calibri"/>
          <w:b/>
          <w:i/>
          <w:color w:val="000000" w:themeColor="text1"/>
          <w:sz w:val="22"/>
          <w:szCs w:val="22"/>
        </w:rPr>
        <w:t>5</w:t>
      </w:r>
      <w:r w:rsidRPr="00D9152B">
        <w:rPr>
          <w:rFonts w:ascii="Calibri" w:hAnsi="Calibri" w:cs="Calibri"/>
          <w:b/>
          <w:i/>
          <w:color w:val="000000" w:themeColor="text1"/>
          <w:sz w:val="22"/>
          <w:szCs w:val="22"/>
        </w:rPr>
        <w:t>.A</w:t>
      </w:r>
      <w:r w:rsidR="00DF52DF" w:rsidRPr="00D9152B">
        <w:rPr>
          <w:rFonts w:ascii="Calibri" w:hAnsi="Calibri" w:cs="Calibri"/>
          <w:b/>
          <w:i/>
          <w:color w:val="000000" w:themeColor="text1"/>
          <w:sz w:val="22"/>
          <w:szCs w:val="22"/>
        </w:rPr>
        <w:t>.</w:t>
      </w:r>
      <w:r w:rsidR="003B171F" w:rsidRPr="00D9152B">
        <w:rPr>
          <w:rFonts w:ascii="Calibri" w:hAnsi="Calibri" w:cs="Calibri"/>
          <w:b/>
          <w:i/>
          <w:color w:val="000000" w:themeColor="text1"/>
          <w:sz w:val="22"/>
          <w:szCs w:val="22"/>
        </w:rPr>
        <w:t xml:space="preserve"> </w:t>
      </w:r>
      <w:r w:rsidR="00AC53E7" w:rsidRPr="00D9152B">
        <w:rPr>
          <w:rFonts w:ascii="Calibri" w:hAnsi="Calibri" w:cs="Calibri"/>
          <w:b/>
          <w:i/>
          <w:color w:val="000000" w:themeColor="text1"/>
          <w:sz w:val="22"/>
          <w:szCs w:val="22"/>
        </w:rPr>
        <w:t xml:space="preserve">Questions the </w:t>
      </w:r>
      <w:r w:rsidR="00BE1220" w:rsidRPr="00D9152B">
        <w:rPr>
          <w:rFonts w:ascii="Calibri" w:hAnsi="Calibri" w:cs="Calibri"/>
          <w:b/>
          <w:i/>
          <w:color w:val="000000" w:themeColor="text1"/>
          <w:sz w:val="22"/>
          <w:szCs w:val="22"/>
        </w:rPr>
        <w:t>dissertation does not answer</w:t>
      </w:r>
      <w:bookmarkEnd w:id="29"/>
    </w:p>
    <w:p w14:paraId="526D055A" w14:textId="2586ECC5" w:rsidR="00BE1220"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dissertation’s primary question is how the OCP has been presented as a success by the World Bank, and what complexity this narrative overlooks in terms of the programme’s operations and legacy. It does not attempt to answer many related – and interesting – questions about the OCP’s success, operations, and legacy. For instance, it does not seek to evaluate the OCP, or to argue whether or not the OCP was a success. It is tempting to counter the prevailing triumphalist tone of OCP narratives and to directly challenge the programme’s success, but this goes beyond the scope of the dissertation’s evidence base. Some external evaluations were initiated during the OCP and later </w:t>
      </w:r>
      <w:r w:rsidR="00043B5A" w:rsidRPr="00D9152B">
        <w:rPr>
          <w:rFonts w:ascii="Calibri" w:hAnsi="Calibri" w:cs="Calibri"/>
          <w:sz w:val="22"/>
          <w:szCs w:val="22"/>
        </w:rPr>
        <w:t>African Programme for Onchocerciasis Control</w:t>
      </w:r>
      <w:r w:rsidRPr="00D9152B">
        <w:rPr>
          <w:rFonts w:ascii="Calibri" w:hAnsi="Calibri" w:cs="Calibri"/>
          <w:sz w:val="22"/>
          <w:szCs w:val="22"/>
        </w:rPr>
        <w:t xml:space="preserve">, typically using large consulting teams with visits to the programme areas. An evaluation of the programme’s sustained impact today would be valuable, but would require significant resources, extensive interviews, and very careful consideration of appropriate metrics. This type of evaluation would benefit from a </w:t>
      </w:r>
      <w:r w:rsidRPr="00D9152B">
        <w:rPr>
          <w:rFonts w:ascii="Calibri" w:hAnsi="Calibri" w:cs="Calibri"/>
          <w:sz w:val="22"/>
          <w:szCs w:val="22"/>
        </w:rPr>
        <w:lastRenderedPageBreak/>
        <w:t xml:space="preserve">strong team with economic, </w:t>
      </w:r>
      <w:r w:rsidR="00945FC9" w:rsidRPr="00D9152B">
        <w:rPr>
          <w:rFonts w:ascii="Calibri" w:hAnsi="Calibri" w:cs="Calibri"/>
          <w:sz w:val="22"/>
          <w:szCs w:val="22"/>
        </w:rPr>
        <w:t xml:space="preserve">epidemiological, </w:t>
      </w:r>
      <w:r w:rsidRPr="00D9152B">
        <w:rPr>
          <w:rFonts w:ascii="Calibri" w:hAnsi="Calibri" w:cs="Calibri"/>
          <w:sz w:val="22"/>
          <w:szCs w:val="22"/>
        </w:rPr>
        <w:t>anthropologic, and historical research expertise.</w:t>
      </w:r>
    </w:p>
    <w:p w14:paraId="2AAFAE98" w14:textId="71836EEF" w:rsidR="00BE1220"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Related questions that the dissertation does not answer are how local staff and communities viewed the OCP. Did they ever see the programme as a dramatic success, and if so, by what definition? Do they still see the programme as a success fifteen years after its closure, and do perspectives on success vary by community or country? These questions are valid and can be pursued through future projects</w:t>
      </w:r>
      <w:r w:rsidR="009575BB" w:rsidRPr="00D9152B">
        <w:rPr>
          <w:rFonts w:ascii="Calibri" w:hAnsi="Calibri" w:cs="Calibri"/>
          <w:sz w:val="22"/>
          <w:szCs w:val="22"/>
        </w:rPr>
        <w:t>.</w:t>
      </w:r>
    </w:p>
    <w:p w14:paraId="4DC9FEA7" w14:textId="4670718D" w:rsidR="00AC53E7"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Additionally, the dissertation emphasi</w:t>
      </w:r>
      <w:r w:rsidR="00B41B9A">
        <w:rPr>
          <w:rFonts w:ascii="Calibri" w:hAnsi="Calibri" w:cs="Calibri"/>
          <w:sz w:val="22"/>
          <w:szCs w:val="22"/>
        </w:rPr>
        <w:t>z</w:t>
      </w:r>
      <w:r w:rsidRPr="00D9152B">
        <w:rPr>
          <w:rFonts w:ascii="Calibri" w:hAnsi="Calibri" w:cs="Calibri"/>
          <w:sz w:val="22"/>
          <w:szCs w:val="22"/>
        </w:rPr>
        <w:t xml:space="preserve">es the </w:t>
      </w:r>
      <w:r w:rsidRPr="00D9152B">
        <w:rPr>
          <w:rFonts w:ascii="Calibri" w:hAnsi="Calibri" w:cs="Calibri"/>
          <w:i/>
          <w:sz w:val="22"/>
          <w:szCs w:val="22"/>
        </w:rPr>
        <w:t>Bank’s</w:t>
      </w:r>
      <w:r w:rsidRPr="00D9152B">
        <w:rPr>
          <w:rFonts w:ascii="Calibri" w:hAnsi="Calibri" w:cs="Calibri"/>
          <w:sz w:val="22"/>
          <w:szCs w:val="22"/>
        </w:rPr>
        <w:t xml:space="preserve"> OCP success story, and the wider uptake of this success story in the global health community. As such, it is interested in decision-making and management strategies at the institutional level. The roles of the other OCP sponsoring agencies, including the WHO, FAO, and UNDP, are widely discussed in Chapters 4-9, particularly</w:t>
      </w:r>
      <w:r w:rsidR="009575BB" w:rsidRPr="00D9152B">
        <w:rPr>
          <w:rFonts w:ascii="Calibri" w:hAnsi="Calibri" w:cs="Calibri"/>
          <w:sz w:val="22"/>
          <w:szCs w:val="22"/>
        </w:rPr>
        <w:t xml:space="preserve"> Chapter 6. </w:t>
      </w:r>
      <w:r w:rsidRPr="00D9152B">
        <w:rPr>
          <w:rFonts w:ascii="Calibri" w:hAnsi="Calibri" w:cs="Calibri"/>
          <w:sz w:val="22"/>
          <w:szCs w:val="22"/>
        </w:rPr>
        <w:t xml:space="preserve">However, the primary focus remains on understanding success through the lens of the Bank and its business model. It is simply not possible in a dissertation of this length to unravel the complexity of OCP operations and legacy at all sponsoring agencies, which would require at least a chapter on the institutional-level governance of each institution (similar to Chapter 3 on the World Bank). Given the Bank’s growing influence </w:t>
      </w:r>
      <w:r w:rsidR="00043B5A" w:rsidRPr="00D9152B">
        <w:rPr>
          <w:rFonts w:ascii="Calibri" w:hAnsi="Calibri" w:cs="Calibri"/>
          <w:sz w:val="22"/>
          <w:szCs w:val="22"/>
        </w:rPr>
        <w:t>on both a programmatic and wider global health governan</w:t>
      </w:r>
      <w:r w:rsidR="00A70AFE">
        <w:rPr>
          <w:rFonts w:ascii="Calibri" w:hAnsi="Calibri" w:cs="Calibri"/>
          <w:sz w:val="22"/>
          <w:szCs w:val="22"/>
        </w:rPr>
        <w:t>c</w:t>
      </w:r>
      <w:r w:rsidR="00043B5A" w:rsidRPr="00D9152B">
        <w:rPr>
          <w:rFonts w:ascii="Calibri" w:hAnsi="Calibri" w:cs="Calibri"/>
          <w:sz w:val="22"/>
          <w:szCs w:val="22"/>
        </w:rPr>
        <w:t xml:space="preserve">e level </w:t>
      </w:r>
      <w:r w:rsidRPr="00D9152B">
        <w:rPr>
          <w:rFonts w:ascii="Calibri" w:hAnsi="Calibri" w:cs="Calibri"/>
          <w:sz w:val="22"/>
          <w:szCs w:val="22"/>
        </w:rPr>
        <w:t xml:space="preserve">over the course of the OCP, the Bank’s perspective on success is arguably the most interesting. However, future research could and should tackle the OCP’s success from the perspective of the WHO, especially the AFRO secretariat, </w:t>
      </w:r>
      <w:r w:rsidR="00043B5A" w:rsidRPr="00D9152B">
        <w:rPr>
          <w:rFonts w:ascii="Calibri" w:hAnsi="Calibri" w:cs="Calibri"/>
          <w:sz w:val="22"/>
          <w:szCs w:val="22"/>
        </w:rPr>
        <w:t xml:space="preserve">and </w:t>
      </w:r>
      <w:r w:rsidRPr="00D9152B">
        <w:rPr>
          <w:rFonts w:ascii="Calibri" w:hAnsi="Calibri" w:cs="Calibri"/>
          <w:sz w:val="22"/>
          <w:szCs w:val="22"/>
        </w:rPr>
        <w:t>other sponsoring agencies</w:t>
      </w:r>
      <w:r w:rsidR="00043B5A" w:rsidRPr="00D9152B">
        <w:rPr>
          <w:rFonts w:ascii="Calibri" w:hAnsi="Calibri" w:cs="Calibri"/>
          <w:sz w:val="22"/>
          <w:szCs w:val="22"/>
        </w:rPr>
        <w:t xml:space="preserve"> </w:t>
      </w:r>
      <w:r w:rsidRPr="00D9152B">
        <w:rPr>
          <w:rFonts w:ascii="Calibri" w:hAnsi="Calibri" w:cs="Calibri"/>
          <w:sz w:val="22"/>
          <w:szCs w:val="22"/>
        </w:rPr>
        <w:t>and even major donors.</w:t>
      </w:r>
    </w:p>
    <w:p w14:paraId="4C60E4FC" w14:textId="562042A3" w:rsidR="00AC53E7" w:rsidRPr="00D9152B" w:rsidRDefault="0009749C" w:rsidP="00D5684E">
      <w:pPr>
        <w:pStyle w:val="Heading3"/>
        <w:spacing w:before="100" w:beforeAutospacing="1" w:after="100" w:afterAutospacing="1" w:line="360" w:lineRule="auto"/>
        <w:rPr>
          <w:rFonts w:ascii="Calibri" w:hAnsi="Calibri" w:cs="Calibri"/>
          <w:b/>
          <w:i/>
          <w:color w:val="000000" w:themeColor="text1"/>
          <w:sz w:val="22"/>
          <w:szCs w:val="22"/>
        </w:rPr>
      </w:pPr>
      <w:bookmarkStart w:id="30" w:name="_Toc41505604"/>
      <w:r w:rsidRPr="00D9152B">
        <w:rPr>
          <w:rFonts w:ascii="Calibri" w:hAnsi="Calibri" w:cs="Calibri"/>
          <w:b/>
          <w:i/>
          <w:color w:val="000000" w:themeColor="text1"/>
          <w:sz w:val="22"/>
          <w:szCs w:val="22"/>
        </w:rPr>
        <w:t>2.</w:t>
      </w:r>
      <w:r w:rsidR="00992A29" w:rsidRPr="00D9152B">
        <w:rPr>
          <w:rFonts w:ascii="Calibri" w:hAnsi="Calibri" w:cs="Calibri"/>
          <w:b/>
          <w:i/>
          <w:color w:val="000000" w:themeColor="text1"/>
          <w:sz w:val="22"/>
          <w:szCs w:val="22"/>
        </w:rPr>
        <w:t>5</w:t>
      </w:r>
      <w:r w:rsidRPr="00D9152B">
        <w:rPr>
          <w:rFonts w:ascii="Calibri" w:hAnsi="Calibri" w:cs="Calibri"/>
          <w:b/>
          <w:i/>
          <w:color w:val="000000" w:themeColor="text1"/>
          <w:sz w:val="22"/>
          <w:szCs w:val="22"/>
        </w:rPr>
        <w:t>.B</w:t>
      </w:r>
      <w:r w:rsidR="00DF52DF" w:rsidRPr="00D9152B">
        <w:rPr>
          <w:rFonts w:ascii="Calibri" w:hAnsi="Calibri" w:cs="Calibri"/>
          <w:b/>
          <w:i/>
          <w:color w:val="000000" w:themeColor="text1"/>
          <w:sz w:val="22"/>
          <w:szCs w:val="22"/>
        </w:rPr>
        <w:t>.</w:t>
      </w:r>
      <w:r w:rsidR="003B171F" w:rsidRPr="00D9152B">
        <w:rPr>
          <w:rFonts w:ascii="Calibri" w:hAnsi="Calibri" w:cs="Calibri"/>
          <w:b/>
          <w:i/>
          <w:color w:val="000000" w:themeColor="text1"/>
          <w:sz w:val="22"/>
          <w:szCs w:val="22"/>
        </w:rPr>
        <w:t xml:space="preserve"> </w:t>
      </w:r>
      <w:r w:rsidR="00AC53E7" w:rsidRPr="00D9152B">
        <w:rPr>
          <w:rFonts w:ascii="Calibri" w:hAnsi="Calibri" w:cs="Calibri"/>
          <w:b/>
          <w:i/>
          <w:color w:val="000000" w:themeColor="text1"/>
          <w:sz w:val="22"/>
          <w:szCs w:val="22"/>
        </w:rPr>
        <w:t xml:space="preserve">Limitations of the </w:t>
      </w:r>
      <w:r w:rsidR="00BE1220" w:rsidRPr="00D9152B">
        <w:rPr>
          <w:rFonts w:ascii="Calibri" w:hAnsi="Calibri" w:cs="Calibri"/>
          <w:b/>
          <w:i/>
          <w:color w:val="000000" w:themeColor="text1"/>
          <w:sz w:val="22"/>
          <w:szCs w:val="22"/>
        </w:rPr>
        <w:t>archives-focused methodology</w:t>
      </w:r>
      <w:bookmarkEnd w:id="30"/>
    </w:p>
    <w:p w14:paraId="2D11C444" w14:textId="085B058E" w:rsidR="00AC53E7" w:rsidRPr="00D9152B" w:rsidRDefault="00E70E9E"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A</w:t>
      </w:r>
      <w:r w:rsidR="00AC53E7" w:rsidRPr="00D9152B">
        <w:rPr>
          <w:rFonts w:ascii="Calibri" w:hAnsi="Calibri" w:cs="Calibri"/>
          <w:sz w:val="22"/>
          <w:szCs w:val="22"/>
        </w:rPr>
        <w:t xml:space="preserve">rchival data collection at the other sponsoring agencies does not give a complete picture for all OCP years. The FAO archives either destroyed or did not collect records from around 1983 onwards, and the UNDP only contained records for a similar period. Due to security concerns, I was not able to visit the WHO’s AFRO secretariat, which I was told has a collection of largely unorganized records, that may include some AFRO OCP documents. The OCP secretariat in Ouagadougou has now closed, and former staff are uncertain about if and where some files may have been retained. By focusing on the </w:t>
      </w:r>
      <w:r w:rsidR="00AC53E7" w:rsidRPr="00D9152B">
        <w:rPr>
          <w:rFonts w:ascii="Calibri" w:hAnsi="Calibri" w:cs="Calibri"/>
          <w:sz w:val="22"/>
          <w:szCs w:val="22"/>
        </w:rPr>
        <w:lastRenderedPageBreak/>
        <w:t>Bank’s role in the OCP, I limit the importance of obtaining these documents. Ideally, a future project would explore the perspectives of the OCP’s success and legacy of OCP staff, by tracking-down AFRO and OCP archival records and performing additional interviews. For a future project, I would be particularly interested in locating any available records of the OCP’s Information Unit, such as promotional and marketing materials.</w:t>
      </w:r>
    </w:p>
    <w:p w14:paraId="63DCA9F7" w14:textId="356899F2" w:rsidR="004663AD" w:rsidRDefault="004663AD" w:rsidP="00D5684E">
      <w:pPr>
        <w:pStyle w:val="Heading3"/>
        <w:spacing w:before="100" w:beforeAutospacing="1" w:after="100" w:afterAutospacing="1" w:line="360" w:lineRule="auto"/>
        <w:rPr>
          <w:rFonts w:ascii="Calibri" w:hAnsi="Calibri" w:cs="Calibri"/>
          <w:b/>
          <w:i/>
          <w:color w:val="000000" w:themeColor="text1"/>
          <w:sz w:val="22"/>
          <w:szCs w:val="22"/>
        </w:rPr>
      </w:pPr>
      <w:bookmarkStart w:id="31" w:name="_Toc41505605"/>
      <w:r w:rsidRPr="00D9152B">
        <w:rPr>
          <w:rFonts w:ascii="Calibri" w:hAnsi="Calibri" w:cs="Calibri"/>
          <w:b/>
          <w:i/>
          <w:color w:val="000000" w:themeColor="text1"/>
          <w:sz w:val="22"/>
          <w:szCs w:val="22"/>
        </w:rPr>
        <w:t>2.5.</w:t>
      </w:r>
      <w:r>
        <w:rPr>
          <w:rFonts w:ascii="Calibri" w:hAnsi="Calibri" w:cs="Calibri"/>
          <w:b/>
          <w:i/>
          <w:color w:val="000000" w:themeColor="text1"/>
          <w:sz w:val="22"/>
          <w:szCs w:val="22"/>
        </w:rPr>
        <w:t>C</w:t>
      </w:r>
      <w:r w:rsidRPr="00D9152B">
        <w:rPr>
          <w:rFonts w:ascii="Calibri" w:hAnsi="Calibri" w:cs="Calibri"/>
          <w:b/>
          <w:i/>
          <w:color w:val="000000" w:themeColor="text1"/>
          <w:sz w:val="22"/>
          <w:szCs w:val="22"/>
        </w:rPr>
        <w:t xml:space="preserve">. </w:t>
      </w:r>
      <w:r>
        <w:rPr>
          <w:rFonts w:ascii="Calibri" w:hAnsi="Calibri" w:cs="Calibri"/>
          <w:b/>
          <w:i/>
          <w:color w:val="000000" w:themeColor="text1"/>
          <w:sz w:val="22"/>
          <w:szCs w:val="22"/>
        </w:rPr>
        <w:t>Emphasis on the Bank and sponsoring agencies</w:t>
      </w:r>
      <w:bookmarkEnd w:id="31"/>
    </w:p>
    <w:p w14:paraId="3AE795EF" w14:textId="61FD2C92" w:rsidR="004663AD" w:rsidRPr="00CF189D" w:rsidRDefault="00A762A6" w:rsidP="00CF189D">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ab/>
        <w:t xml:space="preserve"> </w:t>
      </w:r>
      <w:r>
        <w:rPr>
          <w:rFonts w:ascii="Calibri" w:hAnsi="Calibri" w:cs="Calibri"/>
          <w:sz w:val="22"/>
          <w:szCs w:val="22"/>
        </w:rPr>
        <w:t>T</w:t>
      </w:r>
      <w:r w:rsidRPr="00D9152B">
        <w:rPr>
          <w:rFonts w:ascii="Calibri" w:hAnsi="Calibri" w:cs="Calibri"/>
          <w:sz w:val="22"/>
          <w:szCs w:val="22"/>
        </w:rPr>
        <w:t>he many influential partners involved in the OCP’s planning and implementation make it overwhelming to track the OCP’s success narratives</w:t>
      </w:r>
      <w:r>
        <w:rPr>
          <w:rFonts w:ascii="Calibri" w:hAnsi="Calibri" w:cs="Calibri"/>
          <w:sz w:val="22"/>
          <w:szCs w:val="22"/>
        </w:rPr>
        <w:t xml:space="preserve"> at the level</w:t>
      </w:r>
      <w:r w:rsidR="00964111">
        <w:rPr>
          <w:rFonts w:ascii="Calibri" w:hAnsi="Calibri" w:cs="Calibri"/>
          <w:sz w:val="22"/>
          <w:szCs w:val="22"/>
        </w:rPr>
        <w:t>s</w:t>
      </w:r>
      <w:r>
        <w:rPr>
          <w:rFonts w:ascii="Calibri" w:hAnsi="Calibri" w:cs="Calibri"/>
          <w:sz w:val="22"/>
          <w:szCs w:val="22"/>
        </w:rPr>
        <w:t xml:space="preserve"> of sponsoring agenc</w:t>
      </w:r>
      <w:r w:rsidR="00964111">
        <w:rPr>
          <w:rFonts w:ascii="Calibri" w:hAnsi="Calibri" w:cs="Calibri"/>
          <w:sz w:val="22"/>
          <w:szCs w:val="22"/>
        </w:rPr>
        <w:t>ies</w:t>
      </w:r>
      <w:r>
        <w:rPr>
          <w:rFonts w:ascii="Calibri" w:hAnsi="Calibri" w:cs="Calibri"/>
          <w:sz w:val="22"/>
          <w:szCs w:val="22"/>
        </w:rPr>
        <w:t>, donor</w:t>
      </w:r>
      <w:r w:rsidR="00964111">
        <w:rPr>
          <w:rFonts w:ascii="Calibri" w:hAnsi="Calibri" w:cs="Calibri"/>
          <w:sz w:val="22"/>
          <w:szCs w:val="22"/>
        </w:rPr>
        <w:t>s</w:t>
      </w:r>
      <w:r>
        <w:rPr>
          <w:rFonts w:ascii="Calibri" w:hAnsi="Calibri" w:cs="Calibri"/>
          <w:sz w:val="22"/>
          <w:szCs w:val="22"/>
        </w:rPr>
        <w:t xml:space="preserve">, participating </w:t>
      </w:r>
      <w:r w:rsidR="00964111">
        <w:rPr>
          <w:rFonts w:ascii="Calibri" w:hAnsi="Calibri" w:cs="Calibri"/>
          <w:sz w:val="22"/>
          <w:szCs w:val="22"/>
        </w:rPr>
        <w:t>countries</w:t>
      </w:r>
      <w:r>
        <w:rPr>
          <w:rFonts w:ascii="Calibri" w:hAnsi="Calibri" w:cs="Calibri"/>
          <w:sz w:val="22"/>
          <w:szCs w:val="22"/>
        </w:rPr>
        <w:t>, and impacted communities</w:t>
      </w:r>
      <w:r w:rsidRPr="00D9152B">
        <w:rPr>
          <w:rFonts w:ascii="Calibri" w:hAnsi="Calibri" w:cs="Calibri"/>
          <w:sz w:val="22"/>
          <w:szCs w:val="22"/>
        </w:rPr>
        <w:t xml:space="preserve">. Four agencies – the World Health Organization (WHO), World Bank, Food and Agriculture Organization (FAO), and United Nations Development Program (UNDP) – sponsored the OCP. Major donors also included the United States, United Kingdom, and Japan, who are consistently among the most influential bilateral aid providers (see </w:t>
      </w:r>
      <w:r>
        <w:rPr>
          <w:rFonts w:ascii="Calibri" w:hAnsi="Calibri" w:cs="Calibri"/>
          <w:sz w:val="22"/>
          <w:szCs w:val="22"/>
        </w:rPr>
        <w:t>section 5.7</w:t>
      </w:r>
      <w:r w:rsidRPr="00D9152B">
        <w:rPr>
          <w:rFonts w:ascii="Calibri" w:hAnsi="Calibri" w:cs="Calibri"/>
          <w:sz w:val="22"/>
          <w:szCs w:val="22"/>
        </w:rPr>
        <w:t xml:space="preserve">). </w:t>
      </w:r>
      <w:r w:rsidR="00964111">
        <w:rPr>
          <w:rFonts w:ascii="Calibri" w:hAnsi="Calibri" w:cs="Calibri"/>
          <w:sz w:val="22"/>
          <w:szCs w:val="22"/>
        </w:rPr>
        <w:t>P</w:t>
      </w:r>
      <w:r w:rsidR="008C3597">
        <w:rPr>
          <w:rFonts w:ascii="Calibri" w:hAnsi="Calibri" w:cs="Calibri"/>
          <w:sz w:val="22"/>
          <w:szCs w:val="22"/>
        </w:rPr>
        <w:t>articipating countries had multiple staff and volunteers involved</w:t>
      </w:r>
      <w:r w:rsidR="00964111">
        <w:rPr>
          <w:rFonts w:ascii="Calibri" w:hAnsi="Calibri" w:cs="Calibri"/>
          <w:sz w:val="22"/>
          <w:szCs w:val="22"/>
        </w:rPr>
        <w:t xml:space="preserve"> in the programme</w:t>
      </w:r>
      <w:r w:rsidR="008C3597">
        <w:rPr>
          <w:rFonts w:ascii="Calibri" w:hAnsi="Calibri" w:cs="Calibri"/>
          <w:sz w:val="22"/>
          <w:szCs w:val="22"/>
        </w:rPr>
        <w:t xml:space="preserve">, from government ministers to vector control staff to community distributors. </w:t>
      </w:r>
      <w:r w:rsidRPr="00D9152B">
        <w:rPr>
          <w:rFonts w:ascii="Calibri" w:hAnsi="Calibri" w:cs="Calibri"/>
          <w:sz w:val="22"/>
          <w:szCs w:val="22"/>
        </w:rPr>
        <w:t xml:space="preserve">I therefore zoom-in on one major actor’s </w:t>
      </w:r>
      <w:r w:rsidR="00B333CB">
        <w:rPr>
          <w:rFonts w:ascii="Calibri" w:hAnsi="Calibri" w:cs="Calibri"/>
          <w:sz w:val="22"/>
          <w:szCs w:val="22"/>
        </w:rPr>
        <w:t xml:space="preserve">– the World Bank’s </w:t>
      </w:r>
      <w:r w:rsidR="00964111">
        <w:rPr>
          <w:rFonts w:ascii="Calibri" w:hAnsi="Calibri" w:cs="Calibri"/>
          <w:sz w:val="22"/>
          <w:szCs w:val="22"/>
        </w:rPr>
        <w:t xml:space="preserve">– </w:t>
      </w:r>
      <w:r w:rsidRPr="00D9152B">
        <w:rPr>
          <w:rFonts w:ascii="Calibri" w:hAnsi="Calibri" w:cs="Calibri"/>
          <w:sz w:val="22"/>
          <w:szCs w:val="22"/>
        </w:rPr>
        <w:t xml:space="preserve">narrative. </w:t>
      </w:r>
      <w:r w:rsidR="00B333CB">
        <w:rPr>
          <w:rFonts w:ascii="Calibri" w:hAnsi="Calibri" w:cs="Calibri"/>
          <w:sz w:val="22"/>
          <w:szCs w:val="22"/>
        </w:rPr>
        <w:t xml:space="preserve">This decision was made on a practical level, </w:t>
      </w:r>
      <w:r w:rsidR="00964111">
        <w:rPr>
          <w:rFonts w:ascii="Calibri" w:hAnsi="Calibri" w:cs="Calibri"/>
          <w:sz w:val="22"/>
          <w:szCs w:val="22"/>
        </w:rPr>
        <w:t>particularly due to</w:t>
      </w:r>
      <w:r w:rsidR="00B333CB">
        <w:rPr>
          <w:rFonts w:ascii="Calibri" w:hAnsi="Calibri" w:cs="Calibri"/>
          <w:sz w:val="22"/>
          <w:szCs w:val="22"/>
        </w:rPr>
        <w:t xml:space="preserve"> the challenges of obtaining </w:t>
      </w:r>
      <w:r w:rsidR="00964111">
        <w:rPr>
          <w:rFonts w:ascii="Calibri" w:hAnsi="Calibri" w:cs="Calibri"/>
          <w:sz w:val="22"/>
          <w:szCs w:val="22"/>
        </w:rPr>
        <w:t>the WHO Africa Regional Office (</w:t>
      </w:r>
      <w:r w:rsidR="00B333CB">
        <w:rPr>
          <w:rFonts w:ascii="Calibri" w:hAnsi="Calibri" w:cs="Calibri"/>
          <w:sz w:val="22"/>
          <w:szCs w:val="22"/>
        </w:rPr>
        <w:t>AFRO</w:t>
      </w:r>
      <w:r w:rsidR="00964111">
        <w:rPr>
          <w:rFonts w:ascii="Calibri" w:hAnsi="Calibri" w:cs="Calibri"/>
          <w:sz w:val="22"/>
          <w:szCs w:val="22"/>
        </w:rPr>
        <w:t>)’s</w:t>
      </w:r>
      <w:r w:rsidR="00B333CB">
        <w:rPr>
          <w:rFonts w:ascii="Calibri" w:hAnsi="Calibri" w:cs="Calibri"/>
          <w:sz w:val="22"/>
          <w:szCs w:val="22"/>
        </w:rPr>
        <w:t xml:space="preserve"> archives files and </w:t>
      </w:r>
      <w:r w:rsidR="00964111">
        <w:rPr>
          <w:rFonts w:ascii="Calibri" w:hAnsi="Calibri" w:cs="Calibri"/>
          <w:sz w:val="22"/>
          <w:szCs w:val="22"/>
        </w:rPr>
        <w:t xml:space="preserve">the </w:t>
      </w:r>
      <w:r w:rsidR="00B333CB">
        <w:rPr>
          <w:rFonts w:ascii="Calibri" w:hAnsi="Calibri" w:cs="Calibri"/>
          <w:sz w:val="22"/>
          <w:szCs w:val="22"/>
        </w:rPr>
        <w:t>lack of accessible historic records of African newspapers and media. I do not claim to capture African governments or communities’ depictions of the OCP’s success, and recognise that these governments have unique and valid perspectives on the program</w:t>
      </w:r>
      <w:r w:rsidR="00964111">
        <w:rPr>
          <w:rFonts w:ascii="Calibri" w:hAnsi="Calibri" w:cs="Calibri"/>
          <w:sz w:val="22"/>
          <w:szCs w:val="22"/>
        </w:rPr>
        <w:t>me</w:t>
      </w:r>
      <w:r w:rsidR="00B333CB">
        <w:rPr>
          <w:rFonts w:ascii="Calibri" w:hAnsi="Calibri" w:cs="Calibri"/>
          <w:sz w:val="22"/>
          <w:szCs w:val="22"/>
        </w:rPr>
        <w:t>. I argue that a ‘top-down’ approach to understanding the construction of success narratives is interesting in its own right, and suggest that future research complement it with a more ‘bottom-up’, African-centred approach. This would require extensive research in participating government and AFRO archives, as well as oral history interviews.</w:t>
      </w:r>
    </w:p>
    <w:p w14:paraId="1DA33448" w14:textId="62C0F900" w:rsidR="00AC53E7" w:rsidRPr="00D9152B" w:rsidRDefault="0009749C" w:rsidP="00D5684E">
      <w:pPr>
        <w:pStyle w:val="Heading3"/>
        <w:spacing w:before="100" w:beforeAutospacing="1" w:after="100" w:afterAutospacing="1" w:line="360" w:lineRule="auto"/>
        <w:rPr>
          <w:rFonts w:ascii="Calibri" w:hAnsi="Calibri" w:cs="Calibri"/>
          <w:b/>
          <w:i/>
          <w:color w:val="000000" w:themeColor="text1"/>
          <w:sz w:val="22"/>
          <w:szCs w:val="22"/>
        </w:rPr>
      </w:pPr>
      <w:bookmarkStart w:id="32" w:name="_Toc41505606"/>
      <w:r w:rsidRPr="00D9152B">
        <w:rPr>
          <w:rFonts w:ascii="Calibri" w:hAnsi="Calibri" w:cs="Calibri"/>
          <w:b/>
          <w:i/>
          <w:color w:val="000000" w:themeColor="text1"/>
          <w:sz w:val="22"/>
          <w:szCs w:val="22"/>
        </w:rPr>
        <w:t>2.</w:t>
      </w:r>
      <w:r w:rsidR="00992A29" w:rsidRPr="00D9152B">
        <w:rPr>
          <w:rFonts w:ascii="Calibri" w:hAnsi="Calibri" w:cs="Calibri"/>
          <w:b/>
          <w:i/>
          <w:color w:val="000000" w:themeColor="text1"/>
          <w:sz w:val="22"/>
          <w:szCs w:val="22"/>
        </w:rPr>
        <w:t>5</w:t>
      </w:r>
      <w:r w:rsidRPr="00D9152B">
        <w:rPr>
          <w:rFonts w:ascii="Calibri" w:hAnsi="Calibri" w:cs="Calibri"/>
          <w:b/>
          <w:i/>
          <w:color w:val="000000" w:themeColor="text1"/>
          <w:sz w:val="22"/>
          <w:szCs w:val="22"/>
        </w:rPr>
        <w:t>.</w:t>
      </w:r>
      <w:r w:rsidR="004663AD">
        <w:rPr>
          <w:rFonts w:ascii="Calibri" w:hAnsi="Calibri" w:cs="Calibri"/>
          <w:b/>
          <w:i/>
          <w:color w:val="000000" w:themeColor="text1"/>
          <w:sz w:val="22"/>
          <w:szCs w:val="22"/>
        </w:rPr>
        <w:t>D</w:t>
      </w:r>
      <w:r w:rsidR="00DF52DF" w:rsidRPr="00D9152B">
        <w:rPr>
          <w:rFonts w:ascii="Calibri" w:hAnsi="Calibri" w:cs="Calibri"/>
          <w:b/>
          <w:i/>
          <w:color w:val="000000" w:themeColor="text1"/>
          <w:sz w:val="22"/>
          <w:szCs w:val="22"/>
        </w:rPr>
        <w:t>.</w:t>
      </w:r>
      <w:r w:rsidR="003B171F" w:rsidRPr="00D9152B">
        <w:rPr>
          <w:rFonts w:ascii="Calibri" w:hAnsi="Calibri" w:cs="Calibri"/>
          <w:b/>
          <w:i/>
          <w:color w:val="000000" w:themeColor="text1"/>
          <w:sz w:val="22"/>
          <w:szCs w:val="22"/>
        </w:rPr>
        <w:t xml:space="preserve"> </w:t>
      </w:r>
      <w:r w:rsidR="00AC53E7" w:rsidRPr="00D9152B">
        <w:rPr>
          <w:rFonts w:ascii="Calibri" w:hAnsi="Calibri" w:cs="Calibri"/>
          <w:b/>
          <w:i/>
          <w:color w:val="000000" w:themeColor="text1"/>
          <w:sz w:val="22"/>
          <w:szCs w:val="22"/>
        </w:rPr>
        <w:t xml:space="preserve">Challenges of </w:t>
      </w:r>
      <w:r w:rsidR="00E70E9E" w:rsidRPr="00D9152B">
        <w:rPr>
          <w:rFonts w:ascii="Calibri" w:hAnsi="Calibri" w:cs="Calibri"/>
          <w:b/>
          <w:i/>
          <w:color w:val="000000" w:themeColor="text1"/>
          <w:sz w:val="22"/>
          <w:szCs w:val="22"/>
        </w:rPr>
        <w:t>interdisciplinary research</w:t>
      </w:r>
      <w:bookmarkEnd w:id="32"/>
    </w:p>
    <w:p w14:paraId="77152981" w14:textId="07F6863B" w:rsidR="00E70E9E"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This dissertation embraces methodologies and literature from two distinct fields: global health gover</w:t>
      </w:r>
      <w:r w:rsidR="009575BB" w:rsidRPr="00D9152B">
        <w:rPr>
          <w:rFonts w:ascii="Calibri" w:hAnsi="Calibri" w:cs="Calibri"/>
          <w:sz w:val="22"/>
          <w:szCs w:val="22"/>
        </w:rPr>
        <w:t>nance and global health history</w:t>
      </w:r>
      <w:r w:rsidR="00043B5A" w:rsidRPr="00D9152B">
        <w:rPr>
          <w:rFonts w:ascii="Calibri" w:hAnsi="Calibri" w:cs="Calibri"/>
          <w:sz w:val="22"/>
          <w:szCs w:val="22"/>
        </w:rPr>
        <w:t>,</w:t>
      </w:r>
      <w:r w:rsidRPr="00D9152B">
        <w:rPr>
          <w:rFonts w:ascii="Calibri" w:hAnsi="Calibri" w:cs="Calibri"/>
          <w:sz w:val="22"/>
          <w:szCs w:val="22"/>
        </w:rPr>
        <w:t xml:space="preserve"> and the boundary between methodological approaches for each field is often blurred. This interdisciplinary nature </w:t>
      </w:r>
      <w:r w:rsidRPr="00D9152B">
        <w:rPr>
          <w:rFonts w:ascii="Calibri" w:hAnsi="Calibri" w:cs="Calibri"/>
          <w:sz w:val="22"/>
          <w:szCs w:val="22"/>
        </w:rPr>
        <w:lastRenderedPageBreak/>
        <w:t>has advantages and disadvantages. The dissertation’s primary audience is global health governance and policy scholars. Yet, its goal is to play a small part in filling the gap, as described by Birn, between health policy and history.</w:t>
      </w:r>
      <w:r w:rsidRPr="00D9152B">
        <w:rPr>
          <w:rStyle w:val="FootnoteReference"/>
          <w:rFonts w:ascii="Calibri" w:hAnsi="Calibri" w:cs="Calibri"/>
          <w:sz w:val="22"/>
          <w:szCs w:val="22"/>
        </w:rPr>
        <w:footnoteReference w:id="125"/>
      </w:r>
      <w:r w:rsidRPr="00D9152B">
        <w:rPr>
          <w:rFonts w:ascii="Calibri" w:hAnsi="Calibri" w:cs="Calibri"/>
          <w:sz w:val="22"/>
          <w:szCs w:val="22"/>
        </w:rPr>
        <w:t xml:space="preserve"> A secondary audience is, therefore, global health historians, who may see the power of applying historical methods to understand the modern-day legacy of health programmes.</w:t>
      </w:r>
    </w:p>
    <w:p w14:paraId="6D976B3D" w14:textId="1DB21312" w:rsidR="00E70E9E"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 dissertation departs slightly from traditional governance methodology. For instance, many global health governance scholars, including as Storeng and Shiffman, have combined (limited) archival collection with ethnographically-grounded stakeholder interviews. However, they typically work on more contemporary health projects, like GAVI and polio eradication initiatives. Given that planning for the OCP began fifty years ago, many critical stakeholders at the OCP and WHO are deceased. There is therefore a distinct danger in biasing the Bank’s success narrative and my analysis of the OCP’s operations by over-relying on stakeho</w:t>
      </w:r>
      <w:r w:rsidR="00E70E9E" w:rsidRPr="00D9152B">
        <w:rPr>
          <w:rFonts w:ascii="Calibri" w:hAnsi="Calibri" w:cs="Calibri"/>
          <w:sz w:val="22"/>
          <w:szCs w:val="22"/>
        </w:rPr>
        <w:t>lder interviews</w:t>
      </w:r>
      <w:r w:rsidR="004B0B6F" w:rsidRPr="00D9152B">
        <w:rPr>
          <w:rFonts w:ascii="Calibri" w:hAnsi="Calibri" w:cs="Calibri"/>
          <w:sz w:val="22"/>
          <w:szCs w:val="22"/>
        </w:rPr>
        <w:t xml:space="preserve"> of those still living</w:t>
      </w:r>
      <w:r w:rsidR="00E70E9E" w:rsidRPr="00D9152B">
        <w:rPr>
          <w:rFonts w:ascii="Calibri" w:hAnsi="Calibri" w:cs="Calibri"/>
          <w:sz w:val="22"/>
          <w:szCs w:val="22"/>
        </w:rPr>
        <w:t>.</w:t>
      </w:r>
    </w:p>
    <w:p w14:paraId="6C0DBBCE" w14:textId="425BF313" w:rsidR="00846426" w:rsidRPr="00D9152B" w:rsidRDefault="00AC53E7" w:rsidP="00D5684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I have instead chosen to use Ruger, Birn, and Bhattacharya’s global health history-grounded </w:t>
      </w:r>
      <w:r w:rsidR="00FA352D" w:rsidRPr="00D9152B">
        <w:rPr>
          <w:rFonts w:ascii="Calibri" w:hAnsi="Calibri" w:cs="Calibri"/>
          <w:sz w:val="22"/>
          <w:szCs w:val="22"/>
        </w:rPr>
        <w:t>approach</w:t>
      </w:r>
      <w:r w:rsidRPr="00D9152B">
        <w:rPr>
          <w:rFonts w:ascii="Calibri" w:hAnsi="Calibri" w:cs="Calibri"/>
          <w:sz w:val="22"/>
          <w:szCs w:val="22"/>
        </w:rPr>
        <w:t>,</w:t>
      </w:r>
      <w:r w:rsidR="00FA352D" w:rsidRPr="00D9152B">
        <w:rPr>
          <w:rStyle w:val="FootnoteReference"/>
          <w:rFonts w:ascii="Calibri" w:hAnsi="Calibri" w:cs="Calibri"/>
          <w:sz w:val="22"/>
          <w:szCs w:val="22"/>
        </w:rPr>
        <w:footnoteReference w:id="126"/>
      </w:r>
      <w:r w:rsidRPr="00D9152B">
        <w:rPr>
          <w:rFonts w:ascii="Calibri" w:hAnsi="Calibri" w:cs="Calibri"/>
          <w:sz w:val="22"/>
          <w:szCs w:val="22"/>
        </w:rPr>
        <w:t xml:space="preserve"> which focuses primarily on archival data analysis, to depict the differences between the OCP success narrative and the reality of operations. Interviews were conducted after collecting archival data and literature, to fill gaps in the archival and published literature record. This strategy is designed to limit bias, and mirrors Bump’s methodology for his earlier analysis of the development of onchocerciasis control activities from the</w:t>
      </w:r>
      <w:r w:rsidR="003262C3" w:rsidRPr="00D9152B">
        <w:rPr>
          <w:rFonts w:ascii="Calibri" w:hAnsi="Calibri" w:cs="Calibri"/>
          <w:sz w:val="22"/>
          <w:szCs w:val="22"/>
        </w:rPr>
        <w:t xml:space="preserve"> early</w:t>
      </w:r>
      <w:r w:rsidRPr="00D9152B">
        <w:rPr>
          <w:rFonts w:ascii="Calibri" w:hAnsi="Calibri" w:cs="Calibri"/>
          <w:sz w:val="22"/>
          <w:szCs w:val="22"/>
        </w:rPr>
        <w:t xml:space="preserve"> </w:t>
      </w:r>
      <w:r w:rsidR="003262C3" w:rsidRPr="00D9152B">
        <w:rPr>
          <w:rFonts w:ascii="Calibri" w:hAnsi="Calibri" w:cs="Calibri"/>
          <w:sz w:val="22"/>
          <w:szCs w:val="22"/>
        </w:rPr>
        <w:t>nineteenth</w:t>
      </w:r>
      <w:r w:rsidRPr="00D9152B">
        <w:rPr>
          <w:rFonts w:ascii="Calibri" w:hAnsi="Calibri" w:cs="Calibri"/>
          <w:sz w:val="22"/>
          <w:szCs w:val="22"/>
        </w:rPr>
        <w:t xml:space="preserve"> century to the launch of the OCP.</w:t>
      </w:r>
      <w:r w:rsidR="00722E1F" w:rsidRPr="00D9152B">
        <w:rPr>
          <w:rStyle w:val="FootnoteReference"/>
          <w:rFonts w:ascii="Calibri" w:hAnsi="Calibri" w:cs="Calibri"/>
          <w:sz w:val="22"/>
          <w:szCs w:val="22"/>
        </w:rPr>
        <w:footnoteReference w:id="127"/>
      </w:r>
      <w:r w:rsidRPr="00D9152B">
        <w:rPr>
          <w:rFonts w:ascii="Calibri" w:hAnsi="Calibri" w:cs="Calibri"/>
          <w:sz w:val="22"/>
          <w:szCs w:val="22"/>
        </w:rPr>
        <w:t xml:space="preserve"> When combined with governance-based analysis of OCP decision-making structures and financing, I argue that these methods can paint a vivid picture of the differences between</w:t>
      </w:r>
      <w:r w:rsidR="00722E1F" w:rsidRPr="00D9152B">
        <w:rPr>
          <w:rFonts w:ascii="Calibri" w:hAnsi="Calibri" w:cs="Calibri"/>
          <w:sz w:val="22"/>
          <w:szCs w:val="22"/>
        </w:rPr>
        <w:t xml:space="preserve"> success</w:t>
      </w:r>
      <w:r w:rsidRPr="00D9152B">
        <w:rPr>
          <w:rFonts w:ascii="Calibri" w:hAnsi="Calibri" w:cs="Calibri"/>
          <w:sz w:val="22"/>
          <w:szCs w:val="22"/>
        </w:rPr>
        <w:t xml:space="preserve"> rhetoric and </w:t>
      </w:r>
      <w:r w:rsidR="00722E1F" w:rsidRPr="00D9152B">
        <w:rPr>
          <w:rFonts w:ascii="Calibri" w:hAnsi="Calibri" w:cs="Calibri"/>
          <w:sz w:val="22"/>
          <w:szCs w:val="22"/>
        </w:rPr>
        <w:t>underlying practice</w:t>
      </w:r>
      <w:r w:rsidR="00722E1F" w:rsidRPr="00D9152B">
        <w:rPr>
          <w:rStyle w:val="FootnoteReference"/>
          <w:rFonts w:ascii="Calibri" w:hAnsi="Calibri" w:cs="Calibri"/>
          <w:sz w:val="22"/>
          <w:szCs w:val="22"/>
        </w:rPr>
        <w:footnoteReference w:id="128"/>
      </w:r>
      <w:r w:rsidRPr="00D9152B">
        <w:rPr>
          <w:rFonts w:ascii="Calibri" w:hAnsi="Calibri" w:cs="Calibri"/>
          <w:sz w:val="22"/>
          <w:szCs w:val="22"/>
        </w:rPr>
        <w:t xml:space="preserve"> in global health success.</w:t>
      </w:r>
    </w:p>
    <w:p w14:paraId="3E0AB78C" w14:textId="77777777" w:rsidR="00A72566" w:rsidRPr="00D9152B" w:rsidRDefault="00A72566" w:rsidP="00D46281">
      <w:pPr>
        <w:pStyle w:val="Heading1"/>
        <w:rPr>
          <w:rFonts w:ascii="Calibri" w:hAnsi="Calibri" w:cs="Calibri"/>
          <w:b/>
          <w:sz w:val="36"/>
          <w:szCs w:val="36"/>
        </w:rPr>
        <w:sectPr w:rsidR="00A72566" w:rsidRPr="00D9152B" w:rsidSect="00A72566">
          <w:footnotePr>
            <w:numRestart w:val="eachSect"/>
          </w:footnotePr>
          <w:type w:val="continuous"/>
          <w:pgSz w:w="11906" w:h="16838"/>
          <w:pgMar w:top="1134" w:right="1558" w:bottom="2268" w:left="2268" w:header="708" w:footer="708" w:gutter="0"/>
          <w:cols w:space="708"/>
          <w:docGrid w:linePitch="360"/>
        </w:sectPr>
      </w:pPr>
    </w:p>
    <w:p w14:paraId="37DEE998" w14:textId="77777777" w:rsidR="00FC2551" w:rsidRDefault="00FC2551">
      <w:pPr>
        <w:spacing w:line="360" w:lineRule="auto"/>
        <w:rPr>
          <w:rFonts w:ascii="Calibri" w:eastAsiaTheme="majorEastAsia" w:hAnsi="Calibri" w:cs="Calibri"/>
          <w:b/>
          <w:color w:val="2E74B5" w:themeColor="accent1" w:themeShade="BF"/>
          <w:sz w:val="36"/>
          <w:szCs w:val="36"/>
        </w:rPr>
      </w:pPr>
      <w:r>
        <w:rPr>
          <w:rFonts w:ascii="Calibri" w:hAnsi="Calibri" w:cs="Calibri"/>
          <w:b/>
          <w:sz w:val="36"/>
          <w:szCs w:val="36"/>
        </w:rPr>
        <w:lastRenderedPageBreak/>
        <w:br w:type="page"/>
      </w:r>
    </w:p>
    <w:p w14:paraId="7CB59656" w14:textId="402072BF" w:rsidR="000A06B7" w:rsidRPr="00D9152B" w:rsidRDefault="005F7BFA" w:rsidP="00D46281">
      <w:pPr>
        <w:pStyle w:val="Heading1"/>
        <w:rPr>
          <w:rFonts w:ascii="Calibri" w:hAnsi="Calibri" w:cs="Calibri"/>
          <w:b/>
          <w:sz w:val="36"/>
          <w:szCs w:val="36"/>
        </w:rPr>
      </w:pPr>
      <w:bookmarkStart w:id="33" w:name="_Toc41505607"/>
      <w:r w:rsidRPr="00D9152B">
        <w:rPr>
          <w:rFonts w:ascii="Calibri" w:hAnsi="Calibri" w:cs="Calibri"/>
          <w:b/>
          <w:sz w:val="36"/>
          <w:szCs w:val="36"/>
        </w:rPr>
        <w:lastRenderedPageBreak/>
        <w:t>Chapter 3.</w:t>
      </w:r>
      <w:bookmarkEnd w:id="33"/>
      <w:r w:rsidR="00AC53E7" w:rsidRPr="00D9152B">
        <w:rPr>
          <w:rFonts w:ascii="Calibri" w:hAnsi="Calibri" w:cs="Calibri"/>
          <w:b/>
          <w:sz w:val="36"/>
          <w:szCs w:val="36"/>
        </w:rPr>
        <w:t xml:space="preserve"> </w:t>
      </w:r>
    </w:p>
    <w:p w14:paraId="4FF3FE82" w14:textId="1FAC3DD0" w:rsidR="00AC53E7" w:rsidRPr="00D9152B" w:rsidRDefault="007E7600" w:rsidP="00D46281">
      <w:pPr>
        <w:pStyle w:val="Heading1"/>
        <w:rPr>
          <w:rFonts w:ascii="Calibri" w:hAnsi="Calibri" w:cs="Calibri"/>
          <w:b/>
          <w:sz w:val="36"/>
          <w:szCs w:val="36"/>
        </w:rPr>
      </w:pPr>
      <w:bookmarkStart w:id="34" w:name="_Toc41505608"/>
      <w:r w:rsidRPr="00D9152B">
        <w:rPr>
          <w:rFonts w:ascii="Calibri" w:hAnsi="Calibri" w:cs="Calibri"/>
          <w:b/>
          <w:sz w:val="36"/>
          <w:szCs w:val="36"/>
        </w:rPr>
        <w:t xml:space="preserve">The </w:t>
      </w:r>
      <w:r w:rsidR="0059230B" w:rsidRPr="00D9152B">
        <w:rPr>
          <w:rFonts w:ascii="Calibri" w:hAnsi="Calibri" w:cs="Calibri"/>
          <w:b/>
          <w:sz w:val="36"/>
          <w:szCs w:val="36"/>
        </w:rPr>
        <w:t xml:space="preserve">World Bank &amp; the </w:t>
      </w:r>
      <w:r w:rsidR="006279F7" w:rsidRPr="00D9152B">
        <w:rPr>
          <w:rFonts w:ascii="Calibri" w:hAnsi="Calibri" w:cs="Calibri"/>
          <w:b/>
          <w:sz w:val="36"/>
          <w:szCs w:val="36"/>
        </w:rPr>
        <w:t>dominant narrative</w:t>
      </w:r>
      <w:bookmarkEnd w:id="34"/>
    </w:p>
    <w:p w14:paraId="795CBCC0" w14:textId="756E12B0" w:rsidR="00D46281" w:rsidRPr="00D9152B" w:rsidRDefault="00D46281" w:rsidP="00D46281">
      <w:pPr>
        <w:rPr>
          <w:rFonts w:ascii="Calibri" w:hAnsi="Calibri" w:cs="Calibri"/>
        </w:rPr>
      </w:pPr>
    </w:p>
    <w:p w14:paraId="4E2039D1" w14:textId="4774B745" w:rsidR="006279F7" w:rsidRPr="00D9152B" w:rsidRDefault="0009749C" w:rsidP="002F22C3">
      <w:pPr>
        <w:pStyle w:val="Heading2"/>
        <w:spacing w:before="100" w:beforeAutospacing="1" w:after="100" w:afterAutospacing="1" w:line="360" w:lineRule="auto"/>
        <w:rPr>
          <w:rFonts w:ascii="Calibri" w:hAnsi="Calibri" w:cs="Calibri"/>
          <w:b/>
          <w:sz w:val="26"/>
          <w:szCs w:val="26"/>
        </w:rPr>
      </w:pPr>
      <w:bookmarkStart w:id="35" w:name="_Toc41505609"/>
      <w:r w:rsidRPr="00D9152B">
        <w:rPr>
          <w:rFonts w:ascii="Calibri" w:hAnsi="Calibri" w:cs="Calibri"/>
          <w:b/>
          <w:sz w:val="26"/>
          <w:szCs w:val="26"/>
        </w:rPr>
        <w:t>3.</w:t>
      </w:r>
      <w:r w:rsidR="002F22C3" w:rsidRPr="00D9152B">
        <w:rPr>
          <w:rFonts w:ascii="Calibri" w:hAnsi="Calibri" w:cs="Calibri"/>
          <w:b/>
          <w:sz w:val="26"/>
          <w:szCs w:val="26"/>
        </w:rPr>
        <w:t xml:space="preserve">1. </w:t>
      </w:r>
      <w:r w:rsidR="006279F7" w:rsidRPr="00D9152B">
        <w:rPr>
          <w:rFonts w:ascii="Calibri" w:hAnsi="Calibri" w:cs="Calibri"/>
          <w:b/>
          <w:sz w:val="26"/>
          <w:szCs w:val="26"/>
        </w:rPr>
        <w:t xml:space="preserve">Introduction: </w:t>
      </w:r>
      <w:r w:rsidR="0037052F" w:rsidRPr="00D9152B">
        <w:rPr>
          <w:rFonts w:ascii="Calibri" w:hAnsi="Calibri" w:cs="Calibri"/>
          <w:b/>
          <w:sz w:val="26"/>
          <w:szCs w:val="26"/>
        </w:rPr>
        <w:t>Disentangling the</w:t>
      </w:r>
      <w:r w:rsidR="006279F7" w:rsidRPr="00D9152B">
        <w:rPr>
          <w:rFonts w:ascii="Calibri" w:hAnsi="Calibri" w:cs="Calibri"/>
          <w:b/>
          <w:sz w:val="26"/>
          <w:szCs w:val="26"/>
        </w:rPr>
        <w:t xml:space="preserve"> </w:t>
      </w:r>
      <w:r w:rsidR="006279F7" w:rsidRPr="00D9152B">
        <w:rPr>
          <w:rFonts w:ascii="Calibri" w:hAnsi="Calibri" w:cs="Calibri"/>
          <w:b/>
          <w:i/>
          <w:sz w:val="26"/>
          <w:szCs w:val="26"/>
        </w:rPr>
        <w:t xml:space="preserve">Bank’s </w:t>
      </w:r>
      <w:r w:rsidR="006279F7" w:rsidRPr="00D9152B">
        <w:rPr>
          <w:rFonts w:ascii="Calibri" w:hAnsi="Calibri" w:cs="Calibri"/>
          <w:b/>
          <w:sz w:val="26"/>
          <w:szCs w:val="26"/>
        </w:rPr>
        <w:t>role</w:t>
      </w:r>
      <w:r w:rsidR="00131376" w:rsidRPr="00D9152B">
        <w:rPr>
          <w:rFonts w:ascii="Calibri" w:hAnsi="Calibri" w:cs="Calibri"/>
          <w:b/>
          <w:sz w:val="26"/>
          <w:szCs w:val="26"/>
        </w:rPr>
        <w:t xml:space="preserve"> in </w:t>
      </w:r>
      <w:r w:rsidR="0037052F" w:rsidRPr="00D9152B">
        <w:rPr>
          <w:rFonts w:ascii="Calibri" w:hAnsi="Calibri" w:cs="Calibri"/>
          <w:b/>
          <w:sz w:val="26"/>
          <w:szCs w:val="26"/>
        </w:rPr>
        <w:t>the OCP</w:t>
      </w:r>
      <w:bookmarkEnd w:id="35"/>
    </w:p>
    <w:p w14:paraId="731B44B9" w14:textId="3688E6BB" w:rsidR="00E01F32" w:rsidRPr="00D9152B" w:rsidRDefault="00180ADF" w:rsidP="00510F9B">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w:t>
      </w:r>
      <w:r w:rsidR="00D3476E" w:rsidRPr="00D9152B">
        <w:rPr>
          <w:rFonts w:ascii="Calibri" w:hAnsi="Calibri" w:cs="Calibri"/>
          <w:sz w:val="22"/>
          <w:szCs w:val="22"/>
        </w:rPr>
        <w:t xml:space="preserve">he three </w:t>
      </w:r>
      <w:r w:rsidR="00E01F32" w:rsidRPr="00D9152B">
        <w:rPr>
          <w:rFonts w:ascii="Calibri" w:hAnsi="Calibri" w:cs="Calibri"/>
          <w:sz w:val="22"/>
          <w:szCs w:val="22"/>
        </w:rPr>
        <w:t>frameworks of success</w:t>
      </w:r>
      <w:r w:rsidR="00230267" w:rsidRPr="00D9152B">
        <w:rPr>
          <w:rFonts w:ascii="Calibri" w:hAnsi="Calibri" w:cs="Calibri"/>
          <w:sz w:val="22"/>
          <w:szCs w:val="22"/>
        </w:rPr>
        <w:t xml:space="preserve"> presented in Chapter 2</w:t>
      </w:r>
      <w:r w:rsidR="00E01F32" w:rsidRPr="00D9152B">
        <w:rPr>
          <w:rFonts w:ascii="Calibri" w:hAnsi="Calibri" w:cs="Calibri"/>
          <w:sz w:val="22"/>
          <w:szCs w:val="22"/>
        </w:rPr>
        <w:t xml:space="preserve"> can be broadly distinguished by whether they view metrics as evidence-based or constructible, and </w:t>
      </w:r>
      <w:r w:rsidR="00D3476E" w:rsidRPr="00D9152B">
        <w:rPr>
          <w:rFonts w:ascii="Calibri" w:hAnsi="Calibri" w:cs="Calibri"/>
          <w:sz w:val="22"/>
          <w:szCs w:val="22"/>
        </w:rPr>
        <w:t xml:space="preserve">the importance that they attach to </w:t>
      </w:r>
      <w:r w:rsidR="00AA0B7A" w:rsidRPr="00D9152B">
        <w:rPr>
          <w:rFonts w:ascii="Calibri" w:hAnsi="Calibri" w:cs="Calibri"/>
          <w:sz w:val="22"/>
          <w:szCs w:val="22"/>
        </w:rPr>
        <w:t>powerful global health actors’</w:t>
      </w:r>
      <w:r w:rsidR="003F2F55" w:rsidRPr="00D9152B">
        <w:rPr>
          <w:rFonts w:ascii="Calibri" w:hAnsi="Calibri" w:cs="Calibri"/>
          <w:sz w:val="22"/>
          <w:szCs w:val="22"/>
        </w:rPr>
        <w:t xml:space="preserve"> dissemination of these metrics</w:t>
      </w:r>
      <w:r w:rsidR="00E01F32" w:rsidRPr="00D9152B">
        <w:rPr>
          <w:rFonts w:ascii="Calibri" w:hAnsi="Calibri" w:cs="Calibri"/>
          <w:sz w:val="22"/>
          <w:szCs w:val="22"/>
        </w:rPr>
        <w:t xml:space="preserve">. The OCP provides an interesting window into these frameworks of success because its ‘dominant narrative’ is so wide-reaching. </w:t>
      </w:r>
      <w:r w:rsidR="00D3476E" w:rsidRPr="00D9152B">
        <w:rPr>
          <w:rFonts w:ascii="Calibri" w:hAnsi="Calibri" w:cs="Calibri"/>
          <w:sz w:val="22"/>
          <w:szCs w:val="22"/>
        </w:rPr>
        <w:t>Chapter 1</w:t>
      </w:r>
      <w:r w:rsidR="00E01F32" w:rsidRPr="00D9152B">
        <w:rPr>
          <w:rFonts w:ascii="Calibri" w:hAnsi="Calibri" w:cs="Calibri"/>
          <w:sz w:val="22"/>
          <w:szCs w:val="22"/>
        </w:rPr>
        <w:t xml:space="preserve"> described how at least 218 publications</w:t>
      </w:r>
      <w:r w:rsidR="00510F9B" w:rsidRPr="00D9152B">
        <w:rPr>
          <w:rFonts w:ascii="Calibri" w:hAnsi="Calibri" w:cs="Calibri"/>
          <w:sz w:val="22"/>
          <w:szCs w:val="22"/>
        </w:rPr>
        <w:t xml:space="preserve"> and 80 news or feature stories reference success and the OCP. Similarly, </w:t>
      </w:r>
      <w:r w:rsidR="00E01F32" w:rsidRPr="00D9152B">
        <w:rPr>
          <w:rFonts w:ascii="Calibri" w:hAnsi="Calibri" w:cs="Calibri"/>
          <w:sz w:val="22"/>
          <w:szCs w:val="22"/>
        </w:rPr>
        <w:t xml:space="preserve">aspects of programme successes are discussed in hundreds of memoranda, reports, handwritten notes, and draft documents in the World Bank archives. </w:t>
      </w:r>
    </w:p>
    <w:p w14:paraId="312EF2B6" w14:textId="331DC0EF" w:rsidR="00E41315" w:rsidRPr="00D9152B" w:rsidRDefault="00180ADF" w:rsidP="00F71A21">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One of the Bank’s earliest health specialists, Bernhard Liese, has reflected that ‘how the Bank is governed internally has a very powerful effect on how it interacts with its clients’. Liese argues that such governance ‘is often minimized when looking at the history of the institution’</w:t>
      </w:r>
      <w:r w:rsidRPr="00D9152B">
        <w:rPr>
          <w:rStyle w:val="FootnoteReference"/>
          <w:rFonts w:ascii="Calibri" w:hAnsi="Calibri" w:cs="Calibri"/>
          <w:sz w:val="22"/>
          <w:szCs w:val="22"/>
        </w:rPr>
        <w:footnoteReference w:id="129"/>
      </w:r>
      <w:r w:rsidRPr="00D9152B">
        <w:rPr>
          <w:rFonts w:ascii="Calibri" w:hAnsi="Calibri" w:cs="Calibri"/>
          <w:sz w:val="22"/>
          <w:szCs w:val="22"/>
        </w:rPr>
        <w:t xml:space="preserve"> and when studying institutions’ roles in multilateral health programmes,</w:t>
      </w:r>
      <w:r w:rsidRPr="00D9152B">
        <w:rPr>
          <w:rStyle w:val="FootnoteReference"/>
          <w:rFonts w:ascii="Calibri" w:hAnsi="Calibri" w:cs="Calibri"/>
          <w:sz w:val="22"/>
          <w:szCs w:val="22"/>
        </w:rPr>
        <w:footnoteReference w:id="130"/>
      </w:r>
      <w:r w:rsidRPr="00D9152B">
        <w:rPr>
          <w:rFonts w:ascii="Calibri" w:hAnsi="Calibri" w:cs="Calibri"/>
          <w:sz w:val="22"/>
          <w:szCs w:val="22"/>
        </w:rPr>
        <w:t xml:space="preserve"> largely because of the complex web of actors involved in regional or global health programmes. This chapter attempts to fill Liese’s gap by </w:t>
      </w:r>
      <w:r w:rsidR="001631D2" w:rsidRPr="00D9152B">
        <w:rPr>
          <w:rFonts w:ascii="Calibri" w:hAnsi="Calibri" w:cs="Calibri"/>
          <w:sz w:val="22"/>
          <w:szCs w:val="22"/>
        </w:rPr>
        <w:t>describing</w:t>
      </w:r>
      <w:r w:rsidRPr="00D9152B">
        <w:rPr>
          <w:rFonts w:ascii="Calibri" w:hAnsi="Calibri" w:cs="Calibri"/>
          <w:sz w:val="22"/>
          <w:szCs w:val="22"/>
        </w:rPr>
        <w:t xml:space="preserve"> the role of the World Bank in the OCP programme and the dissemination of its successes. </w:t>
      </w:r>
    </w:p>
    <w:p w14:paraId="59C77BB8" w14:textId="24CB84A4" w:rsidR="00F71A21" w:rsidRPr="00D9152B" w:rsidRDefault="00E41315" w:rsidP="00F71A21">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First, it sets the stage by defining the ‘Bank’, in terms of its agencies and general governance structure. Next, it summarises the Bank’s </w:t>
      </w:r>
      <w:r w:rsidR="00FD7063" w:rsidRPr="00D9152B">
        <w:rPr>
          <w:rFonts w:ascii="Calibri" w:hAnsi="Calibri" w:cs="Calibri"/>
          <w:sz w:val="22"/>
          <w:szCs w:val="22"/>
        </w:rPr>
        <w:t xml:space="preserve">structural role during the programme. Third, it </w:t>
      </w:r>
      <w:r w:rsidR="00F71A21" w:rsidRPr="00D9152B">
        <w:rPr>
          <w:rFonts w:ascii="Calibri" w:hAnsi="Calibri" w:cs="Calibri"/>
          <w:sz w:val="22"/>
          <w:szCs w:val="22"/>
        </w:rPr>
        <w:t>provides an in-depth analysis of</w:t>
      </w:r>
      <w:r w:rsidR="00FD7063" w:rsidRPr="00D9152B">
        <w:rPr>
          <w:rFonts w:ascii="Calibri" w:hAnsi="Calibri" w:cs="Calibri"/>
          <w:sz w:val="22"/>
          <w:szCs w:val="22"/>
        </w:rPr>
        <w:t xml:space="preserve"> the dominant narrative and Bank success narrative. In doing so, it identifies four components that are important for unpacking an ‘underlying narrative’ of OCP operations. Finally, it </w:t>
      </w:r>
      <w:r w:rsidR="00F71A21" w:rsidRPr="00D9152B">
        <w:rPr>
          <w:rFonts w:ascii="Calibri" w:hAnsi="Calibri" w:cs="Calibri"/>
          <w:sz w:val="22"/>
          <w:szCs w:val="22"/>
        </w:rPr>
        <w:t>describes</w:t>
      </w:r>
      <w:r w:rsidR="00FD7063" w:rsidRPr="00D9152B">
        <w:rPr>
          <w:rFonts w:ascii="Calibri" w:hAnsi="Calibri" w:cs="Calibri"/>
          <w:sz w:val="22"/>
          <w:szCs w:val="22"/>
        </w:rPr>
        <w:t xml:space="preserve"> how </w:t>
      </w:r>
      <w:r w:rsidR="00F71A21" w:rsidRPr="00D9152B">
        <w:rPr>
          <w:rFonts w:ascii="Calibri" w:hAnsi="Calibri" w:cs="Calibri"/>
          <w:sz w:val="22"/>
          <w:szCs w:val="22"/>
        </w:rPr>
        <w:t xml:space="preserve">the Bank’s </w:t>
      </w:r>
      <w:r w:rsidR="00F71A21" w:rsidRPr="00D9152B">
        <w:rPr>
          <w:rFonts w:ascii="Calibri" w:hAnsi="Calibri" w:cs="Calibri"/>
          <w:sz w:val="22"/>
          <w:szCs w:val="22"/>
        </w:rPr>
        <w:lastRenderedPageBreak/>
        <w:t>internal governance and</w:t>
      </w:r>
      <w:r w:rsidR="00FD7063" w:rsidRPr="00D9152B">
        <w:rPr>
          <w:rFonts w:ascii="Calibri" w:hAnsi="Calibri" w:cs="Calibri"/>
          <w:sz w:val="22"/>
          <w:szCs w:val="22"/>
        </w:rPr>
        <w:t xml:space="preserve"> success narrative relates to </w:t>
      </w:r>
      <w:r w:rsidR="00B43DC6" w:rsidRPr="00D9152B">
        <w:rPr>
          <w:rFonts w:ascii="Calibri" w:hAnsi="Calibri" w:cs="Calibri"/>
          <w:sz w:val="22"/>
          <w:szCs w:val="22"/>
        </w:rPr>
        <w:t xml:space="preserve">previous </w:t>
      </w:r>
      <w:r w:rsidR="00FD7063" w:rsidRPr="00D9152B">
        <w:rPr>
          <w:rFonts w:ascii="Calibri" w:hAnsi="Calibri" w:cs="Calibri"/>
          <w:sz w:val="22"/>
          <w:szCs w:val="22"/>
        </w:rPr>
        <w:t>scholarship on the Bank’s role in global health</w:t>
      </w:r>
      <w:r w:rsidR="00F71A21" w:rsidRPr="00D9152B">
        <w:rPr>
          <w:rFonts w:ascii="Calibri" w:hAnsi="Calibri" w:cs="Calibri"/>
          <w:sz w:val="22"/>
          <w:szCs w:val="22"/>
        </w:rPr>
        <w:t xml:space="preserve"> from the 1970s to the early 2000s. Ultimately, the chapter argues that the Bank’s programmatic influence was disproportionate to its actual monetary and personnel investment in the programme – and that the Bank’s institutional ethos, which increasingly emphasised cost-effectiveness and public-private partnerships, is </w:t>
      </w:r>
      <w:r w:rsidR="001631D2" w:rsidRPr="00D9152B">
        <w:rPr>
          <w:rFonts w:ascii="Calibri" w:hAnsi="Calibri" w:cs="Calibri"/>
          <w:sz w:val="22"/>
          <w:szCs w:val="22"/>
        </w:rPr>
        <w:t xml:space="preserve">deeply </w:t>
      </w:r>
      <w:r w:rsidR="00F71A21" w:rsidRPr="00D9152B">
        <w:rPr>
          <w:rFonts w:ascii="Calibri" w:hAnsi="Calibri" w:cs="Calibri"/>
          <w:sz w:val="22"/>
          <w:szCs w:val="22"/>
        </w:rPr>
        <w:t>reflected in its success narrative.</w:t>
      </w:r>
    </w:p>
    <w:p w14:paraId="25576636" w14:textId="29655A67" w:rsidR="00E87B89" w:rsidRPr="00D9152B" w:rsidRDefault="00E87B89" w:rsidP="00E87B89">
      <w:pPr>
        <w:pStyle w:val="Heading2"/>
        <w:spacing w:before="100" w:beforeAutospacing="1" w:after="100" w:afterAutospacing="1" w:line="360" w:lineRule="auto"/>
        <w:rPr>
          <w:rFonts w:ascii="Calibri" w:hAnsi="Calibri" w:cs="Calibri"/>
          <w:b/>
          <w:sz w:val="26"/>
          <w:szCs w:val="26"/>
        </w:rPr>
      </w:pPr>
      <w:bookmarkStart w:id="36" w:name="_Toc41505610"/>
      <w:r w:rsidRPr="00D9152B">
        <w:rPr>
          <w:rFonts w:ascii="Calibri" w:hAnsi="Calibri" w:cs="Calibri"/>
          <w:b/>
          <w:sz w:val="26"/>
          <w:szCs w:val="26"/>
        </w:rPr>
        <w:t xml:space="preserve">3.2. </w:t>
      </w:r>
      <w:r w:rsidR="007A62EF" w:rsidRPr="00D9152B">
        <w:rPr>
          <w:rFonts w:ascii="Calibri" w:hAnsi="Calibri" w:cs="Calibri"/>
          <w:b/>
          <w:sz w:val="26"/>
          <w:szCs w:val="26"/>
        </w:rPr>
        <w:t>The Bank and OCP governance</w:t>
      </w:r>
      <w:bookmarkEnd w:id="36"/>
    </w:p>
    <w:p w14:paraId="659301D4" w14:textId="5E6AC83D" w:rsidR="007A62EF" w:rsidRPr="00D9152B" w:rsidRDefault="007A62EF" w:rsidP="007A62EF">
      <w:pPr>
        <w:pStyle w:val="Heading3"/>
        <w:spacing w:line="360" w:lineRule="auto"/>
        <w:rPr>
          <w:rFonts w:ascii="Calibri" w:hAnsi="Calibri" w:cs="Calibri"/>
          <w:b/>
          <w:i/>
          <w:color w:val="000000" w:themeColor="text1"/>
          <w:sz w:val="22"/>
          <w:szCs w:val="22"/>
        </w:rPr>
      </w:pPr>
      <w:bookmarkStart w:id="37" w:name="_Toc41505611"/>
      <w:r w:rsidRPr="00D9152B">
        <w:rPr>
          <w:rFonts w:ascii="Calibri" w:hAnsi="Calibri" w:cs="Calibri"/>
          <w:b/>
          <w:i/>
          <w:color w:val="000000" w:themeColor="text1"/>
          <w:sz w:val="22"/>
          <w:szCs w:val="22"/>
        </w:rPr>
        <w:t>3.2.A. What is the World Bank and how is it financed?</w:t>
      </w:r>
      <w:bookmarkEnd w:id="37"/>
    </w:p>
    <w:p w14:paraId="2569C6CB" w14:textId="15D19F80" w:rsidR="00476F4C" w:rsidRPr="00D9152B" w:rsidRDefault="00476F4C" w:rsidP="00476F4C">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 World Bank is neither a single institution nor a ‘bank’ in the strict sense of the word. Instead, it includes two distinct institutions: the International Bank for Reconstruction and Development (IBRD) and International Development Agency (IDA). The World Bank itself sits within a larger umbrella organization, the World Bank Group, which includes three additional agencies: the International Finance Corporation (IFC), Multilateral Investment Guarantee Agency (MIGA), and the International Center for the Settlement of Investment Disputes (ICSID). Each of these agencies has a unique mandate, and most global health programmes are managed by IBRD, IDA, or, when organized by for-profit corporations, IFC.</w:t>
      </w:r>
    </w:p>
    <w:p w14:paraId="65FC2905" w14:textId="76006F77" w:rsidR="00476F4C" w:rsidRPr="00D9152B" w:rsidRDefault="00476F4C" w:rsidP="00476F4C">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 backbone of the modern multilateral framework was set in the summer of 1944. At the Bretton Woods Conference, a coalition of Allies launched the United Nations, including the WHO, and decided upon the Articles of Agreement for the World Bank. Two years later, IBRD</w:t>
      </w:r>
      <w:r w:rsidR="00E87B89" w:rsidRPr="00D9152B">
        <w:rPr>
          <w:rFonts w:ascii="Calibri" w:hAnsi="Calibri" w:cs="Calibri"/>
          <w:sz w:val="22"/>
          <w:szCs w:val="22"/>
        </w:rPr>
        <w:t xml:space="preserve"> opened its </w:t>
      </w:r>
      <w:r w:rsidRPr="00D9152B">
        <w:rPr>
          <w:rFonts w:ascii="Calibri" w:hAnsi="Calibri" w:cs="Calibri"/>
          <w:sz w:val="22"/>
          <w:szCs w:val="22"/>
        </w:rPr>
        <w:t xml:space="preserve">doors, and in 1947 </w:t>
      </w:r>
      <w:r w:rsidR="00E87B89" w:rsidRPr="00D9152B">
        <w:rPr>
          <w:rFonts w:ascii="Calibri" w:hAnsi="Calibri" w:cs="Calibri"/>
          <w:sz w:val="22"/>
          <w:szCs w:val="22"/>
        </w:rPr>
        <w:t>it</w:t>
      </w:r>
      <w:r w:rsidRPr="00D9152B">
        <w:rPr>
          <w:rFonts w:ascii="Calibri" w:hAnsi="Calibri" w:cs="Calibri"/>
          <w:sz w:val="22"/>
          <w:szCs w:val="22"/>
        </w:rPr>
        <w:t xml:space="preserve"> made its first loan</w:t>
      </w:r>
      <w:r w:rsidR="00E87B89" w:rsidRPr="00D9152B">
        <w:rPr>
          <w:rFonts w:ascii="Calibri" w:hAnsi="Calibri" w:cs="Calibri"/>
          <w:sz w:val="22"/>
          <w:szCs w:val="22"/>
        </w:rPr>
        <w:t xml:space="preserve"> to support reconstruction in Europe</w:t>
      </w:r>
      <w:r w:rsidRPr="00D9152B">
        <w:rPr>
          <w:rFonts w:ascii="Calibri" w:hAnsi="Calibri" w:cs="Calibri"/>
          <w:sz w:val="22"/>
          <w:szCs w:val="22"/>
        </w:rPr>
        <w:t>.</w:t>
      </w:r>
      <w:r w:rsidRPr="00D9152B">
        <w:rPr>
          <w:rStyle w:val="FootnoteReference"/>
          <w:rFonts w:ascii="Calibri" w:hAnsi="Calibri" w:cs="Calibri"/>
          <w:sz w:val="22"/>
          <w:szCs w:val="22"/>
        </w:rPr>
        <w:footnoteReference w:id="131"/>
      </w:r>
      <w:r w:rsidRPr="00D9152B">
        <w:rPr>
          <w:rFonts w:ascii="Calibri" w:hAnsi="Calibri" w:cs="Calibri"/>
          <w:sz w:val="22"/>
          <w:szCs w:val="22"/>
        </w:rPr>
        <w:t xml:space="preserve"> As the world’s first multilateral development bank, IBRD differed from other specialized United Nations agencies in a major way: it raised funds through private financial markets.</w:t>
      </w:r>
      <w:r w:rsidRPr="00D9152B">
        <w:rPr>
          <w:rStyle w:val="FootnoteReference"/>
          <w:rFonts w:ascii="Calibri" w:hAnsi="Calibri" w:cs="Calibri"/>
          <w:sz w:val="22"/>
          <w:szCs w:val="22"/>
        </w:rPr>
        <w:footnoteReference w:id="132"/>
      </w:r>
      <w:r w:rsidRPr="00D9152B">
        <w:rPr>
          <w:rFonts w:ascii="Calibri" w:hAnsi="Calibri" w:cs="Calibri"/>
          <w:sz w:val="22"/>
          <w:szCs w:val="22"/>
        </w:rPr>
        <w:t xml:space="preserve"> Its financing was – and continues to be – raised in two ways. The majority of IBRD’s capital comes from purchasing AAA bonds, which are guaranteed by its nation-state members in accordance with their economic strength, and lending against them. A small proportion of funds (typically less than 5 percent) are also </w:t>
      </w:r>
      <w:r w:rsidRPr="00D9152B">
        <w:rPr>
          <w:rFonts w:ascii="Calibri" w:hAnsi="Calibri" w:cs="Calibri"/>
          <w:sz w:val="22"/>
          <w:szCs w:val="22"/>
        </w:rPr>
        <w:lastRenderedPageBreak/>
        <w:t>raised by member states’ subscribed capital, based on these states’ national income.</w:t>
      </w:r>
      <w:r w:rsidRPr="00D9152B">
        <w:rPr>
          <w:rStyle w:val="FootnoteReference"/>
          <w:rFonts w:ascii="Calibri" w:hAnsi="Calibri" w:cs="Calibri"/>
          <w:sz w:val="22"/>
          <w:szCs w:val="22"/>
        </w:rPr>
        <w:footnoteReference w:id="133"/>
      </w:r>
      <w:r w:rsidRPr="00D9152B">
        <w:rPr>
          <w:rFonts w:ascii="Calibri" w:hAnsi="Calibri" w:cs="Calibri"/>
          <w:sz w:val="22"/>
          <w:szCs w:val="22"/>
        </w:rPr>
        <w:t xml:space="preserve"> In effect, IBRD leverages the credit worthiness of its wealthy members to raise credit on Wall Street, and then loans this credit to less wealthy countries.</w:t>
      </w:r>
    </w:p>
    <w:p w14:paraId="15BE8567" w14:textId="294E34C8" w:rsidR="00476F4C" w:rsidRDefault="00476F4C" w:rsidP="00476F4C">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For its first fifteen years, the Bank maintained a conservative portfolio, lending at near market rates to primarily middle-income countries.</w:t>
      </w:r>
      <w:r w:rsidRPr="00D9152B">
        <w:rPr>
          <w:rStyle w:val="FootnoteReference"/>
          <w:rFonts w:ascii="Calibri" w:hAnsi="Calibri" w:cs="Calibri"/>
          <w:sz w:val="22"/>
          <w:szCs w:val="22"/>
        </w:rPr>
        <w:footnoteReference w:id="134"/>
      </w:r>
      <w:r w:rsidRPr="00D9152B">
        <w:rPr>
          <w:rFonts w:ascii="Calibri" w:hAnsi="Calibri" w:cs="Calibri"/>
          <w:sz w:val="22"/>
          <w:szCs w:val="22"/>
        </w:rPr>
        <w:t xml:space="preserve"> By the late 1950s, with its reputation as sound fiscal guardian established, the World Bank Group expanded. First, in 1956, the I</w:t>
      </w:r>
      <w:r w:rsidR="00546CF8" w:rsidRPr="00D9152B">
        <w:rPr>
          <w:rFonts w:ascii="Calibri" w:hAnsi="Calibri" w:cs="Calibri"/>
          <w:sz w:val="22"/>
          <w:szCs w:val="22"/>
        </w:rPr>
        <w:t>nternational Finance Corporation</w:t>
      </w:r>
      <w:r w:rsidRPr="00D9152B">
        <w:rPr>
          <w:rFonts w:ascii="Calibri" w:hAnsi="Calibri" w:cs="Calibri"/>
          <w:sz w:val="22"/>
          <w:szCs w:val="22"/>
        </w:rPr>
        <w:t xml:space="preserve"> </w:t>
      </w:r>
      <w:r w:rsidR="00A70AFE">
        <w:rPr>
          <w:rFonts w:ascii="Calibri" w:hAnsi="Calibri" w:cs="Calibri"/>
          <w:sz w:val="22"/>
          <w:szCs w:val="22"/>
        </w:rPr>
        <w:t xml:space="preserve">(IFC) </w:t>
      </w:r>
      <w:r w:rsidRPr="00D9152B">
        <w:rPr>
          <w:rFonts w:ascii="Calibri" w:hAnsi="Calibri" w:cs="Calibri"/>
          <w:sz w:val="22"/>
          <w:szCs w:val="22"/>
        </w:rPr>
        <w:t>was established, in an attempt to encourage private investment in developing countries. This was followed by the establishment of IDA in 1960, which provided concessional lending (at interest rates below one percent) to low-income countries. In establishing IDA, the Bank began a transition from a financial institution into a full-fledged development agency.</w:t>
      </w:r>
      <w:r w:rsidRPr="00D9152B">
        <w:rPr>
          <w:rStyle w:val="FootnoteReference"/>
          <w:rFonts w:ascii="Calibri" w:hAnsi="Calibri" w:cs="Calibri"/>
          <w:sz w:val="22"/>
          <w:szCs w:val="22"/>
        </w:rPr>
        <w:footnoteReference w:id="135"/>
      </w:r>
      <w:r w:rsidRPr="00D9152B">
        <w:rPr>
          <w:rFonts w:ascii="Calibri" w:hAnsi="Calibri" w:cs="Calibri"/>
          <w:sz w:val="22"/>
          <w:szCs w:val="22"/>
        </w:rPr>
        <w:t xml:space="preserve"> Unlike IBRD, IDA is funded exclusively through members’ capital subscriptions, through a ‘replenishment’ system, typically taking place every three years.</w:t>
      </w:r>
      <w:r w:rsidRPr="00D9152B">
        <w:rPr>
          <w:rStyle w:val="FootnoteReference"/>
          <w:rFonts w:ascii="Calibri" w:hAnsi="Calibri" w:cs="Calibri"/>
          <w:sz w:val="22"/>
          <w:szCs w:val="22"/>
        </w:rPr>
        <w:footnoteReference w:id="136"/>
      </w:r>
      <w:r w:rsidRPr="00D9152B">
        <w:rPr>
          <w:rFonts w:ascii="Calibri" w:hAnsi="Calibri" w:cs="Calibri"/>
          <w:sz w:val="22"/>
          <w:szCs w:val="22"/>
        </w:rPr>
        <w:t xml:space="preserve"> As Sridhar has explained, ‘the creation of IDA meant that the Bank could lend to less stable countries in riskier areas like agriculture, nutrition, water, and rural development’.</w:t>
      </w:r>
      <w:r w:rsidRPr="00D9152B">
        <w:rPr>
          <w:rStyle w:val="FootnoteReference"/>
          <w:rFonts w:ascii="Calibri" w:hAnsi="Calibri" w:cs="Calibri"/>
          <w:sz w:val="22"/>
          <w:szCs w:val="22"/>
        </w:rPr>
        <w:footnoteReference w:id="137"/>
      </w:r>
      <w:r w:rsidRPr="00D9152B">
        <w:rPr>
          <w:rFonts w:ascii="Calibri" w:hAnsi="Calibri" w:cs="Calibri"/>
          <w:sz w:val="22"/>
          <w:szCs w:val="22"/>
        </w:rPr>
        <w:t xml:space="preserve"> </w:t>
      </w:r>
    </w:p>
    <w:p w14:paraId="384BA437" w14:textId="606FFEF0" w:rsidR="00C117C7" w:rsidRDefault="00C117C7" w:rsidP="00C117C7">
      <w:pPr>
        <w:spacing w:before="100" w:beforeAutospacing="1" w:after="100" w:afterAutospacing="1" w:line="360" w:lineRule="auto"/>
        <w:ind w:firstLine="720"/>
        <w:rPr>
          <w:rFonts w:ascii="Calibri" w:hAnsi="Calibri" w:cs="Calibri"/>
          <w:sz w:val="22"/>
          <w:szCs w:val="22"/>
        </w:rPr>
      </w:pPr>
      <w:r w:rsidRPr="00A32897">
        <w:rPr>
          <w:rFonts w:ascii="Calibri" w:hAnsi="Calibri" w:cs="Calibri"/>
          <w:sz w:val="22"/>
          <w:szCs w:val="22"/>
        </w:rPr>
        <w:t xml:space="preserve">Two years before the OCP began, McNamara initiated a major structural </w:t>
      </w:r>
      <w:r>
        <w:rPr>
          <w:rFonts w:ascii="Calibri" w:hAnsi="Calibri" w:cs="Calibri"/>
          <w:sz w:val="22"/>
          <w:szCs w:val="22"/>
        </w:rPr>
        <w:t>overhaul</w:t>
      </w:r>
      <w:r w:rsidRPr="00A32897">
        <w:rPr>
          <w:rFonts w:ascii="Calibri" w:hAnsi="Calibri" w:cs="Calibri"/>
          <w:sz w:val="22"/>
          <w:szCs w:val="22"/>
        </w:rPr>
        <w:t xml:space="preserve"> of the International Bank for Reconstruction and Development (IBRD), in parallel with dramatic increases in staffing and lending. During this time, Bank staff rose from approximately 700 staff – who in the 1960s were often ex-colonial country experts, serving long Bank tenures – to about 3,500 staff.</w:t>
      </w:r>
      <w:r w:rsidRPr="00A32897">
        <w:rPr>
          <w:rStyle w:val="FootnoteReference"/>
          <w:rFonts w:ascii="Calibri" w:hAnsi="Calibri" w:cs="Calibri"/>
          <w:sz w:val="22"/>
          <w:szCs w:val="22"/>
        </w:rPr>
        <w:footnoteReference w:id="138"/>
      </w:r>
      <w:r w:rsidRPr="00A32897">
        <w:rPr>
          <w:rFonts w:ascii="Calibri" w:hAnsi="Calibri" w:cs="Calibri"/>
          <w:sz w:val="22"/>
          <w:szCs w:val="22"/>
        </w:rPr>
        <w:t xml:space="preserve"> As one long-time Africa</w:t>
      </w:r>
      <w:r w:rsidR="00EE59E3">
        <w:rPr>
          <w:rFonts w:ascii="Calibri" w:hAnsi="Calibri" w:cs="Calibri"/>
          <w:sz w:val="22"/>
          <w:szCs w:val="22"/>
        </w:rPr>
        <w:t xml:space="preserve"> regional </w:t>
      </w:r>
      <w:r w:rsidRPr="00A32897">
        <w:rPr>
          <w:rFonts w:ascii="Calibri" w:hAnsi="Calibri" w:cs="Calibri"/>
          <w:sz w:val="22"/>
          <w:szCs w:val="22"/>
        </w:rPr>
        <w:t xml:space="preserve">staffer put it, McNamara believed that the ‘you win the war on poverty as you win the Vietnamese War, with so many millions of dollars and so many bombs’. Bank disbursements rose from around $400 million a year to $4 billion a year, and staff were encouraged to push through as many projects as possible, with an emphasis on ‘statistics, </w:t>
      </w:r>
      <w:r w:rsidRPr="00A32897">
        <w:rPr>
          <w:rFonts w:ascii="Calibri" w:hAnsi="Calibri" w:cs="Calibri"/>
          <w:sz w:val="22"/>
          <w:szCs w:val="22"/>
        </w:rPr>
        <w:lastRenderedPageBreak/>
        <w:t>statistics, statistics’.</w:t>
      </w:r>
      <w:r w:rsidRPr="00A32897">
        <w:rPr>
          <w:rStyle w:val="FootnoteReference"/>
          <w:rFonts w:ascii="Calibri" w:hAnsi="Calibri" w:cs="Calibri"/>
          <w:sz w:val="22"/>
          <w:szCs w:val="22"/>
        </w:rPr>
        <w:footnoteReference w:id="139"/>
      </w:r>
      <w:r w:rsidRPr="00A32897">
        <w:rPr>
          <w:rFonts w:ascii="Calibri" w:hAnsi="Calibri" w:cs="Calibri"/>
          <w:sz w:val="22"/>
          <w:szCs w:val="22"/>
        </w:rPr>
        <w:t xml:space="preserve"> Five new regional offices were established at the Washington DC headquarters, including offices for Eastern and Western Africa. Vice Presidents were appointed to head each of the regional offices, and were given broad responsibility for planning and supervising development assistance program</w:t>
      </w:r>
      <w:r>
        <w:rPr>
          <w:rFonts w:ascii="Calibri" w:hAnsi="Calibri" w:cs="Calibri"/>
          <w:sz w:val="22"/>
          <w:szCs w:val="22"/>
        </w:rPr>
        <w:t>me</w:t>
      </w:r>
      <w:r w:rsidRPr="00A32897">
        <w:rPr>
          <w:rFonts w:ascii="Calibri" w:hAnsi="Calibri" w:cs="Calibri"/>
          <w:sz w:val="22"/>
          <w:szCs w:val="22"/>
        </w:rPr>
        <w:t xml:space="preserve">s in assigned countries. </w:t>
      </w:r>
    </w:p>
    <w:p w14:paraId="40FAC9FE" w14:textId="193AE5CA" w:rsidR="00324980" w:rsidRDefault="00324980" w:rsidP="00324980">
      <w:pPr>
        <w:spacing w:before="100" w:beforeAutospacing="1" w:after="100" w:afterAutospacing="1" w:line="360" w:lineRule="auto"/>
        <w:ind w:firstLine="720"/>
        <w:rPr>
          <w:rFonts w:ascii="Calibri" w:hAnsi="Calibri" w:cs="Calibri"/>
          <w:sz w:val="22"/>
          <w:szCs w:val="22"/>
        </w:rPr>
      </w:pPr>
      <w:r>
        <w:rPr>
          <w:rFonts w:ascii="Calibri" w:hAnsi="Calibri" w:cs="Calibri"/>
          <w:sz w:val="22"/>
          <w:szCs w:val="22"/>
        </w:rPr>
        <w:t xml:space="preserve">Griffith Jones, Woods, and the Bretton Woods Project have argued that IBRD’s voting power calculations give </w:t>
      </w:r>
      <w:r w:rsidRPr="00A32897">
        <w:rPr>
          <w:rFonts w:ascii="Calibri" w:hAnsi="Calibri" w:cs="Calibri"/>
          <w:sz w:val="22"/>
          <w:szCs w:val="22"/>
        </w:rPr>
        <w:t>wealthy countries, particularly the United States, disproportionate ‘voice’ in decision-making.</w:t>
      </w:r>
      <w:r w:rsidRPr="00A32897">
        <w:rPr>
          <w:rStyle w:val="FootnoteReference"/>
          <w:rFonts w:ascii="Calibri" w:eastAsiaTheme="majorEastAsia" w:hAnsi="Calibri" w:cs="Calibri"/>
          <w:sz w:val="22"/>
          <w:szCs w:val="22"/>
        </w:rPr>
        <w:footnoteReference w:id="140"/>
      </w:r>
      <w:r w:rsidRPr="00A32897">
        <w:rPr>
          <w:rFonts w:ascii="Calibri" w:hAnsi="Calibri" w:cs="Calibri"/>
          <w:sz w:val="22"/>
          <w:szCs w:val="22"/>
        </w:rPr>
        <w:t xml:space="preserve"> For instance, the United States currently has 16.25 percent voting power in IBRD and 10.04 percent voting power in IDA. This stands at contrast to smaller shareholders like Burkina Faso, which has 0.08 percent and 0.23 percent of IBDA and IDA voting power, respectively.</w:t>
      </w:r>
      <w:r w:rsidRPr="00A32897">
        <w:rPr>
          <w:rStyle w:val="FootnoteReference"/>
          <w:rFonts w:ascii="Calibri" w:eastAsiaTheme="majorEastAsia" w:hAnsi="Calibri" w:cs="Calibri"/>
          <w:sz w:val="22"/>
          <w:szCs w:val="22"/>
        </w:rPr>
        <w:footnoteReference w:id="141"/>
      </w:r>
      <w:r w:rsidRPr="00A32897">
        <w:rPr>
          <w:rFonts w:ascii="Calibri" w:hAnsi="Calibri" w:cs="Calibri"/>
          <w:sz w:val="22"/>
          <w:szCs w:val="22"/>
        </w:rPr>
        <w:t xml:space="preserve"> Because some major Board decisions – like changing the Bank’s bylaws – require an 85 percent ‘supermajority’, the United States is effectively the only country with veto power of Bank decisions. European countries and the United States together hold almost exactly 50 percent of the voting power, compared to Africans’ collective </w:t>
      </w:r>
      <w:r w:rsidR="00BD1B72">
        <w:rPr>
          <w:rFonts w:ascii="Calibri" w:hAnsi="Calibri" w:cs="Calibri"/>
          <w:sz w:val="22"/>
          <w:szCs w:val="22"/>
        </w:rPr>
        <w:t>six</w:t>
      </w:r>
      <w:r w:rsidRPr="00A32897">
        <w:rPr>
          <w:rFonts w:ascii="Calibri" w:hAnsi="Calibri" w:cs="Calibri"/>
          <w:sz w:val="22"/>
          <w:szCs w:val="22"/>
        </w:rPr>
        <w:t xml:space="preserve"> percent, giving Western interests strong decision-making authority for development projects.</w:t>
      </w:r>
      <w:r w:rsidRPr="00A32897">
        <w:rPr>
          <w:rStyle w:val="FootnoteReference"/>
          <w:rFonts w:ascii="Calibri" w:eastAsiaTheme="majorEastAsia" w:hAnsi="Calibri" w:cs="Calibri"/>
          <w:sz w:val="22"/>
          <w:szCs w:val="22"/>
        </w:rPr>
        <w:footnoteReference w:id="142"/>
      </w:r>
      <w:r w:rsidRPr="00A32897">
        <w:rPr>
          <w:rFonts w:ascii="Calibri" w:hAnsi="Calibri" w:cs="Calibri"/>
          <w:sz w:val="22"/>
          <w:szCs w:val="22"/>
        </w:rPr>
        <w:t xml:space="preserve"> As Bruce Benton, the Bank’s onchocerciasis coordinator during the 1980s and 1990s, recognized, ‘the Bank and IMF clearly served U.S. interest, and particularly in terms of international stability…there was a voting arrangement in the Bank where we [Americans] could pretty much have our way’.</w:t>
      </w:r>
      <w:r w:rsidRPr="00A32897">
        <w:rPr>
          <w:rStyle w:val="FootnoteReference"/>
          <w:rFonts w:ascii="Calibri" w:eastAsiaTheme="majorEastAsia" w:hAnsi="Calibri" w:cs="Calibri"/>
          <w:sz w:val="22"/>
          <w:szCs w:val="22"/>
        </w:rPr>
        <w:footnoteReference w:id="143"/>
      </w:r>
      <w:r w:rsidRPr="00A32897">
        <w:rPr>
          <w:rFonts w:ascii="Calibri" w:hAnsi="Calibri" w:cs="Calibri"/>
          <w:sz w:val="22"/>
          <w:szCs w:val="22"/>
        </w:rPr>
        <w:t xml:space="preserve"> In the case of the OCP, the United States government, through USAID, was the OCP’s largest donor, which may have impacted the</w:t>
      </w:r>
      <w:r w:rsidR="00BD1B72">
        <w:rPr>
          <w:rFonts w:ascii="Calibri" w:hAnsi="Calibri" w:cs="Calibri"/>
          <w:sz w:val="22"/>
          <w:szCs w:val="22"/>
        </w:rPr>
        <w:t xml:space="preserve"> Bank</w:t>
      </w:r>
      <w:r w:rsidRPr="00A32897">
        <w:rPr>
          <w:rFonts w:ascii="Calibri" w:hAnsi="Calibri" w:cs="Calibri"/>
          <w:sz w:val="22"/>
          <w:szCs w:val="22"/>
        </w:rPr>
        <w:t xml:space="preserve"> Executive Board’s decision to provide a similar level of financing to the programme</w:t>
      </w:r>
      <w:r w:rsidR="00DF1899">
        <w:rPr>
          <w:rFonts w:ascii="Calibri" w:hAnsi="Calibri" w:cs="Calibri"/>
          <w:sz w:val="22"/>
          <w:szCs w:val="22"/>
        </w:rPr>
        <w:t>. With its extrabudgetary funding, the OCP allowed major Western donors to exert soft power on programme decisions</w:t>
      </w:r>
      <w:r w:rsidR="00C117C7">
        <w:rPr>
          <w:rFonts w:ascii="Calibri" w:hAnsi="Calibri" w:cs="Calibri"/>
          <w:sz w:val="22"/>
          <w:szCs w:val="22"/>
        </w:rPr>
        <w:t xml:space="preserve">. The soft power of the United States, the World Bank, and the other top donors </w:t>
      </w:r>
      <w:r w:rsidR="00120580">
        <w:rPr>
          <w:rFonts w:ascii="Calibri" w:hAnsi="Calibri" w:cs="Calibri"/>
          <w:sz w:val="22"/>
          <w:szCs w:val="22"/>
        </w:rPr>
        <w:t xml:space="preserve">to the OCP </w:t>
      </w:r>
      <w:r w:rsidR="00C117C7">
        <w:rPr>
          <w:rFonts w:ascii="Calibri" w:hAnsi="Calibri" w:cs="Calibri"/>
          <w:sz w:val="22"/>
          <w:szCs w:val="22"/>
        </w:rPr>
        <w:t>is explored in Chapter 5.</w:t>
      </w:r>
    </w:p>
    <w:p w14:paraId="49107910" w14:textId="3B4B1C28" w:rsidR="00476F4C" w:rsidRPr="00D9152B" w:rsidRDefault="00476F4C" w:rsidP="007E5B28">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lastRenderedPageBreak/>
        <w:t>IBRD and IDA share the World Bank governance structure, were the Bank partners for the OCP, and together manage</w:t>
      </w:r>
      <w:r w:rsidR="00754F00">
        <w:rPr>
          <w:rFonts w:ascii="Calibri" w:hAnsi="Calibri" w:cs="Calibri"/>
          <w:sz w:val="22"/>
          <w:szCs w:val="22"/>
        </w:rPr>
        <w:t>d the Population, Health and Nutrition (PHN) and</w:t>
      </w:r>
      <w:r w:rsidRPr="00D9152B">
        <w:rPr>
          <w:rFonts w:ascii="Calibri" w:hAnsi="Calibri" w:cs="Calibri"/>
          <w:sz w:val="22"/>
          <w:szCs w:val="22"/>
        </w:rPr>
        <w:t xml:space="preserve"> </w:t>
      </w:r>
      <w:r w:rsidR="00754F00">
        <w:rPr>
          <w:rFonts w:ascii="Calibri" w:hAnsi="Calibri" w:cs="Calibri"/>
          <w:sz w:val="22"/>
          <w:szCs w:val="22"/>
        </w:rPr>
        <w:t>subsequent</w:t>
      </w:r>
      <w:r w:rsidRPr="00D9152B">
        <w:rPr>
          <w:rFonts w:ascii="Calibri" w:hAnsi="Calibri" w:cs="Calibri"/>
          <w:sz w:val="22"/>
          <w:szCs w:val="22"/>
        </w:rPr>
        <w:t xml:space="preserve"> Health, Nutrition and Population (HNP) </w:t>
      </w:r>
      <w:r w:rsidR="00754F00">
        <w:rPr>
          <w:rFonts w:ascii="Calibri" w:hAnsi="Calibri" w:cs="Calibri"/>
          <w:sz w:val="22"/>
          <w:szCs w:val="22"/>
        </w:rPr>
        <w:t>departments during the OCP era</w:t>
      </w:r>
      <w:r w:rsidRPr="00D9152B">
        <w:rPr>
          <w:rFonts w:ascii="Calibri" w:hAnsi="Calibri" w:cs="Calibri"/>
          <w:sz w:val="22"/>
          <w:szCs w:val="22"/>
        </w:rPr>
        <w:t xml:space="preserve">. This dissertation therefore focuses exclusively on IBRD and IDA in its discussion of the World Bank’s global health portfolio and onchocerciasis programs; references to the wider World Bank Group are clearly distinguished. </w:t>
      </w:r>
      <w:r w:rsidR="006C21A0">
        <w:rPr>
          <w:rFonts w:ascii="Calibri" w:hAnsi="Calibri" w:cs="Calibri"/>
          <w:sz w:val="22"/>
          <w:szCs w:val="22"/>
        </w:rPr>
        <w:t xml:space="preserve">Appendix </w:t>
      </w:r>
      <w:r w:rsidR="001D5952">
        <w:rPr>
          <w:rFonts w:ascii="Calibri" w:hAnsi="Calibri" w:cs="Calibri"/>
          <w:sz w:val="22"/>
          <w:szCs w:val="22"/>
        </w:rPr>
        <w:t>I</w:t>
      </w:r>
      <w:r w:rsidR="006C21A0">
        <w:rPr>
          <w:rFonts w:ascii="Calibri" w:hAnsi="Calibri" w:cs="Calibri"/>
          <w:sz w:val="22"/>
          <w:szCs w:val="22"/>
        </w:rPr>
        <w:t xml:space="preserve">V </w:t>
      </w:r>
      <w:r w:rsidRPr="00D9152B">
        <w:rPr>
          <w:rFonts w:ascii="Calibri" w:hAnsi="Calibri" w:cs="Calibri"/>
          <w:sz w:val="22"/>
          <w:szCs w:val="22"/>
        </w:rPr>
        <w:t>contain</w:t>
      </w:r>
      <w:r w:rsidR="006C21A0">
        <w:rPr>
          <w:rFonts w:ascii="Calibri" w:hAnsi="Calibri" w:cs="Calibri"/>
          <w:sz w:val="22"/>
          <w:szCs w:val="22"/>
        </w:rPr>
        <w:t>s</w:t>
      </w:r>
      <w:r w:rsidRPr="00D9152B">
        <w:rPr>
          <w:rFonts w:ascii="Calibri" w:hAnsi="Calibri" w:cs="Calibri"/>
          <w:sz w:val="22"/>
          <w:szCs w:val="22"/>
        </w:rPr>
        <w:t xml:space="preserve"> more background on how lending decisions are made at the Bank</w:t>
      </w:r>
      <w:r w:rsidR="006C21A0">
        <w:rPr>
          <w:rFonts w:ascii="Calibri" w:hAnsi="Calibri" w:cs="Calibri"/>
          <w:sz w:val="22"/>
          <w:szCs w:val="22"/>
        </w:rPr>
        <w:t>.</w:t>
      </w:r>
    </w:p>
    <w:p w14:paraId="550A6D5A" w14:textId="227001F1" w:rsidR="007A62EF" w:rsidRPr="00D9152B" w:rsidRDefault="009F062D" w:rsidP="00783B55">
      <w:pPr>
        <w:pStyle w:val="Heading3"/>
        <w:spacing w:line="360" w:lineRule="auto"/>
        <w:rPr>
          <w:rFonts w:ascii="Calibri" w:hAnsi="Calibri" w:cs="Calibri"/>
          <w:b/>
          <w:i/>
          <w:color w:val="000000" w:themeColor="text1"/>
          <w:sz w:val="22"/>
          <w:szCs w:val="22"/>
        </w:rPr>
      </w:pPr>
      <w:bookmarkStart w:id="38" w:name="_Toc41505612"/>
      <w:r w:rsidRPr="00D9152B">
        <w:rPr>
          <w:rFonts w:ascii="Calibri" w:hAnsi="Calibri" w:cs="Calibri"/>
          <w:b/>
          <w:i/>
          <w:color w:val="000000" w:themeColor="text1"/>
          <w:sz w:val="22"/>
          <w:szCs w:val="22"/>
        </w:rPr>
        <w:t>3.</w:t>
      </w:r>
      <w:r w:rsidR="007A62EF" w:rsidRPr="00D9152B">
        <w:rPr>
          <w:rFonts w:ascii="Calibri" w:hAnsi="Calibri" w:cs="Calibri"/>
          <w:b/>
          <w:i/>
          <w:color w:val="000000" w:themeColor="text1"/>
          <w:sz w:val="22"/>
          <w:szCs w:val="22"/>
        </w:rPr>
        <w:t>2</w:t>
      </w:r>
      <w:r w:rsidRPr="00D9152B">
        <w:rPr>
          <w:rFonts w:ascii="Calibri" w:hAnsi="Calibri" w:cs="Calibri"/>
          <w:b/>
          <w:i/>
          <w:color w:val="000000" w:themeColor="text1"/>
          <w:sz w:val="22"/>
          <w:szCs w:val="22"/>
        </w:rPr>
        <w:t>.</w:t>
      </w:r>
      <w:r w:rsidR="007A62EF" w:rsidRPr="00D9152B">
        <w:rPr>
          <w:rFonts w:ascii="Calibri" w:hAnsi="Calibri" w:cs="Calibri"/>
          <w:b/>
          <w:i/>
          <w:color w:val="000000" w:themeColor="text1"/>
          <w:sz w:val="22"/>
          <w:szCs w:val="22"/>
        </w:rPr>
        <w:t>B.</w:t>
      </w:r>
      <w:r w:rsidRPr="00D9152B">
        <w:rPr>
          <w:rFonts w:ascii="Calibri" w:hAnsi="Calibri" w:cs="Calibri"/>
          <w:b/>
          <w:i/>
          <w:color w:val="000000" w:themeColor="text1"/>
          <w:sz w:val="22"/>
          <w:szCs w:val="22"/>
        </w:rPr>
        <w:t xml:space="preserve"> </w:t>
      </w:r>
      <w:r w:rsidR="007A62EF" w:rsidRPr="00D9152B">
        <w:rPr>
          <w:rFonts w:ascii="Calibri" w:hAnsi="Calibri" w:cs="Calibri"/>
          <w:b/>
          <w:i/>
          <w:color w:val="000000" w:themeColor="text1"/>
          <w:sz w:val="22"/>
          <w:szCs w:val="22"/>
        </w:rPr>
        <w:t>The Bank’s formal and effective roles during the OCP</w:t>
      </w:r>
      <w:bookmarkEnd w:id="38"/>
    </w:p>
    <w:p w14:paraId="402071D0" w14:textId="5E5C158C" w:rsidR="009F062D" w:rsidRPr="00D9152B" w:rsidRDefault="00A56CC8" w:rsidP="007A62E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 Bank’s official role during the OCP was</w:t>
      </w:r>
      <w:r w:rsidR="00854CD1" w:rsidRPr="00D9152B">
        <w:rPr>
          <w:rFonts w:ascii="Calibri" w:hAnsi="Calibri" w:cs="Calibri"/>
          <w:sz w:val="22"/>
          <w:szCs w:val="22"/>
        </w:rPr>
        <w:t xml:space="preserve"> </w:t>
      </w:r>
      <w:r w:rsidR="007A62EF" w:rsidRPr="00D9152B">
        <w:rPr>
          <w:rFonts w:ascii="Calibri" w:hAnsi="Calibri" w:cs="Calibri"/>
          <w:sz w:val="22"/>
          <w:szCs w:val="22"/>
        </w:rPr>
        <w:t xml:space="preserve">to serve as its </w:t>
      </w:r>
      <w:r w:rsidRPr="00D9152B">
        <w:rPr>
          <w:rFonts w:ascii="Calibri" w:hAnsi="Calibri" w:cs="Calibri"/>
          <w:sz w:val="22"/>
          <w:szCs w:val="22"/>
        </w:rPr>
        <w:t xml:space="preserve">fiscal agent. </w:t>
      </w:r>
      <w:r w:rsidR="00854CD1" w:rsidRPr="00D9152B">
        <w:rPr>
          <w:rFonts w:ascii="Calibri" w:hAnsi="Calibri" w:cs="Calibri"/>
          <w:sz w:val="22"/>
          <w:szCs w:val="22"/>
        </w:rPr>
        <w:t xml:space="preserve">As shown in Figure </w:t>
      </w:r>
      <w:r w:rsidR="009F7334">
        <w:rPr>
          <w:rFonts w:ascii="Calibri" w:hAnsi="Calibri" w:cs="Calibri"/>
          <w:sz w:val="22"/>
          <w:szCs w:val="22"/>
        </w:rPr>
        <w:t>3.1</w:t>
      </w:r>
      <w:r w:rsidR="00854CD1" w:rsidRPr="00D9152B">
        <w:rPr>
          <w:rFonts w:ascii="Calibri" w:hAnsi="Calibri" w:cs="Calibri"/>
          <w:sz w:val="22"/>
          <w:szCs w:val="22"/>
        </w:rPr>
        <w:t>, the Bank managed the</w:t>
      </w:r>
      <w:r w:rsidR="0062753D" w:rsidRPr="00D9152B">
        <w:rPr>
          <w:rFonts w:ascii="Calibri" w:hAnsi="Calibri" w:cs="Calibri"/>
          <w:sz w:val="22"/>
          <w:szCs w:val="22"/>
        </w:rPr>
        <w:t xml:space="preserve"> programme</w:t>
      </w:r>
      <w:r w:rsidR="00854CD1" w:rsidRPr="00D9152B">
        <w:rPr>
          <w:rFonts w:ascii="Calibri" w:hAnsi="Calibri" w:cs="Calibri"/>
          <w:sz w:val="22"/>
          <w:szCs w:val="22"/>
        </w:rPr>
        <w:t xml:space="preserve"> trust fund, and its other formal role in programme governance was to sit on the Committee of Sponsoring Agencies (CSA), which served an advisory </w:t>
      </w:r>
      <w:r w:rsidR="00F65302" w:rsidRPr="00D9152B">
        <w:rPr>
          <w:rFonts w:ascii="Calibri" w:hAnsi="Calibri" w:cs="Calibri"/>
          <w:sz w:val="22"/>
          <w:szCs w:val="22"/>
        </w:rPr>
        <w:t>function</w:t>
      </w:r>
      <w:r w:rsidR="00854CD1" w:rsidRPr="00D9152B">
        <w:rPr>
          <w:rFonts w:ascii="Calibri" w:hAnsi="Calibri" w:cs="Calibri"/>
          <w:sz w:val="22"/>
          <w:szCs w:val="22"/>
        </w:rPr>
        <w:t xml:space="preserve"> for the </w:t>
      </w:r>
      <w:r w:rsidR="00F65302" w:rsidRPr="00D9152B">
        <w:rPr>
          <w:rFonts w:ascii="Calibri" w:hAnsi="Calibri" w:cs="Calibri"/>
          <w:sz w:val="22"/>
          <w:szCs w:val="22"/>
        </w:rPr>
        <w:t xml:space="preserve">programme’s official </w:t>
      </w:r>
      <w:r w:rsidR="00854CD1" w:rsidRPr="00D9152B">
        <w:rPr>
          <w:rFonts w:ascii="Calibri" w:hAnsi="Calibri" w:cs="Calibri"/>
          <w:sz w:val="22"/>
          <w:szCs w:val="22"/>
        </w:rPr>
        <w:t xml:space="preserve">decision-making body, the Joint Programme Committee (JPC). </w:t>
      </w:r>
      <w:r w:rsidRPr="00D9152B">
        <w:rPr>
          <w:rFonts w:ascii="Calibri" w:hAnsi="Calibri" w:cs="Calibri"/>
          <w:sz w:val="22"/>
          <w:szCs w:val="22"/>
        </w:rPr>
        <w:t xml:space="preserve">Table </w:t>
      </w:r>
      <w:r w:rsidR="009F7334">
        <w:rPr>
          <w:rFonts w:ascii="Calibri" w:hAnsi="Calibri" w:cs="Calibri"/>
          <w:sz w:val="22"/>
          <w:szCs w:val="22"/>
        </w:rPr>
        <w:t>3.1</w:t>
      </w:r>
      <w:r w:rsidRPr="00D9152B">
        <w:rPr>
          <w:rFonts w:ascii="Calibri" w:hAnsi="Calibri" w:cs="Calibri"/>
          <w:sz w:val="22"/>
          <w:szCs w:val="22"/>
        </w:rPr>
        <w:t xml:space="preserve"> </w:t>
      </w:r>
      <w:r w:rsidR="00854CD1" w:rsidRPr="00D9152B">
        <w:rPr>
          <w:rFonts w:ascii="Calibri" w:hAnsi="Calibri" w:cs="Calibri"/>
          <w:sz w:val="22"/>
          <w:szCs w:val="22"/>
        </w:rPr>
        <w:t>describes</w:t>
      </w:r>
      <w:r w:rsidRPr="00D9152B">
        <w:rPr>
          <w:rFonts w:ascii="Calibri" w:hAnsi="Calibri" w:cs="Calibri"/>
          <w:sz w:val="22"/>
          <w:szCs w:val="22"/>
        </w:rPr>
        <w:t xml:space="preserve"> the </w:t>
      </w:r>
      <w:r w:rsidR="00F65302" w:rsidRPr="00D9152B">
        <w:rPr>
          <w:rFonts w:ascii="Calibri" w:hAnsi="Calibri" w:cs="Calibri"/>
          <w:sz w:val="22"/>
          <w:szCs w:val="22"/>
        </w:rPr>
        <w:t>major components</w:t>
      </w:r>
      <w:r w:rsidRPr="00D9152B">
        <w:rPr>
          <w:rFonts w:ascii="Calibri" w:hAnsi="Calibri" w:cs="Calibri"/>
          <w:sz w:val="22"/>
          <w:szCs w:val="22"/>
        </w:rPr>
        <w:t xml:space="preserve"> of the OCP on which influence could be exerted</w:t>
      </w:r>
      <w:r w:rsidR="00854CD1" w:rsidRPr="00D9152B">
        <w:rPr>
          <w:rFonts w:ascii="Calibri" w:hAnsi="Calibri" w:cs="Calibri"/>
          <w:sz w:val="22"/>
          <w:szCs w:val="22"/>
        </w:rPr>
        <w:t>. The Bank used these decision-making bodies</w:t>
      </w:r>
      <w:r w:rsidR="007F227A" w:rsidRPr="00D9152B">
        <w:rPr>
          <w:rFonts w:ascii="Calibri" w:hAnsi="Calibri" w:cs="Calibri"/>
          <w:sz w:val="22"/>
          <w:szCs w:val="22"/>
        </w:rPr>
        <w:t xml:space="preserve"> – particularly the Committee of Sponsoring Agencies</w:t>
      </w:r>
      <w:r w:rsidR="0062753D" w:rsidRPr="00D9152B">
        <w:rPr>
          <w:rFonts w:ascii="Calibri" w:hAnsi="Calibri" w:cs="Calibri"/>
          <w:sz w:val="22"/>
          <w:szCs w:val="22"/>
        </w:rPr>
        <w:t xml:space="preserve"> and Expert Advisory Committee</w:t>
      </w:r>
      <w:r w:rsidR="007F227A" w:rsidRPr="00D9152B">
        <w:rPr>
          <w:rFonts w:ascii="Calibri" w:hAnsi="Calibri" w:cs="Calibri"/>
          <w:sz w:val="22"/>
          <w:szCs w:val="22"/>
        </w:rPr>
        <w:t xml:space="preserve"> –</w:t>
      </w:r>
      <w:r w:rsidR="00854CD1" w:rsidRPr="00D9152B">
        <w:rPr>
          <w:rFonts w:ascii="Calibri" w:hAnsi="Calibri" w:cs="Calibri"/>
          <w:sz w:val="22"/>
          <w:szCs w:val="22"/>
        </w:rPr>
        <w:t xml:space="preserve"> to seek and exert ‘under the radar’ influence on programmatic operations</w:t>
      </w:r>
      <w:r w:rsidR="007F227A" w:rsidRPr="00D9152B">
        <w:rPr>
          <w:rFonts w:ascii="Calibri" w:hAnsi="Calibri" w:cs="Calibri"/>
          <w:sz w:val="22"/>
          <w:szCs w:val="22"/>
        </w:rPr>
        <w:t xml:space="preserve"> beyond financial management</w:t>
      </w:r>
      <w:r w:rsidR="00854CD1" w:rsidRPr="00D9152B">
        <w:rPr>
          <w:rFonts w:ascii="Calibri" w:hAnsi="Calibri" w:cs="Calibri"/>
          <w:sz w:val="22"/>
          <w:szCs w:val="22"/>
        </w:rPr>
        <w:t>. Chapters 5</w:t>
      </w:r>
      <w:r w:rsidR="00F65302" w:rsidRPr="00D9152B">
        <w:rPr>
          <w:rFonts w:ascii="Calibri" w:hAnsi="Calibri" w:cs="Calibri"/>
          <w:sz w:val="22"/>
          <w:szCs w:val="22"/>
        </w:rPr>
        <w:t xml:space="preserve"> and </w:t>
      </w:r>
      <w:r w:rsidR="00854CD1" w:rsidRPr="00D9152B">
        <w:rPr>
          <w:rFonts w:ascii="Calibri" w:hAnsi="Calibri" w:cs="Calibri"/>
          <w:sz w:val="22"/>
          <w:szCs w:val="22"/>
        </w:rPr>
        <w:t xml:space="preserve">6 focus on the Bank’s leveraging of its </w:t>
      </w:r>
      <w:r w:rsidR="007F227A" w:rsidRPr="00D9152B">
        <w:rPr>
          <w:rFonts w:ascii="Calibri" w:hAnsi="Calibri" w:cs="Calibri"/>
          <w:sz w:val="22"/>
          <w:szCs w:val="22"/>
        </w:rPr>
        <w:t>financial</w:t>
      </w:r>
      <w:r w:rsidR="00854CD1" w:rsidRPr="00D9152B">
        <w:rPr>
          <w:rFonts w:ascii="Calibri" w:hAnsi="Calibri" w:cs="Calibri"/>
          <w:sz w:val="22"/>
          <w:szCs w:val="22"/>
        </w:rPr>
        <w:t xml:space="preserve"> management skills and attempt to steer other sponsoring agencies’ (particularly the WHO’s) programmatic priorities, respectively. </w:t>
      </w:r>
      <w:r w:rsidR="007A62EF" w:rsidRPr="00D9152B">
        <w:rPr>
          <w:rFonts w:ascii="Calibri" w:hAnsi="Calibri" w:cs="Calibri"/>
          <w:sz w:val="22"/>
          <w:szCs w:val="22"/>
        </w:rPr>
        <w:t xml:space="preserve">This section weaves together archival documents to show that the Bank actively sought wider influence than its technical fiscal role – and that this was the effort of a small group of Bank staff members. </w:t>
      </w:r>
    </w:p>
    <w:p w14:paraId="486E88DB" w14:textId="77777777" w:rsidR="00A56CC8" w:rsidRPr="00D9152B" w:rsidRDefault="00A56CC8" w:rsidP="00A56CC8">
      <w:pPr>
        <w:spacing w:before="100" w:beforeAutospacing="1" w:after="100" w:afterAutospacing="1"/>
        <w:rPr>
          <w:rFonts w:ascii="Calibri" w:hAnsi="Calibri" w:cs="Calibri"/>
          <w:color w:val="808080" w:themeColor="background1" w:themeShade="80"/>
        </w:rPr>
      </w:pPr>
      <w:r w:rsidRPr="00D9152B">
        <w:rPr>
          <w:rFonts w:ascii="Calibri" w:hAnsi="Calibri" w:cs="Calibri"/>
          <w:noProof/>
          <w:color w:val="808080" w:themeColor="background1" w:themeShade="80"/>
          <w:lang w:eastAsia="en-GB"/>
        </w:rPr>
        <w:lastRenderedPageBreak/>
        <w:drawing>
          <wp:inline distT="0" distB="0" distL="0" distR="0" wp14:anchorId="7D4DF778" wp14:editId="2AE8432C">
            <wp:extent cx="6108700" cy="6381344"/>
            <wp:effectExtent l="0" t="38100" r="0" b="45085"/>
            <wp:docPr id="23"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2D57872A" w14:textId="64874AD3" w:rsidR="00854CD1" w:rsidRPr="00D9152B" w:rsidRDefault="00A56CC8" w:rsidP="00A56CC8">
      <w:pPr>
        <w:ind w:right="-329"/>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9F7334">
        <w:rPr>
          <w:rFonts w:ascii="Calibri" w:hAnsi="Calibri" w:cs="Calibri"/>
          <w:color w:val="808080" w:themeColor="background1" w:themeShade="80"/>
          <w:sz w:val="22"/>
          <w:szCs w:val="22"/>
        </w:rPr>
        <w:t>3.</w:t>
      </w:r>
      <w:r w:rsidRPr="00D9152B">
        <w:rPr>
          <w:rFonts w:ascii="Calibri" w:hAnsi="Calibri" w:cs="Calibri"/>
          <w:color w:val="808080" w:themeColor="background1" w:themeShade="80"/>
          <w:sz w:val="22"/>
          <w:szCs w:val="22"/>
        </w:rPr>
        <w:t>1. The major structural components of the OCP. Pre-1980 titles of the components are in parentheses.</w:t>
      </w:r>
      <w:r w:rsidR="00E354C6" w:rsidRPr="00E354C6">
        <w:rPr>
          <w:rStyle w:val="FootnoteReference"/>
          <w:rFonts w:ascii="Calibri" w:hAnsi="Calibri" w:cs="Calibri"/>
          <w:color w:val="808080" w:themeColor="background1" w:themeShade="80"/>
        </w:rPr>
        <w:footnoteReference w:customMarkFollows="1" w:id="144"/>
        <w:t>16</w:t>
      </w:r>
      <w:r w:rsidRPr="00E354C6">
        <w:rPr>
          <w:rFonts w:ascii="Calibri" w:hAnsi="Calibri" w:cs="Calibri"/>
          <w:color w:val="808080" w:themeColor="background1" w:themeShade="80"/>
          <w:sz w:val="22"/>
          <w:szCs w:val="22"/>
        </w:rPr>
        <w:t xml:space="preserve"> </w:t>
      </w:r>
    </w:p>
    <w:p w14:paraId="7848E212" w14:textId="1F15D642" w:rsidR="0062753D" w:rsidRPr="00D9152B" w:rsidRDefault="0062753D" w:rsidP="00A56CC8">
      <w:pPr>
        <w:ind w:right="-329"/>
        <w:jc w:val="both"/>
        <w:rPr>
          <w:rFonts w:ascii="Calibri" w:hAnsi="Calibri" w:cs="Calibri"/>
          <w:color w:val="808080" w:themeColor="background1" w:themeShade="80"/>
          <w:sz w:val="22"/>
          <w:szCs w:val="22"/>
        </w:rPr>
      </w:pPr>
    </w:p>
    <w:p w14:paraId="23C9766C" w14:textId="77777777" w:rsidR="0062753D" w:rsidRPr="00D9152B" w:rsidRDefault="0062753D" w:rsidP="00A56CC8">
      <w:pPr>
        <w:ind w:right="-329"/>
        <w:jc w:val="both"/>
        <w:rPr>
          <w:rFonts w:ascii="Calibri" w:hAnsi="Calibri" w:cs="Calibri"/>
          <w:color w:val="808080" w:themeColor="background1" w:themeShade="80"/>
          <w:sz w:val="22"/>
          <w:szCs w:val="22"/>
        </w:rPr>
      </w:pPr>
    </w:p>
    <w:p w14:paraId="513A1F2C" w14:textId="77777777" w:rsidR="00A56CC8" w:rsidRPr="00D9152B" w:rsidRDefault="00A56CC8" w:rsidP="00A56CC8">
      <w:pPr>
        <w:rPr>
          <w:rFonts w:ascii="Calibri" w:hAnsi="Calibri" w:cs="Calibri"/>
          <w:color w:val="808080" w:themeColor="background1" w:themeShade="80"/>
          <w:sz w:val="18"/>
          <w:szCs w:val="18"/>
        </w:rPr>
      </w:pPr>
    </w:p>
    <w:tbl>
      <w:tblPr>
        <w:tblStyle w:val="PlainTable5"/>
        <w:tblW w:w="8222" w:type="dxa"/>
        <w:tblBorders>
          <w:insideH w:val="single" w:sz="4" w:space="0" w:color="auto"/>
          <w:insideV w:val="single" w:sz="4" w:space="0" w:color="auto"/>
        </w:tblBorders>
        <w:tblLook w:val="04A0" w:firstRow="1" w:lastRow="0" w:firstColumn="1" w:lastColumn="0" w:noHBand="0" w:noVBand="1"/>
      </w:tblPr>
      <w:tblGrid>
        <w:gridCol w:w="2405"/>
        <w:gridCol w:w="3124"/>
        <w:gridCol w:w="2693"/>
      </w:tblGrid>
      <w:tr w:rsidR="00A56CC8" w:rsidRPr="00D9152B" w14:paraId="0446F4DD" w14:textId="77777777" w:rsidTr="00AF0A4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05" w:type="dxa"/>
            <w:tcBorders>
              <w:bottom w:val="none" w:sz="0" w:space="0" w:color="auto"/>
              <w:right w:val="none" w:sz="0" w:space="0" w:color="auto"/>
            </w:tcBorders>
          </w:tcPr>
          <w:p w14:paraId="3DCABC51" w14:textId="77777777" w:rsidR="00A56CC8" w:rsidRPr="00D9152B" w:rsidRDefault="00A56CC8" w:rsidP="00AF0A48">
            <w:pPr>
              <w:rPr>
                <w:rFonts w:ascii="Calibri" w:hAnsi="Calibri" w:cs="Calibri"/>
                <w:b/>
                <w:sz w:val="18"/>
                <w:szCs w:val="18"/>
              </w:rPr>
            </w:pPr>
            <w:r w:rsidRPr="00D9152B">
              <w:rPr>
                <w:rFonts w:ascii="Calibri" w:hAnsi="Calibri" w:cs="Calibri"/>
                <w:b/>
                <w:sz w:val="18"/>
                <w:szCs w:val="18"/>
              </w:rPr>
              <w:t>Program Component</w:t>
            </w:r>
          </w:p>
        </w:tc>
        <w:tc>
          <w:tcPr>
            <w:tcW w:w="3124" w:type="dxa"/>
            <w:tcBorders>
              <w:bottom w:val="single" w:sz="4" w:space="0" w:color="auto"/>
            </w:tcBorders>
          </w:tcPr>
          <w:p w14:paraId="25A74765" w14:textId="77777777" w:rsidR="00A56CC8" w:rsidRPr="00D9152B" w:rsidRDefault="00A56CC8" w:rsidP="00AF0A48">
            <w:pPr>
              <w:cnfStyle w:val="100000000000" w:firstRow="1" w:lastRow="0" w:firstColumn="0" w:lastColumn="0" w:oddVBand="0" w:evenVBand="0" w:oddHBand="0" w:evenHBand="0" w:firstRowFirstColumn="0" w:firstRowLastColumn="0" w:lastRowFirstColumn="0" w:lastRowLastColumn="0"/>
              <w:rPr>
                <w:rFonts w:ascii="Calibri" w:hAnsi="Calibri" w:cs="Calibri"/>
                <w:b/>
                <w:sz w:val="18"/>
                <w:szCs w:val="18"/>
              </w:rPr>
            </w:pPr>
            <w:r w:rsidRPr="00D9152B">
              <w:rPr>
                <w:rFonts w:ascii="Calibri" w:hAnsi="Calibri" w:cs="Calibri"/>
                <w:b/>
                <w:sz w:val="18"/>
                <w:szCs w:val="18"/>
              </w:rPr>
              <w:t>Functions</w:t>
            </w:r>
          </w:p>
        </w:tc>
        <w:tc>
          <w:tcPr>
            <w:tcW w:w="2693" w:type="dxa"/>
            <w:tcBorders>
              <w:bottom w:val="single" w:sz="4" w:space="0" w:color="auto"/>
            </w:tcBorders>
          </w:tcPr>
          <w:p w14:paraId="1D6AAA9C" w14:textId="77777777" w:rsidR="00A56CC8" w:rsidRPr="00D9152B" w:rsidRDefault="00A56CC8" w:rsidP="00AF0A48">
            <w:pPr>
              <w:cnfStyle w:val="100000000000" w:firstRow="1" w:lastRow="0" w:firstColumn="0" w:lastColumn="0" w:oddVBand="0" w:evenVBand="0" w:oddHBand="0" w:evenHBand="0" w:firstRowFirstColumn="0" w:firstRowLastColumn="0" w:lastRowFirstColumn="0" w:lastRowLastColumn="0"/>
              <w:rPr>
                <w:rFonts w:ascii="Calibri" w:hAnsi="Calibri" w:cs="Calibri"/>
                <w:b/>
                <w:sz w:val="18"/>
                <w:szCs w:val="18"/>
              </w:rPr>
            </w:pPr>
            <w:r w:rsidRPr="00D9152B">
              <w:rPr>
                <w:rFonts w:ascii="Calibri" w:hAnsi="Calibri" w:cs="Calibri"/>
                <w:b/>
                <w:sz w:val="18"/>
                <w:szCs w:val="18"/>
              </w:rPr>
              <w:t>Composition</w:t>
            </w:r>
          </w:p>
          <w:p w14:paraId="201FF000" w14:textId="77777777" w:rsidR="00A56CC8" w:rsidRPr="00D9152B" w:rsidRDefault="00A56CC8" w:rsidP="00AF0A48">
            <w:pPr>
              <w:cnfStyle w:val="100000000000" w:firstRow="1" w:lastRow="0" w:firstColumn="0" w:lastColumn="0" w:oddVBand="0" w:evenVBand="0" w:oddHBand="0" w:evenHBand="0" w:firstRowFirstColumn="0" w:firstRowLastColumn="0" w:lastRowFirstColumn="0" w:lastRowLastColumn="0"/>
              <w:rPr>
                <w:rFonts w:ascii="Calibri" w:hAnsi="Calibri" w:cs="Calibri"/>
                <w:b/>
                <w:sz w:val="18"/>
                <w:szCs w:val="18"/>
              </w:rPr>
            </w:pPr>
          </w:p>
        </w:tc>
      </w:tr>
      <w:tr w:rsidR="00A56CC8" w:rsidRPr="00D9152B" w14:paraId="41BD48E8" w14:textId="77777777" w:rsidTr="00AF0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Borders>
              <w:right w:val="none" w:sz="0" w:space="0" w:color="auto"/>
            </w:tcBorders>
          </w:tcPr>
          <w:p w14:paraId="312C72FD" w14:textId="77777777" w:rsidR="00A56CC8" w:rsidRPr="00D9152B" w:rsidRDefault="00A56CC8" w:rsidP="00AF0A48">
            <w:pPr>
              <w:rPr>
                <w:rFonts w:ascii="Calibri" w:hAnsi="Calibri" w:cs="Calibri"/>
                <w:b/>
                <w:sz w:val="18"/>
                <w:szCs w:val="18"/>
              </w:rPr>
            </w:pPr>
            <w:r w:rsidRPr="00D9152B">
              <w:rPr>
                <w:rFonts w:ascii="Calibri" w:hAnsi="Calibri" w:cs="Calibri"/>
                <w:b/>
                <w:sz w:val="18"/>
                <w:szCs w:val="18"/>
              </w:rPr>
              <w:t>Joint Programme Committee</w:t>
            </w:r>
          </w:p>
        </w:tc>
        <w:tc>
          <w:tcPr>
            <w:tcW w:w="3124" w:type="dxa"/>
            <w:tcBorders>
              <w:top w:val="single" w:sz="4" w:space="0" w:color="auto"/>
              <w:bottom w:val="single" w:sz="4" w:space="0" w:color="auto"/>
            </w:tcBorders>
          </w:tcPr>
          <w:p w14:paraId="1144304D" w14:textId="77777777" w:rsidR="00A56CC8" w:rsidRPr="00D9152B" w:rsidRDefault="00A56CC8" w:rsidP="00AF0A48">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Determines programme policy, gives directives for implementation, makes decisions on budget</w:t>
            </w:r>
          </w:p>
        </w:tc>
        <w:tc>
          <w:tcPr>
            <w:tcW w:w="2693" w:type="dxa"/>
            <w:tcBorders>
              <w:top w:val="single" w:sz="4" w:space="0" w:color="auto"/>
              <w:bottom w:val="single" w:sz="4" w:space="0" w:color="auto"/>
              <w:right w:val="single" w:sz="4" w:space="0" w:color="auto"/>
            </w:tcBorders>
          </w:tcPr>
          <w:p w14:paraId="7FFDAC05" w14:textId="60C59BC0" w:rsidR="00A56CC8" w:rsidRPr="00D9152B" w:rsidRDefault="00A56CC8" w:rsidP="00AF0A48">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Representatives of participating countries, donors, sponsoring agencies</w:t>
            </w:r>
            <w:r w:rsidR="00854CD1" w:rsidRPr="00D9152B">
              <w:rPr>
                <w:rFonts w:ascii="Calibri" w:hAnsi="Calibri" w:cs="Calibri"/>
                <w:sz w:val="18"/>
                <w:szCs w:val="18"/>
              </w:rPr>
              <w:t xml:space="preserve"> (UNDP, FAO, World Bank, WHO)</w:t>
            </w:r>
          </w:p>
        </w:tc>
      </w:tr>
      <w:tr w:rsidR="00A56CC8" w:rsidRPr="00D9152B" w14:paraId="61755573" w14:textId="77777777" w:rsidTr="00AF0A48">
        <w:tc>
          <w:tcPr>
            <w:cnfStyle w:val="001000000000" w:firstRow="0" w:lastRow="0" w:firstColumn="1" w:lastColumn="0" w:oddVBand="0" w:evenVBand="0" w:oddHBand="0" w:evenHBand="0" w:firstRowFirstColumn="0" w:firstRowLastColumn="0" w:lastRowFirstColumn="0" w:lastRowLastColumn="0"/>
            <w:tcW w:w="2405" w:type="dxa"/>
            <w:tcBorders>
              <w:right w:val="none" w:sz="0" w:space="0" w:color="auto"/>
            </w:tcBorders>
          </w:tcPr>
          <w:p w14:paraId="15A2C752" w14:textId="77777777" w:rsidR="00A56CC8" w:rsidRPr="00D9152B" w:rsidRDefault="00A56CC8" w:rsidP="00AF0A48">
            <w:pPr>
              <w:rPr>
                <w:rFonts w:ascii="Calibri" w:hAnsi="Calibri" w:cs="Calibri"/>
                <w:b/>
                <w:sz w:val="18"/>
                <w:szCs w:val="18"/>
              </w:rPr>
            </w:pPr>
            <w:r w:rsidRPr="00D9152B">
              <w:rPr>
                <w:rFonts w:ascii="Calibri" w:hAnsi="Calibri" w:cs="Calibri"/>
                <w:b/>
                <w:sz w:val="18"/>
                <w:szCs w:val="18"/>
              </w:rPr>
              <w:t>Committee of Sponsoring Agencies</w:t>
            </w:r>
          </w:p>
        </w:tc>
        <w:tc>
          <w:tcPr>
            <w:tcW w:w="3124" w:type="dxa"/>
            <w:tcBorders>
              <w:top w:val="single" w:sz="4" w:space="0" w:color="auto"/>
              <w:bottom w:val="single" w:sz="4" w:space="0" w:color="auto"/>
            </w:tcBorders>
          </w:tcPr>
          <w:p w14:paraId="20C562DE" w14:textId="77777777" w:rsidR="00A56CC8" w:rsidRPr="00D9152B" w:rsidRDefault="00A56CC8" w:rsidP="00AF0A48">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Monitors program, scrutinizes documents, prepares for Joint Programme Committee sessions, supports budgetary management, assists with socio-economic development</w:t>
            </w:r>
          </w:p>
        </w:tc>
        <w:tc>
          <w:tcPr>
            <w:tcW w:w="2693" w:type="dxa"/>
            <w:tcBorders>
              <w:top w:val="single" w:sz="4" w:space="0" w:color="auto"/>
              <w:bottom w:val="single" w:sz="4" w:space="0" w:color="auto"/>
              <w:right w:val="single" w:sz="4" w:space="0" w:color="auto"/>
            </w:tcBorders>
          </w:tcPr>
          <w:p w14:paraId="4F6E9C77" w14:textId="77777777" w:rsidR="00A56CC8" w:rsidRPr="00D9152B" w:rsidRDefault="00A56CC8" w:rsidP="00AF0A48">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Representatives of UNDP, FAO, World Bank, and WHO</w:t>
            </w:r>
          </w:p>
        </w:tc>
      </w:tr>
      <w:tr w:rsidR="00A56CC8" w:rsidRPr="00D9152B" w14:paraId="12EE8D8A" w14:textId="77777777" w:rsidTr="00AF0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Borders>
              <w:right w:val="none" w:sz="0" w:space="0" w:color="auto"/>
            </w:tcBorders>
          </w:tcPr>
          <w:p w14:paraId="6D5BFCE8" w14:textId="77777777" w:rsidR="00A56CC8" w:rsidRPr="00D9152B" w:rsidRDefault="00A56CC8" w:rsidP="00AF0A48">
            <w:pPr>
              <w:rPr>
                <w:rFonts w:ascii="Calibri" w:hAnsi="Calibri" w:cs="Calibri"/>
                <w:b/>
                <w:sz w:val="18"/>
                <w:szCs w:val="18"/>
              </w:rPr>
            </w:pPr>
            <w:r w:rsidRPr="00D9152B">
              <w:rPr>
                <w:rFonts w:ascii="Calibri" w:hAnsi="Calibri" w:cs="Calibri"/>
                <w:b/>
                <w:sz w:val="18"/>
                <w:szCs w:val="18"/>
              </w:rPr>
              <w:t>Expert Advisory Committee</w:t>
            </w:r>
          </w:p>
        </w:tc>
        <w:tc>
          <w:tcPr>
            <w:tcW w:w="3124" w:type="dxa"/>
            <w:tcBorders>
              <w:top w:val="single" w:sz="4" w:space="0" w:color="auto"/>
              <w:bottom w:val="single" w:sz="4" w:space="0" w:color="auto"/>
            </w:tcBorders>
          </w:tcPr>
          <w:p w14:paraId="7D025234" w14:textId="77777777" w:rsidR="00A56CC8" w:rsidRPr="00D9152B" w:rsidRDefault="00A56CC8" w:rsidP="00AF0A48">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Makes recommendations on scientific, technical, and operational matters</w:t>
            </w:r>
          </w:p>
        </w:tc>
        <w:tc>
          <w:tcPr>
            <w:tcW w:w="2693" w:type="dxa"/>
            <w:tcBorders>
              <w:top w:val="single" w:sz="4" w:space="0" w:color="auto"/>
              <w:bottom w:val="single" w:sz="4" w:space="0" w:color="auto"/>
              <w:right w:val="single" w:sz="4" w:space="0" w:color="auto"/>
            </w:tcBorders>
          </w:tcPr>
          <w:p w14:paraId="5D1893E5" w14:textId="77777777" w:rsidR="00A56CC8" w:rsidRPr="00D9152B" w:rsidRDefault="00A56CC8" w:rsidP="00AF0A48">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Approximately 12 members, with ecological sub-group</w:t>
            </w:r>
          </w:p>
        </w:tc>
      </w:tr>
      <w:tr w:rsidR="00A56CC8" w:rsidRPr="00D9152B" w14:paraId="09284518" w14:textId="77777777" w:rsidTr="00AF0A48">
        <w:tc>
          <w:tcPr>
            <w:cnfStyle w:val="001000000000" w:firstRow="0" w:lastRow="0" w:firstColumn="1" w:lastColumn="0" w:oddVBand="0" w:evenVBand="0" w:oddHBand="0" w:evenHBand="0" w:firstRowFirstColumn="0" w:firstRowLastColumn="0" w:lastRowFirstColumn="0" w:lastRowLastColumn="0"/>
            <w:tcW w:w="2405" w:type="dxa"/>
            <w:tcBorders>
              <w:right w:val="none" w:sz="0" w:space="0" w:color="auto"/>
            </w:tcBorders>
          </w:tcPr>
          <w:p w14:paraId="64B89656" w14:textId="77777777" w:rsidR="00A56CC8" w:rsidRPr="00D9152B" w:rsidRDefault="00A56CC8" w:rsidP="00AF0A48">
            <w:pPr>
              <w:rPr>
                <w:rFonts w:ascii="Calibri" w:hAnsi="Calibri" w:cs="Calibri"/>
                <w:b/>
                <w:sz w:val="18"/>
                <w:szCs w:val="18"/>
              </w:rPr>
            </w:pPr>
            <w:r w:rsidRPr="00D9152B">
              <w:rPr>
                <w:rFonts w:ascii="Calibri" w:hAnsi="Calibri" w:cs="Calibri"/>
                <w:b/>
                <w:sz w:val="18"/>
                <w:szCs w:val="18"/>
              </w:rPr>
              <w:t>Office of the Programme Director (Ouagadougou)</w:t>
            </w:r>
          </w:p>
        </w:tc>
        <w:tc>
          <w:tcPr>
            <w:tcW w:w="3124" w:type="dxa"/>
            <w:tcBorders>
              <w:top w:val="single" w:sz="4" w:space="0" w:color="auto"/>
              <w:bottom w:val="single" w:sz="4" w:space="0" w:color="auto"/>
            </w:tcBorders>
          </w:tcPr>
          <w:p w14:paraId="186C4BB8" w14:textId="77777777" w:rsidR="00A56CC8" w:rsidRPr="00D9152B" w:rsidRDefault="00A56CC8" w:rsidP="00AF0A48">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Plans, programmes, implements, and reports on field operations, based on Expert Advisory Committee recommendations and plans approved by the Joint Programme Committee; Prepares initial budget</w:t>
            </w:r>
          </w:p>
        </w:tc>
        <w:tc>
          <w:tcPr>
            <w:tcW w:w="2693" w:type="dxa"/>
            <w:tcBorders>
              <w:top w:val="single" w:sz="4" w:space="0" w:color="auto"/>
              <w:bottom w:val="single" w:sz="4" w:space="0" w:color="auto"/>
              <w:right w:val="single" w:sz="4" w:space="0" w:color="auto"/>
            </w:tcBorders>
          </w:tcPr>
          <w:p w14:paraId="0DA18998" w14:textId="77777777" w:rsidR="00A56CC8" w:rsidRPr="00D9152B" w:rsidRDefault="00A56CC8" w:rsidP="00AF0A48">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Programme Director, supported by technical units and OCP staff</w:t>
            </w:r>
          </w:p>
        </w:tc>
      </w:tr>
      <w:tr w:rsidR="00A56CC8" w:rsidRPr="00D9152B" w14:paraId="284D7F96" w14:textId="77777777" w:rsidTr="00AF0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Borders>
              <w:right w:val="none" w:sz="0" w:space="0" w:color="auto"/>
            </w:tcBorders>
          </w:tcPr>
          <w:p w14:paraId="68EF5806" w14:textId="77777777" w:rsidR="00A56CC8" w:rsidRPr="00D9152B" w:rsidRDefault="00A56CC8" w:rsidP="00AF0A48">
            <w:pPr>
              <w:rPr>
                <w:rFonts w:ascii="Calibri" w:hAnsi="Calibri" w:cs="Calibri"/>
                <w:b/>
                <w:sz w:val="18"/>
                <w:szCs w:val="18"/>
              </w:rPr>
            </w:pPr>
            <w:r w:rsidRPr="00D9152B">
              <w:rPr>
                <w:rFonts w:ascii="Calibri" w:hAnsi="Calibri" w:cs="Calibri"/>
                <w:b/>
                <w:sz w:val="18"/>
                <w:szCs w:val="18"/>
              </w:rPr>
              <w:t>National Onchocerciasis Committee</w:t>
            </w:r>
          </w:p>
        </w:tc>
        <w:tc>
          <w:tcPr>
            <w:tcW w:w="3124" w:type="dxa"/>
            <w:tcBorders>
              <w:top w:val="single" w:sz="4" w:space="0" w:color="auto"/>
              <w:bottom w:val="single" w:sz="4" w:space="0" w:color="auto"/>
            </w:tcBorders>
          </w:tcPr>
          <w:p w14:paraId="4110C1C2" w14:textId="77777777" w:rsidR="00A56CC8" w:rsidRPr="00D9152B" w:rsidRDefault="00A56CC8" w:rsidP="00AF0A48">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Collaborates with participating countries</w:t>
            </w:r>
          </w:p>
        </w:tc>
        <w:tc>
          <w:tcPr>
            <w:tcW w:w="2693" w:type="dxa"/>
            <w:tcBorders>
              <w:top w:val="single" w:sz="4" w:space="0" w:color="auto"/>
              <w:bottom w:val="single" w:sz="4" w:space="0" w:color="auto"/>
              <w:right w:val="single" w:sz="4" w:space="0" w:color="auto"/>
            </w:tcBorders>
          </w:tcPr>
          <w:p w14:paraId="3AE618AD" w14:textId="77777777" w:rsidR="00A56CC8" w:rsidRPr="00D9152B" w:rsidRDefault="00A56CC8" w:rsidP="00AF0A48">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Each participating country has a committee</w:t>
            </w:r>
          </w:p>
        </w:tc>
      </w:tr>
    </w:tbl>
    <w:p w14:paraId="4024760F" w14:textId="77777777" w:rsidR="00A56CC8" w:rsidRPr="00D9152B" w:rsidRDefault="00A56CC8" w:rsidP="00A56CC8">
      <w:pPr>
        <w:rPr>
          <w:rFonts w:ascii="Calibri" w:hAnsi="Calibri" w:cs="Calibri"/>
          <w:color w:val="808080" w:themeColor="background1" w:themeShade="80"/>
          <w:sz w:val="18"/>
          <w:szCs w:val="18"/>
        </w:rPr>
      </w:pPr>
    </w:p>
    <w:p w14:paraId="51D1EBC0" w14:textId="46492905" w:rsidR="00A56CC8" w:rsidRPr="00D9152B" w:rsidRDefault="00A56CC8" w:rsidP="00A56CC8">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Table </w:t>
      </w:r>
      <w:r w:rsidR="009F7334">
        <w:rPr>
          <w:rFonts w:ascii="Calibri" w:hAnsi="Calibri" w:cs="Calibri"/>
          <w:color w:val="808080" w:themeColor="background1" w:themeShade="80"/>
          <w:sz w:val="22"/>
          <w:szCs w:val="22"/>
        </w:rPr>
        <w:t>3.</w:t>
      </w:r>
      <w:r w:rsidRPr="00D9152B">
        <w:rPr>
          <w:rFonts w:ascii="Calibri" w:hAnsi="Calibri" w:cs="Calibri"/>
          <w:color w:val="808080" w:themeColor="background1" w:themeShade="80"/>
          <w:sz w:val="22"/>
          <w:szCs w:val="22"/>
        </w:rPr>
        <w:t>1. General functions of each of the structural components of the OCP.</w:t>
      </w:r>
      <w:r w:rsidR="0062753D" w:rsidRPr="00D9152B">
        <w:rPr>
          <w:rStyle w:val="FootnoteReference"/>
          <w:rFonts w:ascii="Calibri" w:hAnsi="Calibri" w:cs="Calibri"/>
          <w:color w:val="808080" w:themeColor="background1" w:themeShade="80"/>
        </w:rPr>
        <w:footnoteReference w:id="145"/>
      </w:r>
      <w:r w:rsidRPr="00D9152B">
        <w:rPr>
          <w:rFonts w:ascii="Calibri" w:hAnsi="Calibri" w:cs="Calibri"/>
          <w:color w:val="808080" w:themeColor="background1" w:themeShade="80"/>
          <w:sz w:val="22"/>
          <w:szCs w:val="22"/>
        </w:rPr>
        <w:t xml:space="preserve"> </w:t>
      </w:r>
    </w:p>
    <w:p w14:paraId="39499D66" w14:textId="73B0D9DA" w:rsidR="009F062D" w:rsidRPr="00D9152B" w:rsidRDefault="007A62EF" w:rsidP="009F062D">
      <w:pPr>
        <w:spacing w:before="100" w:beforeAutospacing="1" w:after="100" w:afterAutospacing="1" w:line="360" w:lineRule="auto"/>
        <w:ind w:firstLine="720"/>
        <w:rPr>
          <w:rFonts w:ascii="Calibri" w:hAnsi="Calibri" w:cs="Calibri"/>
          <w:color w:val="808080" w:themeColor="background1" w:themeShade="80"/>
          <w:sz w:val="22"/>
          <w:szCs w:val="22"/>
        </w:rPr>
      </w:pPr>
      <w:r w:rsidRPr="00D9152B">
        <w:rPr>
          <w:rFonts w:ascii="Calibri" w:hAnsi="Calibri" w:cs="Calibri"/>
          <w:sz w:val="22"/>
          <w:szCs w:val="22"/>
        </w:rPr>
        <w:t xml:space="preserve">The </w:t>
      </w:r>
      <w:r w:rsidR="009F062D" w:rsidRPr="00D9152B">
        <w:rPr>
          <w:rFonts w:ascii="Calibri" w:hAnsi="Calibri" w:cs="Calibri"/>
          <w:sz w:val="22"/>
          <w:szCs w:val="22"/>
        </w:rPr>
        <w:t>Bank’s role as custodian of the onchocerciasis trust fund</w:t>
      </w:r>
      <w:r w:rsidR="009F062D" w:rsidRPr="00D9152B">
        <w:rPr>
          <w:rStyle w:val="FootnoteReference"/>
          <w:rFonts w:ascii="Calibri" w:hAnsi="Calibri" w:cs="Calibri"/>
          <w:sz w:val="22"/>
          <w:szCs w:val="22"/>
        </w:rPr>
        <w:footnoteReference w:id="146"/>
      </w:r>
      <w:r w:rsidR="009F062D" w:rsidRPr="00D9152B">
        <w:rPr>
          <w:rFonts w:ascii="Calibri" w:hAnsi="Calibri" w:cs="Calibri"/>
          <w:sz w:val="22"/>
          <w:szCs w:val="22"/>
        </w:rPr>
        <w:t xml:space="preserve"> required considerable finesse in </w:t>
      </w:r>
      <w:r w:rsidR="0062753D" w:rsidRPr="00D9152B">
        <w:rPr>
          <w:rFonts w:ascii="Calibri" w:hAnsi="Calibri" w:cs="Calibri"/>
          <w:sz w:val="22"/>
          <w:szCs w:val="22"/>
        </w:rPr>
        <w:t>understanding</w:t>
      </w:r>
      <w:r w:rsidR="009F062D" w:rsidRPr="00D9152B">
        <w:rPr>
          <w:rFonts w:ascii="Calibri" w:hAnsi="Calibri" w:cs="Calibri"/>
          <w:sz w:val="22"/>
          <w:szCs w:val="22"/>
        </w:rPr>
        <w:t xml:space="preserve"> and leveraging donor motivations.</w:t>
      </w:r>
      <w:r w:rsidR="009F062D" w:rsidRPr="00D9152B">
        <w:rPr>
          <w:rStyle w:val="FootnoteReference"/>
          <w:rFonts w:ascii="Calibri" w:hAnsi="Calibri" w:cs="Calibri"/>
          <w:sz w:val="22"/>
          <w:szCs w:val="22"/>
        </w:rPr>
        <w:footnoteReference w:id="147"/>
      </w:r>
      <w:r w:rsidR="009F062D" w:rsidRPr="00D9152B">
        <w:rPr>
          <w:rFonts w:ascii="Calibri" w:hAnsi="Calibri" w:cs="Calibri"/>
          <w:sz w:val="22"/>
          <w:szCs w:val="22"/>
        </w:rPr>
        <w:t xml:space="preserve"> It meant that the Bank was ‘openly and explicitly running things’ during the first two years of the program (1973-1975), as it forged consensus among donors, organised meetings, and fundraised. Yet, </w:t>
      </w:r>
      <w:r w:rsidRPr="00D9152B">
        <w:rPr>
          <w:rFonts w:ascii="Calibri" w:hAnsi="Calibri" w:cs="Calibri"/>
          <w:sz w:val="22"/>
          <w:szCs w:val="22"/>
        </w:rPr>
        <w:t>OCP</w:t>
      </w:r>
      <w:r w:rsidR="009F062D" w:rsidRPr="00D9152B">
        <w:rPr>
          <w:rFonts w:ascii="Calibri" w:hAnsi="Calibri" w:cs="Calibri"/>
          <w:sz w:val="22"/>
          <w:szCs w:val="22"/>
        </w:rPr>
        <w:t xml:space="preserve"> </w:t>
      </w:r>
      <w:r w:rsidRPr="00D9152B">
        <w:rPr>
          <w:rFonts w:ascii="Calibri" w:hAnsi="Calibri" w:cs="Calibri"/>
          <w:sz w:val="22"/>
          <w:szCs w:val="22"/>
        </w:rPr>
        <w:t>stakeholders</w:t>
      </w:r>
      <w:r w:rsidR="009F062D" w:rsidRPr="00D9152B">
        <w:rPr>
          <w:rFonts w:ascii="Calibri" w:hAnsi="Calibri" w:cs="Calibri"/>
          <w:sz w:val="22"/>
          <w:szCs w:val="22"/>
        </w:rPr>
        <w:t xml:space="preserve"> expected that this role would gradually abate when the OCP gained financial stability. Execution of technical program functions was to be transferred from the Bank and WHO headquarters (Geneva) to the OCP secretariat (Ouagadougou) and the WHO AFRO regional office (Brazzaville).</w:t>
      </w:r>
      <w:r w:rsidR="009F062D" w:rsidRPr="00D9152B">
        <w:rPr>
          <w:rStyle w:val="FootnoteReference"/>
          <w:rFonts w:ascii="Calibri" w:hAnsi="Calibri" w:cs="Calibri"/>
          <w:sz w:val="22"/>
          <w:szCs w:val="22"/>
        </w:rPr>
        <w:footnoteReference w:id="148"/>
      </w:r>
      <w:r w:rsidR="009F062D" w:rsidRPr="00D9152B">
        <w:rPr>
          <w:rFonts w:ascii="Calibri" w:hAnsi="Calibri" w:cs="Calibri"/>
          <w:sz w:val="22"/>
          <w:szCs w:val="22"/>
        </w:rPr>
        <w:t xml:space="preserve"> </w:t>
      </w:r>
    </w:p>
    <w:p w14:paraId="78AAA656" w14:textId="77777777" w:rsidR="00F65302" w:rsidRPr="00D9152B" w:rsidRDefault="009F062D" w:rsidP="009F062D">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By the </w:t>
      </w:r>
      <w:r w:rsidR="00F65302" w:rsidRPr="00D9152B">
        <w:rPr>
          <w:rFonts w:ascii="Calibri" w:hAnsi="Calibri" w:cs="Calibri"/>
          <w:sz w:val="22"/>
          <w:szCs w:val="22"/>
        </w:rPr>
        <w:t xml:space="preserve">late </w:t>
      </w:r>
      <w:r w:rsidRPr="00D9152B">
        <w:rPr>
          <w:rFonts w:ascii="Calibri" w:hAnsi="Calibri" w:cs="Calibri"/>
          <w:sz w:val="22"/>
          <w:szCs w:val="22"/>
        </w:rPr>
        <w:t xml:space="preserve">1970s, however, reduced </w:t>
      </w:r>
      <w:r w:rsidR="00D10568" w:rsidRPr="00D9152B">
        <w:rPr>
          <w:rFonts w:ascii="Calibri" w:hAnsi="Calibri" w:cs="Calibri"/>
          <w:sz w:val="22"/>
          <w:szCs w:val="22"/>
        </w:rPr>
        <w:t>Bank</w:t>
      </w:r>
      <w:r w:rsidRPr="00D9152B">
        <w:rPr>
          <w:rFonts w:ascii="Calibri" w:hAnsi="Calibri" w:cs="Calibri"/>
          <w:sz w:val="22"/>
          <w:szCs w:val="22"/>
        </w:rPr>
        <w:t xml:space="preserve"> involvement was ‘more an appearance than reality’, as the Bank exercised significant control on</w:t>
      </w:r>
      <w:r w:rsidR="00F65302" w:rsidRPr="00D9152B">
        <w:rPr>
          <w:rFonts w:ascii="Calibri" w:hAnsi="Calibri" w:cs="Calibri"/>
          <w:sz w:val="22"/>
          <w:szCs w:val="22"/>
        </w:rPr>
        <w:t xml:space="preserve"> </w:t>
      </w:r>
      <w:r w:rsidRPr="00D9152B">
        <w:rPr>
          <w:rFonts w:ascii="Calibri" w:hAnsi="Calibri" w:cs="Calibri"/>
          <w:sz w:val="22"/>
          <w:szCs w:val="22"/>
        </w:rPr>
        <w:t xml:space="preserve">the Committee of Sponsoring Agencies (CSA) and Expert Advisory Committee (EAC). It was ‘discreetly using its influence over EAC and CSA in order to steer the JPC’ (the Joint Program Committee or formal </w:t>
      </w:r>
      <w:r w:rsidRPr="00D9152B">
        <w:rPr>
          <w:rFonts w:ascii="Calibri" w:hAnsi="Calibri" w:cs="Calibri"/>
          <w:sz w:val="22"/>
          <w:szCs w:val="22"/>
        </w:rPr>
        <w:lastRenderedPageBreak/>
        <w:t>decision-making body) ‘in the right direction’,</w:t>
      </w:r>
      <w:r w:rsidRPr="00D9152B">
        <w:rPr>
          <w:rStyle w:val="FootnoteReference"/>
          <w:rFonts w:ascii="Calibri" w:hAnsi="Calibri" w:cs="Calibri"/>
          <w:sz w:val="22"/>
          <w:szCs w:val="22"/>
        </w:rPr>
        <w:footnoteReference w:id="149"/>
      </w:r>
      <w:r w:rsidRPr="00D9152B">
        <w:rPr>
          <w:rFonts w:ascii="Calibri" w:hAnsi="Calibri" w:cs="Calibri"/>
          <w:sz w:val="22"/>
          <w:szCs w:val="22"/>
        </w:rPr>
        <w:t xml:space="preserve"> which allowed it to maintain a low-profile but exercise significant influence.</w:t>
      </w:r>
      <w:r w:rsidRPr="00D9152B">
        <w:rPr>
          <w:rStyle w:val="FootnoteReference"/>
          <w:rFonts w:ascii="Calibri" w:hAnsi="Calibri" w:cs="Calibri"/>
          <w:sz w:val="22"/>
          <w:szCs w:val="22"/>
        </w:rPr>
        <w:footnoteReference w:id="150"/>
      </w:r>
      <w:r w:rsidRPr="00D9152B">
        <w:rPr>
          <w:rFonts w:ascii="Calibri" w:hAnsi="Calibri" w:cs="Calibri"/>
          <w:sz w:val="22"/>
          <w:szCs w:val="22"/>
        </w:rPr>
        <w:t xml:space="preserve"> </w:t>
      </w:r>
    </w:p>
    <w:p w14:paraId="715DA5A4" w14:textId="55C253DE" w:rsidR="000E4E3D" w:rsidRPr="00D9152B" w:rsidRDefault="00F65302" w:rsidP="009F062D">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Indeed, a </w:t>
      </w:r>
      <w:r w:rsidR="009F062D" w:rsidRPr="00D9152B">
        <w:rPr>
          <w:rFonts w:ascii="Calibri" w:hAnsi="Calibri" w:cs="Calibri"/>
          <w:sz w:val="22"/>
          <w:szCs w:val="22"/>
        </w:rPr>
        <w:t>senior staff member suggested that the Bank should have a scientist on staff to ‘sufficiently articulate and influence the EAC’</w:t>
      </w:r>
      <w:r w:rsidR="007A62EF" w:rsidRPr="00D9152B">
        <w:rPr>
          <w:rFonts w:ascii="Calibri" w:hAnsi="Calibri" w:cs="Calibri"/>
          <w:sz w:val="22"/>
          <w:szCs w:val="22"/>
        </w:rPr>
        <w:t xml:space="preserve">; </w:t>
      </w:r>
      <w:r w:rsidR="009F062D" w:rsidRPr="00D9152B">
        <w:rPr>
          <w:rFonts w:ascii="Calibri" w:hAnsi="Calibri" w:cs="Calibri"/>
          <w:sz w:val="22"/>
          <w:szCs w:val="22"/>
        </w:rPr>
        <w:t>a high-level representative on the CSA ‘so that the recommendations going to the JPC [predecessor to the Joint Programme Committee] reflect our views’</w:t>
      </w:r>
      <w:r w:rsidR="007A62EF" w:rsidRPr="00D9152B">
        <w:rPr>
          <w:rFonts w:ascii="Calibri" w:hAnsi="Calibri" w:cs="Calibri"/>
          <w:sz w:val="22"/>
          <w:szCs w:val="22"/>
        </w:rPr>
        <w:t xml:space="preserve">; </w:t>
      </w:r>
      <w:r w:rsidR="009F062D" w:rsidRPr="00D9152B">
        <w:rPr>
          <w:rFonts w:ascii="Calibri" w:hAnsi="Calibri" w:cs="Calibri"/>
          <w:sz w:val="22"/>
          <w:szCs w:val="22"/>
        </w:rPr>
        <w:t>and an administrative staffer to ‘keep a close watch on this politically risky program’.</w:t>
      </w:r>
      <w:r w:rsidR="009F062D" w:rsidRPr="00D9152B">
        <w:rPr>
          <w:rStyle w:val="FootnoteReference"/>
          <w:rFonts w:ascii="Calibri" w:hAnsi="Calibri" w:cs="Calibri"/>
          <w:sz w:val="22"/>
          <w:szCs w:val="22"/>
        </w:rPr>
        <w:footnoteReference w:id="151"/>
      </w:r>
      <w:r w:rsidR="009F062D" w:rsidRPr="00D9152B">
        <w:rPr>
          <w:rFonts w:ascii="Calibri" w:hAnsi="Calibri" w:cs="Calibri"/>
          <w:sz w:val="22"/>
          <w:szCs w:val="22"/>
        </w:rPr>
        <w:t xml:space="preserve"> </w:t>
      </w:r>
      <w:r w:rsidR="000E4E3D" w:rsidRPr="00D9152B">
        <w:rPr>
          <w:rFonts w:ascii="Calibri" w:hAnsi="Calibri" w:cs="Calibri"/>
          <w:sz w:val="22"/>
          <w:szCs w:val="22"/>
        </w:rPr>
        <w:t>The Bank’s Western Africa region Programs Division Chief became the Bank’s ‘coordinator and anchorman’ of its OCP efforts.</w:t>
      </w:r>
      <w:r w:rsidR="000E4E3D" w:rsidRPr="00D9152B">
        <w:rPr>
          <w:rStyle w:val="FootnoteReference"/>
          <w:rFonts w:ascii="Calibri" w:hAnsi="Calibri" w:cs="Calibri"/>
          <w:sz w:val="22"/>
          <w:szCs w:val="22"/>
        </w:rPr>
        <w:footnoteReference w:id="152"/>
      </w:r>
      <w:r w:rsidR="000E4E3D" w:rsidRPr="00D9152B">
        <w:rPr>
          <w:rFonts w:ascii="Calibri" w:hAnsi="Calibri" w:cs="Calibri"/>
          <w:sz w:val="22"/>
          <w:szCs w:val="22"/>
        </w:rPr>
        <w:t xml:space="preserve"> Th</w:t>
      </w:r>
      <w:r w:rsidRPr="00D9152B">
        <w:rPr>
          <w:rFonts w:ascii="Calibri" w:hAnsi="Calibri" w:cs="Calibri"/>
          <w:sz w:val="22"/>
          <w:szCs w:val="22"/>
        </w:rPr>
        <w:t>is</w:t>
      </w:r>
      <w:r w:rsidR="000E4E3D" w:rsidRPr="00D9152B">
        <w:rPr>
          <w:rFonts w:ascii="Calibri" w:hAnsi="Calibri" w:cs="Calibri"/>
          <w:sz w:val="22"/>
          <w:szCs w:val="22"/>
        </w:rPr>
        <w:t xml:space="preserve"> role was first filled by Marc Bazin, a World Bank economist (and future Haitian Minister of Finance and Economics). Bazin’s appointment gave the Bank significant input in OCP management and operations, through a revolving door of sorts;</w:t>
      </w:r>
      <w:r w:rsidR="000E4E3D" w:rsidRPr="00D9152B">
        <w:rPr>
          <w:rStyle w:val="FootnoteReference"/>
          <w:rFonts w:ascii="Calibri" w:hAnsi="Calibri" w:cs="Calibri"/>
          <w:sz w:val="22"/>
          <w:szCs w:val="22"/>
        </w:rPr>
        <w:footnoteReference w:id="153"/>
      </w:r>
      <w:r w:rsidR="000E4E3D" w:rsidRPr="00D9152B">
        <w:rPr>
          <w:rFonts w:ascii="Calibri" w:hAnsi="Calibri" w:cs="Calibri"/>
          <w:sz w:val="22"/>
          <w:szCs w:val="22"/>
        </w:rPr>
        <w:t xml:space="preserve"> Bazin was subsequently seconded to the WHO and served as the OCP’s Director (1977-1980).</w:t>
      </w:r>
      <w:r w:rsidR="000E4E3D" w:rsidRPr="00D9152B">
        <w:rPr>
          <w:rStyle w:val="FootnoteReference"/>
          <w:rFonts w:ascii="Calibri" w:hAnsi="Calibri" w:cs="Calibri"/>
          <w:sz w:val="22"/>
          <w:szCs w:val="22"/>
        </w:rPr>
        <w:footnoteReference w:id="154"/>
      </w:r>
      <w:r w:rsidR="000E4E3D" w:rsidRPr="00D9152B">
        <w:rPr>
          <w:rFonts w:ascii="Calibri" w:hAnsi="Calibri" w:cs="Calibri"/>
          <w:sz w:val="22"/>
          <w:szCs w:val="22"/>
        </w:rPr>
        <w:t xml:space="preserve"> In 1982, a dedicated two-person onchocerciasis team was established, and the two individuals who served this role through 2002 were both </w:t>
      </w:r>
      <w:r w:rsidRPr="00D9152B">
        <w:rPr>
          <w:rFonts w:ascii="Calibri" w:hAnsi="Calibri" w:cs="Calibri"/>
          <w:sz w:val="22"/>
          <w:szCs w:val="22"/>
        </w:rPr>
        <w:t xml:space="preserve">Bank </w:t>
      </w:r>
      <w:r w:rsidR="000E4E3D" w:rsidRPr="00D9152B">
        <w:rPr>
          <w:rFonts w:ascii="Calibri" w:hAnsi="Calibri" w:cs="Calibri"/>
          <w:sz w:val="22"/>
          <w:szCs w:val="22"/>
        </w:rPr>
        <w:t>economists.</w:t>
      </w:r>
      <w:r w:rsidR="000E4E3D" w:rsidRPr="00D9152B">
        <w:rPr>
          <w:rStyle w:val="FootnoteReference"/>
          <w:rFonts w:ascii="Calibri" w:hAnsi="Calibri" w:cs="Calibri"/>
          <w:sz w:val="22"/>
          <w:szCs w:val="22"/>
        </w:rPr>
        <w:footnoteReference w:id="155"/>
      </w:r>
      <w:r w:rsidR="000E4E3D" w:rsidRPr="00D9152B">
        <w:rPr>
          <w:rFonts w:ascii="Calibri" w:hAnsi="Calibri" w:cs="Calibri"/>
          <w:sz w:val="22"/>
          <w:szCs w:val="22"/>
        </w:rPr>
        <w:t xml:space="preserve"> </w:t>
      </w:r>
    </w:p>
    <w:p w14:paraId="14A50A58" w14:textId="038BFF06" w:rsidR="009F062D" w:rsidRPr="00D9152B" w:rsidRDefault="009F062D" w:rsidP="009F062D">
      <w:pPr>
        <w:spacing w:before="100" w:beforeAutospacing="1" w:after="100" w:afterAutospacing="1" w:line="360" w:lineRule="auto"/>
        <w:ind w:firstLine="720"/>
        <w:rPr>
          <w:rFonts w:ascii="Calibri" w:hAnsi="Calibri" w:cs="Calibri"/>
          <w:i/>
          <w:color w:val="808080" w:themeColor="background1" w:themeShade="80"/>
          <w:sz w:val="22"/>
          <w:szCs w:val="22"/>
        </w:rPr>
      </w:pPr>
      <w:r w:rsidRPr="00D9152B">
        <w:rPr>
          <w:rFonts w:ascii="Calibri" w:hAnsi="Calibri" w:cs="Calibri"/>
          <w:sz w:val="22"/>
          <w:szCs w:val="22"/>
        </w:rPr>
        <w:t xml:space="preserve">During the mid-1980s and throughout the 1990s, the Bank was given an official mandate to increase its leadership role in the OCP. In 1984, the </w:t>
      </w:r>
      <w:r w:rsidR="005D7F1F" w:rsidRPr="00D9152B">
        <w:rPr>
          <w:rFonts w:ascii="Calibri" w:hAnsi="Calibri" w:cs="Calibri"/>
          <w:sz w:val="22"/>
          <w:szCs w:val="22"/>
        </w:rPr>
        <w:t>Joint Programme Committee</w:t>
      </w:r>
      <w:r w:rsidRPr="00D9152B">
        <w:rPr>
          <w:rFonts w:ascii="Calibri" w:hAnsi="Calibri" w:cs="Calibri"/>
          <w:sz w:val="22"/>
          <w:szCs w:val="22"/>
        </w:rPr>
        <w:t xml:space="preserve"> formally requested the Bank’s assistance in preparing a ‘Plan of operations’ </w:t>
      </w:r>
      <w:r w:rsidRPr="00D9152B">
        <w:rPr>
          <w:rFonts w:ascii="Calibri" w:hAnsi="Calibri" w:cs="Calibri"/>
          <w:sz w:val="22"/>
          <w:szCs w:val="22"/>
        </w:rPr>
        <w:lastRenderedPageBreak/>
        <w:t>for the OCP, effectively admitting that the WHO’s ability to budget for the program was lacking.</w:t>
      </w:r>
      <w:r w:rsidRPr="00D9152B">
        <w:rPr>
          <w:rStyle w:val="FootnoteReference"/>
          <w:rFonts w:ascii="Calibri" w:hAnsi="Calibri" w:cs="Calibri"/>
          <w:sz w:val="22"/>
          <w:szCs w:val="22"/>
        </w:rPr>
        <w:footnoteReference w:id="156"/>
      </w:r>
      <w:r w:rsidRPr="00D9152B">
        <w:rPr>
          <w:rFonts w:ascii="Calibri" w:hAnsi="Calibri" w:cs="Calibri"/>
          <w:sz w:val="22"/>
          <w:szCs w:val="22"/>
        </w:rPr>
        <w:t xml:space="preserve"> The Bank was careful to distinguish between this acceptable assistance (‘influencing funding’), and producing an actual strategy document, which would be inconsistent with its need to be seen as having ‘complete non interference’ with official OCP strategy.</w:t>
      </w:r>
      <w:r w:rsidRPr="00D9152B">
        <w:rPr>
          <w:rStyle w:val="FootnoteReference"/>
          <w:rFonts w:ascii="Calibri" w:hAnsi="Calibri" w:cs="Calibri"/>
          <w:sz w:val="22"/>
          <w:szCs w:val="22"/>
        </w:rPr>
        <w:footnoteReference w:id="157"/>
      </w:r>
      <w:r w:rsidRPr="00D9152B">
        <w:rPr>
          <w:rFonts w:ascii="Calibri" w:hAnsi="Calibri" w:cs="Calibri"/>
          <w:sz w:val="22"/>
          <w:szCs w:val="22"/>
        </w:rPr>
        <w:t xml:space="preserve"> In 1987-1988, the Bank was again requested by beneficiary countries and donors to take a lead on both economic development of areas freed from onchocerciasis and devolution (the transfer of responsibility to beneficiary countries). It was also named the executing agent of a land settlement review by the </w:t>
      </w:r>
      <w:r w:rsidR="00F65302" w:rsidRPr="00D9152B">
        <w:rPr>
          <w:rFonts w:ascii="Calibri" w:hAnsi="Calibri" w:cs="Calibri"/>
          <w:sz w:val="22"/>
          <w:szCs w:val="22"/>
        </w:rPr>
        <w:t>Joint Programme Committee</w:t>
      </w:r>
      <w:r w:rsidRPr="00D9152B">
        <w:rPr>
          <w:rFonts w:ascii="Calibri" w:hAnsi="Calibri" w:cs="Calibri"/>
          <w:sz w:val="22"/>
          <w:szCs w:val="22"/>
        </w:rPr>
        <w:t>.</w:t>
      </w:r>
      <w:r w:rsidRPr="00D9152B">
        <w:rPr>
          <w:rStyle w:val="FootnoteReference"/>
          <w:rFonts w:ascii="Calibri" w:hAnsi="Calibri" w:cs="Calibri"/>
          <w:sz w:val="22"/>
          <w:szCs w:val="22"/>
        </w:rPr>
        <w:footnoteReference w:id="158"/>
      </w:r>
    </w:p>
    <w:p w14:paraId="3A18801A" w14:textId="49125C02" w:rsidR="00C77B34" w:rsidRPr="00D9152B" w:rsidRDefault="009F062D" w:rsidP="00C77B34">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In addition to its formal role in financial management, socio-economic development of onchocerciasis-freed lands, and devolution, the Bank also played a major role in producing and disseminating program statistics. McNamara’s emphasis on ‘statistics, statistics, statistics’, coupled with the Bank’s need for clear metrics to support its fundraising, meant that the Bank produced program fact sheets, press releases, economic cost-benefit analyses, and other marketing materials.</w:t>
      </w:r>
      <w:r w:rsidRPr="00D9152B">
        <w:rPr>
          <w:rStyle w:val="FootnoteReference"/>
          <w:rFonts w:ascii="Calibri" w:hAnsi="Calibri" w:cs="Calibri"/>
          <w:sz w:val="22"/>
          <w:szCs w:val="22"/>
        </w:rPr>
        <w:footnoteReference w:id="159"/>
      </w:r>
      <w:r w:rsidRPr="00D9152B">
        <w:rPr>
          <w:rFonts w:ascii="Calibri" w:hAnsi="Calibri" w:cs="Calibri"/>
          <w:sz w:val="22"/>
          <w:szCs w:val="22"/>
        </w:rPr>
        <w:t xml:space="preserve"> </w:t>
      </w:r>
      <w:r w:rsidR="00F14F1F" w:rsidRPr="00D9152B">
        <w:rPr>
          <w:rFonts w:ascii="Calibri" w:hAnsi="Calibri" w:cs="Calibri"/>
          <w:sz w:val="22"/>
          <w:szCs w:val="22"/>
        </w:rPr>
        <w:t>This role in metrics production is explored in depth in Chapter 4.</w:t>
      </w:r>
      <w:r w:rsidR="00F65302" w:rsidRPr="00D9152B">
        <w:rPr>
          <w:rFonts w:ascii="Calibri" w:hAnsi="Calibri" w:cs="Calibri"/>
          <w:sz w:val="22"/>
          <w:szCs w:val="22"/>
        </w:rPr>
        <w:t xml:space="preserve"> In such a way, by the late 1980s, stakeholders widely understood that the Bank and WHO had the ‘largest influence over Programme decision-making of any agency or donor participating in the Riverblindness Program’.</w:t>
      </w:r>
      <w:r w:rsidR="00F65302" w:rsidRPr="00D9152B">
        <w:rPr>
          <w:rStyle w:val="FootnoteReference"/>
          <w:rFonts w:ascii="Calibri" w:hAnsi="Calibri" w:cs="Calibri"/>
          <w:sz w:val="22"/>
          <w:szCs w:val="22"/>
        </w:rPr>
        <w:footnoteReference w:id="160"/>
      </w:r>
      <w:r w:rsidR="00C77B34" w:rsidRPr="00D9152B">
        <w:rPr>
          <w:rFonts w:ascii="Calibri" w:hAnsi="Calibri" w:cs="Calibri"/>
          <w:sz w:val="22"/>
          <w:szCs w:val="22"/>
        </w:rPr>
        <w:t xml:space="preserve"> This influence – and the Bank’s success narrative – was the product of efforts of a small number of long-serving staff at the Bank. The onchocerciasis unit never contained more than three full-time staff members, and these members were typically regional and economics experts, rather than health experts. </w:t>
      </w:r>
    </w:p>
    <w:p w14:paraId="0EBD1F76" w14:textId="6D1632E3" w:rsidR="0062753D" w:rsidRPr="00D9152B" w:rsidRDefault="009F062D" w:rsidP="0062753D">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Recollections of the OCP, such as Bundy et al.,</w:t>
      </w:r>
      <w:r w:rsidRPr="00D9152B">
        <w:rPr>
          <w:rStyle w:val="FootnoteReference"/>
          <w:rFonts w:ascii="Calibri" w:hAnsi="Calibri" w:cs="Calibri"/>
          <w:sz w:val="22"/>
          <w:szCs w:val="22"/>
        </w:rPr>
        <w:footnoteReference w:id="161"/>
      </w:r>
      <w:r w:rsidRPr="00D9152B">
        <w:rPr>
          <w:rFonts w:ascii="Calibri" w:hAnsi="Calibri" w:cs="Calibri"/>
          <w:sz w:val="22"/>
          <w:szCs w:val="22"/>
        </w:rPr>
        <w:t xml:space="preserve"> that depict the Bank’s role in OCP as strictly that of a fiscal agent therefore significantly underrepresent its influence on program decision-making. The Bank purposely sought a</w:t>
      </w:r>
      <w:r w:rsidR="00C12319" w:rsidRPr="00D9152B">
        <w:rPr>
          <w:rFonts w:ascii="Calibri" w:hAnsi="Calibri" w:cs="Calibri"/>
          <w:sz w:val="22"/>
          <w:szCs w:val="22"/>
        </w:rPr>
        <w:t xml:space="preserve"> </w:t>
      </w:r>
      <w:r w:rsidRPr="00D9152B">
        <w:rPr>
          <w:rFonts w:ascii="Calibri" w:hAnsi="Calibri" w:cs="Calibri"/>
          <w:sz w:val="22"/>
          <w:szCs w:val="22"/>
        </w:rPr>
        <w:t xml:space="preserve">low-profile role during OCP, but </w:t>
      </w:r>
      <w:r w:rsidRPr="00D9152B">
        <w:rPr>
          <w:rFonts w:ascii="Calibri" w:hAnsi="Calibri" w:cs="Calibri"/>
          <w:sz w:val="22"/>
          <w:szCs w:val="22"/>
        </w:rPr>
        <w:lastRenderedPageBreak/>
        <w:t>was unofficially involved in both short and long-term strategy formulation. Chapters 4-8 consider the additional roles that the Bank took on during the OCP, and Chapter 9 explains why these roles are important for understanding the Bank’s</w:t>
      </w:r>
      <w:r w:rsidR="00F65302" w:rsidRPr="00D9152B">
        <w:rPr>
          <w:rFonts w:ascii="Calibri" w:hAnsi="Calibri" w:cs="Calibri"/>
          <w:sz w:val="22"/>
          <w:szCs w:val="22"/>
        </w:rPr>
        <w:t xml:space="preserve"> wider</w:t>
      </w:r>
      <w:r w:rsidRPr="00D9152B">
        <w:rPr>
          <w:rFonts w:ascii="Calibri" w:hAnsi="Calibri" w:cs="Calibri"/>
          <w:sz w:val="22"/>
          <w:szCs w:val="22"/>
        </w:rPr>
        <w:t xml:space="preserve"> impact </w:t>
      </w:r>
      <w:r w:rsidR="0062753D" w:rsidRPr="00D9152B">
        <w:rPr>
          <w:rFonts w:ascii="Calibri" w:hAnsi="Calibri" w:cs="Calibri"/>
          <w:sz w:val="22"/>
          <w:szCs w:val="22"/>
        </w:rPr>
        <w:t>o</w:t>
      </w:r>
      <w:r w:rsidRPr="00D9152B">
        <w:rPr>
          <w:rFonts w:ascii="Calibri" w:hAnsi="Calibri" w:cs="Calibri"/>
          <w:sz w:val="22"/>
          <w:szCs w:val="22"/>
        </w:rPr>
        <w:t>n global health.</w:t>
      </w:r>
    </w:p>
    <w:p w14:paraId="685C935B" w14:textId="188F2B3E" w:rsidR="000F369C" w:rsidRPr="00D9152B" w:rsidRDefault="00FA7D67" w:rsidP="002F22C3">
      <w:pPr>
        <w:pStyle w:val="Heading2"/>
        <w:spacing w:before="100" w:beforeAutospacing="1" w:after="100" w:afterAutospacing="1" w:line="360" w:lineRule="auto"/>
        <w:rPr>
          <w:rFonts w:ascii="Calibri" w:hAnsi="Calibri" w:cs="Calibri"/>
          <w:b/>
          <w:sz w:val="26"/>
          <w:szCs w:val="26"/>
        </w:rPr>
      </w:pPr>
      <w:bookmarkStart w:id="39" w:name="_Toc41505613"/>
      <w:r w:rsidRPr="00D9152B">
        <w:rPr>
          <w:rFonts w:ascii="Calibri" w:hAnsi="Calibri" w:cs="Calibri"/>
          <w:b/>
          <w:sz w:val="26"/>
          <w:szCs w:val="26"/>
        </w:rPr>
        <w:t>3.</w:t>
      </w:r>
      <w:r w:rsidR="0098315E" w:rsidRPr="00D9152B">
        <w:rPr>
          <w:rFonts w:ascii="Calibri" w:hAnsi="Calibri" w:cs="Calibri"/>
          <w:b/>
          <w:sz w:val="26"/>
          <w:szCs w:val="26"/>
        </w:rPr>
        <w:t>3</w:t>
      </w:r>
      <w:r w:rsidR="002F22C3" w:rsidRPr="00D9152B">
        <w:rPr>
          <w:rFonts w:ascii="Calibri" w:hAnsi="Calibri" w:cs="Calibri"/>
          <w:b/>
          <w:sz w:val="26"/>
          <w:szCs w:val="26"/>
        </w:rPr>
        <w:t xml:space="preserve">. </w:t>
      </w:r>
      <w:r w:rsidR="007E12F0" w:rsidRPr="00D9152B">
        <w:rPr>
          <w:rFonts w:ascii="Calibri" w:hAnsi="Calibri" w:cs="Calibri"/>
          <w:b/>
          <w:sz w:val="26"/>
          <w:szCs w:val="26"/>
        </w:rPr>
        <w:t>The global health community’s OCP success narrative</w:t>
      </w:r>
      <w:bookmarkEnd w:id="39"/>
    </w:p>
    <w:p w14:paraId="062BE1A1" w14:textId="3039027B" w:rsidR="007C4FA3" w:rsidRPr="00D9152B" w:rsidRDefault="0099564B"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Was there a point at which the Bank and wider global health community determined that the OCP was a successful programme? </w:t>
      </w:r>
      <w:r w:rsidR="00C77B34" w:rsidRPr="00D9152B">
        <w:rPr>
          <w:rFonts w:ascii="Calibri" w:hAnsi="Calibri" w:cs="Calibri"/>
          <w:sz w:val="22"/>
          <w:szCs w:val="22"/>
        </w:rPr>
        <w:t>The</w:t>
      </w:r>
      <w:r w:rsidR="007C4FA3" w:rsidRPr="00D9152B">
        <w:rPr>
          <w:rFonts w:ascii="Calibri" w:hAnsi="Calibri" w:cs="Calibri"/>
          <w:sz w:val="22"/>
          <w:szCs w:val="22"/>
        </w:rPr>
        <w:t xml:space="preserve"> first</w:t>
      </w:r>
      <w:r w:rsidR="00660FC3" w:rsidRPr="00D9152B">
        <w:rPr>
          <w:rFonts w:ascii="Calibri" w:hAnsi="Calibri" w:cs="Calibri"/>
          <w:sz w:val="22"/>
          <w:szCs w:val="22"/>
        </w:rPr>
        <w:t xml:space="preserve"> public</w:t>
      </w:r>
      <w:r w:rsidR="007C4FA3" w:rsidRPr="00D9152B">
        <w:rPr>
          <w:rFonts w:ascii="Calibri" w:hAnsi="Calibri" w:cs="Calibri"/>
          <w:sz w:val="22"/>
          <w:szCs w:val="22"/>
        </w:rPr>
        <w:t xml:space="preserve"> references to the OCP’s success by the global health community</w:t>
      </w:r>
      <w:r w:rsidR="007C4FA3" w:rsidRPr="00D9152B">
        <w:rPr>
          <w:rStyle w:val="FootnoteReference"/>
          <w:rFonts w:ascii="Calibri" w:hAnsi="Calibri" w:cs="Calibri"/>
          <w:sz w:val="22"/>
          <w:szCs w:val="22"/>
        </w:rPr>
        <w:footnoteReference w:id="162"/>
      </w:r>
      <w:r w:rsidR="00660FC3" w:rsidRPr="00D9152B">
        <w:rPr>
          <w:rFonts w:ascii="Calibri" w:hAnsi="Calibri" w:cs="Calibri"/>
          <w:sz w:val="22"/>
          <w:szCs w:val="22"/>
        </w:rPr>
        <w:t xml:space="preserve"> </w:t>
      </w:r>
      <w:r w:rsidR="007C4FA3" w:rsidRPr="00D9152B">
        <w:rPr>
          <w:rFonts w:ascii="Calibri" w:hAnsi="Calibri" w:cs="Calibri"/>
          <w:sz w:val="22"/>
          <w:szCs w:val="22"/>
        </w:rPr>
        <w:t xml:space="preserve">were as early as 1979. </w:t>
      </w:r>
      <w:r w:rsidR="00C77B34" w:rsidRPr="00D9152B">
        <w:rPr>
          <w:rFonts w:ascii="Calibri" w:hAnsi="Calibri" w:cs="Calibri"/>
          <w:sz w:val="22"/>
          <w:szCs w:val="22"/>
        </w:rPr>
        <w:t>Figure 2 depicts references to the OCP’s success in global health community publications over time. It shows that references</w:t>
      </w:r>
      <w:r w:rsidR="007C4FA3" w:rsidRPr="00D9152B">
        <w:rPr>
          <w:rFonts w:ascii="Calibri" w:hAnsi="Calibri" w:cs="Calibri"/>
          <w:sz w:val="22"/>
          <w:szCs w:val="22"/>
        </w:rPr>
        <w:t xml:space="preserve"> </w:t>
      </w:r>
      <w:r w:rsidR="00C36F68" w:rsidRPr="00D9152B">
        <w:rPr>
          <w:rFonts w:ascii="Calibri" w:hAnsi="Calibri" w:cs="Calibri"/>
          <w:sz w:val="22"/>
          <w:szCs w:val="22"/>
        </w:rPr>
        <w:t>to success</w:t>
      </w:r>
      <w:r w:rsidR="00660FC3" w:rsidRPr="00D9152B">
        <w:rPr>
          <w:rFonts w:ascii="Calibri" w:hAnsi="Calibri" w:cs="Calibri"/>
          <w:sz w:val="22"/>
          <w:szCs w:val="22"/>
        </w:rPr>
        <w:t xml:space="preserve"> by the global health community</w:t>
      </w:r>
      <w:r w:rsidR="00C36F68" w:rsidRPr="00D9152B">
        <w:rPr>
          <w:rFonts w:ascii="Calibri" w:hAnsi="Calibri" w:cs="Calibri"/>
          <w:sz w:val="22"/>
          <w:szCs w:val="22"/>
        </w:rPr>
        <w:t xml:space="preserve"> </w:t>
      </w:r>
      <w:r w:rsidR="007C4FA3" w:rsidRPr="00D9152B">
        <w:rPr>
          <w:rFonts w:ascii="Calibri" w:hAnsi="Calibri" w:cs="Calibri"/>
          <w:sz w:val="22"/>
          <w:szCs w:val="22"/>
        </w:rPr>
        <w:t>rose in the early 1990s, around the time of the Bank’s seminal</w:t>
      </w:r>
      <w:r w:rsidR="008B0ED0" w:rsidRPr="00D9152B">
        <w:rPr>
          <w:rFonts w:ascii="Calibri" w:hAnsi="Calibri" w:cs="Calibri"/>
          <w:sz w:val="22"/>
          <w:szCs w:val="22"/>
        </w:rPr>
        <w:t xml:space="preserve"> 1993 </w:t>
      </w:r>
      <w:r w:rsidR="008B0ED0" w:rsidRPr="00D9152B">
        <w:rPr>
          <w:rFonts w:ascii="Calibri" w:hAnsi="Calibri" w:cs="Calibri"/>
          <w:i/>
          <w:sz w:val="22"/>
          <w:szCs w:val="22"/>
        </w:rPr>
        <w:t xml:space="preserve">World </w:t>
      </w:r>
      <w:r w:rsidR="00704071" w:rsidRPr="00D9152B">
        <w:rPr>
          <w:rFonts w:ascii="Calibri" w:hAnsi="Calibri" w:cs="Calibri"/>
          <w:i/>
          <w:sz w:val="22"/>
          <w:szCs w:val="22"/>
        </w:rPr>
        <w:t>development r</w:t>
      </w:r>
      <w:r w:rsidR="008B0ED0" w:rsidRPr="00D9152B">
        <w:rPr>
          <w:rFonts w:ascii="Calibri" w:hAnsi="Calibri" w:cs="Calibri"/>
          <w:i/>
          <w:sz w:val="22"/>
          <w:szCs w:val="22"/>
        </w:rPr>
        <w:t>eport</w:t>
      </w:r>
      <w:r w:rsidR="008B0ED0" w:rsidRPr="00D9152B">
        <w:rPr>
          <w:rFonts w:ascii="Calibri" w:hAnsi="Calibri" w:cs="Calibri"/>
          <w:sz w:val="22"/>
          <w:szCs w:val="22"/>
        </w:rPr>
        <w:t xml:space="preserve"> –</w:t>
      </w:r>
      <w:r w:rsidR="007C4FA3" w:rsidRPr="00D9152B">
        <w:rPr>
          <w:rFonts w:ascii="Calibri" w:hAnsi="Calibri" w:cs="Calibri"/>
          <w:sz w:val="22"/>
          <w:szCs w:val="22"/>
        </w:rPr>
        <w:t xml:space="preserve"> which formally linked health to development outcomes – and the launch of </w:t>
      </w:r>
      <w:r w:rsidR="00A46727" w:rsidRPr="00D9152B">
        <w:rPr>
          <w:rFonts w:ascii="Calibri" w:hAnsi="Calibri" w:cs="Calibri"/>
          <w:sz w:val="22"/>
          <w:szCs w:val="22"/>
        </w:rPr>
        <w:t>the African Programme for Onchocerciasis Control</w:t>
      </w:r>
      <w:r w:rsidR="00C77B34" w:rsidRPr="00D9152B">
        <w:rPr>
          <w:rFonts w:ascii="Calibri" w:hAnsi="Calibri" w:cs="Calibri"/>
          <w:sz w:val="22"/>
          <w:szCs w:val="22"/>
        </w:rPr>
        <w:t xml:space="preserve"> (APOC)</w:t>
      </w:r>
      <w:r w:rsidR="008B0ED0" w:rsidRPr="00D9152B">
        <w:rPr>
          <w:rFonts w:ascii="Calibri" w:hAnsi="Calibri" w:cs="Calibri"/>
          <w:sz w:val="22"/>
          <w:szCs w:val="22"/>
        </w:rPr>
        <w:t xml:space="preserve"> in 1995</w:t>
      </w:r>
      <w:r w:rsidR="007C4FA3" w:rsidRPr="00D9152B">
        <w:rPr>
          <w:rFonts w:ascii="Calibri" w:hAnsi="Calibri" w:cs="Calibri"/>
          <w:sz w:val="22"/>
          <w:szCs w:val="22"/>
        </w:rPr>
        <w:t xml:space="preserve">. </w:t>
      </w:r>
      <w:r w:rsidR="00C36F68" w:rsidRPr="00D9152B">
        <w:rPr>
          <w:rFonts w:ascii="Calibri" w:hAnsi="Calibri" w:cs="Calibri"/>
          <w:sz w:val="22"/>
          <w:szCs w:val="22"/>
        </w:rPr>
        <w:t xml:space="preserve">These </w:t>
      </w:r>
      <w:r w:rsidR="00E47EB2" w:rsidRPr="00D9152B">
        <w:rPr>
          <w:rFonts w:ascii="Calibri" w:hAnsi="Calibri" w:cs="Calibri"/>
          <w:sz w:val="22"/>
          <w:szCs w:val="22"/>
        </w:rPr>
        <w:t>references</w:t>
      </w:r>
      <w:r w:rsidR="007C4FA3" w:rsidRPr="00D9152B">
        <w:rPr>
          <w:rFonts w:ascii="Calibri" w:hAnsi="Calibri" w:cs="Calibri"/>
          <w:sz w:val="22"/>
          <w:szCs w:val="22"/>
        </w:rPr>
        <w:t xml:space="preserve"> surged in particular </w:t>
      </w:r>
      <w:r w:rsidR="008B0ED0" w:rsidRPr="00D9152B">
        <w:rPr>
          <w:rFonts w:ascii="Calibri" w:hAnsi="Calibri" w:cs="Calibri"/>
          <w:sz w:val="22"/>
          <w:szCs w:val="22"/>
        </w:rPr>
        <w:t>years</w:t>
      </w:r>
      <w:r w:rsidR="007C4FA3" w:rsidRPr="00D9152B">
        <w:rPr>
          <w:rFonts w:ascii="Calibri" w:hAnsi="Calibri" w:cs="Calibri"/>
          <w:sz w:val="22"/>
          <w:szCs w:val="22"/>
        </w:rPr>
        <w:t>,</w:t>
      </w:r>
      <w:r w:rsidR="007C4FA3" w:rsidRPr="00D9152B">
        <w:rPr>
          <w:rStyle w:val="FootnoteReference"/>
          <w:rFonts w:ascii="Calibri" w:hAnsi="Calibri" w:cs="Calibri"/>
          <w:sz w:val="22"/>
          <w:szCs w:val="22"/>
        </w:rPr>
        <w:footnoteReference w:id="163"/>
      </w:r>
      <w:r w:rsidR="007C4FA3" w:rsidRPr="00D9152B">
        <w:rPr>
          <w:rFonts w:ascii="Calibri" w:hAnsi="Calibri" w:cs="Calibri"/>
          <w:sz w:val="22"/>
          <w:szCs w:val="22"/>
        </w:rPr>
        <w:t xml:space="preserve"> but</w:t>
      </w:r>
      <w:r w:rsidR="00C36F68" w:rsidRPr="00D9152B">
        <w:rPr>
          <w:rFonts w:ascii="Calibri" w:hAnsi="Calibri" w:cs="Calibri"/>
          <w:sz w:val="22"/>
          <w:szCs w:val="22"/>
        </w:rPr>
        <w:t xml:space="preserve"> have been consistent over time, </w:t>
      </w:r>
      <w:r w:rsidR="007C4FA3" w:rsidRPr="00D9152B">
        <w:rPr>
          <w:rFonts w:ascii="Calibri" w:hAnsi="Calibri" w:cs="Calibri"/>
          <w:sz w:val="22"/>
          <w:szCs w:val="22"/>
        </w:rPr>
        <w:t>averagi</w:t>
      </w:r>
      <w:r w:rsidR="00C36F68" w:rsidRPr="00D9152B">
        <w:rPr>
          <w:rFonts w:ascii="Calibri" w:hAnsi="Calibri" w:cs="Calibri"/>
          <w:sz w:val="22"/>
          <w:szCs w:val="22"/>
        </w:rPr>
        <w:t>ng approximately eight per year</w:t>
      </w:r>
      <w:r w:rsidR="007C4FA3" w:rsidRPr="00D9152B">
        <w:rPr>
          <w:rFonts w:ascii="Calibri" w:hAnsi="Calibri" w:cs="Calibri"/>
          <w:sz w:val="22"/>
          <w:szCs w:val="22"/>
        </w:rPr>
        <w:t xml:space="preserve">. </w:t>
      </w:r>
      <w:r w:rsidR="00C77B34" w:rsidRPr="00D9152B">
        <w:rPr>
          <w:rFonts w:ascii="Calibri" w:hAnsi="Calibri" w:cs="Calibri"/>
          <w:sz w:val="22"/>
          <w:szCs w:val="22"/>
        </w:rPr>
        <w:t xml:space="preserve">Since </w:t>
      </w:r>
      <w:r w:rsidR="007C4FA3" w:rsidRPr="00D9152B">
        <w:rPr>
          <w:rFonts w:ascii="Calibri" w:hAnsi="Calibri" w:cs="Calibri"/>
          <w:sz w:val="22"/>
          <w:szCs w:val="22"/>
        </w:rPr>
        <w:t>the OCP ended in 2002, the number of official publications and grey literature that reference its success have actually increased, although the number of news articles about the OCP have decreased</w:t>
      </w:r>
      <w:r w:rsidR="00E47EB2" w:rsidRPr="00D9152B">
        <w:rPr>
          <w:rFonts w:ascii="Calibri" w:hAnsi="Calibri" w:cs="Calibri"/>
          <w:sz w:val="22"/>
          <w:szCs w:val="22"/>
        </w:rPr>
        <w:t xml:space="preserve">. </w:t>
      </w:r>
      <w:r w:rsidRPr="00D9152B">
        <w:rPr>
          <w:rFonts w:ascii="Calibri" w:hAnsi="Calibri" w:cs="Calibri"/>
          <w:sz w:val="22"/>
          <w:szCs w:val="22"/>
        </w:rPr>
        <w:t>In other words, in the mid-1990s, the OCP success narrative became more firmly entrenched in the global health community, and it has remain entrenched to the present day.</w:t>
      </w:r>
    </w:p>
    <w:p w14:paraId="1F92FDF0" w14:textId="77777777" w:rsidR="007C4FA3" w:rsidRPr="00D9152B" w:rsidRDefault="007C4FA3" w:rsidP="00E418AF">
      <w:pPr>
        <w:jc w:val="center"/>
        <w:rPr>
          <w:rFonts w:ascii="Calibri" w:hAnsi="Calibri" w:cs="Calibri"/>
          <w:b/>
        </w:rPr>
      </w:pPr>
      <w:r w:rsidRPr="00D9152B">
        <w:rPr>
          <w:rFonts w:ascii="Calibri" w:hAnsi="Calibri" w:cs="Calibri"/>
          <w:noProof/>
          <w:lang w:eastAsia="en-GB"/>
        </w:rPr>
        <w:lastRenderedPageBreak/>
        <w:drawing>
          <wp:inline distT="0" distB="0" distL="0" distR="0" wp14:anchorId="45F774E5" wp14:editId="2B65B472">
            <wp:extent cx="5370830" cy="3296451"/>
            <wp:effectExtent l="0" t="0" r="1270" b="1841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4DF8E791" w14:textId="77777777" w:rsidR="00E418AF" w:rsidRPr="00D9152B" w:rsidRDefault="00E418AF" w:rsidP="00E418AF">
      <w:pPr>
        <w:rPr>
          <w:rFonts w:ascii="Calibri" w:hAnsi="Calibri" w:cs="Calibri"/>
          <w:color w:val="808080" w:themeColor="background1" w:themeShade="80"/>
        </w:rPr>
      </w:pPr>
    </w:p>
    <w:p w14:paraId="6524AC9D" w14:textId="080A35D6" w:rsidR="007C4FA3" w:rsidRPr="00D9152B" w:rsidRDefault="003C482B" w:rsidP="00E418AF">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5C04BC">
        <w:rPr>
          <w:rFonts w:ascii="Calibri" w:hAnsi="Calibri" w:cs="Calibri"/>
          <w:color w:val="808080" w:themeColor="background1" w:themeShade="80"/>
          <w:sz w:val="22"/>
          <w:szCs w:val="22"/>
        </w:rPr>
        <w:t>3.</w:t>
      </w:r>
      <w:r w:rsidR="004B423C" w:rsidRPr="00D9152B">
        <w:rPr>
          <w:rFonts w:ascii="Calibri" w:hAnsi="Calibri" w:cs="Calibri"/>
          <w:color w:val="808080" w:themeColor="background1" w:themeShade="80"/>
          <w:sz w:val="22"/>
          <w:szCs w:val="22"/>
        </w:rPr>
        <w:t>2</w:t>
      </w:r>
      <w:r w:rsidR="00E47EB2" w:rsidRPr="00D9152B">
        <w:rPr>
          <w:rFonts w:ascii="Calibri" w:hAnsi="Calibri" w:cs="Calibri"/>
          <w:color w:val="808080" w:themeColor="background1" w:themeShade="80"/>
          <w:sz w:val="22"/>
          <w:szCs w:val="22"/>
        </w:rPr>
        <w:t>. R</w:t>
      </w:r>
      <w:r w:rsidR="007C4FA3" w:rsidRPr="00D9152B">
        <w:rPr>
          <w:rFonts w:ascii="Calibri" w:hAnsi="Calibri" w:cs="Calibri"/>
          <w:color w:val="808080" w:themeColor="background1" w:themeShade="80"/>
          <w:sz w:val="22"/>
          <w:szCs w:val="22"/>
        </w:rPr>
        <w:t>eferences to the OCP’s success</w:t>
      </w:r>
      <w:r w:rsidR="00E47EB2" w:rsidRPr="00D9152B">
        <w:rPr>
          <w:rFonts w:ascii="Calibri" w:hAnsi="Calibri" w:cs="Calibri"/>
          <w:color w:val="808080" w:themeColor="background1" w:themeShade="80"/>
          <w:sz w:val="22"/>
          <w:szCs w:val="22"/>
        </w:rPr>
        <w:t xml:space="preserve"> in global health community publications (books, articles, grey literature, online resources, and news),</w:t>
      </w:r>
      <w:r w:rsidR="007C4FA3" w:rsidRPr="00D9152B">
        <w:rPr>
          <w:rFonts w:ascii="Calibri" w:hAnsi="Calibri" w:cs="Calibri"/>
          <w:color w:val="808080" w:themeColor="background1" w:themeShade="80"/>
          <w:sz w:val="22"/>
          <w:szCs w:val="22"/>
        </w:rPr>
        <w:t xml:space="preserve"> by year and type of source.</w:t>
      </w:r>
      <w:r w:rsidR="00F0008A" w:rsidRPr="00D9152B">
        <w:rPr>
          <w:rStyle w:val="FootnoteReference"/>
          <w:rFonts w:ascii="Calibri" w:hAnsi="Calibri" w:cs="Calibri"/>
          <w:color w:val="808080" w:themeColor="background1" w:themeShade="80"/>
        </w:rPr>
        <w:footnoteReference w:id="164"/>
      </w:r>
    </w:p>
    <w:p w14:paraId="2FFEBCF1" w14:textId="667A1C20" w:rsidR="007C4FA3" w:rsidRPr="00D9152B" w:rsidRDefault="007C4FA3"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Surprisingly, about a third of the</w:t>
      </w:r>
      <w:r w:rsidR="00E47EB2" w:rsidRPr="00D9152B">
        <w:rPr>
          <w:rFonts w:ascii="Calibri" w:hAnsi="Calibri" w:cs="Calibri"/>
          <w:sz w:val="22"/>
          <w:szCs w:val="22"/>
        </w:rPr>
        <w:t xml:space="preserve"> global health community</w:t>
      </w:r>
      <w:r w:rsidRPr="00D9152B">
        <w:rPr>
          <w:rFonts w:ascii="Calibri" w:hAnsi="Calibri" w:cs="Calibri"/>
          <w:sz w:val="22"/>
          <w:szCs w:val="22"/>
        </w:rPr>
        <w:t xml:space="preserve"> publications</w:t>
      </w:r>
      <w:r w:rsidR="00C3147E" w:rsidRPr="00D9152B">
        <w:rPr>
          <w:rStyle w:val="FootnoteReference"/>
          <w:rFonts w:ascii="Calibri" w:hAnsi="Calibri" w:cs="Calibri"/>
          <w:sz w:val="22"/>
          <w:szCs w:val="22"/>
        </w:rPr>
        <w:footnoteReference w:id="165"/>
      </w:r>
      <w:r w:rsidRPr="00D9152B">
        <w:rPr>
          <w:rFonts w:ascii="Calibri" w:hAnsi="Calibri" w:cs="Calibri"/>
          <w:sz w:val="22"/>
          <w:szCs w:val="22"/>
        </w:rPr>
        <w:t xml:space="preserve"> provide </w:t>
      </w:r>
      <w:r w:rsidR="00E47EB2" w:rsidRPr="00D9152B">
        <w:rPr>
          <w:rFonts w:ascii="Calibri" w:hAnsi="Calibri" w:cs="Calibri"/>
          <w:sz w:val="22"/>
          <w:szCs w:val="22"/>
        </w:rPr>
        <w:t xml:space="preserve">no rationale </w:t>
      </w:r>
      <w:r w:rsidRPr="00D9152B">
        <w:rPr>
          <w:rFonts w:ascii="Calibri" w:hAnsi="Calibri" w:cs="Calibri"/>
          <w:sz w:val="22"/>
          <w:szCs w:val="22"/>
        </w:rPr>
        <w:t xml:space="preserve">for why </w:t>
      </w:r>
      <w:r w:rsidR="003C482B" w:rsidRPr="00D9152B">
        <w:rPr>
          <w:rFonts w:ascii="Calibri" w:hAnsi="Calibri" w:cs="Calibri"/>
          <w:sz w:val="22"/>
          <w:szCs w:val="22"/>
        </w:rPr>
        <w:t xml:space="preserve">the OCP was a success (Figure </w:t>
      </w:r>
      <w:r w:rsidR="004B423C" w:rsidRPr="00D9152B">
        <w:rPr>
          <w:rFonts w:ascii="Calibri" w:hAnsi="Calibri" w:cs="Calibri"/>
          <w:sz w:val="22"/>
          <w:szCs w:val="22"/>
        </w:rPr>
        <w:t>3</w:t>
      </w:r>
      <w:r w:rsidR="005C04BC">
        <w:rPr>
          <w:rFonts w:ascii="Calibri" w:hAnsi="Calibri" w:cs="Calibri"/>
          <w:sz w:val="22"/>
          <w:szCs w:val="22"/>
        </w:rPr>
        <w:t>.3</w:t>
      </w:r>
      <w:r w:rsidRPr="00D9152B">
        <w:rPr>
          <w:rFonts w:ascii="Calibri" w:hAnsi="Calibri" w:cs="Calibri"/>
          <w:sz w:val="22"/>
          <w:szCs w:val="22"/>
        </w:rPr>
        <w:t xml:space="preserve">). The rest </w:t>
      </w:r>
      <w:r w:rsidR="00E47EB2" w:rsidRPr="00D9152B">
        <w:rPr>
          <w:rFonts w:ascii="Calibri" w:hAnsi="Calibri" w:cs="Calibri"/>
          <w:sz w:val="22"/>
          <w:szCs w:val="22"/>
        </w:rPr>
        <w:t>rationalize success through</w:t>
      </w:r>
      <w:r w:rsidRPr="00D9152B">
        <w:rPr>
          <w:rFonts w:ascii="Calibri" w:hAnsi="Calibri" w:cs="Calibri"/>
          <w:sz w:val="22"/>
          <w:szCs w:val="22"/>
        </w:rPr>
        <w:t xml:space="preserve"> public health </w:t>
      </w:r>
      <w:r w:rsidR="00E47EB2" w:rsidRPr="00D9152B">
        <w:rPr>
          <w:rFonts w:ascii="Calibri" w:hAnsi="Calibri" w:cs="Calibri"/>
          <w:sz w:val="22"/>
          <w:szCs w:val="22"/>
        </w:rPr>
        <w:t>(49 percent) or socio-economic metrics (33 percent</w:t>
      </w:r>
      <w:r w:rsidRPr="00D9152B">
        <w:rPr>
          <w:rFonts w:ascii="Calibri" w:hAnsi="Calibri" w:cs="Calibri"/>
          <w:sz w:val="22"/>
          <w:szCs w:val="22"/>
        </w:rPr>
        <w:t xml:space="preserve">), or both. In terms of public health, the most popular metrics are the interruption of transmission or reduced prevalence/incidence of disease, followed by the number of cases of blindness prevented and the total population size protected from transmission in the control region. Socio-economic metrics are heavily skewed towards a single metric: the number of hectares of land (25 million) ‘liberated’ for cultivation in controlled zones. This is a World Bank </w:t>
      </w:r>
      <w:r w:rsidR="00E47EB2" w:rsidRPr="00D9152B">
        <w:rPr>
          <w:rFonts w:ascii="Calibri" w:hAnsi="Calibri" w:cs="Calibri"/>
          <w:sz w:val="22"/>
          <w:szCs w:val="22"/>
        </w:rPr>
        <w:t>figure</w:t>
      </w:r>
      <w:r w:rsidRPr="00D9152B">
        <w:rPr>
          <w:rFonts w:ascii="Calibri" w:hAnsi="Calibri" w:cs="Calibri"/>
          <w:sz w:val="22"/>
          <w:szCs w:val="22"/>
        </w:rPr>
        <w:t xml:space="preserve"> that was created in </w:t>
      </w:r>
      <w:r w:rsidR="00CE641A" w:rsidRPr="00D9152B">
        <w:rPr>
          <w:rFonts w:ascii="Calibri" w:hAnsi="Calibri" w:cs="Calibri"/>
          <w:sz w:val="22"/>
          <w:szCs w:val="22"/>
        </w:rPr>
        <w:t>the late 1980s</w:t>
      </w:r>
      <w:r w:rsidRPr="00D9152B">
        <w:rPr>
          <w:rFonts w:ascii="Calibri" w:hAnsi="Calibri" w:cs="Calibri"/>
          <w:sz w:val="22"/>
          <w:szCs w:val="22"/>
        </w:rPr>
        <w:t xml:space="preserve"> and, as </w:t>
      </w:r>
      <w:r w:rsidR="00F0008A" w:rsidRPr="00D9152B">
        <w:rPr>
          <w:rFonts w:ascii="Calibri" w:hAnsi="Calibri" w:cs="Calibri"/>
          <w:sz w:val="22"/>
          <w:szCs w:val="22"/>
        </w:rPr>
        <w:t>demonstrated</w:t>
      </w:r>
      <w:r w:rsidR="00E47EB2" w:rsidRPr="00D9152B">
        <w:rPr>
          <w:rFonts w:ascii="Calibri" w:hAnsi="Calibri" w:cs="Calibri"/>
          <w:sz w:val="22"/>
          <w:szCs w:val="22"/>
        </w:rPr>
        <w:t xml:space="preserve"> in</w:t>
      </w:r>
      <w:r w:rsidRPr="00D9152B">
        <w:rPr>
          <w:rFonts w:ascii="Calibri" w:hAnsi="Calibri" w:cs="Calibri"/>
          <w:sz w:val="22"/>
          <w:szCs w:val="22"/>
        </w:rPr>
        <w:t xml:space="preserve"> </w:t>
      </w:r>
      <w:r w:rsidR="00C6171C" w:rsidRPr="00D9152B">
        <w:rPr>
          <w:rFonts w:ascii="Calibri" w:hAnsi="Calibri" w:cs="Calibri"/>
          <w:sz w:val="22"/>
          <w:szCs w:val="22"/>
        </w:rPr>
        <w:t>section 4.5.C</w:t>
      </w:r>
      <w:r w:rsidRPr="00D9152B">
        <w:rPr>
          <w:rFonts w:ascii="Calibri" w:hAnsi="Calibri" w:cs="Calibri"/>
          <w:sz w:val="22"/>
          <w:szCs w:val="22"/>
        </w:rPr>
        <w:t xml:space="preserve">, </w:t>
      </w:r>
      <w:r w:rsidR="00E47EB2" w:rsidRPr="00D9152B">
        <w:rPr>
          <w:rFonts w:ascii="Calibri" w:hAnsi="Calibri" w:cs="Calibri"/>
          <w:sz w:val="22"/>
          <w:szCs w:val="22"/>
        </w:rPr>
        <w:t>is based on major assumptions.</w:t>
      </w:r>
    </w:p>
    <w:p w14:paraId="4412685D" w14:textId="363F1ECB" w:rsidR="007C4FA3" w:rsidRPr="00D9152B" w:rsidRDefault="0011034C" w:rsidP="0099564B">
      <w:pPr>
        <w:spacing w:before="100" w:beforeAutospacing="1" w:after="100" w:afterAutospacing="1"/>
        <w:jc w:val="center"/>
        <w:rPr>
          <w:rFonts w:ascii="Calibri" w:hAnsi="Calibri" w:cs="Calibri"/>
          <w:sz w:val="22"/>
          <w:szCs w:val="22"/>
        </w:rPr>
      </w:pPr>
      <w:r w:rsidRPr="00D9152B">
        <w:rPr>
          <w:rFonts w:ascii="Calibri" w:hAnsi="Calibri" w:cs="Calibri"/>
          <w:noProof/>
          <w:lang w:eastAsia="en-GB"/>
        </w:rPr>
        <w:lastRenderedPageBreak/>
        <w:drawing>
          <wp:inline distT="0" distB="0" distL="0" distR="0" wp14:anchorId="2A89DB2F" wp14:editId="77C83B7F">
            <wp:extent cx="5219700" cy="5413248"/>
            <wp:effectExtent l="0" t="0" r="12700" b="17780"/>
            <wp:docPr id="49" name="Chart 49">
              <a:extLst xmlns:a="http://schemas.openxmlformats.org/drawingml/2006/main">
                <a:ext uri="{FF2B5EF4-FFF2-40B4-BE49-F238E27FC236}">
                  <a16:creationId xmlns:a16="http://schemas.microsoft.com/office/drawing/2014/main" id="{00000000-0008-0000-08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113A893C" w14:textId="688AB784" w:rsidR="007C4FA3" w:rsidRPr="00D9152B" w:rsidRDefault="00E47EB2" w:rsidP="0099564B">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4B423C" w:rsidRPr="00D9152B">
        <w:rPr>
          <w:rFonts w:ascii="Calibri" w:hAnsi="Calibri" w:cs="Calibri"/>
          <w:color w:val="808080" w:themeColor="background1" w:themeShade="80"/>
          <w:sz w:val="22"/>
          <w:szCs w:val="22"/>
        </w:rPr>
        <w:t>3</w:t>
      </w:r>
      <w:r w:rsidR="005C04BC">
        <w:rPr>
          <w:rFonts w:ascii="Calibri" w:hAnsi="Calibri" w:cs="Calibri"/>
          <w:color w:val="808080" w:themeColor="background1" w:themeShade="80"/>
          <w:sz w:val="22"/>
          <w:szCs w:val="22"/>
        </w:rPr>
        <w:t>.3</w:t>
      </w:r>
      <w:r w:rsidR="007C4FA3" w:rsidRPr="00D9152B">
        <w:rPr>
          <w:rFonts w:ascii="Calibri" w:hAnsi="Calibri" w:cs="Calibri"/>
          <w:color w:val="808080" w:themeColor="background1" w:themeShade="80"/>
          <w:sz w:val="22"/>
          <w:szCs w:val="22"/>
        </w:rPr>
        <w:t xml:space="preserve">. </w:t>
      </w:r>
      <w:r w:rsidR="00C3147E" w:rsidRPr="00D9152B">
        <w:rPr>
          <w:rFonts w:ascii="Calibri" w:hAnsi="Calibri" w:cs="Calibri"/>
          <w:color w:val="808080" w:themeColor="background1" w:themeShade="80"/>
          <w:sz w:val="22"/>
          <w:szCs w:val="22"/>
        </w:rPr>
        <w:t>References</w:t>
      </w:r>
      <w:r w:rsidR="007C4FA3" w:rsidRPr="00D9152B">
        <w:rPr>
          <w:rFonts w:ascii="Calibri" w:hAnsi="Calibri" w:cs="Calibri"/>
          <w:color w:val="808080" w:themeColor="background1" w:themeShade="80"/>
          <w:sz w:val="22"/>
          <w:szCs w:val="22"/>
        </w:rPr>
        <w:t xml:space="preserve"> to success by metric given</w:t>
      </w:r>
      <w:r w:rsidR="00C3147E" w:rsidRPr="00D9152B">
        <w:rPr>
          <w:rFonts w:ascii="Calibri" w:hAnsi="Calibri" w:cs="Calibri"/>
          <w:color w:val="808080" w:themeColor="background1" w:themeShade="80"/>
          <w:sz w:val="22"/>
          <w:szCs w:val="22"/>
        </w:rPr>
        <w:t>, in published literature by the global health community</w:t>
      </w:r>
      <w:r w:rsidR="007C4FA3" w:rsidRPr="00D9152B">
        <w:rPr>
          <w:rFonts w:ascii="Calibri" w:hAnsi="Calibri" w:cs="Calibri"/>
          <w:color w:val="808080" w:themeColor="background1" w:themeShade="80"/>
          <w:sz w:val="22"/>
          <w:szCs w:val="22"/>
        </w:rPr>
        <w:t>.</w:t>
      </w:r>
      <w:r w:rsidR="00C3147E" w:rsidRPr="00D9152B">
        <w:rPr>
          <w:rFonts w:ascii="Calibri" w:hAnsi="Calibri" w:cs="Calibri"/>
          <w:color w:val="808080" w:themeColor="background1" w:themeShade="80"/>
          <w:sz w:val="22"/>
          <w:szCs w:val="22"/>
        </w:rPr>
        <w:t xml:space="preserve"> [DALYs are disability adjusted life years.]</w:t>
      </w:r>
      <w:r w:rsidR="007D5094" w:rsidRPr="00D9152B">
        <w:rPr>
          <w:rStyle w:val="FootnoteReference"/>
          <w:rFonts w:ascii="Calibri" w:hAnsi="Calibri" w:cs="Calibri"/>
          <w:color w:val="808080" w:themeColor="background1" w:themeShade="80"/>
        </w:rPr>
        <w:footnoteReference w:id="166"/>
      </w:r>
    </w:p>
    <w:p w14:paraId="27CB8201" w14:textId="77149EEA" w:rsidR="00322C01" w:rsidRPr="00D9152B" w:rsidRDefault="007C4FA3"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Many publications that reference the OCP’s success provide n</w:t>
      </w:r>
      <w:r w:rsidR="00322C01" w:rsidRPr="00D9152B">
        <w:rPr>
          <w:rFonts w:ascii="Calibri" w:hAnsi="Calibri" w:cs="Calibri"/>
          <w:sz w:val="22"/>
          <w:szCs w:val="22"/>
        </w:rPr>
        <w:t>o rationale for its success (42 percent</w:t>
      </w:r>
      <w:r w:rsidRPr="00D9152B">
        <w:rPr>
          <w:rFonts w:ascii="Calibri" w:hAnsi="Calibri" w:cs="Calibri"/>
          <w:sz w:val="22"/>
          <w:szCs w:val="22"/>
        </w:rPr>
        <w:t xml:space="preserve">). This suggests that their authors believe that the OCP’s stature as a success </w:t>
      </w:r>
      <w:r w:rsidR="00322C01" w:rsidRPr="00D9152B">
        <w:rPr>
          <w:rFonts w:ascii="Calibri" w:hAnsi="Calibri" w:cs="Calibri"/>
          <w:sz w:val="22"/>
          <w:szCs w:val="22"/>
        </w:rPr>
        <w:t xml:space="preserve">story </w:t>
      </w:r>
      <w:r w:rsidRPr="00D9152B">
        <w:rPr>
          <w:rFonts w:ascii="Calibri" w:hAnsi="Calibri" w:cs="Calibri"/>
          <w:sz w:val="22"/>
          <w:szCs w:val="22"/>
        </w:rPr>
        <w:t>is self-evident. Of the articles that do provide a rationale (or, more commonly, rationales)</w:t>
      </w:r>
      <w:r w:rsidR="00EC49B8" w:rsidRPr="00D9152B">
        <w:rPr>
          <w:rStyle w:val="FootnoteReference"/>
          <w:rFonts w:ascii="Calibri" w:hAnsi="Calibri" w:cs="Calibri"/>
          <w:sz w:val="22"/>
          <w:szCs w:val="22"/>
        </w:rPr>
        <w:footnoteReference w:id="167"/>
      </w:r>
      <w:r w:rsidRPr="00D9152B">
        <w:rPr>
          <w:rFonts w:ascii="Calibri" w:hAnsi="Calibri" w:cs="Calibri"/>
          <w:sz w:val="22"/>
          <w:szCs w:val="22"/>
        </w:rPr>
        <w:t xml:space="preserve"> for success, these rationales fall into four major categories: clear objectives and monitoring, financial management, partnership, and delivery. </w:t>
      </w:r>
      <w:r w:rsidR="00F0008A" w:rsidRPr="00D9152B">
        <w:rPr>
          <w:rFonts w:ascii="Calibri" w:hAnsi="Calibri" w:cs="Calibri"/>
          <w:sz w:val="22"/>
          <w:szCs w:val="22"/>
        </w:rPr>
        <w:t xml:space="preserve">I refer to these categories as components of success. </w:t>
      </w:r>
      <w:r w:rsidRPr="00D9152B">
        <w:rPr>
          <w:rFonts w:ascii="Calibri" w:hAnsi="Calibri" w:cs="Calibri"/>
          <w:sz w:val="22"/>
          <w:szCs w:val="22"/>
        </w:rPr>
        <w:t xml:space="preserve">The OCP’s delivery is the most cited </w:t>
      </w:r>
      <w:r w:rsidRPr="00D9152B">
        <w:rPr>
          <w:rFonts w:ascii="Calibri" w:hAnsi="Calibri" w:cs="Calibri"/>
          <w:sz w:val="22"/>
          <w:szCs w:val="22"/>
        </w:rPr>
        <w:lastRenderedPageBreak/>
        <w:t>explanation for its success, followed by partnership, justification, and</w:t>
      </w:r>
      <w:r w:rsidR="00322C01" w:rsidRPr="00D9152B">
        <w:rPr>
          <w:rFonts w:ascii="Calibri" w:hAnsi="Calibri" w:cs="Calibri"/>
          <w:sz w:val="22"/>
          <w:szCs w:val="22"/>
        </w:rPr>
        <w:t xml:space="preserve"> financial management (Figure </w:t>
      </w:r>
      <w:r w:rsidR="005C04BC">
        <w:rPr>
          <w:rFonts w:ascii="Calibri" w:hAnsi="Calibri" w:cs="Calibri"/>
          <w:sz w:val="22"/>
          <w:szCs w:val="22"/>
        </w:rPr>
        <w:t>3.4</w:t>
      </w:r>
      <w:r w:rsidRPr="00D9152B">
        <w:rPr>
          <w:rFonts w:ascii="Calibri" w:hAnsi="Calibri" w:cs="Calibri"/>
          <w:sz w:val="22"/>
          <w:szCs w:val="22"/>
        </w:rPr>
        <w:t>).</w:t>
      </w:r>
      <w:r w:rsidR="00322C01" w:rsidRPr="00D9152B">
        <w:rPr>
          <w:rFonts w:ascii="Calibri" w:hAnsi="Calibri" w:cs="Calibri"/>
          <w:sz w:val="22"/>
          <w:szCs w:val="22"/>
        </w:rPr>
        <w:t xml:space="preserve"> Figure </w:t>
      </w:r>
      <w:r w:rsidR="005C04BC">
        <w:rPr>
          <w:rFonts w:ascii="Calibri" w:hAnsi="Calibri" w:cs="Calibri"/>
          <w:sz w:val="22"/>
          <w:szCs w:val="22"/>
        </w:rPr>
        <w:t>3.</w:t>
      </w:r>
      <w:r w:rsidR="00F0008A" w:rsidRPr="00D9152B">
        <w:rPr>
          <w:rFonts w:ascii="Calibri" w:hAnsi="Calibri" w:cs="Calibri"/>
          <w:sz w:val="22"/>
          <w:szCs w:val="22"/>
        </w:rPr>
        <w:t>5</w:t>
      </w:r>
      <w:r w:rsidR="00322C01" w:rsidRPr="00D9152B">
        <w:rPr>
          <w:rFonts w:ascii="Calibri" w:hAnsi="Calibri" w:cs="Calibri"/>
          <w:sz w:val="22"/>
          <w:szCs w:val="22"/>
        </w:rPr>
        <w:t xml:space="preserve"> summari</w:t>
      </w:r>
      <w:r w:rsidR="00254A9B">
        <w:rPr>
          <w:rFonts w:ascii="Calibri" w:hAnsi="Calibri" w:cs="Calibri"/>
          <w:sz w:val="22"/>
          <w:szCs w:val="22"/>
        </w:rPr>
        <w:t>s</w:t>
      </w:r>
      <w:r w:rsidR="00322C01" w:rsidRPr="00D9152B">
        <w:rPr>
          <w:rFonts w:ascii="Calibri" w:hAnsi="Calibri" w:cs="Calibri"/>
          <w:sz w:val="22"/>
          <w:szCs w:val="22"/>
        </w:rPr>
        <w:t>es the specific ways that each publication presented the OCP’s success</w:t>
      </w:r>
      <w:r w:rsidR="00F0008A" w:rsidRPr="00D9152B">
        <w:rPr>
          <w:rFonts w:ascii="Calibri" w:hAnsi="Calibri" w:cs="Calibri"/>
          <w:sz w:val="22"/>
          <w:szCs w:val="22"/>
        </w:rPr>
        <w:t>.</w:t>
      </w:r>
      <w:r w:rsidR="00322C01" w:rsidRPr="00D9152B">
        <w:rPr>
          <w:rFonts w:ascii="Calibri" w:hAnsi="Calibri" w:cs="Calibri"/>
          <w:sz w:val="22"/>
          <w:szCs w:val="22"/>
        </w:rPr>
        <w:t xml:space="preserve"> </w:t>
      </w:r>
    </w:p>
    <w:p w14:paraId="5F5E58FE" w14:textId="77777777" w:rsidR="007C4FA3" w:rsidRPr="00D9152B" w:rsidRDefault="007C4FA3" w:rsidP="00E418AF">
      <w:pPr>
        <w:jc w:val="center"/>
        <w:rPr>
          <w:rFonts w:ascii="Calibri" w:hAnsi="Calibri" w:cs="Calibri"/>
          <w:color w:val="808080" w:themeColor="background1" w:themeShade="80"/>
        </w:rPr>
      </w:pPr>
      <w:r w:rsidRPr="00D9152B">
        <w:rPr>
          <w:rFonts w:ascii="Calibri" w:hAnsi="Calibri" w:cs="Calibri"/>
          <w:noProof/>
          <w:color w:val="808080" w:themeColor="background1" w:themeShade="80"/>
          <w:lang w:eastAsia="en-GB"/>
        </w:rPr>
        <w:drawing>
          <wp:inline distT="0" distB="0" distL="0" distR="0" wp14:anchorId="603C9899" wp14:editId="579F7F48">
            <wp:extent cx="4921885" cy="2425147"/>
            <wp:effectExtent l="0" t="0" r="18415" b="1333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518565D8" w14:textId="77777777" w:rsidR="00E418AF" w:rsidRPr="00D9152B" w:rsidRDefault="00E418AF" w:rsidP="00E418AF">
      <w:pPr>
        <w:jc w:val="both"/>
        <w:rPr>
          <w:rFonts w:ascii="Calibri" w:hAnsi="Calibri" w:cs="Calibri"/>
          <w:color w:val="808080" w:themeColor="background1" w:themeShade="80"/>
        </w:rPr>
      </w:pPr>
    </w:p>
    <w:p w14:paraId="1BC93985" w14:textId="35CABCAE" w:rsidR="00923F81" w:rsidRPr="00D9152B" w:rsidRDefault="00EC49B8" w:rsidP="00923F81">
      <w:pPr>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5C04BC">
        <w:rPr>
          <w:rFonts w:ascii="Calibri" w:hAnsi="Calibri" w:cs="Calibri"/>
          <w:color w:val="808080" w:themeColor="background1" w:themeShade="80"/>
          <w:sz w:val="22"/>
          <w:szCs w:val="22"/>
        </w:rPr>
        <w:t>3.</w:t>
      </w:r>
      <w:r w:rsidR="00F0008A" w:rsidRPr="00D9152B">
        <w:rPr>
          <w:rFonts w:ascii="Calibri" w:hAnsi="Calibri" w:cs="Calibri"/>
          <w:color w:val="808080" w:themeColor="background1" w:themeShade="80"/>
          <w:sz w:val="22"/>
          <w:szCs w:val="22"/>
        </w:rPr>
        <w:t>4</w:t>
      </w:r>
      <w:r w:rsidR="007C4FA3" w:rsidRPr="00D9152B">
        <w:rPr>
          <w:rFonts w:ascii="Calibri" w:hAnsi="Calibri" w:cs="Calibri"/>
          <w:color w:val="808080" w:themeColor="background1" w:themeShade="80"/>
          <w:sz w:val="22"/>
          <w:szCs w:val="22"/>
        </w:rPr>
        <w:t xml:space="preserve">. </w:t>
      </w:r>
      <w:r w:rsidR="00F74268" w:rsidRPr="00D9152B">
        <w:rPr>
          <w:rFonts w:ascii="Calibri" w:hAnsi="Calibri" w:cs="Calibri"/>
          <w:color w:val="808080" w:themeColor="background1" w:themeShade="80"/>
          <w:sz w:val="22"/>
          <w:szCs w:val="22"/>
        </w:rPr>
        <w:t>R</w:t>
      </w:r>
      <w:r w:rsidR="007C4FA3" w:rsidRPr="00D9152B">
        <w:rPr>
          <w:rFonts w:ascii="Calibri" w:hAnsi="Calibri" w:cs="Calibri"/>
          <w:color w:val="808080" w:themeColor="background1" w:themeShade="80"/>
          <w:sz w:val="22"/>
          <w:szCs w:val="22"/>
        </w:rPr>
        <w:t>eferences to success</w:t>
      </w:r>
      <w:r w:rsidR="00F74268" w:rsidRPr="00D9152B">
        <w:rPr>
          <w:rFonts w:ascii="Calibri" w:hAnsi="Calibri" w:cs="Calibri"/>
          <w:color w:val="808080" w:themeColor="background1" w:themeShade="80"/>
          <w:sz w:val="22"/>
          <w:szCs w:val="22"/>
        </w:rPr>
        <w:t xml:space="preserve"> in published literature by the global health community,</w:t>
      </w:r>
      <w:r w:rsidR="00F0008A" w:rsidRPr="00D9152B">
        <w:rPr>
          <w:rFonts w:ascii="Calibri" w:hAnsi="Calibri" w:cs="Calibri"/>
          <w:color w:val="808080" w:themeColor="background1" w:themeShade="80"/>
          <w:sz w:val="22"/>
          <w:szCs w:val="22"/>
        </w:rPr>
        <w:t xml:space="preserve"> by broad component of success.</w:t>
      </w:r>
    </w:p>
    <w:p w14:paraId="370F639F" w14:textId="646DAD24" w:rsidR="00923F81" w:rsidRPr="00D9152B" w:rsidRDefault="00923F81" w:rsidP="00923F81">
      <w:pPr>
        <w:rPr>
          <w:rFonts w:ascii="Calibri" w:hAnsi="Calibri" w:cs="Calibri"/>
          <w:color w:val="808080" w:themeColor="background1" w:themeShade="80"/>
          <w:sz w:val="22"/>
          <w:szCs w:val="22"/>
        </w:rPr>
      </w:pPr>
    </w:p>
    <w:p w14:paraId="5E982ADF" w14:textId="77777777" w:rsidR="00923F81" w:rsidRPr="00D9152B" w:rsidRDefault="00923F81" w:rsidP="00923F81">
      <w:pPr>
        <w:rPr>
          <w:rFonts w:ascii="Calibri" w:hAnsi="Calibri" w:cs="Calibri"/>
          <w:color w:val="808080" w:themeColor="background1" w:themeShade="80"/>
          <w:sz w:val="22"/>
          <w:szCs w:val="22"/>
        </w:rPr>
      </w:pPr>
    </w:p>
    <w:p w14:paraId="06BAD0B2" w14:textId="1F14860E" w:rsidR="007C4FA3" w:rsidRPr="00D9152B" w:rsidRDefault="007C4FA3" w:rsidP="00923F81">
      <w:pPr>
        <w:rPr>
          <w:rFonts w:ascii="Calibri" w:hAnsi="Calibri" w:cs="Calibri"/>
          <w:color w:val="808080" w:themeColor="background1" w:themeShade="80"/>
          <w:sz w:val="22"/>
          <w:szCs w:val="22"/>
        </w:rPr>
      </w:pPr>
      <w:r w:rsidRPr="00D9152B">
        <w:rPr>
          <w:rFonts w:ascii="Calibri" w:hAnsi="Calibri" w:cs="Calibri"/>
          <w:noProof/>
          <w:lang w:eastAsia="en-GB"/>
        </w:rPr>
        <w:lastRenderedPageBreak/>
        <w:drawing>
          <wp:inline distT="0" distB="0" distL="0" distR="0" wp14:anchorId="7DA1FF2D" wp14:editId="5A49C91B">
            <wp:extent cx="5239910" cy="4549775"/>
            <wp:effectExtent l="0" t="0" r="18415"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716793E2" w14:textId="77777777" w:rsidR="00923F81" w:rsidRPr="00D9152B" w:rsidRDefault="00923F81" w:rsidP="00923F81">
      <w:pPr>
        <w:rPr>
          <w:rFonts w:ascii="Calibri" w:hAnsi="Calibri" w:cs="Calibri"/>
          <w:color w:val="808080" w:themeColor="background1" w:themeShade="80"/>
          <w:sz w:val="22"/>
          <w:szCs w:val="22"/>
        </w:rPr>
      </w:pPr>
    </w:p>
    <w:p w14:paraId="47E4FAA1" w14:textId="68B7234B" w:rsidR="007C4FA3" w:rsidRPr="00D9152B" w:rsidRDefault="00EC49B8" w:rsidP="00E418AF">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5C04BC">
        <w:rPr>
          <w:rFonts w:ascii="Calibri" w:hAnsi="Calibri" w:cs="Calibri"/>
          <w:color w:val="808080" w:themeColor="background1" w:themeShade="80"/>
          <w:sz w:val="22"/>
          <w:szCs w:val="22"/>
        </w:rPr>
        <w:t>3.</w:t>
      </w:r>
      <w:r w:rsidR="00F0008A" w:rsidRPr="00D9152B">
        <w:rPr>
          <w:rFonts w:ascii="Calibri" w:hAnsi="Calibri" w:cs="Calibri"/>
          <w:color w:val="808080" w:themeColor="background1" w:themeShade="80"/>
          <w:sz w:val="22"/>
          <w:szCs w:val="22"/>
        </w:rPr>
        <w:t>5</w:t>
      </w:r>
      <w:r w:rsidR="007C4FA3" w:rsidRPr="00D9152B">
        <w:rPr>
          <w:rFonts w:ascii="Calibri" w:hAnsi="Calibri" w:cs="Calibri"/>
          <w:color w:val="808080" w:themeColor="background1" w:themeShade="80"/>
          <w:sz w:val="22"/>
          <w:szCs w:val="22"/>
        </w:rPr>
        <w:t xml:space="preserve">. </w:t>
      </w:r>
      <w:r w:rsidRPr="00D9152B">
        <w:rPr>
          <w:rFonts w:ascii="Calibri" w:hAnsi="Calibri" w:cs="Calibri"/>
          <w:color w:val="808080" w:themeColor="background1" w:themeShade="80"/>
          <w:sz w:val="22"/>
          <w:szCs w:val="22"/>
        </w:rPr>
        <w:t>Re</w:t>
      </w:r>
      <w:r w:rsidR="007C4FA3" w:rsidRPr="00D9152B">
        <w:rPr>
          <w:rFonts w:ascii="Calibri" w:hAnsi="Calibri" w:cs="Calibri"/>
          <w:color w:val="808080" w:themeColor="background1" w:themeShade="80"/>
          <w:sz w:val="22"/>
          <w:szCs w:val="22"/>
        </w:rPr>
        <w:t xml:space="preserve">ferences to success by specific rationale given </w:t>
      </w:r>
      <w:r w:rsidR="00F0008A" w:rsidRPr="00D9152B">
        <w:rPr>
          <w:rFonts w:ascii="Calibri" w:hAnsi="Calibri" w:cs="Calibri"/>
          <w:color w:val="808080" w:themeColor="background1" w:themeShade="80"/>
          <w:sz w:val="22"/>
          <w:szCs w:val="22"/>
        </w:rPr>
        <w:t>for each component of success</w:t>
      </w:r>
      <w:r w:rsidRPr="00D9152B">
        <w:rPr>
          <w:rFonts w:ascii="Calibri" w:hAnsi="Calibri" w:cs="Calibri"/>
          <w:color w:val="808080" w:themeColor="background1" w:themeShade="80"/>
          <w:sz w:val="22"/>
          <w:szCs w:val="22"/>
        </w:rPr>
        <w:t xml:space="preserve"> in publications by the global health community</w:t>
      </w:r>
      <w:r w:rsidR="007C4FA3" w:rsidRPr="00D9152B">
        <w:rPr>
          <w:rFonts w:ascii="Calibri" w:hAnsi="Calibri" w:cs="Calibri"/>
          <w:color w:val="808080" w:themeColor="background1" w:themeShade="80"/>
          <w:sz w:val="22"/>
          <w:szCs w:val="22"/>
        </w:rPr>
        <w:t>.</w:t>
      </w:r>
      <w:r w:rsidRPr="00D9152B">
        <w:rPr>
          <w:rFonts w:ascii="Calibri" w:hAnsi="Calibri" w:cs="Calibri"/>
          <w:color w:val="808080" w:themeColor="background1" w:themeShade="80"/>
          <w:sz w:val="22"/>
          <w:szCs w:val="22"/>
        </w:rPr>
        <w:t xml:space="preserve"> [MDA is ma</w:t>
      </w:r>
      <w:r w:rsidR="000C6F00" w:rsidRPr="00D9152B">
        <w:rPr>
          <w:rFonts w:ascii="Calibri" w:hAnsi="Calibri" w:cs="Calibri"/>
          <w:color w:val="808080" w:themeColor="background1" w:themeShade="80"/>
          <w:sz w:val="22"/>
          <w:szCs w:val="22"/>
        </w:rPr>
        <w:t xml:space="preserve">ss-drug administration, </w:t>
      </w:r>
      <w:r w:rsidR="00CE641A" w:rsidRPr="00D9152B">
        <w:rPr>
          <w:rFonts w:ascii="Calibri" w:hAnsi="Calibri" w:cs="Calibri"/>
          <w:color w:val="808080" w:themeColor="background1" w:themeShade="80"/>
          <w:sz w:val="22"/>
          <w:szCs w:val="22"/>
        </w:rPr>
        <w:t xml:space="preserve">PPP is public-private partnership, </w:t>
      </w:r>
      <w:r w:rsidR="000C6F00" w:rsidRPr="00D9152B">
        <w:rPr>
          <w:rFonts w:ascii="Calibri" w:hAnsi="Calibri" w:cs="Calibri"/>
          <w:color w:val="808080" w:themeColor="background1" w:themeShade="80"/>
          <w:sz w:val="22"/>
          <w:szCs w:val="22"/>
        </w:rPr>
        <w:t>and CDTI</w:t>
      </w:r>
      <w:r w:rsidRPr="00D9152B">
        <w:rPr>
          <w:rFonts w:ascii="Calibri" w:hAnsi="Calibri" w:cs="Calibri"/>
          <w:color w:val="808080" w:themeColor="background1" w:themeShade="80"/>
          <w:sz w:val="22"/>
          <w:szCs w:val="22"/>
        </w:rPr>
        <w:t xml:space="preserve"> is community-directed treatment with ivermectin.]</w:t>
      </w:r>
    </w:p>
    <w:p w14:paraId="2FA0CBDB" w14:textId="77777777" w:rsidR="002E6E6B" w:rsidRPr="00D9152B" w:rsidRDefault="002E6E6B" w:rsidP="00E418AF">
      <w:pPr>
        <w:jc w:val="both"/>
        <w:rPr>
          <w:rFonts w:ascii="Calibri" w:hAnsi="Calibri" w:cs="Calibri"/>
          <w:color w:val="808080" w:themeColor="background1" w:themeShade="80"/>
          <w:sz w:val="22"/>
          <w:szCs w:val="22"/>
        </w:rPr>
      </w:pPr>
    </w:p>
    <w:p w14:paraId="2EC8A68E" w14:textId="047916DB" w:rsidR="008F00D9" w:rsidRPr="00D9152B" w:rsidRDefault="00FA7D67" w:rsidP="002F22C3">
      <w:pPr>
        <w:pStyle w:val="Heading2"/>
        <w:rPr>
          <w:rFonts w:ascii="Calibri" w:hAnsi="Calibri" w:cs="Calibri"/>
          <w:b/>
          <w:sz w:val="26"/>
          <w:szCs w:val="26"/>
        </w:rPr>
      </w:pPr>
      <w:bookmarkStart w:id="40" w:name="_Toc41505614"/>
      <w:r w:rsidRPr="00D9152B">
        <w:rPr>
          <w:rFonts w:ascii="Calibri" w:hAnsi="Calibri" w:cs="Calibri"/>
          <w:b/>
          <w:sz w:val="26"/>
          <w:szCs w:val="26"/>
        </w:rPr>
        <w:t>3.</w:t>
      </w:r>
      <w:r w:rsidR="0098315E" w:rsidRPr="00D9152B">
        <w:rPr>
          <w:rFonts w:ascii="Calibri" w:hAnsi="Calibri" w:cs="Calibri"/>
          <w:b/>
          <w:sz w:val="26"/>
          <w:szCs w:val="26"/>
        </w:rPr>
        <w:t>4</w:t>
      </w:r>
      <w:r w:rsidRPr="00D9152B">
        <w:rPr>
          <w:rFonts w:ascii="Calibri" w:hAnsi="Calibri" w:cs="Calibri"/>
          <w:b/>
          <w:sz w:val="26"/>
          <w:szCs w:val="26"/>
        </w:rPr>
        <w:t>.</w:t>
      </w:r>
      <w:r w:rsidR="002F22C3" w:rsidRPr="00D9152B">
        <w:rPr>
          <w:rFonts w:ascii="Calibri" w:hAnsi="Calibri" w:cs="Calibri"/>
          <w:b/>
          <w:sz w:val="26"/>
          <w:szCs w:val="26"/>
        </w:rPr>
        <w:t xml:space="preserve"> </w:t>
      </w:r>
      <w:r w:rsidR="00C716FE" w:rsidRPr="00D9152B">
        <w:rPr>
          <w:rFonts w:ascii="Calibri" w:hAnsi="Calibri" w:cs="Calibri"/>
          <w:b/>
          <w:sz w:val="26"/>
          <w:szCs w:val="26"/>
        </w:rPr>
        <w:t>The</w:t>
      </w:r>
      <w:r w:rsidR="007E12F0" w:rsidRPr="00D9152B">
        <w:rPr>
          <w:rFonts w:ascii="Calibri" w:hAnsi="Calibri" w:cs="Calibri"/>
          <w:b/>
          <w:sz w:val="26"/>
          <w:szCs w:val="26"/>
        </w:rPr>
        <w:t xml:space="preserve"> Bank’s</w:t>
      </w:r>
      <w:r w:rsidR="00C716FE" w:rsidRPr="00D9152B">
        <w:rPr>
          <w:rFonts w:ascii="Calibri" w:hAnsi="Calibri" w:cs="Calibri"/>
          <w:b/>
          <w:sz w:val="26"/>
          <w:szCs w:val="26"/>
        </w:rPr>
        <w:t xml:space="preserve"> </w:t>
      </w:r>
      <w:r w:rsidR="00B83A0C" w:rsidRPr="00D9152B">
        <w:rPr>
          <w:rFonts w:ascii="Calibri" w:hAnsi="Calibri" w:cs="Calibri"/>
          <w:b/>
          <w:sz w:val="26"/>
          <w:szCs w:val="26"/>
        </w:rPr>
        <w:t>‘</w:t>
      </w:r>
      <w:r w:rsidR="00C716FE" w:rsidRPr="00D9152B">
        <w:rPr>
          <w:rFonts w:ascii="Calibri" w:hAnsi="Calibri" w:cs="Calibri"/>
          <w:b/>
          <w:sz w:val="26"/>
          <w:szCs w:val="26"/>
        </w:rPr>
        <w:t>dominant narrative</w:t>
      </w:r>
      <w:r w:rsidR="00B83A0C" w:rsidRPr="00D9152B">
        <w:rPr>
          <w:rFonts w:ascii="Calibri" w:hAnsi="Calibri" w:cs="Calibri"/>
          <w:b/>
          <w:sz w:val="26"/>
          <w:szCs w:val="26"/>
        </w:rPr>
        <w:t>’</w:t>
      </w:r>
      <w:r w:rsidR="00C716FE" w:rsidRPr="00D9152B">
        <w:rPr>
          <w:rFonts w:ascii="Calibri" w:hAnsi="Calibri" w:cs="Calibri"/>
          <w:b/>
          <w:sz w:val="26"/>
          <w:szCs w:val="26"/>
        </w:rPr>
        <w:t xml:space="preserve"> </w:t>
      </w:r>
      <w:r w:rsidR="007E12F0" w:rsidRPr="00D9152B">
        <w:rPr>
          <w:rFonts w:ascii="Calibri" w:hAnsi="Calibri" w:cs="Calibri"/>
          <w:b/>
          <w:sz w:val="26"/>
          <w:szCs w:val="26"/>
        </w:rPr>
        <w:t>and components of success</w:t>
      </w:r>
      <w:bookmarkEnd w:id="40"/>
    </w:p>
    <w:p w14:paraId="20869172" w14:textId="14892CB7" w:rsidR="007E12F0" w:rsidRPr="00D9152B" w:rsidRDefault="007E12F0" w:rsidP="007E12F0">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How did the </w:t>
      </w:r>
      <w:r w:rsidRPr="00D9152B">
        <w:rPr>
          <w:rFonts w:ascii="Calibri" w:hAnsi="Calibri" w:cs="Calibri"/>
          <w:i/>
          <w:sz w:val="22"/>
          <w:szCs w:val="22"/>
        </w:rPr>
        <w:t>Bank’s</w:t>
      </w:r>
      <w:r w:rsidRPr="00D9152B">
        <w:rPr>
          <w:rFonts w:ascii="Calibri" w:hAnsi="Calibri" w:cs="Calibri"/>
          <w:sz w:val="22"/>
          <w:szCs w:val="22"/>
        </w:rPr>
        <w:t xml:space="preserve"> onchocerciasis success narrative develop, and how does it relate to that of the wider global health community? Figure </w:t>
      </w:r>
      <w:r w:rsidR="005C04BC">
        <w:rPr>
          <w:rFonts w:ascii="Calibri" w:hAnsi="Calibri" w:cs="Calibri"/>
          <w:sz w:val="22"/>
          <w:szCs w:val="22"/>
        </w:rPr>
        <w:t>3.</w:t>
      </w:r>
      <w:r w:rsidRPr="00D9152B">
        <w:rPr>
          <w:rFonts w:ascii="Calibri" w:hAnsi="Calibri" w:cs="Calibri"/>
          <w:sz w:val="22"/>
          <w:szCs w:val="22"/>
        </w:rPr>
        <w:t xml:space="preserve">6 shows references to the OCP’s success by the Bank over time. While the relative number of references to success cannot be directly compared for the period before and after 1997 (due to the World Bank Group Archives’ </w:t>
      </w:r>
      <w:r w:rsidR="005C04BC">
        <w:rPr>
          <w:rFonts w:ascii="Calibri" w:hAnsi="Calibri" w:cs="Calibri"/>
          <w:sz w:val="22"/>
          <w:szCs w:val="22"/>
        </w:rPr>
        <w:t xml:space="preserve">20-year </w:t>
      </w:r>
      <w:r w:rsidRPr="00D9152B">
        <w:rPr>
          <w:rFonts w:ascii="Calibri" w:hAnsi="Calibri" w:cs="Calibri"/>
          <w:sz w:val="22"/>
          <w:szCs w:val="22"/>
        </w:rPr>
        <w:t xml:space="preserve">access restrictions), it indicates that the Bank began to consistently internally refer to the OCP’s success around 1982, and that public declarations of the OCP’s success surged in 1994-1995. Figure </w:t>
      </w:r>
      <w:r w:rsidR="005C04BC">
        <w:rPr>
          <w:rFonts w:ascii="Calibri" w:hAnsi="Calibri" w:cs="Calibri"/>
          <w:sz w:val="22"/>
          <w:szCs w:val="22"/>
        </w:rPr>
        <w:t>3.</w:t>
      </w:r>
      <w:r w:rsidRPr="00D9152B">
        <w:rPr>
          <w:rFonts w:ascii="Calibri" w:hAnsi="Calibri" w:cs="Calibri"/>
          <w:sz w:val="22"/>
          <w:szCs w:val="22"/>
        </w:rPr>
        <w:t xml:space="preserve">7 zooms-in on references to the OCP’s success in 48 Bank publications, which show a similar surge since 1995. The </w:t>
      </w:r>
      <w:r w:rsidRPr="00D9152B">
        <w:rPr>
          <w:rFonts w:ascii="Calibri" w:hAnsi="Calibri" w:cs="Calibri"/>
          <w:sz w:val="22"/>
          <w:szCs w:val="22"/>
        </w:rPr>
        <w:lastRenderedPageBreak/>
        <w:t xml:space="preserve">Bank’s showcasing of the OCP story has continued to the present day, more than 15 years after the programme’s end. </w:t>
      </w:r>
    </w:p>
    <w:p w14:paraId="65867DE8" w14:textId="77777777" w:rsidR="007E12F0" w:rsidRPr="00D9152B" w:rsidRDefault="007E12F0" w:rsidP="007E12F0">
      <w:pPr>
        <w:jc w:val="center"/>
        <w:rPr>
          <w:rFonts w:ascii="Calibri" w:hAnsi="Calibri" w:cs="Calibri"/>
          <w:b/>
          <w:color w:val="808080" w:themeColor="background1" w:themeShade="80"/>
        </w:rPr>
      </w:pPr>
      <w:r w:rsidRPr="00D9152B">
        <w:rPr>
          <w:rFonts w:ascii="Calibri" w:hAnsi="Calibri" w:cs="Calibri"/>
          <w:noProof/>
          <w:color w:val="808080" w:themeColor="background1" w:themeShade="80"/>
          <w:lang w:eastAsia="en-GB"/>
        </w:rPr>
        <w:drawing>
          <wp:inline distT="0" distB="0" distL="0" distR="0" wp14:anchorId="01E95BC1" wp14:editId="43383377">
            <wp:extent cx="4956201" cy="2827724"/>
            <wp:effectExtent l="0" t="0" r="15875" b="10795"/>
            <wp:docPr id="81" name="Chart 81">
              <a:extLst xmlns:a="http://schemas.openxmlformats.org/drawingml/2006/main">
                <a:ext uri="{FF2B5EF4-FFF2-40B4-BE49-F238E27FC236}">
                  <a16:creationId xmlns:a16="http://schemas.microsoft.com/office/drawing/2014/main" id="{087F8244-4834-4119-9AB6-0EB51DB46C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73990FA9" w14:textId="77777777" w:rsidR="007E12F0" w:rsidRPr="00D9152B" w:rsidRDefault="007E12F0" w:rsidP="007E12F0">
      <w:pPr>
        <w:jc w:val="both"/>
        <w:rPr>
          <w:rFonts w:ascii="Calibri" w:hAnsi="Calibri" w:cs="Calibri"/>
          <w:color w:val="808080" w:themeColor="background1" w:themeShade="80"/>
        </w:rPr>
      </w:pPr>
    </w:p>
    <w:p w14:paraId="51FAB331" w14:textId="1933384F" w:rsidR="007E12F0" w:rsidRPr="00D9152B" w:rsidRDefault="007E12F0" w:rsidP="007E12F0">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5C04BC">
        <w:rPr>
          <w:rFonts w:ascii="Calibri" w:hAnsi="Calibri" w:cs="Calibri"/>
          <w:color w:val="808080" w:themeColor="background1" w:themeShade="80"/>
          <w:sz w:val="22"/>
          <w:szCs w:val="22"/>
        </w:rPr>
        <w:t>3.</w:t>
      </w:r>
      <w:r w:rsidRPr="00D9152B">
        <w:rPr>
          <w:rFonts w:ascii="Calibri" w:hAnsi="Calibri" w:cs="Calibri"/>
          <w:color w:val="808080" w:themeColor="background1" w:themeShade="80"/>
          <w:sz w:val="22"/>
          <w:szCs w:val="22"/>
        </w:rPr>
        <w:t>6. References in World Bank documents to the OCP’s success, by year and type of document.</w:t>
      </w:r>
      <w:r w:rsidRPr="00D9152B">
        <w:rPr>
          <w:rStyle w:val="FootnoteReference"/>
          <w:rFonts w:ascii="Calibri" w:hAnsi="Calibri" w:cs="Calibri"/>
          <w:color w:val="808080" w:themeColor="background1" w:themeShade="80"/>
        </w:rPr>
        <w:footnoteReference w:id="168"/>
      </w:r>
    </w:p>
    <w:p w14:paraId="19B92EC0" w14:textId="77777777" w:rsidR="007E12F0" w:rsidRPr="00D9152B" w:rsidRDefault="007E12F0" w:rsidP="007E12F0">
      <w:pPr>
        <w:jc w:val="both"/>
        <w:rPr>
          <w:rFonts w:ascii="Calibri" w:hAnsi="Calibri" w:cs="Calibri"/>
          <w:color w:val="808080" w:themeColor="background1" w:themeShade="80"/>
        </w:rPr>
      </w:pPr>
    </w:p>
    <w:p w14:paraId="70434E51" w14:textId="77777777" w:rsidR="007E12F0" w:rsidRPr="00D9152B" w:rsidRDefault="007E12F0" w:rsidP="007E12F0">
      <w:pPr>
        <w:jc w:val="center"/>
        <w:rPr>
          <w:rFonts w:ascii="Calibri" w:hAnsi="Calibri" w:cs="Calibri"/>
          <w:b/>
          <w:color w:val="808080" w:themeColor="background1" w:themeShade="80"/>
        </w:rPr>
      </w:pPr>
      <w:r w:rsidRPr="00D9152B">
        <w:rPr>
          <w:rFonts w:ascii="Calibri" w:hAnsi="Calibri" w:cs="Calibri"/>
          <w:noProof/>
          <w:color w:val="808080" w:themeColor="background1" w:themeShade="80"/>
          <w:lang w:eastAsia="en-GB"/>
        </w:rPr>
        <w:drawing>
          <wp:inline distT="0" distB="0" distL="0" distR="0" wp14:anchorId="56BC0C14" wp14:editId="5E1B27AF">
            <wp:extent cx="5056094" cy="2035810"/>
            <wp:effectExtent l="0" t="0" r="11430" b="2540"/>
            <wp:docPr id="82" name="Chart 82">
              <a:extLst xmlns:a="http://schemas.openxmlformats.org/drawingml/2006/main">
                <a:ext uri="{FF2B5EF4-FFF2-40B4-BE49-F238E27FC236}">
                  <a16:creationId xmlns:a16="http://schemas.microsoft.com/office/drawing/2014/main" id="{D1EB8D79-226A-41AE-BA87-BDB1A7FF0D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61208012" w14:textId="77777777" w:rsidR="007E12F0" w:rsidRPr="00D9152B" w:rsidRDefault="007E12F0" w:rsidP="007E12F0">
      <w:pPr>
        <w:jc w:val="both"/>
        <w:rPr>
          <w:rFonts w:ascii="Calibri" w:hAnsi="Calibri" w:cs="Calibri"/>
          <w:color w:val="808080" w:themeColor="background1" w:themeShade="80"/>
        </w:rPr>
      </w:pPr>
    </w:p>
    <w:p w14:paraId="36DE1C1D" w14:textId="7B8C8D0C" w:rsidR="007E12F0" w:rsidRPr="00D9152B" w:rsidRDefault="007E12F0" w:rsidP="007E12F0">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5C04BC">
        <w:rPr>
          <w:rFonts w:ascii="Calibri" w:hAnsi="Calibri" w:cs="Calibri"/>
          <w:color w:val="808080" w:themeColor="background1" w:themeShade="80"/>
          <w:sz w:val="22"/>
          <w:szCs w:val="22"/>
        </w:rPr>
        <w:t>3.</w:t>
      </w:r>
      <w:r w:rsidRPr="00D9152B">
        <w:rPr>
          <w:rFonts w:ascii="Calibri" w:hAnsi="Calibri" w:cs="Calibri"/>
          <w:color w:val="808080" w:themeColor="background1" w:themeShade="80"/>
          <w:sz w:val="22"/>
          <w:szCs w:val="22"/>
        </w:rPr>
        <w:t>7. Bank publications referencing the success of the OCP, by year.</w:t>
      </w:r>
      <w:r w:rsidRPr="00D9152B">
        <w:rPr>
          <w:rStyle w:val="FootnoteReference"/>
          <w:rFonts w:ascii="Calibri" w:hAnsi="Calibri" w:cs="Calibri"/>
          <w:color w:val="808080" w:themeColor="background1" w:themeShade="80"/>
        </w:rPr>
        <w:footnoteReference w:id="169"/>
      </w:r>
      <w:r w:rsidRPr="00D9152B">
        <w:rPr>
          <w:rFonts w:ascii="Calibri" w:hAnsi="Calibri" w:cs="Calibri"/>
          <w:color w:val="808080" w:themeColor="background1" w:themeShade="80"/>
          <w:sz w:val="22"/>
          <w:szCs w:val="22"/>
        </w:rPr>
        <w:t xml:space="preserve"> </w:t>
      </w:r>
    </w:p>
    <w:p w14:paraId="48B9F205" w14:textId="77777777" w:rsidR="007E12F0" w:rsidRPr="00D9152B" w:rsidRDefault="007E12F0" w:rsidP="007E12F0">
      <w:pPr>
        <w:rPr>
          <w:rFonts w:ascii="Calibri" w:hAnsi="Calibri" w:cs="Calibri"/>
        </w:rPr>
      </w:pPr>
    </w:p>
    <w:p w14:paraId="048883D1" w14:textId="3A1CAAE8" w:rsidR="00D87491" w:rsidRPr="00D9152B" w:rsidRDefault="00D87491" w:rsidP="00D87491">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In what ways has the Bank specifically considered the OCP to be a success over time? Four similar rationales (‘components’) of success are given in the Bank’s narrative </w:t>
      </w:r>
      <w:r w:rsidRPr="00D9152B">
        <w:rPr>
          <w:rFonts w:ascii="Calibri" w:hAnsi="Calibri" w:cs="Calibri"/>
          <w:sz w:val="22"/>
          <w:szCs w:val="22"/>
        </w:rPr>
        <w:lastRenderedPageBreak/>
        <w:t xml:space="preserve">as the global health narrative (Figure </w:t>
      </w:r>
      <w:r w:rsidR="005C04BC">
        <w:rPr>
          <w:rFonts w:ascii="Calibri" w:hAnsi="Calibri" w:cs="Calibri"/>
          <w:sz w:val="22"/>
          <w:szCs w:val="22"/>
        </w:rPr>
        <w:t>3.</w:t>
      </w:r>
      <w:r w:rsidRPr="00D9152B">
        <w:rPr>
          <w:rFonts w:ascii="Calibri" w:hAnsi="Calibri" w:cs="Calibri"/>
          <w:sz w:val="22"/>
          <w:szCs w:val="22"/>
        </w:rPr>
        <w:t>8). For each of these broad components of success, the Bank provides specific types of supporting evidence (‘categories’</w:t>
      </w:r>
      <w:r w:rsidR="007E12F0" w:rsidRPr="00D9152B">
        <w:rPr>
          <w:rFonts w:ascii="Calibri" w:hAnsi="Calibri" w:cs="Calibri"/>
          <w:sz w:val="22"/>
          <w:szCs w:val="22"/>
        </w:rPr>
        <w:t xml:space="preserve"> of success</w:t>
      </w:r>
      <w:r w:rsidRPr="00D9152B">
        <w:rPr>
          <w:rFonts w:ascii="Calibri" w:hAnsi="Calibri" w:cs="Calibri"/>
          <w:sz w:val="22"/>
          <w:szCs w:val="22"/>
        </w:rPr>
        <w:t xml:space="preserve">). This section breaks apart the Bank’s dominant narrative, by describing each component – clear objectives and monitoring, financial </w:t>
      </w:r>
      <w:r w:rsidR="007E12F0" w:rsidRPr="00D9152B">
        <w:rPr>
          <w:rFonts w:ascii="Calibri" w:hAnsi="Calibri" w:cs="Calibri"/>
          <w:sz w:val="22"/>
          <w:szCs w:val="22"/>
        </w:rPr>
        <w:t>management</w:t>
      </w:r>
      <w:r w:rsidRPr="00D9152B">
        <w:rPr>
          <w:rFonts w:ascii="Calibri" w:hAnsi="Calibri" w:cs="Calibri"/>
          <w:sz w:val="22"/>
          <w:szCs w:val="22"/>
        </w:rPr>
        <w:t xml:space="preserve">, partnership, and delivery – and the categories of success that the Bank has used to support it. </w:t>
      </w:r>
    </w:p>
    <w:p w14:paraId="32397D8F" w14:textId="77777777" w:rsidR="004A6386" w:rsidRPr="00D9152B" w:rsidRDefault="004A6386" w:rsidP="001F4A40">
      <w:pPr>
        <w:jc w:val="center"/>
        <w:rPr>
          <w:rFonts w:ascii="Calibri" w:hAnsi="Calibri" w:cs="Calibri"/>
        </w:rPr>
      </w:pPr>
      <w:r w:rsidRPr="00D9152B">
        <w:rPr>
          <w:rFonts w:ascii="Calibri" w:hAnsi="Calibri" w:cs="Calibri"/>
          <w:noProof/>
          <w:lang w:eastAsia="en-GB"/>
        </w:rPr>
        <w:drawing>
          <wp:inline distT="0" distB="0" distL="0" distR="0" wp14:anchorId="65120038" wp14:editId="52CE3B0A">
            <wp:extent cx="4472108" cy="2151530"/>
            <wp:effectExtent l="0" t="0" r="11430" b="7620"/>
            <wp:docPr id="83" name="Chart 83">
              <a:extLst xmlns:a="http://schemas.openxmlformats.org/drawingml/2006/main">
                <a:ext uri="{FF2B5EF4-FFF2-40B4-BE49-F238E27FC236}">
                  <a16:creationId xmlns:a16="http://schemas.microsoft.com/office/drawing/2014/main" id="{48A27BCA-60B7-4239-9530-03E2A394F4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1E6E75C6" w14:textId="77777777" w:rsidR="001F4A40" w:rsidRPr="00D9152B" w:rsidRDefault="001F4A40" w:rsidP="001F4A40">
      <w:pPr>
        <w:jc w:val="both"/>
        <w:rPr>
          <w:rFonts w:ascii="Calibri" w:hAnsi="Calibri" w:cs="Calibri"/>
          <w:color w:val="808080" w:themeColor="background1" w:themeShade="80"/>
        </w:rPr>
      </w:pPr>
    </w:p>
    <w:p w14:paraId="6292A672" w14:textId="29CD39DA" w:rsidR="004A6386" w:rsidRPr="00D9152B" w:rsidRDefault="004A6386" w:rsidP="001F4A40">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5C04BC">
        <w:rPr>
          <w:rFonts w:ascii="Calibri" w:hAnsi="Calibri" w:cs="Calibri"/>
          <w:color w:val="808080" w:themeColor="background1" w:themeShade="80"/>
          <w:sz w:val="22"/>
          <w:szCs w:val="22"/>
        </w:rPr>
        <w:t>3.</w:t>
      </w:r>
      <w:r w:rsidR="00D87491" w:rsidRPr="00D9152B">
        <w:rPr>
          <w:rFonts w:ascii="Calibri" w:hAnsi="Calibri" w:cs="Calibri"/>
          <w:color w:val="808080" w:themeColor="background1" w:themeShade="80"/>
          <w:sz w:val="22"/>
          <w:szCs w:val="22"/>
        </w:rPr>
        <w:t>8</w:t>
      </w:r>
      <w:r w:rsidRPr="00D9152B">
        <w:rPr>
          <w:rFonts w:ascii="Calibri" w:hAnsi="Calibri" w:cs="Calibri"/>
          <w:color w:val="808080" w:themeColor="background1" w:themeShade="80"/>
          <w:sz w:val="22"/>
          <w:szCs w:val="22"/>
        </w:rPr>
        <w:t xml:space="preserve">. Four major </w:t>
      </w:r>
      <w:r w:rsidR="00933533" w:rsidRPr="00D9152B">
        <w:rPr>
          <w:rFonts w:ascii="Calibri" w:hAnsi="Calibri" w:cs="Calibri"/>
          <w:color w:val="808080" w:themeColor="background1" w:themeShade="80"/>
          <w:sz w:val="22"/>
          <w:szCs w:val="22"/>
        </w:rPr>
        <w:t>components</w:t>
      </w:r>
      <w:r w:rsidRPr="00D9152B">
        <w:rPr>
          <w:rFonts w:ascii="Calibri" w:hAnsi="Calibri" w:cs="Calibri"/>
          <w:color w:val="808080" w:themeColor="background1" w:themeShade="80"/>
          <w:sz w:val="22"/>
          <w:szCs w:val="22"/>
        </w:rPr>
        <w:t xml:space="preserve"> </w:t>
      </w:r>
      <w:r w:rsidR="00C716FE" w:rsidRPr="00D9152B">
        <w:rPr>
          <w:rFonts w:ascii="Calibri" w:hAnsi="Calibri" w:cs="Calibri"/>
          <w:color w:val="808080" w:themeColor="background1" w:themeShade="80"/>
          <w:sz w:val="22"/>
          <w:szCs w:val="22"/>
        </w:rPr>
        <w:t>are given</w:t>
      </w:r>
      <w:r w:rsidRPr="00D9152B">
        <w:rPr>
          <w:rFonts w:ascii="Calibri" w:hAnsi="Calibri" w:cs="Calibri"/>
          <w:color w:val="808080" w:themeColor="background1" w:themeShade="80"/>
          <w:sz w:val="22"/>
          <w:szCs w:val="22"/>
        </w:rPr>
        <w:t xml:space="preserve"> in Bank publications </w:t>
      </w:r>
      <w:r w:rsidR="00C716FE" w:rsidRPr="00D9152B">
        <w:rPr>
          <w:rFonts w:ascii="Calibri" w:hAnsi="Calibri" w:cs="Calibri"/>
          <w:color w:val="808080" w:themeColor="background1" w:themeShade="80"/>
          <w:sz w:val="22"/>
          <w:szCs w:val="22"/>
        </w:rPr>
        <w:t>that reference the OCP’s success.</w:t>
      </w:r>
      <w:r w:rsidR="00C716FE" w:rsidRPr="00D9152B">
        <w:rPr>
          <w:rStyle w:val="FootnoteReference"/>
          <w:rFonts w:ascii="Calibri" w:hAnsi="Calibri" w:cs="Calibri"/>
          <w:color w:val="808080" w:themeColor="background1" w:themeShade="80"/>
          <w:sz w:val="22"/>
          <w:szCs w:val="22"/>
        </w:rPr>
        <w:footnoteReference w:id="170"/>
      </w:r>
    </w:p>
    <w:p w14:paraId="29F9DBCA" w14:textId="77777777" w:rsidR="00E33D80" w:rsidRPr="00D9152B" w:rsidRDefault="00E33D80" w:rsidP="001F4A40">
      <w:pPr>
        <w:jc w:val="both"/>
        <w:rPr>
          <w:rFonts w:ascii="Calibri" w:hAnsi="Calibri" w:cs="Calibri"/>
          <w:color w:val="808080" w:themeColor="background1" w:themeShade="80"/>
        </w:rPr>
      </w:pPr>
    </w:p>
    <w:p w14:paraId="5B1CC843" w14:textId="55D249E3" w:rsidR="000377C8" w:rsidRPr="00D9152B" w:rsidRDefault="00FA7D67" w:rsidP="001F4A40">
      <w:pPr>
        <w:pStyle w:val="Heading3"/>
        <w:rPr>
          <w:rFonts w:ascii="Calibri" w:hAnsi="Calibri" w:cs="Calibri"/>
          <w:b/>
          <w:i/>
          <w:color w:val="000000" w:themeColor="text1"/>
          <w:sz w:val="22"/>
          <w:szCs w:val="22"/>
        </w:rPr>
      </w:pPr>
      <w:bookmarkStart w:id="41" w:name="_Toc41505615"/>
      <w:r w:rsidRPr="00D9152B">
        <w:rPr>
          <w:rFonts w:ascii="Calibri" w:hAnsi="Calibri" w:cs="Calibri"/>
          <w:b/>
          <w:i/>
          <w:color w:val="000000" w:themeColor="text1"/>
          <w:sz w:val="22"/>
          <w:szCs w:val="22"/>
        </w:rPr>
        <w:t>3.</w:t>
      </w:r>
      <w:r w:rsidR="0098315E" w:rsidRPr="00D9152B">
        <w:rPr>
          <w:rFonts w:ascii="Calibri" w:hAnsi="Calibri" w:cs="Calibri"/>
          <w:b/>
          <w:i/>
          <w:color w:val="000000" w:themeColor="text1"/>
          <w:sz w:val="22"/>
          <w:szCs w:val="22"/>
        </w:rPr>
        <w:t>4</w:t>
      </w:r>
      <w:r w:rsidRPr="00D9152B">
        <w:rPr>
          <w:rFonts w:ascii="Calibri" w:hAnsi="Calibri" w:cs="Calibri"/>
          <w:b/>
          <w:i/>
          <w:color w:val="000000" w:themeColor="text1"/>
          <w:sz w:val="22"/>
          <w:szCs w:val="22"/>
        </w:rPr>
        <w:t>.A</w:t>
      </w:r>
      <w:r w:rsidR="00DF52DF" w:rsidRPr="00D9152B">
        <w:rPr>
          <w:rFonts w:ascii="Calibri" w:hAnsi="Calibri" w:cs="Calibri"/>
          <w:b/>
          <w:i/>
          <w:color w:val="000000" w:themeColor="text1"/>
          <w:sz w:val="22"/>
          <w:szCs w:val="22"/>
        </w:rPr>
        <w:t>.</w:t>
      </w:r>
      <w:r w:rsidR="000377C8" w:rsidRPr="00D9152B">
        <w:rPr>
          <w:rFonts w:ascii="Calibri" w:hAnsi="Calibri" w:cs="Calibri"/>
          <w:b/>
          <w:i/>
          <w:color w:val="000000" w:themeColor="text1"/>
          <w:sz w:val="22"/>
          <w:szCs w:val="22"/>
        </w:rPr>
        <w:t xml:space="preserve"> </w:t>
      </w:r>
      <w:r w:rsidR="007A5AB5" w:rsidRPr="00D9152B">
        <w:rPr>
          <w:rFonts w:ascii="Calibri" w:hAnsi="Calibri" w:cs="Calibri"/>
          <w:b/>
          <w:i/>
          <w:color w:val="000000" w:themeColor="text1"/>
          <w:sz w:val="22"/>
          <w:szCs w:val="22"/>
        </w:rPr>
        <w:t xml:space="preserve">Component </w:t>
      </w:r>
      <w:r w:rsidR="0029295F" w:rsidRPr="00D9152B">
        <w:rPr>
          <w:rFonts w:ascii="Calibri" w:hAnsi="Calibri" w:cs="Calibri"/>
          <w:b/>
          <w:i/>
          <w:color w:val="000000" w:themeColor="text1"/>
          <w:sz w:val="22"/>
          <w:szCs w:val="22"/>
        </w:rPr>
        <w:t>one</w:t>
      </w:r>
      <w:r w:rsidR="007A5AB5" w:rsidRPr="00D9152B">
        <w:rPr>
          <w:rFonts w:ascii="Calibri" w:hAnsi="Calibri" w:cs="Calibri"/>
          <w:b/>
          <w:i/>
          <w:color w:val="000000" w:themeColor="text1"/>
          <w:sz w:val="22"/>
          <w:szCs w:val="22"/>
        </w:rPr>
        <w:t xml:space="preserve">: </w:t>
      </w:r>
      <w:r w:rsidR="00923F81" w:rsidRPr="00D9152B">
        <w:rPr>
          <w:rFonts w:ascii="Calibri" w:hAnsi="Calibri" w:cs="Calibri"/>
          <w:b/>
          <w:i/>
          <w:color w:val="000000" w:themeColor="text1"/>
          <w:sz w:val="22"/>
          <w:szCs w:val="22"/>
        </w:rPr>
        <w:t>C</w:t>
      </w:r>
      <w:r w:rsidR="000377C8" w:rsidRPr="00D9152B">
        <w:rPr>
          <w:rFonts w:ascii="Calibri" w:hAnsi="Calibri" w:cs="Calibri"/>
          <w:b/>
          <w:i/>
          <w:color w:val="000000" w:themeColor="text1"/>
          <w:sz w:val="22"/>
          <w:szCs w:val="22"/>
        </w:rPr>
        <w:t xml:space="preserve">lear </w:t>
      </w:r>
      <w:r w:rsidR="000377C8" w:rsidRPr="00D9152B">
        <w:rPr>
          <w:rStyle w:val="Heading3Char"/>
          <w:rFonts w:ascii="Calibri" w:hAnsi="Calibri" w:cs="Calibri"/>
          <w:b/>
          <w:i/>
          <w:color w:val="000000" w:themeColor="text1"/>
          <w:sz w:val="22"/>
          <w:szCs w:val="22"/>
        </w:rPr>
        <w:t>objectives</w:t>
      </w:r>
      <w:r w:rsidR="000377C8" w:rsidRPr="00D9152B">
        <w:rPr>
          <w:rFonts w:ascii="Calibri" w:hAnsi="Calibri" w:cs="Calibri"/>
          <w:b/>
          <w:i/>
          <w:color w:val="000000" w:themeColor="text1"/>
          <w:sz w:val="22"/>
          <w:szCs w:val="22"/>
        </w:rPr>
        <w:t xml:space="preserve"> and monitoring</w:t>
      </w:r>
      <w:bookmarkEnd w:id="41"/>
    </w:p>
    <w:p w14:paraId="44834390" w14:textId="1880BD76" w:rsidR="004A6386" w:rsidRPr="00D9152B" w:rsidRDefault="00B83A0C"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About a fourth of the 48 Bank publications</w:t>
      </w:r>
      <w:r w:rsidR="004A6386" w:rsidRPr="00D9152B">
        <w:rPr>
          <w:rFonts w:ascii="Calibri" w:hAnsi="Calibri" w:cs="Calibri"/>
          <w:sz w:val="22"/>
          <w:szCs w:val="22"/>
        </w:rPr>
        <w:t xml:space="preserve"> specifically mention the importance of the OCP’s clear objectives and mon</w:t>
      </w:r>
      <w:r w:rsidR="00AF7242" w:rsidRPr="00D9152B">
        <w:rPr>
          <w:rFonts w:ascii="Calibri" w:hAnsi="Calibri" w:cs="Calibri"/>
          <w:sz w:val="22"/>
          <w:szCs w:val="22"/>
        </w:rPr>
        <w:t>itoring to its success</w:t>
      </w:r>
      <w:r w:rsidR="004A6386" w:rsidRPr="00D9152B">
        <w:rPr>
          <w:rFonts w:ascii="Calibri" w:hAnsi="Calibri" w:cs="Calibri"/>
          <w:sz w:val="22"/>
          <w:szCs w:val="22"/>
        </w:rPr>
        <w:t>. In particular, Bank staff emphasize that the programme was successful because it established goals and objectives early. They also point to the importance of the OCP’s strong management structure, which clearly delineated partner roles and was autonomous from the wider WHO governance structure. A smaller number indicate that success was possible because of effective, constant monitoring and attention to environmental objectives in the region.</w:t>
      </w:r>
      <w:r w:rsidR="00CD4C95" w:rsidRPr="00D9152B">
        <w:rPr>
          <w:rFonts w:ascii="Calibri" w:hAnsi="Calibri" w:cs="Calibri"/>
          <w:sz w:val="22"/>
          <w:szCs w:val="22"/>
        </w:rPr>
        <w:t xml:space="preserve"> Figure </w:t>
      </w:r>
      <w:r w:rsidR="005C04BC">
        <w:rPr>
          <w:rFonts w:ascii="Calibri" w:hAnsi="Calibri" w:cs="Calibri"/>
          <w:sz w:val="22"/>
          <w:szCs w:val="22"/>
        </w:rPr>
        <w:t>3.</w:t>
      </w:r>
      <w:r w:rsidR="00CD4C95" w:rsidRPr="00D9152B">
        <w:rPr>
          <w:rFonts w:ascii="Calibri" w:hAnsi="Calibri" w:cs="Calibri"/>
          <w:sz w:val="22"/>
          <w:szCs w:val="22"/>
        </w:rPr>
        <w:t>9 summarises the major categories</w:t>
      </w:r>
      <w:r w:rsidR="005124B6" w:rsidRPr="00D9152B">
        <w:rPr>
          <w:rFonts w:ascii="Calibri" w:hAnsi="Calibri" w:cs="Calibri"/>
          <w:sz w:val="22"/>
          <w:szCs w:val="22"/>
        </w:rPr>
        <w:t xml:space="preserve"> that</w:t>
      </w:r>
      <w:r w:rsidR="00CD4C95" w:rsidRPr="00D9152B">
        <w:rPr>
          <w:rFonts w:ascii="Calibri" w:hAnsi="Calibri" w:cs="Calibri"/>
          <w:sz w:val="22"/>
          <w:szCs w:val="22"/>
        </w:rPr>
        <w:t xml:space="preserve"> encompass this component of success: clear objectives, strong leadership and management, monitoring and accountability, and environmental soundness.</w:t>
      </w:r>
    </w:p>
    <w:p w14:paraId="7AC3D0D6" w14:textId="77777777" w:rsidR="004A6386" w:rsidRPr="00D9152B" w:rsidRDefault="004A6386" w:rsidP="001F4A40">
      <w:pPr>
        <w:jc w:val="center"/>
        <w:rPr>
          <w:rFonts w:ascii="Calibri" w:hAnsi="Calibri" w:cs="Calibri"/>
        </w:rPr>
      </w:pPr>
      <w:r w:rsidRPr="00D9152B">
        <w:rPr>
          <w:rFonts w:ascii="Calibri" w:hAnsi="Calibri" w:cs="Calibri"/>
          <w:noProof/>
          <w:lang w:eastAsia="en-GB"/>
        </w:rPr>
        <w:lastRenderedPageBreak/>
        <w:drawing>
          <wp:inline distT="0" distB="0" distL="0" distR="0" wp14:anchorId="417CF315" wp14:editId="4CBBE000">
            <wp:extent cx="4503761" cy="2217420"/>
            <wp:effectExtent l="0" t="0" r="17780" b="17780"/>
            <wp:docPr id="84" name="Chart 84">
              <a:extLst xmlns:a="http://schemas.openxmlformats.org/drawingml/2006/main">
                <a:ext uri="{FF2B5EF4-FFF2-40B4-BE49-F238E27FC236}">
                  <a16:creationId xmlns:a16="http://schemas.microsoft.com/office/drawing/2014/main" id="{FE1167D8-E9E6-4464-AD86-AD1719254A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0DD3B198" w14:textId="77777777" w:rsidR="001F4A40" w:rsidRPr="00D9152B" w:rsidRDefault="001F4A40" w:rsidP="001F4A40">
      <w:pPr>
        <w:jc w:val="both"/>
        <w:rPr>
          <w:rFonts w:ascii="Calibri" w:hAnsi="Calibri" w:cs="Calibri"/>
          <w:color w:val="808080" w:themeColor="background1" w:themeShade="80"/>
        </w:rPr>
      </w:pPr>
    </w:p>
    <w:p w14:paraId="452FA6AA" w14:textId="45B424F7" w:rsidR="004A6386" w:rsidRPr="00D9152B" w:rsidRDefault="004A6386" w:rsidP="001F4A40">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5C04BC">
        <w:rPr>
          <w:rFonts w:ascii="Calibri" w:hAnsi="Calibri" w:cs="Calibri"/>
          <w:color w:val="808080" w:themeColor="background1" w:themeShade="80"/>
          <w:sz w:val="22"/>
          <w:szCs w:val="22"/>
        </w:rPr>
        <w:t>3.</w:t>
      </w:r>
      <w:r w:rsidR="00CD4C95" w:rsidRPr="00D9152B">
        <w:rPr>
          <w:rFonts w:ascii="Calibri" w:hAnsi="Calibri" w:cs="Calibri"/>
          <w:color w:val="808080" w:themeColor="background1" w:themeShade="80"/>
          <w:sz w:val="22"/>
          <w:szCs w:val="22"/>
        </w:rPr>
        <w:t>9</w:t>
      </w:r>
      <w:r w:rsidR="00AF7242" w:rsidRPr="00D9152B">
        <w:rPr>
          <w:rFonts w:ascii="Calibri" w:hAnsi="Calibri" w:cs="Calibri"/>
          <w:color w:val="808080" w:themeColor="background1" w:themeShade="80"/>
          <w:sz w:val="22"/>
          <w:szCs w:val="22"/>
        </w:rPr>
        <w:t xml:space="preserve">. </w:t>
      </w:r>
      <w:r w:rsidR="00933533" w:rsidRPr="00D9152B">
        <w:rPr>
          <w:rFonts w:ascii="Calibri" w:hAnsi="Calibri" w:cs="Calibri"/>
          <w:color w:val="808080" w:themeColor="background1" w:themeShade="80"/>
          <w:sz w:val="22"/>
          <w:szCs w:val="22"/>
        </w:rPr>
        <w:t>Categories</w:t>
      </w:r>
      <w:r w:rsidR="00AF7242" w:rsidRPr="00D9152B">
        <w:rPr>
          <w:rFonts w:ascii="Calibri" w:hAnsi="Calibri" w:cs="Calibri"/>
          <w:color w:val="808080" w:themeColor="background1" w:themeShade="80"/>
          <w:sz w:val="22"/>
          <w:szCs w:val="22"/>
        </w:rPr>
        <w:t xml:space="preserve"> of the Bank’s clear objectives and monitoring</w:t>
      </w:r>
      <w:r w:rsidRPr="00D9152B">
        <w:rPr>
          <w:rFonts w:ascii="Calibri" w:hAnsi="Calibri" w:cs="Calibri"/>
          <w:color w:val="808080" w:themeColor="background1" w:themeShade="80"/>
          <w:sz w:val="22"/>
          <w:szCs w:val="22"/>
        </w:rPr>
        <w:t xml:space="preserve"> </w:t>
      </w:r>
      <w:r w:rsidR="00933533" w:rsidRPr="00D9152B">
        <w:rPr>
          <w:rFonts w:ascii="Calibri" w:hAnsi="Calibri" w:cs="Calibri"/>
          <w:color w:val="808080" w:themeColor="background1" w:themeShade="80"/>
          <w:sz w:val="22"/>
          <w:szCs w:val="22"/>
        </w:rPr>
        <w:t>component</w:t>
      </w:r>
      <w:r w:rsidRPr="00D9152B">
        <w:rPr>
          <w:rFonts w:ascii="Calibri" w:hAnsi="Calibri" w:cs="Calibri"/>
          <w:color w:val="808080" w:themeColor="background1" w:themeShade="80"/>
          <w:sz w:val="22"/>
          <w:szCs w:val="22"/>
        </w:rPr>
        <w:t xml:space="preserve"> </w:t>
      </w:r>
      <w:r w:rsidR="00933533" w:rsidRPr="00D9152B">
        <w:rPr>
          <w:rFonts w:ascii="Calibri" w:hAnsi="Calibri" w:cs="Calibri"/>
          <w:color w:val="808080" w:themeColor="background1" w:themeShade="80"/>
          <w:sz w:val="22"/>
          <w:szCs w:val="22"/>
        </w:rPr>
        <w:t>of</w:t>
      </w:r>
      <w:r w:rsidRPr="00D9152B">
        <w:rPr>
          <w:rFonts w:ascii="Calibri" w:hAnsi="Calibri" w:cs="Calibri"/>
          <w:color w:val="808080" w:themeColor="background1" w:themeShade="80"/>
          <w:sz w:val="22"/>
          <w:szCs w:val="22"/>
        </w:rPr>
        <w:t xml:space="preserve"> success.</w:t>
      </w:r>
      <w:r w:rsidR="00CD4C95" w:rsidRPr="00D9152B">
        <w:rPr>
          <w:rStyle w:val="FootnoteReference"/>
          <w:rFonts w:ascii="Calibri" w:hAnsi="Calibri" w:cs="Calibri"/>
          <w:color w:val="808080" w:themeColor="background1" w:themeShade="80"/>
        </w:rPr>
        <w:footnoteReference w:id="171"/>
      </w:r>
    </w:p>
    <w:p w14:paraId="03B22CBD" w14:textId="78123FB5" w:rsidR="004A6386" w:rsidRPr="00D9152B" w:rsidRDefault="004A6386"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w:t>
      </w:r>
      <w:r w:rsidR="007F166D" w:rsidRPr="00D9152B">
        <w:rPr>
          <w:rFonts w:ascii="Calibri" w:hAnsi="Calibri" w:cs="Calibri"/>
          <w:sz w:val="22"/>
          <w:szCs w:val="22"/>
        </w:rPr>
        <w:t xml:space="preserve"> </w:t>
      </w:r>
      <w:r w:rsidRPr="00D9152B">
        <w:rPr>
          <w:rFonts w:ascii="Calibri" w:hAnsi="Calibri" w:cs="Calibri"/>
          <w:sz w:val="22"/>
          <w:szCs w:val="22"/>
        </w:rPr>
        <w:t>majority of the Bank publications that reference the OCP’s success use specific metrics to show that the OCP met or surpassed its objectives (even if they do not specifically state what these objectives were). Of 48 Bank publications since 1982 that referen</w:t>
      </w:r>
      <w:r w:rsidR="00AF7242" w:rsidRPr="00D9152B">
        <w:rPr>
          <w:rFonts w:ascii="Calibri" w:hAnsi="Calibri" w:cs="Calibri"/>
          <w:sz w:val="22"/>
          <w:szCs w:val="22"/>
        </w:rPr>
        <w:t>ce the OCP’s success, a full 79 percent</w:t>
      </w:r>
      <w:r w:rsidRPr="00D9152B">
        <w:rPr>
          <w:rFonts w:ascii="Calibri" w:hAnsi="Calibri" w:cs="Calibri"/>
          <w:sz w:val="22"/>
          <w:szCs w:val="22"/>
        </w:rPr>
        <w:t xml:space="preserve"> include health metrics for public health success (Figure</w:t>
      </w:r>
      <w:r w:rsidR="003C482B" w:rsidRPr="00D9152B">
        <w:rPr>
          <w:rFonts w:ascii="Calibri" w:hAnsi="Calibri" w:cs="Calibri"/>
          <w:sz w:val="22"/>
          <w:szCs w:val="22"/>
        </w:rPr>
        <w:t xml:space="preserve"> </w:t>
      </w:r>
      <w:r w:rsidR="005C04BC">
        <w:rPr>
          <w:rFonts w:ascii="Calibri" w:hAnsi="Calibri" w:cs="Calibri"/>
          <w:sz w:val="22"/>
          <w:szCs w:val="22"/>
        </w:rPr>
        <w:t>3.</w:t>
      </w:r>
      <w:r w:rsidR="003C482B" w:rsidRPr="00D9152B">
        <w:rPr>
          <w:rFonts w:ascii="Calibri" w:hAnsi="Calibri" w:cs="Calibri"/>
          <w:sz w:val="22"/>
          <w:szCs w:val="22"/>
        </w:rPr>
        <w:t>1</w:t>
      </w:r>
      <w:r w:rsidR="00CD4C95" w:rsidRPr="00D9152B">
        <w:rPr>
          <w:rFonts w:ascii="Calibri" w:hAnsi="Calibri" w:cs="Calibri"/>
          <w:sz w:val="22"/>
          <w:szCs w:val="22"/>
        </w:rPr>
        <w:t>0</w:t>
      </w:r>
      <w:r w:rsidRPr="00D9152B">
        <w:rPr>
          <w:rFonts w:ascii="Calibri" w:hAnsi="Calibri" w:cs="Calibri"/>
          <w:sz w:val="22"/>
          <w:szCs w:val="22"/>
        </w:rPr>
        <w:t>). About half of the articles mention the population size protected, number of children born without risk of contracting onchocerciasis, or the number of cases of blindness prevented. A</w:t>
      </w:r>
      <w:r w:rsidR="007F166D" w:rsidRPr="00D9152B">
        <w:rPr>
          <w:rFonts w:ascii="Calibri" w:hAnsi="Calibri" w:cs="Calibri"/>
          <w:sz w:val="22"/>
          <w:szCs w:val="22"/>
        </w:rPr>
        <w:t xml:space="preserve">n </w:t>
      </w:r>
      <w:r w:rsidRPr="00D9152B">
        <w:rPr>
          <w:rFonts w:ascii="Calibri" w:hAnsi="Calibri" w:cs="Calibri"/>
          <w:sz w:val="22"/>
          <w:szCs w:val="22"/>
        </w:rPr>
        <w:t xml:space="preserve">example of the use of </w:t>
      </w:r>
      <w:r w:rsidR="004746A5" w:rsidRPr="00D9152B">
        <w:rPr>
          <w:rFonts w:ascii="Calibri" w:hAnsi="Calibri" w:cs="Calibri"/>
          <w:sz w:val="22"/>
          <w:szCs w:val="22"/>
        </w:rPr>
        <w:t>these</w:t>
      </w:r>
      <w:r w:rsidRPr="00D9152B">
        <w:rPr>
          <w:rFonts w:ascii="Calibri" w:hAnsi="Calibri" w:cs="Calibri"/>
          <w:sz w:val="22"/>
          <w:szCs w:val="22"/>
        </w:rPr>
        <w:t xml:space="preserve"> metric</w:t>
      </w:r>
      <w:r w:rsidR="004746A5" w:rsidRPr="00D9152B">
        <w:rPr>
          <w:rFonts w:ascii="Calibri" w:hAnsi="Calibri" w:cs="Calibri"/>
          <w:sz w:val="22"/>
          <w:szCs w:val="22"/>
        </w:rPr>
        <w:t>s</w:t>
      </w:r>
      <w:r w:rsidRPr="00D9152B">
        <w:rPr>
          <w:rFonts w:ascii="Calibri" w:hAnsi="Calibri" w:cs="Calibri"/>
          <w:sz w:val="22"/>
          <w:szCs w:val="22"/>
        </w:rPr>
        <w:t xml:space="preserve"> to defend the OCP’s investment is found in Bump et al. </w:t>
      </w:r>
      <w:r w:rsidR="007F166D" w:rsidRPr="00D9152B">
        <w:rPr>
          <w:rFonts w:ascii="Calibri" w:hAnsi="Calibri" w:cs="Calibri"/>
          <w:sz w:val="22"/>
          <w:szCs w:val="22"/>
        </w:rPr>
        <w:t>(</w:t>
      </w:r>
      <w:r w:rsidRPr="00D9152B">
        <w:rPr>
          <w:rFonts w:ascii="Calibri" w:hAnsi="Calibri" w:cs="Calibri"/>
          <w:sz w:val="22"/>
          <w:szCs w:val="22"/>
        </w:rPr>
        <w:t>200</w:t>
      </w:r>
      <w:r w:rsidR="00CD4C95" w:rsidRPr="00D9152B">
        <w:rPr>
          <w:rFonts w:ascii="Calibri" w:hAnsi="Calibri" w:cs="Calibri"/>
          <w:sz w:val="22"/>
          <w:szCs w:val="22"/>
        </w:rPr>
        <w:t>4</w:t>
      </w:r>
      <w:r w:rsidR="007F166D" w:rsidRPr="00D9152B">
        <w:rPr>
          <w:rFonts w:ascii="Calibri" w:hAnsi="Calibri" w:cs="Calibri"/>
          <w:sz w:val="22"/>
          <w:szCs w:val="22"/>
        </w:rPr>
        <w:t>)</w:t>
      </w:r>
      <w:r w:rsidRPr="00D9152B">
        <w:rPr>
          <w:rFonts w:ascii="Calibri" w:hAnsi="Calibri" w:cs="Calibri"/>
          <w:sz w:val="22"/>
          <w:szCs w:val="22"/>
        </w:rPr>
        <w:t xml:space="preserve">. </w:t>
      </w:r>
      <w:r w:rsidR="00CD4C95" w:rsidRPr="00D9152B">
        <w:rPr>
          <w:rFonts w:ascii="Calibri" w:hAnsi="Calibri" w:cs="Calibri"/>
          <w:sz w:val="22"/>
          <w:szCs w:val="22"/>
        </w:rPr>
        <w:t xml:space="preserve">This publication </w:t>
      </w:r>
      <w:r w:rsidRPr="00D9152B">
        <w:rPr>
          <w:rFonts w:ascii="Calibri" w:hAnsi="Calibri" w:cs="Calibri"/>
          <w:sz w:val="22"/>
          <w:szCs w:val="22"/>
        </w:rPr>
        <w:t>state</w:t>
      </w:r>
      <w:r w:rsidR="00CD4C95" w:rsidRPr="00D9152B">
        <w:rPr>
          <w:rFonts w:ascii="Calibri" w:hAnsi="Calibri" w:cs="Calibri"/>
          <w:sz w:val="22"/>
          <w:szCs w:val="22"/>
        </w:rPr>
        <w:t>s</w:t>
      </w:r>
      <w:r w:rsidRPr="00D9152B">
        <w:rPr>
          <w:rFonts w:ascii="Calibri" w:hAnsi="Calibri" w:cs="Calibri"/>
          <w:sz w:val="22"/>
          <w:szCs w:val="22"/>
        </w:rPr>
        <w:t xml:space="preserve"> that the OCP had success in controlling river blindness and scaling-up operations, and simply lists the number of people protected over time to justify this statement</w:t>
      </w:r>
      <w:r w:rsidR="00CD4C95" w:rsidRPr="00D9152B">
        <w:rPr>
          <w:rFonts w:ascii="Calibri" w:hAnsi="Calibri" w:cs="Calibri"/>
          <w:sz w:val="22"/>
          <w:szCs w:val="22"/>
        </w:rPr>
        <w:t>;</w:t>
      </w:r>
      <w:r w:rsidRPr="00D9152B">
        <w:rPr>
          <w:rFonts w:ascii="Calibri" w:hAnsi="Calibri" w:cs="Calibri"/>
          <w:sz w:val="22"/>
          <w:szCs w:val="22"/>
        </w:rPr>
        <w:t xml:space="preserve"> 10 million people (the estimated entire population in spraying zones) were protected in 1975, which rose to 30 million in 1979, and 35 million in 1994, culminating in an estimated 600,000 cases of blindness prevented and 18 million children (the estimated total number of children born in the control population) protected from risk of disease.</w:t>
      </w:r>
      <w:r w:rsidRPr="00D9152B">
        <w:rPr>
          <w:rStyle w:val="FootnoteReference"/>
          <w:rFonts w:ascii="Calibri" w:hAnsi="Calibri" w:cs="Calibri"/>
          <w:sz w:val="22"/>
          <w:szCs w:val="22"/>
        </w:rPr>
        <w:footnoteReference w:id="172"/>
      </w:r>
      <w:r w:rsidRPr="00D9152B">
        <w:rPr>
          <w:rFonts w:ascii="Calibri" w:hAnsi="Calibri" w:cs="Calibri"/>
          <w:sz w:val="22"/>
          <w:szCs w:val="22"/>
        </w:rPr>
        <w:t xml:space="preserve"> </w:t>
      </w:r>
      <w:r w:rsidR="00375F64" w:rsidRPr="00D9152B">
        <w:rPr>
          <w:rFonts w:ascii="Calibri" w:hAnsi="Calibri" w:cs="Calibri"/>
          <w:sz w:val="22"/>
          <w:szCs w:val="22"/>
        </w:rPr>
        <w:t>In such a way, numbers</w:t>
      </w:r>
      <w:r w:rsidRPr="00D9152B">
        <w:rPr>
          <w:rFonts w:ascii="Calibri" w:hAnsi="Calibri" w:cs="Calibri"/>
          <w:sz w:val="22"/>
          <w:szCs w:val="22"/>
        </w:rPr>
        <w:t xml:space="preserve"> are seen as stand-alone and are used to point to the undeniable success of the OCP.</w:t>
      </w:r>
    </w:p>
    <w:p w14:paraId="656B05E1" w14:textId="79FE3105" w:rsidR="004A6386" w:rsidRPr="00D9152B" w:rsidRDefault="00AF7242" w:rsidP="001F4A40">
      <w:pPr>
        <w:jc w:val="both"/>
        <w:rPr>
          <w:rFonts w:ascii="Calibri" w:hAnsi="Calibri" w:cs="Calibri"/>
          <w:noProof/>
          <w:color w:val="808080" w:themeColor="background1" w:themeShade="80"/>
        </w:rPr>
      </w:pPr>
      <w:r w:rsidRPr="00D9152B">
        <w:rPr>
          <w:rFonts w:ascii="Calibri" w:hAnsi="Calibri" w:cs="Calibri"/>
          <w:noProof/>
          <w:color w:val="808080" w:themeColor="background1" w:themeShade="80"/>
          <w:lang w:eastAsia="en-GB"/>
        </w:rPr>
        <w:lastRenderedPageBreak/>
        <w:drawing>
          <wp:inline distT="0" distB="0" distL="0" distR="0" wp14:anchorId="27AB7DCF" wp14:editId="5E8D3305">
            <wp:extent cx="5731510" cy="3258030"/>
            <wp:effectExtent l="0" t="0" r="2540" b="0"/>
            <wp:docPr id="86" name="Chart 86">
              <a:extLst xmlns:a="http://schemas.openxmlformats.org/drawingml/2006/main">
                <a:ext uri="{FF2B5EF4-FFF2-40B4-BE49-F238E27FC236}">
                  <a16:creationId xmlns:a16="http://schemas.microsoft.com/office/drawing/2014/main" id="{481F2999-0A1A-4B03-A57D-C663E53FA8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54E39A56" w14:textId="77777777" w:rsidR="00704071" w:rsidRPr="00D9152B" w:rsidRDefault="00704071" w:rsidP="001F4A40">
      <w:pPr>
        <w:jc w:val="both"/>
        <w:rPr>
          <w:rFonts w:ascii="Calibri" w:hAnsi="Calibri" w:cs="Calibri"/>
          <w:color w:val="808080" w:themeColor="background1" w:themeShade="80"/>
        </w:rPr>
      </w:pPr>
    </w:p>
    <w:p w14:paraId="20E365F9" w14:textId="11A3F6AC" w:rsidR="00AF7242" w:rsidRPr="00D9152B" w:rsidRDefault="00AF7242" w:rsidP="001F4A40">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5C04BC">
        <w:rPr>
          <w:rFonts w:ascii="Calibri" w:hAnsi="Calibri" w:cs="Calibri"/>
          <w:color w:val="808080" w:themeColor="background1" w:themeShade="80"/>
          <w:sz w:val="22"/>
          <w:szCs w:val="22"/>
        </w:rPr>
        <w:t>3.</w:t>
      </w:r>
      <w:r w:rsidRPr="00D9152B">
        <w:rPr>
          <w:rFonts w:ascii="Calibri" w:hAnsi="Calibri" w:cs="Calibri"/>
          <w:color w:val="808080" w:themeColor="background1" w:themeShade="80"/>
          <w:sz w:val="22"/>
          <w:szCs w:val="22"/>
        </w:rPr>
        <w:t>1</w:t>
      </w:r>
      <w:r w:rsidR="00CD4C95" w:rsidRPr="00D9152B">
        <w:rPr>
          <w:rFonts w:ascii="Calibri" w:hAnsi="Calibri" w:cs="Calibri"/>
          <w:color w:val="808080" w:themeColor="background1" w:themeShade="80"/>
          <w:sz w:val="22"/>
          <w:szCs w:val="22"/>
        </w:rPr>
        <w:t>0</w:t>
      </w:r>
      <w:r w:rsidR="004A6386" w:rsidRPr="00D9152B">
        <w:rPr>
          <w:rFonts w:ascii="Calibri" w:hAnsi="Calibri" w:cs="Calibri"/>
          <w:color w:val="808080" w:themeColor="background1" w:themeShade="80"/>
          <w:sz w:val="22"/>
          <w:szCs w:val="22"/>
        </w:rPr>
        <w:t xml:space="preserve">. </w:t>
      </w:r>
      <w:r w:rsidR="000C6F00" w:rsidRPr="00D9152B">
        <w:rPr>
          <w:rFonts w:ascii="Calibri" w:hAnsi="Calibri" w:cs="Calibri"/>
          <w:color w:val="808080" w:themeColor="background1" w:themeShade="80"/>
          <w:sz w:val="22"/>
          <w:szCs w:val="22"/>
        </w:rPr>
        <w:t>Most</w:t>
      </w:r>
      <w:r w:rsidRPr="00D9152B">
        <w:rPr>
          <w:rFonts w:ascii="Calibri" w:hAnsi="Calibri" w:cs="Calibri"/>
          <w:color w:val="808080" w:themeColor="background1" w:themeShade="80"/>
          <w:sz w:val="22"/>
          <w:szCs w:val="22"/>
        </w:rPr>
        <w:t xml:space="preserve"> Bank-affiliated publications</w:t>
      </w:r>
      <w:r w:rsidR="000C6F00" w:rsidRPr="00D9152B">
        <w:rPr>
          <w:rFonts w:ascii="Calibri" w:hAnsi="Calibri" w:cs="Calibri"/>
          <w:color w:val="808080" w:themeColor="background1" w:themeShade="80"/>
          <w:sz w:val="22"/>
          <w:szCs w:val="22"/>
        </w:rPr>
        <w:t xml:space="preserve"> with rationales for success</w:t>
      </w:r>
      <w:r w:rsidRPr="00D9152B">
        <w:rPr>
          <w:rFonts w:ascii="Calibri" w:hAnsi="Calibri" w:cs="Calibri"/>
          <w:color w:val="808080" w:themeColor="background1" w:themeShade="80"/>
          <w:sz w:val="22"/>
          <w:szCs w:val="22"/>
        </w:rPr>
        <w:t xml:space="preserve"> provided public health metrics to justify the OCP’s success. </w:t>
      </w:r>
      <w:r w:rsidR="00375F64" w:rsidRPr="00D9152B">
        <w:rPr>
          <w:rFonts w:ascii="Calibri" w:hAnsi="Calibri" w:cs="Calibri"/>
          <w:color w:val="808080" w:themeColor="background1" w:themeShade="80"/>
          <w:sz w:val="22"/>
          <w:szCs w:val="22"/>
        </w:rPr>
        <w:t>[</w:t>
      </w:r>
      <w:r w:rsidR="00704071" w:rsidRPr="00D9152B">
        <w:rPr>
          <w:rFonts w:ascii="Calibri" w:hAnsi="Calibri" w:cs="Calibri"/>
          <w:color w:val="808080" w:themeColor="background1" w:themeShade="80"/>
          <w:sz w:val="22"/>
          <w:szCs w:val="22"/>
        </w:rPr>
        <w:t xml:space="preserve">MF is microfilariae, </w:t>
      </w:r>
      <w:r w:rsidR="00375F64" w:rsidRPr="00D9152B">
        <w:rPr>
          <w:rFonts w:ascii="Calibri" w:hAnsi="Calibri" w:cs="Calibri"/>
          <w:color w:val="808080" w:themeColor="background1" w:themeShade="80"/>
          <w:sz w:val="22"/>
          <w:szCs w:val="22"/>
        </w:rPr>
        <w:t>DALYs are disability-adjusted life years</w:t>
      </w:r>
      <w:r w:rsidR="00704071" w:rsidRPr="00D9152B">
        <w:rPr>
          <w:rFonts w:ascii="Calibri" w:hAnsi="Calibri" w:cs="Calibri"/>
          <w:color w:val="808080" w:themeColor="background1" w:themeShade="80"/>
          <w:sz w:val="22"/>
          <w:szCs w:val="22"/>
        </w:rPr>
        <w:t>,</w:t>
      </w:r>
      <w:r w:rsidR="00375F64" w:rsidRPr="00D9152B">
        <w:rPr>
          <w:rFonts w:ascii="Calibri" w:hAnsi="Calibri" w:cs="Calibri"/>
          <w:color w:val="808080" w:themeColor="background1" w:themeShade="80"/>
          <w:sz w:val="22"/>
          <w:szCs w:val="22"/>
        </w:rPr>
        <w:t xml:space="preserve"> and ATP is </w:t>
      </w:r>
      <w:r w:rsidR="00CD4C95" w:rsidRPr="00D9152B">
        <w:rPr>
          <w:rFonts w:ascii="Calibri" w:hAnsi="Calibri" w:cs="Calibri"/>
          <w:color w:val="808080" w:themeColor="background1" w:themeShade="80"/>
          <w:sz w:val="22"/>
          <w:szCs w:val="22"/>
        </w:rPr>
        <w:t xml:space="preserve">the </w:t>
      </w:r>
      <w:r w:rsidR="00375F64" w:rsidRPr="00D9152B">
        <w:rPr>
          <w:rFonts w:ascii="Calibri" w:hAnsi="Calibri" w:cs="Calibri"/>
          <w:color w:val="808080" w:themeColor="background1" w:themeShade="80"/>
          <w:sz w:val="22"/>
          <w:szCs w:val="22"/>
        </w:rPr>
        <w:t>annual transmission potential.]</w:t>
      </w:r>
    </w:p>
    <w:p w14:paraId="75365752" w14:textId="21B4C4ED" w:rsidR="004A6386" w:rsidRPr="00D9152B" w:rsidRDefault="00375F64"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Over 83 percent</w:t>
      </w:r>
      <w:r w:rsidR="004A6386" w:rsidRPr="00D9152B">
        <w:rPr>
          <w:rFonts w:ascii="Calibri" w:hAnsi="Calibri" w:cs="Calibri"/>
          <w:sz w:val="22"/>
          <w:szCs w:val="22"/>
        </w:rPr>
        <w:t xml:space="preserve"> of the Bank publications provide socio-economic justif</w:t>
      </w:r>
      <w:r w:rsidR="003C482B" w:rsidRPr="00D9152B">
        <w:rPr>
          <w:rFonts w:ascii="Calibri" w:hAnsi="Calibri" w:cs="Calibri"/>
          <w:sz w:val="22"/>
          <w:szCs w:val="22"/>
        </w:rPr>
        <w:t xml:space="preserve">ications for success (Figure </w:t>
      </w:r>
      <w:r w:rsidR="005C04BC">
        <w:rPr>
          <w:rFonts w:ascii="Calibri" w:hAnsi="Calibri" w:cs="Calibri"/>
          <w:sz w:val="22"/>
          <w:szCs w:val="22"/>
        </w:rPr>
        <w:t>3.</w:t>
      </w:r>
      <w:r w:rsidR="003C482B" w:rsidRPr="00D9152B">
        <w:rPr>
          <w:rFonts w:ascii="Calibri" w:hAnsi="Calibri" w:cs="Calibri"/>
          <w:sz w:val="22"/>
          <w:szCs w:val="22"/>
        </w:rPr>
        <w:t>1</w:t>
      </w:r>
      <w:r w:rsidR="00CD4C95" w:rsidRPr="00D9152B">
        <w:rPr>
          <w:rFonts w:ascii="Calibri" w:hAnsi="Calibri" w:cs="Calibri"/>
          <w:sz w:val="22"/>
          <w:szCs w:val="22"/>
        </w:rPr>
        <w:t>1</w:t>
      </w:r>
      <w:r w:rsidR="004A6386" w:rsidRPr="00D9152B">
        <w:rPr>
          <w:rFonts w:ascii="Calibri" w:hAnsi="Calibri" w:cs="Calibri"/>
          <w:sz w:val="22"/>
          <w:szCs w:val="22"/>
        </w:rPr>
        <w:t>). Approximately three-fourths of these publications refer to a particular figure: the number of hectares of fertile land ‘freed’ from onchocerciasis for cultivation. A small percentage of articles (about one fifth) include an associated metric</w:t>
      </w:r>
      <w:r w:rsidR="00CD4C95" w:rsidRPr="00D9152B">
        <w:rPr>
          <w:rFonts w:ascii="Calibri" w:hAnsi="Calibri" w:cs="Calibri"/>
          <w:sz w:val="22"/>
          <w:szCs w:val="22"/>
        </w:rPr>
        <w:t>:</w:t>
      </w:r>
      <w:r w:rsidR="004A6386" w:rsidRPr="00D9152B">
        <w:rPr>
          <w:rFonts w:ascii="Calibri" w:hAnsi="Calibri" w:cs="Calibri"/>
          <w:sz w:val="22"/>
          <w:szCs w:val="22"/>
        </w:rPr>
        <w:t xml:space="preserve"> the amount of food – sorghum – that the Bank estimated could be hypothetically grown on these freed lands, using local cultivation techniques. Most articles published since the 1990s further justify socio-economic success through cost-benefit statistics, including the OCP’s predicted economic rate of return (typically calculated over the duration of the OCP, from 1974-2002) or net present value. And, particularly since 1995, many reference the years of productive labour added to African economies by </w:t>
      </w:r>
      <w:r w:rsidR="00C54BA6" w:rsidRPr="00D9152B">
        <w:rPr>
          <w:rFonts w:ascii="Calibri" w:hAnsi="Calibri" w:cs="Calibri"/>
          <w:sz w:val="22"/>
          <w:szCs w:val="22"/>
        </w:rPr>
        <w:t>preventing</w:t>
      </w:r>
      <w:r w:rsidR="004A6386" w:rsidRPr="00D9152B">
        <w:rPr>
          <w:rFonts w:ascii="Calibri" w:hAnsi="Calibri" w:cs="Calibri"/>
          <w:sz w:val="22"/>
          <w:szCs w:val="22"/>
        </w:rPr>
        <w:t xml:space="preserve"> blindness</w:t>
      </w:r>
      <w:r w:rsidR="00C54BA6" w:rsidRPr="00D9152B">
        <w:rPr>
          <w:rFonts w:ascii="Calibri" w:hAnsi="Calibri" w:cs="Calibri"/>
          <w:sz w:val="22"/>
          <w:szCs w:val="22"/>
        </w:rPr>
        <w:t xml:space="preserve">, </w:t>
      </w:r>
      <w:r w:rsidR="004A6386" w:rsidRPr="00D9152B">
        <w:rPr>
          <w:rFonts w:ascii="Calibri" w:hAnsi="Calibri" w:cs="Calibri"/>
          <w:sz w:val="22"/>
          <w:szCs w:val="22"/>
        </w:rPr>
        <w:t>and the cost per protected individual</w:t>
      </w:r>
      <w:r w:rsidRPr="00D9152B">
        <w:rPr>
          <w:rFonts w:ascii="Calibri" w:hAnsi="Calibri" w:cs="Calibri"/>
          <w:sz w:val="22"/>
          <w:szCs w:val="22"/>
        </w:rPr>
        <w:t>.</w:t>
      </w:r>
    </w:p>
    <w:p w14:paraId="6D68E57A" w14:textId="77777777" w:rsidR="001F4A40" w:rsidRPr="00D9152B" w:rsidRDefault="00375F64" w:rsidP="001F4A40">
      <w:pPr>
        <w:jc w:val="both"/>
        <w:rPr>
          <w:rFonts w:ascii="Calibri" w:hAnsi="Calibri" w:cs="Calibri"/>
          <w:color w:val="808080" w:themeColor="background1" w:themeShade="80"/>
        </w:rPr>
      </w:pPr>
      <w:r w:rsidRPr="00D9152B">
        <w:rPr>
          <w:rFonts w:ascii="Calibri" w:hAnsi="Calibri" w:cs="Calibri"/>
          <w:noProof/>
          <w:color w:val="808080" w:themeColor="background1" w:themeShade="80"/>
          <w:lang w:eastAsia="en-GB"/>
        </w:rPr>
        <w:lastRenderedPageBreak/>
        <w:drawing>
          <wp:inline distT="0" distB="0" distL="0" distR="0" wp14:anchorId="5A94A331" wp14:editId="69EB2A8B">
            <wp:extent cx="5731510" cy="2627189"/>
            <wp:effectExtent l="0" t="0" r="2540" b="1905"/>
            <wp:docPr id="85" name="Chart 85">
              <a:extLst xmlns:a="http://schemas.openxmlformats.org/drawingml/2006/main">
                <a:ext uri="{FF2B5EF4-FFF2-40B4-BE49-F238E27FC236}">
                  <a16:creationId xmlns:a16="http://schemas.microsoft.com/office/drawing/2014/main" id="{725662AD-6E9A-4E7E-94F3-B974054557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65034C03" w14:textId="77777777" w:rsidR="00704071" w:rsidRPr="00D9152B" w:rsidRDefault="00704071" w:rsidP="001F4A40">
      <w:pPr>
        <w:jc w:val="both"/>
        <w:rPr>
          <w:rFonts w:ascii="Calibri" w:hAnsi="Calibri" w:cs="Calibri"/>
          <w:color w:val="808080" w:themeColor="background1" w:themeShade="80"/>
        </w:rPr>
      </w:pPr>
    </w:p>
    <w:p w14:paraId="6AE126A6" w14:textId="4C5B8D99" w:rsidR="00375F64" w:rsidRPr="00D9152B" w:rsidRDefault="00375F64" w:rsidP="001F4A40">
      <w:pPr>
        <w:jc w:val="both"/>
        <w:rPr>
          <w:rFonts w:ascii="Calibri" w:hAnsi="Calibri" w:cs="Calibri"/>
          <w: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5C04BC">
        <w:rPr>
          <w:rFonts w:ascii="Calibri" w:hAnsi="Calibri" w:cs="Calibri"/>
          <w:color w:val="808080" w:themeColor="background1" w:themeShade="80"/>
          <w:sz w:val="22"/>
          <w:szCs w:val="22"/>
        </w:rPr>
        <w:t>3.</w:t>
      </w:r>
      <w:r w:rsidRPr="00D9152B">
        <w:rPr>
          <w:rFonts w:ascii="Calibri" w:hAnsi="Calibri" w:cs="Calibri"/>
          <w:color w:val="808080" w:themeColor="background1" w:themeShade="80"/>
          <w:sz w:val="22"/>
          <w:szCs w:val="22"/>
        </w:rPr>
        <w:t>1</w:t>
      </w:r>
      <w:r w:rsidR="0029295F" w:rsidRPr="00D9152B">
        <w:rPr>
          <w:rFonts w:ascii="Calibri" w:hAnsi="Calibri" w:cs="Calibri"/>
          <w:color w:val="808080" w:themeColor="background1" w:themeShade="80"/>
          <w:sz w:val="22"/>
          <w:szCs w:val="22"/>
        </w:rPr>
        <w:t>1</w:t>
      </w:r>
      <w:r w:rsidRPr="00D9152B">
        <w:rPr>
          <w:rFonts w:ascii="Calibri" w:hAnsi="Calibri" w:cs="Calibri"/>
          <w:color w:val="808080" w:themeColor="background1" w:themeShade="80"/>
          <w:sz w:val="22"/>
          <w:szCs w:val="22"/>
        </w:rPr>
        <w:t xml:space="preserve">. </w:t>
      </w:r>
      <w:r w:rsidR="000C6F00" w:rsidRPr="00D9152B">
        <w:rPr>
          <w:rFonts w:ascii="Calibri" w:hAnsi="Calibri" w:cs="Calibri"/>
          <w:color w:val="808080" w:themeColor="background1" w:themeShade="80"/>
          <w:sz w:val="22"/>
          <w:szCs w:val="22"/>
        </w:rPr>
        <w:t>The vast majority of</w:t>
      </w:r>
      <w:r w:rsidRPr="00D9152B">
        <w:rPr>
          <w:rFonts w:ascii="Calibri" w:hAnsi="Calibri" w:cs="Calibri"/>
          <w:color w:val="808080" w:themeColor="background1" w:themeShade="80"/>
          <w:sz w:val="22"/>
          <w:szCs w:val="22"/>
        </w:rPr>
        <w:t xml:space="preserve"> Bank-affiliated publications </w:t>
      </w:r>
      <w:r w:rsidR="000C6F00" w:rsidRPr="00D9152B">
        <w:rPr>
          <w:rFonts w:ascii="Calibri" w:hAnsi="Calibri" w:cs="Calibri"/>
          <w:color w:val="808080" w:themeColor="background1" w:themeShade="80"/>
          <w:sz w:val="22"/>
          <w:szCs w:val="22"/>
        </w:rPr>
        <w:t xml:space="preserve">with rationales for success </w:t>
      </w:r>
      <w:r w:rsidRPr="00D9152B">
        <w:rPr>
          <w:rFonts w:ascii="Calibri" w:hAnsi="Calibri" w:cs="Calibri"/>
          <w:color w:val="808080" w:themeColor="background1" w:themeShade="80"/>
          <w:sz w:val="22"/>
          <w:szCs w:val="22"/>
        </w:rPr>
        <w:t>used socio-economic metrics to justify the OCP’s success.</w:t>
      </w:r>
      <w:r w:rsidRPr="00D9152B">
        <w:rPr>
          <w:rFonts w:ascii="Calibri" w:hAnsi="Calibri" w:cs="Calibri"/>
          <w:i/>
          <w:color w:val="808080" w:themeColor="background1" w:themeShade="80"/>
          <w:sz w:val="22"/>
          <w:szCs w:val="22"/>
        </w:rPr>
        <w:t xml:space="preserve"> </w:t>
      </w:r>
    </w:p>
    <w:p w14:paraId="40C0D688" w14:textId="76C3EF35" w:rsidR="004A6386" w:rsidRPr="00D9152B" w:rsidRDefault="004A6386" w:rsidP="005C7F9F">
      <w:pPr>
        <w:spacing w:before="100" w:beforeAutospacing="1" w:after="100" w:afterAutospacing="1" w:line="360" w:lineRule="auto"/>
        <w:ind w:firstLine="567"/>
        <w:rPr>
          <w:rFonts w:ascii="Calibri" w:hAnsi="Calibri" w:cs="Calibri"/>
          <w:sz w:val="22"/>
          <w:szCs w:val="22"/>
        </w:rPr>
      </w:pPr>
      <w:r w:rsidRPr="00D9152B">
        <w:rPr>
          <w:rFonts w:ascii="Calibri" w:hAnsi="Calibri" w:cs="Calibri"/>
          <w:sz w:val="22"/>
          <w:szCs w:val="22"/>
        </w:rPr>
        <w:t xml:space="preserve">Overall, the World Bank’s publications are remarkably consistent in justifying the OCP’s successful progress towards its dual goals through public health and socio-economic metrics. Since 1995, nearly every publication about the OCP that references success – including blogs – mentions the population size protected and the number of hectares of land ‘saved’. </w:t>
      </w:r>
    </w:p>
    <w:p w14:paraId="3451924C" w14:textId="09F211D8" w:rsidR="00375F64" w:rsidRPr="00D9152B" w:rsidRDefault="00FA7D67" w:rsidP="005C7F9F">
      <w:pPr>
        <w:pStyle w:val="Heading3"/>
        <w:spacing w:line="360" w:lineRule="auto"/>
        <w:rPr>
          <w:rFonts w:ascii="Calibri" w:hAnsi="Calibri" w:cs="Calibri"/>
          <w:b/>
          <w:i/>
          <w:color w:val="000000" w:themeColor="text1"/>
          <w:sz w:val="22"/>
          <w:szCs w:val="22"/>
        </w:rPr>
      </w:pPr>
      <w:bookmarkStart w:id="42" w:name="_Toc41505616"/>
      <w:r w:rsidRPr="00D9152B">
        <w:rPr>
          <w:rFonts w:ascii="Calibri" w:hAnsi="Calibri" w:cs="Calibri"/>
          <w:b/>
          <w:i/>
          <w:color w:val="000000" w:themeColor="text1"/>
          <w:sz w:val="22"/>
          <w:szCs w:val="22"/>
        </w:rPr>
        <w:t>3.</w:t>
      </w:r>
      <w:r w:rsidR="0098315E" w:rsidRPr="00D9152B">
        <w:rPr>
          <w:rFonts w:ascii="Calibri" w:hAnsi="Calibri" w:cs="Calibri"/>
          <w:b/>
          <w:i/>
          <w:color w:val="000000" w:themeColor="text1"/>
          <w:sz w:val="22"/>
          <w:szCs w:val="22"/>
        </w:rPr>
        <w:t>4</w:t>
      </w:r>
      <w:r w:rsidRPr="00D9152B">
        <w:rPr>
          <w:rFonts w:ascii="Calibri" w:hAnsi="Calibri" w:cs="Calibri"/>
          <w:b/>
          <w:i/>
          <w:color w:val="000000" w:themeColor="text1"/>
          <w:sz w:val="22"/>
          <w:szCs w:val="22"/>
        </w:rPr>
        <w:t>.B.</w:t>
      </w:r>
      <w:r w:rsidR="001F4A40" w:rsidRPr="00D9152B">
        <w:rPr>
          <w:rFonts w:ascii="Calibri" w:hAnsi="Calibri" w:cs="Calibri"/>
          <w:b/>
          <w:i/>
          <w:color w:val="000000" w:themeColor="text1"/>
          <w:sz w:val="22"/>
          <w:szCs w:val="22"/>
        </w:rPr>
        <w:t xml:space="preserve"> </w:t>
      </w:r>
      <w:r w:rsidR="0029295F" w:rsidRPr="00D9152B">
        <w:rPr>
          <w:rFonts w:ascii="Calibri" w:hAnsi="Calibri" w:cs="Calibri"/>
          <w:b/>
          <w:i/>
          <w:color w:val="000000" w:themeColor="text1"/>
          <w:sz w:val="22"/>
          <w:szCs w:val="22"/>
        </w:rPr>
        <w:t xml:space="preserve">Component two: </w:t>
      </w:r>
      <w:r w:rsidR="00923F81" w:rsidRPr="00D9152B">
        <w:rPr>
          <w:rFonts w:ascii="Calibri" w:hAnsi="Calibri" w:cs="Calibri"/>
          <w:b/>
          <w:i/>
          <w:color w:val="000000" w:themeColor="text1"/>
          <w:sz w:val="22"/>
          <w:szCs w:val="22"/>
        </w:rPr>
        <w:t>S</w:t>
      </w:r>
      <w:r w:rsidR="00375F64" w:rsidRPr="00D9152B">
        <w:rPr>
          <w:rFonts w:ascii="Calibri" w:hAnsi="Calibri" w:cs="Calibri"/>
          <w:b/>
          <w:i/>
          <w:color w:val="000000" w:themeColor="text1"/>
          <w:sz w:val="22"/>
          <w:szCs w:val="22"/>
        </w:rPr>
        <w:t>trong financial management</w:t>
      </w:r>
      <w:bookmarkEnd w:id="42"/>
    </w:p>
    <w:p w14:paraId="75176B21" w14:textId="79234BB2" w:rsidR="004C247E" w:rsidRPr="00D9152B" w:rsidRDefault="0029295F" w:rsidP="0029295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second </w:t>
      </w:r>
      <w:r w:rsidR="004A6386" w:rsidRPr="00D9152B">
        <w:rPr>
          <w:rFonts w:ascii="Calibri" w:hAnsi="Calibri" w:cs="Calibri"/>
          <w:sz w:val="22"/>
          <w:szCs w:val="22"/>
        </w:rPr>
        <w:t xml:space="preserve">component of the Bank’s </w:t>
      </w:r>
      <w:r w:rsidR="00375F64" w:rsidRPr="00D9152B">
        <w:rPr>
          <w:rFonts w:ascii="Calibri" w:hAnsi="Calibri" w:cs="Calibri"/>
          <w:sz w:val="22"/>
          <w:szCs w:val="22"/>
        </w:rPr>
        <w:t>dominant narrative</w:t>
      </w:r>
      <w:r w:rsidR="004A6386" w:rsidRPr="00D9152B">
        <w:rPr>
          <w:rFonts w:ascii="Calibri" w:hAnsi="Calibri" w:cs="Calibri"/>
          <w:sz w:val="22"/>
          <w:szCs w:val="22"/>
        </w:rPr>
        <w:t xml:space="preserve"> is that trust funds provided a flexible, consistent source of programme funding. Bank publications point to two major benefits of its use of extra-budgetary funding for the OCP. First, by holding programme donations in a separate, extra-budgetary pot of money – a trust fund – the Bank was able to provide donors with a guarantee of tight budgeting and fiscal responsibility. </w:t>
      </w:r>
      <w:r w:rsidR="004C247E" w:rsidRPr="00D9152B">
        <w:rPr>
          <w:rFonts w:ascii="Calibri" w:hAnsi="Calibri" w:cs="Calibri"/>
          <w:sz w:val="22"/>
          <w:szCs w:val="22"/>
        </w:rPr>
        <w:t xml:space="preserve">Second, the trust fund provided flexibility and autonomy, since trust funds fall outside of the Bank (and WHO’s) traditional decision-making process. </w:t>
      </w:r>
    </w:p>
    <w:p w14:paraId="7EF53307" w14:textId="73FEBA22" w:rsidR="004A6386" w:rsidRPr="00D9152B" w:rsidRDefault="004C247E"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Most of the 48 Bank publications do not provide further explanation for </w:t>
      </w:r>
      <w:r w:rsidRPr="00D9152B">
        <w:rPr>
          <w:rFonts w:ascii="Calibri" w:hAnsi="Calibri" w:cs="Calibri"/>
          <w:i/>
          <w:sz w:val="22"/>
          <w:szCs w:val="22"/>
        </w:rPr>
        <w:t xml:space="preserve">how </w:t>
      </w:r>
      <w:r w:rsidRPr="00D9152B">
        <w:rPr>
          <w:rFonts w:ascii="Calibri" w:hAnsi="Calibri" w:cs="Calibri"/>
          <w:sz w:val="22"/>
          <w:szCs w:val="22"/>
        </w:rPr>
        <w:t xml:space="preserve">the financing structure fostered this flexibility. Instead, they </w:t>
      </w:r>
      <w:r w:rsidR="00650B62">
        <w:rPr>
          <w:rFonts w:ascii="Calibri" w:hAnsi="Calibri" w:cs="Calibri"/>
          <w:sz w:val="22"/>
          <w:szCs w:val="22"/>
        </w:rPr>
        <w:t>generally</w:t>
      </w:r>
      <w:r w:rsidRPr="00D9152B">
        <w:rPr>
          <w:rFonts w:ascii="Calibri" w:hAnsi="Calibri" w:cs="Calibri"/>
          <w:sz w:val="22"/>
          <w:szCs w:val="22"/>
        </w:rPr>
        <w:t xml:space="preserve"> point generally to the Bank’s role as financial trustee, and how it helped keep the OCP autonomous, on budget, and able to productively fundraise. The Bank’s</w:t>
      </w:r>
      <w:r w:rsidR="004A6386" w:rsidRPr="00D9152B">
        <w:rPr>
          <w:rFonts w:ascii="Calibri" w:hAnsi="Calibri" w:cs="Calibri"/>
          <w:sz w:val="22"/>
          <w:szCs w:val="22"/>
        </w:rPr>
        <w:t xml:space="preserve"> financial guardianship is often captured </w:t>
      </w:r>
      <w:r w:rsidR="004A6386" w:rsidRPr="00D9152B">
        <w:rPr>
          <w:rFonts w:ascii="Calibri" w:hAnsi="Calibri" w:cs="Calibri"/>
          <w:sz w:val="22"/>
          <w:szCs w:val="22"/>
        </w:rPr>
        <w:lastRenderedPageBreak/>
        <w:t>through a single, simple metric: the fact that the total donors increased from nine to approximately twenty over the course of the programme, and that these donors provided sufficient</w:t>
      </w:r>
      <w:r w:rsidR="0029295F" w:rsidRPr="00D9152B">
        <w:rPr>
          <w:rFonts w:ascii="Calibri" w:hAnsi="Calibri" w:cs="Calibri"/>
          <w:sz w:val="22"/>
          <w:szCs w:val="22"/>
        </w:rPr>
        <w:t xml:space="preserve"> prog</w:t>
      </w:r>
      <w:r w:rsidR="00C6171C" w:rsidRPr="00D9152B">
        <w:rPr>
          <w:rFonts w:ascii="Calibri" w:hAnsi="Calibri" w:cs="Calibri"/>
          <w:sz w:val="22"/>
          <w:szCs w:val="22"/>
        </w:rPr>
        <w:t>r</w:t>
      </w:r>
      <w:r w:rsidR="0029295F" w:rsidRPr="00D9152B">
        <w:rPr>
          <w:rFonts w:ascii="Calibri" w:hAnsi="Calibri" w:cs="Calibri"/>
          <w:sz w:val="22"/>
          <w:szCs w:val="22"/>
        </w:rPr>
        <w:t>amme</w:t>
      </w:r>
      <w:r w:rsidR="004A6386" w:rsidRPr="00D9152B">
        <w:rPr>
          <w:rFonts w:ascii="Calibri" w:hAnsi="Calibri" w:cs="Calibri"/>
          <w:sz w:val="22"/>
          <w:szCs w:val="22"/>
        </w:rPr>
        <w:t xml:space="preserve"> funding over 40 years. </w:t>
      </w:r>
    </w:p>
    <w:p w14:paraId="34F40D9B" w14:textId="2A6DDEFC" w:rsidR="004C247E" w:rsidRPr="00D9152B" w:rsidRDefault="00FA7D67" w:rsidP="005C7F9F">
      <w:pPr>
        <w:pStyle w:val="Heading3"/>
        <w:spacing w:line="360" w:lineRule="auto"/>
        <w:rPr>
          <w:rFonts w:ascii="Calibri" w:hAnsi="Calibri" w:cs="Calibri"/>
          <w:b/>
          <w:i/>
          <w:color w:val="000000" w:themeColor="text1"/>
          <w:sz w:val="22"/>
          <w:szCs w:val="22"/>
        </w:rPr>
      </w:pPr>
      <w:bookmarkStart w:id="43" w:name="_Toc41505617"/>
      <w:r w:rsidRPr="00D9152B">
        <w:rPr>
          <w:rFonts w:ascii="Calibri" w:hAnsi="Calibri" w:cs="Calibri"/>
          <w:b/>
          <w:i/>
          <w:color w:val="000000" w:themeColor="text1"/>
          <w:sz w:val="22"/>
          <w:szCs w:val="22"/>
        </w:rPr>
        <w:t>3.</w:t>
      </w:r>
      <w:r w:rsidR="0098315E" w:rsidRPr="00D9152B">
        <w:rPr>
          <w:rFonts w:ascii="Calibri" w:hAnsi="Calibri" w:cs="Calibri"/>
          <w:b/>
          <w:i/>
          <w:color w:val="000000" w:themeColor="text1"/>
          <w:sz w:val="22"/>
          <w:szCs w:val="22"/>
        </w:rPr>
        <w:t>4</w:t>
      </w:r>
      <w:r w:rsidRPr="00D9152B">
        <w:rPr>
          <w:rFonts w:ascii="Calibri" w:hAnsi="Calibri" w:cs="Calibri"/>
          <w:b/>
          <w:i/>
          <w:color w:val="000000" w:themeColor="text1"/>
          <w:sz w:val="22"/>
          <w:szCs w:val="22"/>
        </w:rPr>
        <w:t>.C</w:t>
      </w:r>
      <w:r w:rsidR="00DF52DF" w:rsidRPr="00D9152B">
        <w:rPr>
          <w:rFonts w:ascii="Calibri" w:hAnsi="Calibri" w:cs="Calibri"/>
          <w:b/>
          <w:i/>
          <w:color w:val="000000" w:themeColor="text1"/>
          <w:sz w:val="22"/>
          <w:szCs w:val="22"/>
        </w:rPr>
        <w:t>.</w:t>
      </w:r>
      <w:r w:rsidR="001F4A40" w:rsidRPr="00D9152B">
        <w:rPr>
          <w:rFonts w:ascii="Calibri" w:hAnsi="Calibri" w:cs="Calibri"/>
          <w:b/>
          <w:i/>
          <w:color w:val="000000" w:themeColor="text1"/>
          <w:sz w:val="22"/>
          <w:szCs w:val="22"/>
        </w:rPr>
        <w:t xml:space="preserve"> </w:t>
      </w:r>
      <w:r w:rsidR="0029295F" w:rsidRPr="00D9152B">
        <w:rPr>
          <w:rFonts w:ascii="Calibri" w:hAnsi="Calibri" w:cs="Calibri"/>
          <w:b/>
          <w:i/>
          <w:color w:val="000000" w:themeColor="text1"/>
          <w:sz w:val="22"/>
          <w:szCs w:val="22"/>
        </w:rPr>
        <w:t xml:space="preserve">Component three: </w:t>
      </w:r>
      <w:r w:rsidR="00923F81" w:rsidRPr="00D9152B">
        <w:rPr>
          <w:rFonts w:ascii="Calibri" w:hAnsi="Calibri" w:cs="Calibri"/>
          <w:b/>
          <w:i/>
          <w:color w:val="000000" w:themeColor="text1"/>
          <w:sz w:val="22"/>
          <w:szCs w:val="22"/>
        </w:rPr>
        <w:t>S</w:t>
      </w:r>
      <w:r w:rsidR="004C247E" w:rsidRPr="00D9152B">
        <w:rPr>
          <w:rFonts w:ascii="Calibri" w:hAnsi="Calibri" w:cs="Calibri"/>
          <w:b/>
          <w:i/>
          <w:color w:val="000000" w:themeColor="text1"/>
          <w:sz w:val="22"/>
          <w:szCs w:val="22"/>
        </w:rPr>
        <w:t>trong</w:t>
      </w:r>
      <w:r w:rsidR="002F22C3" w:rsidRPr="00D9152B">
        <w:rPr>
          <w:rFonts w:ascii="Calibri" w:hAnsi="Calibri" w:cs="Calibri"/>
          <w:b/>
          <w:i/>
          <w:color w:val="000000" w:themeColor="text1"/>
          <w:sz w:val="22"/>
          <w:szCs w:val="22"/>
        </w:rPr>
        <w:t xml:space="preserve"> inter-agency and research</w:t>
      </w:r>
      <w:r w:rsidR="004C247E" w:rsidRPr="00D9152B">
        <w:rPr>
          <w:rFonts w:ascii="Calibri" w:hAnsi="Calibri" w:cs="Calibri"/>
          <w:b/>
          <w:i/>
          <w:color w:val="000000" w:themeColor="text1"/>
          <w:sz w:val="22"/>
          <w:szCs w:val="22"/>
        </w:rPr>
        <w:t xml:space="preserve"> partnership</w:t>
      </w:r>
      <w:bookmarkEnd w:id="43"/>
    </w:p>
    <w:p w14:paraId="3BE3CD33" w14:textId="067A73A6" w:rsidR="004A6386" w:rsidRPr="00D9152B" w:rsidRDefault="004A6386"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third and most cited </w:t>
      </w:r>
      <w:r w:rsidR="0029295F" w:rsidRPr="00D9152B">
        <w:rPr>
          <w:rFonts w:ascii="Calibri" w:hAnsi="Calibri" w:cs="Calibri"/>
          <w:sz w:val="22"/>
          <w:szCs w:val="22"/>
        </w:rPr>
        <w:t>component</w:t>
      </w:r>
      <w:r w:rsidRPr="00D9152B">
        <w:rPr>
          <w:rFonts w:ascii="Calibri" w:hAnsi="Calibri" w:cs="Calibri"/>
          <w:sz w:val="22"/>
          <w:szCs w:val="22"/>
        </w:rPr>
        <w:t xml:space="preserve"> of the Bank’s OCP success narrative is its ability to serve as a model for regional projects focused on disease control, health </w:t>
      </w:r>
      <w:r w:rsidR="00ED2609" w:rsidRPr="00D9152B">
        <w:rPr>
          <w:rFonts w:ascii="Calibri" w:hAnsi="Calibri" w:cs="Calibri"/>
          <w:sz w:val="22"/>
          <w:szCs w:val="22"/>
        </w:rPr>
        <w:t xml:space="preserve">system </w:t>
      </w:r>
      <w:r w:rsidRPr="00D9152B">
        <w:rPr>
          <w:rFonts w:ascii="Calibri" w:hAnsi="Calibri" w:cs="Calibri"/>
          <w:sz w:val="22"/>
          <w:szCs w:val="22"/>
        </w:rPr>
        <w:t xml:space="preserve">strengthening, and wider development outcomes. Bank publications credit the OCP with successful collaboration on three levels: between sponsoring agencies, between regional stakeholders (participating countries, donors, and development agencies), and between multilateral organizations and the private sector (Figure </w:t>
      </w:r>
      <w:r w:rsidR="00650B62">
        <w:rPr>
          <w:rFonts w:ascii="Calibri" w:hAnsi="Calibri" w:cs="Calibri"/>
          <w:sz w:val="22"/>
          <w:szCs w:val="22"/>
        </w:rPr>
        <w:t>3.</w:t>
      </w:r>
      <w:r w:rsidRPr="00D9152B">
        <w:rPr>
          <w:rFonts w:ascii="Calibri" w:hAnsi="Calibri" w:cs="Calibri"/>
          <w:sz w:val="22"/>
          <w:szCs w:val="22"/>
        </w:rPr>
        <w:t>1</w:t>
      </w:r>
      <w:r w:rsidR="0029295F" w:rsidRPr="00D9152B">
        <w:rPr>
          <w:rFonts w:ascii="Calibri" w:hAnsi="Calibri" w:cs="Calibri"/>
          <w:sz w:val="22"/>
          <w:szCs w:val="22"/>
        </w:rPr>
        <w:t>2</w:t>
      </w:r>
      <w:r w:rsidRPr="00D9152B">
        <w:rPr>
          <w:rFonts w:ascii="Calibri" w:hAnsi="Calibri" w:cs="Calibri"/>
          <w:sz w:val="22"/>
          <w:szCs w:val="22"/>
        </w:rPr>
        <w:t>).</w:t>
      </w:r>
    </w:p>
    <w:p w14:paraId="221F9236" w14:textId="77777777" w:rsidR="004A6386" w:rsidRPr="00D9152B" w:rsidRDefault="004A6386" w:rsidP="001F4A40">
      <w:pPr>
        <w:jc w:val="center"/>
        <w:rPr>
          <w:rFonts w:ascii="Calibri" w:hAnsi="Calibri" w:cs="Calibri"/>
        </w:rPr>
      </w:pPr>
      <w:r w:rsidRPr="00D9152B">
        <w:rPr>
          <w:rFonts w:ascii="Calibri" w:hAnsi="Calibri" w:cs="Calibri"/>
          <w:noProof/>
          <w:lang w:eastAsia="en-GB"/>
        </w:rPr>
        <w:drawing>
          <wp:inline distT="0" distB="0" distL="0" distR="0" wp14:anchorId="7EFC8584" wp14:editId="7DCC0DA1">
            <wp:extent cx="4418319" cy="3050561"/>
            <wp:effectExtent l="0" t="0" r="14605" b="10160"/>
            <wp:docPr id="88" name="Chart 88">
              <a:extLst xmlns:a="http://schemas.openxmlformats.org/drawingml/2006/main">
                <a:ext uri="{FF2B5EF4-FFF2-40B4-BE49-F238E27FC236}">
                  <a16:creationId xmlns:a16="http://schemas.microsoft.com/office/drawing/2014/main" id="{57294C89-0542-49BC-A8A9-2C333052DF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574F014C" w14:textId="77777777" w:rsidR="001F4A40" w:rsidRPr="00D9152B" w:rsidRDefault="001F4A40" w:rsidP="001F4A40">
      <w:pPr>
        <w:rPr>
          <w:rFonts w:ascii="Calibri" w:hAnsi="Calibri" w:cs="Calibri"/>
          <w:color w:val="808080" w:themeColor="background1" w:themeShade="80"/>
        </w:rPr>
      </w:pPr>
    </w:p>
    <w:p w14:paraId="3038F2B1" w14:textId="57C80425" w:rsidR="004A6386" w:rsidRPr="00D9152B" w:rsidRDefault="004A6386" w:rsidP="001F4A40">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650B62">
        <w:rPr>
          <w:rFonts w:ascii="Calibri" w:hAnsi="Calibri" w:cs="Calibri"/>
          <w:color w:val="808080" w:themeColor="background1" w:themeShade="80"/>
          <w:sz w:val="22"/>
          <w:szCs w:val="22"/>
        </w:rPr>
        <w:t>3.</w:t>
      </w:r>
      <w:r w:rsidRPr="00D9152B">
        <w:rPr>
          <w:rFonts w:ascii="Calibri" w:hAnsi="Calibri" w:cs="Calibri"/>
          <w:color w:val="808080" w:themeColor="background1" w:themeShade="80"/>
          <w:sz w:val="22"/>
          <w:szCs w:val="22"/>
        </w:rPr>
        <w:t>1</w:t>
      </w:r>
      <w:r w:rsidR="0029295F" w:rsidRPr="00D9152B">
        <w:rPr>
          <w:rFonts w:ascii="Calibri" w:hAnsi="Calibri" w:cs="Calibri"/>
          <w:color w:val="808080" w:themeColor="background1" w:themeShade="80"/>
          <w:sz w:val="22"/>
          <w:szCs w:val="22"/>
        </w:rPr>
        <w:t>2</w:t>
      </w:r>
      <w:r w:rsidRPr="00D9152B">
        <w:rPr>
          <w:rFonts w:ascii="Calibri" w:hAnsi="Calibri" w:cs="Calibri"/>
          <w:color w:val="808080" w:themeColor="background1" w:themeShade="80"/>
          <w:sz w:val="22"/>
          <w:szCs w:val="22"/>
        </w:rPr>
        <w:t xml:space="preserve">. The most cited rationale for the OCP’s success in Bank publications is partnership and collaboration, </w:t>
      </w:r>
      <w:r w:rsidR="0029295F" w:rsidRPr="00D9152B">
        <w:rPr>
          <w:rFonts w:ascii="Calibri" w:hAnsi="Calibri" w:cs="Calibri"/>
          <w:color w:val="808080" w:themeColor="background1" w:themeShade="80"/>
          <w:sz w:val="22"/>
          <w:szCs w:val="22"/>
        </w:rPr>
        <w:t xml:space="preserve">and the major categories </w:t>
      </w:r>
      <w:r w:rsidR="00ED2609" w:rsidRPr="00D9152B">
        <w:rPr>
          <w:rFonts w:ascii="Calibri" w:hAnsi="Calibri" w:cs="Calibri"/>
          <w:color w:val="808080" w:themeColor="background1" w:themeShade="80"/>
          <w:sz w:val="22"/>
          <w:szCs w:val="22"/>
        </w:rPr>
        <w:t>of</w:t>
      </w:r>
      <w:r w:rsidR="0029295F" w:rsidRPr="00D9152B">
        <w:rPr>
          <w:rFonts w:ascii="Calibri" w:hAnsi="Calibri" w:cs="Calibri"/>
          <w:color w:val="808080" w:themeColor="background1" w:themeShade="80"/>
          <w:sz w:val="22"/>
          <w:szCs w:val="22"/>
        </w:rPr>
        <w:t xml:space="preserve"> this component of success are strong cooperation on an international level, donor commitment, clear partner roles, and industry/technical relationships</w:t>
      </w:r>
      <w:r w:rsidRPr="00D9152B">
        <w:rPr>
          <w:rFonts w:ascii="Calibri" w:hAnsi="Calibri" w:cs="Calibri"/>
          <w:color w:val="808080" w:themeColor="background1" w:themeShade="80"/>
          <w:sz w:val="22"/>
          <w:szCs w:val="22"/>
        </w:rPr>
        <w:t>.</w:t>
      </w:r>
    </w:p>
    <w:p w14:paraId="4353F788" w14:textId="1719E24B" w:rsidR="004A6386" w:rsidRPr="00D9152B" w:rsidRDefault="004A6386"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While nearly half of the 48 analysed Bank articles specifically mention international collaboration or partnership as a rationale for the OCP’s success, most do not define the term ‘partnership’. Instead, they indicate that the OCP can serve as a model for ‘getting things done’ in Africa because its partners collaborated effectively. An </w:t>
      </w:r>
      <w:r w:rsidRPr="00D9152B">
        <w:rPr>
          <w:rFonts w:ascii="Calibri" w:hAnsi="Calibri" w:cs="Calibri"/>
          <w:sz w:val="22"/>
          <w:szCs w:val="22"/>
        </w:rPr>
        <w:lastRenderedPageBreak/>
        <w:t>example is Bank President James Wolfensohn’s 1996 statement that the OCP proved that, ‘international collaboration can be garnered to fully control disease and achieve results’.</w:t>
      </w:r>
      <w:r w:rsidRPr="00D9152B">
        <w:rPr>
          <w:rStyle w:val="FootnoteReference"/>
          <w:rFonts w:ascii="Calibri" w:hAnsi="Calibri" w:cs="Calibri"/>
          <w:sz w:val="22"/>
          <w:szCs w:val="22"/>
        </w:rPr>
        <w:footnoteReference w:id="173"/>
      </w:r>
      <w:r w:rsidRPr="00D9152B">
        <w:rPr>
          <w:rFonts w:ascii="Calibri" w:hAnsi="Calibri" w:cs="Calibri"/>
          <w:sz w:val="22"/>
          <w:szCs w:val="22"/>
        </w:rPr>
        <w:t xml:space="preserve"> Most Bank accounts that provide a reason for the success of partnership point to the importance of clearly delineated roles for each sponsoring agency: the Bank as fiscal agent, WHO as executing agent, and UNDP and FAO as coordinators of bilateral socio-economic development follow-up projects. As OCP Director </w:t>
      </w:r>
      <w:r w:rsidR="00650B62">
        <w:rPr>
          <w:rFonts w:ascii="Calibri" w:hAnsi="Calibri" w:cs="Calibri"/>
          <w:sz w:val="22"/>
          <w:szCs w:val="22"/>
        </w:rPr>
        <w:t>E.M.</w:t>
      </w:r>
      <w:r w:rsidRPr="00D9152B">
        <w:rPr>
          <w:rFonts w:ascii="Calibri" w:hAnsi="Calibri" w:cs="Calibri"/>
          <w:sz w:val="22"/>
          <w:szCs w:val="22"/>
        </w:rPr>
        <w:t xml:space="preserve"> Samba put it, these roles – and a dedication to the higher objectives of the programme – made agencies put aside their rivalries to work together</w:t>
      </w:r>
      <w:r w:rsidR="0029295F" w:rsidRPr="00D9152B">
        <w:rPr>
          <w:rFonts w:ascii="Calibri" w:hAnsi="Calibri" w:cs="Calibri"/>
          <w:sz w:val="22"/>
          <w:szCs w:val="22"/>
        </w:rPr>
        <w:t xml:space="preserve"> relatively</w:t>
      </w:r>
      <w:r w:rsidRPr="00D9152B">
        <w:rPr>
          <w:rFonts w:ascii="Calibri" w:hAnsi="Calibri" w:cs="Calibri"/>
          <w:sz w:val="22"/>
          <w:szCs w:val="22"/>
        </w:rPr>
        <w:t xml:space="preserve"> seamlessly.</w:t>
      </w:r>
      <w:r w:rsidRPr="00D9152B">
        <w:rPr>
          <w:rStyle w:val="FootnoteReference"/>
          <w:rFonts w:ascii="Calibri" w:hAnsi="Calibri" w:cs="Calibri"/>
          <w:sz w:val="22"/>
          <w:szCs w:val="22"/>
        </w:rPr>
        <w:footnoteReference w:id="174"/>
      </w:r>
    </w:p>
    <w:p w14:paraId="4CFFD499" w14:textId="6120CC7F" w:rsidR="004A6386" w:rsidRPr="00D9152B" w:rsidRDefault="004A6386"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Over a fourth of the Bank publications that mention partnership or collaboration specifically point to the importance of long-term donor investment in the programme. According to this narrative, donor solidarity and recipient country priority are a recipe for global health programme success</w:t>
      </w:r>
      <w:r w:rsidR="00FC22A5" w:rsidRPr="00D9152B">
        <w:rPr>
          <w:rFonts w:ascii="Calibri" w:hAnsi="Calibri" w:cs="Calibri"/>
          <w:sz w:val="22"/>
          <w:szCs w:val="22"/>
        </w:rPr>
        <w:t xml:space="preserve">. </w:t>
      </w:r>
      <w:r w:rsidRPr="00D9152B">
        <w:rPr>
          <w:rFonts w:ascii="Calibri" w:hAnsi="Calibri" w:cs="Calibri"/>
          <w:sz w:val="22"/>
          <w:szCs w:val="22"/>
        </w:rPr>
        <w:t xml:space="preserve">Finally, many Bank publications, especially since 2000, portray the OCP as successfully establishing public-private partnerships for research and drug delivery. While significant publicity accompanied Merck’s donation of ivermectin during the OCP, the Bank’s publications depict the </w:t>
      </w:r>
      <w:r w:rsidR="00ED2609" w:rsidRPr="00D9152B">
        <w:rPr>
          <w:rFonts w:ascii="Calibri" w:hAnsi="Calibri" w:cs="Calibri"/>
          <w:sz w:val="22"/>
          <w:szCs w:val="22"/>
        </w:rPr>
        <w:t>programme’s</w:t>
      </w:r>
      <w:r w:rsidRPr="00D9152B">
        <w:rPr>
          <w:rFonts w:ascii="Calibri" w:hAnsi="Calibri" w:cs="Calibri"/>
          <w:sz w:val="22"/>
          <w:szCs w:val="22"/>
        </w:rPr>
        <w:t xml:space="preserve"> success as a </w:t>
      </w:r>
      <w:r w:rsidR="00ED2609" w:rsidRPr="00D9152B">
        <w:rPr>
          <w:rFonts w:ascii="Calibri" w:hAnsi="Calibri" w:cs="Calibri"/>
          <w:sz w:val="22"/>
          <w:szCs w:val="22"/>
        </w:rPr>
        <w:t>public-private partnership (PPP)</w:t>
      </w:r>
      <w:r w:rsidRPr="00D9152B">
        <w:rPr>
          <w:rFonts w:ascii="Calibri" w:hAnsi="Calibri" w:cs="Calibri"/>
          <w:sz w:val="22"/>
          <w:szCs w:val="22"/>
        </w:rPr>
        <w:t xml:space="preserve"> more broadly. About a fifth of the publications emphasize the importance of operational research, conducted with a variety of private partners. These research collaborators include environmental research bodies, biomedical companies, specialized technology companies, and multiple pharmaceutical companies. Effectiveness is strongly correlated with marshalling private sector expertise in global health.</w:t>
      </w:r>
    </w:p>
    <w:p w14:paraId="4A439AA9" w14:textId="434B3A77" w:rsidR="004A6386" w:rsidRPr="00D9152B" w:rsidRDefault="004A6386"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A good example of the Bank’s marshalling of the OCP as a model partnership is in a Bank staffer’s 1986 article, in which she states that:</w:t>
      </w:r>
    </w:p>
    <w:p w14:paraId="1E91212F" w14:textId="2B877C8A" w:rsidR="004A6386" w:rsidRPr="00D9152B" w:rsidRDefault="004A6386" w:rsidP="0029295F">
      <w:pPr>
        <w:pStyle w:val="Quote"/>
        <w:spacing w:before="100" w:beforeAutospacing="1" w:after="100" w:afterAutospacing="1"/>
        <w:rPr>
          <w:rFonts w:cs="Calibri"/>
          <w:i/>
          <w:sz w:val="22"/>
          <w:szCs w:val="22"/>
          <w:lang w:val="en-GB"/>
        </w:rPr>
      </w:pPr>
      <w:r w:rsidRPr="00D9152B">
        <w:rPr>
          <w:rFonts w:cs="Calibri"/>
          <w:i/>
          <w:sz w:val="22"/>
          <w:szCs w:val="22"/>
          <w:lang w:val="en-GB"/>
        </w:rPr>
        <w:t>‘The story of the Onchocerciasis Control Program is one of cooperation across national boundaries and disciplines, and the marriage of basic hard work at the ground level with space-age technology.</w:t>
      </w:r>
      <w:r w:rsidR="00ED2609" w:rsidRPr="00D9152B">
        <w:rPr>
          <w:rFonts w:cs="Calibri"/>
          <w:i/>
          <w:sz w:val="22"/>
          <w:szCs w:val="22"/>
          <w:lang w:val="en-GB"/>
        </w:rPr>
        <w:t>’</w:t>
      </w:r>
      <w:r w:rsidRPr="00D9152B">
        <w:rPr>
          <w:rStyle w:val="FootnoteReference"/>
          <w:rFonts w:ascii="Calibri" w:hAnsi="Calibri" w:cs="Calibri"/>
          <w:i/>
          <w:sz w:val="22"/>
          <w:szCs w:val="22"/>
          <w:lang w:val="en-GB"/>
        </w:rPr>
        <w:footnoteReference w:id="175"/>
      </w:r>
    </w:p>
    <w:p w14:paraId="26C02024" w14:textId="46A98435" w:rsidR="004A6386" w:rsidRPr="00D9152B" w:rsidRDefault="004A6386" w:rsidP="005C7F9F">
      <w:pPr>
        <w:spacing w:before="100" w:beforeAutospacing="1" w:after="100" w:afterAutospacing="1" w:line="360" w:lineRule="auto"/>
        <w:rPr>
          <w:rFonts w:ascii="Calibri" w:hAnsi="Calibri" w:cs="Calibri"/>
          <w:sz w:val="22"/>
          <w:szCs w:val="22"/>
        </w:rPr>
      </w:pPr>
      <w:r w:rsidRPr="00D9152B">
        <w:rPr>
          <w:rFonts w:ascii="Calibri" w:hAnsi="Calibri" w:cs="Calibri"/>
          <w:iCs/>
          <w:sz w:val="22"/>
          <w:szCs w:val="22"/>
        </w:rPr>
        <w:lastRenderedPageBreak/>
        <w:t>In Benton’s words, this ‘involvement of many different partners leads to improved resource allocation and efficiency based on economies of scale and the principle of comparative advantage’.</w:t>
      </w:r>
      <w:r w:rsidRPr="00D9152B">
        <w:rPr>
          <w:rStyle w:val="FootnoteReference"/>
          <w:rFonts w:ascii="Calibri" w:hAnsi="Calibri" w:cs="Calibri"/>
          <w:iCs/>
          <w:sz w:val="22"/>
          <w:szCs w:val="22"/>
        </w:rPr>
        <w:footnoteReference w:id="176"/>
      </w:r>
      <w:r w:rsidRPr="00D9152B">
        <w:rPr>
          <w:rFonts w:ascii="Calibri" w:hAnsi="Calibri" w:cs="Calibri"/>
          <w:iCs/>
          <w:sz w:val="22"/>
          <w:szCs w:val="22"/>
        </w:rPr>
        <w:t xml:space="preserve"> </w:t>
      </w:r>
    </w:p>
    <w:p w14:paraId="52B2B00A" w14:textId="55DB4B16" w:rsidR="00FC22A5" w:rsidRPr="00D9152B" w:rsidRDefault="00FA7D67" w:rsidP="005C7F9F">
      <w:pPr>
        <w:pStyle w:val="Heading3"/>
        <w:spacing w:line="360" w:lineRule="auto"/>
        <w:rPr>
          <w:rFonts w:ascii="Calibri" w:hAnsi="Calibri" w:cs="Calibri"/>
          <w:b/>
          <w:i/>
          <w:color w:val="000000" w:themeColor="text1"/>
          <w:sz w:val="22"/>
          <w:szCs w:val="22"/>
        </w:rPr>
      </w:pPr>
      <w:bookmarkStart w:id="44" w:name="_Toc41505618"/>
      <w:r w:rsidRPr="00D9152B">
        <w:rPr>
          <w:rFonts w:ascii="Calibri" w:hAnsi="Calibri" w:cs="Calibri"/>
          <w:b/>
          <w:i/>
          <w:color w:val="000000" w:themeColor="text1"/>
          <w:sz w:val="22"/>
          <w:szCs w:val="22"/>
        </w:rPr>
        <w:t>3.</w:t>
      </w:r>
      <w:r w:rsidR="0098315E" w:rsidRPr="00D9152B">
        <w:rPr>
          <w:rFonts w:ascii="Calibri" w:hAnsi="Calibri" w:cs="Calibri"/>
          <w:b/>
          <w:i/>
          <w:color w:val="000000" w:themeColor="text1"/>
          <w:sz w:val="22"/>
          <w:szCs w:val="22"/>
        </w:rPr>
        <w:t>4</w:t>
      </w:r>
      <w:r w:rsidRPr="00D9152B">
        <w:rPr>
          <w:rFonts w:ascii="Calibri" w:hAnsi="Calibri" w:cs="Calibri"/>
          <w:b/>
          <w:i/>
          <w:color w:val="000000" w:themeColor="text1"/>
          <w:sz w:val="22"/>
          <w:szCs w:val="22"/>
        </w:rPr>
        <w:t>.D</w:t>
      </w:r>
      <w:r w:rsidR="00DF52DF" w:rsidRPr="00D9152B">
        <w:rPr>
          <w:rFonts w:ascii="Calibri" w:hAnsi="Calibri" w:cs="Calibri"/>
          <w:b/>
          <w:i/>
          <w:color w:val="000000" w:themeColor="text1"/>
          <w:sz w:val="22"/>
          <w:szCs w:val="22"/>
        </w:rPr>
        <w:t>.</w:t>
      </w:r>
      <w:r w:rsidR="001F4A40" w:rsidRPr="00D9152B">
        <w:rPr>
          <w:rFonts w:ascii="Calibri" w:hAnsi="Calibri" w:cs="Calibri"/>
          <w:b/>
          <w:i/>
          <w:color w:val="000000" w:themeColor="text1"/>
          <w:sz w:val="22"/>
          <w:szCs w:val="22"/>
        </w:rPr>
        <w:t xml:space="preserve"> </w:t>
      </w:r>
      <w:r w:rsidR="0029295F" w:rsidRPr="00D9152B">
        <w:rPr>
          <w:rFonts w:ascii="Calibri" w:hAnsi="Calibri" w:cs="Calibri"/>
          <w:b/>
          <w:i/>
          <w:color w:val="000000" w:themeColor="text1"/>
          <w:sz w:val="22"/>
          <w:szCs w:val="22"/>
        </w:rPr>
        <w:t xml:space="preserve">Component four: </w:t>
      </w:r>
      <w:r w:rsidR="00923F81" w:rsidRPr="00D9152B">
        <w:rPr>
          <w:rFonts w:ascii="Calibri" w:hAnsi="Calibri" w:cs="Calibri"/>
          <w:b/>
          <w:i/>
          <w:color w:val="000000" w:themeColor="text1"/>
          <w:sz w:val="22"/>
          <w:szCs w:val="22"/>
        </w:rPr>
        <w:t>C</w:t>
      </w:r>
      <w:r w:rsidR="00FC22A5" w:rsidRPr="00D9152B">
        <w:rPr>
          <w:rFonts w:ascii="Calibri" w:hAnsi="Calibri" w:cs="Calibri"/>
          <w:b/>
          <w:i/>
          <w:color w:val="000000" w:themeColor="text1"/>
          <w:sz w:val="22"/>
          <w:szCs w:val="22"/>
        </w:rPr>
        <w:t>ommunity-based delivery</w:t>
      </w:r>
      <w:bookmarkEnd w:id="44"/>
    </w:p>
    <w:p w14:paraId="2A6B992A" w14:textId="05A1EA25" w:rsidR="007376B2" w:rsidRPr="00D9152B" w:rsidRDefault="007376B2" w:rsidP="007376B2">
      <w:pPr>
        <w:spacing w:before="100" w:beforeAutospacing="1" w:after="100" w:afterAutospacing="1" w:line="360" w:lineRule="auto"/>
        <w:ind w:firstLine="567"/>
        <w:rPr>
          <w:rFonts w:ascii="Calibri" w:hAnsi="Calibri" w:cs="Calibri"/>
          <w:sz w:val="22"/>
          <w:szCs w:val="22"/>
        </w:rPr>
      </w:pPr>
      <w:r w:rsidRPr="00D9152B">
        <w:rPr>
          <w:rFonts w:ascii="Calibri" w:hAnsi="Calibri" w:cs="Calibri"/>
          <w:sz w:val="22"/>
          <w:szCs w:val="22"/>
        </w:rPr>
        <w:t>A</w:t>
      </w:r>
      <w:r w:rsidR="004A6386" w:rsidRPr="00D9152B">
        <w:rPr>
          <w:rFonts w:ascii="Calibri" w:hAnsi="Calibri" w:cs="Calibri"/>
          <w:sz w:val="22"/>
          <w:szCs w:val="22"/>
        </w:rPr>
        <w:t xml:space="preserve"> final </w:t>
      </w:r>
      <w:r w:rsidRPr="00D9152B">
        <w:rPr>
          <w:rFonts w:ascii="Calibri" w:hAnsi="Calibri" w:cs="Calibri"/>
          <w:sz w:val="22"/>
          <w:szCs w:val="22"/>
        </w:rPr>
        <w:t xml:space="preserve">major </w:t>
      </w:r>
      <w:r w:rsidR="004A6386" w:rsidRPr="00D9152B">
        <w:rPr>
          <w:rFonts w:ascii="Calibri" w:hAnsi="Calibri" w:cs="Calibri"/>
          <w:sz w:val="22"/>
          <w:szCs w:val="22"/>
        </w:rPr>
        <w:t xml:space="preserve">rationale given by the Bank for the OCP’s success </w:t>
      </w:r>
      <w:r w:rsidRPr="00D9152B">
        <w:rPr>
          <w:rFonts w:ascii="Calibri" w:hAnsi="Calibri" w:cs="Calibri"/>
          <w:sz w:val="22"/>
          <w:szCs w:val="22"/>
        </w:rPr>
        <w:t>is</w:t>
      </w:r>
      <w:r w:rsidR="004A6386" w:rsidRPr="00D9152B">
        <w:rPr>
          <w:rFonts w:ascii="Calibri" w:hAnsi="Calibri" w:cs="Calibri"/>
          <w:sz w:val="22"/>
          <w:szCs w:val="22"/>
        </w:rPr>
        <w:t xml:space="preserve"> its delivery</w:t>
      </w:r>
      <w:r w:rsidR="00C336BB" w:rsidRPr="00D9152B">
        <w:rPr>
          <w:rFonts w:ascii="Calibri" w:hAnsi="Calibri" w:cs="Calibri"/>
          <w:sz w:val="22"/>
          <w:szCs w:val="22"/>
        </w:rPr>
        <w:t xml:space="preserve">. </w:t>
      </w:r>
      <w:r w:rsidRPr="00D9152B">
        <w:rPr>
          <w:rFonts w:ascii="Calibri" w:hAnsi="Calibri" w:cs="Calibri"/>
          <w:sz w:val="22"/>
          <w:szCs w:val="22"/>
        </w:rPr>
        <w:t>T</w:t>
      </w:r>
      <w:r w:rsidR="004A6386" w:rsidRPr="00D9152B">
        <w:rPr>
          <w:rFonts w:ascii="Calibri" w:hAnsi="Calibri" w:cs="Calibri"/>
          <w:sz w:val="22"/>
          <w:szCs w:val="22"/>
        </w:rPr>
        <w:t xml:space="preserve">he majority of Bank publications </w:t>
      </w:r>
      <w:r w:rsidR="00C336BB" w:rsidRPr="00D9152B">
        <w:rPr>
          <w:rFonts w:ascii="Calibri" w:hAnsi="Calibri" w:cs="Calibri"/>
          <w:sz w:val="22"/>
          <w:szCs w:val="22"/>
        </w:rPr>
        <w:t>that mention</w:t>
      </w:r>
      <w:r w:rsidR="004A6386" w:rsidRPr="00D9152B">
        <w:rPr>
          <w:rFonts w:ascii="Calibri" w:hAnsi="Calibri" w:cs="Calibri"/>
          <w:sz w:val="22"/>
          <w:szCs w:val="22"/>
        </w:rPr>
        <w:t xml:space="preserve"> programme delivery as a driver of </w:t>
      </w:r>
      <w:r w:rsidR="00650B62">
        <w:rPr>
          <w:rFonts w:ascii="Calibri" w:hAnsi="Calibri" w:cs="Calibri"/>
          <w:sz w:val="22"/>
          <w:szCs w:val="22"/>
        </w:rPr>
        <w:t xml:space="preserve">the </w:t>
      </w:r>
      <w:r w:rsidR="004A6386" w:rsidRPr="00D9152B">
        <w:rPr>
          <w:rFonts w:ascii="Calibri" w:hAnsi="Calibri" w:cs="Calibri"/>
          <w:sz w:val="22"/>
          <w:szCs w:val="22"/>
        </w:rPr>
        <w:t xml:space="preserve">OCP’s success emphasize health system strengthening (55 percent) or </w:t>
      </w:r>
      <w:r w:rsidR="00C336BB" w:rsidRPr="00D9152B">
        <w:rPr>
          <w:rFonts w:ascii="Calibri" w:hAnsi="Calibri" w:cs="Calibri"/>
          <w:sz w:val="22"/>
          <w:szCs w:val="22"/>
        </w:rPr>
        <w:t>community-directed treatment with ivermectin</w:t>
      </w:r>
      <w:r w:rsidR="004A6386" w:rsidRPr="00D9152B">
        <w:rPr>
          <w:rFonts w:ascii="Calibri" w:hAnsi="Calibri" w:cs="Calibri"/>
          <w:sz w:val="22"/>
          <w:szCs w:val="22"/>
        </w:rPr>
        <w:t xml:space="preserve"> (43 percent). In contrast, only a small percentage (seven percent) of the Bank publications point to vector control as a reason for success. Given that the programme relied almost exclusively on vector control for its first 15 years, and continued using insecticides until its closure in 2002, this contrast is revealing.</w:t>
      </w:r>
    </w:p>
    <w:p w14:paraId="2711DE4B" w14:textId="4C9B5C9C" w:rsidR="004A6386" w:rsidRPr="00D9152B" w:rsidRDefault="004A6386" w:rsidP="00BC4C88">
      <w:pPr>
        <w:spacing w:before="100" w:beforeAutospacing="1" w:after="100" w:afterAutospacing="1" w:line="360" w:lineRule="auto"/>
        <w:ind w:firstLine="567"/>
        <w:rPr>
          <w:rFonts w:ascii="Calibri" w:hAnsi="Calibri" w:cs="Calibri"/>
          <w:sz w:val="22"/>
          <w:szCs w:val="22"/>
        </w:rPr>
      </w:pPr>
      <w:r w:rsidRPr="00D9152B">
        <w:rPr>
          <w:rFonts w:ascii="Calibri" w:hAnsi="Calibri" w:cs="Calibri"/>
          <w:sz w:val="22"/>
          <w:szCs w:val="22"/>
        </w:rPr>
        <w:t xml:space="preserve">Unlike the other three main rationales for success – justification/metrics, financial management, and partnership – the Bank’s public emphasis on delivery largely dates to </w:t>
      </w:r>
      <w:r w:rsidRPr="00D9152B">
        <w:rPr>
          <w:rFonts w:ascii="Calibri" w:hAnsi="Calibri" w:cs="Calibri"/>
          <w:i/>
          <w:sz w:val="22"/>
          <w:szCs w:val="22"/>
        </w:rPr>
        <w:t xml:space="preserve">after </w:t>
      </w:r>
      <w:r w:rsidRPr="00D9152B">
        <w:rPr>
          <w:rFonts w:ascii="Calibri" w:hAnsi="Calibri" w:cs="Calibri"/>
          <w:sz w:val="22"/>
          <w:szCs w:val="22"/>
        </w:rPr>
        <w:t>the OCP came to a close in 2002. The Bank has emphasized three aspects of the programme</w:t>
      </w:r>
      <w:r w:rsidR="00BC4C88" w:rsidRPr="00D9152B">
        <w:rPr>
          <w:rFonts w:ascii="Calibri" w:hAnsi="Calibri" w:cs="Calibri"/>
          <w:sz w:val="22"/>
          <w:szCs w:val="22"/>
        </w:rPr>
        <w:t>’</w:t>
      </w:r>
      <w:r w:rsidRPr="00D9152B">
        <w:rPr>
          <w:rFonts w:ascii="Calibri" w:hAnsi="Calibri" w:cs="Calibri"/>
          <w:sz w:val="22"/>
          <w:szCs w:val="22"/>
        </w:rPr>
        <w:t>s delivery: devolution of drug delivery to commun</w:t>
      </w:r>
      <w:r w:rsidR="00C336BB" w:rsidRPr="00D9152B">
        <w:rPr>
          <w:rFonts w:ascii="Calibri" w:hAnsi="Calibri" w:cs="Calibri"/>
          <w:sz w:val="22"/>
          <w:szCs w:val="22"/>
        </w:rPr>
        <w:t>it</w:t>
      </w:r>
      <w:r w:rsidR="00BC4C88" w:rsidRPr="00D9152B">
        <w:rPr>
          <w:rFonts w:ascii="Calibri" w:hAnsi="Calibri" w:cs="Calibri"/>
          <w:sz w:val="22"/>
          <w:szCs w:val="22"/>
        </w:rPr>
        <w:t>ies</w:t>
      </w:r>
      <w:r w:rsidRPr="00D9152B">
        <w:rPr>
          <w:rFonts w:ascii="Calibri" w:hAnsi="Calibri" w:cs="Calibri"/>
          <w:sz w:val="22"/>
          <w:szCs w:val="22"/>
        </w:rPr>
        <w:t xml:space="preserve">, devolution of vector control and epidemiological surveillance activities to national staff (and associated training), and this devolution’s strengthening of health systems (including </w:t>
      </w:r>
      <w:r w:rsidR="00BC4C88" w:rsidRPr="00D9152B">
        <w:rPr>
          <w:rFonts w:ascii="Calibri" w:hAnsi="Calibri" w:cs="Calibri"/>
          <w:sz w:val="22"/>
          <w:szCs w:val="22"/>
        </w:rPr>
        <w:t>primary healthcare</w:t>
      </w:r>
      <w:r w:rsidRPr="00D9152B">
        <w:rPr>
          <w:rFonts w:ascii="Calibri" w:hAnsi="Calibri" w:cs="Calibri"/>
          <w:sz w:val="22"/>
          <w:szCs w:val="22"/>
        </w:rPr>
        <w:t xml:space="preserve"> </w:t>
      </w:r>
      <w:r w:rsidR="00BC4C88" w:rsidRPr="00D9152B">
        <w:rPr>
          <w:rFonts w:ascii="Calibri" w:hAnsi="Calibri" w:cs="Calibri"/>
          <w:sz w:val="22"/>
          <w:szCs w:val="22"/>
        </w:rPr>
        <w:t xml:space="preserve">[PHC] </w:t>
      </w:r>
      <w:r w:rsidRPr="00D9152B">
        <w:rPr>
          <w:rFonts w:ascii="Calibri" w:hAnsi="Calibri" w:cs="Calibri"/>
          <w:sz w:val="22"/>
          <w:szCs w:val="22"/>
        </w:rPr>
        <w:t xml:space="preserve">networks). Thus, programme delivery has been increasingly praised </w:t>
      </w:r>
      <w:r w:rsidRPr="00D9152B">
        <w:rPr>
          <w:rFonts w:ascii="Calibri" w:hAnsi="Calibri" w:cs="Calibri"/>
          <w:i/>
          <w:sz w:val="22"/>
          <w:szCs w:val="22"/>
        </w:rPr>
        <w:t xml:space="preserve">not </w:t>
      </w:r>
      <w:r w:rsidRPr="00D9152B">
        <w:rPr>
          <w:rFonts w:ascii="Calibri" w:hAnsi="Calibri" w:cs="Calibri"/>
          <w:sz w:val="22"/>
          <w:szCs w:val="22"/>
        </w:rPr>
        <w:t xml:space="preserve">for vector control, but for </w:t>
      </w:r>
      <w:r w:rsidR="00ED2609" w:rsidRPr="00D9152B">
        <w:rPr>
          <w:rFonts w:ascii="Calibri" w:hAnsi="Calibri" w:cs="Calibri"/>
          <w:sz w:val="22"/>
          <w:szCs w:val="22"/>
        </w:rPr>
        <w:t xml:space="preserve">mass-drug administration </w:t>
      </w:r>
      <w:r w:rsidRPr="00D9152B">
        <w:rPr>
          <w:rFonts w:ascii="Calibri" w:hAnsi="Calibri" w:cs="Calibri"/>
          <w:sz w:val="22"/>
          <w:szCs w:val="22"/>
        </w:rPr>
        <w:t>and ‘safeguarding the [vector control] achievements’ of the OCP.</w:t>
      </w:r>
      <w:r w:rsidRPr="00D9152B">
        <w:rPr>
          <w:rStyle w:val="FootnoteReference"/>
          <w:rFonts w:ascii="Calibri" w:hAnsi="Calibri" w:cs="Calibri"/>
          <w:sz w:val="22"/>
          <w:szCs w:val="22"/>
        </w:rPr>
        <w:footnoteReference w:id="177"/>
      </w:r>
      <w:r w:rsidRPr="00D9152B">
        <w:rPr>
          <w:rFonts w:ascii="Calibri" w:hAnsi="Calibri" w:cs="Calibri"/>
          <w:sz w:val="22"/>
          <w:szCs w:val="22"/>
        </w:rPr>
        <w:t xml:space="preserve"> Metrics like the number of </w:t>
      </w:r>
      <w:r w:rsidR="00C336BB" w:rsidRPr="00D9152B">
        <w:rPr>
          <w:rFonts w:ascii="Calibri" w:hAnsi="Calibri" w:cs="Calibri"/>
          <w:sz w:val="22"/>
          <w:szCs w:val="22"/>
        </w:rPr>
        <w:t>community-directed distributors</w:t>
      </w:r>
      <w:r w:rsidRPr="00D9152B">
        <w:rPr>
          <w:rFonts w:ascii="Calibri" w:hAnsi="Calibri" w:cs="Calibri"/>
          <w:sz w:val="22"/>
          <w:szCs w:val="22"/>
        </w:rPr>
        <w:t xml:space="preserve"> trained, drugs delivered, and </w:t>
      </w:r>
      <w:r w:rsidR="00C336BB" w:rsidRPr="00D9152B">
        <w:rPr>
          <w:rFonts w:ascii="Calibri" w:hAnsi="Calibri" w:cs="Calibri"/>
          <w:sz w:val="22"/>
          <w:szCs w:val="22"/>
        </w:rPr>
        <w:t>OCP staff trained</w:t>
      </w:r>
      <w:r w:rsidRPr="00D9152B">
        <w:rPr>
          <w:rFonts w:ascii="Calibri" w:hAnsi="Calibri" w:cs="Calibri"/>
          <w:sz w:val="22"/>
          <w:szCs w:val="22"/>
        </w:rPr>
        <w:t xml:space="preserve"> are used to support the success of programme delivery.</w:t>
      </w:r>
      <w:r w:rsidRPr="00D9152B">
        <w:rPr>
          <w:rStyle w:val="FootnoteReference"/>
          <w:rFonts w:ascii="Calibri" w:hAnsi="Calibri" w:cs="Calibri"/>
          <w:sz w:val="22"/>
          <w:szCs w:val="22"/>
        </w:rPr>
        <w:footnoteReference w:id="178"/>
      </w:r>
      <w:r w:rsidR="00BC4C88" w:rsidRPr="00D9152B">
        <w:rPr>
          <w:rFonts w:ascii="Calibri" w:hAnsi="Calibri" w:cs="Calibri"/>
          <w:sz w:val="22"/>
          <w:szCs w:val="22"/>
        </w:rPr>
        <w:t xml:space="preserve"> </w:t>
      </w:r>
      <w:r w:rsidRPr="00D9152B">
        <w:rPr>
          <w:rFonts w:ascii="Calibri" w:hAnsi="Calibri" w:cs="Calibri"/>
          <w:sz w:val="22"/>
          <w:szCs w:val="22"/>
        </w:rPr>
        <w:t>The Bank’s central argument since the mid-2000s is that its community-directed distribution network ‘can get primary health care to the poorest of the poor through simple, once- or twice-a year interventions by non-medical staff’,</w:t>
      </w:r>
      <w:r w:rsidRPr="00D9152B">
        <w:rPr>
          <w:rStyle w:val="FootnoteReference"/>
          <w:rFonts w:ascii="Calibri" w:hAnsi="Calibri" w:cs="Calibri"/>
          <w:sz w:val="22"/>
          <w:szCs w:val="22"/>
        </w:rPr>
        <w:footnoteReference w:id="179"/>
      </w:r>
      <w:r w:rsidRPr="00D9152B">
        <w:rPr>
          <w:rFonts w:ascii="Calibri" w:hAnsi="Calibri" w:cs="Calibri"/>
          <w:sz w:val="22"/>
          <w:szCs w:val="22"/>
        </w:rPr>
        <w:t xml:space="preserve"> and </w:t>
      </w:r>
      <w:r w:rsidRPr="00D9152B">
        <w:rPr>
          <w:rFonts w:ascii="Calibri" w:hAnsi="Calibri" w:cs="Calibri"/>
          <w:sz w:val="22"/>
          <w:szCs w:val="22"/>
        </w:rPr>
        <w:lastRenderedPageBreak/>
        <w:t>that the OCP</w:t>
      </w:r>
      <w:r w:rsidR="00ED2609" w:rsidRPr="00D9152B">
        <w:rPr>
          <w:rFonts w:ascii="Calibri" w:hAnsi="Calibri" w:cs="Calibri"/>
          <w:sz w:val="22"/>
          <w:szCs w:val="22"/>
        </w:rPr>
        <w:t xml:space="preserve"> </w:t>
      </w:r>
      <w:r w:rsidR="00650B62">
        <w:rPr>
          <w:rFonts w:ascii="Calibri" w:hAnsi="Calibri" w:cs="Calibri"/>
          <w:sz w:val="22"/>
          <w:szCs w:val="22"/>
        </w:rPr>
        <w:t>and African Programme for Onchocerciasis Control have</w:t>
      </w:r>
      <w:r w:rsidR="00ED2609" w:rsidRPr="00D9152B">
        <w:rPr>
          <w:rFonts w:ascii="Calibri" w:hAnsi="Calibri" w:cs="Calibri"/>
          <w:sz w:val="22"/>
          <w:szCs w:val="22"/>
        </w:rPr>
        <w:t xml:space="preserve"> therefore</w:t>
      </w:r>
      <w:r w:rsidRPr="00D9152B">
        <w:rPr>
          <w:rFonts w:ascii="Calibri" w:hAnsi="Calibri" w:cs="Calibri"/>
          <w:sz w:val="22"/>
          <w:szCs w:val="22"/>
        </w:rPr>
        <w:t xml:space="preserve"> ‘made important contributions to strengthening the health systems of West Africa’.</w:t>
      </w:r>
      <w:r w:rsidRPr="00D9152B">
        <w:rPr>
          <w:rStyle w:val="FootnoteReference"/>
          <w:rFonts w:ascii="Calibri" w:hAnsi="Calibri" w:cs="Calibri"/>
          <w:sz w:val="22"/>
          <w:szCs w:val="22"/>
        </w:rPr>
        <w:footnoteReference w:id="180"/>
      </w:r>
    </w:p>
    <w:p w14:paraId="197D2520" w14:textId="7E8F5CF0" w:rsidR="00F976AC" w:rsidRPr="00D9152B" w:rsidRDefault="00FA7D67" w:rsidP="00984DC0">
      <w:pPr>
        <w:pStyle w:val="Heading2"/>
        <w:rPr>
          <w:rFonts w:ascii="Calibri" w:hAnsi="Calibri" w:cs="Calibri"/>
          <w:b/>
          <w:color w:val="000000" w:themeColor="text1"/>
          <w:sz w:val="26"/>
          <w:szCs w:val="26"/>
        </w:rPr>
      </w:pPr>
      <w:bookmarkStart w:id="45" w:name="_Toc41505619"/>
      <w:r w:rsidRPr="00D9152B">
        <w:rPr>
          <w:rFonts w:ascii="Calibri" w:hAnsi="Calibri" w:cs="Calibri"/>
          <w:b/>
          <w:color w:val="000000" w:themeColor="text1"/>
          <w:sz w:val="26"/>
          <w:szCs w:val="26"/>
        </w:rPr>
        <w:t>3.</w:t>
      </w:r>
      <w:r w:rsidR="0098315E" w:rsidRPr="00D9152B">
        <w:rPr>
          <w:rFonts w:ascii="Calibri" w:hAnsi="Calibri" w:cs="Calibri"/>
          <w:b/>
          <w:color w:val="000000" w:themeColor="text1"/>
          <w:sz w:val="26"/>
          <w:szCs w:val="26"/>
        </w:rPr>
        <w:t>5</w:t>
      </w:r>
      <w:r w:rsidR="00DF52DF" w:rsidRPr="00D9152B">
        <w:rPr>
          <w:rFonts w:ascii="Calibri" w:hAnsi="Calibri" w:cs="Calibri"/>
          <w:b/>
          <w:color w:val="000000" w:themeColor="text1"/>
          <w:sz w:val="26"/>
          <w:szCs w:val="26"/>
        </w:rPr>
        <w:t>.</w:t>
      </w:r>
      <w:r w:rsidR="000377C8" w:rsidRPr="00D9152B">
        <w:rPr>
          <w:rFonts w:ascii="Calibri" w:hAnsi="Calibri" w:cs="Calibri"/>
          <w:b/>
          <w:color w:val="000000" w:themeColor="text1"/>
          <w:sz w:val="26"/>
          <w:szCs w:val="26"/>
        </w:rPr>
        <w:t xml:space="preserve"> T</w:t>
      </w:r>
      <w:r w:rsidR="00525A83" w:rsidRPr="00D9152B">
        <w:rPr>
          <w:rFonts w:ascii="Calibri" w:hAnsi="Calibri" w:cs="Calibri"/>
          <w:b/>
          <w:color w:val="000000" w:themeColor="text1"/>
          <w:sz w:val="26"/>
          <w:szCs w:val="26"/>
        </w:rPr>
        <w:t xml:space="preserve">he </w:t>
      </w:r>
      <w:r w:rsidR="00F976AC" w:rsidRPr="00D9152B">
        <w:rPr>
          <w:rFonts w:ascii="Calibri" w:hAnsi="Calibri" w:cs="Calibri"/>
          <w:b/>
          <w:color w:val="000000" w:themeColor="text1"/>
          <w:sz w:val="26"/>
          <w:szCs w:val="26"/>
        </w:rPr>
        <w:t>uptake of the Bank’s dominant narrative in the global health community</w:t>
      </w:r>
      <w:bookmarkEnd w:id="45"/>
    </w:p>
    <w:p w14:paraId="39C669B3" w14:textId="55F1F412" w:rsidR="00AC53E7" w:rsidRPr="00D9152B" w:rsidRDefault="00BC4C8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In</w:t>
      </w:r>
      <w:r w:rsidR="00AC53E7" w:rsidRPr="00D9152B">
        <w:rPr>
          <w:rFonts w:ascii="Calibri" w:hAnsi="Calibri" w:cs="Calibri"/>
          <w:sz w:val="22"/>
          <w:szCs w:val="22"/>
        </w:rPr>
        <w:t xml:space="preserve"> what ways has the Bank’s OCP success story influenced </w:t>
      </w:r>
      <w:r w:rsidRPr="00D9152B">
        <w:rPr>
          <w:rFonts w:ascii="Calibri" w:hAnsi="Calibri" w:cs="Calibri"/>
          <w:sz w:val="22"/>
          <w:szCs w:val="22"/>
        </w:rPr>
        <w:t>depictions of the programme’s</w:t>
      </w:r>
      <w:r w:rsidR="00CF2972" w:rsidRPr="00D9152B">
        <w:rPr>
          <w:rFonts w:ascii="Calibri" w:hAnsi="Calibri" w:cs="Calibri"/>
          <w:sz w:val="22"/>
          <w:szCs w:val="22"/>
        </w:rPr>
        <w:t xml:space="preserve"> success outside</w:t>
      </w:r>
      <w:r w:rsidRPr="00D9152B">
        <w:rPr>
          <w:rFonts w:ascii="Calibri" w:hAnsi="Calibri" w:cs="Calibri"/>
          <w:sz w:val="22"/>
          <w:szCs w:val="22"/>
        </w:rPr>
        <w:t xml:space="preserve"> of</w:t>
      </w:r>
      <w:r w:rsidR="00CF2972" w:rsidRPr="00D9152B">
        <w:rPr>
          <w:rFonts w:ascii="Calibri" w:hAnsi="Calibri" w:cs="Calibri"/>
          <w:sz w:val="22"/>
          <w:szCs w:val="22"/>
        </w:rPr>
        <w:t xml:space="preserve"> its doors? </w:t>
      </w:r>
      <w:r w:rsidR="00F976AC" w:rsidRPr="00D9152B">
        <w:rPr>
          <w:rFonts w:ascii="Calibri" w:hAnsi="Calibri" w:cs="Calibri"/>
          <w:sz w:val="22"/>
          <w:szCs w:val="22"/>
        </w:rPr>
        <w:t>One way</w:t>
      </w:r>
      <w:r w:rsidR="00AC53E7" w:rsidRPr="00D9152B">
        <w:rPr>
          <w:rFonts w:ascii="Calibri" w:hAnsi="Calibri" w:cs="Calibri"/>
          <w:sz w:val="22"/>
          <w:szCs w:val="22"/>
        </w:rPr>
        <w:t xml:space="preserve"> to </w:t>
      </w:r>
      <w:r w:rsidR="008A4F8D" w:rsidRPr="00D9152B">
        <w:rPr>
          <w:rFonts w:ascii="Calibri" w:hAnsi="Calibri" w:cs="Calibri"/>
          <w:sz w:val="22"/>
          <w:szCs w:val="22"/>
        </w:rPr>
        <w:t>understand</w:t>
      </w:r>
      <w:r w:rsidR="00AC53E7" w:rsidRPr="00D9152B">
        <w:rPr>
          <w:rFonts w:ascii="Calibri" w:hAnsi="Calibri" w:cs="Calibri"/>
          <w:sz w:val="22"/>
          <w:szCs w:val="22"/>
        </w:rPr>
        <w:t xml:space="preserve"> the </w:t>
      </w:r>
      <w:r w:rsidR="008A4F8D" w:rsidRPr="00D9152B">
        <w:rPr>
          <w:rFonts w:ascii="Calibri" w:hAnsi="Calibri" w:cs="Calibri"/>
          <w:sz w:val="22"/>
          <w:szCs w:val="22"/>
        </w:rPr>
        <w:t>uptake</w:t>
      </w:r>
      <w:r w:rsidR="00AC53E7" w:rsidRPr="00D9152B">
        <w:rPr>
          <w:rFonts w:ascii="Calibri" w:hAnsi="Calibri" w:cs="Calibri"/>
          <w:sz w:val="22"/>
          <w:szCs w:val="22"/>
        </w:rPr>
        <w:t xml:space="preserve"> of Bank OCP p</w:t>
      </w:r>
      <w:r w:rsidR="00CF2972" w:rsidRPr="00D9152B">
        <w:rPr>
          <w:rFonts w:ascii="Calibri" w:hAnsi="Calibri" w:cs="Calibri"/>
          <w:sz w:val="22"/>
          <w:szCs w:val="22"/>
        </w:rPr>
        <w:t xml:space="preserve">ublications is through citation </w:t>
      </w:r>
      <w:r w:rsidR="00AC53E7" w:rsidRPr="00D9152B">
        <w:rPr>
          <w:rFonts w:ascii="Calibri" w:hAnsi="Calibri" w:cs="Calibri"/>
          <w:sz w:val="22"/>
          <w:szCs w:val="22"/>
        </w:rPr>
        <w:t xml:space="preserve">tracking. As Figure </w:t>
      </w:r>
      <w:r w:rsidR="00650B62">
        <w:rPr>
          <w:rFonts w:ascii="Calibri" w:hAnsi="Calibri" w:cs="Calibri"/>
          <w:sz w:val="22"/>
          <w:szCs w:val="22"/>
        </w:rPr>
        <w:t>3.</w:t>
      </w:r>
      <w:r w:rsidR="00AC53E7" w:rsidRPr="00D9152B">
        <w:rPr>
          <w:rFonts w:ascii="Calibri" w:hAnsi="Calibri" w:cs="Calibri"/>
          <w:sz w:val="22"/>
          <w:szCs w:val="22"/>
        </w:rPr>
        <w:t>1</w:t>
      </w:r>
      <w:r w:rsidRPr="00D9152B">
        <w:rPr>
          <w:rFonts w:ascii="Calibri" w:hAnsi="Calibri" w:cs="Calibri"/>
          <w:sz w:val="22"/>
          <w:szCs w:val="22"/>
        </w:rPr>
        <w:t>3</w:t>
      </w:r>
      <w:r w:rsidR="00AC53E7" w:rsidRPr="00D9152B">
        <w:rPr>
          <w:rFonts w:ascii="Calibri" w:hAnsi="Calibri" w:cs="Calibri"/>
          <w:sz w:val="22"/>
          <w:szCs w:val="22"/>
        </w:rPr>
        <w:t xml:space="preserve"> shows, nearly half of all literature </w:t>
      </w:r>
      <w:r w:rsidR="008A4F8D" w:rsidRPr="00D9152B">
        <w:rPr>
          <w:rFonts w:ascii="Calibri" w:hAnsi="Calibri" w:cs="Calibri"/>
          <w:sz w:val="22"/>
          <w:szCs w:val="22"/>
        </w:rPr>
        <w:t>included in the</w:t>
      </w:r>
      <w:r w:rsidRPr="00D9152B">
        <w:rPr>
          <w:rFonts w:ascii="Calibri" w:hAnsi="Calibri" w:cs="Calibri"/>
          <w:sz w:val="22"/>
          <w:szCs w:val="22"/>
        </w:rPr>
        <w:t xml:space="preserve"> global health community </w:t>
      </w:r>
      <w:r w:rsidR="008A4F8D" w:rsidRPr="00D9152B">
        <w:rPr>
          <w:rFonts w:ascii="Calibri" w:hAnsi="Calibri" w:cs="Calibri"/>
          <w:sz w:val="22"/>
          <w:szCs w:val="22"/>
        </w:rPr>
        <w:t xml:space="preserve">review </w:t>
      </w:r>
      <w:r w:rsidR="00CF2972" w:rsidRPr="00D9152B">
        <w:rPr>
          <w:rFonts w:ascii="Calibri" w:hAnsi="Calibri" w:cs="Calibri"/>
          <w:sz w:val="22"/>
          <w:szCs w:val="22"/>
        </w:rPr>
        <w:t>provide</w:t>
      </w:r>
      <w:r w:rsidR="00AC53E7" w:rsidRPr="00D9152B">
        <w:rPr>
          <w:rFonts w:ascii="Calibri" w:hAnsi="Calibri" w:cs="Calibri"/>
          <w:sz w:val="22"/>
          <w:szCs w:val="22"/>
        </w:rPr>
        <w:t xml:space="preserve"> no citations for the OCP’s success. </w:t>
      </w:r>
      <w:r w:rsidR="000C6F00" w:rsidRPr="00D9152B">
        <w:rPr>
          <w:rFonts w:ascii="Calibri" w:hAnsi="Calibri" w:cs="Calibri"/>
          <w:sz w:val="22"/>
          <w:szCs w:val="22"/>
        </w:rPr>
        <w:t>The</w:t>
      </w:r>
      <w:r w:rsidR="00CF2972" w:rsidRPr="00D9152B">
        <w:rPr>
          <w:rFonts w:ascii="Calibri" w:hAnsi="Calibri" w:cs="Calibri"/>
          <w:sz w:val="22"/>
          <w:szCs w:val="22"/>
        </w:rPr>
        <w:t xml:space="preserve"> authors specifically mention</w:t>
      </w:r>
      <w:r w:rsidR="008A4F8D" w:rsidRPr="00D9152B">
        <w:rPr>
          <w:rFonts w:ascii="Calibri" w:hAnsi="Calibri" w:cs="Calibri"/>
          <w:sz w:val="22"/>
          <w:szCs w:val="22"/>
        </w:rPr>
        <w:t xml:space="preserve"> the OCP’s success and sometimes provide rationales for success, but they </w:t>
      </w:r>
      <w:r w:rsidR="00CF2972" w:rsidRPr="00D9152B">
        <w:rPr>
          <w:rFonts w:ascii="Calibri" w:hAnsi="Calibri" w:cs="Calibri"/>
          <w:sz w:val="22"/>
          <w:szCs w:val="22"/>
        </w:rPr>
        <w:t>do</w:t>
      </w:r>
      <w:r w:rsidR="008A4F8D" w:rsidRPr="00D9152B">
        <w:rPr>
          <w:rFonts w:ascii="Calibri" w:hAnsi="Calibri" w:cs="Calibri"/>
          <w:sz w:val="22"/>
          <w:szCs w:val="22"/>
        </w:rPr>
        <w:t xml:space="preserve"> not provide references to back-up </w:t>
      </w:r>
      <w:r w:rsidR="00CF2972" w:rsidRPr="00D9152B">
        <w:rPr>
          <w:rFonts w:ascii="Calibri" w:hAnsi="Calibri" w:cs="Calibri"/>
          <w:sz w:val="22"/>
          <w:szCs w:val="22"/>
        </w:rPr>
        <w:t>their</w:t>
      </w:r>
      <w:r w:rsidR="008A4F8D" w:rsidRPr="00D9152B">
        <w:rPr>
          <w:rFonts w:ascii="Calibri" w:hAnsi="Calibri" w:cs="Calibri"/>
          <w:sz w:val="22"/>
          <w:szCs w:val="22"/>
        </w:rPr>
        <w:t xml:space="preserve"> claim. </w:t>
      </w:r>
      <w:r w:rsidR="00AC53E7" w:rsidRPr="00D9152B">
        <w:rPr>
          <w:rFonts w:ascii="Calibri" w:hAnsi="Calibri" w:cs="Calibri"/>
          <w:sz w:val="22"/>
          <w:szCs w:val="22"/>
        </w:rPr>
        <w:t>This shows the pervasiveness</w:t>
      </w:r>
      <w:r w:rsidR="00CF2972" w:rsidRPr="00D9152B">
        <w:rPr>
          <w:rFonts w:ascii="Calibri" w:hAnsi="Calibri" w:cs="Calibri"/>
          <w:sz w:val="22"/>
          <w:szCs w:val="22"/>
        </w:rPr>
        <w:t xml:space="preserve"> </w:t>
      </w:r>
      <w:r w:rsidR="00AC53E7" w:rsidRPr="00D9152B">
        <w:rPr>
          <w:rFonts w:ascii="Calibri" w:hAnsi="Calibri" w:cs="Calibri"/>
          <w:sz w:val="22"/>
          <w:szCs w:val="22"/>
        </w:rPr>
        <w:t xml:space="preserve">of the view that the OCP’s success is </w:t>
      </w:r>
      <w:r w:rsidR="007F166D" w:rsidRPr="00D9152B">
        <w:rPr>
          <w:rFonts w:ascii="Calibri" w:hAnsi="Calibri" w:cs="Calibri"/>
          <w:sz w:val="22"/>
          <w:szCs w:val="22"/>
        </w:rPr>
        <w:t>common knowledge</w:t>
      </w:r>
      <w:r w:rsidR="00AC53E7" w:rsidRPr="00D9152B">
        <w:rPr>
          <w:rFonts w:ascii="Calibri" w:hAnsi="Calibri" w:cs="Calibri"/>
          <w:sz w:val="22"/>
          <w:szCs w:val="22"/>
        </w:rPr>
        <w:t>. Of the remaining publications, the majority cite either OCP authors/WHO publications or Bank authors/publications. In total, about one fourth of all articles with citations reference Bank publications or authors with</w:t>
      </w:r>
      <w:r w:rsidR="002E738A" w:rsidRPr="00D9152B">
        <w:rPr>
          <w:rFonts w:ascii="Calibri" w:hAnsi="Calibri" w:cs="Calibri"/>
          <w:sz w:val="22"/>
          <w:szCs w:val="22"/>
        </w:rPr>
        <w:t xml:space="preserve"> a</w:t>
      </w:r>
      <w:r w:rsidR="00AC53E7" w:rsidRPr="00D9152B">
        <w:rPr>
          <w:rFonts w:ascii="Calibri" w:hAnsi="Calibri" w:cs="Calibri"/>
          <w:sz w:val="22"/>
          <w:szCs w:val="22"/>
        </w:rPr>
        <w:t xml:space="preserve"> Bank affiliation. </w:t>
      </w:r>
      <w:r w:rsidRPr="00D9152B">
        <w:rPr>
          <w:rFonts w:ascii="Calibri" w:hAnsi="Calibri" w:cs="Calibri"/>
          <w:sz w:val="22"/>
          <w:szCs w:val="22"/>
        </w:rPr>
        <w:t>Kim and Benton’s</w:t>
      </w:r>
      <w:r w:rsidR="00AC53E7" w:rsidRPr="00D9152B">
        <w:rPr>
          <w:rFonts w:ascii="Calibri" w:hAnsi="Calibri" w:cs="Calibri"/>
          <w:sz w:val="22"/>
          <w:szCs w:val="22"/>
        </w:rPr>
        <w:t xml:space="preserve"> cost-effectiveness article </w:t>
      </w:r>
      <w:r w:rsidRPr="00D9152B">
        <w:rPr>
          <w:rFonts w:ascii="Calibri" w:hAnsi="Calibri" w:cs="Calibri"/>
          <w:sz w:val="22"/>
          <w:szCs w:val="22"/>
        </w:rPr>
        <w:t>(</w:t>
      </w:r>
      <w:r w:rsidR="00AC53E7" w:rsidRPr="00D9152B">
        <w:rPr>
          <w:rFonts w:ascii="Calibri" w:hAnsi="Calibri" w:cs="Calibri"/>
          <w:sz w:val="22"/>
          <w:szCs w:val="22"/>
        </w:rPr>
        <w:t>1995</w:t>
      </w:r>
      <w:r w:rsidRPr="00D9152B">
        <w:rPr>
          <w:rFonts w:ascii="Calibri" w:hAnsi="Calibri" w:cs="Calibri"/>
          <w:sz w:val="22"/>
          <w:szCs w:val="22"/>
        </w:rPr>
        <w:t>)</w:t>
      </w:r>
      <w:r w:rsidR="00AC53E7" w:rsidRPr="00D9152B">
        <w:rPr>
          <w:rFonts w:ascii="Calibri" w:hAnsi="Calibri" w:cs="Calibri"/>
          <w:sz w:val="22"/>
          <w:szCs w:val="22"/>
        </w:rPr>
        <w:t xml:space="preserve"> is the most cited of any single source.</w:t>
      </w:r>
      <w:r w:rsidR="00AC53E7" w:rsidRPr="00D9152B">
        <w:rPr>
          <w:rStyle w:val="FootnoteReference"/>
          <w:rFonts w:ascii="Calibri" w:hAnsi="Calibri" w:cs="Calibri"/>
          <w:sz w:val="22"/>
          <w:szCs w:val="22"/>
        </w:rPr>
        <w:footnoteReference w:id="181"/>
      </w:r>
      <w:r w:rsidR="00AC53E7" w:rsidRPr="00D9152B">
        <w:rPr>
          <w:rFonts w:ascii="Calibri" w:hAnsi="Calibri" w:cs="Calibri"/>
          <w:sz w:val="22"/>
          <w:szCs w:val="22"/>
        </w:rPr>
        <w:t xml:space="preserve"> Given that the Bank’s role was technically fiscal agent – and that the WHO was the executing agent – the fact that nearly half as many articles cite the Bank as the OCP/WHO demonstrates its influence.</w:t>
      </w:r>
    </w:p>
    <w:p w14:paraId="2915CD60" w14:textId="7F16F782" w:rsidR="00D46281" w:rsidRPr="00D9152B" w:rsidRDefault="00AC53E7" w:rsidP="00CF2972">
      <w:pPr>
        <w:jc w:val="center"/>
        <w:rPr>
          <w:rFonts w:ascii="Calibri" w:hAnsi="Calibri" w:cs="Calibri"/>
          <w:color w:val="808080" w:themeColor="background1" w:themeShade="80"/>
        </w:rPr>
      </w:pPr>
      <w:r w:rsidRPr="00D9152B">
        <w:rPr>
          <w:rFonts w:ascii="Calibri" w:hAnsi="Calibri" w:cs="Calibri"/>
          <w:noProof/>
          <w:color w:val="808080" w:themeColor="background1" w:themeShade="80"/>
          <w:lang w:eastAsia="en-GB"/>
        </w:rPr>
        <w:lastRenderedPageBreak/>
        <w:drawing>
          <wp:inline distT="0" distB="0" distL="0" distR="0" wp14:anchorId="70E8D946" wp14:editId="1833D25A">
            <wp:extent cx="5819775" cy="3381375"/>
            <wp:effectExtent l="0" t="0" r="9525" b="9525"/>
            <wp:docPr id="90" name="Chart 90">
              <a:extLst xmlns:a="http://schemas.openxmlformats.org/drawingml/2006/main">
                <a:ext uri="{FF2B5EF4-FFF2-40B4-BE49-F238E27FC236}">
                  <a16:creationId xmlns:a16="http://schemas.microsoft.com/office/drawing/2014/main" id="{8CE52CDC-6EDA-4B8F-A04B-5E7B8711A4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0A8FAD48" w14:textId="4B83FFCD" w:rsidR="00AC53E7" w:rsidRPr="00D9152B" w:rsidRDefault="008A4F8D" w:rsidP="001F4A40">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650B62">
        <w:rPr>
          <w:rFonts w:ascii="Calibri" w:hAnsi="Calibri" w:cs="Calibri"/>
          <w:color w:val="808080" w:themeColor="background1" w:themeShade="80"/>
          <w:sz w:val="22"/>
          <w:szCs w:val="22"/>
        </w:rPr>
        <w:t>3.</w:t>
      </w:r>
      <w:r w:rsidRPr="00D9152B">
        <w:rPr>
          <w:rFonts w:ascii="Calibri" w:hAnsi="Calibri" w:cs="Calibri"/>
          <w:color w:val="808080" w:themeColor="background1" w:themeShade="80"/>
          <w:sz w:val="22"/>
          <w:szCs w:val="22"/>
        </w:rPr>
        <w:t>1</w:t>
      </w:r>
      <w:r w:rsidR="00BC4C88" w:rsidRPr="00D9152B">
        <w:rPr>
          <w:rFonts w:ascii="Calibri" w:hAnsi="Calibri" w:cs="Calibri"/>
          <w:color w:val="808080" w:themeColor="background1" w:themeShade="80"/>
          <w:sz w:val="22"/>
          <w:szCs w:val="22"/>
        </w:rPr>
        <w:t>3</w:t>
      </w:r>
      <w:r w:rsidR="00AC53E7" w:rsidRPr="00D9152B">
        <w:rPr>
          <w:rFonts w:ascii="Calibri" w:hAnsi="Calibri" w:cs="Calibri"/>
          <w:color w:val="808080" w:themeColor="background1" w:themeShade="80"/>
          <w:sz w:val="22"/>
          <w:szCs w:val="22"/>
        </w:rPr>
        <w:t>. Citation-tracking of all literature review documents (</w:t>
      </w:r>
      <w:r w:rsidR="00BC4C88" w:rsidRPr="00D9152B">
        <w:rPr>
          <w:rFonts w:ascii="Calibri" w:hAnsi="Calibri" w:cs="Calibri"/>
          <w:color w:val="808080" w:themeColor="background1" w:themeShade="80"/>
          <w:sz w:val="22"/>
          <w:szCs w:val="22"/>
        </w:rPr>
        <w:t xml:space="preserve">218 publications) </w:t>
      </w:r>
      <w:r w:rsidR="000C6F00" w:rsidRPr="00D9152B">
        <w:rPr>
          <w:rFonts w:ascii="Calibri" w:hAnsi="Calibri" w:cs="Calibri"/>
          <w:color w:val="808080" w:themeColor="background1" w:themeShade="80"/>
          <w:sz w:val="22"/>
          <w:szCs w:val="22"/>
        </w:rPr>
        <w:t xml:space="preserve">reveals that over half of publications presenting the OCP as a success cite no literature to support this claim, and those that do </w:t>
      </w:r>
      <w:r w:rsidR="00EB4914">
        <w:rPr>
          <w:rFonts w:ascii="Calibri" w:hAnsi="Calibri" w:cs="Calibri"/>
          <w:color w:val="808080" w:themeColor="background1" w:themeShade="80"/>
          <w:sz w:val="22"/>
          <w:szCs w:val="22"/>
        </w:rPr>
        <w:t>most commonly</w:t>
      </w:r>
      <w:r w:rsidR="00EB4914" w:rsidRPr="00D9152B">
        <w:rPr>
          <w:rFonts w:ascii="Calibri" w:hAnsi="Calibri" w:cs="Calibri"/>
          <w:color w:val="808080" w:themeColor="background1" w:themeShade="80"/>
          <w:sz w:val="22"/>
          <w:szCs w:val="22"/>
        </w:rPr>
        <w:t xml:space="preserve"> </w:t>
      </w:r>
      <w:r w:rsidR="000C6F00" w:rsidRPr="00D9152B">
        <w:rPr>
          <w:rFonts w:ascii="Calibri" w:hAnsi="Calibri" w:cs="Calibri"/>
          <w:color w:val="808080" w:themeColor="background1" w:themeShade="80"/>
          <w:sz w:val="22"/>
          <w:szCs w:val="22"/>
        </w:rPr>
        <w:t>cite Bank or WHO publications</w:t>
      </w:r>
      <w:r w:rsidR="00F976AC" w:rsidRPr="00D9152B">
        <w:rPr>
          <w:rFonts w:ascii="Calibri" w:hAnsi="Calibri" w:cs="Calibri"/>
          <w:color w:val="808080" w:themeColor="background1" w:themeShade="80"/>
          <w:sz w:val="22"/>
          <w:szCs w:val="22"/>
        </w:rPr>
        <w:t>.</w:t>
      </w:r>
      <w:r w:rsidR="00BC4C88" w:rsidRPr="00D9152B">
        <w:rPr>
          <w:rStyle w:val="FootnoteReference"/>
          <w:rFonts w:ascii="Calibri" w:hAnsi="Calibri" w:cs="Calibri"/>
          <w:color w:val="808080" w:themeColor="background1" w:themeShade="80"/>
        </w:rPr>
        <w:footnoteReference w:id="182"/>
      </w:r>
      <w:r w:rsidR="00BC4C88" w:rsidRPr="00D9152B">
        <w:rPr>
          <w:rFonts w:ascii="Calibri" w:hAnsi="Calibri" w:cs="Calibri"/>
          <w:color w:val="808080" w:themeColor="background1" w:themeShade="80"/>
          <w:sz w:val="22"/>
          <w:szCs w:val="22"/>
        </w:rPr>
        <w:t xml:space="preserve"> [USAID is the United States International Development Agency.]</w:t>
      </w:r>
    </w:p>
    <w:p w14:paraId="1F801487" w14:textId="6F2ABAEB" w:rsidR="00131376" w:rsidRPr="00D9152B" w:rsidRDefault="00AC53E7" w:rsidP="00BC4C88">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A second way to consider the uptake of the Bank’s success story is by tracking Bank-contributed programme statistics. As </w:t>
      </w:r>
      <w:r w:rsidR="000C6F00" w:rsidRPr="00D9152B">
        <w:rPr>
          <w:rFonts w:ascii="Calibri" w:hAnsi="Calibri" w:cs="Calibri"/>
          <w:sz w:val="22"/>
          <w:szCs w:val="22"/>
        </w:rPr>
        <w:t xml:space="preserve">described in </w:t>
      </w:r>
      <w:r w:rsidR="002E6E6B" w:rsidRPr="00D9152B">
        <w:rPr>
          <w:rFonts w:ascii="Calibri" w:hAnsi="Calibri" w:cs="Calibri"/>
          <w:sz w:val="22"/>
          <w:szCs w:val="22"/>
        </w:rPr>
        <w:t>Chapter 4</w:t>
      </w:r>
      <w:r w:rsidRPr="00D9152B">
        <w:rPr>
          <w:rFonts w:ascii="Calibri" w:hAnsi="Calibri" w:cs="Calibri"/>
          <w:sz w:val="22"/>
          <w:szCs w:val="22"/>
        </w:rPr>
        <w:t xml:space="preserve">, Bank </w:t>
      </w:r>
      <w:r w:rsidR="00525A83" w:rsidRPr="00D9152B">
        <w:rPr>
          <w:rFonts w:ascii="Calibri" w:hAnsi="Calibri" w:cs="Calibri"/>
          <w:sz w:val="22"/>
          <w:szCs w:val="22"/>
        </w:rPr>
        <w:t>staff</w:t>
      </w:r>
      <w:r w:rsidR="00CE641A" w:rsidRPr="00D9152B">
        <w:rPr>
          <w:rFonts w:ascii="Calibri" w:hAnsi="Calibri" w:cs="Calibri"/>
          <w:sz w:val="22"/>
          <w:szCs w:val="22"/>
        </w:rPr>
        <w:t xml:space="preserve"> created</w:t>
      </w:r>
      <w:r w:rsidRPr="00D9152B">
        <w:rPr>
          <w:rFonts w:ascii="Calibri" w:hAnsi="Calibri" w:cs="Calibri"/>
          <w:sz w:val="22"/>
          <w:szCs w:val="22"/>
        </w:rPr>
        <w:t xml:space="preserve"> the </w:t>
      </w:r>
      <w:r w:rsidR="00072746" w:rsidRPr="00D9152B">
        <w:rPr>
          <w:rFonts w:ascii="Calibri" w:hAnsi="Calibri" w:cs="Calibri"/>
          <w:sz w:val="22"/>
          <w:szCs w:val="22"/>
        </w:rPr>
        <w:t>‘</w:t>
      </w:r>
      <w:r w:rsidRPr="00D9152B">
        <w:rPr>
          <w:rFonts w:ascii="Calibri" w:hAnsi="Calibri" w:cs="Calibri"/>
          <w:sz w:val="22"/>
          <w:szCs w:val="22"/>
        </w:rPr>
        <w:t>25 million hectares</w:t>
      </w:r>
      <w:r w:rsidR="00072746" w:rsidRPr="00D9152B">
        <w:rPr>
          <w:rFonts w:ascii="Calibri" w:hAnsi="Calibri" w:cs="Calibri"/>
          <w:sz w:val="22"/>
          <w:szCs w:val="22"/>
        </w:rPr>
        <w:t>’</w:t>
      </w:r>
      <w:r w:rsidR="00525A83" w:rsidRPr="00D9152B">
        <w:rPr>
          <w:rFonts w:ascii="Calibri" w:hAnsi="Calibri" w:cs="Calibri"/>
          <w:sz w:val="22"/>
          <w:szCs w:val="22"/>
        </w:rPr>
        <w:t xml:space="preserve"> of land saved statistic in the late 1980s </w:t>
      </w:r>
      <w:r w:rsidRPr="00D9152B">
        <w:rPr>
          <w:rFonts w:ascii="Calibri" w:hAnsi="Calibri" w:cs="Calibri"/>
          <w:sz w:val="22"/>
          <w:szCs w:val="22"/>
        </w:rPr>
        <w:t xml:space="preserve">and published its sweeping cost-benefit analysis in 1995. </w:t>
      </w:r>
      <w:r w:rsidR="00072746" w:rsidRPr="00D9152B">
        <w:rPr>
          <w:rFonts w:ascii="Calibri" w:hAnsi="Calibri" w:cs="Calibri"/>
          <w:sz w:val="22"/>
          <w:szCs w:val="22"/>
        </w:rPr>
        <w:t>Even when</w:t>
      </w:r>
      <w:r w:rsidRPr="00D9152B">
        <w:rPr>
          <w:rFonts w:ascii="Calibri" w:hAnsi="Calibri" w:cs="Calibri"/>
          <w:sz w:val="22"/>
          <w:szCs w:val="22"/>
        </w:rPr>
        <w:t xml:space="preserve"> Bank and Bank author-affiliated publications are excluded from </w:t>
      </w:r>
      <w:r w:rsidR="00072746" w:rsidRPr="00D9152B">
        <w:rPr>
          <w:rFonts w:ascii="Calibri" w:hAnsi="Calibri" w:cs="Calibri"/>
          <w:sz w:val="22"/>
          <w:szCs w:val="22"/>
        </w:rPr>
        <w:t>the literature review</w:t>
      </w:r>
      <w:r w:rsidR="00BC4C88" w:rsidRPr="00D9152B">
        <w:rPr>
          <w:rFonts w:ascii="Calibri" w:hAnsi="Calibri" w:cs="Calibri"/>
          <w:sz w:val="22"/>
          <w:szCs w:val="22"/>
        </w:rPr>
        <w:t xml:space="preserve">, </w:t>
      </w:r>
      <w:r w:rsidR="00F976AC" w:rsidRPr="00D9152B">
        <w:rPr>
          <w:rFonts w:ascii="Calibri" w:hAnsi="Calibri" w:cs="Calibri"/>
          <w:sz w:val="22"/>
          <w:szCs w:val="22"/>
        </w:rPr>
        <w:t xml:space="preserve">a full </w:t>
      </w:r>
      <w:r w:rsidR="00072746" w:rsidRPr="00D9152B">
        <w:rPr>
          <w:rFonts w:ascii="Calibri" w:hAnsi="Calibri" w:cs="Calibri"/>
          <w:sz w:val="22"/>
          <w:szCs w:val="22"/>
        </w:rPr>
        <w:t>fourth</w:t>
      </w:r>
      <w:r w:rsidR="00F976AC" w:rsidRPr="00D9152B">
        <w:rPr>
          <w:rFonts w:ascii="Calibri" w:hAnsi="Calibri" w:cs="Calibri"/>
          <w:sz w:val="22"/>
          <w:szCs w:val="22"/>
        </w:rPr>
        <w:t xml:space="preserve"> </w:t>
      </w:r>
      <w:r w:rsidRPr="00D9152B">
        <w:rPr>
          <w:rFonts w:ascii="Calibri" w:hAnsi="Calibri" w:cs="Calibri"/>
          <w:sz w:val="22"/>
          <w:szCs w:val="22"/>
        </w:rPr>
        <w:t xml:space="preserve">of the articles published since 1990 reference these </w:t>
      </w:r>
      <w:r w:rsidR="002E6E6B" w:rsidRPr="00D9152B">
        <w:rPr>
          <w:rFonts w:ascii="Calibri" w:hAnsi="Calibri" w:cs="Calibri"/>
          <w:sz w:val="22"/>
          <w:szCs w:val="22"/>
        </w:rPr>
        <w:t>metrics</w:t>
      </w:r>
      <w:r w:rsidRPr="00D9152B">
        <w:rPr>
          <w:rFonts w:ascii="Calibri" w:hAnsi="Calibri" w:cs="Calibri"/>
          <w:sz w:val="22"/>
          <w:szCs w:val="22"/>
        </w:rPr>
        <w:t xml:space="preserve">. </w:t>
      </w:r>
    </w:p>
    <w:p w14:paraId="2A4A069E" w14:textId="20223F4C" w:rsidR="00131376" w:rsidRPr="00D9152B" w:rsidRDefault="00131376" w:rsidP="00131376">
      <w:pPr>
        <w:pStyle w:val="Heading2"/>
        <w:spacing w:before="100" w:beforeAutospacing="1" w:after="100" w:afterAutospacing="1" w:line="360" w:lineRule="auto"/>
        <w:rPr>
          <w:rFonts w:ascii="Calibri" w:hAnsi="Calibri" w:cs="Calibri"/>
          <w:b/>
          <w:sz w:val="26"/>
          <w:szCs w:val="26"/>
        </w:rPr>
      </w:pPr>
      <w:bookmarkStart w:id="46" w:name="_Toc41505620"/>
      <w:r w:rsidRPr="00D9152B">
        <w:rPr>
          <w:rFonts w:ascii="Calibri" w:hAnsi="Calibri" w:cs="Calibri"/>
          <w:b/>
          <w:sz w:val="26"/>
          <w:szCs w:val="26"/>
        </w:rPr>
        <w:t>3.</w:t>
      </w:r>
      <w:r w:rsidR="00C37001" w:rsidRPr="00D9152B">
        <w:rPr>
          <w:rFonts w:ascii="Calibri" w:hAnsi="Calibri" w:cs="Calibri"/>
          <w:b/>
          <w:sz w:val="26"/>
          <w:szCs w:val="26"/>
        </w:rPr>
        <w:t>6</w:t>
      </w:r>
      <w:r w:rsidRPr="00D9152B">
        <w:rPr>
          <w:rFonts w:ascii="Calibri" w:hAnsi="Calibri" w:cs="Calibri"/>
          <w:b/>
          <w:sz w:val="26"/>
          <w:szCs w:val="26"/>
        </w:rPr>
        <w:t xml:space="preserve">. </w:t>
      </w:r>
      <w:r w:rsidR="00140815" w:rsidRPr="00D9152B">
        <w:rPr>
          <w:rFonts w:ascii="Calibri" w:hAnsi="Calibri" w:cs="Calibri"/>
          <w:b/>
          <w:sz w:val="26"/>
          <w:szCs w:val="26"/>
        </w:rPr>
        <w:t>The World Bank</w:t>
      </w:r>
      <w:r w:rsidR="00A00C56" w:rsidRPr="00D9152B">
        <w:rPr>
          <w:rFonts w:ascii="Calibri" w:hAnsi="Calibri" w:cs="Calibri"/>
          <w:b/>
          <w:sz w:val="26"/>
          <w:szCs w:val="26"/>
        </w:rPr>
        <w:t xml:space="preserve">’s global health </w:t>
      </w:r>
      <w:r w:rsidR="00140815" w:rsidRPr="00D9152B">
        <w:rPr>
          <w:rFonts w:ascii="Calibri" w:hAnsi="Calibri" w:cs="Calibri"/>
          <w:b/>
          <w:sz w:val="26"/>
          <w:szCs w:val="26"/>
        </w:rPr>
        <w:t>ethos</w:t>
      </w:r>
      <w:bookmarkEnd w:id="46"/>
    </w:p>
    <w:p w14:paraId="6DBE6F2D" w14:textId="225A020E" w:rsidR="00C37001" w:rsidRPr="00D9152B" w:rsidRDefault="00C37001" w:rsidP="00C37001">
      <w:pPr>
        <w:pStyle w:val="Heading3"/>
        <w:spacing w:line="360" w:lineRule="auto"/>
        <w:rPr>
          <w:rFonts w:ascii="Calibri" w:hAnsi="Calibri" w:cs="Calibri"/>
          <w:b/>
          <w:i/>
          <w:color w:val="000000" w:themeColor="text1"/>
          <w:sz w:val="22"/>
          <w:szCs w:val="22"/>
        </w:rPr>
      </w:pPr>
      <w:bookmarkStart w:id="47" w:name="_Toc41505621"/>
      <w:r w:rsidRPr="00D9152B">
        <w:rPr>
          <w:rFonts w:ascii="Calibri" w:hAnsi="Calibri" w:cs="Calibri"/>
          <w:b/>
          <w:i/>
          <w:color w:val="000000" w:themeColor="text1"/>
          <w:sz w:val="22"/>
          <w:szCs w:val="22"/>
        </w:rPr>
        <w:t>3.6.A. Overview of existing research on the World Bank and global health</w:t>
      </w:r>
      <w:bookmarkEnd w:id="47"/>
    </w:p>
    <w:p w14:paraId="774C5062" w14:textId="4C97E18F" w:rsidR="00894F5C" w:rsidRPr="00D9152B" w:rsidRDefault="00D43CEA" w:rsidP="003806CC">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Financially, the Bank’s investments in </w:t>
      </w:r>
      <w:r w:rsidR="00894F5C" w:rsidRPr="00D9152B">
        <w:rPr>
          <w:rFonts w:ascii="Calibri" w:hAnsi="Calibri" w:cs="Calibri"/>
          <w:sz w:val="22"/>
          <w:szCs w:val="22"/>
        </w:rPr>
        <w:t xml:space="preserve">Health, Nutrition, and Population (HNP) projects </w:t>
      </w:r>
      <w:r w:rsidR="003806CC" w:rsidRPr="00D9152B">
        <w:rPr>
          <w:rFonts w:ascii="Calibri" w:hAnsi="Calibri" w:cs="Calibri"/>
          <w:sz w:val="22"/>
          <w:szCs w:val="22"/>
        </w:rPr>
        <w:t>have</w:t>
      </w:r>
      <w:r w:rsidR="00894F5C" w:rsidRPr="00D9152B">
        <w:rPr>
          <w:rFonts w:ascii="Calibri" w:hAnsi="Calibri" w:cs="Calibri"/>
          <w:sz w:val="22"/>
          <w:szCs w:val="22"/>
        </w:rPr>
        <w:t xml:space="preserve"> increased, in both absolute and relative terms</w:t>
      </w:r>
      <w:r w:rsidRPr="00D9152B">
        <w:rPr>
          <w:rFonts w:ascii="Calibri" w:hAnsi="Calibri" w:cs="Calibri"/>
          <w:sz w:val="22"/>
          <w:szCs w:val="22"/>
        </w:rPr>
        <w:t>, over the last three decades</w:t>
      </w:r>
      <w:r w:rsidR="00894F5C" w:rsidRPr="00D9152B">
        <w:rPr>
          <w:rFonts w:ascii="Calibri" w:hAnsi="Calibri" w:cs="Calibri"/>
          <w:sz w:val="22"/>
          <w:szCs w:val="22"/>
        </w:rPr>
        <w:t xml:space="preserve">. </w:t>
      </w:r>
      <w:r w:rsidR="003806CC" w:rsidRPr="00D9152B">
        <w:rPr>
          <w:rFonts w:ascii="Calibri" w:hAnsi="Calibri" w:cs="Calibri"/>
          <w:sz w:val="22"/>
          <w:szCs w:val="22"/>
        </w:rPr>
        <w:t>Allocations</w:t>
      </w:r>
      <w:r w:rsidR="00894F5C" w:rsidRPr="00D9152B">
        <w:rPr>
          <w:rFonts w:ascii="Calibri" w:hAnsi="Calibri" w:cs="Calibri"/>
          <w:sz w:val="22"/>
          <w:szCs w:val="22"/>
        </w:rPr>
        <w:t xml:space="preserve"> totalled approximately $17.5 billion from 1985-2000, and rose to approximately $60.9 billion from 2000-2015. The types of health sector projects also </w:t>
      </w:r>
      <w:r w:rsidR="00894F5C" w:rsidRPr="00D9152B">
        <w:rPr>
          <w:rFonts w:ascii="Calibri" w:hAnsi="Calibri" w:cs="Calibri"/>
          <w:sz w:val="22"/>
          <w:szCs w:val="22"/>
        </w:rPr>
        <w:lastRenderedPageBreak/>
        <w:t>changed during these years. In 1985-1989, the largest portion of HNP funding was directed at reproductive, maternal and child health (RMCH, 44 percent), health systems (27 percent), and infectious diseases (21 percent). By 2010-2015, core RMCH, health systems, and infectious diseases support had declined (to seven percent, 21 percent, and seven percent respectively). These areas were largely displaced by funding to projects emphasising budgetary support (34 percent) and poverty reduction (19 percent).</w:t>
      </w:r>
      <w:r w:rsidR="00894F5C" w:rsidRPr="00D9152B">
        <w:rPr>
          <w:rStyle w:val="FootnoteReference"/>
          <w:rFonts w:ascii="Calibri" w:hAnsi="Calibri" w:cs="Calibri"/>
          <w:sz w:val="22"/>
          <w:szCs w:val="22"/>
        </w:rPr>
        <w:footnoteReference w:id="183"/>
      </w:r>
      <w:r w:rsidR="00894F5C" w:rsidRPr="00D9152B">
        <w:rPr>
          <w:rFonts w:ascii="Calibri" w:hAnsi="Calibri" w:cs="Calibri"/>
          <w:sz w:val="22"/>
          <w:szCs w:val="22"/>
        </w:rPr>
        <w:t xml:space="preserve"> Figure 1</w:t>
      </w:r>
      <w:r w:rsidR="00781AAB" w:rsidRPr="00D9152B">
        <w:rPr>
          <w:rFonts w:ascii="Calibri" w:hAnsi="Calibri" w:cs="Calibri"/>
          <w:sz w:val="22"/>
          <w:szCs w:val="22"/>
        </w:rPr>
        <w:t>4</w:t>
      </w:r>
      <w:r w:rsidR="00894F5C" w:rsidRPr="00D9152B">
        <w:rPr>
          <w:rFonts w:ascii="Calibri" w:hAnsi="Calibri" w:cs="Calibri"/>
          <w:sz w:val="22"/>
          <w:szCs w:val="22"/>
        </w:rPr>
        <w:t xml:space="preserve"> </w:t>
      </w:r>
      <w:r w:rsidR="003806CC" w:rsidRPr="00D9152B">
        <w:rPr>
          <w:rFonts w:ascii="Calibri" w:hAnsi="Calibri" w:cs="Calibri"/>
          <w:sz w:val="22"/>
          <w:szCs w:val="22"/>
        </w:rPr>
        <w:t>summarises</w:t>
      </w:r>
      <w:r w:rsidR="00894F5C" w:rsidRPr="00D9152B">
        <w:rPr>
          <w:rFonts w:ascii="Calibri" w:hAnsi="Calibri" w:cs="Calibri"/>
          <w:sz w:val="22"/>
          <w:szCs w:val="22"/>
        </w:rPr>
        <w:t xml:space="preserve"> </w:t>
      </w:r>
      <w:r w:rsidR="003806CC" w:rsidRPr="00D9152B">
        <w:rPr>
          <w:rFonts w:ascii="Calibri" w:hAnsi="Calibri" w:cs="Calibri"/>
          <w:sz w:val="22"/>
          <w:szCs w:val="22"/>
        </w:rPr>
        <w:t xml:space="preserve">the Bank’s </w:t>
      </w:r>
      <w:r w:rsidR="00894F5C" w:rsidRPr="00D9152B">
        <w:rPr>
          <w:rFonts w:ascii="Calibri" w:hAnsi="Calibri" w:cs="Calibri"/>
          <w:sz w:val="22"/>
          <w:szCs w:val="22"/>
        </w:rPr>
        <w:t>commitments to new health sector projects from 1970-2018</w:t>
      </w:r>
      <w:r w:rsidR="003806CC" w:rsidRPr="00D9152B">
        <w:rPr>
          <w:rFonts w:ascii="Calibri" w:hAnsi="Calibri" w:cs="Calibri"/>
          <w:sz w:val="22"/>
          <w:szCs w:val="22"/>
        </w:rPr>
        <w:t>.</w:t>
      </w:r>
    </w:p>
    <w:p w14:paraId="45B4B1F1" w14:textId="31F98369" w:rsidR="00894F5C" w:rsidRPr="00D9152B" w:rsidRDefault="00894F5C" w:rsidP="00894F5C">
      <w:pPr>
        <w:jc w:val="both"/>
        <w:rPr>
          <w:rFonts w:ascii="Calibri" w:hAnsi="Calibri" w:cs="Calibri"/>
        </w:rPr>
      </w:pPr>
      <w:r w:rsidRPr="00D9152B">
        <w:rPr>
          <w:rFonts w:ascii="Calibri" w:hAnsi="Calibri" w:cs="Calibri"/>
          <w:noProof/>
          <w:lang w:eastAsia="en-GB"/>
        </w:rPr>
        <w:drawing>
          <wp:inline distT="0" distB="0" distL="0" distR="0" wp14:anchorId="21BEC8E5" wp14:editId="3B1A8A38">
            <wp:extent cx="5778500" cy="2259965"/>
            <wp:effectExtent l="0" t="0" r="12700" b="13335"/>
            <wp:docPr id="50" name="Chart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r w:rsidRPr="00D9152B">
        <w:rPr>
          <w:rFonts w:ascii="Calibri" w:hAnsi="Calibri" w:cs="Calibri"/>
          <w:color w:val="7F7F7F" w:themeColor="text1" w:themeTint="80"/>
          <w:sz w:val="22"/>
          <w:szCs w:val="22"/>
        </w:rPr>
        <w:t xml:space="preserve">Figure </w:t>
      </w:r>
      <w:r w:rsidR="00650B62">
        <w:rPr>
          <w:rFonts w:ascii="Calibri" w:hAnsi="Calibri" w:cs="Calibri"/>
          <w:color w:val="7F7F7F" w:themeColor="text1" w:themeTint="80"/>
          <w:sz w:val="22"/>
          <w:szCs w:val="22"/>
        </w:rPr>
        <w:t>3.</w:t>
      </w:r>
      <w:r w:rsidR="00781AAB" w:rsidRPr="00D9152B">
        <w:rPr>
          <w:rFonts w:ascii="Calibri" w:hAnsi="Calibri" w:cs="Calibri"/>
          <w:color w:val="7F7F7F" w:themeColor="text1" w:themeTint="80"/>
          <w:sz w:val="22"/>
          <w:szCs w:val="22"/>
        </w:rPr>
        <w:t>14</w:t>
      </w:r>
      <w:r w:rsidRPr="00D9152B">
        <w:rPr>
          <w:rFonts w:ascii="Calibri" w:hAnsi="Calibri" w:cs="Calibri"/>
          <w:color w:val="7F7F7F" w:themeColor="text1" w:themeTint="80"/>
          <w:sz w:val="22"/>
          <w:szCs w:val="22"/>
        </w:rPr>
        <w:t xml:space="preserve">. The Bank’s core </w:t>
      </w:r>
      <w:r w:rsidR="00923F81" w:rsidRPr="00D9152B">
        <w:rPr>
          <w:rFonts w:ascii="Calibri" w:hAnsi="Calibri" w:cs="Calibri"/>
          <w:color w:val="7F7F7F" w:themeColor="text1" w:themeTint="80"/>
          <w:sz w:val="22"/>
          <w:szCs w:val="22"/>
        </w:rPr>
        <w:t>health</w:t>
      </w:r>
      <w:r w:rsidRPr="00D9152B">
        <w:rPr>
          <w:rFonts w:ascii="Calibri" w:hAnsi="Calibri" w:cs="Calibri"/>
          <w:color w:val="7F7F7F" w:themeColor="text1" w:themeTint="80"/>
          <w:sz w:val="22"/>
          <w:szCs w:val="22"/>
        </w:rPr>
        <w:t xml:space="preserve"> portfolio has grown over time, particularly since the late 1980s.</w:t>
      </w:r>
      <w:r w:rsidRPr="00D9152B">
        <w:rPr>
          <w:rStyle w:val="FootnoteReference"/>
          <w:rFonts w:ascii="Calibri" w:hAnsi="Calibri" w:cs="Calibri"/>
          <w:color w:val="7F7F7F" w:themeColor="text1" w:themeTint="80"/>
          <w:sz w:val="22"/>
          <w:szCs w:val="22"/>
        </w:rPr>
        <w:footnoteReference w:id="184"/>
      </w:r>
    </w:p>
    <w:p w14:paraId="401B4B95" w14:textId="77777777" w:rsidR="00894F5C" w:rsidRPr="00D9152B" w:rsidRDefault="00894F5C" w:rsidP="00894F5C">
      <w:pPr>
        <w:rPr>
          <w:rFonts w:ascii="Calibri" w:hAnsi="Calibri" w:cs="Calibri"/>
        </w:rPr>
      </w:pPr>
    </w:p>
    <w:p w14:paraId="5047B51E" w14:textId="01B8EF09" w:rsidR="008D74B3" w:rsidRPr="00D9152B" w:rsidRDefault="00894F5C">
      <w:pPr>
        <w:spacing w:line="360" w:lineRule="auto"/>
        <w:rPr>
          <w:rFonts w:ascii="Calibri" w:hAnsi="Calibri" w:cs="Calibri"/>
          <w:sz w:val="22"/>
          <w:szCs w:val="22"/>
        </w:rPr>
        <w:sectPr w:rsidR="008D74B3" w:rsidRPr="00D9152B" w:rsidSect="00A72566">
          <w:footnotePr>
            <w:numRestart w:val="eachSect"/>
          </w:footnotePr>
          <w:pgSz w:w="11906" w:h="16838"/>
          <w:pgMar w:top="1134" w:right="1558" w:bottom="2268" w:left="2268" w:header="708" w:footer="708" w:gutter="0"/>
          <w:cols w:space="708"/>
          <w:docGrid w:linePitch="360"/>
        </w:sectPr>
      </w:pPr>
      <w:r w:rsidRPr="00D9152B">
        <w:rPr>
          <w:rFonts w:ascii="Calibri" w:hAnsi="Calibri" w:cs="Calibri"/>
          <w:sz w:val="22"/>
          <w:szCs w:val="22"/>
        </w:rPr>
        <w:t xml:space="preserve">These percentages generally support the Bank’s self-reported general timeline of its involvement in the health sector, </w:t>
      </w:r>
      <w:r w:rsidR="00D43CEA" w:rsidRPr="00D9152B">
        <w:rPr>
          <w:rFonts w:ascii="Calibri" w:hAnsi="Calibri" w:cs="Calibri"/>
          <w:sz w:val="22"/>
          <w:szCs w:val="22"/>
        </w:rPr>
        <w:t>which emphasises</w:t>
      </w:r>
      <w:r w:rsidRPr="00D9152B">
        <w:rPr>
          <w:rFonts w:ascii="Calibri" w:hAnsi="Calibri" w:cs="Calibri"/>
          <w:sz w:val="22"/>
          <w:szCs w:val="22"/>
        </w:rPr>
        <w:t xml:space="preserve"> its initial interest in population control (1970s)</w:t>
      </w:r>
      <w:r w:rsidR="00D43CEA" w:rsidRPr="00D9152B">
        <w:rPr>
          <w:rFonts w:ascii="Calibri" w:hAnsi="Calibri" w:cs="Calibri"/>
          <w:sz w:val="22"/>
          <w:szCs w:val="22"/>
        </w:rPr>
        <w:t>; focus</w:t>
      </w:r>
      <w:r w:rsidRPr="00D9152B">
        <w:rPr>
          <w:rFonts w:ascii="Calibri" w:hAnsi="Calibri" w:cs="Calibri"/>
          <w:sz w:val="22"/>
          <w:szCs w:val="22"/>
        </w:rPr>
        <w:t xml:space="preserve"> on PHC and ‘health reform’ (restructuring health financing, 1987-1996)</w:t>
      </w:r>
      <w:r w:rsidR="00D43CEA" w:rsidRPr="00D9152B">
        <w:rPr>
          <w:rFonts w:ascii="Calibri" w:hAnsi="Calibri" w:cs="Calibri"/>
          <w:sz w:val="22"/>
          <w:szCs w:val="22"/>
        </w:rPr>
        <w:t xml:space="preserve">; and </w:t>
      </w:r>
      <w:r w:rsidRPr="00D9152B">
        <w:rPr>
          <w:rFonts w:ascii="Calibri" w:hAnsi="Calibri" w:cs="Calibri"/>
          <w:sz w:val="22"/>
          <w:szCs w:val="22"/>
        </w:rPr>
        <w:t>commitment to a sector-wide approach for HSS (1997-mid 2000s).</w:t>
      </w:r>
      <w:r w:rsidRPr="00D9152B">
        <w:rPr>
          <w:rStyle w:val="FootnoteReference"/>
          <w:rFonts w:ascii="Calibri" w:hAnsi="Calibri" w:cs="Calibri"/>
          <w:sz w:val="22"/>
          <w:szCs w:val="22"/>
        </w:rPr>
        <w:footnoteReference w:id="185"/>
      </w:r>
      <w:r w:rsidRPr="00D9152B">
        <w:rPr>
          <w:rFonts w:ascii="Calibri" w:hAnsi="Calibri" w:cs="Calibri"/>
          <w:sz w:val="22"/>
          <w:szCs w:val="22"/>
        </w:rPr>
        <w:t xml:space="preserve"> </w:t>
      </w:r>
      <w:r w:rsidR="00093A57" w:rsidRPr="00D9152B">
        <w:rPr>
          <w:rFonts w:ascii="Calibri" w:hAnsi="Calibri" w:cs="Calibri"/>
          <w:sz w:val="22"/>
          <w:szCs w:val="22"/>
        </w:rPr>
        <w:t xml:space="preserve">Figures </w:t>
      </w:r>
      <w:r w:rsidR="00650B62">
        <w:rPr>
          <w:rFonts w:ascii="Calibri" w:hAnsi="Calibri" w:cs="Calibri"/>
          <w:sz w:val="22"/>
          <w:szCs w:val="22"/>
        </w:rPr>
        <w:t>3.</w:t>
      </w:r>
      <w:r w:rsidR="00093A57" w:rsidRPr="00D9152B">
        <w:rPr>
          <w:rFonts w:ascii="Calibri" w:hAnsi="Calibri" w:cs="Calibri"/>
          <w:sz w:val="22"/>
          <w:szCs w:val="22"/>
        </w:rPr>
        <w:t>1</w:t>
      </w:r>
      <w:r w:rsidR="00781AAB" w:rsidRPr="00D9152B">
        <w:rPr>
          <w:rFonts w:ascii="Calibri" w:hAnsi="Calibri" w:cs="Calibri"/>
          <w:sz w:val="22"/>
          <w:szCs w:val="22"/>
        </w:rPr>
        <w:t>5</w:t>
      </w:r>
      <w:r w:rsidR="00093A57" w:rsidRPr="00D9152B">
        <w:rPr>
          <w:rFonts w:ascii="Calibri" w:hAnsi="Calibri" w:cs="Calibri"/>
          <w:sz w:val="22"/>
          <w:szCs w:val="22"/>
        </w:rPr>
        <w:t xml:space="preserve"> and </w:t>
      </w:r>
      <w:r w:rsidR="00650B62">
        <w:rPr>
          <w:rFonts w:ascii="Calibri" w:hAnsi="Calibri" w:cs="Calibri"/>
          <w:sz w:val="22"/>
          <w:szCs w:val="22"/>
        </w:rPr>
        <w:t>3.</w:t>
      </w:r>
      <w:r w:rsidR="00093A57" w:rsidRPr="00D9152B">
        <w:rPr>
          <w:rFonts w:ascii="Calibri" w:hAnsi="Calibri" w:cs="Calibri"/>
          <w:sz w:val="22"/>
          <w:szCs w:val="22"/>
        </w:rPr>
        <w:t>1</w:t>
      </w:r>
      <w:r w:rsidR="00781AAB" w:rsidRPr="00D9152B">
        <w:rPr>
          <w:rFonts w:ascii="Calibri" w:hAnsi="Calibri" w:cs="Calibri"/>
          <w:sz w:val="22"/>
          <w:szCs w:val="22"/>
        </w:rPr>
        <w:t>6</w:t>
      </w:r>
      <w:r w:rsidR="00093A57" w:rsidRPr="00D9152B">
        <w:rPr>
          <w:rFonts w:ascii="Calibri" w:hAnsi="Calibri" w:cs="Calibri"/>
          <w:sz w:val="22"/>
          <w:szCs w:val="22"/>
        </w:rPr>
        <w:t xml:space="preserve"> show major health events at the World Bank and contemporary milestones in global health, during the OCP (1974-2002).</w:t>
      </w:r>
    </w:p>
    <w:p w14:paraId="3A7CC8A6" w14:textId="77777777" w:rsidR="00131376" w:rsidRPr="00D9152B" w:rsidRDefault="00131376" w:rsidP="00131376">
      <w:pPr>
        <w:jc w:val="both"/>
        <w:rPr>
          <w:rFonts w:ascii="Calibri" w:hAnsi="Calibri" w:cs="Calibri"/>
          <w:color w:val="808080" w:themeColor="background1" w:themeShade="80"/>
        </w:rPr>
      </w:pPr>
      <w:r w:rsidRPr="00D9152B">
        <w:rPr>
          <w:rFonts w:ascii="Calibri" w:hAnsi="Calibri" w:cs="Calibri"/>
          <w:noProof/>
          <w:color w:val="808080" w:themeColor="background1" w:themeShade="80"/>
          <w:lang w:eastAsia="en-GB"/>
        </w:rPr>
        <w:lastRenderedPageBreak/>
        <w:drawing>
          <wp:inline distT="0" distB="0" distL="0" distR="0" wp14:anchorId="4952CCBF" wp14:editId="52965A51">
            <wp:extent cx="8897310" cy="4019550"/>
            <wp:effectExtent l="0" t="0" r="5715" b="0"/>
            <wp:docPr id="78" name="Chart 78" descr="Timeline charting project details">
              <a:extLst xmlns:a="http://schemas.openxmlformats.org/drawingml/2006/main">
                <a:ext uri="{FF2B5EF4-FFF2-40B4-BE49-F238E27FC236}">
                  <a16:creationId xmlns:a16="http://schemas.microsoft.com/office/drawing/2014/main" id="{00000000-0008-0000-0000-00000B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602A649D" w14:textId="77777777" w:rsidR="00131376" w:rsidRPr="00D9152B" w:rsidRDefault="00131376" w:rsidP="00131376">
      <w:pPr>
        <w:jc w:val="both"/>
        <w:rPr>
          <w:rFonts w:ascii="Calibri" w:hAnsi="Calibri" w:cs="Calibri"/>
          <w:color w:val="808080" w:themeColor="background1" w:themeShade="80"/>
        </w:rPr>
      </w:pPr>
    </w:p>
    <w:p w14:paraId="5F8F33F6" w14:textId="19978B38" w:rsidR="002E6E6B" w:rsidRPr="00E354C6" w:rsidRDefault="00131376" w:rsidP="002E6E6B">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650B62">
        <w:rPr>
          <w:rFonts w:ascii="Calibri" w:hAnsi="Calibri" w:cs="Calibri"/>
          <w:color w:val="808080" w:themeColor="background1" w:themeShade="80"/>
          <w:sz w:val="22"/>
          <w:szCs w:val="22"/>
        </w:rPr>
        <w:t>3.</w:t>
      </w:r>
      <w:r w:rsidR="00781AAB" w:rsidRPr="00D9152B">
        <w:rPr>
          <w:rFonts w:ascii="Calibri" w:hAnsi="Calibri" w:cs="Calibri"/>
          <w:color w:val="808080" w:themeColor="background1" w:themeShade="80"/>
          <w:sz w:val="22"/>
          <w:szCs w:val="22"/>
        </w:rPr>
        <w:t>15</w:t>
      </w:r>
      <w:r w:rsidRPr="00D9152B">
        <w:rPr>
          <w:rFonts w:ascii="Calibri" w:hAnsi="Calibri" w:cs="Calibri"/>
          <w:color w:val="808080" w:themeColor="background1" w:themeShade="80"/>
          <w:sz w:val="22"/>
          <w:szCs w:val="22"/>
        </w:rPr>
        <w:t>. Major World Bank health sector events, publications, and programmes during the OCP years</w:t>
      </w:r>
      <w:r w:rsidRPr="00E354C6">
        <w:rPr>
          <w:rFonts w:ascii="Calibri" w:hAnsi="Calibri" w:cs="Calibri"/>
          <w:color w:val="808080" w:themeColor="background1" w:themeShade="80"/>
          <w:sz w:val="22"/>
          <w:szCs w:val="22"/>
        </w:rPr>
        <w:t>.</w:t>
      </w:r>
      <w:r w:rsidR="00E354C6" w:rsidRPr="00CF189D">
        <w:rPr>
          <w:rStyle w:val="FootnoteReference"/>
          <w:rFonts w:ascii="Calibri" w:hAnsi="Calibri" w:cs="Calibri"/>
          <w:color w:val="808080" w:themeColor="background1" w:themeShade="80"/>
        </w:rPr>
        <w:footnoteReference w:customMarkFollows="1" w:id="186"/>
        <w:t>58</w:t>
      </w:r>
    </w:p>
    <w:p w14:paraId="17181958" w14:textId="5175E543" w:rsidR="00131376" w:rsidRPr="00D9152B" w:rsidRDefault="00131376" w:rsidP="00131376">
      <w:pPr>
        <w:jc w:val="both"/>
        <w:rPr>
          <w:rFonts w:ascii="Calibri" w:hAnsi="Calibri" w:cs="Calibri"/>
          <w:color w:val="808080" w:themeColor="background1" w:themeShade="80"/>
          <w:sz w:val="22"/>
          <w:szCs w:val="22"/>
        </w:rPr>
      </w:pPr>
    </w:p>
    <w:p w14:paraId="32E9182D" w14:textId="33515236" w:rsidR="002E6E6B" w:rsidRPr="00D9152B" w:rsidRDefault="002E6E6B" w:rsidP="00131376">
      <w:pPr>
        <w:jc w:val="both"/>
        <w:rPr>
          <w:rFonts w:ascii="Calibri" w:hAnsi="Calibri" w:cs="Calibri"/>
          <w:color w:val="808080" w:themeColor="background1" w:themeShade="80"/>
          <w:sz w:val="22"/>
          <w:szCs w:val="22"/>
        </w:rPr>
      </w:pPr>
    </w:p>
    <w:p w14:paraId="24D43A32" w14:textId="21F92A13" w:rsidR="008D74B3" w:rsidRPr="00D9152B" w:rsidRDefault="00131376" w:rsidP="00131376">
      <w:pPr>
        <w:jc w:val="both"/>
        <w:rPr>
          <w:rFonts w:ascii="Calibri" w:hAnsi="Calibri" w:cs="Calibri"/>
          <w:color w:val="808080" w:themeColor="background1" w:themeShade="80"/>
          <w:sz w:val="22"/>
          <w:szCs w:val="22"/>
        </w:rPr>
        <w:sectPr w:rsidR="008D74B3" w:rsidRPr="00D9152B" w:rsidSect="008D74B3">
          <w:footnotePr>
            <w:numRestart w:val="eachSect"/>
          </w:footnotePr>
          <w:pgSz w:w="16838" w:h="11906" w:orient="landscape"/>
          <w:pgMar w:top="1559" w:right="2268" w:bottom="2268" w:left="1134" w:header="709" w:footer="709" w:gutter="0"/>
          <w:cols w:space="708"/>
          <w:docGrid w:linePitch="360"/>
        </w:sectPr>
      </w:pPr>
      <w:r w:rsidRPr="00D9152B">
        <w:rPr>
          <w:rFonts w:ascii="Calibri" w:hAnsi="Calibri" w:cs="Calibri"/>
          <w:noProof/>
          <w:color w:val="808080" w:themeColor="background1" w:themeShade="80"/>
          <w:sz w:val="16"/>
          <w:szCs w:val="16"/>
          <w:lang w:eastAsia="en-GB"/>
        </w:rPr>
        <w:lastRenderedPageBreak/>
        <w:drawing>
          <wp:inline distT="0" distB="0" distL="0" distR="0" wp14:anchorId="06C08EFF" wp14:editId="385777F6">
            <wp:extent cx="8698230" cy="4384345"/>
            <wp:effectExtent l="0" t="0" r="1270" b="0"/>
            <wp:docPr id="119" name="Chart 119" descr="Line chart that plots each project on the corresponding timeframe." title="Project Timeline"/>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r w:rsidRPr="00D9152B">
        <w:rPr>
          <w:rFonts w:ascii="Calibri" w:hAnsi="Calibri" w:cs="Calibri"/>
          <w:color w:val="808080" w:themeColor="background1" w:themeShade="80"/>
          <w:sz w:val="22"/>
          <w:szCs w:val="22"/>
        </w:rPr>
        <w:t xml:space="preserve">Figure </w:t>
      </w:r>
      <w:r w:rsidR="00650B62">
        <w:rPr>
          <w:rFonts w:ascii="Calibri" w:hAnsi="Calibri" w:cs="Calibri"/>
          <w:color w:val="808080" w:themeColor="background1" w:themeShade="80"/>
          <w:sz w:val="22"/>
          <w:szCs w:val="22"/>
        </w:rPr>
        <w:t>3.</w:t>
      </w:r>
      <w:r w:rsidR="00781AAB" w:rsidRPr="00D9152B">
        <w:rPr>
          <w:rFonts w:ascii="Calibri" w:hAnsi="Calibri" w:cs="Calibri"/>
          <w:color w:val="808080" w:themeColor="background1" w:themeShade="80"/>
          <w:sz w:val="22"/>
          <w:szCs w:val="22"/>
        </w:rPr>
        <w:t>16</w:t>
      </w:r>
      <w:r w:rsidRPr="00D9152B">
        <w:rPr>
          <w:rFonts w:ascii="Calibri" w:hAnsi="Calibri" w:cs="Calibri"/>
          <w:color w:val="808080" w:themeColor="background1" w:themeShade="80"/>
          <w:sz w:val="22"/>
          <w:szCs w:val="22"/>
        </w:rPr>
        <w:t>. Major multilateral global health milestones during the OCP years. [BMGF is Bill and Melinda Gates Foundation; UNESCO is the United Nations Education, Scientific and Cultural Council; UNFPA is the United Nations Population Fund; UNICEF is the United Nations Children’s Fu</w:t>
      </w:r>
      <w:r w:rsidR="008D74B3" w:rsidRPr="00D9152B">
        <w:rPr>
          <w:rFonts w:ascii="Calibri" w:hAnsi="Calibri" w:cs="Calibri"/>
          <w:color w:val="808080" w:themeColor="background1" w:themeShade="80"/>
          <w:sz w:val="22"/>
          <w:szCs w:val="22"/>
        </w:rPr>
        <w:t>nd</w:t>
      </w:r>
      <w:r w:rsidR="008D74B3" w:rsidRPr="00E354C6">
        <w:rPr>
          <w:rFonts w:ascii="Calibri" w:hAnsi="Calibri" w:cs="Calibri"/>
          <w:color w:val="808080" w:themeColor="background1" w:themeShade="80"/>
          <w:sz w:val="22"/>
          <w:szCs w:val="22"/>
        </w:rPr>
        <w:t>.]</w:t>
      </w:r>
      <w:r w:rsidR="00E354C6" w:rsidRPr="00CF189D">
        <w:rPr>
          <w:rStyle w:val="FootnoteReference"/>
          <w:rFonts w:ascii="Calibri" w:hAnsi="Calibri" w:cs="Calibri"/>
          <w:color w:val="808080" w:themeColor="background1" w:themeShade="80"/>
        </w:rPr>
        <w:footnoteReference w:customMarkFollows="1" w:id="187"/>
        <w:t>59</w:t>
      </w:r>
    </w:p>
    <w:p w14:paraId="69A1A29A" w14:textId="62F44624" w:rsidR="003806CC" w:rsidRPr="00D9152B" w:rsidRDefault="003806CC" w:rsidP="008D74B3">
      <w:pPr>
        <w:spacing w:line="360" w:lineRule="auto"/>
        <w:ind w:firstLine="720"/>
        <w:rPr>
          <w:rFonts w:ascii="Calibri" w:hAnsi="Calibri" w:cs="Calibri"/>
          <w:sz w:val="22"/>
          <w:szCs w:val="22"/>
        </w:rPr>
      </w:pPr>
      <w:r w:rsidRPr="00D9152B">
        <w:rPr>
          <w:rFonts w:ascii="Calibri" w:hAnsi="Calibri" w:cs="Calibri"/>
          <w:sz w:val="22"/>
          <w:szCs w:val="22"/>
        </w:rPr>
        <w:lastRenderedPageBreak/>
        <w:t>Yet, compared to the WHO, few scholars have tackled the history and governance of the Bank’s health portfolio.</w:t>
      </w:r>
      <w:r w:rsidR="006B3F36">
        <w:rPr>
          <w:rStyle w:val="FootnoteReference"/>
          <w:rFonts w:cs="Calibri"/>
        </w:rPr>
        <w:footnoteReference w:customMarkFollows="1" w:id="188"/>
        <w:t>60</w:t>
      </w:r>
      <w:r w:rsidRPr="00D9152B">
        <w:rPr>
          <w:rFonts w:ascii="Calibri" w:hAnsi="Calibri" w:cs="Calibri"/>
          <w:sz w:val="22"/>
          <w:szCs w:val="22"/>
        </w:rPr>
        <w:t xml:space="preserve"> Most early analyses of the Bank’s health portfolio were internal</w:t>
      </w:r>
      <w:r w:rsidR="006B3F36">
        <w:rPr>
          <w:rFonts w:ascii="Calibri" w:hAnsi="Calibri" w:cs="Calibri"/>
          <w:sz w:val="22"/>
          <w:szCs w:val="22"/>
        </w:rPr>
        <w:t>.</w:t>
      </w:r>
      <w:r w:rsidR="006B3F36" w:rsidRPr="00CF189D">
        <w:rPr>
          <w:rStyle w:val="FootnoteReference"/>
          <w:rFonts w:ascii="Calibri" w:hAnsi="Calibri" w:cs="Calibri"/>
        </w:rPr>
        <w:footnoteReference w:customMarkFollows="1" w:id="189"/>
        <w:t>61</w:t>
      </w:r>
      <w:r w:rsidR="006B3F36">
        <w:rPr>
          <w:rFonts w:ascii="Calibri" w:hAnsi="Calibri" w:cs="Calibri"/>
          <w:sz w:val="22"/>
          <w:szCs w:val="22"/>
        </w:rPr>
        <w:t xml:space="preserve"> </w:t>
      </w:r>
      <w:r w:rsidRPr="00D9152B">
        <w:rPr>
          <w:rFonts w:ascii="Calibri" w:hAnsi="Calibri" w:cs="Calibri"/>
          <w:sz w:val="22"/>
          <w:szCs w:val="22"/>
        </w:rPr>
        <w:t>Research by a burgeoning group of health policy, anthropology, political science, and governance scholars has recently focused on the Bank’s role in health from the 1970s-2000s. It sheds light on the institutional ethos of the Bank and how it has played a major role in global health governance, and provides a contextual background for understanding the Bank’s active push of its dominant OCP narrative</w:t>
      </w:r>
      <w:r w:rsidR="00650B62">
        <w:rPr>
          <w:rFonts w:ascii="Calibri" w:hAnsi="Calibri" w:cs="Calibri"/>
          <w:sz w:val="22"/>
          <w:szCs w:val="22"/>
        </w:rPr>
        <w:t>, which is further explored in Chapter 9</w:t>
      </w:r>
      <w:r w:rsidRPr="00D9152B">
        <w:rPr>
          <w:rFonts w:ascii="Calibri" w:hAnsi="Calibri" w:cs="Calibri"/>
          <w:sz w:val="22"/>
          <w:szCs w:val="22"/>
        </w:rPr>
        <w:t>. Since the late 1990s, three major sets of scholarship have considered the Bank’s conceptualisation and policies for global health: the sweeping historical and thematic research of Abbasi</w:t>
      </w:r>
      <w:r w:rsidR="00BD7326">
        <w:rPr>
          <w:rFonts w:ascii="Calibri" w:hAnsi="Calibri" w:cs="Calibri"/>
          <w:sz w:val="22"/>
          <w:szCs w:val="22"/>
        </w:rPr>
        <w:t xml:space="preserve">, Stein, and </w:t>
      </w:r>
      <w:r w:rsidRPr="00D9152B">
        <w:rPr>
          <w:rFonts w:ascii="Calibri" w:hAnsi="Calibri" w:cs="Calibri"/>
          <w:sz w:val="22"/>
          <w:szCs w:val="22"/>
        </w:rPr>
        <w:t>Ruger, the political economy perspectives of Harman and Sridhar, and, most recently, the financial lens of Sridhar et al.</w:t>
      </w:r>
    </w:p>
    <w:p w14:paraId="0BD63988" w14:textId="6AD395A7" w:rsidR="003806CC" w:rsidRPr="00D9152B" w:rsidRDefault="003806CC" w:rsidP="003806CC">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Abbasi’s 1999 series was the first external study to attempt to comprehensively track the Bank’s work in the health sector since the 1960s. Abbasi argues that, ‘the past decade [1989-1999] has seen it change image from uncaring bully to compassionate stakeholder, focusing on </w:t>
      </w:r>
      <w:r w:rsidRPr="00A44BED">
        <w:rPr>
          <w:rFonts w:ascii="Calibri" w:hAnsi="Calibri" w:cs="Calibri"/>
          <w:sz w:val="22"/>
          <w:szCs w:val="22"/>
        </w:rPr>
        <w:t>health’.</w:t>
      </w:r>
      <w:r w:rsidR="006B3F36" w:rsidRPr="00CF189D">
        <w:rPr>
          <w:rStyle w:val="FootnoteReference"/>
          <w:rFonts w:ascii="Calibri" w:hAnsi="Calibri" w:cs="Calibri"/>
        </w:rPr>
        <w:footnoteReference w:customMarkFollows="1" w:id="190"/>
        <w:t>62</w:t>
      </w:r>
      <w:r w:rsidRPr="00A44BED">
        <w:rPr>
          <w:rFonts w:ascii="Calibri" w:hAnsi="Calibri" w:cs="Calibri"/>
          <w:sz w:val="22"/>
          <w:szCs w:val="22"/>
        </w:rPr>
        <w:t xml:space="preserve"> He</w:t>
      </w:r>
      <w:r w:rsidRPr="00D9152B">
        <w:rPr>
          <w:rFonts w:ascii="Calibri" w:hAnsi="Calibri" w:cs="Calibri"/>
          <w:sz w:val="22"/>
          <w:szCs w:val="22"/>
        </w:rPr>
        <w:t xml:space="preserve"> explains that the Bank eclipsed the WHO in influence since the 1980s, due to its strong financial power. Rather than criticizing Bank health policies himself, he points to controversial themes raised by its ‘critics’ since the 1980s, including the Bank’s structural adjustment and user fee policies in the late 1980s, and its embrace of private health care provision and disability-adjusted life years (DALYs) during the 1990s</w:t>
      </w:r>
      <w:r w:rsidRPr="00D9152B">
        <w:rPr>
          <w:rFonts w:ascii="Calibri" w:hAnsi="Calibri" w:cs="Calibri"/>
          <w:i/>
          <w:sz w:val="22"/>
          <w:szCs w:val="22"/>
        </w:rPr>
        <w:t>.</w:t>
      </w:r>
      <w:r w:rsidR="006B3F36" w:rsidRPr="00CF189D">
        <w:rPr>
          <w:rStyle w:val="FootnoteReference"/>
          <w:rFonts w:ascii="Calibri" w:hAnsi="Calibri" w:cs="Calibri"/>
        </w:rPr>
        <w:footnoteReference w:customMarkFollows="1" w:id="191"/>
        <w:t>63</w:t>
      </w:r>
    </w:p>
    <w:p w14:paraId="20688CA8" w14:textId="58717C51" w:rsidR="002E6E6B" w:rsidRDefault="003806CC" w:rsidP="002E6E6B">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In 2005, Ruger, a former Bank employee and speech writer for Bank President James Wolfensohn (1995-2005), attempted the first broad analysis of the Bank’s work in global health. Her paper builds on Abbasi’s view that the Bank’s strength in global health has been its financial power and development of econometrics, and identifies three main </w:t>
      </w:r>
      <w:r w:rsidRPr="00D9152B">
        <w:rPr>
          <w:rFonts w:ascii="Calibri" w:hAnsi="Calibri" w:cs="Calibri"/>
          <w:sz w:val="22"/>
          <w:szCs w:val="22"/>
        </w:rPr>
        <w:lastRenderedPageBreak/>
        <w:t>stages of Bank investment in health. First, in the 1950s and 1960s, the Bank viewed economic growth as the key to development, and placed little emphasis on health or social services.</w:t>
      </w:r>
      <w:r w:rsidR="006B3F36" w:rsidRPr="00CF189D">
        <w:rPr>
          <w:rStyle w:val="FootnoteReference"/>
          <w:rFonts w:ascii="Calibri" w:hAnsi="Calibri" w:cs="Calibri"/>
        </w:rPr>
        <w:footnoteReference w:customMarkFollows="1" w:id="192"/>
        <w:t>64</w:t>
      </w:r>
      <w:r w:rsidRPr="00D9152B">
        <w:rPr>
          <w:rFonts w:ascii="Calibri" w:hAnsi="Calibri" w:cs="Calibri"/>
          <w:sz w:val="22"/>
          <w:szCs w:val="22"/>
        </w:rPr>
        <w:t xml:space="preserve"> Second, in the 1960s-1980s, the Bank began to understand development less in terms of economic growth and more in terms of meeting individuals’ basic needs. McNamara emphasized population control and nutrition in the late 1960s and created the first scientific advisor position in 1970, and theories of human capital gained acceptance. Third, from the late 1980s through the 1990s, the Bank made stand-alone investments in health, which emphasized privatization, trade liberalization, and public sector contraction. While investments initially took the form of conditional aid and user fees,</w:t>
      </w:r>
      <w:r w:rsidR="006B3F36" w:rsidRPr="00CF189D">
        <w:rPr>
          <w:rStyle w:val="FootnoteReference"/>
          <w:rFonts w:ascii="Calibri" w:hAnsi="Calibri" w:cs="Calibri"/>
        </w:rPr>
        <w:footnoteReference w:customMarkFollows="1" w:id="193"/>
        <w:t>65</w:t>
      </w:r>
      <w:r w:rsidRPr="00D9152B">
        <w:rPr>
          <w:rFonts w:ascii="Calibri" w:hAnsi="Calibri" w:cs="Calibri"/>
          <w:sz w:val="22"/>
          <w:szCs w:val="22"/>
        </w:rPr>
        <w:t xml:space="preserve"> the Bank developed a new </w:t>
      </w:r>
      <w:r w:rsidR="00650B62">
        <w:rPr>
          <w:rFonts w:ascii="Calibri" w:hAnsi="Calibri" w:cs="Calibri"/>
          <w:sz w:val="22"/>
          <w:szCs w:val="22"/>
        </w:rPr>
        <w:t>HNP</w:t>
      </w:r>
      <w:r w:rsidRPr="00D9152B">
        <w:rPr>
          <w:rFonts w:ascii="Calibri" w:hAnsi="Calibri" w:cs="Calibri"/>
          <w:sz w:val="22"/>
          <w:szCs w:val="22"/>
        </w:rPr>
        <w:t xml:space="preserve"> strategy in 1997, which instead emphasized sector-wide programs and inter-agency</w:t>
      </w:r>
      <w:r w:rsidR="002E6E6B" w:rsidRPr="00D9152B">
        <w:rPr>
          <w:rFonts w:ascii="Calibri" w:hAnsi="Calibri" w:cs="Calibri"/>
          <w:sz w:val="22"/>
          <w:szCs w:val="22"/>
        </w:rPr>
        <w:t xml:space="preserve"> collaboration.</w:t>
      </w:r>
    </w:p>
    <w:p w14:paraId="7C417782" w14:textId="51FB718C" w:rsidR="00BD7326" w:rsidRDefault="00BD7326" w:rsidP="002E6E6B">
      <w:pPr>
        <w:spacing w:before="100" w:beforeAutospacing="1" w:after="100" w:afterAutospacing="1" w:line="360" w:lineRule="auto"/>
        <w:ind w:firstLine="720"/>
        <w:rPr>
          <w:rFonts w:ascii="Calibri" w:hAnsi="Calibri" w:cs="Calibri"/>
          <w:sz w:val="22"/>
          <w:szCs w:val="22"/>
        </w:rPr>
      </w:pPr>
      <w:r>
        <w:rPr>
          <w:rFonts w:ascii="Calibri" w:hAnsi="Calibri" w:cs="Calibri"/>
          <w:sz w:val="22"/>
          <w:szCs w:val="22"/>
        </w:rPr>
        <w:t>Like Ruger, Stein uses a historical analysis of health policy at the Bank to consider the influence of its economic thinking and its contributions to</w:t>
      </w:r>
      <w:r w:rsidR="00650F76">
        <w:rPr>
          <w:rFonts w:ascii="Calibri" w:hAnsi="Calibri" w:cs="Calibri"/>
          <w:sz w:val="22"/>
          <w:szCs w:val="22"/>
        </w:rPr>
        <w:t xml:space="preserve"> health</w:t>
      </w:r>
      <w:r>
        <w:rPr>
          <w:rFonts w:ascii="Calibri" w:hAnsi="Calibri" w:cs="Calibri"/>
          <w:sz w:val="22"/>
          <w:szCs w:val="22"/>
        </w:rPr>
        <w:t xml:space="preserve"> ‘reform’ policies. However, he places more emphasis on </w:t>
      </w:r>
      <w:r w:rsidR="00F23626">
        <w:rPr>
          <w:rFonts w:ascii="Calibri" w:hAnsi="Calibri" w:cs="Calibri"/>
          <w:sz w:val="22"/>
          <w:szCs w:val="22"/>
        </w:rPr>
        <w:t>a dramatic shift towards neoclassical</w:t>
      </w:r>
      <w:r w:rsidR="007934B8">
        <w:rPr>
          <w:rFonts w:ascii="Calibri" w:hAnsi="Calibri" w:cs="Calibri"/>
          <w:sz w:val="22"/>
          <w:szCs w:val="22"/>
        </w:rPr>
        <w:t xml:space="preserve"> economics for health care analys</w:t>
      </w:r>
      <w:r w:rsidR="00F13CAE">
        <w:rPr>
          <w:rFonts w:ascii="Calibri" w:hAnsi="Calibri" w:cs="Calibri"/>
          <w:sz w:val="22"/>
          <w:szCs w:val="22"/>
        </w:rPr>
        <w:t>e</w:t>
      </w:r>
      <w:r w:rsidR="007934B8">
        <w:rPr>
          <w:rFonts w:ascii="Calibri" w:hAnsi="Calibri" w:cs="Calibri"/>
          <w:sz w:val="22"/>
          <w:szCs w:val="22"/>
        </w:rPr>
        <w:t>s</w:t>
      </w:r>
      <w:r w:rsidR="005F1D9E">
        <w:rPr>
          <w:rFonts w:ascii="Calibri" w:hAnsi="Calibri" w:cs="Calibri"/>
          <w:sz w:val="22"/>
          <w:szCs w:val="22"/>
        </w:rPr>
        <w:t xml:space="preserve"> in</w:t>
      </w:r>
      <w:r w:rsidR="00F23626">
        <w:rPr>
          <w:rFonts w:ascii="Calibri" w:hAnsi="Calibri" w:cs="Calibri"/>
          <w:sz w:val="22"/>
          <w:szCs w:val="22"/>
        </w:rPr>
        <w:t xml:space="preserve"> the early 1980s, and</w:t>
      </w:r>
      <w:r w:rsidR="00CA0531">
        <w:rPr>
          <w:rFonts w:ascii="Calibri" w:hAnsi="Calibri" w:cs="Calibri"/>
          <w:sz w:val="22"/>
          <w:szCs w:val="22"/>
        </w:rPr>
        <w:t>,</w:t>
      </w:r>
      <w:r w:rsidR="00F23626">
        <w:rPr>
          <w:rFonts w:ascii="Calibri" w:hAnsi="Calibri" w:cs="Calibri"/>
          <w:sz w:val="22"/>
          <w:szCs w:val="22"/>
        </w:rPr>
        <w:t xml:space="preserve"> unlike Abbasi, presents the Bank’s health reform policies in a squarely critical light. For instance, Stein describes </w:t>
      </w:r>
      <w:r w:rsidR="00B448E7">
        <w:rPr>
          <w:rFonts w:ascii="Calibri" w:hAnsi="Calibri" w:cs="Calibri"/>
          <w:sz w:val="22"/>
          <w:szCs w:val="22"/>
        </w:rPr>
        <w:t xml:space="preserve">how, in its first </w:t>
      </w:r>
      <w:r w:rsidR="00B448E7">
        <w:rPr>
          <w:rFonts w:ascii="Calibri" w:hAnsi="Calibri" w:cs="Calibri"/>
          <w:i/>
          <w:iCs/>
          <w:sz w:val="22"/>
          <w:szCs w:val="22"/>
        </w:rPr>
        <w:t>Health policy paper</w:t>
      </w:r>
      <w:r w:rsidR="00CA0531">
        <w:rPr>
          <w:rFonts w:ascii="Calibri" w:hAnsi="Calibri" w:cs="Calibri"/>
          <w:i/>
          <w:iCs/>
          <w:sz w:val="22"/>
          <w:szCs w:val="22"/>
        </w:rPr>
        <w:t xml:space="preserve"> </w:t>
      </w:r>
      <w:r w:rsidR="00CA0531">
        <w:rPr>
          <w:rFonts w:ascii="Calibri" w:hAnsi="Calibri" w:cs="Calibri"/>
          <w:sz w:val="22"/>
          <w:szCs w:val="22"/>
        </w:rPr>
        <w:t>(1975)</w:t>
      </w:r>
      <w:r w:rsidR="00B448E7">
        <w:rPr>
          <w:rFonts w:ascii="Calibri" w:hAnsi="Calibri" w:cs="Calibri"/>
          <w:i/>
          <w:iCs/>
          <w:sz w:val="22"/>
          <w:szCs w:val="22"/>
        </w:rPr>
        <w:t xml:space="preserve">, </w:t>
      </w:r>
      <w:r w:rsidR="00B448E7">
        <w:rPr>
          <w:rFonts w:ascii="Calibri" w:hAnsi="Calibri" w:cs="Calibri"/>
          <w:sz w:val="22"/>
          <w:szCs w:val="22"/>
        </w:rPr>
        <w:t>the Bank warned against heavy reliance on cost-benefit analyses and private sector health delivery due to acknowledged market failures</w:t>
      </w:r>
      <w:r w:rsidR="007934B8">
        <w:rPr>
          <w:rFonts w:ascii="Calibri" w:hAnsi="Calibri" w:cs="Calibri"/>
          <w:sz w:val="22"/>
          <w:szCs w:val="22"/>
        </w:rPr>
        <w:t xml:space="preserve">, and how it further </w:t>
      </w:r>
      <w:r w:rsidR="00B448E7">
        <w:rPr>
          <w:rFonts w:ascii="Calibri" w:hAnsi="Calibri" w:cs="Calibri"/>
          <w:sz w:val="22"/>
          <w:szCs w:val="22"/>
        </w:rPr>
        <w:t xml:space="preserve">articulated this warning in its 1980 </w:t>
      </w:r>
      <w:r w:rsidR="00B448E7">
        <w:rPr>
          <w:rFonts w:ascii="Calibri" w:hAnsi="Calibri" w:cs="Calibri"/>
          <w:i/>
          <w:iCs/>
          <w:sz w:val="22"/>
          <w:szCs w:val="22"/>
        </w:rPr>
        <w:t>World development report</w:t>
      </w:r>
      <w:r w:rsidR="00B448E7">
        <w:rPr>
          <w:rFonts w:ascii="Calibri" w:hAnsi="Calibri" w:cs="Calibri"/>
          <w:sz w:val="22"/>
          <w:szCs w:val="22"/>
        </w:rPr>
        <w:t>, which focused on a basic needs approach through political support to primary health care (PHC), public expenditures, and building public administrative capacities.</w:t>
      </w:r>
      <w:r w:rsidR="00650F76">
        <w:rPr>
          <w:rFonts w:ascii="Calibri" w:hAnsi="Calibri" w:cs="Calibri"/>
          <w:sz w:val="22"/>
          <w:szCs w:val="22"/>
        </w:rPr>
        <w:t xml:space="preserve"> Yet,</w:t>
      </w:r>
      <w:r w:rsidR="005D47B5">
        <w:rPr>
          <w:rFonts w:ascii="Calibri" w:hAnsi="Calibri" w:cs="Calibri"/>
          <w:sz w:val="22"/>
          <w:szCs w:val="22"/>
        </w:rPr>
        <w:t xml:space="preserve"> in the early 1980s, </w:t>
      </w:r>
      <w:r w:rsidR="00650F76">
        <w:rPr>
          <w:rFonts w:ascii="Calibri" w:hAnsi="Calibri" w:cs="Calibri"/>
          <w:sz w:val="22"/>
          <w:szCs w:val="22"/>
        </w:rPr>
        <w:t xml:space="preserve">due in large part to the burgeoning influence of classically-trained economists in </w:t>
      </w:r>
      <w:r w:rsidR="007934B8">
        <w:rPr>
          <w:rFonts w:ascii="Calibri" w:hAnsi="Calibri" w:cs="Calibri"/>
          <w:sz w:val="22"/>
          <w:szCs w:val="22"/>
        </w:rPr>
        <w:t>HNP</w:t>
      </w:r>
      <w:r w:rsidR="005F1D9E">
        <w:rPr>
          <w:rFonts w:ascii="Calibri" w:hAnsi="Calibri" w:cs="Calibri"/>
          <w:sz w:val="22"/>
          <w:szCs w:val="22"/>
        </w:rPr>
        <w:t xml:space="preserve"> and funding shortages</w:t>
      </w:r>
      <w:r w:rsidR="00650F76">
        <w:rPr>
          <w:rFonts w:ascii="Calibri" w:hAnsi="Calibri" w:cs="Calibri"/>
          <w:sz w:val="22"/>
          <w:szCs w:val="22"/>
        </w:rPr>
        <w:t xml:space="preserve">, the Bank </w:t>
      </w:r>
      <w:r w:rsidR="005D47B5">
        <w:rPr>
          <w:rFonts w:ascii="Calibri" w:hAnsi="Calibri" w:cs="Calibri"/>
          <w:sz w:val="22"/>
          <w:szCs w:val="22"/>
        </w:rPr>
        <w:t xml:space="preserve">began to </w:t>
      </w:r>
      <w:r w:rsidR="00650F76">
        <w:rPr>
          <w:rFonts w:ascii="Calibri" w:hAnsi="Calibri" w:cs="Calibri"/>
          <w:sz w:val="22"/>
          <w:szCs w:val="22"/>
        </w:rPr>
        <w:t xml:space="preserve">re-conceptualize </w:t>
      </w:r>
      <w:r w:rsidR="005D47B5">
        <w:rPr>
          <w:rFonts w:ascii="Calibri" w:hAnsi="Calibri" w:cs="Calibri"/>
          <w:sz w:val="22"/>
          <w:szCs w:val="22"/>
        </w:rPr>
        <w:t>health resource allocation in terms of market</w:t>
      </w:r>
      <w:r w:rsidR="007934B8">
        <w:rPr>
          <w:rFonts w:ascii="Calibri" w:hAnsi="Calibri" w:cs="Calibri"/>
          <w:sz w:val="22"/>
          <w:szCs w:val="22"/>
        </w:rPr>
        <w:t xml:space="preserve"> viability. The 1981 </w:t>
      </w:r>
      <w:r w:rsidR="007934B8">
        <w:rPr>
          <w:rFonts w:ascii="Calibri" w:hAnsi="Calibri" w:cs="Calibri"/>
          <w:i/>
          <w:iCs/>
          <w:sz w:val="22"/>
          <w:szCs w:val="22"/>
        </w:rPr>
        <w:t xml:space="preserve">Accelerated development in Sub-Saharan Africa </w:t>
      </w:r>
      <w:r w:rsidR="007934B8">
        <w:rPr>
          <w:rFonts w:ascii="Calibri" w:hAnsi="Calibri" w:cs="Calibri"/>
          <w:sz w:val="22"/>
          <w:szCs w:val="22"/>
        </w:rPr>
        <w:t xml:space="preserve">report (authored by economist Elliot Berg) laid-out a neoliberal agenda for </w:t>
      </w:r>
      <w:r w:rsidR="00F13CAE">
        <w:rPr>
          <w:rFonts w:ascii="Calibri" w:hAnsi="Calibri" w:cs="Calibri"/>
          <w:sz w:val="22"/>
          <w:szCs w:val="22"/>
        </w:rPr>
        <w:t xml:space="preserve">health financing, and this approach was gradually institutionalised through </w:t>
      </w:r>
      <w:r w:rsidR="00CA0531">
        <w:rPr>
          <w:rFonts w:ascii="Calibri" w:hAnsi="Calibri" w:cs="Calibri"/>
          <w:sz w:val="22"/>
          <w:szCs w:val="22"/>
        </w:rPr>
        <w:t xml:space="preserve">Bank </w:t>
      </w:r>
      <w:r w:rsidR="00F13CAE">
        <w:rPr>
          <w:rFonts w:ascii="Calibri" w:hAnsi="Calibri" w:cs="Calibri"/>
          <w:sz w:val="22"/>
          <w:szCs w:val="22"/>
        </w:rPr>
        <w:t>economists like David de Ferranti.</w:t>
      </w:r>
      <w:r w:rsidR="00D41C04">
        <w:rPr>
          <w:rFonts w:ascii="Calibri" w:hAnsi="Calibri" w:cs="Calibri"/>
          <w:sz w:val="22"/>
          <w:szCs w:val="22"/>
        </w:rPr>
        <w:t xml:space="preserve"> By 1985, Stein argues that de Ferranti’s reports had positioned principles of efficiency, affordability, and effectiveness as primary determinants of health sector decision-making, and that this led to its push of user fees, </w:t>
      </w:r>
      <w:r w:rsidR="005F1D9E">
        <w:rPr>
          <w:rFonts w:ascii="Calibri" w:hAnsi="Calibri" w:cs="Calibri"/>
          <w:sz w:val="22"/>
          <w:szCs w:val="22"/>
        </w:rPr>
        <w:t xml:space="preserve">privatization, and </w:t>
      </w:r>
      <w:r w:rsidR="005F1D9E">
        <w:rPr>
          <w:rFonts w:ascii="Calibri" w:hAnsi="Calibri" w:cs="Calibri"/>
          <w:sz w:val="22"/>
          <w:szCs w:val="22"/>
        </w:rPr>
        <w:lastRenderedPageBreak/>
        <w:t>decentralization of health services.</w:t>
      </w:r>
      <w:r w:rsidR="006B3F36">
        <w:rPr>
          <w:rStyle w:val="FootnoteReference"/>
          <w:rFonts w:cs="Calibri"/>
        </w:rPr>
        <w:footnoteReference w:customMarkFollows="1" w:id="194"/>
        <w:t>66</w:t>
      </w:r>
      <w:r w:rsidR="005F1D9E">
        <w:rPr>
          <w:rFonts w:ascii="Calibri" w:hAnsi="Calibri" w:cs="Calibri"/>
          <w:sz w:val="22"/>
          <w:szCs w:val="22"/>
        </w:rPr>
        <w:t xml:space="preserve"> In such a way, Stein </w:t>
      </w:r>
      <w:r w:rsidR="005D47B5">
        <w:rPr>
          <w:rFonts w:ascii="Calibri" w:hAnsi="Calibri" w:cs="Calibri"/>
          <w:sz w:val="22"/>
          <w:szCs w:val="22"/>
        </w:rPr>
        <w:t>depicts</w:t>
      </w:r>
      <w:r w:rsidR="005F1D9E">
        <w:rPr>
          <w:rFonts w:ascii="Calibri" w:hAnsi="Calibri" w:cs="Calibri"/>
          <w:sz w:val="22"/>
          <w:szCs w:val="22"/>
        </w:rPr>
        <w:t xml:space="preserve"> the 1993 </w:t>
      </w:r>
      <w:r w:rsidR="005F1D9E">
        <w:rPr>
          <w:rFonts w:ascii="Calibri" w:hAnsi="Calibri" w:cs="Calibri"/>
          <w:i/>
          <w:iCs/>
          <w:sz w:val="22"/>
          <w:szCs w:val="22"/>
        </w:rPr>
        <w:t xml:space="preserve">World development report </w:t>
      </w:r>
      <w:r w:rsidR="005F1D9E">
        <w:rPr>
          <w:rFonts w:ascii="Calibri" w:hAnsi="Calibri" w:cs="Calibri"/>
          <w:sz w:val="22"/>
          <w:szCs w:val="22"/>
        </w:rPr>
        <w:t xml:space="preserve">(which focused on investing in health and introduced the disability adjusted life year [DALY]) </w:t>
      </w:r>
      <w:r w:rsidR="005D47B5">
        <w:rPr>
          <w:rFonts w:ascii="Calibri" w:hAnsi="Calibri" w:cs="Calibri"/>
          <w:sz w:val="22"/>
          <w:szCs w:val="22"/>
        </w:rPr>
        <w:t>as less of a</w:t>
      </w:r>
      <w:r w:rsidR="005F1D9E">
        <w:rPr>
          <w:rFonts w:ascii="Calibri" w:hAnsi="Calibri" w:cs="Calibri"/>
          <w:sz w:val="22"/>
          <w:szCs w:val="22"/>
        </w:rPr>
        <w:t xml:space="preserve"> turning point towards institutionalization of the market</w:t>
      </w:r>
      <w:r w:rsidR="005D47B5">
        <w:rPr>
          <w:rFonts w:ascii="Calibri" w:hAnsi="Calibri" w:cs="Calibri"/>
          <w:sz w:val="22"/>
          <w:szCs w:val="22"/>
        </w:rPr>
        <w:t>, than a fulfilment of its ‘</w:t>
      </w:r>
      <w:r w:rsidR="005F1D9E">
        <w:rPr>
          <w:rFonts w:ascii="Calibri" w:hAnsi="Calibri" w:cs="Calibri"/>
          <w:sz w:val="22"/>
          <w:szCs w:val="22"/>
        </w:rPr>
        <w:t xml:space="preserve">neoclassically inspired vision of improving the effectiveness of health outcomes by optimizing the health of individuals, subject to resource </w:t>
      </w:r>
      <w:r w:rsidR="005F1D9E" w:rsidRPr="00CA0531">
        <w:rPr>
          <w:rFonts w:ascii="Calibri" w:hAnsi="Calibri" w:cs="Calibri"/>
          <w:sz w:val="22"/>
          <w:szCs w:val="22"/>
        </w:rPr>
        <w:t>constraints’.</w:t>
      </w:r>
      <w:r w:rsidR="006B3F36" w:rsidRPr="00CF189D">
        <w:rPr>
          <w:rStyle w:val="FootnoteReference"/>
          <w:rFonts w:ascii="Calibri" w:hAnsi="Calibri" w:cs="Calibri"/>
        </w:rPr>
        <w:footnoteReference w:customMarkFollows="1" w:id="195"/>
        <w:t>67</w:t>
      </w:r>
      <w:r w:rsidR="005F1D9E">
        <w:rPr>
          <w:rFonts w:ascii="Calibri" w:hAnsi="Calibri" w:cs="Calibri"/>
          <w:sz w:val="22"/>
          <w:szCs w:val="22"/>
        </w:rPr>
        <w:t xml:space="preserve">  </w:t>
      </w:r>
    </w:p>
    <w:p w14:paraId="53C9F7FC" w14:textId="4E1A2D93" w:rsidR="00434905" w:rsidRPr="00D9152B" w:rsidRDefault="002E6E6B" w:rsidP="002E6E6B">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 </w:t>
      </w:r>
      <w:r w:rsidR="00434905" w:rsidRPr="00D9152B">
        <w:rPr>
          <w:rFonts w:ascii="Calibri" w:hAnsi="Calibri" w:cs="Calibri"/>
          <w:sz w:val="22"/>
          <w:szCs w:val="22"/>
        </w:rPr>
        <w:t xml:space="preserve">Using a global health governance framework, Harman’s book chapter on global health and Sridhar’s analysis of nutrition largely corroborate Ruger’s timeline, but add nuance in terms of the Bank’s influence on global health. Harman emphasizes the importance of the Bank’s co-financing of health sector programmes, the impact that its structural adjustment policies had on health services, and the major role of </w:t>
      </w:r>
      <w:r w:rsidR="00BD7326">
        <w:rPr>
          <w:rFonts w:ascii="Calibri" w:hAnsi="Calibri" w:cs="Calibri"/>
          <w:sz w:val="22"/>
          <w:szCs w:val="22"/>
        </w:rPr>
        <w:t xml:space="preserve">the 1993 </w:t>
      </w:r>
      <w:r w:rsidR="00434905" w:rsidRPr="00D9152B">
        <w:rPr>
          <w:rFonts w:ascii="Calibri" w:hAnsi="Calibri" w:cs="Calibri"/>
          <w:i/>
          <w:sz w:val="22"/>
          <w:szCs w:val="22"/>
        </w:rPr>
        <w:t xml:space="preserve">World </w:t>
      </w:r>
      <w:r w:rsidR="00955A1A" w:rsidRPr="00D9152B">
        <w:rPr>
          <w:rFonts w:ascii="Calibri" w:hAnsi="Calibri" w:cs="Calibri"/>
          <w:i/>
          <w:sz w:val="22"/>
          <w:szCs w:val="22"/>
        </w:rPr>
        <w:t>d</w:t>
      </w:r>
      <w:r w:rsidR="00434905" w:rsidRPr="00D9152B">
        <w:rPr>
          <w:rFonts w:ascii="Calibri" w:hAnsi="Calibri" w:cs="Calibri"/>
          <w:i/>
          <w:sz w:val="22"/>
          <w:szCs w:val="22"/>
        </w:rPr>
        <w:t xml:space="preserve">evelopment </w:t>
      </w:r>
      <w:r w:rsidR="00955A1A" w:rsidRPr="00D9152B">
        <w:rPr>
          <w:rFonts w:ascii="Calibri" w:hAnsi="Calibri" w:cs="Calibri"/>
          <w:i/>
          <w:sz w:val="22"/>
          <w:szCs w:val="22"/>
        </w:rPr>
        <w:t>r</w:t>
      </w:r>
      <w:r w:rsidR="00434905" w:rsidRPr="00D9152B">
        <w:rPr>
          <w:rFonts w:ascii="Calibri" w:hAnsi="Calibri" w:cs="Calibri"/>
          <w:i/>
          <w:sz w:val="22"/>
          <w:szCs w:val="22"/>
        </w:rPr>
        <w:t xml:space="preserve">eport </w:t>
      </w:r>
      <w:r w:rsidR="00434905" w:rsidRPr="00D9152B">
        <w:rPr>
          <w:rFonts w:ascii="Calibri" w:hAnsi="Calibri" w:cs="Calibri"/>
          <w:sz w:val="22"/>
          <w:szCs w:val="22"/>
        </w:rPr>
        <w:t>in promoting an era of privatized healthcare, user fees, and free markets. Ultimately, she argues that the Bank’s market-driven health ideologies have become so strategically ingrained in global health governance that the Bank ‘no longer needs to use large loans with stringent conditionalities to influence global health’.</w:t>
      </w:r>
      <w:r w:rsidR="00176DE9" w:rsidRPr="00CF189D">
        <w:rPr>
          <w:rStyle w:val="FootnoteReference"/>
          <w:rFonts w:ascii="Calibri" w:hAnsi="Calibri" w:cs="Calibri"/>
        </w:rPr>
        <w:footnoteReference w:customMarkFollows="1" w:id="196"/>
        <w:t>68</w:t>
      </w:r>
    </w:p>
    <w:p w14:paraId="063B5FF5" w14:textId="305EA7F5" w:rsidR="00434905" w:rsidRPr="00D9152B" w:rsidRDefault="00434905" w:rsidP="00434905">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Harman has also written extensively on the World Bank in the context of HIV/AIDS</w:t>
      </w:r>
      <w:r w:rsidRPr="00176DE9">
        <w:rPr>
          <w:rFonts w:ascii="Calibri" w:hAnsi="Calibri" w:cs="Calibri"/>
          <w:sz w:val="22"/>
          <w:szCs w:val="22"/>
        </w:rPr>
        <w:t>,</w:t>
      </w:r>
      <w:r w:rsidR="00176DE9" w:rsidRPr="00CF189D">
        <w:rPr>
          <w:rStyle w:val="FootnoteReference"/>
          <w:rFonts w:ascii="Calibri" w:hAnsi="Calibri" w:cs="Calibri"/>
        </w:rPr>
        <w:footnoteReference w:customMarkFollows="1" w:id="197"/>
        <w:t>69</w:t>
      </w:r>
      <w:r w:rsidR="00176DE9">
        <w:rPr>
          <w:rStyle w:val="FootnoteReference"/>
          <w:rFonts w:cs="Calibri"/>
        </w:rPr>
        <w:t xml:space="preserve">  </w:t>
      </w:r>
      <w:r w:rsidRPr="00D9152B">
        <w:rPr>
          <w:rFonts w:ascii="Calibri" w:hAnsi="Calibri" w:cs="Calibri"/>
          <w:sz w:val="22"/>
          <w:szCs w:val="22"/>
        </w:rPr>
        <w:t>in which she links the Bank’s modern multi-sectoral health approaches to HIV/AIDS control with its neoliberal agenda</w:t>
      </w:r>
      <w:r w:rsidRPr="00176DE9">
        <w:rPr>
          <w:rFonts w:ascii="Calibri" w:hAnsi="Calibri" w:cs="Calibri"/>
          <w:sz w:val="22"/>
          <w:szCs w:val="22"/>
        </w:rPr>
        <w:t>.</w:t>
      </w:r>
      <w:r w:rsidR="00176DE9" w:rsidRPr="00CF189D">
        <w:rPr>
          <w:rStyle w:val="FootnoteReference"/>
          <w:rFonts w:ascii="Calibri" w:hAnsi="Calibri" w:cs="Calibri"/>
        </w:rPr>
        <w:footnoteReference w:customMarkFollows="1" w:id="198"/>
        <w:t>70</w:t>
      </w:r>
      <w:r w:rsidRPr="00D9152B">
        <w:rPr>
          <w:rFonts w:ascii="Calibri" w:hAnsi="Calibri" w:cs="Calibri"/>
          <w:sz w:val="22"/>
          <w:szCs w:val="22"/>
        </w:rPr>
        <w:t xml:space="preserve"> Sridhar uses a case study of nutrition in India to explore similar themes. She argues that the Bank has addressed and conceptuali</w:t>
      </w:r>
      <w:r w:rsidR="002D31A3">
        <w:rPr>
          <w:rFonts w:ascii="Calibri" w:hAnsi="Calibri" w:cs="Calibri"/>
          <w:sz w:val="22"/>
          <w:szCs w:val="22"/>
        </w:rPr>
        <w:t>s</w:t>
      </w:r>
      <w:r w:rsidRPr="00D9152B">
        <w:rPr>
          <w:rFonts w:ascii="Calibri" w:hAnsi="Calibri" w:cs="Calibri"/>
          <w:sz w:val="22"/>
          <w:szCs w:val="22"/>
        </w:rPr>
        <w:t xml:space="preserve">ed nutrition in three main ways over time: by mainstreaming it into an economics-dominated organization (c. 1971-1980), viewing it as a commodity and investment (c. 1980-1993), and presenting it as a tool of cost-effectiveness (c. 1993-2006). She points to the rise of human capital theories for the social sector during McNamara’s </w:t>
      </w:r>
      <w:r w:rsidRPr="00D9152B">
        <w:rPr>
          <w:rFonts w:ascii="Calibri" w:hAnsi="Calibri" w:cs="Calibri"/>
          <w:sz w:val="22"/>
          <w:szCs w:val="22"/>
        </w:rPr>
        <w:lastRenderedPageBreak/>
        <w:t>tenure in the 1970s, and its output: a unique ‘economic gaze’</w:t>
      </w:r>
      <w:r w:rsidR="0030472E" w:rsidRPr="00D9152B">
        <w:rPr>
          <w:rStyle w:val="FootnoteReference"/>
          <w:rFonts w:ascii="Calibri" w:hAnsi="Calibri" w:cs="Calibri"/>
        </w:rPr>
        <w:footnoteReference w:customMarkFollows="1" w:id="199"/>
        <w:t>64</w:t>
      </w:r>
      <w:r w:rsidRPr="00D9152B">
        <w:rPr>
          <w:rFonts w:ascii="Calibri" w:hAnsi="Calibri" w:cs="Calibri"/>
          <w:sz w:val="22"/>
          <w:szCs w:val="22"/>
        </w:rPr>
        <w:t xml:space="preserve"> in the Bank’s health portfolio.</w:t>
      </w:r>
      <w:r w:rsidR="00A33FCE" w:rsidRPr="00CF189D">
        <w:rPr>
          <w:rStyle w:val="FootnoteReference"/>
          <w:rFonts w:ascii="Calibri" w:hAnsi="Calibri" w:cs="Calibri"/>
        </w:rPr>
        <w:footnoteReference w:customMarkFollows="1" w:id="200"/>
        <w:t>71</w:t>
      </w:r>
      <w:r w:rsidRPr="00A33FCE">
        <w:rPr>
          <w:rFonts w:ascii="Calibri" w:hAnsi="Calibri" w:cs="Calibri"/>
          <w:sz w:val="22"/>
          <w:szCs w:val="22"/>
        </w:rPr>
        <w:t xml:space="preserve"> </w:t>
      </w:r>
    </w:p>
    <w:p w14:paraId="2EDCF293" w14:textId="3A5E1F12" w:rsidR="00434905" w:rsidRPr="00D9152B" w:rsidRDefault="00434905" w:rsidP="00434905">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Most recently, Sridhar et al. have tracked the Bank’s role in global health, using financial analyses. Sridhar et al. identify five eras of the Bank’s investment in health. The first two map onto Ruger’s timeline; from its inception until 1998, the Bank focused on infrastructure loans, and during McNamara’s tenure (1968-1980) it initiated loans for disease-specific, nutrition, and family planning projects. Sridhar et al. agrees with Ruger and Harman’s emphasis on the Bank’s support of market-based solutions and health provision privatization, but extends this era from 1980-2000. Since 2000, they argue that the Bank has focused on achieving Millennium Development Goals through cooperation with wider partners (2000-2010) and universal health coverage (2010-</w:t>
      </w:r>
      <w:r w:rsidRPr="00A33FCE">
        <w:rPr>
          <w:rFonts w:ascii="Calibri" w:hAnsi="Calibri" w:cs="Calibri"/>
          <w:sz w:val="22"/>
          <w:szCs w:val="22"/>
        </w:rPr>
        <w:t>present).</w:t>
      </w:r>
      <w:r w:rsidR="00A33FCE" w:rsidRPr="00CF189D">
        <w:rPr>
          <w:rStyle w:val="FootnoteReference"/>
          <w:rFonts w:ascii="Calibri" w:hAnsi="Calibri" w:cs="Calibri"/>
        </w:rPr>
        <w:footnoteReference w:customMarkFollows="1" w:id="201"/>
        <w:t>72</w:t>
      </w:r>
    </w:p>
    <w:p w14:paraId="6D52D08F" w14:textId="3A69DDBC" w:rsidR="00434905" w:rsidRPr="00D9152B" w:rsidRDefault="00434905" w:rsidP="00434905">
      <w:pPr>
        <w:pStyle w:val="Heading3"/>
        <w:spacing w:line="360" w:lineRule="auto"/>
        <w:rPr>
          <w:rFonts w:ascii="Calibri" w:hAnsi="Calibri" w:cs="Calibri"/>
          <w:b/>
          <w:i/>
          <w:color w:val="000000" w:themeColor="text1"/>
          <w:sz w:val="22"/>
          <w:szCs w:val="22"/>
        </w:rPr>
      </w:pPr>
      <w:bookmarkStart w:id="48" w:name="_Toc41505622"/>
      <w:r w:rsidRPr="00D9152B">
        <w:rPr>
          <w:rFonts w:ascii="Calibri" w:hAnsi="Calibri" w:cs="Calibri"/>
          <w:b/>
          <w:i/>
          <w:color w:val="000000" w:themeColor="text1"/>
          <w:sz w:val="22"/>
          <w:szCs w:val="22"/>
        </w:rPr>
        <w:t>3.6.</w:t>
      </w:r>
      <w:r w:rsidR="001F1529" w:rsidRPr="00D9152B">
        <w:rPr>
          <w:rFonts w:ascii="Calibri" w:hAnsi="Calibri" w:cs="Calibri"/>
          <w:b/>
          <w:i/>
          <w:color w:val="000000" w:themeColor="text1"/>
          <w:sz w:val="22"/>
          <w:szCs w:val="22"/>
        </w:rPr>
        <w:t>B</w:t>
      </w:r>
      <w:r w:rsidRPr="00D9152B">
        <w:rPr>
          <w:rFonts w:ascii="Calibri" w:hAnsi="Calibri" w:cs="Calibri"/>
          <w:b/>
          <w:i/>
          <w:color w:val="000000" w:themeColor="text1"/>
          <w:sz w:val="22"/>
          <w:szCs w:val="22"/>
        </w:rPr>
        <w:t xml:space="preserve">. </w:t>
      </w:r>
      <w:r w:rsidR="00894F5C" w:rsidRPr="00D9152B">
        <w:rPr>
          <w:rFonts w:ascii="Calibri" w:hAnsi="Calibri" w:cs="Calibri"/>
          <w:b/>
          <w:i/>
          <w:color w:val="000000" w:themeColor="text1"/>
          <w:sz w:val="22"/>
          <w:szCs w:val="22"/>
        </w:rPr>
        <w:t>Three</w:t>
      </w:r>
      <w:r w:rsidRPr="00D9152B">
        <w:rPr>
          <w:rFonts w:ascii="Calibri" w:hAnsi="Calibri" w:cs="Calibri"/>
          <w:b/>
          <w:i/>
          <w:color w:val="000000" w:themeColor="text1"/>
          <w:sz w:val="22"/>
          <w:szCs w:val="22"/>
        </w:rPr>
        <w:t xml:space="preserve"> convergent themes </w:t>
      </w:r>
      <w:r w:rsidR="0094308C" w:rsidRPr="00D9152B">
        <w:rPr>
          <w:rFonts w:ascii="Calibri" w:hAnsi="Calibri" w:cs="Calibri"/>
          <w:b/>
          <w:i/>
          <w:color w:val="000000" w:themeColor="text1"/>
          <w:sz w:val="22"/>
          <w:szCs w:val="22"/>
        </w:rPr>
        <w:t>describing</w:t>
      </w:r>
      <w:r w:rsidRPr="00D9152B">
        <w:rPr>
          <w:rFonts w:ascii="Calibri" w:hAnsi="Calibri" w:cs="Calibri"/>
          <w:b/>
          <w:i/>
          <w:color w:val="000000" w:themeColor="text1"/>
          <w:sz w:val="22"/>
          <w:szCs w:val="22"/>
        </w:rPr>
        <w:t xml:space="preserve"> the Bank’s influence on global health</w:t>
      </w:r>
      <w:bookmarkEnd w:id="48"/>
    </w:p>
    <w:p w14:paraId="1D17F204" w14:textId="33E9A666" w:rsidR="00434905" w:rsidRPr="00D9152B" w:rsidRDefault="00434905" w:rsidP="00434905">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In addition to these studies that focus specifically on the World Bank’s health portfolio from a global perspective, a number of case studies emphasise the Bank’s role in healthcare at the national level, or focus on a particular aspect of its </w:t>
      </w:r>
      <w:r w:rsidR="00650B62">
        <w:rPr>
          <w:rFonts w:ascii="Calibri" w:hAnsi="Calibri" w:cs="Calibri"/>
          <w:sz w:val="22"/>
          <w:szCs w:val="22"/>
        </w:rPr>
        <w:t>HNP</w:t>
      </w:r>
      <w:r w:rsidRPr="00D9152B">
        <w:rPr>
          <w:rFonts w:ascii="Calibri" w:hAnsi="Calibri" w:cs="Calibri"/>
          <w:sz w:val="22"/>
          <w:szCs w:val="22"/>
        </w:rPr>
        <w:t xml:space="preserve"> portfolio</w:t>
      </w:r>
      <w:r w:rsidR="00D41C04">
        <w:rPr>
          <w:rFonts w:ascii="Calibri" w:hAnsi="Calibri" w:cs="Calibri"/>
          <w:sz w:val="22"/>
          <w:szCs w:val="22"/>
        </w:rPr>
        <w:t xml:space="preserve"> or reform policies</w:t>
      </w:r>
      <w:r w:rsidRPr="00D9152B">
        <w:rPr>
          <w:rFonts w:ascii="Calibri" w:hAnsi="Calibri" w:cs="Calibri"/>
          <w:sz w:val="22"/>
          <w:szCs w:val="22"/>
        </w:rPr>
        <w:t xml:space="preserve">. These studies have mostly been published since 2010. Collectively, existing research on the Bank and global health illuminates at least </w:t>
      </w:r>
      <w:r w:rsidR="00894F5C" w:rsidRPr="00D9152B">
        <w:rPr>
          <w:rFonts w:ascii="Calibri" w:hAnsi="Calibri" w:cs="Calibri"/>
          <w:sz w:val="22"/>
          <w:szCs w:val="22"/>
        </w:rPr>
        <w:t>three</w:t>
      </w:r>
      <w:r w:rsidRPr="00D9152B">
        <w:rPr>
          <w:rFonts w:ascii="Calibri" w:hAnsi="Calibri" w:cs="Calibri"/>
          <w:sz w:val="22"/>
          <w:szCs w:val="22"/>
        </w:rPr>
        <w:t xml:space="preserve"> major themes. These themes include the Bank’s emphasis on human capital and efficiency-grounded metrics; its financial management approach to health programming</w:t>
      </w:r>
      <w:r w:rsidR="00894F5C" w:rsidRPr="00D9152B">
        <w:rPr>
          <w:rFonts w:ascii="Calibri" w:hAnsi="Calibri" w:cs="Calibri"/>
          <w:sz w:val="22"/>
          <w:szCs w:val="22"/>
        </w:rPr>
        <w:t xml:space="preserve"> (with an embrace of the private sector)</w:t>
      </w:r>
      <w:r w:rsidRPr="00D9152B">
        <w:rPr>
          <w:rFonts w:ascii="Calibri" w:hAnsi="Calibri" w:cs="Calibri"/>
          <w:sz w:val="22"/>
          <w:szCs w:val="22"/>
        </w:rPr>
        <w:t xml:space="preserve">; </w:t>
      </w:r>
      <w:r w:rsidR="00894F5C" w:rsidRPr="00D9152B">
        <w:rPr>
          <w:rFonts w:ascii="Calibri" w:hAnsi="Calibri" w:cs="Calibri"/>
          <w:sz w:val="22"/>
          <w:szCs w:val="22"/>
        </w:rPr>
        <w:t xml:space="preserve">and </w:t>
      </w:r>
      <w:r w:rsidRPr="00D9152B">
        <w:rPr>
          <w:rFonts w:ascii="Calibri" w:hAnsi="Calibri" w:cs="Calibri"/>
          <w:sz w:val="22"/>
          <w:szCs w:val="22"/>
        </w:rPr>
        <w:t>its ‘selective’ approach to primary health care (PHC)</w:t>
      </w:r>
      <w:r w:rsidR="00894F5C" w:rsidRPr="00D9152B">
        <w:rPr>
          <w:rFonts w:ascii="Calibri" w:hAnsi="Calibri" w:cs="Calibri"/>
          <w:sz w:val="22"/>
          <w:szCs w:val="22"/>
        </w:rPr>
        <w:t xml:space="preserve">. </w:t>
      </w:r>
      <w:r w:rsidR="0094308C" w:rsidRPr="00D9152B">
        <w:rPr>
          <w:rFonts w:ascii="Calibri" w:hAnsi="Calibri" w:cs="Calibri"/>
          <w:sz w:val="22"/>
          <w:szCs w:val="22"/>
        </w:rPr>
        <w:t>Together, the themes illuminate aspects of the Bank’s institutional ethos over time, and show that it has consistently viewed health in economic and market terms.</w:t>
      </w:r>
    </w:p>
    <w:p w14:paraId="43EBC523" w14:textId="07BE2508" w:rsidR="0094308C" w:rsidRPr="00D9152B" w:rsidRDefault="00434905" w:rsidP="0094308C">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lastRenderedPageBreak/>
        <w:t xml:space="preserve">The first theme relies heavily on the works of Ruger, Harman, and Sridhar, which chronicle the Bank’s embrace of </w:t>
      </w:r>
      <w:r w:rsidR="00955A1A" w:rsidRPr="00D9152B">
        <w:rPr>
          <w:rFonts w:ascii="Calibri" w:hAnsi="Calibri" w:cs="Calibri"/>
          <w:sz w:val="22"/>
          <w:szCs w:val="22"/>
        </w:rPr>
        <w:t>human capital and efficiency</w:t>
      </w:r>
      <w:r w:rsidRPr="00D9152B">
        <w:rPr>
          <w:rFonts w:ascii="Calibri" w:hAnsi="Calibri" w:cs="Calibri"/>
          <w:sz w:val="22"/>
          <w:szCs w:val="22"/>
        </w:rPr>
        <w:t>.</w:t>
      </w:r>
      <w:r w:rsidR="00A33FCE" w:rsidRPr="00CF189D">
        <w:rPr>
          <w:rStyle w:val="FootnoteReference"/>
          <w:rFonts w:ascii="Calibri" w:hAnsi="Calibri" w:cs="Calibri"/>
        </w:rPr>
        <w:footnoteReference w:customMarkFollows="1" w:id="202"/>
        <w:t>73</w:t>
      </w:r>
      <w:r w:rsidR="00A33FCE" w:rsidRPr="00CF189D">
        <w:rPr>
          <w:rFonts w:ascii="Calibri" w:hAnsi="Calibri" w:cs="Calibri"/>
        </w:rPr>
        <w:t xml:space="preserve"> </w:t>
      </w:r>
      <w:r w:rsidRPr="00D9152B">
        <w:rPr>
          <w:rFonts w:ascii="Calibri" w:hAnsi="Calibri" w:cs="Calibri"/>
          <w:sz w:val="22"/>
          <w:szCs w:val="22"/>
        </w:rPr>
        <w:t>The human capital theory presents health as a sound investment; it portrays the body as a productive resource, which can be invested in and stockpiled for future individual and societal use</w:t>
      </w:r>
      <w:r w:rsidRPr="00A33FCE">
        <w:rPr>
          <w:rFonts w:ascii="Calibri" w:hAnsi="Calibri" w:cs="Calibri"/>
          <w:sz w:val="22"/>
          <w:szCs w:val="22"/>
        </w:rPr>
        <w:t>.</w:t>
      </w:r>
      <w:r w:rsidR="00A33FCE" w:rsidRPr="00CF189D">
        <w:rPr>
          <w:rStyle w:val="FootnoteReference"/>
          <w:rFonts w:ascii="Calibri" w:hAnsi="Calibri" w:cs="Calibri"/>
        </w:rPr>
        <w:footnoteReference w:customMarkFollows="1" w:id="203"/>
        <w:t>74</w:t>
      </w:r>
      <w:r w:rsidRPr="00D9152B">
        <w:rPr>
          <w:rFonts w:ascii="Calibri" w:hAnsi="Calibri" w:cs="Calibri"/>
          <w:sz w:val="22"/>
          <w:szCs w:val="22"/>
        </w:rPr>
        <w:t xml:space="preserve"> The concept of human capital dates back to at least 1962, and was presented in 1972 in the context of health, as a model for how illness can cause loss of labour time</w:t>
      </w:r>
      <w:r w:rsidRPr="00A33FCE">
        <w:rPr>
          <w:rFonts w:ascii="Calibri" w:hAnsi="Calibri" w:cs="Calibri"/>
          <w:sz w:val="22"/>
          <w:szCs w:val="22"/>
        </w:rPr>
        <w:t>.</w:t>
      </w:r>
      <w:r w:rsidR="00A33FCE" w:rsidRPr="00CF189D">
        <w:rPr>
          <w:rStyle w:val="FootnoteReference"/>
          <w:rFonts w:ascii="Calibri" w:hAnsi="Calibri" w:cs="Calibri"/>
        </w:rPr>
        <w:footnoteReference w:customMarkFollows="1" w:id="204"/>
        <w:t>75</w:t>
      </w:r>
      <w:r w:rsidRPr="00D9152B">
        <w:rPr>
          <w:rFonts w:ascii="Calibri" w:hAnsi="Calibri" w:cs="Calibri"/>
          <w:sz w:val="22"/>
          <w:szCs w:val="22"/>
        </w:rPr>
        <w:t xml:space="preserve"> In </w:t>
      </w:r>
      <w:r w:rsidRPr="00D9152B">
        <w:rPr>
          <w:rFonts w:ascii="Calibri" w:hAnsi="Calibri" w:cs="Calibri"/>
          <w:i/>
          <w:sz w:val="22"/>
          <w:szCs w:val="22"/>
        </w:rPr>
        <w:t>The battle against hunger</w:t>
      </w:r>
      <w:r w:rsidRPr="00D9152B">
        <w:rPr>
          <w:rFonts w:ascii="Calibri" w:hAnsi="Calibri" w:cs="Calibri"/>
          <w:sz w:val="22"/>
          <w:szCs w:val="22"/>
        </w:rPr>
        <w:t xml:space="preserve">, Sridhar describes how the Bank increasingly institutionalised the concept of human capital in the 1980s. Sridhar argues that the Bank’s 1980 </w:t>
      </w:r>
      <w:r w:rsidRPr="00D9152B">
        <w:rPr>
          <w:rFonts w:ascii="Calibri" w:hAnsi="Calibri" w:cs="Calibri"/>
          <w:i/>
          <w:sz w:val="22"/>
          <w:szCs w:val="22"/>
        </w:rPr>
        <w:t xml:space="preserve">World development report </w:t>
      </w:r>
      <w:r w:rsidRPr="00D9152B">
        <w:rPr>
          <w:rFonts w:ascii="Calibri" w:hAnsi="Calibri" w:cs="Calibri"/>
          <w:sz w:val="22"/>
          <w:szCs w:val="22"/>
        </w:rPr>
        <w:t>embraced the idea of human capital for poverty reduction and that, ‘since this time, the Bank nutrition team has predominantly relied on the human capital framework to lobby governments to take loans for nutrition-projects’.</w:t>
      </w:r>
      <w:r w:rsidR="00A33FCE" w:rsidRPr="00CF189D">
        <w:rPr>
          <w:rStyle w:val="FootnoteReference"/>
          <w:rFonts w:ascii="Calibri" w:hAnsi="Calibri" w:cs="Calibri"/>
        </w:rPr>
        <w:footnoteReference w:customMarkFollows="1" w:id="205"/>
        <w:t>76</w:t>
      </w:r>
      <w:r w:rsidR="0094308C" w:rsidRPr="00A33FCE">
        <w:rPr>
          <w:rFonts w:ascii="Calibri" w:hAnsi="Calibri" w:cs="Calibri"/>
          <w:sz w:val="22"/>
          <w:szCs w:val="22"/>
        </w:rPr>
        <w:t xml:space="preserve"> </w:t>
      </w:r>
      <w:r w:rsidR="0094308C" w:rsidRPr="00D9152B">
        <w:rPr>
          <w:rFonts w:ascii="Calibri" w:hAnsi="Calibri" w:cs="Calibri"/>
          <w:sz w:val="22"/>
          <w:szCs w:val="22"/>
        </w:rPr>
        <w:t xml:space="preserve">Bump’s </w:t>
      </w:r>
      <w:r w:rsidR="001F1529" w:rsidRPr="00D9152B">
        <w:rPr>
          <w:rFonts w:ascii="Calibri" w:hAnsi="Calibri" w:cs="Calibri"/>
          <w:sz w:val="22"/>
          <w:szCs w:val="22"/>
        </w:rPr>
        <w:t>doctoral</w:t>
      </w:r>
      <w:r w:rsidR="0094308C" w:rsidRPr="00D9152B">
        <w:rPr>
          <w:rFonts w:ascii="Calibri" w:hAnsi="Calibri" w:cs="Calibri"/>
          <w:sz w:val="22"/>
          <w:szCs w:val="22"/>
        </w:rPr>
        <w:t xml:space="preserve"> dissertation on onchocerciasis control in Africa from the </w:t>
      </w:r>
      <w:r w:rsidR="00650B62">
        <w:rPr>
          <w:rFonts w:ascii="Calibri" w:hAnsi="Calibri" w:cs="Calibri"/>
          <w:sz w:val="22"/>
          <w:szCs w:val="22"/>
        </w:rPr>
        <w:t>nineteenth</w:t>
      </w:r>
      <w:r w:rsidR="0094308C" w:rsidRPr="00D9152B">
        <w:rPr>
          <w:rFonts w:ascii="Calibri" w:hAnsi="Calibri" w:cs="Calibri"/>
          <w:sz w:val="22"/>
          <w:szCs w:val="22"/>
        </w:rPr>
        <w:t xml:space="preserve"> century to the launch of the OCP </w:t>
      </w:r>
      <w:r w:rsidR="001F1529" w:rsidRPr="00D9152B">
        <w:rPr>
          <w:rFonts w:ascii="Calibri" w:hAnsi="Calibri" w:cs="Calibri"/>
          <w:sz w:val="22"/>
          <w:szCs w:val="22"/>
        </w:rPr>
        <w:t>similarly</w:t>
      </w:r>
      <w:r w:rsidR="0094308C" w:rsidRPr="00D9152B">
        <w:rPr>
          <w:rFonts w:ascii="Calibri" w:hAnsi="Calibri" w:cs="Calibri"/>
          <w:sz w:val="22"/>
          <w:szCs w:val="22"/>
        </w:rPr>
        <w:t xml:space="preserve"> links the Bank’s initial health investment to human capital; he argues that the OCP was launched due to a unique combination of forces, which allowed it to link development, health, and economic growth, during the end of the 1960s ‘development decade’. These include geo-strategic (i.e. the Sahelian drought of the early 1970s and U.S. interest in West Africa), political (i.e. Cold War communist fears), economic (i.e. interest in the relationship between disease control and economic development in the international development community), and structural (i.e. the shifting poverty agenda of the World Bank) forces</w:t>
      </w:r>
      <w:r w:rsidR="0094308C" w:rsidRPr="00A33FCE">
        <w:rPr>
          <w:rFonts w:ascii="Calibri" w:hAnsi="Calibri" w:cs="Calibri"/>
          <w:sz w:val="22"/>
          <w:szCs w:val="22"/>
        </w:rPr>
        <w:t>.</w:t>
      </w:r>
      <w:r w:rsidR="00A33FCE" w:rsidRPr="00CF189D">
        <w:rPr>
          <w:rStyle w:val="FootnoteReference"/>
          <w:rFonts w:ascii="Calibri" w:hAnsi="Calibri" w:cs="Calibri"/>
        </w:rPr>
        <w:footnoteReference w:customMarkFollows="1" w:id="206"/>
        <w:t>77</w:t>
      </w:r>
    </w:p>
    <w:p w14:paraId="7DDAC213" w14:textId="63525C12" w:rsidR="00434905" w:rsidRPr="00D9152B" w:rsidRDefault="00434905" w:rsidP="00434905">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Historians and governance scholars have further argued that, with this embrace of labour and efficiency language came an emphasis on the creation and dissemination of economically-grounded health metrics. Gorsky, Birn, Abbasi, Harman, and Sridhar </w:t>
      </w:r>
      <w:r w:rsidR="001F1529" w:rsidRPr="00D9152B">
        <w:rPr>
          <w:rFonts w:ascii="Calibri" w:hAnsi="Calibri" w:cs="Calibri"/>
          <w:sz w:val="22"/>
          <w:szCs w:val="22"/>
        </w:rPr>
        <w:t xml:space="preserve">explore </w:t>
      </w:r>
      <w:r w:rsidRPr="00D9152B">
        <w:rPr>
          <w:rFonts w:ascii="Calibri" w:hAnsi="Calibri" w:cs="Calibri"/>
          <w:sz w:val="22"/>
          <w:szCs w:val="22"/>
        </w:rPr>
        <w:t xml:space="preserve">how the Bank responded to the United States’ impatience with the WHO and the debt </w:t>
      </w:r>
      <w:r w:rsidRPr="00D9152B">
        <w:rPr>
          <w:rFonts w:ascii="Calibri" w:hAnsi="Calibri" w:cs="Calibri"/>
          <w:sz w:val="22"/>
          <w:szCs w:val="22"/>
        </w:rPr>
        <w:lastRenderedPageBreak/>
        <w:t xml:space="preserve">crisis of the 1980s by endorsing new global health </w:t>
      </w:r>
      <w:r w:rsidRPr="004E4470">
        <w:rPr>
          <w:rFonts w:ascii="Calibri" w:hAnsi="Calibri" w:cs="Calibri"/>
          <w:sz w:val="22"/>
          <w:szCs w:val="22"/>
        </w:rPr>
        <w:t>indicators.</w:t>
      </w:r>
      <w:r w:rsidR="004E4470" w:rsidRPr="00CF189D">
        <w:rPr>
          <w:rStyle w:val="FootnoteReference"/>
          <w:rFonts w:ascii="Calibri" w:hAnsi="Calibri" w:cs="Calibri"/>
        </w:rPr>
        <w:footnoteReference w:customMarkFollows="1" w:id="207"/>
        <w:t>78</w:t>
      </w:r>
      <w:r w:rsidRPr="00D9152B">
        <w:rPr>
          <w:rFonts w:ascii="Calibri" w:hAnsi="Calibri" w:cs="Calibri"/>
          <w:sz w:val="22"/>
          <w:szCs w:val="22"/>
        </w:rPr>
        <w:t xml:space="preserve"> In Gorsky</w:t>
      </w:r>
      <w:r w:rsidR="00EB4914">
        <w:rPr>
          <w:rFonts w:ascii="Calibri" w:hAnsi="Calibri" w:cs="Calibri"/>
          <w:sz w:val="22"/>
          <w:szCs w:val="22"/>
        </w:rPr>
        <w:t xml:space="preserve"> and Sirrs</w:t>
      </w:r>
      <w:r w:rsidRPr="00D9152B">
        <w:rPr>
          <w:rFonts w:ascii="Calibri" w:hAnsi="Calibri" w:cs="Calibri"/>
          <w:sz w:val="22"/>
          <w:szCs w:val="22"/>
        </w:rPr>
        <w:t>’ words, the Bank put forward a ‘new dominant ideology, in which expenditure on health services was seen not as a public good but as ess</w:t>
      </w:r>
      <w:r w:rsidRPr="004E4470">
        <w:rPr>
          <w:rFonts w:ascii="Calibri" w:hAnsi="Calibri" w:cs="Calibri"/>
          <w:sz w:val="22"/>
          <w:szCs w:val="22"/>
        </w:rPr>
        <w:t>entially discretionary, and thus without a firm justification for the state’s dominant role’.</w:t>
      </w:r>
      <w:r w:rsidR="004E4470" w:rsidRPr="00CF189D">
        <w:rPr>
          <w:rStyle w:val="FootnoteReference"/>
          <w:rFonts w:ascii="Calibri" w:hAnsi="Calibri" w:cs="Calibri"/>
        </w:rPr>
        <w:footnoteReference w:customMarkFollows="1" w:id="208"/>
        <w:t>79</w:t>
      </w:r>
      <w:r w:rsidRPr="004E4470">
        <w:rPr>
          <w:rFonts w:ascii="Calibri" w:hAnsi="Calibri" w:cs="Calibri"/>
          <w:sz w:val="22"/>
          <w:szCs w:val="22"/>
        </w:rPr>
        <w:t xml:space="preserve"> Tichenor and Sridhar have specifically tracked how the Bank gave ‘explicit institutional support’ for disability-adjusted life years (DALYs), which are now an integral metric for the impact/evidence-based framework of success (see </w:t>
      </w:r>
      <w:r w:rsidR="00D0506B" w:rsidRPr="004E4470">
        <w:rPr>
          <w:rFonts w:ascii="Calibri" w:hAnsi="Calibri" w:cs="Calibri"/>
          <w:sz w:val="22"/>
          <w:szCs w:val="22"/>
        </w:rPr>
        <w:t>section 2.2</w:t>
      </w:r>
      <w:r w:rsidRPr="004E4470">
        <w:rPr>
          <w:rFonts w:ascii="Calibri" w:hAnsi="Calibri" w:cs="Calibri"/>
          <w:sz w:val="22"/>
          <w:szCs w:val="22"/>
        </w:rPr>
        <w:t>).</w:t>
      </w:r>
      <w:r w:rsidR="004E4470" w:rsidRPr="00CF189D">
        <w:rPr>
          <w:rStyle w:val="FootnoteReference"/>
          <w:rFonts w:ascii="Calibri" w:hAnsi="Calibri" w:cs="Calibri"/>
        </w:rPr>
        <w:footnoteReference w:customMarkFollows="1" w:id="209"/>
        <w:t>80</w:t>
      </w:r>
      <w:r w:rsidRPr="004E4470">
        <w:rPr>
          <w:rFonts w:ascii="Calibri" w:hAnsi="Calibri" w:cs="Calibri"/>
          <w:sz w:val="22"/>
          <w:szCs w:val="22"/>
        </w:rPr>
        <w:t xml:space="preserve"> </w:t>
      </w:r>
    </w:p>
    <w:p w14:paraId="4C545367" w14:textId="1BEAF99F" w:rsidR="00434905" w:rsidRPr="00D9152B" w:rsidRDefault="00434905" w:rsidP="00955A1A">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second theme focuses on the Bank’s burgeoning role in financing global health </w:t>
      </w:r>
      <w:r w:rsidR="001F1529" w:rsidRPr="00D9152B">
        <w:rPr>
          <w:rFonts w:ascii="Calibri" w:hAnsi="Calibri" w:cs="Calibri"/>
          <w:sz w:val="22"/>
          <w:szCs w:val="22"/>
        </w:rPr>
        <w:t>both directly and indirectly,</w:t>
      </w:r>
      <w:r w:rsidRPr="00D9152B">
        <w:rPr>
          <w:rFonts w:ascii="Calibri" w:hAnsi="Calibri" w:cs="Calibri"/>
          <w:sz w:val="22"/>
          <w:szCs w:val="22"/>
        </w:rPr>
        <w:t xml:space="preserve"> by advancing user fees and financing mechanisms like trust funds. For instance, scholars including Walker have performed case studies of the Bank’s dissemination of user fees</w:t>
      </w:r>
      <w:r w:rsidR="00894F5C" w:rsidRPr="00D9152B">
        <w:rPr>
          <w:rFonts w:ascii="Calibri" w:hAnsi="Calibri" w:cs="Calibri"/>
          <w:sz w:val="22"/>
          <w:szCs w:val="22"/>
        </w:rPr>
        <w:t xml:space="preserve"> in the context of structural adjustment, and the ways in which this advanced neoliberal </w:t>
      </w:r>
      <w:r w:rsidR="00894F5C" w:rsidRPr="004E4470">
        <w:rPr>
          <w:rFonts w:ascii="Calibri" w:hAnsi="Calibri" w:cs="Calibri"/>
          <w:sz w:val="22"/>
          <w:szCs w:val="22"/>
        </w:rPr>
        <w:t>agendas.</w:t>
      </w:r>
      <w:r w:rsidR="004E4470" w:rsidRPr="00CF189D">
        <w:rPr>
          <w:rStyle w:val="FootnoteReference"/>
          <w:rFonts w:ascii="Calibri" w:hAnsi="Calibri" w:cs="Calibri"/>
        </w:rPr>
        <w:footnoteReference w:customMarkFollows="1" w:id="210"/>
        <w:t>81</w:t>
      </w:r>
      <w:r w:rsidR="00894F5C" w:rsidRPr="004E4470">
        <w:rPr>
          <w:rFonts w:ascii="Calibri" w:hAnsi="Calibri" w:cs="Calibri"/>
          <w:sz w:val="22"/>
          <w:szCs w:val="22"/>
        </w:rPr>
        <w:t xml:space="preserve"> </w:t>
      </w:r>
      <w:r w:rsidR="006D003B" w:rsidRPr="004E4470">
        <w:rPr>
          <w:rFonts w:ascii="Calibri" w:hAnsi="Calibri" w:cs="Calibri"/>
          <w:sz w:val="22"/>
          <w:szCs w:val="22"/>
        </w:rPr>
        <w:t>A</w:t>
      </w:r>
      <w:r w:rsidR="007A06B8">
        <w:rPr>
          <w:rFonts w:ascii="Calibri" w:hAnsi="Calibri" w:cs="Calibri"/>
          <w:sz w:val="22"/>
          <w:szCs w:val="22"/>
        </w:rPr>
        <w:t xml:space="preserve"> large body of literature</w:t>
      </w:r>
      <w:r w:rsidR="009C40FE">
        <w:rPr>
          <w:rFonts w:ascii="Calibri" w:hAnsi="Calibri" w:cs="Calibri"/>
          <w:sz w:val="22"/>
          <w:szCs w:val="22"/>
        </w:rPr>
        <w:t xml:space="preserve"> </w:t>
      </w:r>
      <w:r w:rsidR="00CA0531">
        <w:rPr>
          <w:rFonts w:ascii="Calibri" w:hAnsi="Calibri" w:cs="Calibri"/>
          <w:sz w:val="22"/>
          <w:szCs w:val="22"/>
        </w:rPr>
        <w:t xml:space="preserve">more </w:t>
      </w:r>
      <w:r w:rsidR="009C40FE">
        <w:rPr>
          <w:rFonts w:ascii="Calibri" w:hAnsi="Calibri" w:cs="Calibri"/>
          <w:sz w:val="22"/>
          <w:szCs w:val="22"/>
        </w:rPr>
        <w:t xml:space="preserve">indirectly considers the Bank’s role in user fee dissemination, by </w:t>
      </w:r>
      <w:r w:rsidR="006D003B">
        <w:rPr>
          <w:rFonts w:ascii="Calibri" w:hAnsi="Calibri" w:cs="Calibri"/>
          <w:sz w:val="22"/>
          <w:szCs w:val="22"/>
        </w:rPr>
        <w:t>emphasising</w:t>
      </w:r>
      <w:r w:rsidR="009C40FE">
        <w:rPr>
          <w:rFonts w:ascii="Calibri" w:hAnsi="Calibri" w:cs="Calibri"/>
          <w:sz w:val="22"/>
          <w:szCs w:val="22"/>
        </w:rPr>
        <w:t xml:space="preserve"> the impacts of </w:t>
      </w:r>
      <w:r w:rsidR="00594B9A">
        <w:rPr>
          <w:rFonts w:ascii="Calibri" w:hAnsi="Calibri" w:cs="Calibri"/>
          <w:sz w:val="22"/>
          <w:szCs w:val="22"/>
        </w:rPr>
        <w:t xml:space="preserve">user fees, particularly in </w:t>
      </w:r>
      <w:r w:rsidR="00A2292A">
        <w:rPr>
          <w:rFonts w:ascii="Calibri" w:hAnsi="Calibri" w:cs="Calibri"/>
          <w:sz w:val="22"/>
          <w:szCs w:val="22"/>
        </w:rPr>
        <w:t>Sub-Saharan</w:t>
      </w:r>
      <w:r w:rsidR="00594B9A">
        <w:rPr>
          <w:rFonts w:ascii="Calibri" w:hAnsi="Calibri" w:cs="Calibri"/>
          <w:sz w:val="22"/>
          <w:szCs w:val="22"/>
        </w:rPr>
        <w:t xml:space="preserve"> Africa, on resource generation</w:t>
      </w:r>
      <w:r w:rsidR="009C40FE">
        <w:rPr>
          <w:rFonts w:ascii="Calibri" w:hAnsi="Calibri" w:cs="Calibri"/>
          <w:sz w:val="22"/>
          <w:szCs w:val="22"/>
        </w:rPr>
        <w:t xml:space="preserve"> and </w:t>
      </w:r>
      <w:r w:rsidR="006D003B">
        <w:rPr>
          <w:rFonts w:ascii="Calibri" w:hAnsi="Calibri" w:cs="Calibri"/>
          <w:sz w:val="22"/>
          <w:szCs w:val="22"/>
        </w:rPr>
        <w:t xml:space="preserve">equitable </w:t>
      </w:r>
      <w:r w:rsidR="009C40FE">
        <w:rPr>
          <w:rFonts w:ascii="Calibri" w:hAnsi="Calibri" w:cs="Calibri"/>
          <w:sz w:val="22"/>
          <w:szCs w:val="22"/>
        </w:rPr>
        <w:t xml:space="preserve">access to health </w:t>
      </w:r>
      <w:r w:rsidR="009C40FE" w:rsidRPr="004E4470">
        <w:rPr>
          <w:rFonts w:ascii="Calibri" w:hAnsi="Calibri" w:cs="Calibri"/>
          <w:sz w:val="22"/>
          <w:szCs w:val="22"/>
        </w:rPr>
        <w:t>services</w:t>
      </w:r>
      <w:r w:rsidR="00594B9A" w:rsidRPr="004E4470">
        <w:rPr>
          <w:rFonts w:ascii="Calibri" w:hAnsi="Calibri" w:cs="Calibri"/>
          <w:sz w:val="22"/>
          <w:szCs w:val="22"/>
        </w:rPr>
        <w:t>.</w:t>
      </w:r>
      <w:r w:rsidR="004E4470" w:rsidRPr="00CF189D">
        <w:rPr>
          <w:rStyle w:val="FootnoteReference"/>
          <w:rFonts w:ascii="Calibri" w:hAnsi="Calibri" w:cs="Calibri"/>
        </w:rPr>
        <w:footnoteReference w:customMarkFollows="1" w:id="211"/>
        <w:t>82</w:t>
      </w:r>
      <w:r w:rsidR="00594B9A">
        <w:rPr>
          <w:rFonts w:ascii="Calibri" w:hAnsi="Calibri" w:cs="Calibri"/>
          <w:sz w:val="22"/>
          <w:szCs w:val="22"/>
        </w:rPr>
        <w:t xml:space="preserve"> </w:t>
      </w:r>
      <w:r w:rsidR="006D003B">
        <w:rPr>
          <w:rFonts w:ascii="Calibri" w:hAnsi="Calibri" w:cs="Calibri"/>
          <w:sz w:val="22"/>
          <w:szCs w:val="22"/>
        </w:rPr>
        <w:t xml:space="preserve">A related set of scholarship </w:t>
      </w:r>
      <w:r w:rsidR="00FB4689">
        <w:rPr>
          <w:rFonts w:ascii="Calibri" w:hAnsi="Calibri" w:cs="Calibri"/>
          <w:sz w:val="22"/>
          <w:szCs w:val="22"/>
        </w:rPr>
        <w:t>directly engages with the long-term implications of the Bank’s</w:t>
      </w:r>
      <w:r w:rsidR="003E574F">
        <w:rPr>
          <w:rFonts w:ascii="Calibri" w:hAnsi="Calibri" w:cs="Calibri"/>
          <w:sz w:val="22"/>
          <w:szCs w:val="22"/>
        </w:rPr>
        <w:t xml:space="preserve"> and IMF’s</w:t>
      </w:r>
      <w:r w:rsidR="00FB4689">
        <w:rPr>
          <w:rFonts w:ascii="Calibri" w:hAnsi="Calibri" w:cs="Calibri"/>
          <w:sz w:val="22"/>
          <w:szCs w:val="22"/>
        </w:rPr>
        <w:t xml:space="preserve"> financial policies in the 1980s and 1990s, through an </w:t>
      </w:r>
      <w:r w:rsidR="00FB4689">
        <w:rPr>
          <w:rFonts w:ascii="Calibri" w:hAnsi="Calibri" w:cs="Calibri"/>
          <w:sz w:val="22"/>
          <w:szCs w:val="22"/>
        </w:rPr>
        <w:lastRenderedPageBreak/>
        <w:t xml:space="preserve">analysis of structural adjustment programmes’ </w:t>
      </w:r>
      <w:r w:rsidR="003E574F">
        <w:rPr>
          <w:rFonts w:ascii="Calibri" w:hAnsi="Calibri" w:cs="Calibri"/>
          <w:sz w:val="22"/>
          <w:szCs w:val="22"/>
        </w:rPr>
        <w:t>impact on national health expenditures and health indicators</w:t>
      </w:r>
      <w:r w:rsidR="00FB4689" w:rsidRPr="004E4470">
        <w:rPr>
          <w:rFonts w:ascii="Calibri" w:hAnsi="Calibri" w:cs="Calibri"/>
          <w:sz w:val="22"/>
          <w:szCs w:val="22"/>
        </w:rPr>
        <w:t>.</w:t>
      </w:r>
      <w:r w:rsidR="004E4470" w:rsidRPr="00CF189D">
        <w:rPr>
          <w:rStyle w:val="FootnoteReference"/>
          <w:rFonts w:ascii="Calibri" w:hAnsi="Calibri" w:cs="Calibri"/>
        </w:rPr>
        <w:footnoteReference w:customMarkFollows="1" w:id="212"/>
        <w:t>83</w:t>
      </w:r>
      <w:r w:rsidR="006D003B">
        <w:rPr>
          <w:rFonts w:ascii="Calibri" w:hAnsi="Calibri" w:cs="Calibri"/>
          <w:sz w:val="22"/>
          <w:szCs w:val="22"/>
        </w:rPr>
        <w:t xml:space="preserve"> </w:t>
      </w:r>
      <w:r w:rsidRPr="00D9152B">
        <w:rPr>
          <w:rFonts w:ascii="Calibri" w:hAnsi="Calibri" w:cs="Calibri"/>
          <w:sz w:val="22"/>
          <w:szCs w:val="22"/>
        </w:rPr>
        <w:t xml:space="preserve">Sridhar et al. </w:t>
      </w:r>
      <w:r w:rsidR="00894F5C" w:rsidRPr="00D9152B">
        <w:rPr>
          <w:rFonts w:ascii="Calibri" w:hAnsi="Calibri" w:cs="Calibri"/>
          <w:sz w:val="22"/>
          <w:szCs w:val="22"/>
        </w:rPr>
        <w:t xml:space="preserve">more broadly </w:t>
      </w:r>
      <w:r w:rsidRPr="00D9152B">
        <w:rPr>
          <w:rFonts w:ascii="Calibri" w:hAnsi="Calibri" w:cs="Calibri"/>
          <w:sz w:val="22"/>
          <w:szCs w:val="22"/>
        </w:rPr>
        <w:t>emphasi</w:t>
      </w:r>
      <w:r w:rsidR="00CA0531">
        <w:rPr>
          <w:rFonts w:ascii="Calibri" w:hAnsi="Calibri" w:cs="Calibri"/>
          <w:sz w:val="22"/>
          <w:szCs w:val="22"/>
        </w:rPr>
        <w:t>z</w:t>
      </w:r>
      <w:r w:rsidRPr="00D9152B">
        <w:rPr>
          <w:rFonts w:ascii="Calibri" w:hAnsi="Calibri" w:cs="Calibri"/>
          <w:sz w:val="22"/>
          <w:szCs w:val="22"/>
        </w:rPr>
        <w:t>e the importance of ‘innovative’ financing mechanisms to achieving the Bank’s health goals</w:t>
      </w:r>
      <w:r w:rsidR="00894F5C" w:rsidRPr="00D9152B">
        <w:rPr>
          <w:rFonts w:ascii="Calibri" w:hAnsi="Calibri" w:cs="Calibri"/>
          <w:sz w:val="22"/>
          <w:szCs w:val="22"/>
        </w:rPr>
        <w:t xml:space="preserve"> through an embrace of the private sector</w:t>
      </w:r>
      <w:r w:rsidRPr="00D9152B">
        <w:rPr>
          <w:rFonts w:ascii="Calibri" w:hAnsi="Calibri" w:cs="Calibri"/>
          <w:sz w:val="22"/>
          <w:szCs w:val="22"/>
        </w:rPr>
        <w:t>, particularly since 1990</w:t>
      </w:r>
      <w:r w:rsidRPr="004E4470">
        <w:rPr>
          <w:rFonts w:ascii="Calibri" w:hAnsi="Calibri" w:cs="Calibri"/>
          <w:sz w:val="22"/>
          <w:szCs w:val="22"/>
        </w:rPr>
        <w:t>.</w:t>
      </w:r>
      <w:r w:rsidR="004E4470" w:rsidRPr="00CF189D">
        <w:rPr>
          <w:rStyle w:val="FootnoteReference"/>
          <w:rFonts w:ascii="Calibri" w:hAnsi="Calibri" w:cs="Calibri"/>
        </w:rPr>
        <w:footnoteReference w:customMarkFollows="1" w:id="213"/>
        <w:t>84</w:t>
      </w:r>
      <w:r w:rsidRPr="00D9152B">
        <w:rPr>
          <w:rFonts w:ascii="Calibri" w:hAnsi="Calibri" w:cs="Calibri"/>
          <w:sz w:val="22"/>
          <w:szCs w:val="22"/>
        </w:rPr>
        <w:t xml:space="preserve"> Legal scholars Smyth and Triponel further argue that the Bank has transitioned from a ‘traditional’ trust fund model to a ‘quasi-entity’ and ‘new legal entity’ model. For example, traditional trust funds, like the Avian and swine flu facilities (created in 2006 and 2009, respectively) and the Health Results Innovation Trust Fund (created in 2007), allowed the Bank to directly control programme administration</w:t>
      </w:r>
      <w:r w:rsidR="003758C2" w:rsidRPr="00D9152B">
        <w:rPr>
          <w:rFonts w:ascii="Calibri" w:hAnsi="Calibri" w:cs="Calibri"/>
          <w:sz w:val="22"/>
          <w:szCs w:val="22"/>
        </w:rPr>
        <w:t>, compared to its core funding window</w:t>
      </w:r>
      <w:r w:rsidRPr="00D9152B">
        <w:rPr>
          <w:rFonts w:ascii="Calibri" w:hAnsi="Calibri" w:cs="Calibri"/>
          <w:sz w:val="22"/>
          <w:szCs w:val="22"/>
        </w:rPr>
        <w:t xml:space="preserve">. </w:t>
      </w:r>
      <w:r w:rsidR="00456170" w:rsidRPr="00D9152B">
        <w:rPr>
          <w:rFonts w:ascii="Calibri" w:hAnsi="Calibri" w:cs="Calibri"/>
          <w:sz w:val="22"/>
          <w:szCs w:val="22"/>
        </w:rPr>
        <w:t>According to Smyth and Triponel,</w:t>
      </w:r>
      <w:r w:rsidRPr="00D9152B">
        <w:rPr>
          <w:rFonts w:ascii="Calibri" w:hAnsi="Calibri" w:cs="Calibri"/>
          <w:sz w:val="22"/>
          <w:szCs w:val="22"/>
        </w:rPr>
        <w:t xml:space="preserve"> beginning in the mid-1990s, new legal entity funds were pushed by the Bank, later including </w:t>
      </w:r>
      <w:r w:rsidR="00D0506B">
        <w:rPr>
          <w:rFonts w:ascii="Calibri" w:hAnsi="Calibri" w:cs="Calibri"/>
          <w:sz w:val="22"/>
          <w:szCs w:val="22"/>
        </w:rPr>
        <w:t>Gavi</w:t>
      </w:r>
      <w:r w:rsidRPr="00D9152B">
        <w:rPr>
          <w:rFonts w:ascii="Calibri" w:hAnsi="Calibri" w:cs="Calibri"/>
          <w:sz w:val="22"/>
          <w:szCs w:val="22"/>
        </w:rPr>
        <w:t xml:space="preserve">, the </w:t>
      </w:r>
      <w:r w:rsidR="00D0506B">
        <w:rPr>
          <w:rFonts w:ascii="Calibri" w:hAnsi="Calibri" w:cs="Calibri"/>
          <w:sz w:val="22"/>
          <w:szCs w:val="22"/>
        </w:rPr>
        <w:t>V</w:t>
      </w:r>
      <w:r w:rsidRPr="00D9152B">
        <w:rPr>
          <w:rFonts w:ascii="Calibri" w:hAnsi="Calibri" w:cs="Calibri"/>
          <w:sz w:val="22"/>
          <w:szCs w:val="22"/>
        </w:rPr>
        <w:t xml:space="preserve">accine </w:t>
      </w:r>
      <w:r w:rsidR="00D0506B">
        <w:rPr>
          <w:rFonts w:ascii="Calibri" w:hAnsi="Calibri" w:cs="Calibri"/>
          <w:sz w:val="22"/>
          <w:szCs w:val="22"/>
        </w:rPr>
        <w:t>A</w:t>
      </w:r>
      <w:r w:rsidRPr="00D9152B">
        <w:rPr>
          <w:rFonts w:ascii="Calibri" w:hAnsi="Calibri" w:cs="Calibri"/>
          <w:sz w:val="22"/>
          <w:szCs w:val="22"/>
        </w:rPr>
        <w:t>lliance and the Global Fund to Fight AIDS, Tuberculosis, and Malaria. These funds restricted the Bank’s administrative control of the programmes, but allowed it to wield influence on their globally-grounded boards</w:t>
      </w:r>
      <w:r w:rsidRPr="004E4470">
        <w:rPr>
          <w:rFonts w:ascii="Calibri" w:hAnsi="Calibri" w:cs="Calibri"/>
          <w:sz w:val="22"/>
          <w:szCs w:val="22"/>
        </w:rPr>
        <w:t>.</w:t>
      </w:r>
      <w:r w:rsidR="004E4470" w:rsidRPr="00CF189D">
        <w:rPr>
          <w:rStyle w:val="FootnoteReference"/>
          <w:rFonts w:ascii="Calibri" w:hAnsi="Calibri" w:cs="Calibri"/>
        </w:rPr>
        <w:footnoteReference w:customMarkFollows="1" w:id="214"/>
        <w:t>85</w:t>
      </w:r>
    </w:p>
    <w:p w14:paraId="19A660AD" w14:textId="4C8EF962" w:rsidR="003758C2" w:rsidRPr="00546CBA" w:rsidRDefault="00894F5C" w:rsidP="00D0506B">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lastRenderedPageBreak/>
        <w:t xml:space="preserve">The third theme </w:t>
      </w:r>
      <w:r w:rsidR="0094308C" w:rsidRPr="00D9152B">
        <w:rPr>
          <w:rFonts w:ascii="Calibri" w:hAnsi="Calibri" w:cs="Calibri"/>
          <w:sz w:val="22"/>
          <w:szCs w:val="22"/>
        </w:rPr>
        <w:t xml:space="preserve">draws on the concept of efficiency, and </w:t>
      </w:r>
      <w:r w:rsidRPr="00D9152B">
        <w:rPr>
          <w:rFonts w:ascii="Calibri" w:hAnsi="Calibri" w:cs="Calibri"/>
          <w:sz w:val="22"/>
          <w:szCs w:val="22"/>
        </w:rPr>
        <w:t xml:space="preserve">describes how the Bank </w:t>
      </w:r>
      <w:r w:rsidR="0094308C" w:rsidRPr="00D9152B">
        <w:rPr>
          <w:rFonts w:ascii="Calibri" w:hAnsi="Calibri" w:cs="Calibri"/>
          <w:sz w:val="22"/>
          <w:szCs w:val="22"/>
        </w:rPr>
        <w:t>has embraced</w:t>
      </w:r>
      <w:r w:rsidRPr="00D9152B">
        <w:rPr>
          <w:rFonts w:ascii="Calibri" w:hAnsi="Calibri" w:cs="Calibri"/>
          <w:sz w:val="22"/>
          <w:szCs w:val="22"/>
        </w:rPr>
        <w:t xml:space="preserve"> a narrow definition of health system strengthening (HSS) and primary health care (PHC)</w:t>
      </w:r>
      <w:r w:rsidR="0094308C" w:rsidRPr="00D9152B">
        <w:rPr>
          <w:rFonts w:ascii="Calibri" w:hAnsi="Calibri" w:cs="Calibri"/>
          <w:sz w:val="22"/>
          <w:szCs w:val="22"/>
        </w:rPr>
        <w:t xml:space="preserve">, </w:t>
      </w:r>
      <w:r w:rsidR="003758C2" w:rsidRPr="00D9152B">
        <w:rPr>
          <w:rFonts w:ascii="Calibri" w:hAnsi="Calibri" w:cs="Calibri"/>
          <w:sz w:val="22"/>
          <w:szCs w:val="22"/>
        </w:rPr>
        <w:t>based on</w:t>
      </w:r>
      <w:r w:rsidR="0094308C" w:rsidRPr="00D9152B">
        <w:rPr>
          <w:rFonts w:ascii="Calibri" w:hAnsi="Calibri" w:cs="Calibri"/>
          <w:sz w:val="22"/>
          <w:szCs w:val="22"/>
        </w:rPr>
        <w:t xml:space="preserve"> tightly </w:t>
      </w:r>
      <w:r w:rsidR="0094308C" w:rsidRPr="00425AAF">
        <w:rPr>
          <w:rFonts w:ascii="Calibri" w:hAnsi="Calibri" w:cs="Calibri"/>
          <w:sz w:val="22"/>
          <w:szCs w:val="22"/>
        </w:rPr>
        <w:t xml:space="preserve">controlled metrics and private investments. </w:t>
      </w:r>
      <w:r w:rsidR="001669ED" w:rsidRPr="00425AAF">
        <w:rPr>
          <w:rFonts w:ascii="Calibri" w:hAnsi="Calibri" w:cs="Calibri"/>
          <w:sz w:val="22"/>
          <w:szCs w:val="22"/>
        </w:rPr>
        <w:t xml:space="preserve">The ‘PHC’ </w:t>
      </w:r>
      <w:r w:rsidR="003758C2" w:rsidRPr="00425AAF">
        <w:rPr>
          <w:rFonts w:ascii="Calibri" w:hAnsi="Calibri" w:cs="Calibri"/>
          <w:sz w:val="22"/>
          <w:szCs w:val="22"/>
        </w:rPr>
        <w:t>ideology</w:t>
      </w:r>
      <w:r w:rsidR="001669ED" w:rsidRPr="00425AAF">
        <w:rPr>
          <w:rFonts w:ascii="Calibri" w:hAnsi="Calibri" w:cs="Calibri"/>
          <w:sz w:val="22"/>
          <w:szCs w:val="22"/>
        </w:rPr>
        <w:t xml:space="preserve"> grew out of the 1960s and 1970s basic health care service program</w:t>
      </w:r>
      <w:r w:rsidR="001669ED" w:rsidRPr="00546CBA">
        <w:rPr>
          <w:rFonts w:ascii="Calibri" w:hAnsi="Calibri" w:cs="Calibri"/>
          <w:sz w:val="22"/>
          <w:szCs w:val="22"/>
        </w:rPr>
        <w:t>mes initiated for the rural poor, initially in Ch</w:t>
      </w:r>
      <w:r w:rsidR="001669ED" w:rsidRPr="00681100">
        <w:rPr>
          <w:rFonts w:ascii="Calibri" w:hAnsi="Calibri" w:cs="Calibri"/>
          <w:sz w:val="22"/>
          <w:szCs w:val="22"/>
        </w:rPr>
        <w:t>ina, Tanzania, Sudan, and Venezuela. As Hall and Taylor describe, the 1978 Alma-Ata Declaration formalised a definition of PHC, which focused on universal coverage of basic services and community involvement</w:t>
      </w:r>
      <w:r w:rsidR="001669ED" w:rsidRPr="000045FB">
        <w:rPr>
          <w:rFonts w:ascii="Calibri" w:hAnsi="Calibri" w:cs="Calibri"/>
          <w:sz w:val="22"/>
          <w:szCs w:val="22"/>
        </w:rPr>
        <w:t xml:space="preserve"> in its own health care services. The primary ‘units’ of HSS in this context were to be the community primary health committee and trained village health workers.</w:t>
      </w:r>
      <w:r w:rsidR="00425AAF" w:rsidRPr="00CF189D">
        <w:rPr>
          <w:rStyle w:val="FootnoteReference"/>
          <w:rFonts w:ascii="Calibri" w:hAnsi="Calibri" w:cs="Calibri"/>
        </w:rPr>
        <w:footnoteReference w:customMarkFollows="1" w:id="215"/>
        <w:t>86</w:t>
      </w:r>
      <w:r w:rsidR="001669ED" w:rsidRPr="00425AAF">
        <w:rPr>
          <w:rFonts w:ascii="Calibri" w:hAnsi="Calibri" w:cs="Calibri"/>
          <w:sz w:val="22"/>
          <w:szCs w:val="22"/>
        </w:rPr>
        <w:t xml:space="preserve"> Bryant and Richmond and Cueto at al. argue that these units changed significantly when the Bank, Rockefeller</w:t>
      </w:r>
      <w:r w:rsidR="003758C2" w:rsidRPr="00425AAF">
        <w:rPr>
          <w:rFonts w:ascii="Calibri" w:hAnsi="Calibri" w:cs="Calibri"/>
          <w:sz w:val="22"/>
          <w:szCs w:val="22"/>
        </w:rPr>
        <w:t xml:space="preserve"> Foundation</w:t>
      </w:r>
      <w:r w:rsidR="001669ED" w:rsidRPr="00425AAF">
        <w:rPr>
          <w:rFonts w:ascii="Calibri" w:hAnsi="Calibri" w:cs="Calibri"/>
          <w:sz w:val="22"/>
          <w:szCs w:val="22"/>
        </w:rPr>
        <w:t xml:space="preserve">, and </w:t>
      </w:r>
      <w:r w:rsidR="003758C2" w:rsidRPr="00425AAF">
        <w:rPr>
          <w:rFonts w:ascii="Calibri" w:hAnsi="Calibri" w:cs="Calibri"/>
          <w:sz w:val="22"/>
          <w:szCs w:val="22"/>
        </w:rPr>
        <w:t>United Nations Children Fund (UNICEF)</w:t>
      </w:r>
      <w:r w:rsidR="001669ED" w:rsidRPr="00546CBA">
        <w:rPr>
          <w:rFonts w:ascii="Calibri" w:hAnsi="Calibri" w:cs="Calibri"/>
          <w:sz w:val="22"/>
          <w:szCs w:val="22"/>
        </w:rPr>
        <w:t xml:space="preserve"> put forward the concept of </w:t>
      </w:r>
      <w:r w:rsidR="003758C2" w:rsidRPr="00681100">
        <w:rPr>
          <w:rFonts w:ascii="Calibri" w:hAnsi="Calibri" w:cs="Calibri"/>
          <w:sz w:val="22"/>
          <w:szCs w:val="22"/>
        </w:rPr>
        <w:t>selective primary health care (SPHC)</w:t>
      </w:r>
      <w:r w:rsidR="001669ED" w:rsidRPr="00681100">
        <w:rPr>
          <w:rFonts w:ascii="Calibri" w:hAnsi="Calibri" w:cs="Calibri"/>
          <w:sz w:val="22"/>
          <w:szCs w:val="22"/>
        </w:rPr>
        <w:t xml:space="preserve"> around 1980. A new version of PHC </w:t>
      </w:r>
      <w:r w:rsidR="003758C2" w:rsidRPr="000045FB">
        <w:rPr>
          <w:rFonts w:ascii="Calibri" w:hAnsi="Calibri" w:cs="Calibri"/>
          <w:sz w:val="22"/>
          <w:szCs w:val="22"/>
        </w:rPr>
        <w:t xml:space="preserve">and health system strengthening </w:t>
      </w:r>
      <w:r w:rsidR="001669ED" w:rsidRPr="000045FB">
        <w:rPr>
          <w:rFonts w:ascii="Calibri" w:hAnsi="Calibri" w:cs="Calibri"/>
          <w:sz w:val="22"/>
          <w:szCs w:val="22"/>
        </w:rPr>
        <w:t xml:space="preserve">emerged, which was grounded on the concept of </w:t>
      </w:r>
      <w:r w:rsidR="0094308C" w:rsidRPr="00581494">
        <w:rPr>
          <w:rFonts w:ascii="Calibri" w:hAnsi="Calibri" w:cs="Calibri"/>
          <w:sz w:val="22"/>
          <w:szCs w:val="22"/>
        </w:rPr>
        <w:t>cost-effectiveness</w:t>
      </w:r>
      <w:r w:rsidR="001669ED" w:rsidRPr="00581494">
        <w:rPr>
          <w:rFonts w:ascii="Calibri" w:hAnsi="Calibri" w:cs="Calibri"/>
          <w:sz w:val="22"/>
          <w:szCs w:val="22"/>
        </w:rPr>
        <w:t>. The village health worker concept was</w:t>
      </w:r>
      <w:r w:rsidR="001669ED" w:rsidRPr="00E259AA">
        <w:rPr>
          <w:rFonts w:ascii="Calibri" w:hAnsi="Calibri" w:cs="Calibri"/>
          <w:sz w:val="22"/>
          <w:szCs w:val="22"/>
        </w:rPr>
        <w:t xml:space="preserve"> replaced with a package of low-cost, technical interventions to tackle the major disease problems of poor countries.</w:t>
      </w:r>
      <w:r w:rsidR="00425AAF" w:rsidRPr="00CF189D">
        <w:rPr>
          <w:rStyle w:val="FootnoteReference"/>
          <w:rFonts w:ascii="Calibri" w:hAnsi="Calibri" w:cs="Calibri"/>
        </w:rPr>
        <w:footnoteReference w:customMarkFollows="1" w:id="216"/>
        <w:t>87</w:t>
      </w:r>
      <w:r w:rsidR="001669ED" w:rsidRPr="00546CBA">
        <w:rPr>
          <w:rFonts w:ascii="Calibri" w:hAnsi="Calibri" w:cs="Calibri"/>
          <w:sz w:val="22"/>
          <w:szCs w:val="22"/>
        </w:rPr>
        <w:t xml:space="preserve"> As WHO Director General and Alma-Ata champion Halfdan Mahler described decades later,</w:t>
      </w:r>
      <w:r w:rsidR="001669ED" w:rsidRPr="00681100">
        <w:rPr>
          <w:rFonts w:ascii="Calibri" w:hAnsi="Calibri" w:cs="Calibri"/>
          <w:sz w:val="22"/>
          <w:szCs w:val="22"/>
        </w:rPr>
        <w:t xml:space="preserve"> comprehensive PHC ‘came to an abrupt reversal’ with the </w:t>
      </w:r>
      <w:r w:rsidR="00D0506B" w:rsidRPr="000045FB">
        <w:rPr>
          <w:rFonts w:ascii="Calibri" w:hAnsi="Calibri" w:cs="Calibri"/>
          <w:sz w:val="22"/>
          <w:szCs w:val="22"/>
        </w:rPr>
        <w:t>International Monetary Fund</w:t>
      </w:r>
      <w:r w:rsidR="001669ED" w:rsidRPr="000045FB">
        <w:rPr>
          <w:rFonts w:ascii="Calibri" w:hAnsi="Calibri" w:cs="Calibri"/>
          <w:sz w:val="22"/>
          <w:szCs w:val="22"/>
        </w:rPr>
        <w:t xml:space="preserve"> and Bank’s emphasis on ‘all kinds of privatization’.</w:t>
      </w:r>
      <w:r w:rsidR="00425AAF" w:rsidRPr="00CF189D">
        <w:rPr>
          <w:rStyle w:val="FootnoteReference"/>
          <w:rFonts w:ascii="Calibri" w:hAnsi="Calibri" w:cs="Calibri"/>
        </w:rPr>
        <w:footnoteReference w:customMarkFollows="1" w:id="217"/>
        <w:t>88</w:t>
      </w:r>
      <w:r w:rsidR="001669ED" w:rsidRPr="00546CBA">
        <w:rPr>
          <w:rFonts w:ascii="Calibri" w:hAnsi="Calibri" w:cs="Calibri"/>
          <w:sz w:val="22"/>
          <w:szCs w:val="22"/>
        </w:rPr>
        <w:t xml:space="preserve"> </w:t>
      </w:r>
      <w:r w:rsidR="0094308C" w:rsidRPr="00681100">
        <w:rPr>
          <w:rFonts w:ascii="Calibri" w:hAnsi="Calibri" w:cs="Calibri"/>
          <w:sz w:val="22"/>
          <w:szCs w:val="22"/>
        </w:rPr>
        <w:t xml:space="preserve">In her analysis of the Gavi Alliance, Storeng further argues that – instead of contributing to a </w:t>
      </w:r>
      <w:r w:rsidR="001669ED" w:rsidRPr="00681100">
        <w:rPr>
          <w:rFonts w:ascii="Calibri" w:hAnsi="Calibri" w:cs="Calibri"/>
          <w:sz w:val="22"/>
          <w:szCs w:val="22"/>
        </w:rPr>
        <w:t>‘horizontal wave’</w:t>
      </w:r>
      <w:r w:rsidR="001669ED" w:rsidRPr="000045FB">
        <w:rPr>
          <w:rFonts w:ascii="Calibri" w:hAnsi="Calibri" w:cs="Calibri"/>
          <w:sz w:val="22"/>
          <w:szCs w:val="22"/>
        </w:rPr>
        <w:t xml:space="preserve"> of HSS financing in the 2010s</w:t>
      </w:r>
      <w:r w:rsidR="00D0506B" w:rsidRPr="000045FB">
        <w:rPr>
          <w:rFonts w:ascii="Calibri" w:hAnsi="Calibri" w:cs="Calibri"/>
          <w:sz w:val="22"/>
          <w:szCs w:val="22"/>
        </w:rPr>
        <w:t xml:space="preserve"> –</w:t>
      </w:r>
      <w:r w:rsidR="001669ED" w:rsidRPr="00581494">
        <w:rPr>
          <w:rFonts w:ascii="Calibri" w:hAnsi="Calibri" w:cs="Calibri"/>
          <w:sz w:val="22"/>
          <w:szCs w:val="22"/>
        </w:rPr>
        <w:t xml:space="preserve"> </w:t>
      </w:r>
      <w:r w:rsidR="0094308C" w:rsidRPr="00581494">
        <w:rPr>
          <w:rFonts w:ascii="Calibri" w:hAnsi="Calibri" w:cs="Calibri"/>
          <w:sz w:val="22"/>
          <w:szCs w:val="22"/>
        </w:rPr>
        <w:t>the Bank and Gavi</w:t>
      </w:r>
      <w:r w:rsidR="001669ED" w:rsidRPr="00581494">
        <w:rPr>
          <w:rFonts w:ascii="Calibri" w:hAnsi="Calibri" w:cs="Calibri"/>
          <w:sz w:val="22"/>
          <w:szCs w:val="22"/>
        </w:rPr>
        <w:t xml:space="preserve"> ap</w:t>
      </w:r>
      <w:r w:rsidR="001669ED" w:rsidRPr="00E259AA">
        <w:rPr>
          <w:rFonts w:ascii="Calibri" w:hAnsi="Calibri" w:cs="Calibri"/>
          <w:sz w:val="22"/>
          <w:szCs w:val="22"/>
        </w:rPr>
        <w:t>proach embraces a ‘vertical’ ethos, grounded in neoliberalism, market metaphors, and embracing technical solutions to disease-specific goals.</w:t>
      </w:r>
      <w:r w:rsidR="00425AAF" w:rsidRPr="00CF189D">
        <w:rPr>
          <w:rStyle w:val="FootnoteReference"/>
          <w:rFonts w:ascii="Calibri" w:hAnsi="Calibri" w:cs="Calibri"/>
        </w:rPr>
        <w:footnoteReference w:customMarkFollows="1" w:id="218"/>
        <w:t>89</w:t>
      </w:r>
    </w:p>
    <w:p w14:paraId="2E702F87" w14:textId="04B75108" w:rsidR="008A4F8D" w:rsidRPr="000045FB" w:rsidRDefault="00FA7D67" w:rsidP="0094308C">
      <w:pPr>
        <w:pStyle w:val="Heading2"/>
        <w:rPr>
          <w:rFonts w:ascii="Calibri" w:hAnsi="Calibri" w:cs="Calibri"/>
          <w:b/>
          <w:sz w:val="26"/>
          <w:szCs w:val="26"/>
        </w:rPr>
      </w:pPr>
      <w:bookmarkStart w:id="49" w:name="_Toc41505623"/>
      <w:r w:rsidRPr="00681100">
        <w:rPr>
          <w:rFonts w:ascii="Calibri" w:hAnsi="Calibri" w:cs="Calibri"/>
          <w:b/>
          <w:sz w:val="26"/>
          <w:szCs w:val="26"/>
        </w:rPr>
        <w:t>3.</w:t>
      </w:r>
      <w:r w:rsidR="00380D9B" w:rsidRPr="00681100">
        <w:rPr>
          <w:rFonts w:ascii="Calibri" w:hAnsi="Calibri" w:cs="Calibri"/>
          <w:b/>
          <w:sz w:val="26"/>
          <w:szCs w:val="26"/>
        </w:rPr>
        <w:t>7</w:t>
      </w:r>
      <w:r w:rsidR="00C366F6" w:rsidRPr="000045FB">
        <w:rPr>
          <w:rFonts w:ascii="Calibri" w:hAnsi="Calibri" w:cs="Calibri"/>
          <w:b/>
          <w:sz w:val="26"/>
          <w:szCs w:val="26"/>
        </w:rPr>
        <w:t>. Conclusion</w:t>
      </w:r>
      <w:bookmarkEnd w:id="49"/>
    </w:p>
    <w:p w14:paraId="7D33BF9F" w14:textId="77777777" w:rsidR="004B654D" w:rsidRPr="000045FB" w:rsidRDefault="004B654D" w:rsidP="004B654D">
      <w:pPr>
        <w:rPr>
          <w:rFonts w:ascii="Calibri" w:hAnsi="Calibri" w:cs="Calibri"/>
        </w:rPr>
      </w:pPr>
    </w:p>
    <w:p w14:paraId="7BB25C74" w14:textId="2401F59A" w:rsidR="0094308C" w:rsidRPr="00681100" w:rsidRDefault="00C56FAC" w:rsidP="0091441D">
      <w:pPr>
        <w:spacing w:before="100" w:beforeAutospacing="1" w:after="100" w:afterAutospacing="1" w:line="360" w:lineRule="auto"/>
        <w:rPr>
          <w:rFonts w:ascii="Calibri" w:hAnsi="Calibri" w:cs="Calibri"/>
          <w:sz w:val="22"/>
          <w:szCs w:val="22"/>
          <w:lang w:val="en-US"/>
        </w:rPr>
      </w:pPr>
      <w:r w:rsidRPr="00581494">
        <w:rPr>
          <w:rFonts w:ascii="Calibri" w:hAnsi="Calibri" w:cs="Calibri"/>
          <w:lang w:val="en-US"/>
        </w:rPr>
        <w:tab/>
      </w:r>
      <w:r w:rsidR="00780ADD" w:rsidRPr="00581494">
        <w:rPr>
          <w:rFonts w:ascii="Calibri" w:hAnsi="Calibri" w:cs="Calibri"/>
          <w:sz w:val="22"/>
          <w:szCs w:val="22"/>
          <w:lang w:val="en-US"/>
        </w:rPr>
        <w:t xml:space="preserve">This chapter used depictions of the OCP’s success as a lens to explore the Bank’s role within the wider global health governance landscape. Ultimately, </w:t>
      </w:r>
      <w:r w:rsidR="00CF5B41" w:rsidRPr="00E259AA">
        <w:rPr>
          <w:rFonts w:ascii="Calibri" w:hAnsi="Calibri" w:cs="Calibri"/>
          <w:sz w:val="22"/>
          <w:szCs w:val="22"/>
          <w:lang w:val="en-US"/>
        </w:rPr>
        <w:t xml:space="preserve">its analysis of the </w:t>
      </w:r>
      <w:r w:rsidR="00CF5B41" w:rsidRPr="00E259AA">
        <w:rPr>
          <w:rFonts w:ascii="Calibri" w:hAnsi="Calibri" w:cs="Calibri"/>
          <w:sz w:val="22"/>
          <w:szCs w:val="22"/>
          <w:lang w:val="en-US"/>
        </w:rPr>
        <w:lastRenderedPageBreak/>
        <w:t xml:space="preserve">Bank’s role in the OCP </w:t>
      </w:r>
      <w:r w:rsidR="00780ADD" w:rsidRPr="00E259AA">
        <w:rPr>
          <w:rFonts w:ascii="Calibri" w:hAnsi="Calibri" w:cs="Calibri"/>
          <w:sz w:val="22"/>
          <w:szCs w:val="22"/>
          <w:lang w:val="en-US"/>
        </w:rPr>
        <w:t>supports pre-existing scholarship on the Bank and global health, including that of Sridhar and Ruger. For instance, the Bank’s dominant narrative converges thematically with Sridhar’s analysis of nutrition at the Bank (i.e. mainstreaming nutrition in the 1970s, presenting nutrition as a commodity and investment from around 1993-2006, and putting forward nutrition as a tool of cost-effectiveness from 1993-2006)</w:t>
      </w:r>
      <w:r w:rsidR="00732252" w:rsidRPr="00E259AA">
        <w:rPr>
          <w:rFonts w:ascii="Calibri" w:hAnsi="Calibri" w:cs="Calibri"/>
          <w:sz w:val="22"/>
          <w:szCs w:val="22"/>
          <w:lang w:val="en-US"/>
        </w:rPr>
        <w:t>, and Ruger’s ‘investment era’ of the 1990s</w:t>
      </w:r>
      <w:r w:rsidR="00780ADD" w:rsidRPr="00E259AA">
        <w:rPr>
          <w:rFonts w:ascii="Calibri" w:hAnsi="Calibri" w:cs="Calibri"/>
          <w:sz w:val="22"/>
          <w:szCs w:val="22"/>
          <w:lang w:val="en-US"/>
        </w:rPr>
        <w:t xml:space="preserve">. </w:t>
      </w:r>
      <w:r w:rsidR="00CF5B41" w:rsidRPr="00E259AA">
        <w:rPr>
          <w:rFonts w:ascii="Calibri" w:hAnsi="Calibri" w:cs="Calibri"/>
          <w:sz w:val="22"/>
          <w:szCs w:val="22"/>
          <w:lang w:val="en-US"/>
        </w:rPr>
        <w:t>The</w:t>
      </w:r>
      <w:r w:rsidR="00780ADD" w:rsidRPr="00E259AA">
        <w:rPr>
          <w:rFonts w:ascii="Calibri" w:hAnsi="Calibri" w:cs="Calibri"/>
          <w:sz w:val="22"/>
          <w:szCs w:val="22"/>
          <w:lang w:val="en-US"/>
        </w:rPr>
        <w:t xml:space="preserve"> Bank began to point to the OCP’s success as its health portfolio rose in the 1980s, developed socio-economic metrics to support its </w:t>
      </w:r>
      <w:r w:rsidR="0094308C" w:rsidRPr="00DE5E29">
        <w:rPr>
          <w:rFonts w:ascii="Calibri" w:hAnsi="Calibri" w:cs="Calibri"/>
          <w:sz w:val="22"/>
          <w:szCs w:val="22"/>
          <w:lang w:val="en-US"/>
        </w:rPr>
        <w:t>growing</w:t>
      </w:r>
      <w:r w:rsidR="00780ADD" w:rsidRPr="00DE5E29">
        <w:rPr>
          <w:rFonts w:ascii="Calibri" w:hAnsi="Calibri" w:cs="Calibri"/>
          <w:sz w:val="22"/>
          <w:szCs w:val="22"/>
          <w:lang w:val="en-US"/>
        </w:rPr>
        <w:t xml:space="preserve"> success narrative in the late 1980s, and increasingly marshalled these metrics to promote cost-effective partnerships since the mid-1990s. </w:t>
      </w:r>
      <w:r w:rsidR="0094308C" w:rsidRPr="00DE5E29">
        <w:rPr>
          <w:rFonts w:ascii="Calibri" w:hAnsi="Calibri" w:cs="Calibri"/>
          <w:sz w:val="22"/>
          <w:szCs w:val="22"/>
          <w:lang w:val="en-US"/>
        </w:rPr>
        <w:t>The Bank’s role in the OCP also mirrors Sridhar’s findings about its role in nutrition</w:t>
      </w:r>
      <w:r w:rsidR="00D0506B" w:rsidRPr="00DE5E29">
        <w:rPr>
          <w:rFonts w:ascii="Calibri" w:hAnsi="Calibri" w:cs="Calibri"/>
          <w:sz w:val="22"/>
          <w:szCs w:val="22"/>
          <w:lang w:val="en-US"/>
        </w:rPr>
        <w:t>:</w:t>
      </w:r>
      <w:r w:rsidR="0094308C" w:rsidRPr="00DE5E29">
        <w:rPr>
          <w:rFonts w:ascii="Calibri" w:hAnsi="Calibri" w:cs="Calibri"/>
          <w:sz w:val="22"/>
          <w:szCs w:val="22"/>
          <w:lang w:val="en-US"/>
        </w:rPr>
        <w:t xml:space="preserve"> that the influence of the Bank on nutrition was disproportionate to the number of staff working on this topic, that there was a ‘revolving door’ between Bank and WHO experts, and that the Bank used a ‘recycling program’ of sorts to train economists to work in new technical specialties.</w:t>
      </w:r>
      <w:r w:rsidR="00425AAF" w:rsidRPr="00CF189D">
        <w:rPr>
          <w:rStyle w:val="FootnoteReference"/>
          <w:rFonts w:ascii="Calibri" w:hAnsi="Calibri" w:cs="Calibri"/>
        </w:rPr>
        <w:footnoteReference w:customMarkFollows="1" w:id="219"/>
        <w:t>90</w:t>
      </w:r>
      <w:r w:rsidR="0094308C" w:rsidRPr="00546CBA">
        <w:rPr>
          <w:rFonts w:ascii="Calibri" w:hAnsi="Calibri" w:cs="Calibri"/>
          <w:sz w:val="22"/>
          <w:szCs w:val="22"/>
        </w:rPr>
        <w:t xml:space="preserve">  </w:t>
      </w:r>
    </w:p>
    <w:p w14:paraId="69BA6F76" w14:textId="4B18F17F" w:rsidR="000E5CBF" w:rsidRPr="00D9152B" w:rsidRDefault="00780ADD" w:rsidP="005C7F9F">
      <w:pPr>
        <w:spacing w:before="100" w:beforeAutospacing="1" w:after="100" w:afterAutospacing="1" w:line="360" w:lineRule="auto"/>
        <w:rPr>
          <w:rFonts w:ascii="Calibri" w:hAnsi="Calibri" w:cs="Calibri"/>
          <w:sz w:val="22"/>
          <w:szCs w:val="22"/>
          <w:lang w:val="en-US"/>
        </w:rPr>
      </w:pPr>
      <w:r w:rsidRPr="00681100">
        <w:rPr>
          <w:rFonts w:ascii="Calibri" w:hAnsi="Calibri" w:cs="Calibri"/>
          <w:sz w:val="22"/>
          <w:szCs w:val="22"/>
          <w:lang w:val="en-US"/>
        </w:rPr>
        <w:tab/>
      </w:r>
      <w:r w:rsidR="00732252" w:rsidRPr="000045FB">
        <w:rPr>
          <w:rFonts w:ascii="Calibri" w:hAnsi="Calibri" w:cs="Calibri"/>
          <w:sz w:val="22"/>
          <w:szCs w:val="22"/>
          <w:lang w:val="en-US"/>
        </w:rPr>
        <w:t>The</w:t>
      </w:r>
      <w:r w:rsidRPr="000045FB">
        <w:rPr>
          <w:rFonts w:ascii="Calibri" w:hAnsi="Calibri" w:cs="Calibri"/>
          <w:sz w:val="22"/>
          <w:szCs w:val="22"/>
          <w:lang w:val="en-US"/>
        </w:rPr>
        <w:t xml:space="preserve"> global health and Bank success narratives strongly support Harman’s reflection that the Bank no longer needs conditionalities to influence global health. </w:t>
      </w:r>
      <w:r w:rsidR="00732252" w:rsidRPr="00581494">
        <w:rPr>
          <w:rFonts w:ascii="Calibri" w:hAnsi="Calibri" w:cs="Calibri"/>
          <w:sz w:val="22"/>
          <w:szCs w:val="22"/>
          <w:lang w:val="en-US"/>
        </w:rPr>
        <w:t xml:space="preserve">By the late 1980s, </w:t>
      </w:r>
      <w:r w:rsidR="00CF5B41" w:rsidRPr="00581494">
        <w:rPr>
          <w:rFonts w:ascii="Calibri" w:hAnsi="Calibri" w:cs="Calibri"/>
          <w:sz w:val="22"/>
          <w:szCs w:val="22"/>
          <w:lang w:val="en-US"/>
        </w:rPr>
        <w:t>the Bank</w:t>
      </w:r>
      <w:r w:rsidR="00732252" w:rsidRPr="00581494">
        <w:rPr>
          <w:rFonts w:ascii="Calibri" w:hAnsi="Calibri" w:cs="Calibri"/>
          <w:sz w:val="22"/>
          <w:szCs w:val="22"/>
          <w:lang w:val="en-US"/>
        </w:rPr>
        <w:t xml:space="preserve"> was producing</w:t>
      </w:r>
      <w:r w:rsidR="0043348E" w:rsidRPr="00E259AA">
        <w:rPr>
          <w:rFonts w:ascii="Calibri" w:hAnsi="Calibri" w:cs="Calibri"/>
          <w:sz w:val="22"/>
          <w:szCs w:val="22"/>
          <w:lang w:val="en-US"/>
        </w:rPr>
        <w:t xml:space="preserve"> statistics</w:t>
      </w:r>
      <w:r w:rsidR="00732252" w:rsidRPr="00E259AA">
        <w:rPr>
          <w:rFonts w:ascii="Calibri" w:hAnsi="Calibri" w:cs="Calibri"/>
          <w:sz w:val="22"/>
          <w:szCs w:val="22"/>
          <w:lang w:val="en-US"/>
        </w:rPr>
        <w:t xml:space="preserve"> for the OCP programme</w:t>
      </w:r>
      <w:r w:rsidR="0043348E" w:rsidRPr="00E259AA">
        <w:rPr>
          <w:rFonts w:ascii="Calibri" w:hAnsi="Calibri" w:cs="Calibri"/>
          <w:sz w:val="22"/>
          <w:szCs w:val="22"/>
          <w:lang w:val="en-US"/>
        </w:rPr>
        <w:t xml:space="preserve"> that were heavily cited by members of global health communities. </w:t>
      </w:r>
      <w:r w:rsidR="00732252" w:rsidRPr="00E259AA">
        <w:rPr>
          <w:rFonts w:ascii="Calibri" w:hAnsi="Calibri" w:cs="Calibri"/>
          <w:sz w:val="22"/>
          <w:szCs w:val="22"/>
          <w:lang w:val="en-US"/>
        </w:rPr>
        <w:t>K</w:t>
      </w:r>
      <w:r w:rsidR="0043348E" w:rsidRPr="00E259AA">
        <w:rPr>
          <w:rFonts w:ascii="Calibri" w:hAnsi="Calibri" w:cs="Calibri"/>
          <w:sz w:val="22"/>
          <w:szCs w:val="22"/>
          <w:lang w:val="en-US"/>
        </w:rPr>
        <w:t>ey staff members were aware of the benefits of presenting the OCP as a success story, in terms of</w:t>
      </w:r>
      <w:r w:rsidR="00732252" w:rsidRPr="00E259AA">
        <w:rPr>
          <w:rFonts w:ascii="Calibri" w:hAnsi="Calibri" w:cs="Calibri"/>
          <w:sz w:val="22"/>
          <w:szCs w:val="22"/>
          <w:lang w:val="en-US"/>
        </w:rPr>
        <w:t xml:space="preserve"> both</w:t>
      </w:r>
      <w:r w:rsidR="0043348E" w:rsidRPr="00E259AA">
        <w:rPr>
          <w:rFonts w:ascii="Calibri" w:hAnsi="Calibri" w:cs="Calibri"/>
          <w:sz w:val="22"/>
          <w:szCs w:val="22"/>
          <w:lang w:val="en-US"/>
        </w:rPr>
        <w:t xml:space="preserve"> fundraising and influencing global health priority setting. For instance, the first peak in references to the OCP’s success by the Bank was around 1993-1995, when the </w:t>
      </w:r>
      <w:r w:rsidR="00AA0BC1" w:rsidRPr="00E259AA">
        <w:rPr>
          <w:rFonts w:ascii="Calibri" w:hAnsi="Calibri" w:cs="Calibri"/>
          <w:i/>
          <w:sz w:val="22"/>
          <w:szCs w:val="22"/>
          <w:lang w:val="en-US"/>
        </w:rPr>
        <w:t>W</w:t>
      </w:r>
      <w:r w:rsidR="00AA0BC1" w:rsidRPr="00DE5E29">
        <w:rPr>
          <w:rFonts w:ascii="Calibri" w:hAnsi="Calibri" w:cs="Calibri"/>
          <w:i/>
          <w:sz w:val="22"/>
          <w:szCs w:val="22"/>
          <w:lang w:val="en-US"/>
        </w:rPr>
        <w:t>orld d</w:t>
      </w:r>
      <w:r w:rsidR="0043348E" w:rsidRPr="00DE5E29">
        <w:rPr>
          <w:rFonts w:ascii="Calibri" w:hAnsi="Calibri" w:cs="Calibri"/>
          <w:i/>
          <w:sz w:val="22"/>
          <w:szCs w:val="22"/>
          <w:lang w:val="en-US"/>
        </w:rPr>
        <w:t xml:space="preserve">evelopment </w:t>
      </w:r>
      <w:r w:rsidR="00AA0BC1" w:rsidRPr="00DE5E29">
        <w:rPr>
          <w:rFonts w:ascii="Calibri" w:hAnsi="Calibri" w:cs="Calibri"/>
          <w:i/>
          <w:sz w:val="22"/>
          <w:szCs w:val="22"/>
          <w:lang w:val="en-US"/>
        </w:rPr>
        <w:t>r</w:t>
      </w:r>
      <w:r w:rsidR="0043348E" w:rsidRPr="00DE5E29">
        <w:rPr>
          <w:rFonts w:ascii="Calibri" w:hAnsi="Calibri" w:cs="Calibri"/>
          <w:i/>
          <w:sz w:val="22"/>
          <w:szCs w:val="22"/>
          <w:lang w:val="en-US"/>
        </w:rPr>
        <w:t xml:space="preserve">eport </w:t>
      </w:r>
      <w:r w:rsidR="0043348E" w:rsidRPr="00DE5E29">
        <w:rPr>
          <w:rFonts w:ascii="Calibri" w:hAnsi="Calibri" w:cs="Calibri"/>
          <w:sz w:val="22"/>
          <w:szCs w:val="22"/>
          <w:lang w:val="en-US"/>
        </w:rPr>
        <w:t xml:space="preserve">was released and the Bank needed to raise funds for the OCP and </w:t>
      </w:r>
      <w:r w:rsidR="006D0AC8" w:rsidRPr="00DE5E29">
        <w:rPr>
          <w:rFonts w:ascii="Calibri" w:hAnsi="Calibri" w:cs="Calibri"/>
          <w:sz w:val="22"/>
          <w:szCs w:val="22"/>
          <w:lang w:val="en-US"/>
        </w:rPr>
        <w:t>African Programme for Onchocerciasis Control</w:t>
      </w:r>
      <w:r w:rsidR="0043348E" w:rsidRPr="00DE5E29">
        <w:rPr>
          <w:rFonts w:ascii="Calibri" w:hAnsi="Calibri" w:cs="Calibri"/>
          <w:sz w:val="22"/>
          <w:szCs w:val="22"/>
          <w:lang w:val="en-US"/>
        </w:rPr>
        <w:t xml:space="preserve">. </w:t>
      </w:r>
      <w:r w:rsidR="00CF5B41" w:rsidRPr="00DE5E29">
        <w:rPr>
          <w:rFonts w:ascii="Calibri" w:hAnsi="Calibri" w:cs="Calibri"/>
          <w:sz w:val="22"/>
          <w:szCs w:val="22"/>
          <w:lang w:val="en-US"/>
        </w:rPr>
        <w:t>The next</w:t>
      </w:r>
      <w:r w:rsidR="0043348E" w:rsidRPr="00DE5E29">
        <w:rPr>
          <w:rFonts w:ascii="Calibri" w:hAnsi="Calibri" w:cs="Calibri"/>
          <w:sz w:val="22"/>
          <w:szCs w:val="22"/>
          <w:lang w:val="en-US"/>
        </w:rPr>
        <w:t xml:space="preserve"> major peak occurred in 2012, around the time of the London Declaration for </w:t>
      </w:r>
      <w:r w:rsidR="00CF38A8" w:rsidRPr="00DE5E29">
        <w:rPr>
          <w:rFonts w:ascii="Calibri" w:hAnsi="Calibri" w:cs="Calibri"/>
          <w:sz w:val="22"/>
          <w:szCs w:val="22"/>
          <w:lang w:val="en-US"/>
        </w:rPr>
        <w:t xml:space="preserve">neglected tropical diseases (NTDs), </w:t>
      </w:r>
      <w:r w:rsidR="0043348E" w:rsidRPr="00BD6EE4">
        <w:rPr>
          <w:rFonts w:ascii="Calibri" w:hAnsi="Calibri" w:cs="Calibri"/>
          <w:sz w:val="22"/>
          <w:szCs w:val="22"/>
          <w:lang w:val="en-US"/>
        </w:rPr>
        <w:t>an</w:t>
      </w:r>
      <w:r w:rsidR="0043348E" w:rsidRPr="00471293">
        <w:rPr>
          <w:rFonts w:ascii="Calibri" w:hAnsi="Calibri" w:cs="Calibri"/>
          <w:sz w:val="22"/>
          <w:szCs w:val="22"/>
          <w:lang w:val="en-US"/>
        </w:rPr>
        <w:t xml:space="preserve">d another peak occurred in 2014, at a time of OCP and </w:t>
      </w:r>
      <w:r w:rsidR="00383B58" w:rsidRPr="00471293">
        <w:rPr>
          <w:rFonts w:ascii="Calibri" w:hAnsi="Calibri" w:cs="Calibri"/>
          <w:sz w:val="22"/>
          <w:szCs w:val="22"/>
          <w:lang w:val="en-US"/>
        </w:rPr>
        <w:t>African Programme for Onchocerciasis Control</w:t>
      </w:r>
      <w:r w:rsidR="0043348E" w:rsidRPr="00471293">
        <w:rPr>
          <w:rFonts w:ascii="Calibri" w:hAnsi="Calibri" w:cs="Calibri"/>
          <w:sz w:val="22"/>
          <w:szCs w:val="22"/>
          <w:lang w:val="en-US"/>
        </w:rPr>
        <w:t xml:space="preserve"> commemoration (and, crucially, just prior to the launch of the Sustainable Development Goals and the </w:t>
      </w:r>
      <w:r w:rsidR="00CF38A8" w:rsidRPr="008E1EA6">
        <w:rPr>
          <w:rFonts w:ascii="Calibri" w:hAnsi="Calibri" w:cs="Calibri"/>
          <w:sz w:val="22"/>
          <w:szCs w:val="22"/>
          <w:lang w:val="en-US"/>
        </w:rPr>
        <w:t xml:space="preserve">Expanded Special </w:t>
      </w:r>
      <w:r w:rsidR="006D0AC8" w:rsidRPr="008E1EA6">
        <w:rPr>
          <w:rFonts w:ascii="Calibri" w:hAnsi="Calibri" w:cs="Calibri"/>
          <w:sz w:val="22"/>
          <w:szCs w:val="22"/>
          <w:lang w:val="en-US"/>
        </w:rPr>
        <w:t>Project</w:t>
      </w:r>
      <w:r w:rsidR="00CF38A8" w:rsidRPr="008E1EA6">
        <w:rPr>
          <w:rFonts w:ascii="Calibri" w:hAnsi="Calibri" w:cs="Calibri"/>
          <w:sz w:val="22"/>
          <w:szCs w:val="22"/>
          <w:lang w:val="en-US"/>
        </w:rPr>
        <w:t xml:space="preserve"> for </w:t>
      </w:r>
      <w:r w:rsidR="006D0AC8" w:rsidRPr="008E1EA6">
        <w:rPr>
          <w:rFonts w:ascii="Calibri" w:hAnsi="Calibri" w:cs="Calibri"/>
          <w:sz w:val="22"/>
          <w:szCs w:val="22"/>
          <w:lang w:val="en-US"/>
        </w:rPr>
        <w:t>Elimination</w:t>
      </w:r>
      <w:r w:rsidR="00CF38A8" w:rsidRPr="008E1EA6">
        <w:rPr>
          <w:rFonts w:ascii="Calibri" w:hAnsi="Calibri" w:cs="Calibri"/>
          <w:sz w:val="22"/>
          <w:szCs w:val="22"/>
          <w:lang w:val="en-US"/>
        </w:rPr>
        <w:t xml:space="preserve"> of Neglected Tr</w:t>
      </w:r>
      <w:r w:rsidR="00CF38A8" w:rsidRPr="00A8048A">
        <w:rPr>
          <w:rFonts w:ascii="Calibri" w:hAnsi="Calibri" w:cs="Calibri"/>
          <w:sz w:val="22"/>
          <w:szCs w:val="22"/>
          <w:lang w:val="en-US"/>
        </w:rPr>
        <w:t>opical Diseases [ESPEN]</w:t>
      </w:r>
      <w:r w:rsidR="0043348E" w:rsidRPr="00A8048A">
        <w:rPr>
          <w:rFonts w:ascii="Calibri" w:hAnsi="Calibri" w:cs="Calibri"/>
          <w:sz w:val="22"/>
          <w:szCs w:val="22"/>
          <w:lang w:val="en-US"/>
        </w:rPr>
        <w:t xml:space="preserve"> programme). This reflects </w:t>
      </w:r>
      <w:r w:rsidR="00732252" w:rsidRPr="00A8048A">
        <w:rPr>
          <w:rFonts w:ascii="Calibri" w:hAnsi="Calibri" w:cs="Calibri"/>
          <w:sz w:val="22"/>
          <w:szCs w:val="22"/>
          <w:lang w:val="en-US"/>
        </w:rPr>
        <w:t>the continued importance of the Bank’s idea</w:t>
      </w:r>
      <w:r w:rsidR="0043348E" w:rsidRPr="00A8048A">
        <w:rPr>
          <w:rFonts w:ascii="Calibri" w:hAnsi="Calibri" w:cs="Calibri"/>
          <w:sz w:val="22"/>
          <w:szCs w:val="22"/>
          <w:lang w:val="en-US"/>
        </w:rPr>
        <w:t xml:space="preserve"> that ‘success breeds success’</w:t>
      </w:r>
      <w:r w:rsidR="000E5CBF" w:rsidRPr="000E614B">
        <w:rPr>
          <w:rFonts w:ascii="Calibri" w:hAnsi="Calibri" w:cs="Calibri"/>
          <w:sz w:val="22"/>
          <w:szCs w:val="22"/>
          <w:lang w:val="en-US"/>
        </w:rPr>
        <w:t>,</w:t>
      </w:r>
      <w:r w:rsidR="00425AAF" w:rsidRPr="00CF189D">
        <w:rPr>
          <w:rStyle w:val="FootnoteReference"/>
          <w:rFonts w:ascii="Calibri" w:hAnsi="Calibri" w:cs="Calibri"/>
          <w:lang w:val="en-US"/>
        </w:rPr>
        <w:footnoteReference w:customMarkFollows="1" w:id="220"/>
        <w:t>91</w:t>
      </w:r>
      <w:r w:rsidR="00732252" w:rsidRPr="00546CBA">
        <w:rPr>
          <w:rFonts w:ascii="Calibri" w:hAnsi="Calibri" w:cs="Calibri"/>
          <w:sz w:val="22"/>
          <w:szCs w:val="22"/>
          <w:lang w:val="en-US"/>
        </w:rPr>
        <w:t xml:space="preserve"> and that it can</w:t>
      </w:r>
      <w:r w:rsidR="00732252" w:rsidRPr="00D9152B">
        <w:rPr>
          <w:rFonts w:ascii="Calibri" w:hAnsi="Calibri" w:cs="Calibri"/>
          <w:sz w:val="22"/>
          <w:szCs w:val="22"/>
          <w:lang w:val="en-US"/>
        </w:rPr>
        <w:t xml:space="preserve"> influence global health priority-setting by pointing to this success at strategic times.</w:t>
      </w:r>
      <w:r w:rsidR="00CF5B41" w:rsidRPr="00D9152B">
        <w:rPr>
          <w:rFonts w:ascii="Calibri" w:hAnsi="Calibri" w:cs="Calibri"/>
          <w:sz w:val="22"/>
          <w:szCs w:val="22"/>
          <w:lang w:val="en-US"/>
        </w:rPr>
        <w:t xml:space="preserve"> </w:t>
      </w:r>
      <w:r w:rsidR="000E5CBF" w:rsidRPr="00D9152B">
        <w:rPr>
          <w:rFonts w:ascii="Calibri" w:hAnsi="Calibri" w:cs="Calibri"/>
          <w:sz w:val="22"/>
          <w:szCs w:val="22"/>
          <w:lang w:val="en-US"/>
        </w:rPr>
        <w:t xml:space="preserve">As shown in the review of research on the Bank </w:t>
      </w:r>
      <w:r w:rsidR="000E5CBF" w:rsidRPr="00D9152B">
        <w:rPr>
          <w:rFonts w:ascii="Calibri" w:hAnsi="Calibri" w:cs="Calibri"/>
          <w:sz w:val="22"/>
          <w:szCs w:val="22"/>
          <w:lang w:val="en-US"/>
        </w:rPr>
        <w:lastRenderedPageBreak/>
        <w:t xml:space="preserve">and global health, this influence often takes shape through subtle channels – like disseminating particular metrics – and is advanced by a small number of Bank staff, who have seats at the table with influential donors. </w:t>
      </w:r>
    </w:p>
    <w:p w14:paraId="4F8E7687" w14:textId="6FE548D6" w:rsidR="0080072F" w:rsidRPr="00D9152B" w:rsidRDefault="00CF5B41" w:rsidP="0080072F">
      <w:pPr>
        <w:spacing w:before="100" w:beforeAutospacing="1" w:after="100" w:afterAutospacing="1" w:line="360" w:lineRule="auto"/>
        <w:rPr>
          <w:rFonts w:ascii="Calibri" w:hAnsi="Calibri" w:cs="Calibri"/>
          <w:sz w:val="22"/>
          <w:szCs w:val="22"/>
          <w:lang w:val="en-US"/>
        </w:rPr>
        <w:sectPr w:rsidR="0080072F" w:rsidRPr="00D9152B" w:rsidSect="00E418AF">
          <w:footnotePr>
            <w:numRestart w:val="eachSect"/>
          </w:footnotePr>
          <w:pgSz w:w="11906" w:h="16838"/>
          <w:pgMar w:top="1134" w:right="1558" w:bottom="2268" w:left="2268" w:header="708" w:footer="708" w:gutter="0"/>
          <w:cols w:space="708"/>
          <w:docGrid w:linePitch="360"/>
        </w:sectPr>
      </w:pPr>
      <w:r w:rsidRPr="00D9152B">
        <w:rPr>
          <w:rFonts w:ascii="Calibri" w:hAnsi="Calibri" w:cs="Calibri"/>
          <w:sz w:val="22"/>
          <w:szCs w:val="22"/>
          <w:lang w:val="en-US"/>
        </w:rPr>
        <w:tab/>
        <w:t xml:space="preserve">It is particularly interesting that the OCP’s status as a </w:t>
      </w:r>
      <w:r w:rsidR="000E5CBF" w:rsidRPr="00D9152B">
        <w:rPr>
          <w:rFonts w:ascii="Calibri" w:hAnsi="Calibri" w:cs="Calibri"/>
          <w:sz w:val="22"/>
          <w:szCs w:val="22"/>
          <w:lang w:val="en-US"/>
        </w:rPr>
        <w:t xml:space="preserve">global health success </w:t>
      </w:r>
      <w:r w:rsidRPr="00D9152B">
        <w:rPr>
          <w:rFonts w:ascii="Calibri" w:hAnsi="Calibri" w:cs="Calibri"/>
          <w:sz w:val="22"/>
          <w:szCs w:val="22"/>
          <w:lang w:val="en-US"/>
        </w:rPr>
        <w:t>has often either been taken on general consensus by the global health community (frequently without rationale or citation), or corroborated by references to documents from sponsoring agencies themselves. In short, this analysis of success narratives reveals that it is the idea and use of the success or lessons-learned ideology – not the timeline of health programming at the Bank – that</w:t>
      </w:r>
      <w:r w:rsidR="00704071" w:rsidRPr="00D9152B">
        <w:rPr>
          <w:rFonts w:ascii="Calibri" w:hAnsi="Calibri" w:cs="Calibri"/>
          <w:sz w:val="22"/>
          <w:szCs w:val="22"/>
          <w:lang w:val="en-US"/>
        </w:rPr>
        <w:t xml:space="preserve"> most</w:t>
      </w:r>
      <w:r w:rsidRPr="00D9152B">
        <w:rPr>
          <w:rFonts w:ascii="Calibri" w:hAnsi="Calibri" w:cs="Calibri"/>
          <w:sz w:val="22"/>
          <w:szCs w:val="22"/>
          <w:lang w:val="en-US"/>
        </w:rPr>
        <w:t xml:space="preserve"> deserves further scrutiny</w:t>
      </w:r>
      <w:r w:rsidR="00704071" w:rsidRPr="00D9152B">
        <w:rPr>
          <w:rFonts w:ascii="Calibri" w:hAnsi="Calibri" w:cs="Calibri"/>
          <w:sz w:val="22"/>
          <w:szCs w:val="22"/>
          <w:lang w:val="en-US"/>
        </w:rPr>
        <w:t>, in the context of the OCP</w:t>
      </w:r>
      <w:r w:rsidRPr="00D9152B">
        <w:rPr>
          <w:rFonts w:ascii="Calibri" w:hAnsi="Calibri" w:cs="Calibri"/>
          <w:sz w:val="22"/>
          <w:szCs w:val="22"/>
          <w:lang w:val="en-US"/>
        </w:rPr>
        <w:t xml:space="preserve">. Chapter 4 begins this scrutiny, by considering the ‘underlying narrative’ of the Bank’s justification of the OCP and </w:t>
      </w:r>
      <w:r w:rsidR="006D0AC8">
        <w:rPr>
          <w:rFonts w:ascii="Calibri" w:hAnsi="Calibri" w:cs="Calibri"/>
          <w:sz w:val="22"/>
          <w:szCs w:val="22"/>
          <w:lang w:val="en-US"/>
        </w:rPr>
        <w:t xml:space="preserve">its </w:t>
      </w:r>
      <w:r w:rsidRPr="00D9152B">
        <w:rPr>
          <w:rFonts w:ascii="Calibri" w:hAnsi="Calibri" w:cs="Calibri"/>
          <w:sz w:val="22"/>
          <w:szCs w:val="22"/>
          <w:lang w:val="en-US"/>
        </w:rPr>
        <w:t>production of metrics</w:t>
      </w:r>
      <w:r w:rsidR="008A6081" w:rsidRPr="00D9152B">
        <w:rPr>
          <w:rFonts w:ascii="Calibri" w:hAnsi="Calibri" w:cs="Calibri"/>
          <w:sz w:val="22"/>
          <w:szCs w:val="22"/>
          <w:lang w:val="en-US"/>
        </w:rPr>
        <w:t xml:space="preserve"> to measure succes</w:t>
      </w:r>
      <w:r w:rsidR="0080072F" w:rsidRPr="00D9152B">
        <w:rPr>
          <w:rFonts w:ascii="Calibri" w:hAnsi="Calibri" w:cs="Calibri"/>
          <w:sz w:val="22"/>
          <w:szCs w:val="22"/>
          <w:lang w:val="en-US"/>
        </w:rPr>
        <w:t>s.</w:t>
      </w:r>
    </w:p>
    <w:p w14:paraId="4D5A057E" w14:textId="77777777" w:rsidR="00047CA8" w:rsidRDefault="00047CA8">
      <w:pPr>
        <w:spacing w:line="360" w:lineRule="auto"/>
        <w:rPr>
          <w:rFonts w:ascii="Calibri" w:eastAsiaTheme="majorEastAsia" w:hAnsi="Calibri" w:cs="Calibri"/>
          <w:b/>
          <w:color w:val="2E74B5" w:themeColor="accent1" w:themeShade="BF"/>
          <w:sz w:val="36"/>
          <w:szCs w:val="36"/>
        </w:rPr>
      </w:pPr>
      <w:r>
        <w:rPr>
          <w:rFonts w:ascii="Calibri" w:hAnsi="Calibri" w:cs="Calibri"/>
          <w:b/>
          <w:sz w:val="36"/>
          <w:szCs w:val="36"/>
        </w:rPr>
        <w:lastRenderedPageBreak/>
        <w:br w:type="page"/>
      </w:r>
    </w:p>
    <w:p w14:paraId="22B4C6AE" w14:textId="05ACB2F5" w:rsidR="000A06B7" w:rsidRPr="00380D9B" w:rsidRDefault="00AC7848" w:rsidP="00380D9B">
      <w:pPr>
        <w:pStyle w:val="Heading1"/>
        <w:rPr>
          <w:rFonts w:ascii="Calibri" w:hAnsi="Calibri" w:cs="Calibri"/>
          <w:b/>
          <w:sz w:val="36"/>
          <w:szCs w:val="36"/>
        </w:rPr>
      </w:pPr>
      <w:bookmarkStart w:id="50" w:name="_Toc41505624"/>
      <w:r w:rsidRPr="00380D9B">
        <w:rPr>
          <w:rFonts w:ascii="Calibri" w:hAnsi="Calibri" w:cs="Calibri"/>
          <w:b/>
          <w:sz w:val="36"/>
          <w:szCs w:val="36"/>
        </w:rPr>
        <w:lastRenderedPageBreak/>
        <w:t>Chapter 4</w:t>
      </w:r>
      <w:r w:rsidR="00172F56" w:rsidRPr="00380D9B">
        <w:rPr>
          <w:rFonts w:ascii="Calibri" w:hAnsi="Calibri" w:cs="Calibri"/>
          <w:b/>
          <w:sz w:val="36"/>
          <w:szCs w:val="36"/>
        </w:rPr>
        <w:t>.</w:t>
      </w:r>
      <w:bookmarkEnd w:id="50"/>
      <w:r w:rsidR="00172F56" w:rsidRPr="00380D9B">
        <w:rPr>
          <w:rFonts w:ascii="Calibri" w:hAnsi="Calibri" w:cs="Calibri"/>
          <w:b/>
          <w:sz w:val="36"/>
          <w:szCs w:val="36"/>
        </w:rPr>
        <w:t xml:space="preserve"> </w:t>
      </w:r>
    </w:p>
    <w:p w14:paraId="002625D4" w14:textId="3BC086B6" w:rsidR="0098315E" w:rsidRPr="00380D9B" w:rsidRDefault="005A6DC3" w:rsidP="00380D9B">
      <w:pPr>
        <w:pStyle w:val="Heading1"/>
        <w:rPr>
          <w:rFonts w:ascii="Calibri" w:hAnsi="Calibri" w:cs="Calibri"/>
          <w:b/>
          <w:sz w:val="36"/>
          <w:szCs w:val="36"/>
        </w:rPr>
      </w:pPr>
      <w:bookmarkStart w:id="51" w:name="_Toc41505625"/>
      <w:r w:rsidRPr="00380D9B">
        <w:rPr>
          <w:rFonts w:ascii="Calibri" w:hAnsi="Calibri" w:cs="Calibri"/>
          <w:b/>
          <w:sz w:val="36"/>
          <w:szCs w:val="36"/>
        </w:rPr>
        <w:t>Justification</w:t>
      </w:r>
      <w:r w:rsidR="00361A57" w:rsidRPr="00380D9B">
        <w:rPr>
          <w:rFonts w:ascii="Calibri" w:hAnsi="Calibri" w:cs="Calibri"/>
          <w:b/>
          <w:sz w:val="36"/>
          <w:szCs w:val="36"/>
        </w:rPr>
        <w:t>: Humanitarianism, empty valleys, &amp; e</w:t>
      </w:r>
      <w:r w:rsidR="00172F56" w:rsidRPr="00380D9B">
        <w:rPr>
          <w:rFonts w:ascii="Calibri" w:hAnsi="Calibri" w:cs="Calibri"/>
          <w:b/>
          <w:sz w:val="36"/>
          <w:szCs w:val="36"/>
        </w:rPr>
        <w:t>con</w:t>
      </w:r>
      <w:r w:rsidR="00361A57" w:rsidRPr="00380D9B">
        <w:rPr>
          <w:rFonts w:ascii="Calibri" w:hAnsi="Calibri" w:cs="Calibri"/>
          <w:b/>
          <w:sz w:val="36"/>
          <w:szCs w:val="36"/>
        </w:rPr>
        <w:t>omic b</w:t>
      </w:r>
      <w:r w:rsidR="00172F56" w:rsidRPr="00380D9B">
        <w:rPr>
          <w:rFonts w:ascii="Calibri" w:hAnsi="Calibri" w:cs="Calibri"/>
          <w:b/>
          <w:sz w:val="36"/>
          <w:szCs w:val="36"/>
        </w:rPr>
        <w:t>lindness</w:t>
      </w:r>
      <w:bookmarkEnd w:id="51"/>
    </w:p>
    <w:p w14:paraId="459B1E62" w14:textId="77777777" w:rsidR="005C7F9F" w:rsidRPr="00D9152B" w:rsidRDefault="005C7F9F" w:rsidP="005C7F9F">
      <w:pPr>
        <w:rPr>
          <w:rFonts w:ascii="Calibri" w:hAnsi="Calibri" w:cs="Calibri"/>
        </w:rPr>
      </w:pPr>
    </w:p>
    <w:p w14:paraId="71C4C44F" w14:textId="22742ECC" w:rsidR="00172F56" w:rsidRPr="00D9152B" w:rsidRDefault="0098315E" w:rsidP="005C7F9F">
      <w:pPr>
        <w:pStyle w:val="Heading2"/>
        <w:spacing w:before="100" w:beforeAutospacing="1" w:after="100" w:afterAutospacing="1"/>
        <w:rPr>
          <w:rFonts w:ascii="Calibri" w:hAnsi="Calibri" w:cs="Calibri"/>
          <w:b/>
          <w:sz w:val="26"/>
          <w:szCs w:val="26"/>
        </w:rPr>
      </w:pPr>
      <w:bookmarkStart w:id="52" w:name="_Toc41505626"/>
      <w:r w:rsidRPr="00D9152B">
        <w:rPr>
          <w:rFonts w:ascii="Calibri" w:hAnsi="Calibri" w:cs="Calibri"/>
          <w:b/>
          <w:sz w:val="26"/>
          <w:szCs w:val="26"/>
        </w:rPr>
        <w:t>4.</w:t>
      </w:r>
      <w:r w:rsidR="002F22C3" w:rsidRPr="00D9152B">
        <w:rPr>
          <w:rFonts w:ascii="Calibri" w:hAnsi="Calibri" w:cs="Calibri"/>
          <w:b/>
          <w:sz w:val="26"/>
          <w:szCs w:val="26"/>
        </w:rPr>
        <w:t xml:space="preserve">1. </w:t>
      </w:r>
      <w:r w:rsidR="00172F56" w:rsidRPr="00D9152B">
        <w:rPr>
          <w:rFonts w:ascii="Calibri" w:hAnsi="Calibri" w:cs="Calibri"/>
          <w:b/>
          <w:sz w:val="26"/>
          <w:szCs w:val="26"/>
        </w:rPr>
        <w:t>Introduction</w:t>
      </w:r>
      <w:bookmarkEnd w:id="52"/>
    </w:p>
    <w:p w14:paraId="190ABA61" w14:textId="78A63D0D"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According to many of the Bank’s descriptions, launching the </w:t>
      </w:r>
      <w:r w:rsidR="00D94D72" w:rsidRPr="00D9152B">
        <w:rPr>
          <w:rFonts w:ascii="Calibri" w:hAnsi="Calibri" w:cs="Calibri"/>
          <w:sz w:val="22"/>
          <w:szCs w:val="22"/>
        </w:rPr>
        <w:t>Onchocerciasis Control Programme (</w:t>
      </w:r>
      <w:r w:rsidRPr="00D9152B">
        <w:rPr>
          <w:rFonts w:ascii="Calibri" w:hAnsi="Calibri" w:cs="Calibri"/>
          <w:sz w:val="22"/>
          <w:szCs w:val="22"/>
        </w:rPr>
        <w:t>OCP</w:t>
      </w:r>
      <w:r w:rsidR="00D94D72" w:rsidRPr="00D9152B">
        <w:rPr>
          <w:rFonts w:ascii="Calibri" w:hAnsi="Calibri" w:cs="Calibri"/>
          <w:sz w:val="22"/>
          <w:szCs w:val="22"/>
        </w:rPr>
        <w:t>)</w:t>
      </w:r>
      <w:r w:rsidRPr="00D9152B">
        <w:rPr>
          <w:rFonts w:ascii="Calibri" w:hAnsi="Calibri" w:cs="Calibri"/>
          <w:sz w:val="22"/>
          <w:szCs w:val="22"/>
        </w:rPr>
        <w:t xml:space="preserve"> was a straightforward decision: upon realising that regional development required river blindness control, McNamara placed the Bank in the hot-seat to coordinate its financing. Reflecting upon the OCP’s success, McNamara himself described the how viewing blind men led on sticks during his trip to West Africa made the link between social progress, food production, the disease control self-evident.</w:t>
      </w:r>
      <w:r w:rsidRPr="00D9152B">
        <w:rPr>
          <w:rStyle w:val="FootnoteReference"/>
          <w:rFonts w:ascii="Calibri" w:hAnsi="Calibri" w:cs="Calibri"/>
          <w:sz w:val="22"/>
          <w:szCs w:val="22"/>
        </w:rPr>
        <w:footnoteReference w:id="221"/>
      </w:r>
      <w:r w:rsidRPr="00D9152B">
        <w:rPr>
          <w:rFonts w:ascii="Calibri" w:hAnsi="Calibri" w:cs="Calibri"/>
          <w:sz w:val="22"/>
          <w:szCs w:val="22"/>
        </w:rPr>
        <w:t xml:space="preserve"> In an oral history interview, Thomas Blinkhorn, the former director of the Bank’s </w:t>
      </w:r>
      <w:r w:rsidR="006D0AC8">
        <w:rPr>
          <w:rFonts w:ascii="Calibri" w:hAnsi="Calibri" w:cs="Calibri"/>
          <w:sz w:val="22"/>
          <w:szCs w:val="22"/>
        </w:rPr>
        <w:t>Information and Public Affairs (IPA)</w:t>
      </w:r>
      <w:r w:rsidRPr="00D9152B">
        <w:rPr>
          <w:rFonts w:ascii="Calibri" w:hAnsi="Calibri" w:cs="Calibri"/>
          <w:sz w:val="22"/>
          <w:szCs w:val="22"/>
        </w:rPr>
        <w:t xml:space="preserve"> department, similarly described how:</w:t>
      </w:r>
    </w:p>
    <w:p w14:paraId="5DBB05B9" w14:textId="31433003" w:rsidR="00AC7848" w:rsidRPr="00D9152B" w:rsidRDefault="00AC7848" w:rsidP="001F4A40">
      <w:pPr>
        <w:pStyle w:val="Quote"/>
        <w:spacing w:before="100" w:beforeAutospacing="1" w:after="100" w:afterAutospacing="1"/>
        <w:ind w:left="862" w:right="862"/>
        <w:rPr>
          <w:rFonts w:cs="Calibri"/>
          <w:i/>
          <w:sz w:val="22"/>
          <w:szCs w:val="22"/>
        </w:rPr>
      </w:pPr>
      <w:r w:rsidRPr="00D9152B">
        <w:rPr>
          <w:rFonts w:cs="Calibri"/>
          <w:i/>
          <w:sz w:val="22"/>
          <w:szCs w:val="22"/>
        </w:rPr>
        <w:t>‘</w:t>
      </w:r>
      <w:r w:rsidR="009E065E" w:rsidRPr="00D9152B">
        <w:rPr>
          <w:rFonts w:cs="Calibri"/>
          <w:i/>
          <w:sz w:val="22"/>
          <w:szCs w:val="22"/>
        </w:rPr>
        <w:t>…this French entomologist, René Le Berre, who had been working in the area for 20 years on this disease called onchocerciasis…a very, very charming Breton…he just captivated</w:t>
      </w:r>
      <w:r w:rsidRPr="00D9152B">
        <w:rPr>
          <w:rFonts w:cs="Calibri"/>
          <w:i/>
          <w:sz w:val="22"/>
          <w:szCs w:val="22"/>
        </w:rPr>
        <w:t xml:space="preserve"> McNamara and his wife, and told them the story of onchocerciasis and the female black fly and the rest. And McNarama was enchanted and said, “Why isn’t anyone doing anything about this? Because it’s an impediment to development in these villages. These people are blind.” Le Berre said, “Well, because the World Health Organization doesn’t have any money, and they’re too bureaucratic.” So McNamara</w:t>
      </w:r>
      <w:r w:rsidR="009E065E" w:rsidRPr="00D9152B">
        <w:rPr>
          <w:rFonts w:cs="Calibri"/>
          <w:i/>
          <w:sz w:val="22"/>
          <w:szCs w:val="22"/>
        </w:rPr>
        <w:t xml:space="preserve"> then</w:t>
      </w:r>
      <w:r w:rsidRPr="00D9152B">
        <w:rPr>
          <w:rFonts w:cs="Calibri"/>
          <w:i/>
          <w:sz w:val="22"/>
          <w:szCs w:val="22"/>
        </w:rPr>
        <w:t xml:space="preserve"> took the bull by the horns and decided the World Bank was going to get into the health field…’</w:t>
      </w:r>
      <w:r w:rsidRPr="00D9152B">
        <w:rPr>
          <w:rStyle w:val="FootnoteReference"/>
          <w:rFonts w:ascii="Calibri" w:hAnsi="Calibri" w:cs="Calibri"/>
          <w:i/>
          <w:iCs w:val="0"/>
          <w:sz w:val="22"/>
          <w:szCs w:val="22"/>
        </w:rPr>
        <w:footnoteReference w:id="222"/>
      </w:r>
    </w:p>
    <w:p w14:paraId="6695B5F7" w14:textId="731F196E"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As Blinkhorn</w:t>
      </w:r>
      <w:r w:rsidR="00EB4914">
        <w:rPr>
          <w:rFonts w:ascii="Calibri" w:hAnsi="Calibri" w:cs="Calibri"/>
          <w:sz w:val="22"/>
          <w:szCs w:val="22"/>
        </w:rPr>
        <w:t xml:space="preserve"> indicates</w:t>
      </w:r>
      <w:r w:rsidRPr="00D9152B">
        <w:rPr>
          <w:rFonts w:ascii="Calibri" w:hAnsi="Calibri" w:cs="Calibri"/>
          <w:sz w:val="22"/>
          <w:szCs w:val="22"/>
        </w:rPr>
        <w:t xml:space="preserve">, the OCP’s launch depended heavily on power dynamics between major multilateral institutions. It also depended heavily on these </w:t>
      </w:r>
      <w:r w:rsidR="00115299" w:rsidRPr="00D9152B">
        <w:rPr>
          <w:rFonts w:ascii="Calibri" w:hAnsi="Calibri" w:cs="Calibri"/>
          <w:sz w:val="22"/>
          <w:szCs w:val="22"/>
        </w:rPr>
        <w:t>institution</w:t>
      </w:r>
      <w:r w:rsidR="006D0AC8">
        <w:rPr>
          <w:rFonts w:ascii="Calibri" w:hAnsi="Calibri" w:cs="Calibri"/>
          <w:sz w:val="22"/>
          <w:szCs w:val="22"/>
        </w:rPr>
        <w:t>al</w:t>
      </w:r>
      <w:r w:rsidR="00115299" w:rsidRPr="00D9152B">
        <w:rPr>
          <w:rFonts w:ascii="Calibri" w:hAnsi="Calibri" w:cs="Calibri"/>
          <w:sz w:val="22"/>
          <w:szCs w:val="22"/>
        </w:rPr>
        <w:t xml:space="preserve"> and donor</w:t>
      </w:r>
      <w:r w:rsidRPr="00D9152B">
        <w:rPr>
          <w:rFonts w:ascii="Calibri" w:hAnsi="Calibri" w:cs="Calibri"/>
          <w:sz w:val="22"/>
          <w:szCs w:val="22"/>
        </w:rPr>
        <w:t xml:space="preserve"> belief</w:t>
      </w:r>
      <w:r w:rsidR="00115299" w:rsidRPr="00D9152B">
        <w:rPr>
          <w:rFonts w:ascii="Calibri" w:hAnsi="Calibri" w:cs="Calibri"/>
          <w:sz w:val="22"/>
          <w:szCs w:val="22"/>
        </w:rPr>
        <w:t>s</w:t>
      </w:r>
      <w:r w:rsidRPr="00D9152B">
        <w:rPr>
          <w:rFonts w:ascii="Calibri" w:hAnsi="Calibri" w:cs="Calibri"/>
          <w:sz w:val="22"/>
          <w:szCs w:val="22"/>
        </w:rPr>
        <w:t xml:space="preserve"> that preventing onchocerciasis could unlock the</w:t>
      </w:r>
      <w:r w:rsidR="006D0AC8">
        <w:rPr>
          <w:rFonts w:ascii="Calibri" w:hAnsi="Calibri" w:cs="Calibri"/>
          <w:sz w:val="22"/>
          <w:szCs w:val="22"/>
        </w:rPr>
        <w:t xml:space="preserve"> </w:t>
      </w:r>
      <w:r w:rsidRPr="00D9152B">
        <w:rPr>
          <w:rFonts w:ascii="Calibri" w:hAnsi="Calibri" w:cs="Calibri"/>
          <w:sz w:val="22"/>
          <w:szCs w:val="22"/>
        </w:rPr>
        <w:t xml:space="preserve">elusive economic gains in the Sahel region, by improving human and land productivity. This chapter unravels the complex justifications of the OCP, and the associated development of outcome measures (metrics). It begins by considering how the objectives of the OCP, which were broadly termed, were initially decided upon. It then analyses how the OCP’s objectives were </w:t>
      </w:r>
      <w:r w:rsidRPr="00D9152B">
        <w:rPr>
          <w:rFonts w:ascii="Calibri" w:hAnsi="Calibri" w:cs="Calibri"/>
          <w:sz w:val="22"/>
          <w:szCs w:val="22"/>
        </w:rPr>
        <w:lastRenderedPageBreak/>
        <w:t xml:space="preserve">operationalized over time. Next, it considers the ways in which progress towards the two components of the OCP’s general objective – reducing transmission of </w:t>
      </w:r>
      <w:r w:rsidRPr="00D9152B">
        <w:rPr>
          <w:rFonts w:ascii="Calibri" w:hAnsi="Calibri" w:cs="Calibri"/>
          <w:i/>
          <w:iCs/>
          <w:sz w:val="22"/>
          <w:szCs w:val="22"/>
        </w:rPr>
        <w:t xml:space="preserve">Onchocerciasis volvulus </w:t>
      </w:r>
      <w:r w:rsidRPr="00D9152B">
        <w:rPr>
          <w:rFonts w:ascii="Calibri" w:hAnsi="Calibri" w:cs="Calibri"/>
          <w:sz w:val="22"/>
          <w:szCs w:val="22"/>
        </w:rPr>
        <w:t>(public health) and removing it as an impediment to development (</w:t>
      </w:r>
      <w:r w:rsidR="00115299" w:rsidRPr="00D9152B">
        <w:rPr>
          <w:rFonts w:ascii="Calibri" w:hAnsi="Calibri" w:cs="Calibri"/>
          <w:sz w:val="22"/>
          <w:szCs w:val="22"/>
        </w:rPr>
        <w:t>socio-</w:t>
      </w:r>
      <w:r w:rsidRPr="00D9152B">
        <w:rPr>
          <w:rFonts w:ascii="Calibri" w:hAnsi="Calibri" w:cs="Calibri"/>
          <w:sz w:val="22"/>
          <w:szCs w:val="22"/>
        </w:rPr>
        <w:t xml:space="preserve">economic) – were measured. The chapter concludes with a discussion of how specific metrics were constructed by the Bank and OCP to justify the programme’s continued operation and create an un-contestable success narrative. </w:t>
      </w:r>
    </w:p>
    <w:p w14:paraId="33E6B587" w14:textId="0BD0D48A" w:rsidR="00172F56" w:rsidRPr="00D9152B" w:rsidRDefault="0098315E" w:rsidP="002F22C3">
      <w:pPr>
        <w:pStyle w:val="Heading2"/>
        <w:spacing w:before="100" w:beforeAutospacing="1" w:after="100" w:afterAutospacing="1" w:line="360" w:lineRule="auto"/>
        <w:rPr>
          <w:rFonts w:ascii="Calibri" w:hAnsi="Calibri" w:cs="Calibri"/>
          <w:b/>
          <w:sz w:val="26"/>
          <w:szCs w:val="26"/>
        </w:rPr>
      </w:pPr>
      <w:bookmarkStart w:id="53" w:name="_Toc41505627"/>
      <w:r w:rsidRPr="00D9152B">
        <w:rPr>
          <w:rFonts w:ascii="Calibri" w:hAnsi="Calibri" w:cs="Calibri"/>
          <w:b/>
          <w:sz w:val="26"/>
          <w:szCs w:val="26"/>
        </w:rPr>
        <w:t>4.</w:t>
      </w:r>
      <w:r w:rsidR="002F22C3" w:rsidRPr="00D9152B">
        <w:rPr>
          <w:rFonts w:ascii="Calibri" w:hAnsi="Calibri" w:cs="Calibri"/>
          <w:b/>
          <w:sz w:val="26"/>
          <w:szCs w:val="26"/>
        </w:rPr>
        <w:t xml:space="preserve">2. </w:t>
      </w:r>
      <w:r w:rsidR="00172F56" w:rsidRPr="00D9152B">
        <w:rPr>
          <w:rFonts w:ascii="Calibri" w:hAnsi="Calibri" w:cs="Calibri"/>
          <w:b/>
          <w:sz w:val="26"/>
          <w:szCs w:val="26"/>
        </w:rPr>
        <w:t>The (convoluted) path to a single programme objective</w:t>
      </w:r>
      <w:bookmarkEnd w:id="53"/>
    </w:p>
    <w:p w14:paraId="625F6B03" w14:textId="790C7309"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Economic justifications for small-scale onchocerciasis control date back to at least 1940 in West Africa, and were often linked to productivity of colonial industries like coal and gold.</w:t>
      </w:r>
      <w:r w:rsidRPr="00D9152B">
        <w:rPr>
          <w:rStyle w:val="FootnoteReference"/>
          <w:rFonts w:ascii="Calibri" w:hAnsi="Calibri" w:cs="Calibri"/>
          <w:sz w:val="22"/>
          <w:szCs w:val="22"/>
        </w:rPr>
        <w:footnoteReference w:id="223"/>
      </w:r>
      <w:r w:rsidRPr="00D9152B">
        <w:rPr>
          <w:rFonts w:ascii="Calibri" w:hAnsi="Calibri" w:cs="Calibri"/>
          <w:sz w:val="22"/>
          <w:szCs w:val="22"/>
        </w:rPr>
        <w:t xml:space="preserve"> As Bump argued in </w:t>
      </w:r>
      <w:r w:rsidRPr="00D9152B">
        <w:rPr>
          <w:rFonts w:ascii="Calibri" w:hAnsi="Calibri" w:cs="Calibri"/>
          <w:i/>
          <w:iCs/>
          <w:sz w:val="22"/>
          <w:szCs w:val="22"/>
        </w:rPr>
        <w:t xml:space="preserve">The </w:t>
      </w:r>
      <w:r w:rsidR="00115299" w:rsidRPr="00D9152B">
        <w:rPr>
          <w:rFonts w:ascii="Calibri" w:hAnsi="Calibri" w:cs="Calibri"/>
          <w:i/>
          <w:iCs/>
          <w:sz w:val="22"/>
          <w:szCs w:val="22"/>
        </w:rPr>
        <w:t>lion’s g</w:t>
      </w:r>
      <w:r w:rsidRPr="00D9152B">
        <w:rPr>
          <w:rFonts w:ascii="Calibri" w:hAnsi="Calibri" w:cs="Calibri"/>
          <w:i/>
          <w:iCs/>
          <w:sz w:val="22"/>
          <w:szCs w:val="22"/>
        </w:rPr>
        <w:t>aze</w:t>
      </w:r>
      <w:r w:rsidRPr="00D9152B">
        <w:rPr>
          <w:rFonts w:ascii="Calibri" w:hAnsi="Calibri" w:cs="Calibri"/>
          <w:sz w:val="22"/>
          <w:szCs w:val="22"/>
        </w:rPr>
        <w:t>, the impetus for a regional river blindness control programme began around 1949, but did not gain momentum until the mid-1960s.</w:t>
      </w:r>
      <w:r w:rsidRPr="00D9152B">
        <w:rPr>
          <w:rStyle w:val="FootnoteReference"/>
          <w:rFonts w:ascii="Calibri" w:hAnsi="Calibri" w:cs="Calibri"/>
          <w:sz w:val="22"/>
          <w:szCs w:val="22"/>
        </w:rPr>
        <w:footnoteReference w:id="224"/>
      </w:r>
      <w:r w:rsidRPr="00D9152B">
        <w:rPr>
          <w:rFonts w:ascii="Calibri" w:hAnsi="Calibri" w:cs="Calibri"/>
          <w:sz w:val="22"/>
          <w:szCs w:val="22"/>
        </w:rPr>
        <w:t xml:space="preserve"> ‘Champions’ for regional control arose at four major agencies – </w:t>
      </w:r>
      <w:r w:rsidR="00D94D72" w:rsidRPr="00D9152B">
        <w:rPr>
          <w:rFonts w:ascii="Calibri" w:hAnsi="Calibri" w:cs="Calibri"/>
          <w:sz w:val="22"/>
          <w:szCs w:val="22"/>
        </w:rPr>
        <w:t>the United States Agency for International Development</w:t>
      </w:r>
      <w:r w:rsidR="006D0AC8">
        <w:rPr>
          <w:rFonts w:ascii="Calibri" w:hAnsi="Calibri" w:cs="Calibri"/>
          <w:sz w:val="22"/>
          <w:szCs w:val="22"/>
        </w:rPr>
        <w:t xml:space="preserve"> (USAID)</w:t>
      </w:r>
      <w:r w:rsidR="00D94D72" w:rsidRPr="00D9152B">
        <w:rPr>
          <w:rFonts w:ascii="Calibri" w:hAnsi="Calibri" w:cs="Calibri"/>
          <w:sz w:val="22"/>
          <w:szCs w:val="22"/>
        </w:rPr>
        <w:t>, the International Bank for Reconstruction and Development</w:t>
      </w:r>
      <w:r w:rsidRPr="00D9152B">
        <w:rPr>
          <w:rFonts w:ascii="Calibri" w:hAnsi="Calibri" w:cs="Calibri"/>
          <w:sz w:val="22"/>
          <w:szCs w:val="22"/>
        </w:rPr>
        <w:t xml:space="preserve"> </w:t>
      </w:r>
      <w:r w:rsidR="00D94D72" w:rsidRPr="00D9152B">
        <w:rPr>
          <w:rFonts w:ascii="Calibri" w:hAnsi="Calibri" w:cs="Calibri"/>
          <w:sz w:val="22"/>
          <w:szCs w:val="22"/>
        </w:rPr>
        <w:t>(</w:t>
      </w:r>
      <w:r w:rsidRPr="00D9152B">
        <w:rPr>
          <w:rFonts w:ascii="Calibri" w:hAnsi="Calibri" w:cs="Calibri"/>
          <w:sz w:val="22"/>
          <w:szCs w:val="22"/>
        </w:rPr>
        <w:t>IBRD</w:t>
      </w:r>
      <w:r w:rsidR="00D94D72" w:rsidRPr="00D9152B">
        <w:rPr>
          <w:rFonts w:ascii="Calibri" w:hAnsi="Calibri" w:cs="Calibri"/>
          <w:sz w:val="22"/>
          <w:szCs w:val="22"/>
        </w:rPr>
        <w:t>)</w:t>
      </w:r>
      <w:r w:rsidRPr="00D9152B">
        <w:rPr>
          <w:rFonts w:ascii="Calibri" w:hAnsi="Calibri" w:cs="Calibri"/>
          <w:sz w:val="22"/>
          <w:szCs w:val="22"/>
        </w:rPr>
        <w:t xml:space="preserve">, the Organization for Coordination &amp; Cooperation in the Fight Against Major Endemic Diseases (OCCGE), and the </w:t>
      </w:r>
      <w:r w:rsidR="00D94D72" w:rsidRPr="00D9152B">
        <w:rPr>
          <w:rFonts w:ascii="Calibri" w:hAnsi="Calibri" w:cs="Calibri"/>
          <w:sz w:val="22"/>
          <w:szCs w:val="22"/>
        </w:rPr>
        <w:t>World Health Organization (WHO)</w:t>
      </w:r>
      <w:r w:rsidRPr="00D9152B">
        <w:rPr>
          <w:rFonts w:ascii="Calibri" w:hAnsi="Calibri" w:cs="Calibri"/>
          <w:sz w:val="22"/>
          <w:szCs w:val="22"/>
        </w:rPr>
        <w:t xml:space="preserve">. However, staff often had significant convincing to do at their respective organisations to interest leadership in the programme. </w:t>
      </w:r>
    </w:p>
    <w:p w14:paraId="0199464F" w14:textId="409EF832"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Four sponsoring agencies, eleven initial donors, and seven participating countries signed the 1975 Onchocerciasis Fund Agreement. They settled on a general, single programme objective: to </w:t>
      </w:r>
      <w:r w:rsidRPr="00D9152B">
        <w:rPr>
          <w:rFonts w:ascii="Calibri" w:hAnsi="Calibri" w:cs="Calibri"/>
          <w:b/>
          <w:i/>
          <w:iCs/>
          <w:sz w:val="22"/>
          <w:szCs w:val="22"/>
        </w:rPr>
        <w:t>eliminate the disease as an obstacle to socio-economic development in the region concerned</w:t>
      </w:r>
      <w:r w:rsidRPr="00D9152B">
        <w:rPr>
          <w:rFonts w:ascii="Calibri" w:hAnsi="Calibri" w:cs="Calibri"/>
          <w:sz w:val="22"/>
          <w:szCs w:val="22"/>
        </w:rPr>
        <w:t>.</w:t>
      </w:r>
      <w:r w:rsidRPr="00D9152B">
        <w:rPr>
          <w:rStyle w:val="FootnoteReference"/>
          <w:rFonts w:ascii="Calibri" w:hAnsi="Calibri" w:cs="Calibri"/>
          <w:sz w:val="22"/>
          <w:szCs w:val="22"/>
        </w:rPr>
        <w:footnoteReference w:id="225"/>
      </w:r>
      <w:r w:rsidRPr="00D9152B">
        <w:rPr>
          <w:rFonts w:ascii="Calibri" w:hAnsi="Calibri" w:cs="Calibri"/>
          <w:sz w:val="22"/>
          <w:szCs w:val="22"/>
        </w:rPr>
        <w:t xml:space="preserve"> How did sponsoring agencies and donors reach this single objective, </w:t>
      </w:r>
      <w:r w:rsidR="002C1F24" w:rsidRPr="00D9152B">
        <w:rPr>
          <w:rFonts w:ascii="Calibri" w:hAnsi="Calibri" w:cs="Calibri"/>
          <w:sz w:val="22"/>
          <w:szCs w:val="22"/>
        </w:rPr>
        <w:t xml:space="preserve">and </w:t>
      </w:r>
      <w:r w:rsidRPr="00D9152B">
        <w:rPr>
          <w:rFonts w:ascii="Calibri" w:hAnsi="Calibri" w:cs="Calibri"/>
          <w:sz w:val="22"/>
          <w:szCs w:val="22"/>
        </w:rPr>
        <w:t xml:space="preserve">what were the actual justifications for their involvement? </w:t>
      </w:r>
      <w:r w:rsidR="00853296">
        <w:rPr>
          <w:rFonts w:ascii="Calibri" w:hAnsi="Calibri" w:cs="Calibri"/>
          <w:sz w:val="22"/>
          <w:szCs w:val="22"/>
        </w:rPr>
        <w:t xml:space="preserve">Bump makes </w:t>
      </w:r>
      <w:r w:rsidR="0011698B">
        <w:rPr>
          <w:rFonts w:ascii="Calibri" w:hAnsi="Calibri" w:cs="Calibri"/>
          <w:sz w:val="22"/>
          <w:szCs w:val="22"/>
        </w:rPr>
        <w:t>three</w:t>
      </w:r>
      <w:r w:rsidR="00853296">
        <w:rPr>
          <w:rFonts w:ascii="Calibri" w:hAnsi="Calibri" w:cs="Calibri"/>
          <w:sz w:val="22"/>
          <w:szCs w:val="22"/>
        </w:rPr>
        <w:t xml:space="preserve"> major arguments about how onchocerciasis transitioned from a low-priority colonial issue to a high-priority regional control scheme linked to international development in the 1970s. These include the geopolitical considerations that sparked the </w:t>
      </w:r>
      <w:r w:rsidR="00853296">
        <w:rPr>
          <w:rFonts w:ascii="Calibri" w:hAnsi="Calibri" w:cs="Calibri"/>
          <w:sz w:val="22"/>
          <w:szCs w:val="22"/>
        </w:rPr>
        <w:lastRenderedPageBreak/>
        <w:t xml:space="preserve">United States Agency for International Development (USAID)’s interest in West African disease </w:t>
      </w:r>
      <w:r w:rsidR="00853296" w:rsidRPr="00802024">
        <w:rPr>
          <w:rFonts w:ascii="Calibri" w:hAnsi="Calibri" w:cs="Calibri"/>
          <w:sz w:val="22"/>
          <w:szCs w:val="22"/>
        </w:rPr>
        <w:t>control;</w:t>
      </w:r>
      <w:r w:rsidR="00802024" w:rsidRPr="00CF189D">
        <w:rPr>
          <w:rStyle w:val="FootnoteReference"/>
          <w:rFonts w:ascii="Calibri" w:hAnsi="Calibri" w:cs="Calibri"/>
        </w:rPr>
        <w:footnoteReference w:id="226"/>
      </w:r>
      <w:r w:rsidR="00853296" w:rsidRPr="00802024">
        <w:rPr>
          <w:rFonts w:ascii="Calibri" w:hAnsi="Calibri" w:cs="Calibri"/>
          <w:sz w:val="22"/>
          <w:szCs w:val="22"/>
        </w:rPr>
        <w:t xml:space="preserve"> the</w:t>
      </w:r>
      <w:r w:rsidR="00853296">
        <w:rPr>
          <w:rFonts w:ascii="Calibri" w:hAnsi="Calibri" w:cs="Calibri"/>
          <w:sz w:val="22"/>
          <w:szCs w:val="22"/>
        </w:rPr>
        <w:t xml:space="preserve"> Bank’s burgeoning interest in poverty alleviation and </w:t>
      </w:r>
      <w:r w:rsidR="00ED71C2">
        <w:rPr>
          <w:rFonts w:ascii="Calibri" w:hAnsi="Calibri" w:cs="Calibri"/>
          <w:sz w:val="22"/>
          <w:szCs w:val="22"/>
        </w:rPr>
        <w:t>its embrace of a</w:t>
      </w:r>
      <w:r w:rsidR="00853296">
        <w:rPr>
          <w:rFonts w:ascii="Calibri" w:hAnsi="Calibri" w:cs="Calibri"/>
          <w:sz w:val="22"/>
          <w:szCs w:val="22"/>
        </w:rPr>
        <w:t xml:space="preserve"> basic needs approach</w:t>
      </w:r>
      <w:r w:rsidR="0011698B">
        <w:rPr>
          <w:rFonts w:ascii="Calibri" w:hAnsi="Calibri" w:cs="Calibri"/>
          <w:sz w:val="22"/>
          <w:szCs w:val="22"/>
        </w:rPr>
        <w:t xml:space="preserve"> under Robert </w:t>
      </w:r>
      <w:r w:rsidR="0011698B" w:rsidRPr="00103275">
        <w:rPr>
          <w:rFonts w:ascii="Calibri" w:hAnsi="Calibri" w:cs="Calibri"/>
          <w:sz w:val="22"/>
          <w:szCs w:val="22"/>
        </w:rPr>
        <w:t>McNamara</w:t>
      </w:r>
      <w:r w:rsidR="00853296" w:rsidRPr="00103275">
        <w:rPr>
          <w:rFonts w:ascii="Calibri" w:hAnsi="Calibri" w:cs="Calibri"/>
          <w:sz w:val="22"/>
          <w:szCs w:val="22"/>
        </w:rPr>
        <w:t>;</w:t>
      </w:r>
      <w:r w:rsidR="00802024" w:rsidRPr="00CF189D">
        <w:rPr>
          <w:rStyle w:val="FootnoteReference"/>
          <w:rFonts w:ascii="Calibri" w:hAnsi="Calibri" w:cs="Calibri"/>
        </w:rPr>
        <w:footnoteReference w:id="227"/>
      </w:r>
      <w:r w:rsidR="00853296" w:rsidRPr="00103275">
        <w:rPr>
          <w:rFonts w:ascii="Calibri" w:hAnsi="Calibri" w:cs="Calibri"/>
          <w:sz w:val="22"/>
          <w:szCs w:val="22"/>
        </w:rPr>
        <w:t xml:space="preserve"> </w:t>
      </w:r>
      <w:r w:rsidR="0011698B" w:rsidRPr="00103275">
        <w:rPr>
          <w:rFonts w:ascii="Calibri" w:hAnsi="Calibri" w:cs="Calibri"/>
          <w:sz w:val="22"/>
          <w:szCs w:val="22"/>
        </w:rPr>
        <w:t>and</w:t>
      </w:r>
      <w:r w:rsidR="0011698B">
        <w:rPr>
          <w:rFonts w:ascii="Calibri" w:hAnsi="Calibri" w:cs="Calibri"/>
          <w:sz w:val="22"/>
          <w:szCs w:val="22"/>
        </w:rPr>
        <w:t xml:space="preserve"> </w:t>
      </w:r>
      <w:r w:rsidR="00853296">
        <w:rPr>
          <w:rFonts w:ascii="Calibri" w:hAnsi="Calibri" w:cs="Calibri"/>
          <w:sz w:val="22"/>
          <w:szCs w:val="22"/>
        </w:rPr>
        <w:t>an interest in the Bank, USAID</w:t>
      </w:r>
      <w:r w:rsidR="00554B82">
        <w:rPr>
          <w:rFonts w:ascii="Calibri" w:hAnsi="Calibri" w:cs="Calibri"/>
          <w:sz w:val="22"/>
          <w:szCs w:val="22"/>
        </w:rPr>
        <w:t>,</w:t>
      </w:r>
      <w:r w:rsidR="00853296">
        <w:rPr>
          <w:rFonts w:ascii="Calibri" w:hAnsi="Calibri" w:cs="Calibri"/>
          <w:sz w:val="22"/>
          <w:szCs w:val="22"/>
        </w:rPr>
        <w:t xml:space="preserve"> and United Nations</w:t>
      </w:r>
      <w:r w:rsidR="00ED71C2">
        <w:rPr>
          <w:rFonts w:ascii="Calibri" w:hAnsi="Calibri" w:cs="Calibri"/>
          <w:sz w:val="22"/>
          <w:szCs w:val="22"/>
        </w:rPr>
        <w:t xml:space="preserve"> (UN)</w:t>
      </w:r>
      <w:r w:rsidR="00853296">
        <w:rPr>
          <w:rFonts w:ascii="Calibri" w:hAnsi="Calibri" w:cs="Calibri"/>
          <w:sz w:val="22"/>
          <w:szCs w:val="22"/>
        </w:rPr>
        <w:t xml:space="preserve"> agencies in quantifying the link between health and international development outcomes.</w:t>
      </w:r>
      <w:r w:rsidR="00103275" w:rsidRPr="00CF189D">
        <w:rPr>
          <w:rStyle w:val="FootnoteReference"/>
          <w:rFonts w:ascii="Calibri" w:hAnsi="Calibri" w:cs="Calibri"/>
        </w:rPr>
        <w:footnoteReference w:id="228"/>
      </w:r>
      <w:r w:rsidR="00853296" w:rsidRPr="00980B27">
        <w:rPr>
          <w:rFonts w:ascii="Calibri" w:hAnsi="Calibri" w:cs="Calibri"/>
          <w:sz w:val="22"/>
          <w:szCs w:val="22"/>
        </w:rPr>
        <w:t xml:space="preserve"> </w:t>
      </w:r>
      <w:r w:rsidRPr="00D9152B">
        <w:rPr>
          <w:rFonts w:ascii="Calibri" w:hAnsi="Calibri" w:cs="Calibri"/>
          <w:sz w:val="22"/>
          <w:szCs w:val="22"/>
        </w:rPr>
        <w:t xml:space="preserve">This section </w:t>
      </w:r>
      <w:r w:rsidR="00005467" w:rsidRPr="00D9152B">
        <w:rPr>
          <w:rFonts w:ascii="Calibri" w:hAnsi="Calibri" w:cs="Calibri"/>
          <w:sz w:val="22"/>
          <w:szCs w:val="22"/>
        </w:rPr>
        <w:t>summarises</w:t>
      </w:r>
      <w:r w:rsidRPr="00D9152B">
        <w:rPr>
          <w:rFonts w:ascii="Calibri" w:hAnsi="Calibri" w:cs="Calibri"/>
          <w:sz w:val="22"/>
          <w:szCs w:val="22"/>
        </w:rPr>
        <w:t xml:space="preserve"> Bump’s research on the initiation of the OCP, and supplements it with archival material from the four sponsoring agencies (the U</w:t>
      </w:r>
      <w:r w:rsidR="006D0AC8">
        <w:rPr>
          <w:rFonts w:ascii="Calibri" w:hAnsi="Calibri" w:cs="Calibri"/>
          <w:sz w:val="22"/>
          <w:szCs w:val="22"/>
        </w:rPr>
        <w:t>nited Nations</w:t>
      </w:r>
      <w:r w:rsidRPr="00D9152B">
        <w:rPr>
          <w:rFonts w:ascii="Calibri" w:hAnsi="Calibri" w:cs="Calibri"/>
          <w:sz w:val="22"/>
          <w:szCs w:val="22"/>
        </w:rPr>
        <w:t xml:space="preserve">, </w:t>
      </w:r>
      <w:r w:rsidR="006D0AC8">
        <w:rPr>
          <w:rFonts w:ascii="Calibri" w:hAnsi="Calibri" w:cs="Calibri"/>
          <w:sz w:val="22"/>
          <w:szCs w:val="22"/>
        </w:rPr>
        <w:t xml:space="preserve">Food and Agriculture Organization </w:t>
      </w:r>
      <w:r w:rsidR="00690911">
        <w:rPr>
          <w:rFonts w:ascii="Calibri" w:hAnsi="Calibri" w:cs="Calibri"/>
          <w:sz w:val="22"/>
          <w:szCs w:val="22"/>
        </w:rPr>
        <w:t>[</w:t>
      </w:r>
      <w:r w:rsidR="006D0AC8">
        <w:rPr>
          <w:rFonts w:ascii="Calibri" w:hAnsi="Calibri" w:cs="Calibri"/>
          <w:sz w:val="22"/>
          <w:szCs w:val="22"/>
        </w:rPr>
        <w:t>FAO</w:t>
      </w:r>
      <w:r w:rsidR="00690911">
        <w:rPr>
          <w:rFonts w:ascii="Calibri" w:hAnsi="Calibri" w:cs="Calibri"/>
          <w:sz w:val="22"/>
          <w:szCs w:val="22"/>
        </w:rPr>
        <w:t>]</w:t>
      </w:r>
      <w:r w:rsidRPr="00D9152B">
        <w:rPr>
          <w:rFonts w:ascii="Calibri" w:hAnsi="Calibri" w:cs="Calibri"/>
          <w:sz w:val="22"/>
          <w:szCs w:val="22"/>
        </w:rPr>
        <w:t xml:space="preserve">, WHO, and World Bank). It argues that the general </w:t>
      </w:r>
      <w:r w:rsidR="00172F56" w:rsidRPr="00D9152B">
        <w:rPr>
          <w:rFonts w:ascii="Calibri" w:hAnsi="Calibri" w:cs="Calibri"/>
          <w:sz w:val="22"/>
          <w:szCs w:val="22"/>
        </w:rPr>
        <w:t xml:space="preserve">OCP </w:t>
      </w:r>
      <w:r w:rsidRPr="00D9152B">
        <w:rPr>
          <w:rFonts w:ascii="Calibri" w:hAnsi="Calibri" w:cs="Calibri"/>
          <w:sz w:val="22"/>
          <w:szCs w:val="22"/>
        </w:rPr>
        <w:t xml:space="preserve">objective was a product of a largely confused interest </w:t>
      </w:r>
      <w:r w:rsidR="002C1F24" w:rsidRPr="00D9152B">
        <w:rPr>
          <w:rFonts w:ascii="Calibri" w:hAnsi="Calibri" w:cs="Calibri"/>
          <w:sz w:val="22"/>
          <w:szCs w:val="22"/>
        </w:rPr>
        <w:t>of</w:t>
      </w:r>
      <w:r w:rsidRPr="00D9152B">
        <w:rPr>
          <w:rFonts w:ascii="Calibri" w:hAnsi="Calibri" w:cs="Calibri"/>
          <w:sz w:val="22"/>
          <w:szCs w:val="22"/>
        </w:rPr>
        <w:t xml:space="preserve"> sponsoring agencies and donors in linking disease to socio-economic development</w:t>
      </w:r>
      <w:r w:rsidR="00172F56" w:rsidRPr="00D9152B">
        <w:rPr>
          <w:rFonts w:ascii="Calibri" w:hAnsi="Calibri" w:cs="Calibri"/>
          <w:sz w:val="22"/>
          <w:szCs w:val="22"/>
        </w:rPr>
        <w:t>, based on a small evidence</w:t>
      </w:r>
      <w:r w:rsidR="00005467" w:rsidRPr="00D9152B">
        <w:rPr>
          <w:rFonts w:ascii="Calibri" w:hAnsi="Calibri" w:cs="Calibri"/>
          <w:sz w:val="22"/>
          <w:szCs w:val="22"/>
        </w:rPr>
        <w:t xml:space="preserve"> </w:t>
      </w:r>
      <w:r w:rsidR="00172F56" w:rsidRPr="00D9152B">
        <w:rPr>
          <w:rFonts w:ascii="Calibri" w:hAnsi="Calibri" w:cs="Calibri"/>
          <w:sz w:val="22"/>
          <w:szCs w:val="22"/>
        </w:rPr>
        <w:t>base</w:t>
      </w:r>
      <w:r w:rsidRPr="00D9152B">
        <w:rPr>
          <w:rFonts w:ascii="Calibri" w:hAnsi="Calibri" w:cs="Calibri"/>
          <w:sz w:val="22"/>
          <w:szCs w:val="22"/>
        </w:rPr>
        <w:t xml:space="preserve">. </w:t>
      </w:r>
      <w:r w:rsidR="00D94D72" w:rsidRPr="00D9152B">
        <w:rPr>
          <w:rFonts w:ascii="Calibri" w:hAnsi="Calibri" w:cs="Calibri"/>
          <w:sz w:val="22"/>
          <w:szCs w:val="22"/>
        </w:rPr>
        <w:t xml:space="preserve">I break this path to the initial </w:t>
      </w:r>
      <w:r w:rsidR="006D0AC8">
        <w:rPr>
          <w:rFonts w:ascii="Calibri" w:hAnsi="Calibri" w:cs="Calibri"/>
          <w:sz w:val="22"/>
          <w:szCs w:val="22"/>
        </w:rPr>
        <w:t xml:space="preserve">programme </w:t>
      </w:r>
      <w:r w:rsidR="00D94D72" w:rsidRPr="00D9152B">
        <w:rPr>
          <w:rFonts w:ascii="Calibri" w:hAnsi="Calibri" w:cs="Calibri"/>
          <w:sz w:val="22"/>
          <w:szCs w:val="22"/>
        </w:rPr>
        <w:t>justification into five major steps.</w:t>
      </w:r>
      <w:r w:rsidRPr="00D9152B">
        <w:rPr>
          <w:rFonts w:ascii="Calibri" w:hAnsi="Calibri" w:cs="Calibri"/>
          <w:sz w:val="22"/>
          <w:szCs w:val="22"/>
        </w:rPr>
        <w:t xml:space="preserve"> </w:t>
      </w:r>
    </w:p>
    <w:p w14:paraId="702AED9C" w14:textId="6E99CDDA" w:rsidR="00AC7848" w:rsidRPr="00D9152B" w:rsidRDefault="0098315E" w:rsidP="005C7F9F">
      <w:pPr>
        <w:pStyle w:val="Heading3"/>
        <w:spacing w:before="100" w:beforeAutospacing="1" w:after="100" w:afterAutospacing="1" w:line="360" w:lineRule="auto"/>
        <w:rPr>
          <w:rFonts w:ascii="Calibri" w:hAnsi="Calibri" w:cs="Calibri"/>
          <w:b/>
          <w:i/>
          <w:color w:val="000000" w:themeColor="text1"/>
          <w:sz w:val="22"/>
          <w:szCs w:val="22"/>
        </w:rPr>
      </w:pPr>
      <w:bookmarkStart w:id="54" w:name="_Toc41505628"/>
      <w:r w:rsidRPr="00D9152B">
        <w:rPr>
          <w:rFonts w:ascii="Calibri" w:hAnsi="Calibri" w:cs="Calibri"/>
          <w:b/>
          <w:i/>
          <w:color w:val="000000" w:themeColor="text1"/>
          <w:sz w:val="22"/>
          <w:szCs w:val="22"/>
        </w:rPr>
        <w:t>4</w:t>
      </w:r>
      <w:r w:rsidR="00172F56" w:rsidRPr="00D9152B">
        <w:rPr>
          <w:rFonts w:ascii="Calibri" w:hAnsi="Calibri" w:cs="Calibri"/>
          <w:b/>
          <w:i/>
          <w:color w:val="000000" w:themeColor="text1"/>
          <w:sz w:val="22"/>
          <w:szCs w:val="22"/>
        </w:rPr>
        <w:t>.</w:t>
      </w:r>
      <w:r w:rsidRPr="00D9152B">
        <w:rPr>
          <w:rFonts w:ascii="Calibri" w:hAnsi="Calibri" w:cs="Calibri"/>
          <w:b/>
          <w:i/>
          <w:color w:val="000000" w:themeColor="text1"/>
          <w:sz w:val="22"/>
          <w:szCs w:val="22"/>
        </w:rPr>
        <w:t>2.A.</w:t>
      </w:r>
      <w:r w:rsidR="00172F56" w:rsidRPr="00D9152B">
        <w:rPr>
          <w:rFonts w:ascii="Calibri" w:hAnsi="Calibri" w:cs="Calibri"/>
          <w:b/>
          <w:i/>
          <w:color w:val="000000" w:themeColor="text1"/>
          <w:sz w:val="22"/>
          <w:szCs w:val="22"/>
        </w:rPr>
        <w:t xml:space="preserve"> Step 1: USAID staff ask the Bank to perform an economic analysis</w:t>
      </w:r>
      <w:bookmarkEnd w:id="54"/>
    </w:p>
    <w:p w14:paraId="72B39BD7" w14:textId="19291A27"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In the mid-1960s, OCCGE, a French research institution that received start-up money from the United States government, and the Fonds Européen du Développement (FED) led an onchocerciasis control initiative in the adjoining region of Mali, Upper Volta </w:t>
      </w:r>
      <w:r w:rsidRPr="00D9152B">
        <w:rPr>
          <w:rFonts w:ascii="Calibri" w:hAnsi="Calibri" w:cs="Calibri"/>
          <w:sz w:val="22"/>
          <w:szCs w:val="22"/>
        </w:rPr>
        <w:lastRenderedPageBreak/>
        <w:t xml:space="preserve">and </w:t>
      </w:r>
      <w:r w:rsidR="006D0AC8">
        <w:rPr>
          <w:rFonts w:ascii="Calibri" w:hAnsi="Calibri" w:cs="Calibri"/>
          <w:sz w:val="22"/>
          <w:szCs w:val="22"/>
        </w:rPr>
        <w:t>Cote d’Ivoire</w:t>
      </w:r>
      <w:r w:rsidRPr="00D9152B">
        <w:rPr>
          <w:rFonts w:ascii="Calibri" w:hAnsi="Calibri" w:cs="Calibri"/>
          <w:sz w:val="22"/>
          <w:szCs w:val="22"/>
        </w:rPr>
        <w:t>.</w:t>
      </w:r>
      <w:r w:rsidRPr="00D9152B">
        <w:rPr>
          <w:rStyle w:val="FootnoteReference"/>
          <w:rFonts w:ascii="Calibri" w:hAnsi="Calibri" w:cs="Calibri"/>
          <w:sz w:val="22"/>
          <w:szCs w:val="22"/>
        </w:rPr>
        <w:footnoteReference w:id="229"/>
      </w:r>
      <w:r w:rsidRPr="00D9152B">
        <w:rPr>
          <w:rFonts w:ascii="Calibri" w:hAnsi="Calibri" w:cs="Calibri"/>
          <w:sz w:val="22"/>
          <w:szCs w:val="22"/>
        </w:rPr>
        <w:t xml:space="preserve"> This programme’s perilous financial situation, coupled with the United States’ growing interest in West Africa, led two USAID staffers to quietly petition the Bank to assist with the onchocerciasis campaign. Involving the Ban</w:t>
      </w:r>
      <w:r w:rsidR="00172F56" w:rsidRPr="00D9152B">
        <w:rPr>
          <w:rFonts w:ascii="Calibri" w:hAnsi="Calibri" w:cs="Calibri"/>
          <w:sz w:val="22"/>
          <w:szCs w:val="22"/>
        </w:rPr>
        <w:t>k would have two major benefits:</w:t>
      </w:r>
      <w:r w:rsidRPr="00D9152B">
        <w:rPr>
          <w:rFonts w:ascii="Calibri" w:hAnsi="Calibri" w:cs="Calibri"/>
          <w:sz w:val="22"/>
          <w:szCs w:val="22"/>
        </w:rPr>
        <w:t xml:space="preserve"> the Bank could provide an independent economic evaluation of onchocerciasis control and </w:t>
      </w:r>
      <w:r w:rsidR="00554B82" w:rsidRPr="00D9152B">
        <w:rPr>
          <w:rFonts w:ascii="Calibri" w:hAnsi="Calibri" w:cs="Calibri"/>
          <w:sz w:val="22"/>
          <w:szCs w:val="22"/>
        </w:rPr>
        <w:t>marsha</w:t>
      </w:r>
      <w:r w:rsidR="00554B82">
        <w:rPr>
          <w:rFonts w:ascii="Calibri" w:hAnsi="Calibri" w:cs="Calibri"/>
          <w:sz w:val="22"/>
          <w:szCs w:val="22"/>
        </w:rPr>
        <w:t>l</w:t>
      </w:r>
      <w:r w:rsidRPr="00D9152B">
        <w:rPr>
          <w:rFonts w:ascii="Calibri" w:hAnsi="Calibri" w:cs="Calibri"/>
          <w:sz w:val="22"/>
          <w:szCs w:val="22"/>
        </w:rPr>
        <w:t xml:space="preserve"> its experience with both Francophone and Anglophone African countries, while USAID could avoid the appearance of increasing </w:t>
      </w:r>
      <w:r w:rsidR="00690911">
        <w:rPr>
          <w:rFonts w:ascii="Calibri" w:hAnsi="Calibri" w:cs="Calibri"/>
          <w:sz w:val="22"/>
          <w:szCs w:val="22"/>
        </w:rPr>
        <w:t xml:space="preserve">the </w:t>
      </w:r>
      <w:r w:rsidRPr="00D9152B">
        <w:rPr>
          <w:rFonts w:ascii="Calibri" w:hAnsi="Calibri" w:cs="Calibri"/>
          <w:sz w:val="22"/>
          <w:szCs w:val="22"/>
        </w:rPr>
        <w:t>WHO’s budget, which would be unpopular with Congress.</w:t>
      </w:r>
      <w:r w:rsidRPr="00D9152B">
        <w:rPr>
          <w:rStyle w:val="FootnoteReference"/>
          <w:rFonts w:ascii="Calibri" w:hAnsi="Calibri" w:cs="Calibri"/>
          <w:sz w:val="22"/>
          <w:szCs w:val="22"/>
        </w:rPr>
        <w:footnoteReference w:id="230"/>
      </w:r>
      <w:r w:rsidRPr="00D9152B">
        <w:rPr>
          <w:rFonts w:ascii="Calibri" w:hAnsi="Calibri" w:cs="Calibri"/>
          <w:sz w:val="22"/>
          <w:szCs w:val="22"/>
        </w:rPr>
        <w:t xml:space="preserve"> </w:t>
      </w:r>
    </w:p>
    <w:p w14:paraId="6F6E849C" w14:textId="4E0FABD8"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Bank agreed to provide assistance with an </w:t>
      </w:r>
      <w:r w:rsidRPr="00D9152B">
        <w:rPr>
          <w:rFonts w:ascii="Calibri" w:hAnsi="Calibri" w:cs="Calibri"/>
          <w:i/>
          <w:iCs/>
          <w:sz w:val="22"/>
          <w:szCs w:val="22"/>
        </w:rPr>
        <w:t xml:space="preserve">economic </w:t>
      </w:r>
      <w:r w:rsidRPr="00D9152B">
        <w:rPr>
          <w:rFonts w:ascii="Calibri" w:hAnsi="Calibri" w:cs="Calibri"/>
          <w:sz w:val="22"/>
          <w:szCs w:val="22"/>
        </w:rPr>
        <w:t xml:space="preserve">analysis of onchocerciasis in West Africa, but stipulated that </w:t>
      </w:r>
      <w:r w:rsidR="00690911">
        <w:rPr>
          <w:rFonts w:ascii="Calibri" w:hAnsi="Calibri" w:cs="Calibri"/>
          <w:sz w:val="22"/>
          <w:szCs w:val="22"/>
        </w:rPr>
        <w:t xml:space="preserve">the </w:t>
      </w:r>
      <w:r w:rsidRPr="00D9152B">
        <w:rPr>
          <w:rFonts w:ascii="Calibri" w:hAnsi="Calibri" w:cs="Calibri"/>
          <w:sz w:val="22"/>
          <w:szCs w:val="22"/>
        </w:rPr>
        <w:t xml:space="preserve">WHO should take the lead with all </w:t>
      </w:r>
      <w:r w:rsidRPr="00D9152B">
        <w:rPr>
          <w:rFonts w:ascii="Calibri" w:hAnsi="Calibri" w:cs="Calibri"/>
          <w:i/>
          <w:iCs/>
          <w:sz w:val="22"/>
          <w:szCs w:val="22"/>
        </w:rPr>
        <w:t xml:space="preserve">health </w:t>
      </w:r>
      <w:r w:rsidRPr="00D9152B">
        <w:rPr>
          <w:rFonts w:ascii="Calibri" w:hAnsi="Calibri" w:cs="Calibri"/>
          <w:sz w:val="22"/>
          <w:szCs w:val="22"/>
        </w:rPr>
        <w:t>and operational aspects.</w:t>
      </w:r>
      <w:r w:rsidRPr="00D9152B">
        <w:rPr>
          <w:rStyle w:val="FootnoteReference"/>
          <w:rFonts w:ascii="Calibri" w:hAnsi="Calibri" w:cs="Calibri"/>
          <w:sz w:val="22"/>
          <w:szCs w:val="22"/>
        </w:rPr>
        <w:footnoteReference w:id="231"/>
      </w:r>
      <w:r w:rsidRPr="00D9152B">
        <w:rPr>
          <w:rFonts w:ascii="Calibri" w:hAnsi="Calibri" w:cs="Calibri"/>
          <w:sz w:val="22"/>
          <w:szCs w:val="22"/>
        </w:rPr>
        <w:t xml:space="preserve"> As the Bank’s long-term Special Advisor to the President, Leonard Rist, put it in a letter to the WHO, ‘under no circumstances could our Bank finance hygie</w:t>
      </w:r>
      <w:r w:rsidR="00172F56" w:rsidRPr="00D9152B">
        <w:rPr>
          <w:rFonts w:ascii="Calibri" w:hAnsi="Calibri" w:cs="Calibri"/>
          <w:sz w:val="22"/>
          <w:szCs w:val="22"/>
        </w:rPr>
        <w:t>ne or public health programmes’</w:t>
      </w:r>
      <w:r w:rsidRPr="00D9152B">
        <w:rPr>
          <w:rFonts w:ascii="Calibri" w:hAnsi="Calibri" w:cs="Calibri"/>
          <w:sz w:val="22"/>
          <w:szCs w:val="22"/>
        </w:rPr>
        <w:t>.</w:t>
      </w:r>
      <w:r w:rsidRPr="00D9152B">
        <w:rPr>
          <w:rStyle w:val="FootnoteReference"/>
          <w:rFonts w:ascii="Calibri" w:hAnsi="Calibri" w:cs="Calibri"/>
          <w:sz w:val="22"/>
          <w:szCs w:val="22"/>
        </w:rPr>
        <w:footnoteReference w:id="232"/>
      </w:r>
      <w:r w:rsidRPr="00D9152B">
        <w:rPr>
          <w:rFonts w:ascii="Calibri" w:hAnsi="Calibri" w:cs="Calibri"/>
          <w:sz w:val="22"/>
          <w:szCs w:val="22"/>
        </w:rPr>
        <w:t xml:space="preserve"> </w:t>
      </w:r>
    </w:p>
    <w:p w14:paraId="7DE23819" w14:textId="0ADB37FF" w:rsidR="00AC7848" w:rsidRPr="00D9152B" w:rsidRDefault="0098315E" w:rsidP="005C7F9F">
      <w:pPr>
        <w:pStyle w:val="Heading3"/>
        <w:spacing w:before="100" w:beforeAutospacing="1" w:after="100" w:afterAutospacing="1" w:line="360" w:lineRule="auto"/>
        <w:rPr>
          <w:rFonts w:ascii="Calibri" w:hAnsi="Calibri" w:cs="Calibri"/>
          <w:b/>
          <w:i/>
          <w:color w:val="000000" w:themeColor="text1"/>
          <w:sz w:val="22"/>
          <w:szCs w:val="22"/>
        </w:rPr>
      </w:pPr>
      <w:bookmarkStart w:id="55" w:name="_Toc41505629"/>
      <w:r w:rsidRPr="00D9152B">
        <w:rPr>
          <w:rFonts w:ascii="Calibri" w:hAnsi="Calibri" w:cs="Calibri"/>
          <w:b/>
          <w:i/>
          <w:color w:val="000000" w:themeColor="text1"/>
          <w:sz w:val="22"/>
          <w:szCs w:val="22"/>
        </w:rPr>
        <w:t>4.2.B.</w:t>
      </w:r>
      <w:r w:rsidR="00172F56" w:rsidRPr="00D9152B">
        <w:rPr>
          <w:rFonts w:ascii="Calibri" w:hAnsi="Calibri" w:cs="Calibri"/>
          <w:b/>
          <w:i/>
          <w:color w:val="000000" w:themeColor="text1"/>
          <w:sz w:val="22"/>
          <w:szCs w:val="22"/>
        </w:rPr>
        <w:t xml:space="preserve"> Step 2: An identity crisis </w:t>
      </w:r>
      <w:r w:rsidR="00360D94" w:rsidRPr="00D9152B">
        <w:rPr>
          <w:rFonts w:ascii="Calibri" w:hAnsi="Calibri" w:cs="Calibri"/>
          <w:b/>
          <w:i/>
          <w:color w:val="000000" w:themeColor="text1"/>
          <w:sz w:val="22"/>
          <w:szCs w:val="22"/>
        </w:rPr>
        <w:t>about multilateral mandates</w:t>
      </w:r>
      <w:bookmarkEnd w:id="55"/>
    </w:p>
    <w:p w14:paraId="0E58DFE1" w14:textId="34D2574C" w:rsidR="00AC7848" w:rsidRPr="00D9152B" w:rsidRDefault="002C1F24"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Bank’s Africa department </w:t>
      </w:r>
      <w:r w:rsidR="00AC7848" w:rsidRPr="00D9152B">
        <w:rPr>
          <w:rFonts w:ascii="Calibri" w:hAnsi="Calibri" w:cs="Calibri"/>
          <w:sz w:val="22"/>
          <w:szCs w:val="22"/>
        </w:rPr>
        <w:t xml:space="preserve">senior staff were heavily divided in 1967 over Rist’s suggestion that the Bank become involved, even tangentially, in the early planning stages of a health project. At one end of the spectrum, Rist and a Vice President in the President’s Office, Mohamed Shoaib, argued that the Bank should provide or recruit an economist for a preliminary onchocerciasis and development survey. This would fit with </w:t>
      </w:r>
      <w:r w:rsidR="006D0AC8">
        <w:rPr>
          <w:rFonts w:ascii="Calibri" w:hAnsi="Calibri" w:cs="Calibri"/>
          <w:sz w:val="22"/>
          <w:szCs w:val="22"/>
        </w:rPr>
        <w:t xml:space="preserve">the Bank’s </w:t>
      </w:r>
      <w:r w:rsidR="00AC7848" w:rsidRPr="00D9152B">
        <w:rPr>
          <w:rFonts w:ascii="Calibri" w:hAnsi="Calibri" w:cs="Calibri"/>
          <w:sz w:val="22"/>
          <w:szCs w:val="22"/>
        </w:rPr>
        <w:t>rural development priorities, and improve its relationship with USAID.</w:t>
      </w:r>
      <w:r w:rsidR="00AC7848" w:rsidRPr="00D9152B">
        <w:rPr>
          <w:rStyle w:val="FootnoteReference"/>
          <w:rFonts w:ascii="Calibri" w:hAnsi="Calibri" w:cs="Calibri"/>
          <w:sz w:val="22"/>
          <w:szCs w:val="22"/>
        </w:rPr>
        <w:footnoteReference w:id="233"/>
      </w:r>
      <w:r w:rsidR="00AC7848" w:rsidRPr="00D9152B">
        <w:rPr>
          <w:rFonts w:ascii="Calibri" w:hAnsi="Calibri" w:cs="Calibri"/>
          <w:sz w:val="22"/>
          <w:szCs w:val="22"/>
        </w:rPr>
        <w:t xml:space="preserve"> On the opposite end of the spectrum was J.H. Williams, the Director of the Department of Program Evaluation and Control (and former Deputy Director of the Africa department), who wrote that an ‘ad hoc group’ at the Bank was performing a mutiny, by attempting to make decisions that rightfully belonged to formal loan committees.</w:t>
      </w:r>
      <w:r w:rsidR="00AC7848" w:rsidRPr="00D9152B">
        <w:rPr>
          <w:rStyle w:val="FootnoteReference"/>
          <w:rFonts w:ascii="Calibri" w:hAnsi="Calibri" w:cs="Calibri"/>
          <w:sz w:val="22"/>
          <w:szCs w:val="22"/>
        </w:rPr>
        <w:footnoteReference w:id="234"/>
      </w:r>
      <w:r w:rsidR="00AC7848" w:rsidRPr="00D9152B">
        <w:rPr>
          <w:rFonts w:ascii="Calibri" w:hAnsi="Calibri" w:cs="Calibri"/>
          <w:sz w:val="22"/>
          <w:szCs w:val="22"/>
        </w:rPr>
        <w:t xml:space="preserve"> Bump argues</w:t>
      </w:r>
      <w:r w:rsidR="005C04F4" w:rsidRPr="00D9152B">
        <w:rPr>
          <w:rFonts w:ascii="Calibri" w:hAnsi="Calibri" w:cs="Calibri"/>
          <w:sz w:val="22"/>
          <w:szCs w:val="22"/>
        </w:rPr>
        <w:t xml:space="preserve"> that</w:t>
      </w:r>
      <w:r w:rsidR="00AC7848" w:rsidRPr="00D9152B">
        <w:rPr>
          <w:rFonts w:ascii="Calibri" w:hAnsi="Calibri" w:cs="Calibri"/>
          <w:sz w:val="22"/>
          <w:szCs w:val="22"/>
        </w:rPr>
        <w:t xml:space="preserve">, ‘in the absence of instructions to the contrary, Rist, Shoab, and others had decided to </w:t>
      </w:r>
      <w:r w:rsidR="00AC7848" w:rsidRPr="00D9152B">
        <w:rPr>
          <w:rFonts w:ascii="Calibri" w:hAnsi="Calibri" w:cs="Calibri"/>
          <w:sz w:val="22"/>
          <w:szCs w:val="22"/>
        </w:rPr>
        <w:lastRenderedPageBreak/>
        <w:t>forge ahead with an attempt to supply USAID with the economic justification they wanted’.</w:t>
      </w:r>
      <w:r w:rsidR="00AC7848" w:rsidRPr="00D9152B">
        <w:rPr>
          <w:rStyle w:val="FootnoteReference"/>
          <w:rFonts w:ascii="Calibri" w:hAnsi="Calibri" w:cs="Calibri"/>
          <w:sz w:val="22"/>
          <w:szCs w:val="22"/>
        </w:rPr>
        <w:footnoteReference w:id="235"/>
      </w:r>
      <w:r w:rsidR="00AC7848" w:rsidRPr="00D9152B">
        <w:rPr>
          <w:rFonts w:ascii="Calibri" w:hAnsi="Calibri" w:cs="Calibri"/>
          <w:sz w:val="22"/>
          <w:szCs w:val="22"/>
        </w:rPr>
        <w:t xml:space="preserve"> </w:t>
      </w:r>
    </w:p>
    <w:p w14:paraId="029165FA" w14:textId="046BBD67"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Since mid-1966, a WHO team had also been working on an economic argument for onchocerciasis control. However, while health was directly in the WHO’s purview, the organization faced a similar issue to the Bank; it wanted to produce an economic impact survey to gain financing for onchocerciasis control, but had neither the funds nor in-house expertise required. Many health experts at WHO also opposed its entrance into what was perceived as a dangerous new field: the introduction of economic metrics into health program</w:t>
      </w:r>
      <w:r w:rsidR="002D31A3">
        <w:rPr>
          <w:rFonts w:ascii="Calibri" w:hAnsi="Calibri" w:cs="Calibri"/>
          <w:sz w:val="22"/>
          <w:szCs w:val="22"/>
        </w:rPr>
        <w:t>me</w:t>
      </w:r>
      <w:r w:rsidRPr="00D9152B">
        <w:rPr>
          <w:rFonts w:ascii="Calibri" w:hAnsi="Calibri" w:cs="Calibri"/>
          <w:sz w:val="22"/>
          <w:szCs w:val="22"/>
        </w:rPr>
        <w:t xml:space="preserve"> evaluation. The influence of the Chief of Parasitic Diseases at the WHO allowed the analysis to move forward,</w:t>
      </w:r>
      <w:r w:rsidRPr="00D9152B">
        <w:rPr>
          <w:rStyle w:val="FootnoteReference"/>
          <w:rFonts w:ascii="Calibri" w:hAnsi="Calibri" w:cs="Calibri"/>
          <w:sz w:val="22"/>
          <w:szCs w:val="22"/>
        </w:rPr>
        <w:footnoteReference w:id="236"/>
      </w:r>
      <w:r w:rsidRPr="00D9152B">
        <w:rPr>
          <w:rFonts w:ascii="Calibri" w:hAnsi="Calibri" w:cs="Calibri"/>
          <w:sz w:val="22"/>
          <w:szCs w:val="22"/>
        </w:rPr>
        <w:t xml:space="preserve"> but the WHO struggled to find suitably experienced economists for the task. As one candidate wrote, ‘nearly always the countries in which the important parasitic infections occur belong to developing areas’, but ‘no methodology exists which could be readily adapted for this kind of assessment’.</w:t>
      </w:r>
      <w:r w:rsidRPr="00D9152B">
        <w:rPr>
          <w:rStyle w:val="FootnoteReference"/>
          <w:rFonts w:ascii="Calibri" w:hAnsi="Calibri" w:cs="Calibri"/>
          <w:sz w:val="22"/>
          <w:szCs w:val="22"/>
        </w:rPr>
        <w:footnoteReference w:id="237"/>
      </w:r>
      <w:r w:rsidRPr="00D9152B">
        <w:rPr>
          <w:rFonts w:ascii="Calibri" w:hAnsi="Calibri" w:cs="Calibri"/>
          <w:sz w:val="22"/>
          <w:szCs w:val="22"/>
        </w:rPr>
        <w:t xml:space="preserve"> Without a methodology or technical data about potential agricultural development projects and their benefits, ‘not only would a traditional economic analysis be very hard, it might also be wrong, and further, some benefits would have to be taken on faith’.</w:t>
      </w:r>
      <w:r w:rsidRPr="00D9152B">
        <w:rPr>
          <w:rStyle w:val="FootnoteReference"/>
          <w:rFonts w:ascii="Calibri" w:hAnsi="Calibri" w:cs="Calibri"/>
          <w:sz w:val="22"/>
          <w:szCs w:val="22"/>
        </w:rPr>
        <w:footnoteReference w:id="238"/>
      </w:r>
      <w:r w:rsidRPr="00D9152B">
        <w:rPr>
          <w:rFonts w:ascii="Calibri" w:hAnsi="Calibri" w:cs="Calibri"/>
          <w:sz w:val="22"/>
          <w:szCs w:val="22"/>
        </w:rPr>
        <w:t xml:space="preserve"> Economists did not know how to calculate the value of human life, lacked precise input and output cost figures, and had no strategic alternatives to compare in a cost-benefit analysis.</w:t>
      </w:r>
    </w:p>
    <w:p w14:paraId="242A3117" w14:textId="42C9D829" w:rsidR="00AC7848" w:rsidRPr="00D9152B" w:rsidRDefault="0098315E" w:rsidP="005C7F9F">
      <w:pPr>
        <w:pStyle w:val="Heading3"/>
        <w:spacing w:before="100" w:beforeAutospacing="1" w:after="100" w:afterAutospacing="1" w:line="360" w:lineRule="auto"/>
        <w:rPr>
          <w:rFonts w:ascii="Calibri" w:hAnsi="Calibri" w:cs="Calibri"/>
          <w:b/>
          <w:i/>
          <w:color w:val="000000" w:themeColor="text1"/>
          <w:sz w:val="22"/>
          <w:szCs w:val="22"/>
        </w:rPr>
      </w:pPr>
      <w:bookmarkStart w:id="56" w:name="_Toc41505630"/>
      <w:r w:rsidRPr="00D9152B">
        <w:rPr>
          <w:rFonts w:ascii="Calibri" w:hAnsi="Calibri" w:cs="Calibri"/>
          <w:b/>
          <w:i/>
          <w:color w:val="000000" w:themeColor="text1"/>
          <w:sz w:val="22"/>
          <w:szCs w:val="22"/>
        </w:rPr>
        <w:t>4.2.C</w:t>
      </w:r>
      <w:r w:rsidR="00DF52DF" w:rsidRPr="00D9152B">
        <w:rPr>
          <w:rFonts w:ascii="Calibri" w:hAnsi="Calibri" w:cs="Calibri"/>
          <w:b/>
          <w:i/>
          <w:color w:val="000000" w:themeColor="text1"/>
          <w:sz w:val="22"/>
          <w:szCs w:val="22"/>
        </w:rPr>
        <w:t>.</w:t>
      </w:r>
      <w:r w:rsidR="00360D94" w:rsidRPr="00D9152B">
        <w:rPr>
          <w:rFonts w:ascii="Calibri" w:hAnsi="Calibri" w:cs="Calibri"/>
          <w:b/>
          <w:i/>
          <w:color w:val="000000" w:themeColor="text1"/>
          <w:sz w:val="22"/>
          <w:szCs w:val="22"/>
        </w:rPr>
        <w:t xml:space="preserve"> Step 3: Compromising and saving face through a two objective approach</w:t>
      </w:r>
      <w:bookmarkEnd w:id="56"/>
    </w:p>
    <w:p w14:paraId="0DD19EA7" w14:textId="114F3DC0"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With the start of McNamara’s tenure at the Bank (July 1968), well-positioned Bank officials felt more emboldened to call for the Bank’s involvement in onchocerciasis control, based on the </w:t>
      </w:r>
      <w:r w:rsidRPr="00D9152B">
        <w:rPr>
          <w:rFonts w:ascii="Calibri" w:hAnsi="Calibri" w:cs="Calibri"/>
          <w:i/>
          <w:iCs/>
          <w:sz w:val="22"/>
          <w:szCs w:val="22"/>
        </w:rPr>
        <w:t xml:space="preserve">future </w:t>
      </w:r>
      <w:r w:rsidRPr="00D9152B">
        <w:rPr>
          <w:rFonts w:ascii="Calibri" w:hAnsi="Calibri" w:cs="Calibri"/>
          <w:sz w:val="22"/>
          <w:szCs w:val="22"/>
        </w:rPr>
        <w:t xml:space="preserve">expected output of economic analyses. The Director of the West African Department, Roger Chaufournier, submitted a memorandum to McNamara in January 1969, which underscored the ‘fertile valley hypothesis’. This hypothesis would be widely evoked during the OCP. </w:t>
      </w:r>
      <w:r w:rsidR="008B1D16" w:rsidRPr="00D9152B">
        <w:rPr>
          <w:rFonts w:ascii="Calibri" w:hAnsi="Calibri" w:cs="Calibri"/>
          <w:sz w:val="22"/>
          <w:szCs w:val="22"/>
        </w:rPr>
        <w:t>It argued that onchocerciasis</w:t>
      </w:r>
      <w:r w:rsidRPr="00D9152B">
        <w:rPr>
          <w:rFonts w:ascii="Calibri" w:hAnsi="Calibri" w:cs="Calibri"/>
          <w:sz w:val="22"/>
          <w:szCs w:val="22"/>
        </w:rPr>
        <w:t xml:space="preserve"> had ‘important economic </w:t>
      </w:r>
      <w:r w:rsidRPr="00D9152B">
        <w:rPr>
          <w:rFonts w:ascii="Calibri" w:hAnsi="Calibri" w:cs="Calibri"/>
          <w:sz w:val="22"/>
          <w:szCs w:val="22"/>
        </w:rPr>
        <w:lastRenderedPageBreak/>
        <w:t>consequences because infected and often fertile valleys’ were ‘almost entirely deserted whereas vast surrounding areas are very sparsely populated’.</w:t>
      </w:r>
      <w:r w:rsidRPr="00D9152B">
        <w:rPr>
          <w:rStyle w:val="FootnoteReference"/>
          <w:rFonts w:ascii="Calibri" w:hAnsi="Calibri" w:cs="Calibri"/>
          <w:sz w:val="22"/>
          <w:szCs w:val="22"/>
        </w:rPr>
        <w:footnoteReference w:id="239"/>
      </w:r>
      <w:r w:rsidRPr="00D9152B">
        <w:rPr>
          <w:rFonts w:ascii="Calibri" w:hAnsi="Calibri" w:cs="Calibri"/>
          <w:sz w:val="22"/>
          <w:szCs w:val="22"/>
        </w:rPr>
        <w:t xml:space="preserve"> </w:t>
      </w:r>
    </w:p>
    <w:p w14:paraId="3DC0247D" w14:textId="778A8ADF"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Given the favourable donor climate, onchocerciasis was repackaged at the Bank: if the health and socio-economic development components of a future onchocerciasis programme could be divided, then the Bank could simply support the latter without compromising its mandate. John de Wilde, the Chief Economist for the Bank’s West Africa department, articulated the ‘two objective’ idea in a widely circulated internal memorandum. </w:t>
      </w:r>
      <w:r w:rsidR="00005467" w:rsidRPr="00D9152B">
        <w:rPr>
          <w:rFonts w:ascii="Calibri" w:hAnsi="Calibri" w:cs="Calibri"/>
          <w:sz w:val="22"/>
          <w:szCs w:val="22"/>
        </w:rPr>
        <w:t>The</w:t>
      </w:r>
      <w:r w:rsidRPr="00D9152B">
        <w:rPr>
          <w:rFonts w:ascii="Calibri" w:hAnsi="Calibri" w:cs="Calibri"/>
          <w:sz w:val="22"/>
          <w:szCs w:val="22"/>
        </w:rPr>
        <w:t xml:space="preserve"> Bank could serve a leading role in mobilizing donor financing, while the WHO would execute all public health aspects of the programme</w:t>
      </w:r>
      <w:r w:rsidR="00005467" w:rsidRPr="00D9152B">
        <w:rPr>
          <w:rFonts w:ascii="Calibri" w:hAnsi="Calibri" w:cs="Calibri"/>
          <w:sz w:val="22"/>
          <w:szCs w:val="22"/>
        </w:rPr>
        <w:t>.</w:t>
      </w:r>
    </w:p>
    <w:p w14:paraId="0F44B59E" w14:textId="7A48811E"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scheme allowed the Bank to retain its role as a trusted financial advisor, </w:t>
      </w:r>
      <w:r w:rsidR="002C1F24" w:rsidRPr="00D9152B">
        <w:rPr>
          <w:rFonts w:ascii="Calibri" w:hAnsi="Calibri" w:cs="Calibri"/>
          <w:sz w:val="22"/>
          <w:szCs w:val="22"/>
        </w:rPr>
        <w:t>and also to capture</w:t>
      </w:r>
      <w:r w:rsidRPr="00D9152B">
        <w:rPr>
          <w:rFonts w:ascii="Calibri" w:hAnsi="Calibri" w:cs="Calibri"/>
          <w:sz w:val="22"/>
          <w:szCs w:val="22"/>
        </w:rPr>
        <w:t xml:space="preserve"> funding of major bilateral donors that was earmarked for development.</w:t>
      </w:r>
      <w:r w:rsidRPr="00D9152B">
        <w:rPr>
          <w:rStyle w:val="FootnoteReference"/>
          <w:rFonts w:ascii="Calibri" w:hAnsi="Calibri" w:cs="Calibri"/>
          <w:sz w:val="22"/>
          <w:szCs w:val="22"/>
        </w:rPr>
        <w:footnoteReference w:id="240"/>
      </w:r>
      <w:r w:rsidRPr="00D9152B">
        <w:rPr>
          <w:rFonts w:ascii="Calibri" w:hAnsi="Calibri" w:cs="Calibri"/>
          <w:sz w:val="22"/>
          <w:szCs w:val="22"/>
        </w:rPr>
        <w:t xml:space="preserve"> Furthermore, the Bank could pawn-off the actual execution of the second objective – socio-economic development of the freed areas – to the UNDP, whose mandate made it a perfect agency on-paper for inter-agency coordination and technical assistance.</w:t>
      </w:r>
      <w:r w:rsidRPr="00D9152B">
        <w:rPr>
          <w:rStyle w:val="FootnoteReference"/>
          <w:rFonts w:ascii="Calibri" w:hAnsi="Calibri" w:cs="Calibri"/>
          <w:sz w:val="22"/>
          <w:szCs w:val="22"/>
        </w:rPr>
        <w:footnoteReference w:id="241"/>
      </w:r>
      <w:r w:rsidRPr="00D9152B">
        <w:rPr>
          <w:rFonts w:ascii="Calibri" w:hAnsi="Calibri" w:cs="Calibri"/>
          <w:sz w:val="22"/>
          <w:szCs w:val="22"/>
        </w:rPr>
        <w:t xml:space="preserve"> When the OCP Preparatory Mission (PAG) study was begun, it was funded by UNDP, the WHO passed along responsibility for economic justifications to FAO, and no economist had been hired for in-country surveys.</w:t>
      </w:r>
      <w:r w:rsidRPr="00D9152B">
        <w:rPr>
          <w:rStyle w:val="FootnoteReference"/>
          <w:rFonts w:ascii="Calibri" w:hAnsi="Calibri" w:cs="Calibri"/>
          <w:sz w:val="22"/>
          <w:szCs w:val="22"/>
        </w:rPr>
        <w:footnoteReference w:id="242"/>
      </w:r>
      <w:r w:rsidRPr="00D9152B">
        <w:rPr>
          <w:rFonts w:ascii="Calibri" w:hAnsi="Calibri" w:cs="Calibri"/>
          <w:sz w:val="22"/>
          <w:szCs w:val="22"/>
        </w:rPr>
        <w:t xml:space="preserve"> </w:t>
      </w:r>
    </w:p>
    <w:p w14:paraId="59F81895" w14:textId="21584F0E" w:rsidR="00AC7848" w:rsidRPr="00D9152B" w:rsidRDefault="0098315E" w:rsidP="005C7F9F">
      <w:pPr>
        <w:pStyle w:val="Heading3"/>
        <w:spacing w:before="100" w:beforeAutospacing="1" w:after="100" w:afterAutospacing="1" w:line="360" w:lineRule="auto"/>
        <w:rPr>
          <w:rFonts w:ascii="Calibri" w:hAnsi="Calibri" w:cs="Calibri"/>
          <w:b/>
          <w:i/>
          <w:color w:val="000000" w:themeColor="text1"/>
          <w:sz w:val="22"/>
          <w:szCs w:val="22"/>
        </w:rPr>
      </w:pPr>
      <w:bookmarkStart w:id="57" w:name="_Toc41505631"/>
      <w:r w:rsidRPr="00D9152B">
        <w:rPr>
          <w:rFonts w:ascii="Calibri" w:hAnsi="Calibri" w:cs="Calibri"/>
          <w:b/>
          <w:i/>
          <w:color w:val="000000" w:themeColor="text1"/>
          <w:sz w:val="22"/>
          <w:szCs w:val="22"/>
        </w:rPr>
        <w:t>4.2.D</w:t>
      </w:r>
      <w:r w:rsidR="008607EE" w:rsidRPr="00D9152B">
        <w:rPr>
          <w:rFonts w:ascii="Calibri" w:hAnsi="Calibri" w:cs="Calibri"/>
          <w:b/>
          <w:i/>
          <w:color w:val="000000" w:themeColor="text1"/>
          <w:sz w:val="22"/>
          <w:szCs w:val="22"/>
        </w:rPr>
        <w:t>.</w:t>
      </w:r>
      <w:r w:rsidR="00284196" w:rsidRPr="00D9152B">
        <w:rPr>
          <w:rFonts w:ascii="Calibri" w:hAnsi="Calibri" w:cs="Calibri"/>
          <w:b/>
          <w:i/>
          <w:color w:val="000000" w:themeColor="text1"/>
          <w:sz w:val="22"/>
          <w:szCs w:val="22"/>
        </w:rPr>
        <w:t xml:space="preserve"> Step</w:t>
      </w:r>
      <w:r w:rsidR="008607EE" w:rsidRPr="00D9152B">
        <w:rPr>
          <w:rFonts w:ascii="Calibri" w:hAnsi="Calibri" w:cs="Calibri"/>
          <w:b/>
          <w:i/>
          <w:color w:val="000000" w:themeColor="text1"/>
          <w:sz w:val="22"/>
          <w:szCs w:val="22"/>
        </w:rPr>
        <w:t xml:space="preserve"> 4: Faith in economic </w:t>
      </w:r>
      <w:r w:rsidR="00D77294" w:rsidRPr="00D9152B">
        <w:rPr>
          <w:rFonts w:ascii="Calibri" w:hAnsi="Calibri" w:cs="Calibri"/>
          <w:b/>
          <w:i/>
          <w:color w:val="000000" w:themeColor="text1"/>
          <w:sz w:val="22"/>
          <w:szCs w:val="22"/>
        </w:rPr>
        <w:t>model-making and</w:t>
      </w:r>
      <w:r w:rsidR="00284196" w:rsidRPr="00D9152B">
        <w:rPr>
          <w:rFonts w:ascii="Calibri" w:hAnsi="Calibri" w:cs="Calibri"/>
          <w:b/>
          <w:i/>
          <w:color w:val="000000" w:themeColor="text1"/>
          <w:sz w:val="22"/>
          <w:szCs w:val="22"/>
        </w:rPr>
        <w:t xml:space="preserve"> a single objective</w:t>
      </w:r>
      <w:bookmarkEnd w:id="57"/>
    </w:p>
    <w:p w14:paraId="5FA0C4D1" w14:textId="57869560"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From 1971-1972, </w:t>
      </w:r>
      <w:r w:rsidR="006D0AC8">
        <w:rPr>
          <w:rFonts w:ascii="Calibri" w:hAnsi="Calibri" w:cs="Calibri"/>
          <w:sz w:val="22"/>
          <w:szCs w:val="22"/>
        </w:rPr>
        <w:t xml:space="preserve">the </w:t>
      </w:r>
      <w:r w:rsidRPr="00D9152B">
        <w:rPr>
          <w:rFonts w:ascii="Calibri" w:hAnsi="Calibri" w:cs="Calibri"/>
          <w:sz w:val="22"/>
          <w:szCs w:val="22"/>
        </w:rPr>
        <w:t xml:space="preserve">IBRD, WHO, and UNDP held a series of joint meetings on modelling economic impacts of parasitic diseases. These meetings discussed schistosomiasis and onchocerciasis ‘in the search for a parasitic disease which could usefully be the subject of model making’. The group decided that onchocerciasis in West Africa ‘would be the most suitable subject’, and that there should be two models made. The first model would be epidemiological; it would be ‘devoted exclusively to the disease itself and its transmission aspects’, and could be completed by the end of 1972. The </w:t>
      </w:r>
      <w:r w:rsidRPr="00D9152B">
        <w:rPr>
          <w:rFonts w:ascii="Calibri" w:hAnsi="Calibri" w:cs="Calibri"/>
          <w:sz w:val="22"/>
          <w:szCs w:val="22"/>
        </w:rPr>
        <w:lastRenderedPageBreak/>
        <w:t>second simulate</w:t>
      </w:r>
      <w:r w:rsidR="00C06E59" w:rsidRPr="00D9152B">
        <w:rPr>
          <w:rFonts w:ascii="Calibri" w:hAnsi="Calibri" w:cs="Calibri"/>
          <w:sz w:val="22"/>
          <w:szCs w:val="22"/>
        </w:rPr>
        <w:t>d</w:t>
      </w:r>
      <w:r w:rsidRPr="00D9152B">
        <w:rPr>
          <w:rFonts w:ascii="Calibri" w:hAnsi="Calibri" w:cs="Calibri"/>
          <w:sz w:val="22"/>
          <w:szCs w:val="22"/>
        </w:rPr>
        <w:t xml:space="preserve"> the relationship between disease and socio-economic activity, and would be completed in 1973. Together, the models were ‘designed to give a reading on the economic and social significance of disease control’ and to ‘provide a basic methodology for the economic assessment of parasitic disease control programmes of any kind’.</w:t>
      </w:r>
      <w:r w:rsidRPr="00D9152B">
        <w:rPr>
          <w:rStyle w:val="FootnoteReference"/>
          <w:rFonts w:ascii="Calibri" w:hAnsi="Calibri" w:cs="Calibri"/>
          <w:sz w:val="22"/>
          <w:szCs w:val="22"/>
        </w:rPr>
        <w:footnoteReference w:id="243"/>
      </w:r>
      <w:r w:rsidRPr="00D9152B">
        <w:rPr>
          <w:rFonts w:ascii="Calibri" w:hAnsi="Calibri" w:cs="Calibri"/>
          <w:sz w:val="22"/>
          <w:szCs w:val="22"/>
        </w:rPr>
        <w:t xml:space="preserve"> </w:t>
      </w:r>
    </w:p>
    <w:p w14:paraId="35AB68FB" w14:textId="402103C6" w:rsidR="00AC7848" w:rsidRPr="00D9152B" w:rsidRDefault="00AC7848" w:rsidP="005C7F9F">
      <w:pPr>
        <w:spacing w:before="100" w:beforeAutospacing="1" w:after="100" w:afterAutospacing="1" w:line="360" w:lineRule="auto"/>
        <w:ind w:firstLine="720"/>
        <w:rPr>
          <w:rStyle w:val="FootnoteReference"/>
          <w:rFonts w:ascii="Calibri" w:hAnsi="Calibri" w:cs="Calibri"/>
          <w:sz w:val="22"/>
          <w:szCs w:val="22"/>
        </w:rPr>
      </w:pPr>
      <w:r w:rsidRPr="00D9152B">
        <w:rPr>
          <w:rFonts w:ascii="Calibri" w:hAnsi="Calibri" w:cs="Calibri"/>
          <w:sz w:val="22"/>
          <w:szCs w:val="22"/>
        </w:rPr>
        <w:t xml:space="preserve">As discussed later in this chapter, epidemiological models for </w:t>
      </w:r>
      <w:r w:rsidR="00904A5B" w:rsidRPr="00D9152B">
        <w:rPr>
          <w:rFonts w:ascii="Calibri" w:hAnsi="Calibri" w:cs="Calibri"/>
          <w:sz w:val="22"/>
          <w:szCs w:val="22"/>
        </w:rPr>
        <w:t>onchocerciasis</w:t>
      </w:r>
      <w:r w:rsidRPr="00D9152B">
        <w:rPr>
          <w:rFonts w:ascii="Calibri" w:hAnsi="Calibri" w:cs="Calibri"/>
          <w:sz w:val="22"/>
          <w:szCs w:val="22"/>
        </w:rPr>
        <w:t xml:space="preserve"> transmission were created in the late 1970s and 1980s. However, </w:t>
      </w:r>
      <w:r w:rsidR="002C1F24" w:rsidRPr="00D9152B">
        <w:rPr>
          <w:rFonts w:ascii="Calibri" w:hAnsi="Calibri" w:cs="Calibri"/>
          <w:sz w:val="22"/>
          <w:szCs w:val="22"/>
        </w:rPr>
        <w:t xml:space="preserve">I found </w:t>
      </w:r>
      <w:r w:rsidR="00284196" w:rsidRPr="00D9152B">
        <w:rPr>
          <w:rFonts w:ascii="Calibri" w:hAnsi="Calibri" w:cs="Calibri"/>
          <w:sz w:val="22"/>
          <w:szCs w:val="22"/>
        </w:rPr>
        <w:t xml:space="preserve">no evidence in the WHO, UN, or Bank archives that </w:t>
      </w:r>
      <w:r w:rsidRPr="00D9152B">
        <w:rPr>
          <w:rFonts w:ascii="Calibri" w:hAnsi="Calibri" w:cs="Calibri"/>
          <w:sz w:val="22"/>
          <w:szCs w:val="22"/>
        </w:rPr>
        <w:t>an economic model was completed before the OCP’s launch.</w:t>
      </w:r>
      <w:r w:rsidR="00806523">
        <w:rPr>
          <w:rFonts w:ascii="Calibri" w:hAnsi="Calibri" w:cs="Calibri"/>
          <w:sz w:val="22"/>
          <w:szCs w:val="22"/>
        </w:rPr>
        <w:t xml:space="preserve"> Bump agrees that the</w:t>
      </w:r>
      <w:r w:rsidR="00806523" w:rsidRPr="00A32897">
        <w:rPr>
          <w:rFonts w:ascii="Calibri" w:hAnsi="Calibri" w:cs="Calibri"/>
          <w:sz w:val="22"/>
          <w:szCs w:val="22"/>
        </w:rPr>
        <w:t xml:space="preserve"> fundamental problem with these analyses was that ‘in Africa the value of life of a peasant is quite distinct from his real earnings over his expected life-span’, but there were no methods available ‘to calculate the value of a human life’.</w:t>
      </w:r>
      <w:r w:rsidR="00806523" w:rsidRPr="00A32897">
        <w:rPr>
          <w:rStyle w:val="FootnoteReference"/>
          <w:rFonts w:ascii="Calibri" w:hAnsi="Calibri" w:cs="Calibri"/>
          <w:sz w:val="22"/>
          <w:szCs w:val="22"/>
        </w:rPr>
        <w:footnoteReference w:id="244"/>
      </w:r>
      <w:r w:rsidRPr="00D9152B">
        <w:rPr>
          <w:rFonts w:ascii="Calibri" w:hAnsi="Calibri" w:cs="Calibri"/>
          <w:sz w:val="22"/>
          <w:szCs w:val="22"/>
        </w:rPr>
        <w:t xml:space="preserve"> Instead, after McNamara’s visit to endemic areas of Upper Volta and Mali in the spring of 1972,</w:t>
      </w:r>
      <w:r w:rsidRPr="00D9152B">
        <w:rPr>
          <w:rStyle w:val="FootnoteReference"/>
          <w:rFonts w:ascii="Calibri" w:hAnsi="Calibri" w:cs="Calibri"/>
          <w:sz w:val="22"/>
          <w:szCs w:val="22"/>
        </w:rPr>
        <w:footnoteReference w:id="245"/>
      </w:r>
      <w:r w:rsidRPr="00D9152B">
        <w:rPr>
          <w:rFonts w:ascii="Calibri" w:hAnsi="Calibri" w:cs="Calibri"/>
          <w:sz w:val="22"/>
          <w:szCs w:val="22"/>
        </w:rPr>
        <w:t xml:space="preserve"> both Rist’s caution and the ‘two objective’ position were largely abandoned. Within a month of his visit, McNamara gathered the Director Generals of the WHO and FAO and the Administrator of UNDP to initiate a Steering Committee. Bump argues that, when pitching the OCP to the Bank’s Board of Executive Directors, McNamara requested ‘that the Bank should mobilize and coordinate donor activities for the health program itself, with no mention of follow-up agricultural development’. The Board decided to approve $7.5 million for the programme.</w:t>
      </w:r>
      <w:r w:rsidR="00EB3737" w:rsidRPr="00D9152B">
        <w:rPr>
          <w:rStyle w:val="FootnoteReference"/>
          <w:rFonts w:ascii="Calibri" w:hAnsi="Calibri" w:cs="Calibri"/>
          <w:sz w:val="22"/>
          <w:szCs w:val="22"/>
        </w:rPr>
        <w:footnoteReference w:id="246"/>
      </w:r>
      <w:r w:rsidRPr="00D9152B">
        <w:rPr>
          <w:rFonts w:ascii="Calibri" w:hAnsi="Calibri" w:cs="Calibri"/>
          <w:sz w:val="22"/>
          <w:szCs w:val="22"/>
        </w:rPr>
        <w:t xml:space="preserve"> In effect, the most powerful Bank employee, McNamara, was able to single-handedly push forward a single objective for the OCP. The Bank </w:t>
      </w:r>
      <w:r w:rsidRPr="00D9152B">
        <w:rPr>
          <w:rFonts w:ascii="Calibri" w:hAnsi="Calibri" w:cs="Calibri"/>
          <w:i/>
          <w:iCs/>
          <w:sz w:val="22"/>
          <w:szCs w:val="22"/>
        </w:rPr>
        <w:t xml:space="preserve">could </w:t>
      </w:r>
      <w:r w:rsidRPr="00D9152B">
        <w:rPr>
          <w:rFonts w:ascii="Calibri" w:hAnsi="Calibri" w:cs="Calibri"/>
          <w:sz w:val="22"/>
          <w:szCs w:val="22"/>
        </w:rPr>
        <w:t xml:space="preserve">become involved in an experimental health project, because improved health would </w:t>
      </w:r>
      <w:r w:rsidRPr="00D9152B">
        <w:rPr>
          <w:rFonts w:ascii="Calibri" w:hAnsi="Calibri" w:cs="Calibri"/>
          <w:i/>
          <w:iCs/>
          <w:sz w:val="22"/>
          <w:szCs w:val="22"/>
        </w:rPr>
        <w:t>naturally</w:t>
      </w:r>
      <w:r w:rsidRPr="00D9152B">
        <w:rPr>
          <w:rFonts w:ascii="Calibri" w:hAnsi="Calibri" w:cs="Calibri"/>
          <w:sz w:val="22"/>
          <w:szCs w:val="22"/>
        </w:rPr>
        <w:t xml:space="preserve"> lead to improved development outcomes. This marked the Bank’s first </w:t>
      </w:r>
      <w:r w:rsidR="00EB3737" w:rsidRPr="00D9152B">
        <w:rPr>
          <w:rFonts w:ascii="Calibri" w:hAnsi="Calibri" w:cs="Calibri"/>
          <w:sz w:val="22"/>
          <w:szCs w:val="22"/>
        </w:rPr>
        <w:t>grant</w:t>
      </w:r>
      <w:r w:rsidRPr="00D9152B">
        <w:rPr>
          <w:rFonts w:ascii="Calibri" w:hAnsi="Calibri" w:cs="Calibri"/>
          <w:sz w:val="22"/>
          <w:szCs w:val="22"/>
        </w:rPr>
        <w:t xml:space="preserve"> for a health project; it would not sanction such direct lending for core health sector projects until 1979.</w:t>
      </w:r>
      <w:r w:rsidRPr="00D9152B">
        <w:rPr>
          <w:rStyle w:val="FootnoteReference"/>
          <w:rFonts w:ascii="Calibri" w:hAnsi="Calibri" w:cs="Calibri"/>
          <w:sz w:val="22"/>
          <w:szCs w:val="22"/>
        </w:rPr>
        <w:footnoteReference w:id="247"/>
      </w:r>
    </w:p>
    <w:p w14:paraId="0BE743F9" w14:textId="58E1AB2A" w:rsidR="00AC7848" w:rsidRPr="00D9152B" w:rsidRDefault="0098315E" w:rsidP="005C7F9F">
      <w:pPr>
        <w:pStyle w:val="Heading3"/>
        <w:spacing w:before="100" w:beforeAutospacing="1" w:after="100" w:afterAutospacing="1" w:line="360" w:lineRule="auto"/>
        <w:rPr>
          <w:rFonts w:ascii="Calibri" w:hAnsi="Calibri" w:cs="Calibri"/>
          <w:b/>
          <w:i/>
          <w:color w:val="000000" w:themeColor="text1"/>
          <w:sz w:val="22"/>
          <w:szCs w:val="22"/>
        </w:rPr>
      </w:pPr>
      <w:bookmarkStart w:id="58" w:name="_Toc41505632"/>
      <w:r w:rsidRPr="00D9152B">
        <w:rPr>
          <w:rFonts w:ascii="Calibri" w:hAnsi="Calibri" w:cs="Calibri"/>
          <w:b/>
          <w:i/>
          <w:color w:val="000000" w:themeColor="text1"/>
          <w:sz w:val="22"/>
          <w:szCs w:val="22"/>
        </w:rPr>
        <w:lastRenderedPageBreak/>
        <w:t>4.2.E</w:t>
      </w:r>
      <w:r w:rsidR="00DF52DF" w:rsidRPr="00D9152B">
        <w:rPr>
          <w:rFonts w:ascii="Calibri" w:hAnsi="Calibri" w:cs="Calibri"/>
          <w:b/>
          <w:i/>
          <w:color w:val="000000" w:themeColor="text1"/>
          <w:sz w:val="22"/>
          <w:szCs w:val="22"/>
        </w:rPr>
        <w:t>.</w:t>
      </w:r>
      <w:r w:rsidR="00284196" w:rsidRPr="00D9152B">
        <w:rPr>
          <w:rFonts w:ascii="Calibri" w:hAnsi="Calibri" w:cs="Calibri"/>
          <w:b/>
          <w:i/>
          <w:color w:val="000000" w:themeColor="text1"/>
          <w:sz w:val="22"/>
          <w:szCs w:val="22"/>
        </w:rPr>
        <w:t xml:space="preserve"> Step 5: Justifying the OCP to donors through vague economic promises</w:t>
      </w:r>
      <w:bookmarkEnd w:id="58"/>
    </w:p>
    <w:p w14:paraId="4E8CD419" w14:textId="4AF4D935"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w:t>
      </w:r>
      <w:r w:rsidR="002D14DD" w:rsidRPr="00D9152B">
        <w:rPr>
          <w:rFonts w:ascii="Calibri" w:hAnsi="Calibri" w:cs="Calibri"/>
          <w:sz w:val="22"/>
          <w:szCs w:val="22"/>
        </w:rPr>
        <w:t>Preparatory</w:t>
      </w:r>
      <w:r w:rsidR="002C1F24" w:rsidRPr="00D9152B">
        <w:rPr>
          <w:rFonts w:ascii="Calibri" w:hAnsi="Calibri" w:cs="Calibri"/>
          <w:sz w:val="22"/>
          <w:szCs w:val="22"/>
        </w:rPr>
        <w:t xml:space="preserve"> </w:t>
      </w:r>
      <w:r w:rsidR="002D14DD" w:rsidRPr="00D9152B">
        <w:rPr>
          <w:rFonts w:ascii="Calibri" w:hAnsi="Calibri" w:cs="Calibri"/>
          <w:sz w:val="22"/>
          <w:szCs w:val="22"/>
        </w:rPr>
        <w:t>Mission</w:t>
      </w:r>
      <w:r w:rsidRPr="00D9152B">
        <w:rPr>
          <w:rFonts w:ascii="Calibri" w:hAnsi="Calibri" w:cs="Calibri"/>
          <w:sz w:val="22"/>
          <w:szCs w:val="22"/>
        </w:rPr>
        <w:t xml:space="preserve"> included the single objective in its final report: ‘to combat a disease that is widespread and severe in the area, and to remove a major obstacle to economic development’.</w:t>
      </w:r>
      <w:r w:rsidRPr="00D9152B">
        <w:rPr>
          <w:rStyle w:val="FootnoteReference"/>
          <w:rFonts w:ascii="Calibri" w:hAnsi="Calibri" w:cs="Calibri"/>
          <w:sz w:val="22"/>
          <w:szCs w:val="22"/>
        </w:rPr>
        <w:footnoteReference w:id="248"/>
      </w:r>
      <w:r w:rsidRPr="00D9152B">
        <w:rPr>
          <w:rFonts w:ascii="Calibri" w:hAnsi="Calibri" w:cs="Calibri"/>
          <w:sz w:val="22"/>
          <w:szCs w:val="22"/>
        </w:rPr>
        <w:t xml:space="preserve"> Future economic progress was used as a programme </w:t>
      </w:r>
      <w:r w:rsidRPr="00D9152B">
        <w:rPr>
          <w:rFonts w:ascii="Calibri" w:hAnsi="Calibri" w:cs="Calibri"/>
          <w:i/>
          <w:iCs/>
          <w:sz w:val="22"/>
          <w:szCs w:val="22"/>
        </w:rPr>
        <w:t>justification</w:t>
      </w:r>
      <w:r w:rsidRPr="00D9152B">
        <w:rPr>
          <w:rFonts w:ascii="Calibri" w:hAnsi="Calibri" w:cs="Calibri"/>
          <w:sz w:val="22"/>
          <w:szCs w:val="22"/>
        </w:rPr>
        <w:t xml:space="preserve"> – a consequence of improved health of bodies and improved use of land – but not an outright objective.</w:t>
      </w:r>
      <w:r w:rsidRPr="00D9152B">
        <w:rPr>
          <w:rStyle w:val="FootnoteReference"/>
          <w:rFonts w:ascii="Calibri" w:hAnsi="Calibri" w:cs="Calibri"/>
          <w:sz w:val="22"/>
          <w:szCs w:val="22"/>
        </w:rPr>
        <w:footnoteReference w:id="249"/>
      </w:r>
      <w:r w:rsidRPr="00D9152B">
        <w:rPr>
          <w:rFonts w:ascii="Calibri" w:hAnsi="Calibri" w:cs="Calibri"/>
          <w:sz w:val="22"/>
          <w:szCs w:val="22"/>
        </w:rPr>
        <w:t xml:space="preserve"> </w:t>
      </w:r>
      <w:r w:rsidR="00F54189" w:rsidRPr="00D9152B">
        <w:rPr>
          <w:rFonts w:ascii="Calibri" w:hAnsi="Calibri" w:cs="Calibri"/>
          <w:sz w:val="22"/>
          <w:szCs w:val="22"/>
        </w:rPr>
        <w:t>This</w:t>
      </w:r>
      <w:r w:rsidRPr="00D9152B">
        <w:rPr>
          <w:rFonts w:ascii="Calibri" w:hAnsi="Calibri" w:cs="Calibri"/>
          <w:sz w:val="22"/>
          <w:szCs w:val="22"/>
        </w:rPr>
        <w:t xml:space="preserve"> indirect focus on socio-economic development did not change over the OCP’s 40-year tenure.</w:t>
      </w:r>
    </w:p>
    <w:p w14:paraId="2FD6C84D" w14:textId="3CFEDFF3" w:rsidR="007246AE"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From the start, the </w:t>
      </w:r>
      <w:r w:rsidR="002D14DD" w:rsidRPr="00D9152B">
        <w:rPr>
          <w:rFonts w:ascii="Calibri" w:hAnsi="Calibri" w:cs="Calibri"/>
          <w:sz w:val="22"/>
          <w:szCs w:val="22"/>
        </w:rPr>
        <w:t>Preparatory Mission</w:t>
      </w:r>
      <w:r w:rsidRPr="00D9152B">
        <w:rPr>
          <w:rFonts w:ascii="Calibri" w:hAnsi="Calibri" w:cs="Calibri"/>
          <w:sz w:val="22"/>
          <w:szCs w:val="22"/>
        </w:rPr>
        <w:t xml:space="preserve"> report’s economic analysis encountered significant difficulties. The Bank struggled to find an economist</w:t>
      </w:r>
      <w:r w:rsidR="002D14DD" w:rsidRPr="00D9152B">
        <w:rPr>
          <w:rFonts w:ascii="Calibri" w:hAnsi="Calibri" w:cs="Calibri"/>
          <w:sz w:val="22"/>
          <w:szCs w:val="22"/>
        </w:rPr>
        <w:t xml:space="preserve">, due to the lack of economists with expertise in applying human capital concepts to the health context, </w:t>
      </w:r>
      <w:r w:rsidRPr="00D9152B">
        <w:rPr>
          <w:rFonts w:ascii="Calibri" w:hAnsi="Calibri" w:cs="Calibri"/>
          <w:sz w:val="22"/>
          <w:szCs w:val="22"/>
        </w:rPr>
        <w:t>and passed recruiting to the FAO.</w:t>
      </w:r>
      <w:r w:rsidRPr="00D9152B">
        <w:rPr>
          <w:rStyle w:val="FootnoteReference"/>
          <w:rFonts w:ascii="Calibri" w:hAnsi="Calibri" w:cs="Calibri"/>
          <w:sz w:val="22"/>
          <w:szCs w:val="22"/>
        </w:rPr>
        <w:footnoteReference w:id="250"/>
      </w:r>
      <w:r w:rsidR="007246AE">
        <w:rPr>
          <w:rFonts w:ascii="Calibri" w:hAnsi="Calibri" w:cs="Calibri"/>
          <w:sz w:val="22"/>
          <w:szCs w:val="22"/>
        </w:rPr>
        <w:t xml:space="preserve"> This largely reflected the fact that the 1970s were, in Mills’ words, a ‘pioneering era’ of health ec</w:t>
      </w:r>
      <w:r w:rsidR="007246AE" w:rsidRPr="0040520E">
        <w:rPr>
          <w:rFonts w:ascii="Calibri" w:hAnsi="Calibri" w:cs="Calibri"/>
          <w:sz w:val="22"/>
          <w:szCs w:val="22"/>
        </w:rPr>
        <w:t>onomics.</w:t>
      </w:r>
      <w:r w:rsidR="0040520E" w:rsidRPr="0040520E">
        <w:rPr>
          <w:rStyle w:val="FootnoteReference"/>
          <w:rFonts w:ascii="Calibri" w:hAnsi="Calibri" w:cs="Calibri"/>
        </w:rPr>
        <w:footnoteReference w:id="251"/>
      </w:r>
      <w:r w:rsidR="007246AE" w:rsidRPr="0040520E">
        <w:rPr>
          <w:rFonts w:ascii="Calibri" w:hAnsi="Calibri" w:cs="Calibri"/>
          <w:sz w:val="22"/>
          <w:szCs w:val="22"/>
        </w:rPr>
        <w:t xml:space="preserve"> Cost-benefit analyses had </w:t>
      </w:r>
      <w:r w:rsidR="007246AE" w:rsidRPr="00871E27">
        <w:rPr>
          <w:rFonts w:ascii="Calibri" w:hAnsi="Calibri" w:cs="Calibri"/>
          <w:sz w:val="22"/>
          <w:szCs w:val="22"/>
        </w:rPr>
        <w:t xml:space="preserve">been first applied </w:t>
      </w:r>
      <w:r w:rsidR="0040520E" w:rsidRPr="0040436C">
        <w:rPr>
          <w:rFonts w:ascii="Calibri" w:hAnsi="Calibri" w:cs="Calibri"/>
          <w:sz w:val="22"/>
          <w:szCs w:val="22"/>
        </w:rPr>
        <w:t>to public secto</w:t>
      </w:r>
      <w:r w:rsidR="0040520E" w:rsidRPr="008B579F">
        <w:rPr>
          <w:rFonts w:ascii="Calibri" w:hAnsi="Calibri" w:cs="Calibri"/>
          <w:sz w:val="22"/>
          <w:szCs w:val="22"/>
        </w:rPr>
        <w:t>r</w:t>
      </w:r>
      <w:r w:rsidR="0040520E" w:rsidRPr="00097746">
        <w:rPr>
          <w:rFonts w:ascii="Calibri" w:hAnsi="Calibri" w:cs="Calibri"/>
          <w:sz w:val="22"/>
          <w:szCs w:val="22"/>
        </w:rPr>
        <w:t xml:space="preserve"> investment decisions in the 1950s</w:t>
      </w:r>
      <w:r w:rsidR="0040520E" w:rsidRPr="0040520E">
        <w:rPr>
          <w:rFonts w:ascii="Calibri" w:hAnsi="Calibri" w:cs="Calibri"/>
          <w:sz w:val="22"/>
          <w:szCs w:val="22"/>
        </w:rPr>
        <w:t>-1960s, and by the early 1970s, studies seeking to justify public investments in the health sector were increasingly frequent, although they were typically ‘extremely crude and showed only a passing acquaintance with empirical evidence’. A few economists were appointed to Ministries of Health in the early 1970s, but the specialty would not expand or delve into cost-effectiveness analyses until the late 1970s.</w:t>
      </w:r>
      <w:r w:rsidR="0040520E" w:rsidRPr="00CF189D">
        <w:rPr>
          <w:rStyle w:val="FootnoteReference"/>
          <w:rFonts w:ascii="Calibri" w:hAnsi="Calibri" w:cs="Calibri"/>
        </w:rPr>
        <w:footnoteReference w:id="252"/>
      </w:r>
    </w:p>
    <w:p w14:paraId="0BB1B31A" w14:textId="4C353248"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 </w:t>
      </w:r>
      <w:r w:rsidR="002D14DD" w:rsidRPr="00D9152B">
        <w:rPr>
          <w:rFonts w:ascii="Calibri" w:hAnsi="Calibri" w:cs="Calibri"/>
          <w:sz w:val="22"/>
          <w:szCs w:val="22"/>
        </w:rPr>
        <w:t>I</w:t>
      </w:r>
      <w:r w:rsidRPr="00D9152B">
        <w:rPr>
          <w:rFonts w:ascii="Calibri" w:hAnsi="Calibri" w:cs="Calibri"/>
          <w:sz w:val="22"/>
          <w:szCs w:val="22"/>
        </w:rPr>
        <w:t xml:space="preserve">ntegrally-involved Bank staff </w:t>
      </w:r>
      <w:r w:rsidR="002D14DD" w:rsidRPr="00D9152B">
        <w:rPr>
          <w:rFonts w:ascii="Calibri" w:hAnsi="Calibri" w:cs="Calibri"/>
          <w:sz w:val="22"/>
          <w:szCs w:val="22"/>
        </w:rPr>
        <w:t xml:space="preserve">also </w:t>
      </w:r>
      <w:r w:rsidRPr="00D9152B">
        <w:rPr>
          <w:rFonts w:ascii="Calibri" w:hAnsi="Calibri" w:cs="Calibri"/>
          <w:sz w:val="22"/>
          <w:szCs w:val="22"/>
        </w:rPr>
        <w:t xml:space="preserve">questioned the ‘package presentation of economic justification of the epidemiological campaign’. In a Bank staffer’s words, ‘at first sight we tend to opt for separate justification if it should prove feasible…rather than development projects seen as supporting charges of the epidemiological campaign’. Without in-depth economic studies and detailed cost estimates of different development </w:t>
      </w:r>
      <w:r w:rsidRPr="00D9152B">
        <w:rPr>
          <w:rFonts w:ascii="Calibri" w:hAnsi="Calibri" w:cs="Calibri"/>
          <w:sz w:val="22"/>
          <w:szCs w:val="22"/>
        </w:rPr>
        <w:lastRenderedPageBreak/>
        <w:t>potential proposals, some Bank staff worried that ‘any return calculation may become hypothetical…based on extrapolations’.</w:t>
      </w:r>
      <w:r w:rsidRPr="00D9152B">
        <w:rPr>
          <w:rStyle w:val="FootnoteReference"/>
          <w:rFonts w:ascii="Calibri" w:hAnsi="Calibri" w:cs="Calibri"/>
          <w:sz w:val="22"/>
          <w:szCs w:val="22"/>
        </w:rPr>
        <w:footnoteReference w:id="253"/>
      </w:r>
      <w:r w:rsidRPr="00D9152B">
        <w:rPr>
          <w:rFonts w:ascii="Calibri" w:hAnsi="Calibri" w:cs="Calibri"/>
          <w:sz w:val="22"/>
          <w:szCs w:val="22"/>
        </w:rPr>
        <w:t xml:space="preserve"> </w:t>
      </w:r>
    </w:p>
    <w:p w14:paraId="3B30B520" w14:textId="441E8970"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Ultimately, these extrapolations focused on the importance of migration away from river valleys. The mission</w:t>
      </w:r>
      <w:r w:rsidR="006D0AC8">
        <w:rPr>
          <w:rFonts w:ascii="Calibri" w:hAnsi="Calibri" w:cs="Calibri"/>
          <w:sz w:val="22"/>
          <w:szCs w:val="22"/>
        </w:rPr>
        <w:t>’s</w:t>
      </w:r>
      <w:r w:rsidRPr="00D9152B">
        <w:rPr>
          <w:rFonts w:ascii="Calibri" w:hAnsi="Calibri" w:cs="Calibri"/>
          <w:sz w:val="22"/>
          <w:szCs w:val="22"/>
        </w:rPr>
        <w:t xml:space="preserve"> report argued that migration was usually by the most productive members of society (15-20 year old males), that it was linked with dependency and decreased food security, and therefore that onchocerciasis (though not the only factor leading to depopulation of valleys) initiated a unique ‘spiral of descent’ in endemic riverine communities.</w:t>
      </w:r>
      <w:r w:rsidRPr="00D9152B">
        <w:rPr>
          <w:rStyle w:val="FootnoteReference"/>
          <w:rFonts w:ascii="Calibri" w:hAnsi="Calibri" w:cs="Calibri"/>
          <w:sz w:val="22"/>
          <w:szCs w:val="22"/>
        </w:rPr>
        <w:footnoteReference w:id="254"/>
      </w:r>
      <w:r w:rsidRPr="00D9152B">
        <w:rPr>
          <w:rFonts w:ascii="Calibri" w:hAnsi="Calibri" w:cs="Calibri"/>
          <w:sz w:val="22"/>
          <w:szCs w:val="22"/>
        </w:rPr>
        <w:t xml:space="preserve"> While the </w:t>
      </w:r>
      <w:r w:rsidR="002D14DD" w:rsidRPr="00D9152B">
        <w:rPr>
          <w:rFonts w:ascii="Calibri" w:hAnsi="Calibri" w:cs="Calibri"/>
          <w:sz w:val="22"/>
          <w:szCs w:val="22"/>
        </w:rPr>
        <w:t>Preparatory Mission</w:t>
      </w:r>
      <w:r w:rsidRPr="00D9152B">
        <w:rPr>
          <w:rFonts w:ascii="Calibri" w:hAnsi="Calibri" w:cs="Calibri"/>
          <w:sz w:val="22"/>
          <w:szCs w:val="22"/>
        </w:rPr>
        <w:t xml:space="preserve"> report estimated that onchocerciasis might be responsible for a $30 million loss to local economies each year, it did not develop a cost-benefit methodology for future programme use.</w:t>
      </w:r>
      <w:r w:rsidRPr="00D9152B">
        <w:rPr>
          <w:rStyle w:val="FootnoteReference"/>
          <w:rFonts w:ascii="Calibri" w:hAnsi="Calibri" w:cs="Calibri"/>
          <w:sz w:val="22"/>
          <w:szCs w:val="22"/>
        </w:rPr>
        <w:footnoteReference w:id="255"/>
      </w:r>
      <w:r w:rsidRPr="00D9152B">
        <w:rPr>
          <w:rFonts w:ascii="Calibri" w:hAnsi="Calibri" w:cs="Calibri"/>
          <w:sz w:val="22"/>
          <w:szCs w:val="22"/>
        </w:rPr>
        <w:t xml:space="preserve"> Its authors instead underscored that the mission did not have the capacity to collect data </w:t>
      </w:r>
      <w:r w:rsidR="00F54189" w:rsidRPr="00D9152B">
        <w:rPr>
          <w:rFonts w:ascii="Calibri" w:hAnsi="Calibri" w:cs="Calibri"/>
          <w:sz w:val="22"/>
          <w:szCs w:val="22"/>
        </w:rPr>
        <w:t>necessary to</w:t>
      </w:r>
      <w:r w:rsidRPr="00D9152B">
        <w:rPr>
          <w:rFonts w:ascii="Calibri" w:hAnsi="Calibri" w:cs="Calibri"/>
          <w:sz w:val="22"/>
          <w:szCs w:val="22"/>
        </w:rPr>
        <w:t xml:space="preserve"> guide priority development projects or to perform feasibility studies for these projects.</w:t>
      </w:r>
      <w:r w:rsidRPr="00D9152B">
        <w:rPr>
          <w:rStyle w:val="FootnoteReference"/>
          <w:rFonts w:ascii="Calibri" w:hAnsi="Calibri" w:cs="Calibri"/>
          <w:sz w:val="22"/>
          <w:szCs w:val="22"/>
        </w:rPr>
        <w:footnoteReference w:id="256"/>
      </w:r>
      <w:r w:rsidRPr="00D9152B">
        <w:rPr>
          <w:rFonts w:ascii="Calibri" w:hAnsi="Calibri" w:cs="Calibri"/>
          <w:sz w:val="22"/>
          <w:szCs w:val="22"/>
        </w:rPr>
        <w:t xml:space="preserve"> </w:t>
      </w:r>
    </w:p>
    <w:p w14:paraId="56A16DCE" w14:textId="2C5D6F81"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Donor delegations recognized the gaps in the report. </w:t>
      </w:r>
      <w:r w:rsidR="00D77294" w:rsidRPr="00D9152B">
        <w:rPr>
          <w:rFonts w:ascii="Calibri" w:hAnsi="Calibri" w:cs="Calibri"/>
          <w:sz w:val="22"/>
          <w:szCs w:val="22"/>
        </w:rPr>
        <w:t>However, they appear</w:t>
      </w:r>
      <w:r w:rsidRPr="00D9152B">
        <w:rPr>
          <w:rFonts w:ascii="Calibri" w:hAnsi="Calibri" w:cs="Calibri"/>
          <w:sz w:val="22"/>
          <w:szCs w:val="22"/>
        </w:rPr>
        <w:t xml:space="preserve"> to have been reassured by McNamara’s reasoning that, ‘while it is too early to put precise figures on the costs and benefits of controlling the disease, there are good reasons for expecting the proposed expenditures to yield a fully satisfactory return’.</w:t>
      </w:r>
      <w:r w:rsidRPr="00D9152B">
        <w:rPr>
          <w:rStyle w:val="FootnoteReference"/>
          <w:rFonts w:ascii="Calibri" w:hAnsi="Calibri" w:cs="Calibri"/>
          <w:sz w:val="22"/>
          <w:szCs w:val="22"/>
        </w:rPr>
        <w:footnoteReference w:id="257"/>
      </w:r>
      <w:r w:rsidRPr="00D9152B">
        <w:rPr>
          <w:rFonts w:ascii="Calibri" w:hAnsi="Calibri" w:cs="Calibri"/>
          <w:sz w:val="22"/>
          <w:szCs w:val="22"/>
        </w:rPr>
        <w:t xml:space="preserve"> The Bank’s </w:t>
      </w:r>
      <w:r w:rsidR="002D14DD" w:rsidRPr="00D9152B">
        <w:rPr>
          <w:rFonts w:ascii="Calibri" w:hAnsi="Calibri" w:cs="Calibri"/>
          <w:sz w:val="22"/>
          <w:szCs w:val="22"/>
        </w:rPr>
        <w:t>Information and Public Affairs (IPA)</w:t>
      </w:r>
      <w:r w:rsidRPr="00D9152B">
        <w:rPr>
          <w:rFonts w:ascii="Calibri" w:hAnsi="Calibri" w:cs="Calibri"/>
          <w:sz w:val="22"/>
          <w:szCs w:val="22"/>
        </w:rPr>
        <w:t xml:space="preserve"> department took McNamara’s words at faith; a September 1973 press release stated that, ‘the key to economic progress is the control of riverblindness’, with the caveat that economic development would require parallel investment in infrastructure (like roads and drinking water) and social services (like health facilities and schools).</w:t>
      </w:r>
      <w:r w:rsidRPr="00D9152B">
        <w:rPr>
          <w:rStyle w:val="FootnoteReference"/>
          <w:rFonts w:ascii="Calibri" w:hAnsi="Calibri" w:cs="Calibri"/>
          <w:sz w:val="22"/>
          <w:szCs w:val="22"/>
        </w:rPr>
        <w:footnoteReference w:id="258"/>
      </w:r>
    </w:p>
    <w:p w14:paraId="09FE683B" w14:textId="58DCF939" w:rsidR="00AC7848"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lastRenderedPageBreak/>
        <w:t>In short,</w:t>
      </w:r>
      <w:r w:rsidR="00DB513C" w:rsidRPr="00D9152B">
        <w:rPr>
          <w:rFonts w:ascii="Calibri" w:hAnsi="Calibri" w:cs="Calibri"/>
          <w:sz w:val="22"/>
          <w:szCs w:val="22"/>
        </w:rPr>
        <w:t xml:space="preserve"> additional</w:t>
      </w:r>
      <w:r w:rsidRPr="00D9152B">
        <w:rPr>
          <w:rFonts w:ascii="Calibri" w:hAnsi="Calibri" w:cs="Calibri"/>
          <w:sz w:val="22"/>
          <w:szCs w:val="22"/>
        </w:rPr>
        <w:t xml:space="preserve"> archived documents at the WHO, Bank, UN, and FAO corroborate Bump’s argument that, in the end, the Bank’s ‘soft</w:t>
      </w:r>
      <w:r w:rsidR="00731BBB" w:rsidRPr="00D9152B">
        <w:rPr>
          <w:rFonts w:ascii="Calibri" w:hAnsi="Calibri" w:cs="Calibri"/>
          <w:sz w:val="22"/>
          <w:szCs w:val="22"/>
        </w:rPr>
        <w:t>er</w:t>
      </w:r>
      <w:r w:rsidRPr="00D9152B">
        <w:rPr>
          <w:rFonts w:ascii="Calibri" w:hAnsi="Calibri" w:cs="Calibri"/>
          <w:sz w:val="22"/>
          <w:szCs w:val="22"/>
        </w:rPr>
        <w:t xml:space="preserve"> side…won out’.</w:t>
      </w:r>
      <w:r w:rsidRPr="00D9152B">
        <w:rPr>
          <w:rStyle w:val="FootnoteReference"/>
          <w:rFonts w:ascii="Calibri" w:hAnsi="Calibri" w:cs="Calibri"/>
          <w:sz w:val="22"/>
          <w:szCs w:val="22"/>
        </w:rPr>
        <w:footnoteReference w:id="259"/>
      </w:r>
      <w:r w:rsidRPr="00D9152B">
        <w:rPr>
          <w:rFonts w:ascii="Calibri" w:hAnsi="Calibri" w:cs="Calibri"/>
          <w:sz w:val="22"/>
          <w:szCs w:val="22"/>
        </w:rPr>
        <w:t xml:space="preserve"> </w:t>
      </w:r>
      <w:r w:rsidR="00806523">
        <w:rPr>
          <w:rFonts w:ascii="Calibri" w:hAnsi="Calibri" w:cs="Calibri"/>
          <w:sz w:val="22"/>
          <w:szCs w:val="22"/>
        </w:rPr>
        <w:t xml:space="preserve">Onchocerciasis </w:t>
      </w:r>
      <w:r w:rsidR="00C02B15">
        <w:rPr>
          <w:rFonts w:ascii="Calibri" w:hAnsi="Calibri" w:cs="Calibri"/>
          <w:sz w:val="22"/>
          <w:szCs w:val="22"/>
        </w:rPr>
        <w:t xml:space="preserve">control fit well with McNamara’s embrace of Malthusian-aligned population control, poverty lending, and the </w:t>
      </w:r>
      <w:r w:rsidR="00980B27">
        <w:rPr>
          <w:rFonts w:ascii="Calibri" w:hAnsi="Calibri" w:cs="Calibri"/>
          <w:sz w:val="22"/>
          <w:szCs w:val="22"/>
        </w:rPr>
        <w:t xml:space="preserve">evolving </w:t>
      </w:r>
      <w:r w:rsidR="00C02B15">
        <w:rPr>
          <w:rFonts w:ascii="Calibri" w:hAnsi="Calibri" w:cs="Calibri"/>
          <w:sz w:val="22"/>
          <w:szCs w:val="22"/>
        </w:rPr>
        <w:t>basic needs approach</w:t>
      </w:r>
      <w:r w:rsidR="00980B27">
        <w:rPr>
          <w:rFonts w:ascii="Calibri" w:hAnsi="Calibri" w:cs="Calibri"/>
          <w:sz w:val="22"/>
          <w:szCs w:val="22"/>
        </w:rPr>
        <w:t xml:space="preserve"> in the mid-1970s</w:t>
      </w:r>
      <w:r w:rsidR="00C02B15">
        <w:rPr>
          <w:rFonts w:ascii="Calibri" w:hAnsi="Calibri" w:cs="Calibri"/>
          <w:sz w:val="22"/>
          <w:szCs w:val="22"/>
        </w:rPr>
        <w:t>.</w:t>
      </w:r>
      <w:r w:rsidR="006B0EC6" w:rsidRPr="00CF189D">
        <w:rPr>
          <w:rStyle w:val="FootnoteReference"/>
          <w:rFonts w:ascii="Calibri" w:hAnsi="Calibri" w:cs="Calibri"/>
        </w:rPr>
        <w:footnoteReference w:id="260"/>
      </w:r>
      <w:r w:rsidR="00C02B15">
        <w:rPr>
          <w:rFonts w:ascii="Calibri" w:hAnsi="Calibri" w:cs="Calibri"/>
          <w:sz w:val="22"/>
          <w:szCs w:val="22"/>
        </w:rPr>
        <w:t xml:space="preserve"> Unlike diseases like malaria and trypanosomiasis which were </w:t>
      </w:r>
      <w:r w:rsidR="00C02B15" w:rsidRPr="00A32897">
        <w:rPr>
          <w:rFonts w:ascii="Calibri" w:hAnsi="Calibri" w:cs="Calibri"/>
          <w:sz w:val="22"/>
          <w:szCs w:val="22"/>
        </w:rPr>
        <w:t>deadly (thereby reducing population sizes), onchocerciasis did not kill; it instead rendered people less productive and drained limited resources. If onchocerciasis could be controlled, therefore, it might actually increase resources in deprived areas of Africa precisely for the populations that needed them most – without directly increasing the sizes of these populations</w:t>
      </w:r>
      <w:r w:rsidR="00C02B15">
        <w:rPr>
          <w:rFonts w:ascii="Calibri" w:hAnsi="Calibri" w:cs="Calibri"/>
          <w:sz w:val="22"/>
          <w:szCs w:val="22"/>
        </w:rPr>
        <w:t xml:space="preserve">. </w:t>
      </w:r>
      <w:r w:rsidRPr="00D9152B">
        <w:rPr>
          <w:rFonts w:ascii="Calibri" w:hAnsi="Calibri" w:cs="Calibri"/>
          <w:sz w:val="22"/>
          <w:szCs w:val="22"/>
        </w:rPr>
        <w:t>By agreeing to package the OCP into a single objective, sponsoring agencies were essentially buying time to develop more challenging economic models to study onchocerciasis. In doing so, they were able to make future promises to meet the demands of donors like Canada, the United States, and France, who emphasi</w:t>
      </w:r>
      <w:r w:rsidR="00555B5A">
        <w:rPr>
          <w:rFonts w:ascii="Calibri" w:hAnsi="Calibri" w:cs="Calibri"/>
          <w:sz w:val="22"/>
          <w:szCs w:val="22"/>
        </w:rPr>
        <w:t>s</w:t>
      </w:r>
      <w:r w:rsidRPr="00D9152B">
        <w:rPr>
          <w:rFonts w:ascii="Calibri" w:hAnsi="Calibri" w:cs="Calibri"/>
          <w:sz w:val="22"/>
          <w:szCs w:val="22"/>
        </w:rPr>
        <w:t>ed the critical importance that they placed on economic development.</w:t>
      </w:r>
      <w:r w:rsidRPr="00D9152B">
        <w:rPr>
          <w:rStyle w:val="FootnoteReference"/>
          <w:rFonts w:ascii="Calibri" w:hAnsi="Calibri" w:cs="Calibri"/>
          <w:sz w:val="22"/>
          <w:szCs w:val="22"/>
        </w:rPr>
        <w:footnoteReference w:id="261"/>
      </w:r>
      <w:r w:rsidRPr="00D9152B">
        <w:rPr>
          <w:rFonts w:ascii="Calibri" w:hAnsi="Calibri" w:cs="Calibri"/>
          <w:sz w:val="22"/>
          <w:szCs w:val="22"/>
        </w:rPr>
        <w:t xml:space="preserve"> This promise would lead to </w:t>
      </w:r>
      <w:r w:rsidR="000B094F">
        <w:rPr>
          <w:rFonts w:ascii="Calibri" w:hAnsi="Calibri" w:cs="Calibri"/>
          <w:sz w:val="22"/>
          <w:szCs w:val="22"/>
        </w:rPr>
        <w:t xml:space="preserve">a </w:t>
      </w:r>
      <w:r w:rsidRPr="00D9152B">
        <w:rPr>
          <w:rFonts w:ascii="Calibri" w:hAnsi="Calibri" w:cs="Calibri"/>
          <w:sz w:val="22"/>
          <w:szCs w:val="22"/>
        </w:rPr>
        <w:t xml:space="preserve">near-continuous </w:t>
      </w:r>
      <w:r w:rsidR="006B2B01" w:rsidRPr="00D9152B">
        <w:rPr>
          <w:rFonts w:ascii="Calibri" w:hAnsi="Calibri" w:cs="Calibri"/>
          <w:sz w:val="22"/>
          <w:szCs w:val="22"/>
        </w:rPr>
        <w:t xml:space="preserve">internal programme </w:t>
      </w:r>
      <w:r w:rsidRPr="00D9152B">
        <w:rPr>
          <w:rFonts w:ascii="Calibri" w:hAnsi="Calibri" w:cs="Calibri"/>
          <w:sz w:val="22"/>
          <w:szCs w:val="22"/>
        </w:rPr>
        <w:t xml:space="preserve">outcry among major donors in the 1980s, who felt that the OCP was neglecting its </w:t>
      </w:r>
      <w:r w:rsidR="00DB513C" w:rsidRPr="00D9152B">
        <w:rPr>
          <w:rFonts w:ascii="Calibri" w:hAnsi="Calibri" w:cs="Calibri"/>
          <w:sz w:val="22"/>
          <w:szCs w:val="22"/>
        </w:rPr>
        <w:t>major</w:t>
      </w:r>
      <w:r w:rsidRPr="00D9152B">
        <w:rPr>
          <w:rFonts w:ascii="Calibri" w:hAnsi="Calibri" w:cs="Calibri"/>
          <w:sz w:val="22"/>
          <w:szCs w:val="22"/>
        </w:rPr>
        <w:t xml:space="preserve"> justification: regional socio-economic development and increased food production. </w:t>
      </w:r>
    </w:p>
    <w:p w14:paraId="2251E4DB" w14:textId="6584CE66" w:rsidR="00781CB1" w:rsidRPr="00D9152B" w:rsidRDefault="0098315E" w:rsidP="002F22C3">
      <w:pPr>
        <w:pStyle w:val="Heading2"/>
        <w:spacing w:before="100" w:beforeAutospacing="1" w:after="100" w:afterAutospacing="1" w:line="360" w:lineRule="auto"/>
        <w:rPr>
          <w:rFonts w:ascii="Calibri" w:hAnsi="Calibri" w:cs="Calibri"/>
          <w:b/>
          <w:sz w:val="26"/>
          <w:szCs w:val="26"/>
        </w:rPr>
      </w:pPr>
      <w:bookmarkStart w:id="59" w:name="_Toc41505633"/>
      <w:r w:rsidRPr="00D9152B">
        <w:rPr>
          <w:rFonts w:ascii="Calibri" w:hAnsi="Calibri" w:cs="Calibri"/>
          <w:b/>
          <w:sz w:val="26"/>
          <w:szCs w:val="26"/>
        </w:rPr>
        <w:t>4.3</w:t>
      </w:r>
      <w:r w:rsidR="002F22C3" w:rsidRPr="00D9152B">
        <w:rPr>
          <w:rFonts w:ascii="Calibri" w:hAnsi="Calibri" w:cs="Calibri"/>
          <w:b/>
          <w:sz w:val="26"/>
          <w:szCs w:val="26"/>
        </w:rPr>
        <w:t xml:space="preserve">. </w:t>
      </w:r>
      <w:r w:rsidR="00781CB1" w:rsidRPr="00D9152B">
        <w:rPr>
          <w:rFonts w:ascii="Calibri" w:hAnsi="Calibri" w:cs="Calibri"/>
          <w:b/>
          <w:sz w:val="26"/>
          <w:szCs w:val="26"/>
        </w:rPr>
        <w:t>Evolving programme objectives</w:t>
      </w:r>
      <w:bookmarkEnd w:id="59"/>
    </w:p>
    <w:p w14:paraId="4F281CC9" w14:textId="01CFBFC5"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In such a way, OCP leaders struck a delicate balance between keeping the general objective and its outcome measures focused on public health, and capturing donors’ development funds. This general objective used at the launch of the OCP</w:t>
      </w:r>
      <w:r w:rsidR="00BB567E" w:rsidRPr="00D9152B">
        <w:rPr>
          <w:rFonts w:ascii="Calibri" w:hAnsi="Calibri" w:cs="Calibri"/>
          <w:sz w:val="22"/>
          <w:szCs w:val="22"/>
        </w:rPr>
        <w:t xml:space="preserve"> – to </w:t>
      </w:r>
      <w:r w:rsidR="00BB567E" w:rsidRPr="00D9152B">
        <w:rPr>
          <w:rFonts w:ascii="Calibri" w:hAnsi="Calibri" w:cs="Calibri"/>
          <w:i/>
          <w:iCs/>
          <w:sz w:val="22"/>
          <w:szCs w:val="22"/>
        </w:rPr>
        <w:t>eliminate the disease</w:t>
      </w:r>
      <w:r w:rsidR="00BB567E" w:rsidRPr="00D9152B">
        <w:rPr>
          <w:rFonts w:ascii="Calibri" w:hAnsi="Calibri" w:cs="Calibri"/>
          <w:sz w:val="22"/>
          <w:szCs w:val="22"/>
        </w:rPr>
        <w:t xml:space="preserve"> </w:t>
      </w:r>
      <w:r w:rsidR="00BB567E" w:rsidRPr="00D9152B">
        <w:rPr>
          <w:rFonts w:ascii="Calibri" w:hAnsi="Calibri" w:cs="Calibri"/>
          <w:i/>
          <w:iCs/>
          <w:sz w:val="22"/>
          <w:szCs w:val="22"/>
        </w:rPr>
        <w:t>as an obstacle to socio-economic development in the region concerned</w:t>
      </w:r>
      <w:r w:rsidR="00BB567E" w:rsidRPr="00D9152B">
        <w:rPr>
          <w:rFonts w:ascii="Calibri" w:hAnsi="Calibri" w:cs="Calibri"/>
          <w:sz w:val="22"/>
          <w:szCs w:val="22"/>
        </w:rPr>
        <w:t xml:space="preserve"> –</w:t>
      </w:r>
      <w:r w:rsidRPr="00D9152B">
        <w:rPr>
          <w:rFonts w:ascii="Calibri" w:hAnsi="Calibri" w:cs="Calibri"/>
          <w:sz w:val="22"/>
          <w:szCs w:val="22"/>
        </w:rPr>
        <w:t xml:space="preserve"> was retained over its forty-year tenure. However, the OCP’s intermediate and long-term objectives were amended. Changes were made in two major areas: the relative </w:t>
      </w:r>
      <w:r w:rsidRPr="00D9152B">
        <w:rPr>
          <w:rFonts w:ascii="Calibri" w:hAnsi="Calibri" w:cs="Calibri"/>
          <w:sz w:val="22"/>
          <w:szCs w:val="22"/>
        </w:rPr>
        <w:lastRenderedPageBreak/>
        <w:t xml:space="preserve">importance attached to socio-economic development and the position of devolution and maintenance activities. </w:t>
      </w:r>
      <w:r w:rsidR="00781CB1" w:rsidRPr="00D9152B">
        <w:rPr>
          <w:rFonts w:ascii="Calibri" w:hAnsi="Calibri" w:cs="Calibri"/>
          <w:sz w:val="22"/>
          <w:szCs w:val="22"/>
        </w:rPr>
        <w:t>Appendix V</w:t>
      </w:r>
      <w:r w:rsidRPr="00D9152B">
        <w:rPr>
          <w:rFonts w:ascii="Calibri" w:hAnsi="Calibri" w:cs="Calibri"/>
          <w:sz w:val="22"/>
          <w:szCs w:val="22"/>
        </w:rPr>
        <w:t xml:space="preserve"> summarises major discussions about and formal changes to objectives over time.</w:t>
      </w:r>
      <w:r w:rsidR="00856842" w:rsidRPr="00D9152B">
        <w:rPr>
          <w:rStyle w:val="FootnoteReference"/>
          <w:rFonts w:ascii="Calibri" w:hAnsi="Calibri" w:cs="Calibri"/>
        </w:rPr>
        <w:footnoteReference w:id="262"/>
      </w:r>
    </w:p>
    <w:p w14:paraId="50E52109" w14:textId="6A8061C2" w:rsidR="00AC7848" w:rsidRPr="00D9152B" w:rsidRDefault="00AC7848" w:rsidP="005C7F9F">
      <w:pPr>
        <w:pStyle w:val="Heading3"/>
        <w:spacing w:before="100" w:beforeAutospacing="1" w:after="100" w:afterAutospacing="1" w:line="360" w:lineRule="auto"/>
        <w:rPr>
          <w:rFonts w:ascii="Calibri" w:hAnsi="Calibri" w:cs="Calibri"/>
          <w:b/>
          <w:i/>
          <w:color w:val="000000" w:themeColor="text1"/>
          <w:sz w:val="22"/>
          <w:szCs w:val="22"/>
        </w:rPr>
      </w:pPr>
      <w:r w:rsidRPr="00D9152B">
        <w:rPr>
          <w:rFonts w:ascii="Calibri" w:hAnsi="Calibri" w:cs="Calibri"/>
          <w:b/>
          <w:i/>
          <w:color w:val="000000" w:themeColor="text1"/>
          <w:sz w:val="22"/>
          <w:szCs w:val="22"/>
        </w:rPr>
        <w:t xml:space="preserve"> </w:t>
      </w:r>
      <w:bookmarkStart w:id="60" w:name="_Toc41505634"/>
      <w:r w:rsidR="0098315E" w:rsidRPr="00D9152B">
        <w:rPr>
          <w:rFonts w:ascii="Calibri" w:hAnsi="Calibri" w:cs="Calibri"/>
          <w:b/>
          <w:i/>
          <w:color w:val="000000" w:themeColor="text1"/>
          <w:sz w:val="22"/>
          <w:szCs w:val="22"/>
        </w:rPr>
        <w:t>4.3.A</w:t>
      </w:r>
      <w:r w:rsidR="00DF52DF" w:rsidRPr="00D9152B">
        <w:rPr>
          <w:rFonts w:ascii="Calibri" w:hAnsi="Calibri" w:cs="Calibri"/>
          <w:b/>
          <w:i/>
          <w:color w:val="000000" w:themeColor="text1"/>
          <w:sz w:val="22"/>
          <w:szCs w:val="22"/>
        </w:rPr>
        <w:t>.</w:t>
      </w:r>
      <w:r w:rsidR="008E2721" w:rsidRPr="00D9152B">
        <w:rPr>
          <w:rFonts w:ascii="Calibri" w:hAnsi="Calibri" w:cs="Calibri"/>
          <w:b/>
          <w:i/>
          <w:color w:val="000000" w:themeColor="text1"/>
          <w:sz w:val="22"/>
          <w:szCs w:val="22"/>
        </w:rPr>
        <w:t xml:space="preserve"> </w:t>
      </w:r>
      <w:r w:rsidR="00725E33" w:rsidRPr="00D9152B">
        <w:rPr>
          <w:rFonts w:ascii="Calibri" w:hAnsi="Calibri" w:cs="Calibri"/>
          <w:b/>
          <w:i/>
          <w:color w:val="000000" w:themeColor="text1"/>
          <w:sz w:val="22"/>
          <w:szCs w:val="22"/>
        </w:rPr>
        <w:t>Objectives: operationalising s</w:t>
      </w:r>
      <w:r w:rsidR="008E2721" w:rsidRPr="00D9152B">
        <w:rPr>
          <w:rFonts w:ascii="Calibri" w:hAnsi="Calibri" w:cs="Calibri"/>
          <w:b/>
          <w:i/>
          <w:color w:val="000000" w:themeColor="text1"/>
          <w:sz w:val="22"/>
          <w:szCs w:val="22"/>
        </w:rPr>
        <w:t>ocio-economic development</w:t>
      </w:r>
      <w:bookmarkEnd w:id="60"/>
    </w:p>
    <w:p w14:paraId="1DDE7612" w14:textId="1D2F1221"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In spite of its justifications, the OCP’s role in socio-economic development was increasingly limited to advisory services over time. For instance, the 1975 </w:t>
      </w:r>
      <w:r w:rsidR="00BB567E" w:rsidRPr="00D9152B">
        <w:rPr>
          <w:rFonts w:ascii="Calibri" w:hAnsi="Calibri" w:cs="Calibri"/>
          <w:sz w:val="22"/>
          <w:szCs w:val="22"/>
        </w:rPr>
        <w:t xml:space="preserve">Onchocerciasis </w:t>
      </w:r>
      <w:r w:rsidRPr="00D9152B">
        <w:rPr>
          <w:rFonts w:ascii="Calibri" w:hAnsi="Calibri" w:cs="Calibri"/>
          <w:sz w:val="22"/>
          <w:szCs w:val="22"/>
        </w:rPr>
        <w:t xml:space="preserve">Fund Agreement included a long-term objective relevant to socio-economic development: to help prepare requests by participating countries for bilateral and multilateral </w:t>
      </w:r>
      <w:r w:rsidR="006D0AC8">
        <w:rPr>
          <w:rFonts w:ascii="Calibri" w:hAnsi="Calibri" w:cs="Calibri"/>
          <w:sz w:val="22"/>
          <w:szCs w:val="22"/>
        </w:rPr>
        <w:t>financing</w:t>
      </w:r>
      <w:r w:rsidRPr="00D9152B">
        <w:rPr>
          <w:rFonts w:ascii="Calibri" w:hAnsi="Calibri" w:cs="Calibri"/>
          <w:sz w:val="22"/>
          <w:szCs w:val="22"/>
        </w:rPr>
        <w:t xml:space="preserve"> for development of </w:t>
      </w:r>
      <w:r w:rsidR="00BB567E" w:rsidRPr="00D9152B">
        <w:rPr>
          <w:rFonts w:ascii="Calibri" w:hAnsi="Calibri" w:cs="Calibri"/>
          <w:sz w:val="22"/>
          <w:szCs w:val="22"/>
        </w:rPr>
        <w:t>the onchocerciasis-freed lands</w:t>
      </w:r>
      <w:r w:rsidRPr="00D9152B">
        <w:rPr>
          <w:rFonts w:ascii="Calibri" w:hAnsi="Calibri" w:cs="Calibri"/>
          <w:sz w:val="22"/>
          <w:szCs w:val="22"/>
        </w:rPr>
        <w:t>.</w:t>
      </w:r>
      <w:r w:rsidRPr="00D9152B">
        <w:rPr>
          <w:rStyle w:val="FootnoteReference"/>
          <w:rFonts w:ascii="Calibri" w:hAnsi="Calibri" w:cs="Calibri"/>
          <w:sz w:val="22"/>
          <w:szCs w:val="22"/>
        </w:rPr>
        <w:footnoteReference w:id="263"/>
      </w:r>
      <w:r w:rsidRPr="00D9152B">
        <w:rPr>
          <w:rFonts w:ascii="Calibri" w:hAnsi="Calibri" w:cs="Calibri"/>
          <w:sz w:val="22"/>
          <w:szCs w:val="22"/>
        </w:rPr>
        <w:t xml:space="preserve"> However, in the Fund Agreement of 1979, this long-term objective was dropped</w:t>
      </w:r>
      <w:r w:rsidR="00BB567E" w:rsidRPr="00D9152B">
        <w:rPr>
          <w:rFonts w:ascii="Calibri" w:hAnsi="Calibri" w:cs="Calibri"/>
          <w:sz w:val="22"/>
          <w:szCs w:val="22"/>
        </w:rPr>
        <w:t xml:space="preserve">. </w:t>
      </w:r>
      <w:r w:rsidRPr="00D9152B">
        <w:rPr>
          <w:rFonts w:ascii="Calibri" w:hAnsi="Calibri" w:cs="Calibri"/>
          <w:sz w:val="22"/>
          <w:szCs w:val="22"/>
        </w:rPr>
        <w:t xml:space="preserve">The 1979 Agreement instead provided a list of less precise activities that would support the general objective, such as </w:t>
      </w:r>
      <w:r w:rsidR="00BB567E" w:rsidRPr="00D9152B">
        <w:rPr>
          <w:rFonts w:ascii="Calibri" w:hAnsi="Calibri" w:cs="Calibri"/>
          <w:sz w:val="22"/>
          <w:szCs w:val="22"/>
        </w:rPr>
        <w:t xml:space="preserve">the </w:t>
      </w:r>
      <w:r w:rsidRPr="00D9152B">
        <w:rPr>
          <w:rFonts w:ascii="Calibri" w:hAnsi="Calibri" w:cs="Calibri"/>
          <w:sz w:val="22"/>
          <w:szCs w:val="22"/>
        </w:rPr>
        <w:t>‘study and encouragement of economic development projects in the area’.</w:t>
      </w:r>
      <w:r w:rsidRPr="00D9152B">
        <w:rPr>
          <w:rStyle w:val="FootnoteReference"/>
          <w:rFonts w:ascii="Calibri" w:hAnsi="Calibri" w:cs="Calibri"/>
          <w:sz w:val="22"/>
          <w:szCs w:val="22"/>
        </w:rPr>
        <w:footnoteReference w:id="264"/>
      </w:r>
      <w:r w:rsidRPr="00D9152B">
        <w:rPr>
          <w:rFonts w:ascii="Calibri" w:hAnsi="Calibri" w:cs="Calibri"/>
          <w:sz w:val="22"/>
          <w:szCs w:val="22"/>
        </w:rPr>
        <w:t xml:space="preserve"> </w:t>
      </w:r>
    </w:p>
    <w:p w14:paraId="7A6444C3" w14:textId="212C4431"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In 1984, the </w:t>
      </w:r>
      <w:r w:rsidR="006D0AC8">
        <w:rPr>
          <w:rFonts w:ascii="Calibri" w:hAnsi="Calibri" w:cs="Calibri"/>
          <w:sz w:val="22"/>
          <w:szCs w:val="22"/>
        </w:rPr>
        <w:t xml:space="preserve">OCP </w:t>
      </w:r>
      <w:r w:rsidRPr="00D9152B">
        <w:rPr>
          <w:rFonts w:ascii="Calibri" w:hAnsi="Calibri" w:cs="Calibri"/>
          <w:sz w:val="22"/>
          <w:szCs w:val="22"/>
        </w:rPr>
        <w:t xml:space="preserve">Expert Advisory Committee (EAC) discussed </w:t>
      </w:r>
      <w:r w:rsidR="00E61077" w:rsidRPr="00D9152B">
        <w:rPr>
          <w:rFonts w:ascii="Calibri" w:hAnsi="Calibri" w:cs="Calibri"/>
          <w:sz w:val="22"/>
          <w:szCs w:val="22"/>
        </w:rPr>
        <w:t>the fact that programme</w:t>
      </w:r>
      <w:r w:rsidRPr="00D9152B">
        <w:rPr>
          <w:rFonts w:ascii="Calibri" w:hAnsi="Calibri" w:cs="Calibri"/>
          <w:sz w:val="22"/>
          <w:szCs w:val="22"/>
        </w:rPr>
        <w:t xml:space="preserve"> ‘objectives…have been formulated by different groups of people involved either in the preparatory phase of the Programme or in the Programme itself’ and ‘were not, with a few exceptions, sufficiently explicit to allow for translation into more quantified sub-o</w:t>
      </w:r>
      <w:r w:rsidR="00BB567E" w:rsidRPr="00D9152B">
        <w:rPr>
          <w:rFonts w:ascii="Calibri" w:hAnsi="Calibri" w:cs="Calibri"/>
          <w:sz w:val="22"/>
          <w:szCs w:val="22"/>
        </w:rPr>
        <w:t xml:space="preserve">bjectives to guide operations’. </w:t>
      </w:r>
      <w:r w:rsidR="00E61077" w:rsidRPr="00D9152B">
        <w:rPr>
          <w:rFonts w:ascii="Calibri" w:hAnsi="Calibri" w:cs="Calibri"/>
          <w:sz w:val="22"/>
          <w:szCs w:val="22"/>
        </w:rPr>
        <w:t>It</w:t>
      </w:r>
      <w:r w:rsidRPr="00D9152B">
        <w:rPr>
          <w:rFonts w:ascii="Calibri" w:hAnsi="Calibri" w:cs="Calibri"/>
          <w:sz w:val="22"/>
          <w:szCs w:val="22"/>
        </w:rPr>
        <w:t xml:space="preserve"> recommended </w:t>
      </w:r>
      <w:r w:rsidR="00BB567E" w:rsidRPr="00D9152B">
        <w:rPr>
          <w:rFonts w:ascii="Calibri" w:hAnsi="Calibri" w:cs="Calibri"/>
          <w:sz w:val="22"/>
          <w:szCs w:val="22"/>
        </w:rPr>
        <w:t>that the OCP create</w:t>
      </w:r>
      <w:r w:rsidRPr="00D9152B">
        <w:rPr>
          <w:rFonts w:ascii="Calibri" w:hAnsi="Calibri" w:cs="Calibri"/>
          <w:sz w:val="22"/>
          <w:szCs w:val="22"/>
        </w:rPr>
        <w:t xml:space="preserve"> su</w:t>
      </w:r>
      <w:r w:rsidR="00E61077" w:rsidRPr="00D9152B">
        <w:rPr>
          <w:rFonts w:ascii="Calibri" w:hAnsi="Calibri" w:cs="Calibri"/>
          <w:sz w:val="22"/>
          <w:szCs w:val="22"/>
        </w:rPr>
        <w:t>pporting and sub-objectives to guide operations</w:t>
      </w:r>
      <w:r w:rsidRPr="00D9152B">
        <w:rPr>
          <w:rFonts w:ascii="Calibri" w:hAnsi="Calibri" w:cs="Calibri"/>
          <w:sz w:val="22"/>
          <w:szCs w:val="22"/>
        </w:rPr>
        <w:t>. These suggested objectives included no activit</w:t>
      </w:r>
      <w:r w:rsidR="00E61077" w:rsidRPr="00D9152B">
        <w:rPr>
          <w:rFonts w:ascii="Calibri" w:hAnsi="Calibri" w:cs="Calibri"/>
          <w:sz w:val="22"/>
          <w:szCs w:val="22"/>
        </w:rPr>
        <w:t>ies for socio-economic planning or budgeting</w:t>
      </w:r>
      <w:r w:rsidRPr="00D9152B">
        <w:rPr>
          <w:rFonts w:ascii="Calibri" w:hAnsi="Calibri" w:cs="Calibri"/>
          <w:sz w:val="22"/>
          <w:szCs w:val="22"/>
        </w:rPr>
        <w:t>.</w:t>
      </w:r>
      <w:r w:rsidRPr="00D9152B">
        <w:rPr>
          <w:rStyle w:val="FootnoteReference"/>
          <w:rFonts w:ascii="Calibri" w:hAnsi="Calibri" w:cs="Calibri"/>
          <w:sz w:val="22"/>
          <w:szCs w:val="22"/>
        </w:rPr>
        <w:footnoteReference w:id="265"/>
      </w:r>
    </w:p>
    <w:p w14:paraId="73AEDDD4" w14:textId="365FB2F3"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 1986 Fund Agreement similarly delineated the OCP’s role in socio-economic development activities as purely advisory. The only socio-economic related programme activity listed in this Agreement was to ‘collect, analyse and disseminate information regarding socioeconomic development in the Programme area in order to encourage such development’.</w:t>
      </w:r>
      <w:r w:rsidRPr="00D9152B">
        <w:rPr>
          <w:rStyle w:val="FootnoteReference"/>
          <w:rFonts w:ascii="Calibri" w:hAnsi="Calibri" w:cs="Calibri"/>
          <w:sz w:val="22"/>
          <w:szCs w:val="22"/>
        </w:rPr>
        <w:footnoteReference w:id="266"/>
      </w:r>
      <w:r w:rsidRPr="00D9152B">
        <w:rPr>
          <w:rFonts w:ascii="Calibri" w:hAnsi="Calibri" w:cs="Calibri"/>
          <w:sz w:val="22"/>
          <w:szCs w:val="22"/>
        </w:rPr>
        <w:t xml:space="preserve"> In the 1992 Fund Agreement, this language was retained, with an additional clause added: that the data collection, analysis, and dissemination ‘</w:t>
      </w:r>
      <w:r w:rsidRPr="00D9152B">
        <w:rPr>
          <w:rFonts w:ascii="Calibri" w:hAnsi="Calibri" w:cs="Calibri"/>
          <w:i/>
          <w:iCs/>
          <w:sz w:val="22"/>
          <w:szCs w:val="22"/>
        </w:rPr>
        <w:t xml:space="preserve">may be </w:t>
      </w:r>
      <w:r w:rsidRPr="00D9152B">
        <w:rPr>
          <w:rFonts w:ascii="Calibri" w:hAnsi="Calibri" w:cs="Calibri"/>
          <w:i/>
          <w:iCs/>
          <w:sz w:val="22"/>
          <w:szCs w:val="22"/>
        </w:rPr>
        <w:lastRenderedPageBreak/>
        <w:t>actively supported by the Committee of Sponsoring Agencies’</w:t>
      </w:r>
      <w:r w:rsidRPr="00D9152B">
        <w:rPr>
          <w:rFonts w:ascii="Calibri" w:hAnsi="Calibri" w:cs="Calibri"/>
          <w:sz w:val="22"/>
          <w:szCs w:val="22"/>
        </w:rPr>
        <w:t>.</w:t>
      </w:r>
      <w:r w:rsidRPr="00D9152B">
        <w:rPr>
          <w:rStyle w:val="FootnoteReference"/>
          <w:rFonts w:ascii="Calibri" w:hAnsi="Calibri" w:cs="Calibri"/>
          <w:sz w:val="22"/>
          <w:szCs w:val="22"/>
        </w:rPr>
        <w:footnoteReference w:id="267"/>
      </w:r>
      <w:r w:rsidRPr="00D9152B">
        <w:rPr>
          <w:rFonts w:ascii="Calibri" w:hAnsi="Calibri" w:cs="Calibri"/>
          <w:sz w:val="22"/>
          <w:szCs w:val="22"/>
        </w:rPr>
        <w:t xml:space="preserve"> This change reflects the Bank and </w:t>
      </w:r>
      <w:r w:rsidR="00856842" w:rsidRPr="00D9152B">
        <w:rPr>
          <w:rFonts w:ascii="Calibri" w:hAnsi="Calibri" w:cs="Calibri"/>
          <w:sz w:val="22"/>
          <w:szCs w:val="22"/>
        </w:rPr>
        <w:t>Committee of Sponsoring Agencies (CSA)’s</w:t>
      </w:r>
      <w:r w:rsidRPr="00D9152B">
        <w:rPr>
          <w:rFonts w:ascii="Calibri" w:hAnsi="Calibri" w:cs="Calibri"/>
          <w:sz w:val="22"/>
          <w:szCs w:val="22"/>
        </w:rPr>
        <w:t xml:space="preserve"> increasing role in budgeting and socio-eco</w:t>
      </w:r>
      <w:r w:rsidR="00E61077" w:rsidRPr="00D9152B">
        <w:rPr>
          <w:rFonts w:ascii="Calibri" w:hAnsi="Calibri" w:cs="Calibri"/>
          <w:sz w:val="22"/>
          <w:szCs w:val="22"/>
        </w:rPr>
        <w:t>nomic development.</w:t>
      </w:r>
      <w:r w:rsidRPr="00D9152B">
        <w:rPr>
          <w:rFonts w:ascii="Calibri" w:hAnsi="Calibri" w:cs="Calibri"/>
          <w:sz w:val="22"/>
          <w:szCs w:val="22"/>
        </w:rPr>
        <w:t xml:space="preserve"> </w:t>
      </w:r>
    </w:p>
    <w:p w14:paraId="6F8CD1C7" w14:textId="117F1F0D" w:rsidR="00AC7848" w:rsidRPr="00D9152B" w:rsidRDefault="0098315E" w:rsidP="005C7F9F">
      <w:pPr>
        <w:pStyle w:val="Heading3"/>
        <w:spacing w:before="100" w:beforeAutospacing="1" w:after="100" w:afterAutospacing="1" w:line="360" w:lineRule="auto"/>
        <w:rPr>
          <w:rFonts w:ascii="Calibri" w:eastAsia="Times New Roman" w:hAnsi="Calibri" w:cs="Calibri"/>
          <w:b/>
          <w:i/>
          <w:color w:val="000000" w:themeColor="text1"/>
          <w:sz w:val="22"/>
          <w:szCs w:val="22"/>
        </w:rPr>
      </w:pPr>
      <w:bookmarkStart w:id="61" w:name="_Toc41505635"/>
      <w:r w:rsidRPr="00D9152B">
        <w:rPr>
          <w:rFonts w:ascii="Calibri" w:eastAsia="Times New Roman" w:hAnsi="Calibri" w:cs="Calibri"/>
          <w:b/>
          <w:i/>
          <w:color w:val="000000" w:themeColor="text1"/>
          <w:sz w:val="22"/>
          <w:szCs w:val="22"/>
        </w:rPr>
        <w:t>4.3.B.</w:t>
      </w:r>
      <w:r w:rsidR="00E61077" w:rsidRPr="00D9152B">
        <w:rPr>
          <w:rFonts w:ascii="Calibri" w:eastAsia="Times New Roman" w:hAnsi="Calibri" w:cs="Calibri"/>
          <w:b/>
          <w:i/>
          <w:color w:val="000000" w:themeColor="text1"/>
          <w:sz w:val="22"/>
          <w:szCs w:val="22"/>
        </w:rPr>
        <w:t xml:space="preserve"> </w:t>
      </w:r>
      <w:r w:rsidR="00DF52DF" w:rsidRPr="00D9152B">
        <w:rPr>
          <w:rFonts w:ascii="Calibri" w:eastAsia="Times New Roman" w:hAnsi="Calibri" w:cs="Calibri"/>
          <w:b/>
          <w:i/>
          <w:color w:val="000000" w:themeColor="text1"/>
          <w:sz w:val="22"/>
          <w:szCs w:val="22"/>
        </w:rPr>
        <w:t>Objectives: o</w:t>
      </w:r>
      <w:r w:rsidR="00E61077" w:rsidRPr="00D9152B">
        <w:rPr>
          <w:rFonts w:ascii="Calibri" w:eastAsia="Times New Roman" w:hAnsi="Calibri" w:cs="Calibri"/>
          <w:b/>
          <w:i/>
          <w:color w:val="000000" w:themeColor="text1"/>
          <w:sz w:val="22"/>
          <w:szCs w:val="22"/>
        </w:rPr>
        <w:t>perationalising devolution</w:t>
      </w:r>
      <w:bookmarkEnd w:id="61"/>
    </w:p>
    <w:p w14:paraId="6F167E1F" w14:textId="6723EEC0"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Another significant area of controversy </w:t>
      </w:r>
      <w:r w:rsidR="00B64E38" w:rsidRPr="00D9152B">
        <w:rPr>
          <w:rFonts w:ascii="Calibri" w:hAnsi="Calibri" w:cs="Calibri"/>
          <w:sz w:val="22"/>
          <w:szCs w:val="22"/>
        </w:rPr>
        <w:t>reflected in programme objectives was th</w:t>
      </w:r>
      <w:r w:rsidRPr="00D9152B">
        <w:rPr>
          <w:rFonts w:ascii="Calibri" w:hAnsi="Calibri" w:cs="Calibri"/>
          <w:sz w:val="22"/>
          <w:szCs w:val="22"/>
        </w:rPr>
        <w:t xml:space="preserve">e extent to which the OCP should be responsible for training national staff to take over relevant control and surveillance tasks, and when such ‘devolution’ should occur. </w:t>
      </w:r>
    </w:p>
    <w:p w14:paraId="6480C84E" w14:textId="36403EAB"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 1975 Fund Agreement largely bypassed this area; it provided a general objective that focused squarely on halting transmission. The only reference to providing eventual support for devolution of activities was in the Agreement’s long-term objective about applied research and manpower training, which mentioned chemotherapy and programme maintenance.</w:t>
      </w:r>
      <w:r w:rsidRPr="00D9152B">
        <w:rPr>
          <w:rStyle w:val="FootnoteReference"/>
          <w:rFonts w:ascii="Calibri" w:hAnsi="Calibri" w:cs="Calibri"/>
          <w:sz w:val="22"/>
          <w:szCs w:val="22"/>
        </w:rPr>
        <w:footnoteReference w:id="268"/>
      </w:r>
      <w:r w:rsidRPr="00D9152B">
        <w:rPr>
          <w:rFonts w:ascii="Calibri" w:hAnsi="Calibri" w:cs="Calibri"/>
          <w:sz w:val="22"/>
          <w:szCs w:val="22"/>
        </w:rPr>
        <w:t xml:space="preserve"> In 1977, the </w:t>
      </w:r>
      <w:r w:rsidR="00856842" w:rsidRPr="00D9152B">
        <w:rPr>
          <w:rFonts w:ascii="Calibri" w:hAnsi="Calibri" w:cs="Calibri"/>
          <w:sz w:val="22"/>
          <w:szCs w:val="22"/>
        </w:rPr>
        <w:t>Expert Advisory Committee (EAC)’s</w:t>
      </w:r>
      <w:r w:rsidR="00237804" w:rsidRPr="00D9152B">
        <w:rPr>
          <w:rFonts w:ascii="Calibri" w:hAnsi="Calibri" w:cs="Calibri"/>
          <w:sz w:val="22"/>
          <w:szCs w:val="22"/>
        </w:rPr>
        <w:t xml:space="preserve"> precursor, the </w:t>
      </w:r>
      <w:r w:rsidRPr="00D9152B">
        <w:rPr>
          <w:rFonts w:ascii="Calibri" w:hAnsi="Calibri" w:cs="Calibri"/>
          <w:sz w:val="22"/>
          <w:szCs w:val="22"/>
        </w:rPr>
        <w:t>Science and Technology Advisory Committee (STAC)</w:t>
      </w:r>
      <w:r w:rsidR="00237804" w:rsidRPr="00D9152B">
        <w:rPr>
          <w:rFonts w:ascii="Calibri" w:hAnsi="Calibri" w:cs="Calibri"/>
          <w:sz w:val="22"/>
          <w:szCs w:val="22"/>
        </w:rPr>
        <w:t>,</w:t>
      </w:r>
      <w:r w:rsidRPr="00D9152B">
        <w:rPr>
          <w:rFonts w:ascii="Calibri" w:hAnsi="Calibri" w:cs="Calibri"/>
          <w:sz w:val="22"/>
          <w:szCs w:val="22"/>
        </w:rPr>
        <w:t xml:space="preserve"> recommended that the OCP add a clause to the original general objective to reinforce the importance of </w:t>
      </w:r>
      <w:r w:rsidR="00856842" w:rsidRPr="00D9152B">
        <w:rPr>
          <w:rFonts w:ascii="Calibri" w:hAnsi="Calibri" w:cs="Calibri"/>
          <w:sz w:val="22"/>
          <w:szCs w:val="22"/>
        </w:rPr>
        <w:t xml:space="preserve">programme </w:t>
      </w:r>
      <w:r w:rsidRPr="00D9152B">
        <w:rPr>
          <w:rFonts w:ascii="Calibri" w:hAnsi="Calibri" w:cs="Calibri"/>
          <w:sz w:val="22"/>
          <w:szCs w:val="22"/>
        </w:rPr>
        <w:t>maintenance.</w:t>
      </w:r>
      <w:r w:rsidRPr="00D9152B">
        <w:rPr>
          <w:rStyle w:val="FootnoteReference"/>
          <w:rFonts w:ascii="Calibri" w:hAnsi="Calibri" w:cs="Calibri"/>
          <w:sz w:val="22"/>
          <w:szCs w:val="22"/>
        </w:rPr>
        <w:footnoteReference w:id="269"/>
      </w:r>
      <w:r w:rsidR="00237804" w:rsidRPr="00D9152B">
        <w:rPr>
          <w:rFonts w:ascii="Calibri" w:hAnsi="Calibri" w:cs="Calibri"/>
          <w:sz w:val="22"/>
          <w:szCs w:val="22"/>
        </w:rPr>
        <w:t xml:space="preserve"> </w:t>
      </w:r>
      <w:r w:rsidRPr="00D9152B">
        <w:rPr>
          <w:rFonts w:ascii="Calibri" w:hAnsi="Calibri" w:cs="Calibri"/>
          <w:sz w:val="22"/>
          <w:szCs w:val="22"/>
        </w:rPr>
        <w:t xml:space="preserve">Following a formal request from France to make devolution a general objective in its own right, the OCP formally adopted the </w:t>
      </w:r>
      <w:r w:rsidR="00856842" w:rsidRPr="00D9152B">
        <w:rPr>
          <w:rFonts w:ascii="Calibri" w:hAnsi="Calibri" w:cs="Calibri"/>
          <w:sz w:val="22"/>
          <w:szCs w:val="22"/>
        </w:rPr>
        <w:t>Science and Technology Advisory Committee’s</w:t>
      </w:r>
      <w:r w:rsidRPr="00D9152B">
        <w:rPr>
          <w:rFonts w:ascii="Calibri" w:hAnsi="Calibri" w:cs="Calibri"/>
          <w:sz w:val="22"/>
          <w:szCs w:val="22"/>
        </w:rPr>
        <w:t xml:space="preserve"> suggestion in the 1979 Fund Agreement. The 1979 Agreement also included two specific supporting activities: to arrange for training of national personnel for the progressive transfer of programme activities, and to ‘encourage the Governments [participating countries] to plan and encourage a health infrastructure as part of their national public health programmes’.</w:t>
      </w:r>
      <w:r w:rsidRPr="00D9152B">
        <w:rPr>
          <w:rStyle w:val="FootnoteReference"/>
          <w:rFonts w:ascii="Calibri" w:hAnsi="Calibri" w:cs="Calibri"/>
          <w:sz w:val="22"/>
          <w:szCs w:val="22"/>
        </w:rPr>
        <w:footnoteReference w:id="270"/>
      </w:r>
      <w:r w:rsidRPr="00D9152B">
        <w:rPr>
          <w:rFonts w:ascii="Calibri" w:hAnsi="Calibri" w:cs="Calibri"/>
          <w:sz w:val="22"/>
          <w:szCs w:val="22"/>
        </w:rPr>
        <w:t xml:space="preserve"> These activities indicate that the programme mandate might be expanded to include training on general health economics and support of health system infrastructure, beyond that related explicitly to onchocerciasis control maintenance. </w:t>
      </w:r>
    </w:p>
    <w:p w14:paraId="3B913626" w14:textId="0AE13E34"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During its 1984 discussion, the Expert Advisory Committee (EAC) recognized that the generalized objective had ‘served the Programme well’ in terms of flexibility, but </w:t>
      </w:r>
      <w:r w:rsidRPr="00D9152B">
        <w:rPr>
          <w:rFonts w:ascii="Calibri" w:hAnsi="Calibri" w:cs="Calibri"/>
          <w:sz w:val="22"/>
          <w:szCs w:val="22"/>
        </w:rPr>
        <w:lastRenderedPageBreak/>
        <w:t>recommended further changes moving forward to make objectives more specific and operational. It suggested that the OCP add supporting objectives and sub-objectives. All of these recommended supporting and sub-objectives focused on health aspects of the campaign: reducing disease transmission, safeguarding against reintroduction of transmission, and building-up national and inter-country health structures for maintenance operations</w:t>
      </w:r>
      <w:r w:rsidR="00B64E38" w:rsidRPr="00D9152B">
        <w:rPr>
          <w:rFonts w:ascii="Calibri" w:hAnsi="Calibri" w:cs="Calibri"/>
          <w:sz w:val="22"/>
          <w:szCs w:val="22"/>
        </w:rPr>
        <w:t xml:space="preserve"> (see Appendix V)</w:t>
      </w:r>
      <w:r w:rsidRPr="00D9152B">
        <w:rPr>
          <w:rFonts w:ascii="Calibri" w:hAnsi="Calibri" w:cs="Calibri"/>
          <w:sz w:val="22"/>
          <w:szCs w:val="22"/>
        </w:rPr>
        <w:t xml:space="preserve">. The </w:t>
      </w:r>
      <w:r w:rsidR="00856842" w:rsidRPr="00D9152B">
        <w:rPr>
          <w:rFonts w:ascii="Calibri" w:hAnsi="Calibri" w:cs="Calibri"/>
          <w:sz w:val="22"/>
          <w:szCs w:val="22"/>
        </w:rPr>
        <w:t>Expert Advisory Committee</w:t>
      </w:r>
      <w:r w:rsidRPr="00D9152B">
        <w:rPr>
          <w:rFonts w:ascii="Calibri" w:hAnsi="Calibri" w:cs="Calibri"/>
          <w:sz w:val="22"/>
          <w:szCs w:val="22"/>
        </w:rPr>
        <w:t xml:space="preserve"> also emphasized that objectives should be present for </w:t>
      </w:r>
      <w:r w:rsidRPr="00D9152B">
        <w:rPr>
          <w:rFonts w:ascii="Calibri" w:hAnsi="Calibri" w:cs="Calibri"/>
          <w:i/>
          <w:iCs/>
          <w:sz w:val="22"/>
          <w:szCs w:val="22"/>
        </w:rPr>
        <w:t xml:space="preserve">post-OCP </w:t>
      </w:r>
      <w:r w:rsidRPr="00D9152B">
        <w:rPr>
          <w:rFonts w:ascii="Calibri" w:hAnsi="Calibri" w:cs="Calibri"/>
          <w:sz w:val="22"/>
          <w:szCs w:val="22"/>
        </w:rPr>
        <w:t xml:space="preserve">activities. For example, it suggested that three supporting objectives should be to build up national structures during the OCP, </w:t>
      </w:r>
      <w:r w:rsidR="00237804" w:rsidRPr="00D9152B">
        <w:rPr>
          <w:rFonts w:ascii="Calibri" w:hAnsi="Calibri" w:cs="Calibri"/>
          <w:sz w:val="22"/>
          <w:szCs w:val="22"/>
        </w:rPr>
        <w:t>create an</w:t>
      </w:r>
      <w:r w:rsidRPr="00D9152B">
        <w:rPr>
          <w:rFonts w:ascii="Calibri" w:hAnsi="Calibri" w:cs="Calibri"/>
          <w:sz w:val="22"/>
          <w:szCs w:val="22"/>
        </w:rPr>
        <w:t xml:space="preserve"> inter-country facility for surveillance during the OCP, and continue surveillance and suppression of possible onchocerciasis re</w:t>
      </w:r>
      <w:r w:rsidR="000E2798" w:rsidRPr="00D9152B">
        <w:rPr>
          <w:rFonts w:ascii="Calibri" w:hAnsi="Calibri" w:cs="Calibri"/>
          <w:sz w:val="22"/>
          <w:szCs w:val="22"/>
        </w:rPr>
        <w:t>-</w:t>
      </w:r>
      <w:r w:rsidRPr="00D9152B">
        <w:rPr>
          <w:rFonts w:ascii="Calibri" w:hAnsi="Calibri" w:cs="Calibri"/>
          <w:sz w:val="22"/>
          <w:szCs w:val="22"/>
        </w:rPr>
        <w:t>infestation after the OCP ended. To correspond with these three supporting objectives, it suggested operational sub-objectives</w:t>
      </w:r>
      <w:r w:rsidR="00606DD1" w:rsidRPr="00D9152B">
        <w:rPr>
          <w:rFonts w:ascii="Calibri" w:hAnsi="Calibri" w:cs="Calibri"/>
          <w:sz w:val="22"/>
          <w:szCs w:val="22"/>
        </w:rPr>
        <w:t>:</w:t>
      </w:r>
      <w:r w:rsidRPr="00D9152B">
        <w:rPr>
          <w:rFonts w:ascii="Calibri" w:hAnsi="Calibri" w:cs="Calibri"/>
          <w:sz w:val="22"/>
          <w:szCs w:val="22"/>
        </w:rPr>
        <w:t xml:space="preserve"> making participating countries capable of maintenance (supported by an inter-country facility), training nationals for devolution activities, and continuing maintenance of activities until onchocerciasis was eliminated in the control region.</w:t>
      </w:r>
      <w:r w:rsidRPr="00D9152B">
        <w:rPr>
          <w:rStyle w:val="FootnoteReference"/>
          <w:rFonts w:ascii="Calibri" w:hAnsi="Calibri" w:cs="Calibri"/>
          <w:sz w:val="22"/>
          <w:szCs w:val="22"/>
        </w:rPr>
        <w:footnoteReference w:id="271"/>
      </w:r>
    </w:p>
    <w:p w14:paraId="207AF712" w14:textId="7A140E0A"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However, the </w:t>
      </w:r>
      <w:r w:rsidR="000E2798" w:rsidRPr="00D9152B">
        <w:rPr>
          <w:rFonts w:ascii="Calibri" w:hAnsi="Calibri" w:cs="Calibri"/>
          <w:sz w:val="22"/>
          <w:szCs w:val="22"/>
        </w:rPr>
        <w:t>Expert Advisory Committee’s</w:t>
      </w:r>
      <w:r w:rsidRPr="00D9152B">
        <w:rPr>
          <w:rFonts w:ascii="Calibri" w:hAnsi="Calibri" w:cs="Calibri"/>
          <w:sz w:val="22"/>
          <w:szCs w:val="22"/>
        </w:rPr>
        <w:t xml:space="preserve"> suggested objectives were not adopted in the next Fund Agreement. This 1986 Agreement provided no supporting, sub, interim, or long-term objectives. Instead, it included a general objective and a short list of supporting activities. The general objective had an even </w:t>
      </w:r>
      <w:r w:rsidR="00237804" w:rsidRPr="00D9152B">
        <w:rPr>
          <w:rFonts w:ascii="Calibri" w:hAnsi="Calibri" w:cs="Calibri"/>
          <w:sz w:val="22"/>
          <w:szCs w:val="22"/>
        </w:rPr>
        <w:t>vaguer</w:t>
      </w:r>
      <w:r w:rsidRPr="00D9152B">
        <w:rPr>
          <w:rFonts w:ascii="Calibri" w:hAnsi="Calibri" w:cs="Calibri"/>
          <w:sz w:val="22"/>
          <w:szCs w:val="22"/>
        </w:rPr>
        <w:t xml:space="preserve"> clause about maintenance than that in 1979: ‘to ensure that there is no recrudescence thereafter’.</w:t>
      </w:r>
      <w:r w:rsidRPr="00D9152B">
        <w:rPr>
          <w:rStyle w:val="FootnoteReference"/>
          <w:rFonts w:ascii="Calibri" w:hAnsi="Calibri" w:cs="Calibri"/>
          <w:sz w:val="22"/>
          <w:szCs w:val="22"/>
        </w:rPr>
        <w:footnoteReference w:id="272"/>
      </w:r>
      <w:r w:rsidRPr="00D9152B">
        <w:rPr>
          <w:rFonts w:ascii="Calibri" w:hAnsi="Calibri" w:cs="Calibri"/>
          <w:sz w:val="22"/>
          <w:szCs w:val="22"/>
        </w:rPr>
        <w:t xml:space="preserve"> The activity emphasizing health system support in participating countries (present in 1979) was dropped. It was replaced with two activities about preparing participating governments and training personnel as necessary for devolution. The 1992 Agreement similarly restricted the programme’s mandate to onchocerciasis-related maintenance activities (rather than wider health system infrastructure support). The only major addition in 1992 was a specific activity about training national teams to organize and coordinate ivermectin delivery.</w:t>
      </w:r>
      <w:r w:rsidR="006D0AC8">
        <w:rPr>
          <w:rStyle w:val="FootnoteReference"/>
          <w:rFonts w:cs="Calibri"/>
        </w:rPr>
        <w:footnoteReference w:id="273"/>
      </w:r>
      <w:r w:rsidRPr="00D9152B">
        <w:rPr>
          <w:rFonts w:ascii="Calibri" w:hAnsi="Calibri" w:cs="Calibri"/>
          <w:sz w:val="22"/>
          <w:szCs w:val="22"/>
        </w:rPr>
        <w:t xml:space="preserve"> </w:t>
      </w:r>
    </w:p>
    <w:p w14:paraId="4CB8B0B7" w14:textId="0EE173FD"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lastRenderedPageBreak/>
        <w:t xml:space="preserve">In all, this deeper look at the OCP’s objectives reveals that considerable thought went into small changes in objectives. Subtle changes – like deleting both the intermediate objective of helping participating countries with formal development plans and the supporting activity of training to support health infrastructure – indicate significant shifts in conceptualisations and priorities during the programme. While increasing emphasis was placed on ‘devolution’ of surveillance activities (rather than generalised </w:t>
      </w:r>
      <w:r w:rsidR="00237804" w:rsidRPr="00D9152B">
        <w:rPr>
          <w:rFonts w:ascii="Calibri" w:hAnsi="Calibri" w:cs="Calibri"/>
          <w:sz w:val="22"/>
          <w:szCs w:val="22"/>
        </w:rPr>
        <w:t xml:space="preserve">programme </w:t>
      </w:r>
      <w:r w:rsidRPr="00D9152B">
        <w:rPr>
          <w:rFonts w:ascii="Calibri" w:hAnsi="Calibri" w:cs="Calibri"/>
          <w:sz w:val="22"/>
          <w:szCs w:val="22"/>
        </w:rPr>
        <w:t xml:space="preserve">‘maintenance’), the authors of the Fund Agreements sought to frame objectives generally to give them sufficient leeway in operationalising them. </w:t>
      </w:r>
    </w:p>
    <w:p w14:paraId="64604B39" w14:textId="41F0EF60" w:rsidR="00AC7848" w:rsidRPr="00D9152B" w:rsidRDefault="0098315E" w:rsidP="002F22C3">
      <w:pPr>
        <w:pStyle w:val="Heading2"/>
        <w:spacing w:before="100" w:beforeAutospacing="1" w:after="100" w:afterAutospacing="1" w:line="360" w:lineRule="auto"/>
        <w:rPr>
          <w:rFonts w:ascii="Calibri" w:hAnsi="Calibri" w:cs="Calibri"/>
          <w:b/>
          <w:sz w:val="26"/>
          <w:szCs w:val="26"/>
        </w:rPr>
      </w:pPr>
      <w:bookmarkStart w:id="62" w:name="_Toc41505636"/>
      <w:r w:rsidRPr="00D9152B">
        <w:rPr>
          <w:rFonts w:ascii="Calibri" w:hAnsi="Calibri" w:cs="Calibri"/>
          <w:b/>
          <w:sz w:val="26"/>
          <w:szCs w:val="26"/>
        </w:rPr>
        <w:t>4.</w:t>
      </w:r>
      <w:r w:rsidR="002F22C3" w:rsidRPr="00D9152B">
        <w:rPr>
          <w:rFonts w:ascii="Calibri" w:hAnsi="Calibri" w:cs="Calibri"/>
          <w:b/>
          <w:sz w:val="26"/>
          <w:szCs w:val="26"/>
        </w:rPr>
        <w:t xml:space="preserve">4. </w:t>
      </w:r>
      <w:r w:rsidR="00237804" w:rsidRPr="00D9152B">
        <w:rPr>
          <w:rFonts w:ascii="Calibri" w:hAnsi="Calibri" w:cs="Calibri"/>
          <w:b/>
          <w:sz w:val="26"/>
          <w:szCs w:val="26"/>
        </w:rPr>
        <w:t>Measuring the OCP’s epidemiological progress</w:t>
      </w:r>
      <w:bookmarkEnd w:id="62"/>
      <w:r w:rsidR="00237804" w:rsidRPr="00D9152B">
        <w:rPr>
          <w:rFonts w:ascii="Calibri" w:hAnsi="Calibri" w:cs="Calibri"/>
          <w:b/>
          <w:sz w:val="26"/>
          <w:szCs w:val="26"/>
        </w:rPr>
        <w:t xml:space="preserve"> </w:t>
      </w:r>
    </w:p>
    <w:p w14:paraId="12795D17" w14:textId="33DFC4C5" w:rsidR="009A0400" w:rsidRPr="00D9152B" w:rsidRDefault="0098315E" w:rsidP="005C7F9F">
      <w:pPr>
        <w:pStyle w:val="Heading3"/>
        <w:spacing w:before="100" w:beforeAutospacing="1" w:after="100" w:afterAutospacing="1" w:line="360" w:lineRule="auto"/>
        <w:ind w:left="405" w:hanging="405"/>
        <w:rPr>
          <w:rFonts w:ascii="Calibri" w:hAnsi="Calibri" w:cs="Calibri"/>
          <w:b/>
          <w:i/>
          <w:color w:val="000000" w:themeColor="text1"/>
          <w:sz w:val="22"/>
          <w:szCs w:val="22"/>
        </w:rPr>
      </w:pPr>
      <w:bookmarkStart w:id="63" w:name="_Toc41505637"/>
      <w:r w:rsidRPr="00D9152B">
        <w:rPr>
          <w:rFonts w:ascii="Calibri" w:hAnsi="Calibri" w:cs="Calibri"/>
          <w:b/>
          <w:i/>
          <w:color w:val="000000" w:themeColor="text1"/>
          <w:sz w:val="22"/>
          <w:szCs w:val="22"/>
        </w:rPr>
        <w:t xml:space="preserve">4.4.A. </w:t>
      </w:r>
      <w:r w:rsidR="009A0400" w:rsidRPr="00D9152B">
        <w:rPr>
          <w:rFonts w:ascii="Calibri" w:hAnsi="Calibri" w:cs="Calibri"/>
          <w:b/>
          <w:i/>
          <w:color w:val="000000" w:themeColor="text1"/>
          <w:sz w:val="22"/>
          <w:szCs w:val="22"/>
        </w:rPr>
        <w:t>Public health metrics used during the OCP</w:t>
      </w:r>
      <w:bookmarkEnd w:id="63"/>
    </w:p>
    <w:p w14:paraId="29D314C7" w14:textId="094A5CF8" w:rsidR="00E04CF7" w:rsidRPr="00D9152B" w:rsidRDefault="00AC7848" w:rsidP="005C7F9F">
      <w:pPr>
        <w:spacing w:before="100" w:beforeAutospacing="1" w:after="100" w:afterAutospacing="1" w:line="360" w:lineRule="auto"/>
        <w:ind w:firstLine="360"/>
        <w:rPr>
          <w:rFonts w:ascii="Calibri" w:hAnsi="Calibri" w:cs="Calibri"/>
          <w:bCs/>
          <w:sz w:val="22"/>
          <w:szCs w:val="22"/>
        </w:rPr>
      </w:pPr>
      <w:r w:rsidRPr="00D9152B">
        <w:rPr>
          <w:rFonts w:ascii="Calibri" w:hAnsi="Calibri" w:cs="Calibri"/>
          <w:bCs/>
          <w:sz w:val="22"/>
          <w:szCs w:val="22"/>
        </w:rPr>
        <w:tab/>
        <w:t xml:space="preserve">Measuring </w:t>
      </w:r>
      <w:r w:rsidR="00A41837" w:rsidRPr="00D9152B">
        <w:rPr>
          <w:rFonts w:ascii="Calibri" w:hAnsi="Calibri" w:cs="Calibri"/>
          <w:bCs/>
          <w:sz w:val="22"/>
          <w:szCs w:val="22"/>
        </w:rPr>
        <w:t>health</w:t>
      </w:r>
      <w:r w:rsidRPr="00D9152B">
        <w:rPr>
          <w:rFonts w:ascii="Calibri" w:hAnsi="Calibri" w:cs="Calibri"/>
          <w:bCs/>
          <w:sz w:val="22"/>
          <w:szCs w:val="22"/>
        </w:rPr>
        <w:t xml:space="preserve"> progress </w:t>
      </w:r>
      <w:r w:rsidR="00237804" w:rsidRPr="00D9152B">
        <w:rPr>
          <w:rFonts w:ascii="Calibri" w:hAnsi="Calibri" w:cs="Calibri"/>
          <w:bCs/>
          <w:sz w:val="22"/>
          <w:szCs w:val="22"/>
        </w:rPr>
        <w:t xml:space="preserve">toward the programme objectives </w:t>
      </w:r>
      <w:r w:rsidRPr="00D9152B">
        <w:rPr>
          <w:rFonts w:ascii="Calibri" w:hAnsi="Calibri" w:cs="Calibri"/>
          <w:bCs/>
          <w:sz w:val="22"/>
          <w:szCs w:val="22"/>
        </w:rPr>
        <w:t>relied on relatively straightforward metrics. What was more complicated was obtaining the surveillance data needed to actually calculate these metrics. Onchocerciasis victims typically lived in isolated rural areas. Most of the seven original countries also had poor health systems, inconsistent census estimates, and frequent migration, while most victims only became blind after years of infectivity. This made identifying and tracking cases of onchocerciasis more challenging than most other infectious diseases in Africa.</w:t>
      </w:r>
    </w:p>
    <w:p w14:paraId="2C3FC3C6" w14:textId="7E1C1A8B" w:rsidR="00AC7848" w:rsidRPr="00D9152B" w:rsidRDefault="00E04CF7" w:rsidP="005C7F9F">
      <w:pPr>
        <w:spacing w:before="100" w:beforeAutospacing="1" w:after="100" w:afterAutospacing="1" w:line="360" w:lineRule="auto"/>
        <w:ind w:firstLine="360"/>
        <w:rPr>
          <w:rFonts w:ascii="Calibri" w:hAnsi="Calibri" w:cs="Calibri"/>
          <w:bCs/>
          <w:sz w:val="22"/>
          <w:szCs w:val="22"/>
        </w:rPr>
      </w:pPr>
      <w:r w:rsidRPr="00D9152B">
        <w:rPr>
          <w:rFonts w:ascii="Calibri" w:hAnsi="Calibri" w:cs="Calibri"/>
          <w:bCs/>
          <w:sz w:val="22"/>
          <w:szCs w:val="22"/>
        </w:rPr>
        <w:t>The OCP developed a system, based</w:t>
      </w:r>
      <w:r w:rsidR="006D0AC8">
        <w:rPr>
          <w:rFonts w:ascii="Calibri" w:hAnsi="Calibri" w:cs="Calibri"/>
          <w:bCs/>
          <w:sz w:val="22"/>
          <w:szCs w:val="22"/>
        </w:rPr>
        <w:t xml:space="preserve"> on</w:t>
      </w:r>
      <w:r w:rsidRPr="00D9152B">
        <w:rPr>
          <w:rFonts w:ascii="Calibri" w:hAnsi="Calibri" w:cs="Calibri"/>
          <w:bCs/>
          <w:sz w:val="22"/>
          <w:szCs w:val="22"/>
        </w:rPr>
        <w:t xml:space="preserve"> catching flies at designated points and dissecting them in laboratories, to estimate transmission (the ‘</w:t>
      </w:r>
      <w:r w:rsidR="00D060E2" w:rsidRPr="00D9152B">
        <w:rPr>
          <w:rFonts w:ascii="Calibri" w:hAnsi="Calibri" w:cs="Calibri"/>
          <w:bCs/>
          <w:sz w:val="22"/>
          <w:szCs w:val="22"/>
        </w:rPr>
        <w:t>a</w:t>
      </w:r>
      <w:r w:rsidRPr="00D9152B">
        <w:rPr>
          <w:rFonts w:ascii="Calibri" w:hAnsi="Calibri" w:cs="Calibri"/>
          <w:bCs/>
          <w:sz w:val="22"/>
          <w:szCs w:val="22"/>
        </w:rPr>
        <w:t xml:space="preserve">nnual </w:t>
      </w:r>
      <w:r w:rsidR="00D060E2" w:rsidRPr="00D9152B">
        <w:rPr>
          <w:rFonts w:ascii="Calibri" w:hAnsi="Calibri" w:cs="Calibri"/>
          <w:bCs/>
          <w:sz w:val="22"/>
          <w:szCs w:val="22"/>
        </w:rPr>
        <w:t>t</w:t>
      </w:r>
      <w:r w:rsidRPr="00D9152B">
        <w:rPr>
          <w:rFonts w:ascii="Calibri" w:hAnsi="Calibri" w:cs="Calibri"/>
          <w:bCs/>
          <w:sz w:val="22"/>
          <w:szCs w:val="22"/>
        </w:rPr>
        <w:t xml:space="preserve">ransmission </w:t>
      </w:r>
      <w:r w:rsidR="00D060E2" w:rsidRPr="00D9152B">
        <w:rPr>
          <w:rFonts w:ascii="Calibri" w:hAnsi="Calibri" w:cs="Calibri"/>
          <w:bCs/>
          <w:sz w:val="22"/>
          <w:szCs w:val="22"/>
        </w:rPr>
        <w:t>p</w:t>
      </w:r>
      <w:r w:rsidRPr="00D9152B">
        <w:rPr>
          <w:rFonts w:ascii="Calibri" w:hAnsi="Calibri" w:cs="Calibri"/>
          <w:bCs/>
          <w:sz w:val="22"/>
          <w:szCs w:val="22"/>
        </w:rPr>
        <w:t>otential’</w:t>
      </w:r>
      <w:r w:rsidR="00794CA7" w:rsidRPr="00D9152B">
        <w:rPr>
          <w:rFonts w:ascii="Calibri" w:hAnsi="Calibri" w:cs="Calibri"/>
          <w:bCs/>
          <w:sz w:val="22"/>
          <w:szCs w:val="22"/>
        </w:rPr>
        <w:t xml:space="preserve"> or ATP</w:t>
      </w:r>
      <w:r w:rsidRPr="00D9152B">
        <w:rPr>
          <w:rFonts w:ascii="Calibri" w:hAnsi="Calibri" w:cs="Calibri"/>
          <w:bCs/>
          <w:sz w:val="22"/>
          <w:szCs w:val="22"/>
        </w:rPr>
        <w:t>). It set thresholds for a ‘tolerable’ level of transmission, which would indicate that the disease was under sufficient control for repopulation of a village. The data captured by the vector control unit was then combined with active epidemiological surveillance data (collected by the epidemiological unit) to estimate incidence and prevalence in indicator villages.</w:t>
      </w:r>
      <w:r w:rsidR="00304268" w:rsidRPr="00D9152B">
        <w:rPr>
          <w:rStyle w:val="FootnoteReference"/>
          <w:rFonts w:ascii="Calibri" w:hAnsi="Calibri" w:cs="Calibri"/>
          <w:bCs/>
        </w:rPr>
        <w:footnoteReference w:id="274"/>
      </w:r>
      <w:r w:rsidR="00304268" w:rsidRPr="00D9152B">
        <w:rPr>
          <w:rFonts w:ascii="Calibri" w:hAnsi="Calibri" w:cs="Calibri"/>
          <w:bCs/>
          <w:sz w:val="22"/>
          <w:szCs w:val="22"/>
        </w:rPr>
        <w:t xml:space="preserve"> </w:t>
      </w:r>
      <w:r w:rsidRPr="00D9152B">
        <w:rPr>
          <w:rFonts w:ascii="Calibri" w:hAnsi="Calibri" w:cs="Calibri"/>
          <w:bCs/>
          <w:sz w:val="22"/>
          <w:szCs w:val="22"/>
        </w:rPr>
        <w:t xml:space="preserve"> Figure </w:t>
      </w:r>
      <w:r w:rsidR="006D0AC8">
        <w:rPr>
          <w:rFonts w:ascii="Calibri" w:hAnsi="Calibri" w:cs="Calibri"/>
          <w:bCs/>
          <w:sz w:val="22"/>
          <w:szCs w:val="22"/>
        </w:rPr>
        <w:t>4.</w:t>
      </w:r>
      <w:r w:rsidRPr="00D9152B">
        <w:rPr>
          <w:rFonts w:ascii="Calibri" w:hAnsi="Calibri" w:cs="Calibri"/>
          <w:bCs/>
          <w:sz w:val="22"/>
          <w:szCs w:val="22"/>
        </w:rPr>
        <w:t xml:space="preserve">1 summarises the vector and epidemiological </w:t>
      </w:r>
      <w:r w:rsidRPr="00D9152B">
        <w:rPr>
          <w:rFonts w:ascii="Calibri" w:hAnsi="Calibri" w:cs="Calibri"/>
          <w:bCs/>
          <w:sz w:val="22"/>
          <w:szCs w:val="22"/>
        </w:rPr>
        <w:lastRenderedPageBreak/>
        <w:t xml:space="preserve">data collection strategy. </w:t>
      </w:r>
      <w:r w:rsidR="00A6334D" w:rsidRPr="00D9152B">
        <w:rPr>
          <w:rFonts w:ascii="Calibri" w:hAnsi="Calibri" w:cs="Calibri"/>
          <w:bCs/>
          <w:sz w:val="22"/>
          <w:szCs w:val="22"/>
        </w:rPr>
        <w:t xml:space="preserve">Appendix </w:t>
      </w:r>
      <w:r w:rsidR="00191ADA">
        <w:rPr>
          <w:rFonts w:ascii="Calibri" w:hAnsi="Calibri" w:cs="Calibri"/>
          <w:bCs/>
          <w:sz w:val="22"/>
          <w:szCs w:val="22"/>
        </w:rPr>
        <w:t>VI</w:t>
      </w:r>
      <w:r w:rsidR="00A6334D" w:rsidRPr="00D9152B">
        <w:rPr>
          <w:rFonts w:ascii="Calibri" w:hAnsi="Calibri" w:cs="Calibri"/>
          <w:bCs/>
          <w:sz w:val="22"/>
          <w:szCs w:val="22"/>
        </w:rPr>
        <w:t xml:space="preserve"> </w:t>
      </w:r>
      <w:r w:rsidR="00304268" w:rsidRPr="00D9152B">
        <w:rPr>
          <w:rFonts w:ascii="Calibri" w:hAnsi="Calibri" w:cs="Calibri"/>
          <w:bCs/>
          <w:sz w:val="22"/>
          <w:szCs w:val="22"/>
        </w:rPr>
        <w:t xml:space="preserve">provides </w:t>
      </w:r>
      <w:r w:rsidR="00A6334D" w:rsidRPr="00D9152B">
        <w:rPr>
          <w:rFonts w:ascii="Calibri" w:hAnsi="Calibri" w:cs="Calibri"/>
          <w:bCs/>
          <w:sz w:val="22"/>
          <w:szCs w:val="22"/>
        </w:rPr>
        <w:t>for more details on how epidemiological and vector control data were captured</w:t>
      </w:r>
      <w:r w:rsidR="006D0AC8">
        <w:rPr>
          <w:rFonts w:ascii="Calibri" w:hAnsi="Calibri" w:cs="Calibri"/>
          <w:bCs/>
          <w:sz w:val="22"/>
          <w:szCs w:val="22"/>
        </w:rPr>
        <w:t xml:space="preserve"> during the OCP</w:t>
      </w:r>
      <w:r w:rsidR="00A6334D" w:rsidRPr="00D9152B">
        <w:rPr>
          <w:rFonts w:ascii="Calibri" w:hAnsi="Calibri" w:cs="Calibri"/>
          <w:bCs/>
          <w:sz w:val="22"/>
          <w:szCs w:val="22"/>
        </w:rPr>
        <w:t>.</w:t>
      </w:r>
    </w:p>
    <w:p w14:paraId="73A8772A" w14:textId="77777777" w:rsidR="00AC7848" w:rsidRPr="00D9152B" w:rsidRDefault="00AC7848" w:rsidP="00DF52DF">
      <w:pPr>
        <w:ind w:firstLine="360"/>
        <w:jc w:val="both"/>
        <w:rPr>
          <w:rFonts w:ascii="Calibri" w:hAnsi="Calibri" w:cs="Calibri"/>
          <w:color w:val="808080" w:themeColor="background1" w:themeShade="80"/>
        </w:rPr>
      </w:pPr>
      <w:r w:rsidRPr="00D9152B">
        <w:rPr>
          <w:rFonts w:ascii="Calibri" w:hAnsi="Calibri" w:cs="Calibri"/>
          <w:b/>
          <w:noProof/>
          <w:color w:val="808080" w:themeColor="background1" w:themeShade="80"/>
          <w:lang w:eastAsia="en-GB"/>
        </w:rPr>
        <w:drawing>
          <wp:inline distT="0" distB="0" distL="0" distR="0" wp14:anchorId="5ADAA834" wp14:editId="5F991D3E">
            <wp:extent cx="5111762" cy="29337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159439" cy="2961062"/>
                    </a:xfrm>
                    <a:prstGeom prst="rect">
                      <a:avLst/>
                    </a:prstGeom>
                    <a:noFill/>
                    <a:ln>
                      <a:noFill/>
                    </a:ln>
                  </pic:spPr>
                </pic:pic>
              </a:graphicData>
            </a:graphic>
          </wp:inline>
        </w:drawing>
      </w:r>
    </w:p>
    <w:p w14:paraId="20F07D05" w14:textId="1B82BCBE" w:rsidR="00AC7848" w:rsidRPr="00D9152B" w:rsidRDefault="00E04CF7" w:rsidP="00DF52DF">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6D0AC8">
        <w:rPr>
          <w:rFonts w:ascii="Calibri" w:hAnsi="Calibri" w:cs="Calibri"/>
          <w:color w:val="808080" w:themeColor="background1" w:themeShade="80"/>
          <w:sz w:val="22"/>
          <w:szCs w:val="22"/>
        </w:rPr>
        <w:t>4.</w:t>
      </w:r>
      <w:r w:rsidRPr="00D9152B">
        <w:rPr>
          <w:rFonts w:ascii="Calibri" w:hAnsi="Calibri" w:cs="Calibri"/>
          <w:color w:val="808080" w:themeColor="background1" w:themeShade="80"/>
          <w:sz w:val="22"/>
          <w:szCs w:val="22"/>
        </w:rPr>
        <w:t>1</w:t>
      </w:r>
      <w:r w:rsidR="00AC7848" w:rsidRPr="00D9152B">
        <w:rPr>
          <w:rFonts w:ascii="Calibri" w:hAnsi="Calibri" w:cs="Calibri"/>
          <w:color w:val="808080" w:themeColor="background1" w:themeShade="80"/>
          <w:sz w:val="22"/>
          <w:szCs w:val="22"/>
        </w:rPr>
        <w:t xml:space="preserve">. </w:t>
      </w:r>
      <w:r w:rsidRPr="00D9152B">
        <w:rPr>
          <w:rFonts w:ascii="Calibri" w:hAnsi="Calibri" w:cs="Calibri"/>
          <w:color w:val="808080" w:themeColor="background1" w:themeShade="80"/>
          <w:sz w:val="22"/>
          <w:szCs w:val="22"/>
        </w:rPr>
        <w:t>The OCP’s Vector Control Unit</w:t>
      </w:r>
      <w:r w:rsidR="00AC7848" w:rsidRPr="00D9152B">
        <w:rPr>
          <w:rFonts w:ascii="Calibri" w:hAnsi="Calibri" w:cs="Calibri"/>
          <w:color w:val="808080" w:themeColor="background1" w:themeShade="80"/>
          <w:sz w:val="22"/>
          <w:szCs w:val="22"/>
        </w:rPr>
        <w:t xml:space="preserve"> provided local transmission data,</w:t>
      </w:r>
      <w:r w:rsidRPr="00D9152B">
        <w:rPr>
          <w:rFonts w:ascii="Calibri" w:hAnsi="Calibri" w:cs="Calibri"/>
          <w:color w:val="808080" w:themeColor="background1" w:themeShade="80"/>
          <w:sz w:val="22"/>
          <w:szCs w:val="22"/>
        </w:rPr>
        <w:t xml:space="preserve"> which allowed it to estimate two markers of disease transmission – the annual bite rate (ABR) and the annual transmission potential (ATP). The Epidemiological Evaluation Unit then used the ATP to estimate the incidence and</w:t>
      </w:r>
      <w:r w:rsidR="00AC7848" w:rsidRPr="00D9152B">
        <w:rPr>
          <w:rFonts w:ascii="Calibri" w:hAnsi="Calibri" w:cs="Calibri"/>
          <w:color w:val="808080" w:themeColor="background1" w:themeShade="80"/>
          <w:sz w:val="22"/>
          <w:szCs w:val="22"/>
        </w:rPr>
        <w:t xml:space="preserve"> </w:t>
      </w:r>
      <w:r w:rsidRPr="00D9152B">
        <w:rPr>
          <w:rFonts w:ascii="Calibri" w:hAnsi="Calibri" w:cs="Calibri"/>
          <w:color w:val="808080" w:themeColor="background1" w:themeShade="80"/>
          <w:sz w:val="22"/>
          <w:szCs w:val="22"/>
        </w:rPr>
        <w:t>prevalence of onchocerciasis before and after control activities, within carefully selected indicator villages.</w:t>
      </w:r>
      <w:r w:rsidR="00304268" w:rsidRPr="00D9152B">
        <w:rPr>
          <w:rStyle w:val="FootnoteReference"/>
          <w:rFonts w:ascii="Calibri" w:hAnsi="Calibri" w:cs="Calibri"/>
          <w:color w:val="808080" w:themeColor="background1" w:themeShade="80"/>
        </w:rPr>
        <w:footnoteReference w:id="275"/>
      </w:r>
    </w:p>
    <w:p w14:paraId="3411BE99" w14:textId="11719E94" w:rsidR="009A0400" w:rsidRDefault="00D82A8E"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Table </w:t>
      </w:r>
      <w:r w:rsidR="006D0AC8">
        <w:rPr>
          <w:rFonts w:ascii="Calibri" w:hAnsi="Calibri" w:cs="Calibri"/>
          <w:sz w:val="22"/>
          <w:szCs w:val="22"/>
        </w:rPr>
        <w:t>4.</w:t>
      </w:r>
      <w:r w:rsidRPr="00D9152B">
        <w:rPr>
          <w:rFonts w:ascii="Calibri" w:hAnsi="Calibri" w:cs="Calibri"/>
          <w:sz w:val="22"/>
          <w:szCs w:val="22"/>
        </w:rPr>
        <w:t>1</w:t>
      </w:r>
      <w:r w:rsidR="009A0400" w:rsidRPr="00D9152B">
        <w:rPr>
          <w:rFonts w:ascii="Calibri" w:hAnsi="Calibri" w:cs="Calibri"/>
          <w:sz w:val="22"/>
          <w:szCs w:val="22"/>
        </w:rPr>
        <w:t xml:space="preserve"> summarises the major public health metrics that were used and developed during the OCP. The most comprehensive metric, from a public health perspective, was the community microfilarial load</w:t>
      </w:r>
      <w:r w:rsidR="00AC33B8" w:rsidRPr="00D9152B">
        <w:rPr>
          <w:rFonts w:ascii="Calibri" w:hAnsi="Calibri" w:cs="Calibri"/>
          <w:sz w:val="22"/>
          <w:szCs w:val="22"/>
        </w:rPr>
        <w:t xml:space="preserve"> (CMFL)</w:t>
      </w:r>
      <w:r w:rsidR="009A0400" w:rsidRPr="00D9152B">
        <w:rPr>
          <w:rFonts w:ascii="Calibri" w:hAnsi="Calibri" w:cs="Calibri"/>
          <w:sz w:val="22"/>
          <w:szCs w:val="22"/>
        </w:rPr>
        <w:t>. It was based on the number of microfilariae found in a skin snip (the standard diagnostic method for onchocerciasis), so it measured the actual intensity of infection. Unlike measures of incidence and prevalence, it therefore reflected the risk of eye lesions and blindness, rather than just the risk of infection.</w:t>
      </w:r>
    </w:p>
    <w:p w14:paraId="4EDD52C8" w14:textId="1BBD9348" w:rsidR="00D07E3A" w:rsidRDefault="00D07E3A" w:rsidP="005C7F9F">
      <w:pPr>
        <w:spacing w:before="100" w:beforeAutospacing="1" w:after="100" w:afterAutospacing="1" w:line="360" w:lineRule="auto"/>
        <w:ind w:firstLine="720"/>
        <w:rPr>
          <w:rFonts w:ascii="Calibri" w:hAnsi="Calibri" w:cs="Calibri"/>
          <w:sz w:val="22"/>
          <w:szCs w:val="22"/>
        </w:rPr>
      </w:pPr>
    </w:p>
    <w:p w14:paraId="52C7F5B7" w14:textId="5C2A4F09" w:rsidR="00D07E3A" w:rsidRDefault="00D07E3A" w:rsidP="005C7F9F">
      <w:pPr>
        <w:spacing w:before="100" w:beforeAutospacing="1" w:after="100" w:afterAutospacing="1" w:line="360" w:lineRule="auto"/>
        <w:ind w:firstLine="720"/>
        <w:rPr>
          <w:rFonts w:ascii="Calibri" w:hAnsi="Calibri" w:cs="Calibri"/>
          <w:sz w:val="22"/>
          <w:szCs w:val="22"/>
        </w:rPr>
      </w:pPr>
    </w:p>
    <w:p w14:paraId="5E26F924" w14:textId="77777777" w:rsidR="00D07E3A" w:rsidRPr="00D9152B" w:rsidRDefault="00D07E3A" w:rsidP="005C7F9F">
      <w:pPr>
        <w:spacing w:before="100" w:beforeAutospacing="1" w:after="100" w:afterAutospacing="1" w:line="360" w:lineRule="auto"/>
        <w:ind w:firstLine="720"/>
        <w:rPr>
          <w:rFonts w:ascii="Calibri" w:hAnsi="Calibri" w:cs="Calibri"/>
          <w:sz w:val="22"/>
          <w:szCs w:val="22"/>
        </w:rPr>
      </w:pPr>
    </w:p>
    <w:tbl>
      <w:tblPr>
        <w:tblStyle w:val="PlainTable5"/>
        <w:tblpPr w:leftFromText="180" w:rightFromText="180" w:vertAnchor="text" w:horzAnchor="page" w:tblpX="1930" w:tblpY="10"/>
        <w:tblW w:w="9067" w:type="dxa"/>
        <w:tblLook w:val="00A0" w:firstRow="1" w:lastRow="0" w:firstColumn="1" w:lastColumn="0" w:noHBand="0" w:noVBand="0"/>
      </w:tblPr>
      <w:tblGrid>
        <w:gridCol w:w="2252"/>
        <w:gridCol w:w="3413"/>
        <w:gridCol w:w="3402"/>
      </w:tblGrid>
      <w:tr w:rsidR="00AC7848" w:rsidRPr="00D9152B" w14:paraId="7CEBB5EF" w14:textId="77777777" w:rsidTr="005C7F9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52" w:type="dxa"/>
          </w:tcPr>
          <w:p w14:paraId="6B264E56" w14:textId="77777777" w:rsidR="00AC7848" w:rsidRPr="00D9152B" w:rsidRDefault="00AC7848" w:rsidP="00413CE4">
            <w:pPr>
              <w:spacing w:before="100" w:beforeAutospacing="1" w:after="100" w:afterAutospacing="1"/>
              <w:rPr>
                <w:rFonts w:ascii="Calibri" w:hAnsi="Calibri" w:cs="Calibri"/>
                <w:sz w:val="18"/>
                <w:szCs w:val="18"/>
              </w:rPr>
            </w:pPr>
          </w:p>
        </w:tc>
        <w:tc>
          <w:tcPr>
            <w:cnfStyle w:val="000010000000" w:firstRow="0" w:lastRow="0" w:firstColumn="0" w:lastColumn="0" w:oddVBand="1" w:evenVBand="0" w:oddHBand="0" w:evenHBand="0" w:firstRowFirstColumn="0" w:firstRowLastColumn="0" w:lastRowFirstColumn="0" w:lastRowLastColumn="0"/>
            <w:tcW w:w="3413" w:type="dxa"/>
            <w:hideMark/>
          </w:tcPr>
          <w:p w14:paraId="379830C1" w14:textId="77777777" w:rsidR="00AC7848" w:rsidRPr="00D9152B" w:rsidRDefault="00AC7848" w:rsidP="00914938">
            <w:pPr>
              <w:spacing w:before="100" w:beforeAutospacing="1" w:after="100" w:afterAutospacing="1" w:line="360" w:lineRule="auto"/>
              <w:rPr>
                <w:rFonts w:ascii="Calibri" w:hAnsi="Calibri" w:cs="Calibri"/>
                <w:b/>
                <w:sz w:val="18"/>
                <w:szCs w:val="18"/>
              </w:rPr>
            </w:pPr>
            <w:r w:rsidRPr="00D9152B">
              <w:rPr>
                <w:rFonts w:ascii="Calibri" w:hAnsi="Calibri" w:cs="Calibri"/>
                <w:b/>
                <w:sz w:val="18"/>
                <w:szCs w:val="18"/>
              </w:rPr>
              <w:t>Information provided</w:t>
            </w:r>
          </w:p>
        </w:tc>
        <w:tc>
          <w:tcPr>
            <w:tcW w:w="3402" w:type="dxa"/>
            <w:hideMark/>
          </w:tcPr>
          <w:p w14:paraId="64932B29" w14:textId="352EE111" w:rsidR="00914938" w:rsidRPr="00914938" w:rsidRDefault="00AC7848" w:rsidP="00914938">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b/>
                <w:i w:val="0"/>
                <w:iCs w:val="0"/>
                <w:sz w:val="18"/>
                <w:szCs w:val="18"/>
              </w:rPr>
            </w:pPr>
            <w:r w:rsidRPr="00D9152B">
              <w:rPr>
                <w:rFonts w:ascii="Calibri" w:hAnsi="Calibri" w:cs="Calibri"/>
                <w:b/>
                <w:sz w:val="18"/>
                <w:szCs w:val="18"/>
              </w:rPr>
              <w:t xml:space="preserve">Problems (information </w:t>
            </w:r>
            <w:r w:rsidRPr="00D9152B">
              <w:rPr>
                <w:rFonts w:ascii="Calibri" w:hAnsi="Calibri" w:cs="Calibri"/>
                <w:b/>
                <w:sz w:val="18"/>
                <w:szCs w:val="18"/>
                <w:u w:val="single"/>
              </w:rPr>
              <w:t>not</w:t>
            </w:r>
            <w:r w:rsidRPr="00D9152B">
              <w:rPr>
                <w:rFonts w:ascii="Calibri" w:hAnsi="Calibri" w:cs="Calibri"/>
                <w:b/>
                <w:sz w:val="18"/>
                <w:szCs w:val="18"/>
              </w:rPr>
              <w:t xml:space="preserve"> provided</w:t>
            </w:r>
            <w:r w:rsidR="00914938">
              <w:rPr>
                <w:rFonts w:ascii="Calibri" w:hAnsi="Calibri" w:cs="Calibri"/>
                <w:b/>
                <w:sz w:val="18"/>
                <w:szCs w:val="18"/>
              </w:rPr>
              <w:t>)</w:t>
            </w:r>
          </w:p>
        </w:tc>
      </w:tr>
      <w:tr w:rsidR="00AC7848" w:rsidRPr="00D9152B" w14:paraId="69DFBF20" w14:textId="77777777" w:rsidTr="005C7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tcBorders>
              <w:top w:val="single" w:sz="4" w:space="0" w:color="7F7F7F" w:themeColor="text1" w:themeTint="80"/>
              <w:bottom w:val="single" w:sz="4" w:space="0" w:color="auto"/>
              <w:right w:val="single" w:sz="4" w:space="0" w:color="auto"/>
            </w:tcBorders>
            <w:hideMark/>
          </w:tcPr>
          <w:p w14:paraId="79AF7D31" w14:textId="77777777" w:rsidR="00AC7848" w:rsidRPr="00D9152B" w:rsidRDefault="00AC7848" w:rsidP="00413CE4">
            <w:pPr>
              <w:spacing w:before="100" w:beforeAutospacing="1" w:after="100" w:afterAutospacing="1"/>
              <w:rPr>
                <w:rFonts w:ascii="Calibri" w:hAnsi="Calibri" w:cs="Calibri"/>
                <w:b/>
                <w:sz w:val="18"/>
                <w:szCs w:val="18"/>
              </w:rPr>
            </w:pPr>
            <w:r w:rsidRPr="00D9152B">
              <w:rPr>
                <w:rFonts w:ascii="Calibri" w:hAnsi="Calibri" w:cs="Calibri"/>
                <w:b/>
                <w:sz w:val="18"/>
                <w:szCs w:val="18"/>
              </w:rPr>
              <w:t>Annual Transmission Potential (ATP)</w:t>
            </w:r>
          </w:p>
        </w:tc>
        <w:tc>
          <w:tcPr>
            <w:cnfStyle w:val="000010000000" w:firstRow="0" w:lastRow="0" w:firstColumn="0" w:lastColumn="0" w:oddVBand="1" w:evenVBand="0" w:oddHBand="0" w:evenHBand="0" w:firstRowFirstColumn="0" w:firstRowLastColumn="0" w:lastRowFirstColumn="0" w:lastRowLastColumn="0"/>
            <w:tcW w:w="3413" w:type="dxa"/>
            <w:tcBorders>
              <w:top w:val="single" w:sz="4" w:space="0" w:color="7F7F7F" w:themeColor="text1" w:themeTint="80"/>
              <w:left w:val="single" w:sz="4" w:space="0" w:color="auto"/>
              <w:bottom w:val="single" w:sz="4" w:space="0" w:color="auto"/>
              <w:right w:val="single" w:sz="4" w:space="0" w:color="auto"/>
            </w:tcBorders>
            <w:hideMark/>
          </w:tcPr>
          <w:p w14:paraId="5C62CC3E" w14:textId="77777777" w:rsidR="00AC7848" w:rsidRPr="00D9152B" w:rsidRDefault="00AC7848" w:rsidP="00413CE4">
            <w:pPr>
              <w:spacing w:before="100" w:beforeAutospacing="1" w:after="100" w:afterAutospacing="1"/>
              <w:rPr>
                <w:rFonts w:ascii="Calibri" w:hAnsi="Calibri" w:cs="Calibri"/>
                <w:sz w:val="18"/>
                <w:szCs w:val="18"/>
              </w:rPr>
            </w:pPr>
            <w:r w:rsidRPr="00D9152B">
              <w:rPr>
                <w:rFonts w:ascii="Calibri" w:hAnsi="Calibri" w:cs="Calibri"/>
                <w:sz w:val="18"/>
                <w:szCs w:val="18"/>
              </w:rPr>
              <w:t>Indirect information on the risk of disease transmission (based on infection rates in caught flies)</w:t>
            </w:r>
          </w:p>
        </w:tc>
        <w:tc>
          <w:tcPr>
            <w:tcW w:w="3402" w:type="dxa"/>
            <w:tcBorders>
              <w:top w:val="single" w:sz="4" w:space="0" w:color="7F7F7F" w:themeColor="text1" w:themeTint="80"/>
              <w:left w:val="single" w:sz="4" w:space="0" w:color="auto"/>
              <w:bottom w:val="single" w:sz="4" w:space="0" w:color="auto"/>
            </w:tcBorders>
            <w:hideMark/>
          </w:tcPr>
          <w:p w14:paraId="554241B6" w14:textId="77777777" w:rsidR="00AC7848" w:rsidRPr="00D9152B" w:rsidRDefault="00AC7848" w:rsidP="00413CE4">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 xml:space="preserve">Does not give the </w:t>
            </w:r>
            <w:r w:rsidRPr="00D9152B">
              <w:rPr>
                <w:rFonts w:ascii="Calibri" w:hAnsi="Calibri" w:cs="Calibri"/>
                <w:i/>
                <w:sz w:val="18"/>
                <w:szCs w:val="18"/>
              </w:rPr>
              <w:t xml:space="preserve">actual </w:t>
            </w:r>
            <w:r w:rsidRPr="00D9152B">
              <w:rPr>
                <w:rFonts w:ascii="Calibri" w:hAnsi="Calibri" w:cs="Calibri"/>
                <w:sz w:val="18"/>
                <w:szCs w:val="18"/>
              </w:rPr>
              <w:t>risk of infection for populations in the OCP area</w:t>
            </w:r>
          </w:p>
        </w:tc>
      </w:tr>
      <w:tr w:rsidR="00AC7848" w:rsidRPr="00D9152B" w14:paraId="075D641D" w14:textId="77777777" w:rsidTr="005C7F9F">
        <w:tc>
          <w:tcPr>
            <w:cnfStyle w:val="001000000000" w:firstRow="0" w:lastRow="0" w:firstColumn="1" w:lastColumn="0" w:oddVBand="0" w:evenVBand="0" w:oddHBand="0" w:evenHBand="0" w:firstRowFirstColumn="0" w:firstRowLastColumn="0" w:lastRowFirstColumn="0" w:lastRowLastColumn="0"/>
            <w:tcW w:w="2252" w:type="dxa"/>
            <w:tcBorders>
              <w:top w:val="single" w:sz="4" w:space="0" w:color="auto"/>
              <w:bottom w:val="single" w:sz="4" w:space="0" w:color="auto"/>
              <w:right w:val="single" w:sz="4" w:space="0" w:color="auto"/>
            </w:tcBorders>
            <w:hideMark/>
          </w:tcPr>
          <w:p w14:paraId="47B430ED" w14:textId="77777777" w:rsidR="00AC7848" w:rsidRPr="00D9152B" w:rsidRDefault="00AC7848" w:rsidP="00413CE4">
            <w:pPr>
              <w:spacing w:before="100" w:beforeAutospacing="1" w:after="100" w:afterAutospacing="1"/>
              <w:rPr>
                <w:rFonts w:ascii="Calibri" w:hAnsi="Calibri" w:cs="Calibri"/>
                <w:b/>
                <w:sz w:val="18"/>
                <w:szCs w:val="18"/>
              </w:rPr>
            </w:pPr>
            <w:r w:rsidRPr="00D9152B">
              <w:rPr>
                <w:rFonts w:ascii="Calibri" w:hAnsi="Calibri" w:cs="Calibri"/>
                <w:b/>
                <w:sz w:val="18"/>
                <w:szCs w:val="18"/>
              </w:rPr>
              <w:t>Incidence</w:t>
            </w:r>
          </w:p>
        </w:tc>
        <w:tc>
          <w:tcPr>
            <w:cnfStyle w:val="000010000000" w:firstRow="0" w:lastRow="0" w:firstColumn="0" w:lastColumn="0" w:oddVBand="1" w:evenVBand="0" w:oddHBand="0" w:evenHBand="0" w:firstRowFirstColumn="0" w:firstRowLastColumn="0" w:lastRowFirstColumn="0" w:lastRowLastColumn="0"/>
            <w:tcW w:w="3413" w:type="dxa"/>
            <w:tcBorders>
              <w:top w:val="single" w:sz="4" w:space="0" w:color="auto"/>
              <w:left w:val="single" w:sz="4" w:space="0" w:color="auto"/>
              <w:bottom w:val="single" w:sz="4" w:space="0" w:color="auto"/>
              <w:right w:val="single" w:sz="4" w:space="0" w:color="auto"/>
            </w:tcBorders>
            <w:hideMark/>
          </w:tcPr>
          <w:p w14:paraId="66C5C910" w14:textId="77777777" w:rsidR="00AC7848" w:rsidRPr="00D9152B" w:rsidRDefault="00AC7848" w:rsidP="00413CE4">
            <w:pPr>
              <w:spacing w:before="100" w:beforeAutospacing="1" w:after="100" w:afterAutospacing="1"/>
              <w:rPr>
                <w:rFonts w:ascii="Calibri" w:hAnsi="Calibri" w:cs="Calibri"/>
                <w:sz w:val="18"/>
                <w:szCs w:val="18"/>
              </w:rPr>
            </w:pPr>
            <w:r w:rsidRPr="00D9152B">
              <w:rPr>
                <w:rFonts w:ascii="Calibri" w:hAnsi="Calibri" w:cs="Calibri"/>
                <w:sz w:val="18"/>
                <w:szCs w:val="18"/>
              </w:rPr>
              <w:t>Number of new cases of disease in indicator village (acquired infection since last census, shown via skin snips)</w:t>
            </w:r>
          </w:p>
        </w:tc>
        <w:tc>
          <w:tcPr>
            <w:tcW w:w="3402" w:type="dxa"/>
            <w:tcBorders>
              <w:top w:val="single" w:sz="4" w:space="0" w:color="auto"/>
              <w:left w:val="single" w:sz="4" w:space="0" w:color="auto"/>
              <w:bottom w:val="single" w:sz="4" w:space="0" w:color="auto"/>
            </w:tcBorders>
            <w:hideMark/>
          </w:tcPr>
          <w:p w14:paraId="4CBF6A44" w14:textId="77777777" w:rsidR="00AC7848" w:rsidRPr="00D9152B" w:rsidRDefault="00AC7848" w:rsidP="00413CE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Requires baseline data (detailed census)</w:t>
            </w:r>
          </w:p>
          <w:p w14:paraId="665C8B6B" w14:textId="77777777" w:rsidR="00AC7848" w:rsidRPr="00D9152B" w:rsidRDefault="00AC7848" w:rsidP="00413CE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Insensitive – does not measure intensity of infection (or blindness/ocular complications)</w:t>
            </w:r>
          </w:p>
        </w:tc>
      </w:tr>
      <w:tr w:rsidR="00AC7848" w:rsidRPr="00D9152B" w14:paraId="2BBC3A18" w14:textId="77777777" w:rsidTr="005C7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tcBorders>
              <w:top w:val="single" w:sz="4" w:space="0" w:color="auto"/>
              <w:bottom w:val="single" w:sz="4" w:space="0" w:color="auto"/>
              <w:right w:val="single" w:sz="4" w:space="0" w:color="auto"/>
            </w:tcBorders>
            <w:hideMark/>
          </w:tcPr>
          <w:p w14:paraId="24D650A7" w14:textId="77777777" w:rsidR="00AC7848" w:rsidRPr="00D9152B" w:rsidRDefault="00AC7848" w:rsidP="00413CE4">
            <w:pPr>
              <w:spacing w:before="100" w:beforeAutospacing="1" w:after="100" w:afterAutospacing="1"/>
              <w:rPr>
                <w:rFonts w:ascii="Calibri" w:hAnsi="Calibri" w:cs="Calibri"/>
                <w:b/>
                <w:sz w:val="18"/>
                <w:szCs w:val="18"/>
              </w:rPr>
            </w:pPr>
            <w:r w:rsidRPr="00D9152B">
              <w:rPr>
                <w:rFonts w:ascii="Calibri" w:hAnsi="Calibri" w:cs="Calibri"/>
                <w:b/>
                <w:sz w:val="18"/>
                <w:szCs w:val="18"/>
              </w:rPr>
              <w:t xml:space="preserve">Prevalence </w:t>
            </w:r>
          </w:p>
        </w:tc>
        <w:tc>
          <w:tcPr>
            <w:cnfStyle w:val="000010000000" w:firstRow="0" w:lastRow="0" w:firstColumn="0" w:lastColumn="0" w:oddVBand="1" w:evenVBand="0" w:oddHBand="0" w:evenHBand="0" w:firstRowFirstColumn="0" w:firstRowLastColumn="0" w:lastRowFirstColumn="0" w:lastRowLastColumn="0"/>
            <w:tcW w:w="3413" w:type="dxa"/>
            <w:tcBorders>
              <w:top w:val="single" w:sz="4" w:space="0" w:color="auto"/>
              <w:left w:val="single" w:sz="4" w:space="0" w:color="auto"/>
              <w:bottom w:val="single" w:sz="4" w:space="0" w:color="auto"/>
              <w:right w:val="single" w:sz="4" w:space="0" w:color="auto"/>
            </w:tcBorders>
            <w:hideMark/>
          </w:tcPr>
          <w:p w14:paraId="4CE0DF46" w14:textId="77777777" w:rsidR="00AC7848" w:rsidRPr="00D9152B" w:rsidRDefault="00AC7848" w:rsidP="00413CE4">
            <w:pPr>
              <w:spacing w:before="100" w:beforeAutospacing="1" w:after="100" w:afterAutospacing="1"/>
              <w:rPr>
                <w:rFonts w:ascii="Calibri" w:hAnsi="Calibri" w:cs="Calibri"/>
                <w:sz w:val="18"/>
                <w:szCs w:val="18"/>
              </w:rPr>
            </w:pPr>
            <w:r w:rsidRPr="00D9152B">
              <w:rPr>
                <w:rFonts w:ascii="Calibri" w:hAnsi="Calibri" w:cs="Calibri"/>
                <w:sz w:val="18"/>
                <w:szCs w:val="18"/>
              </w:rPr>
              <w:t>Total number of people in indicator village that have microfilariae present in skin snips (age and sex standardized)</w:t>
            </w:r>
          </w:p>
        </w:tc>
        <w:tc>
          <w:tcPr>
            <w:tcW w:w="3402" w:type="dxa"/>
            <w:tcBorders>
              <w:top w:val="single" w:sz="4" w:space="0" w:color="auto"/>
              <w:left w:val="single" w:sz="4" w:space="0" w:color="auto"/>
              <w:bottom w:val="single" w:sz="4" w:space="0" w:color="auto"/>
            </w:tcBorders>
            <w:hideMark/>
          </w:tcPr>
          <w:p w14:paraId="69E25AA4" w14:textId="722B3238" w:rsidR="00AC7848" w:rsidRPr="00D9152B" w:rsidRDefault="00AC7848" w:rsidP="00413CE4">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Insensitive – does not measure intensity of infection (or ocular infestation), and will typically not drop significantly until adult worms in humans</w:t>
            </w:r>
            <w:r w:rsidR="00B26752">
              <w:rPr>
                <w:rFonts w:ascii="Calibri" w:hAnsi="Calibri" w:cs="Calibri"/>
                <w:sz w:val="18"/>
                <w:szCs w:val="18"/>
              </w:rPr>
              <w:t xml:space="preserve"> start to</w:t>
            </w:r>
            <w:r w:rsidRPr="00D9152B">
              <w:rPr>
                <w:rFonts w:ascii="Calibri" w:hAnsi="Calibri" w:cs="Calibri"/>
                <w:sz w:val="18"/>
                <w:szCs w:val="18"/>
              </w:rPr>
              <w:t xml:space="preserve"> die (8+ years after vector control begins)</w:t>
            </w:r>
          </w:p>
        </w:tc>
      </w:tr>
      <w:tr w:rsidR="00AC7848" w:rsidRPr="00D9152B" w14:paraId="681C615C" w14:textId="77777777" w:rsidTr="005C7F9F">
        <w:trPr>
          <w:trHeight w:val="834"/>
        </w:trPr>
        <w:tc>
          <w:tcPr>
            <w:cnfStyle w:val="001000000000" w:firstRow="0" w:lastRow="0" w:firstColumn="1" w:lastColumn="0" w:oddVBand="0" w:evenVBand="0" w:oddHBand="0" w:evenHBand="0" w:firstRowFirstColumn="0" w:firstRowLastColumn="0" w:lastRowFirstColumn="0" w:lastRowLastColumn="0"/>
            <w:tcW w:w="2252" w:type="dxa"/>
            <w:tcBorders>
              <w:top w:val="single" w:sz="4" w:space="0" w:color="auto"/>
              <w:bottom w:val="single" w:sz="4" w:space="0" w:color="auto"/>
              <w:right w:val="single" w:sz="4" w:space="0" w:color="auto"/>
            </w:tcBorders>
            <w:hideMark/>
          </w:tcPr>
          <w:p w14:paraId="6F0D6F80" w14:textId="77777777" w:rsidR="00AC7848" w:rsidRPr="00D9152B" w:rsidRDefault="00AC7848" w:rsidP="00413CE4">
            <w:pPr>
              <w:spacing w:before="100" w:beforeAutospacing="1" w:after="100" w:afterAutospacing="1"/>
              <w:rPr>
                <w:rFonts w:ascii="Calibri" w:hAnsi="Calibri" w:cs="Calibri"/>
                <w:b/>
                <w:sz w:val="18"/>
                <w:szCs w:val="18"/>
              </w:rPr>
            </w:pPr>
            <w:r w:rsidRPr="00D9152B">
              <w:rPr>
                <w:rFonts w:ascii="Calibri" w:hAnsi="Calibri" w:cs="Calibri"/>
                <w:b/>
                <w:sz w:val="18"/>
                <w:szCs w:val="18"/>
              </w:rPr>
              <w:t>Children born since start of control, remaining free of infection</w:t>
            </w:r>
          </w:p>
        </w:tc>
        <w:tc>
          <w:tcPr>
            <w:cnfStyle w:val="000010000000" w:firstRow="0" w:lastRow="0" w:firstColumn="0" w:lastColumn="0" w:oddVBand="1" w:evenVBand="0" w:oddHBand="0" w:evenHBand="0" w:firstRowFirstColumn="0" w:firstRowLastColumn="0" w:lastRowFirstColumn="0" w:lastRowLastColumn="0"/>
            <w:tcW w:w="3413" w:type="dxa"/>
            <w:tcBorders>
              <w:top w:val="single" w:sz="4" w:space="0" w:color="auto"/>
              <w:left w:val="single" w:sz="4" w:space="0" w:color="auto"/>
              <w:bottom w:val="single" w:sz="4" w:space="0" w:color="auto"/>
              <w:right w:val="single" w:sz="4" w:space="0" w:color="auto"/>
            </w:tcBorders>
            <w:hideMark/>
          </w:tcPr>
          <w:p w14:paraId="717B77F5" w14:textId="77777777" w:rsidR="00AC7848" w:rsidRPr="00D9152B" w:rsidRDefault="00AC7848" w:rsidP="00413CE4">
            <w:pPr>
              <w:spacing w:before="100" w:beforeAutospacing="1" w:after="100" w:afterAutospacing="1"/>
              <w:rPr>
                <w:rFonts w:ascii="Calibri" w:hAnsi="Calibri" w:cs="Calibri"/>
                <w:sz w:val="18"/>
                <w:szCs w:val="18"/>
              </w:rPr>
            </w:pPr>
            <w:r w:rsidRPr="00D9152B">
              <w:rPr>
                <w:rFonts w:ascii="Calibri" w:hAnsi="Calibri" w:cs="Calibri"/>
                <w:sz w:val="18"/>
                <w:szCs w:val="18"/>
              </w:rPr>
              <w:t>Indicates that interruption of transmission may be achieved, often before prevalence falls in an indicator village</w:t>
            </w:r>
          </w:p>
        </w:tc>
        <w:tc>
          <w:tcPr>
            <w:tcW w:w="3402" w:type="dxa"/>
            <w:tcBorders>
              <w:top w:val="single" w:sz="4" w:space="0" w:color="auto"/>
              <w:left w:val="single" w:sz="4" w:space="0" w:color="auto"/>
              <w:bottom w:val="single" w:sz="4" w:space="0" w:color="auto"/>
            </w:tcBorders>
            <w:hideMark/>
          </w:tcPr>
          <w:p w14:paraId="28B5F8F4" w14:textId="77777777" w:rsidR="00AC7848" w:rsidRPr="00D9152B" w:rsidRDefault="00AC7848" w:rsidP="00413CE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Insensitive – Infections among young children are relatively rare, even in hyperendemic villages without vector control</w:t>
            </w:r>
          </w:p>
        </w:tc>
      </w:tr>
      <w:tr w:rsidR="00AC7848" w:rsidRPr="00D9152B" w14:paraId="3B46792C" w14:textId="77777777" w:rsidTr="005C7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tcBorders>
              <w:top w:val="single" w:sz="4" w:space="0" w:color="auto"/>
              <w:right w:val="single" w:sz="4" w:space="0" w:color="auto"/>
            </w:tcBorders>
            <w:hideMark/>
          </w:tcPr>
          <w:p w14:paraId="23CFF385" w14:textId="77777777" w:rsidR="00AC7848" w:rsidRPr="00D9152B" w:rsidRDefault="00AC7848" w:rsidP="00413CE4">
            <w:pPr>
              <w:spacing w:before="100" w:beforeAutospacing="1" w:after="100" w:afterAutospacing="1"/>
              <w:rPr>
                <w:rFonts w:ascii="Calibri" w:hAnsi="Calibri" w:cs="Calibri"/>
                <w:b/>
                <w:sz w:val="18"/>
                <w:szCs w:val="18"/>
              </w:rPr>
            </w:pPr>
            <w:r w:rsidRPr="00D9152B">
              <w:rPr>
                <w:rFonts w:ascii="Calibri" w:hAnsi="Calibri" w:cs="Calibri"/>
                <w:b/>
                <w:sz w:val="18"/>
                <w:szCs w:val="18"/>
              </w:rPr>
              <w:t>Community Microfilarial Load (CMFL)</w:t>
            </w:r>
          </w:p>
        </w:tc>
        <w:tc>
          <w:tcPr>
            <w:cnfStyle w:val="000010000000" w:firstRow="0" w:lastRow="0" w:firstColumn="0" w:lastColumn="0" w:oddVBand="1" w:evenVBand="0" w:oddHBand="0" w:evenHBand="0" w:firstRowFirstColumn="0" w:firstRowLastColumn="0" w:lastRowFirstColumn="0" w:lastRowLastColumn="0"/>
            <w:tcW w:w="3413" w:type="dxa"/>
            <w:tcBorders>
              <w:top w:val="single" w:sz="4" w:space="0" w:color="auto"/>
              <w:left w:val="single" w:sz="4" w:space="0" w:color="auto"/>
              <w:right w:val="single" w:sz="4" w:space="0" w:color="auto"/>
            </w:tcBorders>
            <w:hideMark/>
          </w:tcPr>
          <w:p w14:paraId="7BBDFAC6" w14:textId="77777777" w:rsidR="00AC7848" w:rsidRPr="00D9152B" w:rsidRDefault="00AC7848" w:rsidP="00413CE4">
            <w:pPr>
              <w:spacing w:before="100" w:beforeAutospacing="1" w:after="100" w:afterAutospacing="1"/>
              <w:rPr>
                <w:rFonts w:ascii="Calibri" w:hAnsi="Calibri" w:cs="Calibri"/>
                <w:sz w:val="18"/>
                <w:szCs w:val="18"/>
              </w:rPr>
            </w:pPr>
            <w:r w:rsidRPr="00D9152B">
              <w:rPr>
                <w:rFonts w:ascii="Calibri" w:hAnsi="Calibri" w:cs="Calibri"/>
                <w:sz w:val="18"/>
                <w:szCs w:val="18"/>
              </w:rPr>
              <w:t>Geometric mean microfilarial load of adults at least 20 at start of control (measures intensity of infection, and reflects risk of eye lesions/blindness)</w:t>
            </w:r>
          </w:p>
        </w:tc>
        <w:tc>
          <w:tcPr>
            <w:tcW w:w="3402" w:type="dxa"/>
            <w:tcBorders>
              <w:top w:val="single" w:sz="4" w:space="0" w:color="auto"/>
              <w:left w:val="single" w:sz="4" w:space="0" w:color="auto"/>
            </w:tcBorders>
            <w:hideMark/>
          </w:tcPr>
          <w:p w14:paraId="424A6661" w14:textId="77777777" w:rsidR="00AC7848" w:rsidRPr="00D9152B" w:rsidRDefault="00AC7848" w:rsidP="00413CE4">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Requires baseline data (detailed census) and good record keeping</w:t>
            </w:r>
          </w:p>
        </w:tc>
      </w:tr>
    </w:tbl>
    <w:p w14:paraId="52294CC2" w14:textId="77777777" w:rsidR="00DF52DF" w:rsidRPr="00D9152B" w:rsidRDefault="00DF52DF" w:rsidP="00DF52DF">
      <w:pPr>
        <w:jc w:val="both"/>
        <w:rPr>
          <w:rFonts w:ascii="Calibri" w:hAnsi="Calibri" w:cs="Calibri"/>
          <w:color w:val="7F7F7F" w:themeColor="text1" w:themeTint="80"/>
        </w:rPr>
      </w:pPr>
    </w:p>
    <w:p w14:paraId="34B087E1" w14:textId="202B1879" w:rsidR="00AC7848" w:rsidRPr="00D9152B" w:rsidRDefault="00D82A8E" w:rsidP="00DF52DF">
      <w:pPr>
        <w:jc w:val="both"/>
        <w:rPr>
          <w:rFonts w:ascii="Calibri" w:hAnsi="Calibri" w:cs="Calibri"/>
          <w:color w:val="7F7F7F" w:themeColor="text1" w:themeTint="80"/>
          <w:sz w:val="22"/>
          <w:szCs w:val="22"/>
        </w:rPr>
      </w:pPr>
      <w:r w:rsidRPr="00D9152B">
        <w:rPr>
          <w:rFonts w:ascii="Calibri" w:hAnsi="Calibri" w:cs="Calibri"/>
          <w:color w:val="7F7F7F" w:themeColor="text1" w:themeTint="80"/>
          <w:sz w:val="22"/>
          <w:szCs w:val="22"/>
        </w:rPr>
        <w:t>Table</w:t>
      </w:r>
      <w:r w:rsidR="009A0400" w:rsidRPr="00D9152B">
        <w:rPr>
          <w:rFonts w:ascii="Calibri" w:hAnsi="Calibri" w:cs="Calibri"/>
          <w:color w:val="7F7F7F" w:themeColor="text1" w:themeTint="80"/>
          <w:sz w:val="22"/>
          <w:szCs w:val="22"/>
        </w:rPr>
        <w:t xml:space="preserve"> </w:t>
      </w:r>
      <w:r w:rsidR="006D0AC8">
        <w:rPr>
          <w:rFonts w:ascii="Calibri" w:hAnsi="Calibri" w:cs="Calibri"/>
          <w:color w:val="7F7F7F" w:themeColor="text1" w:themeTint="80"/>
          <w:sz w:val="22"/>
          <w:szCs w:val="22"/>
        </w:rPr>
        <w:t>4.</w:t>
      </w:r>
      <w:r w:rsidRPr="00D9152B">
        <w:rPr>
          <w:rFonts w:ascii="Calibri" w:hAnsi="Calibri" w:cs="Calibri"/>
          <w:color w:val="7F7F7F" w:themeColor="text1" w:themeTint="80"/>
          <w:sz w:val="22"/>
          <w:szCs w:val="22"/>
        </w:rPr>
        <w:t>1</w:t>
      </w:r>
      <w:r w:rsidR="00AC7848" w:rsidRPr="00D9152B">
        <w:rPr>
          <w:rFonts w:ascii="Calibri" w:hAnsi="Calibri" w:cs="Calibri"/>
          <w:color w:val="7F7F7F" w:themeColor="text1" w:themeTint="80"/>
          <w:sz w:val="22"/>
          <w:szCs w:val="22"/>
        </w:rPr>
        <w:t>. Major epidemiologic</w:t>
      </w:r>
      <w:r w:rsidR="009A0400" w:rsidRPr="00D9152B">
        <w:rPr>
          <w:rFonts w:ascii="Calibri" w:hAnsi="Calibri" w:cs="Calibri"/>
          <w:color w:val="7F7F7F" w:themeColor="text1" w:themeTint="80"/>
          <w:sz w:val="22"/>
          <w:szCs w:val="22"/>
        </w:rPr>
        <w:t>al metrics used during the OCP.</w:t>
      </w:r>
      <w:r w:rsidR="00304268" w:rsidRPr="00D9152B">
        <w:rPr>
          <w:rStyle w:val="FootnoteReference"/>
          <w:rFonts w:ascii="Calibri" w:hAnsi="Calibri" w:cs="Calibri"/>
          <w:color w:val="7F7F7F" w:themeColor="text1" w:themeTint="80"/>
        </w:rPr>
        <w:footnoteReference w:id="276"/>
      </w:r>
    </w:p>
    <w:p w14:paraId="441F5FE0" w14:textId="37B81402" w:rsidR="00DF52DF" w:rsidRPr="00D9152B" w:rsidRDefault="002F22C3" w:rsidP="005C7F9F">
      <w:pPr>
        <w:pStyle w:val="Heading3"/>
        <w:spacing w:before="100" w:beforeAutospacing="1" w:after="100" w:afterAutospacing="1" w:line="360" w:lineRule="auto"/>
        <w:rPr>
          <w:rFonts w:ascii="Calibri" w:hAnsi="Calibri" w:cs="Calibri"/>
          <w:b/>
          <w:i/>
          <w:color w:val="000000" w:themeColor="text1"/>
          <w:sz w:val="22"/>
          <w:szCs w:val="22"/>
        </w:rPr>
      </w:pPr>
      <w:bookmarkStart w:id="64" w:name="_Toc41505638"/>
      <w:r w:rsidRPr="00D9152B">
        <w:rPr>
          <w:rFonts w:ascii="Calibri" w:hAnsi="Calibri" w:cs="Calibri"/>
          <w:b/>
          <w:i/>
          <w:color w:val="000000" w:themeColor="text1"/>
          <w:sz w:val="22"/>
          <w:szCs w:val="22"/>
        </w:rPr>
        <w:t>4.</w:t>
      </w:r>
      <w:r w:rsidR="0098315E" w:rsidRPr="00D9152B">
        <w:rPr>
          <w:rFonts w:ascii="Calibri" w:hAnsi="Calibri" w:cs="Calibri"/>
          <w:b/>
          <w:i/>
          <w:color w:val="000000" w:themeColor="text1"/>
          <w:sz w:val="22"/>
          <w:szCs w:val="22"/>
        </w:rPr>
        <w:t>4.B</w:t>
      </w:r>
      <w:r w:rsidRPr="00D9152B">
        <w:rPr>
          <w:rFonts w:ascii="Calibri" w:hAnsi="Calibri" w:cs="Calibri"/>
          <w:b/>
          <w:i/>
          <w:color w:val="000000" w:themeColor="text1"/>
          <w:sz w:val="22"/>
          <w:szCs w:val="22"/>
        </w:rPr>
        <w:t xml:space="preserve">. </w:t>
      </w:r>
      <w:r w:rsidR="009A0400" w:rsidRPr="00D9152B">
        <w:rPr>
          <w:rFonts w:ascii="Calibri" w:hAnsi="Calibri" w:cs="Calibri"/>
          <w:b/>
          <w:i/>
          <w:color w:val="000000" w:themeColor="text1"/>
          <w:sz w:val="22"/>
          <w:szCs w:val="22"/>
        </w:rPr>
        <w:t>Declaring epidemiological success</w:t>
      </w:r>
      <w:bookmarkEnd w:id="64"/>
    </w:p>
    <w:p w14:paraId="0C920842" w14:textId="1733358B" w:rsidR="00606DD1" w:rsidRPr="00D9152B" w:rsidRDefault="00606DD1"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As </w:t>
      </w:r>
      <w:r w:rsidR="007D0B53" w:rsidRPr="00D9152B">
        <w:rPr>
          <w:rFonts w:ascii="Calibri" w:hAnsi="Calibri" w:cs="Calibri"/>
          <w:sz w:val="22"/>
          <w:szCs w:val="22"/>
        </w:rPr>
        <w:t>described</w:t>
      </w:r>
      <w:r w:rsidRPr="00D9152B">
        <w:rPr>
          <w:rFonts w:ascii="Calibri" w:hAnsi="Calibri" w:cs="Calibri"/>
          <w:sz w:val="22"/>
          <w:szCs w:val="22"/>
        </w:rPr>
        <w:t xml:space="preserve"> in Chapter 3, most of the Bank’s early archived references to public health success were around 1982-1983. References then rose during the late 1980s and, especially, in 1994. This timeline fits well with the epidemiological data; u</w:t>
      </w:r>
      <w:r w:rsidR="00AC7848" w:rsidRPr="00D9152B">
        <w:rPr>
          <w:rFonts w:ascii="Calibri" w:hAnsi="Calibri" w:cs="Calibri"/>
          <w:sz w:val="22"/>
          <w:szCs w:val="22"/>
        </w:rPr>
        <w:t>sing the ‘tolerable’</w:t>
      </w:r>
      <w:r w:rsidR="009A0400" w:rsidRPr="00D9152B">
        <w:rPr>
          <w:rFonts w:ascii="Calibri" w:hAnsi="Calibri" w:cs="Calibri"/>
          <w:sz w:val="22"/>
          <w:szCs w:val="22"/>
        </w:rPr>
        <w:t xml:space="preserve"> transmission</w:t>
      </w:r>
      <w:r w:rsidR="00AC7848" w:rsidRPr="00D9152B">
        <w:rPr>
          <w:rFonts w:ascii="Calibri" w:hAnsi="Calibri" w:cs="Calibri"/>
          <w:sz w:val="22"/>
          <w:szCs w:val="22"/>
        </w:rPr>
        <w:t xml:space="preserve"> criteria</w:t>
      </w:r>
      <w:r w:rsidRPr="00D9152B">
        <w:rPr>
          <w:rFonts w:ascii="Calibri" w:hAnsi="Calibri" w:cs="Calibri"/>
          <w:sz w:val="22"/>
          <w:szCs w:val="22"/>
        </w:rPr>
        <w:t xml:space="preserve"> (for the </w:t>
      </w:r>
      <w:r w:rsidR="00AC33B8" w:rsidRPr="00D9152B">
        <w:rPr>
          <w:rFonts w:ascii="Calibri" w:hAnsi="Calibri" w:cs="Calibri"/>
          <w:sz w:val="22"/>
          <w:szCs w:val="22"/>
        </w:rPr>
        <w:t>annual bite rate</w:t>
      </w:r>
      <w:r w:rsidRPr="00D9152B">
        <w:rPr>
          <w:rFonts w:ascii="Calibri" w:hAnsi="Calibri" w:cs="Calibri"/>
          <w:sz w:val="22"/>
          <w:szCs w:val="22"/>
        </w:rPr>
        <w:t xml:space="preserve"> and </w:t>
      </w:r>
      <w:r w:rsidR="00AC33B8" w:rsidRPr="00D9152B">
        <w:rPr>
          <w:rFonts w:ascii="Calibri" w:hAnsi="Calibri" w:cs="Calibri"/>
          <w:sz w:val="22"/>
          <w:szCs w:val="22"/>
        </w:rPr>
        <w:t>annual transmission potential</w:t>
      </w:r>
      <w:r w:rsidRPr="00D9152B">
        <w:rPr>
          <w:rFonts w:ascii="Calibri" w:hAnsi="Calibri" w:cs="Calibri"/>
          <w:sz w:val="22"/>
          <w:szCs w:val="22"/>
        </w:rPr>
        <w:t>)</w:t>
      </w:r>
      <w:r w:rsidR="00AC7848" w:rsidRPr="00D9152B">
        <w:rPr>
          <w:rFonts w:ascii="Calibri" w:hAnsi="Calibri" w:cs="Calibri"/>
          <w:sz w:val="22"/>
          <w:szCs w:val="22"/>
        </w:rPr>
        <w:t xml:space="preserve">, </w:t>
      </w:r>
      <w:r w:rsidRPr="00D9152B">
        <w:rPr>
          <w:rFonts w:ascii="Calibri" w:hAnsi="Calibri" w:cs="Calibri"/>
          <w:sz w:val="22"/>
          <w:szCs w:val="22"/>
        </w:rPr>
        <w:t xml:space="preserve">the </w:t>
      </w:r>
      <w:r w:rsidR="00AC33B8" w:rsidRPr="00D9152B">
        <w:rPr>
          <w:rFonts w:ascii="Calibri" w:hAnsi="Calibri" w:cs="Calibri"/>
          <w:sz w:val="22"/>
          <w:szCs w:val="22"/>
        </w:rPr>
        <w:t>Expert Advisory Committee</w:t>
      </w:r>
      <w:r w:rsidRPr="00D9152B">
        <w:rPr>
          <w:rFonts w:ascii="Calibri" w:hAnsi="Calibri" w:cs="Calibri"/>
          <w:sz w:val="22"/>
          <w:szCs w:val="22"/>
        </w:rPr>
        <w:t xml:space="preserve"> reported that about 80 percent of the programme area was free of transmission in 1981.</w:t>
      </w:r>
      <w:r w:rsidRPr="00D9152B">
        <w:rPr>
          <w:rStyle w:val="FootnoteReference"/>
          <w:rFonts w:ascii="Calibri" w:hAnsi="Calibri" w:cs="Calibri"/>
          <w:sz w:val="22"/>
          <w:szCs w:val="22"/>
        </w:rPr>
        <w:footnoteReference w:id="277"/>
      </w:r>
      <w:r w:rsidRPr="00D9152B">
        <w:rPr>
          <w:rFonts w:ascii="Calibri" w:hAnsi="Calibri" w:cs="Calibri"/>
          <w:sz w:val="22"/>
          <w:szCs w:val="22"/>
        </w:rPr>
        <w:t xml:space="preserve"> An impact review in 1985 similarly showed that, among indicator villages assessed in 1983-1984, the </w:t>
      </w:r>
      <w:r w:rsidR="00AC33B8" w:rsidRPr="00D9152B">
        <w:rPr>
          <w:rFonts w:ascii="Calibri" w:hAnsi="Calibri" w:cs="Calibri"/>
          <w:sz w:val="22"/>
          <w:szCs w:val="22"/>
        </w:rPr>
        <w:t>community microfilarial load</w:t>
      </w:r>
      <w:r w:rsidRPr="00D9152B">
        <w:rPr>
          <w:rFonts w:ascii="Calibri" w:hAnsi="Calibri" w:cs="Calibri"/>
          <w:sz w:val="22"/>
          <w:szCs w:val="22"/>
        </w:rPr>
        <w:t xml:space="preserve"> had decreased by more than 70</w:t>
      </w:r>
      <w:r w:rsidR="00AC33B8" w:rsidRPr="00D9152B">
        <w:rPr>
          <w:rFonts w:ascii="Calibri" w:hAnsi="Calibri" w:cs="Calibri"/>
          <w:sz w:val="22"/>
          <w:szCs w:val="22"/>
        </w:rPr>
        <w:t xml:space="preserve"> percent</w:t>
      </w:r>
      <w:r w:rsidRPr="00D9152B">
        <w:rPr>
          <w:rFonts w:ascii="Calibri" w:hAnsi="Calibri" w:cs="Calibri"/>
          <w:sz w:val="22"/>
          <w:szCs w:val="22"/>
        </w:rPr>
        <w:t xml:space="preserve">. This indicated that the number of adult </w:t>
      </w:r>
      <w:r w:rsidRPr="00D9152B">
        <w:rPr>
          <w:rFonts w:ascii="Calibri" w:hAnsi="Calibri" w:cs="Calibri"/>
          <w:sz w:val="22"/>
          <w:szCs w:val="22"/>
        </w:rPr>
        <w:lastRenderedPageBreak/>
        <w:t xml:space="preserve">worms in infected individuals </w:t>
      </w:r>
      <w:r w:rsidR="000B094F">
        <w:rPr>
          <w:rFonts w:ascii="Calibri" w:hAnsi="Calibri" w:cs="Calibri"/>
          <w:sz w:val="22"/>
          <w:szCs w:val="22"/>
        </w:rPr>
        <w:t>was</w:t>
      </w:r>
      <w:r w:rsidR="000B094F" w:rsidRPr="00D9152B">
        <w:rPr>
          <w:rFonts w:ascii="Calibri" w:hAnsi="Calibri" w:cs="Calibri"/>
          <w:sz w:val="22"/>
          <w:szCs w:val="22"/>
        </w:rPr>
        <w:t xml:space="preserve"> </w:t>
      </w:r>
      <w:r w:rsidRPr="00D9152B">
        <w:rPr>
          <w:rFonts w:ascii="Calibri" w:hAnsi="Calibri" w:cs="Calibri"/>
          <w:sz w:val="22"/>
          <w:szCs w:val="22"/>
        </w:rPr>
        <w:t>declining, and that prevalence would likely fall sharply in the next two to three years.</w:t>
      </w:r>
      <w:r w:rsidRPr="00D9152B">
        <w:rPr>
          <w:rStyle w:val="FootnoteReference"/>
          <w:rFonts w:ascii="Calibri" w:hAnsi="Calibri" w:cs="Calibri"/>
          <w:sz w:val="22"/>
          <w:szCs w:val="22"/>
        </w:rPr>
        <w:footnoteReference w:id="278"/>
      </w:r>
    </w:p>
    <w:p w14:paraId="5C3993D1" w14:textId="495177CC"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What is interesting is that the metrics most commonly cited in the success story – the number of children born without risk, the population protected, and the number of cases of blindness prevented (based on prevalence) – are not the more sensitive metrics developed during the programme. The </w:t>
      </w:r>
      <w:r w:rsidR="00AC33B8" w:rsidRPr="00D9152B">
        <w:rPr>
          <w:rFonts w:ascii="Calibri" w:hAnsi="Calibri" w:cs="Calibri"/>
          <w:sz w:val="22"/>
          <w:szCs w:val="22"/>
        </w:rPr>
        <w:t>community microfilarial load</w:t>
      </w:r>
      <w:r w:rsidRPr="00D9152B">
        <w:rPr>
          <w:rFonts w:ascii="Calibri" w:hAnsi="Calibri" w:cs="Calibri"/>
          <w:sz w:val="22"/>
          <w:szCs w:val="22"/>
        </w:rPr>
        <w:t xml:space="preserve"> is only cited in a few publications, even though it was the only major metric that meaningfully linked risk of disease to ophthalmological symptoms, like blindness. Metrics like the ‘population protected’ could also be deceptive; they assumed that everyone in control regions was at risk for infection, when the baseline data about risk was only available from indicator villages (</w:t>
      </w:r>
      <w:r w:rsidRPr="00D9152B">
        <w:rPr>
          <w:rFonts w:ascii="Calibri" w:hAnsi="Calibri" w:cs="Calibri"/>
          <w:sz w:val="22"/>
          <w:szCs w:val="22"/>
          <w:shd w:val="clear" w:color="auto" w:fill="FFFFFF" w:themeFill="background1"/>
        </w:rPr>
        <w:t>which covered abo</w:t>
      </w:r>
      <w:r w:rsidR="00F97438" w:rsidRPr="00D9152B">
        <w:rPr>
          <w:rFonts w:ascii="Calibri" w:hAnsi="Calibri" w:cs="Calibri"/>
          <w:sz w:val="22"/>
          <w:szCs w:val="22"/>
          <w:shd w:val="clear" w:color="auto" w:fill="FFFFFF" w:themeFill="background1"/>
        </w:rPr>
        <w:t>ut one percent</w:t>
      </w:r>
      <w:r w:rsidRPr="00D9152B">
        <w:rPr>
          <w:rFonts w:ascii="Calibri" w:hAnsi="Calibri" w:cs="Calibri"/>
          <w:sz w:val="22"/>
          <w:szCs w:val="22"/>
          <w:shd w:val="clear" w:color="auto" w:fill="FFFFFF" w:themeFill="background1"/>
        </w:rPr>
        <w:t xml:space="preserve"> of the population of the OCP zone</w:t>
      </w:r>
      <w:r w:rsidRPr="00D9152B">
        <w:rPr>
          <w:rFonts w:ascii="Calibri" w:hAnsi="Calibri" w:cs="Calibri"/>
          <w:sz w:val="22"/>
          <w:szCs w:val="22"/>
        </w:rPr>
        <w:t>).</w:t>
      </w:r>
      <w:r w:rsidRPr="00D9152B">
        <w:rPr>
          <w:rStyle w:val="FootnoteReference"/>
          <w:rFonts w:ascii="Calibri" w:hAnsi="Calibri" w:cs="Calibri"/>
          <w:bCs/>
          <w:sz w:val="22"/>
          <w:szCs w:val="22"/>
        </w:rPr>
        <w:footnoteReference w:id="279"/>
      </w:r>
      <w:r w:rsidRPr="00D9152B">
        <w:rPr>
          <w:rFonts w:ascii="Calibri" w:hAnsi="Calibri" w:cs="Calibri"/>
          <w:sz w:val="22"/>
          <w:szCs w:val="22"/>
        </w:rPr>
        <w:t xml:space="preserve">  </w:t>
      </w:r>
    </w:p>
    <w:p w14:paraId="27E8940A" w14:textId="4DE382B1" w:rsidR="00AC7848" w:rsidRPr="00D9152B" w:rsidRDefault="0098315E" w:rsidP="002F22C3">
      <w:pPr>
        <w:pStyle w:val="Heading2"/>
        <w:spacing w:before="100" w:beforeAutospacing="1" w:after="100" w:afterAutospacing="1" w:line="360" w:lineRule="auto"/>
        <w:rPr>
          <w:rFonts w:ascii="Calibri" w:hAnsi="Calibri" w:cs="Calibri"/>
          <w:b/>
          <w:sz w:val="26"/>
          <w:szCs w:val="26"/>
        </w:rPr>
      </w:pPr>
      <w:bookmarkStart w:id="65" w:name="_Toc41505639"/>
      <w:r w:rsidRPr="00D9152B">
        <w:rPr>
          <w:rFonts w:ascii="Calibri" w:hAnsi="Calibri" w:cs="Calibri"/>
          <w:b/>
          <w:sz w:val="26"/>
          <w:szCs w:val="26"/>
        </w:rPr>
        <w:t>4.</w:t>
      </w:r>
      <w:r w:rsidR="002F22C3" w:rsidRPr="00D9152B">
        <w:rPr>
          <w:rFonts w:ascii="Calibri" w:hAnsi="Calibri" w:cs="Calibri"/>
          <w:b/>
          <w:sz w:val="26"/>
          <w:szCs w:val="26"/>
        </w:rPr>
        <w:t xml:space="preserve">5. </w:t>
      </w:r>
      <w:r w:rsidR="008E609B" w:rsidRPr="00D9152B">
        <w:rPr>
          <w:rFonts w:ascii="Calibri" w:hAnsi="Calibri" w:cs="Calibri"/>
          <w:b/>
          <w:sz w:val="26"/>
          <w:szCs w:val="26"/>
        </w:rPr>
        <w:t>Measuring the OCP’s economic and development progress</w:t>
      </w:r>
      <w:bookmarkEnd w:id="65"/>
    </w:p>
    <w:p w14:paraId="536F49FC" w14:textId="533C3F02"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Donors and sponsoring agencies were certainly pleased to be able to report promising health outcomes to their constituencies. However, the OCP was hardly a product of pure humanitarian goodwill. From the start, OCP partners maintained that ‘it was pointless to consider the project as a public health scheme because governments were not prepared to commit their own resources in the long term…committed solely to this kind of [health] work unless it were accompanied by development projects’.</w:t>
      </w:r>
      <w:r w:rsidRPr="00D9152B">
        <w:rPr>
          <w:rStyle w:val="FootnoteReference"/>
          <w:rFonts w:ascii="Calibri" w:hAnsi="Calibri" w:cs="Calibri"/>
          <w:sz w:val="22"/>
          <w:szCs w:val="22"/>
        </w:rPr>
        <w:t xml:space="preserve"> </w:t>
      </w:r>
      <w:r w:rsidRPr="00D9152B">
        <w:rPr>
          <w:rStyle w:val="FootnoteReference"/>
          <w:rFonts w:ascii="Calibri" w:hAnsi="Calibri" w:cs="Calibri"/>
          <w:sz w:val="22"/>
          <w:szCs w:val="22"/>
        </w:rPr>
        <w:footnoteReference w:id="280"/>
      </w:r>
      <w:r w:rsidRPr="00D9152B">
        <w:rPr>
          <w:rFonts w:ascii="Calibri" w:hAnsi="Calibri" w:cs="Calibri"/>
          <w:sz w:val="22"/>
          <w:szCs w:val="22"/>
        </w:rPr>
        <w:t xml:space="preserve"> Former Director General of the WHO Marc</w:t>
      </w:r>
      <w:r w:rsidR="000F7553">
        <w:rPr>
          <w:rFonts w:ascii="Calibri" w:hAnsi="Calibri" w:cs="Calibri"/>
          <w:sz w:val="22"/>
          <w:szCs w:val="22"/>
        </w:rPr>
        <w:t>o</w:t>
      </w:r>
      <w:r w:rsidR="000B094F">
        <w:rPr>
          <w:rFonts w:ascii="Calibri" w:hAnsi="Calibri" w:cs="Calibri"/>
          <w:sz w:val="22"/>
          <w:szCs w:val="22"/>
        </w:rPr>
        <w:t>lino</w:t>
      </w:r>
      <w:r w:rsidRPr="00D9152B">
        <w:rPr>
          <w:rFonts w:ascii="Calibri" w:hAnsi="Calibri" w:cs="Calibri"/>
          <w:sz w:val="22"/>
          <w:szCs w:val="22"/>
        </w:rPr>
        <w:t xml:space="preserve"> Candau, who served as the first Chairman of the Joint Coordinating Committee</w:t>
      </w:r>
      <w:r w:rsidR="00125113" w:rsidRPr="00D9152B">
        <w:rPr>
          <w:rFonts w:ascii="Calibri" w:hAnsi="Calibri" w:cs="Calibri"/>
          <w:sz w:val="22"/>
          <w:szCs w:val="22"/>
        </w:rPr>
        <w:t xml:space="preserve"> (JCC)</w:t>
      </w:r>
      <w:r w:rsidRPr="00D9152B">
        <w:rPr>
          <w:rFonts w:ascii="Calibri" w:hAnsi="Calibri" w:cs="Calibri"/>
          <w:sz w:val="22"/>
          <w:szCs w:val="22"/>
        </w:rPr>
        <w:t xml:space="preserve">, went so far as to call onchocerciasis control ‘sine qua non’ for </w:t>
      </w:r>
      <w:r w:rsidRPr="00D9152B">
        <w:rPr>
          <w:rFonts w:ascii="Calibri" w:hAnsi="Calibri" w:cs="Calibri"/>
          <w:iCs/>
          <w:sz w:val="22"/>
          <w:szCs w:val="22"/>
        </w:rPr>
        <w:t>the social and economic development</w:t>
      </w:r>
      <w:r w:rsidRPr="00D9152B">
        <w:rPr>
          <w:rFonts w:ascii="Calibri" w:hAnsi="Calibri" w:cs="Calibri"/>
          <w:sz w:val="22"/>
          <w:szCs w:val="22"/>
        </w:rPr>
        <w:t xml:space="preserve"> of West Africa.</w:t>
      </w:r>
      <w:r w:rsidRPr="00D9152B">
        <w:rPr>
          <w:rStyle w:val="FootnoteReference"/>
          <w:rFonts w:ascii="Calibri" w:hAnsi="Calibri" w:cs="Calibri"/>
          <w:sz w:val="22"/>
          <w:szCs w:val="22"/>
        </w:rPr>
        <w:footnoteReference w:id="281"/>
      </w:r>
      <w:r w:rsidR="00BE68E5" w:rsidRPr="00D9152B">
        <w:rPr>
          <w:rFonts w:ascii="Calibri" w:hAnsi="Calibri" w:cs="Calibri"/>
          <w:sz w:val="22"/>
          <w:szCs w:val="22"/>
        </w:rPr>
        <w:t xml:space="preserve"> </w:t>
      </w:r>
      <w:r w:rsidRPr="00D9152B">
        <w:rPr>
          <w:rFonts w:ascii="Calibri" w:hAnsi="Calibri" w:cs="Calibri"/>
          <w:sz w:val="22"/>
          <w:szCs w:val="22"/>
        </w:rPr>
        <w:t xml:space="preserve">Similarly, Bank staff wrote that the OCP needed </w:t>
      </w:r>
      <w:r w:rsidR="008E609B" w:rsidRPr="00D9152B">
        <w:rPr>
          <w:rFonts w:ascii="Calibri" w:hAnsi="Calibri" w:cs="Calibri"/>
          <w:sz w:val="22"/>
          <w:szCs w:val="22"/>
        </w:rPr>
        <w:t>to be ‘economically beneficial’;</w:t>
      </w:r>
      <w:r w:rsidRPr="00D9152B">
        <w:rPr>
          <w:rStyle w:val="FootnoteReference"/>
          <w:rFonts w:ascii="Calibri" w:hAnsi="Calibri" w:cs="Calibri"/>
          <w:sz w:val="22"/>
          <w:szCs w:val="22"/>
        </w:rPr>
        <w:footnoteReference w:id="282"/>
      </w:r>
      <w:r w:rsidRPr="00D9152B">
        <w:rPr>
          <w:rFonts w:ascii="Calibri" w:hAnsi="Calibri" w:cs="Calibri"/>
          <w:sz w:val="22"/>
          <w:szCs w:val="22"/>
        </w:rPr>
        <w:t xml:space="preserve"> </w:t>
      </w:r>
      <w:r w:rsidR="00BE68E5" w:rsidRPr="00D9152B">
        <w:rPr>
          <w:rFonts w:ascii="Calibri" w:hAnsi="Calibri" w:cs="Calibri"/>
          <w:sz w:val="22"/>
          <w:szCs w:val="22"/>
        </w:rPr>
        <w:t>the</w:t>
      </w:r>
      <w:r w:rsidRPr="00D9152B">
        <w:rPr>
          <w:rFonts w:ascii="Calibri" w:hAnsi="Calibri" w:cs="Calibri"/>
          <w:sz w:val="22"/>
          <w:szCs w:val="22"/>
        </w:rPr>
        <w:t xml:space="preserve"> head of the Economic Development Unit (EDU) agreed that the ‘hard-nosed’ economic development view supporting ‘sanitization’ of oncho land was ‘repeated over and over in identical words’, </w:t>
      </w:r>
      <w:r w:rsidRPr="00D9152B">
        <w:rPr>
          <w:rFonts w:ascii="Calibri" w:hAnsi="Calibri" w:cs="Calibri"/>
          <w:sz w:val="22"/>
          <w:szCs w:val="22"/>
        </w:rPr>
        <w:lastRenderedPageBreak/>
        <w:t xml:space="preserve">with ‘the humanitarian aspect being important only </w:t>
      </w:r>
      <w:r w:rsidR="008E609B" w:rsidRPr="00D9152B">
        <w:rPr>
          <w:rFonts w:ascii="Calibri" w:hAnsi="Calibri" w:cs="Calibri"/>
          <w:sz w:val="22"/>
          <w:szCs w:val="22"/>
        </w:rPr>
        <w:t>secondarily’;</w:t>
      </w:r>
      <w:r w:rsidRPr="00D9152B">
        <w:rPr>
          <w:rStyle w:val="FootnoteReference"/>
          <w:rFonts w:ascii="Calibri" w:hAnsi="Calibri" w:cs="Calibri"/>
          <w:sz w:val="22"/>
          <w:szCs w:val="22"/>
        </w:rPr>
        <w:footnoteReference w:id="283"/>
      </w:r>
      <w:r w:rsidR="00BE68E5" w:rsidRPr="00D9152B">
        <w:rPr>
          <w:rFonts w:ascii="Calibri" w:hAnsi="Calibri" w:cs="Calibri"/>
          <w:sz w:val="22"/>
          <w:szCs w:val="22"/>
        </w:rPr>
        <w:t xml:space="preserve"> and d</w:t>
      </w:r>
      <w:r w:rsidRPr="00D9152B">
        <w:rPr>
          <w:rFonts w:ascii="Calibri" w:hAnsi="Calibri" w:cs="Calibri"/>
          <w:sz w:val="22"/>
          <w:szCs w:val="22"/>
        </w:rPr>
        <w:t>onor delegations ‘voiced expectation’ that the programme would be ‘backed by investment in economic development programmes of a simila</w:t>
      </w:r>
      <w:r w:rsidR="00BE68E5" w:rsidRPr="00D9152B">
        <w:rPr>
          <w:rFonts w:ascii="Calibri" w:hAnsi="Calibri" w:cs="Calibri"/>
          <w:sz w:val="22"/>
          <w:szCs w:val="22"/>
        </w:rPr>
        <w:t>r magnitude’.</w:t>
      </w:r>
      <w:r w:rsidRPr="00D9152B">
        <w:rPr>
          <w:rStyle w:val="FootnoteReference"/>
          <w:rFonts w:ascii="Calibri" w:hAnsi="Calibri" w:cs="Calibri"/>
          <w:sz w:val="22"/>
          <w:szCs w:val="22"/>
        </w:rPr>
        <w:footnoteReference w:id="284"/>
      </w:r>
      <w:r w:rsidRPr="00D9152B">
        <w:rPr>
          <w:rFonts w:ascii="Calibri" w:hAnsi="Calibri" w:cs="Calibri"/>
          <w:sz w:val="22"/>
          <w:szCs w:val="22"/>
        </w:rPr>
        <w:t xml:space="preserve"> </w:t>
      </w:r>
    </w:p>
    <w:p w14:paraId="6F7635DD" w14:textId="140C17D7"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How did the Bank and other sponsoring agencies approach development aspects of the programme, given the generalised OCP objective</w:t>
      </w:r>
      <w:r w:rsidR="000A34AB" w:rsidRPr="00D9152B">
        <w:rPr>
          <w:rFonts w:ascii="Calibri" w:hAnsi="Calibri" w:cs="Calibri"/>
          <w:sz w:val="22"/>
          <w:szCs w:val="22"/>
        </w:rPr>
        <w:t>, and what metrics did they use to measure socio-economic progress</w:t>
      </w:r>
      <w:r w:rsidRPr="00D9152B">
        <w:rPr>
          <w:rFonts w:ascii="Calibri" w:hAnsi="Calibri" w:cs="Calibri"/>
          <w:sz w:val="22"/>
          <w:szCs w:val="22"/>
        </w:rPr>
        <w:t xml:space="preserve">? </w:t>
      </w:r>
      <w:r w:rsidR="00C06E59" w:rsidRPr="00D9152B">
        <w:rPr>
          <w:rFonts w:ascii="Calibri" w:hAnsi="Calibri" w:cs="Calibri"/>
          <w:sz w:val="22"/>
          <w:szCs w:val="22"/>
        </w:rPr>
        <w:t>I have created four phases t</w:t>
      </w:r>
      <w:r w:rsidR="00C64F1B" w:rsidRPr="00D9152B">
        <w:rPr>
          <w:rFonts w:ascii="Calibri" w:hAnsi="Calibri" w:cs="Calibri"/>
          <w:sz w:val="22"/>
          <w:szCs w:val="22"/>
        </w:rPr>
        <w:t xml:space="preserve">o describe </w:t>
      </w:r>
      <w:r w:rsidR="00C06E59" w:rsidRPr="00D9152B">
        <w:rPr>
          <w:rFonts w:ascii="Calibri" w:hAnsi="Calibri" w:cs="Calibri"/>
          <w:sz w:val="22"/>
          <w:szCs w:val="22"/>
        </w:rPr>
        <w:t xml:space="preserve">the OCP’s </w:t>
      </w:r>
      <w:r w:rsidR="00C64F1B" w:rsidRPr="00D9152B">
        <w:rPr>
          <w:rFonts w:ascii="Calibri" w:hAnsi="Calibri" w:cs="Calibri"/>
          <w:sz w:val="22"/>
          <w:szCs w:val="22"/>
        </w:rPr>
        <w:t>evolving</w:t>
      </w:r>
      <w:r w:rsidR="00C06E59" w:rsidRPr="00D9152B">
        <w:rPr>
          <w:rFonts w:ascii="Calibri" w:hAnsi="Calibri" w:cs="Calibri"/>
          <w:sz w:val="22"/>
          <w:szCs w:val="22"/>
        </w:rPr>
        <w:t xml:space="preserve"> socio-economic activities</w:t>
      </w:r>
      <w:r w:rsidRPr="00D9152B">
        <w:rPr>
          <w:rFonts w:ascii="Calibri" w:hAnsi="Calibri" w:cs="Calibri"/>
          <w:sz w:val="22"/>
          <w:szCs w:val="22"/>
        </w:rPr>
        <w:t>: optimism and methodological development (1974-1977), crisis over ‘fertile valley’ land value (1977-1980), modified expectations and fresh models (1981-1993), and bold socio-economic return claims (1994</w:t>
      </w:r>
      <w:r w:rsidR="00BE68E5" w:rsidRPr="00D9152B">
        <w:rPr>
          <w:rFonts w:ascii="Calibri" w:hAnsi="Calibri" w:cs="Calibri"/>
          <w:sz w:val="22"/>
          <w:szCs w:val="22"/>
        </w:rPr>
        <w:t>-2002</w:t>
      </w:r>
      <w:r w:rsidRPr="00D9152B">
        <w:rPr>
          <w:rFonts w:ascii="Calibri" w:hAnsi="Calibri" w:cs="Calibri"/>
          <w:sz w:val="22"/>
          <w:szCs w:val="22"/>
        </w:rPr>
        <w:t xml:space="preserve">). </w:t>
      </w:r>
      <w:r w:rsidR="00C64F1B" w:rsidRPr="00D9152B">
        <w:rPr>
          <w:rFonts w:ascii="Calibri" w:hAnsi="Calibri" w:cs="Calibri"/>
          <w:sz w:val="22"/>
          <w:szCs w:val="22"/>
        </w:rPr>
        <w:t xml:space="preserve">Based on these phases, this section shows </w:t>
      </w:r>
      <w:r w:rsidRPr="00D9152B">
        <w:rPr>
          <w:rFonts w:ascii="Calibri" w:hAnsi="Calibri" w:cs="Calibri"/>
          <w:sz w:val="22"/>
          <w:szCs w:val="22"/>
        </w:rPr>
        <w:t xml:space="preserve">that, while the OCP did lead to spontaneous resettlement and increased use of lands in the OCP region, its socio-economic approach offered at least as many failures as successes. It demonstrates that the major socio-economic metrics developed during the OCP rely on wide sweeps of estimates and assumptions. </w:t>
      </w:r>
    </w:p>
    <w:p w14:paraId="24FD6004" w14:textId="2299D077" w:rsidR="00AC7848" w:rsidRPr="00D9152B" w:rsidRDefault="0098315E" w:rsidP="005C7F9F">
      <w:pPr>
        <w:pStyle w:val="Heading3"/>
        <w:spacing w:before="100" w:beforeAutospacing="1" w:after="100" w:afterAutospacing="1" w:line="360" w:lineRule="auto"/>
        <w:rPr>
          <w:rFonts w:ascii="Calibri" w:hAnsi="Calibri" w:cs="Calibri"/>
          <w:b/>
          <w:i/>
          <w:color w:val="000000" w:themeColor="text1"/>
          <w:sz w:val="22"/>
          <w:szCs w:val="22"/>
        </w:rPr>
      </w:pPr>
      <w:bookmarkStart w:id="66" w:name="_Toc41505640"/>
      <w:r w:rsidRPr="00D9152B">
        <w:rPr>
          <w:rFonts w:ascii="Calibri" w:hAnsi="Calibri" w:cs="Calibri"/>
          <w:b/>
          <w:i/>
          <w:color w:val="000000" w:themeColor="text1"/>
          <w:sz w:val="22"/>
          <w:szCs w:val="22"/>
        </w:rPr>
        <w:t>4.5</w:t>
      </w:r>
      <w:r w:rsidR="007D0B53" w:rsidRPr="00D9152B">
        <w:rPr>
          <w:rFonts w:ascii="Calibri" w:hAnsi="Calibri" w:cs="Calibri"/>
          <w:b/>
          <w:i/>
          <w:color w:val="000000" w:themeColor="text1"/>
          <w:sz w:val="22"/>
          <w:szCs w:val="22"/>
        </w:rPr>
        <w:t>.</w:t>
      </w:r>
      <w:r w:rsidRPr="00D9152B">
        <w:rPr>
          <w:rFonts w:ascii="Calibri" w:hAnsi="Calibri" w:cs="Calibri"/>
          <w:b/>
          <w:i/>
          <w:color w:val="000000" w:themeColor="text1"/>
          <w:sz w:val="22"/>
          <w:szCs w:val="22"/>
        </w:rPr>
        <w:t>A</w:t>
      </w:r>
      <w:r w:rsidR="00DF52DF" w:rsidRPr="00D9152B">
        <w:rPr>
          <w:rFonts w:ascii="Calibri" w:hAnsi="Calibri" w:cs="Calibri"/>
          <w:b/>
          <w:i/>
          <w:color w:val="000000" w:themeColor="text1"/>
          <w:sz w:val="22"/>
          <w:szCs w:val="22"/>
        </w:rPr>
        <w:t>.</w:t>
      </w:r>
      <w:r w:rsidR="007D0B53" w:rsidRPr="00D9152B">
        <w:rPr>
          <w:rFonts w:ascii="Calibri" w:hAnsi="Calibri" w:cs="Calibri"/>
          <w:b/>
          <w:i/>
          <w:color w:val="000000" w:themeColor="text1"/>
          <w:sz w:val="22"/>
          <w:szCs w:val="22"/>
        </w:rPr>
        <w:t xml:space="preserve"> Phase 1</w:t>
      </w:r>
      <w:r w:rsidR="008E609B" w:rsidRPr="00D9152B">
        <w:rPr>
          <w:rFonts w:ascii="Calibri" w:hAnsi="Calibri" w:cs="Calibri"/>
          <w:b/>
          <w:i/>
          <w:color w:val="000000" w:themeColor="text1"/>
          <w:sz w:val="22"/>
          <w:szCs w:val="22"/>
        </w:rPr>
        <w:t>: The Bank’s development ‘</w:t>
      </w:r>
      <w:r w:rsidR="00657861">
        <w:rPr>
          <w:rFonts w:ascii="Calibri" w:hAnsi="Calibri" w:cs="Calibri"/>
          <w:b/>
          <w:i/>
          <w:color w:val="000000" w:themeColor="text1"/>
          <w:sz w:val="22"/>
          <w:szCs w:val="22"/>
        </w:rPr>
        <w:t>M</w:t>
      </w:r>
      <w:r w:rsidR="008E609B" w:rsidRPr="00D9152B">
        <w:rPr>
          <w:rFonts w:ascii="Calibri" w:hAnsi="Calibri" w:cs="Calibri"/>
          <w:b/>
          <w:i/>
          <w:color w:val="000000" w:themeColor="text1"/>
          <w:sz w:val="22"/>
          <w:szCs w:val="22"/>
        </w:rPr>
        <w:t>ethodology’ (c. 1974-1977)</w:t>
      </w:r>
      <w:bookmarkEnd w:id="66"/>
    </w:p>
    <w:p w14:paraId="0563C63F" w14:textId="21E58EBF"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first three years of the OCP period were characterised by a general acceptance of the fertile valley hypothesis, some inter-agency rivalry over who would guide economic development, and a growing appreciation of the complexities of coordinating development activities across the OCP region. </w:t>
      </w:r>
    </w:p>
    <w:p w14:paraId="5FB912BC" w14:textId="023C91DD"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At the launch of the OCP,</w:t>
      </w:r>
      <w:r w:rsidR="00105B12" w:rsidRPr="00D9152B">
        <w:rPr>
          <w:rFonts w:ascii="Calibri" w:hAnsi="Calibri" w:cs="Calibri"/>
          <w:sz w:val="22"/>
          <w:szCs w:val="22"/>
        </w:rPr>
        <w:t xml:space="preserve"> an estimated 65 million hectares</w:t>
      </w:r>
      <w:r w:rsidRPr="00D9152B">
        <w:rPr>
          <w:rFonts w:ascii="Calibri" w:hAnsi="Calibri" w:cs="Calibri"/>
          <w:sz w:val="22"/>
          <w:szCs w:val="22"/>
        </w:rPr>
        <w:t xml:space="preserve"> of land were viewed as available for post-control resettlement. This area was thought to provide ‘some of the best land’ with ‘good soils’</w:t>
      </w:r>
      <w:r w:rsidRPr="00D9152B">
        <w:rPr>
          <w:rStyle w:val="FootnoteReference"/>
          <w:rFonts w:ascii="Calibri" w:hAnsi="Calibri" w:cs="Calibri"/>
          <w:sz w:val="22"/>
          <w:szCs w:val="22"/>
        </w:rPr>
        <w:footnoteReference w:id="285"/>
      </w:r>
      <w:r w:rsidRPr="00D9152B">
        <w:rPr>
          <w:rFonts w:ascii="Calibri" w:hAnsi="Calibri" w:cs="Calibri"/>
          <w:sz w:val="22"/>
          <w:szCs w:val="22"/>
        </w:rPr>
        <w:t xml:space="preserve"> and more plentiful rainfall than the ‘old lands’.</w:t>
      </w:r>
      <w:r w:rsidRPr="00D9152B">
        <w:rPr>
          <w:rStyle w:val="FootnoteReference"/>
          <w:rFonts w:ascii="Calibri" w:hAnsi="Calibri" w:cs="Calibri"/>
          <w:sz w:val="22"/>
          <w:szCs w:val="22"/>
        </w:rPr>
        <w:footnoteReference w:id="286"/>
      </w:r>
      <w:r w:rsidRPr="00D9152B">
        <w:rPr>
          <w:rFonts w:ascii="Calibri" w:hAnsi="Calibri" w:cs="Calibri"/>
          <w:sz w:val="22"/>
          <w:szCs w:val="22"/>
        </w:rPr>
        <w:t xml:space="preserve"> Such characteristics made it a ‘major new resource’</w:t>
      </w:r>
      <w:r w:rsidRPr="00D9152B">
        <w:rPr>
          <w:rStyle w:val="FootnoteReference"/>
          <w:rFonts w:ascii="Calibri" w:hAnsi="Calibri" w:cs="Calibri"/>
          <w:sz w:val="22"/>
          <w:szCs w:val="22"/>
        </w:rPr>
        <w:footnoteReference w:id="287"/>
      </w:r>
      <w:r w:rsidRPr="00D9152B">
        <w:rPr>
          <w:rFonts w:ascii="Calibri" w:hAnsi="Calibri" w:cs="Calibri"/>
          <w:sz w:val="22"/>
          <w:szCs w:val="22"/>
        </w:rPr>
        <w:t xml:space="preserve"> in a region recently devastated by drought and poor food security. However, the OCP budget supported only one full-time </w:t>
      </w:r>
      <w:r w:rsidRPr="00D9152B">
        <w:rPr>
          <w:rFonts w:ascii="Calibri" w:hAnsi="Calibri" w:cs="Calibri"/>
          <w:sz w:val="22"/>
          <w:szCs w:val="22"/>
        </w:rPr>
        <w:lastRenderedPageBreak/>
        <w:t>expert and a few part-time consultants for coordinating development activities.</w:t>
      </w:r>
      <w:r w:rsidRPr="00D9152B">
        <w:rPr>
          <w:rStyle w:val="FootnoteReference"/>
          <w:rFonts w:ascii="Calibri" w:hAnsi="Calibri" w:cs="Calibri"/>
          <w:sz w:val="22"/>
          <w:szCs w:val="22"/>
        </w:rPr>
        <w:footnoteReference w:id="288"/>
      </w:r>
      <w:r w:rsidRPr="00D9152B">
        <w:rPr>
          <w:rFonts w:ascii="Calibri" w:hAnsi="Calibri" w:cs="Calibri"/>
          <w:sz w:val="22"/>
          <w:szCs w:val="22"/>
        </w:rPr>
        <w:t xml:space="preserve"> There was ‘still considerable confusion’ among donors and sponsoring agencies about how to develop freed valleys, because most of the seven participating governments lacked the ministerial capacity to identify specific projects in the onchocerciasis lands, prepare plans for development of these lands, or coordinate various assistance offers.</w:t>
      </w:r>
      <w:r w:rsidRPr="00D9152B">
        <w:rPr>
          <w:rStyle w:val="FootnoteReference"/>
          <w:rFonts w:ascii="Calibri" w:hAnsi="Calibri" w:cs="Calibri"/>
          <w:sz w:val="22"/>
          <w:szCs w:val="22"/>
        </w:rPr>
        <w:footnoteReference w:id="289"/>
      </w:r>
    </w:p>
    <w:p w14:paraId="4C75B259" w14:textId="2A8A600F"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In this haphazard climate of 1974-1975, the Bank complained that ‘both the FAO and UNDP have been derelict in handling the matter of economic development, their official shared responsibility’.</w:t>
      </w:r>
      <w:r w:rsidRPr="00D9152B">
        <w:rPr>
          <w:rStyle w:val="FootnoteReference"/>
          <w:rFonts w:ascii="Calibri" w:hAnsi="Calibri" w:cs="Calibri"/>
          <w:sz w:val="22"/>
          <w:szCs w:val="22"/>
        </w:rPr>
        <w:footnoteReference w:id="290"/>
      </w:r>
      <w:r w:rsidRPr="00D9152B">
        <w:rPr>
          <w:rFonts w:ascii="Calibri" w:hAnsi="Calibri" w:cs="Calibri"/>
          <w:sz w:val="22"/>
          <w:szCs w:val="22"/>
        </w:rPr>
        <w:t xml:space="preserve"> The Bank proposed to ‘arouse the FAO and UNDP from their inertia’ by adding an advisory group to the OCP’s management structure. It felt this advisory group was necessary because ‘the Bank itself might be held accountable by donors for any short-comings in the development phase of the programme’.</w:t>
      </w:r>
      <w:r w:rsidRPr="00D9152B">
        <w:rPr>
          <w:rStyle w:val="FootnoteReference"/>
          <w:rFonts w:ascii="Calibri" w:hAnsi="Calibri" w:cs="Calibri"/>
          <w:sz w:val="22"/>
          <w:szCs w:val="22"/>
        </w:rPr>
        <w:footnoteReference w:id="291"/>
      </w:r>
      <w:r w:rsidRPr="00D9152B">
        <w:rPr>
          <w:rFonts w:ascii="Calibri" w:hAnsi="Calibri" w:cs="Calibri"/>
          <w:sz w:val="22"/>
          <w:szCs w:val="22"/>
        </w:rPr>
        <w:t xml:space="preserve"> This group, the Economic Development Advisory Panel (EDAP), was to provide conceptual and intellectual socio-economic support to participating countries.</w:t>
      </w:r>
      <w:r w:rsidRPr="00D9152B">
        <w:rPr>
          <w:rStyle w:val="FootnoteReference"/>
          <w:rFonts w:ascii="Calibri" w:hAnsi="Calibri" w:cs="Calibri"/>
          <w:sz w:val="22"/>
          <w:szCs w:val="22"/>
        </w:rPr>
        <w:footnoteReference w:id="292"/>
      </w:r>
      <w:r w:rsidRPr="00D9152B">
        <w:rPr>
          <w:rFonts w:ascii="Calibri" w:hAnsi="Calibri" w:cs="Calibri"/>
          <w:sz w:val="22"/>
          <w:szCs w:val="22"/>
        </w:rPr>
        <w:t xml:space="preserve"> The Bank took the lead with </w:t>
      </w:r>
      <w:r w:rsidR="0004248F" w:rsidRPr="00D9152B">
        <w:rPr>
          <w:rFonts w:ascii="Calibri" w:hAnsi="Calibri" w:cs="Calibri"/>
          <w:sz w:val="22"/>
          <w:szCs w:val="22"/>
        </w:rPr>
        <w:t xml:space="preserve">the Economic Development Advisory </w:t>
      </w:r>
      <w:r w:rsidR="00B26752">
        <w:rPr>
          <w:rFonts w:ascii="Calibri" w:hAnsi="Calibri" w:cs="Calibri"/>
          <w:sz w:val="22"/>
          <w:szCs w:val="22"/>
        </w:rPr>
        <w:t>P</w:t>
      </w:r>
      <w:r w:rsidR="0004248F" w:rsidRPr="00D9152B">
        <w:rPr>
          <w:rFonts w:ascii="Calibri" w:hAnsi="Calibri" w:cs="Calibri"/>
          <w:sz w:val="22"/>
          <w:szCs w:val="22"/>
        </w:rPr>
        <w:t>anel</w:t>
      </w:r>
      <w:r w:rsidRPr="00D9152B">
        <w:rPr>
          <w:rFonts w:ascii="Calibri" w:hAnsi="Calibri" w:cs="Calibri"/>
          <w:sz w:val="22"/>
          <w:szCs w:val="22"/>
        </w:rPr>
        <w:t xml:space="preserve"> and selected its members.</w:t>
      </w:r>
      <w:r w:rsidRPr="00D9152B">
        <w:rPr>
          <w:rStyle w:val="FootnoteReference"/>
          <w:rFonts w:ascii="Calibri" w:hAnsi="Calibri" w:cs="Calibri"/>
          <w:sz w:val="22"/>
          <w:szCs w:val="22"/>
        </w:rPr>
        <w:footnoteReference w:id="293"/>
      </w:r>
      <w:r w:rsidRPr="00D9152B">
        <w:rPr>
          <w:rFonts w:ascii="Calibri" w:hAnsi="Calibri" w:cs="Calibri"/>
          <w:sz w:val="22"/>
          <w:szCs w:val="22"/>
        </w:rPr>
        <w:t xml:space="preserve"> While the FAO and UNDP expressed concern ‘that the Bank was trying to monopolize economic development’ through undue influence on EDAP membership’,</w:t>
      </w:r>
      <w:r w:rsidRPr="00D9152B">
        <w:rPr>
          <w:rStyle w:val="FootnoteReference"/>
          <w:rFonts w:ascii="Calibri" w:hAnsi="Calibri" w:cs="Calibri"/>
          <w:sz w:val="22"/>
          <w:szCs w:val="22"/>
        </w:rPr>
        <w:footnoteReference w:id="294"/>
      </w:r>
      <w:r w:rsidRPr="00D9152B">
        <w:rPr>
          <w:rFonts w:ascii="Calibri" w:hAnsi="Calibri" w:cs="Calibri"/>
          <w:sz w:val="22"/>
          <w:szCs w:val="22"/>
        </w:rPr>
        <w:t xml:space="preserve"> they ultimately agreed on members and the </w:t>
      </w:r>
      <w:r w:rsidR="0004248F" w:rsidRPr="00D9152B">
        <w:rPr>
          <w:rFonts w:ascii="Calibri" w:hAnsi="Calibri" w:cs="Calibri"/>
          <w:sz w:val="22"/>
          <w:szCs w:val="22"/>
        </w:rPr>
        <w:t>Panel held</w:t>
      </w:r>
      <w:r w:rsidRPr="00D9152B">
        <w:rPr>
          <w:rFonts w:ascii="Calibri" w:hAnsi="Calibri" w:cs="Calibri"/>
          <w:sz w:val="22"/>
          <w:szCs w:val="22"/>
        </w:rPr>
        <w:t xml:space="preserve"> its first meeting in June 1976.</w:t>
      </w:r>
    </w:p>
    <w:p w14:paraId="5A47D06E" w14:textId="414AF450"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 primary reason that the Bank wanted a socio-economic advisory group</w:t>
      </w:r>
      <w:r w:rsidR="00D225BC" w:rsidRPr="00D9152B">
        <w:rPr>
          <w:rFonts w:ascii="Calibri" w:hAnsi="Calibri" w:cs="Calibri"/>
          <w:sz w:val="22"/>
          <w:szCs w:val="22"/>
        </w:rPr>
        <w:t xml:space="preserve"> was to help it implement</w:t>
      </w:r>
      <w:r w:rsidR="0004248F" w:rsidRPr="00D9152B">
        <w:rPr>
          <w:rFonts w:ascii="Calibri" w:hAnsi="Calibri" w:cs="Calibri"/>
          <w:sz w:val="22"/>
          <w:szCs w:val="22"/>
        </w:rPr>
        <w:t xml:space="preserve"> what it and the FAO called their </w:t>
      </w:r>
      <w:r w:rsidR="00D225BC" w:rsidRPr="00D9152B">
        <w:rPr>
          <w:rFonts w:ascii="Calibri" w:hAnsi="Calibri" w:cs="Calibri"/>
          <w:sz w:val="22"/>
          <w:szCs w:val="22"/>
        </w:rPr>
        <w:t>‘</w:t>
      </w:r>
      <w:r w:rsidR="0004248F" w:rsidRPr="00D9152B">
        <w:rPr>
          <w:rFonts w:ascii="Calibri" w:hAnsi="Calibri" w:cs="Calibri"/>
          <w:sz w:val="22"/>
          <w:szCs w:val="22"/>
        </w:rPr>
        <w:t>M</w:t>
      </w:r>
      <w:r w:rsidRPr="00D9152B">
        <w:rPr>
          <w:rFonts w:ascii="Calibri" w:hAnsi="Calibri" w:cs="Calibri"/>
          <w:sz w:val="22"/>
          <w:szCs w:val="22"/>
        </w:rPr>
        <w:t>ethodology’ for OCP lands.</w:t>
      </w:r>
      <w:r w:rsidR="00657861">
        <w:rPr>
          <w:rFonts w:ascii="Calibri" w:hAnsi="Calibri" w:cs="Calibri"/>
          <w:sz w:val="22"/>
          <w:szCs w:val="22"/>
        </w:rPr>
        <w:t xml:space="preserve"> The Methodology was a formal system to guide development of onchocerciasis-freed lands over ten years and avoid significant spontaneous settlements, through country-wide, discrete development plans (which would provide enough detail to encourage external </w:t>
      </w:r>
      <w:r w:rsidR="00657861">
        <w:rPr>
          <w:rFonts w:ascii="Calibri" w:hAnsi="Calibri" w:cs="Calibri"/>
          <w:sz w:val="22"/>
          <w:szCs w:val="22"/>
        </w:rPr>
        <w:lastRenderedPageBreak/>
        <w:t>financing).</w:t>
      </w:r>
      <w:r w:rsidRPr="00D9152B">
        <w:rPr>
          <w:rFonts w:ascii="Calibri" w:hAnsi="Calibri" w:cs="Calibri"/>
          <w:sz w:val="22"/>
          <w:szCs w:val="22"/>
        </w:rPr>
        <w:t xml:space="preserve"> The Bank and the FAO designed the </w:t>
      </w:r>
      <w:r w:rsidR="0004248F" w:rsidRPr="00D9152B">
        <w:rPr>
          <w:rFonts w:ascii="Calibri" w:hAnsi="Calibri" w:cs="Calibri"/>
          <w:sz w:val="22"/>
          <w:szCs w:val="22"/>
        </w:rPr>
        <w:t>M</w:t>
      </w:r>
      <w:r w:rsidRPr="00D9152B">
        <w:rPr>
          <w:rFonts w:ascii="Calibri" w:hAnsi="Calibri" w:cs="Calibri"/>
          <w:sz w:val="22"/>
          <w:szCs w:val="22"/>
        </w:rPr>
        <w:t xml:space="preserve">ethodology as a rational mechanism for promoting resettlement and cultivation of the future onchocerciasis-freed lands. The first step in the OCP’s socio-economic development strategy would be to identify priority areas for development. Next steps would be to recommend discrete investment projects for the first four years of the OCP, to the standards required for Bank financing, and to help each of the seven countries create ten-year development plans. The </w:t>
      </w:r>
      <w:r w:rsidR="0004248F" w:rsidRPr="00D9152B">
        <w:rPr>
          <w:rFonts w:ascii="Calibri" w:hAnsi="Calibri" w:cs="Calibri"/>
          <w:sz w:val="22"/>
          <w:szCs w:val="22"/>
        </w:rPr>
        <w:t>M</w:t>
      </w:r>
      <w:r w:rsidRPr="00D9152B">
        <w:rPr>
          <w:rFonts w:ascii="Calibri" w:hAnsi="Calibri" w:cs="Calibri"/>
          <w:sz w:val="22"/>
          <w:szCs w:val="22"/>
        </w:rPr>
        <w:t xml:space="preserve">ethodology was presented and approved by the </w:t>
      </w:r>
      <w:r w:rsidR="00B26752">
        <w:rPr>
          <w:rFonts w:ascii="Calibri" w:hAnsi="Calibri" w:cs="Calibri"/>
          <w:sz w:val="22"/>
          <w:szCs w:val="22"/>
        </w:rPr>
        <w:t xml:space="preserve">OCP’s </w:t>
      </w:r>
      <w:r w:rsidRPr="00D9152B">
        <w:rPr>
          <w:rFonts w:ascii="Calibri" w:hAnsi="Calibri" w:cs="Calibri"/>
          <w:sz w:val="22"/>
          <w:szCs w:val="22"/>
        </w:rPr>
        <w:t xml:space="preserve">Steering Committee in December 1974, after which the FAO and Bank undertook a </w:t>
      </w:r>
      <w:r w:rsidR="00125E88" w:rsidRPr="00D9152B">
        <w:rPr>
          <w:rFonts w:ascii="Calibri" w:hAnsi="Calibri" w:cs="Calibri"/>
          <w:sz w:val="22"/>
          <w:szCs w:val="22"/>
        </w:rPr>
        <w:t>‘</w:t>
      </w:r>
      <w:r w:rsidRPr="00D9152B">
        <w:rPr>
          <w:rFonts w:ascii="Calibri" w:hAnsi="Calibri" w:cs="Calibri"/>
          <w:sz w:val="22"/>
          <w:szCs w:val="22"/>
        </w:rPr>
        <w:t>Fact-Finding</w:t>
      </w:r>
      <w:r w:rsidR="00125E88" w:rsidRPr="00D9152B">
        <w:rPr>
          <w:rFonts w:ascii="Calibri" w:hAnsi="Calibri" w:cs="Calibri"/>
          <w:sz w:val="22"/>
          <w:szCs w:val="22"/>
        </w:rPr>
        <w:t>’</w:t>
      </w:r>
      <w:r w:rsidRPr="00D9152B">
        <w:rPr>
          <w:rFonts w:ascii="Calibri" w:hAnsi="Calibri" w:cs="Calibri"/>
          <w:sz w:val="22"/>
          <w:szCs w:val="22"/>
        </w:rPr>
        <w:t xml:space="preserve"> mission in five countries.</w:t>
      </w:r>
      <w:r w:rsidRPr="00D9152B">
        <w:rPr>
          <w:rStyle w:val="FootnoteReference"/>
          <w:rFonts w:ascii="Calibri" w:hAnsi="Calibri" w:cs="Calibri"/>
          <w:sz w:val="22"/>
          <w:szCs w:val="22"/>
        </w:rPr>
        <w:footnoteReference w:id="295"/>
      </w:r>
      <w:r w:rsidRPr="00D9152B">
        <w:rPr>
          <w:rFonts w:ascii="Calibri" w:hAnsi="Calibri" w:cs="Calibri"/>
          <w:sz w:val="22"/>
          <w:szCs w:val="22"/>
        </w:rPr>
        <w:t xml:space="preserve"> </w:t>
      </w:r>
      <w:r w:rsidR="00BF0392" w:rsidRPr="00D9152B">
        <w:rPr>
          <w:rFonts w:ascii="Calibri" w:hAnsi="Calibri" w:cs="Calibri"/>
          <w:sz w:val="22"/>
          <w:szCs w:val="22"/>
        </w:rPr>
        <w:t>There were a number of prospective pots of funding for socio-economic development activities. For instance, t</w:t>
      </w:r>
      <w:r w:rsidRPr="00D9152B">
        <w:rPr>
          <w:rFonts w:ascii="Calibri" w:hAnsi="Calibri" w:cs="Calibri"/>
          <w:sz w:val="22"/>
          <w:szCs w:val="22"/>
        </w:rPr>
        <w:t>he UNDP earmarked $500,000 for each country to launch planning activities</w:t>
      </w:r>
      <w:r w:rsidR="00BF0392" w:rsidRPr="00D9152B">
        <w:rPr>
          <w:rFonts w:ascii="Calibri" w:hAnsi="Calibri" w:cs="Calibri"/>
          <w:sz w:val="22"/>
          <w:szCs w:val="22"/>
        </w:rPr>
        <w:t xml:space="preserve">; </w:t>
      </w:r>
      <w:r w:rsidRPr="00D9152B">
        <w:rPr>
          <w:rFonts w:ascii="Calibri" w:hAnsi="Calibri" w:cs="Calibri"/>
          <w:sz w:val="22"/>
          <w:szCs w:val="22"/>
        </w:rPr>
        <w:t>the Bank pledged IBRD/IDA loans for feasibilit</w:t>
      </w:r>
      <w:r w:rsidR="00BF0392" w:rsidRPr="00D9152B">
        <w:rPr>
          <w:rFonts w:ascii="Calibri" w:hAnsi="Calibri" w:cs="Calibri"/>
          <w:sz w:val="22"/>
          <w:szCs w:val="22"/>
        </w:rPr>
        <w:t>y investments;</w:t>
      </w:r>
      <w:r w:rsidRPr="00D9152B">
        <w:rPr>
          <w:rStyle w:val="FootnoteReference"/>
          <w:rFonts w:ascii="Calibri" w:hAnsi="Calibri" w:cs="Calibri"/>
          <w:sz w:val="22"/>
          <w:szCs w:val="22"/>
        </w:rPr>
        <w:footnoteReference w:id="296"/>
      </w:r>
      <w:r w:rsidRPr="00D9152B">
        <w:rPr>
          <w:rFonts w:ascii="Calibri" w:hAnsi="Calibri" w:cs="Calibri"/>
          <w:sz w:val="22"/>
          <w:szCs w:val="22"/>
        </w:rPr>
        <w:t xml:space="preserve"> </w:t>
      </w:r>
      <w:r w:rsidR="00BF0392" w:rsidRPr="00D9152B">
        <w:rPr>
          <w:rFonts w:ascii="Calibri" w:hAnsi="Calibri" w:cs="Calibri"/>
          <w:sz w:val="22"/>
          <w:szCs w:val="22"/>
        </w:rPr>
        <w:t>French, Dutch, and German aid program</w:t>
      </w:r>
      <w:r w:rsidR="002D31A3">
        <w:rPr>
          <w:rFonts w:ascii="Calibri" w:hAnsi="Calibri" w:cs="Calibri"/>
          <w:sz w:val="22"/>
          <w:szCs w:val="22"/>
        </w:rPr>
        <w:t>me</w:t>
      </w:r>
      <w:r w:rsidR="00BF0392" w:rsidRPr="00D9152B">
        <w:rPr>
          <w:rFonts w:ascii="Calibri" w:hAnsi="Calibri" w:cs="Calibri"/>
          <w:sz w:val="22"/>
          <w:szCs w:val="22"/>
        </w:rPr>
        <w:t>s pledged to ‘favorably consider</w:t>
      </w:r>
      <w:r w:rsidRPr="00D9152B">
        <w:rPr>
          <w:rFonts w:ascii="Calibri" w:hAnsi="Calibri" w:cs="Calibri"/>
          <w:sz w:val="22"/>
          <w:szCs w:val="22"/>
        </w:rPr>
        <w:t xml:space="preserve">’ OCP zone </w:t>
      </w:r>
      <w:r w:rsidR="00BF0392" w:rsidRPr="00D9152B">
        <w:rPr>
          <w:rFonts w:ascii="Calibri" w:hAnsi="Calibri" w:cs="Calibri"/>
          <w:sz w:val="22"/>
          <w:szCs w:val="22"/>
        </w:rPr>
        <w:t xml:space="preserve">projects; and </w:t>
      </w:r>
      <w:r w:rsidRPr="00D9152B">
        <w:rPr>
          <w:rFonts w:ascii="Calibri" w:hAnsi="Calibri" w:cs="Calibri"/>
          <w:sz w:val="22"/>
          <w:szCs w:val="22"/>
        </w:rPr>
        <w:t>the United States proposed $1.5 million in grants for a three-year regional planning and technical assistance project.</w:t>
      </w:r>
      <w:r w:rsidRPr="00D9152B">
        <w:rPr>
          <w:rStyle w:val="FootnoteReference"/>
          <w:rFonts w:ascii="Calibri" w:hAnsi="Calibri" w:cs="Calibri"/>
          <w:sz w:val="22"/>
          <w:szCs w:val="22"/>
        </w:rPr>
        <w:footnoteReference w:id="297"/>
      </w:r>
      <w:r w:rsidRPr="00D9152B">
        <w:rPr>
          <w:rFonts w:ascii="Calibri" w:hAnsi="Calibri" w:cs="Calibri"/>
          <w:sz w:val="22"/>
          <w:szCs w:val="22"/>
        </w:rPr>
        <w:t xml:space="preserve"> The Bank estimated that the investment potential for the onchocerciasis zones over 20 years was approximately $250 million, corresponding to $64 million for 1974-1979. This would form a small, but crucial, part of an estimated $5 billion in external aid needed for comprehensive, long-term development of the entire Sahel region o</w:t>
      </w:r>
      <w:r w:rsidR="00BF0392" w:rsidRPr="00D9152B">
        <w:rPr>
          <w:rFonts w:ascii="Calibri" w:hAnsi="Calibri" w:cs="Calibri"/>
          <w:sz w:val="22"/>
          <w:szCs w:val="22"/>
        </w:rPr>
        <w:t>ver the next five to six</w:t>
      </w:r>
      <w:r w:rsidRPr="00D9152B">
        <w:rPr>
          <w:rFonts w:ascii="Calibri" w:hAnsi="Calibri" w:cs="Calibri"/>
          <w:sz w:val="22"/>
          <w:szCs w:val="22"/>
        </w:rPr>
        <w:t xml:space="preserve"> years.</w:t>
      </w:r>
      <w:r w:rsidRPr="00D9152B">
        <w:rPr>
          <w:rStyle w:val="FootnoteReference"/>
          <w:rFonts w:ascii="Calibri" w:hAnsi="Calibri" w:cs="Calibri"/>
          <w:sz w:val="22"/>
          <w:szCs w:val="22"/>
        </w:rPr>
        <w:footnoteReference w:id="298"/>
      </w:r>
    </w:p>
    <w:p w14:paraId="1013EC79" w14:textId="1119C6EE"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From its first meeting, </w:t>
      </w:r>
      <w:r w:rsidR="00BF0392" w:rsidRPr="00D9152B">
        <w:rPr>
          <w:rFonts w:ascii="Calibri" w:hAnsi="Calibri" w:cs="Calibri"/>
          <w:sz w:val="22"/>
          <w:szCs w:val="22"/>
        </w:rPr>
        <w:t xml:space="preserve">however, </w:t>
      </w:r>
      <w:r w:rsidRPr="00D9152B">
        <w:rPr>
          <w:rFonts w:ascii="Calibri" w:hAnsi="Calibri" w:cs="Calibri"/>
          <w:sz w:val="22"/>
          <w:szCs w:val="22"/>
        </w:rPr>
        <w:t xml:space="preserve">the </w:t>
      </w:r>
      <w:r w:rsidR="006329AA" w:rsidRPr="00D9152B">
        <w:rPr>
          <w:rFonts w:ascii="Calibri" w:hAnsi="Calibri" w:cs="Calibri"/>
          <w:sz w:val="22"/>
          <w:szCs w:val="22"/>
        </w:rPr>
        <w:t>Economic Development Advisory Panel</w:t>
      </w:r>
      <w:r w:rsidRPr="00D9152B">
        <w:rPr>
          <w:rFonts w:ascii="Calibri" w:hAnsi="Calibri" w:cs="Calibri"/>
          <w:sz w:val="22"/>
          <w:szCs w:val="22"/>
        </w:rPr>
        <w:t xml:space="preserve"> encountered difficulties, particularly over the boundaries of its role. How should independent advisors provide specific guidance on economic development matters, in the context of a regional health programme? In late 1976, the </w:t>
      </w:r>
      <w:r w:rsidR="00BF0392" w:rsidRPr="00D9152B">
        <w:rPr>
          <w:rFonts w:ascii="Calibri" w:hAnsi="Calibri" w:cs="Calibri"/>
          <w:sz w:val="22"/>
          <w:szCs w:val="22"/>
        </w:rPr>
        <w:t>Joint Coordinating Committee</w:t>
      </w:r>
      <w:r w:rsidRPr="00D9152B">
        <w:rPr>
          <w:rFonts w:ascii="Calibri" w:hAnsi="Calibri" w:cs="Calibri"/>
          <w:sz w:val="22"/>
          <w:szCs w:val="22"/>
        </w:rPr>
        <w:t xml:space="preserve"> suggested that the </w:t>
      </w:r>
      <w:r w:rsidR="006329AA" w:rsidRPr="00D9152B">
        <w:rPr>
          <w:rFonts w:ascii="Calibri" w:hAnsi="Calibri" w:cs="Calibri"/>
          <w:sz w:val="22"/>
          <w:szCs w:val="22"/>
        </w:rPr>
        <w:t xml:space="preserve">panel </w:t>
      </w:r>
      <w:r w:rsidRPr="00D9152B">
        <w:rPr>
          <w:rFonts w:ascii="Calibri" w:hAnsi="Calibri" w:cs="Calibri"/>
          <w:sz w:val="22"/>
          <w:szCs w:val="22"/>
        </w:rPr>
        <w:t xml:space="preserve">needed to increase its contact with participating countries. It </w:t>
      </w:r>
      <w:r w:rsidRPr="00D9152B">
        <w:rPr>
          <w:rFonts w:ascii="Calibri" w:hAnsi="Calibri" w:cs="Calibri"/>
          <w:sz w:val="22"/>
          <w:szCs w:val="22"/>
        </w:rPr>
        <w:lastRenderedPageBreak/>
        <w:t xml:space="preserve">indicated that </w:t>
      </w:r>
      <w:r w:rsidR="006329AA" w:rsidRPr="00D9152B">
        <w:rPr>
          <w:rFonts w:ascii="Calibri" w:hAnsi="Calibri" w:cs="Calibri"/>
          <w:sz w:val="22"/>
          <w:szCs w:val="22"/>
        </w:rPr>
        <w:t xml:space="preserve">the panel’s </w:t>
      </w:r>
      <w:r w:rsidRPr="00D9152B">
        <w:rPr>
          <w:rFonts w:ascii="Calibri" w:hAnsi="Calibri" w:cs="Calibri"/>
          <w:sz w:val="22"/>
          <w:szCs w:val="22"/>
        </w:rPr>
        <w:t>advisory role could extend to health problems in settlement areas and advice on cost-effective settlement operations.</w:t>
      </w:r>
      <w:r w:rsidRPr="00D9152B">
        <w:rPr>
          <w:rStyle w:val="FootnoteReference"/>
          <w:rFonts w:ascii="Calibri" w:hAnsi="Calibri" w:cs="Calibri"/>
          <w:sz w:val="22"/>
          <w:szCs w:val="22"/>
        </w:rPr>
        <w:footnoteReference w:id="299"/>
      </w:r>
      <w:r w:rsidRPr="00D9152B">
        <w:rPr>
          <w:rFonts w:ascii="Calibri" w:hAnsi="Calibri" w:cs="Calibri"/>
          <w:sz w:val="22"/>
          <w:szCs w:val="22"/>
        </w:rPr>
        <w:t xml:space="preserve"> Yet</w:t>
      </w:r>
      <w:r w:rsidR="006329AA" w:rsidRPr="00D9152B">
        <w:rPr>
          <w:rFonts w:ascii="Calibri" w:hAnsi="Calibri" w:cs="Calibri"/>
          <w:sz w:val="22"/>
          <w:szCs w:val="22"/>
        </w:rPr>
        <w:t xml:space="preserve">, panel </w:t>
      </w:r>
      <w:r w:rsidRPr="00D9152B">
        <w:rPr>
          <w:rFonts w:ascii="Calibri" w:hAnsi="Calibri" w:cs="Calibri"/>
          <w:sz w:val="22"/>
          <w:szCs w:val="22"/>
        </w:rPr>
        <w:t>Chairman Paul-Marc Henry’s initial visit to Mali ended so badly that it had ‘passed into folklore’; by ‘playing an activist role’ Henry only succeeded in ‘getting his fingers burnt in the process’ by Malian authorities.</w:t>
      </w:r>
      <w:r w:rsidRPr="00D9152B">
        <w:rPr>
          <w:rStyle w:val="FootnoteReference"/>
          <w:rFonts w:ascii="Calibri" w:hAnsi="Calibri" w:cs="Calibri"/>
          <w:sz w:val="22"/>
          <w:szCs w:val="22"/>
        </w:rPr>
        <w:footnoteReference w:id="300"/>
      </w:r>
      <w:r w:rsidRPr="00D9152B">
        <w:rPr>
          <w:rFonts w:ascii="Calibri" w:hAnsi="Calibri" w:cs="Calibri"/>
          <w:sz w:val="22"/>
          <w:szCs w:val="22"/>
        </w:rPr>
        <w:t xml:space="preserve"> OCP staff were also uncertain about how </w:t>
      </w:r>
      <w:r w:rsidR="006329AA" w:rsidRPr="00D9152B">
        <w:rPr>
          <w:rFonts w:ascii="Calibri" w:hAnsi="Calibri" w:cs="Calibri"/>
          <w:sz w:val="22"/>
          <w:szCs w:val="22"/>
        </w:rPr>
        <w:t>the Economic Development Advisory Panel</w:t>
      </w:r>
      <w:r w:rsidRPr="00D9152B">
        <w:rPr>
          <w:rFonts w:ascii="Calibri" w:hAnsi="Calibri" w:cs="Calibri"/>
          <w:sz w:val="22"/>
          <w:szCs w:val="22"/>
        </w:rPr>
        <w:t xml:space="preserve"> should relate to the OCP’s formal Economic Development Unit (EDU), which was based at the Office of the Programme Director in Ouagadougou.</w:t>
      </w:r>
      <w:r w:rsidRPr="00D9152B">
        <w:rPr>
          <w:rStyle w:val="FootnoteReference"/>
          <w:rFonts w:ascii="Calibri" w:hAnsi="Calibri" w:cs="Calibri"/>
          <w:sz w:val="22"/>
          <w:szCs w:val="22"/>
        </w:rPr>
        <w:footnoteReference w:id="301"/>
      </w:r>
      <w:r w:rsidRPr="00D9152B">
        <w:rPr>
          <w:rFonts w:ascii="Calibri" w:hAnsi="Calibri" w:cs="Calibri"/>
          <w:sz w:val="22"/>
          <w:szCs w:val="22"/>
        </w:rPr>
        <w:t xml:space="preserve"> </w:t>
      </w:r>
      <w:r w:rsidRPr="00D9152B">
        <w:rPr>
          <w:rFonts w:ascii="Calibri" w:hAnsi="Calibri" w:cs="Calibri"/>
          <w:color w:val="000000" w:themeColor="text1"/>
          <w:sz w:val="22"/>
          <w:szCs w:val="22"/>
        </w:rPr>
        <w:t xml:space="preserve">Some Bank staff suggested that </w:t>
      </w:r>
      <w:r w:rsidR="006329AA" w:rsidRPr="00D9152B">
        <w:rPr>
          <w:rFonts w:ascii="Calibri" w:hAnsi="Calibri" w:cs="Calibri"/>
          <w:color w:val="000000" w:themeColor="text1"/>
          <w:sz w:val="22"/>
          <w:szCs w:val="22"/>
        </w:rPr>
        <w:t>the panel</w:t>
      </w:r>
      <w:r w:rsidRPr="00D9152B">
        <w:rPr>
          <w:rFonts w:ascii="Calibri" w:hAnsi="Calibri" w:cs="Calibri"/>
          <w:color w:val="000000" w:themeColor="text1"/>
          <w:sz w:val="22"/>
          <w:szCs w:val="22"/>
        </w:rPr>
        <w:t xml:space="preserve"> </w:t>
      </w:r>
      <w:r w:rsidRPr="00D9152B">
        <w:rPr>
          <w:rFonts w:ascii="Calibri" w:hAnsi="Calibri" w:cs="Calibri"/>
          <w:sz w:val="22"/>
          <w:szCs w:val="22"/>
        </w:rPr>
        <w:t>could be a ‘mechanism of good will, freed from some of the bureaucratic/political complications of the other participants in the oncho saga’.</w:t>
      </w:r>
      <w:r w:rsidR="007B0944" w:rsidRPr="00D9152B">
        <w:rPr>
          <w:rFonts w:ascii="Calibri" w:hAnsi="Calibri" w:cs="Calibri"/>
          <w:sz w:val="22"/>
          <w:szCs w:val="22"/>
        </w:rPr>
        <w:t xml:space="preserve"> </w:t>
      </w:r>
      <w:r w:rsidRPr="00D9152B">
        <w:rPr>
          <w:rFonts w:ascii="Calibri" w:hAnsi="Calibri" w:cs="Calibri"/>
          <w:sz w:val="22"/>
          <w:szCs w:val="22"/>
        </w:rPr>
        <w:t xml:space="preserve">Simultaneously, they urged caution with placing too much expectation and accountability </w:t>
      </w:r>
      <w:r w:rsidR="006329AA" w:rsidRPr="00D9152B">
        <w:rPr>
          <w:rFonts w:ascii="Calibri" w:hAnsi="Calibri" w:cs="Calibri"/>
          <w:sz w:val="22"/>
          <w:szCs w:val="22"/>
        </w:rPr>
        <w:t>on</w:t>
      </w:r>
      <w:r w:rsidRPr="00D9152B">
        <w:rPr>
          <w:rFonts w:ascii="Calibri" w:hAnsi="Calibri" w:cs="Calibri"/>
          <w:sz w:val="22"/>
          <w:szCs w:val="22"/>
        </w:rPr>
        <w:t xml:space="preserve"> </w:t>
      </w:r>
      <w:r w:rsidR="006329AA" w:rsidRPr="00D9152B">
        <w:rPr>
          <w:rFonts w:ascii="Calibri" w:hAnsi="Calibri" w:cs="Calibri"/>
          <w:sz w:val="22"/>
          <w:szCs w:val="22"/>
        </w:rPr>
        <w:t>the panel</w:t>
      </w:r>
      <w:r w:rsidRPr="00D9152B">
        <w:rPr>
          <w:rFonts w:ascii="Calibri" w:hAnsi="Calibri" w:cs="Calibri"/>
          <w:sz w:val="22"/>
          <w:szCs w:val="22"/>
        </w:rPr>
        <w:t xml:space="preserve"> for development: after all, ‘what can legitimately be expected of a body which meets only twice a year for a couple of days at a time, and whose members have full-time responsibilities elsewhere’?</w:t>
      </w:r>
      <w:r w:rsidRPr="00D9152B">
        <w:rPr>
          <w:rStyle w:val="FootnoteReference"/>
          <w:rFonts w:ascii="Calibri" w:hAnsi="Calibri" w:cs="Calibri"/>
          <w:sz w:val="22"/>
          <w:szCs w:val="22"/>
        </w:rPr>
        <w:footnoteReference w:id="302"/>
      </w:r>
    </w:p>
    <w:p w14:paraId="718A2419" w14:textId="3581CE17" w:rsidR="00AC7848" w:rsidRPr="00D9152B" w:rsidRDefault="00AC7848" w:rsidP="005C7F9F">
      <w:pPr>
        <w:spacing w:before="100" w:beforeAutospacing="1" w:after="100" w:afterAutospacing="1" w:line="360" w:lineRule="auto"/>
        <w:ind w:firstLine="720"/>
        <w:jc w:val="both"/>
        <w:rPr>
          <w:rFonts w:ascii="Calibri" w:hAnsi="Calibri" w:cs="Calibri"/>
          <w:sz w:val="22"/>
          <w:szCs w:val="22"/>
        </w:rPr>
      </w:pPr>
      <w:r w:rsidRPr="00D9152B">
        <w:rPr>
          <w:rFonts w:ascii="Calibri" w:hAnsi="Calibri" w:cs="Calibri"/>
          <w:sz w:val="22"/>
          <w:szCs w:val="22"/>
        </w:rPr>
        <w:t xml:space="preserve">The </w:t>
      </w:r>
      <w:r w:rsidR="006329AA" w:rsidRPr="00D9152B">
        <w:rPr>
          <w:rFonts w:ascii="Calibri" w:hAnsi="Calibri" w:cs="Calibri"/>
          <w:sz w:val="22"/>
          <w:szCs w:val="22"/>
        </w:rPr>
        <w:t>M</w:t>
      </w:r>
      <w:r w:rsidRPr="00D9152B">
        <w:rPr>
          <w:rFonts w:ascii="Calibri" w:hAnsi="Calibri" w:cs="Calibri"/>
          <w:sz w:val="22"/>
          <w:szCs w:val="22"/>
        </w:rPr>
        <w:t xml:space="preserve">ethodology also faced difficulties in three main areas. The first area was ideological, </w:t>
      </w:r>
      <w:r w:rsidR="00BF0392" w:rsidRPr="00D9152B">
        <w:rPr>
          <w:rFonts w:ascii="Calibri" w:hAnsi="Calibri" w:cs="Calibri"/>
          <w:sz w:val="22"/>
          <w:szCs w:val="22"/>
        </w:rPr>
        <w:t xml:space="preserve">and reflected a worry that </w:t>
      </w:r>
      <w:r w:rsidR="00B26752">
        <w:rPr>
          <w:rFonts w:ascii="Calibri" w:hAnsi="Calibri" w:cs="Calibri"/>
          <w:sz w:val="22"/>
          <w:szCs w:val="22"/>
        </w:rPr>
        <w:t>it</w:t>
      </w:r>
      <w:r w:rsidR="00BF0392" w:rsidRPr="00D9152B">
        <w:rPr>
          <w:rFonts w:ascii="Calibri" w:hAnsi="Calibri" w:cs="Calibri"/>
          <w:sz w:val="22"/>
          <w:szCs w:val="22"/>
        </w:rPr>
        <w:t xml:space="preserve"> was too focused on ambitious future development plans, at the expense of guiding spontaneous resettlement (which was already beginning to occur in the late 1970s).</w:t>
      </w:r>
      <w:r w:rsidR="00BF0392" w:rsidRPr="00D9152B">
        <w:rPr>
          <w:rStyle w:val="FootnoteReference"/>
          <w:rFonts w:ascii="Calibri" w:hAnsi="Calibri" w:cs="Calibri"/>
          <w:sz w:val="22"/>
          <w:szCs w:val="22"/>
        </w:rPr>
        <w:footnoteReference w:id="303"/>
      </w:r>
      <w:r w:rsidR="00BF0392" w:rsidRPr="00D9152B">
        <w:rPr>
          <w:rFonts w:ascii="Calibri" w:hAnsi="Calibri" w:cs="Calibri"/>
          <w:sz w:val="22"/>
          <w:szCs w:val="22"/>
        </w:rPr>
        <w:t xml:space="preserve"> The</w:t>
      </w:r>
      <w:r w:rsidRPr="00D9152B">
        <w:rPr>
          <w:rFonts w:ascii="Calibri" w:hAnsi="Calibri" w:cs="Calibri"/>
          <w:sz w:val="22"/>
          <w:szCs w:val="22"/>
        </w:rPr>
        <w:t xml:space="preserve"> second area was the national nature of socio-economic development. Even if it was possible to create a perfect development </w:t>
      </w:r>
      <w:r w:rsidR="00BF0392" w:rsidRPr="00D9152B">
        <w:rPr>
          <w:rFonts w:ascii="Calibri" w:hAnsi="Calibri" w:cs="Calibri"/>
          <w:sz w:val="22"/>
          <w:szCs w:val="22"/>
        </w:rPr>
        <w:t>ideology</w:t>
      </w:r>
      <w:r w:rsidRPr="00D9152B">
        <w:rPr>
          <w:rFonts w:ascii="Calibri" w:hAnsi="Calibri" w:cs="Calibri"/>
          <w:sz w:val="22"/>
          <w:szCs w:val="22"/>
        </w:rPr>
        <w:t xml:space="preserve"> applicable to the entire onchocerciasis control zone, a difficult battle would be required to ensure buy-in of each of the seven OCP countries for regionally-integrated national development plans. The OCP control area was based on entomological patterns – black fly distribution – not economic patterns.</w:t>
      </w:r>
      <w:r w:rsidRPr="00D9152B">
        <w:rPr>
          <w:rStyle w:val="FootnoteReference"/>
          <w:rFonts w:ascii="Calibri" w:hAnsi="Calibri" w:cs="Calibri"/>
          <w:sz w:val="22"/>
          <w:szCs w:val="22"/>
        </w:rPr>
        <w:footnoteReference w:id="304"/>
      </w:r>
      <w:r w:rsidRPr="00D9152B">
        <w:rPr>
          <w:rFonts w:ascii="Calibri" w:hAnsi="Calibri" w:cs="Calibri"/>
          <w:sz w:val="22"/>
          <w:szCs w:val="22"/>
        </w:rPr>
        <w:t xml:space="preserve"> </w:t>
      </w:r>
    </w:p>
    <w:p w14:paraId="5B97C2A6" w14:textId="33676F8A" w:rsidR="00AC7848" w:rsidRPr="00D9152B" w:rsidRDefault="00BF0392" w:rsidP="005C7F9F">
      <w:pPr>
        <w:spacing w:before="100" w:beforeAutospacing="1" w:after="100" w:afterAutospacing="1" w:line="360" w:lineRule="auto"/>
        <w:ind w:firstLine="720"/>
        <w:jc w:val="both"/>
        <w:rPr>
          <w:rFonts w:ascii="Calibri" w:hAnsi="Calibri" w:cs="Calibri"/>
          <w:sz w:val="22"/>
          <w:szCs w:val="22"/>
        </w:rPr>
      </w:pPr>
      <w:r w:rsidRPr="00D9152B">
        <w:rPr>
          <w:rFonts w:ascii="Calibri" w:hAnsi="Calibri" w:cs="Calibri"/>
          <w:sz w:val="22"/>
          <w:szCs w:val="22"/>
        </w:rPr>
        <w:t>For example, e</w:t>
      </w:r>
      <w:r w:rsidR="00AC7848" w:rsidRPr="00D9152B">
        <w:rPr>
          <w:rFonts w:ascii="Calibri" w:hAnsi="Calibri" w:cs="Calibri"/>
          <w:sz w:val="22"/>
          <w:szCs w:val="22"/>
        </w:rPr>
        <w:t xml:space="preserve">ach country had unique demographics and perspectives on planned settlement. In Upper Volta, dramatic population pressures outside of OCP lands meant that </w:t>
      </w:r>
      <w:r w:rsidR="00AC7848" w:rsidRPr="00D9152B">
        <w:rPr>
          <w:rFonts w:ascii="Calibri" w:hAnsi="Calibri" w:cs="Calibri"/>
          <w:sz w:val="22"/>
          <w:szCs w:val="22"/>
        </w:rPr>
        <w:lastRenderedPageBreak/>
        <w:t xml:space="preserve">the government gave a high priority to settling onchocerciasis-freed zones, through planned settlement. Similarly, population pressures in parts of Mali, such as the Dogon plateau, meant that the government placed OCP lands at high priority, although Mali supported voluntary resettlement of people with traditional claims to the land (rather than formal planned settlement). On the opposite end of the spectrum, Ghana and Niger typically had less population pressure outside of onchocerciasis </w:t>
      </w:r>
      <w:r w:rsidR="00B26752">
        <w:rPr>
          <w:rFonts w:ascii="Calibri" w:hAnsi="Calibri" w:cs="Calibri"/>
          <w:sz w:val="22"/>
          <w:szCs w:val="22"/>
        </w:rPr>
        <w:t xml:space="preserve">control </w:t>
      </w:r>
      <w:r w:rsidR="00AC7848" w:rsidRPr="00D9152B">
        <w:rPr>
          <w:rFonts w:ascii="Calibri" w:hAnsi="Calibri" w:cs="Calibri"/>
          <w:sz w:val="22"/>
          <w:szCs w:val="22"/>
        </w:rPr>
        <w:t xml:space="preserve">areas and no major shortage of cultivatable land, at least compared to Upper Volta. They were therefore loath to create official plans for resettlement. </w:t>
      </w:r>
      <w:r w:rsidR="00536EDC" w:rsidRPr="00D9152B">
        <w:rPr>
          <w:rFonts w:ascii="Calibri" w:hAnsi="Calibri" w:cs="Calibri"/>
          <w:sz w:val="22"/>
          <w:szCs w:val="22"/>
        </w:rPr>
        <w:t>W</w:t>
      </w:r>
      <w:r w:rsidR="00AC7848" w:rsidRPr="00D9152B">
        <w:rPr>
          <w:rFonts w:ascii="Calibri" w:hAnsi="Calibri" w:cs="Calibri"/>
          <w:sz w:val="22"/>
          <w:szCs w:val="22"/>
        </w:rPr>
        <w:t>hile they gave no formal objection to the methodology, Niger authorities were adamant about carrying-out their own land planning within their wider national development framework</w:t>
      </w:r>
      <w:r w:rsidR="00536EDC" w:rsidRPr="00D9152B">
        <w:rPr>
          <w:rFonts w:ascii="Calibri" w:hAnsi="Calibri" w:cs="Calibri"/>
          <w:sz w:val="22"/>
          <w:szCs w:val="22"/>
        </w:rPr>
        <w:t>, and</w:t>
      </w:r>
      <w:r w:rsidR="00AC7848" w:rsidRPr="00D9152B">
        <w:rPr>
          <w:rFonts w:ascii="Calibri" w:hAnsi="Calibri" w:cs="Calibri"/>
          <w:sz w:val="22"/>
          <w:szCs w:val="22"/>
        </w:rPr>
        <w:t xml:space="preserve"> preferred only limited and specific external planning assistance.</w:t>
      </w:r>
      <w:r w:rsidR="00AC7848" w:rsidRPr="00D9152B">
        <w:rPr>
          <w:rStyle w:val="FootnoteReference"/>
          <w:rFonts w:ascii="Calibri" w:hAnsi="Calibri" w:cs="Calibri"/>
          <w:sz w:val="22"/>
          <w:szCs w:val="22"/>
        </w:rPr>
        <w:footnoteReference w:id="305"/>
      </w:r>
      <w:r w:rsidR="00AC7848" w:rsidRPr="00D9152B">
        <w:rPr>
          <w:rFonts w:ascii="Calibri" w:hAnsi="Calibri" w:cs="Calibri"/>
          <w:sz w:val="22"/>
          <w:szCs w:val="22"/>
        </w:rPr>
        <w:t xml:space="preserve"> Ghanaian authorities were particularly suspect of large, formal resettlement options; Ghana’s </w:t>
      </w:r>
      <w:r w:rsidR="00B26752">
        <w:rPr>
          <w:rFonts w:ascii="Calibri" w:hAnsi="Calibri" w:cs="Calibri"/>
          <w:sz w:val="22"/>
          <w:szCs w:val="22"/>
        </w:rPr>
        <w:t>National Onchocerciasis Committee (NOC)</w:t>
      </w:r>
      <w:r w:rsidR="00AC7848" w:rsidRPr="00D9152B">
        <w:rPr>
          <w:rFonts w:ascii="Calibri" w:hAnsi="Calibri" w:cs="Calibri"/>
          <w:sz w:val="22"/>
          <w:szCs w:val="22"/>
        </w:rPr>
        <w:t xml:space="preserve"> Chairman cited past failures in large land resettlement schemes, and stated that they were prepared to allow spontaneous resettlement.</w:t>
      </w:r>
      <w:r w:rsidR="00AC7848" w:rsidRPr="00D9152B">
        <w:rPr>
          <w:rStyle w:val="FootnoteReference"/>
          <w:rFonts w:ascii="Calibri" w:hAnsi="Calibri" w:cs="Calibri"/>
          <w:sz w:val="22"/>
          <w:szCs w:val="22"/>
        </w:rPr>
        <w:footnoteReference w:id="306"/>
      </w:r>
      <w:r w:rsidR="00AC7848" w:rsidRPr="00D9152B">
        <w:rPr>
          <w:rFonts w:ascii="Calibri" w:hAnsi="Calibri" w:cs="Calibri"/>
          <w:sz w:val="22"/>
          <w:szCs w:val="22"/>
        </w:rPr>
        <w:t xml:space="preserve"> Ghana’s National Onchocerciasis Committee even had to develop propaganda to challenge an anti-OCP lobby, which was making any resettlement in the Northern region extremely slow.</w:t>
      </w:r>
      <w:r w:rsidR="00AC7848" w:rsidRPr="00D9152B">
        <w:rPr>
          <w:rStyle w:val="FootnoteReference"/>
          <w:rFonts w:ascii="Calibri" w:hAnsi="Calibri" w:cs="Calibri"/>
          <w:sz w:val="22"/>
          <w:szCs w:val="22"/>
        </w:rPr>
        <w:footnoteReference w:id="307"/>
      </w:r>
      <w:r w:rsidR="00AC7848" w:rsidRPr="00D9152B">
        <w:rPr>
          <w:rFonts w:ascii="Calibri" w:hAnsi="Calibri" w:cs="Calibri"/>
          <w:sz w:val="22"/>
          <w:szCs w:val="22"/>
        </w:rPr>
        <w:t xml:space="preserve"> Togo, Benin, and </w:t>
      </w:r>
      <w:r w:rsidR="00536EDC" w:rsidRPr="00D9152B">
        <w:rPr>
          <w:rFonts w:ascii="Calibri" w:hAnsi="Calibri" w:cs="Calibri"/>
          <w:sz w:val="22"/>
          <w:szCs w:val="22"/>
        </w:rPr>
        <w:t>Cote d’Ivoire</w:t>
      </w:r>
      <w:r w:rsidR="00AC7848" w:rsidRPr="00D9152B">
        <w:rPr>
          <w:rFonts w:ascii="Calibri" w:hAnsi="Calibri" w:cs="Calibri"/>
          <w:sz w:val="22"/>
          <w:szCs w:val="22"/>
        </w:rPr>
        <w:t xml:space="preserve"> fell somewhere in the middle of the spectrum.</w:t>
      </w:r>
      <w:r w:rsidR="00AC7848" w:rsidRPr="00D9152B">
        <w:rPr>
          <w:rStyle w:val="FootnoteReference"/>
          <w:rFonts w:ascii="Calibri" w:hAnsi="Calibri" w:cs="Calibri"/>
          <w:sz w:val="22"/>
          <w:szCs w:val="22"/>
        </w:rPr>
        <w:footnoteReference w:id="308"/>
      </w:r>
      <w:r w:rsidR="00536EDC" w:rsidRPr="00D9152B">
        <w:rPr>
          <w:rFonts w:ascii="Calibri" w:hAnsi="Calibri" w:cs="Calibri"/>
          <w:sz w:val="22"/>
          <w:szCs w:val="22"/>
        </w:rPr>
        <w:t xml:space="preserve"> Cote d’Ivoire, for instance,</w:t>
      </w:r>
      <w:r w:rsidR="00AC7848" w:rsidRPr="00D9152B">
        <w:rPr>
          <w:rFonts w:ascii="Calibri" w:hAnsi="Calibri" w:cs="Calibri"/>
          <w:sz w:val="22"/>
          <w:szCs w:val="22"/>
        </w:rPr>
        <w:t xml:space="preserve"> requested UNDP assistance with aerial photography, but wanted to undertake its own development planning in the North.</w:t>
      </w:r>
      <w:r w:rsidR="00AC7848" w:rsidRPr="00D9152B">
        <w:rPr>
          <w:rStyle w:val="FootnoteReference"/>
          <w:rFonts w:ascii="Calibri" w:hAnsi="Calibri" w:cs="Calibri"/>
          <w:sz w:val="22"/>
          <w:szCs w:val="22"/>
        </w:rPr>
        <w:footnoteReference w:id="309"/>
      </w:r>
      <w:r w:rsidR="00536EDC" w:rsidRPr="00D9152B">
        <w:rPr>
          <w:rFonts w:ascii="Calibri" w:hAnsi="Calibri" w:cs="Calibri"/>
          <w:sz w:val="22"/>
          <w:szCs w:val="22"/>
        </w:rPr>
        <w:t xml:space="preserve"> In short, </w:t>
      </w:r>
      <w:r w:rsidR="00AC7848" w:rsidRPr="00D9152B">
        <w:rPr>
          <w:rFonts w:ascii="Calibri" w:hAnsi="Calibri" w:cs="Calibri"/>
          <w:sz w:val="22"/>
          <w:szCs w:val="22"/>
        </w:rPr>
        <w:t>no single development strategy was applicable across such disparate onchocerciasis control lands.</w:t>
      </w:r>
      <w:r w:rsidR="00AC7848" w:rsidRPr="00D9152B">
        <w:rPr>
          <w:rStyle w:val="FootnoteReference"/>
          <w:rFonts w:ascii="Calibri" w:hAnsi="Calibri" w:cs="Calibri"/>
          <w:sz w:val="22"/>
          <w:szCs w:val="22"/>
        </w:rPr>
        <w:footnoteReference w:id="310"/>
      </w:r>
    </w:p>
    <w:p w14:paraId="681345F9" w14:textId="05257E03" w:rsidR="00AC7848" w:rsidRPr="00D9152B" w:rsidRDefault="00536EDC"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w:t>
      </w:r>
      <w:r w:rsidR="00AC7848" w:rsidRPr="00D9152B">
        <w:rPr>
          <w:rFonts w:ascii="Calibri" w:hAnsi="Calibri" w:cs="Calibri"/>
          <w:sz w:val="22"/>
          <w:szCs w:val="22"/>
        </w:rPr>
        <w:t xml:space="preserve"> third</w:t>
      </w:r>
      <w:r w:rsidRPr="00D9152B">
        <w:rPr>
          <w:rFonts w:ascii="Calibri" w:hAnsi="Calibri" w:cs="Calibri"/>
          <w:sz w:val="22"/>
          <w:szCs w:val="22"/>
        </w:rPr>
        <w:t xml:space="preserve"> area of</w:t>
      </w:r>
      <w:r w:rsidR="00AC7848" w:rsidRPr="00D9152B">
        <w:rPr>
          <w:rFonts w:ascii="Calibri" w:hAnsi="Calibri" w:cs="Calibri"/>
          <w:sz w:val="22"/>
          <w:szCs w:val="22"/>
        </w:rPr>
        <w:t xml:space="preserve"> difficulty was the relative prioritization </w:t>
      </w:r>
      <w:r w:rsidRPr="00D9152B">
        <w:rPr>
          <w:rFonts w:ascii="Calibri" w:hAnsi="Calibri" w:cs="Calibri"/>
          <w:sz w:val="22"/>
          <w:szCs w:val="22"/>
        </w:rPr>
        <w:t>to assign to</w:t>
      </w:r>
      <w:r w:rsidR="00AC7848" w:rsidRPr="00D9152B">
        <w:rPr>
          <w:rFonts w:ascii="Calibri" w:hAnsi="Calibri" w:cs="Calibri"/>
          <w:sz w:val="22"/>
          <w:szCs w:val="22"/>
        </w:rPr>
        <w:t xml:space="preserve"> onchocerciasis control lands. Was it possible – or ethical – to demand that countries </w:t>
      </w:r>
      <w:r w:rsidR="00AC7848" w:rsidRPr="00D9152B">
        <w:rPr>
          <w:rFonts w:ascii="Calibri" w:hAnsi="Calibri" w:cs="Calibri"/>
          <w:sz w:val="22"/>
          <w:szCs w:val="22"/>
        </w:rPr>
        <w:lastRenderedPageBreak/>
        <w:t>preferentially develop onchocerciasis freed lands over other lands, because donors had invested in a disease-control programme?</w:t>
      </w:r>
      <w:r w:rsidR="00AC7848" w:rsidRPr="00D9152B">
        <w:rPr>
          <w:rStyle w:val="FootnoteReference"/>
          <w:rFonts w:ascii="Calibri" w:hAnsi="Calibri" w:cs="Calibri"/>
          <w:sz w:val="22"/>
          <w:szCs w:val="22"/>
        </w:rPr>
        <w:footnoteReference w:id="311"/>
      </w:r>
      <w:r w:rsidR="00AC7848" w:rsidRPr="00D9152B">
        <w:rPr>
          <w:rFonts w:ascii="Calibri" w:hAnsi="Calibri" w:cs="Calibri"/>
          <w:sz w:val="22"/>
          <w:szCs w:val="22"/>
        </w:rPr>
        <w:t xml:space="preserve"> The first </w:t>
      </w:r>
      <w:r w:rsidR="009615D9" w:rsidRPr="00D9152B">
        <w:rPr>
          <w:rFonts w:ascii="Calibri" w:hAnsi="Calibri" w:cs="Calibri"/>
          <w:sz w:val="22"/>
          <w:szCs w:val="22"/>
        </w:rPr>
        <w:t xml:space="preserve">Economic Development Advisory Panel </w:t>
      </w:r>
      <w:r w:rsidR="00AC7848" w:rsidRPr="00D9152B">
        <w:rPr>
          <w:rFonts w:ascii="Calibri" w:hAnsi="Calibri" w:cs="Calibri"/>
          <w:sz w:val="22"/>
          <w:szCs w:val="22"/>
        </w:rPr>
        <w:t>meeting discussed precisely this question, but did not reach a consensus.</w:t>
      </w:r>
      <w:r w:rsidR="00AC7848" w:rsidRPr="00D9152B">
        <w:rPr>
          <w:rStyle w:val="FootnoteReference"/>
          <w:rFonts w:ascii="Calibri" w:hAnsi="Calibri" w:cs="Calibri"/>
          <w:sz w:val="22"/>
          <w:szCs w:val="22"/>
        </w:rPr>
        <w:footnoteReference w:id="312"/>
      </w:r>
      <w:r w:rsidRPr="00D9152B">
        <w:rPr>
          <w:rFonts w:ascii="Calibri" w:hAnsi="Calibri" w:cs="Calibri"/>
          <w:sz w:val="22"/>
          <w:szCs w:val="22"/>
        </w:rPr>
        <w:t xml:space="preserve"> And, e</w:t>
      </w:r>
      <w:r w:rsidR="00AC7848" w:rsidRPr="00D9152B">
        <w:rPr>
          <w:rFonts w:ascii="Calibri" w:hAnsi="Calibri" w:cs="Calibri"/>
          <w:sz w:val="22"/>
          <w:szCs w:val="22"/>
        </w:rPr>
        <w:t>ven if OCP lands were given priority for resettlement, and resettlement was coordinated regionally, national governments would still need assistance to ensure that resettled OCP lands had acc</w:t>
      </w:r>
      <w:r w:rsidR="001B6906" w:rsidRPr="00D9152B">
        <w:rPr>
          <w:rFonts w:ascii="Calibri" w:hAnsi="Calibri" w:cs="Calibri"/>
          <w:sz w:val="22"/>
          <w:szCs w:val="22"/>
        </w:rPr>
        <w:t>ess to social services. In the h</w:t>
      </w:r>
      <w:r w:rsidR="00AC7848" w:rsidRPr="00D9152B">
        <w:rPr>
          <w:rFonts w:ascii="Calibri" w:hAnsi="Calibri" w:cs="Calibri"/>
          <w:sz w:val="22"/>
          <w:szCs w:val="22"/>
        </w:rPr>
        <w:t xml:space="preserve">ead of the </w:t>
      </w:r>
      <w:r w:rsidR="009615D9" w:rsidRPr="00D9152B">
        <w:rPr>
          <w:rFonts w:ascii="Calibri" w:hAnsi="Calibri" w:cs="Calibri"/>
          <w:sz w:val="22"/>
          <w:szCs w:val="22"/>
        </w:rPr>
        <w:t>Economic Development Unit’s</w:t>
      </w:r>
      <w:r w:rsidR="00AC7848" w:rsidRPr="00D9152B">
        <w:rPr>
          <w:rFonts w:ascii="Calibri" w:hAnsi="Calibri" w:cs="Calibri"/>
          <w:sz w:val="22"/>
          <w:szCs w:val="22"/>
        </w:rPr>
        <w:t xml:space="preserve"> words, ‘what the [</w:t>
      </w:r>
      <w:r w:rsidR="009615D9" w:rsidRPr="00D9152B">
        <w:rPr>
          <w:rFonts w:ascii="Calibri" w:hAnsi="Calibri" w:cs="Calibri"/>
          <w:sz w:val="22"/>
          <w:szCs w:val="22"/>
        </w:rPr>
        <w:t>Preparatory</w:t>
      </w:r>
      <w:r w:rsidR="00AC7848" w:rsidRPr="00D9152B">
        <w:rPr>
          <w:rFonts w:ascii="Calibri" w:hAnsi="Calibri" w:cs="Calibri"/>
          <w:sz w:val="22"/>
          <w:szCs w:val="22"/>
        </w:rPr>
        <w:t>] Mission apparently failed to take into consideration is that no contemporary Government can, as a matter of practical politics, opt for sponsorships of planned settlements without including in the project other welfare aspects and inputs than the purely economic’.</w:t>
      </w:r>
      <w:r w:rsidR="00AC7848" w:rsidRPr="00D9152B">
        <w:rPr>
          <w:rStyle w:val="FootnoteReference"/>
          <w:rFonts w:ascii="Calibri" w:hAnsi="Calibri" w:cs="Calibri"/>
          <w:sz w:val="22"/>
          <w:szCs w:val="22"/>
        </w:rPr>
        <w:footnoteReference w:id="313"/>
      </w:r>
      <w:r w:rsidR="00AC7848" w:rsidRPr="00D9152B">
        <w:rPr>
          <w:rFonts w:ascii="Calibri" w:hAnsi="Calibri" w:cs="Calibri"/>
          <w:sz w:val="22"/>
          <w:szCs w:val="22"/>
        </w:rPr>
        <w:t xml:space="preserve"> Yet, the funding for these social projects was not available from the OCP, and often not considered in disorganized bilateral aid projects. </w:t>
      </w:r>
    </w:p>
    <w:p w14:paraId="46706255" w14:textId="799A501D"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Added to these complex socio-economic development planning dilemmas was the growing understanding that some of the OCP lands might not even be candidates for human </w:t>
      </w:r>
      <w:r w:rsidR="00536EDC" w:rsidRPr="00D9152B">
        <w:rPr>
          <w:rFonts w:ascii="Calibri" w:hAnsi="Calibri" w:cs="Calibri"/>
          <w:sz w:val="22"/>
          <w:szCs w:val="22"/>
        </w:rPr>
        <w:t>(re)</w:t>
      </w:r>
      <w:r w:rsidRPr="00D9152B">
        <w:rPr>
          <w:rFonts w:ascii="Calibri" w:hAnsi="Calibri" w:cs="Calibri"/>
          <w:sz w:val="22"/>
          <w:szCs w:val="22"/>
        </w:rPr>
        <w:t xml:space="preserve">settlement. Riverain land would need to be reserved for dams, forest or game grazing, </w:t>
      </w:r>
      <w:r w:rsidR="00536EDC" w:rsidRPr="00D9152B">
        <w:rPr>
          <w:rFonts w:ascii="Calibri" w:hAnsi="Calibri" w:cs="Calibri"/>
          <w:sz w:val="22"/>
          <w:szCs w:val="22"/>
        </w:rPr>
        <w:t xml:space="preserve">and </w:t>
      </w:r>
      <w:r w:rsidRPr="00D9152B">
        <w:rPr>
          <w:rFonts w:ascii="Calibri" w:hAnsi="Calibri" w:cs="Calibri"/>
          <w:sz w:val="22"/>
          <w:szCs w:val="22"/>
        </w:rPr>
        <w:t>water storage, to prevent ecological destruction and poor agricultural yields.</w:t>
      </w:r>
      <w:r w:rsidRPr="00D9152B">
        <w:rPr>
          <w:rStyle w:val="FootnoteReference"/>
          <w:rFonts w:ascii="Calibri" w:hAnsi="Calibri" w:cs="Calibri"/>
          <w:sz w:val="22"/>
          <w:szCs w:val="22"/>
        </w:rPr>
        <w:footnoteReference w:id="314"/>
      </w:r>
      <w:r w:rsidRPr="00D9152B">
        <w:rPr>
          <w:rFonts w:ascii="Calibri" w:hAnsi="Calibri" w:cs="Calibri"/>
          <w:sz w:val="22"/>
          <w:szCs w:val="22"/>
        </w:rPr>
        <w:t xml:space="preserve"> In such a way, by 1978</w:t>
      </w:r>
      <w:r w:rsidR="00536EDC" w:rsidRPr="00D9152B">
        <w:rPr>
          <w:rFonts w:ascii="Calibri" w:hAnsi="Calibri" w:cs="Calibri"/>
          <w:sz w:val="22"/>
          <w:szCs w:val="22"/>
        </w:rPr>
        <w:t>,</w:t>
      </w:r>
      <w:r w:rsidRPr="00D9152B">
        <w:rPr>
          <w:rFonts w:ascii="Calibri" w:hAnsi="Calibri" w:cs="Calibri"/>
          <w:sz w:val="22"/>
          <w:szCs w:val="22"/>
        </w:rPr>
        <w:t xml:space="preserve"> experts cast seeds of doubt about McNamara’s assumption that regional development would naturally follow disease control. The idea that onchocerciasis reduced labour productivity – creating ‘economic blindness’ – was widely shared and accepted.</w:t>
      </w:r>
      <w:r w:rsidRPr="00D9152B">
        <w:rPr>
          <w:rStyle w:val="FootnoteReference"/>
          <w:rFonts w:ascii="Calibri" w:hAnsi="Calibri" w:cs="Calibri"/>
          <w:sz w:val="22"/>
          <w:szCs w:val="22"/>
        </w:rPr>
        <w:footnoteReference w:id="315"/>
      </w:r>
      <w:r w:rsidRPr="00D9152B">
        <w:rPr>
          <w:rFonts w:ascii="Calibri" w:hAnsi="Calibri" w:cs="Calibri"/>
          <w:sz w:val="22"/>
          <w:szCs w:val="22"/>
        </w:rPr>
        <w:t xml:space="preserve"> However, there was still no model to quantify the burden of such economic blindness or the value of freed lands across the OCP areas. The Bank and FAO’s methodology for rational settlement of lands was in place, as was an advisory </w:t>
      </w:r>
      <w:r w:rsidRPr="00D9152B">
        <w:rPr>
          <w:rFonts w:ascii="Calibri" w:hAnsi="Calibri" w:cs="Calibri"/>
          <w:sz w:val="22"/>
          <w:szCs w:val="22"/>
        </w:rPr>
        <w:lastRenderedPageBreak/>
        <w:t>group to guide it. Yet, the methodology also raised questions about the validity of justifying a regional disease control programme through an economic development programme, which increasingly looked like it would have to be nationally-driven. A fissure was beginning to form at the Bank’s West Africa Department and in some OCP advisory bodies. What if the ‘fertile valley’ hypothesis was not widely true, and land development was a poor justification for the health programme? Upon visiting the OCP area, Ecological Panel member Robert Smith raised precisely this question:</w:t>
      </w:r>
    </w:p>
    <w:p w14:paraId="607940E7" w14:textId="77777777" w:rsidR="00AC7848" w:rsidRPr="00D9152B" w:rsidRDefault="00AC7848" w:rsidP="00DF52DF">
      <w:pPr>
        <w:pStyle w:val="Quote"/>
        <w:ind w:left="862" w:right="862"/>
        <w:rPr>
          <w:rFonts w:cs="Calibri"/>
          <w:i/>
          <w:sz w:val="22"/>
          <w:szCs w:val="22"/>
        </w:rPr>
      </w:pPr>
      <w:r w:rsidRPr="00D9152B">
        <w:rPr>
          <w:rFonts w:cs="Calibri"/>
          <w:i/>
          <w:sz w:val="22"/>
          <w:szCs w:val="22"/>
        </w:rPr>
        <w:t>‘A final point which the author wishes to make concerns the type of propaganda used by the O.C.P. to justify the large expenditures made on the programme. The O.C.P. places great emphasis, perhaps over emphasis, on the resettlement of riverain lands after clearance of Onchocerciasis and the economic benefits arising from the redevelopment of these lands. A parallel argument states that plateau lands are overpopulated and the soils degraded and the economic benefits will be derived from the transfer of population from plateau to riverain land. In many places visited by the author this generalization is certainly not valid; many upland areas have superior soils to the imperfectly drained riverain lands…In the author’s opinion a better justification for the cost of the O.C.P. would include the humanitarian aspect and the economic benefits to be derived from a healthy and vigorous labour force in farming and agro-industries…’</w:t>
      </w:r>
      <w:r w:rsidRPr="00D9152B">
        <w:rPr>
          <w:rStyle w:val="FootnoteReference"/>
          <w:rFonts w:ascii="Calibri" w:hAnsi="Calibri" w:cs="Calibri"/>
          <w:i/>
          <w:iCs w:val="0"/>
          <w:sz w:val="22"/>
          <w:szCs w:val="22"/>
        </w:rPr>
        <w:footnoteReference w:id="316"/>
      </w:r>
    </w:p>
    <w:p w14:paraId="0AA4FDBB" w14:textId="6B614589" w:rsidR="00AC7848" w:rsidRPr="00D9152B" w:rsidRDefault="0098315E" w:rsidP="005C7F9F">
      <w:pPr>
        <w:pStyle w:val="Heading3"/>
        <w:spacing w:before="100" w:beforeAutospacing="1" w:after="100" w:afterAutospacing="1" w:line="360" w:lineRule="auto"/>
        <w:rPr>
          <w:rFonts w:ascii="Calibri" w:hAnsi="Calibri" w:cs="Calibri"/>
          <w:b/>
          <w:i/>
          <w:color w:val="000000" w:themeColor="text1"/>
          <w:sz w:val="22"/>
          <w:szCs w:val="22"/>
        </w:rPr>
      </w:pPr>
      <w:bookmarkStart w:id="67" w:name="_Toc41505641"/>
      <w:r w:rsidRPr="00D9152B">
        <w:rPr>
          <w:rFonts w:ascii="Calibri" w:hAnsi="Calibri" w:cs="Calibri"/>
          <w:b/>
          <w:i/>
          <w:color w:val="000000" w:themeColor="text1"/>
          <w:sz w:val="22"/>
          <w:szCs w:val="22"/>
        </w:rPr>
        <w:t>4.5.B</w:t>
      </w:r>
      <w:r w:rsidR="00DF52DF" w:rsidRPr="00D9152B">
        <w:rPr>
          <w:rFonts w:ascii="Calibri" w:hAnsi="Calibri" w:cs="Calibri"/>
          <w:b/>
          <w:i/>
          <w:color w:val="000000" w:themeColor="text1"/>
          <w:sz w:val="22"/>
          <w:szCs w:val="22"/>
        </w:rPr>
        <w:t>.</w:t>
      </w:r>
      <w:r w:rsidR="00536EDC" w:rsidRPr="00D9152B">
        <w:rPr>
          <w:rFonts w:ascii="Calibri" w:hAnsi="Calibri" w:cs="Calibri"/>
          <w:b/>
          <w:i/>
          <w:color w:val="000000" w:themeColor="text1"/>
          <w:sz w:val="22"/>
          <w:szCs w:val="22"/>
        </w:rPr>
        <w:t xml:space="preserve"> Phase 2: The ‘myth of the fertile v</w:t>
      </w:r>
      <w:r w:rsidR="00AC7848" w:rsidRPr="00D9152B">
        <w:rPr>
          <w:rFonts w:ascii="Calibri" w:hAnsi="Calibri" w:cs="Calibri"/>
          <w:b/>
          <w:i/>
          <w:color w:val="000000" w:themeColor="text1"/>
          <w:sz w:val="22"/>
          <w:szCs w:val="22"/>
        </w:rPr>
        <w:t>alleys’ (c. 1977-1980)</w:t>
      </w:r>
      <w:bookmarkEnd w:id="67"/>
    </w:p>
    <w:p w14:paraId="7094D49E" w14:textId="5DEA591A" w:rsidR="00AC7848" w:rsidRPr="00D9152B" w:rsidRDefault="00AC7848" w:rsidP="005C7F9F">
      <w:pPr>
        <w:spacing w:before="100" w:beforeAutospacing="1" w:after="100" w:afterAutospacing="1" w:line="360" w:lineRule="auto"/>
        <w:rPr>
          <w:rFonts w:ascii="Calibri" w:hAnsi="Calibri" w:cs="Calibri"/>
          <w:sz w:val="22"/>
          <w:szCs w:val="22"/>
        </w:rPr>
      </w:pPr>
      <w:r w:rsidRPr="00D9152B">
        <w:rPr>
          <w:rFonts w:ascii="Calibri" w:hAnsi="Calibri" w:cs="Calibri"/>
          <w:b/>
          <w:sz w:val="22"/>
          <w:szCs w:val="22"/>
        </w:rPr>
        <w:tab/>
      </w:r>
      <w:r w:rsidRPr="00D9152B">
        <w:rPr>
          <w:rFonts w:ascii="Calibri" w:hAnsi="Calibri" w:cs="Calibri"/>
          <w:sz w:val="22"/>
          <w:szCs w:val="22"/>
        </w:rPr>
        <w:t xml:space="preserve">By 1977, the general sentiment in the Bank’s West Africa department was that measuring the effects of socio-economic development in OCP areas was </w:t>
      </w:r>
      <w:r w:rsidRPr="00D9152B">
        <w:rPr>
          <w:rFonts w:ascii="Calibri" w:hAnsi="Calibri" w:cs="Calibri"/>
          <w:i/>
          <w:iCs/>
          <w:sz w:val="22"/>
          <w:szCs w:val="22"/>
        </w:rPr>
        <w:t xml:space="preserve">much </w:t>
      </w:r>
      <w:r w:rsidRPr="00D9152B">
        <w:rPr>
          <w:rFonts w:ascii="Calibri" w:hAnsi="Calibri" w:cs="Calibri"/>
          <w:sz w:val="22"/>
          <w:szCs w:val="22"/>
        </w:rPr>
        <w:t xml:space="preserve">more complicated than initially expected. Would labour or land represent the major measurable economic benefits of OCP? What role should advisory groups play in guiding agricultural development, which by nature had to be supported by nations themselves? What data was absolutely required to model socio-economic benefits of the programme, and how could economists account for other socio-economic variables, like migration patterns, </w:t>
      </w:r>
      <w:r w:rsidR="00CD09CE" w:rsidRPr="00D9152B">
        <w:rPr>
          <w:rFonts w:ascii="Calibri" w:hAnsi="Calibri" w:cs="Calibri"/>
          <w:sz w:val="22"/>
          <w:szCs w:val="22"/>
        </w:rPr>
        <w:t>trypanosomiasis</w:t>
      </w:r>
      <w:r w:rsidRPr="00D9152B">
        <w:rPr>
          <w:rFonts w:ascii="Calibri" w:hAnsi="Calibri" w:cs="Calibri"/>
          <w:sz w:val="22"/>
          <w:szCs w:val="22"/>
        </w:rPr>
        <w:t>, and water availability? In other words, taking the programme’s benefits on faith had been a dangerous gamble.</w:t>
      </w:r>
    </w:p>
    <w:p w14:paraId="18ADA338" w14:textId="4A85C572"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lastRenderedPageBreak/>
        <w:t>In June 1977, the Bank responded by establishing a</w:t>
      </w:r>
      <w:r w:rsidR="00CD09CE" w:rsidRPr="00D9152B">
        <w:rPr>
          <w:rFonts w:ascii="Calibri" w:hAnsi="Calibri" w:cs="Calibri"/>
          <w:sz w:val="22"/>
          <w:szCs w:val="22"/>
        </w:rPr>
        <w:t xml:space="preserve"> small</w:t>
      </w:r>
      <w:r w:rsidRPr="00D9152B">
        <w:rPr>
          <w:rFonts w:ascii="Calibri" w:hAnsi="Calibri" w:cs="Calibri"/>
          <w:sz w:val="22"/>
          <w:szCs w:val="22"/>
        </w:rPr>
        <w:t xml:space="preserve"> </w:t>
      </w:r>
      <w:r w:rsidR="001B6906" w:rsidRPr="00D9152B">
        <w:rPr>
          <w:rFonts w:ascii="Calibri" w:hAnsi="Calibri" w:cs="Calibri"/>
          <w:sz w:val="22"/>
          <w:szCs w:val="22"/>
        </w:rPr>
        <w:t>river blindness working group</w:t>
      </w:r>
      <w:r w:rsidRPr="00D9152B">
        <w:rPr>
          <w:rFonts w:ascii="Calibri" w:hAnsi="Calibri" w:cs="Calibri"/>
          <w:sz w:val="22"/>
          <w:szCs w:val="22"/>
        </w:rPr>
        <w:t>, to ‘deal with donor socio-economic expectations’.</w:t>
      </w:r>
      <w:r w:rsidRPr="00D9152B">
        <w:rPr>
          <w:rStyle w:val="FootnoteReference"/>
          <w:rFonts w:ascii="Calibri" w:hAnsi="Calibri" w:cs="Calibri"/>
          <w:sz w:val="22"/>
          <w:szCs w:val="22"/>
        </w:rPr>
        <w:footnoteReference w:id="317"/>
      </w:r>
      <w:r w:rsidRPr="00D9152B">
        <w:rPr>
          <w:rFonts w:ascii="Calibri" w:hAnsi="Calibri" w:cs="Calibri"/>
          <w:sz w:val="22"/>
          <w:szCs w:val="22"/>
        </w:rPr>
        <w:t xml:space="preserve"> Members of this group, </w:t>
      </w:r>
      <w:r w:rsidR="00CD09CE" w:rsidRPr="00D9152B">
        <w:rPr>
          <w:rFonts w:ascii="Calibri" w:hAnsi="Calibri" w:cs="Calibri"/>
          <w:sz w:val="22"/>
          <w:szCs w:val="22"/>
        </w:rPr>
        <w:t xml:space="preserve">including an </w:t>
      </w:r>
      <w:r w:rsidR="00963D9B" w:rsidRPr="00D9152B">
        <w:rPr>
          <w:rFonts w:ascii="Calibri" w:hAnsi="Calibri" w:cs="Calibri"/>
          <w:sz w:val="22"/>
          <w:szCs w:val="22"/>
        </w:rPr>
        <w:t>e</w:t>
      </w:r>
      <w:r w:rsidR="00CD09CE" w:rsidRPr="00D9152B">
        <w:rPr>
          <w:rFonts w:ascii="Calibri" w:hAnsi="Calibri" w:cs="Calibri"/>
          <w:sz w:val="22"/>
          <w:szCs w:val="22"/>
        </w:rPr>
        <w:t>conomist in the Western Africa Region office (Michael Sharpston) and</w:t>
      </w:r>
      <w:r w:rsidRPr="00D9152B">
        <w:rPr>
          <w:rFonts w:ascii="Calibri" w:hAnsi="Calibri" w:cs="Calibri"/>
          <w:sz w:val="22"/>
          <w:szCs w:val="22"/>
        </w:rPr>
        <w:t xml:space="preserve"> the </w:t>
      </w:r>
      <w:r w:rsidR="0065704F" w:rsidRPr="00D9152B">
        <w:rPr>
          <w:rFonts w:ascii="Calibri" w:hAnsi="Calibri" w:cs="Calibri"/>
          <w:sz w:val="22"/>
          <w:szCs w:val="22"/>
        </w:rPr>
        <w:t xml:space="preserve">Africa </w:t>
      </w:r>
      <w:r w:rsidR="00963D9B" w:rsidRPr="00D9152B">
        <w:rPr>
          <w:rFonts w:ascii="Calibri" w:hAnsi="Calibri" w:cs="Calibri"/>
          <w:sz w:val="22"/>
          <w:szCs w:val="22"/>
        </w:rPr>
        <w:t>D</w:t>
      </w:r>
      <w:r w:rsidRPr="00D9152B">
        <w:rPr>
          <w:rFonts w:ascii="Calibri" w:hAnsi="Calibri" w:cs="Calibri"/>
          <w:sz w:val="22"/>
          <w:szCs w:val="22"/>
        </w:rPr>
        <w:t xml:space="preserve">ivision </w:t>
      </w:r>
      <w:r w:rsidR="00963D9B" w:rsidRPr="00D9152B">
        <w:rPr>
          <w:rFonts w:ascii="Calibri" w:hAnsi="Calibri" w:cs="Calibri"/>
          <w:sz w:val="22"/>
          <w:szCs w:val="22"/>
        </w:rPr>
        <w:t>C</w:t>
      </w:r>
      <w:r w:rsidR="00CD09CE" w:rsidRPr="00D9152B">
        <w:rPr>
          <w:rFonts w:ascii="Calibri" w:hAnsi="Calibri" w:cs="Calibri"/>
          <w:sz w:val="22"/>
          <w:szCs w:val="22"/>
        </w:rPr>
        <w:t>hief (Stephen Denning),</w:t>
      </w:r>
      <w:r w:rsidRPr="00D9152B">
        <w:rPr>
          <w:rFonts w:ascii="Calibri" w:hAnsi="Calibri" w:cs="Calibri"/>
          <w:sz w:val="22"/>
          <w:szCs w:val="22"/>
        </w:rPr>
        <w:t xml:space="preserve"> poin</w:t>
      </w:r>
      <w:r w:rsidR="00CD09CE" w:rsidRPr="00D9152B">
        <w:rPr>
          <w:rFonts w:ascii="Calibri" w:hAnsi="Calibri" w:cs="Calibri"/>
          <w:sz w:val="22"/>
          <w:szCs w:val="22"/>
        </w:rPr>
        <w:t xml:space="preserve">ted to three </w:t>
      </w:r>
      <w:r w:rsidRPr="00D9152B">
        <w:rPr>
          <w:rFonts w:ascii="Calibri" w:hAnsi="Calibri" w:cs="Calibri"/>
          <w:sz w:val="22"/>
          <w:szCs w:val="22"/>
        </w:rPr>
        <w:t>major complications. First, Denning sought to ‘explode’ the fertile valley ‘myth’. He argued that depopulation of formerly settled river valleys in hyperendemic regions was often due to lack of drinking water, heavy soils, ethnic factors, and trypanosomiasis, in addition to onchocerciasis.</w:t>
      </w:r>
      <w:r w:rsidRPr="00D9152B">
        <w:rPr>
          <w:rStyle w:val="FootnoteReference"/>
          <w:rFonts w:ascii="Calibri" w:hAnsi="Calibri" w:cs="Calibri"/>
          <w:sz w:val="22"/>
          <w:szCs w:val="22"/>
        </w:rPr>
        <w:footnoteReference w:id="318"/>
      </w:r>
      <w:r w:rsidRPr="00D9152B">
        <w:rPr>
          <w:rFonts w:ascii="Calibri" w:hAnsi="Calibri" w:cs="Calibri"/>
          <w:sz w:val="22"/>
          <w:szCs w:val="22"/>
        </w:rPr>
        <w:t xml:space="preserve"> The paradigm of onchocerciasis forcing inhabitants of fertile valleys to less fertile plateau was ‘not general, or even common, throughout the 700,000 km</w:t>
      </w:r>
      <w:r w:rsidRPr="00D9152B">
        <w:rPr>
          <w:rFonts w:ascii="Calibri" w:hAnsi="Calibri" w:cs="Calibri"/>
          <w:sz w:val="22"/>
          <w:szCs w:val="22"/>
          <w:vertAlign w:val="superscript"/>
        </w:rPr>
        <w:t>2</w:t>
      </w:r>
      <w:r w:rsidRPr="00D9152B">
        <w:rPr>
          <w:rFonts w:ascii="Calibri" w:hAnsi="Calibri" w:cs="Calibri"/>
          <w:sz w:val="22"/>
          <w:szCs w:val="22"/>
        </w:rPr>
        <w:t xml:space="preserve"> OCP area’</w:t>
      </w:r>
      <w:r w:rsidR="001D13F7">
        <w:rPr>
          <w:rFonts w:ascii="Calibri" w:hAnsi="Calibri" w:cs="Calibri"/>
          <w:sz w:val="22"/>
          <w:szCs w:val="22"/>
        </w:rPr>
        <w:t>,</w:t>
      </w:r>
      <w:r w:rsidRPr="00D9152B">
        <w:rPr>
          <w:rStyle w:val="FootnoteReference"/>
          <w:rFonts w:ascii="Calibri" w:hAnsi="Calibri" w:cs="Calibri"/>
          <w:sz w:val="22"/>
          <w:szCs w:val="22"/>
        </w:rPr>
        <w:footnoteReference w:id="319"/>
      </w:r>
      <w:r w:rsidRPr="00D9152B">
        <w:rPr>
          <w:rFonts w:ascii="Calibri" w:hAnsi="Calibri" w:cs="Calibri"/>
          <w:sz w:val="22"/>
          <w:szCs w:val="22"/>
        </w:rPr>
        <w:t xml:space="preserve"> and exploitation of freed lands would yield poorer economic results than initially predicted.</w:t>
      </w:r>
      <w:r w:rsidRPr="00D9152B">
        <w:rPr>
          <w:rStyle w:val="FootnoteReference"/>
          <w:rFonts w:ascii="Calibri" w:hAnsi="Calibri" w:cs="Calibri"/>
          <w:sz w:val="22"/>
          <w:szCs w:val="22"/>
        </w:rPr>
        <w:footnoteReference w:id="320"/>
      </w:r>
      <w:r w:rsidRPr="00D9152B">
        <w:rPr>
          <w:rFonts w:ascii="Calibri" w:hAnsi="Calibri" w:cs="Calibri"/>
          <w:sz w:val="22"/>
          <w:szCs w:val="22"/>
        </w:rPr>
        <w:t xml:space="preserve"> Second, Sharpston underscored that the </w:t>
      </w:r>
      <w:r w:rsidR="00996FDB" w:rsidRPr="00D9152B">
        <w:rPr>
          <w:rFonts w:ascii="Calibri" w:hAnsi="Calibri" w:cs="Calibri"/>
          <w:sz w:val="22"/>
          <w:szCs w:val="22"/>
        </w:rPr>
        <w:t>M</w:t>
      </w:r>
      <w:r w:rsidRPr="00D9152B">
        <w:rPr>
          <w:rFonts w:ascii="Calibri" w:hAnsi="Calibri" w:cs="Calibri"/>
          <w:sz w:val="22"/>
          <w:szCs w:val="22"/>
        </w:rPr>
        <w:t>ethodology needed to be tailored and made more flexible. In particular, it was essential to better deal with the reality of spontaneous migration.</w:t>
      </w:r>
      <w:r w:rsidRPr="00D9152B">
        <w:rPr>
          <w:rStyle w:val="FootnoteReference"/>
          <w:rFonts w:ascii="Calibri" w:hAnsi="Calibri" w:cs="Calibri"/>
          <w:sz w:val="22"/>
          <w:szCs w:val="22"/>
        </w:rPr>
        <w:footnoteReference w:id="321"/>
      </w:r>
      <w:r w:rsidRPr="00D9152B">
        <w:rPr>
          <w:rFonts w:ascii="Calibri" w:hAnsi="Calibri" w:cs="Calibri"/>
          <w:sz w:val="22"/>
          <w:szCs w:val="22"/>
        </w:rPr>
        <w:t xml:space="preserve"> Third, the Bank Group suggested that any attempt to quantify the OCP’s economic benefits would need to focus more on labour productivity than land value. This was due to inadequate baseline data and the inability to distinguish vector control effects from other indepen</w:t>
      </w:r>
      <w:r w:rsidR="00CD09CE" w:rsidRPr="00D9152B">
        <w:rPr>
          <w:rFonts w:ascii="Calibri" w:hAnsi="Calibri" w:cs="Calibri"/>
          <w:sz w:val="22"/>
          <w:szCs w:val="22"/>
        </w:rPr>
        <w:t xml:space="preserve">dent changes in land settlement. In the </w:t>
      </w:r>
      <w:r w:rsidR="00996FDB" w:rsidRPr="00D9152B">
        <w:rPr>
          <w:rFonts w:ascii="Calibri" w:hAnsi="Calibri" w:cs="Calibri"/>
          <w:sz w:val="22"/>
          <w:szCs w:val="22"/>
        </w:rPr>
        <w:t>G</w:t>
      </w:r>
      <w:r w:rsidRPr="00D9152B">
        <w:rPr>
          <w:rFonts w:ascii="Calibri" w:hAnsi="Calibri" w:cs="Calibri"/>
          <w:sz w:val="22"/>
          <w:szCs w:val="22"/>
        </w:rPr>
        <w:t xml:space="preserve">roup’s words, ‘it will probably not be feasible to assess the economic benefits that result from the vector control program in a precisely </w:t>
      </w:r>
      <w:r w:rsidRPr="00D9152B">
        <w:rPr>
          <w:rFonts w:ascii="Calibri" w:hAnsi="Calibri" w:cs="Calibri"/>
          <w:sz w:val="22"/>
          <w:szCs w:val="22"/>
          <w:u w:val="single"/>
        </w:rPr>
        <w:t>quantitative</w:t>
      </w:r>
      <w:r w:rsidRPr="00D9152B">
        <w:rPr>
          <w:rFonts w:ascii="Calibri" w:hAnsi="Calibri" w:cs="Calibri"/>
          <w:sz w:val="22"/>
          <w:szCs w:val="22"/>
        </w:rPr>
        <w:t xml:space="preserve"> fashion’, so the OCP should ‘probably aim at a more qualitative description of the major benefits that the control program will bring’.</w:t>
      </w:r>
      <w:r w:rsidRPr="00D9152B">
        <w:rPr>
          <w:rStyle w:val="FootnoteReference"/>
          <w:rFonts w:ascii="Calibri" w:hAnsi="Calibri" w:cs="Calibri"/>
          <w:sz w:val="22"/>
          <w:szCs w:val="22"/>
        </w:rPr>
        <w:footnoteReference w:id="322"/>
      </w:r>
      <w:r w:rsidRPr="00D9152B">
        <w:rPr>
          <w:rFonts w:ascii="Calibri" w:hAnsi="Calibri" w:cs="Calibri"/>
          <w:sz w:val="22"/>
          <w:szCs w:val="22"/>
        </w:rPr>
        <w:t xml:space="preserve"> </w:t>
      </w:r>
    </w:p>
    <w:p w14:paraId="416D25A7" w14:textId="738B84B7"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w:t>
      </w:r>
      <w:r w:rsidR="00996FDB" w:rsidRPr="00D9152B">
        <w:rPr>
          <w:rFonts w:ascii="Calibri" w:hAnsi="Calibri" w:cs="Calibri"/>
          <w:sz w:val="22"/>
          <w:szCs w:val="22"/>
        </w:rPr>
        <w:t xml:space="preserve">Economic Development Advisory Panel </w:t>
      </w:r>
      <w:r w:rsidRPr="00D9152B">
        <w:rPr>
          <w:rFonts w:ascii="Calibri" w:hAnsi="Calibri" w:cs="Calibri"/>
          <w:sz w:val="22"/>
          <w:szCs w:val="22"/>
        </w:rPr>
        <w:t>provided limited assistance i</w:t>
      </w:r>
      <w:r w:rsidR="001B6906" w:rsidRPr="00D9152B">
        <w:rPr>
          <w:rFonts w:ascii="Calibri" w:hAnsi="Calibri" w:cs="Calibri"/>
          <w:sz w:val="22"/>
          <w:szCs w:val="22"/>
        </w:rPr>
        <w:t>n resolving these complications.</w:t>
      </w:r>
      <w:r w:rsidRPr="00D9152B">
        <w:rPr>
          <w:rStyle w:val="FootnoteReference"/>
          <w:rFonts w:ascii="Calibri" w:hAnsi="Calibri" w:cs="Calibri"/>
          <w:sz w:val="22"/>
          <w:szCs w:val="22"/>
        </w:rPr>
        <w:footnoteReference w:id="323"/>
      </w:r>
      <w:r w:rsidRPr="00D9152B">
        <w:rPr>
          <w:rFonts w:ascii="Calibri" w:hAnsi="Calibri" w:cs="Calibri"/>
          <w:sz w:val="22"/>
          <w:szCs w:val="22"/>
        </w:rPr>
        <w:t xml:space="preserve"> A speaker at a 1977 </w:t>
      </w:r>
      <w:r w:rsidR="00996FDB" w:rsidRPr="00D9152B">
        <w:rPr>
          <w:rFonts w:ascii="Calibri" w:hAnsi="Calibri" w:cs="Calibri"/>
          <w:sz w:val="22"/>
          <w:szCs w:val="22"/>
        </w:rPr>
        <w:t>panel</w:t>
      </w:r>
      <w:r w:rsidRPr="00D9152B">
        <w:rPr>
          <w:rFonts w:ascii="Calibri" w:hAnsi="Calibri" w:cs="Calibri"/>
          <w:sz w:val="22"/>
          <w:szCs w:val="22"/>
        </w:rPr>
        <w:t xml:space="preserve"> meeting suggested that </w:t>
      </w:r>
      <w:r w:rsidR="00C10154">
        <w:rPr>
          <w:rFonts w:ascii="Calibri" w:hAnsi="Calibri" w:cs="Calibri"/>
          <w:sz w:val="22"/>
          <w:szCs w:val="22"/>
        </w:rPr>
        <w:t xml:space="preserve">the </w:t>
      </w:r>
      <w:r w:rsidRPr="00D9152B">
        <w:rPr>
          <w:rFonts w:ascii="Calibri" w:hAnsi="Calibri" w:cs="Calibri"/>
          <w:sz w:val="22"/>
          <w:szCs w:val="22"/>
        </w:rPr>
        <w:t>E</w:t>
      </w:r>
      <w:r w:rsidR="00996FDB" w:rsidRPr="00D9152B">
        <w:rPr>
          <w:rFonts w:ascii="Calibri" w:hAnsi="Calibri" w:cs="Calibri"/>
          <w:sz w:val="22"/>
          <w:szCs w:val="22"/>
        </w:rPr>
        <w:t>conomic Develop</w:t>
      </w:r>
      <w:r w:rsidR="001D13F7">
        <w:rPr>
          <w:rFonts w:ascii="Calibri" w:hAnsi="Calibri" w:cs="Calibri"/>
          <w:sz w:val="22"/>
          <w:szCs w:val="22"/>
        </w:rPr>
        <w:t>ment</w:t>
      </w:r>
      <w:r w:rsidR="00996FDB" w:rsidRPr="00D9152B">
        <w:rPr>
          <w:rFonts w:ascii="Calibri" w:hAnsi="Calibri" w:cs="Calibri"/>
          <w:sz w:val="22"/>
          <w:szCs w:val="22"/>
        </w:rPr>
        <w:t xml:space="preserve"> Unit</w:t>
      </w:r>
      <w:r w:rsidRPr="00D9152B">
        <w:rPr>
          <w:rFonts w:ascii="Calibri" w:hAnsi="Calibri" w:cs="Calibri"/>
          <w:sz w:val="22"/>
          <w:szCs w:val="22"/>
        </w:rPr>
        <w:t xml:space="preserve"> could be a channel of information to </w:t>
      </w:r>
      <w:r w:rsidR="00996FDB" w:rsidRPr="00D9152B">
        <w:rPr>
          <w:rFonts w:ascii="Calibri" w:hAnsi="Calibri" w:cs="Calibri"/>
          <w:sz w:val="22"/>
          <w:szCs w:val="22"/>
        </w:rPr>
        <w:t>the panel</w:t>
      </w:r>
      <w:r w:rsidRPr="00D9152B">
        <w:rPr>
          <w:rFonts w:ascii="Calibri" w:hAnsi="Calibri" w:cs="Calibri"/>
          <w:sz w:val="22"/>
          <w:szCs w:val="22"/>
        </w:rPr>
        <w:t xml:space="preserve">, but </w:t>
      </w:r>
      <w:r w:rsidR="00996FDB" w:rsidRPr="00D9152B">
        <w:rPr>
          <w:rFonts w:ascii="Calibri" w:hAnsi="Calibri" w:cs="Calibri"/>
          <w:sz w:val="22"/>
          <w:szCs w:val="22"/>
        </w:rPr>
        <w:t>that the unit</w:t>
      </w:r>
      <w:r w:rsidRPr="00D9152B">
        <w:rPr>
          <w:rFonts w:ascii="Calibri" w:hAnsi="Calibri" w:cs="Calibri"/>
          <w:sz w:val="22"/>
          <w:szCs w:val="22"/>
        </w:rPr>
        <w:t xml:space="preserve"> itself lacked sufficient staff to collect required data. Another speaker lamented that the Ouagadougou OCP </w:t>
      </w:r>
      <w:r w:rsidR="000B094F" w:rsidRPr="00D9152B">
        <w:rPr>
          <w:rFonts w:ascii="Calibri" w:hAnsi="Calibri" w:cs="Calibri"/>
          <w:sz w:val="22"/>
          <w:szCs w:val="22"/>
        </w:rPr>
        <w:t>secretariat</w:t>
      </w:r>
      <w:r w:rsidRPr="00D9152B">
        <w:rPr>
          <w:rFonts w:ascii="Calibri" w:hAnsi="Calibri" w:cs="Calibri"/>
          <w:sz w:val="22"/>
          <w:szCs w:val="22"/>
        </w:rPr>
        <w:t xml:space="preserve"> ‘offered a perfect microcosm of what global inter-agency non-cooperation was like’, with </w:t>
      </w:r>
      <w:r w:rsidR="00996FDB" w:rsidRPr="00D9152B">
        <w:rPr>
          <w:rFonts w:ascii="Calibri" w:hAnsi="Calibri" w:cs="Calibri"/>
          <w:sz w:val="22"/>
          <w:szCs w:val="22"/>
        </w:rPr>
        <w:t>the Economic Development Unit</w:t>
      </w:r>
      <w:r w:rsidRPr="00D9152B">
        <w:rPr>
          <w:rFonts w:ascii="Calibri" w:hAnsi="Calibri" w:cs="Calibri"/>
          <w:sz w:val="22"/>
          <w:szCs w:val="22"/>
        </w:rPr>
        <w:t xml:space="preserve"> only listing </w:t>
      </w:r>
      <w:r w:rsidRPr="00D9152B">
        <w:rPr>
          <w:rFonts w:ascii="Calibri" w:hAnsi="Calibri" w:cs="Calibri"/>
          <w:sz w:val="22"/>
          <w:szCs w:val="22"/>
        </w:rPr>
        <w:lastRenderedPageBreak/>
        <w:t xml:space="preserve">development projects and not evaluating them. A third speaker wryly stated that </w:t>
      </w:r>
      <w:r w:rsidR="00996FDB" w:rsidRPr="00D9152B">
        <w:rPr>
          <w:rFonts w:ascii="Calibri" w:hAnsi="Calibri" w:cs="Calibri"/>
          <w:sz w:val="22"/>
          <w:szCs w:val="22"/>
        </w:rPr>
        <w:t>the Economic Development Advisory Panel’s</w:t>
      </w:r>
      <w:r w:rsidRPr="00D9152B">
        <w:rPr>
          <w:rFonts w:ascii="Calibri" w:hAnsi="Calibri" w:cs="Calibri"/>
          <w:sz w:val="22"/>
          <w:szCs w:val="22"/>
        </w:rPr>
        <w:t xml:space="preserve"> purpose was so convoluted that it was useless; ‘one purpose EDAP could serve was to give those who should take action an excuse for inaction (like the poor role of most advisory agencies)’.</w:t>
      </w:r>
      <w:r w:rsidRPr="00D9152B">
        <w:rPr>
          <w:rStyle w:val="FootnoteReference"/>
          <w:rFonts w:ascii="Calibri" w:hAnsi="Calibri" w:cs="Calibri"/>
          <w:sz w:val="22"/>
          <w:szCs w:val="22"/>
        </w:rPr>
        <w:footnoteReference w:id="324"/>
      </w:r>
      <w:r w:rsidR="00CD09CE" w:rsidRPr="00D9152B">
        <w:rPr>
          <w:rFonts w:ascii="Calibri" w:hAnsi="Calibri" w:cs="Calibri"/>
          <w:sz w:val="22"/>
          <w:szCs w:val="22"/>
        </w:rPr>
        <w:t xml:space="preserve"> </w:t>
      </w:r>
      <w:r w:rsidRPr="00D9152B">
        <w:rPr>
          <w:rFonts w:ascii="Calibri" w:hAnsi="Calibri" w:cs="Calibri"/>
          <w:sz w:val="22"/>
          <w:szCs w:val="22"/>
        </w:rPr>
        <w:t>Bank staff particularly hammered the Chairman’s ‘rambling’, which ‘was so flagrantly and purposefully obstructionist as to strip the Panel of all dignity’, and the interlocking vested interests of its members. They argued that the ‘whole session was clearly directed to preserving the EDAP’s existing function as an empty exercise that threatens no one’.</w:t>
      </w:r>
      <w:r w:rsidRPr="00D9152B">
        <w:rPr>
          <w:rStyle w:val="FootnoteReference"/>
          <w:rFonts w:ascii="Calibri" w:hAnsi="Calibri" w:cs="Calibri"/>
          <w:sz w:val="22"/>
          <w:szCs w:val="22"/>
        </w:rPr>
        <w:footnoteReference w:id="325"/>
      </w:r>
      <w:r w:rsidRPr="00D9152B">
        <w:rPr>
          <w:rFonts w:ascii="Calibri" w:hAnsi="Calibri" w:cs="Calibri"/>
          <w:sz w:val="22"/>
          <w:szCs w:val="22"/>
        </w:rPr>
        <w:t xml:space="preserve"> Staff internally declared that, ‘insofar as we believe that the economic argument for the oncho problem has a weak basis’, </w:t>
      </w:r>
      <w:r w:rsidR="00996FDB" w:rsidRPr="00D9152B">
        <w:rPr>
          <w:rFonts w:ascii="Calibri" w:hAnsi="Calibri" w:cs="Calibri"/>
          <w:sz w:val="22"/>
          <w:szCs w:val="22"/>
        </w:rPr>
        <w:t>the panel</w:t>
      </w:r>
      <w:r w:rsidRPr="00D9152B">
        <w:rPr>
          <w:rFonts w:ascii="Calibri" w:hAnsi="Calibri" w:cs="Calibri"/>
          <w:sz w:val="22"/>
          <w:szCs w:val="22"/>
        </w:rPr>
        <w:t xml:space="preserve"> ‘would appear redundant and should be abolished’</w:t>
      </w:r>
      <w:r w:rsidR="001B6906" w:rsidRPr="00D9152B">
        <w:rPr>
          <w:rFonts w:ascii="Calibri" w:hAnsi="Calibri" w:cs="Calibri"/>
          <w:sz w:val="22"/>
          <w:szCs w:val="22"/>
        </w:rPr>
        <w:t>.</w:t>
      </w:r>
      <w:r w:rsidRPr="00D9152B">
        <w:rPr>
          <w:rStyle w:val="FootnoteReference"/>
          <w:rFonts w:ascii="Calibri" w:hAnsi="Calibri" w:cs="Calibri"/>
          <w:sz w:val="22"/>
          <w:szCs w:val="22"/>
        </w:rPr>
        <w:footnoteReference w:id="326"/>
      </w:r>
      <w:r w:rsidRPr="00D9152B">
        <w:rPr>
          <w:rFonts w:ascii="Calibri" w:hAnsi="Calibri" w:cs="Calibri"/>
          <w:sz w:val="22"/>
          <w:szCs w:val="22"/>
        </w:rPr>
        <w:t xml:space="preserve"> A 1977 Bank document on the </w:t>
      </w:r>
      <w:r w:rsidR="00996FDB" w:rsidRPr="00D9152B">
        <w:rPr>
          <w:rFonts w:ascii="Calibri" w:hAnsi="Calibri" w:cs="Calibri"/>
          <w:sz w:val="22"/>
          <w:szCs w:val="22"/>
        </w:rPr>
        <w:t>panel’s</w:t>
      </w:r>
      <w:r w:rsidRPr="00D9152B">
        <w:rPr>
          <w:rFonts w:ascii="Calibri" w:hAnsi="Calibri" w:cs="Calibri"/>
          <w:sz w:val="22"/>
          <w:szCs w:val="22"/>
        </w:rPr>
        <w:t xml:space="preserve"> third meeting reflects a dramatic shift from its insistence on the need for the advisory group just two years earlier: </w:t>
      </w:r>
    </w:p>
    <w:p w14:paraId="23820CC8" w14:textId="77777777" w:rsidR="00AC7848" w:rsidRPr="00D9152B" w:rsidRDefault="00AC7848" w:rsidP="00DF52DF">
      <w:pPr>
        <w:pStyle w:val="Quote"/>
        <w:ind w:left="862" w:right="862"/>
        <w:rPr>
          <w:rFonts w:cs="Calibri"/>
          <w:i/>
          <w:sz w:val="22"/>
          <w:szCs w:val="22"/>
        </w:rPr>
      </w:pPr>
      <w:r w:rsidRPr="00D9152B">
        <w:rPr>
          <w:rFonts w:cs="Calibri"/>
          <w:i/>
          <w:sz w:val="22"/>
          <w:szCs w:val="22"/>
        </w:rPr>
        <w:t>‘In its present form, EDAP serves no useful purpose. It certainly is not a source of useful advice or ideas to the JCC or to the operating arm of the OCP. It would be the last to know if something were seriously wrong with the OCP. It is not useful as a buffer against criticism or even as a window dressing, since no one familiar with its deliberations would have any faith in its reports… A fiasco of this magnitude may be traced to any number of possible causes, the first and most obvious of which is the quality of its membership.’</w:t>
      </w:r>
      <w:r w:rsidRPr="00D9152B">
        <w:rPr>
          <w:rStyle w:val="FootnoteReference"/>
          <w:rFonts w:ascii="Calibri" w:hAnsi="Calibri" w:cs="Calibri"/>
          <w:i/>
          <w:sz w:val="22"/>
          <w:szCs w:val="22"/>
        </w:rPr>
        <w:footnoteReference w:id="327"/>
      </w:r>
    </w:p>
    <w:p w14:paraId="2AEEA589" w14:textId="4A6F50A6"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Yet, recommending outright abolishment of the </w:t>
      </w:r>
      <w:r w:rsidR="00996FDB" w:rsidRPr="00D9152B">
        <w:rPr>
          <w:rFonts w:ascii="Calibri" w:hAnsi="Calibri" w:cs="Calibri"/>
          <w:sz w:val="22"/>
          <w:szCs w:val="22"/>
        </w:rPr>
        <w:t xml:space="preserve">Economic Development Advisory Panel </w:t>
      </w:r>
      <w:r w:rsidRPr="00D9152B">
        <w:rPr>
          <w:rFonts w:ascii="Calibri" w:hAnsi="Calibri" w:cs="Calibri"/>
          <w:sz w:val="22"/>
          <w:szCs w:val="22"/>
        </w:rPr>
        <w:t xml:space="preserve">would be politically challenging for the Bank, especially because the </w:t>
      </w:r>
      <w:r w:rsidR="00C10154">
        <w:rPr>
          <w:rFonts w:ascii="Calibri" w:hAnsi="Calibri" w:cs="Calibri"/>
          <w:sz w:val="22"/>
          <w:szCs w:val="22"/>
        </w:rPr>
        <w:t>p</w:t>
      </w:r>
      <w:r w:rsidR="001D13F7">
        <w:rPr>
          <w:rFonts w:ascii="Calibri" w:hAnsi="Calibri" w:cs="Calibri"/>
          <w:sz w:val="22"/>
          <w:szCs w:val="22"/>
        </w:rPr>
        <w:t>anel</w:t>
      </w:r>
      <w:r w:rsidRPr="00D9152B">
        <w:rPr>
          <w:rFonts w:ascii="Calibri" w:hAnsi="Calibri" w:cs="Calibri"/>
          <w:sz w:val="22"/>
          <w:szCs w:val="22"/>
        </w:rPr>
        <w:t xml:space="preserve"> had been formed at its insistence.</w:t>
      </w:r>
      <w:r w:rsidRPr="00D9152B">
        <w:rPr>
          <w:rStyle w:val="FootnoteReference"/>
          <w:rFonts w:ascii="Calibri" w:hAnsi="Calibri" w:cs="Calibri"/>
          <w:sz w:val="22"/>
          <w:szCs w:val="22"/>
        </w:rPr>
        <w:footnoteReference w:id="328"/>
      </w:r>
      <w:r w:rsidRPr="00D9152B">
        <w:rPr>
          <w:rFonts w:ascii="Calibri" w:hAnsi="Calibri" w:cs="Calibri"/>
          <w:sz w:val="22"/>
          <w:szCs w:val="22"/>
        </w:rPr>
        <w:t xml:space="preserve"> Bank staff therefore proposed an Economic Review Mission, to be undertaken in 1978, which would ‘test the fertile valley myth’ once and for all. In Denning’s words, ‘assuming that the mission does find what we expect it to find, we would propose that EDAP be abolished, as having no role to play’.</w:t>
      </w:r>
      <w:r w:rsidRPr="00D9152B">
        <w:rPr>
          <w:rStyle w:val="FootnoteReference"/>
          <w:rFonts w:ascii="Calibri" w:hAnsi="Calibri" w:cs="Calibri"/>
          <w:sz w:val="22"/>
          <w:szCs w:val="22"/>
        </w:rPr>
        <w:footnoteReference w:id="329"/>
      </w:r>
      <w:r w:rsidRPr="00D9152B">
        <w:rPr>
          <w:rFonts w:ascii="Calibri" w:hAnsi="Calibri" w:cs="Calibri"/>
          <w:sz w:val="22"/>
          <w:szCs w:val="22"/>
        </w:rPr>
        <w:t xml:space="preserve"> The Bank was disillusioned with the progress of socio-economic development and model</w:t>
      </w:r>
      <w:r w:rsidR="00996FDB" w:rsidRPr="00D9152B">
        <w:rPr>
          <w:rFonts w:ascii="Calibri" w:hAnsi="Calibri" w:cs="Calibri"/>
          <w:sz w:val="22"/>
          <w:szCs w:val="22"/>
        </w:rPr>
        <w:t>l</w:t>
      </w:r>
      <w:r w:rsidRPr="00D9152B">
        <w:rPr>
          <w:rFonts w:ascii="Calibri" w:hAnsi="Calibri" w:cs="Calibri"/>
          <w:sz w:val="22"/>
          <w:szCs w:val="22"/>
        </w:rPr>
        <w:t>ing,</w:t>
      </w:r>
      <w:r w:rsidRPr="00D9152B">
        <w:rPr>
          <w:rStyle w:val="FootnoteReference"/>
          <w:rFonts w:ascii="Calibri" w:hAnsi="Calibri" w:cs="Calibri"/>
          <w:sz w:val="22"/>
          <w:szCs w:val="22"/>
        </w:rPr>
        <w:footnoteReference w:id="330"/>
      </w:r>
      <w:r w:rsidRPr="00D9152B">
        <w:rPr>
          <w:rFonts w:ascii="Calibri" w:hAnsi="Calibri" w:cs="Calibri"/>
          <w:sz w:val="22"/>
          <w:szCs w:val="22"/>
        </w:rPr>
        <w:t xml:space="preserve"> and </w:t>
      </w:r>
      <w:r w:rsidRPr="00D9152B">
        <w:rPr>
          <w:rFonts w:ascii="Calibri" w:hAnsi="Calibri" w:cs="Calibri"/>
          <w:sz w:val="22"/>
          <w:szCs w:val="22"/>
        </w:rPr>
        <w:lastRenderedPageBreak/>
        <w:t>some staff were initiating a kamikaze mission of sorts, to justify restricting the Bank’s role in the programme.</w:t>
      </w:r>
    </w:p>
    <w:p w14:paraId="6B0EBA03" w14:textId="6FECD264" w:rsidR="00AC7848" w:rsidRPr="00D9152B" w:rsidRDefault="00220C6B" w:rsidP="005C7F9F">
      <w:pPr>
        <w:pStyle w:val="Heading4"/>
        <w:spacing w:line="360" w:lineRule="auto"/>
        <w:rPr>
          <w:rFonts w:ascii="Calibri" w:hAnsi="Calibri" w:cs="Calibri"/>
          <w:sz w:val="22"/>
          <w:szCs w:val="22"/>
        </w:rPr>
      </w:pPr>
      <w:r w:rsidRPr="00D9152B">
        <w:rPr>
          <w:rFonts w:ascii="Calibri" w:hAnsi="Calibri" w:cs="Calibri"/>
          <w:sz w:val="22"/>
          <w:szCs w:val="22"/>
        </w:rPr>
        <w:t>Metrics 1-</w:t>
      </w:r>
      <w:r w:rsidR="00AC7848" w:rsidRPr="00D9152B">
        <w:rPr>
          <w:rFonts w:ascii="Calibri" w:hAnsi="Calibri" w:cs="Calibri"/>
          <w:sz w:val="22"/>
          <w:szCs w:val="22"/>
        </w:rPr>
        <w:t>2: The Economic Review Mission’s ‘land fre</w:t>
      </w:r>
      <w:r w:rsidRPr="00D9152B">
        <w:rPr>
          <w:rFonts w:ascii="Calibri" w:hAnsi="Calibri" w:cs="Calibri"/>
          <w:sz w:val="22"/>
          <w:szCs w:val="22"/>
        </w:rPr>
        <w:t>ed’ and net present value (1978)</w:t>
      </w:r>
    </w:p>
    <w:p w14:paraId="223F5C60" w14:textId="0360EDD0" w:rsidR="00AC7848" w:rsidRPr="00D9152B" w:rsidRDefault="00AC7848" w:rsidP="005C7F9F">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ab/>
        <w:t xml:space="preserve">The 1978 Economic Review Mission did more to inflame than quell the OCP’s economic controversies. The Bank financed most of the </w:t>
      </w:r>
      <w:r w:rsidR="00C10154">
        <w:rPr>
          <w:rFonts w:ascii="Calibri" w:hAnsi="Calibri" w:cs="Calibri"/>
          <w:sz w:val="22"/>
          <w:szCs w:val="22"/>
        </w:rPr>
        <w:t>m</w:t>
      </w:r>
      <w:r w:rsidRPr="00D9152B">
        <w:rPr>
          <w:rFonts w:ascii="Calibri" w:hAnsi="Calibri" w:cs="Calibri"/>
          <w:sz w:val="22"/>
          <w:szCs w:val="22"/>
        </w:rPr>
        <w:t>ission, and nominated Elliot Berg, a professor and economist from Michigan State University, to coordinate it.</w:t>
      </w:r>
      <w:r w:rsidRPr="00D9152B">
        <w:rPr>
          <w:rStyle w:val="FootnoteReference"/>
          <w:rFonts w:ascii="Calibri" w:hAnsi="Calibri" w:cs="Calibri"/>
          <w:sz w:val="22"/>
          <w:szCs w:val="22"/>
        </w:rPr>
        <w:footnoteReference w:id="331"/>
      </w:r>
      <w:r w:rsidRPr="00D9152B">
        <w:rPr>
          <w:rFonts w:ascii="Calibri" w:hAnsi="Calibri" w:cs="Calibri"/>
          <w:sz w:val="22"/>
          <w:szCs w:val="22"/>
        </w:rPr>
        <w:t xml:space="preserve"> </w:t>
      </w:r>
      <w:r w:rsidR="00871E27">
        <w:rPr>
          <w:rFonts w:ascii="Calibri" w:hAnsi="Calibri" w:cs="Calibri"/>
          <w:sz w:val="22"/>
          <w:szCs w:val="22"/>
        </w:rPr>
        <w:t xml:space="preserve">Berg would later author an influential 1981 report that provided an impetus for structural adjustment, </w:t>
      </w:r>
      <w:r w:rsidR="00871E27">
        <w:rPr>
          <w:rFonts w:ascii="Calibri" w:hAnsi="Calibri" w:cs="Calibri"/>
          <w:i/>
          <w:iCs/>
          <w:sz w:val="22"/>
          <w:szCs w:val="22"/>
        </w:rPr>
        <w:t>Accelerated development in Sub-Saharan Africa,</w:t>
      </w:r>
      <w:r w:rsidR="00871E27">
        <w:rPr>
          <w:rFonts w:ascii="Calibri" w:hAnsi="Calibri" w:cs="Calibri"/>
          <w:sz w:val="22"/>
          <w:szCs w:val="22"/>
        </w:rPr>
        <w:t xml:space="preserve"> commonly referred to as the ‘Berg report’</w:t>
      </w:r>
      <w:r w:rsidR="00871E27" w:rsidRPr="00871E27">
        <w:rPr>
          <w:rFonts w:ascii="Calibri" w:hAnsi="Calibri" w:cs="Calibri"/>
          <w:sz w:val="22"/>
          <w:szCs w:val="22"/>
        </w:rPr>
        <w:t>.</w:t>
      </w:r>
      <w:r w:rsidR="00871E27" w:rsidRPr="00CF189D">
        <w:rPr>
          <w:rStyle w:val="FootnoteReference"/>
          <w:rFonts w:ascii="Calibri" w:hAnsi="Calibri" w:cs="Calibri"/>
        </w:rPr>
        <w:footnoteReference w:id="332"/>
      </w:r>
      <w:r w:rsidR="00871E27" w:rsidRPr="00871E27">
        <w:rPr>
          <w:rFonts w:ascii="Calibri" w:hAnsi="Calibri" w:cs="Calibri"/>
          <w:sz w:val="22"/>
          <w:szCs w:val="22"/>
        </w:rPr>
        <w:t xml:space="preserve"> </w:t>
      </w:r>
      <w:r w:rsidR="003F312A" w:rsidRPr="00871E27">
        <w:rPr>
          <w:rFonts w:ascii="Calibri" w:hAnsi="Calibri" w:cs="Calibri"/>
          <w:sz w:val="22"/>
          <w:szCs w:val="22"/>
        </w:rPr>
        <w:t xml:space="preserve">The </w:t>
      </w:r>
      <w:r w:rsidR="00996FDB" w:rsidRPr="00D9152B">
        <w:rPr>
          <w:rFonts w:ascii="Calibri" w:hAnsi="Calibri" w:cs="Calibri"/>
          <w:sz w:val="22"/>
          <w:szCs w:val="22"/>
        </w:rPr>
        <w:t>M</w:t>
      </w:r>
      <w:r w:rsidR="003F312A" w:rsidRPr="00D9152B">
        <w:rPr>
          <w:rFonts w:ascii="Calibri" w:hAnsi="Calibri" w:cs="Calibri"/>
          <w:sz w:val="22"/>
          <w:szCs w:val="22"/>
        </w:rPr>
        <w:t>ission</w:t>
      </w:r>
      <w:r w:rsidRPr="00D9152B">
        <w:rPr>
          <w:rFonts w:ascii="Calibri" w:hAnsi="Calibri" w:cs="Calibri"/>
          <w:sz w:val="22"/>
          <w:szCs w:val="22"/>
        </w:rPr>
        <w:t xml:space="preserve"> evaluated two types of economic benefits: direct (improved productivity of labour) and indirect (opening of new lands).</w:t>
      </w:r>
      <w:r w:rsidRPr="00D9152B">
        <w:rPr>
          <w:rStyle w:val="FootnoteReference"/>
          <w:rFonts w:ascii="Calibri" w:hAnsi="Calibri" w:cs="Calibri"/>
          <w:sz w:val="22"/>
          <w:szCs w:val="22"/>
        </w:rPr>
        <w:footnoteReference w:id="333"/>
      </w:r>
      <w:r w:rsidRPr="00D9152B">
        <w:rPr>
          <w:rFonts w:ascii="Calibri" w:hAnsi="Calibri" w:cs="Calibri"/>
          <w:sz w:val="22"/>
          <w:szCs w:val="22"/>
        </w:rPr>
        <w:t xml:space="preserve"> </w:t>
      </w:r>
    </w:p>
    <w:p w14:paraId="73C78891" w14:textId="0D342779"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For the labour-related benefits, the present value of estimated OCP costs was compared with the present value of productivity gains. Berg’s team found that the </w:t>
      </w:r>
      <w:r w:rsidR="00220C6B" w:rsidRPr="00D9152B">
        <w:rPr>
          <w:rFonts w:ascii="Calibri" w:hAnsi="Calibri" w:cs="Calibri"/>
          <w:sz w:val="22"/>
          <w:szCs w:val="22"/>
        </w:rPr>
        <w:t xml:space="preserve">net </w:t>
      </w:r>
      <w:r w:rsidRPr="00D9152B">
        <w:rPr>
          <w:rFonts w:ascii="Calibri" w:hAnsi="Calibri" w:cs="Calibri"/>
          <w:sz w:val="22"/>
          <w:szCs w:val="22"/>
        </w:rPr>
        <w:t>present value</w:t>
      </w:r>
      <w:r w:rsidR="00220C6B" w:rsidRPr="00D9152B">
        <w:rPr>
          <w:rFonts w:ascii="Calibri" w:hAnsi="Calibri" w:cs="Calibri"/>
          <w:sz w:val="22"/>
          <w:szCs w:val="22"/>
        </w:rPr>
        <w:t xml:space="preserve"> (NPV)</w:t>
      </w:r>
      <w:r w:rsidRPr="00D9152B">
        <w:rPr>
          <w:rFonts w:ascii="Calibri" w:hAnsi="Calibri" w:cs="Calibri"/>
          <w:sz w:val="22"/>
          <w:szCs w:val="22"/>
        </w:rPr>
        <w:t xml:space="preserve"> of labour-related benefits varied dramatically – from $20.5 million to $1,137.6 million in constant 1978 USD – depending on values used for the model’s variables.  These variables included the time horizon (25 or 50 years), discount rate (3 or 10</w:t>
      </w:r>
      <w:r w:rsidR="00996FDB" w:rsidRPr="00D9152B">
        <w:rPr>
          <w:rFonts w:ascii="Calibri" w:hAnsi="Calibri" w:cs="Calibri"/>
          <w:sz w:val="22"/>
          <w:szCs w:val="22"/>
        </w:rPr>
        <w:t xml:space="preserve"> percent</w:t>
      </w:r>
      <w:r w:rsidRPr="00D9152B">
        <w:rPr>
          <w:rFonts w:ascii="Calibri" w:hAnsi="Calibri" w:cs="Calibri"/>
          <w:sz w:val="22"/>
          <w:szCs w:val="22"/>
        </w:rPr>
        <w:t>), and estimate of the productivity of labourers (the marginal product of labour, which measures the change in labour output due to blindness). The value of labour benefits only approached the OCP’s estimated costs using favo</w:t>
      </w:r>
      <w:r w:rsidR="00C10154">
        <w:rPr>
          <w:rFonts w:ascii="Calibri" w:hAnsi="Calibri" w:cs="Calibri"/>
          <w:sz w:val="22"/>
          <w:szCs w:val="22"/>
        </w:rPr>
        <w:t>u</w:t>
      </w:r>
      <w:r w:rsidRPr="00D9152B">
        <w:rPr>
          <w:rFonts w:ascii="Calibri" w:hAnsi="Calibri" w:cs="Calibri"/>
          <w:sz w:val="22"/>
          <w:szCs w:val="22"/>
        </w:rPr>
        <w:t>rable variables: a long (50 year) time horizon, a modest discount rate (10</w:t>
      </w:r>
      <w:r w:rsidR="00996FDB" w:rsidRPr="00D9152B">
        <w:rPr>
          <w:rFonts w:ascii="Calibri" w:hAnsi="Calibri" w:cs="Calibri"/>
          <w:sz w:val="22"/>
          <w:szCs w:val="22"/>
        </w:rPr>
        <w:t xml:space="preserve"> percent</w:t>
      </w:r>
      <w:r w:rsidRPr="00D9152B">
        <w:rPr>
          <w:rFonts w:ascii="Calibri" w:hAnsi="Calibri" w:cs="Calibri"/>
          <w:sz w:val="22"/>
          <w:szCs w:val="22"/>
        </w:rPr>
        <w:t>), and the highest marginal output of labour estimate.</w:t>
      </w:r>
      <w:r w:rsidRPr="00D9152B">
        <w:rPr>
          <w:rStyle w:val="FootnoteReference"/>
          <w:rFonts w:ascii="Calibri" w:hAnsi="Calibri" w:cs="Calibri"/>
          <w:sz w:val="22"/>
          <w:szCs w:val="22"/>
        </w:rPr>
        <w:footnoteReference w:id="334"/>
      </w:r>
      <w:r w:rsidRPr="00D9152B">
        <w:rPr>
          <w:rFonts w:ascii="Calibri" w:hAnsi="Calibri" w:cs="Calibri"/>
          <w:sz w:val="22"/>
          <w:szCs w:val="22"/>
        </w:rPr>
        <w:t xml:space="preserve"> </w:t>
      </w:r>
    </w:p>
    <w:p w14:paraId="48CF1DA2" w14:textId="6E634F5E"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first version of the </w:t>
      </w:r>
      <w:r w:rsidR="003148F6">
        <w:rPr>
          <w:rFonts w:ascii="Calibri" w:hAnsi="Calibri" w:cs="Calibri"/>
          <w:sz w:val="22"/>
          <w:szCs w:val="22"/>
        </w:rPr>
        <w:t>review mission’s report</w:t>
      </w:r>
      <w:r w:rsidRPr="00D9152B">
        <w:rPr>
          <w:rFonts w:ascii="Calibri" w:hAnsi="Calibri" w:cs="Calibri"/>
          <w:sz w:val="22"/>
          <w:szCs w:val="22"/>
        </w:rPr>
        <w:t xml:space="preserve"> also dramatically reduced the estimates of productive land that would be made available through the OCP. Instead of considering all land in the original OCP area (650,000 km</w:t>
      </w:r>
      <w:r w:rsidRPr="00D9152B">
        <w:rPr>
          <w:rFonts w:ascii="Calibri" w:hAnsi="Calibri" w:cs="Calibri"/>
          <w:sz w:val="22"/>
          <w:szCs w:val="22"/>
          <w:vertAlign w:val="superscript"/>
        </w:rPr>
        <w:t xml:space="preserve">2 </w:t>
      </w:r>
      <w:r w:rsidRPr="00D9152B">
        <w:rPr>
          <w:rFonts w:ascii="Calibri" w:hAnsi="Calibri" w:cs="Calibri"/>
          <w:sz w:val="22"/>
          <w:szCs w:val="22"/>
        </w:rPr>
        <w:t xml:space="preserve">or 65 million hectares) as </w:t>
      </w:r>
      <w:r w:rsidRPr="00D9152B">
        <w:rPr>
          <w:rFonts w:ascii="Calibri" w:hAnsi="Calibri" w:cs="Calibri"/>
          <w:sz w:val="22"/>
          <w:szCs w:val="22"/>
        </w:rPr>
        <w:lastRenderedPageBreak/>
        <w:t>productive, the original</w:t>
      </w:r>
      <w:r w:rsidR="001D13F7">
        <w:rPr>
          <w:rFonts w:ascii="Calibri" w:hAnsi="Calibri" w:cs="Calibri"/>
          <w:sz w:val="22"/>
          <w:szCs w:val="22"/>
        </w:rPr>
        <w:t xml:space="preserve"> </w:t>
      </w:r>
      <w:r w:rsidRPr="00D9152B">
        <w:rPr>
          <w:rFonts w:ascii="Calibri" w:hAnsi="Calibri" w:cs="Calibri"/>
          <w:sz w:val="22"/>
          <w:szCs w:val="22"/>
        </w:rPr>
        <w:t>report estimated that only 50,610 km</w:t>
      </w:r>
      <w:r w:rsidRPr="00D9152B">
        <w:rPr>
          <w:rFonts w:ascii="Calibri" w:hAnsi="Calibri" w:cs="Calibri"/>
          <w:sz w:val="22"/>
          <w:szCs w:val="22"/>
          <w:vertAlign w:val="superscript"/>
        </w:rPr>
        <w:t>2</w:t>
      </w:r>
      <w:r w:rsidRPr="00D9152B">
        <w:rPr>
          <w:rFonts w:ascii="Calibri" w:hAnsi="Calibri" w:cs="Calibri"/>
          <w:sz w:val="22"/>
          <w:szCs w:val="22"/>
        </w:rPr>
        <w:t xml:space="preserve"> (5.06 million hectares) would be suitable for cultivation.</w:t>
      </w:r>
      <w:r w:rsidRPr="00D9152B">
        <w:rPr>
          <w:rStyle w:val="FootnoteReference"/>
          <w:rFonts w:ascii="Calibri" w:hAnsi="Calibri" w:cs="Calibri"/>
          <w:sz w:val="22"/>
          <w:szCs w:val="22"/>
        </w:rPr>
        <w:footnoteReference w:id="335"/>
      </w:r>
    </w:p>
    <w:p w14:paraId="4CB0AC8A" w14:textId="72E8CEAC"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 report was heavily criticized by nearly all OCP partners, aside from the Bank.</w:t>
      </w:r>
      <w:r w:rsidRPr="00D9152B">
        <w:rPr>
          <w:rStyle w:val="FootnoteReference"/>
          <w:rFonts w:ascii="Calibri" w:hAnsi="Calibri" w:cs="Calibri"/>
          <w:sz w:val="22"/>
          <w:szCs w:val="22"/>
        </w:rPr>
        <w:footnoteReference w:id="336"/>
      </w:r>
      <w:r w:rsidRPr="00D9152B">
        <w:rPr>
          <w:rFonts w:ascii="Calibri" w:hAnsi="Calibri" w:cs="Calibri"/>
          <w:sz w:val="22"/>
          <w:szCs w:val="22"/>
        </w:rPr>
        <w:t xml:space="preserve"> Some </w:t>
      </w:r>
      <w:r w:rsidR="00B236B2" w:rsidRPr="00D9152B">
        <w:rPr>
          <w:rFonts w:ascii="Calibri" w:hAnsi="Calibri" w:cs="Calibri"/>
          <w:sz w:val="22"/>
          <w:szCs w:val="22"/>
        </w:rPr>
        <w:t xml:space="preserve">Economic Development Advisory Panel </w:t>
      </w:r>
      <w:r w:rsidRPr="00D9152B">
        <w:rPr>
          <w:rFonts w:ascii="Calibri" w:hAnsi="Calibri" w:cs="Calibri"/>
          <w:sz w:val="22"/>
          <w:szCs w:val="22"/>
        </w:rPr>
        <w:t>members also expressed concern that ‘the report underestimated the likely impact of the Programme on the economic development of the onchocerciasis areas; it was thought to be a theoretical report which did not take into consideration the development policies of the various countries and the various programmes and projects underway’. Perhaps surprisingly (for a group of economic advisors), EDAP members pointed to the fact that the Mission’s evaluation team was poorly suited, ‘being made mainly of</w:t>
      </w:r>
      <w:r w:rsidR="00DA18DF" w:rsidRPr="00D9152B">
        <w:rPr>
          <w:rFonts w:ascii="Calibri" w:hAnsi="Calibri" w:cs="Calibri"/>
          <w:sz w:val="22"/>
          <w:szCs w:val="22"/>
        </w:rPr>
        <w:t xml:space="preserve"> [agricultural]</w:t>
      </w:r>
      <w:r w:rsidRPr="00D9152B">
        <w:rPr>
          <w:rFonts w:ascii="Calibri" w:hAnsi="Calibri" w:cs="Calibri"/>
          <w:sz w:val="22"/>
          <w:szCs w:val="22"/>
        </w:rPr>
        <w:t xml:space="preserve"> economists’. Most participating countries agreed that ‘there were serious omissions and pessimisms’. In spite of the general consensus that the report ‘underestimated the economic benefits and was pessimistic’, the </w:t>
      </w:r>
      <w:r w:rsidR="00DA18DF" w:rsidRPr="00D9152B">
        <w:rPr>
          <w:rFonts w:ascii="Calibri" w:hAnsi="Calibri" w:cs="Calibri"/>
          <w:sz w:val="22"/>
          <w:szCs w:val="22"/>
        </w:rPr>
        <w:t>panel</w:t>
      </w:r>
      <w:r w:rsidRPr="00D9152B">
        <w:rPr>
          <w:rFonts w:ascii="Calibri" w:hAnsi="Calibri" w:cs="Calibri"/>
          <w:sz w:val="22"/>
          <w:szCs w:val="22"/>
        </w:rPr>
        <w:t xml:space="preserve"> and seven participating countries ultimately endorsed its final version. This version provided a much higher estimate of the arable land that could be made available by the OCP in the seven original countries, with little substantiation: 134,000-154,000 km</w:t>
      </w:r>
      <w:r w:rsidRPr="00D9152B">
        <w:rPr>
          <w:rFonts w:ascii="Calibri" w:hAnsi="Calibri" w:cs="Calibri"/>
          <w:sz w:val="22"/>
          <w:szCs w:val="22"/>
          <w:vertAlign w:val="superscript"/>
        </w:rPr>
        <w:t>2</w:t>
      </w:r>
      <w:r w:rsidRPr="00D9152B">
        <w:rPr>
          <w:rFonts w:ascii="Calibri" w:hAnsi="Calibri" w:cs="Calibri"/>
          <w:sz w:val="22"/>
          <w:szCs w:val="22"/>
        </w:rPr>
        <w:t xml:space="preserve"> (13.4-15.4 million hectares).</w:t>
      </w:r>
      <w:r w:rsidRPr="00D9152B">
        <w:rPr>
          <w:rStyle w:val="FootnoteReference"/>
          <w:rFonts w:ascii="Calibri" w:hAnsi="Calibri" w:cs="Calibri"/>
          <w:sz w:val="22"/>
          <w:szCs w:val="22"/>
        </w:rPr>
        <w:footnoteReference w:id="337"/>
      </w:r>
      <w:r w:rsidRPr="00D9152B">
        <w:rPr>
          <w:rFonts w:ascii="Calibri" w:hAnsi="Calibri" w:cs="Calibri"/>
          <w:sz w:val="22"/>
          <w:szCs w:val="22"/>
        </w:rPr>
        <w:t xml:space="preserve"> </w:t>
      </w:r>
    </w:p>
    <w:p w14:paraId="30D7F80F" w14:textId="02AEC089"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Berg responded to harsh criticism with a general attack on the idea that ‘new lands’ could form a justification for economic investment at all. </w:t>
      </w:r>
      <w:r w:rsidR="0046624E" w:rsidRPr="00D9152B">
        <w:rPr>
          <w:rFonts w:ascii="Calibri" w:hAnsi="Calibri" w:cs="Calibri"/>
          <w:sz w:val="22"/>
          <w:szCs w:val="22"/>
        </w:rPr>
        <w:t>An FAO representative paraphrased Berg’s argument:</w:t>
      </w:r>
    </w:p>
    <w:p w14:paraId="73550739" w14:textId="6B503FB6" w:rsidR="00AC7848" w:rsidRPr="00D9152B" w:rsidRDefault="00AC7848" w:rsidP="00DF52DF">
      <w:pPr>
        <w:pStyle w:val="Quote"/>
        <w:ind w:left="862" w:right="862"/>
        <w:rPr>
          <w:rFonts w:cs="Calibri"/>
          <w:i/>
          <w:sz w:val="22"/>
          <w:szCs w:val="22"/>
        </w:rPr>
      </w:pPr>
      <w:r w:rsidRPr="00D9152B">
        <w:rPr>
          <w:rFonts w:cs="Calibri"/>
          <w:i/>
          <w:sz w:val="22"/>
          <w:szCs w:val="22"/>
        </w:rPr>
        <w:t xml:space="preserve">‘There was a state of the art in carrying out this type of evaluation: in justifying health projects, the humanitarian objective is most important. Economic evaluations are based on the labour available effect of the project, how it can increase labour and therefore production, if the people do not die… Economists, he said, have not yet come to grips with the ‘new land’ effects of such projects. He said that there was no economic justification in saying that because we had spent a lot of </w:t>
      </w:r>
      <w:r w:rsidRPr="00D9152B">
        <w:rPr>
          <w:rFonts w:cs="Calibri"/>
          <w:i/>
          <w:sz w:val="22"/>
          <w:szCs w:val="22"/>
        </w:rPr>
        <w:lastRenderedPageBreak/>
        <w:t>money on the control of oncho, we must therefore validate the investment by further investment in the area.’</w:t>
      </w:r>
      <w:r w:rsidRPr="00D9152B">
        <w:rPr>
          <w:rStyle w:val="FootnoteReference"/>
          <w:rFonts w:ascii="Calibri" w:hAnsi="Calibri" w:cs="Calibri"/>
          <w:i/>
          <w:sz w:val="22"/>
          <w:szCs w:val="22"/>
        </w:rPr>
        <w:footnoteReference w:id="338"/>
      </w:r>
    </w:p>
    <w:p w14:paraId="2CFCFECA" w14:textId="18352E3A"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Frustrations with the ‘pessimistic’ mission did not lead to increased priority for socio-economic development within the OCP. Phase II of the programme included no direct funding for socio-economic development, and in 1979 it was decided that participating countries would take over responsibility for an annual report on development activities.</w:t>
      </w:r>
      <w:r w:rsidRPr="00D9152B">
        <w:rPr>
          <w:rStyle w:val="FootnoteReference"/>
          <w:rFonts w:ascii="Calibri" w:hAnsi="Calibri" w:cs="Calibri"/>
          <w:sz w:val="22"/>
          <w:szCs w:val="22"/>
        </w:rPr>
        <w:footnoteReference w:id="339"/>
      </w:r>
      <w:r w:rsidRPr="00D9152B">
        <w:rPr>
          <w:rFonts w:ascii="Calibri" w:hAnsi="Calibri" w:cs="Calibri"/>
          <w:sz w:val="22"/>
          <w:szCs w:val="22"/>
        </w:rPr>
        <w:t xml:space="preserve"> The </w:t>
      </w:r>
      <w:r w:rsidR="00DA18DF" w:rsidRPr="00D9152B">
        <w:rPr>
          <w:rFonts w:ascii="Calibri" w:hAnsi="Calibri" w:cs="Calibri"/>
          <w:sz w:val="22"/>
          <w:szCs w:val="22"/>
        </w:rPr>
        <w:t>Economic Development Unit</w:t>
      </w:r>
      <w:r w:rsidRPr="00D9152B">
        <w:rPr>
          <w:rFonts w:ascii="Calibri" w:hAnsi="Calibri" w:cs="Calibri"/>
          <w:sz w:val="22"/>
          <w:szCs w:val="22"/>
        </w:rPr>
        <w:t xml:space="preserve"> had few resources and was without a </w:t>
      </w:r>
      <w:r w:rsidR="00DA18DF" w:rsidRPr="00D9152B">
        <w:rPr>
          <w:rFonts w:ascii="Calibri" w:hAnsi="Calibri" w:cs="Calibri"/>
          <w:sz w:val="22"/>
          <w:szCs w:val="22"/>
        </w:rPr>
        <w:t>leader</w:t>
      </w:r>
      <w:r w:rsidRPr="00D9152B">
        <w:rPr>
          <w:rFonts w:ascii="Calibri" w:hAnsi="Calibri" w:cs="Calibri"/>
          <w:sz w:val="22"/>
          <w:szCs w:val="22"/>
        </w:rPr>
        <w:t xml:space="preserve"> yet again in 1978, and only three countries had established socio-economic development plans for the OCP areas.</w:t>
      </w:r>
      <w:r w:rsidRPr="00D9152B">
        <w:rPr>
          <w:rStyle w:val="FootnoteReference"/>
          <w:rFonts w:ascii="Calibri" w:hAnsi="Calibri" w:cs="Calibri"/>
          <w:sz w:val="22"/>
          <w:szCs w:val="22"/>
        </w:rPr>
        <w:footnoteReference w:id="340"/>
      </w:r>
      <w:r w:rsidRPr="00D9152B">
        <w:rPr>
          <w:rFonts w:ascii="Calibri" w:hAnsi="Calibri" w:cs="Calibri"/>
          <w:sz w:val="22"/>
          <w:szCs w:val="22"/>
        </w:rPr>
        <w:t xml:space="preserve"> </w:t>
      </w:r>
    </w:p>
    <w:p w14:paraId="00C74A2D" w14:textId="09CBA1B0"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Essentially, the catch-22 situation that Leonard Rist had recognized in the 1960s remained; an economic analysis required critical data (like soil quality, future programme costs, and the precise impact of the disease on labour productivity),</w:t>
      </w:r>
      <w:r w:rsidRPr="00D9152B">
        <w:rPr>
          <w:rStyle w:val="FootnoteReference"/>
          <w:rFonts w:ascii="Calibri" w:hAnsi="Calibri" w:cs="Calibri"/>
          <w:sz w:val="22"/>
          <w:szCs w:val="22"/>
        </w:rPr>
        <w:footnoteReference w:id="341"/>
      </w:r>
      <w:r w:rsidRPr="00D9152B">
        <w:rPr>
          <w:rFonts w:ascii="Calibri" w:hAnsi="Calibri" w:cs="Calibri"/>
          <w:sz w:val="22"/>
          <w:szCs w:val="22"/>
        </w:rPr>
        <w:t xml:space="preserve"> but the OCP still did not have the capacity to collect this data systematically. The Bank instead focused on ‘sc</w:t>
      </w:r>
      <w:r w:rsidR="002C0683" w:rsidRPr="00D9152B">
        <w:rPr>
          <w:rFonts w:ascii="Calibri" w:hAnsi="Calibri" w:cs="Calibri"/>
          <w:sz w:val="22"/>
          <w:szCs w:val="22"/>
        </w:rPr>
        <w:t>aling down donors’ expectations’</w:t>
      </w:r>
      <w:r w:rsidRPr="00D9152B">
        <w:rPr>
          <w:rFonts w:ascii="Calibri" w:hAnsi="Calibri" w:cs="Calibri"/>
          <w:sz w:val="22"/>
          <w:szCs w:val="22"/>
        </w:rPr>
        <w:t>.</w:t>
      </w:r>
      <w:r w:rsidRPr="00D9152B">
        <w:rPr>
          <w:rStyle w:val="FootnoteReference"/>
          <w:rFonts w:ascii="Calibri" w:hAnsi="Calibri" w:cs="Calibri"/>
          <w:sz w:val="22"/>
          <w:szCs w:val="22"/>
        </w:rPr>
        <w:footnoteReference w:id="342"/>
      </w:r>
      <w:r w:rsidRPr="00D9152B">
        <w:rPr>
          <w:rFonts w:ascii="Calibri" w:hAnsi="Calibri" w:cs="Calibri"/>
          <w:sz w:val="22"/>
          <w:szCs w:val="22"/>
        </w:rPr>
        <w:t xml:space="preserve"> In response to persistent concern from the FAO</w:t>
      </w:r>
      <w:r w:rsidRPr="00D9152B">
        <w:rPr>
          <w:rStyle w:val="FootnoteReference"/>
          <w:rFonts w:ascii="Calibri" w:hAnsi="Calibri" w:cs="Calibri"/>
          <w:sz w:val="22"/>
          <w:szCs w:val="22"/>
        </w:rPr>
        <w:footnoteReference w:id="343"/>
      </w:r>
      <w:r w:rsidRPr="00D9152B">
        <w:rPr>
          <w:rFonts w:ascii="Calibri" w:hAnsi="Calibri" w:cs="Calibri"/>
          <w:sz w:val="22"/>
          <w:szCs w:val="22"/>
        </w:rPr>
        <w:t xml:space="preserve"> and some donor delegations, WHO Director General Halfdan Mahler launched the Independent Commission on the Long-Term Prospects of the OCP. The Independent Commission stemmed from a recognition that ‘the reduction of oncho to tolerable levels will not </w:t>
      </w:r>
      <w:r w:rsidRPr="00D9152B">
        <w:rPr>
          <w:rFonts w:ascii="Calibri" w:hAnsi="Calibri" w:cs="Calibri"/>
          <w:i/>
          <w:iCs/>
          <w:sz w:val="22"/>
          <w:szCs w:val="22"/>
        </w:rPr>
        <w:t xml:space="preserve">necessarily </w:t>
      </w:r>
      <w:r w:rsidRPr="00D9152B">
        <w:rPr>
          <w:rFonts w:ascii="Calibri" w:hAnsi="Calibri" w:cs="Calibri"/>
          <w:sz w:val="22"/>
          <w:szCs w:val="22"/>
        </w:rPr>
        <w:t>lead to development’.</w:t>
      </w:r>
      <w:r w:rsidRPr="00D9152B">
        <w:rPr>
          <w:rStyle w:val="FootnoteReference"/>
          <w:rFonts w:ascii="Calibri" w:hAnsi="Calibri" w:cs="Calibri"/>
          <w:sz w:val="22"/>
          <w:szCs w:val="22"/>
        </w:rPr>
        <w:footnoteReference w:id="344"/>
      </w:r>
      <w:r w:rsidRPr="00D9152B">
        <w:rPr>
          <w:rFonts w:ascii="Calibri" w:hAnsi="Calibri" w:cs="Calibri"/>
          <w:sz w:val="22"/>
          <w:szCs w:val="22"/>
        </w:rPr>
        <w:t xml:space="preserve"> </w:t>
      </w:r>
    </w:p>
    <w:p w14:paraId="20AB5952" w14:textId="3F79398A" w:rsidR="00DF52DF" w:rsidRPr="00D9152B" w:rsidRDefault="0098315E" w:rsidP="005C7F9F">
      <w:pPr>
        <w:pStyle w:val="Heading3"/>
        <w:spacing w:before="0" w:line="360" w:lineRule="auto"/>
        <w:rPr>
          <w:rFonts w:ascii="Calibri" w:hAnsi="Calibri" w:cs="Calibri"/>
          <w:b/>
          <w:i/>
          <w:color w:val="000000" w:themeColor="text1"/>
          <w:sz w:val="22"/>
          <w:szCs w:val="22"/>
        </w:rPr>
      </w:pPr>
      <w:bookmarkStart w:id="68" w:name="_Toc41505642"/>
      <w:r w:rsidRPr="00D9152B">
        <w:rPr>
          <w:rFonts w:ascii="Calibri" w:hAnsi="Calibri" w:cs="Calibri"/>
          <w:b/>
          <w:i/>
          <w:color w:val="000000" w:themeColor="text1"/>
          <w:sz w:val="22"/>
          <w:szCs w:val="22"/>
        </w:rPr>
        <w:lastRenderedPageBreak/>
        <w:t>4.5.C</w:t>
      </w:r>
      <w:r w:rsidR="00DF52DF" w:rsidRPr="00D9152B">
        <w:rPr>
          <w:rFonts w:ascii="Calibri" w:hAnsi="Calibri" w:cs="Calibri"/>
          <w:b/>
          <w:i/>
          <w:color w:val="000000" w:themeColor="text1"/>
          <w:sz w:val="22"/>
          <w:szCs w:val="22"/>
        </w:rPr>
        <w:t>.</w:t>
      </w:r>
      <w:r w:rsidR="0093006A" w:rsidRPr="00D9152B">
        <w:rPr>
          <w:rFonts w:ascii="Calibri" w:hAnsi="Calibri" w:cs="Calibri"/>
          <w:b/>
          <w:i/>
          <w:color w:val="000000" w:themeColor="text1"/>
          <w:sz w:val="22"/>
          <w:szCs w:val="22"/>
        </w:rPr>
        <w:t xml:space="preserve"> Phase 3: Fresh attempts to model ‘economic blindness’ &amp; land value</w:t>
      </w:r>
      <w:bookmarkEnd w:id="68"/>
      <w:r w:rsidR="0093006A" w:rsidRPr="00D9152B">
        <w:rPr>
          <w:rFonts w:ascii="Calibri" w:hAnsi="Calibri" w:cs="Calibri"/>
          <w:b/>
          <w:i/>
          <w:color w:val="000000" w:themeColor="text1"/>
          <w:sz w:val="22"/>
          <w:szCs w:val="22"/>
        </w:rPr>
        <w:t xml:space="preserve"> </w:t>
      </w:r>
    </w:p>
    <w:p w14:paraId="1D132CA9" w14:textId="1D47EFDB" w:rsidR="0093006A" w:rsidRPr="00D9152B" w:rsidRDefault="0093006A" w:rsidP="005C7F9F">
      <w:pPr>
        <w:pStyle w:val="Heading3"/>
        <w:spacing w:before="0" w:line="360" w:lineRule="auto"/>
        <w:rPr>
          <w:rFonts w:ascii="Calibri" w:hAnsi="Calibri" w:cs="Calibri"/>
          <w:b/>
          <w:i/>
          <w:color w:val="000000" w:themeColor="text1"/>
          <w:sz w:val="22"/>
          <w:szCs w:val="22"/>
        </w:rPr>
      </w:pPr>
      <w:bookmarkStart w:id="69" w:name="_Toc41505643"/>
      <w:r w:rsidRPr="00D9152B">
        <w:rPr>
          <w:rFonts w:ascii="Calibri" w:hAnsi="Calibri" w:cs="Calibri"/>
          <w:b/>
          <w:i/>
          <w:color w:val="000000" w:themeColor="text1"/>
          <w:sz w:val="22"/>
          <w:szCs w:val="22"/>
        </w:rPr>
        <w:t>(c. 1981-1990)</w:t>
      </w:r>
      <w:bookmarkEnd w:id="69"/>
    </w:p>
    <w:p w14:paraId="4162D91C" w14:textId="36AE08AE"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During the 1980s, a series of attempts were made to measure and model the OCP’s socio-economic progress. Each of these attempts was coordinated or published by the Bank, and they increasingly pointed to the importance of the ‘new lands’. Each also lacked precise data for some of their variables, so significant assumptions had to be made about labour productivity and land value. By 1990, language about the economic rate of return and the number of hectares ‘freed’ for cultivation were widely used, both by sponsoring agencies and in secondary literature. </w:t>
      </w:r>
    </w:p>
    <w:p w14:paraId="082FE0B7" w14:textId="5CFF4C13"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At the start of the decade, low morale about socio-economic progress was widespread among OCP partners. As Denning wrote, ‘as usual, the discussion of the economic development aspects of the Programme was marked by considerable confusion’.</w:t>
      </w:r>
      <w:r w:rsidRPr="00D9152B">
        <w:rPr>
          <w:rStyle w:val="FootnoteReference"/>
          <w:rFonts w:ascii="Calibri" w:hAnsi="Calibri" w:cs="Calibri"/>
          <w:sz w:val="22"/>
          <w:szCs w:val="22"/>
        </w:rPr>
        <w:footnoteReference w:id="345"/>
      </w:r>
      <w:r w:rsidRPr="00D9152B">
        <w:rPr>
          <w:rFonts w:ascii="Calibri" w:hAnsi="Calibri" w:cs="Calibri"/>
          <w:sz w:val="22"/>
          <w:szCs w:val="22"/>
        </w:rPr>
        <w:t xml:space="preserve"> The Bank pointed to the stark contrast between the ‘moral commitment’ of beneficiary countries to ‘take whatever actions were appropriate to develop these zones, taking into account costs and benefits of the proposed development’, and the socioeconomic development reports prepared by these countries for the </w:t>
      </w:r>
      <w:r w:rsidR="001D5292" w:rsidRPr="00D9152B">
        <w:rPr>
          <w:rFonts w:ascii="Calibri" w:hAnsi="Calibri" w:cs="Calibri"/>
          <w:sz w:val="22"/>
          <w:szCs w:val="22"/>
        </w:rPr>
        <w:t>Joint Programme Committee</w:t>
      </w:r>
      <w:r w:rsidRPr="00D9152B">
        <w:rPr>
          <w:rFonts w:ascii="Calibri" w:hAnsi="Calibri" w:cs="Calibri"/>
          <w:sz w:val="22"/>
          <w:szCs w:val="22"/>
        </w:rPr>
        <w:t>, which ‘fell short of the expectations of donors’.</w:t>
      </w:r>
      <w:r w:rsidRPr="00D9152B">
        <w:rPr>
          <w:rStyle w:val="FootnoteReference"/>
          <w:rFonts w:ascii="Calibri" w:hAnsi="Calibri" w:cs="Calibri"/>
          <w:sz w:val="22"/>
          <w:szCs w:val="22"/>
        </w:rPr>
        <w:footnoteReference w:id="346"/>
      </w:r>
      <w:r w:rsidRPr="00D9152B">
        <w:rPr>
          <w:rFonts w:ascii="Calibri" w:hAnsi="Calibri" w:cs="Calibri"/>
          <w:sz w:val="22"/>
          <w:szCs w:val="22"/>
        </w:rPr>
        <w:t xml:space="preserve"> </w:t>
      </w:r>
      <w:r w:rsidR="00754ECB" w:rsidRPr="00D9152B">
        <w:rPr>
          <w:rFonts w:ascii="Calibri" w:hAnsi="Calibri" w:cs="Calibri"/>
          <w:sz w:val="22"/>
          <w:szCs w:val="22"/>
        </w:rPr>
        <w:t>A</w:t>
      </w:r>
      <w:r w:rsidRPr="00D9152B">
        <w:rPr>
          <w:rFonts w:ascii="Calibri" w:hAnsi="Calibri" w:cs="Calibri"/>
          <w:sz w:val="22"/>
          <w:szCs w:val="22"/>
        </w:rPr>
        <w:t xml:space="preserve"> </w:t>
      </w:r>
      <w:r w:rsidR="001D5292" w:rsidRPr="00D9152B">
        <w:rPr>
          <w:rFonts w:ascii="Calibri" w:hAnsi="Calibri" w:cs="Calibri"/>
          <w:sz w:val="22"/>
          <w:szCs w:val="22"/>
        </w:rPr>
        <w:t>Committee of Sponsoring Agencies</w:t>
      </w:r>
      <w:r w:rsidRPr="00D9152B">
        <w:rPr>
          <w:rFonts w:ascii="Calibri" w:hAnsi="Calibri" w:cs="Calibri"/>
          <w:sz w:val="22"/>
          <w:szCs w:val="22"/>
        </w:rPr>
        <w:t xml:space="preserve"> subgroup on socio-economic development found that many earlier recommendations about timely submission of country socio-economic reports had not been followed-up, and that the </w:t>
      </w:r>
      <w:r w:rsidR="001D5292" w:rsidRPr="00D9152B">
        <w:rPr>
          <w:rFonts w:ascii="Calibri" w:hAnsi="Calibri" w:cs="Calibri"/>
          <w:sz w:val="22"/>
          <w:szCs w:val="22"/>
        </w:rPr>
        <w:t>Economic Development Unit</w:t>
      </w:r>
      <w:r w:rsidRPr="00D9152B">
        <w:rPr>
          <w:rFonts w:ascii="Calibri" w:hAnsi="Calibri" w:cs="Calibri"/>
          <w:sz w:val="22"/>
          <w:szCs w:val="22"/>
        </w:rPr>
        <w:t xml:space="preserve"> was so ‘starved’ of staff and could not assist countries with these reports.</w:t>
      </w:r>
      <w:r w:rsidRPr="00D9152B">
        <w:rPr>
          <w:rStyle w:val="FootnoteReference"/>
          <w:rFonts w:ascii="Calibri" w:hAnsi="Calibri" w:cs="Calibri"/>
          <w:sz w:val="22"/>
          <w:szCs w:val="22"/>
        </w:rPr>
        <w:footnoteReference w:id="347"/>
      </w:r>
      <w:r w:rsidRPr="00D9152B">
        <w:rPr>
          <w:rFonts w:ascii="Calibri" w:hAnsi="Calibri" w:cs="Calibri"/>
          <w:sz w:val="22"/>
          <w:szCs w:val="22"/>
        </w:rPr>
        <w:t xml:space="preserve"> </w:t>
      </w:r>
    </w:p>
    <w:p w14:paraId="2FCC8248" w14:textId="67A47E04"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During 1980, Marc Bazin – the OCP Director originally seconded from the Bank – announced his resignation. The search began for a new OCP Director</w:t>
      </w:r>
      <w:r w:rsidR="001D5292" w:rsidRPr="00D9152B">
        <w:rPr>
          <w:rFonts w:ascii="Calibri" w:hAnsi="Calibri" w:cs="Calibri"/>
          <w:sz w:val="22"/>
          <w:szCs w:val="22"/>
        </w:rPr>
        <w:t>,</w:t>
      </w:r>
      <w:r w:rsidRPr="00D9152B">
        <w:rPr>
          <w:rFonts w:ascii="Calibri" w:hAnsi="Calibri" w:cs="Calibri"/>
          <w:sz w:val="22"/>
          <w:szCs w:val="22"/>
        </w:rPr>
        <w:t xml:space="preserve"> and </w:t>
      </w:r>
      <w:r w:rsidR="001D13F7">
        <w:rPr>
          <w:rFonts w:ascii="Calibri" w:hAnsi="Calibri" w:cs="Calibri"/>
          <w:sz w:val="22"/>
          <w:szCs w:val="22"/>
        </w:rPr>
        <w:t>EM</w:t>
      </w:r>
      <w:r w:rsidRPr="00D9152B">
        <w:rPr>
          <w:rFonts w:ascii="Calibri" w:hAnsi="Calibri" w:cs="Calibri"/>
          <w:sz w:val="22"/>
          <w:szCs w:val="22"/>
        </w:rPr>
        <w:t xml:space="preserve"> Samba, a former Minister of Health in the Gambia, was ultimately selected for the post. Samba provided a rich symbol of programme Africanization. However, in the context of socio-economic development, Samba’s appointment was ironic; a physician, with no major </w:t>
      </w:r>
      <w:r w:rsidRPr="00D9152B">
        <w:rPr>
          <w:rFonts w:ascii="Calibri" w:hAnsi="Calibri" w:cs="Calibri"/>
          <w:sz w:val="22"/>
          <w:szCs w:val="22"/>
        </w:rPr>
        <w:lastRenderedPageBreak/>
        <w:t>experience in health economics, was replacing an economist (Bazin), and was tasked with re-invigorating socio-economic elements of the programme.</w:t>
      </w:r>
    </w:p>
    <w:p w14:paraId="53AEC7AA" w14:textId="2A1D0408"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One of Samba’s first initiatives was to visit all participating governments to ‘explore, very discreetly, how governments would react’ to changing the </w:t>
      </w:r>
      <w:r w:rsidR="001D5292" w:rsidRPr="00D9152B">
        <w:rPr>
          <w:rFonts w:ascii="Calibri" w:hAnsi="Calibri" w:cs="Calibri"/>
          <w:sz w:val="22"/>
          <w:szCs w:val="22"/>
        </w:rPr>
        <w:t>Economic Development Unit’s</w:t>
      </w:r>
      <w:r w:rsidRPr="00D9152B">
        <w:rPr>
          <w:rFonts w:ascii="Calibri" w:hAnsi="Calibri" w:cs="Calibri"/>
          <w:sz w:val="22"/>
          <w:szCs w:val="22"/>
        </w:rPr>
        <w:t xml:space="preserve"> terms of reference.</w:t>
      </w:r>
      <w:r w:rsidRPr="00D9152B">
        <w:rPr>
          <w:rStyle w:val="FootnoteReference"/>
          <w:rFonts w:ascii="Calibri" w:hAnsi="Calibri" w:cs="Calibri"/>
          <w:sz w:val="22"/>
          <w:szCs w:val="22"/>
        </w:rPr>
        <w:footnoteReference w:id="348"/>
      </w:r>
      <w:r w:rsidRPr="00D9152B">
        <w:rPr>
          <w:rFonts w:ascii="Calibri" w:hAnsi="Calibri" w:cs="Calibri"/>
          <w:sz w:val="22"/>
          <w:szCs w:val="22"/>
        </w:rPr>
        <w:t xml:space="preserve"> The </w:t>
      </w:r>
      <w:r w:rsidR="001D5292" w:rsidRPr="00D9152B">
        <w:rPr>
          <w:rFonts w:ascii="Calibri" w:hAnsi="Calibri" w:cs="Calibri"/>
          <w:sz w:val="22"/>
          <w:szCs w:val="22"/>
        </w:rPr>
        <w:t xml:space="preserve">Economic Development Advisory Panel </w:t>
      </w:r>
      <w:r w:rsidRPr="00D9152B">
        <w:rPr>
          <w:rFonts w:ascii="Calibri" w:hAnsi="Calibri" w:cs="Calibri"/>
          <w:sz w:val="22"/>
          <w:szCs w:val="22"/>
        </w:rPr>
        <w:t xml:space="preserve">had officially closed in 1980, and was replaced by a new advisory group, the Expert Advisory Committee (EAC). This committee was intended to streamline OCP operations, by combining the previous functions of the Science and Technology Advisory Committee (STAC), Ecological Panel, and </w:t>
      </w:r>
      <w:r w:rsidR="001D5292" w:rsidRPr="00D9152B">
        <w:rPr>
          <w:rFonts w:ascii="Calibri" w:hAnsi="Calibri" w:cs="Calibri"/>
          <w:sz w:val="22"/>
          <w:szCs w:val="22"/>
        </w:rPr>
        <w:t>Economic Development Advisory Panel</w:t>
      </w:r>
      <w:r w:rsidRPr="00D9152B">
        <w:rPr>
          <w:rFonts w:ascii="Calibri" w:hAnsi="Calibri" w:cs="Calibri"/>
          <w:sz w:val="22"/>
          <w:szCs w:val="22"/>
        </w:rPr>
        <w:t xml:space="preserve">. Three of the approximately twelve posts on the </w:t>
      </w:r>
      <w:r w:rsidR="001D5292" w:rsidRPr="00D9152B">
        <w:rPr>
          <w:rFonts w:ascii="Calibri" w:hAnsi="Calibri" w:cs="Calibri"/>
          <w:sz w:val="22"/>
          <w:szCs w:val="22"/>
        </w:rPr>
        <w:t>Expert Advisory Committee</w:t>
      </w:r>
      <w:r w:rsidRPr="00D9152B">
        <w:rPr>
          <w:rFonts w:ascii="Calibri" w:hAnsi="Calibri" w:cs="Calibri"/>
          <w:sz w:val="22"/>
          <w:szCs w:val="22"/>
        </w:rPr>
        <w:t xml:space="preserve"> were reserved for agricultural economic development and rural sociology</w:t>
      </w:r>
      <w:r w:rsidR="001D13F7">
        <w:rPr>
          <w:rFonts w:ascii="Calibri" w:hAnsi="Calibri" w:cs="Calibri"/>
          <w:sz w:val="22"/>
          <w:szCs w:val="22"/>
        </w:rPr>
        <w:t xml:space="preserve"> experts</w:t>
      </w:r>
      <w:r w:rsidRPr="00D9152B">
        <w:rPr>
          <w:rFonts w:ascii="Calibri" w:hAnsi="Calibri" w:cs="Calibri"/>
          <w:sz w:val="22"/>
          <w:szCs w:val="22"/>
        </w:rPr>
        <w:t>.</w:t>
      </w:r>
      <w:r w:rsidRPr="00D9152B">
        <w:rPr>
          <w:rStyle w:val="FootnoteReference"/>
          <w:rFonts w:ascii="Calibri" w:hAnsi="Calibri" w:cs="Calibri"/>
          <w:sz w:val="22"/>
          <w:szCs w:val="22"/>
        </w:rPr>
        <w:footnoteReference w:id="349"/>
      </w:r>
      <w:r w:rsidRPr="00D9152B">
        <w:rPr>
          <w:rFonts w:ascii="Calibri" w:hAnsi="Calibri" w:cs="Calibri"/>
          <w:sz w:val="22"/>
          <w:szCs w:val="22"/>
        </w:rPr>
        <w:t xml:space="preserve"> However, the membership of the </w:t>
      </w:r>
      <w:r w:rsidR="001D5292" w:rsidRPr="00D9152B">
        <w:rPr>
          <w:rFonts w:ascii="Calibri" w:hAnsi="Calibri" w:cs="Calibri"/>
          <w:sz w:val="22"/>
          <w:szCs w:val="22"/>
        </w:rPr>
        <w:t>Expert Advisory Committee</w:t>
      </w:r>
      <w:r w:rsidRPr="00D9152B">
        <w:rPr>
          <w:rFonts w:ascii="Calibri" w:hAnsi="Calibri" w:cs="Calibri"/>
          <w:sz w:val="22"/>
          <w:szCs w:val="22"/>
        </w:rPr>
        <w:t xml:space="preserve"> was contentious. This reflected the differences in the Bank and FAO’s opinion about how to undertake economic development, which </w:t>
      </w:r>
      <w:r w:rsidR="001D13F7">
        <w:rPr>
          <w:rFonts w:ascii="Calibri" w:hAnsi="Calibri" w:cs="Calibri"/>
          <w:sz w:val="22"/>
          <w:szCs w:val="22"/>
        </w:rPr>
        <w:t>are</w:t>
      </w:r>
      <w:r w:rsidR="002C0683" w:rsidRPr="00D9152B">
        <w:rPr>
          <w:rFonts w:ascii="Calibri" w:hAnsi="Calibri" w:cs="Calibri"/>
          <w:sz w:val="22"/>
          <w:szCs w:val="22"/>
        </w:rPr>
        <w:t xml:space="preserve"> discussed in Chapter 6</w:t>
      </w:r>
      <w:r w:rsidRPr="00D9152B">
        <w:rPr>
          <w:rFonts w:ascii="Calibri" w:hAnsi="Calibri" w:cs="Calibri"/>
          <w:sz w:val="22"/>
          <w:szCs w:val="22"/>
        </w:rPr>
        <w:t>.</w:t>
      </w:r>
      <w:r w:rsidRPr="00D9152B">
        <w:rPr>
          <w:rStyle w:val="FootnoteReference"/>
          <w:rFonts w:ascii="Calibri" w:hAnsi="Calibri" w:cs="Calibri"/>
          <w:sz w:val="22"/>
          <w:szCs w:val="22"/>
        </w:rPr>
        <w:footnoteReference w:id="350"/>
      </w:r>
      <w:r w:rsidRPr="00D9152B">
        <w:rPr>
          <w:rFonts w:ascii="Calibri" w:hAnsi="Calibri" w:cs="Calibri"/>
          <w:sz w:val="22"/>
          <w:szCs w:val="22"/>
        </w:rPr>
        <w:t xml:space="preserve">  </w:t>
      </w:r>
    </w:p>
    <w:p w14:paraId="732EB7D8" w14:textId="36305FED"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In spite of Samba’s efforts, by 1983 major donors were still concerned about the OCP’s economic value. A Netherlands delegate expressed the opinion that ‘the economic development justification for the program had been swept under the rug’, and questioned the programme’s cost-effectiveness compared to other disease programmes and to the national health budgets of the participating countries.</w:t>
      </w:r>
      <w:r w:rsidRPr="00D9152B">
        <w:rPr>
          <w:rStyle w:val="FootnoteReference"/>
          <w:rFonts w:ascii="Calibri" w:hAnsi="Calibri" w:cs="Calibri"/>
          <w:sz w:val="22"/>
          <w:szCs w:val="22"/>
        </w:rPr>
        <w:footnoteReference w:id="351"/>
      </w:r>
      <w:r w:rsidRPr="00D9152B">
        <w:rPr>
          <w:rFonts w:ascii="Calibri" w:hAnsi="Calibri" w:cs="Calibri"/>
          <w:sz w:val="22"/>
          <w:szCs w:val="22"/>
        </w:rPr>
        <w:t xml:space="preserve"> In response, the Bank reinforced that the ‘OCP should not become an economic development agency, but should supply the beneficiary countries and donors with basic indicators (like land availability and degree of resettlement) measuring the results of the 10 years’ of disease control’.</w:t>
      </w:r>
      <w:r w:rsidRPr="00D9152B">
        <w:rPr>
          <w:rStyle w:val="FootnoteReference"/>
          <w:rFonts w:ascii="Calibri" w:hAnsi="Calibri" w:cs="Calibri"/>
          <w:sz w:val="22"/>
          <w:szCs w:val="22"/>
        </w:rPr>
        <w:footnoteReference w:id="352"/>
      </w:r>
      <w:r w:rsidRPr="00D9152B">
        <w:rPr>
          <w:rFonts w:ascii="Calibri" w:hAnsi="Calibri" w:cs="Calibri"/>
          <w:sz w:val="22"/>
          <w:szCs w:val="22"/>
        </w:rPr>
        <w:t xml:space="preserve"> </w:t>
      </w:r>
    </w:p>
    <w:p w14:paraId="2C5E6D3C" w14:textId="64FD54F7" w:rsidR="00AC7848" w:rsidRPr="00D9152B" w:rsidRDefault="00AC7848" w:rsidP="005C7F9F">
      <w:pPr>
        <w:pStyle w:val="Heading4"/>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lastRenderedPageBreak/>
        <w:t xml:space="preserve">Metric 3: Prost and Prescott’s </w:t>
      </w:r>
      <w:r w:rsidR="00F16485" w:rsidRPr="00D9152B">
        <w:rPr>
          <w:rFonts w:ascii="Calibri" w:hAnsi="Calibri" w:cs="Calibri"/>
          <w:sz w:val="22"/>
          <w:szCs w:val="22"/>
        </w:rPr>
        <w:t>l</w:t>
      </w:r>
      <w:r w:rsidRPr="00D9152B">
        <w:rPr>
          <w:rFonts w:ascii="Calibri" w:hAnsi="Calibri" w:cs="Calibri"/>
          <w:sz w:val="22"/>
          <w:szCs w:val="22"/>
        </w:rPr>
        <w:t xml:space="preserve">abour </w:t>
      </w:r>
      <w:r w:rsidR="00F16485" w:rsidRPr="00D9152B">
        <w:rPr>
          <w:rFonts w:ascii="Calibri" w:hAnsi="Calibri" w:cs="Calibri"/>
          <w:sz w:val="22"/>
          <w:szCs w:val="22"/>
        </w:rPr>
        <w:t>p</w:t>
      </w:r>
      <w:r w:rsidRPr="00D9152B">
        <w:rPr>
          <w:rFonts w:ascii="Calibri" w:hAnsi="Calibri" w:cs="Calibri"/>
          <w:sz w:val="22"/>
          <w:szCs w:val="22"/>
        </w:rPr>
        <w:t xml:space="preserve">roductivity &amp; </w:t>
      </w:r>
      <w:r w:rsidR="00F16485" w:rsidRPr="00D9152B">
        <w:rPr>
          <w:rFonts w:ascii="Calibri" w:hAnsi="Calibri" w:cs="Calibri"/>
          <w:sz w:val="22"/>
          <w:szCs w:val="22"/>
        </w:rPr>
        <w:t>years of healthy life a</w:t>
      </w:r>
      <w:r w:rsidRPr="00D9152B">
        <w:rPr>
          <w:rFonts w:ascii="Calibri" w:hAnsi="Calibri" w:cs="Calibri"/>
          <w:sz w:val="22"/>
          <w:szCs w:val="22"/>
        </w:rPr>
        <w:t>dded</w:t>
      </w:r>
      <w:r w:rsidR="00F16485" w:rsidRPr="00D9152B">
        <w:rPr>
          <w:rFonts w:ascii="Calibri" w:hAnsi="Calibri" w:cs="Calibri"/>
          <w:sz w:val="22"/>
          <w:szCs w:val="22"/>
        </w:rPr>
        <w:t xml:space="preserve"> (1983)</w:t>
      </w:r>
    </w:p>
    <w:p w14:paraId="0AD545DB" w14:textId="35153D4B" w:rsidR="00AC7848" w:rsidRPr="00D9152B" w:rsidRDefault="00AC7848" w:rsidP="001D5292">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Around this time, two economists working out of the</w:t>
      </w:r>
      <w:r w:rsidR="001D13F7">
        <w:rPr>
          <w:rFonts w:ascii="Calibri" w:hAnsi="Calibri" w:cs="Calibri"/>
          <w:sz w:val="22"/>
          <w:szCs w:val="22"/>
        </w:rPr>
        <w:t xml:space="preserve"> Bank’s</w:t>
      </w:r>
      <w:r w:rsidRPr="00D9152B">
        <w:rPr>
          <w:rFonts w:ascii="Calibri" w:hAnsi="Calibri" w:cs="Calibri"/>
          <w:sz w:val="22"/>
          <w:szCs w:val="22"/>
        </w:rPr>
        <w:t xml:space="preserve"> Population, Health and Nutrition </w:t>
      </w:r>
      <w:r w:rsidR="001D5292" w:rsidRPr="00D9152B">
        <w:rPr>
          <w:rFonts w:ascii="Calibri" w:hAnsi="Calibri" w:cs="Calibri"/>
          <w:sz w:val="22"/>
          <w:szCs w:val="22"/>
        </w:rPr>
        <w:t xml:space="preserve">(PHN) </w:t>
      </w:r>
      <w:r w:rsidRPr="00D9152B">
        <w:rPr>
          <w:rFonts w:ascii="Calibri" w:hAnsi="Calibri" w:cs="Calibri"/>
          <w:sz w:val="22"/>
          <w:szCs w:val="22"/>
        </w:rPr>
        <w:t xml:space="preserve">department </w:t>
      </w:r>
      <w:r w:rsidR="001D5292" w:rsidRPr="00D9152B">
        <w:rPr>
          <w:rFonts w:ascii="Calibri" w:hAnsi="Calibri" w:cs="Calibri"/>
          <w:sz w:val="22"/>
          <w:szCs w:val="22"/>
        </w:rPr>
        <w:t xml:space="preserve">– the precursor to the Health, Nutrition, and Population (HNP) department – </w:t>
      </w:r>
      <w:r w:rsidRPr="00D9152B">
        <w:rPr>
          <w:rFonts w:ascii="Calibri" w:hAnsi="Calibri" w:cs="Calibri"/>
          <w:sz w:val="22"/>
          <w:szCs w:val="22"/>
        </w:rPr>
        <w:t xml:space="preserve">attempted to do just this. These economists considered more complex economic questions than their predecessors: What alternatives (variants) should be used in OCP cost-effectiveness or cost-benefit calculations? What is a reasonable rate of return to justify continuation of the programme? Answering these questions would go a long way in easing the Netherlands’ concern that the OCP might not be cost-effective </w:t>
      </w:r>
      <w:r w:rsidRPr="00D9152B">
        <w:rPr>
          <w:rFonts w:ascii="Calibri" w:hAnsi="Calibri" w:cs="Calibri"/>
          <w:i/>
          <w:iCs/>
          <w:sz w:val="22"/>
          <w:szCs w:val="22"/>
        </w:rPr>
        <w:t xml:space="preserve">in comparison </w:t>
      </w:r>
      <w:r w:rsidRPr="00D9152B">
        <w:rPr>
          <w:rFonts w:ascii="Calibri" w:hAnsi="Calibri" w:cs="Calibri"/>
          <w:sz w:val="22"/>
          <w:szCs w:val="22"/>
        </w:rPr>
        <w:t xml:space="preserve">to other uses for funding, like other disease control initiatives or directly </w:t>
      </w:r>
      <w:r w:rsidR="001D13F7">
        <w:rPr>
          <w:rFonts w:ascii="Calibri" w:hAnsi="Calibri" w:cs="Calibri"/>
          <w:sz w:val="22"/>
          <w:szCs w:val="22"/>
        </w:rPr>
        <w:t>bolstering</w:t>
      </w:r>
      <w:r w:rsidRPr="00D9152B">
        <w:rPr>
          <w:rFonts w:ascii="Calibri" w:hAnsi="Calibri" w:cs="Calibri"/>
          <w:sz w:val="22"/>
          <w:szCs w:val="22"/>
        </w:rPr>
        <w:t xml:space="preserve"> national healthcare budgets. </w:t>
      </w:r>
    </w:p>
    <w:p w14:paraId="32E58853" w14:textId="684D8143"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One of these Bank economists, Nicholas Prescott, argued that ‘if no feasible variant has net social benefits larger than zero, then continuation of the programme would be rejected’.</w:t>
      </w:r>
      <w:r w:rsidRPr="00D9152B">
        <w:rPr>
          <w:rStyle w:val="FootnoteReference"/>
          <w:rFonts w:ascii="Calibri" w:hAnsi="Calibri" w:cs="Calibri"/>
          <w:sz w:val="22"/>
          <w:szCs w:val="22"/>
        </w:rPr>
        <w:footnoteReference w:id="353"/>
      </w:r>
      <w:r w:rsidRPr="00D9152B">
        <w:rPr>
          <w:rFonts w:ascii="Calibri" w:hAnsi="Calibri" w:cs="Calibri"/>
          <w:sz w:val="22"/>
          <w:szCs w:val="22"/>
        </w:rPr>
        <w:t xml:space="preserve"> Prescott was eschewing Bank involvement for purely humanitarian investments, and suggesting that only a sound economic study would legitimate the OCP’s continuation. He admitted that, even if the OCP was deemed not cost-effective compared to other potential health interventions in the region, it might have to continue for political reasons. In this case, a cost-benefit analysis could help the OCP choose the programme conditions (variants) with the greatest net benefit.</w:t>
      </w:r>
      <w:r w:rsidRPr="00D9152B">
        <w:rPr>
          <w:rStyle w:val="FootnoteReference"/>
          <w:rFonts w:ascii="Calibri" w:hAnsi="Calibri" w:cs="Calibri"/>
          <w:sz w:val="22"/>
          <w:szCs w:val="22"/>
        </w:rPr>
        <w:footnoteReference w:id="354"/>
      </w:r>
      <w:r w:rsidRPr="00D9152B">
        <w:rPr>
          <w:rFonts w:ascii="Calibri" w:hAnsi="Calibri" w:cs="Calibri"/>
          <w:sz w:val="22"/>
          <w:szCs w:val="22"/>
        </w:rPr>
        <w:t xml:space="preserve"> Prescott believed that such an economic analysis needed to consider programme variants in three main catego</w:t>
      </w:r>
      <w:r w:rsidR="00220C6B" w:rsidRPr="00D9152B">
        <w:rPr>
          <w:rFonts w:ascii="Calibri" w:hAnsi="Calibri" w:cs="Calibri"/>
          <w:sz w:val="22"/>
          <w:szCs w:val="22"/>
        </w:rPr>
        <w:t>ries</w:t>
      </w:r>
      <w:r w:rsidRPr="00D9152B">
        <w:rPr>
          <w:rFonts w:ascii="Calibri" w:hAnsi="Calibri" w:cs="Calibri"/>
          <w:sz w:val="22"/>
          <w:szCs w:val="22"/>
        </w:rPr>
        <w:t>: organization, scale, and delivery</w:t>
      </w:r>
      <w:r w:rsidR="00220C6B" w:rsidRPr="00D9152B">
        <w:rPr>
          <w:rFonts w:ascii="Calibri" w:hAnsi="Calibri" w:cs="Calibri"/>
          <w:sz w:val="22"/>
          <w:szCs w:val="22"/>
        </w:rPr>
        <w:t xml:space="preserve"> (for more detail</w:t>
      </w:r>
      <w:r w:rsidR="0065704F" w:rsidRPr="00D9152B">
        <w:rPr>
          <w:rFonts w:ascii="Calibri" w:hAnsi="Calibri" w:cs="Calibri"/>
          <w:sz w:val="22"/>
          <w:szCs w:val="22"/>
        </w:rPr>
        <w:t xml:space="preserve"> about these categories</w:t>
      </w:r>
      <w:r w:rsidR="00220C6B" w:rsidRPr="00D9152B">
        <w:rPr>
          <w:rFonts w:ascii="Calibri" w:hAnsi="Calibri" w:cs="Calibri"/>
          <w:sz w:val="22"/>
          <w:szCs w:val="22"/>
        </w:rPr>
        <w:t xml:space="preserve">, see Appendix </w:t>
      </w:r>
      <w:r w:rsidR="00191ADA">
        <w:rPr>
          <w:rFonts w:ascii="Calibri" w:hAnsi="Calibri" w:cs="Calibri"/>
          <w:sz w:val="22"/>
          <w:szCs w:val="22"/>
        </w:rPr>
        <w:t>VII</w:t>
      </w:r>
      <w:r w:rsidR="00220C6B" w:rsidRPr="00D9152B">
        <w:rPr>
          <w:rFonts w:ascii="Calibri" w:hAnsi="Calibri" w:cs="Calibri"/>
          <w:sz w:val="22"/>
          <w:szCs w:val="22"/>
        </w:rPr>
        <w:t>)</w:t>
      </w:r>
      <w:r w:rsidRPr="00D9152B">
        <w:rPr>
          <w:rFonts w:ascii="Calibri" w:hAnsi="Calibri" w:cs="Calibri"/>
          <w:sz w:val="22"/>
          <w:szCs w:val="22"/>
        </w:rPr>
        <w:t xml:space="preserve">. </w:t>
      </w:r>
    </w:p>
    <w:p w14:paraId="6DC77684" w14:textId="5832FF06"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Interestingly, when Prescott and his colleague at the Bank, Andre Prost, performed an economic analysis of the OCP, they chose to undertake a cost-effectiveness analysis with no different programme variants, and to focus on only one country (Upper Volta). They chalked this choice of a cost-effectiveness study to the ‘practical difficulty of undertaking a comprehensive and empirically defensible assessment of all the benefits of </w:t>
      </w:r>
      <w:r w:rsidRPr="00D9152B">
        <w:rPr>
          <w:rFonts w:ascii="Calibri" w:hAnsi="Calibri" w:cs="Calibri"/>
          <w:sz w:val="22"/>
          <w:szCs w:val="22"/>
        </w:rPr>
        <w:lastRenderedPageBreak/>
        <w:t>onchocerciasis control’.</w:t>
      </w:r>
      <w:r w:rsidRPr="00D9152B">
        <w:rPr>
          <w:rStyle w:val="FootnoteReference"/>
          <w:rFonts w:ascii="Calibri" w:hAnsi="Calibri" w:cs="Calibri"/>
          <w:sz w:val="22"/>
          <w:szCs w:val="22"/>
        </w:rPr>
        <w:footnoteReference w:id="355"/>
      </w:r>
      <w:r w:rsidRPr="00D9152B">
        <w:rPr>
          <w:rFonts w:ascii="Calibri" w:hAnsi="Calibri" w:cs="Calibri"/>
          <w:sz w:val="22"/>
          <w:szCs w:val="22"/>
        </w:rPr>
        <w:t xml:space="preserve"> The two economists recognized the limitations of their approach; it would allow the benefits of the OCP to be compared to other potential uses </w:t>
      </w:r>
      <w:r w:rsidR="001D5292" w:rsidRPr="00D9152B">
        <w:rPr>
          <w:rFonts w:ascii="Calibri" w:hAnsi="Calibri" w:cs="Calibri"/>
          <w:sz w:val="22"/>
          <w:szCs w:val="22"/>
        </w:rPr>
        <w:t>with</w:t>
      </w:r>
      <w:r w:rsidRPr="00D9152B">
        <w:rPr>
          <w:rFonts w:ascii="Calibri" w:hAnsi="Calibri" w:cs="Calibri"/>
          <w:sz w:val="22"/>
          <w:szCs w:val="22"/>
        </w:rPr>
        <w:t xml:space="preserve">in the </w:t>
      </w:r>
      <w:r w:rsidRPr="00D9152B">
        <w:rPr>
          <w:rFonts w:ascii="Calibri" w:hAnsi="Calibri" w:cs="Calibri"/>
          <w:iCs/>
          <w:sz w:val="22"/>
          <w:szCs w:val="22"/>
        </w:rPr>
        <w:t>health sector</w:t>
      </w:r>
      <w:r w:rsidRPr="00D9152B">
        <w:rPr>
          <w:rFonts w:ascii="Calibri" w:hAnsi="Calibri" w:cs="Calibri"/>
          <w:sz w:val="22"/>
          <w:szCs w:val="22"/>
        </w:rPr>
        <w:t>, but not other sectors. The major advantage of their approach was that it only required data on the reduction of blindness in Upper Volta over the course of the OCP. It bypassed unavailable or very complex data, such as the marginal output of labour in each country, the impact of the OCP on this output, and the amount and productive value of land made available.</w:t>
      </w:r>
    </w:p>
    <w:p w14:paraId="181AA376" w14:textId="77777777"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Prost and Prescott chose to use the metric ‘healthy years of life’ for their analysis. This metric was put forward as a ‘health status index model’ in 1976, and first used in a developing country context in 1981.</w:t>
      </w:r>
      <w:r w:rsidRPr="00D9152B">
        <w:rPr>
          <w:rStyle w:val="FootnoteReference"/>
          <w:rFonts w:ascii="Calibri" w:hAnsi="Calibri" w:cs="Calibri"/>
          <w:sz w:val="22"/>
          <w:szCs w:val="22"/>
        </w:rPr>
        <w:footnoteReference w:id="356"/>
      </w:r>
      <w:r w:rsidRPr="00D9152B">
        <w:rPr>
          <w:rFonts w:ascii="Calibri" w:hAnsi="Calibri" w:cs="Calibri"/>
          <w:sz w:val="22"/>
          <w:szCs w:val="22"/>
        </w:rPr>
        <w:t xml:space="preserve"> In the case of onchocerciasis, healthy years of life added together two figures: the values of preventing disability and postponing death. First, Prost and Prescott compared the undiscounted years of healthy life added by the OCP, on the basis that each case of blindness prevented added an estimated 23 years of life (a person was blind, on average, for 9 years, and then died 14 years earlier than they would have without onchocerciasis) in hyperendemic regions. For the purposes of the study, blindness was taken to be fully disabling – one year of blindness was the equivalent of one year of death – although the authors considered that this actually </w:t>
      </w:r>
      <w:r w:rsidRPr="00D9152B">
        <w:rPr>
          <w:rFonts w:ascii="Calibri" w:hAnsi="Calibri" w:cs="Calibri"/>
          <w:i/>
          <w:iCs/>
          <w:sz w:val="22"/>
          <w:szCs w:val="22"/>
        </w:rPr>
        <w:t xml:space="preserve">underestimated </w:t>
      </w:r>
      <w:r w:rsidRPr="00D9152B">
        <w:rPr>
          <w:rFonts w:ascii="Calibri" w:hAnsi="Calibri" w:cs="Calibri"/>
          <w:sz w:val="22"/>
          <w:szCs w:val="22"/>
        </w:rPr>
        <w:t xml:space="preserve">its impact, because blind people could be an economic burden on the household and community, in addition to being unable to productively work. Second, Prost and Prescott limited their estimate of years of healthy life added to the productive population, or those ages 15-59 years. Third, they weighed their productive years of healthy life added results by time preference. This entailed applying a ‘discount rate’, to account for the fact that, from a policy perspective, lives saved in the immediate future are typically considered more valuable than those in the more distant future. Finally, Prost and Prescott compared the 20-year estimated costs of the OCP to the productive healthy years of life added by the OCP in the Upper Volta. </w:t>
      </w:r>
    </w:p>
    <w:p w14:paraId="50FDA2EF" w14:textId="11E61149"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lastRenderedPageBreak/>
        <w:t>One of the major take-home points of the study was that ‘the relative cost-effectiveness of onchocerciasis control is very sensitive to the choice of effectiveness measure’. The total productive years of healthy life added across 20 years of the OCP was 1,098,095, which was reduced to 147,294 when the discount rate was applied. This corresponded to a cost of around $20 per year of productive healthy year of life added, or $150 per discounted productive year of healthy life added. Prost and Prescott then compared the OCP in Upper Volta to another health sector project – measles vaccination in the Ivory Coast and Zambia – that cost between $190 and $221 per discounted year of healthy life added.</w:t>
      </w:r>
      <w:r w:rsidRPr="00D9152B">
        <w:rPr>
          <w:rStyle w:val="FootnoteReference"/>
          <w:rFonts w:ascii="Calibri" w:hAnsi="Calibri" w:cs="Calibri"/>
          <w:sz w:val="22"/>
          <w:szCs w:val="22"/>
        </w:rPr>
        <w:footnoteReference w:id="357"/>
      </w:r>
      <w:r w:rsidRPr="00D9152B">
        <w:rPr>
          <w:rFonts w:ascii="Calibri" w:hAnsi="Calibri" w:cs="Calibri"/>
          <w:sz w:val="22"/>
          <w:szCs w:val="22"/>
        </w:rPr>
        <w:t xml:space="preserve"> There was no directly comparable data about costs for alternative health projects in Upper Volta.</w:t>
      </w:r>
      <w:r w:rsidR="00220C6B" w:rsidRPr="00D9152B">
        <w:rPr>
          <w:rFonts w:ascii="Calibri" w:hAnsi="Calibri" w:cs="Calibri"/>
          <w:sz w:val="22"/>
          <w:szCs w:val="22"/>
        </w:rPr>
        <w:t xml:space="preserve"> The choice to weigh by productive years and </w:t>
      </w:r>
      <w:r w:rsidR="001D13F7">
        <w:rPr>
          <w:rFonts w:ascii="Calibri" w:hAnsi="Calibri" w:cs="Calibri"/>
          <w:sz w:val="22"/>
          <w:szCs w:val="22"/>
        </w:rPr>
        <w:t xml:space="preserve">the </w:t>
      </w:r>
      <w:r w:rsidR="00220C6B" w:rsidRPr="00D9152B">
        <w:rPr>
          <w:rFonts w:ascii="Calibri" w:hAnsi="Calibri" w:cs="Calibri"/>
          <w:sz w:val="22"/>
          <w:szCs w:val="22"/>
        </w:rPr>
        <w:t>social time preference (i.e. discount rate used) completely determined whether the OCP or measles vaccination was more cost-effective.</w:t>
      </w:r>
    </w:p>
    <w:p w14:paraId="2D608617" w14:textId="25C8DCC4"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Prost and Prescott’s study did little to quell donors’ concern about socio-economic justificat</w:t>
      </w:r>
      <w:r w:rsidR="002C0683" w:rsidRPr="00D9152B">
        <w:rPr>
          <w:rFonts w:ascii="Calibri" w:hAnsi="Calibri" w:cs="Calibri"/>
          <w:sz w:val="22"/>
          <w:szCs w:val="22"/>
        </w:rPr>
        <w:t>ions in 1984-1985. At the 1985 donor’s c</w:t>
      </w:r>
      <w:r w:rsidRPr="00D9152B">
        <w:rPr>
          <w:rFonts w:ascii="Calibri" w:hAnsi="Calibri" w:cs="Calibri"/>
          <w:sz w:val="22"/>
          <w:szCs w:val="22"/>
        </w:rPr>
        <w:t>onference, Germany pointed to the need for a ‘more definite formula on “socio-economic development”’,</w:t>
      </w:r>
      <w:r w:rsidRPr="00D9152B">
        <w:rPr>
          <w:rStyle w:val="FootnoteReference"/>
          <w:rFonts w:ascii="Calibri" w:hAnsi="Calibri" w:cs="Calibri"/>
          <w:sz w:val="22"/>
          <w:szCs w:val="22"/>
        </w:rPr>
        <w:t xml:space="preserve"> </w:t>
      </w:r>
      <w:r w:rsidRPr="00D9152B">
        <w:rPr>
          <w:rStyle w:val="FootnoteReference"/>
          <w:rFonts w:ascii="Calibri" w:hAnsi="Calibri" w:cs="Calibri"/>
          <w:sz w:val="22"/>
          <w:szCs w:val="22"/>
        </w:rPr>
        <w:footnoteReference w:id="358"/>
      </w:r>
      <w:r w:rsidRPr="00D9152B">
        <w:rPr>
          <w:rFonts w:ascii="Calibri" w:hAnsi="Calibri" w:cs="Calibri"/>
          <w:sz w:val="22"/>
          <w:szCs w:val="22"/>
        </w:rPr>
        <w:t xml:space="preserve"> and enough donors expressed concern</w:t>
      </w:r>
      <w:r w:rsidRPr="00D9152B">
        <w:rPr>
          <w:rStyle w:val="FootnoteReference"/>
          <w:rFonts w:ascii="Calibri" w:hAnsi="Calibri" w:cs="Calibri"/>
          <w:sz w:val="22"/>
          <w:szCs w:val="22"/>
        </w:rPr>
        <w:footnoteReference w:id="359"/>
      </w:r>
      <w:r w:rsidRPr="00D9152B">
        <w:rPr>
          <w:rFonts w:ascii="Calibri" w:hAnsi="Calibri" w:cs="Calibri"/>
          <w:sz w:val="22"/>
          <w:szCs w:val="22"/>
        </w:rPr>
        <w:t xml:space="preserve"> about socio-economic progress that the Bank asked an economist to attend the meeting ‘as a precaution’.</w:t>
      </w:r>
      <w:r w:rsidRPr="00D9152B">
        <w:rPr>
          <w:rStyle w:val="FootnoteReference"/>
          <w:rFonts w:ascii="Calibri" w:hAnsi="Calibri" w:cs="Calibri"/>
          <w:sz w:val="22"/>
          <w:szCs w:val="22"/>
        </w:rPr>
        <w:footnoteReference w:id="360"/>
      </w:r>
      <w:r w:rsidRPr="00D9152B">
        <w:rPr>
          <w:rFonts w:ascii="Calibri" w:hAnsi="Calibri" w:cs="Calibri"/>
          <w:sz w:val="22"/>
          <w:szCs w:val="22"/>
        </w:rPr>
        <w:t xml:space="preserve"> In a well-publicized </w:t>
      </w:r>
      <w:r w:rsidRPr="00D9152B">
        <w:rPr>
          <w:rFonts w:ascii="Calibri" w:hAnsi="Calibri" w:cs="Calibri"/>
          <w:i/>
          <w:iCs/>
          <w:sz w:val="22"/>
          <w:szCs w:val="22"/>
        </w:rPr>
        <w:t xml:space="preserve">Science </w:t>
      </w:r>
      <w:r w:rsidRPr="00D9152B">
        <w:rPr>
          <w:rFonts w:ascii="Calibri" w:hAnsi="Calibri" w:cs="Calibri"/>
          <w:sz w:val="22"/>
          <w:szCs w:val="22"/>
        </w:rPr>
        <w:t>article about the OCP’s health successes, a USAID stakeholder also claimed that ‘development hasn’t worked as well…no comprehensive data on the SE effects of the program are available’.</w:t>
      </w:r>
      <w:r w:rsidRPr="00D9152B">
        <w:rPr>
          <w:rStyle w:val="FootnoteReference"/>
          <w:rFonts w:ascii="Calibri" w:hAnsi="Calibri" w:cs="Calibri"/>
          <w:sz w:val="22"/>
          <w:szCs w:val="22"/>
        </w:rPr>
        <w:t xml:space="preserve"> </w:t>
      </w:r>
      <w:r w:rsidRPr="00D9152B">
        <w:rPr>
          <w:rStyle w:val="FootnoteReference"/>
          <w:rFonts w:ascii="Calibri" w:hAnsi="Calibri" w:cs="Calibri"/>
          <w:sz w:val="22"/>
          <w:szCs w:val="22"/>
        </w:rPr>
        <w:footnoteReference w:id="361"/>
      </w:r>
      <w:r w:rsidRPr="00D9152B">
        <w:rPr>
          <w:rFonts w:ascii="Calibri" w:hAnsi="Calibri" w:cs="Calibri"/>
          <w:sz w:val="22"/>
          <w:szCs w:val="22"/>
        </w:rPr>
        <w:t xml:space="preserve"> Samba’s response was that development ‘is more complex and expensive than oncho control’, and that ‘Doctors are not good at selling’.</w:t>
      </w:r>
      <w:r w:rsidRPr="00D9152B">
        <w:rPr>
          <w:rStyle w:val="FootnoteReference"/>
          <w:rFonts w:ascii="Calibri" w:hAnsi="Calibri" w:cs="Calibri"/>
          <w:sz w:val="22"/>
          <w:szCs w:val="22"/>
        </w:rPr>
        <w:footnoteReference w:id="362"/>
      </w:r>
      <w:r w:rsidRPr="00D9152B">
        <w:rPr>
          <w:rFonts w:ascii="Calibri" w:hAnsi="Calibri" w:cs="Calibri"/>
          <w:sz w:val="22"/>
          <w:szCs w:val="22"/>
        </w:rPr>
        <w:t xml:space="preserve"> </w:t>
      </w:r>
    </w:p>
    <w:p w14:paraId="349E1446" w14:textId="3B5A5B4F" w:rsidR="00AC7848" w:rsidRPr="00D9152B" w:rsidRDefault="00220C6B" w:rsidP="005C7F9F">
      <w:pPr>
        <w:pStyle w:val="Heading4"/>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 xml:space="preserve">Metric 4: The USAID </w:t>
      </w:r>
      <w:r w:rsidR="00BC2ADB" w:rsidRPr="00D9152B">
        <w:rPr>
          <w:rFonts w:ascii="Calibri" w:hAnsi="Calibri" w:cs="Calibri"/>
          <w:sz w:val="22"/>
          <w:szCs w:val="22"/>
        </w:rPr>
        <w:t>i</w:t>
      </w:r>
      <w:r w:rsidRPr="00D9152B">
        <w:rPr>
          <w:rFonts w:ascii="Calibri" w:hAnsi="Calibri" w:cs="Calibri"/>
          <w:sz w:val="22"/>
          <w:szCs w:val="22"/>
        </w:rPr>
        <w:t xml:space="preserve">mpact </w:t>
      </w:r>
      <w:r w:rsidR="00BC2ADB" w:rsidRPr="00D9152B">
        <w:rPr>
          <w:rFonts w:ascii="Calibri" w:hAnsi="Calibri" w:cs="Calibri"/>
          <w:sz w:val="22"/>
          <w:szCs w:val="22"/>
        </w:rPr>
        <w:t>r</w:t>
      </w:r>
      <w:r w:rsidRPr="00D9152B">
        <w:rPr>
          <w:rFonts w:ascii="Calibri" w:hAnsi="Calibri" w:cs="Calibri"/>
          <w:sz w:val="22"/>
          <w:szCs w:val="22"/>
        </w:rPr>
        <w:t>e</w:t>
      </w:r>
      <w:r w:rsidR="00AC7848" w:rsidRPr="00D9152B">
        <w:rPr>
          <w:rFonts w:ascii="Calibri" w:hAnsi="Calibri" w:cs="Calibri"/>
          <w:sz w:val="22"/>
          <w:szCs w:val="22"/>
        </w:rPr>
        <w:t>view</w:t>
      </w:r>
      <w:r w:rsidRPr="00D9152B">
        <w:rPr>
          <w:rFonts w:ascii="Calibri" w:hAnsi="Calibri" w:cs="Calibri"/>
          <w:sz w:val="22"/>
          <w:szCs w:val="22"/>
        </w:rPr>
        <w:t>’s ‘l</w:t>
      </w:r>
      <w:r w:rsidR="00AC7848" w:rsidRPr="00D9152B">
        <w:rPr>
          <w:rFonts w:ascii="Calibri" w:hAnsi="Calibri" w:cs="Calibri"/>
          <w:sz w:val="22"/>
          <w:szCs w:val="22"/>
        </w:rPr>
        <w:t xml:space="preserve">and to </w:t>
      </w:r>
      <w:r w:rsidRPr="00D9152B">
        <w:rPr>
          <w:rFonts w:ascii="Calibri" w:hAnsi="Calibri" w:cs="Calibri"/>
          <w:sz w:val="22"/>
          <w:szCs w:val="22"/>
        </w:rPr>
        <w:t>f</w:t>
      </w:r>
      <w:r w:rsidR="00AC7848" w:rsidRPr="00D9152B">
        <w:rPr>
          <w:rFonts w:ascii="Calibri" w:hAnsi="Calibri" w:cs="Calibri"/>
          <w:sz w:val="22"/>
          <w:szCs w:val="22"/>
        </w:rPr>
        <w:t xml:space="preserve">eed 15 </w:t>
      </w:r>
      <w:r w:rsidRPr="00D9152B">
        <w:rPr>
          <w:rFonts w:ascii="Calibri" w:hAnsi="Calibri" w:cs="Calibri"/>
          <w:sz w:val="22"/>
          <w:szCs w:val="22"/>
        </w:rPr>
        <w:t>m</w:t>
      </w:r>
      <w:r w:rsidR="00AC7848" w:rsidRPr="00D9152B">
        <w:rPr>
          <w:rFonts w:ascii="Calibri" w:hAnsi="Calibri" w:cs="Calibri"/>
          <w:sz w:val="22"/>
          <w:szCs w:val="22"/>
        </w:rPr>
        <w:t xml:space="preserve">illion </w:t>
      </w:r>
      <w:r w:rsidRPr="00D9152B">
        <w:rPr>
          <w:rFonts w:ascii="Calibri" w:hAnsi="Calibri" w:cs="Calibri"/>
          <w:sz w:val="22"/>
          <w:szCs w:val="22"/>
        </w:rPr>
        <w:t>p</w:t>
      </w:r>
      <w:r w:rsidR="00AC7848" w:rsidRPr="00D9152B">
        <w:rPr>
          <w:rFonts w:ascii="Calibri" w:hAnsi="Calibri" w:cs="Calibri"/>
          <w:sz w:val="22"/>
          <w:szCs w:val="22"/>
        </w:rPr>
        <w:t xml:space="preserve">eople’ </w:t>
      </w:r>
      <w:r w:rsidRPr="00D9152B">
        <w:rPr>
          <w:rFonts w:ascii="Calibri" w:hAnsi="Calibri" w:cs="Calibri"/>
          <w:sz w:val="22"/>
          <w:szCs w:val="22"/>
        </w:rPr>
        <w:t>(1986)</w:t>
      </w:r>
    </w:p>
    <w:p w14:paraId="59B0FF7F" w14:textId="6C07A214"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In 1986, a USAID impact review concluded that the OCP was a successful multi-donor initiative, with 90</w:t>
      </w:r>
      <w:r w:rsidR="00BC2ADB" w:rsidRPr="00D9152B">
        <w:rPr>
          <w:rFonts w:ascii="Calibri" w:hAnsi="Calibri" w:cs="Calibri"/>
          <w:sz w:val="22"/>
          <w:szCs w:val="22"/>
        </w:rPr>
        <w:t xml:space="preserve"> percent</w:t>
      </w:r>
      <w:r w:rsidRPr="00D9152B">
        <w:rPr>
          <w:rFonts w:ascii="Calibri" w:hAnsi="Calibri" w:cs="Calibri"/>
          <w:sz w:val="22"/>
          <w:szCs w:val="22"/>
        </w:rPr>
        <w:t xml:space="preserve"> of transmission interrupted. However, it cautioned that ‘this will not automatically lead to enhanced incomes and economic growth’ unless </w:t>
      </w:r>
      <w:r w:rsidRPr="00D9152B">
        <w:rPr>
          <w:rFonts w:ascii="Calibri" w:hAnsi="Calibri" w:cs="Calibri"/>
          <w:sz w:val="22"/>
          <w:szCs w:val="22"/>
        </w:rPr>
        <w:lastRenderedPageBreak/>
        <w:t>targeted investment was made in the liberated lands.</w:t>
      </w:r>
      <w:r w:rsidRPr="00D9152B">
        <w:rPr>
          <w:rStyle w:val="FootnoteReference"/>
          <w:rFonts w:ascii="Calibri" w:hAnsi="Calibri" w:cs="Calibri"/>
          <w:sz w:val="22"/>
          <w:szCs w:val="22"/>
        </w:rPr>
        <w:footnoteReference w:id="363"/>
      </w:r>
      <w:r w:rsidRPr="00D9152B">
        <w:rPr>
          <w:rFonts w:ascii="Calibri" w:hAnsi="Calibri" w:cs="Calibri"/>
          <w:sz w:val="22"/>
          <w:szCs w:val="22"/>
        </w:rPr>
        <w:t xml:space="preserve"> The impact review summari</w:t>
      </w:r>
      <w:r w:rsidR="00254A9B">
        <w:rPr>
          <w:rFonts w:ascii="Calibri" w:hAnsi="Calibri" w:cs="Calibri"/>
          <w:sz w:val="22"/>
          <w:szCs w:val="22"/>
        </w:rPr>
        <w:t>s</w:t>
      </w:r>
      <w:r w:rsidRPr="00D9152B">
        <w:rPr>
          <w:rFonts w:ascii="Calibri" w:hAnsi="Calibri" w:cs="Calibri"/>
          <w:sz w:val="22"/>
          <w:szCs w:val="22"/>
        </w:rPr>
        <w:t>ed many of the issues that had plagued socio-economic development efforts</w:t>
      </w:r>
      <w:r w:rsidR="00AE5176">
        <w:rPr>
          <w:rFonts w:ascii="Calibri" w:hAnsi="Calibri" w:cs="Calibri"/>
          <w:sz w:val="22"/>
          <w:szCs w:val="22"/>
        </w:rPr>
        <w:t>, including</w:t>
      </w:r>
      <w:r w:rsidRPr="00D9152B">
        <w:rPr>
          <w:rFonts w:ascii="Calibri" w:hAnsi="Calibri" w:cs="Calibri"/>
          <w:sz w:val="22"/>
          <w:szCs w:val="22"/>
        </w:rPr>
        <w:t xml:space="preserve"> the largely inactive role of UNDP and FAO</w:t>
      </w:r>
      <w:r w:rsidR="00AE5176">
        <w:rPr>
          <w:rFonts w:ascii="Calibri" w:hAnsi="Calibri" w:cs="Calibri"/>
          <w:sz w:val="22"/>
          <w:szCs w:val="22"/>
        </w:rPr>
        <w:t>;</w:t>
      </w:r>
      <w:r w:rsidRPr="00D9152B">
        <w:rPr>
          <w:rFonts w:ascii="Calibri" w:hAnsi="Calibri" w:cs="Calibri"/>
          <w:sz w:val="22"/>
          <w:szCs w:val="22"/>
        </w:rPr>
        <w:t xml:space="preserve"> lukewarm reception of development planning by participating country governments</w:t>
      </w:r>
      <w:r w:rsidR="00AE5176">
        <w:rPr>
          <w:rFonts w:ascii="Calibri" w:hAnsi="Calibri" w:cs="Calibri"/>
          <w:sz w:val="22"/>
          <w:szCs w:val="22"/>
        </w:rPr>
        <w:t>;</w:t>
      </w:r>
      <w:r w:rsidRPr="00D9152B">
        <w:rPr>
          <w:rStyle w:val="FootnoteReference"/>
          <w:rFonts w:ascii="Calibri" w:hAnsi="Calibri" w:cs="Calibri"/>
          <w:sz w:val="22"/>
          <w:szCs w:val="22"/>
        </w:rPr>
        <w:footnoteReference w:id="364"/>
      </w:r>
      <w:r w:rsidRPr="00D9152B">
        <w:rPr>
          <w:rFonts w:ascii="Calibri" w:hAnsi="Calibri" w:cs="Calibri"/>
          <w:sz w:val="22"/>
          <w:szCs w:val="22"/>
        </w:rPr>
        <w:t xml:space="preserve"> worries from donors and sponsoring agencies that development responsibilities could be ‘diluting OCP’s mandate’ for disease control</w:t>
      </w:r>
      <w:r w:rsidR="00AE5176">
        <w:rPr>
          <w:rFonts w:ascii="Calibri" w:hAnsi="Calibri" w:cs="Calibri"/>
          <w:sz w:val="22"/>
          <w:szCs w:val="22"/>
        </w:rPr>
        <w:t>;</w:t>
      </w:r>
      <w:r w:rsidRPr="00D9152B">
        <w:rPr>
          <w:rFonts w:ascii="Calibri" w:hAnsi="Calibri" w:cs="Calibri"/>
          <w:sz w:val="22"/>
          <w:szCs w:val="22"/>
        </w:rPr>
        <w:t xml:space="preserve"> and </w:t>
      </w:r>
      <w:r w:rsidR="00AE5176">
        <w:rPr>
          <w:rFonts w:ascii="Calibri" w:hAnsi="Calibri" w:cs="Calibri"/>
          <w:sz w:val="22"/>
          <w:szCs w:val="22"/>
        </w:rPr>
        <w:t xml:space="preserve">the </w:t>
      </w:r>
      <w:r w:rsidRPr="00D9152B">
        <w:rPr>
          <w:rFonts w:ascii="Calibri" w:hAnsi="Calibri" w:cs="Calibri"/>
          <w:sz w:val="22"/>
          <w:szCs w:val="22"/>
        </w:rPr>
        <w:t>inability of advisory groups to find a relevant role for themselves.</w:t>
      </w:r>
      <w:r w:rsidRPr="00D9152B">
        <w:rPr>
          <w:rStyle w:val="FootnoteReference"/>
          <w:rFonts w:ascii="Calibri" w:hAnsi="Calibri" w:cs="Calibri"/>
          <w:sz w:val="22"/>
          <w:szCs w:val="22"/>
        </w:rPr>
        <w:footnoteReference w:id="365"/>
      </w:r>
      <w:r w:rsidRPr="00D9152B">
        <w:rPr>
          <w:rFonts w:ascii="Calibri" w:hAnsi="Calibri" w:cs="Calibri"/>
          <w:sz w:val="22"/>
          <w:szCs w:val="22"/>
        </w:rPr>
        <w:t xml:space="preserve"> It argued that the formation of the </w:t>
      </w:r>
      <w:r w:rsidR="004F1FE7" w:rsidRPr="00D9152B">
        <w:rPr>
          <w:rFonts w:ascii="Calibri" w:hAnsi="Calibri" w:cs="Calibri"/>
          <w:sz w:val="22"/>
          <w:szCs w:val="22"/>
        </w:rPr>
        <w:t>Expert Advisory Committee</w:t>
      </w:r>
      <w:r w:rsidRPr="00D9152B">
        <w:rPr>
          <w:rFonts w:ascii="Calibri" w:hAnsi="Calibri" w:cs="Calibri"/>
          <w:sz w:val="22"/>
          <w:szCs w:val="22"/>
        </w:rPr>
        <w:t xml:space="preserve"> – which subsumed the </w:t>
      </w:r>
      <w:r w:rsidR="004F1FE7" w:rsidRPr="00D9152B">
        <w:rPr>
          <w:rFonts w:ascii="Calibri" w:hAnsi="Calibri" w:cs="Calibri"/>
          <w:sz w:val="22"/>
          <w:szCs w:val="22"/>
        </w:rPr>
        <w:t xml:space="preserve">Economic Development Advisory Panel’s </w:t>
      </w:r>
      <w:r w:rsidRPr="00D9152B">
        <w:rPr>
          <w:rFonts w:ascii="Calibri" w:hAnsi="Calibri" w:cs="Calibri"/>
          <w:sz w:val="22"/>
          <w:szCs w:val="22"/>
        </w:rPr>
        <w:t>economic advisory functions – was symbolic of the ‘minimal role of the program in socioeconomic development activities’ moving forward.</w:t>
      </w:r>
      <w:r w:rsidRPr="00D9152B">
        <w:rPr>
          <w:rStyle w:val="FootnoteReference"/>
          <w:rFonts w:ascii="Calibri" w:hAnsi="Calibri" w:cs="Calibri"/>
          <w:sz w:val="22"/>
          <w:szCs w:val="22"/>
        </w:rPr>
        <w:footnoteReference w:id="366"/>
      </w:r>
      <w:r w:rsidRPr="00D9152B">
        <w:rPr>
          <w:rFonts w:ascii="Calibri" w:hAnsi="Calibri" w:cs="Calibri"/>
          <w:sz w:val="22"/>
          <w:szCs w:val="22"/>
        </w:rPr>
        <w:t xml:space="preserve"> The review seconded donors’ requests that the </w:t>
      </w:r>
      <w:r w:rsidR="004F1FE7" w:rsidRPr="00D9152B">
        <w:rPr>
          <w:rFonts w:ascii="Calibri" w:hAnsi="Calibri" w:cs="Calibri"/>
          <w:sz w:val="22"/>
          <w:szCs w:val="22"/>
        </w:rPr>
        <w:t>Committee of Sponsoring Agencies</w:t>
      </w:r>
      <w:r w:rsidRPr="00D9152B">
        <w:rPr>
          <w:rFonts w:ascii="Calibri" w:hAnsi="Calibri" w:cs="Calibri"/>
          <w:sz w:val="22"/>
          <w:szCs w:val="22"/>
        </w:rPr>
        <w:t xml:space="preserve"> convene a session to consider what had been accomplished with socio-economic development and what areas remained unexploited.</w:t>
      </w:r>
      <w:r w:rsidRPr="00D9152B">
        <w:rPr>
          <w:rStyle w:val="FootnoteReference"/>
          <w:rFonts w:ascii="Calibri" w:hAnsi="Calibri" w:cs="Calibri"/>
          <w:sz w:val="22"/>
          <w:szCs w:val="22"/>
        </w:rPr>
        <w:footnoteReference w:id="367"/>
      </w:r>
    </w:p>
    <w:p w14:paraId="7646959B" w14:textId="4902E1D0"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In the interim, the impact review provided the first estimate of the total potential output of the onchocerciasis freed lands. It performed a basic calculation of this output based on the Economic Review Mission’s (contested) estimates that around </w:t>
      </w:r>
      <w:r w:rsidR="00220C6B" w:rsidRPr="00D9152B">
        <w:rPr>
          <w:rFonts w:ascii="Calibri" w:hAnsi="Calibri" w:cs="Calibri"/>
          <w:sz w:val="22"/>
          <w:szCs w:val="22"/>
        </w:rPr>
        <w:t>15 million hectares (</w:t>
      </w:r>
      <w:r w:rsidRPr="00D9152B">
        <w:rPr>
          <w:rFonts w:ascii="Calibri" w:hAnsi="Calibri" w:cs="Calibri"/>
          <w:sz w:val="22"/>
          <w:szCs w:val="22"/>
        </w:rPr>
        <w:t>150,000 km</w:t>
      </w:r>
      <w:r w:rsidRPr="00D9152B">
        <w:rPr>
          <w:rFonts w:ascii="Calibri" w:hAnsi="Calibri" w:cs="Calibri"/>
          <w:sz w:val="22"/>
          <w:szCs w:val="22"/>
          <w:vertAlign w:val="superscript"/>
        </w:rPr>
        <w:t>2</w:t>
      </w:r>
      <w:r w:rsidR="00220C6B" w:rsidRPr="00D9152B">
        <w:rPr>
          <w:rFonts w:ascii="Calibri" w:hAnsi="Calibri" w:cs="Calibri"/>
          <w:sz w:val="22"/>
          <w:szCs w:val="22"/>
        </w:rPr>
        <w:t xml:space="preserve">) </w:t>
      </w:r>
      <w:r w:rsidRPr="00D9152B">
        <w:rPr>
          <w:rFonts w:ascii="Calibri" w:hAnsi="Calibri" w:cs="Calibri"/>
          <w:sz w:val="22"/>
          <w:szCs w:val="22"/>
        </w:rPr>
        <w:t>of new land would be suitable for agricultural purposes in the seven original OCP countries.</w:t>
      </w:r>
      <w:r w:rsidRPr="00D9152B">
        <w:rPr>
          <w:rStyle w:val="FootnoteReference"/>
          <w:rFonts w:ascii="Calibri" w:hAnsi="Calibri" w:cs="Calibri"/>
          <w:sz w:val="22"/>
          <w:szCs w:val="22"/>
        </w:rPr>
        <w:footnoteReference w:id="368"/>
      </w:r>
      <w:r w:rsidRPr="00D9152B">
        <w:rPr>
          <w:rFonts w:ascii="Calibri" w:hAnsi="Calibri" w:cs="Calibri"/>
          <w:sz w:val="22"/>
          <w:szCs w:val="22"/>
        </w:rPr>
        <w:t xml:space="preserve"> If one assumed that settlers would continue to use traditional technology for tilling this land, and that each plot of land would be tilled every six years (i.e. would lie fallow for six years and b</w:t>
      </w:r>
      <w:r w:rsidR="00220C6B" w:rsidRPr="00D9152B">
        <w:rPr>
          <w:rFonts w:ascii="Calibri" w:hAnsi="Calibri" w:cs="Calibri"/>
          <w:sz w:val="22"/>
          <w:szCs w:val="22"/>
        </w:rPr>
        <w:t xml:space="preserve">e used for one), about 2.5 million hectares </w:t>
      </w:r>
      <w:r w:rsidRPr="00D9152B">
        <w:rPr>
          <w:rFonts w:ascii="Calibri" w:hAnsi="Calibri" w:cs="Calibri"/>
          <w:sz w:val="22"/>
          <w:szCs w:val="22"/>
        </w:rPr>
        <w:t>were available for cultivation each year. Because about 800 kilograms of sorghum could realistically be grown per hectare, a total of 2 million tons of sorghum could be grown in the OCP new lands each year. Assuming the average family of ten would need two tons of cereal grain a year to meet their caloric needs, the OCP new lands could feed about 10 million people (or one million families)</w:t>
      </w:r>
      <w:r w:rsidR="00220C6B" w:rsidRPr="00D9152B">
        <w:rPr>
          <w:rFonts w:ascii="Calibri" w:hAnsi="Calibri" w:cs="Calibri"/>
          <w:sz w:val="22"/>
          <w:szCs w:val="22"/>
        </w:rPr>
        <w:t xml:space="preserve"> annually</w:t>
      </w:r>
      <w:r w:rsidRPr="00D9152B">
        <w:rPr>
          <w:rFonts w:ascii="Calibri" w:hAnsi="Calibri" w:cs="Calibri"/>
          <w:sz w:val="22"/>
          <w:szCs w:val="22"/>
        </w:rPr>
        <w:t xml:space="preserve">. The report underscored that this </w:t>
      </w:r>
      <w:r w:rsidRPr="00D9152B">
        <w:rPr>
          <w:rFonts w:ascii="Calibri" w:hAnsi="Calibri" w:cs="Calibri"/>
          <w:sz w:val="22"/>
          <w:szCs w:val="22"/>
        </w:rPr>
        <w:lastRenderedPageBreak/>
        <w:t xml:space="preserve">production potential was </w:t>
      </w:r>
      <w:r w:rsidRPr="00D9152B">
        <w:rPr>
          <w:rFonts w:ascii="Calibri" w:hAnsi="Calibri" w:cs="Calibri"/>
          <w:i/>
          <w:sz w:val="22"/>
          <w:szCs w:val="22"/>
        </w:rPr>
        <w:t>hypothetical</w:t>
      </w:r>
      <w:r w:rsidRPr="00D9152B">
        <w:rPr>
          <w:rFonts w:ascii="Calibri" w:hAnsi="Calibri" w:cs="Calibri"/>
          <w:sz w:val="22"/>
          <w:szCs w:val="22"/>
        </w:rPr>
        <w:t xml:space="preserve">, and not yet reflected in settlement or land usage. As depicted in Figure </w:t>
      </w:r>
      <w:r w:rsidR="001D54BD">
        <w:rPr>
          <w:rFonts w:ascii="Calibri" w:hAnsi="Calibri" w:cs="Calibri"/>
          <w:sz w:val="22"/>
          <w:szCs w:val="22"/>
        </w:rPr>
        <w:t>4.</w:t>
      </w:r>
      <w:r w:rsidR="00D82A8E" w:rsidRPr="00D9152B">
        <w:rPr>
          <w:rFonts w:ascii="Calibri" w:hAnsi="Calibri" w:cs="Calibri"/>
          <w:sz w:val="22"/>
          <w:szCs w:val="22"/>
        </w:rPr>
        <w:t>2</w:t>
      </w:r>
      <w:r w:rsidRPr="00D9152B">
        <w:rPr>
          <w:rFonts w:ascii="Calibri" w:hAnsi="Calibri" w:cs="Calibri"/>
          <w:sz w:val="22"/>
          <w:szCs w:val="22"/>
        </w:rPr>
        <w:t xml:space="preserve">, the report predicted that, if resettlement increased, the potential production could be significantly higher than the current production. Production increases would be especially marked in Burkina Faso, Ghana, Ivory Coast, Mali, and Benin. Thus, the major economic benefit of the OCP would be based on land use (not labour productivity), </w:t>
      </w:r>
      <w:r w:rsidRPr="00D9152B">
        <w:rPr>
          <w:rFonts w:ascii="Calibri" w:hAnsi="Calibri" w:cs="Calibri"/>
          <w:i/>
          <w:iCs/>
          <w:sz w:val="22"/>
          <w:szCs w:val="22"/>
        </w:rPr>
        <w:t xml:space="preserve">if </w:t>
      </w:r>
      <w:r w:rsidRPr="00D9152B">
        <w:rPr>
          <w:rFonts w:ascii="Calibri" w:hAnsi="Calibri" w:cs="Calibri"/>
          <w:sz w:val="22"/>
          <w:szCs w:val="22"/>
        </w:rPr>
        <w:t>resettlement increased at an adequate rate.</w:t>
      </w:r>
    </w:p>
    <w:p w14:paraId="7CF55AE3" w14:textId="77777777" w:rsidR="00AC7848" w:rsidRPr="00D9152B" w:rsidRDefault="00AC7848" w:rsidP="00413CE4">
      <w:pPr>
        <w:pStyle w:val="ListParagraph"/>
        <w:spacing w:before="100" w:beforeAutospacing="1" w:after="100" w:afterAutospacing="1"/>
        <w:ind w:left="0"/>
        <w:jc w:val="center"/>
        <w:rPr>
          <w:rFonts w:ascii="Calibri" w:hAnsi="Calibri" w:cs="Calibri"/>
        </w:rPr>
      </w:pPr>
      <w:r w:rsidRPr="00D9152B">
        <w:rPr>
          <w:rFonts w:ascii="Calibri" w:hAnsi="Calibri" w:cs="Calibri"/>
          <w:noProof/>
          <w:lang w:eastAsia="en-GB"/>
        </w:rPr>
        <w:drawing>
          <wp:inline distT="0" distB="0" distL="0" distR="0" wp14:anchorId="3E34D3B2" wp14:editId="636B3B1B">
            <wp:extent cx="4414981" cy="2817091"/>
            <wp:effectExtent l="0" t="0" r="17780" b="1524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6ACDDBF2" w14:textId="77777777" w:rsidR="005C7F9F" w:rsidRPr="00D9152B" w:rsidRDefault="005C7F9F" w:rsidP="007610DE">
      <w:pPr>
        <w:pStyle w:val="ListParagraph"/>
        <w:ind w:left="0"/>
        <w:jc w:val="both"/>
        <w:rPr>
          <w:rFonts w:ascii="Calibri" w:hAnsi="Calibri" w:cs="Calibri"/>
          <w:color w:val="808080" w:themeColor="background1" w:themeShade="80"/>
          <w:sz w:val="22"/>
          <w:szCs w:val="22"/>
        </w:rPr>
      </w:pPr>
    </w:p>
    <w:p w14:paraId="6BACB17F" w14:textId="54ECFE74" w:rsidR="00AC7848" w:rsidRPr="00D9152B" w:rsidRDefault="00220C6B" w:rsidP="007610DE">
      <w:pPr>
        <w:pStyle w:val="ListParagraph"/>
        <w:ind w:left="0"/>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1D54BD">
        <w:rPr>
          <w:rFonts w:ascii="Calibri" w:hAnsi="Calibri" w:cs="Calibri"/>
          <w:color w:val="808080" w:themeColor="background1" w:themeShade="80"/>
          <w:sz w:val="22"/>
          <w:szCs w:val="22"/>
        </w:rPr>
        <w:t>4.</w:t>
      </w:r>
      <w:r w:rsidR="00D82A8E" w:rsidRPr="00D9152B">
        <w:rPr>
          <w:rFonts w:ascii="Calibri" w:hAnsi="Calibri" w:cs="Calibri"/>
          <w:color w:val="808080" w:themeColor="background1" w:themeShade="80"/>
          <w:sz w:val="22"/>
          <w:szCs w:val="22"/>
        </w:rPr>
        <w:t>2</w:t>
      </w:r>
      <w:r w:rsidRPr="00D9152B">
        <w:rPr>
          <w:rFonts w:ascii="Calibri" w:hAnsi="Calibri" w:cs="Calibri"/>
          <w:color w:val="808080" w:themeColor="background1" w:themeShade="80"/>
          <w:sz w:val="22"/>
          <w:szCs w:val="22"/>
        </w:rPr>
        <w:t xml:space="preserve">. The USAID </w:t>
      </w:r>
      <w:r w:rsidR="00247500" w:rsidRPr="00D9152B">
        <w:rPr>
          <w:rFonts w:ascii="Calibri" w:hAnsi="Calibri" w:cs="Calibri"/>
          <w:color w:val="808080" w:themeColor="background1" w:themeShade="80"/>
          <w:sz w:val="22"/>
          <w:szCs w:val="22"/>
        </w:rPr>
        <w:t>i</w:t>
      </w:r>
      <w:r w:rsidRPr="00D9152B">
        <w:rPr>
          <w:rFonts w:ascii="Calibri" w:hAnsi="Calibri" w:cs="Calibri"/>
          <w:color w:val="808080" w:themeColor="background1" w:themeShade="80"/>
          <w:sz w:val="22"/>
          <w:szCs w:val="22"/>
        </w:rPr>
        <w:t xml:space="preserve">mpact </w:t>
      </w:r>
      <w:r w:rsidR="00247500" w:rsidRPr="00D9152B">
        <w:rPr>
          <w:rFonts w:ascii="Calibri" w:hAnsi="Calibri" w:cs="Calibri"/>
          <w:color w:val="808080" w:themeColor="background1" w:themeShade="80"/>
          <w:sz w:val="22"/>
          <w:szCs w:val="22"/>
        </w:rPr>
        <w:t>r</w:t>
      </w:r>
      <w:r w:rsidRPr="00D9152B">
        <w:rPr>
          <w:rFonts w:ascii="Calibri" w:hAnsi="Calibri" w:cs="Calibri"/>
          <w:color w:val="808080" w:themeColor="background1" w:themeShade="80"/>
          <w:sz w:val="22"/>
          <w:szCs w:val="22"/>
        </w:rPr>
        <w:t>eview’s</w:t>
      </w:r>
      <w:r w:rsidR="00AC7848" w:rsidRPr="00D9152B">
        <w:rPr>
          <w:rFonts w:ascii="Calibri" w:hAnsi="Calibri" w:cs="Calibri"/>
          <w:color w:val="808080" w:themeColor="background1" w:themeShade="80"/>
          <w:sz w:val="22"/>
          <w:szCs w:val="22"/>
        </w:rPr>
        <w:t xml:space="preserve"> aggregate predicted increased production that could result from the OCP</w:t>
      </w:r>
      <w:r w:rsidRPr="00D9152B">
        <w:rPr>
          <w:rFonts w:ascii="Calibri" w:hAnsi="Calibri" w:cs="Calibri"/>
          <w:color w:val="808080" w:themeColor="background1" w:themeShade="80"/>
          <w:sz w:val="22"/>
          <w:szCs w:val="22"/>
        </w:rPr>
        <w:t>,</w:t>
      </w:r>
      <w:r w:rsidR="00AC7848" w:rsidRPr="00D9152B">
        <w:rPr>
          <w:rFonts w:ascii="Calibri" w:hAnsi="Calibri" w:cs="Calibri"/>
          <w:color w:val="808080" w:themeColor="background1" w:themeShade="80"/>
          <w:sz w:val="22"/>
          <w:szCs w:val="22"/>
        </w:rPr>
        <w:t xml:space="preserve"> by country.</w:t>
      </w:r>
      <w:r w:rsidR="00AC7848" w:rsidRPr="00D9152B">
        <w:rPr>
          <w:rStyle w:val="FootnoteReference"/>
          <w:rFonts w:ascii="Calibri" w:hAnsi="Calibri" w:cs="Calibri"/>
          <w:color w:val="808080" w:themeColor="background1" w:themeShade="80"/>
          <w:sz w:val="22"/>
          <w:szCs w:val="22"/>
        </w:rPr>
        <w:footnoteReference w:id="369"/>
      </w:r>
    </w:p>
    <w:p w14:paraId="4AEC6D7F" w14:textId="69B2762B"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In 1985, the new onchocerciasis coordinator at the Bank, Bruce Benton, took the lead in coordinating a </w:t>
      </w:r>
      <w:r w:rsidR="00247500" w:rsidRPr="00D9152B">
        <w:rPr>
          <w:rFonts w:ascii="Calibri" w:hAnsi="Calibri" w:cs="Calibri"/>
          <w:sz w:val="22"/>
          <w:szCs w:val="22"/>
        </w:rPr>
        <w:t>Committee of Sponsoring Agencies</w:t>
      </w:r>
      <w:r w:rsidRPr="00D9152B">
        <w:rPr>
          <w:rFonts w:ascii="Calibri" w:hAnsi="Calibri" w:cs="Calibri"/>
          <w:sz w:val="22"/>
          <w:szCs w:val="22"/>
        </w:rPr>
        <w:t xml:space="preserve"> socio-economic development study. The study had three components: a preparatory phase project, land settlement review, and series of country development studies.</w:t>
      </w:r>
      <w:r w:rsidRPr="00D9152B">
        <w:rPr>
          <w:rStyle w:val="FootnoteReference"/>
          <w:rFonts w:ascii="Calibri" w:hAnsi="Calibri" w:cs="Calibri"/>
          <w:sz w:val="22"/>
          <w:szCs w:val="22"/>
        </w:rPr>
        <w:footnoteReference w:id="370"/>
      </w:r>
      <w:r w:rsidRPr="00D9152B">
        <w:rPr>
          <w:rFonts w:ascii="Calibri" w:hAnsi="Calibri" w:cs="Calibri"/>
          <w:sz w:val="22"/>
          <w:szCs w:val="22"/>
        </w:rPr>
        <w:t xml:space="preserve"> Part I of the study, the Preparatory Phase Project, was funded by the Bank in 1987. It compiled existing regional data to inventory OCP lands and identify priority development projects.</w:t>
      </w:r>
      <w:r w:rsidRPr="00D9152B">
        <w:rPr>
          <w:rStyle w:val="FootnoteReference"/>
          <w:rFonts w:ascii="Calibri" w:hAnsi="Calibri" w:cs="Calibri"/>
          <w:sz w:val="22"/>
          <w:szCs w:val="22"/>
        </w:rPr>
        <w:footnoteReference w:id="371"/>
      </w:r>
      <w:r w:rsidRPr="00D9152B">
        <w:rPr>
          <w:rFonts w:ascii="Calibri" w:hAnsi="Calibri" w:cs="Calibri"/>
          <w:sz w:val="22"/>
          <w:szCs w:val="22"/>
        </w:rPr>
        <w:t xml:space="preserve"> Part II, the Land Settlement Review, was financed by</w:t>
      </w:r>
      <w:r w:rsidR="00247500" w:rsidRPr="00D9152B">
        <w:rPr>
          <w:rFonts w:ascii="Calibri" w:hAnsi="Calibri" w:cs="Calibri"/>
          <w:sz w:val="22"/>
          <w:szCs w:val="22"/>
        </w:rPr>
        <w:t xml:space="preserve"> the</w:t>
      </w:r>
      <w:r w:rsidRPr="00D9152B">
        <w:rPr>
          <w:rFonts w:ascii="Calibri" w:hAnsi="Calibri" w:cs="Calibri"/>
          <w:sz w:val="22"/>
          <w:szCs w:val="22"/>
        </w:rPr>
        <w:t xml:space="preserve"> UNDP and executed by the Bank, using a </w:t>
      </w:r>
      <w:r w:rsidRPr="00D9152B">
        <w:rPr>
          <w:rFonts w:ascii="Calibri" w:hAnsi="Calibri" w:cs="Calibri"/>
          <w:sz w:val="22"/>
          <w:szCs w:val="22"/>
        </w:rPr>
        <w:lastRenderedPageBreak/>
        <w:t>contractor.</w:t>
      </w:r>
      <w:r w:rsidRPr="00D9152B">
        <w:rPr>
          <w:rStyle w:val="FootnoteReference"/>
          <w:rFonts w:ascii="Calibri" w:hAnsi="Calibri" w:cs="Calibri"/>
          <w:sz w:val="22"/>
          <w:szCs w:val="22"/>
        </w:rPr>
        <w:t xml:space="preserve"> </w:t>
      </w:r>
      <w:r w:rsidRPr="00D9152B">
        <w:rPr>
          <w:rStyle w:val="FootnoteReference"/>
          <w:rFonts w:ascii="Calibri" w:hAnsi="Calibri" w:cs="Calibri"/>
          <w:sz w:val="22"/>
          <w:szCs w:val="22"/>
        </w:rPr>
        <w:footnoteReference w:id="372"/>
      </w:r>
      <w:r w:rsidRPr="00D9152B">
        <w:rPr>
          <w:rFonts w:ascii="Calibri" w:hAnsi="Calibri" w:cs="Calibri"/>
          <w:sz w:val="22"/>
          <w:szCs w:val="22"/>
        </w:rPr>
        <w:t xml:space="preserve"> It launched in 1987, and identified factors that contributed to sustainable settlement activities.</w:t>
      </w:r>
      <w:r w:rsidRPr="00D9152B">
        <w:rPr>
          <w:rStyle w:val="FootnoteReference"/>
          <w:rFonts w:ascii="Calibri" w:hAnsi="Calibri" w:cs="Calibri"/>
          <w:sz w:val="22"/>
          <w:szCs w:val="22"/>
        </w:rPr>
        <w:footnoteReference w:id="373"/>
      </w:r>
      <w:r w:rsidRPr="00D9152B">
        <w:rPr>
          <w:rFonts w:ascii="Calibri" w:hAnsi="Calibri" w:cs="Calibri"/>
          <w:sz w:val="22"/>
          <w:szCs w:val="22"/>
        </w:rPr>
        <w:t xml:space="preserve"> Part III of the study, the National Onchocerciasis Zone Development Studies, took place from 1987-1990 in each participating country. These studies were intended to formulate national strategies for the development of onchocerciasis-freed areas, and to link these strategies with donor financial assistance.</w:t>
      </w:r>
      <w:r w:rsidRPr="00D9152B">
        <w:rPr>
          <w:rStyle w:val="FootnoteReference"/>
          <w:rFonts w:ascii="Calibri" w:hAnsi="Calibri" w:cs="Calibri"/>
          <w:sz w:val="22"/>
          <w:szCs w:val="22"/>
        </w:rPr>
        <w:footnoteReference w:id="374"/>
      </w:r>
    </w:p>
    <w:p w14:paraId="6B317A99" w14:textId="0A72BE98"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By the time that the </w:t>
      </w:r>
      <w:r w:rsidR="00247500" w:rsidRPr="00D9152B">
        <w:rPr>
          <w:rFonts w:ascii="Calibri" w:hAnsi="Calibri" w:cs="Calibri"/>
          <w:sz w:val="22"/>
          <w:szCs w:val="22"/>
        </w:rPr>
        <w:t>Committee of Sponsoring Agencies’</w:t>
      </w:r>
      <w:r w:rsidRPr="00D9152B">
        <w:rPr>
          <w:rFonts w:ascii="Calibri" w:hAnsi="Calibri" w:cs="Calibri"/>
          <w:sz w:val="22"/>
          <w:szCs w:val="22"/>
        </w:rPr>
        <w:t xml:space="preserve"> socio-economic development programme was wrapping up in 1988-1989, optimism about OCP development prospects had not increased. In a major backtrack from the original justifications of the OCP, a UNDP representative wrote to the Bank that, ‘Generally, UNDP takes the view that development planning is best done based on a region’s economic potential…rather than on the (past or present) prevalence of a particular disease’. The UNDP representative highlighted that the </w:t>
      </w:r>
      <w:r w:rsidR="00247500" w:rsidRPr="00D9152B">
        <w:rPr>
          <w:rFonts w:ascii="Calibri" w:hAnsi="Calibri" w:cs="Calibri"/>
          <w:sz w:val="22"/>
          <w:szCs w:val="22"/>
        </w:rPr>
        <w:t>National Onchocerciasis Zone Development Studies</w:t>
      </w:r>
      <w:r w:rsidRPr="00D9152B">
        <w:rPr>
          <w:rFonts w:ascii="Calibri" w:hAnsi="Calibri" w:cs="Calibri"/>
          <w:sz w:val="22"/>
          <w:szCs w:val="22"/>
        </w:rPr>
        <w:t xml:space="preserve"> had n</w:t>
      </w:r>
      <w:r w:rsidR="007E502F" w:rsidRPr="00D9152B">
        <w:rPr>
          <w:rFonts w:ascii="Calibri" w:hAnsi="Calibri" w:cs="Calibri"/>
          <w:sz w:val="22"/>
          <w:szCs w:val="22"/>
        </w:rPr>
        <w:t>ot been national priorities in nine</w:t>
      </w:r>
      <w:r w:rsidRPr="00D9152B">
        <w:rPr>
          <w:rFonts w:ascii="Calibri" w:hAnsi="Calibri" w:cs="Calibri"/>
          <w:sz w:val="22"/>
          <w:szCs w:val="22"/>
        </w:rPr>
        <w:t xml:space="preserve"> of the 11 OCP countries. He further suggested that the Bank should make it clear to donors that ‘the Programme should not be judged by the success of the current efforts to promote SED</w:t>
      </w:r>
      <w:r w:rsidR="00247500" w:rsidRPr="00D9152B">
        <w:rPr>
          <w:rFonts w:ascii="Calibri" w:hAnsi="Calibri" w:cs="Calibri"/>
          <w:sz w:val="22"/>
          <w:szCs w:val="22"/>
        </w:rPr>
        <w:t xml:space="preserve"> [socio-economic development]</w:t>
      </w:r>
      <w:r w:rsidRPr="00D9152B">
        <w:rPr>
          <w:rFonts w:ascii="Calibri" w:hAnsi="Calibri" w:cs="Calibri"/>
          <w:sz w:val="22"/>
          <w:szCs w:val="22"/>
        </w:rPr>
        <w:t>’,</w:t>
      </w:r>
      <w:r w:rsidRPr="00D9152B">
        <w:rPr>
          <w:rStyle w:val="FootnoteReference"/>
          <w:rFonts w:ascii="Calibri" w:hAnsi="Calibri" w:cs="Calibri"/>
          <w:sz w:val="22"/>
          <w:szCs w:val="22"/>
        </w:rPr>
        <w:t xml:space="preserve"> </w:t>
      </w:r>
      <w:r w:rsidRPr="00D9152B">
        <w:rPr>
          <w:rFonts w:ascii="Calibri" w:hAnsi="Calibri" w:cs="Calibri"/>
          <w:sz w:val="22"/>
          <w:szCs w:val="22"/>
        </w:rPr>
        <w:t>given resource constraints and development’s extracurricular status.</w:t>
      </w:r>
      <w:r w:rsidRPr="00D9152B">
        <w:rPr>
          <w:rStyle w:val="FootnoteReference"/>
          <w:rFonts w:ascii="Calibri" w:hAnsi="Calibri" w:cs="Calibri"/>
          <w:sz w:val="22"/>
          <w:szCs w:val="22"/>
        </w:rPr>
        <w:footnoteReference w:id="375"/>
      </w:r>
      <w:r w:rsidRPr="00D9152B">
        <w:rPr>
          <w:rFonts w:ascii="Calibri" w:hAnsi="Calibri" w:cs="Calibri"/>
          <w:sz w:val="22"/>
          <w:szCs w:val="22"/>
        </w:rPr>
        <w:t xml:space="preserve"> Yet, donor governments with the greatest interest in socio-economic development – the United States, Netherlands, and Canada – still expressed concern in 1989, with the United States requesting another formal calculation of the benefits of socio-economic development.</w:t>
      </w:r>
      <w:r w:rsidRPr="00D9152B">
        <w:rPr>
          <w:rStyle w:val="FootnoteReference"/>
          <w:rFonts w:ascii="Calibri" w:hAnsi="Calibri" w:cs="Calibri"/>
          <w:sz w:val="22"/>
          <w:szCs w:val="22"/>
        </w:rPr>
        <w:footnoteReference w:id="376"/>
      </w:r>
    </w:p>
    <w:p w14:paraId="029E9BCA" w14:textId="2BBE4A1A" w:rsidR="00AC7848" w:rsidRPr="00D9152B" w:rsidRDefault="007610DE" w:rsidP="005C7F9F">
      <w:pPr>
        <w:pStyle w:val="Heading4"/>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 xml:space="preserve"> </w:t>
      </w:r>
      <w:r w:rsidR="00AC7848" w:rsidRPr="00D9152B">
        <w:rPr>
          <w:rFonts w:ascii="Calibri" w:hAnsi="Calibri" w:cs="Calibri"/>
          <w:sz w:val="22"/>
          <w:szCs w:val="22"/>
        </w:rPr>
        <w:t>Metric 5: Younger &amp; Zongo’s 19</w:t>
      </w:r>
      <w:r w:rsidRPr="00D9152B">
        <w:rPr>
          <w:rFonts w:ascii="Calibri" w:hAnsi="Calibri" w:cs="Calibri"/>
          <w:sz w:val="22"/>
          <w:szCs w:val="22"/>
        </w:rPr>
        <w:t>89 estimates of labour and land</w:t>
      </w:r>
      <w:r w:rsidR="00AC7848" w:rsidRPr="00D9152B">
        <w:rPr>
          <w:rFonts w:ascii="Calibri" w:hAnsi="Calibri" w:cs="Calibri"/>
          <w:sz w:val="22"/>
          <w:szCs w:val="22"/>
        </w:rPr>
        <w:t xml:space="preserve"> rates of return</w:t>
      </w:r>
    </w:p>
    <w:p w14:paraId="25967FD9" w14:textId="0064CD06"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Amidst the OCP’s financial insecurity in 1989, two economists attempted a fresh cost-benefit analysis of the OCP. Stephen Younger, an economist from Williams College, and Jean-Baptiste Zongo, a member of the </w:t>
      </w:r>
      <w:r w:rsidR="00247500" w:rsidRPr="00D9152B">
        <w:rPr>
          <w:rFonts w:ascii="Calibri" w:hAnsi="Calibri" w:cs="Calibri"/>
          <w:sz w:val="22"/>
          <w:szCs w:val="22"/>
        </w:rPr>
        <w:t>Economic Development Unit</w:t>
      </w:r>
      <w:r w:rsidRPr="00D9152B">
        <w:rPr>
          <w:rFonts w:ascii="Calibri" w:hAnsi="Calibri" w:cs="Calibri"/>
          <w:sz w:val="22"/>
          <w:szCs w:val="22"/>
        </w:rPr>
        <w:t xml:space="preserve">, decided to </w:t>
      </w:r>
      <w:r w:rsidRPr="00D9152B">
        <w:rPr>
          <w:rFonts w:ascii="Calibri" w:hAnsi="Calibri" w:cs="Calibri"/>
          <w:sz w:val="22"/>
          <w:szCs w:val="22"/>
        </w:rPr>
        <w:lastRenderedPageBreak/>
        <w:t xml:space="preserve">recalculate the 1978 Mission’s estimate of productivity gains. They also developed a formula for estimating the </w:t>
      </w:r>
      <w:r w:rsidR="007E5B28">
        <w:rPr>
          <w:rFonts w:ascii="Calibri" w:hAnsi="Calibri" w:cs="Calibri"/>
          <w:sz w:val="22"/>
          <w:szCs w:val="22"/>
        </w:rPr>
        <w:t>net present value</w:t>
      </w:r>
      <w:r w:rsidRPr="00D9152B">
        <w:rPr>
          <w:rFonts w:ascii="Calibri" w:hAnsi="Calibri" w:cs="Calibri"/>
          <w:sz w:val="22"/>
          <w:szCs w:val="22"/>
        </w:rPr>
        <w:t xml:space="preserve"> of OCP lands (</w:t>
      </w:r>
      <w:r w:rsidR="00087095" w:rsidRPr="00D9152B">
        <w:rPr>
          <w:rFonts w:ascii="Calibri" w:hAnsi="Calibri" w:cs="Calibri"/>
          <w:sz w:val="22"/>
          <w:szCs w:val="22"/>
        </w:rPr>
        <w:t xml:space="preserve">see Appendix </w:t>
      </w:r>
      <w:r w:rsidR="00191ADA">
        <w:rPr>
          <w:rFonts w:ascii="Calibri" w:hAnsi="Calibri" w:cs="Calibri"/>
          <w:sz w:val="22"/>
          <w:szCs w:val="22"/>
        </w:rPr>
        <w:t>VII</w:t>
      </w:r>
      <w:r w:rsidRPr="00D9152B">
        <w:rPr>
          <w:rFonts w:ascii="Calibri" w:hAnsi="Calibri" w:cs="Calibri"/>
          <w:sz w:val="22"/>
          <w:szCs w:val="22"/>
        </w:rPr>
        <w:t xml:space="preserve">). </w:t>
      </w:r>
    </w:p>
    <w:p w14:paraId="3925307E" w14:textId="5932C106"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A major complication was the fact that there was no standard for many variables critical to performing a cost-benefit analysis of a health programme. For instance, over what time period should the benefits be tracked and compared to costs? If the OCP eliminated the black fly vector, farmers might still be protected from blindness in a millennium. Should benefits be tracked only until the end of the programme (estimated to be 1997 at the time)? For 50 years? A century? Would it be fair to track benefits far into the future, without adding in costs for maintenance (which were also not well known)? And, when tracking the programme benefits over time, what discount rate</w:t>
      </w:r>
      <w:r w:rsidR="00087095" w:rsidRPr="00D9152B">
        <w:rPr>
          <w:rFonts w:ascii="Calibri" w:hAnsi="Calibri" w:cs="Calibri"/>
          <w:sz w:val="22"/>
          <w:szCs w:val="22"/>
        </w:rPr>
        <w:t xml:space="preserve"> should be us</w:t>
      </w:r>
      <w:r w:rsidR="00AA0BC1" w:rsidRPr="00D9152B">
        <w:rPr>
          <w:rFonts w:ascii="Calibri" w:hAnsi="Calibri" w:cs="Calibri"/>
          <w:sz w:val="22"/>
          <w:szCs w:val="22"/>
        </w:rPr>
        <w:t>ed? Would a low (three</w:t>
      </w:r>
      <w:r w:rsidR="00087095" w:rsidRPr="00D9152B">
        <w:rPr>
          <w:rFonts w:ascii="Calibri" w:hAnsi="Calibri" w:cs="Calibri"/>
          <w:sz w:val="22"/>
          <w:szCs w:val="22"/>
        </w:rPr>
        <w:t xml:space="preserve"> percent</w:t>
      </w:r>
      <w:r w:rsidRPr="00D9152B">
        <w:rPr>
          <w:rFonts w:ascii="Calibri" w:hAnsi="Calibri" w:cs="Calibri"/>
          <w:sz w:val="22"/>
          <w:szCs w:val="22"/>
        </w:rPr>
        <w:t>) discount rate be appropriate, considering that this was a social investment programme that benefitted the poor rural people, or was a m</w:t>
      </w:r>
      <w:r w:rsidR="00087095" w:rsidRPr="00D9152B">
        <w:rPr>
          <w:rFonts w:ascii="Calibri" w:hAnsi="Calibri" w:cs="Calibri"/>
          <w:sz w:val="22"/>
          <w:szCs w:val="22"/>
        </w:rPr>
        <w:t>uch higher discount rate (10-15 percent</w:t>
      </w:r>
      <w:r w:rsidRPr="00D9152B">
        <w:rPr>
          <w:rFonts w:ascii="Calibri" w:hAnsi="Calibri" w:cs="Calibri"/>
          <w:sz w:val="22"/>
          <w:szCs w:val="22"/>
        </w:rPr>
        <w:t xml:space="preserve">), as traditionally used in analysis of the Bank’s infrastructure projects, appropriate for comparison purposes? Furthermore, were the estimates of value of labour output per worker accurate, especially since they were extrapolated from small country-based studies and expanded across the whole OCP area? Did not using low output of labour values inherently bias health sector allocation against the rural poor, precisely when organizations like the Bank wanted to target them with development opportunities? </w:t>
      </w:r>
    </w:p>
    <w:p w14:paraId="4E71B34F" w14:textId="33433C3E"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importance of these questions goes to the heart of Younger and Zongo’s findings. They began their study with the caveat that, as for most health projects, ‘data are not good’ and any internal rate of return (IRR) would by nature be ‘imprecise’. Indeed, their </w:t>
      </w:r>
      <w:r w:rsidR="00247500" w:rsidRPr="00D9152B">
        <w:rPr>
          <w:rFonts w:ascii="Calibri" w:hAnsi="Calibri" w:cs="Calibri"/>
          <w:sz w:val="22"/>
          <w:szCs w:val="22"/>
        </w:rPr>
        <w:t>internal rates of return</w:t>
      </w:r>
      <w:r w:rsidRPr="00D9152B">
        <w:rPr>
          <w:rFonts w:ascii="Calibri" w:hAnsi="Calibri" w:cs="Calibri"/>
          <w:sz w:val="22"/>
          <w:szCs w:val="22"/>
        </w:rPr>
        <w:t xml:space="preserve"> varied dramatically. For labour increases due to the prevention of blindness, the </w:t>
      </w:r>
      <w:r w:rsidR="00247500" w:rsidRPr="00D9152B">
        <w:rPr>
          <w:rFonts w:ascii="Calibri" w:hAnsi="Calibri" w:cs="Calibri"/>
          <w:sz w:val="22"/>
          <w:szCs w:val="22"/>
        </w:rPr>
        <w:t>rate of return</w:t>
      </w:r>
      <w:r w:rsidRPr="00D9152B">
        <w:rPr>
          <w:rFonts w:ascii="Calibri" w:hAnsi="Calibri" w:cs="Calibri"/>
          <w:sz w:val="22"/>
          <w:szCs w:val="22"/>
        </w:rPr>
        <w:t xml:space="preserve"> was heavily dependent on the time period, value of output per worker, and discount rate used. As shown in Figure</w:t>
      </w:r>
      <w:r w:rsidR="00D82A8E" w:rsidRPr="00D9152B">
        <w:rPr>
          <w:rFonts w:ascii="Calibri" w:hAnsi="Calibri" w:cs="Calibri"/>
          <w:sz w:val="22"/>
          <w:szCs w:val="22"/>
        </w:rPr>
        <w:t xml:space="preserve"> </w:t>
      </w:r>
      <w:r w:rsidR="001D54BD">
        <w:rPr>
          <w:rFonts w:ascii="Calibri" w:hAnsi="Calibri" w:cs="Calibri"/>
          <w:sz w:val="22"/>
          <w:szCs w:val="22"/>
        </w:rPr>
        <w:t>4.</w:t>
      </w:r>
      <w:r w:rsidR="00D82A8E" w:rsidRPr="00D9152B">
        <w:rPr>
          <w:rFonts w:ascii="Calibri" w:hAnsi="Calibri" w:cs="Calibri"/>
          <w:sz w:val="22"/>
          <w:szCs w:val="22"/>
        </w:rPr>
        <w:t>3</w:t>
      </w:r>
      <w:r w:rsidRPr="00D9152B">
        <w:rPr>
          <w:rFonts w:ascii="Calibri" w:hAnsi="Calibri" w:cs="Calibri"/>
          <w:sz w:val="22"/>
          <w:szCs w:val="22"/>
        </w:rPr>
        <w:t>, only the more favourable scenarios made the OCP’s labour benefits surpass its costs. These included a high value of labour, coupled with any rate of lab</w:t>
      </w:r>
      <w:r w:rsidR="00087095" w:rsidRPr="00D9152B">
        <w:rPr>
          <w:rFonts w:ascii="Calibri" w:hAnsi="Calibri" w:cs="Calibri"/>
          <w:sz w:val="22"/>
          <w:szCs w:val="22"/>
        </w:rPr>
        <w:t>our productivity growth (</w:t>
      </w:r>
      <w:r w:rsidR="00115299" w:rsidRPr="00D9152B">
        <w:rPr>
          <w:rFonts w:ascii="Calibri" w:hAnsi="Calibri" w:cs="Calibri"/>
          <w:sz w:val="22"/>
          <w:szCs w:val="22"/>
        </w:rPr>
        <w:t>one or three</w:t>
      </w:r>
      <w:r w:rsidR="00087095" w:rsidRPr="00D9152B">
        <w:rPr>
          <w:rFonts w:ascii="Calibri" w:hAnsi="Calibri" w:cs="Calibri"/>
          <w:sz w:val="22"/>
          <w:szCs w:val="22"/>
        </w:rPr>
        <w:t xml:space="preserve"> </w:t>
      </w:r>
      <w:r w:rsidR="00115299" w:rsidRPr="00D9152B">
        <w:rPr>
          <w:rFonts w:ascii="Calibri" w:hAnsi="Calibri" w:cs="Calibri"/>
          <w:sz w:val="22"/>
          <w:szCs w:val="22"/>
        </w:rPr>
        <w:t>percent), a low discount rate (five</w:t>
      </w:r>
      <w:r w:rsidR="00087095" w:rsidRPr="00D9152B">
        <w:rPr>
          <w:rFonts w:ascii="Calibri" w:hAnsi="Calibri" w:cs="Calibri"/>
          <w:sz w:val="22"/>
          <w:szCs w:val="22"/>
        </w:rPr>
        <w:t xml:space="preserve"> percent</w:t>
      </w:r>
      <w:r w:rsidRPr="00D9152B">
        <w:rPr>
          <w:rFonts w:ascii="Calibri" w:hAnsi="Calibri" w:cs="Calibri"/>
          <w:sz w:val="22"/>
          <w:szCs w:val="22"/>
        </w:rPr>
        <w:t>), and a 50-year time horizon. A 25-year horizon never produced an acceptable rate of return under the most optimistic assumptions of income and producti</w:t>
      </w:r>
      <w:r w:rsidR="00087095" w:rsidRPr="00D9152B">
        <w:rPr>
          <w:rFonts w:ascii="Calibri" w:hAnsi="Calibri" w:cs="Calibri"/>
          <w:sz w:val="22"/>
          <w:szCs w:val="22"/>
        </w:rPr>
        <w:t>vity growth, nor did a high (15 percent</w:t>
      </w:r>
      <w:r w:rsidRPr="00D9152B">
        <w:rPr>
          <w:rFonts w:ascii="Calibri" w:hAnsi="Calibri" w:cs="Calibri"/>
          <w:sz w:val="22"/>
          <w:szCs w:val="22"/>
        </w:rPr>
        <w:t>) discount rate.</w:t>
      </w:r>
    </w:p>
    <w:p w14:paraId="7AF8C46C" w14:textId="77777777" w:rsidR="00AC7848" w:rsidRPr="00D9152B" w:rsidRDefault="00AC7848" w:rsidP="007610DE">
      <w:pPr>
        <w:rPr>
          <w:rFonts w:ascii="Calibri" w:hAnsi="Calibri" w:cs="Calibri"/>
        </w:rPr>
      </w:pPr>
      <w:r w:rsidRPr="00D9152B">
        <w:rPr>
          <w:rFonts w:ascii="Calibri" w:hAnsi="Calibri" w:cs="Calibri"/>
          <w:noProof/>
          <w:lang w:eastAsia="en-GB"/>
        </w:rPr>
        <w:lastRenderedPageBreak/>
        <w:drawing>
          <wp:inline distT="0" distB="0" distL="0" distR="0" wp14:anchorId="1A500329" wp14:editId="792CCE4C">
            <wp:extent cx="5343277" cy="3315694"/>
            <wp:effectExtent l="0" t="0" r="16510" b="12065"/>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5A30F65A" w14:textId="77777777" w:rsidR="007610DE" w:rsidRPr="00D9152B" w:rsidRDefault="007610DE" w:rsidP="007610DE">
      <w:pPr>
        <w:rPr>
          <w:rFonts w:ascii="Calibri" w:eastAsia="Times" w:hAnsi="Calibri" w:cs="Calibri"/>
          <w:color w:val="7F7F7F" w:themeColor="text1" w:themeTint="80"/>
        </w:rPr>
      </w:pPr>
    </w:p>
    <w:p w14:paraId="34946490" w14:textId="6057EB31" w:rsidR="00AC7848" w:rsidRPr="00D9152B" w:rsidRDefault="00D82A8E" w:rsidP="007610DE">
      <w:pPr>
        <w:jc w:val="both"/>
        <w:rPr>
          <w:rFonts w:ascii="Calibri" w:eastAsia="Times" w:hAnsi="Calibri" w:cs="Calibri"/>
          <w:color w:val="808080" w:themeColor="background1" w:themeShade="80"/>
          <w:sz w:val="22"/>
          <w:szCs w:val="22"/>
        </w:rPr>
      </w:pPr>
      <w:r w:rsidRPr="00D9152B">
        <w:rPr>
          <w:rFonts w:ascii="Calibri" w:eastAsia="Times" w:hAnsi="Calibri" w:cs="Calibri"/>
          <w:color w:val="808080" w:themeColor="background1" w:themeShade="80"/>
          <w:sz w:val="22"/>
          <w:szCs w:val="22"/>
        </w:rPr>
        <w:t xml:space="preserve">Figure </w:t>
      </w:r>
      <w:r w:rsidR="001D54BD">
        <w:rPr>
          <w:rFonts w:ascii="Calibri" w:eastAsia="Times" w:hAnsi="Calibri" w:cs="Calibri"/>
          <w:color w:val="808080" w:themeColor="background1" w:themeShade="80"/>
          <w:sz w:val="22"/>
          <w:szCs w:val="22"/>
        </w:rPr>
        <w:t>4.</w:t>
      </w:r>
      <w:r w:rsidRPr="00D9152B">
        <w:rPr>
          <w:rFonts w:ascii="Calibri" w:eastAsia="Times" w:hAnsi="Calibri" w:cs="Calibri"/>
          <w:color w:val="808080" w:themeColor="background1" w:themeShade="80"/>
          <w:sz w:val="22"/>
          <w:szCs w:val="22"/>
        </w:rPr>
        <w:t>3</w:t>
      </w:r>
      <w:r w:rsidR="00AC7848" w:rsidRPr="00D9152B">
        <w:rPr>
          <w:rFonts w:ascii="Calibri" w:eastAsia="Times" w:hAnsi="Calibri" w:cs="Calibri"/>
          <w:color w:val="808080" w:themeColor="background1" w:themeShade="80"/>
          <w:sz w:val="22"/>
          <w:szCs w:val="22"/>
        </w:rPr>
        <w:t>. Younger and Zongo found that the OCP’s labour benefits were very volatile, depending on the variables used. The only context in which labour-related benefits outweighed costs was the most optimistic</w:t>
      </w:r>
      <w:r w:rsidR="007610DE" w:rsidRPr="00D9152B">
        <w:rPr>
          <w:rFonts w:ascii="Calibri" w:eastAsia="Times" w:hAnsi="Calibri" w:cs="Calibri"/>
          <w:color w:val="808080" w:themeColor="background1" w:themeShade="80"/>
          <w:sz w:val="22"/>
          <w:szCs w:val="22"/>
        </w:rPr>
        <w:t>.</w:t>
      </w:r>
      <w:r w:rsidR="00087095" w:rsidRPr="00D9152B">
        <w:rPr>
          <w:rFonts w:ascii="Calibri" w:eastAsia="Times" w:hAnsi="Calibri" w:cs="Calibri"/>
          <w:color w:val="808080" w:themeColor="background1" w:themeShade="80"/>
          <w:sz w:val="22"/>
          <w:szCs w:val="22"/>
        </w:rPr>
        <w:t xml:space="preserve"> [</w:t>
      </w:r>
      <w:r w:rsidR="00AC7848" w:rsidRPr="00D9152B">
        <w:rPr>
          <w:rFonts w:ascii="Calibri" w:eastAsia="Times" w:hAnsi="Calibri" w:cs="Calibri"/>
          <w:color w:val="808080" w:themeColor="background1" w:themeShade="80"/>
          <w:sz w:val="22"/>
          <w:szCs w:val="22"/>
        </w:rPr>
        <w:t xml:space="preserve">v = marginal output of labour, r = rate of labour productivity growth, yr = time horizon </w:t>
      </w:r>
      <w:r w:rsidR="00087095" w:rsidRPr="00D9152B">
        <w:rPr>
          <w:rFonts w:ascii="Calibri" w:eastAsia="Times" w:hAnsi="Calibri" w:cs="Calibri"/>
          <w:color w:val="808080" w:themeColor="background1" w:themeShade="80"/>
          <w:sz w:val="22"/>
          <w:szCs w:val="22"/>
        </w:rPr>
        <w:t>used, % = discount rate applied]</w:t>
      </w:r>
      <w:r w:rsidR="00337365" w:rsidRPr="00D9152B">
        <w:rPr>
          <w:rFonts w:ascii="Calibri" w:eastAsia="Times" w:hAnsi="Calibri" w:cs="Calibri"/>
          <w:color w:val="808080" w:themeColor="background1" w:themeShade="80"/>
          <w:sz w:val="22"/>
          <w:szCs w:val="22"/>
        </w:rPr>
        <w:t>.</w:t>
      </w:r>
      <w:r w:rsidR="00613272" w:rsidRPr="00D9152B">
        <w:rPr>
          <w:rStyle w:val="FootnoteReference"/>
          <w:rFonts w:ascii="Calibri" w:eastAsia="Times" w:hAnsi="Calibri" w:cs="Calibri"/>
          <w:color w:val="808080" w:themeColor="background1" w:themeShade="80"/>
        </w:rPr>
        <w:footnoteReference w:id="377"/>
      </w:r>
    </w:p>
    <w:p w14:paraId="0E18339D" w14:textId="6D70E3C3" w:rsidR="00AC7848" w:rsidRPr="00D9152B" w:rsidRDefault="00AC7848" w:rsidP="005C7F9F">
      <w:pPr>
        <w:spacing w:before="100" w:beforeAutospacing="1" w:after="100" w:afterAutospacing="1" w:line="360" w:lineRule="auto"/>
        <w:rPr>
          <w:rFonts w:ascii="Calibri" w:hAnsi="Calibri" w:cs="Calibri"/>
          <w:sz w:val="22"/>
          <w:szCs w:val="22"/>
        </w:rPr>
      </w:pPr>
      <w:r w:rsidRPr="00D9152B">
        <w:rPr>
          <w:rFonts w:ascii="Calibri" w:hAnsi="Calibri" w:cs="Calibri"/>
        </w:rPr>
        <w:tab/>
      </w:r>
      <w:r w:rsidRPr="00D9152B">
        <w:rPr>
          <w:rFonts w:ascii="Calibri" w:hAnsi="Calibri" w:cs="Calibri"/>
          <w:sz w:val="22"/>
          <w:szCs w:val="22"/>
        </w:rPr>
        <w:t xml:space="preserve">Based on these findings, Younger and Zongo argued that land value was the ‘most important economic impact that the OCP is likely to have’. This departed from earlier predictions that labour productivity </w:t>
      </w:r>
      <w:r w:rsidR="000258C8" w:rsidRPr="00D9152B">
        <w:rPr>
          <w:rFonts w:ascii="Calibri" w:hAnsi="Calibri" w:cs="Calibri"/>
          <w:sz w:val="22"/>
          <w:szCs w:val="22"/>
        </w:rPr>
        <w:t>would</w:t>
      </w:r>
      <w:r w:rsidRPr="00D9152B">
        <w:rPr>
          <w:rFonts w:ascii="Calibri" w:hAnsi="Calibri" w:cs="Calibri"/>
          <w:sz w:val="22"/>
          <w:szCs w:val="22"/>
        </w:rPr>
        <w:t xml:space="preserve"> be the most economically valuable output of t</w:t>
      </w:r>
      <w:r w:rsidR="00087095" w:rsidRPr="00D9152B">
        <w:rPr>
          <w:rFonts w:ascii="Calibri" w:hAnsi="Calibri" w:cs="Calibri"/>
          <w:sz w:val="22"/>
          <w:szCs w:val="22"/>
        </w:rPr>
        <w:t>he OCP, such as those of Prost and</w:t>
      </w:r>
      <w:r w:rsidRPr="00D9152B">
        <w:rPr>
          <w:rFonts w:ascii="Calibri" w:hAnsi="Calibri" w:cs="Calibri"/>
          <w:sz w:val="22"/>
          <w:szCs w:val="22"/>
        </w:rPr>
        <w:t xml:space="preserve"> Prescott. However, there was still far from a consensus on the amount of fertile land m</w:t>
      </w:r>
      <w:r w:rsidR="00087095" w:rsidRPr="00D9152B">
        <w:rPr>
          <w:rFonts w:ascii="Calibri" w:hAnsi="Calibri" w:cs="Calibri"/>
          <w:sz w:val="22"/>
          <w:szCs w:val="22"/>
        </w:rPr>
        <w:t>ade available by the OCP. E</w:t>
      </w:r>
      <w:r w:rsidRPr="00D9152B">
        <w:rPr>
          <w:rFonts w:ascii="Calibri" w:hAnsi="Calibri" w:cs="Calibri"/>
          <w:sz w:val="22"/>
          <w:szCs w:val="22"/>
        </w:rPr>
        <w:t>ven if the Preparatory Report and Land Settlement Review could help to clarify uncertainty about the amount of fertile land made available, a key question still remained: how could you quantify the worth of this land compared to other currently cultivated (‘old’) land, across the wide sweep of 11 OCP countries? What extra, intrinsic value did the OCP land have? Would it be fair to assume that this intrinsic value would be retained over time, or would land tenure and farming practices gradually decrease the agricultural value of the ‘new land’?</w:t>
      </w:r>
    </w:p>
    <w:p w14:paraId="5180CC14" w14:textId="55613D11" w:rsidR="00AC7848" w:rsidRPr="00D9152B" w:rsidRDefault="00AC7848" w:rsidP="005C7F9F">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lastRenderedPageBreak/>
        <w:tab/>
        <w:t>Younger and Zongo based most of their land value calculations on two figures: the amount of arable land made available by the OCP (total land), and the land differential, or the extra value that this new land offered. First, they used both the more conservative (50,610 km</w:t>
      </w:r>
      <w:r w:rsidRPr="00D9152B">
        <w:rPr>
          <w:rFonts w:ascii="Calibri" w:hAnsi="Calibri" w:cs="Calibri"/>
          <w:sz w:val="22"/>
          <w:szCs w:val="22"/>
          <w:vertAlign w:val="superscript"/>
        </w:rPr>
        <w:t>2</w:t>
      </w:r>
      <w:r w:rsidRPr="00D9152B">
        <w:rPr>
          <w:rFonts w:ascii="Calibri" w:hAnsi="Calibri" w:cs="Calibri"/>
          <w:sz w:val="22"/>
          <w:szCs w:val="22"/>
        </w:rPr>
        <w:t>) and optimistic (134,000 km</w:t>
      </w:r>
      <w:r w:rsidRPr="00D9152B">
        <w:rPr>
          <w:rFonts w:ascii="Calibri" w:hAnsi="Calibri" w:cs="Calibri"/>
          <w:sz w:val="22"/>
          <w:szCs w:val="22"/>
          <w:vertAlign w:val="superscript"/>
        </w:rPr>
        <w:t>2</w:t>
      </w:r>
      <w:r w:rsidRPr="00D9152B">
        <w:rPr>
          <w:rFonts w:ascii="Calibri" w:hAnsi="Calibri" w:cs="Calibri"/>
          <w:sz w:val="22"/>
          <w:szCs w:val="22"/>
        </w:rPr>
        <w:t>) new land estimates from the 1978 Economic Review Mission and added in the estimated amount of fertile new land from the Southern and Western extensions (48,440 km</w:t>
      </w:r>
      <w:r w:rsidRPr="00D9152B">
        <w:rPr>
          <w:rFonts w:ascii="Calibri" w:hAnsi="Calibri" w:cs="Calibri"/>
          <w:sz w:val="22"/>
          <w:szCs w:val="22"/>
          <w:vertAlign w:val="superscript"/>
        </w:rPr>
        <w:t>2</w:t>
      </w:r>
      <w:r w:rsidRPr="00D9152B">
        <w:rPr>
          <w:rFonts w:ascii="Calibri" w:hAnsi="Calibri" w:cs="Calibri"/>
          <w:sz w:val="22"/>
          <w:szCs w:val="22"/>
        </w:rPr>
        <w:t>), for a total of 99,000 km</w:t>
      </w:r>
      <w:r w:rsidRPr="00D9152B">
        <w:rPr>
          <w:rFonts w:ascii="Calibri" w:hAnsi="Calibri" w:cs="Calibri"/>
          <w:sz w:val="22"/>
          <w:szCs w:val="22"/>
          <w:vertAlign w:val="superscript"/>
        </w:rPr>
        <w:t xml:space="preserve">2 </w:t>
      </w:r>
      <w:r w:rsidRPr="00D9152B">
        <w:rPr>
          <w:rFonts w:ascii="Calibri" w:hAnsi="Calibri" w:cs="Calibri"/>
          <w:sz w:val="22"/>
          <w:szCs w:val="22"/>
        </w:rPr>
        <w:t>to182,000 km</w:t>
      </w:r>
      <w:r w:rsidRPr="00D9152B">
        <w:rPr>
          <w:rFonts w:ascii="Calibri" w:hAnsi="Calibri" w:cs="Calibri"/>
          <w:sz w:val="22"/>
          <w:szCs w:val="22"/>
          <w:vertAlign w:val="superscript"/>
        </w:rPr>
        <w:t>2</w:t>
      </w:r>
      <w:r w:rsidRPr="00D9152B">
        <w:rPr>
          <w:rFonts w:ascii="Calibri" w:hAnsi="Calibri" w:cs="Calibri"/>
          <w:sz w:val="22"/>
          <w:szCs w:val="22"/>
        </w:rPr>
        <w:t xml:space="preserve"> (9.9 to 18</w:t>
      </w:r>
      <w:r w:rsidR="00337365" w:rsidRPr="00D9152B">
        <w:rPr>
          <w:rFonts w:ascii="Calibri" w:hAnsi="Calibri" w:cs="Calibri"/>
          <w:sz w:val="22"/>
          <w:szCs w:val="22"/>
        </w:rPr>
        <w:t xml:space="preserve">.2 million hectares). Next, they </w:t>
      </w:r>
      <w:r w:rsidRPr="00D9152B">
        <w:rPr>
          <w:rFonts w:ascii="Calibri" w:hAnsi="Calibri" w:cs="Calibri"/>
          <w:sz w:val="22"/>
          <w:szCs w:val="22"/>
        </w:rPr>
        <w:t>considered the average value of this land. Because no data was available on the market value of land, the authors extrapolated from data about planned settlement in Upper Volta.</w:t>
      </w:r>
      <w:r w:rsidR="00FB4AD3" w:rsidRPr="00D9152B">
        <w:rPr>
          <w:rFonts w:ascii="Calibri" w:hAnsi="Calibri" w:cs="Calibri"/>
          <w:sz w:val="22"/>
          <w:szCs w:val="22"/>
        </w:rPr>
        <w:t xml:space="preserve"> </w:t>
      </w:r>
      <w:r w:rsidRPr="00D9152B">
        <w:rPr>
          <w:rFonts w:ascii="Calibri" w:hAnsi="Calibri" w:cs="Calibri"/>
          <w:sz w:val="22"/>
          <w:szCs w:val="22"/>
        </w:rPr>
        <w:t>By multiplying this estimated benefit stream by the total number of acres made available, the researchers estimated the benefits of freed lands. Because it was not reasonable to assume that all lands would be instantly resettled, they used data from a 1984 study in Burkina Faso</w:t>
      </w:r>
      <w:r w:rsidRPr="00D9152B">
        <w:rPr>
          <w:rStyle w:val="FootnoteReference"/>
          <w:rFonts w:ascii="Calibri" w:hAnsi="Calibri" w:cs="Calibri"/>
          <w:sz w:val="22"/>
          <w:szCs w:val="22"/>
        </w:rPr>
        <w:footnoteReference w:id="378"/>
      </w:r>
      <w:r w:rsidR="00337365" w:rsidRPr="00D9152B">
        <w:rPr>
          <w:rFonts w:ascii="Calibri" w:hAnsi="Calibri" w:cs="Calibri"/>
          <w:sz w:val="22"/>
          <w:szCs w:val="22"/>
        </w:rPr>
        <w:t xml:space="preserve"> to estimate that about 1.62 percent</w:t>
      </w:r>
      <w:r w:rsidRPr="00D9152B">
        <w:rPr>
          <w:rFonts w:ascii="Calibri" w:hAnsi="Calibri" w:cs="Calibri"/>
          <w:sz w:val="22"/>
          <w:szCs w:val="22"/>
        </w:rPr>
        <w:t xml:space="preserve"> of the lands available would be resettled each year. No socio-economic data from other OCP countries was used to calculat</w:t>
      </w:r>
      <w:r w:rsidR="00337365" w:rsidRPr="00D9152B">
        <w:rPr>
          <w:rFonts w:ascii="Calibri" w:hAnsi="Calibri" w:cs="Calibri"/>
          <w:sz w:val="22"/>
          <w:szCs w:val="22"/>
        </w:rPr>
        <w:t xml:space="preserve">e the land benefits. As Figure </w:t>
      </w:r>
      <w:r w:rsidR="00D82A8E" w:rsidRPr="00D9152B">
        <w:rPr>
          <w:rFonts w:ascii="Calibri" w:hAnsi="Calibri" w:cs="Calibri"/>
          <w:sz w:val="22"/>
          <w:szCs w:val="22"/>
        </w:rPr>
        <w:t>4</w:t>
      </w:r>
      <w:r w:rsidR="001D54BD">
        <w:rPr>
          <w:rFonts w:ascii="Calibri" w:hAnsi="Calibri" w:cs="Calibri"/>
          <w:sz w:val="22"/>
          <w:szCs w:val="22"/>
        </w:rPr>
        <w:t>.4</w:t>
      </w:r>
      <w:r w:rsidRPr="00D9152B">
        <w:rPr>
          <w:rFonts w:ascii="Calibri" w:hAnsi="Calibri" w:cs="Calibri"/>
          <w:sz w:val="22"/>
          <w:szCs w:val="22"/>
        </w:rPr>
        <w:t xml:space="preserve"> illustrates, land benefits were more likely than labour benefits to surpass OCP costs. The major factor in whether land benefits outweighed costs was, unsurprisingly, the land differential value used. The </w:t>
      </w:r>
      <w:r w:rsidR="007B2121" w:rsidRPr="00D9152B">
        <w:rPr>
          <w:rFonts w:ascii="Calibri" w:hAnsi="Calibri" w:cs="Calibri"/>
          <w:sz w:val="22"/>
          <w:szCs w:val="22"/>
        </w:rPr>
        <w:t>rate of return</w:t>
      </w:r>
      <w:r w:rsidRPr="00D9152B">
        <w:rPr>
          <w:rFonts w:ascii="Calibri" w:hAnsi="Calibri" w:cs="Calibri"/>
          <w:sz w:val="22"/>
          <w:szCs w:val="22"/>
        </w:rPr>
        <w:t xml:space="preserve"> for la</w:t>
      </w:r>
      <w:r w:rsidR="00337365" w:rsidRPr="00D9152B">
        <w:rPr>
          <w:rFonts w:ascii="Calibri" w:hAnsi="Calibri" w:cs="Calibri"/>
          <w:sz w:val="22"/>
          <w:szCs w:val="22"/>
        </w:rPr>
        <w:t>nd value varied from about 5-10 percent</w:t>
      </w:r>
      <w:r w:rsidRPr="00D9152B">
        <w:rPr>
          <w:rFonts w:ascii="Calibri" w:hAnsi="Calibri" w:cs="Calibri"/>
          <w:sz w:val="22"/>
          <w:szCs w:val="22"/>
        </w:rPr>
        <w:t>, depending on the variables used.</w:t>
      </w:r>
    </w:p>
    <w:p w14:paraId="12C1FE9D" w14:textId="77777777" w:rsidR="00AC7848" w:rsidRPr="00D9152B" w:rsidRDefault="00AC7848" w:rsidP="00413CE4">
      <w:pPr>
        <w:spacing w:before="100" w:beforeAutospacing="1" w:after="100" w:afterAutospacing="1"/>
        <w:jc w:val="center"/>
        <w:rPr>
          <w:rFonts w:ascii="Calibri" w:hAnsi="Calibri" w:cs="Calibri"/>
        </w:rPr>
      </w:pPr>
      <w:r w:rsidRPr="00D9152B">
        <w:rPr>
          <w:rFonts w:ascii="Calibri" w:hAnsi="Calibri" w:cs="Calibri"/>
          <w:noProof/>
          <w:lang w:eastAsia="en-GB"/>
        </w:rPr>
        <w:lastRenderedPageBreak/>
        <w:drawing>
          <wp:inline distT="0" distB="0" distL="0" distR="0" wp14:anchorId="35072171" wp14:editId="0E31C93E">
            <wp:extent cx="5033010" cy="3173506"/>
            <wp:effectExtent l="0" t="0" r="8890" b="14605"/>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4D48CCED" w14:textId="30EFF77B" w:rsidR="00AC7848" w:rsidRPr="00D9152B" w:rsidRDefault="00D82A8E" w:rsidP="007610DE">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1D54BD">
        <w:rPr>
          <w:rFonts w:ascii="Calibri" w:hAnsi="Calibri" w:cs="Calibri"/>
          <w:color w:val="808080" w:themeColor="background1" w:themeShade="80"/>
          <w:sz w:val="22"/>
          <w:szCs w:val="22"/>
        </w:rPr>
        <w:t>4.</w:t>
      </w:r>
      <w:r w:rsidRPr="00D9152B">
        <w:rPr>
          <w:rFonts w:ascii="Calibri" w:hAnsi="Calibri" w:cs="Calibri"/>
          <w:color w:val="808080" w:themeColor="background1" w:themeShade="80"/>
          <w:sz w:val="22"/>
          <w:szCs w:val="22"/>
        </w:rPr>
        <w:t>4</w:t>
      </w:r>
      <w:r w:rsidR="00AC7848" w:rsidRPr="00D9152B">
        <w:rPr>
          <w:rFonts w:ascii="Calibri" w:hAnsi="Calibri" w:cs="Calibri"/>
          <w:color w:val="808080" w:themeColor="background1" w:themeShade="80"/>
          <w:sz w:val="22"/>
          <w:szCs w:val="22"/>
        </w:rPr>
        <w:t xml:space="preserve">. Younger and Zongo calculated the value of land based on the total land available for cultivation (tot) and the increased value of this ‘new’ land over ‘old’ OCP region land (dif). </w:t>
      </w:r>
      <w:r w:rsidR="007610DE" w:rsidRPr="00D9152B">
        <w:rPr>
          <w:rFonts w:ascii="Calibri" w:hAnsi="Calibri" w:cs="Calibri"/>
          <w:color w:val="808080" w:themeColor="background1" w:themeShade="80"/>
          <w:sz w:val="22"/>
          <w:szCs w:val="22"/>
        </w:rPr>
        <w:t>Land</w:t>
      </w:r>
      <w:r w:rsidR="00AC7848" w:rsidRPr="00D9152B">
        <w:rPr>
          <w:rFonts w:ascii="Calibri" w:hAnsi="Calibri" w:cs="Calibri"/>
          <w:color w:val="808080" w:themeColor="background1" w:themeShade="80"/>
          <w:sz w:val="22"/>
          <w:szCs w:val="22"/>
        </w:rPr>
        <w:t>-related benefits were higher than programme costs under several contexts, especially when more land was considered ava</w:t>
      </w:r>
      <w:r w:rsidR="00337365" w:rsidRPr="00D9152B">
        <w:rPr>
          <w:rFonts w:ascii="Calibri" w:hAnsi="Calibri" w:cs="Calibri"/>
          <w:color w:val="808080" w:themeColor="background1" w:themeShade="80"/>
          <w:sz w:val="22"/>
          <w:szCs w:val="22"/>
        </w:rPr>
        <w:t>ilable for cultivation [</w:t>
      </w:r>
      <w:r w:rsidR="00AC7848" w:rsidRPr="00D9152B">
        <w:rPr>
          <w:rFonts w:ascii="Calibri" w:hAnsi="Calibri" w:cs="Calibri"/>
          <w:color w:val="808080" w:themeColor="background1" w:themeShade="80"/>
          <w:sz w:val="22"/>
          <w:szCs w:val="22"/>
        </w:rPr>
        <w:t xml:space="preserve">dif = land differential used, tot = total </w:t>
      </w:r>
      <w:r w:rsidR="00337365" w:rsidRPr="00D9152B">
        <w:rPr>
          <w:rFonts w:ascii="Calibri" w:hAnsi="Calibri" w:cs="Calibri"/>
          <w:color w:val="808080" w:themeColor="background1" w:themeShade="80"/>
          <w:sz w:val="22"/>
          <w:szCs w:val="22"/>
        </w:rPr>
        <w:t>hectares of new land available,</w:t>
      </w:r>
      <w:r w:rsidR="00AC7848" w:rsidRPr="00D9152B">
        <w:rPr>
          <w:rFonts w:ascii="Calibri" w:hAnsi="Calibri" w:cs="Calibri"/>
          <w:color w:val="808080" w:themeColor="background1" w:themeShade="80"/>
          <w:sz w:val="22"/>
          <w:szCs w:val="22"/>
        </w:rPr>
        <w:t xml:space="preserve"> % = discount rate </w:t>
      </w:r>
      <w:r w:rsidR="00337365" w:rsidRPr="00D9152B">
        <w:rPr>
          <w:rFonts w:ascii="Calibri" w:hAnsi="Calibri" w:cs="Calibri"/>
          <w:color w:val="808080" w:themeColor="background1" w:themeShade="80"/>
          <w:sz w:val="22"/>
          <w:szCs w:val="22"/>
        </w:rPr>
        <w:t>applied, yr = time horizon used].</w:t>
      </w:r>
      <w:r w:rsidR="00613272" w:rsidRPr="00D9152B">
        <w:rPr>
          <w:rStyle w:val="FootnoteReference"/>
          <w:rFonts w:ascii="Calibri" w:hAnsi="Calibri" w:cs="Calibri"/>
          <w:color w:val="808080" w:themeColor="background1" w:themeShade="80"/>
        </w:rPr>
        <w:footnoteReference w:id="379"/>
      </w:r>
    </w:p>
    <w:p w14:paraId="48BF7018" w14:textId="76E13932" w:rsidR="00AC7848" w:rsidRPr="00D9152B" w:rsidRDefault="00AC7848" w:rsidP="005C7F9F">
      <w:pPr>
        <w:spacing w:before="100" w:beforeAutospacing="1" w:after="100" w:afterAutospacing="1" w:line="360" w:lineRule="auto"/>
        <w:rPr>
          <w:rFonts w:ascii="Calibri" w:hAnsi="Calibri" w:cs="Calibri"/>
          <w:sz w:val="22"/>
          <w:szCs w:val="22"/>
        </w:rPr>
      </w:pPr>
      <w:r w:rsidRPr="00D9152B">
        <w:rPr>
          <w:rFonts w:ascii="Calibri" w:hAnsi="Calibri" w:cs="Calibri"/>
        </w:rPr>
        <w:tab/>
      </w:r>
      <w:r w:rsidRPr="00D9152B">
        <w:rPr>
          <w:rFonts w:ascii="Calibri" w:hAnsi="Calibri" w:cs="Calibri"/>
          <w:sz w:val="22"/>
          <w:szCs w:val="22"/>
        </w:rPr>
        <w:t>When land and labour benefits were taken together</w:t>
      </w:r>
      <w:r w:rsidR="00337365" w:rsidRPr="00D9152B">
        <w:rPr>
          <w:rFonts w:ascii="Calibri" w:hAnsi="Calibri" w:cs="Calibri"/>
          <w:sz w:val="22"/>
          <w:szCs w:val="22"/>
        </w:rPr>
        <w:t xml:space="preserve">, the </w:t>
      </w:r>
      <w:r w:rsidR="007B2121" w:rsidRPr="00D9152B">
        <w:rPr>
          <w:rFonts w:ascii="Calibri" w:hAnsi="Calibri" w:cs="Calibri"/>
          <w:sz w:val="22"/>
          <w:szCs w:val="22"/>
        </w:rPr>
        <w:t>rate of return</w:t>
      </w:r>
      <w:r w:rsidR="00337365" w:rsidRPr="00D9152B">
        <w:rPr>
          <w:rFonts w:ascii="Calibri" w:hAnsi="Calibri" w:cs="Calibri"/>
          <w:sz w:val="22"/>
          <w:szCs w:val="22"/>
        </w:rPr>
        <w:t xml:space="preserve"> varied from -6 to 69 percent over 25 years and 9 to 69 percent</w:t>
      </w:r>
      <w:r w:rsidRPr="00D9152B">
        <w:rPr>
          <w:rFonts w:ascii="Calibri" w:hAnsi="Calibri" w:cs="Calibri"/>
          <w:sz w:val="22"/>
          <w:szCs w:val="22"/>
        </w:rPr>
        <w:t xml:space="preserve"> over 50 years. Younger and Zongo concluded cryptically that, based on these numbers, ‘At worst, the OCP cannot be viewed as an economic disaster. At best, it has a high rate of return’. Yonger and Zongo reinforced that their wide range in </w:t>
      </w:r>
      <w:r w:rsidR="007B2121" w:rsidRPr="00D9152B">
        <w:rPr>
          <w:rFonts w:ascii="Calibri" w:hAnsi="Calibri" w:cs="Calibri"/>
          <w:sz w:val="22"/>
          <w:szCs w:val="22"/>
        </w:rPr>
        <w:t>rate of return</w:t>
      </w:r>
      <w:r w:rsidRPr="00D9152B">
        <w:rPr>
          <w:rFonts w:ascii="Calibri" w:hAnsi="Calibri" w:cs="Calibri"/>
          <w:sz w:val="22"/>
          <w:szCs w:val="22"/>
        </w:rPr>
        <w:t xml:space="preserve"> estimates ‘is common for health projects in developing countries because of the great uncertainty about many key parameters’ true values’.</w:t>
      </w:r>
      <w:r w:rsidRPr="00D9152B">
        <w:rPr>
          <w:rStyle w:val="FootnoteReference"/>
          <w:rFonts w:ascii="Calibri" w:hAnsi="Calibri" w:cs="Calibri"/>
          <w:sz w:val="22"/>
          <w:szCs w:val="22"/>
        </w:rPr>
        <w:footnoteReference w:id="380"/>
      </w:r>
      <w:r w:rsidRPr="00D9152B">
        <w:rPr>
          <w:rFonts w:ascii="Calibri" w:hAnsi="Calibri" w:cs="Calibri"/>
          <w:sz w:val="22"/>
          <w:szCs w:val="22"/>
        </w:rPr>
        <w:t xml:space="preserve"> </w:t>
      </w:r>
    </w:p>
    <w:p w14:paraId="65CFD091" w14:textId="6A254336" w:rsidR="00AC7848" w:rsidRPr="00D9152B" w:rsidRDefault="00AC7848" w:rsidP="005C7F9F">
      <w:pPr>
        <w:pStyle w:val="Heading4"/>
        <w:spacing w:before="0" w:line="360" w:lineRule="auto"/>
        <w:rPr>
          <w:rFonts w:ascii="Calibri" w:hAnsi="Calibri" w:cs="Calibri"/>
          <w:sz w:val="22"/>
          <w:szCs w:val="22"/>
        </w:rPr>
      </w:pPr>
      <w:r w:rsidRPr="00D9152B">
        <w:rPr>
          <w:rFonts w:ascii="Calibri" w:hAnsi="Calibri" w:cs="Calibri"/>
          <w:sz w:val="22"/>
          <w:szCs w:val="22"/>
        </w:rPr>
        <w:lastRenderedPageBreak/>
        <w:t xml:space="preserve">Metrics 6-7: Benton and Skinner’s cost per person protected &amp; ‘25 million hectares to feed 17 million people’ </w:t>
      </w:r>
      <w:r w:rsidR="00337365" w:rsidRPr="00D9152B">
        <w:rPr>
          <w:rFonts w:ascii="Calibri" w:hAnsi="Calibri" w:cs="Calibri"/>
          <w:sz w:val="22"/>
          <w:szCs w:val="22"/>
        </w:rPr>
        <w:t>(1989)</w:t>
      </w:r>
    </w:p>
    <w:p w14:paraId="28148E97" w14:textId="2D3143F4" w:rsidR="00AC7848" w:rsidRPr="00D9152B" w:rsidRDefault="00677EE9"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 Bank’s onchocerciasis u</w:t>
      </w:r>
      <w:r w:rsidR="00AC7848" w:rsidRPr="00D9152B">
        <w:rPr>
          <w:rFonts w:ascii="Calibri" w:hAnsi="Calibri" w:cs="Calibri"/>
          <w:sz w:val="22"/>
          <w:szCs w:val="22"/>
        </w:rPr>
        <w:t>nit also published a paper on the socio-economic benefits of the OCP in 1989.</w:t>
      </w:r>
      <w:r w:rsidR="00AC7848" w:rsidRPr="00D9152B">
        <w:rPr>
          <w:rStyle w:val="FootnoteReference"/>
          <w:rFonts w:ascii="Calibri" w:hAnsi="Calibri" w:cs="Calibri"/>
          <w:sz w:val="22"/>
          <w:szCs w:val="22"/>
        </w:rPr>
        <w:footnoteReference w:id="381"/>
      </w:r>
      <w:r w:rsidR="00AC7848" w:rsidRPr="00D9152B">
        <w:rPr>
          <w:rFonts w:ascii="Calibri" w:hAnsi="Calibri" w:cs="Calibri"/>
          <w:sz w:val="22"/>
          <w:szCs w:val="22"/>
        </w:rPr>
        <w:t xml:space="preserve"> This paper provided one of the first estimates of the cost per person protected each year. The metric was calculated rather crudely; Benton and Skinner simply multiplied the total population in the geographic OCP area (25.9 million in 11 countries) by the percentage considered ‘</w:t>
      </w:r>
      <w:r w:rsidR="00927C67" w:rsidRPr="00D9152B">
        <w:rPr>
          <w:rFonts w:ascii="Calibri" w:hAnsi="Calibri" w:cs="Calibri"/>
          <w:sz w:val="22"/>
          <w:szCs w:val="22"/>
        </w:rPr>
        <w:t>at risk’ for onchocerciasis (50 percent</w:t>
      </w:r>
      <w:r w:rsidR="00AC7848" w:rsidRPr="00D9152B">
        <w:rPr>
          <w:rFonts w:ascii="Calibri" w:hAnsi="Calibri" w:cs="Calibri"/>
          <w:sz w:val="22"/>
          <w:szCs w:val="22"/>
        </w:rPr>
        <w:t>), and divided by the total estimated cost through the end of the programme ($427 million).</w:t>
      </w:r>
      <w:r w:rsidR="00AC7848" w:rsidRPr="00D9152B">
        <w:rPr>
          <w:rStyle w:val="FootnoteReference"/>
          <w:rFonts w:ascii="Calibri" w:hAnsi="Calibri" w:cs="Calibri"/>
          <w:sz w:val="22"/>
          <w:szCs w:val="22"/>
        </w:rPr>
        <w:footnoteReference w:id="382"/>
      </w:r>
      <w:r w:rsidR="00AC7848" w:rsidRPr="00D9152B">
        <w:rPr>
          <w:rFonts w:ascii="Calibri" w:hAnsi="Calibri" w:cs="Calibri"/>
          <w:sz w:val="22"/>
          <w:szCs w:val="22"/>
        </w:rPr>
        <w:t xml:space="preserve"> The result was a cost per person protected of $0.54. Benton and Skinner further calculated that, if costs per person were considered over a fifty-year period (since protection would likely extend beyond the OCP), the ‘annual real cost’ would be $0.45 per person protected.</w:t>
      </w:r>
    </w:p>
    <w:p w14:paraId="37AEF26D" w14:textId="3E16F008"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While spending about fifty cents per person each year to protect from onchocerciasis may seem to be a negligible expense in the modern West, it is important to recognize that each pers</w:t>
      </w:r>
      <w:r w:rsidR="00927C67" w:rsidRPr="00D9152B">
        <w:rPr>
          <w:rFonts w:ascii="Calibri" w:hAnsi="Calibri" w:cs="Calibri"/>
          <w:sz w:val="22"/>
          <w:szCs w:val="22"/>
        </w:rPr>
        <w:t>on protected only had about a one percent</w:t>
      </w:r>
      <w:r w:rsidRPr="00D9152B">
        <w:rPr>
          <w:rFonts w:ascii="Calibri" w:hAnsi="Calibri" w:cs="Calibri"/>
          <w:sz w:val="22"/>
          <w:szCs w:val="22"/>
        </w:rPr>
        <w:t xml:space="preserve"> chance of actually going blind. Furthermore, fifty cents represented significant percentage of many health budgets in Africa around 1990. For instance, total per capita government health expenditure ranged from about $2.33 to $13.88 in the seven original OCP countries in 1990. Total </w:t>
      </w:r>
      <w:r w:rsidR="00927C67" w:rsidRPr="00D9152B">
        <w:rPr>
          <w:rFonts w:ascii="Calibri" w:hAnsi="Calibri" w:cs="Calibri"/>
          <w:sz w:val="22"/>
          <w:szCs w:val="22"/>
        </w:rPr>
        <w:t>per capita health expenditures</w:t>
      </w:r>
      <w:r w:rsidRPr="00D9152B">
        <w:rPr>
          <w:rFonts w:ascii="Calibri" w:hAnsi="Calibri" w:cs="Calibri"/>
          <w:sz w:val="22"/>
          <w:szCs w:val="22"/>
        </w:rPr>
        <w:t>, including government, private, and</w:t>
      </w:r>
      <w:r w:rsidR="00927C67" w:rsidRPr="00D9152B">
        <w:rPr>
          <w:rFonts w:ascii="Calibri" w:hAnsi="Calibri" w:cs="Calibri"/>
          <w:sz w:val="22"/>
          <w:szCs w:val="22"/>
        </w:rPr>
        <w:t xml:space="preserve"> donor sources, ranged from around $15 to $</w:t>
      </w:r>
      <w:r w:rsidRPr="00D9152B">
        <w:rPr>
          <w:rFonts w:ascii="Calibri" w:hAnsi="Calibri" w:cs="Calibri"/>
          <w:sz w:val="22"/>
          <w:szCs w:val="22"/>
        </w:rPr>
        <w:t>28 during the same year. This expenditure was not adequate to ensure basic health services in many OCP countries. In Bur</w:t>
      </w:r>
      <w:r w:rsidR="00927C67" w:rsidRPr="00D9152B">
        <w:rPr>
          <w:rFonts w:ascii="Calibri" w:hAnsi="Calibri" w:cs="Calibri"/>
          <w:sz w:val="22"/>
          <w:szCs w:val="22"/>
        </w:rPr>
        <w:t>kina Faso, for example, only 18 percent</w:t>
      </w:r>
      <w:r w:rsidRPr="00D9152B">
        <w:rPr>
          <w:rFonts w:ascii="Calibri" w:hAnsi="Calibri" w:cs="Calibri"/>
          <w:sz w:val="22"/>
          <w:szCs w:val="22"/>
        </w:rPr>
        <w:t xml:space="preserve"> of the population had access to sanitation in 1990-1995, the infant mortality rate was 100 per 1,000 live births in 1995, the under-five mortality was 164 per 1,000 live births in 1995, and only 0.3 inpatient beds were available in hospitals for every thousand people.</w:t>
      </w:r>
      <w:r w:rsidRPr="00D9152B">
        <w:rPr>
          <w:rStyle w:val="FootnoteReference"/>
          <w:rFonts w:ascii="Calibri" w:hAnsi="Calibri" w:cs="Calibri"/>
          <w:sz w:val="22"/>
          <w:szCs w:val="22"/>
        </w:rPr>
        <w:footnoteReference w:id="383"/>
      </w:r>
      <w:r w:rsidRPr="00D9152B">
        <w:rPr>
          <w:rFonts w:ascii="Calibri" w:hAnsi="Calibri" w:cs="Calibri"/>
          <w:sz w:val="22"/>
          <w:szCs w:val="22"/>
        </w:rPr>
        <w:t xml:space="preserve"> Spending $0.45 per person on control of a single disease in Burkina Faso therefore represented about a fifth of the government’s annual health </w:t>
      </w:r>
      <w:r w:rsidRPr="00D9152B">
        <w:rPr>
          <w:rFonts w:ascii="Calibri" w:hAnsi="Calibri" w:cs="Calibri"/>
          <w:sz w:val="22"/>
          <w:szCs w:val="22"/>
        </w:rPr>
        <w:lastRenderedPageBreak/>
        <w:t xml:space="preserve">budget for that individual, and might hollow-out donors’ investment in </w:t>
      </w:r>
      <w:r w:rsidR="00927C67" w:rsidRPr="00D9152B">
        <w:rPr>
          <w:rFonts w:ascii="Calibri" w:hAnsi="Calibri" w:cs="Calibri"/>
          <w:sz w:val="22"/>
          <w:szCs w:val="22"/>
        </w:rPr>
        <w:t>primary health care</w:t>
      </w:r>
      <w:r w:rsidRPr="00D9152B">
        <w:rPr>
          <w:rFonts w:ascii="Calibri" w:hAnsi="Calibri" w:cs="Calibri"/>
          <w:sz w:val="22"/>
          <w:szCs w:val="22"/>
        </w:rPr>
        <w:t xml:space="preserve">. </w:t>
      </w:r>
    </w:p>
    <w:p w14:paraId="4D970295" w14:textId="4CF3AF45"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Bent</w:t>
      </w:r>
      <w:r w:rsidR="00927C67" w:rsidRPr="00D9152B">
        <w:rPr>
          <w:rFonts w:ascii="Calibri" w:hAnsi="Calibri" w:cs="Calibri"/>
          <w:sz w:val="22"/>
          <w:szCs w:val="22"/>
        </w:rPr>
        <w:t>on and Skinner then used Prost and</w:t>
      </w:r>
      <w:r w:rsidRPr="00D9152B">
        <w:rPr>
          <w:rFonts w:ascii="Calibri" w:hAnsi="Calibri" w:cs="Calibri"/>
          <w:sz w:val="22"/>
          <w:szCs w:val="22"/>
        </w:rPr>
        <w:t xml:space="preserve"> Prescott’s data to estimate the number of cases of blindness that the OCP would prevent over time, and adapted Younger and Zongo’s methodology to determine the additional production that these individuals would add to the economy.</w:t>
      </w:r>
      <w:r w:rsidRPr="00D9152B">
        <w:rPr>
          <w:rStyle w:val="FootnoteReference"/>
          <w:rFonts w:ascii="Calibri" w:hAnsi="Calibri" w:cs="Calibri"/>
          <w:sz w:val="22"/>
          <w:szCs w:val="22"/>
        </w:rPr>
        <w:footnoteReference w:id="384"/>
      </w:r>
      <w:r w:rsidRPr="00D9152B">
        <w:rPr>
          <w:rFonts w:ascii="Calibri" w:hAnsi="Calibri" w:cs="Calibri"/>
          <w:sz w:val="22"/>
          <w:szCs w:val="22"/>
        </w:rPr>
        <w:t xml:space="preserve"> Like Younger and Zongo, they found that the OCP’s rate of return due to labour productivity depended heavily on the values used. O</w:t>
      </w:r>
      <w:r w:rsidR="00927C67" w:rsidRPr="00D9152B">
        <w:rPr>
          <w:rFonts w:ascii="Calibri" w:hAnsi="Calibri" w:cs="Calibri"/>
          <w:sz w:val="22"/>
          <w:szCs w:val="22"/>
        </w:rPr>
        <w:t>ver the course of 50 years, a 5 percent</w:t>
      </w:r>
      <w:r w:rsidRPr="00D9152B">
        <w:rPr>
          <w:rFonts w:ascii="Calibri" w:hAnsi="Calibri" w:cs="Calibri"/>
          <w:sz w:val="22"/>
          <w:szCs w:val="22"/>
        </w:rPr>
        <w:t xml:space="preserve"> discount rate yielded $338 million in benefits and $231 million in cost</w:t>
      </w:r>
      <w:r w:rsidR="00927C67" w:rsidRPr="00D9152B">
        <w:rPr>
          <w:rFonts w:ascii="Calibri" w:hAnsi="Calibri" w:cs="Calibri"/>
          <w:sz w:val="22"/>
          <w:szCs w:val="22"/>
        </w:rPr>
        <w:t>s, while a more conservative 10 percent</w:t>
      </w:r>
      <w:r w:rsidRPr="00D9152B">
        <w:rPr>
          <w:rFonts w:ascii="Calibri" w:hAnsi="Calibri" w:cs="Calibri"/>
          <w:sz w:val="22"/>
          <w:szCs w:val="22"/>
        </w:rPr>
        <w:t xml:space="preserve"> discount rate had higher costs than benefits. Benton and Skinner only included direct OCP costs, which assumed that there would be no upkeep costs after the OCP ended. They also argued that, in the case of health in a developing country, it is appropriate to choose a lower ‘social discount r</w:t>
      </w:r>
      <w:r w:rsidR="00927C67" w:rsidRPr="00D9152B">
        <w:rPr>
          <w:rFonts w:ascii="Calibri" w:hAnsi="Calibri" w:cs="Calibri"/>
          <w:sz w:val="22"/>
          <w:szCs w:val="22"/>
        </w:rPr>
        <w:t>ate’ (5 percent</w:t>
      </w:r>
      <w:r w:rsidRPr="00D9152B">
        <w:rPr>
          <w:rFonts w:ascii="Calibri" w:hAnsi="Calibri" w:cs="Calibri"/>
          <w:sz w:val="22"/>
          <w:szCs w:val="22"/>
        </w:rPr>
        <w:t>), rather</w:t>
      </w:r>
      <w:r w:rsidR="00927C67" w:rsidRPr="00D9152B">
        <w:rPr>
          <w:rFonts w:ascii="Calibri" w:hAnsi="Calibri" w:cs="Calibri"/>
          <w:sz w:val="22"/>
          <w:szCs w:val="22"/>
        </w:rPr>
        <w:t xml:space="preserve"> than the Bank’s traditional 10</w:t>
      </w:r>
      <w:r w:rsidR="00B1003F" w:rsidRPr="00D9152B">
        <w:rPr>
          <w:rFonts w:ascii="Calibri" w:hAnsi="Calibri" w:cs="Calibri"/>
          <w:sz w:val="22"/>
          <w:szCs w:val="22"/>
        </w:rPr>
        <w:t>-15</w:t>
      </w:r>
      <w:r w:rsidR="00927C67" w:rsidRPr="00D9152B">
        <w:rPr>
          <w:rFonts w:ascii="Calibri" w:hAnsi="Calibri" w:cs="Calibri"/>
          <w:sz w:val="22"/>
          <w:szCs w:val="22"/>
        </w:rPr>
        <w:t xml:space="preserve"> percent</w:t>
      </w:r>
      <w:r w:rsidRPr="00D9152B">
        <w:rPr>
          <w:rFonts w:ascii="Calibri" w:hAnsi="Calibri" w:cs="Calibri"/>
          <w:sz w:val="22"/>
          <w:szCs w:val="22"/>
        </w:rPr>
        <w:t xml:space="preserve"> discount rate. Their logic was that benefits to the rural poor are more highly valued than returns benefitting other segments in the population, and health programmes are often designed for long-term progress.</w:t>
      </w:r>
      <w:r w:rsidRPr="00D9152B">
        <w:rPr>
          <w:rStyle w:val="FootnoteReference"/>
          <w:rFonts w:ascii="Calibri" w:hAnsi="Calibri" w:cs="Calibri"/>
          <w:sz w:val="22"/>
          <w:szCs w:val="22"/>
        </w:rPr>
        <w:footnoteReference w:id="385"/>
      </w:r>
    </w:p>
    <w:p w14:paraId="354AF6CE" w14:textId="09A5E212"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For the land-related benefits, Benton and Skinner put forward the widely-cited figure that 25 million hectares of land would be freed for cultivation, or enough to feed about 17 million people each year.</w:t>
      </w:r>
      <w:r w:rsidR="00677EE9" w:rsidRPr="00D9152B">
        <w:rPr>
          <w:rFonts w:ascii="Calibri" w:hAnsi="Calibri" w:cs="Calibri"/>
          <w:sz w:val="22"/>
          <w:szCs w:val="22"/>
        </w:rPr>
        <w:t xml:space="preserve"> T</w:t>
      </w:r>
      <w:r w:rsidRPr="00D9152B">
        <w:rPr>
          <w:rFonts w:ascii="Calibri" w:hAnsi="Calibri" w:cs="Calibri"/>
          <w:sz w:val="22"/>
          <w:szCs w:val="22"/>
        </w:rPr>
        <w:t>his figure was not based on land assessments from the Land Settlement Review. Instead, it was a general estimate, based largely on the contested 1978 Economic Review Mission. Benton and Skinner used the mission’s high estimate; that about 15 million hectares of arable land would be available in the origi</w:t>
      </w:r>
      <w:r w:rsidR="00927C67" w:rsidRPr="00D9152B">
        <w:rPr>
          <w:rFonts w:ascii="Calibri" w:hAnsi="Calibri" w:cs="Calibri"/>
          <w:sz w:val="22"/>
          <w:szCs w:val="22"/>
        </w:rPr>
        <w:t>nal seven-country OCP area. They</w:t>
      </w:r>
      <w:r w:rsidRPr="00D9152B">
        <w:rPr>
          <w:rFonts w:ascii="Calibri" w:hAnsi="Calibri" w:cs="Calibri"/>
          <w:sz w:val="22"/>
          <w:szCs w:val="22"/>
        </w:rPr>
        <w:t xml:space="preserve"> then added Bank internal estimates of the land available in the western extension (5 million hectares) and southern extension (5 million hectares), to reach a grand total of 25 million hectares.</w:t>
      </w:r>
      <w:r w:rsidRPr="00D9152B">
        <w:rPr>
          <w:rStyle w:val="FootnoteReference"/>
          <w:rFonts w:ascii="Calibri" w:hAnsi="Calibri" w:cs="Calibri"/>
          <w:sz w:val="22"/>
          <w:szCs w:val="22"/>
        </w:rPr>
        <w:footnoteReference w:id="386"/>
      </w:r>
      <w:r w:rsidRPr="00D9152B">
        <w:rPr>
          <w:rFonts w:ascii="Calibri" w:hAnsi="Calibri" w:cs="Calibri"/>
          <w:sz w:val="22"/>
          <w:szCs w:val="22"/>
        </w:rPr>
        <w:t xml:space="preserve"> This estimate would not be reproducible by </w:t>
      </w:r>
      <w:r w:rsidRPr="00D9152B">
        <w:rPr>
          <w:rFonts w:ascii="Calibri" w:hAnsi="Calibri" w:cs="Calibri"/>
          <w:sz w:val="22"/>
          <w:szCs w:val="22"/>
        </w:rPr>
        <w:lastRenderedPageBreak/>
        <w:t xml:space="preserve">external researchers. Using the methodology from the USAID </w:t>
      </w:r>
      <w:r w:rsidR="001D54BD">
        <w:rPr>
          <w:rFonts w:ascii="Calibri" w:hAnsi="Calibri" w:cs="Calibri"/>
          <w:sz w:val="22"/>
          <w:szCs w:val="22"/>
        </w:rPr>
        <w:t>1986 impact review</w:t>
      </w:r>
      <w:r w:rsidRPr="00D9152B">
        <w:rPr>
          <w:rFonts w:ascii="Calibri" w:hAnsi="Calibri" w:cs="Calibri"/>
          <w:sz w:val="22"/>
          <w:szCs w:val="22"/>
        </w:rPr>
        <w:t xml:space="preserve"> evaluation, Benton and Skinner estimated that these hectares of tillable land could eventually produce 3.3 million tons of sorghum per year, or enough to feed 16.7 million people. Interestingly, when calculating the </w:t>
      </w:r>
      <w:r w:rsidR="00B1003F" w:rsidRPr="00D9152B">
        <w:rPr>
          <w:rFonts w:ascii="Calibri" w:hAnsi="Calibri" w:cs="Calibri"/>
          <w:sz w:val="22"/>
          <w:szCs w:val="22"/>
        </w:rPr>
        <w:t>internal rate of return</w:t>
      </w:r>
      <w:r w:rsidRPr="00D9152B">
        <w:rPr>
          <w:rFonts w:ascii="Calibri" w:hAnsi="Calibri" w:cs="Calibri"/>
          <w:sz w:val="22"/>
          <w:szCs w:val="22"/>
        </w:rPr>
        <w:t xml:space="preserve"> for labour, Benton and Skinner chose to consider only 15 million hectares of land suitable for cultivation, to be ‘conservative’.</w:t>
      </w:r>
      <w:r w:rsidRPr="00D9152B">
        <w:rPr>
          <w:rStyle w:val="FootnoteReference"/>
          <w:rFonts w:ascii="Calibri" w:hAnsi="Calibri" w:cs="Calibri"/>
          <w:sz w:val="22"/>
          <w:szCs w:val="22"/>
        </w:rPr>
        <w:footnoteReference w:id="387"/>
      </w:r>
      <w:r w:rsidRPr="00D9152B">
        <w:rPr>
          <w:rFonts w:ascii="Calibri" w:hAnsi="Calibri" w:cs="Calibri"/>
          <w:sz w:val="22"/>
          <w:szCs w:val="22"/>
        </w:rPr>
        <w:t xml:space="preserve"> Taken together, labour and land benefit</w:t>
      </w:r>
      <w:r w:rsidR="00927C67" w:rsidRPr="00D9152B">
        <w:rPr>
          <w:rFonts w:ascii="Calibri" w:hAnsi="Calibri" w:cs="Calibri"/>
          <w:sz w:val="22"/>
          <w:szCs w:val="22"/>
        </w:rPr>
        <w:t>s yielded a ‘respectable’ 11-13 percent</w:t>
      </w:r>
      <w:r w:rsidRPr="00D9152B">
        <w:rPr>
          <w:rFonts w:ascii="Calibri" w:hAnsi="Calibri" w:cs="Calibri"/>
          <w:sz w:val="22"/>
          <w:szCs w:val="22"/>
        </w:rPr>
        <w:t xml:space="preserve"> </w:t>
      </w:r>
      <w:r w:rsidR="00B1003F" w:rsidRPr="00D9152B">
        <w:rPr>
          <w:rFonts w:ascii="Calibri" w:hAnsi="Calibri" w:cs="Calibri"/>
          <w:sz w:val="22"/>
          <w:szCs w:val="22"/>
        </w:rPr>
        <w:t>rate of return</w:t>
      </w:r>
      <w:r w:rsidRPr="00D9152B">
        <w:rPr>
          <w:rFonts w:ascii="Calibri" w:hAnsi="Calibri" w:cs="Calibri"/>
          <w:sz w:val="22"/>
          <w:szCs w:val="22"/>
        </w:rPr>
        <w:t xml:space="preserve"> over 50 years.</w:t>
      </w:r>
    </w:p>
    <w:p w14:paraId="17EB0D29" w14:textId="73A6CDBE"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Thus, the 25 million hectares metric was based on broad generalizations, rather than contemporary land surveys. Benton and Skinner admitted that, ‘these estimates are, at best, rough orders of the magnitude of the cultivatable land expected to be made available largely by oncho control’.</w:t>
      </w:r>
      <w:r w:rsidRPr="00D9152B">
        <w:rPr>
          <w:rStyle w:val="FootnoteReference"/>
          <w:rFonts w:ascii="Calibri" w:hAnsi="Calibri" w:cs="Calibri"/>
          <w:sz w:val="22"/>
          <w:szCs w:val="22"/>
        </w:rPr>
        <w:footnoteReference w:id="388"/>
      </w:r>
      <w:r w:rsidRPr="00D9152B">
        <w:rPr>
          <w:rFonts w:ascii="Calibri" w:hAnsi="Calibri" w:cs="Calibri"/>
          <w:sz w:val="22"/>
          <w:szCs w:val="22"/>
        </w:rPr>
        <w:t xml:space="preserve"> They assumed that no other major constraints, like trypanosomiasis, existed for agricultural development of this land. And, the figures represented the </w:t>
      </w:r>
      <w:r w:rsidRPr="00D9152B">
        <w:rPr>
          <w:rFonts w:ascii="Calibri" w:hAnsi="Calibri" w:cs="Calibri"/>
          <w:i/>
          <w:sz w:val="22"/>
          <w:szCs w:val="22"/>
        </w:rPr>
        <w:t>maximum</w:t>
      </w:r>
      <w:r w:rsidRPr="00D9152B">
        <w:rPr>
          <w:rFonts w:ascii="Calibri" w:hAnsi="Calibri" w:cs="Calibri"/>
          <w:sz w:val="22"/>
          <w:szCs w:val="22"/>
        </w:rPr>
        <w:t xml:space="preserve"> </w:t>
      </w:r>
      <w:r w:rsidR="004953BF" w:rsidRPr="00D9152B">
        <w:rPr>
          <w:rFonts w:ascii="Calibri" w:hAnsi="Calibri" w:cs="Calibri"/>
          <w:sz w:val="22"/>
          <w:szCs w:val="22"/>
        </w:rPr>
        <w:t xml:space="preserve">realistic </w:t>
      </w:r>
      <w:r w:rsidRPr="00D9152B">
        <w:rPr>
          <w:rFonts w:ascii="Calibri" w:hAnsi="Calibri" w:cs="Calibri"/>
          <w:sz w:val="22"/>
          <w:szCs w:val="22"/>
        </w:rPr>
        <w:t xml:space="preserve">amount of land that would reasonably be resettled and cultivated after vector control operations ended, not the land that was </w:t>
      </w:r>
      <w:r w:rsidRPr="00D9152B">
        <w:rPr>
          <w:rFonts w:ascii="Calibri" w:hAnsi="Calibri" w:cs="Calibri"/>
          <w:i/>
          <w:sz w:val="22"/>
          <w:szCs w:val="22"/>
        </w:rPr>
        <w:t>actually</w:t>
      </w:r>
      <w:r w:rsidRPr="00D9152B">
        <w:rPr>
          <w:rFonts w:ascii="Calibri" w:hAnsi="Calibri" w:cs="Calibri"/>
          <w:sz w:val="22"/>
          <w:szCs w:val="22"/>
        </w:rPr>
        <w:t xml:space="preserve"> settled or cultivated in 1990. </w:t>
      </w:r>
    </w:p>
    <w:p w14:paraId="2F64ACF2" w14:textId="47BC6898" w:rsidR="00AC7848" w:rsidRPr="00D9152B" w:rsidRDefault="00AC7848" w:rsidP="005C7F9F">
      <w:pPr>
        <w:pStyle w:val="ListParagraph"/>
        <w:spacing w:before="100" w:beforeAutospacing="1" w:after="100" w:afterAutospacing="1" w:line="360" w:lineRule="auto"/>
        <w:ind w:left="0"/>
        <w:rPr>
          <w:rFonts w:ascii="Calibri" w:hAnsi="Calibri" w:cs="Calibri"/>
          <w:iCs/>
          <w:sz w:val="22"/>
          <w:szCs w:val="22"/>
        </w:rPr>
      </w:pPr>
      <w:r w:rsidRPr="00D9152B">
        <w:rPr>
          <w:rFonts w:ascii="Calibri" w:hAnsi="Calibri" w:cs="Calibri"/>
          <w:i/>
          <w:iCs/>
          <w:sz w:val="22"/>
          <w:szCs w:val="22"/>
        </w:rPr>
        <w:tab/>
      </w:r>
      <w:r w:rsidRPr="00D9152B">
        <w:rPr>
          <w:rFonts w:ascii="Calibri" w:hAnsi="Calibri" w:cs="Calibri"/>
          <w:iCs/>
          <w:sz w:val="22"/>
          <w:szCs w:val="22"/>
        </w:rPr>
        <w:t xml:space="preserve">Beginning in 1990, the ‘hectares freed’ metric was shared with donors at the </w:t>
      </w:r>
      <w:r w:rsidR="004953BF" w:rsidRPr="00D9152B">
        <w:rPr>
          <w:rFonts w:ascii="Calibri" w:hAnsi="Calibri" w:cs="Calibri"/>
          <w:iCs/>
          <w:sz w:val="22"/>
          <w:szCs w:val="22"/>
        </w:rPr>
        <w:t>Joint Programme Committee</w:t>
      </w:r>
      <w:r w:rsidRPr="00D9152B">
        <w:rPr>
          <w:rFonts w:ascii="Calibri" w:hAnsi="Calibri" w:cs="Calibri"/>
          <w:iCs/>
          <w:sz w:val="22"/>
          <w:szCs w:val="22"/>
        </w:rPr>
        <w:t xml:space="preserve"> and began to be disseminated beyond the OCP.</w:t>
      </w:r>
      <w:r w:rsidRPr="00D9152B">
        <w:rPr>
          <w:rStyle w:val="FootnoteReference"/>
          <w:rFonts w:ascii="Calibri" w:hAnsi="Calibri" w:cs="Calibri"/>
          <w:sz w:val="22"/>
          <w:szCs w:val="22"/>
        </w:rPr>
        <w:footnoteReference w:id="389"/>
      </w:r>
      <w:r w:rsidRPr="00D9152B">
        <w:rPr>
          <w:rFonts w:ascii="Calibri" w:hAnsi="Calibri" w:cs="Calibri"/>
          <w:iCs/>
          <w:sz w:val="22"/>
          <w:szCs w:val="22"/>
        </w:rPr>
        <w:t xml:space="preserve"> The same year, the Bank funded a USAID-executed </w:t>
      </w:r>
      <w:r w:rsidR="004953BF" w:rsidRPr="00D9152B">
        <w:rPr>
          <w:rFonts w:ascii="Calibri" w:hAnsi="Calibri" w:cs="Calibri"/>
          <w:iCs/>
          <w:sz w:val="22"/>
          <w:szCs w:val="22"/>
        </w:rPr>
        <w:t>e</w:t>
      </w:r>
      <w:r w:rsidRPr="00D9152B">
        <w:rPr>
          <w:rFonts w:ascii="Calibri" w:hAnsi="Calibri" w:cs="Calibri"/>
          <w:iCs/>
          <w:sz w:val="22"/>
          <w:szCs w:val="22"/>
        </w:rPr>
        <w:t xml:space="preserve">xternal </w:t>
      </w:r>
      <w:r w:rsidR="004953BF" w:rsidRPr="00D9152B">
        <w:rPr>
          <w:rFonts w:ascii="Calibri" w:hAnsi="Calibri" w:cs="Calibri"/>
          <w:iCs/>
          <w:sz w:val="22"/>
          <w:szCs w:val="22"/>
        </w:rPr>
        <w:t>r</w:t>
      </w:r>
      <w:r w:rsidRPr="00D9152B">
        <w:rPr>
          <w:rFonts w:ascii="Calibri" w:hAnsi="Calibri" w:cs="Calibri"/>
          <w:iCs/>
          <w:sz w:val="22"/>
          <w:szCs w:val="22"/>
        </w:rPr>
        <w:t xml:space="preserve">eview of the OCP. This review report stated that the full potential of the OCP-freed lands had not been widely realised; capacity for economic development of these areas was low in every country and onchocerciasis zone-specific plans had not been effective. It underscored that ‘responsible investments should not be undertaken just because certain areas are oncho-freed’, and that the </w:t>
      </w:r>
      <w:r w:rsidR="004953BF" w:rsidRPr="00D9152B">
        <w:rPr>
          <w:rFonts w:ascii="Calibri" w:hAnsi="Calibri" w:cs="Calibri"/>
          <w:iCs/>
          <w:sz w:val="22"/>
          <w:szCs w:val="22"/>
        </w:rPr>
        <w:t>Committee of Sponsoring Agencies’</w:t>
      </w:r>
      <w:r w:rsidRPr="00D9152B">
        <w:rPr>
          <w:rFonts w:ascii="Calibri" w:hAnsi="Calibri" w:cs="Calibri"/>
          <w:iCs/>
          <w:sz w:val="22"/>
          <w:szCs w:val="22"/>
        </w:rPr>
        <w:t xml:space="preserve"> socio-economic development programme had now ‘accomplished just about all it can in attempting to promote economic development in the zone’. It was </w:t>
      </w:r>
      <w:r w:rsidRPr="00D9152B">
        <w:rPr>
          <w:rFonts w:ascii="Calibri" w:hAnsi="Calibri" w:cs="Calibri"/>
          <w:iCs/>
          <w:sz w:val="22"/>
          <w:szCs w:val="22"/>
        </w:rPr>
        <w:lastRenderedPageBreak/>
        <w:t xml:space="preserve">now ‘time for the Participating Countries to integrate the </w:t>
      </w:r>
      <w:r w:rsidRPr="00D9152B">
        <w:rPr>
          <w:rFonts w:ascii="Calibri" w:hAnsi="Calibri" w:cs="Calibri"/>
          <w:sz w:val="22"/>
          <w:szCs w:val="22"/>
        </w:rPr>
        <w:t>data, analyses and recommendations into their national planning and investment allocation processes’.</w:t>
      </w:r>
      <w:r w:rsidRPr="00D9152B">
        <w:rPr>
          <w:rStyle w:val="FootnoteReference"/>
          <w:rFonts w:ascii="Calibri" w:hAnsi="Calibri" w:cs="Calibri"/>
          <w:sz w:val="22"/>
          <w:szCs w:val="22"/>
        </w:rPr>
        <w:footnoteReference w:id="390"/>
      </w:r>
    </w:p>
    <w:p w14:paraId="444B8B97" w14:textId="6769F729" w:rsidR="00AC7848" w:rsidRPr="00D9152B" w:rsidRDefault="00AC7848" w:rsidP="005C7F9F">
      <w:pPr>
        <w:pStyle w:val="ListParagraph"/>
        <w:spacing w:before="100" w:beforeAutospacing="1" w:after="100" w:afterAutospacing="1" w:line="360" w:lineRule="auto"/>
        <w:ind w:left="0" w:firstLine="720"/>
        <w:rPr>
          <w:rFonts w:ascii="Calibri" w:hAnsi="Calibri" w:cs="Calibri"/>
          <w:iCs/>
          <w:sz w:val="22"/>
          <w:szCs w:val="22"/>
        </w:rPr>
      </w:pPr>
      <w:r w:rsidRPr="00D9152B">
        <w:rPr>
          <w:rFonts w:ascii="Calibri" w:hAnsi="Calibri" w:cs="Calibri"/>
          <w:iCs/>
          <w:sz w:val="22"/>
          <w:szCs w:val="22"/>
        </w:rPr>
        <w:t xml:space="preserve">In effect, the </w:t>
      </w:r>
      <w:r w:rsidR="004953BF" w:rsidRPr="00D9152B">
        <w:rPr>
          <w:rFonts w:ascii="Calibri" w:hAnsi="Calibri" w:cs="Calibri"/>
          <w:iCs/>
          <w:sz w:val="22"/>
          <w:szCs w:val="22"/>
        </w:rPr>
        <w:t>e</w:t>
      </w:r>
      <w:r w:rsidRPr="00D9152B">
        <w:rPr>
          <w:rFonts w:ascii="Calibri" w:hAnsi="Calibri" w:cs="Calibri"/>
          <w:iCs/>
          <w:sz w:val="22"/>
          <w:szCs w:val="22"/>
        </w:rPr>
        <w:t xml:space="preserve">xternal </w:t>
      </w:r>
      <w:r w:rsidR="004953BF" w:rsidRPr="00D9152B">
        <w:rPr>
          <w:rFonts w:ascii="Calibri" w:hAnsi="Calibri" w:cs="Calibri"/>
          <w:iCs/>
          <w:sz w:val="22"/>
          <w:szCs w:val="22"/>
        </w:rPr>
        <w:t>r</w:t>
      </w:r>
      <w:r w:rsidRPr="00D9152B">
        <w:rPr>
          <w:rFonts w:ascii="Calibri" w:hAnsi="Calibri" w:cs="Calibri"/>
          <w:iCs/>
          <w:sz w:val="22"/>
          <w:szCs w:val="22"/>
        </w:rPr>
        <w:t xml:space="preserve">eview and ‘hectares freed’ metric distanced donors and sponsoring agencies from responsibility for socio-economic development. The metrics reinforced that the programme had done </w:t>
      </w:r>
      <w:r w:rsidR="00825B23" w:rsidRPr="00D9152B">
        <w:rPr>
          <w:rFonts w:ascii="Calibri" w:hAnsi="Calibri" w:cs="Calibri"/>
          <w:iCs/>
          <w:sz w:val="22"/>
          <w:szCs w:val="22"/>
        </w:rPr>
        <w:t>what</w:t>
      </w:r>
      <w:r w:rsidRPr="00D9152B">
        <w:rPr>
          <w:rFonts w:ascii="Calibri" w:hAnsi="Calibri" w:cs="Calibri"/>
          <w:iCs/>
          <w:sz w:val="22"/>
          <w:szCs w:val="22"/>
        </w:rPr>
        <w:t xml:space="preserve"> it could to increase the potential for development in the OCP area. While the OCP had few documented development successes in the 1980s, it deflected blame on participating countries and pointed to newly available land that they could capitalize on in the 1990s.</w:t>
      </w:r>
    </w:p>
    <w:p w14:paraId="5E4CD6D7" w14:textId="557212B5" w:rsidR="00825B23" w:rsidRPr="00D9152B" w:rsidRDefault="0098315E" w:rsidP="005C7F9F">
      <w:pPr>
        <w:pStyle w:val="Heading3"/>
        <w:spacing w:before="100" w:beforeAutospacing="1" w:after="100" w:afterAutospacing="1" w:line="360" w:lineRule="auto"/>
        <w:rPr>
          <w:rFonts w:ascii="Calibri" w:hAnsi="Calibri" w:cs="Calibri"/>
          <w:b/>
          <w:i/>
          <w:color w:val="000000" w:themeColor="text1"/>
          <w:sz w:val="22"/>
          <w:szCs w:val="22"/>
        </w:rPr>
      </w:pPr>
      <w:bookmarkStart w:id="70" w:name="_Toc41505644"/>
      <w:r w:rsidRPr="00D9152B">
        <w:rPr>
          <w:rFonts w:ascii="Calibri" w:hAnsi="Calibri" w:cs="Calibri"/>
          <w:b/>
          <w:i/>
          <w:color w:val="000000" w:themeColor="text1"/>
          <w:sz w:val="22"/>
          <w:szCs w:val="22"/>
        </w:rPr>
        <w:t>4.5.D</w:t>
      </w:r>
      <w:r w:rsidR="00017C2E" w:rsidRPr="00D9152B">
        <w:rPr>
          <w:rFonts w:ascii="Calibri" w:hAnsi="Calibri" w:cs="Calibri"/>
          <w:b/>
          <w:i/>
          <w:color w:val="000000" w:themeColor="text1"/>
          <w:sz w:val="22"/>
          <w:szCs w:val="22"/>
        </w:rPr>
        <w:t>.</w:t>
      </w:r>
      <w:r w:rsidR="00825B23" w:rsidRPr="00D9152B">
        <w:rPr>
          <w:rFonts w:ascii="Calibri" w:hAnsi="Calibri" w:cs="Calibri"/>
          <w:b/>
          <w:i/>
          <w:color w:val="000000" w:themeColor="text1"/>
          <w:sz w:val="22"/>
          <w:szCs w:val="22"/>
        </w:rPr>
        <w:t xml:space="preserve"> Phase 4: A resounding, measurable socio-economic success (c. 1994-2002)</w:t>
      </w:r>
      <w:bookmarkEnd w:id="70"/>
    </w:p>
    <w:p w14:paraId="18CA7B87" w14:textId="44956EA2"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As the Bank and WHO discussed a new Pan-African Onchocerciasis Programme – what would later be called </w:t>
      </w:r>
      <w:r w:rsidR="004953BF" w:rsidRPr="00D9152B">
        <w:rPr>
          <w:rFonts w:ascii="Calibri" w:hAnsi="Calibri" w:cs="Calibri"/>
          <w:sz w:val="22"/>
          <w:szCs w:val="22"/>
        </w:rPr>
        <w:t>the African Programme for Onchocerciasis Control</w:t>
      </w:r>
      <w:r w:rsidR="001D54BD">
        <w:rPr>
          <w:rFonts w:ascii="Calibri" w:hAnsi="Calibri" w:cs="Calibri"/>
          <w:sz w:val="22"/>
          <w:szCs w:val="22"/>
        </w:rPr>
        <w:t xml:space="preserve"> (APOC)</w:t>
      </w:r>
      <w:r w:rsidRPr="00D9152B">
        <w:rPr>
          <w:rFonts w:ascii="Calibri" w:hAnsi="Calibri" w:cs="Calibri"/>
          <w:sz w:val="22"/>
          <w:szCs w:val="22"/>
        </w:rPr>
        <w:t xml:space="preserve"> – in 1994, they pointed to the socio-economic triumph of the OCP. That year</w:t>
      </w:r>
      <w:r w:rsidR="00DF60FA" w:rsidRPr="00D9152B">
        <w:rPr>
          <w:rFonts w:ascii="Calibri" w:hAnsi="Calibri" w:cs="Calibri"/>
          <w:sz w:val="22"/>
          <w:szCs w:val="22"/>
        </w:rPr>
        <w:t xml:space="preserve">, a </w:t>
      </w:r>
      <w:r w:rsidRPr="00D9152B">
        <w:rPr>
          <w:rFonts w:ascii="Calibri" w:hAnsi="Calibri" w:cs="Calibri"/>
          <w:sz w:val="22"/>
          <w:szCs w:val="22"/>
        </w:rPr>
        <w:t>study briefly considered the economic benefits o</w:t>
      </w:r>
      <w:r w:rsidR="00DF60FA" w:rsidRPr="00D9152B">
        <w:rPr>
          <w:rFonts w:ascii="Calibri" w:hAnsi="Calibri" w:cs="Calibri"/>
          <w:sz w:val="22"/>
          <w:szCs w:val="22"/>
        </w:rPr>
        <w:t>f ivermectin delivery</w:t>
      </w:r>
      <w:r w:rsidRPr="00D9152B">
        <w:rPr>
          <w:rFonts w:ascii="Calibri" w:hAnsi="Calibri" w:cs="Calibri"/>
          <w:sz w:val="22"/>
          <w:szCs w:val="22"/>
        </w:rPr>
        <w:t>; the OCP convened a well-pub</w:t>
      </w:r>
      <w:r w:rsidR="00DF60FA" w:rsidRPr="00D9152B">
        <w:rPr>
          <w:rFonts w:ascii="Calibri" w:hAnsi="Calibri" w:cs="Calibri"/>
          <w:sz w:val="22"/>
          <w:szCs w:val="22"/>
        </w:rPr>
        <w:t>licized Ministerial Meeting on Sustainable D</w:t>
      </w:r>
      <w:r w:rsidRPr="00D9152B">
        <w:rPr>
          <w:rFonts w:ascii="Calibri" w:hAnsi="Calibri" w:cs="Calibri"/>
          <w:sz w:val="22"/>
          <w:szCs w:val="22"/>
        </w:rPr>
        <w:t xml:space="preserve">evelopment; and the </w:t>
      </w:r>
      <w:r w:rsidR="004953BF" w:rsidRPr="00D9152B">
        <w:rPr>
          <w:rFonts w:ascii="Calibri" w:hAnsi="Calibri" w:cs="Calibri"/>
          <w:sz w:val="22"/>
          <w:szCs w:val="22"/>
        </w:rPr>
        <w:t>o</w:t>
      </w:r>
      <w:r w:rsidRPr="00D9152B">
        <w:rPr>
          <w:rFonts w:ascii="Calibri" w:hAnsi="Calibri" w:cs="Calibri"/>
          <w:sz w:val="22"/>
          <w:szCs w:val="22"/>
        </w:rPr>
        <w:t xml:space="preserve">nchocerciasis </w:t>
      </w:r>
      <w:r w:rsidR="004953BF" w:rsidRPr="00D9152B">
        <w:rPr>
          <w:rFonts w:ascii="Calibri" w:hAnsi="Calibri" w:cs="Calibri"/>
          <w:sz w:val="22"/>
          <w:szCs w:val="22"/>
        </w:rPr>
        <w:t>u</w:t>
      </w:r>
      <w:r w:rsidRPr="00D9152B">
        <w:rPr>
          <w:rFonts w:ascii="Calibri" w:hAnsi="Calibri" w:cs="Calibri"/>
          <w:sz w:val="22"/>
          <w:szCs w:val="22"/>
        </w:rPr>
        <w:t>nit at the Bank officially declared their success with mode</w:t>
      </w:r>
      <w:r w:rsidR="004953BF" w:rsidRPr="00D9152B">
        <w:rPr>
          <w:rFonts w:ascii="Calibri" w:hAnsi="Calibri" w:cs="Calibri"/>
          <w:sz w:val="22"/>
          <w:szCs w:val="22"/>
        </w:rPr>
        <w:t>l</w:t>
      </w:r>
      <w:r w:rsidRPr="00D9152B">
        <w:rPr>
          <w:rFonts w:ascii="Calibri" w:hAnsi="Calibri" w:cs="Calibri"/>
          <w:sz w:val="22"/>
          <w:szCs w:val="22"/>
        </w:rPr>
        <w:t>ling the economic impacts of the OCP.</w:t>
      </w:r>
    </w:p>
    <w:p w14:paraId="2AF1A35D" w14:textId="15F711A6" w:rsidR="00AC7848" w:rsidRPr="00D9152B" w:rsidRDefault="00AC7848" w:rsidP="005C7F9F">
      <w:pPr>
        <w:spacing w:before="100" w:beforeAutospacing="1" w:after="100" w:afterAutospacing="1" w:line="360" w:lineRule="auto"/>
        <w:ind w:firstLine="720"/>
        <w:rPr>
          <w:rFonts w:ascii="Calibri" w:hAnsi="Calibri" w:cs="Calibri"/>
          <w:i/>
          <w:sz w:val="22"/>
          <w:szCs w:val="22"/>
        </w:rPr>
      </w:pPr>
      <w:r w:rsidRPr="00D9152B">
        <w:rPr>
          <w:rFonts w:ascii="Calibri" w:hAnsi="Calibri" w:cs="Calibri"/>
          <w:sz w:val="22"/>
          <w:szCs w:val="22"/>
        </w:rPr>
        <w:t>By the early 1990s, vector control spraying operations were supplemented and increasingly replaced with ivermectin distribution. C</w:t>
      </w:r>
      <w:r w:rsidR="00DF60FA" w:rsidRPr="00D9152B">
        <w:rPr>
          <w:rFonts w:ascii="Calibri" w:hAnsi="Calibri" w:cs="Calibri"/>
          <w:sz w:val="22"/>
          <w:szCs w:val="22"/>
        </w:rPr>
        <w:t>hapter 8</w:t>
      </w:r>
      <w:r w:rsidRPr="00D9152B">
        <w:rPr>
          <w:rFonts w:ascii="Calibri" w:hAnsi="Calibri" w:cs="Calibri"/>
          <w:sz w:val="22"/>
          <w:szCs w:val="22"/>
        </w:rPr>
        <w:t xml:space="preserve"> discusses this transition in depth. Some early studies attempted to extend cost-benefit analyses to the OCP’s ivermectin delivery, which was especially important to justify donor investments in </w:t>
      </w:r>
      <w:r w:rsidR="001D54BD">
        <w:rPr>
          <w:rFonts w:ascii="Calibri" w:hAnsi="Calibri" w:cs="Calibri"/>
          <w:sz w:val="22"/>
          <w:szCs w:val="22"/>
        </w:rPr>
        <w:t>the African Programme for Onchocerciasis Control</w:t>
      </w:r>
      <w:r w:rsidRPr="00D9152B">
        <w:rPr>
          <w:rFonts w:ascii="Calibri" w:hAnsi="Calibri" w:cs="Calibri"/>
          <w:sz w:val="22"/>
          <w:szCs w:val="22"/>
        </w:rPr>
        <w:t xml:space="preserve">. Deborah McFarland and John Murray of the </w:t>
      </w:r>
      <w:r w:rsidR="00DF60FA" w:rsidRPr="00D9152B">
        <w:rPr>
          <w:rFonts w:ascii="Calibri" w:hAnsi="Calibri" w:cs="Calibri"/>
          <w:sz w:val="22"/>
          <w:szCs w:val="22"/>
        </w:rPr>
        <w:t>U.S. Centers for Disease Control (CDC)</w:t>
      </w:r>
      <w:r w:rsidRPr="00D9152B">
        <w:rPr>
          <w:rFonts w:ascii="Calibri" w:hAnsi="Calibri" w:cs="Calibri"/>
          <w:sz w:val="22"/>
          <w:szCs w:val="22"/>
        </w:rPr>
        <w:t xml:space="preserve">, for instance, were in touch with the Bank for their paper, </w:t>
      </w:r>
      <w:r w:rsidRPr="00D9152B">
        <w:rPr>
          <w:rFonts w:ascii="Calibri" w:hAnsi="Calibri" w:cs="Calibri"/>
          <w:i/>
          <w:sz w:val="22"/>
          <w:szCs w:val="22"/>
        </w:rPr>
        <w:t>A review of the economic impact of treatment of onchocerciasis with ivermectin</w:t>
      </w:r>
      <w:r w:rsidRPr="00D9152B">
        <w:rPr>
          <w:rFonts w:ascii="Calibri" w:hAnsi="Calibri" w:cs="Calibri"/>
          <w:sz w:val="22"/>
          <w:szCs w:val="22"/>
        </w:rPr>
        <w:t>. They estimated that delivering donated ivermectin over 10 years would cost approximately $195 million. Benefits from this delivery – namely, the increased labour force and agricultural land availability – would stand at about $300 million. Following t</w:t>
      </w:r>
      <w:r w:rsidR="00DF60FA" w:rsidRPr="00D9152B">
        <w:rPr>
          <w:rFonts w:ascii="Calibri" w:hAnsi="Calibri" w:cs="Calibri"/>
          <w:sz w:val="22"/>
          <w:szCs w:val="22"/>
        </w:rPr>
        <w:t>he trend of the onchocerciasis u</w:t>
      </w:r>
      <w:r w:rsidRPr="00D9152B">
        <w:rPr>
          <w:rFonts w:ascii="Calibri" w:hAnsi="Calibri" w:cs="Calibri"/>
          <w:sz w:val="22"/>
          <w:szCs w:val="22"/>
        </w:rPr>
        <w:t xml:space="preserve">nit’s staff and consultants, McFarland and Murray conceded that lack of available data made a rigorous cost-benefit analysis impossible. They instead </w:t>
      </w:r>
      <w:r w:rsidRPr="00D9152B">
        <w:rPr>
          <w:rFonts w:ascii="Calibri" w:hAnsi="Calibri" w:cs="Calibri"/>
          <w:sz w:val="22"/>
          <w:szCs w:val="22"/>
        </w:rPr>
        <w:lastRenderedPageBreak/>
        <w:t>based their cost and benefit figures on country estimates of ivermectin’s delivery cost.</w:t>
      </w:r>
      <w:r w:rsidRPr="00D9152B">
        <w:rPr>
          <w:rStyle w:val="FootnoteReference"/>
          <w:rFonts w:ascii="Calibri" w:hAnsi="Calibri" w:cs="Calibri"/>
          <w:sz w:val="22"/>
          <w:szCs w:val="22"/>
        </w:rPr>
        <w:footnoteReference w:id="391"/>
      </w:r>
      <w:r w:rsidRPr="00D9152B">
        <w:rPr>
          <w:rFonts w:ascii="Calibri" w:hAnsi="Calibri" w:cs="Calibri"/>
          <w:sz w:val="22"/>
          <w:szCs w:val="22"/>
        </w:rPr>
        <w:t xml:space="preserve"> The authors also made it clear they had not included the value of ivermectin in their cost analysis. Because ivermectin was donated, costs only included its delivery, not its development or production costs at Merck. Ten years later, researchers at Johns Hopkins pointed-out that the ‘economic success’ of ivermectin distribution (and, by extension, of </w:t>
      </w:r>
      <w:r w:rsidR="001D54BD">
        <w:rPr>
          <w:rFonts w:ascii="Calibri" w:hAnsi="Calibri" w:cs="Calibri"/>
          <w:sz w:val="22"/>
          <w:szCs w:val="22"/>
        </w:rPr>
        <w:t xml:space="preserve">the </w:t>
      </w:r>
      <w:r w:rsidRPr="00D9152B">
        <w:rPr>
          <w:rFonts w:ascii="Calibri" w:hAnsi="Calibri" w:cs="Calibri"/>
          <w:sz w:val="22"/>
          <w:szCs w:val="22"/>
        </w:rPr>
        <w:t xml:space="preserve">OCP and </w:t>
      </w:r>
      <w:r w:rsidR="00670032" w:rsidRPr="00D9152B">
        <w:rPr>
          <w:rFonts w:ascii="Calibri" w:hAnsi="Calibri" w:cs="Calibri"/>
          <w:sz w:val="22"/>
          <w:szCs w:val="22"/>
        </w:rPr>
        <w:t>the African Programme for Onchocerciasis Control</w:t>
      </w:r>
      <w:r w:rsidRPr="00D9152B">
        <w:rPr>
          <w:rFonts w:ascii="Calibri" w:hAnsi="Calibri" w:cs="Calibri"/>
          <w:sz w:val="22"/>
          <w:szCs w:val="22"/>
        </w:rPr>
        <w:t>) was dependent on the drug</w:t>
      </w:r>
      <w:r w:rsidR="00DF60FA" w:rsidRPr="00D9152B">
        <w:rPr>
          <w:rFonts w:ascii="Calibri" w:hAnsi="Calibri" w:cs="Calibri"/>
          <w:sz w:val="22"/>
          <w:szCs w:val="22"/>
        </w:rPr>
        <w:t xml:space="preserve"> being donated free of charge. I</w:t>
      </w:r>
      <w:r w:rsidRPr="00D9152B">
        <w:rPr>
          <w:rFonts w:ascii="Calibri" w:hAnsi="Calibri" w:cs="Calibri"/>
          <w:sz w:val="22"/>
          <w:szCs w:val="22"/>
        </w:rPr>
        <w:t xml:space="preserve">f the market value of Merck’s donation was included in cost-benefit calculations for just one year, this would ‘considerably’ outweigh OCP and APOC benefits across both programmes’ </w:t>
      </w:r>
      <w:r w:rsidRPr="00D9152B">
        <w:rPr>
          <w:rFonts w:ascii="Calibri" w:hAnsi="Calibri" w:cs="Calibri"/>
          <w:i/>
          <w:sz w:val="22"/>
          <w:szCs w:val="22"/>
        </w:rPr>
        <w:t>lifespans.</w:t>
      </w:r>
      <w:r w:rsidRPr="00D9152B">
        <w:rPr>
          <w:rStyle w:val="FootnoteReference"/>
          <w:rFonts w:ascii="Calibri" w:hAnsi="Calibri" w:cs="Calibri"/>
          <w:sz w:val="22"/>
          <w:szCs w:val="22"/>
        </w:rPr>
        <w:footnoteReference w:id="392"/>
      </w:r>
    </w:p>
    <w:p w14:paraId="2783AEC6" w14:textId="2D5837C7" w:rsidR="00AC7848" w:rsidRPr="00D9152B" w:rsidRDefault="00AC7848" w:rsidP="00742627">
      <w:pPr>
        <w:pStyle w:val="Heading4"/>
        <w:spacing w:before="0"/>
        <w:rPr>
          <w:rFonts w:ascii="Calibri" w:hAnsi="Calibri" w:cs="Calibri"/>
          <w:sz w:val="22"/>
          <w:szCs w:val="22"/>
        </w:rPr>
      </w:pPr>
      <w:r w:rsidRPr="00D9152B">
        <w:rPr>
          <w:rFonts w:ascii="Calibri" w:hAnsi="Calibri" w:cs="Calibri"/>
          <w:sz w:val="22"/>
          <w:szCs w:val="22"/>
        </w:rPr>
        <w:t xml:space="preserve">Metrics 8-9: Kim and Benton’s </w:t>
      </w:r>
      <w:r w:rsidR="00DF60FA" w:rsidRPr="00D9152B">
        <w:rPr>
          <w:rFonts w:ascii="Calibri" w:hAnsi="Calibri" w:cs="Calibri"/>
          <w:sz w:val="22"/>
          <w:szCs w:val="22"/>
        </w:rPr>
        <w:t>rate of return and net present value calculations</w:t>
      </w:r>
      <w:r w:rsidRPr="00D9152B">
        <w:rPr>
          <w:rFonts w:ascii="Calibri" w:hAnsi="Calibri" w:cs="Calibri"/>
          <w:sz w:val="22"/>
          <w:szCs w:val="22"/>
        </w:rPr>
        <w:t xml:space="preserve"> (1994-1995)</w:t>
      </w:r>
    </w:p>
    <w:p w14:paraId="3B6EC72B" w14:textId="7F0B0979" w:rsidR="001429F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Benton underscored the Bank’s success in mode</w:t>
      </w:r>
      <w:r w:rsidR="005503D0" w:rsidRPr="00D9152B">
        <w:rPr>
          <w:rFonts w:ascii="Calibri" w:hAnsi="Calibri" w:cs="Calibri"/>
          <w:sz w:val="22"/>
          <w:szCs w:val="22"/>
        </w:rPr>
        <w:t>l</w:t>
      </w:r>
      <w:r w:rsidRPr="00D9152B">
        <w:rPr>
          <w:rFonts w:ascii="Calibri" w:hAnsi="Calibri" w:cs="Calibri"/>
          <w:sz w:val="22"/>
          <w:szCs w:val="22"/>
        </w:rPr>
        <w:t>ling socio-economic benefits of the programme at a major 1994 do</w:t>
      </w:r>
      <w:r w:rsidR="00DF60FA" w:rsidRPr="00D9152B">
        <w:rPr>
          <w:rFonts w:ascii="Calibri" w:hAnsi="Calibri" w:cs="Calibri"/>
          <w:sz w:val="22"/>
          <w:szCs w:val="22"/>
        </w:rPr>
        <w:t>nor’s conference</w:t>
      </w:r>
      <w:r w:rsidRPr="00D9152B">
        <w:rPr>
          <w:rFonts w:ascii="Calibri" w:hAnsi="Calibri" w:cs="Calibri"/>
          <w:sz w:val="22"/>
          <w:szCs w:val="22"/>
        </w:rPr>
        <w:t xml:space="preserve">. This was opportune timing to showcase the OCP, as the Bank was petitioning many of the same donors to contribute to </w:t>
      </w:r>
      <w:r w:rsidR="001D54BD">
        <w:rPr>
          <w:rFonts w:ascii="Calibri" w:hAnsi="Calibri" w:cs="Calibri"/>
          <w:sz w:val="22"/>
          <w:szCs w:val="22"/>
        </w:rPr>
        <w:t>the African Programme for Onchocerciasis Control</w:t>
      </w:r>
      <w:r w:rsidR="00DF60FA" w:rsidRPr="00D9152B">
        <w:rPr>
          <w:rFonts w:ascii="Calibri" w:hAnsi="Calibri" w:cs="Calibri"/>
          <w:sz w:val="22"/>
          <w:szCs w:val="22"/>
        </w:rPr>
        <w:t>.</w:t>
      </w:r>
      <w:r w:rsidRPr="00D9152B">
        <w:rPr>
          <w:rFonts w:ascii="Calibri" w:hAnsi="Calibri" w:cs="Calibri"/>
          <w:sz w:val="22"/>
          <w:szCs w:val="22"/>
        </w:rPr>
        <w:t xml:space="preserve"> In Benton’s presentation, he </w:t>
      </w:r>
      <w:r w:rsidR="00DF60FA" w:rsidRPr="00D9152B">
        <w:rPr>
          <w:rFonts w:ascii="Calibri" w:hAnsi="Calibri" w:cs="Calibri"/>
          <w:sz w:val="22"/>
          <w:szCs w:val="22"/>
        </w:rPr>
        <w:t>stated</w:t>
      </w:r>
      <w:r w:rsidRPr="00D9152B">
        <w:rPr>
          <w:rFonts w:ascii="Calibri" w:hAnsi="Calibri" w:cs="Calibri"/>
          <w:sz w:val="22"/>
          <w:szCs w:val="22"/>
        </w:rPr>
        <w:t xml:space="preserve"> that the OCP was decidedly a humanitarian success, but that ‘reduced pain and suffering are impossible to quantify’. He then boldly declared the success of the programme socio-economically, in quantitative terms: ‘Until recently, we have had to rely on anecdotal evidence. Now, we have the required data’.</w:t>
      </w:r>
      <w:r w:rsidRPr="00D9152B">
        <w:rPr>
          <w:rStyle w:val="FootnoteReference"/>
          <w:rFonts w:ascii="Calibri" w:hAnsi="Calibri" w:cs="Calibri"/>
          <w:sz w:val="22"/>
          <w:szCs w:val="22"/>
        </w:rPr>
        <w:footnoteReference w:id="393"/>
      </w:r>
      <w:r w:rsidRPr="00D9152B">
        <w:rPr>
          <w:rFonts w:ascii="Calibri" w:hAnsi="Calibri" w:cs="Calibri"/>
          <w:sz w:val="22"/>
          <w:szCs w:val="22"/>
        </w:rPr>
        <w:t xml:space="preserve"> </w:t>
      </w:r>
    </w:p>
    <w:p w14:paraId="7346D7D6" w14:textId="6191D167"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Kim and Benton’s new analysis of these benefits, published in 1995, revised Benton and Skinner’s 1989 cost per person protected estimate, which it now placed at $0.57</w:t>
      </w:r>
      <w:r w:rsidR="00FF49D8" w:rsidRPr="00D9152B">
        <w:rPr>
          <w:rFonts w:ascii="Calibri" w:hAnsi="Calibri" w:cs="Calibri"/>
          <w:sz w:val="22"/>
          <w:szCs w:val="22"/>
        </w:rPr>
        <w:t xml:space="preserve"> per person each year</w:t>
      </w:r>
      <w:r w:rsidRPr="00D9152B">
        <w:rPr>
          <w:rFonts w:ascii="Calibri" w:hAnsi="Calibri" w:cs="Calibri"/>
          <w:sz w:val="22"/>
          <w:szCs w:val="22"/>
        </w:rPr>
        <w:t xml:space="preserve"> in the 11 country area.</w:t>
      </w:r>
      <w:r w:rsidRPr="00D9152B">
        <w:rPr>
          <w:rStyle w:val="FootnoteReference"/>
          <w:rFonts w:ascii="Calibri" w:hAnsi="Calibri" w:cs="Calibri"/>
          <w:sz w:val="22"/>
          <w:szCs w:val="22"/>
        </w:rPr>
        <w:footnoteReference w:id="394"/>
      </w:r>
      <w:r w:rsidR="001429F8" w:rsidRPr="00D9152B">
        <w:rPr>
          <w:rFonts w:ascii="Calibri" w:hAnsi="Calibri" w:cs="Calibri"/>
          <w:sz w:val="22"/>
          <w:szCs w:val="22"/>
        </w:rPr>
        <w:t xml:space="preserve"> To calculate</w:t>
      </w:r>
      <w:r w:rsidRPr="00D9152B">
        <w:rPr>
          <w:rFonts w:ascii="Calibri" w:hAnsi="Calibri" w:cs="Calibri"/>
          <w:sz w:val="22"/>
          <w:szCs w:val="22"/>
        </w:rPr>
        <w:t xml:space="preserve"> the labour benefits, Kim and Benton used a similar methodology</w:t>
      </w:r>
      <w:r w:rsidR="00DF60FA" w:rsidRPr="00D9152B">
        <w:rPr>
          <w:rFonts w:ascii="Calibri" w:hAnsi="Calibri" w:cs="Calibri"/>
          <w:sz w:val="22"/>
          <w:szCs w:val="22"/>
        </w:rPr>
        <w:t xml:space="preserve"> as in 1990. They assumed a 1.7 percent</w:t>
      </w:r>
      <w:r w:rsidRPr="00D9152B">
        <w:rPr>
          <w:rFonts w:ascii="Calibri" w:hAnsi="Calibri" w:cs="Calibri"/>
          <w:sz w:val="22"/>
          <w:szCs w:val="22"/>
        </w:rPr>
        <w:t xml:space="preserve"> </w:t>
      </w:r>
      <w:r w:rsidRPr="00D9152B">
        <w:rPr>
          <w:rFonts w:ascii="Calibri" w:hAnsi="Calibri" w:cs="Calibri"/>
          <w:sz w:val="22"/>
          <w:szCs w:val="22"/>
        </w:rPr>
        <w:lastRenderedPageBreak/>
        <w:t>population growth rate,</w:t>
      </w:r>
      <w:r w:rsidRPr="00D9152B">
        <w:rPr>
          <w:rStyle w:val="FootnoteReference"/>
          <w:rFonts w:ascii="Calibri" w:hAnsi="Calibri" w:cs="Calibri"/>
          <w:sz w:val="22"/>
          <w:szCs w:val="22"/>
        </w:rPr>
        <w:footnoteReference w:id="395"/>
      </w:r>
      <w:r w:rsidRPr="00D9152B">
        <w:rPr>
          <w:rFonts w:ascii="Calibri" w:hAnsi="Calibri" w:cs="Calibri"/>
          <w:sz w:val="22"/>
          <w:szCs w:val="22"/>
        </w:rPr>
        <w:t xml:space="preserve"> estimated the cases of blindness prevented by the OCP using known incidence levels and the total population at risk, and assumed that a case of blindness costed 20 years of productive life. What was different about this analysis was that Kim and Benton then related inputs (labour available) directly to economi</w:t>
      </w:r>
      <w:r w:rsidR="00DF60FA" w:rsidRPr="00D9152B">
        <w:rPr>
          <w:rFonts w:ascii="Calibri" w:hAnsi="Calibri" w:cs="Calibri"/>
          <w:sz w:val="22"/>
          <w:szCs w:val="22"/>
        </w:rPr>
        <w:t>c outputs.</w:t>
      </w:r>
      <w:r w:rsidR="005503D0" w:rsidRPr="00D9152B">
        <w:rPr>
          <w:rStyle w:val="FootnoteReference"/>
          <w:rFonts w:ascii="Calibri" w:hAnsi="Calibri" w:cs="Calibri"/>
        </w:rPr>
        <w:footnoteReference w:id="396"/>
      </w:r>
      <w:r w:rsidR="00DF60FA" w:rsidRPr="00D9152B">
        <w:rPr>
          <w:rFonts w:ascii="Calibri" w:hAnsi="Calibri" w:cs="Calibri"/>
          <w:sz w:val="22"/>
          <w:szCs w:val="22"/>
        </w:rPr>
        <w:t xml:space="preserve"> </w:t>
      </w:r>
      <w:r w:rsidRPr="00D9152B">
        <w:rPr>
          <w:rFonts w:ascii="Calibri" w:hAnsi="Calibri" w:cs="Calibri"/>
          <w:sz w:val="22"/>
          <w:szCs w:val="22"/>
        </w:rPr>
        <w:t>In total, this yielded labour-related benefits over the length of the programme of about $192 mi</w:t>
      </w:r>
      <w:r w:rsidR="00DF60FA" w:rsidRPr="00D9152B">
        <w:rPr>
          <w:rFonts w:ascii="Calibri" w:hAnsi="Calibri" w:cs="Calibri"/>
          <w:sz w:val="22"/>
          <w:szCs w:val="22"/>
        </w:rPr>
        <w:t>llion at a low discount rate (3 percent</w:t>
      </w:r>
      <w:r w:rsidRPr="00D9152B">
        <w:rPr>
          <w:rFonts w:ascii="Calibri" w:hAnsi="Calibri" w:cs="Calibri"/>
          <w:sz w:val="22"/>
          <w:szCs w:val="22"/>
        </w:rPr>
        <w:t>)</w:t>
      </w:r>
      <w:r w:rsidR="00DF60FA" w:rsidRPr="00D9152B">
        <w:rPr>
          <w:rFonts w:ascii="Calibri" w:hAnsi="Calibri" w:cs="Calibri"/>
          <w:sz w:val="22"/>
          <w:szCs w:val="22"/>
        </w:rPr>
        <w:t>. At a higher discount rate (10 percent</w:t>
      </w:r>
      <w:r w:rsidRPr="00D9152B">
        <w:rPr>
          <w:rFonts w:ascii="Calibri" w:hAnsi="Calibri" w:cs="Calibri"/>
          <w:sz w:val="22"/>
          <w:szCs w:val="22"/>
        </w:rPr>
        <w:t xml:space="preserve">), the </w:t>
      </w:r>
      <w:r w:rsidR="005503D0" w:rsidRPr="00D9152B">
        <w:rPr>
          <w:rFonts w:ascii="Calibri" w:hAnsi="Calibri" w:cs="Calibri"/>
          <w:sz w:val="22"/>
          <w:szCs w:val="22"/>
        </w:rPr>
        <w:t>net present value</w:t>
      </w:r>
      <w:r w:rsidRPr="00D9152B">
        <w:rPr>
          <w:rFonts w:ascii="Calibri" w:hAnsi="Calibri" w:cs="Calibri"/>
          <w:sz w:val="22"/>
          <w:szCs w:val="22"/>
        </w:rPr>
        <w:t xml:space="preserve"> became negative. Again, the effects of the OCP on the labour supply and productivity outputs could be entirely reversed, depending on a single variable: the discount rate used.</w:t>
      </w:r>
    </w:p>
    <w:p w14:paraId="7FD31D48" w14:textId="60C50EFB"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To calculate the land-related benefits, Kim and Benton used Benton and Skinner’s 25 million hectare ‘new land’ estimate from 1989. They calculated a </w:t>
      </w:r>
      <w:r w:rsidR="005503D0" w:rsidRPr="00D9152B">
        <w:rPr>
          <w:rFonts w:ascii="Calibri" w:hAnsi="Calibri" w:cs="Calibri"/>
          <w:sz w:val="22"/>
          <w:szCs w:val="22"/>
        </w:rPr>
        <w:t>net present value</w:t>
      </w:r>
      <w:r w:rsidRPr="00D9152B">
        <w:rPr>
          <w:rFonts w:ascii="Calibri" w:hAnsi="Calibri" w:cs="Calibri"/>
          <w:sz w:val="22"/>
          <w:szCs w:val="22"/>
        </w:rPr>
        <w:t xml:space="preserve"> and economic rate of return (ERR) for land use based on a major assumption: that the utilization of new lands would increase systematically over time, following an ‘S-sh</w:t>
      </w:r>
      <w:r w:rsidR="001429F8" w:rsidRPr="00D9152B">
        <w:rPr>
          <w:rFonts w:ascii="Calibri" w:hAnsi="Calibri" w:cs="Calibri"/>
          <w:sz w:val="22"/>
          <w:szCs w:val="22"/>
        </w:rPr>
        <w:t>aped curve’ function</w:t>
      </w:r>
      <w:r w:rsidRPr="00D9152B">
        <w:rPr>
          <w:rFonts w:ascii="Calibri" w:hAnsi="Calibri" w:cs="Calibri"/>
          <w:sz w:val="22"/>
          <w:szCs w:val="22"/>
        </w:rPr>
        <w:t>. In other words, once the incidence of onchocerciasis approached zero (about 8 years after vector control operations began in an area), use of this new land would begin slowly and then proceed faster, up to a certain level (the 25 million hectares) when it was fully cultivated. The S-shaped function was projected from Land Settlement Review data, and assumed that land in the original OCP area would be largely used by 2003 (and land in the ext</w:t>
      </w:r>
      <w:r w:rsidR="001429F8" w:rsidRPr="00D9152B">
        <w:rPr>
          <w:rFonts w:ascii="Calibri" w:hAnsi="Calibri" w:cs="Calibri"/>
          <w:sz w:val="22"/>
          <w:szCs w:val="22"/>
        </w:rPr>
        <w:t xml:space="preserve">ension areas by 2014). Figure </w:t>
      </w:r>
      <w:r w:rsidR="001D54BD">
        <w:rPr>
          <w:rFonts w:ascii="Calibri" w:hAnsi="Calibri" w:cs="Calibri"/>
          <w:sz w:val="22"/>
          <w:szCs w:val="22"/>
        </w:rPr>
        <w:t>4.</w:t>
      </w:r>
      <w:r w:rsidR="00D82A8E" w:rsidRPr="00D9152B">
        <w:rPr>
          <w:rFonts w:ascii="Calibri" w:hAnsi="Calibri" w:cs="Calibri"/>
          <w:sz w:val="22"/>
          <w:szCs w:val="22"/>
        </w:rPr>
        <w:t>5</w:t>
      </w:r>
      <w:r w:rsidRPr="00D9152B">
        <w:rPr>
          <w:rFonts w:ascii="Calibri" w:hAnsi="Calibri" w:cs="Calibri"/>
          <w:sz w:val="22"/>
          <w:szCs w:val="22"/>
        </w:rPr>
        <w:t xml:space="preserve"> shows the land function used by Kim and Benton</w:t>
      </w:r>
      <w:r w:rsidR="001429F8" w:rsidRPr="00D9152B">
        <w:rPr>
          <w:rFonts w:ascii="Calibri" w:hAnsi="Calibri" w:cs="Calibri"/>
          <w:sz w:val="22"/>
          <w:szCs w:val="22"/>
        </w:rPr>
        <w:t>, under the assumption that 100 percent</w:t>
      </w:r>
      <w:r w:rsidRPr="00D9152B">
        <w:rPr>
          <w:rFonts w:ascii="Calibri" w:hAnsi="Calibri" w:cs="Calibri"/>
          <w:sz w:val="22"/>
          <w:szCs w:val="22"/>
        </w:rPr>
        <w:t xml:space="preserve"> of the 25 million hectares would eventually be resettled and cultivated. In their </w:t>
      </w:r>
      <w:r w:rsidR="005503D0" w:rsidRPr="00D9152B">
        <w:rPr>
          <w:rFonts w:ascii="Calibri" w:hAnsi="Calibri" w:cs="Calibri"/>
          <w:sz w:val="22"/>
          <w:szCs w:val="22"/>
        </w:rPr>
        <w:t>net present value</w:t>
      </w:r>
      <w:r w:rsidRPr="00D9152B">
        <w:rPr>
          <w:rFonts w:ascii="Calibri" w:hAnsi="Calibri" w:cs="Calibri"/>
          <w:sz w:val="22"/>
          <w:szCs w:val="22"/>
        </w:rPr>
        <w:t xml:space="preserve"> and </w:t>
      </w:r>
      <w:r w:rsidR="005503D0" w:rsidRPr="00D9152B">
        <w:rPr>
          <w:rFonts w:ascii="Calibri" w:hAnsi="Calibri" w:cs="Calibri"/>
          <w:sz w:val="22"/>
          <w:szCs w:val="22"/>
        </w:rPr>
        <w:t>rate of return</w:t>
      </w:r>
      <w:r w:rsidRPr="00D9152B">
        <w:rPr>
          <w:rFonts w:ascii="Calibri" w:hAnsi="Calibri" w:cs="Calibri"/>
          <w:sz w:val="22"/>
          <w:szCs w:val="22"/>
        </w:rPr>
        <w:t xml:space="preserve"> calculations, the authors decided that i</w:t>
      </w:r>
      <w:r w:rsidR="001429F8" w:rsidRPr="00D9152B">
        <w:rPr>
          <w:rFonts w:ascii="Calibri" w:hAnsi="Calibri" w:cs="Calibri"/>
          <w:sz w:val="22"/>
          <w:szCs w:val="22"/>
        </w:rPr>
        <w:t>t would be more realistic if 85 percent</w:t>
      </w:r>
      <w:r w:rsidRPr="00D9152B">
        <w:rPr>
          <w:rFonts w:ascii="Calibri" w:hAnsi="Calibri" w:cs="Calibri"/>
          <w:sz w:val="22"/>
          <w:szCs w:val="22"/>
        </w:rPr>
        <w:t xml:space="preserve"> of the land was event</w:t>
      </w:r>
      <w:r w:rsidR="001429F8" w:rsidRPr="00D9152B">
        <w:rPr>
          <w:rFonts w:ascii="Calibri" w:hAnsi="Calibri" w:cs="Calibri"/>
          <w:sz w:val="22"/>
          <w:szCs w:val="22"/>
        </w:rPr>
        <w:t>ually cultivated. Using this 85 percent</w:t>
      </w:r>
      <w:r w:rsidRPr="00D9152B">
        <w:rPr>
          <w:rFonts w:ascii="Calibri" w:hAnsi="Calibri" w:cs="Calibri"/>
          <w:sz w:val="22"/>
          <w:szCs w:val="22"/>
        </w:rPr>
        <w:t xml:space="preserve"> curve, Kim and Benton calculated that, from 1972-2002, the </w:t>
      </w:r>
      <w:r w:rsidR="005503D0" w:rsidRPr="00D9152B">
        <w:rPr>
          <w:rFonts w:ascii="Calibri" w:hAnsi="Calibri" w:cs="Calibri"/>
          <w:sz w:val="22"/>
          <w:szCs w:val="22"/>
        </w:rPr>
        <w:t>net present value</w:t>
      </w:r>
      <w:r w:rsidRPr="00D9152B">
        <w:rPr>
          <w:rFonts w:ascii="Calibri" w:hAnsi="Calibri" w:cs="Calibri"/>
          <w:sz w:val="22"/>
          <w:szCs w:val="22"/>
        </w:rPr>
        <w:t xml:space="preserve"> for land use was</w:t>
      </w:r>
      <w:r w:rsidR="001429F8" w:rsidRPr="00D9152B">
        <w:rPr>
          <w:rFonts w:ascii="Calibri" w:hAnsi="Calibri" w:cs="Calibri"/>
          <w:sz w:val="22"/>
          <w:szCs w:val="22"/>
        </w:rPr>
        <w:t xml:space="preserve"> </w:t>
      </w:r>
      <w:r w:rsidRPr="00D9152B">
        <w:rPr>
          <w:rFonts w:ascii="Calibri" w:hAnsi="Calibri" w:cs="Calibri"/>
          <w:sz w:val="22"/>
          <w:szCs w:val="22"/>
        </w:rPr>
        <w:t>$380</w:t>
      </w:r>
      <w:r w:rsidR="001429F8" w:rsidRPr="00D9152B">
        <w:rPr>
          <w:rFonts w:ascii="Calibri" w:hAnsi="Calibri" w:cs="Calibri"/>
          <w:sz w:val="22"/>
          <w:szCs w:val="22"/>
        </w:rPr>
        <w:t xml:space="preserve"> million to $3.</w:t>
      </w:r>
      <w:r w:rsidRPr="00D9152B">
        <w:rPr>
          <w:rFonts w:ascii="Calibri" w:hAnsi="Calibri" w:cs="Calibri"/>
          <w:sz w:val="22"/>
          <w:szCs w:val="22"/>
        </w:rPr>
        <w:t xml:space="preserve">154 </w:t>
      </w:r>
      <w:r w:rsidR="001429F8" w:rsidRPr="00D9152B">
        <w:rPr>
          <w:rFonts w:ascii="Calibri" w:hAnsi="Calibri" w:cs="Calibri"/>
          <w:sz w:val="22"/>
          <w:szCs w:val="22"/>
        </w:rPr>
        <w:t>billion</w:t>
      </w:r>
      <w:r w:rsidRPr="00D9152B">
        <w:rPr>
          <w:rFonts w:ascii="Calibri" w:hAnsi="Calibri" w:cs="Calibri"/>
          <w:sz w:val="22"/>
          <w:szCs w:val="22"/>
        </w:rPr>
        <w:t xml:space="preserve">, depending on the discount rate. The corresponding </w:t>
      </w:r>
      <w:r w:rsidR="005503D0" w:rsidRPr="00D9152B">
        <w:rPr>
          <w:rFonts w:ascii="Calibri" w:hAnsi="Calibri" w:cs="Calibri"/>
          <w:sz w:val="22"/>
          <w:szCs w:val="22"/>
        </w:rPr>
        <w:t>rate of return</w:t>
      </w:r>
      <w:r w:rsidRPr="00D9152B">
        <w:rPr>
          <w:rFonts w:ascii="Calibri" w:hAnsi="Calibri" w:cs="Calibri"/>
          <w:sz w:val="22"/>
          <w:szCs w:val="22"/>
        </w:rPr>
        <w:t xml:space="preserve"> was relatively high, especia</w:t>
      </w:r>
      <w:r w:rsidR="00677EE9" w:rsidRPr="00D9152B">
        <w:rPr>
          <w:rFonts w:ascii="Calibri" w:hAnsi="Calibri" w:cs="Calibri"/>
          <w:sz w:val="22"/>
          <w:szCs w:val="22"/>
        </w:rPr>
        <w:t>lly for a health project, at 18 percent</w:t>
      </w:r>
      <w:r w:rsidRPr="00D9152B">
        <w:rPr>
          <w:rFonts w:ascii="Calibri" w:hAnsi="Calibri" w:cs="Calibri"/>
          <w:sz w:val="22"/>
          <w:szCs w:val="22"/>
        </w:rPr>
        <w:t xml:space="preserve"> over 39 years. </w:t>
      </w:r>
    </w:p>
    <w:p w14:paraId="55E8CD8C" w14:textId="77777777" w:rsidR="00AC7848" w:rsidRPr="00D9152B" w:rsidRDefault="00AC7848" w:rsidP="009E01B2">
      <w:pPr>
        <w:jc w:val="center"/>
        <w:rPr>
          <w:rFonts w:ascii="Calibri" w:hAnsi="Calibri" w:cs="Calibri"/>
        </w:rPr>
      </w:pPr>
      <w:r w:rsidRPr="00D9152B">
        <w:rPr>
          <w:rFonts w:ascii="Calibri" w:hAnsi="Calibri" w:cs="Calibri"/>
          <w:noProof/>
          <w:lang w:eastAsia="en-GB"/>
        </w:rPr>
        <w:lastRenderedPageBreak/>
        <w:drawing>
          <wp:inline distT="0" distB="0" distL="0" distR="0" wp14:anchorId="66D1800C" wp14:editId="1FFC91E9">
            <wp:extent cx="5329382" cy="3103418"/>
            <wp:effectExtent l="0" t="0" r="17780" b="8255"/>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72B22023" w14:textId="77777777" w:rsidR="00017C2E" w:rsidRPr="00D9152B" w:rsidRDefault="00017C2E" w:rsidP="00017C2E">
      <w:pPr>
        <w:jc w:val="both"/>
        <w:rPr>
          <w:rFonts w:ascii="Calibri" w:hAnsi="Calibri" w:cs="Calibri"/>
          <w:color w:val="808080" w:themeColor="background1" w:themeShade="80"/>
        </w:rPr>
      </w:pPr>
    </w:p>
    <w:p w14:paraId="7AF215B6" w14:textId="37B96C24" w:rsidR="00017C2E" w:rsidRPr="009E01B2" w:rsidRDefault="000D57AF" w:rsidP="00017C2E">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1D54BD">
        <w:rPr>
          <w:rFonts w:ascii="Calibri" w:hAnsi="Calibri" w:cs="Calibri"/>
          <w:color w:val="808080" w:themeColor="background1" w:themeShade="80"/>
          <w:sz w:val="22"/>
          <w:szCs w:val="22"/>
        </w:rPr>
        <w:t>4.</w:t>
      </w:r>
      <w:r w:rsidR="00D82A8E" w:rsidRPr="00D9152B">
        <w:rPr>
          <w:rFonts w:ascii="Calibri" w:hAnsi="Calibri" w:cs="Calibri"/>
          <w:color w:val="808080" w:themeColor="background1" w:themeShade="80"/>
          <w:sz w:val="22"/>
          <w:szCs w:val="22"/>
        </w:rPr>
        <w:t>5</w:t>
      </w:r>
      <w:r w:rsidR="00AC7848" w:rsidRPr="00D9152B">
        <w:rPr>
          <w:rFonts w:ascii="Calibri" w:hAnsi="Calibri" w:cs="Calibri"/>
          <w:color w:val="808080" w:themeColor="background1" w:themeShade="80"/>
          <w:sz w:val="22"/>
          <w:szCs w:val="22"/>
        </w:rPr>
        <w:t xml:space="preserve">. Kim and Benton used an S-Shaped curve formula to estimate the hectares of newly available land that </w:t>
      </w:r>
      <w:r w:rsidR="00017C2E" w:rsidRPr="00D9152B">
        <w:rPr>
          <w:rFonts w:ascii="Calibri" w:hAnsi="Calibri" w:cs="Calibri"/>
          <w:color w:val="808080" w:themeColor="background1" w:themeShade="80"/>
          <w:sz w:val="22"/>
          <w:szCs w:val="22"/>
        </w:rPr>
        <w:t>would</w:t>
      </w:r>
      <w:r w:rsidR="00AC7848" w:rsidRPr="00D9152B">
        <w:rPr>
          <w:rFonts w:ascii="Calibri" w:hAnsi="Calibri" w:cs="Calibri"/>
          <w:color w:val="808080" w:themeColor="background1" w:themeShade="80"/>
          <w:sz w:val="22"/>
          <w:szCs w:val="22"/>
        </w:rPr>
        <w:t xml:space="preserve"> be utilized in OCP-freed areas over time. They estimated that most of the 25 million hectares of new lands would be settled by 2003-2014.</w:t>
      </w:r>
      <w:r w:rsidR="00017C2E" w:rsidRPr="00D9152B">
        <w:rPr>
          <w:rStyle w:val="FootnoteReference"/>
          <w:rFonts w:ascii="Calibri" w:hAnsi="Calibri" w:cs="Calibri"/>
          <w:color w:val="808080" w:themeColor="background1" w:themeShade="80"/>
          <w:sz w:val="22"/>
          <w:szCs w:val="22"/>
        </w:rPr>
        <w:footnoteReference w:id="397"/>
      </w:r>
    </w:p>
    <w:p w14:paraId="092D88C8" w14:textId="79147FEB"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Taken together, Kim and Benton therefore estimated that labour and land benefits over 39 years would yield a</w:t>
      </w:r>
      <w:r w:rsidR="001429F8" w:rsidRPr="00D9152B">
        <w:rPr>
          <w:rFonts w:ascii="Calibri" w:hAnsi="Calibri" w:cs="Calibri"/>
          <w:sz w:val="22"/>
          <w:szCs w:val="22"/>
        </w:rPr>
        <w:t xml:space="preserve"> </w:t>
      </w:r>
      <w:r w:rsidR="005503D0" w:rsidRPr="00D9152B">
        <w:rPr>
          <w:rFonts w:ascii="Calibri" w:hAnsi="Calibri" w:cs="Calibri"/>
          <w:sz w:val="22"/>
          <w:szCs w:val="22"/>
        </w:rPr>
        <w:t>net present value</w:t>
      </w:r>
      <w:r w:rsidR="001429F8" w:rsidRPr="00D9152B">
        <w:rPr>
          <w:rFonts w:ascii="Calibri" w:hAnsi="Calibri" w:cs="Calibri"/>
          <w:sz w:val="22"/>
          <w:szCs w:val="22"/>
        </w:rPr>
        <w:t xml:space="preserve"> of </w:t>
      </w:r>
      <w:r w:rsidRPr="00D9152B">
        <w:rPr>
          <w:rFonts w:ascii="Calibri" w:hAnsi="Calibri" w:cs="Calibri"/>
          <w:sz w:val="22"/>
          <w:szCs w:val="22"/>
        </w:rPr>
        <w:t>$485</w:t>
      </w:r>
      <w:r w:rsidR="001429F8" w:rsidRPr="00D9152B">
        <w:rPr>
          <w:rFonts w:ascii="Calibri" w:hAnsi="Calibri" w:cs="Calibri"/>
          <w:sz w:val="22"/>
          <w:szCs w:val="22"/>
        </w:rPr>
        <w:t xml:space="preserve"> million to $3.729 billion</w:t>
      </w:r>
      <w:r w:rsidRPr="00D9152B">
        <w:rPr>
          <w:rFonts w:ascii="Calibri" w:hAnsi="Calibri" w:cs="Calibri"/>
          <w:sz w:val="22"/>
          <w:szCs w:val="22"/>
        </w:rPr>
        <w:t>, or a</w:t>
      </w:r>
      <w:r w:rsidR="000B094F">
        <w:rPr>
          <w:rFonts w:ascii="Calibri" w:hAnsi="Calibri" w:cs="Calibri"/>
          <w:sz w:val="22"/>
          <w:szCs w:val="22"/>
        </w:rPr>
        <w:t xml:space="preserve"> high</w:t>
      </w:r>
      <w:r w:rsidRPr="00D9152B">
        <w:rPr>
          <w:rFonts w:ascii="Calibri" w:hAnsi="Calibri" w:cs="Calibri"/>
          <w:sz w:val="22"/>
          <w:szCs w:val="22"/>
        </w:rPr>
        <w:t xml:space="preserve"> </w:t>
      </w:r>
      <w:r w:rsidR="001429F8" w:rsidRPr="00D9152B">
        <w:rPr>
          <w:rFonts w:ascii="Calibri" w:hAnsi="Calibri" w:cs="Calibri"/>
          <w:sz w:val="22"/>
          <w:szCs w:val="22"/>
        </w:rPr>
        <w:t>18 to 20 percent</w:t>
      </w:r>
      <w:r w:rsidRPr="00D9152B">
        <w:rPr>
          <w:rFonts w:ascii="Calibri" w:hAnsi="Calibri" w:cs="Calibri"/>
          <w:sz w:val="22"/>
          <w:szCs w:val="22"/>
        </w:rPr>
        <w:t xml:space="preserve"> </w:t>
      </w:r>
      <w:r w:rsidR="005503D0" w:rsidRPr="00D9152B">
        <w:rPr>
          <w:rFonts w:ascii="Calibri" w:hAnsi="Calibri" w:cs="Calibri"/>
          <w:sz w:val="22"/>
          <w:szCs w:val="22"/>
        </w:rPr>
        <w:t>rate of return</w:t>
      </w:r>
      <w:r w:rsidRPr="00D9152B">
        <w:rPr>
          <w:rFonts w:ascii="Calibri" w:hAnsi="Calibri" w:cs="Calibri"/>
          <w:sz w:val="22"/>
          <w:szCs w:val="22"/>
        </w:rPr>
        <w:t xml:space="preserve">. This is the </w:t>
      </w:r>
      <w:r w:rsidR="005503D0" w:rsidRPr="00D9152B">
        <w:rPr>
          <w:rFonts w:ascii="Calibri" w:hAnsi="Calibri" w:cs="Calibri"/>
          <w:sz w:val="22"/>
          <w:szCs w:val="22"/>
        </w:rPr>
        <w:t>rate of return</w:t>
      </w:r>
      <w:r w:rsidRPr="00D9152B">
        <w:rPr>
          <w:rFonts w:ascii="Calibri" w:hAnsi="Calibri" w:cs="Calibri"/>
          <w:sz w:val="22"/>
          <w:szCs w:val="22"/>
        </w:rPr>
        <w:t xml:space="preserve"> most cited in global health literature. What is left-out of citations is that these high values were heavily dependent on Kim and Benton’s assumptions. And, their assumptions raised as many questions as answers about </w:t>
      </w:r>
      <w:r w:rsidR="00E433D4" w:rsidRPr="00D9152B">
        <w:rPr>
          <w:rFonts w:ascii="Calibri" w:hAnsi="Calibri" w:cs="Calibri"/>
          <w:sz w:val="22"/>
          <w:szCs w:val="22"/>
        </w:rPr>
        <w:t>modelling</w:t>
      </w:r>
      <w:r w:rsidRPr="00D9152B">
        <w:rPr>
          <w:rFonts w:ascii="Calibri" w:hAnsi="Calibri" w:cs="Calibri"/>
          <w:sz w:val="22"/>
          <w:szCs w:val="22"/>
        </w:rPr>
        <w:t xml:space="preserve"> socio-economic development. For instance, was it fair to consider 25 million hectares of land to be available, based largely on a decade-old, contested Bank study? How realistic was it to extrapolate, from limited data available collected </w:t>
      </w:r>
      <w:r w:rsidR="00E71C57" w:rsidRPr="00D9152B">
        <w:rPr>
          <w:rFonts w:ascii="Calibri" w:hAnsi="Calibri" w:cs="Calibri"/>
          <w:sz w:val="22"/>
          <w:szCs w:val="22"/>
        </w:rPr>
        <w:t xml:space="preserve">often </w:t>
      </w:r>
      <w:r w:rsidRPr="00D9152B">
        <w:rPr>
          <w:rFonts w:ascii="Calibri" w:hAnsi="Calibri" w:cs="Calibri"/>
          <w:sz w:val="22"/>
          <w:szCs w:val="22"/>
        </w:rPr>
        <w:t>in the early-mid 1980s, that 8</w:t>
      </w:r>
      <w:r w:rsidR="005503D0" w:rsidRPr="00D9152B">
        <w:rPr>
          <w:rFonts w:ascii="Calibri" w:hAnsi="Calibri" w:cs="Calibri"/>
          <w:sz w:val="22"/>
          <w:szCs w:val="22"/>
        </w:rPr>
        <w:t>5 percent</w:t>
      </w:r>
      <w:r w:rsidRPr="00D9152B">
        <w:rPr>
          <w:rFonts w:ascii="Calibri" w:hAnsi="Calibri" w:cs="Calibri"/>
          <w:sz w:val="22"/>
          <w:szCs w:val="22"/>
        </w:rPr>
        <w:t xml:space="preserve"> of this rural land – which often lacked roads and access to basic social services – would be settled shortly after the end of the OCP? What about the costs associated with settling the land, which would be borne outside the OCP, mainly by bilateral donors and participating countries? Should these ‘extra-programmatic’ costs be factored into the OCP’s rate of return, because the rate of return primarily reflected the potential land value? Could they even be estimated? And, if extra-programmatic costs were included in the cost-benefit analyses, should they also </w:t>
      </w:r>
      <w:r w:rsidRPr="00D9152B">
        <w:rPr>
          <w:rFonts w:ascii="Calibri" w:hAnsi="Calibri" w:cs="Calibri"/>
          <w:sz w:val="22"/>
          <w:szCs w:val="22"/>
        </w:rPr>
        <w:lastRenderedPageBreak/>
        <w:t xml:space="preserve">include future epidemiological maintenance activities? Given that the land benefits changed so dramatically depending on the time horizon used, did cited rates of return even mean anything, if the authors citing them did not specifically stipulate the time frame? Equally importantly, what would happen to the rate of return if the market value for ivermectin donation was included? If including these extra-budgetary costs made the rate of return dropped below the </w:t>
      </w:r>
      <w:r w:rsidR="001429F8" w:rsidRPr="00D9152B">
        <w:rPr>
          <w:rFonts w:ascii="Calibri" w:hAnsi="Calibri" w:cs="Calibri"/>
          <w:sz w:val="22"/>
          <w:szCs w:val="22"/>
        </w:rPr>
        <w:t>standard lending threshold of 5 to 10 percent</w:t>
      </w:r>
      <w:r w:rsidRPr="00D9152B">
        <w:rPr>
          <w:rFonts w:ascii="Calibri" w:hAnsi="Calibri" w:cs="Calibri"/>
          <w:sz w:val="22"/>
          <w:szCs w:val="22"/>
        </w:rPr>
        <w:t xml:space="preserve"> (and the </w:t>
      </w:r>
      <w:r w:rsidR="001D54BD">
        <w:rPr>
          <w:rFonts w:ascii="Calibri" w:hAnsi="Calibri" w:cs="Calibri"/>
          <w:sz w:val="22"/>
          <w:szCs w:val="22"/>
        </w:rPr>
        <w:t>net present value [NPV]</w:t>
      </w:r>
      <w:r w:rsidRPr="00D9152B">
        <w:rPr>
          <w:rFonts w:ascii="Calibri" w:hAnsi="Calibri" w:cs="Calibri"/>
          <w:sz w:val="22"/>
          <w:szCs w:val="22"/>
        </w:rPr>
        <w:t xml:space="preserve"> was negative), would it mean that the OCP partnership was actually counterintuitive from a priority-setting vantage? </w:t>
      </w:r>
    </w:p>
    <w:p w14:paraId="030D110D" w14:textId="62A26A12" w:rsidR="00FA7761"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In short, while Kim and Benton’s quantitative calculations received traction among donors and within the global health community, they hardly provided a broad formula for measuring the economic effects of parasitic diseases. Perhaps most importantly, the layers of assumptions in their models meant that their findings could be wildly misleading if used out of context. Their analyses indicated that the major economic benefit of the OCP would be derived from land (not labour). Yet, they did not provide answers to questions raised as early as the mid-1970s about how to best structure economic advisory groups for health programmes, how to collect data on socio-economic status for health projects, and how to account for other socio-economic variables (like trypanosomiasis, road access, and water availability) in cost-benefit or cost-e</w:t>
      </w:r>
      <w:r w:rsidR="005C44EF" w:rsidRPr="00D9152B">
        <w:rPr>
          <w:rFonts w:ascii="Calibri" w:hAnsi="Calibri" w:cs="Calibri"/>
          <w:sz w:val="22"/>
          <w:szCs w:val="22"/>
        </w:rPr>
        <w:t xml:space="preserve">ffectiveness analyses. </w:t>
      </w:r>
      <w:r w:rsidR="00D82A8E" w:rsidRPr="00D9152B">
        <w:rPr>
          <w:rFonts w:ascii="Calibri" w:hAnsi="Calibri" w:cs="Calibri"/>
          <w:sz w:val="22"/>
          <w:szCs w:val="22"/>
        </w:rPr>
        <w:t xml:space="preserve">Table </w:t>
      </w:r>
      <w:r w:rsidR="001D54BD">
        <w:rPr>
          <w:rFonts w:ascii="Calibri" w:hAnsi="Calibri" w:cs="Calibri"/>
          <w:sz w:val="22"/>
          <w:szCs w:val="22"/>
        </w:rPr>
        <w:t>4.</w:t>
      </w:r>
      <w:r w:rsidR="00D82A8E" w:rsidRPr="00D9152B">
        <w:rPr>
          <w:rFonts w:ascii="Calibri" w:hAnsi="Calibri" w:cs="Calibri"/>
          <w:sz w:val="22"/>
          <w:szCs w:val="22"/>
        </w:rPr>
        <w:t>2</w:t>
      </w:r>
      <w:r w:rsidRPr="00D9152B">
        <w:rPr>
          <w:rFonts w:ascii="Calibri" w:hAnsi="Calibri" w:cs="Calibri"/>
          <w:sz w:val="22"/>
          <w:szCs w:val="22"/>
        </w:rPr>
        <w:t xml:space="preserve"> summari</w:t>
      </w:r>
      <w:r w:rsidR="00254A9B">
        <w:rPr>
          <w:rFonts w:ascii="Calibri" w:hAnsi="Calibri" w:cs="Calibri"/>
          <w:sz w:val="22"/>
          <w:szCs w:val="22"/>
        </w:rPr>
        <w:t>s</w:t>
      </w:r>
      <w:r w:rsidRPr="00D9152B">
        <w:rPr>
          <w:rFonts w:ascii="Calibri" w:hAnsi="Calibri" w:cs="Calibri"/>
          <w:sz w:val="22"/>
          <w:szCs w:val="22"/>
        </w:rPr>
        <w:t xml:space="preserve">es the </w:t>
      </w:r>
      <w:r w:rsidR="005C44EF" w:rsidRPr="00D9152B">
        <w:rPr>
          <w:rFonts w:ascii="Calibri" w:hAnsi="Calibri" w:cs="Calibri"/>
          <w:sz w:val="22"/>
          <w:szCs w:val="22"/>
        </w:rPr>
        <w:t>major socio-economic model</w:t>
      </w:r>
      <w:r w:rsidR="005503D0" w:rsidRPr="00D9152B">
        <w:rPr>
          <w:rFonts w:ascii="Calibri" w:hAnsi="Calibri" w:cs="Calibri"/>
          <w:sz w:val="22"/>
          <w:szCs w:val="22"/>
        </w:rPr>
        <w:t>l</w:t>
      </w:r>
      <w:r w:rsidR="005C44EF" w:rsidRPr="00D9152B">
        <w:rPr>
          <w:rFonts w:ascii="Calibri" w:hAnsi="Calibri" w:cs="Calibri"/>
          <w:sz w:val="22"/>
          <w:szCs w:val="22"/>
        </w:rPr>
        <w:t>ing efforts during the OCP, with the metrics they created – and the major assumptions that they made to calculate these metrics.</w:t>
      </w:r>
    </w:p>
    <w:tbl>
      <w:tblPr>
        <w:tblStyle w:val="GridTable3-Accent3"/>
        <w:tblW w:w="8647" w:type="dxa"/>
        <w:tblLook w:val="04A0" w:firstRow="1" w:lastRow="0" w:firstColumn="1" w:lastColumn="0" w:noHBand="0" w:noVBand="1"/>
      </w:tblPr>
      <w:tblGrid>
        <w:gridCol w:w="1843"/>
        <w:gridCol w:w="1843"/>
        <w:gridCol w:w="2268"/>
        <w:gridCol w:w="2693"/>
      </w:tblGrid>
      <w:tr w:rsidR="00AC7848" w:rsidRPr="00D9152B" w14:paraId="36E73B6E" w14:textId="77777777" w:rsidTr="00115299">
        <w:trPr>
          <w:cnfStyle w:val="100000000000" w:firstRow="1" w:lastRow="0" w:firstColumn="0" w:lastColumn="0" w:oddVBand="0" w:evenVBand="0" w:oddHBand="0" w:evenHBand="0" w:firstRowFirstColumn="0" w:firstRowLastColumn="0" w:lastRowFirstColumn="0" w:lastRowLastColumn="0"/>
          <w:trHeight w:val="267"/>
        </w:trPr>
        <w:tc>
          <w:tcPr>
            <w:cnfStyle w:val="001000000100" w:firstRow="0" w:lastRow="0" w:firstColumn="1" w:lastColumn="0" w:oddVBand="0" w:evenVBand="0" w:oddHBand="0" w:evenHBand="0" w:firstRowFirstColumn="1" w:firstRowLastColumn="0" w:lastRowFirstColumn="0" w:lastRowLastColumn="0"/>
            <w:tcW w:w="1843" w:type="dxa"/>
            <w:tcBorders>
              <w:bottom w:val="single" w:sz="4" w:space="0" w:color="auto"/>
              <w:right w:val="single" w:sz="4" w:space="0" w:color="auto"/>
            </w:tcBorders>
          </w:tcPr>
          <w:p w14:paraId="4AC3448F" w14:textId="77777777" w:rsidR="00AC7848" w:rsidRPr="00D9152B" w:rsidRDefault="00AC7848" w:rsidP="00017C2E">
            <w:pPr>
              <w:rPr>
                <w:rFonts w:ascii="Calibri" w:hAnsi="Calibri" w:cs="Calibri"/>
                <w:sz w:val="18"/>
                <w:szCs w:val="18"/>
              </w:rPr>
            </w:pPr>
            <w:r w:rsidRPr="00D9152B">
              <w:rPr>
                <w:rFonts w:ascii="Calibri" w:hAnsi="Calibri" w:cs="Calibri"/>
                <w:sz w:val="18"/>
                <w:szCs w:val="18"/>
              </w:rPr>
              <w:t>Study</w:t>
            </w:r>
          </w:p>
        </w:tc>
        <w:tc>
          <w:tcPr>
            <w:tcW w:w="1843" w:type="dxa"/>
            <w:tcBorders>
              <w:left w:val="single" w:sz="4" w:space="0" w:color="auto"/>
              <w:bottom w:val="single" w:sz="4" w:space="0" w:color="auto"/>
              <w:right w:val="single" w:sz="4" w:space="0" w:color="auto"/>
            </w:tcBorders>
          </w:tcPr>
          <w:p w14:paraId="402A0382" w14:textId="77777777" w:rsidR="00AC7848" w:rsidRPr="00D9152B" w:rsidRDefault="00AC7848" w:rsidP="00017C2E">
            <w:pPr>
              <w:cnfStyle w:val="100000000000" w:firstRow="1" w:lastRow="0" w:firstColumn="0" w:lastColumn="0" w:oddVBand="0" w:evenVBand="0" w:oddHBand="0" w:evenHBand="0" w:firstRowFirstColumn="0" w:firstRowLastColumn="0" w:lastRowFirstColumn="0" w:lastRowLastColumn="0"/>
              <w:rPr>
                <w:rFonts w:ascii="Calibri" w:hAnsi="Calibri" w:cs="Calibri"/>
                <w:i/>
                <w:sz w:val="18"/>
                <w:szCs w:val="18"/>
              </w:rPr>
            </w:pPr>
            <w:r w:rsidRPr="00D9152B">
              <w:rPr>
                <w:rFonts w:ascii="Calibri" w:hAnsi="Calibri" w:cs="Calibri"/>
                <w:i/>
                <w:sz w:val="18"/>
                <w:szCs w:val="18"/>
              </w:rPr>
              <w:t>Metric</w:t>
            </w:r>
          </w:p>
        </w:tc>
        <w:tc>
          <w:tcPr>
            <w:tcW w:w="2268" w:type="dxa"/>
            <w:tcBorders>
              <w:left w:val="single" w:sz="4" w:space="0" w:color="auto"/>
              <w:bottom w:val="single" w:sz="4" w:space="0" w:color="auto"/>
              <w:right w:val="single" w:sz="4" w:space="0" w:color="auto"/>
            </w:tcBorders>
          </w:tcPr>
          <w:p w14:paraId="26D558BC" w14:textId="77777777" w:rsidR="00AC7848" w:rsidRPr="00D9152B" w:rsidRDefault="00AC7848" w:rsidP="00017C2E">
            <w:pPr>
              <w:cnfStyle w:val="100000000000" w:firstRow="1" w:lastRow="0" w:firstColumn="0" w:lastColumn="0" w:oddVBand="0" w:evenVBand="0" w:oddHBand="0" w:evenHBand="0" w:firstRowFirstColumn="0" w:firstRowLastColumn="0" w:lastRowFirstColumn="0" w:lastRowLastColumn="0"/>
              <w:rPr>
                <w:rFonts w:ascii="Calibri" w:hAnsi="Calibri" w:cs="Calibri"/>
                <w:i/>
                <w:sz w:val="18"/>
                <w:szCs w:val="18"/>
              </w:rPr>
            </w:pPr>
            <w:r w:rsidRPr="00D9152B">
              <w:rPr>
                <w:rFonts w:ascii="Calibri" w:hAnsi="Calibri" w:cs="Calibri"/>
                <w:i/>
                <w:sz w:val="18"/>
                <w:szCs w:val="18"/>
              </w:rPr>
              <w:t>Value</w:t>
            </w:r>
          </w:p>
        </w:tc>
        <w:tc>
          <w:tcPr>
            <w:tcW w:w="2693" w:type="dxa"/>
            <w:tcBorders>
              <w:left w:val="single" w:sz="4" w:space="0" w:color="auto"/>
              <w:bottom w:val="single" w:sz="4" w:space="0" w:color="auto"/>
            </w:tcBorders>
          </w:tcPr>
          <w:p w14:paraId="34423F17" w14:textId="77777777" w:rsidR="00AC7848" w:rsidRPr="00D9152B" w:rsidRDefault="00AC7848" w:rsidP="00017C2E">
            <w:pPr>
              <w:cnfStyle w:val="100000000000" w:firstRow="1" w:lastRow="0" w:firstColumn="0" w:lastColumn="0" w:oddVBand="0" w:evenVBand="0" w:oddHBand="0" w:evenHBand="0" w:firstRowFirstColumn="0" w:firstRowLastColumn="0" w:lastRowFirstColumn="0" w:lastRowLastColumn="0"/>
              <w:rPr>
                <w:rFonts w:ascii="Calibri" w:hAnsi="Calibri" w:cs="Calibri"/>
                <w:i/>
                <w:sz w:val="18"/>
                <w:szCs w:val="18"/>
              </w:rPr>
            </w:pPr>
            <w:r w:rsidRPr="00D9152B">
              <w:rPr>
                <w:rFonts w:ascii="Calibri" w:hAnsi="Calibri" w:cs="Calibri"/>
                <w:i/>
                <w:sz w:val="18"/>
                <w:szCs w:val="18"/>
              </w:rPr>
              <w:t>Major Assumptions</w:t>
            </w:r>
          </w:p>
          <w:p w14:paraId="61B9FB36" w14:textId="705627D0" w:rsidR="00017C2E" w:rsidRPr="00D9152B" w:rsidRDefault="00017C2E" w:rsidP="00017C2E">
            <w:pPr>
              <w:cnfStyle w:val="100000000000" w:firstRow="1" w:lastRow="0" w:firstColumn="0" w:lastColumn="0" w:oddVBand="0" w:evenVBand="0" w:oddHBand="0" w:evenHBand="0" w:firstRowFirstColumn="0" w:firstRowLastColumn="0" w:lastRowFirstColumn="0" w:lastRowLastColumn="0"/>
              <w:rPr>
                <w:rFonts w:ascii="Calibri" w:hAnsi="Calibri" w:cs="Calibri"/>
                <w:i/>
                <w:sz w:val="18"/>
                <w:szCs w:val="18"/>
              </w:rPr>
            </w:pPr>
          </w:p>
        </w:tc>
      </w:tr>
      <w:tr w:rsidR="00AC7848" w:rsidRPr="00D9152B" w14:paraId="017F03A5" w14:textId="77777777" w:rsidTr="00115299">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auto"/>
              <w:bottom w:val="single" w:sz="4" w:space="0" w:color="auto"/>
              <w:right w:val="single" w:sz="4" w:space="0" w:color="auto"/>
            </w:tcBorders>
          </w:tcPr>
          <w:p w14:paraId="5FDFCB9E" w14:textId="77777777" w:rsidR="00AC7848" w:rsidRPr="00D9152B" w:rsidRDefault="00AC7848" w:rsidP="00017C2E">
            <w:pPr>
              <w:rPr>
                <w:rFonts w:ascii="Calibri" w:hAnsi="Calibri" w:cs="Calibri"/>
                <w:b/>
                <w:sz w:val="18"/>
                <w:szCs w:val="18"/>
              </w:rPr>
            </w:pPr>
            <w:r w:rsidRPr="00D9152B">
              <w:rPr>
                <w:rFonts w:ascii="Calibri" w:hAnsi="Calibri" w:cs="Calibri"/>
                <w:b/>
                <w:sz w:val="18"/>
                <w:szCs w:val="18"/>
              </w:rPr>
              <w:t>Preparatory (PAG) Mission, 1973</w:t>
            </w:r>
          </w:p>
        </w:tc>
        <w:tc>
          <w:tcPr>
            <w:tcW w:w="1843" w:type="dxa"/>
            <w:tcBorders>
              <w:top w:val="single" w:sz="4" w:space="0" w:color="auto"/>
              <w:left w:val="single" w:sz="4" w:space="0" w:color="auto"/>
              <w:bottom w:val="single" w:sz="4" w:space="0" w:color="auto"/>
              <w:right w:val="single" w:sz="4" w:space="0" w:color="auto"/>
            </w:tcBorders>
          </w:tcPr>
          <w:p w14:paraId="27935261"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Rate of return</w:t>
            </w:r>
          </w:p>
        </w:tc>
        <w:tc>
          <w:tcPr>
            <w:tcW w:w="2268" w:type="dxa"/>
            <w:tcBorders>
              <w:top w:val="single" w:sz="4" w:space="0" w:color="auto"/>
              <w:left w:val="single" w:sz="4" w:space="0" w:color="auto"/>
              <w:bottom w:val="single" w:sz="4" w:space="0" w:color="auto"/>
              <w:right w:val="single" w:sz="4" w:space="0" w:color="auto"/>
            </w:tcBorders>
          </w:tcPr>
          <w:p w14:paraId="59CC0EE1"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10%</w:t>
            </w:r>
          </w:p>
        </w:tc>
        <w:tc>
          <w:tcPr>
            <w:tcW w:w="2693" w:type="dxa"/>
            <w:tcBorders>
              <w:top w:val="single" w:sz="4" w:space="0" w:color="auto"/>
              <w:left w:val="single" w:sz="4" w:space="0" w:color="auto"/>
              <w:bottom w:val="single" w:sz="4" w:space="0" w:color="auto"/>
              <w:right w:val="single" w:sz="4" w:space="0" w:color="auto"/>
            </w:tcBorders>
          </w:tcPr>
          <w:p w14:paraId="0463BE0F"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General estimate only</w:t>
            </w:r>
          </w:p>
        </w:tc>
      </w:tr>
      <w:tr w:rsidR="00AC7848" w:rsidRPr="00D9152B" w14:paraId="69B1D9F4" w14:textId="77777777" w:rsidTr="00115299">
        <w:trPr>
          <w:trHeight w:val="458"/>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auto"/>
              <w:bottom w:val="single" w:sz="4" w:space="0" w:color="auto"/>
              <w:right w:val="single" w:sz="4" w:space="0" w:color="auto"/>
            </w:tcBorders>
          </w:tcPr>
          <w:p w14:paraId="00BB7B48" w14:textId="77777777" w:rsidR="00AC7848" w:rsidRPr="00D9152B" w:rsidRDefault="00AC7848" w:rsidP="00017C2E">
            <w:pPr>
              <w:rPr>
                <w:rFonts w:ascii="Calibri" w:hAnsi="Calibri" w:cs="Calibri"/>
                <w:b/>
                <w:sz w:val="18"/>
                <w:szCs w:val="18"/>
              </w:rPr>
            </w:pPr>
          </w:p>
        </w:tc>
        <w:tc>
          <w:tcPr>
            <w:tcW w:w="1843" w:type="dxa"/>
            <w:tcBorders>
              <w:top w:val="single" w:sz="4" w:space="0" w:color="auto"/>
              <w:left w:val="single" w:sz="4" w:space="0" w:color="auto"/>
              <w:bottom w:val="single" w:sz="4" w:space="0" w:color="auto"/>
              <w:right w:val="single" w:sz="4" w:space="0" w:color="auto"/>
            </w:tcBorders>
          </w:tcPr>
          <w:p w14:paraId="33751E53"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 xml:space="preserve">Jobs created </w:t>
            </w:r>
          </w:p>
        </w:tc>
        <w:tc>
          <w:tcPr>
            <w:tcW w:w="2268" w:type="dxa"/>
            <w:tcBorders>
              <w:top w:val="single" w:sz="4" w:space="0" w:color="auto"/>
              <w:left w:val="single" w:sz="4" w:space="0" w:color="auto"/>
              <w:bottom w:val="single" w:sz="4" w:space="0" w:color="auto"/>
              <w:right w:val="single" w:sz="4" w:space="0" w:color="auto"/>
            </w:tcBorders>
          </w:tcPr>
          <w:p w14:paraId="2F1918BA"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 xml:space="preserve">200,000 </w:t>
            </w:r>
          </w:p>
        </w:tc>
        <w:tc>
          <w:tcPr>
            <w:tcW w:w="2693" w:type="dxa"/>
            <w:tcBorders>
              <w:top w:val="single" w:sz="4" w:space="0" w:color="auto"/>
              <w:left w:val="single" w:sz="4" w:space="0" w:color="auto"/>
              <w:bottom w:val="single" w:sz="4" w:space="0" w:color="auto"/>
              <w:right w:val="single" w:sz="4" w:space="0" w:color="auto"/>
            </w:tcBorders>
          </w:tcPr>
          <w:p w14:paraId="70D65618"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General estimate only</w:t>
            </w:r>
          </w:p>
        </w:tc>
      </w:tr>
      <w:tr w:rsidR="00AC7848" w:rsidRPr="00D9152B" w14:paraId="52684D00" w14:textId="77777777" w:rsidTr="00115299">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auto"/>
              <w:bottom w:val="single" w:sz="4" w:space="0" w:color="auto"/>
              <w:right w:val="single" w:sz="4" w:space="0" w:color="auto"/>
            </w:tcBorders>
          </w:tcPr>
          <w:p w14:paraId="67035834" w14:textId="77777777" w:rsidR="00AC7848" w:rsidRPr="00D9152B" w:rsidRDefault="00AC7848" w:rsidP="00017C2E">
            <w:pPr>
              <w:rPr>
                <w:rFonts w:ascii="Calibri" w:hAnsi="Calibri" w:cs="Calibri"/>
                <w:b/>
                <w:sz w:val="18"/>
                <w:szCs w:val="18"/>
              </w:rPr>
            </w:pPr>
          </w:p>
        </w:tc>
        <w:tc>
          <w:tcPr>
            <w:tcW w:w="1843" w:type="dxa"/>
            <w:tcBorders>
              <w:top w:val="single" w:sz="4" w:space="0" w:color="auto"/>
              <w:left w:val="single" w:sz="4" w:space="0" w:color="auto"/>
              <w:bottom w:val="single" w:sz="4" w:space="0" w:color="auto"/>
              <w:right w:val="single" w:sz="4" w:space="0" w:color="auto"/>
            </w:tcBorders>
          </w:tcPr>
          <w:p w14:paraId="065BB8AF"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 xml:space="preserve">Economic of increased industry </w:t>
            </w:r>
          </w:p>
        </w:tc>
        <w:tc>
          <w:tcPr>
            <w:tcW w:w="2268" w:type="dxa"/>
            <w:tcBorders>
              <w:top w:val="single" w:sz="4" w:space="0" w:color="auto"/>
              <w:left w:val="single" w:sz="4" w:space="0" w:color="auto"/>
              <w:bottom w:val="single" w:sz="4" w:space="0" w:color="auto"/>
              <w:right w:val="single" w:sz="4" w:space="0" w:color="auto"/>
            </w:tcBorders>
          </w:tcPr>
          <w:p w14:paraId="07C8B35F"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$10+ million/year</w:t>
            </w:r>
          </w:p>
        </w:tc>
        <w:tc>
          <w:tcPr>
            <w:tcW w:w="2693" w:type="dxa"/>
            <w:tcBorders>
              <w:top w:val="single" w:sz="4" w:space="0" w:color="auto"/>
              <w:left w:val="single" w:sz="4" w:space="0" w:color="auto"/>
              <w:bottom w:val="single" w:sz="4" w:space="0" w:color="auto"/>
              <w:right w:val="single" w:sz="4" w:space="0" w:color="auto"/>
            </w:tcBorders>
          </w:tcPr>
          <w:p w14:paraId="3995F3EB"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 xml:space="preserve">Due to job creation, </w:t>
            </w:r>
          </w:p>
          <w:p w14:paraId="48BB3EE2"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general estimate only</w:t>
            </w:r>
          </w:p>
        </w:tc>
      </w:tr>
      <w:tr w:rsidR="00AC7848" w:rsidRPr="00D9152B" w14:paraId="5872DCC6" w14:textId="77777777" w:rsidTr="00115299">
        <w:trPr>
          <w:trHeight w:val="458"/>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auto"/>
              <w:bottom w:val="single" w:sz="4" w:space="0" w:color="auto"/>
              <w:right w:val="single" w:sz="4" w:space="0" w:color="auto"/>
            </w:tcBorders>
          </w:tcPr>
          <w:p w14:paraId="065EDE3B" w14:textId="77777777" w:rsidR="00AC7848" w:rsidRPr="00D9152B" w:rsidRDefault="00AC7848" w:rsidP="00017C2E">
            <w:pPr>
              <w:rPr>
                <w:rFonts w:ascii="Calibri" w:hAnsi="Calibri" w:cs="Calibri"/>
                <w:b/>
                <w:sz w:val="18"/>
                <w:szCs w:val="18"/>
              </w:rPr>
            </w:pPr>
          </w:p>
        </w:tc>
        <w:tc>
          <w:tcPr>
            <w:tcW w:w="1843" w:type="dxa"/>
            <w:tcBorders>
              <w:top w:val="single" w:sz="4" w:space="0" w:color="auto"/>
              <w:left w:val="single" w:sz="4" w:space="0" w:color="auto"/>
              <w:bottom w:val="single" w:sz="4" w:space="0" w:color="auto"/>
              <w:right w:val="single" w:sz="4" w:space="0" w:color="auto"/>
            </w:tcBorders>
          </w:tcPr>
          <w:p w14:paraId="00804020"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Land freed</w:t>
            </w:r>
          </w:p>
        </w:tc>
        <w:tc>
          <w:tcPr>
            <w:tcW w:w="2268" w:type="dxa"/>
            <w:tcBorders>
              <w:top w:val="single" w:sz="4" w:space="0" w:color="auto"/>
              <w:left w:val="single" w:sz="4" w:space="0" w:color="auto"/>
              <w:bottom w:val="single" w:sz="4" w:space="0" w:color="auto"/>
              <w:right w:val="single" w:sz="4" w:space="0" w:color="auto"/>
            </w:tcBorders>
          </w:tcPr>
          <w:p w14:paraId="5328B210"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65 million hectares</w:t>
            </w:r>
          </w:p>
        </w:tc>
        <w:tc>
          <w:tcPr>
            <w:tcW w:w="2693" w:type="dxa"/>
            <w:tcBorders>
              <w:top w:val="single" w:sz="4" w:space="0" w:color="auto"/>
              <w:left w:val="single" w:sz="4" w:space="0" w:color="auto"/>
              <w:bottom w:val="single" w:sz="4" w:space="0" w:color="auto"/>
              <w:right w:val="single" w:sz="4" w:space="0" w:color="auto"/>
            </w:tcBorders>
          </w:tcPr>
          <w:p w14:paraId="5B43F09F"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General estimate only</w:t>
            </w:r>
          </w:p>
        </w:tc>
      </w:tr>
      <w:tr w:rsidR="00AC7848" w:rsidRPr="00D9152B" w14:paraId="1DCE3281" w14:textId="77777777" w:rsidTr="00115299">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auto"/>
              <w:bottom w:val="single" w:sz="4" w:space="0" w:color="auto"/>
              <w:right w:val="single" w:sz="4" w:space="0" w:color="auto"/>
            </w:tcBorders>
          </w:tcPr>
          <w:p w14:paraId="498C900A" w14:textId="227C5ABA" w:rsidR="00AC7848" w:rsidRPr="00D9152B" w:rsidRDefault="00AC7848" w:rsidP="00017C2E">
            <w:pPr>
              <w:rPr>
                <w:rFonts w:ascii="Calibri" w:hAnsi="Calibri" w:cs="Calibri"/>
                <w:b/>
                <w:sz w:val="18"/>
                <w:szCs w:val="18"/>
              </w:rPr>
            </w:pPr>
            <w:r w:rsidRPr="00D9152B">
              <w:rPr>
                <w:rFonts w:ascii="Calibri" w:hAnsi="Calibri" w:cs="Calibri"/>
                <w:b/>
                <w:sz w:val="18"/>
                <w:szCs w:val="18"/>
              </w:rPr>
              <w:t>Economic Review Mission, 1978</w:t>
            </w:r>
          </w:p>
        </w:tc>
        <w:tc>
          <w:tcPr>
            <w:tcW w:w="1843" w:type="dxa"/>
            <w:tcBorders>
              <w:top w:val="single" w:sz="4" w:space="0" w:color="auto"/>
              <w:left w:val="single" w:sz="4" w:space="0" w:color="auto"/>
              <w:bottom w:val="single" w:sz="4" w:space="0" w:color="auto"/>
              <w:right w:val="single" w:sz="4" w:space="0" w:color="auto"/>
            </w:tcBorders>
          </w:tcPr>
          <w:p w14:paraId="307EAFFE"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 xml:space="preserve">Net present value (labour) </w:t>
            </w:r>
          </w:p>
        </w:tc>
        <w:tc>
          <w:tcPr>
            <w:tcW w:w="2268" w:type="dxa"/>
            <w:tcBorders>
              <w:top w:val="single" w:sz="4" w:space="0" w:color="auto"/>
              <w:left w:val="single" w:sz="4" w:space="0" w:color="auto"/>
              <w:bottom w:val="single" w:sz="4" w:space="0" w:color="auto"/>
              <w:right w:val="single" w:sz="4" w:space="0" w:color="auto"/>
            </w:tcBorders>
          </w:tcPr>
          <w:p w14:paraId="07326D62" w14:textId="18A9E0C1"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 xml:space="preserve">$20.5 million </w:t>
            </w:r>
            <w:r w:rsidR="005C44EF" w:rsidRPr="00D9152B">
              <w:rPr>
                <w:rFonts w:ascii="Calibri" w:hAnsi="Calibri" w:cs="Calibri"/>
                <w:sz w:val="18"/>
                <w:szCs w:val="18"/>
              </w:rPr>
              <w:t>to</w:t>
            </w:r>
            <w:r w:rsidRPr="00D9152B">
              <w:rPr>
                <w:rFonts w:ascii="Calibri" w:hAnsi="Calibri" w:cs="Calibri"/>
                <w:sz w:val="18"/>
                <w:szCs w:val="18"/>
              </w:rPr>
              <w:t xml:space="preserve"> $1,137.6 million </w:t>
            </w:r>
          </w:p>
        </w:tc>
        <w:tc>
          <w:tcPr>
            <w:tcW w:w="2693" w:type="dxa"/>
            <w:tcBorders>
              <w:top w:val="single" w:sz="4" w:space="0" w:color="auto"/>
              <w:left w:val="single" w:sz="4" w:space="0" w:color="auto"/>
              <w:bottom w:val="single" w:sz="4" w:space="0" w:color="auto"/>
              <w:right w:val="single" w:sz="4" w:space="0" w:color="auto"/>
            </w:tcBorders>
          </w:tcPr>
          <w:p w14:paraId="349AEE5E"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25-50 year time horizon,</w:t>
            </w:r>
          </w:p>
          <w:p w14:paraId="36B7549B"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3-15% discount rate,</w:t>
            </w:r>
          </w:p>
          <w:p w14:paraId="32358A96"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$45-70  income per worker,</w:t>
            </w:r>
          </w:p>
          <w:p w14:paraId="4B1272E2"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3% growth in income/year</w:t>
            </w:r>
          </w:p>
        </w:tc>
      </w:tr>
      <w:tr w:rsidR="00AC7848" w:rsidRPr="00D9152B" w14:paraId="7FA70AFD" w14:textId="77777777" w:rsidTr="00115299">
        <w:trPr>
          <w:trHeight w:val="458"/>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auto"/>
              <w:bottom w:val="single" w:sz="4" w:space="0" w:color="auto"/>
              <w:right w:val="single" w:sz="4" w:space="0" w:color="auto"/>
            </w:tcBorders>
          </w:tcPr>
          <w:p w14:paraId="0A742FA5" w14:textId="77777777" w:rsidR="00AC7848" w:rsidRPr="00D9152B" w:rsidRDefault="00AC7848" w:rsidP="00017C2E">
            <w:pPr>
              <w:rPr>
                <w:rFonts w:ascii="Calibri" w:hAnsi="Calibri" w:cs="Calibri"/>
                <w:b/>
                <w:sz w:val="18"/>
                <w:szCs w:val="18"/>
              </w:rPr>
            </w:pPr>
          </w:p>
        </w:tc>
        <w:tc>
          <w:tcPr>
            <w:tcW w:w="1843" w:type="dxa"/>
            <w:tcBorders>
              <w:top w:val="single" w:sz="4" w:space="0" w:color="auto"/>
              <w:left w:val="single" w:sz="4" w:space="0" w:color="auto"/>
              <w:bottom w:val="single" w:sz="4" w:space="0" w:color="auto"/>
              <w:right w:val="single" w:sz="4" w:space="0" w:color="auto"/>
            </w:tcBorders>
          </w:tcPr>
          <w:p w14:paraId="265489EF"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Land freed</w:t>
            </w:r>
          </w:p>
        </w:tc>
        <w:tc>
          <w:tcPr>
            <w:tcW w:w="2268" w:type="dxa"/>
            <w:tcBorders>
              <w:top w:val="single" w:sz="4" w:space="0" w:color="auto"/>
              <w:left w:val="single" w:sz="4" w:space="0" w:color="auto"/>
              <w:bottom w:val="single" w:sz="4" w:space="0" w:color="auto"/>
              <w:right w:val="single" w:sz="4" w:space="0" w:color="auto"/>
            </w:tcBorders>
          </w:tcPr>
          <w:p w14:paraId="143C6A1F"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5.06 million hectares (initial),</w:t>
            </w:r>
          </w:p>
          <w:p w14:paraId="6CBFE7FF"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lastRenderedPageBreak/>
              <w:t>13.4-15.4 million hectares (revised)</w:t>
            </w:r>
          </w:p>
        </w:tc>
        <w:tc>
          <w:tcPr>
            <w:tcW w:w="2693" w:type="dxa"/>
            <w:tcBorders>
              <w:top w:val="single" w:sz="4" w:space="0" w:color="auto"/>
              <w:left w:val="single" w:sz="4" w:space="0" w:color="auto"/>
              <w:bottom w:val="single" w:sz="4" w:space="0" w:color="auto"/>
              <w:right w:val="single" w:sz="4" w:space="0" w:color="auto"/>
            </w:tcBorders>
          </w:tcPr>
          <w:p w14:paraId="19341F72"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lastRenderedPageBreak/>
              <w:t>For 7 initial OCP countries</w:t>
            </w:r>
          </w:p>
        </w:tc>
      </w:tr>
      <w:tr w:rsidR="00AC7848" w:rsidRPr="00D9152B" w14:paraId="3834598E" w14:textId="77777777" w:rsidTr="00115299">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auto"/>
              <w:bottom w:val="single" w:sz="4" w:space="0" w:color="auto"/>
              <w:right w:val="single" w:sz="4" w:space="0" w:color="auto"/>
            </w:tcBorders>
          </w:tcPr>
          <w:p w14:paraId="465D7D0D" w14:textId="77777777" w:rsidR="00AC7848" w:rsidRPr="00D9152B" w:rsidRDefault="00AC7848" w:rsidP="00017C2E">
            <w:pPr>
              <w:rPr>
                <w:rFonts w:ascii="Calibri" w:hAnsi="Calibri" w:cs="Calibri"/>
                <w:b/>
                <w:sz w:val="18"/>
                <w:szCs w:val="18"/>
              </w:rPr>
            </w:pPr>
            <w:r w:rsidRPr="00D9152B">
              <w:rPr>
                <w:rFonts w:ascii="Calibri" w:hAnsi="Calibri" w:cs="Calibri"/>
                <w:b/>
                <w:sz w:val="18"/>
                <w:szCs w:val="18"/>
              </w:rPr>
              <w:t>Prost &amp; Prescott, 1983</w:t>
            </w:r>
          </w:p>
        </w:tc>
        <w:tc>
          <w:tcPr>
            <w:tcW w:w="1843" w:type="dxa"/>
            <w:tcBorders>
              <w:top w:val="single" w:sz="4" w:space="0" w:color="auto"/>
              <w:left w:val="single" w:sz="4" w:space="0" w:color="auto"/>
              <w:bottom w:val="single" w:sz="4" w:space="0" w:color="auto"/>
              <w:right w:val="single" w:sz="4" w:space="0" w:color="auto"/>
            </w:tcBorders>
          </w:tcPr>
          <w:p w14:paraId="0B93405B"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Years of productive healthy life added</w:t>
            </w:r>
          </w:p>
        </w:tc>
        <w:tc>
          <w:tcPr>
            <w:tcW w:w="2268" w:type="dxa"/>
            <w:tcBorders>
              <w:top w:val="single" w:sz="4" w:space="0" w:color="auto"/>
              <w:left w:val="single" w:sz="4" w:space="0" w:color="auto"/>
              <w:bottom w:val="single" w:sz="4" w:space="0" w:color="auto"/>
              <w:right w:val="single" w:sz="4" w:space="0" w:color="auto"/>
            </w:tcBorders>
          </w:tcPr>
          <w:p w14:paraId="2B18945D"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1,098,094 productive health years of life added,</w:t>
            </w:r>
          </w:p>
          <w:p w14:paraId="69007B31"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147,291 discounted years of productive healthy life added</w:t>
            </w:r>
          </w:p>
        </w:tc>
        <w:tc>
          <w:tcPr>
            <w:tcW w:w="2693" w:type="dxa"/>
            <w:tcBorders>
              <w:top w:val="single" w:sz="4" w:space="0" w:color="auto"/>
              <w:left w:val="single" w:sz="4" w:space="0" w:color="auto"/>
              <w:bottom w:val="single" w:sz="4" w:space="0" w:color="auto"/>
              <w:right w:val="single" w:sz="4" w:space="0" w:color="auto"/>
            </w:tcBorders>
          </w:tcPr>
          <w:p w14:paraId="5282E49C"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One case of blindness reduces productive life by 20 years in mesoendemic areas and 23 years in hyperendemic areas,</w:t>
            </w:r>
          </w:p>
          <w:p w14:paraId="02891E66"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10% discount rate,</w:t>
            </w:r>
          </w:p>
          <w:p w14:paraId="615FEDD8"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20 year time horizon</w:t>
            </w:r>
          </w:p>
        </w:tc>
      </w:tr>
      <w:tr w:rsidR="00AC7848" w:rsidRPr="00D9152B" w14:paraId="1296F63B" w14:textId="77777777" w:rsidTr="00115299">
        <w:trPr>
          <w:trHeight w:val="458"/>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auto"/>
              <w:bottom w:val="single" w:sz="4" w:space="0" w:color="auto"/>
              <w:right w:val="single" w:sz="4" w:space="0" w:color="auto"/>
            </w:tcBorders>
          </w:tcPr>
          <w:p w14:paraId="4B5C5E26" w14:textId="77777777" w:rsidR="00AC7848" w:rsidRPr="00D9152B" w:rsidRDefault="00AC7848" w:rsidP="00017C2E">
            <w:pPr>
              <w:rPr>
                <w:rFonts w:ascii="Calibri" w:hAnsi="Calibri" w:cs="Calibri"/>
                <w:b/>
                <w:sz w:val="18"/>
                <w:szCs w:val="18"/>
              </w:rPr>
            </w:pPr>
          </w:p>
        </w:tc>
        <w:tc>
          <w:tcPr>
            <w:tcW w:w="1843" w:type="dxa"/>
            <w:tcBorders>
              <w:top w:val="single" w:sz="4" w:space="0" w:color="auto"/>
              <w:left w:val="single" w:sz="4" w:space="0" w:color="auto"/>
              <w:bottom w:val="single" w:sz="4" w:space="0" w:color="auto"/>
              <w:right w:val="single" w:sz="4" w:space="0" w:color="auto"/>
            </w:tcBorders>
          </w:tcPr>
          <w:p w14:paraId="3194AF2C"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Cost per productive year of healthy life added</w:t>
            </w:r>
          </w:p>
        </w:tc>
        <w:tc>
          <w:tcPr>
            <w:tcW w:w="2268" w:type="dxa"/>
            <w:tcBorders>
              <w:top w:val="single" w:sz="4" w:space="0" w:color="auto"/>
              <w:left w:val="single" w:sz="4" w:space="0" w:color="auto"/>
              <w:bottom w:val="single" w:sz="4" w:space="0" w:color="auto"/>
              <w:right w:val="single" w:sz="4" w:space="0" w:color="auto"/>
            </w:tcBorders>
          </w:tcPr>
          <w:p w14:paraId="3010FCE2"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$20/year of productive healthy life,</w:t>
            </w:r>
          </w:p>
          <w:p w14:paraId="16C23209"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$150/discounted year of productive healthy life</w:t>
            </w:r>
          </w:p>
        </w:tc>
        <w:tc>
          <w:tcPr>
            <w:tcW w:w="2693" w:type="dxa"/>
            <w:tcBorders>
              <w:top w:val="single" w:sz="4" w:space="0" w:color="auto"/>
              <w:left w:val="single" w:sz="4" w:space="0" w:color="auto"/>
              <w:bottom w:val="single" w:sz="4" w:space="0" w:color="auto"/>
              <w:right w:val="single" w:sz="4" w:space="0" w:color="auto"/>
            </w:tcBorders>
          </w:tcPr>
          <w:p w14:paraId="33064522"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20 year time horizon</w:t>
            </w:r>
          </w:p>
        </w:tc>
      </w:tr>
      <w:tr w:rsidR="00AC7848" w:rsidRPr="00D9152B" w14:paraId="28B4AE8E" w14:textId="77777777" w:rsidTr="00115299">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auto"/>
              <w:bottom w:val="single" w:sz="4" w:space="0" w:color="auto"/>
              <w:right w:val="single" w:sz="4" w:space="0" w:color="auto"/>
            </w:tcBorders>
          </w:tcPr>
          <w:p w14:paraId="4470F6D9" w14:textId="77777777" w:rsidR="00AC7848" w:rsidRPr="00D9152B" w:rsidRDefault="00AC7848" w:rsidP="00017C2E">
            <w:pPr>
              <w:rPr>
                <w:rFonts w:ascii="Calibri" w:hAnsi="Calibri" w:cs="Calibri"/>
                <w:b/>
                <w:sz w:val="18"/>
                <w:szCs w:val="18"/>
              </w:rPr>
            </w:pPr>
            <w:r w:rsidRPr="00D9152B">
              <w:rPr>
                <w:rFonts w:ascii="Calibri" w:hAnsi="Calibri" w:cs="Calibri"/>
                <w:b/>
                <w:sz w:val="18"/>
                <w:szCs w:val="18"/>
              </w:rPr>
              <w:t>USAID Impact Review, 1986</w:t>
            </w:r>
          </w:p>
        </w:tc>
        <w:tc>
          <w:tcPr>
            <w:tcW w:w="1843" w:type="dxa"/>
            <w:tcBorders>
              <w:top w:val="single" w:sz="4" w:space="0" w:color="auto"/>
              <w:left w:val="single" w:sz="4" w:space="0" w:color="auto"/>
              <w:bottom w:val="single" w:sz="4" w:space="0" w:color="auto"/>
              <w:right w:val="single" w:sz="4" w:space="0" w:color="auto"/>
            </w:tcBorders>
          </w:tcPr>
          <w:p w14:paraId="3CBAAC43"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Land freed</w:t>
            </w:r>
          </w:p>
        </w:tc>
        <w:tc>
          <w:tcPr>
            <w:tcW w:w="2268" w:type="dxa"/>
            <w:tcBorders>
              <w:top w:val="single" w:sz="4" w:space="0" w:color="auto"/>
              <w:left w:val="single" w:sz="4" w:space="0" w:color="auto"/>
              <w:bottom w:val="single" w:sz="4" w:space="0" w:color="auto"/>
              <w:right w:val="single" w:sz="4" w:space="0" w:color="auto"/>
            </w:tcBorders>
          </w:tcPr>
          <w:p w14:paraId="606F607A"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15 million hectares</w:t>
            </w:r>
          </w:p>
        </w:tc>
        <w:tc>
          <w:tcPr>
            <w:tcW w:w="2693" w:type="dxa"/>
            <w:tcBorders>
              <w:top w:val="single" w:sz="4" w:space="0" w:color="auto"/>
              <w:left w:val="single" w:sz="4" w:space="0" w:color="auto"/>
              <w:bottom w:val="single" w:sz="4" w:space="0" w:color="auto"/>
              <w:right w:val="single" w:sz="4" w:space="0" w:color="auto"/>
            </w:tcBorders>
          </w:tcPr>
          <w:p w14:paraId="2BD515DE"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None given</w:t>
            </w:r>
          </w:p>
        </w:tc>
      </w:tr>
      <w:tr w:rsidR="00AC7848" w:rsidRPr="00D9152B" w14:paraId="7784CD09" w14:textId="77777777" w:rsidTr="00115299">
        <w:trPr>
          <w:trHeight w:val="458"/>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auto"/>
              <w:bottom w:val="single" w:sz="4" w:space="0" w:color="auto"/>
              <w:right w:val="single" w:sz="4" w:space="0" w:color="auto"/>
            </w:tcBorders>
          </w:tcPr>
          <w:p w14:paraId="36994D4F" w14:textId="77777777" w:rsidR="00AC7848" w:rsidRPr="00D9152B" w:rsidRDefault="00AC7848" w:rsidP="00017C2E">
            <w:pPr>
              <w:rPr>
                <w:rFonts w:ascii="Calibri" w:hAnsi="Calibri" w:cs="Calibri"/>
                <w:b/>
                <w:sz w:val="18"/>
                <w:szCs w:val="18"/>
              </w:rPr>
            </w:pPr>
          </w:p>
        </w:tc>
        <w:tc>
          <w:tcPr>
            <w:tcW w:w="1843" w:type="dxa"/>
            <w:tcBorders>
              <w:top w:val="single" w:sz="4" w:space="0" w:color="auto"/>
              <w:left w:val="single" w:sz="4" w:space="0" w:color="auto"/>
              <w:bottom w:val="single" w:sz="4" w:space="0" w:color="auto"/>
              <w:right w:val="single" w:sz="4" w:space="0" w:color="auto"/>
            </w:tcBorders>
          </w:tcPr>
          <w:p w14:paraId="3237B3BB"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Productive value of land</w:t>
            </w:r>
          </w:p>
        </w:tc>
        <w:tc>
          <w:tcPr>
            <w:tcW w:w="2268" w:type="dxa"/>
            <w:tcBorders>
              <w:top w:val="single" w:sz="4" w:space="0" w:color="auto"/>
              <w:left w:val="single" w:sz="4" w:space="0" w:color="auto"/>
              <w:bottom w:val="single" w:sz="4" w:space="0" w:color="auto"/>
              <w:right w:val="single" w:sz="4" w:space="0" w:color="auto"/>
            </w:tcBorders>
          </w:tcPr>
          <w:p w14:paraId="1DF6D338"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 xml:space="preserve">Can feed 10 million/year    </w:t>
            </w:r>
          </w:p>
        </w:tc>
        <w:tc>
          <w:tcPr>
            <w:tcW w:w="2693" w:type="dxa"/>
            <w:tcBorders>
              <w:top w:val="single" w:sz="4" w:space="0" w:color="auto"/>
              <w:left w:val="single" w:sz="4" w:space="0" w:color="auto"/>
              <w:bottom w:val="single" w:sz="4" w:space="0" w:color="auto"/>
              <w:right w:val="single" w:sz="4" w:space="0" w:color="auto"/>
            </w:tcBorders>
          </w:tcPr>
          <w:p w14:paraId="2111CD5C"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Land available for harvest is planted entirely with sorghum,</w:t>
            </w:r>
          </w:p>
          <w:p w14:paraId="42FFF6DF"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2.5 million hectares of land is available to harvest each year,</w:t>
            </w:r>
          </w:p>
          <w:p w14:paraId="70AEA88B"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2 million extra tons of grain produced/year</w:t>
            </w:r>
          </w:p>
        </w:tc>
      </w:tr>
      <w:tr w:rsidR="00AC7848" w:rsidRPr="00D9152B" w14:paraId="77847AB2" w14:textId="77777777" w:rsidTr="00115299">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auto"/>
              <w:bottom w:val="single" w:sz="4" w:space="0" w:color="auto"/>
              <w:right w:val="single" w:sz="4" w:space="0" w:color="auto"/>
            </w:tcBorders>
          </w:tcPr>
          <w:p w14:paraId="3CBACBE1" w14:textId="77777777" w:rsidR="00AC7848" w:rsidRPr="00D9152B" w:rsidRDefault="00AC7848" w:rsidP="00017C2E">
            <w:pPr>
              <w:rPr>
                <w:rFonts w:ascii="Calibri" w:hAnsi="Calibri" w:cs="Calibri"/>
                <w:b/>
                <w:sz w:val="18"/>
                <w:szCs w:val="18"/>
              </w:rPr>
            </w:pPr>
            <w:r w:rsidRPr="00D9152B">
              <w:rPr>
                <w:rFonts w:ascii="Calibri" w:hAnsi="Calibri" w:cs="Calibri"/>
                <w:b/>
                <w:sz w:val="18"/>
                <w:szCs w:val="18"/>
              </w:rPr>
              <w:t>Younger &amp; Zongo, 1989</w:t>
            </w:r>
          </w:p>
        </w:tc>
        <w:tc>
          <w:tcPr>
            <w:tcW w:w="1843" w:type="dxa"/>
            <w:tcBorders>
              <w:top w:val="single" w:sz="4" w:space="0" w:color="auto"/>
              <w:left w:val="single" w:sz="4" w:space="0" w:color="auto"/>
              <w:bottom w:val="single" w:sz="4" w:space="0" w:color="auto"/>
              <w:right w:val="single" w:sz="4" w:space="0" w:color="auto"/>
            </w:tcBorders>
          </w:tcPr>
          <w:p w14:paraId="652C4915"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Rate of return (land &amp; labour)</w:t>
            </w:r>
          </w:p>
        </w:tc>
        <w:tc>
          <w:tcPr>
            <w:tcW w:w="2268" w:type="dxa"/>
            <w:tcBorders>
              <w:top w:val="single" w:sz="4" w:space="0" w:color="auto"/>
              <w:left w:val="single" w:sz="4" w:space="0" w:color="auto"/>
              <w:bottom w:val="single" w:sz="4" w:space="0" w:color="auto"/>
              <w:right w:val="single" w:sz="4" w:space="0" w:color="auto"/>
            </w:tcBorders>
          </w:tcPr>
          <w:p w14:paraId="6EFC9C5E" w14:textId="4C1273BF"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 xml:space="preserve">-6% </w:t>
            </w:r>
            <w:r w:rsidR="005C44EF" w:rsidRPr="00D9152B">
              <w:rPr>
                <w:rFonts w:ascii="Calibri" w:hAnsi="Calibri" w:cs="Calibri"/>
                <w:sz w:val="18"/>
                <w:szCs w:val="18"/>
              </w:rPr>
              <w:t>to</w:t>
            </w:r>
            <w:r w:rsidRPr="00D9152B">
              <w:rPr>
                <w:rFonts w:ascii="Calibri" w:hAnsi="Calibri" w:cs="Calibri"/>
                <w:sz w:val="18"/>
                <w:szCs w:val="18"/>
              </w:rPr>
              <w:t xml:space="preserve"> 69%</w:t>
            </w:r>
          </w:p>
        </w:tc>
        <w:tc>
          <w:tcPr>
            <w:tcW w:w="2693" w:type="dxa"/>
            <w:tcBorders>
              <w:top w:val="single" w:sz="4" w:space="0" w:color="auto"/>
              <w:left w:val="single" w:sz="4" w:space="0" w:color="auto"/>
              <w:bottom w:val="single" w:sz="4" w:space="0" w:color="auto"/>
              <w:right w:val="single" w:sz="4" w:space="0" w:color="auto"/>
            </w:tcBorders>
          </w:tcPr>
          <w:p w14:paraId="6C07B802"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25-50 year time horizon,</w:t>
            </w:r>
          </w:p>
          <w:p w14:paraId="7F2B1A49" w14:textId="01874BDC"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5-15% discount rate</w:t>
            </w:r>
            <w:r w:rsidR="003148F6">
              <w:rPr>
                <w:rFonts w:ascii="Calibri" w:hAnsi="Calibri" w:cs="Calibri"/>
                <w:sz w:val="18"/>
                <w:szCs w:val="18"/>
              </w:rPr>
              <w:t>,</w:t>
            </w:r>
          </w:p>
          <w:p w14:paraId="339C6293"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$57-107 income per worker,</w:t>
            </w:r>
          </w:p>
          <w:p w14:paraId="117E6537" w14:textId="3E75E082"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1-3% growth in income/year</w:t>
            </w:r>
            <w:r w:rsidR="003148F6">
              <w:rPr>
                <w:rFonts w:ascii="Calibri" w:hAnsi="Calibri" w:cs="Calibri"/>
                <w:sz w:val="18"/>
                <w:szCs w:val="18"/>
              </w:rPr>
              <w:t>,</w:t>
            </w:r>
          </w:p>
          <w:p w14:paraId="38FDB138"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$10-30/worker land differential</w:t>
            </w:r>
          </w:p>
        </w:tc>
      </w:tr>
      <w:tr w:rsidR="00AC7848" w:rsidRPr="00D9152B" w14:paraId="30F07482" w14:textId="77777777" w:rsidTr="00115299">
        <w:trPr>
          <w:trHeight w:val="478"/>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auto"/>
              <w:bottom w:val="single" w:sz="4" w:space="0" w:color="auto"/>
              <w:right w:val="single" w:sz="4" w:space="0" w:color="auto"/>
            </w:tcBorders>
          </w:tcPr>
          <w:p w14:paraId="3063F833" w14:textId="77777777" w:rsidR="00AC7848" w:rsidRPr="00D9152B" w:rsidRDefault="00AC7848" w:rsidP="00017C2E">
            <w:pPr>
              <w:rPr>
                <w:rFonts w:ascii="Calibri" w:hAnsi="Calibri" w:cs="Calibri"/>
                <w:b/>
                <w:sz w:val="18"/>
                <w:szCs w:val="18"/>
              </w:rPr>
            </w:pPr>
          </w:p>
        </w:tc>
        <w:tc>
          <w:tcPr>
            <w:tcW w:w="1843" w:type="dxa"/>
            <w:tcBorders>
              <w:top w:val="single" w:sz="4" w:space="0" w:color="auto"/>
              <w:left w:val="single" w:sz="4" w:space="0" w:color="auto"/>
              <w:bottom w:val="single" w:sz="4" w:space="0" w:color="auto"/>
              <w:right w:val="single" w:sz="4" w:space="0" w:color="auto"/>
            </w:tcBorders>
          </w:tcPr>
          <w:p w14:paraId="063587FC"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Land freed</w:t>
            </w:r>
          </w:p>
        </w:tc>
        <w:tc>
          <w:tcPr>
            <w:tcW w:w="2268" w:type="dxa"/>
            <w:tcBorders>
              <w:top w:val="single" w:sz="4" w:space="0" w:color="auto"/>
              <w:left w:val="single" w:sz="4" w:space="0" w:color="auto"/>
              <w:bottom w:val="single" w:sz="4" w:space="0" w:color="auto"/>
              <w:right w:val="single" w:sz="4" w:space="0" w:color="auto"/>
            </w:tcBorders>
          </w:tcPr>
          <w:p w14:paraId="4EAE7EA6"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 xml:space="preserve">9.9 million or 18.2 million hectares </w:t>
            </w:r>
          </w:p>
        </w:tc>
        <w:tc>
          <w:tcPr>
            <w:tcW w:w="2693" w:type="dxa"/>
            <w:tcBorders>
              <w:top w:val="single" w:sz="4" w:space="0" w:color="auto"/>
              <w:left w:val="single" w:sz="4" w:space="0" w:color="auto"/>
              <w:bottom w:val="single" w:sz="4" w:space="0" w:color="auto"/>
              <w:right w:val="single" w:sz="4" w:space="0" w:color="auto"/>
            </w:tcBorders>
          </w:tcPr>
          <w:p w14:paraId="173D97AD" w14:textId="5DF9DF6A"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 xml:space="preserve">Economic Review Mission’s range of land in 7 countries (5.06-13.4 million hectares), plus </w:t>
            </w:r>
            <w:r w:rsidR="001D54BD">
              <w:rPr>
                <w:rFonts w:ascii="Calibri" w:hAnsi="Calibri" w:cs="Calibri"/>
                <w:sz w:val="18"/>
                <w:szCs w:val="18"/>
              </w:rPr>
              <w:t>a loose Bank</w:t>
            </w:r>
            <w:r w:rsidRPr="00D9152B">
              <w:rPr>
                <w:rFonts w:ascii="Calibri" w:hAnsi="Calibri" w:cs="Calibri"/>
                <w:sz w:val="18"/>
                <w:szCs w:val="18"/>
              </w:rPr>
              <w:t xml:space="preserve"> estimate of land in southern/western extensions (4.84 million hectares)</w:t>
            </w:r>
          </w:p>
        </w:tc>
      </w:tr>
      <w:tr w:rsidR="00AC7848" w:rsidRPr="00D9152B" w14:paraId="6F9F4C5B" w14:textId="77777777" w:rsidTr="00115299">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auto"/>
              <w:bottom w:val="single" w:sz="4" w:space="0" w:color="auto"/>
              <w:right w:val="single" w:sz="4" w:space="0" w:color="auto"/>
            </w:tcBorders>
          </w:tcPr>
          <w:p w14:paraId="13B25C99" w14:textId="77777777" w:rsidR="00AC7848" w:rsidRPr="00D9152B" w:rsidRDefault="00AC7848" w:rsidP="00017C2E">
            <w:pPr>
              <w:rPr>
                <w:rFonts w:ascii="Calibri" w:hAnsi="Calibri" w:cs="Calibri"/>
                <w:b/>
                <w:sz w:val="18"/>
                <w:szCs w:val="18"/>
              </w:rPr>
            </w:pPr>
          </w:p>
        </w:tc>
        <w:tc>
          <w:tcPr>
            <w:tcW w:w="1843" w:type="dxa"/>
            <w:tcBorders>
              <w:top w:val="single" w:sz="4" w:space="0" w:color="auto"/>
              <w:left w:val="single" w:sz="4" w:space="0" w:color="auto"/>
              <w:bottom w:val="single" w:sz="4" w:space="0" w:color="auto"/>
              <w:right w:val="single" w:sz="4" w:space="0" w:color="auto"/>
            </w:tcBorders>
          </w:tcPr>
          <w:p w14:paraId="3C9703FE"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Net present value (land)</w:t>
            </w:r>
          </w:p>
        </w:tc>
        <w:tc>
          <w:tcPr>
            <w:tcW w:w="2268" w:type="dxa"/>
            <w:tcBorders>
              <w:top w:val="single" w:sz="4" w:space="0" w:color="auto"/>
              <w:left w:val="single" w:sz="4" w:space="0" w:color="auto"/>
              <w:bottom w:val="single" w:sz="4" w:space="0" w:color="auto"/>
              <w:right w:val="single" w:sz="4" w:space="0" w:color="auto"/>
            </w:tcBorders>
          </w:tcPr>
          <w:p w14:paraId="0880F9C6"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$-123 million to $315 million</w:t>
            </w:r>
          </w:p>
        </w:tc>
        <w:tc>
          <w:tcPr>
            <w:tcW w:w="2693" w:type="dxa"/>
            <w:tcBorders>
              <w:top w:val="single" w:sz="4" w:space="0" w:color="auto"/>
              <w:left w:val="single" w:sz="4" w:space="0" w:color="auto"/>
              <w:bottom w:val="single" w:sz="4" w:space="0" w:color="auto"/>
              <w:right w:val="single" w:sz="4" w:space="0" w:color="auto"/>
            </w:tcBorders>
          </w:tcPr>
          <w:p w14:paraId="56FAD3E1"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(Same as rate of return)</w:t>
            </w:r>
          </w:p>
        </w:tc>
      </w:tr>
      <w:tr w:rsidR="00AC7848" w:rsidRPr="00D9152B" w14:paraId="59F5A5BA" w14:textId="77777777" w:rsidTr="00115299">
        <w:trPr>
          <w:trHeight w:val="478"/>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auto"/>
              <w:bottom w:val="single" w:sz="4" w:space="0" w:color="auto"/>
              <w:right w:val="single" w:sz="4" w:space="0" w:color="auto"/>
            </w:tcBorders>
          </w:tcPr>
          <w:p w14:paraId="4D41354C" w14:textId="77777777" w:rsidR="00AC7848" w:rsidRPr="00D9152B" w:rsidRDefault="00AC7848" w:rsidP="00017C2E">
            <w:pPr>
              <w:rPr>
                <w:rFonts w:ascii="Calibri" w:hAnsi="Calibri" w:cs="Calibri"/>
                <w:b/>
                <w:sz w:val="18"/>
                <w:szCs w:val="18"/>
              </w:rPr>
            </w:pPr>
          </w:p>
        </w:tc>
        <w:tc>
          <w:tcPr>
            <w:tcW w:w="1843" w:type="dxa"/>
            <w:tcBorders>
              <w:top w:val="single" w:sz="4" w:space="0" w:color="auto"/>
              <w:left w:val="single" w:sz="4" w:space="0" w:color="auto"/>
              <w:bottom w:val="single" w:sz="4" w:space="0" w:color="auto"/>
              <w:right w:val="single" w:sz="4" w:space="0" w:color="auto"/>
            </w:tcBorders>
          </w:tcPr>
          <w:p w14:paraId="59A6705C"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Net present value (labour)</w:t>
            </w:r>
          </w:p>
        </w:tc>
        <w:tc>
          <w:tcPr>
            <w:tcW w:w="2268" w:type="dxa"/>
            <w:tcBorders>
              <w:top w:val="single" w:sz="4" w:space="0" w:color="auto"/>
              <w:left w:val="single" w:sz="4" w:space="0" w:color="auto"/>
              <w:bottom w:val="single" w:sz="4" w:space="0" w:color="auto"/>
              <w:right w:val="single" w:sz="4" w:space="0" w:color="auto"/>
            </w:tcBorders>
          </w:tcPr>
          <w:p w14:paraId="61316BC3"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$30 million to $1,137 million</w:t>
            </w:r>
          </w:p>
        </w:tc>
        <w:tc>
          <w:tcPr>
            <w:tcW w:w="2693" w:type="dxa"/>
            <w:tcBorders>
              <w:top w:val="single" w:sz="4" w:space="0" w:color="auto"/>
              <w:left w:val="single" w:sz="4" w:space="0" w:color="auto"/>
              <w:bottom w:val="single" w:sz="4" w:space="0" w:color="auto"/>
              <w:right w:val="single" w:sz="4" w:space="0" w:color="auto"/>
            </w:tcBorders>
          </w:tcPr>
          <w:p w14:paraId="3FFFF8B9"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(Same as rate of return)</w:t>
            </w:r>
          </w:p>
        </w:tc>
      </w:tr>
      <w:tr w:rsidR="00AC7848" w:rsidRPr="00D9152B" w14:paraId="37A52766" w14:textId="77777777" w:rsidTr="00115299">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auto"/>
              <w:bottom w:val="single" w:sz="4" w:space="0" w:color="auto"/>
              <w:right w:val="single" w:sz="4" w:space="0" w:color="auto"/>
            </w:tcBorders>
          </w:tcPr>
          <w:p w14:paraId="3FE3A637" w14:textId="77777777" w:rsidR="00AC7848" w:rsidRPr="00D9152B" w:rsidRDefault="00AC7848" w:rsidP="00017C2E">
            <w:pPr>
              <w:rPr>
                <w:rFonts w:ascii="Calibri" w:hAnsi="Calibri" w:cs="Calibri"/>
                <w:b/>
                <w:sz w:val="18"/>
                <w:szCs w:val="18"/>
              </w:rPr>
            </w:pPr>
            <w:r w:rsidRPr="00D9152B">
              <w:rPr>
                <w:rFonts w:ascii="Calibri" w:hAnsi="Calibri" w:cs="Calibri"/>
                <w:b/>
                <w:sz w:val="18"/>
                <w:szCs w:val="18"/>
              </w:rPr>
              <w:t>Benton &amp; Skinner 1989</w:t>
            </w:r>
          </w:p>
        </w:tc>
        <w:tc>
          <w:tcPr>
            <w:tcW w:w="1843" w:type="dxa"/>
            <w:tcBorders>
              <w:top w:val="single" w:sz="4" w:space="0" w:color="auto"/>
              <w:left w:val="single" w:sz="4" w:space="0" w:color="auto"/>
              <w:bottom w:val="single" w:sz="4" w:space="0" w:color="auto"/>
              <w:right w:val="single" w:sz="4" w:space="0" w:color="auto"/>
            </w:tcBorders>
          </w:tcPr>
          <w:p w14:paraId="1B6C5710"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Rate of return (land &amp; labour)</w:t>
            </w:r>
          </w:p>
        </w:tc>
        <w:tc>
          <w:tcPr>
            <w:tcW w:w="2268" w:type="dxa"/>
            <w:tcBorders>
              <w:top w:val="single" w:sz="4" w:space="0" w:color="auto"/>
              <w:left w:val="single" w:sz="4" w:space="0" w:color="auto"/>
              <w:bottom w:val="single" w:sz="4" w:space="0" w:color="auto"/>
              <w:right w:val="single" w:sz="4" w:space="0" w:color="auto"/>
            </w:tcBorders>
          </w:tcPr>
          <w:p w14:paraId="2654B471"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11% to 13%</w:t>
            </w:r>
          </w:p>
        </w:tc>
        <w:tc>
          <w:tcPr>
            <w:tcW w:w="2693" w:type="dxa"/>
            <w:tcBorders>
              <w:top w:val="single" w:sz="4" w:space="0" w:color="auto"/>
              <w:left w:val="single" w:sz="4" w:space="0" w:color="auto"/>
              <w:bottom w:val="single" w:sz="4" w:space="0" w:color="auto"/>
              <w:right w:val="single" w:sz="4" w:space="0" w:color="auto"/>
            </w:tcBorders>
          </w:tcPr>
          <w:p w14:paraId="1A9B0C4C" w14:textId="4C75122D"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50 year time horizon</w:t>
            </w:r>
            <w:r w:rsidR="001D54BD">
              <w:rPr>
                <w:rFonts w:ascii="Calibri" w:hAnsi="Calibri" w:cs="Calibri"/>
                <w:sz w:val="18"/>
                <w:szCs w:val="18"/>
              </w:rPr>
              <w:t>,</w:t>
            </w:r>
          </w:p>
          <w:p w14:paraId="493390C2"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15 million hectares of land (only) cleared,</w:t>
            </w:r>
          </w:p>
          <w:p w14:paraId="5A453173"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3% land settled each year,</w:t>
            </w:r>
          </w:p>
          <w:p w14:paraId="2B86F3DA"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Workers plant 3-4 hectares each,</w:t>
            </w:r>
          </w:p>
          <w:p w14:paraId="7345BB53" w14:textId="4C110DB4"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$10/worker</w:t>
            </w:r>
            <w:r w:rsidR="001D54BD">
              <w:rPr>
                <w:rFonts w:ascii="Calibri" w:hAnsi="Calibri" w:cs="Calibri"/>
                <w:sz w:val="18"/>
                <w:szCs w:val="18"/>
              </w:rPr>
              <w:t xml:space="preserve"> land differential</w:t>
            </w:r>
            <w:r w:rsidRPr="00D9152B">
              <w:rPr>
                <w:rFonts w:ascii="Calibri" w:hAnsi="Calibri" w:cs="Calibri"/>
                <w:sz w:val="18"/>
                <w:szCs w:val="18"/>
              </w:rPr>
              <w:t>,</w:t>
            </w:r>
          </w:p>
          <w:p w14:paraId="553043C8"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5-10% discount rate,</w:t>
            </w:r>
          </w:p>
        </w:tc>
      </w:tr>
      <w:tr w:rsidR="00AC7848" w:rsidRPr="00D9152B" w14:paraId="19614153" w14:textId="77777777" w:rsidTr="00115299">
        <w:trPr>
          <w:trHeight w:val="478"/>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auto"/>
              <w:bottom w:val="single" w:sz="4" w:space="0" w:color="auto"/>
              <w:right w:val="single" w:sz="4" w:space="0" w:color="auto"/>
            </w:tcBorders>
          </w:tcPr>
          <w:p w14:paraId="55E5426E" w14:textId="77777777" w:rsidR="00AC7848" w:rsidRPr="00D9152B" w:rsidRDefault="00AC7848" w:rsidP="00017C2E">
            <w:pPr>
              <w:rPr>
                <w:rFonts w:ascii="Calibri" w:hAnsi="Calibri" w:cs="Calibri"/>
                <w:b/>
                <w:i w:val="0"/>
                <w:sz w:val="18"/>
                <w:szCs w:val="18"/>
              </w:rPr>
            </w:pPr>
          </w:p>
        </w:tc>
        <w:tc>
          <w:tcPr>
            <w:tcW w:w="1843" w:type="dxa"/>
            <w:tcBorders>
              <w:top w:val="single" w:sz="4" w:space="0" w:color="auto"/>
              <w:left w:val="single" w:sz="4" w:space="0" w:color="auto"/>
              <w:bottom w:val="single" w:sz="4" w:space="0" w:color="auto"/>
              <w:right w:val="single" w:sz="4" w:space="0" w:color="auto"/>
            </w:tcBorders>
          </w:tcPr>
          <w:p w14:paraId="57324FA6"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Rate of return (labour only)</w:t>
            </w:r>
          </w:p>
        </w:tc>
        <w:tc>
          <w:tcPr>
            <w:tcW w:w="2268" w:type="dxa"/>
            <w:tcBorders>
              <w:top w:val="single" w:sz="4" w:space="0" w:color="auto"/>
              <w:left w:val="single" w:sz="4" w:space="0" w:color="auto"/>
              <w:bottom w:val="single" w:sz="4" w:space="0" w:color="auto"/>
              <w:right w:val="single" w:sz="4" w:space="0" w:color="auto"/>
            </w:tcBorders>
          </w:tcPr>
          <w:p w14:paraId="40267D67"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63%</w:t>
            </w:r>
          </w:p>
        </w:tc>
        <w:tc>
          <w:tcPr>
            <w:tcW w:w="2693" w:type="dxa"/>
            <w:tcBorders>
              <w:top w:val="single" w:sz="4" w:space="0" w:color="auto"/>
              <w:left w:val="single" w:sz="4" w:space="0" w:color="auto"/>
              <w:bottom w:val="single" w:sz="4" w:space="0" w:color="auto"/>
              <w:right w:val="single" w:sz="4" w:space="0" w:color="auto"/>
            </w:tcBorders>
          </w:tcPr>
          <w:p w14:paraId="1FA5BA0D"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Costs from 1990-2004 (excluding ‘sunken costs’ and counting costs from the present),</w:t>
            </w:r>
          </w:p>
          <w:p w14:paraId="33DF5233"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5% discount rate</w:t>
            </w:r>
          </w:p>
        </w:tc>
      </w:tr>
      <w:tr w:rsidR="00AC7848" w:rsidRPr="00D9152B" w14:paraId="45EE2A90" w14:textId="77777777" w:rsidTr="00115299">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auto"/>
              <w:bottom w:val="single" w:sz="4" w:space="0" w:color="auto"/>
              <w:right w:val="single" w:sz="4" w:space="0" w:color="auto"/>
            </w:tcBorders>
          </w:tcPr>
          <w:p w14:paraId="4313DBFA" w14:textId="77777777" w:rsidR="00AC7848" w:rsidRPr="00D9152B" w:rsidRDefault="00AC7848" w:rsidP="00017C2E">
            <w:pPr>
              <w:rPr>
                <w:rFonts w:ascii="Calibri" w:hAnsi="Calibri" w:cs="Calibri"/>
                <w:b/>
                <w:i w:val="0"/>
                <w:sz w:val="18"/>
                <w:szCs w:val="18"/>
              </w:rPr>
            </w:pPr>
          </w:p>
        </w:tc>
        <w:tc>
          <w:tcPr>
            <w:tcW w:w="1843" w:type="dxa"/>
            <w:tcBorders>
              <w:top w:val="single" w:sz="4" w:space="0" w:color="auto"/>
              <w:left w:val="single" w:sz="4" w:space="0" w:color="auto"/>
              <w:bottom w:val="single" w:sz="4" w:space="0" w:color="auto"/>
              <w:right w:val="single" w:sz="4" w:space="0" w:color="auto"/>
            </w:tcBorders>
          </w:tcPr>
          <w:p w14:paraId="6BEAE2F4"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Land freed</w:t>
            </w:r>
          </w:p>
        </w:tc>
        <w:tc>
          <w:tcPr>
            <w:tcW w:w="2268" w:type="dxa"/>
            <w:tcBorders>
              <w:top w:val="single" w:sz="4" w:space="0" w:color="auto"/>
              <w:left w:val="single" w:sz="4" w:space="0" w:color="auto"/>
              <w:bottom w:val="single" w:sz="4" w:space="0" w:color="auto"/>
              <w:right w:val="single" w:sz="4" w:space="0" w:color="auto"/>
            </w:tcBorders>
          </w:tcPr>
          <w:p w14:paraId="2D11A261"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25 million hectares</w:t>
            </w:r>
          </w:p>
        </w:tc>
        <w:tc>
          <w:tcPr>
            <w:tcW w:w="2693" w:type="dxa"/>
            <w:tcBorders>
              <w:top w:val="single" w:sz="4" w:space="0" w:color="auto"/>
              <w:left w:val="single" w:sz="4" w:space="0" w:color="auto"/>
              <w:bottom w:val="single" w:sz="4" w:space="0" w:color="auto"/>
              <w:right w:val="single" w:sz="4" w:space="0" w:color="auto"/>
            </w:tcBorders>
          </w:tcPr>
          <w:p w14:paraId="188F20E8"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15 million hectares from original 7 countries, 5 million Southern extension, 5 million Western extension</w:t>
            </w:r>
          </w:p>
        </w:tc>
      </w:tr>
      <w:tr w:rsidR="00AC7848" w:rsidRPr="00D9152B" w14:paraId="108360F6" w14:textId="77777777" w:rsidTr="00115299">
        <w:trPr>
          <w:trHeight w:val="478"/>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auto"/>
              <w:bottom w:val="single" w:sz="4" w:space="0" w:color="auto"/>
              <w:right w:val="single" w:sz="4" w:space="0" w:color="auto"/>
            </w:tcBorders>
          </w:tcPr>
          <w:p w14:paraId="5CE3BEB0" w14:textId="77777777" w:rsidR="00AC7848" w:rsidRPr="00D9152B" w:rsidRDefault="00AC7848" w:rsidP="00017C2E">
            <w:pPr>
              <w:rPr>
                <w:rFonts w:ascii="Calibri" w:hAnsi="Calibri" w:cs="Calibri"/>
                <w:b/>
                <w:i w:val="0"/>
                <w:sz w:val="18"/>
                <w:szCs w:val="18"/>
              </w:rPr>
            </w:pPr>
          </w:p>
        </w:tc>
        <w:tc>
          <w:tcPr>
            <w:tcW w:w="1843" w:type="dxa"/>
            <w:tcBorders>
              <w:top w:val="single" w:sz="4" w:space="0" w:color="auto"/>
              <w:left w:val="single" w:sz="4" w:space="0" w:color="auto"/>
              <w:bottom w:val="single" w:sz="4" w:space="0" w:color="auto"/>
              <w:right w:val="single" w:sz="4" w:space="0" w:color="auto"/>
            </w:tcBorders>
          </w:tcPr>
          <w:p w14:paraId="281740C1"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Productive value of land</w:t>
            </w:r>
          </w:p>
        </w:tc>
        <w:tc>
          <w:tcPr>
            <w:tcW w:w="2268" w:type="dxa"/>
            <w:tcBorders>
              <w:top w:val="single" w:sz="4" w:space="0" w:color="auto"/>
              <w:left w:val="single" w:sz="4" w:space="0" w:color="auto"/>
              <w:bottom w:val="single" w:sz="4" w:space="0" w:color="auto"/>
              <w:right w:val="single" w:sz="4" w:space="0" w:color="auto"/>
            </w:tcBorders>
          </w:tcPr>
          <w:p w14:paraId="1F1BE549"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Can feed 17 million/year</w:t>
            </w:r>
          </w:p>
        </w:tc>
        <w:tc>
          <w:tcPr>
            <w:tcW w:w="2693" w:type="dxa"/>
            <w:tcBorders>
              <w:top w:val="single" w:sz="4" w:space="0" w:color="auto"/>
              <w:left w:val="single" w:sz="4" w:space="0" w:color="auto"/>
              <w:bottom w:val="single" w:sz="4" w:space="0" w:color="auto"/>
              <w:right w:val="single" w:sz="4" w:space="0" w:color="auto"/>
            </w:tcBorders>
          </w:tcPr>
          <w:p w14:paraId="0C37EBB4" w14:textId="279EB00A"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 xml:space="preserve">Same methodology of 1986 </w:t>
            </w:r>
            <w:r w:rsidR="001D54BD">
              <w:rPr>
                <w:rFonts w:ascii="Calibri" w:hAnsi="Calibri" w:cs="Calibri"/>
                <w:sz w:val="18"/>
                <w:szCs w:val="18"/>
              </w:rPr>
              <w:t>impact r</w:t>
            </w:r>
            <w:r w:rsidRPr="00D9152B">
              <w:rPr>
                <w:rFonts w:ascii="Calibri" w:hAnsi="Calibri" w:cs="Calibri"/>
                <w:sz w:val="18"/>
                <w:szCs w:val="18"/>
              </w:rPr>
              <w:t>eview,</w:t>
            </w:r>
          </w:p>
          <w:p w14:paraId="585A051F"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Assumes all land is freed of other agricultural constraints</w:t>
            </w:r>
          </w:p>
        </w:tc>
      </w:tr>
      <w:tr w:rsidR="00AC7848" w:rsidRPr="00D9152B" w14:paraId="6AC0476D" w14:textId="77777777" w:rsidTr="00115299">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auto"/>
              <w:bottom w:val="single" w:sz="4" w:space="0" w:color="auto"/>
              <w:right w:val="single" w:sz="4" w:space="0" w:color="auto"/>
            </w:tcBorders>
          </w:tcPr>
          <w:p w14:paraId="1B2B8A05" w14:textId="77777777" w:rsidR="00AC7848" w:rsidRPr="00D9152B" w:rsidRDefault="00AC7848" w:rsidP="00017C2E">
            <w:pPr>
              <w:rPr>
                <w:rFonts w:ascii="Calibri" w:hAnsi="Calibri" w:cs="Calibri"/>
                <w:b/>
                <w:i w:val="0"/>
                <w:sz w:val="18"/>
                <w:szCs w:val="18"/>
              </w:rPr>
            </w:pPr>
          </w:p>
        </w:tc>
        <w:tc>
          <w:tcPr>
            <w:tcW w:w="1843" w:type="dxa"/>
            <w:tcBorders>
              <w:top w:val="single" w:sz="4" w:space="0" w:color="auto"/>
              <w:left w:val="single" w:sz="4" w:space="0" w:color="auto"/>
              <w:bottom w:val="single" w:sz="4" w:space="0" w:color="auto"/>
              <w:right w:val="single" w:sz="4" w:space="0" w:color="auto"/>
            </w:tcBorders>
          </w:tcPr>
          <w:p w14:paraId="705AB4AF"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Cost per person protected</w:t>
            </w:r>
          </w:p>
        </w:tc>
        <w:tc>
          <w:tcPr>
            <w:tcW w:w="2268" w:type="dxa"/>
            <w:tcBorders>
              <w:top w:val="single" w:sz="4" w:space="0" w:color="auto"/>
              <w:left w:val="single" w:sz="4" w:space="0" w:color="auto"/>
              <w:bottom w:val="single" w:sz="4" w:space="0" w:color="auto"/>
              <w:right w:val="single" w:sz="4" w:space="0" w:color="auto"/>
            </w:tcBorders>
          </w:tcPr>
          <w:p w14:paraId="62D299BB"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$0.54/year</w:t>
            </w:r>
          </w:p>
        </w:tc>
        <w:tc>
          <w:tcPr>
            <w:tcW w:w="2693" w:type="dxa"/>
            <w:tcBorders>
              <w:top w:val="single" w:sz="4" w:space="0" w:color="auto"/>
              <w:left w:val="single" w:sz="4" w:space="0" w:color="auto"/>
              <w:bottom w:val="single" w:sz="4" w:space="0" w:color="auto"/>
              <w:right w:val="single" w:sz="4" w:space="0" w:color="auto"/>
            </w:tcBorders>
          </w:tcPr>
          <w:p w14:paraId="44607406"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11 country area,</w:t>
            </w:r>
          </w:p>
          <w:p w14:paraId="434FE2E5"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Population total is 25.9 million</w:t>
            </w:r>
          </w:p>
        </w:tc>
      </w:tr>
      <w:tr w:rsidR="00AC7848" w:rsidRPr="00D9152B" w14:paraId="73BC9B2B" w14:textId="77777777" w:rsidTr="00115299">
        <w:trPr>
          <w:trHeight w:val="478"/>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auto"/>
              <w:bottom w:val="single" w:sz="4" w:space="0" w:color="auto"/>
              <w:right w:val="single" w:sz="4" w:space="0" w:color="auto"/>
            </w:tcBorders>
          </w:tcPr>
          <w:p w14:paraId="6D811170" w14:textId="77777777" w:rsidR="00AC7848" w:rsidRPr="00D9152B" w:rsidRDefault="00AC7848" w:rsidP="00017C2E">
            <w:pPr>
              <w:rPr>
                <w:rFonts w:ascii="Calibri" w:hAnsi="Calibri" w:cs="Calibri"/>
                <w:b/>
                <w:i w:val="0"/>
                <w:sz w:val="18"/>
                <w:szCs w:val="18"/>
              </w:rPr>
            </w:pPr>
          </w:p>
        </w:tc>
        <w:tc>
          <w:tcPr>
            <w:tcW w:w="1843" w:type="dxa"/>
            <w:tcBorders>
              <w:top w:val="single" w:sz="4" w:space="0" w:color="auto"/>
              <w:left w:val="single" w:sz="4" w:space="0" w:color="auto"/>
              <w:bottom w:val="single" w:sz="4" w:space="0" w:color="auto"/>
              <w:right w:val="single" w:sz="4" w:space="0" w:color="auto"/>
            </w:tcBorders>
          </w:tcPr>
          <w:p w14:paraId="0B86E4A9"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Cost per at risk person protected</w:t>
            </w:r>
          </w:p>
        </w:tc>
        <w:tc>
          <w:tcPr>
            <w:tcW w:w="2268" w:type="dxa"/>
            <w:tcBorders>
              <w:top w:val="single" w:sz="4" w:space="0" w:color="auto"/>
              <w:left w:val="single" w:sz="4" w:space="0" w:color="auto"/>
              <w:bottom w:val="single" w:sz="4" w:space="0" w:color="auto"/>
              <w:right w:val="single" w:sz="4" w:space="0" w:color="auto"/>
            </w:tcBorders>
          </w:tcPr>
          <w:p w14:paraId="50FEDB52"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$0.45/years</w:t>
            </w:r>
          </w:p>
        </w:tc>
        <w:tc>
          <w:tcPr>
            <w:tcW w:w="2693" w:type="dxa"/>
            <w:tcBorders>
              <w:top w:val="single" w:sz="4" w:space="0" w:color="auto"/>
              <w:left w:val="single" w:sz="4" w:space="0" w:color="auto"/>
              <w:bottom w:val="single" w:sz="4" w:space="0" w:color="auto"/>
              <w:right w:val="single" w:sz="4" w:space="0" w:color="auto"/>
            </w:tcBorders>
          </w:tcPr>
          <w:p w14:paraId="5C30ADE8"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About 50% of total population in countries at risk,</w:t>
            </w:r>
          </w:p>
          <w:p w14:paraId="528C844F"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Measures protection over 50 years</w:t>
            </w:r>
          </w:p>
        </w:tc>
      </w:tr>
      <w:tr w:rsidR="00AC7848" w:rsidRPr="00D9152B" w14:paraId="00762F9E" w14:textId="77777777" w:rsidTr="00115299">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auto"/>
              <w:bottom w:val="single" w:sz="4" w:space="0" w:color="auto"/>
              <w:right w:val="single" w:sz="4" w:space="0" w:color="auto"/>
            </w:tcBorders>
          </w:tcPr>
          <w:p w14:paraId="2599C3F9" w14:textId="77777777" w:rsidR="00AC7848" w:rsidRPr="00D9152B" w:rsidRDefault="00AC7848" w:rsidP="00017C2E">
            <w:pPr>
              <w:rPr>
                <w:rFonts w:ascii="Calibri" w:hAnsi="Calibri" w:cs="Calibri"/>
                <w:b/>
                <w:sz w:val="18"/>
                <w:szCs w:val="18"/>
              </w:rPr>
            </w:pPr>
            <w:r w:rsidRPr="00D9152B">
              <w:rPr>
                <w:rFonts w:ascii="Calibri" w:hAnsi="Calibri" w:cs="Calibri"/>
                <w:b/>
                <w:sz w:val="18"/>
                <w:szCs w:val="18"/>
              </w:rPr>
              <w:t>Kim &amp; Benton 1995</w:t>
            </w:r>
          </w:p>
        </w:tc>
        <w:tc>
          <w:tcPr>
            <w:tcW w:w="1843" w:type="dxa"/>
            <w:tcBorders>
              <w:top w:val="single" w:sz="4" w:space="0" w:color="auto"/>
              <w:left w:val="single" w:sz="4" w:space="0" w:color="auto"/>
              <w:bottom w:val="single" w:sz="4" w:space="0" w:color="auto"/>
              <w:right w:val="single" w:sz="4" w:space="0" w:color="auto"/>
            </w:tcBorders>
          </w:tcPr>
          <w:p w14:paraId="16FFEAF8"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Rate of return (land &amp; labour)</w:t>
            </w:r>
          </w:p>
        </w:tc>
        <w:tc>
          <w:tcPr>
            <w:tcW w:w="2268" w:type="dxa"/>
            <w:tcBorders>
              <w:top w:val="single" w:sz="4" w:space="0" w:color="auto"/>
              <w:left w:val="single" w:sz="4" w:space="0" w:color="auto"/>
              <w:bottom w:val="single" w:sz="4" w:space="0" w:color="auto"/>
              <w:right w:val="single" w:sz="4" w:space="0" w:color="auto"/>
            </w:tcBorders>
          </w:tcPr>
          <w:p w14:paraId="72E5F8D1" w14:textId="75476A49" w:rsidR="00AC7848" w:rsidRPr="00D9152B" w:rsidRDefault="005C44EF"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 xml:space="preserve">18% to </w:t>
            </w:r>
            <w:r w:rsidR="00AC7848" w:rsidRPr="00D9152B">
              <w:rPr>
                <w:rFonts w:ascii="Calibri" w:hAnsi="Calibri" w:cs="Calibri"/>
                <w:sz w:val="18"/>
                <w:szCs w:val="18"/>
              </w:rPr>
              <w:t>21%</w:t>
            </w:r>
          </w:p>
        </w:tc>
        <w:tc>
          <w:tcPr>
            <w:tcW w:w="2693" w:type="dxa"/>
            <w:tcBorders>
              <w:top w:val="single" w:sz="4" w:space="0" w:color="auto"/>
              <w:left w:val="single" w:sz="4" w:space="0" w:color="auto"/>
              <w:bottom w:val="single" w:sz="4" w:space="0" w:color="auto"/>
              <w:right w:val="single" w:sz="4" w:space="0" w:color="auto"/>
            </w:tcBorders>
          </w:tcPr>
          <w:p w14:paraId="7B876A20"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29-39 year time horizon,</w:t>
            </w:r>
          </w:p>
          <w:p w14:paraId="14FF45BD"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3-10% discount rate,</w:t>
            </w:r>
          </w:p>
          <w:p w14:paraId="20231DBB"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70-100% labour force participation &amp; land utilization,</w:t>
            </w:r>
          </w:p>
          <w:p w14:paraId="7E386001"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1.7% population growth/year,</w:t>
            </w:r>
          </w:p>
          <w:p w14:paraId="4B90372E" w14:textId="77777777" w:rsidR="001D54BD"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Each case of blindness prevents 20 years of productive life,</w:t>
            </w:r>
          </w:p>
          <w:p w14:paraId="39049934" w14:textId="6490C42E"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0.66</w:t>
            </w:r>
            <w:r w:rsidR="001D54BD">
              <w:rPr>
                <w:rFonts w:ascii="Calibri" w:hAnsi="Calibri" w:cs="Calibri"/>
                <w:sz w:val="18"/>
                <w:szCs w:val="18"/>
              </w:rPr>
              <w:t xml:space="preserve"> output elasticity of labour</w:t>
            </w:r>
          </w:p>
        </w:tc>
      </w:tr>
      <w:tr w:rsidR="00AC7848" w:rsidRPr="00D9152B" w14:paraId="1C3EA903" w14:textId="77777777" w:rsidTr="00115299">
        <w:trPr>
          <w:trHeight w:val="478"/>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auto"/>
              <w:bottom w:val="single" w:sz="4" w:space="0" w:color="auto"/>
              <w:right w:val="single" w:sz="4" w:space="0" w:color="auto"/>
            </w:tcBorders>
          </w:tcPr>
          <w:p w14:paraId="510D7E10" w14:textId="77777777" w:rsidR="00AC7848" w:rsidRPr="00D9152B" w:rsidRDefault="00AC7848" w:rsidP="00017C2E">
            <w:pPr>
              <w:rPr>
                <w:rFonts w:ascii="Calibri" w:hAnsi="Calibri" w:cs="Calibri"/>
                <w:b/>
                <w:i w:val="0"/>
                <w:sz w:val="18"/>
                <w:szCs w:val="18"/>
              </w:rPr>
            </w:pPr>
          </w:p>
        </w:tc>
        <w:tc>
          <w:tcPr>
            <w:tcW w:w="1843" w:type="dxa"/>
            <w:tcBorders>
              <w:top w:val="single" w:sz="4" w:space="0" w:color="auto"/>
              <w:left w:val="single" w:sz="4" w:space="0" w:color="auto"/>
              <w:bottom w:val="single" w:sz="4" w:space="0" w:color="auto"/>
              <w:right w:val="single" w:sz="4" w:space="0" w:color="auto"/>
            </w:tcBorders>
          </w:tcPr>
          <w:p w14:paraId="0DAA1877"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 xml:space="preserve">Net present value </w:t>
            </w:r>
          </w:p>
        </w:tc>
        <w:tc>
          <w:tcPr>
            <w:tcW w:w="2268" w:type="dxa"/>
            <w:tcBorders>
              <w:top w:val="single" w:sz="4" w:space="0" w:color="auto"/>
              <w:left w:val="single" w:sz="4" w:space="0" w:color="auto"/>
              <w:bottom w:val="single" w:sz="4" w:space="0" w:color="auto"/>
              <w:right w:val="single" w:sz="4" w:space="0" w:color="auto"/>
            </w:tcBorders>
          </w:tcPr>
          <w:p w14:paraId="51793458"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$485 million to $3,729 million</w:t>
            </w:r>
          </w:p>
        </w:tc>
        <w:tc>
          <w:tcPr>
            <w:tcW w:w="2693" w:type="dxa"/>
            <w:tcBorders>
              <w:top w:val="single" w:sz="4" w:space="0" w:color="auto"/>
              <w:left w:val="single" w:sz="4" w:space="0" w:color="auto"/>
              <w:bottom w:val="single" w:sz="4" w:space="0" w:color="auto"/>
              <w:right w:val="single" w:sz="4" w:space="0" w:color="auto"/>
            </w:tcBorders>
          </w:tcPr>
          <w:p w14:paraId="31D9E6C4"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39 year time horizon,</w:t>
            </w:r>
          </w:p>
          <w:p w14:paraId="0F76BC08"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3-10% discount rate,</w:t>
            </w:r>
          </w:p>
          <w:p w14:paraId="591835AD"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85% labour force participation &amp; land utilization,</w:t>
            </w:r>
          </w:p>
          <w:p w14:paraId="10D02596"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Constant 1987 USD</w:t>
            </w:r>
          </w:p>
        </w:tc>
      </w:tr>
      <w:tr w:rsidR="00AC7848" w:rsidRPr="00D9152B" w14:paraId="72CEA329" w14:textId="77777777" w:rsidTr="00115299">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auto"/>
              <w:right w:val="single" w:sz="4" w:space="0" w:color="auto"/>
            </w:tcBorders>
          </w:tcPr>
          <w:p w14:paraId="2AE69070" w14:textId="77777777" w:rsidR="00AC7848" w:rsidRPr="00D9152B" w:rsidRDefault="00AC7848" w:rsidP="00017C2E">
            <w:pPr>
              <w:rPr>
                <w:rFonts w:ascii="Calibri" w:hAnsi="Calibri" w:cs="Calibri"/>
                <w:b/>
                <w:i w:val="0"/>
                <w:sz w:val="18"/>
                <w:szCs w:val="18"/>
              </w:rPr>
            </w:pPr>
          </w:p>
        </w:tc>
        <w:tc>
          <w:tcPr>
            <w:tcW w:w="1843" w:type="dxa"/>
            <w:tcBorders>
              <w:top w:val="single" w:sz="4" w:space="0" w:color="auto"/>
              <w:left w:val="single" w:sz="4" w:space="0" w:color="auto"/>
              <w:bottom w:val="single" w:sz="4" w:space="0" w:color="auto"/>
              <w:right w:val="single" w:sz="4" w:space="0" w:color="auto"/>
            </w:tcBorders>
          </w:tcPr>
          <w:p w14:paraId="6A3FE2F0"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Cost per person protected</w:t>
            </w:r>
          </w:p>
        </w:tc>
        <w:tc>
          <w:tcPr>
            <w:tcW w:w="2268" w:type="dxa"/>
            <w:tcBorders>
              <w:top w:val="single" w:sz="4" w:space="0" w:color="auto"/>
              <w:left w:val="single" w:sz="4" w:space="0" w:color="auto"/>
              <w:bottom w:val="single" w:sz="4" w:space="0" w:color="auto"/>
              <w:right w:val="single" w:sz="4" w:space="0" w:color="auto"/>
            </w:tcBorders>
          </w:tcPr>
          <w:p w14:paraId="2FF2119E"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$0.57/year</w:t>
            </w:r>
          </w:p>
        </w:tc>
        <w:tc>
          <w:tcPr>
            <w:tcW w:w="2693" w:type="dxa"/>
            <w:tcBorders>
              <w:top w:val="single" w:sz="4" w:space="0" w:color="auto"/>
              <w:left w:val="single" w:sz="4" w:space="0" w:color="auto"/>
              <w:bottom w:val="single" w:sz="4" w:space="0" w:color="auto"/>
              <w:right w:val="single" w:sz="4" w:space="0" w:color="auto"/>
            </w:tcBorders>
          </w:tcPr>
          <w:p w14:paraId="749A9A9C"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Across 11 countries,</w:t>
            </w:r>
          </w:p>
          <w:p w14:paraId="6A2A460F"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Constant 1987 USD</w:t>
            </w:r>
          </w:p>
        </w:tc>
      </w:tr>
    </w:tbl>
    <w:p w14:paraId="3ACA43F8" w14:textId="77777777" w:rsidR="00017C2E" w:rsidRPr="00D9152B" w:rsidRDefault="00017C2E" w:rsidP="00017C2E">
      <w:pPr>
        <w:jc w:val="both"/>
        <w:rPr>
          <w:rFonts w:ascii="Calibri" w:hAnsi="Calibri" w:cs="Calibri"/>
          <w:color w:val="808080" w:themeColor="background1" w:themeShade="80"/>
        </w:rPr>
      </w:pPr>
    </w:p>
    <w:p w14:paraId="14664774" w14:textId="336F35F0" w:rsidR="00AC7848" w:rsidRPr="00D9152B" w:rsidRDefault="00D82A8E" w:rsidP="00017C2E">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Table </w:t>
      </w:r>
      <w:r w:rsidR="001D54BD">
        <w:rPr>
          <w:rFonts w:ascii="Calibri" w:hAnsi="Calibri" w:cs="Calibri"/>
          <w:color w:val="808080" w:themeColor="background1" w:themeShade="80"/>
          <w:sz w:val="22"/>
          <w:szCs w:val="22"/>
        </w:rPr>
        <w:t>4.</w:t>
      </w:r>
      <w:r w:rsidRPr="00D9152B">
        <w:rPr>
          <w:rFonts w:ascii="Calibri" w:hAnsi="Calibri" w:cs="Calibri"/>
          <w:color w:val="808080" w:themeColor="background1" w:themeShade="80"/>
          <w:sz w:val="22"/>
          <w:szCs w:val="22"/>
        </w:rPr>
        <w:t>2</w:t>
      </w:r>
      <w:r w:rsidR="00AC7848" w:rsidRPr="00D9152B">
        <w:rPr>
          <w:rFonts w:ascii="Calibri" w:hAnsi="Calibri" w:cs="Calibri"/>
          <w:color w:val="808080" w:themeColor="background1" w:themeShade="80"/>
          <w:sz w:val="22"/>
          <w:szCs w:val="22"/>
        </w:rPr>
        <w:t>. Summary of major OCP socio-economic quantitative studies and the metrics that they put forward.</w:t>
      </w:r>
      <w:r w:rsidR="00613272" w:rsidRPr="00D9152B">
        <w:rPr>
          <w:rStyle w:val="FootnoteReference"/>
          <w:rFonts w:ascii="Calibri" w:hAnsi="Calibri" w:cs="Calibri"/>
          <w:color w:val="808080" w:themeColor="background1" w:themeShade="80"/>
        </w:rPr>
        <w:footnoteReference w:id="398"/>
      </w:r>
      <w:r w:rsidR="00AC7848" w:rsidRPr="00D9152B">
        <w:rPr>
          <w:rFonts w:ascii="Calibri" w:hAnsi="Calibri" w:cs="Calibri"/>
          <w:color w:val="808080" w:themeColor="background1" w:themeShade="80"/>
          <w:sz w:val="22"/>
          <w:szCs w:val="22"/>
        </w:rPr>
        <w:t xml:space="preserve"> </w:t>
      </w:r>
    </w:p>
    <w:p w14:paraId="2D7BC3FB" w14:textId="408955FF" w:rsidR="00017C2E" w:rsidRPr="00D9152B" w:rsidRDefault="00AC7848" w:rsidP="005C7F9F">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ab/>
        <w:t xml:space="preserve">Soon after Kim and Benton’s 1995 paper was published, donors pledged for </w:t>
      </w:r>
      <w:r w:rsidR="001D54BD">
        <w:rPr>
          <w:rFonts w:ascii="Calibri" w:hAnsi="Calibri" w:cs="Calibri"/>
          <w:sz w:val="22"/>
          <w:szCs w:val="22"/>
        </w:rPr>
        <w:t>the African Programme for Onchocerciasis Control</w:t>
      </w:r>
      <w:r w:rsidRPr="00D9152B">
        <w:rPr>
          <w:rFonts w:ascii="Calibri" w:hAnsi="Calibri" w:cs="Calibri"/>
          <w:sz w:val="22"/>
          <w:szCs w:val="22"/>
        </w:rPr>
        <w:t xml:space="preserve"> and OCP secured funding for its final fiscal phase. A few scholars, like Tim Evans, then a professor at Harvard and later the Director of the Bank’s HNP global practice, published short pieces on specific aspects of OCP socio-economics.</w:t>
      </w:r>
      <w:r w:rsidRPr="00D9152B">
        <w:rPr>
          <w:rStyle w:val="FootnoteReference"/>
          <w:rFonts w:ascii="Calibri" w:hAnsi="Calibri" w:cs="Calibri"/>
          <w:sz w:val="22"/>
          <w:szCs w:val="22"/>
        </w:rPr>
        <w:t xml:space="preserve"> </w:t>
      </w:r>
      <w:r w:rsidRPr="00D9152B">
        <w:rPr>
          <w:rStyle w:val="FootnoteReference"/>
          <w:rFonts w:ascii="Calibri" w:hAnsi="Calibri" w:cs="Calibri"/>
          <w:sz w:val="22"/>
          <w:szCs w:val="22"/>
        </w:rPr>
        <w:footnoteReference w:id="399"/>
      </w:r>
      <w:r w:rsidRPr="00D9152B">
        <w:rPr>
          <w:rFonts w:ascii="Calibri" w:hAnsi="Calibri" w:cs="Calibri"/>
          <w:sz w:val="22"/>
          <w:szCs w:val="22"/>
        </w:rPr>
        <w:t xml:space="preserve"> However, the Bank and sponsoring agencies’ involvement in socio-economic development largely subsided.</w:t>
      </w:r>
    </w:p>
    <w:p w14:paraId="1D7CB8D2" w14:textId="0405D1CE" w:rsidR="005C44EF" w:rsidRPr="00D9152B" w:rsidRDefault="005C637A" w:rsidP="00FA7761">
      <w:pPr>
        <w:pStyle w:val="Heading2"/>
        <w:spacing w:before="100" w:beforeAutospacing="1" w:after="100" w:afterAutospacing="1" w:line="360" w:lineRule="auto"/>
        <w:rPr>
          <w:rFonts w:ascii="Calibri" w:hAnsi="Calibri" w:cs="Calibri"/>
          <w:b/>
          <w:sz w:val="26"/>
          <w:szCs w:val="26"/>
        </w:rPr>
      </w:pPr>
      <w:bookmarkStart w:id="71" w:name="_Toc41505645"/>
      <w:r w:rsidRPr="00D9152B">
        <w:rPr>
          <w:rFonts w:ascii="Calibri" w:hAnsi="Calibri" w:cs="Calibri"/>
          <w:b/>
          <w:sz w:val="26"/>
          <w:szCs w:val="26"/>
        </w:rPr>
        <w:t>4.6</w:t>
      </w:r>
      <w:r w:rsidR="00FA7761" w:rsidRPr="00D9152B">
        <w:rPr>
          <w:rFonts w:ascii="Calibri" w:hAnsi="Calibri" w:cs="Calibri"/>
          <w:b/>
          <w:sz w:val="26"/>
          <w:szCs w:val="26"/>
        </w:rPr>
        <w:t xml:space="preserve">. </w:t>
      </w:r>
      <w:r w:rsidR="005C44EF" w:rsidRPr="00D9152B">
        <w:rPr>
          <w:rFonts w:ascii="Calibri" w:hAnsi="Calibri" w:cs="Calibri"/>
          <w:b/>
          <w:sz w:val="26"/>
          <w:szCs w:val="26"/>
        </w:rPr>
        <w:t>Conclusion: Constructing metrics during the OCP</w:t>
      </w:r>
      <w:bookmarkEnd w:id="71"/>
    </w:p>
    <w:p w14:paraId="0816F97D" w14:textId="54B78B67" w:rsidR="00E71C57" w:rsidRPr="00E71C57" w:rsidRDefault="00AC7848" w:rsidP="009E01B2">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As detailed in Chapter 3, the Bank has heavily pointed to clear objectives as a major reason for the OCP’s success. The three most cited public health metrics are the number of cases of blindness prevented, the population protected, and the children born without risk of disease. Interestingly, the most sensitive public health metric – the </w:t>
      </w:r>
      <w:r w:rsidR="005503D0" w:rsidRPr="00D9152B">
        <w:rPr>
          <w:rFonts w:ascii="Calibri" w:hAnsi="Calibri" w:cs="Calibri"/>
          <w:sz w:val="22"/>
          <w:szCs w:val="22"/>
        </w:rPr>
        <w:t>community microfilarial load</w:t>
      </w:r>
      <w:r w:rsidRPr="00D9152B">
        <w:rPr>
          <w:rFonts w:ascii="Calibri" w:hAnsi="Calibri" w:cs="Calibri"/>
          <w:sz w:val="22"/>
          <w:szCs w:val="22"/>
        </w:rPr>
        <w:t xml:space="preserve"> – is rarely cited. </w:t>
      </w:r>
      <w:r w:rsidR="00E71C57">
        <w:rPr>
          <w:rFonts w:ascii="Calibri" w:hAnsi="Calibri" w:cs="Calibri"/>
          <w:sz w:val="22"/>
          <w:szCs w:val="22"/>
        </w:rPr>
        <w:t xml:space="preserve">Yet, collectively, the population health metrics relied on solid data collection, and showed a significant decline in disease transmission by the early 1980s. They indicate that the programme </w:t>
      </w:r>
      <w:r w:rsidR="00E71C57">
        <w:rPr>
          <w:rFonts w:ascii="Calibri" w:hAnsi="Calibri" w:cs="Calibri"/>
          <w:i/>
          <w:iCs/>
          <w:sz w:val="22"/>
          <w:szCs w:val="22"/>
        </w:rPr>
        <w:t xml:space="preserve">did </w:t>
      </w:r>
      <w:r w:rsidR="00E71C57">
        <w:rPr>
          <w:rFonts w:ascii="Calibri" w:hAnsi="Calibri" w:cs="Calibri"/>
          <w:sz w:val="22"/>
          <w:szCs w:val="22"/>
        </w:rPr>
        <w:t xml:space="preserve">have a strongly positive impact on the burden of regional onchocerciasis. While the community </w:t>
      </w:r>
      <w:r w:rsidR="00E71C57">
        <w:rPr>
          <w:rFonts w:ascii="Calibri" w:hAnsi="Calibri" w:cs="Calibri"/>
          <w:sz w:val="22"/>
          <w:szCs w:val="22"/>
        </w:rPr>
        <w:lastRenderedPageBreak/>
        <w:t xml:space="preserve">microfilarial load is not cited as frequently as more crude indicators like the number of children born without risk of disease, this likely reflects a desire to </w:t>
      </w:r>
      <w:r w:rsidR="00657861">
        <w:rPr>
          <w:rFonts w:ascii="Calibri" w:hAnsi="Calibri" w:cs="Calibri"/>
          <w:sz w:val="22"/>
          <w:szCs w:val="22"/>
        </w:rPr>
        <w:t xml:space="preserve">present successes using simple indicators that could be most widely understood. The population health metrics were, therefore, not </w:t>
      </w:r>
      <w:r w:rsidR="007E420A">
        <w:rPr>
          <w:rFonts w:ascii="Calibri" w:hAnsi="Calibri" w:cs="Calibri"/>
          <w:sz w:val="22"/>
          <w:szCs w:val="22"/>
        </w:rPr>
        <w:t>constructible</w:t>
      </w:r>
      <w:r w:rsidR="00657861">
        <w:rPr>
          <w:rFonts w:ascii="Calibri" w:hAnsi="Calibri" w:cs="Calibri"/>
          <w:sz w:val="22"/>
          <w:szCs w:val="22"/>
        </w:rPr>
        <w:t xml:space="preserve"> and were subjected to minor marketing.</w:t>
      </w:r>
    </w:p>
    <w:p w14:paraId="414CFAC5" w14:textId="17B14AE5" w:rsidR="009E01B2" w:rsidRDefault="00657861" w:rsidP="009E01B2">
      <w:pPr>
        <w:spacing w:before="100" w:beforeAutospacing="1" w:after="100" w:afterAutospacing="1" w:line="360" w:lineRule="auto"/>
        <w:ind w:firstLine="720"/>
        <w:rPr>
          <w:rFonts w:ascii="Calibri" w:hAnsi="Calibri" w:cs="Calibri"/>
          <w:sz w:val="22"/>
          <w:szCs w:val="22"/>
        </w:rPr>
      </w:pPr>
      <w:r>
        <w:rPr>
          <w:rFonts w:ascii="Calibri" w:hAnsi="Calibri" w:cs="Calibri"/>
          <w:sz w:val="22"/>
          <w:szCs w:val="22"/>
        </w:rPr>
        <w:t xml:space="preserve">This was not the case for the socio-economic metrics. </w:t>
      </w:r>
      <w:r w:rsidR="00AC7848" w:rsidRPr="00D9152B">
        <w:rPr>
          <w:rFonts w:ascii="Calibri" w:hAnsi="Calibri" w:cs="Calibri"/>
          <w:sz w:val="22"/>
          <w:szCs w:val="22"/>
        </w:rPr>
        <w:t>By far the most cited socio-economic metric is the land made available for resettlement (25 million hectares), followed by the</w:t>
      </w:r>
      <w:r w:rsidR="00451D2E" w:rsidRPr="00D9152B">
        <w:rPr>
          <w:rFonts w:ascii="Calibri" w:hAnsi="Calibri" w:cs="Calibri"/>
          <w:sz w:val="22"/>
          <w:szCs w:val="22"/>
        </w:rPr>
        <w:t xml:space="preserve"> </w:t>
      </w:r>
      <w:r w:rsidR="005503D0" w:rsidRPr="00D9152B">
        <w:rPr>
          <w:rFonts w:ascii="Calibri" w:hAnsi="Calibri" w:cs="Calibri"/>
          <w:sz w:val="22"/>
          <w:szCs w:val="22"/>
        </w:rPr>
        <w:t>rate of return</w:t>
      </w:r>
      <w:r w:rsidR="00451D2E" w:rsidRPr="00D9152B">
        <w:rPr>
          <w:rFonts w:ascii="Calibri" w:hAnsi="Calibri" w:cs="Calibri"/>
          <w:sz w:val="22"/>
          <w:szCs w:val="22"/>
        </w:rPr>
        <w:t xml:space="preserve"> and </w:t>
      </w:r>
      <w:r w:rsidR="005503D0" w:rsidRPr="00D9152B">
        <w:rPr>
          <w:rFonts w:ascii="Calibri" w:hAnsi="Calibri" w:cs="Calibri"/>
          <w:sz w:val="22"/>
          <w:szCs w:val="22"/>
        </w:rPr>
        <w:t>net present value</w:t>
      </w:r>
      <w:r w:rsidR="00451D2E" w:rsidRPr="00D9152B">
        <w:rPr>
          <w:rFonts w:ascii="Calibri" w:hAnsi="Calibri" w:cs="Calibri"/>
          <w:sz w:val="22"/>
          <w:szCs w:val="22"/>
        </w:rPr>
        <w:t xml:space="preserve">. </w:t>
      </w:r>
      <w:r>
        <w:rPr>
          <w:rFonts w:ascii="Calibri" w:hAnsi="Calibri" w:cs="Calibri"/>
          <w:sz w:val="22"/>
          <w:szCs w:val="22"/>
        </w:rPr>
        <w:t>However</w:t>
      </w:r>
      <w:r w:rsidR="00451D2E" w:rsidRPr="00D9152B">
        <w:rPr>
          <w:rFonts w:ascii="Calibri" w:hAnsi="Calibri" w:cs="Calibri"/>
          <w:sz w:val="22"/>
          <w:szCs w:val="22"/>
        </w:rPr>
        <w:t xml:space="preserve">, as </w:t>
      </w:r>
      <w:r w:rsidR="00D82A8E" w:rsidRPr="00D9152B">
        <w:rPr>
          <w:rFonts w:ascii="Calibri" w:hAnsi="Calibri" w:cs="Calibri"/>
          <w:sz w:val="22"/>
          <w:szCs w:val="22"/>
        </w:rPr>
        <w:t xml:space="preserve">Table </w:t>
      </w:r>
      <w:r w:rsidR="001D54BD">
        <w:rPr>
          <w:rFonts w:ascii="Calibri" w:hAnsi="Calibri" w:cs="Calibri"/>
          <w:sz w:val="22"/>
          <w:szCs w:val="22"/>
        </w:rPr>
        <w:t>4.</w:t>
      </w:r>
      <w:r w:rsidR="00D82A8E" w:rsidRPr="00D9152B">
        <w:rPr>
          <w:rFonts w:ascii="Calibri" w:hAnsi="Calibri" w:cs="Calibri"/>
          <w:sz w:val="22"/>
          <w:szCs w:val="22"/>
        </w:rPr>
        <w:t>3</w:t>
      </w:r>
      <w:r w:rsidR="00451D2E" w:rsidRPr="00D9152B">
        <w:rPr>
          <w:rFonts w:ascii="Calibri" w:hAnsi="Calibri" w:cs="Calibri"/>
          <w:sz w:val="22"/>
          <w:szCs w:val="22"/>
        </w:rPr>
        <w:t xml:space="preserve"> illustrates</w:t>
      </w:r>
      <w:r w:rsidR="00AC7848" w:rsidRPr="00D9152B">
        <w:rPr>
          <w:rFonts w:ascii="Calibri" w:hAnsi="Calibri" w:cs="Calibri"/>
          <w:sz w:val="22"/>
          <w:szCs w:val="22"/>
        </w:rPr>
        <w:t>, these three socio-economic metrics varied dramatically over the duration of the OCP, depending on values used for key variables. For instance,</w:t>
      </w:r>
      <w:r w:rsidR="00451D2E" w:rsidRPr="00D9152B">
        <w:rPr>
          <w:rFonts w:ascii="Calibri" w:hAnsi="Calibri" w:cs="Calibri"/>
          <w:sz w:val="22"/>
          <w:szCs w:val="22"/>
        </w:rPr>
        <w:t xml:space="preserve"> Benton and Skinner found an 11 percent</w:t>
      </w:r>
      <w:r w:rsidR="00AC7848" w:rsidRPr="00D9152B">
        <w:rPr>
          <w:rFonts w:ascii="Calibri" w:hAnsi="Calibri" w:cs="Calibri"/>
          <w:sz w:val="22"/>
          <w:szCs w:val="22"/>
        </w:rPr>
        <w:t xml:space="preserve"> </w:t>
      </w:r>
      <w:r w:rsidR="005503D0" w:rsidRPr="00D9152B">
        <w:rPr>
          <w:rFonts w:ascii="Calibri" w:hAnsi="Calibri" w:cs="Calibri"/>
          <w:sz w:val="22"/>
          <w:szCs w:val="22"/>
        </w:rPr>
        <w:t>economic rate of return</w:t>
      </w:r>
      <w:r w:rsidR="00AC7848" w:rsidRPr="00D9152B">
        <w:rPr>
          <w:rFonts w:ascii="Calibri" w:hAnsi="Calibri" w:cs="Calibri"/>
          <w:sz w:val="22"/>
          <w:szCs w:val="22"/>
        </w:rPr>
        <w:t xml:space="preserve"> when using a higher discount rate and counting land and labour benefits over forty years. In sharp contrast, they also calculated that labour be</w:t>
      </w:r>
      <w:r w:rsidR="00451D2E" w:rsidRPr="00D9152B">
        <w:rPr>
          <w:rFonts w:ascii="Calibri" w:hAnsi="Calibri" w:cs="Calibri"/>
          <w:sz w:val="22"/>
          <w:szCs w:val="22"/>
        </w:rPr>
        <w:t>nefits alone could produce a 63 percent</w:t>
      </w:r>
      <w:r w:rsidR="00AC7848" w:rsidRPr="00D9152B">
        <w:rPr>
          <w:rFonts w:ascii="Calibri" w:hAnsi="Calibri" w:cs="Calibri"/>
          <w:sz w:val="22"/>
          <w:szCs w:val="22"/>
        </w:rPr>
        <w:t xml:space="preserve"> </w:t>
      </w:r>
      <w:r w:rsidR="005503D0" w:rsidRPr="00D9152B">
        <w:rPr>
          <w:rFonts w:ascii="Calibri" w:hAnsi="Calibri" w:cs="Calibri"/>
          <w:sz w:val="22"/>
          <w:szCs w:val="22"/>
        </w:rPr>
        <w:t>rate of return</w:t>
      </w:r>
      <w:r w:rsidR="00AC7848" w:rsidRPr="00D9152B">
        <w:rPr>
          <w:rFonts w:ascii="Calibri" w:hAnsi="Calibri" w:cs="Calibri"/>
          <w:sz w:val="22"/>
          <w:szCs w:val="22"/>
        </w:rPr>
        <w:t xml:space="preserve"> from a priority-setting perspective (i.e. if costs from 1990 to the estimated year of programme closure – excluding ‘sunken costs’ to date – were compared to benefits during this time). Similarly, the 25 million hectare figure was largely based on general previous estimates, not new data about actual land agricultural value or resettlement trends in the 11 country area.</w:t>
      </w:r>
    </w:p>
    <w:p w14:paraId="6196516B" w14:textId="5EBE59D3" w:rsidR="007E420A" w:rsidRDefault="007E420A" w:rsidP="009E01B2">
      <w:pPr>
        <w:spacing w:before="100" w:beforeAutospacing="1" w:after="100" w:afterAutospacing="1" w:line="360" w:lineRule="auto"/>
        <w:ind w:firstLine="720"/>
        <w:rPr>
          <w:rFonts w:ascii="Calibri" w:hAnsi="Calibri" w:cs="Calibri"/>
          <w:sz w:val="22"/>
          <w:szCs w:val="22"/>
        </w:rPr>
      </w:pPr>
    </w:p>
    <w:p w14:paraId="4788D954" w14:textId="68065802" w:rsidR="007E420A" w:rsidRDefault="007E420A" w:rsidP="009E01B2">
      <w:pPr>
        <w:spacing w:before="100" w:beforeAutospacing="1" w:after="100" w:afterAutospacing="1" w:line="360" w:lineRule="auto"/>
        <w:ind w:firstLine="720"/>
        <w:rPr>
          <w:rFonts w:ascii="Calibri" w:hAnsi="Calibri" w:cs="Calibri"/>
          <w:sz w:val="22"/>
          <w:szCs w:val="22"/>
        </w:rPr>
      </w:pPr>
    </w:p>
    <w:p w14:paraId="566B4587" w14:textId="6C572F19" w:rsidR="007E420A" w:rsidRDefault="007E420A" w:rsidP="009E01B2">
      <w:pPr>
        <w:spacing w:before="100" w:beforeAutospacing="1" w:after="100" w:afterAutospacing="1" w:line="360" w:lineRule="auto"/>
        <w:ind w:firstLine="720"/>
        <w:rPr>
          <w:rFonts w:ascii="Calibri" w:hAnsi="Calibri" w:cs="Calibri"/>
          <w:sz w:val="22"/>
          <w:szCs w:val="22"/>
        </w:rPr>
      </w:pPr>
    </w:p>
    <w:p w14:paraId="67B6B0DD" w14:textId="66AC05F2" w:rsidR="007E420A" w:rsidRDefault="007E420A" w:rsidP="009E01B2">
      <w:pPr>
        <w:spacing w:before="100" w:beforeAutospacing="1" w:after="100" w:afterAutospacing="1" w:line="360" w:lineRule="auto"/>
        <w:ind w:firstLine="720"/>
        <w:rPr>
          <w:rFonts w:ascii="Calibri" w:hAnsi="Calibri" w:cs="Calibri"/>
          <w:sz w:val="22"/>
          <w:szCs w:val="22"/>
        </w:rPr>
      </w:pPr>
    </w:p>
    <w:p w14:paraId="706CF1D3" w14:textId="1E860E7C" w:rsidR="007E420A" w:rsidRDefault="007E420A" w:rsidP="009E01B2">
      <w:pPr>
        <w:spacing w:before="100" w:beforeAutospacing="1" w:after="100" w:afterAutospacing="1" w:line="360" w:lineRule="auto"/>
        <w:ind w:firstLine="720"/>
        <w:rPr>
          <w:rFonts w:ascii="Calibri" w:hAnsi="Calibri" w:cs="Calibri"/>
          <w:sz w:val="22"/>
          <w:szCs w:val="22"/>
        </w:rPr>
      </w:pPr>
    </w:p>
    <w:p w14:paraId="17E67501" w14:textId="7F23658D" w:rsidR="007E420A" w:rsidRDefault="007E420A" w:rsidP="009E01B2">
      <w:pPr>
        <w:spacing w:before="100" w:beforeAutospacing="1" w:after="100" w:afterAutospacing="1" w:line="360" w:lineRule="auto"/>
        <w:ind w:firstLine="720"/>
        <w:rPr>
          <w:rFonts w:ascii="Calibri" w:hAnsi="Calibri" w:cs="Calibri"/>
          <w:sz w:val="22"/>
          <w:szCs w:val="22"/>
        </w:rPr>
      </w:pPr>
    </w:p>
    <w:p w14:paraId="0BFBC94A" w14:textId="5565C11F" w:rsidR="007E420A" w:rsidRDefault="007E420A" w:rsidP="009E01B2">
      <w:pPr>
        <w:spacing w:before="100" w:beforeAutospacing="1" w:after="100" w:afterAutospacing="1" w:line="360" w:lineRule="auto"/>
        <w:ind w:firstLine="720"/>
        <w:rPr>
          <w:rFonts w:ascii="Calibri" w:hAnsi="Calibri" w:cs="Calibri"/>
          <w:sz w:val="22"/>
          <w:szCs w:val="22"/>
        </w:rPr>
      </w:pPr>
    </w:p>
    <w:p w14:paraId="3BAEA6AB" w14:textId="363CB0E2" w:rsidR="007E420A" w:rsidRDefault="007E420A" w:rsidP="009E01B2">
      <w:pPr>
        <w:spacing w:before="100" w:beforeAutospacing="1" w:after="100" w:afterAutospacing="1" w:line="360" w:lineRule="auto"/>
        <w:ind w:firstLine="720"/>
        <w:rPr>
          <w:rFonts w:ascii="Calibri" w:hAnsi="Calibri" w:cs="Calibri"/>
          <w:sz w:val="22"/>
          <w:szCs w:val="22"/>
        </w:rPr>
      </w:pPr>
    </w:p>
    <w:p w14:paraId="515AA1DF" w14:textId="77777777" w:rsidR="007E420A" w:rsidRPr="00D9152B" w:rsidRDefault="007E420A" w:rsidP="009E01B2">
      <w:pPr>
        <w:spacing w:before="100" w:beforeAutospacing="1" w:after="100" w:afterAutospacing="1" w:line="360" w:lineRule="auto"/>
        <w:ind w:firstLine="720"/>
        <w:rPr>
          <w:rFonts w:ascii="Calibri" w:hAnsi="Calibri" w:cs="Calibri"/>
          <w:sz w:val="22"/>
          <w:szCs w:val="22"/>
        </w:rPr>
      </w:pPr>
    </w:p>
    <w:tbl>
      <w:tblPr>
        <w:tblStyle w:val="GridTable3-Accent3"/>
        <w:tblW w:w="8359" w:type="dxa"/>
        <w:tblLook w:val="04A0" w:firstRow="1" w:lastRow="0" w:firstColumn="1" w:lastColumn="0" w:noHBand="0" w:noVBand="1"/>
      </w:tblPr>
      <w:tblGrid>
        <w:gridCol w:w="1985"/>
        <w:gridCol w:w="3113"/>
        <w:gridCol w:w="3261"/>
      </w:tblGrid>
      <w:tr w:rsidR="00AC7848" w:rsidRPr="00D9152B" w14:paraId="2AFC7928" w14:textId="77777777" w:rsidTr="00FA7761">
        <w:trPr>
          <w:cnfStyle w:val="100000000000" w:firstRow="1" w:lastRow="0" w:firstColumn="0" w:lastColumn="0" w:oddVBand="0" w:evenVBand="0" w:oddHBand="0" w:evenHBand="0" w:firstRowFirstColumn="0" w:firstRowLastColumn="0" w:lastRowFirstColumn="0" w:lastRowLastColumn="0"/>
          <w:trHeight w:val="232"/>
        </w:trPr>
        <w:tc>
          <w:tcPr>
            <w:cnfStyle w:val="001000000100" w:firstRow="0" w:lastRow="0" w:firstColumn="1" w:lastColumn="0" w:oddVBand="0" w:evenVBand="0" w:oddHBand="0" w:evenHBand="0" w:firstRowFirstColumn="1" w:firstRowLastColumn="0" w:lastRowFirstColumn="0" w:lastRowLastColumn="0"/>
            <w:tcW w:w="1985" w:type="dxa"/>
            <w:tcBorders>
              <w:bottom w:val="single" w:sz="4" w:space="0" w:color="auto"/>
              <w:right w:val="single" w:sz="4" w:space="0" w:color="auto"/>
            </w:tcBorders>
          </w:tcPr>
          <w:p w14:paraId="30BBAC83" w14:textId="77777777" w:rsidR="00AC7848" w:rsidRPr="00D9152B" w:rsidRDefault="00AC7848" w:rsidP="00017C2E">
            <w:pPr>
              <w:rPr>
                <w:rFonts w:ascii="Calibri" w:hAnsi="Calibri" w:cs="Calibri"/>
                <w:sz w:val="18"/>
                <w:szCs w:val="18"/>
              </w:rPr>
            </w:pPr>
            <w:r w:rsidRPr="00D9152B">
              <w:rPr>
                <w:rFonts w:ascii="Calibri" w:hAnsi="Calibri" w:cs="Calibri"/>
                <w:sz w:val="18"/>
                <w:szCs w:val="18"/>
              </w:rPr>
              <w:lastRenderedPageBreak/>
              <w:t>Metric</w:t>
            </w:r>
          </w:p>
        </w:tc>
        <w:tc>
          <w:tcPr>
            <w:tcW w:w="3113" w:type="dxa"/>
            <w:tcBorders>
              <w:left w:val="single" w:sz="4" w:space="0" w:color="auto"/>
              <w:bottom w:val="single" w:sz="4" w:space="0" w:color="auto"/>
              <w:right w:val="single" w:sz="4" w:space="0" w:color="auto"/>
            </w:tcBorders>
          </w:tcPr>
          <w:p w14:paraId="2AD5EA78" w14:textId="77777777" w:rsidR="00AC7848" w:rsidRPr="00D9152B" w:rsidRDefault="00AC7848" w:rsidP="00017C2E">
            <w:pPr>
              <w:cnfStyle w:val="100000000000" w:firstRow="1" w:lastRow="0" w:firstColumn="0" w:lastColumn="0" w:oddVBand="0" w:evenVBand="0" w:oddHBand="0" w:evenHBand="0" w:firstRowFirstColumn="0" w:firstRowLastColumn="0" w:lastRowFirstColumn="0" w:lastRowLastColumn="0"/>
              <w:rPr>
                <w:rFonts w:ascii="Calibri" w:hAnsi="Calibri" w:cs="Calibri"/>
                <w:i/>
                <w:sz w:val="18"/>
                <w:szCs w:val="18"/>
              </w:rPr>
            </w:pPr>
            <w:r w:rsidRPr="00D9152B">
              <w:rPr>
                <w:rFonts w:ascii="Calibri" w:hAnsi="Calibri" w:cs="Calibri"/>
                <w:i/>
                <w:sz w:val="18"/>
                <w:szCs w:val="18"/>
              </w:rPr>
              <w:t>Value</w:t>
            </w:r>
          </w:p>
        </w:tc>
        <w:tc>
          <w:tcPr>
            <w:tcW w:w="3261" w:type="dxa"/>
            <w:tcBorders>
              <w:left w:val="single" w:sz="4" w:space="0" w:color="auto"/>
              <w:bottom w:val="single" w:sz="4" w:space="0" w:color="auto"/>
            </w:tcBorders>
          </w:tcPr>
          <w:p w14:paraId="12C75DA8" w14:textId="77777777" w:rsidR="00AC7848" w:rsidRPr="00D9152B" w:rsidRDefault="00AC7848" w:rsidP="00017C2E">
            <w:pPr>
              <w:cnfStyle w:val="100000000000" w:firstRow="1" w:lastRow="0" w:firstColumn="0" w:lastColumn="0" w:oddVBand="0" w:evenVBand="0" w:oddHBand="0" w:evenHBand="0" w:firstRowFirstColumn="0" w:firstRowLastColumn="0" w:lastRowFirstColumn="0" w:lastRowLastColumn="0"/>
              <w:rPr>
                <w:rFonts w:ascii="Calibri" w:hAnsi="Calibri" w:cs="Calibri"/>
                <w:i/>
                <w:sz w:val="18"/>
                <w:szCs w:val="18"/>
              </w:rPr>
            </w:pPr>
            <w:r w:rsidRPr="00D9152B">
              <w:rPr>
                <w:rFonts w:ascii="Calibri" w:hAnsi="Calibri" w:cs="Calibri"/>
                <w:i/>
                <w:sz w:val="18"/>
                <w:szCs w:val="18"/>
              </w:rPr>
              <w:t>Study</w:t>
            </w:r>
          </w:p>
          <w:p w14:paraId="6B90BF01" w14:textId="5D68A679" w:rsidR="00017C2E" w:rsidRPr="00D9152B" w:rsidRDefault="00017C2E" w:rsidP="00017C2E">
            <w:pPr>
              <w:cnfStyle w:val="100000000000" w:firstRow="1" w:lastRow="0" w:firstColumn="0" w:lastColumn="0" w:oddVBand="0" w:evenVBand="0" w:oddHBand="0" w:evenHBand="0" w:firstRowFirstColumn="0" w:firstRowLastColumn="0" w:lastRowFirstColumn="0" w:lastRowLastColumn="0"/>
              <w:rPr>
                <w:rFonts w:ascii="Calibri" w:hAnsi="Calibri" w:cs="Calibri"/>
                <w:i/>
                <w:sz w:val="18"/>
                <w:szCs w:val="18"/>
              </w:rPr>
            </w:pPr>
          </w:p>
        </w:tc>
      </w:tr>
      <w:tr w:rsidR="00AC7848" w:rsidRPr="00D9152B" w14:paraId="3AE1B744" w14:textId="77777777" w:rsidTr="00FA776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985" w:type="dxa"/>
            <w:tcBorders>
              <w:top w:val="single" w:sz="4" w:space="0" w:color="auto"/>
              <w:right w:val="single" w:sz="4" w:space="0" w:color="auto"/>
            </w:tcBorders>
          </w:tcPr>
          <w:p w14:paraId="32C0CDAC" w14:textId="77777777" w:rsidR="00AC7848" w:rsidRPr="00D9152B" w:rsidRDefault="00AC7848" w:rsidP="00017C2E">
            <w:pPr>
              <w:rPr>
                <w:rFonts w:ascii="Calibri" w:hAnsi="Calibri" w:cs="Calibri"/>
                <w:b/>
                <w:sz w:val="18"/>
                <w:szCs w:val="18"/>
              </w:rPr>
            </w:pPr>
            <w:r w:rsidRPr="00D9152B">
              <w:rPr>
                <w:rFonts w:ascii="Calibri" w:hAnsi="Calibri" w:cs="Calibri"/>
                <w:b/>
                <w:sz w:val="18"/>
                <w:szCs w:val="18"/>
              </w:rPr>
              <w:t>Rate of return</w:t>
            </w:r>
          </w:p>
        </w:tc>
        <w:tc>
          <w:tcPr>
            <w:tcW w:w="3113" w:type="dxa"/>
            <w:tcBorders>
              <w:top w:val="single" w:sz="4" w:space="0" w:color="auto"/>
              <w:left w:val="single" w:sz="4" w:space="0" w:color="auto"/>
              <w:bottom w:val="single" w:sz="4" w:space="0" w:color="auto"/>
              <w:right w:val="single" w:sz="4" w:space="0" w:color="auto"/>
            </w:tcBorders>
          </w:tcPr>
          <w:p w14:paraId="299F06AB"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10%</w:t>
            </w:r>
          </w:p>
        </w:tc>
        <w:tc>
          <w:tcPr>
            <w:tcW w:w="3261" w:type="dxa"/>
            <w:tcBorders>
              <w:top w:val="single" w:sz="4" w:space="0" w:color="auto"/>
              <w:left w:val="single" w:sz="4" w:space="0" w:color="auto"/>
              <w:bottom w:val="single" w:sz="4" w:space="0" w:color="auto"/>
              <w:right w:val="single" w:sz="4" w:space="0" w:color="auto"/>
            </w:tcBorders>
          </w:tcPr>
          <w:p w14:paraId="54CF9706"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PAG Mission, 1973</w:t>
            </w:r>
          </w:p>
        </w:tc>
      </w:tr>
      <w:tr w:rsidR="00AC7848" w:rsidRPr="00D9152B" w14:paraId="15E01948" w14:textId="77777777" w:rsidTr="00FA7761">
        <w:trPr>
          <w:trHeight w:val="20"/>
        </w:trPr>
        <w:tc>
          <w:tcPr>
            <w:cnfStyle w:val="001000000000" w:firstRow="0" w:lastRow="0" w:firstColumn="1" w:lastColumn="0" w:oddVBand="0" w:evenVBand="0" w:oddHBand="0" w:evenHBand="0" w:firstRowFirstColumn="0" w:firstRowLastColumn="0" w:lastRowFirstColumn="0" w:lastRowLastColumn="0"/>
            <w:tcW w:w="1985" w:type="dxa"/>
            <w:tcBorders>
              <w:right w:val="single" w:sz="4" w:space="0" w:color="auto"/>
            </w:tcBorders>
          </w:tcPr>
          <w:p w14:paraId="00408FBD" w14:textId="77777777" w:rsidR="00AC7848" w:rsidRPr="00D9152B" w:rsidRDefault="00AC7848" w:rsidP="00017C2E">
            <w:pPr>
              <w:rPr>
                <w:rFonts w:ascii="Calibri" w:hAnsi="Calibri" w:cs="Calibri"/>
                <w:b/>
                <w:sz w:val="18"/>
                <w:szCs w:val="18"/>
              </w:rPr>
            </w:pPr>
          </w:p>
        </w:tc>
        <w:tc>
          <w:tcPr>
            <w:tcW w:w="3113" w:type="dxa"/>
            <w:tcBorders>
              <w:top w:val="single" w:sz="4" w:space="0" w:color="auto"/>
              <w:left w:val="single" w:sz="4" w:space="0" w:color="auto"/>
              <w:bottom w:val="single" w:sz="4" w:space="0" w:color="auto"/>
              <w:right w:val="single" w:sz="4" w:space="0" w:color="auto"/>
            </w:tcBorders>
          </w:tcPr>
          <w:p w14:paraId="47D6E594" w14:textId="0792E4F3"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-6 to 69%</w:t>
            </w:r>
          </w:p>
        </w:tc>
        <w:tc>
          <w:tcPr>
            <w:tcW w:w="3261" w:type="dxa"/>
            <w:tcBorders>
              <w:top w:val="single" w:sz="4" w:space="0" w:color="auto"/>
              <w:left w:val="single" w:sz="4" w:space="0" w:color="auto"/>
              <w:bottom w:val="single" w:sz="4" w:space="0" w:color="auto"/>
              <w:right w:val="single" w:sz="4" w:space="0" w:color="auto"/>
            </w:tcBorders>
          </w:tcPr>
          <w:p w14:paraId="1A324725"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Younger and Zongo, 1989</w:t>
            </w:r>
          </w:p>
        </w:tc>
      </w:tr>
      <w:tr w:rsidR="00AC7848" w:rsidRPr="00D9152B" w14:paraId="29E66B33" w14:textId="77777777" w:rsidTr="00FA776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985" w:type="dxa"/>
            <w:tcBorders>
              <w:right w:val="single" w:sz="4" w:space="0" w:color="auto"/>
            </w:tcBorders>
          </w:tcPr>
          <w:p w14:paraId="51369388" w14:textId="77777777" w:rsidR="00AC7848" w:rsidRPr="00D9152B" w:rsidRDefault="00AC7848" w:rsidP="00017C2E">
            <w:pPr>
              <w:rPr>
                <w:rFonts w:ascii="Calibri" w:hAnsi="Calibri" w:cs="Calibri"/>
                <w:b/>
                <w:sz w:val="18"/>
                <w:szCs w:val="18"/>
              </w:rPr>
            </w:pPr>
          </w:p>
        </w:tc>
        <w:tc>
          <w:tcPr>
            <w:tcW w:w="3113" w:type="dxa"/>
            <w:tcBorders>
              <w:top w:val="single" w:sz="4" w:space="0" w:color="auto"/>
              <w:left w:val="single" w:sz="4" w:space="0" w:color="auto"/>
              <w:bottom w:val="single" w:sz="4" w:space="0" w:color="auto"/>
              <w:right w:val="single" w:sz="4" w:space="0" w:color="auto"/>
            </w:tcBorders>
          </w:tcPr>
          <w:p w14:paraId="35C6A0F9"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11% to 13%</w:t>
            </w:r>
          </w:p>
        </w:tc>
        <w:tc>
          <w:tcPr>
            <w:tcW w:w="3261" w:type="dxa"/>
            <w:tcBorders>
              <w:top w:val="single" w:sz="4" w:space="0" w:color="auto"/>
              <w:left w:val="single" w:sz="4" w:space="0" w:color="auto"/>
              <w:bottom w:val="single" w:sz="4" w:space="0" w:color="auto"/>
              <w:right w:val="single" w:sz="4" w:space="0" w:color="auto"/>
            </w:tcBorders>
          </w:tcPr>
          <w:p w14:paraId="201A3EC2" w14:textId="2965E2C5"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Benton and Skinner, 1989</w:t>
            </w:r>
          </w:p>
        </w:tc>
      </w:tr>
      <w:tr w:rsidR="00AC7848" w:rsidRPr="00D9152B" w14:paraId="22664DC6" w14:textId="77777777" w:rsidTr="00FA7761">
        <w:trPr>
          <w:trHeight w:val="20"/>
        </w:trPr>
        <w:tc>
          <w:tcPr>
            <w:cnfStyle w:val="001000000000" w:firstRow="0" w:lastRow="0" w:firstColumn="1" w:lastColumn="0" w:oddVBand="0" w:evenVBand="0" w:oddHBand="0" w:evenHBand="0" w:firstRowFirstColumn="0" w:firstRowLastColumn="0" w:lastRowFirstColumn="0" w:lastRowLastColumn="0"/>
            <w:tcW w:w="1985" w:type="dxa"/>
            <w:tcBorders>
              <w:right w:val="single" w:sz="4" w:space="0" w:color="auto"/>
            </w:tcBorders>
          </w:tcPr>
          <w:p w14:paraId="07AB4B63" w14:textId="77777777" w:rsidR="00AC7848" w:rsidRPr="00D9152B" w:rsidRDefault="00AC7848" w:rsidP="00017C2E">
            <w:pPr>
              <w:rPr>
                <w:rFonts w:ascii="Calibri" w:hAnsi="Calibri" w:cs="Calibri"/>
                <w:b/>
                <w:sz w:val="18"/>
                <w:szCs w:val="18"/>
              </w:rPr>
            </w:pPr>
          </w:p>
        </w:tc>
        <w:tc>
          <w:tcPr>
            <w:tcW w:w="3113" w:type="dxa"/>
            <w:tcBorders>
              <w:top w:val="single" w:sz="4" w:space="0" w:color="auto"/>
              <w:left w:val="single" w:sz="4" w:space="0" w:color="auto"/>
              <w:bottom w:val="single" w:sz="4" w:space="0" w:color="auto"/>
              <w:right w:val="single" w:sz="4" w:space="0" w:color="auto"/>
            </w:tcBorders>
          </w:tcPr>
          <w:p w14:paraId="5177CFDC"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63% (labour only)</w:t>
            </w:r>
          </w:p>
        </w:tc>
        <w:tc>
          <w:tcPr>
            <w:tcW w:w="3261" w:type="dxa"/>
            <w:tcBorders>
              <w:top w:val="single" w:sz="4" w:space="0" w:color="auto"/>
              <w:left w:val="single" w:sz="4" w:space="0" w:color="auto"/>
              <w:bottom w:val="single" w:sz="4" w:space="0" w:color="auto"/>
              <w:right w:val="single" w:sz="4" w:space="0" w:color="auto"/>
            </w:tcBorders>
          </w:tcPr>
          <w:p w14:paraId="7C6DFBEA"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Benton and Skinner, 1989</w:t>
            </w:r>
          </w:p>
        </w:tc>
      </w:tr>
      <w:tr w:rsidR="00AC7848" w:rsidRPr="00D9152B" w14:paraId="3B1CBA93" w14:textId="77777777" w:rsidTr="00FA776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985" w:type="dxa"/>
            <w:tcBorders>
              <w:bottom w:val="single" w:sz="4" w:space="0" w:color="auto"/>
              <w:right w:val="single" w:sz="4" w:space="0" w:color="auto"/>
            </w:tcBorders>
          </w:tcPr>
          <w:p w14:paraId="49C271E1" w14:textId="77777777" w:rsidR="00AC7848" w:rsidRPr="00D9152B" w:rsidRDefault="00AC7848" w:rsidP="00017C2E">
            <w:pPr>
              <w:rPr>
                <w:rFonts w:ascii="Calibri" w:hAnsi="Calibri" w:cs="Calibri"/>
                <w:b/>
                <w:sz w:val="18"/>
                <w:szCs w:val="18"/>
              </w:rPr>
            </w:pPr>
          </w:p>
        </w:tc>
        <w:tc>
          <w:tcPr>
            <w:tcW w:w="3113" w:type="dxa"/>
            <w:tcBorders>
              <w:top w:val="single" w:sz="4" w:space="0" w:color="auto"/>
              <w:left w:val="single" w:sz="4" w:space="0" w:color="auto"/>
              <w:bottom w:val="single" w:sz="4" w:space="0" w:color="auto"/>
              <w:right w:val="single" w:sz="4" w:space="0" w:color="auto"/>
            </w:tcBorders>
          </w:tcPr>
          <w:p w14:paraId="4397B37B"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18% to 21%</w:t>
            </w:r>
          </w:p>
        </w:tc>
        <w:tc>
          <w:tcPr>
            <w:tcW w:w="3261" w:type="dxa"/>
            <w:tcBorders>
              <w:top w:val="single" w:sz="4" w:space="0" w:color="auto"/>
              <w:left w:val="single" w:sz="4" w:space="0" w:color="auto"/>
              <w:bottom w:val="single" w:sz="4" w:space="0" w:color="auto"/>
              <w:right w:val="single" w:sz="4" w:space="0" w:color="auto"/>
            </w:tcBorders>
          </w:tcPr>
          <w:p w14:paraId="2DCD615B"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Kim and Benton, 1995</w:t>
            </w:r>
          </w:p>
        </w:tc>
      </w:tr>
      <w:tr w:rsidR="00AC7848" w:rsidRPr="00D9152B" w14:paraId="6CFB2FCA" w14:textId="77777777" w:rsidTr="00FA7761">
        <w:trPr>
          <w:trHeight w:val="20"/>
        </w:trPr>
        <w:tc>
          <w:tcPr>
            <w:cnfStyle w:val="001000000000" w:firstRow="0" w:lastRow="0" w:firstColumn="1" w:lastColumn="0" w:oddVBand="0" w:evenVBand="0" w:oddHBand="0" w:evenHBand="0" w:firstRowFirstColumn="0" w:firstRowLastColumn="0" w:lastRowFirstColumn="0" w:lastRowLastColumn="0"/>
            <w:tcW w:w="1985" w:type="dxa"/>
            <w:tcBorders>
              <w:top w:val="single" w:sz="4" w:space="0" w:color="auto"/>
              <w:right w:val="single" w:sz="4" w:space="0" w:color="auto"/>
            </w:tcBorders>
          </w:tcPr>
          <w:p w14:paraId="582E5D10" w14:textId="77777777" w:rsidR="00AC7848" w:rsidRPr="00D9152B" w:rsidRDefault="00AC7848" w:rsidP="00017C2E">
            <w:pPr>
              <w:rPr>
                <w:rFonts w:ascii="Calibri" w:hAnsi="Calibri" w:cs="Calibri"/>
                <w:b/>
                <w:sz w:val="18"/>
                <w:szCs w:val="18"/>
              </w:rPr>
            </w:pPr>
            <w:r w:rsidRPr="00D9152B">
              <w:rPr>
                <w:rFonts w:ascii="Calibri" w:hAnsi="Calibri" w:cs="Calibri"/>
                <w:b/>
                <w:sz w:val="18"/>
                <w:szCs w:val="18"/>
              </w:rPr>
              <w:t>Net Present Value</w:t>
            </w:r>
          </w:p>
        </w:tc>
        <w:tc>
          <w:tcPr>
            <w:tcW w:w="3113" w:type="dxa"/>
            <w:tcBorders>
              <w:top w:val="single" w:sz="4" w:space="0" w:color="auto"/>
              <w:left w:val="single" w:sz="4" w:space="0" w:color="auto"/>
              <w:bottom w:val="single" w:sz="4" w:space="0" w:color="auto"/>
              <w:right w:val="single" w:sz="4" w:space="0" w:color="auto"/>
            </w:tcBorders>
          </w:tcPr>
          <w:p w14:paraId="05B5097B"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$20.5 million to $1,137.6 million (labour)</w:t>
            </w:r>
          </w:p>
        </w:tc>
        <w:tc>
          <w:tcPr>
            <w:tcW w:w="3261" w:type="dxa"/>
            <w:tcBorders>
              <w:top w:val="single" w:sz="4" w:space="0" w:color="auto"/>
              <w:left w:val="single" w:sz="4" w:space="0" w:color="auto"/>
              <w:bottom w:val="single" w:sz="4" w:space="0" w:color="auto"/>
              <w:right w:val="single" w:sz="4" w:space="0" w:color="auto"/>
            </w:tcBorders>
          </w:tcPr>
          <w:p w14:paraId="0D395EEC"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Economic Review Mission, 1978</w:t>
            </w:r>
          </w:p>
        </w:tc>
      </w:tr>
      <w:tr w:rsidR="00AC7848" w:rsidRPr="00D9152B" w14:paraId="6D37744C" w14:textId="77777777" w:rsidTr="00FA776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985" w:type="dxa"/>
            <w:tcBorders>
              <w:right w:val="single" w:sz="4" w:space="0" w:color="auto"/>
            </w:tcBorders>
          </w:tcPr>
          <w:p w14:paraId="7B655117" w14:textId="77777777" w:rsidR="00AC7848" w:rsidRPr="00D9152B" w:rsidRDefault="00AC7848" w:rsidP="00017C2E">
            <w:pPr>
              <w:rPr>
                <w:rFonts w:ascii="Calibri" w:hAnsi="Calibri" w:cs="Calibri"/>
                <w:b/>
                <w:sz w:val="18"/>
                <w:szCs w:val="18"/>
              </w:rPr>
            </w:pPr>
          </w:p>
        </w:tc>
        <w:tc>
          <w:tcPr>
            <w:tcW w:w="3113" w:type="dxa"/>
            <w:tcBorders>
              <w:top w:val="single" w:sz="4" w:space="0" w:color="auto"/>
              <w:left w:val="single" w:sz="4" w:space="0" w:color="auto"/>
              <w:bottom w:val="single" w:sz="4" w:space="0" w:color="auto"/>
              <w:right w:val="single" w:sz="4" w:space="0" w:color="auto"/>
            </w:tcBorders>
          </w:tcPr>
          <w:p w14:paraId="78E4D12B"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$30 million to $1,137 million (labour),</w:t>
            </w:r>
          </w:p>
          <w:p w14:paraId="7D395B86"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$-123 million to 315 million (land)</w:t>
            </w:r>
          </w:p>
        </w:tc>
        <w:tc>
          <w:tcPr>
            <w:tcW w:w="3261" w:type="dxa"/>
            <w:tcBorders>
              <w:top w:val="single" w:sz="4" w:space="0" w:color="auto"/>
              <w:left w:val="single" w:sz="4" w:space="0" w:color="auto"/>
              <w:bottom w:val="single" w:sz="4" w:space="0" w:color="auto"/>
              <w:right w:val="single" w:sz="4" w:space="0" w:color="auto"/>
            </w:tcBorders>
          </w:tcPr>
          <w:p w14:paraId="1C791C18"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Younger and Zongo, 1989</w:t>
            </w:r>
          </w:p>
        </w:tc>
      </w:tr>
      <w:tr w:rsidR="00AC7848" w:rsidRPr="00D9152B" w14:paraId="6F1AA21C" w14:textId="77777777" w:rsidTr="00FA7761">
        <w:trPr>
          <w:trHeight w:val="20"/>
        </w:trPr>
        <w:tc>
          <w:tcPr>
            <w:cnfStyle w:val="001000000000" w:firstRow="0" w:lastRow="0" w:firstColumn="1" w:lastColumn="0" w:oddVBand="0" w:evenVBand="0" w:oddHBand="0" w:evenHBand="0" w:firstRowFirstColumn="0" w:firstRowLastColumn="0" w:lastRowFirstColumn="0" w:lastRowLastColumn="0"/>
            <w:tcW w:w="1985" w:type="dxa"/>
            <w:tcBorders>
              <w:bottom w:val="single" w:sz="4" w:space="0" w:color="auto"/>
              <w:right w:val="single" w:sz="4" w:space="0" w:color="auto"/>
            </w:tcBorders>
          </w:tcPr>
          <w:p w14:paraId="03756E91" w14:textId="77777777" w:rsidR="00AC7848" w:rsidRPr="00D9152B" w:rsidRDefault="00AC7848" w:rsidP="00017C2E">
            <w:pPr>
              <w:rPr>
                <w:rFonts w:ascii="Calibri" w:hAnsi="Calibri" w:cs="Calibri"/>
                <w:b/>
                <w:sz w:val="18"/>
                <w:szCs w:val="18"/>
              </w:rPr>
            </w:pPr>
          </w:p>
        </w:tc>
        <w:tc>
          <w:tcPr>
            <w:tcW w:w="3113" w:type="dxa"/>
            <w:tcBorders>
              <w:top w:val="single" w:sz="4" w:space="0" w:color="auto"/>
              <w:left w:val="single" w:sz="4" w:space="0" w:color="auto"/>
              <w:bottom w:val="single" w:sz="4" w:space="0" w:color="auto"/>
              <w:right w:val="single" w:sz="4" w:space="0" w:color="auto"/>
            </w:tcBorders>
          </w:tcPr>
          <w:p w14:paraId="4B1F53F7"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$485 million to $3,729 million (labour and land)</w:t>
            </w:r>
          </w:p>
        </w:tc>
        <w:tc>
          <w:tcPr>
            <w:tcW w:w="3261" w:type="dxa"/>
            <w:tcBorders>
              <w:top w:val="single" w:sz="4" w:space="0" w:color="auto"/>
              <w:left w:val="single" w:sz="4" w:space="0" w:color="auto"/>
              <w:bottom w:val="single" w:sz="4" w:space="0" w:color="auto"/>
              <w:right w:val="single" w:sz="4" w:space="0" w:color="auto"/>
            </w:tcBorders>
          </w:tcPr>
          <w:p w14:paraId="0BE519C7"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Kim and Benton, 1995</w:t>
            </w:r>
          </w:p>
        </w:tc>
      </w:tr>
      <w:tr w:rsidR="00AC7848" w:rsidRPr="00D9152B" w14:paraId="46073E90" w14:textId="77777777" w:rsidTr="00FA776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985" w:type="dxa"/>
            <w:tcBorders>
              <w:top w:val="single" w:sz="4" w:space="0" w:color="auto"/>
              <w:right w:val="single" w:sz="4" w:space="0" w:color="auto"/>
            </w:tcBorders>
          </w:tcPr>
          <w:p w14:paraId="6BC9FC90" w14:textId="77777777" w:rsidR="00AC7848" w:rsidRPr="00D9152B" w:rsidRDefault="00AC7848" w:rsidP="00017C2E">
            <w:pPr>
              <w:rPr>
                <w:rFonts w:ascii="Calibri" w:hAnsi="Calibri" w:cs="Calibri"/>
                <w:b/>
                <w:sz w:val="18"/>
                <w:szCs w:val="18"/>
              </w:rPr>
            </w:pPr>
            <w:r w:rsidRPr="00D9152B">
              <w:rPr>
                <w:rFonts w:ascii="Calibri" w:hAnsi="Calibri" w:cs="Calibri"/>
                <w:b/>
                <w:sz w:val="18"/>
                <w:szCs w:val="18"/>
              </w:rPr>
              <w:t>Land freed for cultivation</w:t>
            </w:r>
          </w:p>
        </w:tc>
        <w:tc>
          <w:tcPr>
            <w:tcW w:w="3113" w:type="dxa"/>
            <w:tcBorders>
              <w:top w:val="single" w:sz="4" w:space="0" w:color="auto"/>
              <w:left w:val="single" w:sz="4" w:space="0" w:color="auto"/>
              <w:bottom w:val="single" w:sz="4" w:space="0" w:color="auto"/>
              <w:right w:val="single" w:sz="4" w:space="0" w:color="auto"/>
            </w:tcBorders>
          </w:tcPr>
          <w:p w14:paraId="3EEB0BD6"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65 million hectares (7 countries)</w:t>
            </w:r>
          </w:p>
        </w:tc>
        <w:tc>
          <w:tcPr>
            <w:tcW w:w="3261" w:type="dxa"/>
            <w:tcBorders>
              <w:top w:val="single" w:sz="4" w:space="0" w:color="auto"/>
              <w:left w:val="single" w:sz="4" w:space="0" w:color="auto"/>
              <w:bottom w:val="single" w:sz="4" w:space="0" w:color="auto"/>
              <w:right w:val="single" w:sz="4" w:space="0" w:color="auto"/>
            </w:tcBorders>
          </w:tcPr>
          <w:p w14:paraId="5A31DD64"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PAG Mission, 1973</w:t>
            </w:r>
          </w:p>
        </w:tc>
      </w:tr>
      <w:tr w:rsidR="00AC7848" w:rsidRPr="00D9152B" w14:paraId="05CF8D6B" w14:textId="77777777" w:rsidTr="00FA7761">
        <w:trPr>
          <w:trHeight w:val="20"/>
        </w:trPr>
        <w:tc>
          <w:tcPr>
            <w:cnfStyle w:val="001000000000" w:firstRow="0" w:lastRow="0" w:firstColumn="1" w:lastColumn="0" w:oddVBand="0" w:evenVBand="0" w:oddHBand="0" w:evenHBand="0" w:firstRowFirstColumn="0" w:firstRowLastColumn="0" w:lastRowFirstColumn="0" w:lastRowLastColumn="0"/>
            <w:tcW w:w="1985" w:type="dxa"/>
            <w:tcBorders>
              <w:right w:val="single" w:sz="4" w:space="0" w:color="auto"/>
            </w:tcBorders>
          </w:tcPr>
          <w:p w14:paraId="1EF7F01C" w14:textId="77777777" w:rsidR="00AC7848" w:rsidRPr="00D9152B" w:rsidRDefault="00AC7848" w:rsidP="00017C2E">
            <w:pPr>
              <w:rPr>
                <w:rFonts w:ascii="Calibri" w:hAnsi="Calibri" w:cs="Calibri"/>
                <w:b/>
                <w:sz w:val="18"/>
                <w:szCs w:val="18"/>
              </w:rPr>
            </w:pPr>
          </w:p>
        </w:tc>
        <w:tc>
          <w:tcPr>
            <w:tcW w:w="3113" w:type="dxa"/>
            <w:tcBorders>
              <w:top w:val="single" w:sz="4" w:space="0" w:color="auto"/>
              <w:left w:val="single" w:sz="4" w:space="0" w:color="auto"/>
              <w:bottom w:val="single" w:sz="4" w:space="0" w:color="auto"/>
              <w:right w:val="single" w:sz="4" w:space="0" w:color="auto"/>
            </w:tcBorders>
          </w:tcPr>
          <w:p w14:paraId="28C314D3"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5.06, 13.4, or 15.4 million hectares (7 countries)</w:t>
            </w:r>
          </w:p>
        </w:tc>
        <w:tc>
          <w:tcPr>
            <w:tcW w:w="3261" w:type="dxa"/>
            <w:tcBorders>
              <w:top w:val="single" w:sz="4" w:space="0" w:color="auto"/>
              <w:left w:val="single" w:sz="4" w:space="0" w:color="auto"/>
              <w:bottom w:val="single" w:sz="4" w:space="0" w:color="auto"/>
              <w:right w:val="single" w:sz="4" w:space="0" w:color="auto"/>
            </w:tcBorders>
          </w:tcPr>
          <w:p w14:paraId="5F02B466"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Economic Review Mission, 1978</w:t>
            </w:r>
          </w:p>
        </w:tc>
      </w:tr>
      <w:tr w:rsidR="00AC7848" w:rsidRPr="00D9152B" w14:paraId="65D0C3C1" w14:textId="77777777" w:rsidTr="00FA776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985" w:type="dxa"/>
            <w:tcBorders>
              <w:right w:val="single" w:sz="4" w:space="0" w:color="auto"/>
            </w:tcBorders>
          </w:tcPr>
          <w:p w14:paraId="0670E59E" w14:textId="77777777" w:rsidR="00AC7848" w:rsidRPr="00D9152B" w:rsidRDefault="00AC7848" w:rsidP="00017C2E">
            <w:pPr>
              <w:rPr>
                <w:rFonts w:ascii="Calibri" w:hAnsi="Calibri" w:cs="Calibri"/>
                <w:sz w:val="18"/>
                <w:szCs w:val="18"/>
              </w:rPr>
            </w:pPr>
          </w:p>
        </w:tc>
        <w:tc>
          <w:tcPr>
            <w:tcW w:w="3113" w:type="dxa"/>
            <w:tcBorders>
              <w:top w:val="single" w:sz="4" w:space="0" w:color="auto"/>
              <w:left w:val="single" w:sz="4" w:space="0" w:color="auto"/>
              <w:bottom w:val="single" w:sz="4" w:space="0" w:color="auto"/>
              <w:right w:val="single" w:sz="4" w:space="0" w:color="auto"/>
            </w:tcBorders>
          </w:tcPr>
          <w:p w14:paraId="3425842A"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15 million hectares</w:t>
            </w:r>
          </w:p>
        </w:tc>
        <w:tc>
          <w:tcPr>
            <w:tcW w:w="3261" w:type="dxa"/>
            <w:tcBorders>
              <w:top w:val="single" w:sz="4" w:space="0" w:color="auto"/>
              <w:left w:val="single" w:sz="4" w:space="0" w:color="auto"/>
              <w:bottom w:val="single" w:sz="4" w:space="0" w:color="auto"/>
              <w:right w:val="single" w:sz="4" w:space="0" w:color="auto"/>
            </w:tcBorders>
          </w:tcPr>
          <w:p w14:paraId="1E4C07B7"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USAID Impact Evaluation, 1986</w:t>
            </w:r>
          </w:p>
        </w:tc>
      </w:tr>
      <w:tr w:rsidR="00AC7848" w:rsidRPr="00D9152B" w14:paraId="178EEADC" w14:textId="77777777" w:rsidTr="007E502F">
        <w:trPr>
          <w:trHeight w:val="20"/>
        </w:trPr>
        <w:tc>
          <w:tcPr>
            <w:cnfStyle w:val="001000000000" w:firstRow="0" w:lastRow="0" w:firstColumn="1" w:lastColumn="0" w:oddVBand="0" w:evenVBand="0" w:oddHBand="0" w:evenHBand="0" w:firstRowFirstColumn="0" w:firstRowLastColumn="0" w:lastRowFirstColumn="0" w:lastRowLastColumn="0"/>
            <w:tcW w:w="1985" w:type="dxa"/>
            <w:tcBorders>
              <w:right w:val="single" w:sz="4" w:space="0" w:color="auto"/>
            </w:tcBorders>
          </w:tcPr>
          <w:p w14:paraId="14F2BFDF" w14:textId="77777777" w:rsidR="00AC7848" w:rsidRPr="00D9152B" w:rsidRDefault="00AC7848" w:rsidP="00017C2E">
            <w:pPr>
              <w:rPr>
                <w:rFonts w:ascii="Calibri" w:hAnsi="Calibri" w:cs="Calibri"/>
                <w:sz w:val="18"/>
                <w:szCs w:val="18"/>
              </w:rPr>
            </w:pPr>
          </w:p>
        </w:tc>
        <w:tc>
          <w:tcPr>
            <w:tcW w:w="3113" w:type="dxa"/>
            <w:tcBorders>
              <w:top w:val="single" w:sz="4" w:space="0" w:color="auto"/>
              <w:left w:val="single" w:sz="4" w:space="0" w:color="auto"/>
              <w:bottom w:val="single" w:sz="4" w:space="0" w:color="auto"/>
              <w:right w:val="single" w:sz="4" w:space="0" w:color="auto"/>
            </w:tcBorders>
          </w:tcPr>
          <w:p w14:paraId="3FB7920C"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9.9 or 18.2 million hectares (11 countries)</w:t>
            </w:r>
          </w:p>
        </w:tc>
        <w:tc>
          <w:tcPr>
            <w:tcW w:w="3261" w:type="dxa"/>
            <w:tcBorders>
              <w:top w:val="single" w:sz="4" w:space="0" w:color="auto"/>
              <w:left w:val="single" w:sz="4" w:space="0" w:color="auto"/>
              <w:bottom w:val="single" w:sz="4" w:space="0" w:color="auto"/>
              <w:right w:val="single" w:sz="4" w:space="0" w:color="auto"/>
            </w:tcBorders>
          </w:tcPr>
          <w:p w14:paraId="006AAD81" w14:textId="77777777" w:rsidR="00AC7848" w:rsidRPr="00D9152B" w:rsidRDefault="00AC7848" w:rsidP="00017C2E">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Younger and Zongo, 1989</w:t>
            </w:r>
          </w:p>
        </w:tc>
      </w:tr>
      <w:tr w:rsidR="00AC7848" w:rsidRPr="00D9152B" w14:paraId="40062DDF" w14:textId="77777777" w:rsidTr="007E502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985" w:type="dxa"/>
            <w:tcBorders>
              <w:right w:val="single" w:sz="4" w:space="0" w:color="auto"/>
            </w:tcBorders>
          </w:tcPr>
          <w:p w14:paraId="60D4A7DA" w14:textId="77777777" w:rsidR="00AC7848" w:rsidRPr="00D9152B" w:rsidRDefault="00AC7848" w:rsidP="00017C2E">
            <w:pPr>
              <w:rPr>
                <w:rFonts w:ascii="Calibri" w:hAnsi="Calibri" w:cs="Calibri"/>
                <w:sz w:val="18"/>
                <w:szCs w:val="18"/>
              </w:rPr>
            </w:pPr>
          </w:p>
        </w:tc>
        <w:tc>
          <w:tcPr>
            <w:tcW w:w="3113" w:type="dxa"/>
            <w:tcBorders>
              <w:top w:val="single" w:sz="4" w:space="0" w:color="auto"/>
              <w:left w:val="single" w:sz="4" w:space="0" w:color="auto"/>
              <w:bottom w:val="single" w:sz="4" w:space="0" w:color="auto"/>
              <w:right w:val="single" w:sz="4" w:space="0" w:color="auto"/>
            </w:tcBorders>
          </w:tcPr>
          <w:p w14:paraId="593848CC"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25 million hectares (11 countries)</w:t>
            </w:r>
          </w:p>
        </w:tc>
        <w:tc>
          <w:tcPr>
            <w:tcW w:w="3261" w:type="dxa"/>
            <w:tcBorders>
              <w:top w:val="single" w:sz="4" w:space="0" w:color="auto"/>
              <w:left w:val="single" w:sz="4" w:space="0" w:color="auto"/>
              <w:bottom w:val="single" w:sz="4" w:space="0" w:color="auto"/>
              <w:right w:val="single" w:sz="4" w:space="0" w:color="auto"/>
            </w:tcBorders>
          </w:tcPr>
          <w:p w14:paraId="5F4DA029" w14:textId="77777777" w:rsidR="00AC7848" w:rsidRPr="00D9152B" w:rsidRDefault="00AC7848" w:rsidP="00017C2E">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Kim and Benton, 1995</w:t>
            </w:r>
          </w:p>
        </w:tc>
      </w:tr>
    </w:tbl>
    <w:p w14:paraId="77014BBB" w14:textId="77777777" w:rsidR="002464C2" w:rsidRPr="00D9152B" w:rsidRDefault="002464C2" w:rsidP="002464C2">
      <w:pPr>
        <w:jc w:val="both"/>
        <w:rPr>
          <w:rFonts w:ascii="Calibri" w:hAnsi="Calibri" w:cs="Calibri"/>
          <w:color w:val="808080" w:themeColor="background1" w:themeShade="80"/>
        </w:rPr>
      </w:pPr>
    </w:p>
    <w:p w14:paraId="1D79FE3C" w14:textId="39E7DBDE" w:rsidR="00AC7848" w:rsidRPr="00D9152B" w:rsidRDefault="00D82A8E" w:rsidP="005C7F9F">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Table </w:t>
      </w:r>
      <w:r w:rsidR="001D54BD">
        <w:rPr>
          <w:rFonts w:ascii="Calibri" w:hAnsi="Calibri" w:cs="Calibri"/>
          <w:color w:val="808080" w:themeColor="background1" w:themeShade="80"/>
          <w:sz w:val="22"/>
          <w:szCs w:val="22"/>
        </w:rPr>
        <w:t>4.</w:t>
      </w:r>
      <w:r w:rsidRPr="00D9152B">
        <w:rPr>
          <w:rFonts w:ascii="Calibri" w:hAnsi="Calibri" w:cs="Calibri"/>
          <w:color w:val="808080" w:themeColor="background1" w:themeShade="80"/>
          <w:sz w:val="22"/>
          <w:szCs w:val="22"/>
        </w:rPr>
        <w:t>3</w:t>
      </w:r>
      <w:r w:rsidR="00AC7848" w:rsidRPr="00D9152B">
        <w:rPr>
          <w:rFonts w:ascii="Calibri" w:hAnsi="Calibri" w:cs="Calibri"/>
          <w:color w:val="808080" w:themeColor="background1" w:themeShade="80"/>
          <w:sz w:val="22"/>
          <w:szCs w:val="22"/>
        </w:rPr>
        <w:t xml:space="preserve">. Estimates for the </w:t>
      </w:r>
      <w:r w:rsidR="005F02B3" w:rsidRPr="00D9152B">
        <w:rPr>
          <w:rFonts w:ascii="Calibri" w:hAnsi="Calibri" w:cs="Calibri"/>
          <w:color w:val="808080" w:themeColor="background1" w:themeShade="80"/>
          <w:sz w:val="22"/>
          <w:szCs w:val="22"/>
        </w:rPr>
        <w:t>rate of return</w:t>
      </w:r>
      <w:r w:rsidR="00AC7848" w:rsidRPr="00D9152B">
        <w:rPr>
          <w:rFonts w:ascii="Calibri" w:hAnsi="Calibri" w:cs="Calibri"/>
          <w:color w:val="808080" w:themeColor="background1" w:themeShade="80"/>
          <w:sz w:val="22"/>
          <w:szCs w:val="22"/>
        </w:rPr>
        <w:t xml:space="preserve">, </w:t>
      </w:r>
      <w:r w:rsidR="005F02B3" w:rsidRPr="00D9152B">
        <w:rPr>
          <w:rFonts w:ascii="Calibri" w:hAnsi="Calibri" w:cs="Calibri"/>
          <w:color w:val="808080" w:themeColor="background1" w:themeShade="80"/>
          <w:sz w:val="22"/>
          <w:szCs w:val="22"/>
        </w:rPr>
        <w:t>net present value</w:t>
      </w:r>
      <w:r w:rsidR="002464C2" w:rsidRPr="00D9152B">
        <w:rPr>
          <w:rFonts w:ascii="Calibri" w:hAnsi="Calibri" w:cs="Calibri"/>
          <w:color w:val="808080" w:themeColor="background1" w:themeShade="80"/>
          <w:sz w:val="22"/>
          <w:szCs w:val="22"/>
        </w:rPr>
        <w:t xml:space="preserve">, and land-freed values, </w:t>
      </w:r>
      <w:r w:rsidR="00AC7848" w:rsidRPr="00D9152B">
        <w:rPr>
          <w:rFonts w:ascii="Calibri" w:hAnsi="Calibri" w:cs="Calibri"/>
          <w:color w:val="808080" w:themeColor="background1" w:themeShade="80"/>
          <w:sz w:val="22"/>
          <w:szCs w:val="22"/>
        </w:rPr>
        <w:t>which were typically performed directly by</w:t>
      </w:r>
      <w:r w:rsidR="002464C2" w:rsidRPr="00D9152B">
        <w:rPr>
          <w:rFonts w:ascii="Calibri" w:hAnsi="Calibri" w:cs="Calibri"/>
          <w:color w:val="808080" w:themeColor="background1" w:themeShade="80"/>
          <w:sz w:val="22"/>
          <w:szCs w:val="22"/>
        </w:rPr>
        <w:t xml:space="preserve"> Bank staff or by consultants, </w:t>
      </w:r>
      <w:r w:rsidR="00AC7848" w:rsidRPr="00D9152B">
        <w:rPr>
          <w:rFonts w:ascii="Calibri" w:hAnsi="Calibri" w:cs="Calibri"/>
          <w:color w:val="808080" w:themeColor="background1" w:themeShade="80"/>
          <w:sz w:val="22"/>
          <w:szCs w:val="22"/>
        </w:rPr>
        <w:t>show significant variation.</w:t>
      </w:r>
      <w:r w:rsidR="001631D2" w:rsidRPr="00D9152B">
        <w:rPr>
          <w:rStyle w:val="FootnoteReference"/>
          <w:rFonts w:ascii="Calibri" w:hAnsi="Calibri" w:cs="Calibri"/>
          <w:color w:val="808080" w:themeColor="background1" w:themeShade="80"/>
        </w:rPr>
        <w:footnoteReference w:id="400"/>
      </w:r>
      <w:r w:rsidR="00AC7848" w:rsidRPr="00D9152B">
        <w:rPr>
          <w:rFonts w:ascii="Calibri" w:hAnsi="Calibri" w:cs="Calibri"/>
          <w:color w:val="808080" w:themeColor="background1" w:themeShade="80"/>
          <w:sz w:val="22"/>
          <w:szCs w:val="22"/>
        </w:rPr>
        <w:t xml:space="preserve"> </w:t>
      </w:r>
    </w:p>
    <w:p w14:paraId="6C1AFAB8" w14:textId="7D8E1F75"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In </w:t>
      </w:r>
      <w:r w:rsidR="009E01B2">
        <w:rPr>
          <w:rFonts w:ascii="Calibri" w:hAnsi="Calibri" w:cs="Calibri"/>
          <w:sz w:val="22"/>
          <w:szCs w:val="22"/>
        </w:rPr>
        <w:t>short</w:t>
      </w:r>
      <w:r w:rsidRPr="00D9152B">
        <w:rPr>
          <w:rFonts w:ascii="Calibri" w:hAnsi="Calibri" w:cs="Calibri"/>
          <w:sz w:val="22"/>
          <w:szCs w:val="22"/>
        </w:rPr>
        <w:t xml:space="preserve">, the </w:t>
      </w:r>
      <w:r w:rsidR="00657861">
        <w:rPr>
          <w:rFonts w:ascii="Calibri" w:hAnsi="Calibri" w:cs="Calibri"/>
          <w:sz w:val="22"/>
          <w:szCs w:val="22"/>
        </w:rPr>
        <w:t xml:space="preserve">socio-economic </w:t>
      </w:r>
      <w:r w:rsidRPr="00D9152B">
        <w:rPr>
          <w:rFonts w:ascii="Calibri" w:hAnsi="Calibri" w:cs="Calibri"/>
          <w:sz w:val="22"/>
          <w:szCs w:val="22"/>
        </w:rPr>
        <w:t xml:space="preserve">metrics that the Bank used to portray the OCP as a success story were selectively used. They were constructible. While the numbers underpinning many assumptions – like the value of the marginal output of labour, number of individuals at risk for disease, and land differential – did not come out of a magic hat, these numbers were also often crude estimates based on limited data from single countries. When combined with the fact that there was no gold standard for the discount rate and time horizon to use for a rural health programme, the Bank had significant leeway in how it chose to calculate metrics. </w:t>
      </w:r>
    </w:p>
    <w:p w14:paraId="62114427" w14:textId="4B172915" w:rsidR="00AC7848" w:rsidRPr="00D9152B" w:rsidRDefault="00AC7848" w:rsidP="005C7F9F">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ab/>
        <w:t>The pattern used to showcase the OCP’s socio-economic success is striking similar to that chronicled by Randall Packard for malaria.</w:t>
      </w:r>
      <w:r w:rsidRPr="00D9152B">
        <w:rPr>
          <w:rStyle w:val="FootnoteReference"/>
          <w:rFonts w:ascii="Calibri" w:hAnsi="Calibri" w:cs="Calibri"/>
          <w:sz w:val="22"/>
          <w:szCs w:val="22"/>
        </w:rPr>
        <w:footnoteReference w:id="401"/>
      </w:r>
      <w:r w:rsidRPr="00D9152B">
        <w:rPr>
          <w:rFonts w:ascii="Calibri" w:hAnsi="Calibri" w:cs="Calibri"/>
          <w:sz w:val="22"/>
          <w:szCs w:val="22"/>
        </w:rPr>
        <w:t xml:space="preserve"> Packard </w:t>
      </w:r>
      <w:r w:rsidR="00451D2E" w:rsidRPr="00D9152B">
        <w:rPr>
          <w:rFonts w:ascii="Calibri" w:hAnsi="Calibri" w:cs="Calibri"/>
          <w:sz w:val="22"/>
          <w:szCs w:val="22"/>
        </w:rPr>
        <w:t>argues</w:t>
      </w:r>
      <w:r w:rsidRPr="00D9152B">
        <w:rPr>
          <w:rFonts w:ascii="Calibri" w:hAnsi="Calibri" w:cs="Calibri"/>
          <w:sz w:val="22"/>
          <w:szCs w:val="22"/>
        </w:rPr>
        <w:t xml:space="preserve"> that, from the 1950s to the 1980s, public health professionals and multilateral institutions struggled to find appropriate socio-economic data for precise quantitative studies of malaria’s impact. With the launch of the </w:t>
      </w:r>
      <w:r w:rsidRPr="00D9152B">
        <w:rPr>
          <w:rFonts w:ascii="Calibri" w:hAnsi="Calibri" w:cs="Calibri"/>
          <w:i/>
          <w:sz w:val="22"/>
          <w:szCs w:val="22"/>
        </w:rPr>
        <w:t xml:space="preserve">World </w:t>
      </w:r>
      <w:r w:rsidR="00E850AE" w:rsidRPr="00D9152B">
        <w:rPr>
          <w:rFonts w:ascii="Calibri" w:hAnsi="Calibri" w:cs="Calibri"/>
          <w:i/>
          <w:sz w:val="22"/>
          <w:szCs w:val="22"/>
        </w:rPr>
        <w:t>d</w:t>
      </w:r>
      <w:r w:rsidRPr="00D9152B">
        <w:rPr>
          <w:rFonts w:ascii="Calibri" w:hAnsi="Calibri" w:cs="Calibri"/>
          <w:i/>
          <w:sz w:val="22"/>
          <w:szCs w:val="22"/>
        </w:rPr>
        <w:t xml:space="preserve">evelopment </w:t>
      </w:r>
      <w:r w:rsidR="00E850AE" w:rsidRPr="00D9152B">
        <w:rPr>
          <w:rFonts w:ascii="Calibri" w:hAnsi="Calibri" w:cs="Calibri"/>
          <w:i/>
          <w:sz w:val="22"/>
          <w:szCs w:val="22"/>
        </w:rPr>
        <w:t>r</w:t>
      </w:r>
      <w:r w:rsidRPr="00D9152B">
        <w:rPr>
          <w:rFonts w:ascii="Calibri" w:hAnsi="Calibri" w:cs="Calibri"/>
          <w:i/>
          <w:sz w:val="22"/>
          <w:szCs w:val="22"/>
        </w:rPr>
        <w:t>eport</w:t>
      </w:r>
      <w:r w:rsidRPr="00D9152B">
        <w:rPr>
          <w:rFonts w:ascii="Calibri" w:hAnsi="Calibri" w:cs="Calibri"/>
          <w:sz w:val="22"/>
          <w:szCs w:val="22"/>
        </w:rPr>
        <w:t xml:space="preserve"> in 1993, which linked investing in health to global economic growth,</w:t>
      </w:r>
      <w:r w:rsidR="00451D2E" w:rsidRPr="00D9152B">
        <w:rPr>
          <w:rFonts w:ascii="Calibri" w:hAnsi="Calibri" w:cs="Calibri"/>
          <w:sz w:val="22"/>
          <w:szCs w:val="22"/>
        </w:rPr>
        <w:t xml:space="preserve"> Packard contends that</w:t>
      </w:r>
      <w:r w:rsidRPr="00D9152B">
        <w:rPr>
          <w:rFonts w:ascii="Calibri" w:hAnsi="Calibri" w:cs="Calibri"/>
          <w:sz w:val="22"/>
          <w:szCs w:val="22"/>
        </w:rPr>
        <w:t xml:space="preserve"> ‘the Bank ignored the methodological </w:t>
      </w:r>
      <w:r w:rsidRPr="00D9152B">
        <w:rPr>
          <w:rFonts w:ascii="Calibri" w:hAnsi="Calibri" w:cs="Calibri"/>
          <w:sz w:val="22"/>
          <w:szCs w:val="22"/>
        </w:rPr>
        <w:lastRenderedPageBreak/>
        <w:t xml:space="preserve">concerns that economists and demographers had raised since the 1960s’ about malaria economic </w:t>
      </w:r>
      <w:r w:rsidR="005C7F9F" w:rsidRPr="00D9152B">
        <w:rPr>
          <w:rFonts w:ascii="Calibri" w:hAnsi="Calibri" w:cs="Calibri"/>
          <w:sz w:val="22"/>
          <w:szCs w:val="22"/>
        </w:rPr>
        <w:t>modelling</w:t>
      </w:r>
      <w:r w:rsidRPr="00D9152B">
        <w:rPr>
          <w:rFonts w:ascii="Calibri" w:hAnsi="Calibri" w:cs="Calibri"/>
          <w:sz w:val="22"/>
          <w:szCs w:val="22"/>
        </w:rPr>
        <w:t>. In the 1990s and 2000s, high rates of return from ‘armchair regression analyses’ were produced by economists like Jeffrey Sachs.</w:t>
      </w:r>
      <w:r w:rsidRPr="00D9152B">
        <w:rPr>
          <w:rStyle w:val="FootnoteReference"/>
          <w:rFonts w:ascii="Calibri" w:hAnsi="Calibri" w:cs="Calibri"/>
          <w:sz w:val="22"/>
          <w:szCs w:val="22"/>
        </w:rPr>
        <w:footnoteReference w:id="402"/>
      </w:r>
      <w:r w:rsidRPr="00D9152B">
        <w:rPr>
          <w:rFonts w:ascii="Calibri" w:hAnsi="Calibri" w:cs="Calibri"/>
          <w:sz w:val="22"/>
          <w:szCs w:val="22"/>
        </w:rPr>
        <w:t xml:space="preserve"> </w:t>
      </w:r>
      <w:r w:rsidR="00E433D4" w:rsidRPr="00D9152B">
        <w:rPr>
          <w:rFonts w:ascii="Calibri" w:hAnsi="Calibri" w:cs="Calibri"/>
          <w:sz w:val="22"/>
          <w:szCs w:val="22"/>
        </w:rPr>
        <w:t>According to Packard, instead</w:t>
      </w:r>
      <w:r w:rsidRPr="00D9152B">
        <w:rPr>
          <w:rFonts w:ascii="Calibri" w:hAnsi="Calibri" w:cs="Calibri"/>
          <w:sz w:val="22"/>
          <w:szCs w:val="22"/>
        </w:rPr>
        <w:t xml:space="preserve"> of providing new methods for measuring socio-economic impact, these studies glossed over many of the prior long-standing challenges with calculating health-related rates of return. Like </w:t>
      </w:r>
      <w:r w:rsidR="00E433D4" w:rsidRPr="00D9152B">
        <w:rPr>
          <w:rFonts w:ascii="Calibri" w:hAnsi="Calibri" w:cs="Calibri"/>
          <w:sz w:val="22"/>
          <w:szCs w:val="22"/>
        </w:rPr>
        <w:t>the</w:t>
      </w:r>
      <w:r w:rsidRPr="00D9152B">
        <w:rPr>
          <w:rFonts w:ascii="Calibri" w:hAnsi="Calibri" w:cs="Calibri"/>
          <w:sz w:val="22"/>
          <w:szCs w:val="22"/>
        </w:rPr>
        <w:t xml:space="preserve"> citations of Kim and Benton’s 1995 study (</w:t>
      </w:r>
      <w:r w:rsidR="000B53EC" w:rsidRPr="00D9152B">
        <w:rPr>
          <w:rFonts w:ascii="Calibri" w:hAnsi="Calibri" w:cs="Calibri"/>
          <w:sz w:val="22"/>
          <w:szCs w:val="22"/>
        </w:rPr>
        <w:t xml:space="preserve">see </w:t>
      </w:r>
      <w:r w:rsidR="001D54BD">
        <w:rPr>
          <w:rFonts w:ascii="Calibri" w:hAnsi="Calibri" w:cs="Calibri"/>
          <w:sz w:val="22"/>
          <w:szCs w:val="22"/>
        </w:rPr>
        <w:t>Figure 3.</w:t>
      </w:r>
      <w:r w:rsidR="000B53EC" w:rsidRPr="00D9152B">
        <w:rPr>
          <w:rFonts w:ascii="Calibri" w:hAnsi="Calibri" w:cs="Calibri"/>
          <w:sz w:val="22"/>
          <w:szCs w:val="22"/>
        </w:rPr>
        <w:t>13</w:t>
      </w:r>
      <w:r w:rsidRPr="00D9152B">
        <w:rPr>
          <w:rFonts w:ascii="Calibri" w:hAnsi="Calibri" w:cs="Calibri"/>
          <w:sz w:val="22"/>
          <w:szCs w:val="22"/>
        </w:rPr>
        <w:t>), ‘the vast majority of references to Sachs’ research are not by economists. Instead they appear in medical publications in which his articles are used uncritically to legitimize further research’ on various aspects of malaria. As Packard puts it, ‘for this large scientific and public health audience, the value of Sachs’ work clearly lies in bolstering the arguments of those who cite him’.</w:t>
      </w:r>
      <w:r w:rsidRPr="00D9152B">
        <w:rPr>
          <w:rStyle w:val="FootnoteReference"/>
          <w:rFonts w:ascii="Calibri" w:hAnsi="Calibri" w:cs="Calibri"/>
          <w:sz w:val="22"/>
          <w:szCs w:val="22"/>
        </w:rPr>
        <w:t xml:space="preserve"> </w:t>
      </w:r>
      <w:r w:rsidRPr="00D9152B">
        <w:rPr>
          <w:rStyle w:val="FootnoteReference"/>
          <w:rFonts w:ascii="Calibri" w:hAnsi="Calibri" w:cs="Calibri"/>
          <w:sz w:val="22"/>
          <w:szCs w:val="22"/>
        </w:rPr>
        <w:footnoteReference w:id="403"/>
      </w:r>
      <w:r w:rsidRPr="00D9152B">
        <w:rPr>
          <w:rFonts w:ascii="Calibri" w:hAnsi="Calibri" w:cs="Calibri"/>
          <w:sz w:val="22"/>
          <w:szCs w:val="22"/>
        </w:rPr>
        <w:t xml:space="preserve">  In the case of malaria, this audience included the new Roll Back Malaria initiative in the late 1990s and the Global Fund in the early 2000s. </w:t>
      </w:r>
    </w:p>
    <w:p w14:paraId="324B294C" w14:textId="7CA02D28" w:rsidR="00AC7848" w:rsidRPr="00D9152B" w:rsidRDefault="00AC7848" w:rsidP="009E01B2">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In other words, in the 1990s the Bank and advocates of the ‘impact model’ increasingly turned to socio-economic models to explain why their disease control programmes were successful, or why they should be prioriti</w:t>
      </w:r>
      <w:r w:rsidR="00D82A8E" w:rsidRPr="00D9152B">
        <w:rPr>
          <w:rFonts w:ascii="Calibri" w:hAnsi="Calibri" w:cs="Calibri"/>
          <w:sz w:val="22"/>
          <w:szCs w:val="22"/>
        </w:rPr>
        <w:t xml:space="preserve">zed in the future (Figure </w:t>
      </w:r>
      <w:r w:rsidR="001D54BD">
        <w:rPr>
          <w:rFonts w:ascii="Calibri" w:hAnsi="Calibri" w:cs="Calibri"/>
          <w:sz w:val="22"/>
          <w:szCs w:val="22"/>
        </w:rPr>
        <w:t>4.</w:t>
      </w:r>
      <w:r w:rsidR="00D82A8E" w:rsidRPr="00D9152B">
        <w:rPr>
          <w:rFonts w:ascii="Calibri" w:hAnsi="Calibri" w:cs="Calibri"/>
          <w:sz w:val="22"/>
          <w:szCs w:val="22"/>
        </w:rPr>
        <w:t xml:space="preserve">6 </w:t>
      </w:r>
      <w:r w:rsidR="00E433D4" w:rsidRPr="00D9152B">
        <w:rPr>
          <w:rFonts w:ascii="Calibri" w:hAnsi="Calibri" w:cs="Calibri"/>
          <w:sz w:val="22"/>
          <w:szCs w:val="22"/>
        </w:rPr>
        <w:t xml:space="preserve">is an example). </w:t>
      </w:r>
      <w:r w:rsidRPr="00D9152B">
        <w:rPr>
          <w:rFonts w:ascii="Calibri" w:hAnsi="Calibri" w:cs="Calibri"/>
          <w:sz w:val="22"/>
          <w:szCs w:val="22"/>
        </w:rPr>
        <w:t>Like De Wilde and other early onchocerciasis control advocates had hoped, the OCP arguably emerged as the best link to-date between parasitic diseases and development outcomes.</w:t>
      </w:r>
      <w:r w:rsidRPr="00D9152B">
        <w:rPr>
          <w:rStyle w:val="FootnoteReference"/>
          <w:rFonts w:ascii="Calibri" w:hAnsi="Calibri" w:cs="Calibri"/>
          <w:sz w:val="22"/>
          <w:szCs w:val="22"/>
        </w:rPr>
        <w:footnoteReference w:id="404"/>
      </w:r>
      <w:r w:rsidRPr="00D9152B">
        <w:rPr>
          <w:rFonts w:ascii="Calibri" w:hAnsi="Calibri" w:cs="Calibri"/>
          <w:sz w:val="22"/>
          <w:szCs w:val="22"/>
        </w:rPr>
        <w:t xml:space="preserve"> At the same time, </w:t>
      </w:r>
      <w:r w:rsidR="00E433D4" w:rsidRPr="00D9152B">
        <w:rPr>
          <w:rFonts w:ascii="Calibri" w:hAnsi="Calibri" w:cs="Calibri"/>
          <w:sz w:val="22"/>
          <w:szCs w:val="22"/>
        </w:rPr>
        <w:t>this chapter’s</w:t>
      </w:r>
      <w:r w:rsidRPr="00D9152B">
        <w:rPr>
          <w:rFonts w:ascii="Calibri" w:hAnsi="Calibri" w:cs="Calibri"/>
          <w:sz w:val="22"/>
          <w:szCs w:val="22"/>
        </w:rPr>
        <w:t xml:space="preserve"> closer look at the evolution of OCP metrics shows Kim and Benton’s analysis to largely be an ‘armchair regression analysis’.</w:t>
      </w:r>
    </w:p>
    <w:p w14:paraId="5FB2DD32" w14:textId="5CC6F887" w:rsidR="009E01B2" w:rsidRDefault="00AC7848" w:rsidP="009E01B2">
      <w:pPr>
        <w:jc w:val="center"/>
        <w:rPr>
          <w:rFonts w:ascii="Calibri" w:hAnsi="Calibri" w:cs="Calibri"/>
          <w:color w:val="808080" w:themeColor="background1" w:themeShade="80"/>
        </w:rPr>
      </w:pPr>
      <w:r w:rsidRPr="00D9152B">
        <w:rPr>
          <w:rFonts w:ascii="Calibri" w:hAnsi="Calibri" w:cs="Calibri"/>
          <w:noProof/>
          <w:color w:val="808080" w:themeColor="background1" w:themeShade="80"/>
          <w:lang w:eastAsia="en-GB"/>
        </w:rPr>
        <w:lastRenderedPageBreak/>
        <w:drawing>
          <wp:inline distT="0" distB="0" distL="0" distR="0" wp14:anchorId="06BF8DE3" wp14:editId="19A582CF">
            <wp:extent cx="5311036" cy="3816799"/>
            <wp:effectExtent l="0" t="0" r="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55">
                      <a:extLst>
                        <a:ext uri="{28A0092B-C50C-407E-A947-70E740481C1C}">
                          <a14:useLocalDpi xmlns:a14="http://schemas.microsoft.com/office/drawing/2010/main" val="0"/>
                        </a:ext>
                      </a:extLst>
                    </a:blip>
                    <a:srcRect l="2001" t="12283"/>
                    <a:stretch/>
                  </pic:blipFill>
                  <pic:spPr bwMode="auto">
                    <a:xfrm>
                      <a:off x="0" y="0"/>
                      <a:ext cx="5398499" cy="3879654"/>
                    </a:xfrm>
                    <a:prstGeom prst="rect">
                      <a:avLst/>
                    </a:prstGeom>
                    <a:noFill/>
                    <a:ln>
                      <a:noFill/>
                    </a:ln>
                    <a:extLst>
                      <a:ext uri="{53640926-AAD7-44D8-BBD7-CCE9431645EC}">
                        <a14:shadowObscured xmlns:a14="http://schemas.microsoft.com/office/drawing/2010/main"/>
                      </a:ext>
                    </a:extLst>
                  </pic:spPr>
                </pic:pic>
              </a:graphicData>
            </a:graphic>
          </wp:inline>
        </w:drawing>
      </w:r>
    </w:p>
    <w:p w14:paraId="58393F50" w14:textId="77777777" w:rsidR="009E01B2" w:rsidRPr="00D9152B" w:rsidRDefault="009E01B2" w:rsidP="009E01B2">
      <w:pPr>
        <w:jc w:val="center"/>
        <w:rPr>
          <w:rFonts w:ascii="Calibri" w:hAnsi="Calibri" w:cs="Calibri"/>
          <w:color w:val="808080" w:themeColor="background1" w:themeShade="80"/>
        </w:rPr>
      </w:pPr>
    </w:p>
    <w:p w14:paraId="19DE4E82" w14:textId="7B337B8B" w:rsidR="00AC7848" w:rsidRPr="00D9152B" w:rsidRDefault="00AC7848" w:rsidP="009E01B2">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Fi</w:t>
      </w:r>
      <w:r w:rsidR="00D82A8E" w:rsidRPr="00D9152B">
        <w:rPr>
          <w:rFonts w:ascii="Calibri" w:hAnsi="Calibri" w:cs="Calibri"/>
          <w:color w:val="808080" w:themeColor="background1" w:themeShade="80"/>
          <w:sz w:val="22"/>
          <w:szCs w:val="22"/>
        </w:rPr>
        <w:t xml:space="preserve">gure </w:t>
      </w:r>
      <w:r w:rsidR="001D54BD">
        <w:rPr>
          <w:rFonts w:ascii="Calibri" w:hAnsi="Calibri" w:cs="Calibri"/>
          <w:color w:val="808080" w:themeColor="background1" w:themeShade="80"/>
          <w:sz w:val="22"/>
          <w:szCs w:val="22"/>
        </w:rPr>
        <w:t>4.</w:t>
      </w:r>
      <w:r w:rsidR="00D82A8E" w:rsidRPr="00D9152B">
        <w:rPr>
          <w:rFonts w:ascii="Calibri" w:hAnsi="Calibri" w:cs="Calibri"/>
          <w:color w:val="808080" w:themeColor="background1" w:themeShade="80"/>
          <w:sz w:val="22"/>
          <w:szCs w:val="22"/>
        </w:rPr>
        <w:t>6</w:t>
      </w:r>
      <w:r w:rsidRPr="00D9152B">
        <w:rPr>
          <w:rFonts w:ascii="Calibri" w:hAnsi="Calibri" w:cs="Calibri"/>
          <w:color w:val="808080" w:themeColor="background1" w:themeShade="80"/>
          <w:sz w:val="22"/>
          <w:szCs w:val="22"/>
        </w:rPr>
        <w:t xml:space="preserve">. In 1993, the year of the </w:t>
      </w:r>
      <w:r w:rsidR="00EE2F30" w:rsidRPr="00D9152B">
        <w:rPr>
          <w:rFonts w:ascii="Calibri" w:hAnsi="Calibri" w:cs="Calibri"/>
          <w:i/>
          <w:color w:val="808080" w:themeColor="background1" w:themeShade="80"/>
          <w:sz w:val="22"/>
          <w:szCs w:val="22"/>
        </w:rPr>
        <w:t>World development report</w:t>
      </w:r>
      <w:r w:rsidRPr="00D9152B">
        <w:rPr>
          <w:rFonts w:ascii="Calibri" w:hAnsi="Calibri" w:cs="Calibri"/>
          <w:color w:val="808080" w:themeColor="background1" w:themeShade="80"/>
          <w:sz w:val="22"/>
          <w:szCs w:val="22"/>
        </w:rPr>
        <w:t xml:space="preserve"> on investing in health, the Bank spread the message – invoking the OCP among a few other success stories – about the link between health and economic growth.</w:t>
      </w:r>
      <w:r w:rsidRPr="00D9152B">
        <w:rPr>
          <w:rStyle w:val="FootnoteReference"/>
          <w:rFonts w:ascii="Calibri" w:hAnsi="Calibri" w:cs="Calibri"/>
          <w:color w:val="808080" w:themeColor="background1" w:themeShade="80"/>
          <w:sz w:val="22"/>
          <w:szCs w:val="22"/>
        </w:rPr>
        <w:footnoteReference w:id="405"/>
      </w:r>
    </w:p>
    <w:p w14:paraId="011BFF09" w14:textId="3A4AED7B" w:rsidR="00526433" w:rsidRPr="00D9152B" w:rsidRDefault="00AC7848" w:rsidP="005C7F9F">
      <w:pPr>
        <w:spacing w:before="100" w:beforeAutospacing="1" w:after="100" w:afterAutospacing="1" w:line="360" w:lineRule="auto"/>
        <w:ind w:firstLine="720"/>
        <w:rPr>
          <w:rFonts w:ascii="Calibri" w:hAnsi="Calibri" w:cs="Calibri"/>
          <w:sz w:val="22"/>
          <w:szCs w:val="22"/>
        </w:rPr>
        <w:sectPr w:rsidR="00526433" w:rsidRPr="00D9152B" w:rsidSect="00E418AF">
          <w:footnotePr>
            <w:numRestart w:val="eachSect"/>
          </w:footnotePr>
          <w:pgSz w:w="11906" w:h="16838"/>
          <w:pgMar w:top="1134" w:right="1558" w:bottom="2268" w:left="2268" w:header="708" w:footer="708" w:gutter="0"/>
          <w:cols w:space="708"/>
          <w:docGrid w:linePitch="360"/>
        </w:sectPr>
      </w:pPr>
      <w:r w:rsidRPr="00D9152B">
        <w:rPr>
          <w:rFonts w:ascii="Calibri" w:hAnsi="Calibri" w:cs="Calibri"/>
          <w:sz w:val="22"/>
          <w:szCs w:val="22"/>
        </w:rPr>
        <w:t xml:space="preserve">In all, the OCP’s status as a success story </w:t>
      </w:r>
      <w:r w:rsidRPr="00D9152B">
        <w:rPr>
          <w:rFonts w:ascii="Calibri" w:hAnsi="Calibri" w:cs="Calibri"/>
          <w:i/>
          <w:sz w:val="22"/>
          <w:szCs w:val="22"/>
        </w:rPr>
        <w:t xml:space="preserve">does </w:t>
      </w:r>
      <w:r w:rsidRPr="00D9152B">
        <w:rPr>
          <w:rFonts w:ascii="Calibri" w:hAnsi="Calibri" w:cs="Calibri"/>
          <w:sz w:val="22"/>
          <w:szCs w:val="22"/>
        </w:rPr>
        <w:t>come down to its clear objectives, although in a different way than one might expect. With their decision to keep</w:t>
      </w:r>
      <w:r w:rsidR="00850555" w:rsidRPr="00D9152B">
        <w:rPr>
          <w:rFonts w:ascii="Calibri" w:hAnsi="Calibri" w:cs="Calibri"/>
          <w:sz w:val="22"/>
          <w:szCs w:val="22"/>
        </w:rPr>
        <w:t xml:space="preserve"> the</w:t>
      </w:r>
      <w:r w:rsidRPr="00D9152B">
        <w:rPr>
          <w:rFonts w:ascii="Calibri" w:hAnsi="Calibri" w:cs="Calibri"/>
          <w:sz w:val="22"/>
          <w:szCs w:val="22"/>
        </w:rPr>
        <w:t xml:space="preserve"> general objective vague and health-focused, and to avoid specific outcome measures within the Fund Agreements, the Bank and sponsoring agencies gave themselves evaluative leniency. The OCP was certainly successful in terms of reducing transmission, but what if the OCP was judged by its initial justifications? If it was judged by its ability to create a </w:t>
      </w:r>
      <w:r w:rsidR="00741E0E">
        <w:rPr>
          <w:rFonts w:ascii="Calibri" w:hAnsi="Calibri" w:cs="Calibri"/>
          <w:sz w:val="22"/>
          <w:szCs w:val="22"/>
        </w:rPr>
        <w:t>model</w:t>
      </w:r>
      <w:r w:rsidRPr="00D9152B">
        <w:rPr>
          <w:rFonts w:ascii="Calibri" w:hAnsi="Calibri" w:cs="Calibri"/>
          <w:sz w:val="22"/>
          <w:szCs w:val="22"/>
        </w:rPr>
        <w:t xml:space="preserve"> to guide agricultural/economic development during a disease control programme, or to develop the highly-sought economic model for parasitic disease cont</w:t>
      </w:r>
      <w:r w:rsidR="00472BC1" w:rsidRPr="00D9152B">
        <w:rPr>
          <w:rFonts w:ascii="Calibri" w:hAnsi="Calibri" w:cs="Calibri"/>
          <w:sz w:val="22"/>
          <w:szCs w:val="22"/>
        </w:rPr>
        <w:t>rol, i</w:t>
      </w:r>
      <w:r w:rsidRPr="00D9152B">
        <w:rPr>
          <w:rFonts w:ascii="Calibri" w:hAnsi="Calibri" w:cs="Calibri"/>
          <w:sz w:val="22"/>
          <w:szCs w:val="22"/>
        </w:rPr>
        <w:t>ts success status might look very different. By combining general objectives with pliable metrics, global health institutions can gloss over programmatic struggles and uncertainties to create a power</w:t>
      </w:r>
      <w:r w:rsidR="00E433D4" w:rsidRPr="00D9152B">
        <w:rPr>
          <w:rFonts w:ascii="Calibri" w:hAnsi="Calibri" w:cs="Calibri"/>
          <w:sz w:val="22"/>
          <w:szCs w:val="22"/>
        </w:rPr>
        <w:t xml:space="preserve">ful success narrative. </w:t>
      </w:r>
    </w:p>
    <w:p w14:paraId="101C2CB7" w14:textId="77777777" w:rsidR="00982658" w:rsidRDefault="00982658" w:rsidP="002464C2">
      <w:pPr>
        <w:pStyle w:val="Heading1"/>
        <w:rPr>
          <w:rFonts w:ascii="Calibri" w:hAnsi="Calibri" w:cs="Calibri"/>
          <w:b/>
          <w:sz w:val="36"/>
          <w:szCs w:val="36"/>
        </w:rPr>
      </w:pPr>
    </w:p>
    <w:p w14:paraId="3210ADAA" w14:textId="77777777" w:rsidR="00982658" w:rsidRDefault="00982658" w:rsidP="002464C2">
      <w:pPr>
        <w:pStyle w:val="Heading1"/>
        <w:rPr>
          <w:rFonts w:ascii="Calibri" w:hAnsi="Calibri" w:cs="Calibri"/>
          <w:b/>
          <w:sz w:val="36"/>
          <w:szCs w:val="36"/>
        </w:rPr>
      </w:pPr>
    </w:p>
    <w:p w14:paraId="55E2ECEA" w14:textId="77777777" w:rsidR="00982658" w:rsidRDefault="00982658" w:rsidP="002464C2">
      <w:pPr>
        <w:pStyle w:val="Heading1"/>
        <w:rPr>
          <w:rFonts w:ascii="Calibri" w:hAnsi="Calibri" w:cs="Calibri"/>
          <w:b/>
          <w:sz w:val="36"/>
          <w:szCs w:val="36"/>
        </w:rPr>
      </w:pPr>
    </w:p>
    <w:p w14:paraId="251754BA" w14:textId="77777777" w:rsidR="00982658" w:rsidRDefault="00982658" w:rsidP="002464C2">
      <w:pPr>
        <w:pStyle w:val="Heading1"/>
        <w:rPr>
          <w:rFonts w:ascii="Calibri" w:hAnsi="Calibri" w:cs="Calibri"/>
          <w:b/>
          <w:sz w:val="36"/>
          <w:szCs w:val="36"/>
        </w:rPr>
      </w:pPr>
    </w:p>
    <w:p w14:paraId="08063E94" w14:textId="77777777" w:rsidR="00982658" w:rsidRDefault="00982658" w:rsidP="002464C2">
      <w:pPr>
        <w:pStyle w:val="Heading1"/>
        <w:rPr>
          <w:rFonts w:ascii="Calibri" w:hAnsi="Calibri" w:cs="Calibri"/>
          <w:b/>
          <w:sz w:val="36"/>
          <w:szCs w:val="36"/>
        </w:rPr>
      </w:pPr>
    </w:p>
    <w:p w14:paraId="5152AA7C" w14:textId="77777777" w:rsidR="00982658" w:rsidRDefault="00982658" w:rsidP="002464C2">
      <w:pPr>
        <w:pStyle w:val="Heading1"/>
        <w:rPr>
          <w:rFonts w:ascii="Calibri" w:hAnsi="Calibri" w:cs="Calibri"/>
          <w:b/>
          <w:sz w:val="36"/>
          <w:szCs w:val="36"/>
        </w:rPr>
      </w:pPr>
    </w:p>
    <w:p w14:paraId="58263CD3" w14:textId="77777777" w:rsidR="00982658" w:rsidRDefault="00982658" w:rsidP="002464C2">
      <w:pPr>
        <w:pStyle w:val="Heading1"/>
        <w:rPr>
          <w:rFonts w:ascii="Calibri" w:hAnsi="Calibri" w:cs="Calibri"/>
          <w:b/>
          <w:sz w:val="36"/>
          <w:szCs w:val="36"/>
        </w:rPr>
      </w:pPr>
    </w:p>
    <w:p w14:paraId="49E3D660" w14:textId="77777777" w:rsidR="00982658" w:rsidRDefault="00982658" w:rsidP="002464C2">
      <w:pPr>
        <w:pStyle w:val="Heading1"/>
        <w:rPr>
          <w:rFonts w:ascii="Calibri" w:hAnsi="Calibri" w:cs="Calibri"/>
          <w:b/>
          <w:sz w:val="36"/>
          <w:szCs w:val="36"/>
        </w:rPr>
      </w:pPr>
    </w:p>
    <w:p w14:paraId="60BC5CD3" w14:textId="77777777" w:rsidR="00982658" w:rsidRDefault="00982658" w:rsidP="002464C2">
      <w:pPr>
        <w:pStyle w:val="Heading1"/>
        <w:rPr>
          <w:rFonts w:ascii="Calibri" w:hAnsi="Calibri" w:cs="Calibri"/>
          <w:b/>
          <w:sz w:val="36"/>
          <w:szCs w:val="36"/>
        </w:rPr>
      </w:pPr>
    </w:p>
    <w:p w14:paraId="3EDE654E" w14:textId="77777777" w:rsidR="00982658" w:rsidRDefault="00982658" w:rsidP="002464C2">
      <w:pPr>
        <w:pStyle w:val="Heading1"/>
        <w:rPr>
          <w:rFonts w:ascii="Calibri" w:hAnsi="Calibri" w:cs="Calibri"/>
          <w:b/>
          <w:sz w:val="36"/>
          <w:szCs w:val="36"/>
        </w:rPr>
      </w:pPr>
    </w:p>
    <w:p w14:paraId="7D85D797" w14:textId="77777777" w:rsidR="00982658" w:rsidRDefault="00982658" w:rsidP="002464C2">
      <w:pPr>
        <w:pStyle w:val="Heading1"/>
        <w:rPr>
          <w:rFonts w:ascii="Calibri" w:hAnsi="Calibri" w:cs="Calibri"/>
          <w:b/>
          <w:sz w:val="36"/>
          <w:szCs w:val="36"/>
        </w:rPr>
      </w:pPr>
    </w:p>
    <w:p w14:paraId="04420508" w14:textId="77777777" w:rsidR="00982658" w:rsidRDefault="00982658" w:rsidP="002464C2">
      <w:pPr>
        <w:pStyle w:val="Heading1"/>
        <w:rPr>
          <w:rFonts w:ascii="Calibri" w:hAnsi="Calibri" w:cs="Calibri"/>
          <w:b/>
          <w:sz w:val="36"/>
          <w:szCs w:val="36"/>
        </w:rPr>
      </w:pPr>
    </w:p>
    <w:p w14:paraId="514B8B55" w14:textId="77777777" w:rsidR="00982658" w:rsidRDefault="00982658" w:rsidP="002464C2">
      <w:pPr>
        <w:pStyle w:val="Heading1"/>
        <w:rPr>
          <w:rFonts w:ascii="Calibri" w:hAnsi="Calibri" w:cs="Calibri"/>
          <w:b/>
          <w:sz w:val="36"/>
          <w:szCs w:val="36"/>
        </w:rPr>
      </w:pPr>
    </w:p>
    <w:p w14:paraId="0E2E4AF3" w14:textId="77777777" w:rsidR="00982658" w:rsidRDefault="00982658" w:rsidP="002464C2">
      <w:pPr>
        <w:pStyle w:val="Heading1"/>
        <w:rPr>
          <w:rFonts w:ascii="Calibri" w:hAnsi="Calibri" w:cs="Calibri"/>
          <w:b/>
          <w:sz w:val="36"/>
          <w:szCs w:val="36"/>
        </w:rPr>
      </w:pPr>
    </w:p>
    <w:p w14:paraId="4E293FAD" w14:textId="77777777" w:rsidR="00982658" w:rsidRDefault="00982658" w:rsidP="002464C2">
      <w:pPr>
        <w:pStyle w:val="Heading1"/>
        <w:rPr>
          <w:rFonts w:ascii="Calibri" w:hAnsi="Calibri" w:cs="Calibri"/>
          <w:b/>
          <w:sz w:val="36"/>
          <w:szCs w:val="36"/>
        </w:rPr>
      </w:pPr>
    </w:p>
    <w:p w14:paraId="0F553648" w14:textId="77777777" w:rsidR="00982658" w:rsidRDefault="00982658" w:rsidP="002464C2">
      <w:pPr>
        <w:pStyle w:val="Heading1"/>
        <w:rPr>
          <w:rFonts w:ascii="Calibri" w:hAnsi="Calibri" w:cs="Calibri"/>
          <w:b/>
          <w:sz w:val="36"/>
          <w:szCs w:val="36"/>
        </w:rPr>
      </w:pPr>
    </w:p>
    <w:p w14:paraId="2CC45EBB" w14:textId="77777777" w:rsidR="00982658" w:rsidRDefault="00982658" w:rsidP="002464C2">
      <w:pPr>
        <w:pStyle w:val="Heading1"/>
        <w:rPr>
          <w:rFonts w:ascii="Calibri" w:hAnsi="Calibri" w:cs="Calibri"/>
          <w:b/>
          <w:sz w:val="36"/>
          <w:szCs w:val="36"/>
        </w:rPr>
      </w:pPr>
    </w:p>
    <w:p w14:paraId="49DFA38D" w14:textId="77777777" w:rsidR="00982658" w:rsidRDefault="00982658" w:rsidP="002464C2">
      <w:pPr>
        <w:pStyle w:val="Heading1"/>
        <w:rPr>
          <w:rFonts w:ascii="Calibri" w:hAnsi="Calibri" w:cs="Calibri"/>
          <w:b/>
          <w:sz w:val="36"/>
          <w:szCs w:val="36"/>
        </w:rPr>
      </w:pPr>
    </w:p>
    <w:p w14:paraId="3CD6479F" w14:textId="77777777" w:rsidR="00982658" w:rsidRDefault="00982658" w:rsidP="002464C2">
      <w:pPr>
        <w:pStyle w:val="Heading1"/>
        <w:rPr>
          <w:rFonts w:ascii="Calibri" w:hAnsi="Calibri" w:cs="Calibri"/>
          <w:b/>
          <w:sz w:val="36"/>
          <w:szCs w:val="36"/>
        </w:rPr>
      </w:pPr>
    </w:p>
    <w:p w14:paraId="55F35E77" w14:textId="77777777" w:rsidR="00982658" w:rsidRDefault="00982658" w:rsidP="002464C2">
      <w:pPr>
        <w:pStyle w:val="Heading1"/>
        <w:rPr>
          <w:rFonts w:ascii="Calibri" w:hAnsi="Calibri" w:cs="Calibri"/>
          <w:b/>
          <w:sz w:val="36"/>
          <w:szCs w:val="36"/>
        </w:rPr>
      </w:pPr>
    </w:p>
    <w:p w14:paraId="4F3C531B" w14:textId="77777777" w:rsidR="00982658" w:rsidRDefault="00982658" w:rsidP="002464C2">
      <w:pPr>
        <w:pStyle w:val="Heading1"/>
        <w:rPr>
          <w:rFonts w:ascii="Calibri" w:hAnsi="Calibri" w:cs="Calibri"/>
          <w:b/>
          <w:sz w:val="36"/>
          <w:szCs w:val="36"/>
        </w:rPr>
      </w:pPr>
    </w:p>
    <w:p w14:paraId="1EA61115" w14:textId="77777777" w:rsidR="00982658" w:rsidRDefault="00982658" w:rsidP="002464C2">
      <w:pPr>
        <w:pStyle w:val="Heading1"/>
        <w:rPr>
          <w:rFonts w:ascii="Calibri" w:hAnsi="Calibri" w:cs="Calibri"/>
          <w:b/>
          <w:sz w:val="36"/>
          <w:szCs w:val="36"/>
        </w:rPr>
      </w:pPr>
    </w:p>
    <w:p w14:paraId="273AA5FA" w14:textId="77777777" w:rsidR="00982658" w:rsidRDefault="00982658" w:rsidP="002464C2">
      <w:pPr>
        <w:pStyle w:val="Heading1"/>
        <w:rPr>
          <w:rFonts w:ascii="Calibri" w:hAnsi="Calibri" w:cs="Calibri"/>
          <w:b/>
          <w:sz w:val="36"/>
          <w:szCs w:val="36"/>
        </w:rPr>
      </w:pPr>
    </w:p>
    <w:p w14:paraId="27384CEE" w14:textId="77777777" w:rsidR="00982658" w:rsidRDefault="00982658" w:rsidP="002464C2">
      <w:pPr>
        <w:pStyle w:val="Heading1"/>
        <w:rPr>
          <w:rFonts w:ascii="Calibri" w:hAnsi="Calibri" w:cs="Calibri"/>
          <w:b/>
          <w:sz w:val="36"/>
          <w:szCs w:val="36"/>
        </w:rPr>
      </w:pPr>
    </w:p>
    <w:p w14:paraId="3EB13ADE" w14:textId="77777777" w:rsidR="00982658" w:rsidRDefault="00982658" w:rsidP="002464C2">
      <w:pPr>
        <w:pStyle w:val="Heading1"/>
        <w:rPr>
          <w:rFonts w:ascii="Calibri" w:hAnsi="Calibri" w:cs="Calibri"/>
          <w:b/>
          <w:sz w:val="36"/>
          <w:szCs w:val="36"/>
        </w:rPr>
      </w:pPr>
    </w:p>
    <w:p w14:paraId="2C46E652" w14:textId="77777777" w:rsidR="00982658" w:rsidRDefault="00982658" w:rsidP="002464C2">
      <w:pPr>
        <w:pStyle w:val="Heading1"/>
        <w:rPr>
          <w:rFonts w:ascii="Calibri" w:hAnsi="Calibri" w:cs="Calibri"/>
          <w:b/>
          <w:sz w:val="36"/>
          <w:szCs w:val="36"/>
        </w:rPr>
      </w:pPr>
    </w:p>
    <w:p w14:paraId="6469F9BA" w14:textId="77777777" w:rsidR="00982658" w:rsidRDefault="00982658" w:rsidP="002464C2">
      <w:pPr>
        <w:pStyle w:val="Heading1"/>
        <w:rPr>
          <w:rFonts w:ascii="Calibri" w:hAnsi="Calibri" w:cs="Calibri"/>
          <w:b/>
          <w:sz w:val="36"/>
          <w:szCs w:val="36"/>
        </w:rPr>
      </w:pPr>
    </w:p>
    <w:p w14:paraId="6224A442" w14:textId="77777777" w:rsidR="00982658" w:rsidRDefault="00982658" w:rsidP="002464C2">
      <w:pPr>
        <w:pStyle w:val="Heading1"/>
        <w:rPr>
          <w:rFonts w:ascii="Calibri" w:hAnsi="Calibri" w:cs="Calibri"/>
          <w:b/>
          <w:sz w:val="36"/>
          <w:szCs w:val="36"/>
        </w:rPr>
      </w:pPr>
    </w:p>
    <w:p w14:paraId="4ECD9D20" w14:textId="77777777" w:rsidR="00982658" w:rsidRDefault="00982658" w:rsidP="002464C2">
      <w:pPr>
        <w:pStyle w:val="Heading1"/>
        <w:rPr>
          <w:rFonts w:ascii="Calibri" w:hAnsi="Calibri" w:cs="Calibri"/>
          <w:b/>
          <w:sz w:val="36"/>
          <w:szCs w:val="36"/>
        </w:rPr>
      </w:pPr>
    </w:p>
    <w:p w14:paraId="4714F673" w14:textId="32BE6FA3" w:rsidR="002464C2" w:rsidRPr="00D9152B" w:rsidRDefault="00AC7848" w:rsidP="002464C2">
      <w:pPr>
        <w:pStyle w:val="Heading1"/>
        <w:rPr>
          <w:rFonts w:ascii="Calibri" w:hAnsi="Calibri" w:cs="Calibri"/>
          <w:b/>
          <w:sz w:val="36"/>
          <w:szCs w:val="36"/>
        </w:rPr>
      </w:pPr>
      <w:bookmarkStart w:id="72" w:name="_Toc41505646"/>
      <w:r w:rsidRPr="00D9152B">
        <w:rPr>
          <w:rFonts w:ascii="Calibri" w:hAnsi="Calibri" w:cs="Calibri"/>
          <w:b/>
          <w:sz w:val="36"/>
          <w:szCs w:val="36"/>
        </w:rPr>
        <w:lastRenderedPageBreak/>
        <w:t>Chapter 5</w:t>
      </w:r>
      <w:r w:rsidR="002464C2" w:rsidRPr="00D9152B">
        <w:rPr>
          <w:rFonts w:ascii="Calibri" w:hAnsi="Calibri" w:cs="Calibri"/>
          <w:b/>
          <w:sz w:val="36"/>
          <w:szCs w:val="36"/>
        </w:rPr>
        <w:t>.</w:t>
      </w:r>
      <w:bookmarkEnd w:id="72"/>
    </w:p>
    <w:p w14:paraId="654988B0" w14:textId="35D4E922" w:rsidR="00AC7848" w:rsidRPr="00D9152B" w:rsidRDefault="005A6DC3" w:rsidP="002464C2">
      <w:pPr>
        <w:pStyle w:val="Heading1"/>
        <w:rPr>
          <w:rFonts w:ascii="Calibri" w:hAnsi="Calibri" w:cs="Calibri"/>
          <w:b/>
          <w:sz w:val="36"/>
          <w:szCs w:val="36"/>
        </w:rPr>
      </w:pPr>
      <w:bookmarkStart w:id="73" w:name="_Toc41505647"/>
      <w:r w:rsidRPr="00D9152B">
        <w:rPr>
          <w:rFonts w:ascii="Calibri" w:hAnsi="Calibri" w:cs="Calibri"/>
          <w:b/>
          <w:sz w:val="36"/>
          <w:szCs w:val="36"/>
        </w:rPr>
        <w:t>Financing</w:t>
      </w:r>
      <w:r w:rsidR="00AC7848" w:rsidRPr="00D9152B">
        <w:rPr>
          <w:rFonts w:ascii="Calibri" w:hAnsi="Calibri" w:cs="Calibri"/>
          <w:b/>
          <w:sz w:val="36"/>
          <w:szCs w:val="36"/>
        </w:rPr>
        <w:t>: ‘Th</w:t>
      </w:r>
      <w:r w:rsidR="002464C2" w:rsidRPr="00D9152B">
        <w:rPr>
          <w:rFonts w:ascii="Calibri" w:hAnsi="Calibri" w:cs="Calibri"/>
          <w:b/>
          <w:sz w:val="36"/>
          <w:szCs w:val="36"/>
        </w:rPr>
        <w:t>e Bank, the Godfather</w:t>
      </w:r>
      <w:r w:rsidR="00361A57" w:rsidRPr="00D9152B">
        <w:rPr>
          <w:rFonts w:ascii="Calibri" w:hAnsi="Calibri" w:cs="Calibri"/>
          <w:b/>
          <w:sz w:val="36"/>
          <w:szCs w:val="36"/>
        </w:rPr>
        <w:t xml:space="preserve"> of the OCP</w:t>
      </w:r>
      <w:r w:rsidR="00AC7848" w:rsidRPr="00D9152B">
        <w:rPr>
          <w:rFonts w:ascii="Calibri" w:hAnsi="Calibri" w:cs="Calibri"/>
          <w:b/>
          <w:sz w:val="36"/>
          <w:szCs w:val="36"/>
        </w:rPr>
        <w:t>’</w:t>
      </w:r>
      <w:bookmarkEnd w:id="73"/>
    </w:p>
    <w:p w14:paraId="74305366" w14:textId="77777777" w:rsidR="002464C2" w:rsidRPr="00D9152B" w:rsidRDefault="002464C2" w:rsidP="002464C2">
      <w:pPr>
        <w:rPr>
          <w:rFonts w:ascii="Calibri" w:hAnsi="Calibri" w:cs="Calibri"/>
        </w:rPr>
      </w:pPr>
    </w:p>
    <w:p w14:paraId="643642EE" w14:textId="480FC7C4" w:rsidR="002464C2" w:rsidRPr="00D9152B" w:rsidRDefault="005C637A" w:rsidP="00FA7761">
      <w:pPr>
        <w:pStyle w:val="Heading2"/>
        <w:tabs>
          <w:tab w:val="left" w:pos="0"/>
        </w:tabs>
        <w:spacing w:before="100" w:beforeAutospacing="1" w:after="100" w:afterAutospacing="1" w:line="360" w:lineRule="auto"/>
        <w:rPr>
          <w:rFonts w:ascii="Calibri" w:hAnsi="Calibri" w:cs="Calibri"/>
          <w:b/>
          <w:sz w:val="26"/>
          <w:szCs w:val="26"/>
        </w:rPr>
      </w:pPr>
      <w:bookmarkStart w:id="74" w:name="_Toc41505648"/>
      <w:r w:rsidRPr="00D9152B">
        <w:rPr>
          <w:rFonts w:ascii="Calibri" w:hAnsi="Calibri" w:cs="Calibri"/>
          <w:b/>
          <w:sz w:val="26"/>
          <w:szCs w:val="26"/>
        </w:rPr>
        <w:t>5.</w:t>
      </w:r>
      <w:r w:rsidR="00FA7761" w:rsidRPr="00D9152B">
        <w:rPr>
          <w:rFonts w:ascii="Calibri" w:hAnsi="Calibri" w:cs="Calibri"/>
          <w:b/>
          <w:sz w:val="26"/>
          <w:szCs w:val="26"/>
        </w:rPr>
        <w:t xml:space="preserve">1. </w:t>
      </w:r>
      <w:r w:rsidR="00835AFC" w:rsidRPr="00D9152B">
        <w:rPr>
          <w:rFonts w:ascii="Calibri" w:hAnsi="Calibri" w:cs="Calibri"/>
          <w:b/>
          <w:sz w:val="26"/>
          <w:szCs w:val="26"/>
        </w:rPr>
        <w:t>Introduction</w:t>
      </w:r>
      <w:bookmarkEnd w:id="74"/>
    </w:p>
    <w:p w14:paraId="0CB57B64" w14:textId="1120EC4B" w:rsidR="006762E6" w:rsidRPr="00D9152B" w:rsidRDefault="002464C2"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S</w:t>
      </w:r>
      <w:r w:rsidR="00AC7848" w:rsidRPr="00D9152B">
        <w:rPr>
          <w:rFonts w:ascii="Calibri" w:hAnsi="Calibri" w:cs="Calibri"/>
          <w:sz w:val="22"/>
          <w:szCs w:val="22"/>
        </w:rPr>
        <w:t xml:space="preserve">etting up a financing mechanism for a regional disease control programme in 1970s Africa was as challenging as justifying the </w:t>
      </w:r>
      <w:r w:rsidR="00836E44" w:rsidRPr="00D9152B">
        <w:rPr>
          <w:rFonts w:ascii="Calibri" w:hAnsi="Calibri" w:cs="Calibri"/>
          <w:sz w:val="22"/>
          <w:szCs w:val="22"/>
        </w:rPr>
        <w:t>Onchocerciasis Control Programme (</w:t>
      </w:r>
      <w:r w:rsidR="00AC7848" w:rsidRPr="00D9152B">
        <w:rPr>
          <w:rFonts w:ascii="Calibri" w:hAnsi="Calibri" w:cs="Calibri"/>
          <w:sz w:val="22"/>
          <w:szCs w:val="22"/>
        </w:rPr>
        <w:t>OCP</w:t>
      </w:r>
      <w:r w:rsidR="00836E44" w:rsidRPr="00D9152B">
        <w:rPr>
          <w:rFonts w:ascii="Calibri" w:hAnsi="Calibri" w:cs="Calibri"/>
          <w:sz w:val="22"/>
          <w:szCs w:val="22"/>
        </w:rPr>
        <w:t>)</w:t>
      </w:r>
      <w:r w:rsidR="00AC7848" w:rsidRPr="00D9152B">
        <w:rPr>
          <w:rFonts w:ascii="Calibri" w:hAnsi="Calibri" w:cs="Calibri"/>
          <w:sz w:val="22"/>
          <w:szCs w:val="22"/>
        </w:rPr>
        <w:t xml:space="preserve"> itself. Some prospective donors (including the Bank) were loath to trust the </w:t>
      </w:r>
      <w:r w:rsidR="0072458C" w:rsidRPr="00D9152B">
        <w:rPr>
          <w:rFonts w:ascii="Calibri" w:hAnsi="Calibri" w:cs="Calibri"/>
          <w:sz w:val="22"/>
          <w:szCs w:val="22"/>
        </w:rPr>
        <w:t>World Health Organization (WHO)’s</w:t>
      </w:r>
      <w:r w:rsidR="00AC7848" w:rsidRPr="00D9152B">
        <w:rPr>
          <w:rFonts w:ascii="Calibri" w:hAnsi="Calibri" w:cs="Calibri"/>
          <w:sz w:val="22"/>
          <w:szCs w:val="22"/>
        </w:rPr>
        <w:t xml:space="preserve"> budgetary capabilities, while </w:t>
      </w:r>
      <w:r w:rsidR="00C25150" w:rsidRPr="00D9152B">
        <w:rPr>
          <w:rFonts w:ascii="Calibri" w:hAnsi="Calibri" w:cs="Calibri"/>
          <w:sz w:val="22"/>
          <w:szCs w:val="22"/>
        </w:rPr>
        <w:t>some</w:t>
      </w:r>
      <w:r w:rsidR="00AC7848" w:rsidRPr="00D9152B">
        <w:rPr>
          <w:rFonts w:ascii="Calibri" w:hAnsi="Calibri" w:cs="Calibri"/>
          <w:sz w:val="22"/>
          <w:szCs w:val="22"/>
        </w:rPr>
        <w:t xml:space="preserve"> beneficiary countries in West Africa mistrusted the Bank’s regional intentions. If, as a group of prospective donor countries requested, the Bank took on the role of fiscal guardian of the programme, how would </w:t>
      </w:r>
      <w:r w:rsidR="00CE21D2" w:rsidRPr="00D9152B">
        <w:rPr>
          <w:rFonts w:ascii="Calibri" w:hAnsi="Calibri" w:cs="Calibri"/>
          <w:sz w:val="22"/>
          <w:szCs w:val="22"/>
        </w:rPr>
        <w:t xml:space="preserve">funds </w:t>
      </w:r>
      <w:r w:rsidR="007B6B70" w:rsidRPr="00D9152B">
        <w:rPr>
          <w:rFonts w:ascii="Calibri" w:hAnsi="Calibri" w:cs="Calibri"/>
          <w:sz w:val="22"/>
          <w:szCs w:val="22"/>
        </w:rPr>
        <w:t xml:space="preserve">for a regional programme </w:t>
      </w:r>
      <w:r w:rsidR="00CE21D2" w:rsidRPr="00D9152B">
        <w:rPr>
          <w:rFonts w:ascii="Calibri" w:hAnsi="Calibri" w:cs="Calibri"/>
          <w:sz w:val="22"/>
          <w:szCs w:val="22"/>
        </w:rPr>
        <w:t>be committed, disbursed, and guaranteed to meet the financial needs of the programme?</w:t>
      </w:r>
      <w:r w:rsidR="006762E6" w:rsidRPr="00D9152B">
        <w:rPr>
          <w:rFonts w:ascii="Calibri" w:hAnsi="Calibri" w:cs="Calibri"/>
          <w:sz w:val="22"/>
          <w:szCs w:val="22"/>
        </w:rPr>
        <w:t xml:space="preserve"> </w:t>
      </w:r>
    </w:p>
    <w:p w14:paraId="1A629E85" w14:textId="69D4D6C6" w:rsidR="009B26B8" w:rsidRPr="00D9152B" w:rsidRDefault="009B26B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By the 1990s, the Bank’s financial management of the OCP was hailed as a major reason for the programme’s success. Yet, at the signing ceremony for the first Onchocerciasis Fund Agreement in 1975, McNamara himself stated that economics and ‘humanitarian efficiency both pointed to the need to bring River Blindness under control </w:t>
      </w:r>
      <w:r w:rsidRPr="00D9152B">
        <w:rPr>
          <w:rFonts w:ascii="Calibri" w:hAnsi="Calibri" w:cs="Calibri"/>
          <w:sz w:val="22"/>
          <w:szCs w:val="22"/>
          <w:u w:val="single"/>
        </w:rPr>
        <w:t>if a program could be devised for doing so at a reasonable cost</w:t>
      </w:r>
      <w:r w:rsidRPr="00D9152B">
        <w:rPr>
          <w:rFonts w:ascii="Calibri" w:hAnsi="Calibri" w:cs="Calibri"/>
          <w:sz w:val="22"/>
          <w:szCs w:val="22"/>
        </w:rPr>
        <w:t>’</w:t>
      </w:r>
      <w:r w:rsidR="0065704F" w:rsidRPr="00D9152B">
        <w:rPr>
          <w:rFonts w:ascii="Calibri" w:hAnsi="Calibri" w:cs="Calibri"/>
          <w:sz w:val="22"/>
          <w:szCs w:val="22"/>
        </w:rPr>
        <w:t xml:space="preserve"> [emphasis added]</w:t>
      </w:r>
      <w:r w:rsidR="00C25150" w:rsidRPr="00D9152B">
        <w:rPr>
          <w:rFonts w:ascii="Calibri" w:hAnsi="Calibri" w:cs="Calibri"/>
          <w:sz w:val="22"/>
          <w:szCs w:val="22"/>
        </w:rPr>
        <w:t>.</w:t>
      </w:r>
      <w:r w:rsidRPr="00D9152B">
        <w:rPr>
          <w:rStyle w:val="FootnoteReference"/>
          <w:rFonts w:ascii="Calibri" w:hAnsi="Calibri" w:cs="Calibri"/>
          <w:sz w:val="22"/>
          <w:szCs w:val="22"/>
        </w:rPr>
        <w:footnoteReference w:id="406"/>
      </w:r>
      <w:r w:rsidRPr="00D9152B">
        <w:rPr>
          <w:rFonts w:ascii="Calibri" w:hAnsi="Calibri" w:cs="Calibri"/>
          <w:sz w:val="22"/>
          <w:szCs w:val="22"/>
        </w:rPr>
        <w:t xml:space="preserve"> The programme ultimately cost </w:t>
      </w:r>
      <w:r w:rsidR="007B6B70" w:rsidRPr="00D9152B">
        <w:rPr>
          <w:rFonts w:ascii="Calibri" w:hAnsi="Calibri" w:cs="Calibri"/>
          <w:sz w:val="22"/>
          <w:szCs w:val="22"/>
        </w:rPr>
        <w:t>approximately</w:t>
      </w:r>
      <w:r w:rsidRPr="00D9152B">
        <w:rPr>
          <w:rFonts w:ascii="Calibri" w:hAnsi="Calibri" w:cs="Calibri"/>
          <w:sz w:val="22"/>
          <w:szCs w:val="22"/>
        </w:rPr>
        <w:t xml:space="preserve"> $565 million over 39 years, compared to an initial estimate of $120 million over 20 years.  </w:t>
      </w:r>
    </w:p>
    <w:p w14:paraId="54681EDE" w14:textId="77777777" w:rsidR="009B26B8" w:rsidRPr="00D9152B" w:rsidRDefault="009B26B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How does a programme that lasts 20 years longer than initially planned and dramatically increases its budget become a financial success story? This chapter breaks-apart the financial management of the OCP on three levels. First, it considers the structure of the Onchocerciasis Fund. Why was a Bank-managed trust fund model chosen for the OCP, and how was the fund administered? Next, it turns to budgeting during the OCP. How was budgeting managed between sponsoring agencies, donors, and beneficiary countries, and what programme priorities are reflected through the budgets themselves? Finally, it considers the Bank’s role as a financial trustee, or self-proclaimed ‘Godfather of </w:t>
      </w:r>
      <w:r w:rsidRPr="00D9152B">
        <w:rPr>
          <w:rFonts w:ascii="Calibri" w:hAnsi="Calibri" w:cs="Calibri"/>
          <w:sz w:val="22"/>
          <w:szCs w:val="22"/>
        </w:rPr>
        <w:lastRenderedPageBreak/>
        <w:t>the OCP’.</w:t>
      </w:r>
      <w:r w:rsidRPr="00D9152B">
        <w:rPr>
          <w:rStyle w:val="FootnoteReference"/>
          <w:rFonts w:ascii="Calibri" w:hAnsi="Calibri" w:cs="Calibri"/>
          <w:sz w:val="22"/>
          <w:szCs w:val="22"/>
        </w:rPr>
        <w:footnoteReference w:id="407"/>
      </w:r>
      <w:r w:rsidRPr="00D9152B">
        <w:rPr>
          <w:rFonts w:ascii="Calibri" w:hAnsi="Calibri" w:cs="Calibri"/>
          <w:sz w:val="22"/>
          <w:szCs w:val="22"/>
        </w:rPr>
        <w:t xml:space="preserve"> What role did the Bank play in marshalling and maintaining donor support for the programme, and how has this impacted its model for financing global public goods? </w:t>
      </w:r>
    </w:p>
    <w:p w14:paraId="031A11C8" w14:textId="03813E8B" w:rsidR="002A45E4" w:rsidRPr="00D9152B" w:rsidRDefault="005C637A" w:rsidP="00FA7761">
      <w:pPr>
        <w:pStyle w:val="Heading2"/>
        <w:rPr>
          <w:rFonts w:ascii="Calibri" w:hAnsi="Calibri" w:cs="Calibri"/>
          <w:b/>
          <w:sz w:val="26"/>
          <w:szCs w:val="26"/>
        </w:rPr>
      </w:pPr>
      <w:bookmarkStart w:id="75" w:name="_Toc41505649"/>
      <w:r w:rsidRPr="00D9152B">
        <w:rPr>
          <w:rFonts w:ascii="Calibri" w:hAnsi="Calibri" w:cs="Calibri"/>
          <w:b/>
          <w:sz w:val="26"/>
          <w:szCs w:val="26"/>
        </w:rPr>
        <w:t>5.2</w:t>
      </w:r>
      <w:r w:rsidR="00FA7761" w:rsidRPr="00D9152B">
        <w:rPr>
          <w:rFonts w:ascii="Calibri" w:hAnsi="Calibri" w:cs="Calibri"/>
          <w:b/>
          <w:sz w:val="26"/>
          <w:szCs w:val="26"/>
        </w:rPr>
        <w:t xml:space="preserve">. </w:t>
      </w:r>
      <w:r w:rsidR="0079032A" w:rsidRPr="00D9152B">
        <w:rPr>
          <w:rFonts w:ascii="Calibri" w:hAnsi="Calibri" w:cs="Calibri"/>
          <w:b/>
          <w:sz w:val="26"/>
          <w:szCs w:val="26"/>
        </w:rPr>
        <w:t>Drivers of the Bank-</w:t>
      </w:r>
      <w:r w:rsidR="00C25150" w:rsidRPr="00D9152B">
        <w:rPr>
          <w:rFonts w:ascii="Calibri" w:hAnsi="Calibri" w:cs="Calibri"/>
          <w:b/>
          <w:sz w:val="26"/>
          <w:szCs w:val="26"/>
        </w:rPr>
        <w:t>managed</w:t>
      </w:r>
      <w:r w:rsidR="0079032A" w:rsidRPr="00D9152B">
        <w:rPr>
          <w:rFonts w:ascii="Calibri" w:hAnsi="Calibri" w:cs="Calibri"/>
          <w:b/>
          <w:sz w:val="26"/>
          <w:szCs w:val="26"/>
        </w:rPr>
        <w:t xml:space="preserve"> trust fund model</w:t>
      </w:r>
      <w:bookmarkEnd w:id="75"/>
    </w:p>
    <w:p w14:paraId="5A59C6F3" w14:textId="367C4464" w:rsidR="002A45E4" w:rsidRPr="00D9152B" w:rsidRDefault="002A45E4" w:rsidP="002A45E4">
      <w:pPr>
        <w:rPr>
          <w:rFonts w:ascii="Calibri" w:hAnsi="Calibri" w:cs="Calibri"/>
          <w:lang w:val="en-US"/>
        </w:rPr>
      </w:pPr>
    </w:p>
    <w:p w14:paraId="58587868" w14:textId="76C562A3" w:rsidR="002A45E4" w:rsidRPr="00D9152B" w:rsidRDefault="005C637A" w:rsidP="005C7F9F">
      <w:pPr>
        <w:pStyle w:val="Heading3"/>
        <w:spacing w:line="360" w:lineRule="auto"/>
        <w:rPr>
          <w:rFonts w:ascii="Calibri" w:hAnsi="Calibri" w:cs="Calibri"/>
          <w:b/>
          <w:i/>
          <w:color w:val="000000" w:themeColor="text1"/>
          <w:sz w:val="22"/>
          <w:szCs w:val="22"/>
          <w:lang w:val="en-US"/>
        </w:rPr>
      </w:pPr>
      <w:bookmarkStart w:id="76" w:name="_Toc41505650"/>
      <w:r w:rsidRPr="00D9152B">
        <w:rPr>
          <w:rFonts w:ascii="Calibri" w:hAnsi="Calibri" w:cs="Calibri"/>
          <w:b/>
          <w:i/>
          <w:color w:val="000000" w:themeColor="text1"/>
          <w:sz w:val="22"/>
          <w:szCs w:val="22"/>
          <w:lang w:val="en-US"/>
        </w:rPr>
        <w:t>5.</w:t>
      </w:r>
      <w:r w:rsidR="002A45E4" w:rsidRPr="00D9152B">
        <w:rPr>
          <w:rFonts w:ascii="Calibri" w:hAnsi="Calibri" w:cs="Calibri"/>
          <w:b/>
          <w:i/>
          <w:color w:val="000000" w:themeColor="text1"/>
          <w:sz w:val="22"/>
          <w:szCs w:val="22"/>
          <w:lang w:val="en-US"/>
        </w:rPr>
        <w:t>2.</w:t>
      </w:r>
      <w:r w:rsidR="00B55943" w:rsidRPr="00D9152B">
        <w:rPr>
          <w:rFonts w:ascii="Calibri" w:hAnsi="Calibri" w:cs="Calibri"/>
          <w:b/>
          <w:i/>
          <w:color w:val="000000" w:themeColor="text1"/>
          <w:sz w:val="22"/>
          <w:szCs w:val="22"/>
          <w:lang w:val="en-US"/>
        </w:rPr>
        <w:t>A.</w:t>
      </w:r>
      <w:r w:rsidR="002A45E4" w:rsidRPr="00D9152B">
        <w:rPr>
          <w:rFonts w:ascii="Calibri" w:hAnsi="Calibri" w:cs="Calibri"/>
          <w:b/>
          <w:i/>
          <w:color w:val="000000" w:themeColor="text1"/>
          <w:sz w:val="22"/>
          <w:szCs w:val="22"/>
          <w:lang w:val="en-US"/>
        </w:rPr>
        <w:t xml:space="preserve"> Internal Bank </w:t>
      </w:r>
      <w:r w:rsidR="00C25150" w:rsidRPr="00D9152B">
        <w:rPr>
          <w:rFonts w:ascii="Calibri" w:hAnsi="Calibri" w:cs="Calibri"/>
          <w:b/>
          <w:i/>
          <w:color w:val="000000" w:themeColor="text1"/>
          <w:sz w:val="22"/>
          <w:szCs w:val="22"/>
          <w:lang w:val="en-US"/>
        </w:rPr>
        <w:t>challenges</w:t>
      </w:r>
      <w:bookmarkEnd w:id="76"/>
    </w:p>
    <w:p w14:paraId="7A8BF6D2" w14:textId="23DD02E8" w:rsidR="00C90019" w:rsidRDefault="00AC7848" w:rsidP="00CF189D">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 Bank</w:t>
      </w:r>
      <w:r w:rsidR="00CE21D2" w:rsidRPr="00D9152B">
        <w:rPr>
          <w:rFonts w:ascii="Calibri" w:hAnsi="Calibri" w:cs="Calibri"/>
          <w:sz w:val="22"/>
          <w:szCs w:val="22"/>
        </w:rPr>
        <w:t xml:space="preserve"> </w:t>
      </w:r>
      <w:r w:rsidRPr="00D9152B">
        <w:rPr>
          <w:rFonts w:ascii="Calibri" w:hAnsi="Calibri" w:cs="Calibri"/>
          <w:sz w:val="22"/>
          <w:szCs w:val="22"/>
        </w:rPr>
        <w:t xml:space="preserve">faced </w:t>
      </w:r>
      <w:r w:rsidR="0079032A" w:rsidRPr="00D9152B">
        <w:rPr>
          <w:rFonts w:ascii="Calibri" w:hAnsi="Calibri" w:cs="Calibri"/>
          <w:sz w:val="22"/>
          <w:szCs w:val="22"/>
        </w:rPr>
        <w:t>three</w:t>
      </w:r>
      <w:r w:rsidRPr="00D9152B">
        <w:rPr>
          <w:rFonts w:ascii="Calibri" w:hAnsi="Calibri" w:cs="Calibri"/>
          <w:sz w:val="22"/>
          <w:szCs w:val="22"/>
        </w:rPr>
        <w:t xml:space="preserve"> key </w:t>
      </w:r>
      <w:r w:rsidR="00CE21D2" w:rsidRPr="00D9152B">
        <w:rPr>
          <w:rFonts w:ascii="Calibri" w:hAnsi="Calibri" w:cs="Calibri"/>
          <w:sz w:val="22"/>
          <w:szCs w:val="22"/>
        </w:rPr>
        <w:t xml:space="preserve">internal </w:t>
      </w:r>
      <w:r w:rsidRPr="00D9152B">
        <w:rPr>
          <w:rFonts w:ascii="Calibri" w:hAnsi="Calibri" w:cs="Calibri"/>
          <w:sz w:val="22"/>
          <w:szCs w:val="22"/>
        </w:rPr>
        <w:t>hurdles to organizing</w:t>
      </w:r>
      <w:r w:rsidR="00C25150" w:rsidRPr="00D9152B">
        <w:rPr>
          <w:rFonts w:ascii="Calibri" w:hAnsi="Calibri" w:cs="Calibri"/>
          <w:sz w:val="22"/>
          <w:szCs w:val="22"/>
        </w:rPr>
        <w:t xml:space="preserve"> core</w:t>
      </w:r>
      <w:r w:rsidRPr="00D9152B">
        <w:rPr>
          <w:rFonts w:ascii="Calibri" w:hAnsi="Calibri" w:cs="Calibri"/>
          <w:sz w:val="22"/>
          <w:szCs w:val="22"/>
        </w:rPr>
        <w:t xml:space="preserve"> investment in the OCP. First, </w:t>
      </w:r>
      <w:r w:rsidR="005946FB" w:rsidRPr="00D9152B">
        <w:rPr>
          <w:rFonts w:ascii="Calibri" w:hAnsi="Calibri" w:cs="Calibri"/>
          <w:sz w:val="22"/>
          <w:szCs w:val="22"/>
        </w:rPr>
        <w:t>in the early 1970s</w:t>
      </w:r>
      <w:r w:rsidR="00C25150" w:rsidRPr="00D9152B">
        <w:rPr>
          <w:rFonts w:ascii="Calibri" w:hAnsi="Calibri" w:cs="Calibri"/>
          <w:sz w:val="22"/>
          <w:szCs w:val="22"/>
        </w:rPr>
        <w:t xml:space="preserve">, it </w:t>
      </w:r>
      <w:r w:rsidR="005946FB" w:rsidRPr="00D9152B">
        <w:rPr>
          <w:rFonts w:ascii="Calibri" w:hAnsi="Calibri" w:cs="Calibri"/>
          <w:sz w:val="22"/>
          <w:szCs w:val="22"/>
        </w:rPr>
        <w:t xml:space="preserve">had limited experience channelling financial investments to health. </w:t>
      </w:r>
      <w:r w:rsidR="00C90019" w:rsidRPr="00A32897">
        <w:rPr>
          <w:rFonts w:ascii="Calibri" w:hAnsi="Calibri" w:cs="Calibri"/>
          <w:sz w:val="22"/>
          <w:szCs w:val="22"/>
        </w:rPr>
        <w:t xml:space="preserve">From 1946-1953, only about 11.5 percent of the International Bank for Reconstruction and Development (IBRD)’s loans went to </w:t>
      </w:r>
      <w:r w:rsidR="00A2292A">
        <w:rPr>
          <w:rFonts w:ascii="Calibri" w:hAnsi="Calibri" w:cs="Calibri"/>
          <w:sz w:val="22"/>
          <w:szCs w:val="22"/>
        </w:rPr>
        <w:t>Sub-Saharan</w:t>
      </w:r>
      <w:r w:rsidR="00C90019" w:rsidRPr="00A32897">
        <w:rPr>
          <w:rFonts w:ascii="Calibri" w:hAnsi="Calibri" w:cs="Calibri"/>
          <w:sz w:val="22"/>
          <w:szCs w:val="22"/>
        </w:rPr>
        <w:t xml:space="preserve"> Africa (compared to 43 percent for post-war Europe).</w:t>
      </w:r>
      <w:r w:rsidR="00C90019" w:rsidRPr="00A32897">
        <w:rPr>
          <w:rStyle w:val="FootnoteReference"/>
          <w:rFonts w:ascii="Calibri" w:hAnsi="Calibri" w:cs="Calibri"/>
          <w:sz w:val="22"/>
          <w:szCs w:val="22"/>
        </w:rPr>
        <w:footnoteReference w:id="408"/>
      </w:r>
      <w:r w:rsidR="00C90019" w:rsidRPr="00A32897">
        <w:rPr>
          <w:rFonts w:ascii="Calibri" w:hAnsi="Calibri" w:cs="Calibri"/>
          <w:sz w:val="22"/>
          <w:szCs w:val="22"/>
        </w:rPr>
        <w:t xml:space="preserve"> These early Bank loans were typically for electric power, transportation, and general development – not agriculture or health.</w:t>
      </w:r>
      <w:r w:rsidR="00C90019" w:rsidRPr="00A32897">
        <w:rPr>
          <w:rStyle w:val="FootnoteReference"/>
          <w:rFonts w:ascii="Calibri" w:hAnsi="Calibri" w:cs="Calibri"/>
          <w:sz w:val="22"/>
          <w:szCs w:val="22"/>
        </w:rPr>
        <w:footnoteReference w:id="409"/>
      </w:r>
      <w:r w:rsidR="00C90019" w:rsidRPr="00A32897">
        <w:rPr>
          <w:rFonts w:ascii="Calibri" w:hAnsi="Calibri" w:cs="Calibri"/>
          <w:sz w:val="22"/>
          <w:szCs w:val="22"/>
        </w:rPr>
        <w:t xml:space="preserve"> With the launch of the International Development Association (IDA) in the early 1960s, the Bank’s lending portfolio began to change. For instance, from 1944-1963, about 4.9 percent of IBRD loans were for agriculture and rural development, while 23.6 percent of IDA loans through 1963 were targeted at agriculture and rural projects.</w:t>
      </w:r>
      <w:r w:rsidR="00C90019" w:rsidRPr="00A32897">
        <w:rPr>
          <w:rStyle w:val="FootnoteReference"/>
          <w:rFonts w:ascii="Calibri" w:hAnsi="Calibri" w:cs="Calibri"/>
          <w:sz w:val="22"/>
          <w:szCs w:val="22"/>
        </w:rPr>
        <w:footnoteReference w:id="410"/>
      </w:r>
      <w:r w:rsidR="00C90019" w:rsidRPr="00A32897">
        <w:rPr>
          <w:rFonts w:ascii="Calibri" w:hAnsi="Calibri" w:cs="Calibri"/>
          <w:sz w:val="22"/>
          <w:szCs w:val="22"/>
        </w:rPr>
        <w:t xml:space="preserve"> </w:t>
      </w:r>
      <w:r w:rsidR="005946FB" w:rsidRPr="00D9152B">
        <w:rPr>
          <w:rFonts w:ascii="Calibri" w:hAnsi="Calibri" w:cs="Calibri"/>
          <w:sz w:val="22"/>
          <w:szCs w:val="22"/>
        </w:rPr>
        <w:t xml:space="preserve">As Figure </w:t>
      </w:r>
      <w:r w:rsidR="009E01B2">
        <w:rPr>
          <w:rFonts w:ascii="Calibri" w:hAnsi="Calibri" w:cs="Calibri"/>
          <w:sz w:val="22"/>
          <w:szCs w:val="22"/>
        </w:rPr>
        <w:t>5.</w:t>
      </w:r>
      <w:r w:rsidR="005946FB" w:rsidRPr="00D9152B">
        <w:rPr>
          <w:rFonts w:ascii="Calibri" w:hAnsi="Calibri" w:cs="Calibri"/>
          <w:sz w:val="22"/>
          <w:szCs w:val="22"/>
        </w:rPr>
        <w:t>1 shows, the Bank began lending for water supply and sewage projects in the 1960s, made its first population loan around 1970, and initiated ‘health components’ funding (i.e. narrow health investments within larger education and rural development projects) in the early 1970s.</w:t>
      </w:r>
      <w:r w:rsidR="005946FB" w:rsidRPr="00D9152B">
        <w:rPr>
          <w:rStyle w:val="FootnoteReference"/>
          <w:rFonts w:ascii="Calibri" w:hAnsi="Calibri" w:cs="Calibri"/>
          <w:sz w:val="22"/>
          <w:szCs w:val="22"/>
        </w:rPr>
        <w:footnoteReference w:id="411"/>
      </w:r>
      <w:r w:rsidR="005946FB" w:rsidRPr="00D9152B">
        <w:rPr>
          <w:rFonts w:ascii="Calibri" w:hAnsi="Calibri" w:cs="Calibri"/>
          <w:sz w:val="22"/>
          <w:szCs w:val="22"/>
        </w:rPr>
        <w:t xml:space="preserve"> </w:t>
      </w:r>
    </w:p>
    <w:p w14:paraId="7028ABE1" w14:textId="77777777" w:rsidR="00C90019" w:rsidRPr="00D9152B" w:rsidRDefault="00C90019" w:rsidP="00C90019">
      <w:pPr>
        <w:ind w:firstLine="720"/>
        <w:jc w:val="center"/>
        <w:rPr>
          <w:rFonts w:ascii="Calibri" w:hAnsi="Calibri" w:cs="Calibri"/>
          <w:color w:val="808080" w:themeColor="background1" w:themeShade="80"/>
        </w:rPr>
      </w:pPr>
      <w:r w:rsidRPr="00D9152B">
        <w:rPr>
          <w:rFonts w:ascii="Calibri" w:hAnsi="Calibri" w:cs="Calibri"/>
          <w:noProof/>
          <w:color w:val="808080" w:themeColor="background1" w:themeShade="80"/>
          <w:lang w:eastAsia="en-GB"/>
        </w:rPr>
        <w:lastRenderedPageBreak/>
        <w:drawing>
          <wp:inline distT="0" distB="0" distL="0" distR="0" wp14:anchorId="5916294D" wp14:editId="423B510E">
            <wp:extent cx="4717997" cy="2620256"/>
            <wp:effectExtent l="0" t="0" r="6985" b="8890"/>
            <wp:docPr id="1059" name="Chart 1059"/>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6356DAE9" w14:textId="77777777" w:rsidR="00C90019" w:rsidRPr="00D9152B" w:rsidRDefault="00C90019" w:rsidP="00C90019">
      <w:pPr>
        <w:jc w:val="both"/>
        <w:rPr>
          <w:rFonts w:ascii="Calibri" w:hAnsi="Calibri" w:cs="Calibri"/>
          <w:color w:val="808080" w:themeColor="background1" w:themeShade="80"/>
        </w:rPr>
      </w:pPr>
    </w:p>
    <w:p w14:paraId="69D74FB4" w14:textId="7E6B16DB" w:rsidR="00C90019" w:rsidRPr="00CF189D" w:rsidRDefault="00C90019" w:rsidP="00CF189D">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Pr>
          <w:rFonts w:ascii="Calibri" w:hAnsi="Calibri" w:cs="Calibri"/>
          <w:color w:val="808080" w:themeColor="background1" w:themeShade="80"/>
          <w:sz w:val="22"/>
          <w:szCs w:val="22"/>
        </w:rPr>
        <w:t>5.</w:t>
      </w:r>
      <w:r w:rsidRPr="00D9152B">
        <w:rPr>
          <w:rFonts w:ascii="Calibri" w:hAnsi="Calibri" w:cs="Calibri"/>
          <w:color w:val="808080" w:themeColor="background1" w:themeShade="80"/>
          <w:sz w:val="22"/>
          <w:szCs w:val="22"/>
        </w:rPr>
        <w:t>1. The Bank’s early lending for projects with a health component comprised a very small portion of its total lending, and were not typically targeted at Africa.</w:t>
      </w:r>
      <w:r w:rsidRPr="00D9152B">
        <w:rPr>
          <w:rStyle w:val="FootnoteReference"/>
          <w:rFonts w:ascii="Calibri" w:hAnsi="Calibri" w:cs="Calibri"/>
          <w:color w:val="808080" w:themeColor="background1" w:themeShade="80"/>
          <w:sz w:val="22"/>
          <w:szCs w:val="22"/>
        </w:rPr>
        <w:footnoteReference w:id="412"/>
      </w:r>
    </w:p>
    <w:p w14:paraId="4A0F69FD" w14:textId="6C0E92E2" w:rsidR="00C90019" w:rsidRDefault="00C90019" w:rsidP="00CF189D">
      <w:pPr>
        <w:spacing w:before="100" w:beforeAutospacing="1" w:after="100" w:afterAutospacing="1" w:line="360" w:lineRule="auto"/>
        <w:ind w:firstLine="720"/>
        <w:rPr>
          <w:rFonts w:ascii="Calibri" w:hAnsi="Calibri" w:cs="Calibri"/>
          <w:sz w:val="22"/>
          <w:szCs w:val="22"/>
        </w:rPr>
      </w:pPr>
      <w:r w:rsidRPr="00A32897">
        <w:rPr>
          <w:rFonts w:ascii="Calibri" w:hAnsi="Calibri" w:cs="Calibri"/>
          <w:sz w:val="22"/>
          <w:szCs w:val="22"/>
        </w:rPr>
        <w:t>McNamara’s ‘discovery of the rural poor’</w:t>
      </w:r>
      <w:r w:rsidRPr="00A32897">
        <w:rPr>
          <w:rStyle w:val="FootnoteReference"/>
          <w:rFonts w:ascii="Calibri" w:hAnsi="Calibri" w:cs="Calibri"/>
          <w:sz w:val="22"/>
          <w:szCs w:val="22"/>
        </w:rPr>
        <w:footnoteReference w:id="413"/>
      </w:r>
      <w:r w:rsidRPr="00A32897">
        <w:rPr>
          <w:rFonts w:ascii="Calibri" w:hAnsi="Calibri" w:cs="Calibri"/>
          <w:sz w:val="22"/>
          <w:szCs w:val="22"/>
        </w:rPr>
        <w:t xml:space="preserve"> shifted the Bank’s portfolio further into rural development</w:t>
      </w:r>
      <w:r w:rsidR="006048B5">
        <w:rPr>
          <w:rFonts w:ascii="Calibri" w:hAnsi="Calibri" w:cs="Calibri"/>
          <w:sz w:val="22"/>
          <w:szCs w:val="22"/>
        </w:rPr>
        <w:t xml:space="preserve"> in the 1970s</w:t>
      </w:r>
      <w:r w:rsidRPr="00A32897">
        <w:rPr>
          <w:rFonts w:ascii="Calibri" w:hAnsi="Calibri" w:cs="Calibri"/>
          <w:sz w:val="22"/>
          <w:szCs w:val="22"/>
        </w:rPr>
        <w:t xml:space="preserve">. </w:t>
      </w:r>
      <w:r w:rsidR="00AF6B5F">
        <w:rPr>
          <w:rFonts w:ascii="Calibri" w:hAnsi="Calibri" w:cs="Calibri"/>
          <w:sz w:val="22"/>
          <w:szCs w:val="22"/>
        </w:rPr>
        <w:t xml:space="preserve">McNamara </w:t>
      </w:r>
      <w:r w:rsidRPr="00A32897">
        <w:rPr>
          <w:rFonts w:ascii="Calibri" w:hAnsi="Calibri" w:cs="Calibri"/>
          <w:sz w:val="22"/>
          <w:szCs w:val="22"/>
        </w:rPr>
        <w:t>called for a forty percent increase in rural development assistance over five years.</w:t>
      </w:r>
      <w:r w:rsidRPr="00A32897">
        <w:rPr>
          <w:rStyle w:val="FootnoteReference"/>
          <w:rFonts w:ascii="Calibri" w:hAnsi="Calibri" w:cs="Calibri"/>
          <w:sz w:val="22"/>
          <w:szCs w:val="22"/>
        </w:rPr>
        <w:footnoteReference w:id="414"/>
      </w:r>
      <w:r w:rsidRPr="00A32897">
        <w:rPr>
          <w:rFonts w:ascii="Calibri" w:hAnsi="Calibri" w:cs="Calibri"/>
          <w:sz w:val="22"/>
          <w:szCs w:val="22"/>
        </w:rPr>
        <w:t xml:space="preserve"> This rhetoric was matched by reality; from 1974-1978, lending to agriculture and rural development rose to 27.1 percent of IBRD and 42.3 percent of IDA commitments, respectively</w:t>
      </w:r>
      <w:r>
        <w:rPr>
          <w:rFonts w:ascii="Calibri" w:hAnsi="Calibri" w:cs="Calibri"/>
          <w:sz w:val="22"/>
          <w:szCs w:val="22"/>
        </w:rPr>
        <w:t>.</w:t>
      </w:r>
      <w:r w:rsidRPr="00A32897">
        <w:rPr>
          <w:rFonts w:ascii="Calibri" w:hAnsi="Calibri" w:cs="Calibri"/>
          <w:sz w:val="22"/>
          <w:szCs w:val="22"/>
        </w:rPr>
        <w:t xml:space="preserve"> Loans to the West African region followed this pattern, increasing by 750 percent from 1964-1976.</w:t>
      </w:r>
      <w:r w:rsidRPr="00A32897">
        <w:rPr>
          <w:rStyle w:val="FootnoteReference"/>
          <w:rFonts w:ascii="Calibri" w:hAnsi="Calibri" w:cs="Calibri"/>
          <w:sz w:val="22"/>
          <w:szCs w:val="22"/>
        </w:rPr>
        <w:footnoteReference w:id="415"/>
      </w:r>
      <w:r w:rsidRPr="00A32897">
        <w:rPr>
          <w:rFonts w:ascii="Calibri" w:hAnsi="Calibri" w:cs="Calibri"/>
          <w:sz w:val="22"/>
          <w:szCs w:val="22"/>
        </w:rPr>
        <w:t xml:space="preserve"> </w:t>
      </w:r>
      <w:r>
        <w:rPr>
          <w:rFonts w:ascii="Calibri" w:hAnsi="Calibri" w:cs="Calibri"/>
          <w:sz w:val="22"/>
          <w:szCs w:val="22"/>
        </w:rPr>
        <w:t>Yet, in spite of this growing Africa portfolio, the Bank</w:t>
      </w:r>
      <w:r w:rsidR="005946FB" w:rsidRPr="00D9152B">
        <w:rPr>
          <w:rFonts w:ascii="Calibri" w:hAnsi="Calibri" w:cs="Calibri"/>
          <w:sz w:val="22"/>
          <w:szCs w:val="22"/>
        </w:rPr>
        <w:t xml:space="preserve"> did not have a policy for investing in health until 1975, when it chose to </w:t>
      </w:r>
      <w:r w:rsidR="005946FB" w:rsidRPr="00D9152B">
        <w:rPr>
          <w:rFonts w:ascii="Calibri" w:hAnsi="Calibri" w:cs="Calibri"/>
          <w:i/>
          <w:sz w:val="22"/>
          <w:szCs w:val="22"/>
        </w:rPr>
        <w:t>limit</w:t>
      </w:r>
      <w:r w:rsidR="005946FB" w:rsidRPr="00D9152B">
        <w:rPr>
          <w:rFonts w:ascii="Calibri" w:hAnsi="Calibri" w:cs="Calibri"/>
          <w:sz w:val="22"/>
          <w:szCs w:val="22"/>
        </w:rPr>
        <w:t xml:space="preserve"> its involvement to health components. This decision was based on a general belief that lending directly for health and social services would distract the Bank from its development-promoting mandate</w:t>
      </w:r>
      <w:r w:rsidR="006048B5">
        <w:rPr>
          <w:rFonts w:ascii="Calibri" w:hAnsi="Calibri" w:cs="Calibri"/>
          <w:sz w:val="22"/>
          <w:szCs w:val="22"/>
        </w:rPr>
        <w:t xml:space="preserve"> (direct lending for health did not commence until 198</w:t>
      </w:r>
      <w:r w:rsidR="00D90DFC">
        <w:rPr>
          <w:rFonts w:ascii="Calibri" w:hAnsi="Calibri" w:cs="Calibri"/>
          <w:sz w:val="22"/>
          <w:szCs w:val="22"/>
        </w:rPr>
        <w:t>0</w:t>
      </w:r>
      <w:r w:rsidR="006048B5">
        <w:rPr>
          <w:rFonts w:ascii="Calibri" w:hAnsi="Calibri" w:cs="Calibri"/>
          <w:sz w:val="22"/>
          <w:szCs w:val="22"/>
        </w:rPr>
        <w:t>)</w:t>
      </w:r>
      <w:r w:rsidR="005946FB" w:rsidRPr="00D9152B">
        <w:rPr>
          <w:rFonts w:ascii="Calibri" w:hAnsi="Calibri" w:cs="Calibri"/>
          <w:sz w:val="22"/>
          <w:szCs w:val="22"/>
        </w:rPr>
        <w:t>.</w:t>
      </w:r>
      <w:r w:rsidR="005946FB" w:rsidRPr="00D9152B">
        <w:rPr>
          <w:rStyle w:val="FootnoteReference"/>
          <w:rFonts w:ascii="Calibri" w:hAnsi="Calibri" w:cs="Calibri"/>
          <w:sz w:val="22"/>
          <w:szCs w:val="22"/>
        </w:rPr>
        <w:footnoteReference w:id="416"/>
      </w:r>
      <w:r w:rsidR="005946FB" w:rsidRPr="00D9152B">
        <w:rPr>
          <w:rFonts w:ascii="Calibri" w:hAnsi="Calibri" w:cs="Calibri"/>
          <w:sz w:val="22"/>
          <w:szCs w:val="22"/>
        </w:rPr>
        <w:t xml:space="preserve"> </w:t>
      </w:r>
    </w:p>
    <w:p w14:paraId="03EE025F" w14:textId="77777777" w:rsidR="00C90019" w:rsidRDefault="005946FB" w:rsidP="00CF189D">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Second, </w:t>
      </w:r>
      <w:r w:rsidR="0079032A" w:rsidRPr="00D9152B">
        <w:rPr>
          <w:rFonts w:ascii="Calibri" w:hAnsi="Calibri" w:cs="Calibri"/>
          <w:sz w:val="22"/>
          <w:szCs w:val="22"/>
        </w:rPr>
        <w:t>the Bank’s count</w:t>
      </w:r>
      <w:r w:rsidR="008E5A08" w:rsidRPr="00D9152B">
        <w:rPr>
          <w:rFonts w:ascii="Calibri" w:hAnsi="Calibri" w:cs="Calibri"/>
          <w:sz w:val="22"/>
          <w:szCs w:val="22"/>
        </w:rPr>
        <w:t>r</w:t>
      </w:r>
      <w:r w:rsidR="0079032A" w:rsidRPr="00D9152B">
        <w:rPr>
          <w:rFonts w:ascii="Calibri" w:hAnsi="Calibri" w:cs="Calibri"/>
          <w:sz w:val="22"/>
          <w:szCs w:val="22"/>
        </w:rPr>
        <w:t>y-based model did not easily allow</w:t>
      </w:r>
      <w:r w:rsidR="008506AB" w:rsidRPr="00D9152B">
        <w:rPr>
          <w:rFonts w:ascii="Calibri" w:hAnsi="Calibri" w:cs="Calibri"/>
          <w:sz w:val="22"/>
          <w:szCs w:val="22"/>
        </w:rPr>
        <w:t xml:space="preserve"> for</w:t>
      </w:r>
      <w:r w:rsidR="0079032A" w:rsidRPr="00D9152B">
        <w:rPr>
          <w:rFonts w:ascii="Calibri" w:hAnsi="Calibri" w:cs="Calibri"/>
          <w:sz w:val="22"/>
          <w:szCs w:val="22"/>
        </w:rPr>
        <w:t xml:space="preserve"> integrated regional funding. Financing from core mechanisms would be extrem</w:t>
      </w:r>
      <w:r w:rsidR="008506AB" w:rsidRPr="00D9152B">
        <w:rPr>
          <w:rFonts w:ascii="Calibri" w:hAnsi="Calibri" w:cs="Calibri"/>
          <w:sz w:val="22"/>
          <w:szCs w:val="22"/>
        </w:rPr>
        <w:t xml:space="preserve">ely complicated, since </w:t>
      </w:r>
      <w:r w:rsidR="008506AB" w:rsidRPr="00D9152B">
        <w:rPr>
          <w:rFonts w:ascii="Calibri" w:hAnsi="Calibri" w:cs="Calibri"/>
          <w:sz w:val="22"/>
          <w:szCs w:val="22"/>
        </w:rPr>
        <w:lastRenderedPageBreak/>
        <w:t xml:space="preserve">it would </w:t>
      </w:r>
      <w:r w:rsidR="0079032A" w:rsidRPr="00D9152B">
        <w:rPr>
          <w:rFonts w:ascii="Calibri" w:hAnsi="Calibri" w:cs="Calibri"/>
          <w:sz w:val="22"/>
          <w:szCs w:val="22"/>
        </w:rPr>
        <w:t>require lending separately to each of the seven OCP participating countries</w:t>
      </w:r>
      <w:r w:rsidR="008506AB" w:rsidRPr="00D9152B">
        <w:rPr>
          <w:rFonts w:ascii="Calibri" w:hAnsi="Calibri" w:cs="Calibri"/>
          <w:sz w:val="22"/>
          <w:szCs w:val="22"/>
        </w:rPr>
        <w:t xml:space="preserve"> and developing a formula for programme cost sharing</w:t>
      </w:r>
      <w:r w:rsidR="0079032A" w:rsidRPr="00D9152B">
        <w:rPr>
          <w:rFonts w:ascii="Calibri" w:hAnsi="Calibri" w:cs="Calibri"/>
          <w:sz w:val="22"/>
          <w:szCs w:val="22"/>
        </w:rPr>
        <w:t xml:space="preserve">. </w:t>
      </w:r>
    </w:p>
    <w:p w14:paraId="72AF2D22" w14:textId="6C1196A8" w:rsidR="008E51E7" w:rsidRPr="00D9152B" w:rsidRDefault="0079032A" w:rsidP="00C90019">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Third, </w:t>
      </w:r>
      <w:r w:rsidR="005946FB" w:rsidRPr="00D9152B">
        <w:rPr>
          <w:rFonts w:ascii="Calibri" w:hAnsi="Calibri" w:cs="Calibri"/>
          <w:sz w:val="22"/>
          <w:szCs w:val="22"/>
        </w:rPr>
        <w:t xml:space="preserve">most of </w:t>
      </w:r>
      <w:r w:rsidRPr="00D9152B">
        <w:rPr>
          <w:rFonts w:ascii="Calibri" w:hAnsi="Calibri" w:cs="Calibri"/>
          <w:sz w:val="22"/>
          <w:szCs w:val="22"/>
        </w:rPr>
        <w:t>the Bank’s</w:t>
      </w:r>
      <w:r w:rsidR="005946FB" w:rsidRPr="00D9152B">
        <w:rPr>
          <w:rFonts w:ascii="Calibri" w:hAnsi="Calibri" w:cs="Calibri"/>
          <w:sz w:val="22"/>
          <w:szCs w:val="22"/>
        </w:rPr>
        <w:t xml:space="preserve"> early social sector </w:t>
      </w:r>
      <w:r w:rsidRPr="00D9152B">
        <w:rPr>
          <w:rFonts w:ascii="Calibri" w:hAnsi="Calibri" w:cs="Calibri"/>
          <w:sz w:val="22"/>
          <w:szCs w:val="22"/>
        </w:rPr>
        <w:t>lending</w:t>
      </w:r>
      <w:r w:rsidR="005946FB" w:rsidRPr="00D9152B">
        <w:rPr>
          <w:rFonts w:ascii="Calibri" w:hAnsi="Calibri" w:cs="Calibri"/>
          <w:sz w:val="22"/>
          <w:szCs w:val="22"/>
        </w:rPr>
        <w:t xml:space="preserve"> was in the East Asia and the Pacific and</w:t>
      </w:r>
      <w:r w:rsidR="009E01B2">
        <w:rPr>
          <w:rFonts w:ascii="Calibri" w:hAnsi="Calibri" w:cs="Calibri"/>
          <w:sz w:val="22"/>
          <w:szCs w:val="22"/>
        </w:rPr>
        <w:t xml:space="preserve"> th</w:t>
      </w:r>
      <w:r w:rsidR="00D60532">
        <w:rPr>
          <w:rFonts w:ascii="Calibri" w:hAnsi="Calibri" w:cs="Calibri"/>
          <w:sz w:val="22"/>
          <w:szCs w:val="22"/>
        </w:rPr>
        <w:t>e</w:t>
      </w:r>
      <w:r w:rsidR="005946FB" w:rsidRPr="00D9152B">
        <w:rPr>
          <w:rFonts w:ascii="Calibri" w:hAnsi="Calibri" w:cs="Calibri"/>
          <w:sz w:val="22"/>
          <w:szCs w:val="22"/>
        </w:rPr>
        <w:t xml:space="preserve"> Latin America and the Caribbean regions, not Africa.</w:t>
      </w:r>
      <w:r w:rsidR="005946FB" w:rsidRPr="00D9152B">
        <w:rPr>
          <w:rStyle w:val="FootnoteReference"/>
          <w:rFonts w:ascii="Calibri" w:hAnsi="Calibri" w:cs="Calibri"/>
          <w:sz w:val="22"/>
          <w:szCs w:val="22"/>
        </w:rPr>
        <w:footnoteReference w:id="417"/>
      </w:r>
      <w:r w:rsidR="00D831F9" w:rsidRPr="00D9152B">
        <w:rPr>
          <w:rFonts w:ascii="Calibri" w:hAnsi="Calibri" w:cs="Calibri"/>
          <w:sz w:val="22"/>
          <w:szCs w:val="22"/>
        </w:rPr>
        <w:t xml:space="preserve"> While the</w:t>
      </w:r>
      <w:r w:rsidR="008E51E7" w:rsidRPr="00D9152B">
        <w:rPr>
          <w:rFonts w:ascii="Calibri" w:hAnsi="Calibri" w:cs="Calibri"/>
          <w:sz w:val="22"/>
          <w:szCs w:val="22"/>
        </w:rPr>
        <w:t xml:space="preserve"> OCP fit the Bank’s interests in increasing lending for rural development projects </w:t>
      </w:r>
      <w:r w:rsidR="00D831F9" w:rsidRPr="00D9152B">
        <w:rPr>
          <w:rFonts w:ascii="Calibri" w:hAnsi="Calibri" w:cs="Calibri"/>
          <w:sz w:val="22"/>
          <w:szCs w:val="22"/>
        </w:rPr>
        <w:t xml:space="preserve">in </w:t>
      </w:r>
      <w:r w:rsidR="00A2292A">
        <w:rPr>
          <w:rFonts w:ascii="Calibri" w:hAnsi="Calibri" w:cs="Calibri"/>
          <w:sz w:val="22"/>
          <w:szCs w:val="22"/>
        </w:rPr>
        <w:t>Sub-Saharan</w:t>
      </w:r>
      <w:r w:rsidR="00D831F9" w:rsidRPr="00D9152B">
        <w:rPr>
          <w:rFonts w:ascii="Calibri" w:hAnsi="Calibri" w:cs="Calibri"/>
          <w:sz w:val="22"/>
          <w:szCs w:val="22"/>
        </w:rPr>
        <w:t xml:space="preserve"> Africa, it had only recently begun to cultivate</w:t>
      </w:r>
      <w:r w:rsidR="00C25150" w:rsidRPr="00D9152B">
        <w:rPr>
          <w:rFonts w:ascii="Calibri" w:hAnsi="Calibri" w:cs="Calibri"/>
          <w:sz w:val="22"/>
          <w:szCs w:val="22"/>
        </w:rPr>
        <w:t xml:space="preserve"> ministerial</w:t>
      </w:r>
      <w:r w:rsidR="00D831F9" w:rsidRPr="00D9152B">
        <w:rPr>
          <w:rFonts w:ascii="Calibri" w:hAnsi="Calibri" w:cs="Calibri"/>
          <w:sz w:val="22"/>
          <w:szCs w:val="22"/>
        </w:rPr>
        <w:t xml:space="preserve"> relationships in West Africa.</w:t>
      </w:r>
    </w:p>
    <w:p w14:paraId="4ABC710E" w14:textId="4B201013" w:rsidR="0079032A" w:rsidRPr="00D9152B" w:rsidRDefault="00CE21D2"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In order to channel investments from donors (including it</w:t>
      </w:r>
      <w:r w:rsidR="0079032A" w:rsidRPr="00D9152B">
        <w:rPr>
          <w:rFonts w:ascii="Calibri" w:hAnsi="Calibri" w:cs="Calibri"/>
          <w:sz w:val="22"/>
          <w:szCs w:val="22"/>
        </w:rPr>
        <w:t>self)</w:t>
      </w:r>
      <w:r w:rsidRPr="00D9152B">
        <w:rPr>
          <w:rFonts w:ascii="Calibri" w:hAnsi="Calibri" w:cs="Calibri"/>
          <w:sz w:val="22"/>
          <w:szCs w:val="22"/>
        </w:rPr>
        <w:t>, the Bank therefore needed to develop a novel financing system</w:t>
      </w:r>
      <w:r w:rsidR="0079032A" w:rsidRPr="00D9152B">
        <w:rPr>
          <w:rFonts w:ascii="Calibri" w:hAnsi="Calibri" w:cs="Calibri"/>
          <w:sz w:val="22"/>
          <w:szCs w:val="22"/>
        </w:rPr>
        <w:t xml:space="preserve"> that would allow it to channel funds from multiple donors at the regional level and leverage its emerging contacts with </w:t>
      </w:r>
      <w:r w:rsidR="009E01B2">
        <w:rPr>
          <w:rFonts w:ascii="Calibri" w:hAnsi="Calibri" w:cs="Calibri"/>
          <w:sz w:val="22"/>
          <w:szCs w:val="22"/>
        </w:rPr>
        <w:t xml:space="preserve">African </w:t>
      </w:r>
      <w:r w:rsidR="0079032A" w:rsidRPr="00D9152B">
        <w:rPr>
          <w:rFonts w:ascii="Calibri" w:hAnsi="Calibri" w:cs="Calibri"/>
          <w:sz w:val="22"/>
          <w:szCs w:val="22"/>
        </w:rPr>
        <w:t xml:space="preserve">ministries of finance and foreign service. An extra-budgetary fund could meet these needs, and would allow the Bank to avoid applying core funding directly to a health project, in line with its policy in the mid-1970s. </w:t>
      </w:r>
    </w:p>
    <w:p w14:paraId="25737F72" w14:textId="2761E324" w:rsidR="00835AFC" w:rsidRPr="00D9152B" w:rsidRDefault="005C637A" w:rsidP="005C7F9F">
      <w:pPr>
        <w:pStyle w:val="Heading3"/>
        <w:spacing w:before="100" w:beforeAutospacing="1" w:after="100" w:afterAutospacing="1" w:line="360" w:lineRule="auto"/>
        <w:rPr>
          <w:rFonts w:ascii="Calibri" w:hAnsi="Calibri" w:cs="Calibri"/>
          <w:b/>
          <w:i/>
          <w:color w:val="000000" w:themeColor="text1"/>
          <w:sz w:val="22"/>
          <w:szCs w:val="22"/>
          <w:lang w:val="en-US"/>
        </w:rPr>
      </w:pPr>
      <w:bookmarkStart w:id="77" w:name="_Toc41505651"/>
      <w:r w:rsidRPr="00D9152B">
        <w:rPr>
          <w:rFonts w:ascii="Calibri" w:hAnsi="Calibri" w:cs="Calibri"/>
          <w:b/>
          <w:i/>
          <w:color w:val="000000" w:themeColor="text1"/>
          <w:sz w:val="22"/>
          <w:szCs w:val="22"/>
          <w:lang w:val="en-US"/>
        </w:rPr>
        <w:t>5.</w:t>
      </w:r>
      <w:r w:rsidR="00D831F9" w:rsidRPr="00D9152B">
        <w:rPr>
          <w:rFonts w:ascii="Calibri" w:hAnsi="Calibri" w:cs="Calibri"/>
          <w:b/>
          <w:i/>
          <w:color w:val="000000" w:themeColor="text1"/>
          <w:sz w:val="22"/>
          <w:szCs w:val="22"/>
          <w:lang w:val="en-US"/>
        </w:rPr>
        <w:t>2.</w:t>
      </w:r>
      <w:r w:rsidR="00B55943" w:rsidRPr="00D9152B">
        <w:rPr>
          <w:rFonts w:ascii="Calibri" w:hAnsi="Calibri" w:cs="Calibri"/>
          <w:b/>
          <w:i/>
          <w:color w:val="000000" w:themeColor="text1"/>
          <w:sz w:val="22"/>
          <w:szCs w:val="22"/>
          <w:lang w:val="en-US"/>
        </w:rPr>
        <w:t>B</w:t>
      </w:r>
      <w:r w:rsidR="002464C2" w:rsidRPr="00D9152B">
        <w:rPr>
          <w:rFonts w:ascii="Calibri" w:hAnsi="Calibri" w:cs="Calibri"/>
          <w:b/>
          <w:i/>
          <w:color w:val="000000" w:themeColor="text1"/>
          <w:sz w:val="22"/>
          <w:szCs w:val="22"/>
          <w:lang w:val="en-US"/>
        </w:rPr>
        <w:t>.</w:t>
      </w:r>
      <w:r w:rsidR="00835AFC" w:rsidRPr="00D9152B">
        <w:rPr>
          <w:rFonts w:ascii="Calibri" w:hAnsi="Calibri" w:cs="Calibri"/>
          <w:b/>
          <w:i/>
          <w:color w:val="000000" w:themeColor="text1"/>
          <w:sz w:val="22"/>
          <w:szCs w:val="22"/>
          <w:lang w:val="en-US"/>
        </w:rPr>
        <w:t xml:space="preserve"> </w:t>
      </w:r>
      <w:r w:rsidR="0079032A" w:rsidRPr="00D9152B">
        <w:rPr>
          <w:rFonts w:ascii="Calibri" w:hAnsi="Calibri" w:cs="Calibri"/>
          <w:b/>
          <w:i/>
          <w:color w:val="000000" w:themeColor="text1"/>
          <w:sz w:val="22"/>
          <w:szCs w:val="22"/>
          <w:lang w:val="en-US"/>
        </w:rPr>
        <w:t>External pressures from sponsoring agencies and donors</w:t>
      </w:r>
      <w:bookmarkEnd w:id="77"/>
    </w:p>
    <w:p w14:paraId="468973D5" w14:textId="34F9ED42" w:rsidR="001C3087" w:rsidRPr="00D9152B" w:rsidRDefault="00AC7848" w:rsidP="005C7F9F">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ab/>
      </w:r>
      <w:r w:rsidR="0079032A" w:rsidRPr="00D9152B">
        <w:rPr>
          <w:rFonts w:ascii="Calibri" w:hAnsi="Calibri" w:cs="Calibri"/>
          <w:sz w:val="22"/>
          <w:szCs w:val="22"/>
        </w:rPr>
        <w:t xml:space="preserve">The other three prospective sponsoring agencies – the </w:t>
      </w:r>
      <w:r w:rsidR="00996DCA" w:rsidRPr="00D9152B">
        <w:rPr>
          <w:rFonts w:ascii="Calibri" w:hAnsi="Calibri" w:cs="Calibri"/>
          <w:sz w:val="22"/>
          <w:szCs w:val="22"/>
        </w:rPr>
        <w:t>United Nations Development Programme (UNDP)</w:t>
      </w:r>
      <w:r w:rsidR="0079032A" w:rsidRPr="00D9152B">
        <w:rPr>
          <w:rFonts w:ascii="Calibri" w:hAnsi="Calibri" w:cs="Calibri"/>
          <w:sz w:val="22"/>
          <w:szCs w:val="22"/>
        </w:rPr>
        <w:t>, WHO, and F</w:t>
      </w:r>
      <w:r w:rsidR="00996DCA" w:rsidRPr="00D9152B">
        <w:rPr>
          <w:rFonts w:ascii="Calibri" w:hAnsi="Calibri" w:cs="Calibri"/>
          <w:sz w:val="22"/>
          <w:szCs w:val="22"/>
        </w:rPr>
        <w:t>ood and Agriculture Organization (F</w:t>
      </w:r>
      <w:r w:rsidR="0079032A" w:rsidRPr="00D9152B">
        <w:rPr>
          <w:rFonts w:ascii="Calibri" w:hAnsi="Calibri" w:cs="Calibri"/>
          <w:sz w:val="22"/>
          <w:szCs w:val="22"/>
        </w:rPr>
        <w:t>AO</w:t>
      </w:r>
      <w:r w:rsidR="00996DCA" w:rsidRPr="00D9152B">
        <w:rPr>
          <w:rFonts w:ascii="Calibri" w:hAnsi="Calibri" w:cs="Calibri"/>
          <w:sz w:val="22"/>
          <w:szCs w:val="22"/>
        </w:rPr>
        <w:t>)</w:t>
      </w:r>
      <w:r w:rsidR="0079032A" w:rsidRPr="00D9152B">
        <w:rPr>
          <w:rFonts w:ascii="Calibri" w:hAnsi="Calibri" w:cs="Calibri"/>
          <w:sz w:val="22"/>
          <w:szCs w:val="22"/>
        </w:rPr>
        <w:t xml:space="preserve"> – similarly believed that regional onchocerciasis control would only be viable</w:t>
      </w:r>
      <w:r w:rsidR="008506AB" w:rsidRPr="00D9152B">
        <w:rPr>
          <w:rFonts w:ascii="Calibri" w:hAnsi="Calibri" w:cs="Calibri"/>
          <w:sz w:val="22"/>
          <w:szCs w:val="22"/>
        </w:rPr>
        <w:t xml:space="preserve"> through</w:t>
      </w:r>
      <w:r w:rsidR="0079032A" w:rsidRPr="00D9152B">
        <w:rPr>
          <w:rFonts w:ascii="Calibri" w:hAnsi="Calibri" w:cs="Calibri"/>
          <w:sz w:val="22"/>
          <w:szCs w:val="22"/>
        </w:rPr>
        <w:t xml:space="preserve"> extra-budgetary aid. </w:t>
      </w:r>
      <w:r w:rsidR="001C3087" w:rsidRPr="00D9152B">
        <w:rPr>
          <w:rFonts w:ascii="Calibri" w:hAnsi="Calibri" w:cs="Calibri"/>
          <w:sz w:val="22"/>
          <w:szCs w:val="22"/>
        </w:rPr>
        <w:t>After attending an inter-agency planning meeting in 1969, for instance, Bank economist John De Wilde reflected that, ‘The view has been repeatedly expressed that some international financial agency should eventually take the leadership in mobilizing multilateral and bilateral resources for financing the project’. De Wilde continued that, ‘If indeed all the parties concerned agree that the Bank should play this role, I believe that the Bank should be prepared to assume this responsibility’.</w:t>
      </w:r>
      <w:r w:rsidR="001C3087" w:rsidRPr="00D9152B">
        <w:rPr>
          <w:rStyle w:val="FootnoteReference"/>
          <w:rFonts w:ascii="Calibri" w:hAnsi="Calibri" w:cs="Calibri"/>
          <w:sz w:val="22"/>
          <w:szCs w:val="22"/>
        </w:rPr>
        <w:footnoteReference w:id="418"/>
      </w:r>
      <w:r w:rsidR="001C3087" w:rsidRPr="00D9152B">
        <w:rPr>
          <w:rFonts w:ascii="Calibri" w:hAnsi="Calibri" w:cs="Calibri"/>
          <w:sz w:val="22"/>
          <w:szCs w:val="22"/>
        </w:rPr>
        <w:t xml:space="preserve"> </w:t>
      </w:r>
    </w:p>
    <w:p w14:paraId="4D4478F3" w14:textId="3960CF37" w:rsidR="001C3087" w:rsidRPr="00D9152B" w:rsidRDefault="00F77057"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However, s</w:t>
      </w:r>
      <w:r w:rsidR="001C3087" w:rsidRPr="00D9152B">
        <w:rPr>
          <w:rFonts w:ascii="Calibri" w:hAnsi="Calibri" w:cs="Calibri"/>
          <w:sz w:val="22"/>
          <w:szCs w:val="22"/>
        </w:rPr>
        <w:t>ponsorin</w:t>
      </w:r>
      <w:r w:rsidR="008506AB" w:rsidRPr="00D9152B">
        <w:rPr>
          <w:rFonts w:ascii="Calibri" w:hAnsi="Calibri" w:cs="Calibri"/>
          <w:sz w:val="22"/>
          <w:szCs w:val="22"/>
        </w:rPr>
        <w:t xml:space="preserve">g agencies and donors did not initially agree </w:t>
      </w:r>
      <w:r w:rsidR="001C3087" w:rsidRPr="00D9152B">
        <w:rPr>
          <w:rFonts w:ascii="Calibri" w:hAnsi="Calibri" w:cs="Calibri"/>
          <w:sz w:val="22"/>
          <w:szCs w:val="22"/>
        </w:rPr>
        <w:t xml:space="preserve">about who should serve as fund custodian. McNamara did not believe that the WHO would be </w:t>
      </w:r>
      <w:r w:rsidR="001C3087" w:rsidRPr="00D9152B">
        <w:rPr>
          <w:rFonts w:ascii="Calibri" w:hAnsi="Calibri" w:cs="Calibri"/>
          <w:sz w:val="22"/>
          <w:szCs w:val="22"/>
        </w:rPr>
        <w:lastRenderedPageBreak/>
        <w:t>capable of serving as a regional custodian, due to its lack of ‘familiarity with even the basic requirements of development financing institutions’.</w:t>
      </w:r>
      <w:r w:rsidR="001C3087" w:rsidRPr="00D9152B">
        <w:rPr>
          <w:rStyle w:val="FootnoteReference"/>
          <w:rFonts w:ascii="Calibri" w:hAnsi="Calibri" w:cs="Calibri"/>
          <w:sz w:val="22"/>
          <w:szCs w:val="22"/>
        </w:rPr>
        <w:footnoteReference w:id="419"/>
      </w:r>
      <w:r w:rsidRPr="00D9152B">
        <w:rPr>
          <w:rFonts w:ascii="Calibri" w:hAnsi="Calibri" w:cs="Calibri"/>
          <w:sz w:val="22"/>
          <w:szCs w:val="22"/>
        </w:rPr>
        <w:t xml:space="preserve"> </w:t>
      </w:r>
      <w:r w:rsidR="00C25150" w:rsidRPr="00D9152B">
        <w:rPr>
          <w:rFonts w:ascii="Calibri" w:hAnsi="Calibri" w:cs="Calibri"/>
          <w:sz w:val="22"/>
          <w:szCs w:val="22"/>
        </w:rPr>
        <w:t>However, h</w:t>
      </w:r>
      <w:r w:rsidR="001C3087" w:rsidRPr="00D9152B">
        <w:rPr>
          <w:rFonts w:ascii="Calibri" w:hAnsi="Calibri" w:cs="Calibri"/>
          <w:sz w:val="22"/>
          <w:szCs w:val="22"/>
        </w:rPr>
        <w:t>is offer of Bank services for this role in 1972 was met with mixed reactions. For instance, some UNDP resident representatives</w:t>
      </w:r>
      <w:r w:rsidR="00AC7848" w:rsidRPr="00D9152B">
        <w:rPr>
          <w:rFonts w:ascii="Calibri" w:hAnsi="Calibri" w:cs="Calibri"/>
          <w:sz w:val="22"/>
          <w:szCs w:val="22"/>
        </w:rPr>
        <w:t xml:space="preserve"> privately expressed hesitation about the ‘suitability of the Bank acting as a custodian of an international fund’ because </w:t>
      </w:r>
      <w:r w:rsidR="00A81C13" w:rsidRPr="00D9152B">
        <w:rPr>
          <w:rFonts w:ascii="Calibri" w:hAnsi="Calibri" w:cs="Calibri"/>
          <w:sz w:val="22"/>
          <w:szCs w:val="22"/>
        </w:rPr>
        <w:t>they felt that the Bank had not established relationships of trust in West Africa.</w:t>
      </w:r>
      <w:r w:rsidR="00AC7848" w:rsidRPr="00D9152B">
        <w:rPr>
          <w:rStyle w:val="FootnoteReference"/>
          <w:rFonts w:ascii="Calibri" w:hAnsi="Calibri" w:cs="Calibri"/>
          <w:sz w:val="22"/>
          <w:szCs w:val="22"/>
        </w:rPr>
        <w:footnoteReference w:id="420"/>
      </w:r>
      <w:r w:rsidR="00AC7848" w:rsidRPr="00D9152B">
        <w:rPr>
          <w:rFonts w:ascii="Calibri" w:hAnsi="Calibri" w:cs="Calibri"/>
          <w:sz w:val="22"/>
          <w:szCs w:val="22"/>
        </w:rPr>
        <w:t xml:space="preserve"> </w:t>
      </w:r>
      <w:r w:rsidR="001C3087" w:rsidRPr="00D9152B">
        <w:rPr>
          <w:rFonts w:ascii="Calibri" w:hAnsi="Calibri" w:cs="Calibri"/>
          <w:sz w:val="22"/>
          <w:szCs w:val="22"/>
        </w:rPr>
        <w:t xml:space="preserve">At </w:t>
      </w:r>
      <w:r w:rsidR="00996DCA" w:rsidRPr="00D9152B">
        <w:rPr>
          <w:rFonts w:ascii="Calibri" w:hAnsi="Calibri" w:cs="Calibri"/>
          <w:sz w:val="22"/>
          <w:szCs w:val="22"/>
        </w:rPr>
        <w:t>a Bank</w:t>
      </w:r>
      <w:r w:rsidR="001C3087" w:rsidRPr="00D9152B">
        <w:rPr>
          <w:rFonts w:ascii="Calibri" w:hAnsi="Calibri" w:cs="Calibri"/>
          <w:sz w:val="22"/>
          <w:szCs w:val="22"/>
        </w:rPr>
        <w:t xml:space="preserve"> board meeting, the Executive Directors representing Nordic countries also stated that they were ‘in principle opposed to the creation of new specialized funds since these made it increasingly difficult to plan and provide assistance’ in a way ‘which established overall priorities’. These donors were </w:t>
      </w:r>
      <w:r w:rsidR="008506AB" w:rsidRPr="00D9152B">
        <w:rPr>
          <w:rFonts w:ascii="Calibri" w:hAnsi="Calibri" w:cs="Calibri"/>
          <w:sz w:val="22"/>
          <w:szCs w:val="22"/>
        </w:rPr>
        <w:t xml:space="preserve">then </w:t>
      </w:r>
      <w:r w:rsidR="001C3087" w:rsidRPr="00D9152B">
        <w:rPr>
          <w:rFonts w:ascii="Calibri" w:hAnsi="Calibri" w:cs="Calibri"/>
          <w:sz w:val="22"/>
          <w:szCs w:val="22"/>
        </w:rPr>
        <w:t>opposed to creating new disease-specific organizations with their own governance (and finance) structures, like the future</w:t>
      </w:r>
      <w:r w:rsidR="00996DCA" w:rsidRPr="00D9152B">
        <w:rPr>
          <w:rFonts w:ascii="Calibri" w:hAnsi="Calibri" w:cs="Calibri"/>
          <w:sz w:val="22"/>
          <w:szCs w:val="22"/>
        </w:rPr>
        <w:t xml:space="preserve"> Joint United Nations Programme on HIV/AIDS</w:t>
      </w:r>
      <w:r w:rsidR="001C3087" w:rsidRPr="00D9152B">
        <w:rPr>
          <w:rFonts w:ascii="Calibri" w:hAnsi="Calibri" w:cs="Calibri"/>
          <w:sz w:val="22"/>
          <w:szCs w:val="22"/>
        </w:rPr>
        <w:t xml:space="preserve"> </w:t>
      </w:r>
      <w:r w:rsidR="00996DCA" w:rsidRPr="00D9152B">
        <w:rPr>
          <w:rFonts w:ascii="Calibri" w:hAnsi="Calibri" w:cs="Calibri"/>
          <w:sz w:val="22"/>
          <w:szCs w:val="22"/>
        </w:rPr>
        <w:t>(</w:t>
      </w:r>
      <w:r w:rsidR="001C3087" w:rsidRPr="00D9152B">
        <w:rPr>
          <w:rFonts w:ascii="Calibri" w:hAnsi="Calibri" w:cs="Calibri"/>
          <w:sz w:val="22"/>
          <w:szCs w:val="22"/>
        </w:rPr>
        <w:t>UNAIDS</w:t>
      </w:r>
      <w:r w:rsidR="00996DCA" w:rsidRPr="00D9152B">
        <w:rPr>
          <w:rFonts w:ascii="Calibri" w:hAnsi="Calibri" w:cs="Calibri"/>
          <w:sz w:val="22"/>
          <w:szCs w:val="22"/>
        </w:rPr>
        <w:t>)</w:t>
      </w:r>
      <w:r w:rsidR="001C3087" w:rsidRPr="00D9152B">
        <w:rPr>
          <w:rFonts w:ascii="Calibri" w:hAnsi="Calibri" w:cs="Calibri"/>
          <w:sz w:val="22"/>
          <w:szCs w:val="22"/>
        </w:rPr>
        <w:t xml:space="preserve"> and Global Fund. The Scandinavian countries further ‘questioned whether the Bank should be taking the lead in a scheme’, given that technical assistance for health fell within the WHO and UNDP’s purview.</w:t>
      </w:r>
      <w:r w:rsidR="001C3087" w:rsidRPr="00D9152B">
        <w:rPr>
          <w:rStyle w:val="FootnoteReference"/>
          <w:rFonts w:ascii="Calibri" w:hAnsi="Calibri" w:cs="Calibri"/>
          <w:sz w:val="22"/>
          <w:szCs w:val="22"/>
        </w:rPr>
        <w:footnoteReference w:id="421"/>
      </w:r>
      <w:r w:rsidR="001C3087" w:rsidRPr="00D9152B">
        <w:rPr>
          <w:rFonts w:ascii="Calibri" w:hAnsi="Calibri" w:cs="Calibri"/>
          <w:sz w:val="22"/>
          <w:szCs w:val="22"/>
        </w:rPr>
        <w:t xml:space="preserve"> </w:t>
      </w:r>
    </w:p>
    <w:p w14:paraId="6FF6254E" w14:textId="77722CA1" w:rsidR="00F77057" w:rsidRPr="00D9152B" w:rsidRDefault="00F77057"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Two major factors contributed to sponsoring agencies and donors ultimately embracing the Bank’s role as fiscal guardian. First, the Bank was viewed as having budgetary prowess and as being relati</w:t>
      </w:r>
      <w:r w:rsidR="008506AB" w:rsidRPr="00D9152B">
        <w:rPr>
          <w:rFonts w:ascii="Calibri" w:hAnsi="Calibri" w:cs="Calibri"/>
          <w:sz w:val="22"/>
          <w:szCs w:val="22"/>
        </w:rPr>
        <w:t>vely politically neutral. S</w:t>
      </w:r>
      <w:r w:rsidRPr="00D9152B">
        <w:rPr>
          <w:rFonts w:ascii="Calibri" w:hAnsi="Calibri" w:cs="Calibri"/>
          <w:sz w:val="22"/>
          <w:szCs w:val="22"/>
        </w:rPr>
        <w:t>econd, the Bank’s fundraising experience and donor contact network allowed it to cultivate</w:t>
      </w:r>
      <w:r w:rsidR="00C25150" w:rsidRPr="00D9152B">
        <w:rPr>
          <w:rFonts w:ascii="Calibri" w:hAnsi="Calibri" w:cs="Calibri"/>
          <w:sz w:val="22"/>
          <w:szCs w:val="22"/>
        </w:rPr>
        <w:t xml:space="preserve"> and ultimately enlist</w:t>
      </w:r>
      <w:r w:rsidRPr="00D9152B">
        <w:rPr>
          <w:rFonts w:ascii="Calibri" w:hAnsi="Calibri" w:cs="Calibri"/>
          <w:sz w:val="22"/>
          <w:szCs w:val="22"/>
        </w:rPr>
        <w:t xml:space="preserve"> donors through push and pull mechanisms. </w:t>
      </w:r>
    </w:p>
    <w:p w14:paraId="5AAFC5FC" w14:textId="498F8E3A" w:rsidR="00CC687C" w:rsidRPr="00D9152B" w:rsidRDefault="00CC687C"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Representatives of the WHO and FAO on the Steering Committee, A. Bellerive and T.S.B. Aribisala,</w:t>
      </w:r>
      <w:r w:rsidR="00E25D8A">
        <w:rPr>
          <w:rFonts w:ascii="Calibri" w:hAnsi="Calibri" w:cs="Calibri"/>
          <w:sz w:val="22"/>
          <w:szCs w:val="22"/>
        </w:rPr>
        <w:t xml:space="preserve"> respectively,</w:t>
      </w:r>
      <w:r w:rsidRPr="00D9152B">
        <w:rPr>
          <w:rFonts w:ascii="Calibri" w:hAnsi="Calibri" w:cs="Calibri"/>
          <w:sz w:val="22"/>
          <w:szCs w:val="22"/>
        </w:rPr>
        <w:t xml:space="preserve"> believed that ‘IBRD</w:t>
      </w:r>
      <w:r w:rsidR="00E25D8A">
        <w:rPr>
          <w:rFonts w:ascii="Calibri" w:hAnsi="Calibri" w:cs="Calibri"/>
          <w:sz w:val="22"/>
          <w:szCs w:val="22"/>
        </w:rPr>
        <w:t xml:space="preserve"> [the International Bank for Reconstruction and Development]</w:t>
      </w:r>
      <w:r w:rsidRPr="00D9152B">
        <w:rPr>
          <w:rFonts w:ascii="Calibri" w:hAnsi="Calibri" w:cs="Calibri"/>
          <w:sz w:val="22"/>
          <w:szCs w:val="22"/>
        </w:rPr>
        <w:t xml:space="preserve"> and UNDP were the more competent organizations in matters pertaining to the study of methods of financing projects and to money-making for the particular funding of the onchocerciasis control campaign’.</w:t>
      </w:r>
      <w:r w:rsidRPr="00D9152B">
        <w:rPr>
          <w:rStyle w:val="FootnoteReference"/>
          <w:rFonts w:ascii="Calibri" w:hAnsi="Calibri" w:cs="Calibri"/>
          <w:sz w:val="22"/>
          <w:szCs w:val="22"/>
        </w:rPr>
        <w:footnoteReference w:id="422"/>
      </w:r>
      <w:r w:rsidRPr="00D9152B">
        <w:rPr>
          <w:rFonts w:ascii="Calibri" w:hAnsi="Calibri" w:cs="Calibri"/>
          <w:sz w:val="22"/>
          <w:szCs w:val="22"/>
        </w:rPr>
        <w:t xml:space="preserve"> The UNDP </w:t>
      </w:r>
      <w:r w:rsidR="00C25150" w:rsidRPr="00D9152B">
        <w:rPr>
          <w:rFonts w:ascii="Calibri" w:hAnsi="Calibri" w:cs="Calibri"/>
          <w:sz w:val="22"/>
          <w:szCs w:val="22"/>
        </w:rPr>
        <w:t xml:space="preserve">also </w:t>
      </w:r>
      <w:r w:rsidRPr="00D9152B">
        <w:rPr>
          <w:rFonts w:ascii="Calibri" w:hAnsi="Calibri" w:cs="Calibri"/>
          <w:sz w:val="22"/>
          <w:szCs w:val="22"/>
        </w:rPr>
        <w:t xml:space="preserve">recognized that the Bank had recently been able to channel a </w:t>
      </w:r>
      <w:r w:rsidR="00C25150" w:rsidRPr="00D9152B">
        <w:rPr>
          <w:rFonts w:ascii="Calibri" w:hAnsi="Calibri" w:cs="Calibri"/>
          <w:sz w:val="22"/>
          <w:szCs w:val="22"/>
        </w:rPr>
        <w:t>large</w:t>
      </w:r>
      <w:r w:rsidRPr="00D9152B">
        <w:rPr>
          <w:rFonts w:ascii="Calibri" w:hAnsi="Calibri" w:cs="Calibri"/>
          <w:sz w:val="22"/>
          <w:szCs w:val="22"/>
        </w:rPr>
        <w:t xml:space="preserve"> ($40 million) credit from China to Togo. This offered ‘the prospect of new kinds of approaches and sources of </w:t>
      </w:r>
      <w:r w:rsidRPr="00D9152B">
        <w:rPr>
          <w:rFonts w:ascii="Calibri" w:hAnsi="Calibri" w:cs="Calibri"/>
          <w:sz w:val="22"/>
          <w:szCs w:val="22"/>
        </w:rPr>
        <w:lastRenderedPageBreak/>
        <w:t>finance for major programmes’,</w:t>
      </w:r>
      <w:r w:rsidRPr="00D9152B">
        <w:rPr>
          <w:rStyle w:val="FootnoteReference"/>
          <w:rFonts w:ascii="Calibri" w:hAnsi="Calibri" w:cs="Calibri"/>
          <w:sz w:val="22"/>
          <w:szCs w:val="22"/>
        </w:rPr>
        <w:footnoteReference w:id="423"/>
      </w:r>
      <w:r w:rsidRPr="00D9152B">
        <w:rPr>
          <w:rFonts w:ascii="Calibri" w:hAnsi="Calibri" w:cs="Calibri"/>
          <w:sz w:val="22"/>
          <w:szCs w:val="22"/>
        </w:rPr>
        <w:t xml:space="preserve"> and encouraged the UNDP to agree to the Bank’s fiscal guardianship (even if some resident representatives </w:t>
      </w:r>
      <w:r w:rsidR="00C25150" w:rsidRPr="00D9152B">
        <w:rPr>
          <w:rFonts w:ascii="Calibri" w:hAnsi="Calibri" w:cs="Calibri"/>
          <w:sz w:val="22"/>
          <w:szCs w:val="22"/>
        </w:rPr>
        <w:t xml:space="preserve">were not in </w:t>
      </w:r>
      <w:r w:rsidR="008506AB" w:rsidRPr="00D9152B">
        <w:rPr>
          <w:rFonts w:ascii="Calibri" w:hAnsi="Calibri" w:cs="Calibri"/>
          <w:sz w:val="22"/>
          <w:szCs w:val="22"/>
        </w:rPr>
        <w:t>favour</w:t>
      </w:r>
      <w:r w:rsidRPr="00D9152B">
        <w:rPr>
          <w:rFonts w:ascii="Calibri" w:hAnsi="Calibri" w:cs="Calibri"/>
          <w:sz w:val="22"/>
          <w:szCs w:val="22"/>
        </w:rPr>
        <w:t xml:space="preserve">). </w:t>
      </w:r>
    </w:p>
    <w:p w14:paraId="60D1B5A0" w14:textId="5DFB7E45" w:rsidR="00F77057" w:rsidRPr="00D9152B" w:rsidRDefault="00CC687C"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Some Bank Executive Directors, including those representing</w:t>
      </w:r>
      <w:r w:rsidR="008506AB" w:rsidRPr="00D9152B">
        <w:rPr>
          <w:rFonts w:ascii="Calibri" w:hAnsi="Calibri" w:cs="Calibri"/>
          <w:sz w:val="22"/>
          <w:szCs w:val="22"/>
        </w:rPr>
        <w:t xml:space="preserve"> three major development assistance donors – </w:t>
      </w:r>
      <w:r w:rsidRPr="00D9152B">
        <w:rPr>
          <w:rFonts w:ascii="Calibri" w:hAnsi="Calibri" w:cs="Calibri"/>
          <w:sz w:val="22"/>
          <w:szCs w:val="22"/>
        </w:rPr>
        <w:t>France, the Uni</w:t>
      </w:r>
      <w:r w:rsidR="008506AB" w:rsidRPr="00D9152B">
        <w:rPr>
          <w:rFonts w:ascii="Calibri" w:hAnsi="Calibri" w:cs="Calibri"/>
          <w:sz w:val="22"/>
          <w:szCs w:val="22"/>
        </w:rPr>
        <w:t>ted States, and the Netherlands –</w:t>
      </w:r>
      <w:r w:rsidRPr="00D9152B">
        <w:rPr>
          <w:rFonts w:ascii="Calibri" w:hAnsi="Calibri" w:cs="Calibri"/>
          <w:sz w:val="22"/>
          <w:szCs w:val="22"/>
        </w:rPr>
        <w:t xml:space="preserve"> also agreed to the Bank’s guardianship</w:t>
      </w:r>
      <w:r w:rsidR="00F77057" w:rsidRPr="00D9152B">
        <w:rPr>
          <w:rFonts w:ascii="Calibri" w:hAnsi="Calibri" w:cs="Calibri"/>
          <w:sz w:val="22"/>
          <w:szCs w:val="22"/>
        </w:rPr>
        <w:t>.</w:t>
      </w:r>
      <w:r w:rsidR="00F77057" w:rsidRPr="00D9152B">
        <w:rPr>
          <w:rStyle w:val="FootnoteReference"/>
          <w:rFonts w:ascii="Calibri" w:hAnsi="Calibri" w:cs="Calibri"/>
          <w:sz w:val="22"/>
          <w:szCs w:val="22"/>
        </w:rPr>
        <w:footnoteReference w:id="424"/>
      </w:r>
      <w:r w:rsidR="00F77057" w:rsidRPr="00D9152B">
        <w:rPr>
          <w:rFonts w:ascii="Calibri" w:hAnsi="Calibri" w:cs="Calibri"/>
          <w:sz w:val="22"/>
          <w:szCs w:val="22"/>
        </w:rPr>
        <w:t xml:space="preserve"> They viewed the Bank as more independent of political interference than the WHO,</w:t>
      </w:r>
      <w:r w:rsidR="00F77057" w:rsidRPr="00D9152B">
        <w:rPr>
          <w:rStyle w:val="FootnoteReference"/>
          <w:rFonts w:ascii="Calibri" w:hAnsi="Calibri" w:cs="Calibri"/>
          <w:sz w:val="22"/>
          <w:szCs w:val="22"/>
        </w:rPr>
        <w:footnoteReference w:id="425"/>
      </w:r>
      <w:r w:rsidR="00F77057" w:rsidRPr="00D9152B">
        <w:rPr>
          <w:rFonts w:ascii="Calibri" w:hAnsi="Calibri" w:cs="Calibri"/>
          <w:sz w:val="22"/>
          <w:szCs w:val="22"/>
        </w:rPr>
        <w:t xml:space="preserve"> and suggested that the Bank would be a safer investor in terms of fiscal managerial arrangements and auditing.</w:t>
      </w:r>
      <w:r w:rsidR="00F77057" w:rsidRPr="00D9152B">
        <w:rPr>
          <w:rStyle w:val="FootnoteReference"/>
          <w:rFonts w:ascii="Calibri" w:hAnsi="Calibri" w:cs="Calibri"/>
          <w:sz w:val="22"/>
          <w:szCs w:val="22"/>
        </w:rPr>
        <w:footnoteReference w:id="426"/>
      </w:r>
      <w:r w:rsidR="00F77057" w:rsidRPr="00D9152B">
        <w:rPr>
          <w:rFonts w:ascii="Calibri" w:hAnsi="Calibri" w:cs="Calibri"/>
          <w:sz w:val="22"/>
          <w:szCs w:val="22"/>
        </w:rPr>
        <w:t xml:space="preserve"> </w:t>
      </w:r>
      <w:r w:rsidRPr="00D9152B">
        <w:rPr>
          <w:rFonts w:ascii="Calibri" w:hAnsi="Calibri" w:cs="Calibri"/>
          <w:sz w:val="22"/>
          <w:szCs w:val="22"/>
        </w:rPr>
        <w:t xml:space="preserve"> </w:t>
      </w:r>
    </w:p>
    <w:p w14:paraId="470EB3E7" w14:textId="6964EF24" w:rsidR="00CC687C" w:rsidRPr="00D9152B" w:rsidRDefault="00F77057" w:rsidP="005C7F9F">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ab/>
      </w:r>
      <w:r w:rsidR="00CC687C" w:rsidRPr="00D9152B">
        <w:rPr>
          <w:rFonts w:ascii="Calibri" w:hAnsi="Calibri" w:cs="Calibri"/>
          <w:sz w:val="22"/>
          <w:szCs w:val="22"/>
        </w:rPr>
        <w:t>The support of a highly mo</w:t>
      </w:r>
      <w:r w:rsidR="008506AB" w:rsidRPr="00D9152B">
        <w:rPr>
          <w:rFonts w:ascii="Calibri" w:hAnsi="Calibri" w:cs="Calibri"/>
          <w:sz w:val="22"/>
          <w:szCs w:val="22"/>
        </w:rPr>
        <w:t>tivated and influential leader, Robert McNamara,</w:t>
      </w:r>
      <w:r w:rsidR="00CC687C" w:rsidRPr="00D9152B">
        <w:rPr>
          <w:rFonts w:ascii="Calibri" w:hAnsi="Calibri" w:cs="Calibri"/>
          <w:sz w:val="22"/>
          <w:szCs w:val="22"/>
        </w:rPr>
        <w:t xml:space="preserve"> further helped to rally support behind the Bank’s guardianship. McNamara leveraged the Bank’s existing financial contacts to key donors, </w:t>
      </w:r>
      <w:r w:rsidR="00C25150" w:rsidRPr="00D9152B">
        <w:rPr>
          <w:rFonts w:ascii="Calibri" w:hAnsi="Calibri" w:cs="Calibri"/>
          <w:sz w:val="22"/>
          <w:szCs w:val="22"/>
        </w:rPr>
        <w:t>and had E.</w:t>
      </w:r>
      <w:r w:rsidR="00CC687C" w:rsidRPr="00D9152B">
        <w:rPr>
          <w:rFonts w:ascii="Calibri" w:hAnsi="Calibri" w:cs="Calibri"/>
          <w:sz w:val="22"/>
          <w:szCs w:val="22"/>
        </w:rPr>
        <w:t xml:space="preserve"> Peter Wright, </w:t>
      </w:r>
      <w:r w:rsidR="00E25D8A">
        <w:rPr>
          <w:rFonts w:ascii="Calibri" w:hAnsi="Calibri" w:cs="Calibri"/>
          <w:sz w:val="22"/>
          <w:szCs w:val="22"/>
        </w:rPr>
        <w:t>IBRD’s</w:t>
      </w:r>
      <w:r w:rsidR="00CC687C" w:rsidRPr="00D9152B">
        <w:rPr>
          <w:rFonts w:ascii="Calibri" w:hAnsi="Calibri" w:cs="Calibri"/>
          <w:sz w:val="22"/>
          <w:szCs w:val="22"/>
        </w:rPr>
        <w:t xml:space="preserve"> Program Director for Western Africa, meet extensively with donors. By selling the programme</w:t>
      </w:r>
      <w:r w:rsidR="00C25150" w:rsidRPr="00D9152B">
        <w:rPr>
          <w:rFonts w:ascii="Calibri" w:hAnsi="Calibri" w:cs="Calibri"/>
          <w:sz w:val="22"/>
          <w:szCs w:val="22"/>
        </w:rPr>
        <w:t>’</w:t>
      </w:r>
      <w:r w:rsidR="00CC687C" w:rsidRPr="00D9152B">
        <w:rPr>
          <w:rFonts w:ascii="Calibri" w:hAnsi="Calibri" w:cs="Calibri"/>
          <w:sz w:val="22"/>
          <w:szCs w:val="22"/>
        </w:rPr>
        <w:t xml:space="preserve">s benefits to donors already interested, and applying collective pressure to those who were less interested, Wright showcased the regional fundraising capability of the Bank. </w:t>
      </w:r>
    </w:p>
    <w:p w14:paraId="01F03C08" w14:textId="7D52CEAC" w:rsidR="00F77057" w:rsidRPr="00D9152B" w:rsidRDefault="00B72207"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An extended example of the</w:t>
      </w:r>
      <w:r w:rsidR="00F77057" w:rsidRPr="00D9152B">
        <w:rPr>
          <w:rFonts w:ascii="Calibri" w:hAnsi="Calibri" w:cs="Calibri"/>
          <w:sz w:val="22"/>
          <w:szCs w:val="22"/>
        </w:rPr>
        <w:t xml:space="preserve"> United Kingdom</w:t>
      </w:r>
      <w:r w:rsidR="00D05247" w:rsidRPr="00D9152B">
        <w:rPr>
          <w:rFonts w:ascii="Calibri" w:hAnsi="Calibri" w:cs="Calibri"/>
          <w:sz w:val="22"/>
          <w:szCs w:val="22"/>
        </w:rPr>
        <w:t xml:space="preserve"> (UK)</w:t>
      </w:r>
      <w:r w:rsidR="00F77057" w:rsidRPr="00D9152B">
        <w:rPr>
          <w:rFonts w:ascii="Calibri" w:hAnsi="Calibri" w:cs="Calibri"/>
          <w:sz w:val="22"/>
          <w:szCs w:val="22"/>
        </w:rPr>
        <w:t>’s internal calculations about signing-on to the Onchocerciasis Fund demonstrate</w:t>
      </w:r>
      <w:r w:rsidRPr="00D9152B">
        <w:rPr>
          <w:rFonts w:ascii="Calibri" w:hAnsi="Calibri" w:cs="Calibri"/>
          <w:sz w:val="22"/>
          <w:szCs w:val="22"/>
        </w:rPr>
        <w:t>s</w:t>
      </w:r>
      <w:r w:rsidR="00F77057" w:rsidRPr="00D9152B">
        <w:rPr>
          <w:rFonts w:ascii="Calibri" w:hAnsi="Calibri" w:cs="Calibri"/>
          <w:sz w:val="22"/>
          <w:szCs w:val="22"/>
        </w:rPr>
        <w:t xml:space="preserve"> how </w:t>
      </w:r>
      <w:r w:rsidR="00D05247" w:rsidRPr="00D9152B">
        <w:rPr>
          <w:rFonts w:ascii="Calibri" w:hAnsi="Calibri" w:cs="Calibri"/>
          <w:sz w:val="22"/>
          <w:szCs w:val="22"/>
        </w:rPr>
        <w:t>this ‘push’ – coupled with</w:t>
      </w:r>
      <w:r w:rsidR="00F77057" w:rsidRPr="00D9152B">
        <w:rPr>
          <w:rFonts w:ascii="Calibri" w:hAnsi="Calibri" w:cs="Calibri"/>
          <w:sz w:val="22"/>
          <w:szCs w:val="22"/>
        </w:rPr>
        <w:t xml:space="preserve"> </w:t>
      </w:r>
      <w:r w:rsidR="00D05247" w:rsidRPr="00D9152B">
        <w:rPr>
          <w:rFonts w:ascii="Calibri" w:hAnsi="Calibri" w:cs="Calibri"/>
          <w:sz w:val="22"/>
          <w:szCs w:val="22"/>
        </w:rPr>
        <w:t xml:space="preserve">the ‘pull’ of </w:t>
      </w:r>
      <w:r w:rsidR="00F77057" w:rsidRPr="00D9152B">
        <w:rPr>
          <w:rFonts w:ascii="Calibri" w:hAnsi="Calibri" w:cs="Calibri"/>
          <w:sz w:val="22"/>
          <w:szCs w:val="22"/>
        </w:rPr>
        <w:t>a</w:t>
      </w:r>
      <w:r w:rsidR="00D05247" w:rsidRPr="00D9152B">
        <w:rPr>
          <w:rFonts w:ascii="Calibri" w:hAnsi="Calibri" w:cs="Calibri"/>
          <w:sz w:val="22"/>
          <w:szCs w:val="22"/>
        </w:rPr>
        <w:t xml:space="preserve"> proposed</w:t>
      </w:r>
      <w:r w:rsidRPr="00D9152B">
        <w:rPr>
          <w:rFonts w:ascii="Calibri" w:hAnsi="Calibri" w:cs="Calibri"/>
          <w:sz w:val="22"/>
          <w:szCs w:val="22"/>
        </w:rPr>
        <w:t xml:space="preserve"> financing system that c</w:t>
      </w:r>
      <w:r w:rsidR="00F77057" w:rsidRPr="00D9152B">
        <w:rPr>
          <w:rFonts w:ascii="Calibri" w:hAnsi="Calibri" w:cs="Calibri"/>
          <w:sz w:val="22"/>
          <w:szCs w:val="22"/>
        </w:rPr>
        <w:t xml:space="preserve">ould offer donors increased leverage (compared to the traditional core financing systems of the WHO and Bank) </w:t>
      </w:r>
      <w:r w:rsidR="00D05247" w:rsidRPr="00D9152B">
        <w:rPr>
          <w:rFonts w:ascii="Calibri" w:hAnsi="Calibri" w:cs="Calibri"/>
          <w:sz w:val="22"/>
          <w:szCs w:val="22"/>
        </w:rPr>
        <w:t xml:space="preserve">– made the OCP attractive to major donors. </w:t>
      </w:r>
      <w:r w:rsidR="00F77057" w:rsidRPr="00D9152B">
        <w:rPr>
          <w:rFonts w:ascii="Calibri" w:hAnsi="Calibri" w:cs="Calibri"/>
          <w:sz w:val="22"/>
          <w:szCs w:val="22"/>
        </w:rPr>
        <w:t xml:space="preserve">Initially, the UK’s Office of Development Assistance (ODA) had little interest in the programme because only Ghana was a former British colony and area of traditional British interest. Furthermore, it viewed onchocerciasis as a lower regional priority than drought </w:t>
      </w:r>
      <w:r w:rsidR="00C25150" w:rsidRPr="00D9152B">
        <w:rPr>
          <w:rFonts w:ascii="Calibri" w:hAnsi="Calibri" w:cs="Calibri"/>
          <w:sz w:val="22"/>
          <w:szCs w:val="22"/>
        </w:rPr>
        <w:t>relief, aid to Uganda, and</w:t>
      </w:r>
      <w:r w:rsidR="00F77057" w:rsidRPr="00D9152B">
        <w:rPr>
          <w:rFonts w:ascii="Calibri" w:hAnsi="Calibri" w:cs="Calibri"/>
          <w:sz w:val="22"/>
          <w:szCs w:val="22"/>
        </w:rPr>
        <w:t xml:space="preserve"> the control of bilharzia (schistosomiasis).</w:t>
      </w:r>
      <w:r w:rsidR="00F77057" w:rsidRPr="00D9152B">
        <w:rPr>
          <w:rStyle w:val="FootnoteReference"/>
          <w:rFonts w:ascii="Calibri" w:hAnsi="Calibri" w:cs="Calibri"/>
          <w:sz w:val="22"/>
          <w:szCs w:val="22"/>
        </w:rPr>
        <w:footnoteReference w:id="427"/>
      </w:r>
      <w:r w:rsidR="00F77057" w:rsidRPr="00D9152B">
        <w:rPr>
          <w:rFonts w:ascii="Calibri" w:hAnsi="Calibri" w:cs="Calibri"/>
          <w:sz w:val="22"/>
          <w:szCs w:val="22"/>
        </w:rPr>
        <w:t xml:space="preserve"> However, this attitude changed when the </w:t>
      </w:r>
      <w:r w:rsidR="00E66876" w:rsidRPr="00D9152B">
        <w:rPr>
          <w:rFonts w:ascii="Calibri" w:hAnsi="Calibri" w:cs="Calibri"/>
          <w:sz w:val="22"/>
          <w:szCs w:val="22"/>
        </w:rPr>
        <w:t>Office of Development Assistance</w:t>
      </w:r>
      <w:r w:rsidR="00F77057" w:rsidRPr="00D9152B">
        <w:rPr>
          <w:rFonts w:ascii="Calibri" w:hAnsi="Calibri" w:cs="Calibri"/>
          <w:sz w:val="22"/>
          <w:szCs w:val="22"/>
        </w:rPr>
        <w:t xml:space="preserve"> realised that they would ‘not be able to escape the subject’</w:t>
      </w:r>
      <w:r w:rsidR="00D05247" w:rsidRPr="00D9152B">
        <w:rPr>
          <w:rFonts w:ascii="Calibri" w:hAnsi="Calibri" w:cs="Calibri"/>
          <w:sz w:val="22"/>
          <w:szCs w:val="22"/>
        </w:rPr>
        <w:t xml:space="preserve"> of the OCP</w:t>
      </w:r>
      <w:r w:rsidR="00F77057" w:rsidRPr="00D9152B">
        <w:rPr>
          <w:rFonts w:ascii="Calibri" w:hAnsi="Calibri" w:cs="Calibri"/>
          <w:sz w:val="22"/>
          <w:szCs w:val="22"/>
        </w:rPr>
        <w:t xml:space="preserve">. Together, the Bank and WHO had enough contact points with </w:t>
      </w:r>
      <w:r w:rsidRPr="00D9152B">
        <w:rPr>
          <w:rFonts w:ascii="Calibri" w:hAnsi="Calibri" w:cs="Calibri"/>
          <w:sz w:val="22"/>
          <w:szCs w:val="22"/>
        </w:rPr>
        <w:t>British aid</w:t>
      </w:r>
      <w:r w:rsidR="00F77057" w:rsidRPr="00D9152B">
        <w:rPr>
          <w:rFonts w:ascii="Calibri" w:hAnsi="Calibri" w:cs="Calibri"/>
          <w:sz w:val="22"/>
          <w:szCs w:val="22"/>
        </w:rPr>
        <w:t xml:space="preserve"> representatives </w:t>
      </w:r>
      <w:r w:rsidR="00F77057" w:rsidRPr="00D9152B">
        <w:rPr>
          <w:rFonts w:ascii="Calibri" w:hAnsi="Calibri" w:cs="Calibri"/>
          <w:sz w:val="22"/>
          <w:szCs w:val="22"/>
        </w:rPr>
        <w:lastRenderedPageBreak/>
        <w:t>that they could force discussion on the issue.</w:t>
      </w:r>
      <w:r w:rsidR="00F77057" w:rsidRPr="00D9152B">
        <w:rPr>
          <w:rStyle w:val="FootnoteReference"/>
          <w:rFonts w:ascii="Calibri" w:hAnsi="Calibri" w:cs="Calibri"/>
          <w:sz w:val="22"/>
          <w:szCs w:val="22"/>
        </w:rPr>
        <w:footnoteReference w:id="428"/>
      </w:r>
      <w:r w:rsidR="00F77057" w:rsidRPr="00D9152B">
        <w:rPr>
          <w:rFonts w:ascii="Calibri" w:hAnsi="Calibri" w:cs="Calibri"/>
          <w:sz w:val="22"/>
          <w:szCs w:val="22"/>
        </w:rPr>
        <w:t xml:space="preserve"> </w:t>
      </w:r>
      <w:r w:rsidR="00D05247" w:rsidRPr="00D9152B">
        <w:rPr>
          <w:rFonts w:ascii="Calibri" w:hAnsi="Calibri" w:cs="Calibri"/>
          <w:sz w:val="22"/>
          <w:szCs w:val="22"/>
        </w:rPr>
        <w:t xml:space="preserve">Because Wright </w:t>
      </w:r>
      <w:r w:rsidR="00F77057" w:rsidRPr="00D9152B">
        <w:rPr>
          <w:rFonts w:ascii="Calibri" w:hAnsi="Calibri" w:cs="Calibri"/>
          <w:sz w:val="22"/>
          <w:szCs w:val="22"/>
        </w:rPr>
        <w:t>was ‘in fact carrying out a great fund-raising campaign on behalf of Mr McNamara, who is deeply committed to it’</w:t>
      </w:r>
      <w:r w:rsidR="00D05247" w:rsidRPr="00D9152B">
        <w:rPr>
          <w:rFonts w:ascii="Calibri" w:hAnsi="Calibri" w:cs="Calibri"/>
          <w:sz w:val="22"/>
          <w:szCs w:val="22"/>
        </w:rPr>
        <w:t>,</w:t>
      </w:r>
      <w:r w:rsidR="00F77057" w:rsidRPr="00D9152B">
        <w:rPr>
          <w:rFonts w:ascii="Calibri" w:hAnsi="Calibri" w:cs="Calibri"/>
          <w:sz w:val="22"/>
          <w:szCs w:val="22"/>
        </w:rPr>
        <w:t xml:space="preserve"> the UK had to at least be represented at international meetings about the OCP.</w:t>
      </w:r>
      <w:r w:rsidR="00F77057" w:rsidRPr="00D9152B">
        <w:rPr>
          <w:rStyle w:val="FootnoteReference"/>
          <w:rFonts w:ascii="Calibri" w:hAnsi="Calibri" w:cs="Calibri"/>
          <w:sz w:val="22"/>
          <w:szCs w:val="22"/>
        </w:rPr>
        <w:footnoteReference w:id="429"/>
      </w:r>
      <w:r w:rsidR="00F77057" w:rsidRPr="00D9152B">
        <w:rPr>
          <w:rFonts w:ascii="Calibri" w:hAnsi="Calibri" w:cs="Calibri"/>
          <w:sz w:val="22"/>
          <w:szCs w:val="22"/>
        </w:rPr>
        <w:t xml:space="preserve"> In addition, the </w:t>
      </w:r>
      <w:r w:rsidR="00E66876" w:rsidRPr="00D9152B">
        <w:rPr>
          <w:rFonts w:ascii="Calibri" w:hAnsi="Calibri" w:cs="Calibri"/>
          <w:sz w:val="22"/>
          <w:szCs w:val="22"/>
        </w:rPr>
        <w:t>office</w:t>
      </w:r>
      <w:r w:rsidR="00F77057" w:rsidRPr="00D9152B">
        <w:rPr>
          <w:rFonts w:ascii="Calibri" w:hAnsi="Calibri" w:cs="Calibri"/>
          <w:sz w:val="22"/>
          <w:szCs w:val="22"/>
        </w:rPr>
        <w:t xml:space="preserve"> felt pressu</w:t>
      </w:r>
      <w:r w:rsidR="00C25150" w:rsidRPr="00D9152B">
        <w:rPr>
          <w:rFonts w:ascii="Calibri" w:hAnsi="Calibri" w:cs="Calibri"/>
          <w:sz w:val="22"/>
          <w:szCs w:val="22"/>
        </w:rPr>
        <w:t>re to quickly acquiesce to the f</w:t>
      </w:r>
      <w:r w:rsidR="00F77057" w:rsidRPr="00D9152B">
        <w:rPr>
          <w:rFonts w:ascii="Calibri" w:hAnsi="Calibri" w:cs="Calibri"/>
          <w:sz w:val="22"/>
          <w:szCs w:val="22"/>
        </w:rPr>
        <w:t xml:space="preserve">und because sponsoring agencies had piqued the interest of Parliament. </w:t>
      </w:r>
      <w:r w:rsidR="00AA130E" w:rsidRPr="00D9152B">
        <w:rPr>
          <w:rFonts w:ascii="Calibri" w:hAnsi="Calibri" w:cs="Calibri"/>
          <w:sz w:val="22"/>
          <w:szCs w:val="22"/>
        </w:rPr>
        <w:t xml:space="preserve">As an </w:t>
      </w:r>
      <w:r w:rsidR="00E66876" w:rsidRPr="00D9152B">
        <w:rPr>
          <w:rFonts w:ascii="Calibri" w:hAnsi="Calibri" w:cs="Calibri"/>
          <w:sz w:val="22"/>
          <w:szCs w:val="22"/>
        </w:rPr>
        <w:t>Office of Development Assistance</w:t>
      </w:r>
      <w:r w:rsidR="00AA130E" w:rsidRPr="00D9152B">
        <w:rPr>
          <w:rFonts w:ascii="Calibri" w:hAnsi="Calibri" w:cs="Calibri"/>
          <w:sz w:val="22"/>
          <w:szCs w:val="22"/>
        </w:rPr>
        <w:t xml:space="preserve"> representative put it:</w:t>
      </w:r>
      <w:r w:rsidR="00F77057" w:rsidRPr="00D9152B">
        <w:rPr>
          <w:rFonts w:ascii="Calibri" w:hAnsi="Calibri" w:cs="Calibri"/>
          <w:sz w:val="22"/>
          <w:szCs w:val="22"/>
        </w:rPr>
        <w:t xml:space="preserve"> </w:t>
      </w:r>
    </w:p>
    <w:p w14:paraId="783BBE71" w14:textId="23554B19" w:rsidR="00F77057" w:rsidRPr="00D9152B" w:rsidRDefault="00F77057" w:rsidP="00F77057">
      <w:pPr>
        <w:pStyle w:val="Quote"/>
        <w:ind w:left="862" w:right="862"/>
        <w:rPr>
          <w:rFonts w:cs="Calibri"/>
          <w:i/>
          <w:sz w:val="22"/>
          <w:szCs w:val="22"/>
        </w:rPr>
      </w:pPr>
      <w:r w:rsidRPr="00D9152B">
        <w:rPr>
          <w:rFonts w:cs="Calibri"/>
          <w:i/>
          <w:sz w:val="22"/>
          <w:szCs w:val="22"/>
        </w:rPr>
        <w:t xml:space="preserve">‘I got the distinct impression that the donor countries were being pressured into a quick decision. This could be solely because of the emotional enthusiasm of Mr Macnamara [sic], wanting immediate ‘whiz-kid’ results. Or it may be that there are political reasons not explainable in a public meeting. Or, just the need to </w:t>
      </w:r>
      <w:r w:rsidR="0043209C" w:rsidRPr="00D9152B">
        <w:rPr>
          <w:rFonts w:cs="Calibri"/>
          <w:i/>
          <w:sz w:val="22"/>
          <w:szCs w:val="22"/>
        </w:rPr>
        <w:t>‘</w:t>
      </w:r>
      <w:r w:rsidRPr="00D9152B">
        <w:rPr>
          <w:rFonts w:cs="Calibri"/>
          <w:i/>
          <w:sz w:val="22"/>
          <w:szCs w:val="22"/>
        </w:rPr>
        <w:t>do something’ quickly in an area which has suffered for so long, combined with the political advantage of organising an international consortium that would be unique, in constitution. Care has undoubtedly been taken to ensure that a body of British MPs</w:t>
      </w:r>
      <w:r w:rsidR="0043209C" w:rsidRPr="00D9152B">
        <w:rPr>
          <w:rFonts w:cs="Calibri"/>
          <w:i/>
          <w:sz w:val="22"/>
          <w:szCs w:val="22"/>
        </w:rPr>
        <w:t xml:space="preserve"> [Members of Parliament]</w:t>
      </w:r>
      <w:r w:rsidRPr="00D9152B">
        <w:rPr>
          <w:rFonts w:cs="Calibri"/>
          <w:i/>
          <w:sz w:val="22"/>
          <w:szCs w:val="22"/>
        </w:rPr>
        <w:t>, led I am told by Mr Malcolm Macdonald, should be primed and their full support sought’.</w:t>
      </w:r>
      <w:r w:rsidRPr="00D9152B">
        <w:rPr>
          <w:rStyle w:val="FootnoteReference"/>
          <w:rFonts w:ascii="Calibri" w:hAnsi="Calibri" w:cs="Calibri"/>
          <w:i/>
          <w:sz w:val="22"/>
          <w:szCs w:val="22"/>
        </w:rPr>
        <w:footnoteReference w:id="430"/>
      </w:r>
    </w:p>
    <w:p w14:paraId="2705F675" w14:textId="48D8C986" w:rsidR="00F77057" w:rsidRPr="00D9152B" w:rsidRDefault="00F77057" w:rsidP="005C7F9F">
      <w:pPr>
        <w:spacing w:before="100" w:beforeAutospacing="1" w:after="100" w:afterAutospacing="1" w:line="360" w:lineRule="auto"/>
        <w:rPr>
          <w:rFonts w:ascii="Calibri" w:hAnsi="Calibri" w:cs="Calibri"/>
          <w:sz w:val="22"/>
          <w:szCs w:val="22"/>
        </w:rPr>
      </w:pPr>
      <w:r w:rsidRPr="00D9152B">
        <w:rPr>
          <w:rFonts w:ascii="Calibri" w:hAnsi="Calibri" w:cs="Calibri"/>
        </w:rPr>
        <w:tab/>
      </w:r>
      <w:r w:rsidRPr="00D9152B">
        <w:rPr>
          <w:rFonts w:ascii="Calibri" w:hAnsi="Calibri" w:cs="Calibri"/>
          <w:sz w:val="22"/>
          <w:szCs w:val="22"/>
        </w:rPr>
        <w:t xml:space="preserve">In response to this pressure, the </w:t>
      </w:r>
      <w:r w:rsidR="0043209C" w:rsidRPr="00D9152B">
        <w:rPr>
          <w:rFonts w:ascii="Calibri" w:hAnsi="Calibri" w:cs="Calibri"/>
          <w:sz w:val="22"/>
          <w:szCs w:val="22"/>
        </w:rPr>
        <w:t>Office of Development Assistance</w:t>
      </w:r>
      <w:r w:rsidRPr="00D9152B">
        <w:rPr>
          <w:rFonts w:ascii="Calibri" w:hAnsi="Calibri" w:cs="Calibri"/>
          <w:sz w:val="22"/>
          <w:szCs w:val="22"/>
        </w:rPr>
        <w:t xml:space="preserve"> realised that they would either have to either co</w:t>
      </w:r>
      <w:r w:rsidR="00D05247" w:rsidRPr="00D9152B">
        <w:rPr>
          <w:rFonts w:ascii="Calibri" w:hAnsi="Calibri" w:cs="Calibri"/>
          <w:sz w:val="22"/>
          <w:szCs w:val="22"/>
        </w:rPr>
        <w:t>mmit to the OCP for at least two to three</w:t>
      </w:r>
      <w:r w:rsidRPr="00D9152B">
        <w:rPr>
          <w:rFonts w:ascii="Calibri" w:hAnsi="Calibri" w:cs="Calibri"/>
          <w:sz w:val="22"/>
          <w:szCs w:val="22"/>
        </w:rPr>
        <w:t xml:space="preserve"> years or suggest an alternative project to IBRD. They requested that the national Tropical Medicine Research Board arrange for a speedy critical study of relevant WHO papers, to help </w:t>
      </w:r>
      <w:r w:rsidR="0043209C" w:rsidRPr="00D9152B">
        <w:rPr>
          <w:rFonts w:ascii="Calibri" w:hAnsi="Calibri" w:cs="Calibri"/>
          <w:sz w:val="22"/>
          <w:szCs w:val="22"/>
        </w:rPr>
        <w:t>them</w:t>
      </w:r>
      <w:r w:rsidRPr="00D9152B">
        <w:rPr>
          <w:rFonts w:ascii="Calibri" w:hAnsi="Calibri" w:cs="Calibri"/>
          <w:sz w:val="22"/>
          <w:szCs w:val="22"/>
        </w:rPr>
        <w:t xml:space="preserve"> make a decision.</w:t>
      </w:r>
      <w:r w:rsidRPr="00D9152B">
        <w:rPr>
          <w:rStyle w:val="FootnoteReference"/>
          <w:rFonts w:ascii="Calibri" w:hAnsi="Calibri" w:cs="Calibri"/>
          <w:sz w:val="22"/>
          <w:szCs w:val="22"/>
        </w:rPr>
        <w:footnoteReference w:id="431"/>
      </w:r>
      <w:r w:rsidRPr="00D9152B">
        <w:rPr>
          <w:rFonts w:ascii="Calibri" w:hAnsi="Calibri" w:cs="Calibri"/>
          <w:sz w:val="22"/>
          <w:szCs w:val="22"/>
        </w:rPr>
        <w:t xml:space="preserve"> In the interim, the UK attended a consultative group meeting in the summer of 1973, which was arranged by McNamara and designed as a first-step </w:t>
      </w:r>
      <w:r w:rsidR="00E25D8A">
        <w:rPr>
          <w:rFonts w:ascii="Calibri" w:hAnsi="Calibri" w:cs="Calibri"/>
          <w:sz w:val="22"/>
          <w:szCs w:val="22"/>
        </w:rPr>
        <w:t xml:space="preserve">in </w:t>
      </w:r>
      <w:r w:rsidRPr="00D9152B">
        <w:rPr>
          <w:rFonts w:ascii="Calibri" w:hAnsi="Calibri" w:cs="Calibri"/>
          <w:sz w:val="22"/>
          <w:szCs w:val="22"/>
        </w:rPr>
        <w:t>attracting donors to the Fund.</w:t>
      </w:r>
      <w:r w:rsidRPr="00D9152B">
        <w:rPr>
          <w:rStyle w:val="FootnoteReference"/>
          <w:rFonts w:ascii="Calibri" w:hAnsi="Calibri" w:cs="Calibri"/>
          <w:sz w:val="22"/>
          <w:szCs w:val="22"/>
        </w:rPr>
        <w:footnoteReference w:id="432"/>
      </w:r>
      <w:r w:rsidRPr="00D9152B">
        <w:rPr>
          <w:rFonts w:ascii="Calibri" w:hAnsi="Calibri" w:cs="Calibri"/>
          <w:sz w:val="22"/>
          <w:szCs w:val="22"/>
        </w:rPr>
        <w:t xml:space="preserve"> The UK representative noted that the programme seemed to be sentimentally driven: ‘at the meeting, towards the close, there was a build-up of emotional support with a corresponding decrease in analytical and critical judgement, notably from Canada, and especially from the German representative who </w:t>
      </w:r>
      <w:r w:rsidRPr="00D9152B">
        <w:rPr>
          <w:rFonts w:ascii="Calibri" w:hAnsi="Calibri" w:cs="Calibri"/>
          <w:sz w:val="22"/>
          <w:szCs w:val="22"/>
        </w:rPr>
        <w:lastRenderedPageBreak/>
        <w:t>obviously had money to spend and possibly other reasons for wishing to subscribe at any cost’.</w:t>
      </w:r>
      <w:r w:rsidRPr="00D9152B">
        <w:rPr>
          <w:rStyle w:val="FootnoteReference"/>
          <w:rFonts w:ascii="Calibri" w:hAnsi="Calibri" w:cs="Calibri"/>
          <w:sz w:val="22"/>
          <w:szCs w:val="22"/>
        </w:rPr>
        <w:footnoteReference w:id="433"/>
      </w:r>
      <w:r w:rsidRPr="00D9152B">
        <w:rPr>
          <w:rFonts w:ascii="Calibri" w:hAnsi="Calibri" w:cs="Calibri"/>
          <w:sz w:val="22"/>
          <w:szCs w:val="22"/>
        </w:rPr>
        <w:t xml:space="preserve"> A critical opinion obtained from a UK scientist similarly praised the programme’s humanitarian value, but cautioned that ‘without purposeful social development following after control, the scheme could become a continuing financial drain for contributing bodies’.</w:t>
      </w:r>
      <w:r w:rsidRPr="00D9152B">
        <w:rPr>
          <w:rStyle w:val="FootnoteReference"/>
          <w:rFonts w:ascii="Calibri" w:hAnsi="Calibri" w:cs="Calibri"/>
          <w:sz w:val="22"/>
          <w:szCs w:val="22"/>
        </w:rPr>
        <w:footnoteReference w:id="434"/>
      </w:r>
    </w:p>
    <w:p w14:paraId="2ACCA538" w14:textId="160E0201" w:rsidR="00F77057" w:rsidRPr="00D9152B" w:rsidRDefault="00F77057" w:rsidP="005C7F9F">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ab/>
      </w:r>
      <w:r w:rsidR="00C25150" w:rsidRPr="00D9152B">
        <w:rPr>
          <w:rFonts w:ascii="Calibri" w:hAnsi="Calibri" w:cs="Calibri"/>
          <w:sz w:val="22"/>
          <w:szCs w:val="22"/>
        </w:rPr>
        <w:t>In spite of these concerns</w:t>
      </w:r>
      <w:r w:rsidRPr="00D9152B">
        <w:rPr>
          <w:rFonts w:ascii="Calibri" w:hAnsi="Calibri" w:cs="Calibri"/>
          <w:sz w:val="22"/>
          <w:szCs w:val="22"/>
        </w:rPr>
        <w:t>, the Bank’s pressure on the UK paid</w:t>
      </w:r>
      <w:r w:rsidR="0043209C" w:rsidRPr="00D9152B">
        <w:rPr>
          <w:rFonts w:ascii="Calibri" w:hAnsi="Calibri" w:cs="Calibri"/>
          <w:sz w:val="22"/>
          <w:szCs w:val="22"/>
        </w:rPr>
        <w:t xml:space="preserve"> </w:t>
      </w:r>
      <w:r w:rsidRPr="00D9152B">
        <w:rPr>
          <w:rFonts w:ascii="Calibri" w:hAnsi="Calibri" w:cs="Calibri"/>
          <w:sz w:val="22"/>
          <w:szCs w:val="22"/>
        </w:rPr>
        <w:t xml:space="preserve">off. Fear of ‘embarrassment in the press and Parliament’ made the balance tilt toward investment. The </w:t>
      </w:r>
      <w:r w:rsidR="0043209C" w:rsidRPr="00D9152B">
        <w:rPr>
          <w:rFonts w:ascii="Calibri" w:hAnsi="Calibri" w:cs="Calibri"/>
          <w:sz w:val="22"/>
          <w:szCs w:val="22"/>
        </w:rPr>
        <w:t>Office of Development Assistance</w:t>
      </w:r>
      <w:r w:rsidRPr="00D9152B">
        <w:rPr>
          <w:rFonts w:ascii="Calibri" w:hAnsi="Calibri" w:cs="Calibri"/>
          <w:sz w:val="22"/>
          <w:szCs w:val="22"/>
        </w:rPr>
        <w:t xml:space="preserve"> hoped that participation would ‘enable us to win goodwill of the beneficiary countries at little cost, and perhaps provide some commercial benefit and some spin-off in the shape of the use of British medical expertise’.</w:t>
      </w:r>
      <w:r w:rsidRPr="00D9152B">
        <w:rPr>
          <w:rStyle w:val="FootnoteReference"/>
          <w:rFonts w:ascii="Calibri" w:hAnsi="Calibri" w:cs="Calibri"/>
          <w:sz w:val="22"/>
          <w:szCs w:val="22"/>
        </w:rPr>
        <w:footnoteReference w:id="435"/>
      </w:r>
      <w:r w:rsidRPr="00D9152B">
        <w:rPr>
          <w:rFonts w:ascii="Calibri" w:hAnsi="Calibri" w:cs="Calibri"/>
          <w:sz w:val="22"/>
          <w:szCs w:val="22"/>
        </w:rPr>
        <w:t xml:space="preserve"> It also liked the idea of the </w:t>
      </w:r>
      <w:r w:rsidR="00D05247" w:rsidRPr="00D9152B">
        <w:rPr>
          <w:rFonts w:ascii="Calibri" w:hAnsi="Calibri" w:cs="Calibri"/>
          <w:sz w:val="22"/>
          <w:szCs w:val="22"/>
        </w:rPr>
        <w:t>f</w:t>
      </w:r>
      <w:r w:rsidRPr="00D9152B">
        <w:rPr>
          <w:rFonts w:ascii="Calibri" w:hAnsi="Calibri" w:cs="Calibri"/>
          <w:sz w:val="22"/>
          <w:szCs w:val="22"/>
        </w:rPr>
        <w:t xml:space="preserve">und, </w:t>
      </w:r>
      <w:r w:rsidR="00C25150" w:rsidRPr="00D9152B">
        <w:rPr>
          <w:rFonts w:ascii="Calibri" w:hAnsi="Calibri" w:cs="Calibri"/>
          <w:sz w:val="22"/>
          <w:szCs w:val="22"/>
        </w:rPr>
        <w:t>because</w:t>
      </w:r>
      <w:r w:rsidRPr="00D9152B">
        <w:rPr>
          <w:rFonts w:ascii="Calibri" w:hAnsi="Calibri" w:cs="Calibri"/>
          <w:sz w:val="22"/>
          <w:szCs w:val="22"/>
        </w:rPr>
        <w:t xml:space="preserve"> it calculated that this financing mechanism would increase the UK’s ability to control the programme’s direction. As an </w:t>
      </w:r>
      <w:r w:rsidR="0043209C" w:rsidRPr="00D9152B">
        <w:rPr>
          <w:rFonts w:ascii="Calibri" w:hAnsi="Calibri" w:cs="Calibri"/>
          <w:sz w:val="22"/>
          <w:szCs w:val="22"/>
        </w:rPr>
        <w:t>Office of Development Assistance</w:t>
      </w:r>
      <w:r w:rsidRPr="00D9152B">
        <w:rPr>
          <w:rFonts w:ascii="Calibri" w:hAnsi="Calibri" w:cs="Calibri"/>
          <w:sz w:val="22"/>
          <w:szCs w:val="22"/>
        </w:rPr>
        <w:t xml:space="preserve"> staff member wrote, through the traditional multilateral network, ‘we may be able to exercise some influence via our membership of WHO’. However, ‘that influence may be less than the influence we could exercise through this agreement where the number of donor governments will probably be much less than the total membership of WHO’.</w:t>
      </w:r>
      <w:r w:rsidRPr="00D9152B">
        <w:rPr>
          <w:rStyle w:val="FootnoteReference"/>
          <w:rFonts w:ascii="Calibri" w:hAnsi="Calibri" w:cs="Calibri"/>
          <w:sz w:val="22"/>
          <w:szCs w:val="22"/>
        </w:rPr>
        <w:footnoteReference w:id="436"/>
      </w:r>
    </w:p>
    <w:p w14:paraId="3F604A10" w14:textId="38BF137D" w:rsidR="00F77057" w:rsidRPr="00D9152B" w:rsidRDefault="00B55943" w:rsidP="005C7F9F">
      <w:pPr>
        <w:pStyle w:val="Heading3"/>
        <w:spacing w:line="360" w:lineRule="auto"/>
        <w:rPr>
          <w:rFonts w:ascii="Calibri" w:hAnsi="Calibri" w:cs="Calibri"/>
          <w:b/>
          <w:i/>
          <w:color w:val="000000" w:themeColor="text1"/>
          <w:sz w:val="22"/>
          <w:szCs w:val="22"/>
        </w:rPr>
      </w:pPr>
      <w:bookmarkStart w:id="78" w:name="_Toc41505652"/>
      <w:r w:rsidRPr="00D9152B">
        <w:rPr>
          <w:rFonts w:ascii="Calibri" w:hAnsi="Calibri" w:cs="Calibri"/>
          <w:b/>
          <w:i/>
          <w:color w:val="000000" w:themeColor="text1"/>
          <w:sz w:val="22"/>
          <w:szCs w:val="22"/>
        </w:rPr>
        <w:t>5</w:t>
      </w:r>
      <w:r w:rsidR="009F1D08" w:rsidRPr="00D9152B">
        <w:rPr>
          <w:rFonts w:ascii="Calibri" w:hAnsi="Calibri" w:cs="Calibri"/>
          <w:b/>
          <w:i/>
          <w:color w:val="000000" w:themeColor="text1"/>
          <w:sz w:val="22"/>
          <w:szCs w:val="22"/>
        </w:rPr>
        <w:t>.</w:t>
      </w:r>
      <w:r w:rsidR="009A5A65" w:rsidRPr="00D9152B">
        <w:rPr>
          <w:rFonts w:ascii="Calibri" w:hAnsi="Calibri" w:cs="Calibri"/>
          <w:b/>
          <w:i/>
          <w:color w:val="000000" w:themeColor="text1"/>
          <w:sz w:val="22"/>
          <w:szCs w:val="22"/>
        </w:rPr>
        <w:t>2.C</w:t>
      </w:r>
      <w:r w:rsidR="009F1D08" w:rsidRPr="00D9152B">
        <w:rPr>
          <w:rFonts w:ascii="Calibri" w:hAnsi="Calibri" w:cs="Calibri"/>
          <w:b/>
          <w:i/>
          <w:color w:val="000000" w:themeColor="text1"/>
          <w:sz w:val="22"/>
          <w:szCs w:val="22"/>
        </w:rPr>
        <w:t>.</w:t>
      </w:r>
      <w:r w:rsidR="00F77057" w:rsidRPr="00D9152B">
        <w:rPr>
          <w:rFonts w:ascii="Calibri" w:hAnsi="Calibri" w:cs="Calibri"/>
          <w:b/>
          <w:i/>
          <w:color w:val="000000" w:themeColor="text1"/>
          <w:sz w:val="22"/>
          <w:szCs w:val="22"/>
        </w:rPr>
        <w:t xml:space="preserve"> An entrenched Bank fiscal guardianship</w:t>
      </w:r>
      <w:bookmarkEnd w:id="78"/>
    </w:p>
    <w:p w14:paraId="268EC07A" w14:textId="29A0D7CE" w:rsidR="00F77057" w:rsidRPr="00D9152B" w:rsidRDefault="00F77057" w:rsidP="005C7F9F">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ab/>
        <w:t>In such a way, the Bank’s agreement to administer the Onchocerciasis Fund was a product of many forces that all</w:t>
      </w:r>
      <w:r w:rsidR="009F1D08" w:rsidRPr="00D9152B">
        <w:rPr>
          <w:rFonts w:ascii="Calibri" w:hAnsi="Calibri" w:cs="Calibri"/>
          <w:sz w:val="22"/>
          <w:szCs w:val="22"/>
        </w:rPr>
        <w:t xml:space="preserve"> came together at the same time. These included the lack of a clear alternative agency to channel extra-budgetary health funds;</w:t>
      </w:r>
      <w:r w:rsidRPr="00D9152B">
        <w:rPr>
          <w:rFonts w:ascii="Calibri" w:hAnsi="Calibri" w:cs="Calibri"/>
          <w:sz w:val="22"/>
          <w:szCs w:val="22"/>
        </w:rPr>
        <w:t xml:space="preserve"> </w:t>
      </w:r>
      <w:r w:rsidR="009F1D08" w:rsidRPr="00D9152B">
        <w:rPr>
          <w:rFonts w:ascii="Calibri" w:hAnsi="Calibri" w:cs="Calibri"/>
          <w:sz w:val="22"/>
          <w:szCs w:val="22"/>
        </w:rPr>
        <w:t>Bank leaders’ perception that it c</w:t>
      </w:r>
      <w:r w:rsidRPr="00D9152B">
        <w:rPr>
          <w:rFonts w:ascii="Calibri" w:hAnsi="Calibri" w:cs="Calibri"/>
          <w:sz w:val="22"/>
          <w:szCs w:val="22"/>
        </w:rPr>
        <w:t xml:space="preserve">ould better manage budgets and invest cash contributions than the </w:t>
      </w:r>
      <w:r w:rsidR="009F1D08" w:rsidRPr="00D9152B">
        <w:rPr>
          <w:rFonts w:ascii="Calibri" w:hAnsi="Calibri" w:cs="Calibri"/>
          <w:sz w:val="22"/>
          <w:szCs w:val="22"/>
        </w:rPr>
        <w:t>WHO;</w:t>
      </w:r>
      <w:r w:rsidRPr="00D9152B">
        <w:rPr>
          <w:rFonts w:ascii="Calibri" w:hAnsi="Calibri" w:cs="Calibri"/>
          <w:sz w:val="22"/>
          <w:szCs w:val="22"/>
        </w:rPr>
        <w:t xml:space="preserve"> the WHO’s greater interest in technical aspects of disease control than fiscal aspects (and its own </w:t>
      </w:r>
      <w:r w:rsidR="009F1D08" w:rsidRPr="00D9152B">
        <w:rPr>
          <w:rFonts w:ascii="Calibri" w:hAnsi="Calibri" w:cs="Calibri"/>
          <w:sz w:val="22"/>
          <w:szCs w:val="22"/>
        </w:rPr>
        <w:t xml:space="preserve">budgetary woes); </w:t>
      </w:r>
      <w:r w:rsidRPr="00D9152B">
        <w:rPr>
          <w:rFonts w:ascii="Calibri" w:hAnsi="Calibri" w:cs="Calibri"/>
          <w:sz w:val="22"/>
          <w:szCs w:val="22"/>
        </w:rPr>
        <w:t>the UNDP’s belief that the Bank might be able to tap-in</w:t>
      </w:r>
      <w:r w:rsidR="009F1D08" w:rsidRPr="00D9152B">
        <w:rPr>
          <w:rFonts w:ascii="Calibri" w:hAnsi="Calibri" w:cs="Calibri"/>
          <w:sz w:val="22"/>
          <w:szCs w:val="22"/>
        </w:rPr>
        <w:t>to innovative financing streams;</w:t>
      </w:r>
      <w:r w:rsidRPr="00D9152B">
        <w:rPr>
          <w:rFonts w:ascii="Calibri" w:hAnsi="Calibri" w:cs="Calibri"/>
          <w:sz w:val="22"/>
          <w:szCs w:val="22"/>
        </w:rPr>
        <w:t xml:space="preserve"> some donors’ desire to have the credit-worthy Bank provide a guarantee of sorts for their investments (and to perhaps increase their </w:t>
      </w:r>
      <w:r w:rsidRPr="00D9152B">
        <w:rPr>
          <w:rFonts w:ascii="Calibri" w:hAnsi="Calibri" w:cs="Calibri"/>
          <w:sz w:val="22"/>
          <w:szCs w:val="22"/>
        </w:rPr>
        <w:lastRenderedPageBreak/>
        <w:t>relative influence on the programme and</w:t>
      </w:r>
      <w:r w:rsidR="009F1D08" w:rsidRPr="00D9152B">
        <w:rPr>
          <w:rFonts w:ascii="Calibri" w:hAnsi="Calibri" w:cs="Calibri"/>
          <w:sz w:val="22"/>
          <w:szCs w:val="22"/>
        </w:rPr>
        <w:t xml:space="preserve"> in the region in the process); </w:t>
      </w:r>
      <w:r w:rsidRPr="00D9152B">
        <w:rPr>
          <w:rFonts w:ascii="Calibri" w:hAnsi="Calibri" w:cs="Calibri"/>
          <w:sz w:val="22"/>
          <w:szCs w:val="22"/>
        </w:rPr>
        <w:t xml:space="preserve">and, crucially, the political clout wielded by a highly motivated Bank President. </w:t>
      </w:r>
    </w:p>
    <w:p w14:paraId="5E9088AC" w14:textId="156FEADC" w:rsidR="00AC7848" w:rsidRPr="00D9152B" w:rsidRDefault="00AC7848" w:rsidP="005C7F9F">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ab/>
      </w:r>
      <w:r w:rsidR="00E25D8A">
        <w:rPr>
          <w:rFonts w:ascii="Calibri" w:hAnsi="Calibri" w:cs="Calibri"/>
          <w:sz w:val="22"/>
          <w:szCs w:val="22"/>
        </w:rPr>
        <w:t>The</w:t>
      </w:r>
      <w:r w:rsidR="009F1D08" w:rsidRPr="00D9152B">
        <w:rPr>
          <w:rFonts w:ascii="Calibri" w:hAnsi="Calibri" w:cs="Calibri"/>
          <w:sz w:val="22"/>
          <w:szCs w:val="22"/>
        </w:rPr>
        <w:t xml:space="preserve"> argument that the Bank </w:t>
      </w:r>
      <w:r w:rsidR="0043209C" w:rsidRPr="00D9152B">
        <w:rPr>
          <w:rFonts w:ascii="Calibri" w:hAnsi="Calibri" w:cs="Calibri"/>
          <w:sz w:val="22"/>
          <w:szCs w:val="22"/>
        </w:rPr>
        <w:t>is</w:t>
      </w:r>
      <w:r w:rsidR="009F1D08" w:rsidRPr="00D9152B">
        <w:rPr>
          <w:rFonts w:ascii="Calibri" w:hAnsi="Calibri" w:cs="Calibri"/>
          <w:sz w:val="22"/>
          <w:szCs w:val="22"/>
        </w:rPr>
        <w:t xml:space="preserve"> a uniquely safe guardian of extra-budgetary funds became entrenched in the donor community. </w:t>
      </w:r>
      <w:r w:rsidR="00CB50A3" w:rsidRPr="00D9152B">
        <w:rPr>
          <w:rFonts w:ascii="Calibri" w:hAnsi="Calibri" w:cs="Calibri"/>
          <w:sz w:val="22"/>
          <w:szCs w:val="22"/>
        </w:rPr>
        <w:t>During</w:t>
      </w:r>
      <w:r w:rsidRPr="00D9152B">
        <w:rPr>
          <w:rFonts w:ascii="Calibri" w:hAnsi="Calibri" w:cs="Calibri"/>
          <w:sz w:val="22"/>
          <w:szCs w:val="22"/>
        </w:rPr>
        <w:t xml:space="preserve"> the OCP, some donors continued to condition their support on the Bank’s role as fiscal agent and donor.</w:t>
      </w:r>
      <w:r w:rsidRPr="00D9152B">
        <w:rPr>
          <w:rStyle w:val="FootnoteReference"/>
          <w:rFonts w:ascii="Calibri" w:hAnsi="Calibri" w:cs="Calibri"/>
          <w:sz w:val="22"/>
          <w:szCs w:val="22"/>
        </w:rPr>
        <w:footnoteReference w:id="437"/>
      </w:r>
      <w:r w:rsidRPr="00D9152B">
        <w:rPr>
          <w:rFonts w:ascii="Calibri" w:hAnsi="Calibri" w:cs="Calibri"/>
          <w:sz w:val="22"/>
          <w:szCs w:val="22"/>
        </w:rPr>
        <w:t xml:space="preserve"> For instance, the United States and Canada required the Bank to guarantee its support before they provided additional financing during the budgetary crisis of the early 1980s.</w:t>
      </w:r>
      <w:r w:rsidRPr="00D9152B">
        <w:rPr>
          <w:rStyle w:val="FootnoteReference"/>
          <w:rFonts w:ascii="Calibri" w:hAnsi="Calibri" w:cs="Calibri"/>
          <w:sz w:val="22"/>
          <w:szCs w:val="22"/>
        </w:rPr>
        <w:footnoteReference w:id="438"/>
      </w:r>
      <w:r w:rsidRPr="00D9152B">
        <w:rPr>
          <w:rFonts w:ascii="Calibri" w:hAnsi="Calibri" w:cs="Calibri"/>
          <w:sz w:val="22"/>
          <w:szCs w:val="22"/>
        </w:rPr>
        <w:t xml:space="preserve"> The Bank’s announcement that it would </w:t>
      </w:r>
      <w:r w:rsidR="009F1D08" w:rsidRPr="00D9152B">
        <w:rPr>
          <w:rFonts w:ascii="Calibri" w:hAnsi="Calibri" w:cs="Calibri"/>
          <w:sz w:val="22"/>
          <w:szCs w:val="22"/>
        </w:rPr>
        <w:t>maintain its contribution at 10 percent</w:t>
      </w:r>
      <w:r w:rsidRPr="00D9152B">
        <w:rPr>
          <w:rFonts w:ascii="Calibri" w:hAnsi="Calibri" w:cs="Calibri"/>
          <w:sz w:val="22"/>
          <w:szCs w:val="22"/>
        </w:rPr>
        <w:t xml:space="preserve"> of total programme costs was also a ‘key factor’ in maintaining donor support for Phase III amid ‘declining interest’.</w:t>
      </w:r>
      <w:r w:rsidRPr="00D9152B">
        <w:rPr>
          <w:rStyle w:val="FootnoteReference"/>
          <w:rFonts w:ascii="Calibri" w:hAnsi="Calibri" w:cs="Calibri"/>
          <w:sz w:val="22"/>
          <w:szCs w:val="22"/>
        </w:rPr>
        <w:t xml:space="preserve"> </w:t>
      </w:r>
      <w:r w:rsidRPr="00D9152B">
        <w:rPr>
          <w:rStyle w:val="FootnoteReference"/>
          <w:rFonts w:ascii="Calibri" w:hAnsi="Calibri" w:cs="Calibri"/>
          <w:sz w:val="22"/>
          <w:szCs w:val="22"/>
        </w:rPr>
        <w:footnoteReference w:id="439"/>
      </w:r>
      <w:r w:rsidRPr="00D9152B">
        <w:rPr>
          <w:rFonts w:ascii="Calibri" w:hAnsi="Calibri" w:cs="Calibri"/>
          <w:sz w:val="22"/>
          <w:szCs w:val="22"/>
        </w:rPr>
        <w:t xml:space="preserve"> And, the Bank reflected that the ‘Germans will be satisfied if, and probably only if, the Bank is satisfied sufficiently to participate financially’.</w:t>
      </w:r>
      <w:r w:rsidRPr="00D9152B">
        <w:rPr>
          <w:rStyle w:val="FootnoteReference"/>
          <w:rFonts w:ascii="Calibri" w:hAnsi="Calibri" w:cs="Calibri"/>
          <w:sz w:val="22"/>
          <w:szCs w:val="22"/>
        </w:rPr>
        <w:footnoteReference w:id="440"/>
      </w:r>
      <w:r w:rsidRPr="00D9152B">
        <w:rPr>
          <w:rFonts w:ascii="Calibri" w:hAnsi="Calibri" w:cs="Calibri"/>
          <w:sz w:val="22"/>
          <w:szCs w:val="22"/>
        </w:rPr>
        <w:t xml:space="preserve"> As John Evans, the Director of the Population, Health and Nutrition</w:t>
      </w:r>
      <w:r w:rsidR="0043209C" w:rsidRPr="00D9152B">
        <w:rPr>
          <w:rFonts w:ascii="Calibri" w:hAnsi="Calibri" w:cs="Calibri"/>
          <w:sz w:val="22"/>
          <w:szCs w:val="22"/>
        </w:rPr>
        <w:t xml:space="preserve"> (PHN)</w:t>
      </w:r>
      <w:r w:rsidRPr="00D9152B">
        <w:rPr>
          <w:rFonts w:ascii="Calibri" w:hAnsi="Calibri" w:cs="Calibri"/>
          <w:sz w:val="22"/>
          <w:szCs w:val="22"/>
        </w:rPr>
        <w:t xml:space="preserve"> department, wrote to McNamara in 1980, ‘full involvement of the Bank in these programs will be of real consequence to their effective management and to sustaining the interest of the donor community’.</w:t>
      </w:r>
      <w:r w:rsidRPr="00D9152B">
        <w:rPr>
          <w:rStyle w:val="FootnoteReference"/>
          <w:rFonts w:ascii="Calibri" w:hAnsi="Calibri" w:cs="Calibri"/>
          <w:sz w:val="22"/>
          <w:szCs w:val="22"/>
        </w:rPr>
        <w:footnoteReference w:id="441"/>
      </w:r>
    </w:p>
    <w:p w14:paraId="69D820D3" w14:textId="619395B2" w:rsidR="00AC7848" w:rsidRPr="00D9152B" w:rsidRDefault="00B55943" w:rsidP="00FA7761">
      <w:pPr>
        <w:pStyle w:val="Heading2"/>
        <w:rPr>
          <w:rFonts w:ascii="Calibri" w:hAnsi="Calibri" w:cs="Calibri"/>
          <w:b/>
          <w:sz w:val="26"/>
          <w:szCs w:val="26"/>
        </w:rPr>
      </w:pPr>
      <w:bookmarkStart w:id="79" w:name="_Toc41505653"/>
      <w:r w:rsidRPr="00D9152B">
        <w:rPr>
          <w:rFonts w:ascii="Calibri" w:hAnsi="Calibri" w:cs="Calibri"/>
          <w:b/>
          <w:sz w:val="26"/>
          <w:szCs w:val="26"/>
        </w:rPr>
        <w:t>5.</w:t>
      </w:r>
      <w:r w:rsidR="009A5A65" w:rsidRPr="00D9152B">
        <w:rPr>
          <w:rFonts w:ascii="Calibri" w:hAnsi="Calibri" w:cs="Calibri"/>
          <w:b/>
          <w:sz w:val="26"/>
          <w:szCs w:val="26"/>
        </w:rPr>
        <w:t>3</w:t>
      </w:r>
      <w:r w:rsidR="00FA7761" w:rsidRPr="00D9152B">
        <w:rPr>
          <w:rFonts w:ascii="Calibri" w:hAnsi="Calibri" w:cs="Calibri"/>
          <w:b/>
          <w:sz w:val="26"/>
          <w:szCs w:val="26"/>
        </w:rPr>
        <w:t xml:space="preserve">. </w:t>
      </w:r>
      <w:r w:rsidR="002464C2" w:rsidRPr="00D9152B">
        <w:rPr>
          <w:rFonts w:ascii="Calibri" w:hAnsi="Calibri" w:cs="Calibri"/>
          <w:b/>
          <w:sz w:val="26"/>
          <w:szCs w:val="26"/>
        </w:rPr>
        <w:t>Structuring the Onchocerciasis Fund</w:t>
      </w:r>
      <w:bookmarkEnd w:id="79"/>
    </w:p>
    <w:p w14:paraId="1F769F4A" w14:textId="24DC7B15" w:rsidR="00AC7848" w:rsidRPr="00D9152B" w:rsidRDefault="006D495D"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When the Bank </w:t>
      </w:r>
      <w:r w:rsidR="0043209C" w:rsidRPr="00D9152B">
        <w:rPr>
          <w:rFonts w:ascii="Calibri" w:hAnsi="Calibri" w:cs="Calibri"/>
          <w:sz w:val="22"/>
          <w:szCs w:val="22"/>
        </w:rPr>
        <w:t>assumed the role of</w:t>
      </w:r>
      <w:r w:rsidRPr="00D9152B">
        <w:rPr>
          <w:rFonts w:ascii="Calibri" w:hAnsi="Calibri" w:cs="Calibri"/>
          <w:sz w:val="22"/>
          <w:szCs w:val="22"/>
        </w:rPr>
        <w:t xml:space="preserve"> </w:t>
      </w:r>
      <w:r w:rsidR="00CB50A3" w:rsidRPr="00D9152B">
        <w:rPr>
          <w:rFonts w:ascii="Calibri" w:hAnsi="Calibri" w:cs="Calibri"/>
          <w:sz w:val="22"/>
          <w:szCs w:val="22"/>
        </w:rPr>
        <w:t>fiscal agent in 1972, a daunting</w:t>
      </w:r>
      <w:r w:rsidRPr="00D9152B">
        <w:rPr>
          <w:rFonts w:ascii="Calibri" w:hAnsi="Calibri" w:cs="Calibri"/>
          <w:sz w:val="22"/>
          <w:szCs w:val="22"/>
        </w:rPr>
        <w:t xml:space="preserve"> question arose: how would the f</w:t>
      </w:r>
      <w:r w:rsidR="00CB50A3" w:rsidRPr="00D9152B">
        <w:rPr>
          <w:rFonts w:ascii="Calibri" w:hAnsi="Calibri" w:cs="Calibri"/>
          <w:sz w:val="22"/>
          <w:szCs w:val="22"/>
        </w:rPr>
        <w:t>und itself be structured and governed</w:t>
      </w:r>
      <w:r w:rsidR="00AC7848" w:rsidRPr="00D9152B">
        <w:rPr>
          <w:rFonts w:ascii="Calibri" w:hAnsi="Calibri" w:cs="Calibri"/>
          <w:sz w:val="22"/>
          <w:szCs w:val="22"/>
        </w:rPr>
        <w:t xml:space="preserve">? </w:t>
      </w:r>
      <w:r w:rsidR="009F1D08" w:rsidRPr="00D9152B">
        <w:rPr>
          <w:rFonts w:ascii="Calibri" w:hAnsi="Calibri" w:cs="Calibri"/>
          <w:sz w:val="22"/>
          <w:szCs w:val="22"/>
        </w:rPr>
        <w:t xml:space="preserve">Four major </w:t>
      </w:r>
      <w:r w:rsidR="0033709B" w:rsidRPr="00D9152B">
        <w:rPr>
          <w:rFonts w:ascii="Calibri" w:hAnsi="Calibri" w:cs="Calibri"/>
          <w:sz w:val="22"/>
          <w:szCs w:val="22"/>
        </w:rPr>
        <w:t>issues</w:t>
      </w:r>
      <w:r w:rsidR="009F1D08" w:rsidRPr="00D9152B">
        <w:rPr>
          <w:rFonts w:ascii="Calibri" w:hAnsi="Calibri" w:cs="Calibri"/>
          <w:sz w:val="22"/>
          <w:szCs w:val="22"/>
        </w:rPr>
        <w:t xml:space="preserve"> had to be </w:t>
      </w:r>
      <w:r w:rsidR="0033709B" w:rsidRPr="00D9152B">
        <w:rPr>
          <w:rFonts w:ascii="Calibri" w:hAnsi="Calibri" w:cs="Calibri"/>
          <w:sz w:val="22"/>
          <w:szCs w:val="22"/>
        </w:rPr>
        <w:t>addressed</w:t>
      </w:r>
      <w:r w:rsidR="009F1D08" w:rsidRPr="00D9152B">
        <w:rPr>
          <w:rFonts w:ascii="Calibri" w:hAnsi="Calibri" w:cs="Calibri"/>
          <w:sz w:val="22"/>
          <w:szCs w:val="22"/>
        </w:rPr>
        <w:t xml:space="preserve"> before a</w:t>
      </w:r>
      <w:r w:rsidR="00CB50A3" w:rsidRPr="00D9152B">
        <w:rPr>
          <w:rFonts w:ascii="Calibri" w:hAnsi="Calibri" w:cs="Calibri"/>
          <w:sz w:val="22"/>
          <w:szCs w:val="22"/>
        </w:rPr>
        <w:t xml:space="preserve"> Fund Agreement could be signed. Would</w:t>
      </w:r>
      <w:r w:rsidR="009F1D08" w:rsidRPr="00D9152B">
        <w:rPr>
          <w:rFonts w:ascii="Calibri" w:hAnsi="Calibri" w:cs="Calibri"/>
          <w:sz w:val="22"/>
          <w:szCs w:val="22"/>
        </w:rPr>
        <w:t xml:space="preserve"> contributions have to be repaid (i.e. </w:t>
      </w:r>
      <w:r w:rsidRPr="00D9152B">
        <w:rPr>
          <w:rFonts w:ascii="Calibri" w:hAnsi="Calibri" w:cs="Calibri"/>
          <w:sz w:val="22"/>
          <w:szCs w:val="22"/>
        </w:rPr>
        <w:t>would</w:t>
      </w:r>
      <w:r w:rsidR="009F1D08" w:rsidRPr="00D9152B">
        <w:rPr>
          <w:rFonts w:ascii="Calibri" w:hAnsi="Calibri" w:cs="Calibri"/>
          <w:sz w:val="22"/>
          <w:szCs w:val="22"/>
        </w:rPr>
        <w:t xml:space="preserve"> financing </w:t>
      </w:r>
      <w:r w:rsidR="00CB50A3" w:rsidRPr="00D9152B">
        <w:rPr>
          <w:rFonts w:ascii="Calibri" w:hAnsi="Calibri" w:cs="Calibri"/>
          <w:sz w:val="22"/>
          <w:szCs w:val="22"/>
        </w:rPr>
        <w:t xml:space="preserve">be on </w:t>
      </w:r>
      <w:r w:rsidRPr="00D9152B">
        <w:rPr>
          <w:rFonts w:ascii="Calibri" w:hAnsi="Calibri" w:cs="Calibri"/>
          <w:sz w:val="22"/>
          <w:szCs w:val="22"/>
        </w:rPr>
        <w:t>loan or</w:t>
      </w:r>
      <w:r w:rsidR="00CB50A3" w:rsidRPr="00D9152B">
        <w:rPr>
          <w:rFonts w:ascii="Calibri" w:hAnsi="Calibri" w:cs="Calibri"/>
          <w:sz w:val="22"/>
          <w:szCs w:val="22"/>
        </w:rPr>
        <w:t xml:space="preserve"> grant terms)? How would donor pledges be pooled, in an equitable way? Would donors be able</w:t>
      </w:r>
      <w:r w:rsidR="009F1D08" w:rsidRPr="00D9152B">
        <w:rPr>
          <w:rFonts w:ascii="Calibri" w:hAnsi="Calibri" w:cs="Calibri"/>
          <w:sz w:val="22"/>
          <w:szCs w:val="22"/>
        </w:rPr>
        <w:t xml:space="preserve"> to earmark funds for</w:t>
      </w:r>
      <w:r w:rsidR="00CB50A3" w:rsidRPr="00D9152B">
        <w:rPr>
          <w:rFonts w:ascii="Calibri" w:hAnsi="Calibri" w:cs="Calibri"/>
          <w:sz w:val="22"/>
          <w:szCs w:val="22"/>
        </w:rPr>
        <w:t xml:space="preserve"> particular </w:t>
      </w:r>
      <w:r w:rsidRPr="00D9152B">
        <w:rPr>
          <w:rFonts w:ascii="Calibri" w:hAnsi="Calibri" w:cs="Calibri"/>
          <w:sz w:val="22"/>
          <w:szCs w:val="22"/>
        </w:rPr>
        <w:t>countries</w:t>
      </w:r>
      <w:r w:rsidR="00CB50A3" w:rsidRPr="00D9152B">
        <w:rPr>
          <w:rFonts w:ascii="Calibri" w:hAnsi="Calibri" w:cs="Calibri"/>
          <w:sz w:val="22"/>
          <w:szCs w:val="22"/>
        </w:rPr>
        <w:t xml:space="preserve"> or activities? And, would the Bank itself contribute financially to the fund? </w:t>
      </w:r>
      <w:r w:rsidR="00AC7848" w:rsidRPr="00D9152B">
        <w:rPr>
          <w:rFonts w:ascii="Calibri" w:hAnsi="Calibri" w:cs="Calibri"/>
          <w:sz w:val="22"/>
          <w:szCs w:val="22"/>
        </w:rPr>
        <w:t xml:space="preserve">McNamara’s influence again proved vital to answering these questions in a way acceptable to donors. Remarkably, the Onchocerciasis Fund’s fiscal terms changed very </w:t>
      </w:r>
      <w:r w:rsidR="00AC7848" w:rsidRPr="00D9152B">
        <w:rPr>
          <w:rFonts w:ascii="Calibri" w:hAnsi="Calibri" w:cs="Calibri"/>
          <w:sz w:val="22"/>
          <w:szCs w:val="22"/>
        </w:rPr>
        <w:lastRenderedPageBreak/>
        <w:t>little from when they were first agreed upon in 1974 and when the programme closed in 2002.</w:t>
      </w:r>
      <w:r w:rsidR="00AC7848" w:rsidRPr="00D9152B">
        <w:rPr>
          <w:rStyle w:val="FootnoteReference"/>
          <w:rFonts w:ascii="Calibri" w:hAnsi="Calibri" w:cs="Calibri"/>
          <w:sz w:val="22"/>
          <w:szCs w:val="22"/>
        </w:rPr>
        <w:footnoteReference w:id="442"/>
      </w:r>
      <w:r w:rsidR="00AC7848" w:rsidRPr="00D9152B">
        <w:rPr>
          <w:rFonts w:ascii="Calibri" w:hAnsi="Calibri" w:cs="Calibri"/>
          <w:sz w:val="22"/>
          <w:szCs w:val="22"/>
        </w:rPr>
        <w:t xml:space="preserve"> </w:t>
      </w:r>
    </w:p>
    <w:p w14:paraId="379B427A" w14:textId="76385DF6" w:rsidR="009F1D08" w:rsidRPr="00D9152B" w:rsidRDefault="00B55943" w:rsidP="005C7F9F">
      <w:pPr>
        <w:pStyle w:val="Heading3"/>
        <w:spacing w:line="360" w:lineRule="auto"/>
        <w:rPr>
          <w:rFonts w:ascii="Calibri" w:hAnsi="Calibri" w:cs="Calibri"/>
          <w:b/>
          <w:i/>
          <w:color w:val="000000" w:themeColor="text1"/>
          <w:sz w:val="22"/>
          <w:szCs w:val="22"/>
        </w:rPr>
      </w:pPr>
      <w:bookmarkStart w:id="80" w:name="_Toc41505654"/>
      <w:r w:rsidRPr="00D9152B">
        <w:rPr>
          <w:rFonts w:ascii="Calibri" w:hAnsi="Calibri" w:cs="Calibri"/>
          <w:b/>
          <w:i/>
          <w:color w:val="000000" w:themeColor="text1"/>
          <w:sz w:val="22"/>
          <w:szCs w:val="22"/>
        </w:rPr>
        <w:t>5.</w:t>
      </w:r>
      <w:r w:rsidR="009A5A65" w:rsidRPr="00D9152B">
        <w:rPr>
          <w:rFonts w:ascii="Calibri" w:hAnsi="Calibri" w:cs="Calibri"/>
          <w:b/>
          <w:i/>
          <w:color w:val="000000" w:themeColor="text1"/>
          <w:sz w:val="22"/>
          <w:szCs w:val="22"/>
        </w:rPr>
        <w:t>3</w:t>
      </w:r>
      <w:r w:rsidR="0065647C" w:rsidRPr="00D9152B">
        <w:rPr>
          <w:rFonts w:ascii="Calibri" w:hAnsi="Calibri" w:cs="Calibri"/>
          <w:b/>
          <w:i/>
          <w:color w:val="000000" w:themeColor="text1"/>
          <w:sz w:val="22"/>
          <w:szCs w:val="22"/>
        </w:rPr>
        <w:t>.</w:t>
      </w:r>
      <w:r w:rsidRPr="00D9152B">
        <w:rPr>
          <w:rFonts w:ascii="Calibri" w:hAnsi="Calibri" w:cs="Calibri"/>
          <w:b/>
          <w:i/>
          <w:color w:val="000000" w:themeColor="text1"/>
          <w:sz w:val="22"/>
          <w:szCs w:val="22"/>
        </w:rPr>
        <w:t>A</w:t>
      </w:r>
      <w:r w:rsidR="006A3479" w:rsidRPr="00D9152B">
        <w:rPr>
          <w:rFonts w:ascii="Calibri" w:hAnsi="Calibri" w:cs="Calibri"/>
          <w:b/>
          <w:i/>
          <w:color w:val="000000" w:themeColor="text1"/>
          <w:sz w:val="22"/>
          <w:szCs w:val="22"/>
        </w:rPr>
        <w:t xml:space="preserve">. </w:t>
      </w:r>
      <w:r w:rsidR="006D495D" w:rsidRPr="00D9152B">
        <w:rPr>
          <w:rFonts w:ascii="Calibri" w:hAnsi="Calibri" w:cs="Calibri"/>
          <w:b/>
          <w:i/>
          <w:color w:val="000000" w:themeColor="text1"/>
          <w:sz w:val="22"/>
          <w:szCs w:val="22"/>
        </w:rPr>
        <w:t>Pooling</w:t>
      </w:r>
      <w:r w:rsidR="009F1D08" w:rsidRPr="00D9152B">
        <w:rPr>
          <w:rFonts w:ascii="Calibri" w:hAnsi="Calibri" w:cs="Calibri"/>
          <w:b/>
          <w:i/>
          <w:color w:val="000000" w:themeColor="text1"/>
          <w:sz w:val="22"/>
          <w:szCs w:val="22"/>
        </w:rPr>
        <w:t xml:space="preserve"> contributions</w:t>
      </w:r>
      <w:r w:rsidR="006D495D" w:rsidRPr="00D9152B">
        <w:rPr>
          <w:rFonts w:ascii="Calibri" w:hAnsi="Calibri" w:cs="Calibri"/>
          <w:b/>
          <w:i/>
          <w:color w:val="000000" w:themeColor="text1"/>
          <w:sz w:val="22"/>
          <w:szCs w:val="22"/>
        </w:rPr>
        <w:t xml:space="preserve"> for a global public good</w:t>
      </w:r>
      <w:bookmarkEnd w:id="80"/>
    </w:p>
    <w:p w14:paraId="5A889011" w14:textId="35A07070" w:rsidR="0033709B" w:rsidRPr="00D9152B" w:rsidRDefault="0033709B"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Sponsoring agencies and prospective donors reached a consensus that the programme required grants, rather than loans. In the late 1960s, De Wilde had suggested that grant contributions could uniquely ‘obviate the difficulty of apportioning among the states concerned the responsibility for securing loans and credits’, since ‘distribution of benefits of a larvicidal campaign would probably not be proportionate to the cost of the campaign in the territory of the participating states’.</w:t>
      </w:r>
      <w:r w:rsidRPr="00D9152B">
        <w:rPr>
          <w:rStyle w:val="FootnoteReference"/>
          <w:rFonts w:ascii="Calibri" w:hAnsi="Calibri" w:cs="Calibri"/>
          <w:sz w:val="22"/>
          <w:szCs w:val="22"/>
        </w:rPr>
        <w:footnoteReference w:id="443"/>
      </w:r>
      <w:r w:rsidRPr="00D9152B">
        <w:rPr>
          <w:rFonts w:ascii="Calibri" w:hAnsi="Calibri" w:cs="Calibri"/>
          <w:sz w:val="22"/>
          <w:szCs w:val="22"/>
        </w:rPr>
        <w:t xml:space="preserve"> As Bruce Benton later explained, ‘there was nobody to lend to, nobody that took – could – should take responsibility for borrowing the money and paying it back because we’re talking about a global good here…the only way you could go regional was with grant funding’.</w:t>
      </w:r>
      <w:r w:rsidRPr="00D9152B">
        <w:rPr>
          <w:rStyle w:val="FootnoteReference"/>
          <w:rFonts w:ascii="Calibri" w:hAnsi="Calibri" w:cs="Calibri"/>
          <w:sz w:val="22"/>
          <w:szCs w:val="22"/>
        </w:rPr>
        <w:footnoteReference w:id="444"/>
      </w:r>
      <w:r w:rsidRPr="00D9152B">
        <w:rPr>
          <w:rFonts w:ascii="Calibri" w:hAnsi="Calibri" w:cs="Calibri"/>
          <w:sz w:val="22"/>
          <w:szCs w:val="22"/>
        </w:rPr>
        <w:t xml:space="preserve"> </w:t>
      </w:r>
    </w:p>
    <w:p w14:paraId="35F9A017" w14:textId="6BEA9026" w:rsidR="0033709B" w:rsidRPr="00D9152B" w:rsidRDefault="0033709B"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A few models for</w:t>
      </w:r>
      <w:r w:rsidR="006A3479" w:rsidRPr="00D9152B">
        <w:rPr>
          <w:rFonts w:ascii="Calibri" w:hAnsi="Calibri" w:cs="Calibri"/>
          <w:sz w:val="22"/>
          <w:szCs w:val="22"/>
        </w:rPr>
        <w:t xml:space="preserve"> how to collect grants for the f</w:t>
      </w:r>
      <w:r w:rsidRPr="00D9152B">
        <w:rPr>
          <w:rFonts w:ascii="Calibri" w:hAnsi="Calibri" w:cs="Calibri"/>
          <w:sz w:val="22"/>
          <w:szCs w:val="22"/>
        </w:rPr>
        <w:t xml:space="preserve">und emerged. </w:t>
      </w:r>
      <w:r w:rsidR="00F45784" w:rsidRPr="00D9152B">
        <w:rPr>
          <w:rFonts w:ascii="Calibri" w:hAnsi="Calibri" w:cs="Calibri"/>
          <w:sz w:val="22"/>
          <w:szCs w:val="22"/>
        </w:rPr>
        <w:t xml:space="preserve">The </w:t>
      </w:r>
      <w:r w:rsidRPr="00D9152B">
        <w:rPr>
          <w:rFonts w:ascii="Calibri" w:hAnsi="Calibri" w:cs="Calibri"/>
          <w:sz w:val="22"/>
          <w:szCs w:val="22"/>
        </w:rPr>
        <w:t>UNDP, for instance, suggested that the Bank should pool cash contributions, and allow them to be earmarked for certain purposes or tied to the procurement of certain items. This mirrored the ‘highly successful arrangement’ that th</w:t>
      </w:r>
      <w:r w:rsidR="00074B24" w:rsidRPr="00D9152B">
        <w:rPr>
          <w:rFonts w:ascii="Calibri" w:hAnsi="Calibri" w:cs="Calibri"/>
          <w:sz w:val="22"/>
          <w:szCs w:val="22"/>
        </w:rPr>
        <w:t>e UNDP had used to finance its desert l</w:t>
      </w:r>
      <w:r w:rsidRPr="00D9152B">
        <w:rPr>
          <w:rFonts w:ascii="Calibri" w:hAnsi="Calibri" w:cs="Calibri"/>
          <w:sz w:val="22"/>
          <w:szCs w:val="22"/>
        </w:rPr>
        <w:t>ocust project.</w:t>
      </w:r>
      <w:r w:rsidRPr="00D9152B">
        <w:rPr>
          <w:rStyle w:val="FootnoteReference"/>
          <w:rFonts w:ascii="Calibri" w:hAnsi="Calibri" w:cs="Calibri"/>
          <w:sz w:val="22"/>
          <w:szCs w:val="22"/>
        </w:rPr>
        <w:footnoteReference w:id="445"/>
      </w:r>
      <w:r w:rsidRPr="00D9152B">
        <w:rPr>
          <w:rFonts w:ascii="Calibri" w:hAnsi="Calibri" w:cs="Calibri"/>
          <w:sz w:val="22"/>
          <w:szCs w:val="22"/>
        </w:rPr>
        <w:t xml:space="preserve"> France offered another idea, based on equity. Every year of the programme, each donor would give proportionate funding to fill the budgetary requirements. The Bank flatly rejected this idea, since it felt that proportionate funding would discourage new donors; it would be ‘impractical to establish precise cost-sharing formula’ for a long-term, regional programme.</w:t>
      </w:r>
      <w:r w:rsidRPr="00D9152B">
        <w:rPr>
          <w:rStyle w:val="FootnoteReference"/>
          <w:rFonts w:ascii="Calibri" w:hAnsi="Calibri" w:cs="Calibri"/>
          <w:sz w:val="22"/>
          <w:szCs w:val="22"/>
        </w:rPr>
        <w:footnoteReference w:id="446"/>
      </w:r>
      <w:r w:rsidRPr="00D9152B">
        <w:rPr>
          <w:rFonts w:ascii="Calibri" w:hAnsi="Calibri" w:cs="Calibri"/>
          <w:sz w:val="22"/>
          <w:szCs w:val="22"/>
        </w:rPr>
        <w:t xml:space="preserve"> </w:t>
      </w:r>
      <w:r w:rsidR="006A3479" w:rsidRPr="00D9152B">
        <w:rPr>
          <w:rFonts w:ascii="Calibri" w:hAnsi="Calibri" w:cs="Calibri"/>
          <w:sz w:val="22"/>
          <w:szCs w:val="22"/>
        </w:rPr>
        <w:t>It advocated for a flexible system of grant contributions, in which donors pledged for one or more years at a time, and were not locked into a proportional share in the programme financing.</w:t>
      </w:r>
    </w:p>
    <w:p w14:paraId="2539EA03" w14:textId="7E2949E3" w:rsidR="009F1D08" w:rsidRPr="00D9152B" w:rsidRDefault="009A5A65" w:rsidP="005C7F9F">
      <w:pPr>
        <w:pStyle w:val="Heading3"/>
        <w:spacing w:line="360" w:lineRule="auto"/>
        <w:rPr>
          <w:rFonts w:ascii="Calibri" w:hAnsi="Calibri" w:cs="Calibri"/>
          <w:b/>
          <w:i/>
          <w:color w:val="000000" w:themeColor="text1"/>
          <w:sz w:val="22"/>
          <w:szCs w:val="22"/>
        </w:rPr>
      </w:pPr>
      <w:bookmarkStart w:id="81" w:name="_Toc41505655"/>
      <w:r w:rsidRPr="00D9152B">
        <w:rPr>
          <w:rFonts w:ascii="Calibri" w:hAnsi="Calibri" w:cs="Calibri"/>
          <w:b/>
          <w:i/>
          <w:color w:val="000000" w:themeColor="text1"/>
          <w:sz w:val="22"/>
          <w:szCs w:val="22"/>
        </w:rPr>
        <w:lastRenderedPageBreak/>
        <w:t>5.3.B</w:t>
      </w:r>
      <w:r w:rsidR="00F62323" w:rsidRPr="00D9152B">
        <w:rPr>
          <w:rFonts w:ascii="Calibri" w:hAnsi="Calibri" w:cs="Calibri"/>
          <w:b/>
          <w:i/>
          <w:color w:val="000000" w:themeColor="text1"/>
          <w:sz w:val="22"/>
          <w:szCs w:val="22"/>
        </w:rPr>
        <w:t xml:space="preserve">. </w:t>
      </w:r>
      <w:r w:rsidR="009F1D08" w:rsidRPr="00D9152B">
        <w:rPr>
          <w:rFonts w:ascii="Calibri" w:hAnsi="Calibri" w:cs="Calibri"/>
          <w:b/>
          <w:i/>
          <w:color w:val="000000" w:themeColor="text1"/>
          <w:sz w:val="22"/>
          <w:szCs w:val="22"/>
        </w:rPr>
        <w:t>Tying of contributions</w:t>
      </w:r>
      <w:bookmarkEnd w:id="81"/>
    </w:p>
    <w:p w14:paraId="72CDD161" w14:textId="0FFBB5D7" w:rsidR="006A3479" w:rsidRPr="00D9152B" w:rsidRDefault="006A3479"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 Bank was less flexible about internal earmarking – the tying of aid to goods and services, or to particular countries or intra-OCP activities – because it felt that this would be prohibitively cumbersome for programme execution. McNamara used his political weight,</w:t>
      </w:r>
      <w:r w:rsidRPr="00D9152B">
        <w:rPr>
          <w:rStyle w:val="FootnoteReference"/>
          <w:rFonts w:ascii="Calibri" w:hAnsi="Calibri" w:cs="Calibri"/>
          <w:sz w:val="22"/>
          <w:szCs w:val="22"/>
        </w:rPr>
        <w:footnoteReference w:id="447"/>
      </w:r>
      <w:r w:rsidRPr="00D9152B">
        <w:rPr>
          <w:rFonts w:ascii="Calibri" w:hAnsi="Calibri" w:cs="Calibri"/>
          <w:sz w:val="22"/>
          <w:szCs w:val="22"/>
        </w:rPr>
        <w:t xml:space="preserve"> through a combination of individual country visits and peer pressure by Wright, to restrict this earmarking. For instance, </w:t>
      </w:r>
      <w:r w:rsidR="00074B24" w:rsidRPr="00D9152B">
        <w:rPr>
          <w:rFonts w:ascii="Calibri" w:hAnsi="Calibri" w:cs="Calibri"/>
          <w:sz w:val="22"/>
          <w:szCs w:val="22"/>
        </w:rPr>
        <w:t xml:space="preserve">as </w:t>
      </w:r>
      <w:r w:rsidRPr="00D9152B">
        <w:rPr>
          <w:rFonts w:ascii="Calibri" w:hAnsi="Calibri" w:cs="Calibri"/>
          <w:sz w:val="22"/>
          <w:szCs w:val="22"/>
        </w:rPr>
        <w:t>UK representatives wrote in 1973 about contributing in un-tied grant form:</w:t>
      </w:r>
    </w:p>
    <w:p w14:paraId="5CE65C97" w14:textId="78E1EE08" w:rsidR="006A3479" w:rsidRPr="00D9152B" w:rsidRDefault="006A3479" w:rsidP="00F45784">
      <w:pPr>
        <w:pStyle w:val="Quote"/>
        <w:ind w:left="862" w:right="862"/>
        <w:rPr>
          <w:rFonts w:cs="Calibri"/>
          <w:i/>
          <w:sz w:val="22"/>
          <w:szCs w:val="22"/>
        </w:rPr>
      </w:pPr>
      <w:r w:rsidRPr="00D9152B">
        <w:rPr>
          <w:rFonts w:cs="Calibri"/>
          <w:i/>
          <w:sz w:val="22"/>
          <w:szCs w:val="22"/>
        </w:rPr>
        <w:t>‘We do not think</w:t>
      </w:r>
      <w:r w:rsidR="000B094F">
        <w:rPr>
          <w:rFonts w:cs="Calibri"/>
          <w:i/>
          <w:sz w:val="22"/>
          <w:szCs w:val="22"/>
        </w:rPr>
        <w:t xml:space="preserve"> we</w:t>
      </w:r>
      <w:r w:rsidRPr="00D9152B">
        <w:rPr>
          <w:rFonts w:cs="Calibri"/>
          <w:i/>
          <w:sz w:val="22"/>
          <w:szCs w:val="22"/>
        </w:rPr>
        <w:t xml:space="preserve"> have much choice on these points. It is to be an international effort, under IBRD auspices. If other donors agree to untied grants, we must do the same if we contribute at all; if it is not agreed, I doubt if the project is workable. It would have to be split up into a number of separate bilateral projects, and in the nature of our exercise this is not feasible’</w:t>
      </w:r>
      <w:r w:rsidR="00D60532">
        <w:rPr>
          <w:rFonts w:cs="Calibri"/>
          <w:i/>
          <w:sz w:val="22"/>
          <w:szCs w:val="22"/>
        </w:rPr>
        <w:t>.</w:t>
      </w:r>
      <w:r w:rsidRPr="00D9152B">
        <w:rPr>
          <w:rStyle w:val="FootnoteReference"/>
          <w:rFonts w:ascii="Calibri" w:hAnsi="Calibri" w:cs="Calibri"/>
          <w:i/>
          <w:sz w:val="22"/>
          <w:szCs w:val="22"/>
        </w:rPr>
        <w:t xml:space="preserve"> </w:t>
      </w:r>
      <w:r w:rsidRPr="00D9152B">
        <w:rPr>
          <w:rStyle w:val="FootnoteReference"/>
          <w:rFonts w:ascii="Calibri" w:hAnsi="Calibri" w:cs="Calibri"/>
          <w:i/>
          <w:sz w:val="22"/>
          <w:szCs w:val="22"/>
        </w:rPr>
        <w:footnoteReference w:id="448"/>
      </w:r>
    </w:p>
    <w:p w14:paraId="0C7AEB7E" w14:textId="7ED915FD" w:rsidR="006A3479" w:rsidRPr="00D9152B" w:rsidRDefault="006A3479" w:rsidP="005C7F9F">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 xml:space="preserve">The Bank’s authority was substantial enough that the UK went with the </w:t>
      </w:r>
      <w:r w:rsidRPr="00D9152B">
        <w:rPr>
          <w:rFonts w:ascii="Calibri" w:hAnsi="Calibri" w:cs="Calibri"/>
          <w:i/>
          <w:sz w:val="22"/>
          <w:szCs w:val="22"/>
        </w:rPr>
        <w:t xml:space="preserve">espirit de corps </w:t>
      </w:r>
      <w:r w:rsidRPr="00D9152B">
        <w:rPr>
          <w:rFonts w:ascii="Calibri" w:hAnsi="Calibri" w:cs="Calibri"/>
          <w:sz w:val="22"/>
          <w:szCs w:val="22"/>
        </w:rPr>
        <w:t>and restricted tying, even though this was contrary to some of its initial interest in the programme and its traditional aid pattern.</w:t>
      </w:r>
      <w:r w:rsidRPr="00D9152B">
        <w:rPr>
          <w:rStyle w:val="FootnoteReference"/>
          <w:rFonts w:ascii="Calibri" w:hAnsi="Calibri" w:cs="Calibri"/>
          <w:sz w:val="22"/>
          <w:szCs w:val="22"/>
        </w:rPr>
        <w:footnoteReference w:id="449"/>
      </w:r>
      <w:r w:rsidRPr="00D9152B">
        <w:rPr>
          <w:rFonts w:ascii="Calibri" w:hAnsi="Calibri" w:cs="Calibri"/>
          <w:sz w:val="22"/>
          <w:szCs w:val="22"/>
        </w:rPr>
        <w:t xml:space="preserve"> With few exceptions, such as for some chemotherapy investments,</w:t>
      </w:r>
      <w:r w:rsidRPr="00D9152B">
        <w:rPr>
          <w:rStyle w:val="FootnoteReference"/>
          <w:rFonts w:ascii="Calibri" w:hAnsi="Calibri" w:cs="Calibri"/>
          <w:sz w:val="22"/>
          <w:szCs w:val="22"/>
        </w:rPr>
        <w:footnoteReference w:id="450"/>
      </w:r>
      <w:r w:rsidRPr="00D9152B">
        <w:rPr>
          <w:rFonts w:ascii="Calibri" w:hAnsi="Calibri" w:cs="Calibri"/>
          <w:sz w:val="22"/>
          <w:szCs w:val="22"/>
        </w:rPr>
        <w:t xml:space="preserve"> the Bank continued to only accept non-tied funds throughout the programme. </w:t>
      </w:r>
      <w:r w:rsidR="00CB50A3" w:rsidRPr="00D9152B">
        <w:rPr>
          <w:rFonts w:ascii="Calibri" w:hAnsi="Calibri" w:cs="Calibri"/>
          <w:sz w:val="22"/>
          <w:szCs w:val="22"/>
        </w:rPr>
        <w:t>W</w:t>
      </w:r>
      <w:r w:rsidRPr="00D9152B">
        <w:rPr>
          <w:rFonts w:ascii="Calibri" w:hAnsi="Calibri" w:cs="Calibri"/>
          <w:sz w:val="22"/>
          <w:szCs w:val="22"/>
        </w:rPr>
        <w:t>hen the Italians expressed interest in joining the OCP during a period of budgetary shortfalls in the early 1980s,</w:t>
      </w:r>
      <w:r w:rsidR="00CB50A3" w:rsidRPr="00D9152B">
        <w:rPr>
          <w:rFonts w:ascii="Calibri" w:hAnsi="Calibri" w:cs="Calibri"/>
          <w:sz w:val="22"/>
          <w:szCs w:val="22"/>
        </w:rPr>
        <w:t xml:space="preserve"> for example,</w:t>
      </w:r>
      <w:r w:rsidRPr="00D9152B">
        <w:rPr>
          <w:rFonts w:ascii="Calibri" w:hAnsi="Calibri" w:cs="Calibri"/>
          <w:sz w:val="22"/>
          <w:szCs w:val="22"/>
        </w:rPr>
        <w:t xml:space="preserve"> they were adamant that their donation would be linked to procurement of Italian goods and services. As it had in the early 1970s, the Bank leveraged the fact that no other donors had such conditionalities. It suggested that the only way the Italians could contribute would be to remove the conditionalities, or to explore using a third party to collect the funds and coordinate the tied procurements.</w:t>
      </w:r>
      <w:r w:rsidR="00A610E0" w:rsidRPr="00D9152B">
        <w:rPr>
          <w:rStyle w:val="FootnoteReference"/>
          <w:rFonts w:ascii="Calibri" w:hAnsi="Calibri" w:cs="Calibri"/>
          <w:sz w:val="22"/>
          <w:szCs w:val="22"/>
        </w:rPr>
        <w:footnoteReference w:id="451"/>
      </w:r>
    </w:p>
    <w:p w14:paraId="2EA97B83" w14:textId="720F8C38" w:rsidR="009F1D08" w:rsidRPr="00D9152B" w:rsidRDefault="009A5A65" w:rsidP="005C7F9F">
      <w:pPr>
        <w:pStyle w:val="Heading3"/>
        <w:spacing w:line="360" w:lineRule="auto"/>
        <w:rPr>
          <w:rFonts w:ascii="Calibri" w:hAnsi="Calibri" w:cs="Calibri"/>
          <w:b/>
          <w:i/>
          <w:color w:val="000000" w:themeColor="text1"/>
          <w:sz w:val="22"/>
          <w:szCs w:val="22"/>
        </w:rPr>
      </w:pPr>
      <w:bookmarkStart w:id="82" w:name="_Toc41505656"/>
      <w:r w:rsidRPr="00D9152B">
        <w:rPr>
          <w:rFonts w:ascii="Calibri" w:hAnsi="Calibri" w:cs="Calibri"/>
          <w:b/>
          <w:i/>
          <w:color w:val="000000" w:themeColor="text1"/>
          <w:sz w:val="22"/>
          <w:szCs w:val="22"/>
        </w:rPr>
        <w:lastRenderedPageBreak/>
        <w:t>5.3.C</w:t>
      </w:r>
      <w:r w:rsidR="00F62323" w:rsidRPr="00D9152B">
        <w:rPr>
          <w:rFonts w:ascii="Calibri" w:hAnsi="Calibri" w:cs="Calibri"/>
          <w:b/>
          <w:i/>
          <w:color w:val="000000" w:themeColor="text1"/>
          <w:sz w:val="22"/>
          <w:szCs w:val="22"/>
        </w:rPr>
        <w:t>. The Bank as a donor</w:t>
      </w:r>
      <w:bookmarkEnd w:id="82"/>
    </w:p>
    <w:p w14:paraId="2A6373FC" w14:textId="0E75AA29" w:rsidR="0065647C" w:rsidRPr="00D9152B" w:rsidRDefault="00AC7848" w:rsidP="005C7F9F">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ab/>
        <w:t>Internally, McNamara was also able to leverage his influence t</w:t>
      </w:r>
      <w:r w:rsidR="00074B24" w:rsidRPr="00D9152B">
        <w:rPr>
          <w:rFonts w:ascii="Calibri" w:hAnsi="Calibri" w:cs="Calibri"/>
          <w:sz w:val="22"/>
          <w:szCs w:val="22"/>
        </w:rPr>
        <w:t>o make the Bank a donor to the f</w:t>
      </w:r>
      <w:r w:rsidRPr="00D9152B">
        <w:rPr>
          <w:rFonts w:ascii="Calibri" w:hAnsi="Calibri" w:cs="Calibri"/>
          <w:sz w:val="22"/>
          <w:szCs w:val="22"/>
        </w:rPr>
        <w:t>und. When McNamara requested th</w:t>
      </w:r>
      <w:r w:rsidR="0065647C" w:rsidRPr="00D9152B">
        <w:rPr>
          <w:rFonts w:ascii="Calibri" w:hAnsi="Calibri" w:cs="Calibri"/>
          <w:sz w:val="22"/>
          <w:szCs w:val="22"/>
        </w:rPr>
        <w:t>at the Bank contribute up to 10 percent</w:t>
      </w:r>
      <w:r w:rsidRPr="00D9152B">
        <w:rPr>
          <w:rFonts w:ascii="Calibri" w:hAnsi="Calibri" w:cs="Calibri"/>
          <w:sz w:val="22"/>
          <w:szCs w:val="22"/>
        </w:rPr>
        <w:t xml:space="preserve"> of the OCP funds across each financial phase, this caused major controversy </w:t>
      </w:r>
      <w:r w:rsidR="00074B24" w:rsidRPr="00D9152B">
        <w:rPr>
          <w:rFonts w:ascii="Calibri" w:hAnsi="Calibri" w:cs="Calibri"/>
          <w:sz w:val="22"/>
          <w:szCs w:val="22"/>
        </w:rPr>
        <w:t>in</w:t>
      </w:r>
      <w:r w:rsidRPr="00D9152B">
        <w:rPr>
          <w:rFonts w:ascii="Calibri" w:hAnsi="Calibri" w:cs="Calibri"/>
          <w:sz w:val="22"/>
          <w:szCs w:val="22"/>
        </w:rPr>
        <w:t xml:space="preserve"> the Board of Executive Directors. As Thomas Blinkhorn, the staffer who created the OCP film </w:t>
      </w:r>
      <w:r w:rsidRPr="00D9152B">
        <w:rPr>
          <w:rFonts w:ascii="Calibri" w:hAnsi="Calibri" w:cs="Calibri"/>
          <w:i/>
          <w:sz w:val="22"/>
          <w:szCs w:val="22"/>
        </w:rPr>
        <w:t xml:space="preserve">A </w:t>
      </w:r>
      <w:r w:rsidR="00D60532">
        <w:rPr>
          <w:rFonts w:ascii="Calibri" w:hAnsi="Calibri" w:cs="Calibri"/>
          <w:i/>
          <w:sz w:val="22"/>
          <w:szCs w:val="22"/>
        </w:rPr>
        <w:t>p</w:t>
      </w:r>
      <w:r w:rsidRPr="00D9152B">
        <w:rPr>
          <w:rFonts w:ascii="Calibri" w:hAnsi="Calibri" w:cs="Calibri"/>
          <w:i/>
          <w:sz w:val="22"/>
          <w:szCs w:val="22"/>
        </w:rPr>
        <w:t xml:space="preserve">lague </w:t>
      </w:r>
      <w:r w:rsidR="00E25D8A">
        <w:rPr>
          <w:rFonts w:ascii="Calibri" w:hAnsi="Calibri" w:cs="Calibri"/>
          <w:i/>
          <w:sz w:val="22"/>
          <w:szCs w:val="22"/>
        </w:rPr>
        <w:t>u</w:t>
      </w:r>
      <w:r w:rsidRPr="00D9152B">
        <w:rPr>
          <w:rFonts w:ascii="Calibri" w:hAnsi="Calibri" w:cs="Calibri"/>
          <w:i/>
          <w:sz w:val="22"/>
          <w:szCs w:val="22"/>
        </w:rPr>
        <w:t xml:space="preserve">pon the </w:t>
      </w:r>
      <w:r w:rsidR="00E25D8A">
        <w:rPr>
          <w:rFonts w:ascii="Calibri" w:hAnsi="Calibri" w:cs="Calibri"/>
          <w:i/>
          <w:sz w:val="22"/>
          <w:szCs w:val="22"/>
        </w:rPr>
        <w:t>l</w:t>
      </w:r>
      <w:r w:rsidRPr="00D9152B">
        <w:rPr>
          <w:rFonts w:ascii="Calibri" w:hAnsi="Calibri" w:cs="Calibri"/>
          <w:i/>
          <w:sz w:val="22"/>
          <w:szCs w:val="22"/>
        </w:rPr>
        <w:t>and</w:t>
      </w:r>
      <w:r w:rsidR="0065647C" w:rsidRPr="00D9152B">
        <w:rPr>
          <w:rFonts w:ascii="Calibri" w:hAnsi="Calibri" w:cs="Calibri"/>
          <w:sz w:val="22"/>
          <w:szCs w:val="22"/>
        </w:rPr>
        <w:t>,</w:t>
      </w:r>
      <w:r w:rsidRPr="00D9152B">
        <w:rPr>
          <w:rFonts w:ascii="Calibri" w:hAnsi="Calibri" w:cs="Calibri"/>
          <w:i/>
          <w:sz w:val="22"/>
          <w:szCs w:val="22"/>
        </w:rPr>
        <w:t xml:space="preserve"> </w:t>
      </w:r>
      <w:r w:rsidRPr="00D9152B">
        <w:rPr>
          <w:rFonts w:ascii="Calibri" w:hAnsi="Calibri" w:cs="Calibri"/>
          <w:sz w:val="22"/>
          <w:szCs w:val="22"/>
        </w:rPr>
        <w:t>later reflected, ‘just like with [President James</w:t>
      </w:r>
      <w:r w:rsidR="00A610E0" w:rsidRPr="00D9152B">
        <w:rPr>
          <w:rFonts w:ascii="Calibri" w:hAnsi="Calibri" w:cs="Calibri"/>
          <w:sz w:val="22"/>
          <w:szCs w:val="22"/>
        </w:rPr>
        <w:t xml:space="preserve"> D.</w:t>
      </w:r>
      <w:r w:rsidRPr="00D9152B">
        <w:rPr>
          <w:rFonts w:ascii="Calibri" w:hAnsi="Calibri" w:cs="Calibri"/>
          <w:sz w:val="22"/>
          <w:szCs w:val="22"/>
        </w:rPr>
        <w:t xml:space="preserve">] Wolfensohn later </w:t>
      </w:r>
      <w:r w:rsidR="00A610E0" w:rsidRPr="00D9152B">
        <w:rPr>
          <w:rFonts w:ascii="Calibri" w:hAnsi="Calibri" w:cs="Calibri"/>
          <w:sz w:val="22"/>
          <w:szCs w:val="22"/>
        </w:rPr>
        <w:t xml:space="preserve">on </w:t>
      </w:r>
      <w:r w:rsidRPr="00D9152B">
        <w:rPr>
          <w:rFonts w:ascii="Calibri" w:hAnsi="Calibri" w:cs="Calibri"/>
          <w:sz w:val="22"/>
          <w:szCs w:val="22"/>
        </w:rPr>
        <w:t xml:space="preserve">with culture, </w:t>
      </w:r>
      <w:r w:rsidR="00A610E0" w:rsidRPr="00D9152B">
        <w:rPr>
          <w:rFonts w:ascii="Calibri" w:hAnsi="Calibri" w:cs="Calibri"/>
          <w:sz w:val="22"/>
          <w:szCs w:val="22"/>
        </w:rPr>
        <w:t>that</w:t>
      </w:r>
      <w:r w:rsidRPr="00D9152B">
        <w:rPr>
          <w:rFonts w:ascii="Calibri" w:hAnsi="Calibri" w:cs="Calibri"/>
          <w:sz w:val="22"/>
          <w:szCs w:val="22"/>
        </w:rPr>
        <w:t xml:space="preserve"> was another big blow-up with the Board’, because ‘they felt that the mandate for health issues was the World Health Organization’.</w:t>
      </w:r>
      <w:r w:rsidRPr="00D9152B">
        <w:rPr>
          <w:rStyle w:val="FootnoteReference"/>
          <w:rFonts w:ascii="Calibri" w:hAnsi="Calibri" w:cs="Calibri"/>
          <w:sz w:val="22"/>
          <w:szCs w:val="22"/>
        </w:rPr>
        <w:footnoteReference w:id="452"/>
      </w:r>
      <w:r w:rsidRPr="00D9152B">
        <w:rPr>
          <w:rFonts w:ascii="Calibri" w:hAnsi="Calibri" w:cs="Calibri"/>
          <w:sz w:val="22"/>
          <w:szCs w:val="22"/>
        </w:rPr>
        <w:t xml:space="preserve"> </w:t>
      </w:r>
    </w:p>
    <w:p w14:paraId="56729083" w14:textId="05EFF342"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Until the launch of ‘special programmes’ in the 1970s, all funding at the Bank was in the form of loans at market rates (IBRD) or concessional credits below market rate (I</w:t>
      </w:r>
      <w:r w:rsidR="00600366" w:rsidRPr="00D9152B">
        <w:rPr>
          <w:rFonts w:ascii="Calibri" w:hAnsi="Calibri" w:cs="Calibri"/>
          <w:sz w:val="22"/>
          <w:szCs w:val="22"/>
        </w:rPr>
        <w:t>nternational Development Agency [IDA]</w:t>
      </w:r>
      <w:r w:rsidRPr="00D9152B">
        <w:rPr>
          <w:rFonts w:ascii="Calibri" w:hAnsi="Calibri" w:cs="Calibri"/>
          <w:sz w:val="22"/>
          <w:szCs w:val="22"/>
        </w:rPr>
        <w:t>). Typical loans included a 10 year grace period, during which borrowers paid only principal, and after which the Bank generated profits from interest payments.</w:t>
      </w:r>
      <w:r w:rsidRPr="00D9152B">
        <w:rPr>
          <w:rStyle w:val="FootnoteReference"/>
          <w:rFonts w:ascii="Calibri" w:hAnsi="Calibri" w:cs="Calibri"/>
          <w:sz w:val="22"/>
          <w:szCs w:val="22"/>
        </w:rPr>
        <w:footnoteReference w:id="453"/>
      </w:r>
      <w:r w:rsidRPr="00D9152B">
        <w:rPr>
          <w:rFonts w:ascii="Calibri" w:hAnsi="Calibri" w:cs="Calibri"/>
          <w:sz w:val="22"/>
          <w:szCs w:val="22"/>
        </w:rPr>
        <w:t xml:space="preserve"> When IDA opened its doors in the early 1960s, the Bank considered whether it could use some of its profits from IBRD loans to make grants to countries, as part of its advisory services. In 1963, the Bank’s General Counsel concluded that its Articles of Agreement did not bar making grants; technical assistance grants could be made to countries from the Bank’s net income, provided that the funds were not needed for the Bank’s supplemental reserve.</w:t>
      </w:r>
      <w:r w:rsidRPr="00D9152B">
        <w:rPr>
          <w:rStyle w:val="FootnoteReference"/>
          <w:rFonts w:ascii="Calibri" w:hAnsi="Calibri" w:cs="Calibri"/>
          <w:sz w:val="22"/>
          <w:szCs w:val="22"/>
        </w:rPr>
        <w:footnoteReference w:id="454"/>
      </w:r>
      <w:r w:rsidRPr="00D9152B">
        <w:rPr>
          <w:rFonts w:ascii="Calibri" w:hAnsi="Calibri" w:cs="Calibri"/>
          <w:sz w:val="22"/>
          <w:szCs w:val="22"/>
        </w:rPr>
        <w:t xml:space="preserve"> </w:t>
      </w:r>
    </w:p>
    <w:p w14:paraId="2D413797" w14:textId="69C3B986" w:rsidR="00CB50A3"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In an ad hoc extension of this logic, McNamara sought and gained Board approval to establish the Bank’s first special programme, the Consultative Group for International Agricultural Research (CGIAR), in 1971.</w:t>
      </w:r>
      <w:r w:rsidRPr="00D9152B">
        <w:rPr>
          <w:rStyle w:val="FootnoteReference"/>
          <w:rFonts w:ascii="Calibri" w:hAnsi="Calibri" w:cs="Calibri"/>
          <w:sz w:val="22"/>
          <w:szCs w:val="22"/>
        </w:rPr>
        <w:footnoteReference w:id="455"/>
      </w:r>
      <w:r w:rsidRPr="00D9152B">
        <w:rPr>
          <w:rFonts w:ascii="Calibri" w:hAnsi="Calibri" w:cs="Calibri"/>
          <w:sz w:val="22"/>
          <w:szCs w:val="22"/>
        </w:rPr>
        <w:t xml:space="preserve"> As Benton put it, the idea was to take funds that the Bank was ‘not using and use it for things we can’t lend for, like research, where outcomes are uncertain and payoff is not certain either’.</w:t>
      </w:r>
      <w:r w:rsidRPr="00D9152B">
        <w:rPr>
          <w:rStyle w:val="FootnoteReference"/>
          <w:rFonts w:ascii="Calibri" w:hAnsi="Calibri" w:cs="Calibri"/>
          <w:sz w:val="22"/>
          <w:szCs w:val="22"/>
        </w:rPr>
        <w:t xml:space="preserve"> </w:t>
      </w:r>
      <w:r w:rsidRPr="00D9152B">
        <w:rPr>
          <w:rStyle w:val="FootnoteReference"/>
          <w:rFonts w:ascii="Calibri" w:hAnsi="Calibri" w:cs="Calibri"/>
          <w:sz w:val="22"/>
          <w:szCs w:val="22"/>
        </w:rPr>
        <w:footnoteReference w:id="456"/>
      </w:r>
      <w:r w:rsidRPr="00D9152B">
        <w:rPr>
          <w:rFonts w:ascii="Calibri" w:hAnsi="Calibri" w:cs="Calibri"/>
          <w:sz w:val="22"/>
          <w:szCs w:val="22"/>
        </w:rPr>
        <w:t xml:space="preserve"> The three early Bank special programmes initiated in the 1970s – CGIAR,</w:t>
      </w:r>
      <w:r w:rsidRPr="00D9152B">
        <w:rPr>
          <w:rStyle w:val="FootnoteReference"/>
          <w:rFonts w:ascii="Calibri" w:hAnsi="Calibri" w:cs="Calibri"/>
          <w:sz w:val="22"/>
          <w:szCs w:val="22"/>
        </w:rPr>
        <w:footnoteReference w:id="457"/>
      </w:r>
      <w:r w:rsidRPr="00D9152B">
        <w:rPr>
          <w:rFonts w:ascii="Calibri" w:hAnsi="Calibri" w:cs="Calibri"/>
          <w:sz w:val="22"/>
          <w:szCs w:val="22"/>
        </w:rPr>
        <w:t xml:space="preserve"> the OCP, and</w:t>
      </w:r>
      <w:r w:rsidR="00600366" w:rsidRPr="00D9152B">
        <w:rPr>
          <w:rFonts w:ascii="Calibri" w:hAnsi="Calibri" w:cs="Calibri"/>
          <w:sz w:val="22"/>
          <w:szCs w:val="22"/>
        </w:rPr>
        <w:t xml:space="preserve"> the</w:t>
      </w:r>
      <w:r w:rsidRPr="00D9152B">
        <w:rPr>
          <w:rFonts w:ascii="Calibri" w:hAnsi="Calibri" w:cs="Calibri"/>
          <w:sz w:val="22"/>
          <w:szCs w:val="22"/>
        </w:rPr>
        <w:t xml:space="preserve"> </w:t>
      </w:r>
      <w:r w:rsidR="00600366" w:rsidRPr="00D9152B">
        <w:rPr>
          <w:rFonts w:ascii="Calibri" w:hAnsi="Calibri" w:cs="Calibri"/>
          <w:sz w:val="22"/>
          <w:szCs w:val="22"/>
        </w:rPr>
        <w:t xml:space="preserve">Special Programme for </w:t>
      </w:r>
      <w:r w:rsidR="00600366" w:rsidRPr="00D9152B">
        <w:rPr>
          <w:rFonts w:ascii="Calibri" w:hAnsi="Calibri" w:cs="Calibri"/>
          <w:sz w:val="22"/>
          <w:szCs w:val="22"/>
        </w:rPr>
        <w:lastRenderedPageBreak/>
        <w:t xml:space="preserve">Research and Training in Tropical Diseases (TDR) </w:t>
      </w:r>
      <w:r w:rsidRPr="00D9152B">
        <w:rPr>
          <w:rStyle w:val="FootnoteReference"/>
          <w:rFonts w:ascii="Calibri" w:hAnsi="Calibri" w:cs="Calibri"/>
          <w:sz w:val="22"/>
          <w:szCs w:val="22"/>
        </w:rPr>
        <w:footnoteReference w:id="458"/>
      </w:r>
      <w:r w:rsidRPr="00D9152B">
        <w:rPr>
          <w:rFonts w:ascii="Calibri" w:hAnsi="Calibri" w:cs="Calibri"/>
          <w:sz w:val="22"/>
          <w:szCs w:val="22"/>
        </w:rPr>
        <w:t xml:space="preserve"> – were each (mostly) financed by a Bank-administered trust fund, co-sponsored by other UN agencies, governed by a Fund Agreement that included numerous bilateral donors, and ultimately allocated a grant from the </w:t>
      </w:r>
      <w:r w:rsidR="00074B24" w:rsidRPr="00D9152B">
        <w:rPr>
          <w:rFonts w:ascii="Calibri" w:hAnsi="Calibri" w:cs="Calibri"/>
          <w:sz w:val="22"/>
          <w:szCs w:val="22"/>
        </w:rPr>
        <w:t>Bank (typically capped at 10-15 percent</w:t>
      </w:r>
      <w:r w:rsidRPr="00D9152B">
        <w:rPr>
          <w:rFonts w:ascii="Calibri" w:hAnsi="Calibri" w:cs="Calibri"/>
          <w:sz w:val="22"/>
          <w:szCs w:val="22"/>
        </w:rPr>
        <w:t xml:space="preserve"> of the annual programme budget).</w:t>
      </w:r>
      <w:r w:rsidRPr="00D9152B">
        <w:rPr>
          <w:rStyle w:val="FootnoteReference"/>
          <w:rFonts w:ascii="Calibri" w:hAnsi="Calibri" w:cs="Calibri"/>
          <w:sz w:val="22"/>
          <w:szCs w:val="22"/>
        </w:rPr>
        <w:footnoteReference w:id="459"/>
      </w:r>
      <w:r w:rsidRPr="00D9152B">
        <w:rPr>
          <w:rFonts w:ascii="Calibri" w:hAnsi="Calibri" w:cs="Calibri"/>
          <w:sz w:val="22"/>
          <w:szCs w:val="22"/>
        </w:rPr>
        <w:t xml:space="preserve"> </w:t>
      </w:r>
    </w:p>
    <w:p w14:paraId="041EDCAB" w14:textId="2F1E020B"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As discussed in Chapter 4, McNamara used arguments about the economic implications of onchocerciasis to convince the Board, and was successful in gaining a pledge in 1975 for the Bank to enter the programme as a donor on grant terms.</w:t>
      </w:r>
      <w:r w:rsidRPr="00D9152B">
        <w:rPr>
          <w:rStyle w:val="FootnoteReference"/>
          <w:rFonts w:ascii="Calibri" w:hAnsi="Calibri" w:cs="Calibri"/>
          <w:sz w:val="22"/>
          <w:szCs w:val="22"/>
        </w:rPr>
        <w:footnoteReference w:id="460"/>
      </w:r>
      <w:r w:rsidRPr="00D9152B">
        <w:rPr>
          <w:rFonts w:ascii="Calibri" w:hAnsi="Calibri" w:cs="Calibri"/>
          <w:sz w:val="22"/>
          <w:szCs w:val="22"/>
        </w:rPr>
        <w:t xml:space="preserve"> This decision reflected McNamara’s influence, rather than a change in the Bank’s collective attitude towards funding a health programme. The Bank decision to contribute provided a critical indication of confidence in the programme to other prospective donors, before the signing of the Onchocerciasis Fund in 1974. It was not until 1983, after McNamara left the Bank, that Executive Directors formally questioned whether the Bank actually had the power to make grants to such special programmes.</w:t>
      </w:r>
      <w:r w:rsidRPr="00D9152B">
        <w:rPr>
          <w:rStyle w:val="FootnoteReference"/>
          <w:rFonts w:ascii="Calibri" w:hAnsi="Calibri" w:cs="Calibri"/>
          <w:sz w:val="22"/>
          <w:szCs w:val="22"/>
        </w:rPr>
        <w:footnoteReference w:id="461"/>
      </w:r>
    </w:p>
    <w:p w14:paraId="6A2B5F45" w14:textId="673A0628" w:rsidR="006A3479" w:rsidRPr="00D9152B" w:rsidRDefault="009A5A65" w:rsidP="009A5A65">
      <w:pPr>
        <w:pStyle w:val="Heading2"/>
        <w:rPr>
          <w:rFonts w:ascii="Calibri" w:hAnsi="Calibri" w:cs="Calibri"/>
          <w:b/>
          <w:sz w:val="26"/>
          <w:szCs w:val="26"/>
        </w:rPr>
      </w:pPr>
      <w:bookmarkStart w:id="83" w:name="_Toc41505657"/>
      <w:r w:rsidRPr="00D9152B">
        <w:rPr>
          <w:rFonts w:ascii="Calibri" w:hAnsi="Calibri" w:cs="Calibri"/>
          <w:b/>
          <w:sz w:val="26"/>
          <w:szCs w:val="26"/>
        </w:rPr>
        <w:t>5.</w:t>
      </w:r>
      <w:r w:rsidR="0065647C" w:rsidRPr="00D9152B">
        <w:rPr>
          <w:rFonts w:ascii="Calibri" w:hAnsi="Calibri" w:cs="Calibri"/>
          <w:b/>
          <w:sz w:val="26"/>
          <w:szCs w:val="26"/>
        </w:rPr>
        <w:t>4</w:t>
      </w:r>
      <w:r w:rsidR="006A3479" w:rsidRPr="00D9152B">
        <w:rPr>
          <w:rFonts w:ascii="Calibri" w:hAnsi="Calibri" w:cs="Calibri"/>
          <w:b/>
          <w:sz w:val="26"/>
          <w:szCs w:val="26"/>
        </w:rPr>
        <w:t xml:space="preserve">. </w:t>
      </w:r>
      <w:r w:rsidR="0065647C" w:rsidRPr="00D9152B">
        <w:rPr>
          <w:rFonts w:ascii="Calibri" w:hAnsi="Calibri" w:cs="Calibri"/>
          <w:b/>
          <w:sz w:val="26"/>
          <w:szCs w:val="26"/>
        </w:rPr>
        <w:t>Onchocerciasis Fund structure</w:t>
      </w:r>
      <w:bookmarkEnd w:id="83"/>
    </w:p>
    <w:p w14:paraId="2F042EE4" w14:textId="0F92682B"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With the Board of Directors’ approval and general donor agreement on loan terms, the 1975 Onchocerciasis Fund Agreement was signed by nine </w:t>
      </w:r>
      <w:r w:rsidR="00074B24" w:rsidRPr="00D9152B">
        <w:rPr>
          <w:rFonts w:ascii="Calibri" w:hAnsi="Calibri" w:cs="Calibri"/>
          <w:sz w:val="22"/>
          <w:szCs w:val="22"/>
        </w:rPr>
        <w:t xml:space="preserve">donor </w:t>
      </w:r>
      <w:r w:rsidRPr="00D9152B">
        <w:rPr>
          <w:rFonts w:ascii="Calibri" w:hAnsi="Calibri" w:cs="Calibri"/>
          <w:sz w:val="22"/>
          <w:szCs w:val="22"/>
        </w:rPr>
        <w:t>countries,</w:t>
      </w:r>
      <w:r w:rsidRPr="00D9152B">
        <w:rPr>
          <w:rStyle w:val="FootnoteReference"/>
          <w:rFonts w:ascii="Calibri" w:hAnsi="Calibri" w:cs="Calibri"/>
          <w:sz w:val="22"/>
          <w:szCs w:val="22"/>
        </w:rPr>
        <w:footnoteReference w:id="462"/>
      </w:r>
      <w:r w:rsidRPr="00D9152B">
        <w:rPr>
          <w:rFonts w:ascii="Calibri" w:hAnsi="Calibri" w:cs="Calibri"/>
          <w:sz w:val="22"/>
          <w:szCs w:val="22"/>
        </w:rPr>
        <w:t xml:space="preserve"> </w:t>
      </w:r>
      <w:r w:rsidR="00074B24" w:rsidRPr="00D9152B">
        <w:rPr>
          <w:rFonts w:ascii="Calibri" w:hAnsi="Calibri" w:cs="Calibri"/>
          <w:sz w:val="22"/>
          <w:szCs w:val="22"/>
        </w:rPr>
        <w:t xml:space="preserve">seven participating countries, </w:t>
      </w:r>
      <w:r w:rsidRPr="00D9152B">
        <w:rPr>
          <w:rFonts w:ascii="Calibri" w:hAnsi="Calibri" w:cs="Calibri"/>
          <w:sz w:val="22"/>
          <w:szCs w:val="22"/>
        </w:rPr>
        <w:t>the African Development Bank, and sponsoring agencies. Funding would be divided into distinct phases; the first agreement covered 1975-1979, and subsequent phases were from 1980-1985 (Phase II), 1986-1991 (Phase III),</w:t>
      </w:r>
      <w:r w:rsidR="00CB50A3" w:rsidRPr="00D9152B">
        <w:rPr>
          <w:rFonts w:ascii="Calibri" w:hAnsi="Calibri" w:cs="Calibri"/>
          <w:sz w:val="22"/>
          <w:szCs w:val="22"/>
        </w:rPr>
        <w:t xml:space="preserve"> and 1992-2002 (Phase IV). The f</w:t>
      </w:r>
      <w:r w:rsidRPr="00D9152B">
        <w:rPr>
          <w:rFonts w:ascii="Calibri" w:hAnsi="Calibri" w:cs="Calibri"/>
          <w:sz w:val="22"/>
          <w:szCs w:val="22"/>
        </w:rPr>
        <w:t xml:space="preserve">und would be as flexible as possible with donor pledges; to sign, a donor would only have to declare its contribution for the first year of the phase, although </w:t>
      </w:r>
      <w:r w:rsidR="00074B24" w:rsidRPr="00D9152B">
        <w:rPr>
          <w:rFonts w:ascii="Calibri" w:hAnsi="Calibri" w:cs="Calibri"/>
          <w:sz w:val="22"/>
          <w:szCs w:val="22"/>
        </w:rPr>
        <w:lastRenderedPageBreak/>
        <w:t>longer pledges were preferred</w:t>
      </w:r>
      <w:r w:rsidRPr="00D9152B">
        <w:rPr>
          <w:rFonts w:ascii="Calibri" w:hAnsi="Calibri" w:cs="Calibri"/>
          <w:sz w:val="22"/>
          <w:szCs w:val="22"/>
        </w:rPr>
        <w:t>.</w:t>
      </w:r>
      <w:r w:rsidRPr="00D9152B">
        <w:rPr>
          <w:rStyle w:val="FootnoteReference"/>
          <w:rFonts w:ascii="Calibri" w:hAnsi="Calibri" w:cs="Calibri"/>
          <w:sz w:val="22"/>
          <w:szCs w:val="22"/>
        </w:rPr>
        <w:footnoteReference w:id="463"/>
      </w:r>
      <w:r w:rsidRPr="00D9152B">
        <w:rPr>
          <w:rFonts w:ascii="Calibri" w:hAnsi="Calibri" w:cs="Calibri"/>
          <w:sz w:val="22"/>
          <w:szCs w:val="22"/>
        </w:rPr>
        <w:t xml:space="preserve"> The Bank would then flexibly accept payments to the </w:t>
      </w:r>
      <w:r w:rsidR="00CB50A3" w:rsidRPr="00D9152B">
        <w:rPr>
          <w:rFonts w:ascii="Calibri" w:hAnsi="Calibri" w:cs="Calibri"/>
          <w:sz w:val="22"/>
          <w:szCs w:val="22"/>
        </w:rPr>
        <w:t>f</w:t>
      </w:r>
      <w:r w:rsidRPr="00D9152B">
        <w:rPr>
          <w:rFonts w:ascii="Calibri" w:hAnsi="Calibri" w:cs="Calibri"/>
          <w:sz w:val="22"/>
          <w:szCs w:val="22"/>
        </w:rPr>
        <w:t xml:space="preserve">und within each phase, because some donors like the </w:t>
      </w:r>
      <w:r w:rsidR="0065647C" w:rsidRPr="00D9152B">
        <w:rPr>
          <w:rFonts w:ascii="Calibri" w:hAnsi="Calibri" w:cs="Calibri"/>
          <w:sz w:val="22"/>
          <w:szCs w:val="22"/>
        </w:rPr>
        <w:t>United States</w:t>
      </w:r>
      <w:r w:rsidRPr="00D9152B">
        <w:rPr>
          <w:rFonts w:ascii="Calibri" w:hAnsi="Calibri" w:cs="Calibri"/>
          <w:sz w:val="22"/>
          <w:szCs w:val="22"/>
        </w:rPr>
        <w:t>, Belgium</w:t>
      </w:r>
      <w:r w:rsidR="00E25D8A">
        <w:rPr>
          <w:rFonts w:ascii="Calibri" w:hAnsi="Calibri" w:cs="Calibri"/>
          <w:sz w:val="22"/>
          <w:szCs w:val="22"/>
        </w:rPr>
        <w:t>,</w:t>
      </w:r>
      <w:r w:rsidRPr="00D9152B">
        <w:rPr>
          <w:rFonts w:ascii="Calibri" w:hAnsi="Calibri" w:cs="Calibri"/>
          <w:sz w:val="22"/>
          <w:szCs w:val="22"/>
        </w:rPr>
        <w:t xml:space="preserve"> and Japan made decisions about commitments on annual basis, while others like the Netherlands, Saudi Arabia, and Switzerland pledged across entire OCP phases.</w:t>
      </w:r>
      <w:r w:rsidRPr="00D9152B">
        <w:rPr>
          <w:rStyle w:val="FootnoteReference"/>
          <w:rFonts w:ascii="Calibri" w:hAnsi="Calibri" w:cs="Calibri"/>
          <w:sz w:val="22"/>
          <w:szCs w:val="22"/>
        </w:rPr>
        <w:footnoteReference w:id="464"/>
      </w:r>
      <w:r w:rsidRPr="00D9152B">
        <w:rPr>
          <w:rFonts w:ascii="Calibri" w:hAnsi="Calibri" w:cs="Calibri"/>
          <w:sz w:val="22"/>
          <w:szCs w:val="22"/>
        </w:rPr>
        <w:t xml:space="preserve"> Such elective acquiescence would help the programme stay autonomous, with ‘donors calling the shots, not WHO’.</w:t>
      </w:r>
      <w:r w:rsidRPr="00D9152B">
        <w:rPr>
          <w:rStyle w:val="FootnoteReference"/>
          <w:rFonts w:ascii="Calibri" w:hAnsi="Calibri" w:cs="Calibri"/>
          <w:sz w:val="22"/>
          <w:szCs w:val="22"/>
        </w:rPr>
        <w:footnoteReference w:id="465"/>
      </w:r>
      <w:r w:rsidRPr="00D9152B">
        <w:rPr>
          <w:rFonts w:ascii="Calibri" w:hAnsi="Calibri" w:cs="Calibri"/>
          <w:sz w:val="22"/>
          <w:szCs w:val="22"/>
        </w:rPr>
        <w:t xml:space="preserve"> </w:t>
      </w:r>
    </w:p>
    <w:p w14:paraId="4E879F18" w14:textId="308F51A5"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Any remaining funds would be transferred between phases, and the </w:t>
      </w:r>
      <w:r w:rsidR="00CB50A3" w:rsidRPr="00D9152B">
        <w:rPr>
          <w:rFonts w:ascii="Calibri" w:hAnsi="Calibri" w:cs="Calibri"/>
          <w:sz w:val="22"/>
          <w:szCs w:val="22"/>
        </w:rPr>
        <w:t>Bank would serve as the f</w:t>
      </w:r>
      <w:r w:rsidR="0065647C" w:rsidRPr="00D9152B">
        <w:rPr>
          <w:rFonts w:ascii="Calibri" w:hAnsi="Calibri" w:cs="Calibri"/>
          <w:sz w:val="22"/>
          <w:szCs w:val="22"/>
        </w:rPr>
        <w:t>und’s a</w:t>
      </w:r>
      <w:r w:rsidRPr="00D9152B">
        <w:rPr>
          <w:rFonts w:ascii="Calibri" w:hAnsi="Calibri" w:cs="Calibri"/>
          <w:sz w:val="22"/>
          <w:szCs w:val="22"/>
        </w:rPr>
        <w:t xml:space="preserve">dministrator, requesting and overseeing the collection of contributions (Figure </w:t>
      </w:r>
      <w:r w:rsidR="00E25D8A">
        <w:rPr>
          <w:rFonts w:ascii="Calibri" w:hAnsi="Calibri" w:cs="Calibri"/>
          <w:sz w:val="22"/>
          <w:szCs w:val="22"/>
        </w:rPr>
        <w:t>5.</w:t>
      </w:r>
      <w:r w:rsidR="0065647C" w:rsidRPr="00D9152B">
        <w:rPr>
          <w:rFonts w:ascii="Calibri" w:hAnsi="Calibri" w:cs="Calibri"/>
          <w:sz w:val="22"/>
          <w:szCs w:val="22"/>
        </w:rPr>
        <w:t>2</w:t>
      </w:r>
      <w:r w:rsidRPr="00D9152B">
        <w:rPr>
          <w:rFonts w:ascii="Calibri" w:hAnsi="Calibri" w:cs="Calibri"/>
          <w:sz w:val="22"/>
          <w:szCs w:val="22"/>
        </w:rPr>
        <w:t xml:space="preserve">). Commitments would be converted to USD upon receipt by the Bank, and deposited into the Federal Reserve Bank of New York, where income earned on </w:t>
      </w:r>
      <w:r w:rsidR="00CB50A3" w:rsidRPr="00D9152B">
        <w:rPr>
          <w:rFonts w:ascii="Calibri" w:hAnsi="Calibri" w:cs="Calibri"/>
          <w:sz w:val="22"/>
          <w:szCs w:val="22"/>
        </w:rPr>
        <w:t>investment would accrue to the f</w:t>
      </w:r>
      <w:r w:rsidRPr="00D9152B">
        <w:rPr>
          <w:rFonts w:ascii="Calibri" w:hAnsi="Calibri" w:cs="Calibri"/>
          <w:sz w:val="22"/>
          <w:szCs w:val="22"/>
        </w:rPr>
        <w:t>und (not the Bank).</w:t>
      </w:r>
      <w:r w:rsidRPr="00D9152B">
        <w:rPr>
          <w:rStyle w:val="FootnoteReference"/>
          <w:rFonts w:ascii="Calibri" w:hAnsi="Calibri" w:cs="Calibri"/>
          <w:sz w:val="22"/>
          <w:szCs w:val="22"/>
        </w:rPr>
        <w:footnoteReference w:id="466"/>
      </w:r>
      <w:r w:rsidRPr="00D9152B">
        <w:rPr>
          <w:rFonts w:ascii="Calibri" w:hAnsi="Calibri" w:cs="Calibri"/>
          <w:sz w:val="22"/>
          <w:szCs w:val="22"/>
        </w:rPr>
        <w:t xml:space="preserve"> Administrative costs were to be borne by the Bank, as would the costs of fundraising. The Bank would then send money quarterly to the WHO, after it received the WHO’s written application and budget.</w:t>
      </w:r>
      <w:r w:rsidRPr="00D9152B">
        <w:rPr>
          <w:rStyle w:val="FootnoteReference"/>
          <w:rFonts w:ascii="Calibri" w:hAnsi="Calibri" w:cs="Calibri"/>
          <w:sz w:val="22"/>
          <w:szCs w:val="22"/>
        </w:rPr>
        <w:footnoteReference w:id="467"/>
      </w:r>
      <w:r w:rsidRPr="00D9152B">
        <w:rPr>
          <w:rFonts w:ascii="Calibri" w:hAnsi="Calibri" w:cs="Calibri"/>
          <w:sz w:val="22"/>
          <w:szCs w:val="22"/>
        </w:rPr>
        <w:t xml:space="preserve"> This system, and the exclusion of tied aid, helped prevent corruption; money would go directly to the WHO for programme execution, not to governments for implementation.</w:t>
      </w:r>
      <w:r w:rsidRPr="00D9152B">
        <w:rPr>
          <w:rStyle w:val="FootnoteReference"/>
          <w:rFonts w:ascii="Calibri" w:hAnsi="Calibri" w:cs="Calibri"/>
          <w:sz w:val="22"/>
          <w:szCs w:val="22"/>
        </w:rPr>
        <w:footnoteReference w:id="468"/>
      </w:r>
      <w:r w:rsidR="00CB50A3" w:rsidRPr="00D9152B">
        <w:rPr>
          <w:rFonts w:ascii="Calibri" w:hAnsi="Calibri" w:cs="Calibri"/>
          <w:sz w:val="22"/>
          <w:szCs w:val="22"/>
        </w:rPr>
        <w:t xml:space="preserve"> As suggested by the Bank, the f</w:t>
      </w:r>
      <w:r w:rsidRPr="00D9152B">
        <w:rPr>
          <w:rFonts w:ascii="Calibri" w:hAnsi="Calibri" w:cs="Calibri"/>
          <w:sz w:val="22"/>
          <w:szCs w:val="22"/>
        </w:rPr>
        <w:t>und would maintain a minimum reserve of 10 million. This reserve would help the long-term programme weather any budgetary crises, such as insecticide cost increases or poor exchange rates.</w:t>
      </w:r>
      <w:r w:rsidRPr="00D9152B">
        <w:rPr>
          <w:rStyle w:val="FootnoteReference"/>
          <w:rFonts w:ascii="Calibri" w:hAnsi="Calibri" w:cs="Calibri"/>
          <w:sz w:val="22"/>
          <w:szCs w:val="22"/>
        </w:rPr>
        <w:footnoteReference w:id="469"/>
      </w:r>
      <w:r w:rsidRPr="00D9152B">
        <w:rPr>
          <w:rFonts w:ascii="Calibri" w:hAnsi="Calibri" w:cs="Calibri"/>
          <w:sz w:val="22"/>
          <w:szCs w:val="22"/>
        </w:rPr>
        <w:t xml:space="preserve"> Having a single trust fund held at the Bank, without additional bilateral or multilateral funding mechanisms, helped the Bank streamline its OCP fundraising efforts. This contrasted with the TDR financing arrangement, which consisted of both a TDR Fund held at the Bank and an extra-budgetary trust fund at the WHO.</w:t>
      </w:r>
    </w:p>
    <w:p w14:paraId="43EF3363" w14:textId="77777777" w:rsidR="00AC7848" w:rsidRPr="00D9152B" w:rsidRDefault="00AC7848" w:rsidP="002C2DA0">
      <w:pPr>
        <w:rPr>
          <w:rFonts w:ascii="Calibri" w:hAnsi="Calibri" w:cs="Calibri"/>
          <w:i/>
        </w:rPr>
      </w:pPr>
      <w:r w:rsidRPr="00D9152B">
        <w:rPr>
          <w:rFonts w:ascii="Calibri" w:hAnsi="Calibri" w:cs="Calibri"/>
          <w:i/>
          <w:noProof/>
          <w:lang w:eastAsia="en-GB"/>
        </w:rPr>
        <w:lastRenderedPageBreak/>
        <w:drawing>
          <wp:inline distT="0" distB="0" distL="0" distR="0" wp14:anchorId="186930D7" wp14:editId="5B7542E8">
            <wp:extent cx="5479085" cy="1631290"/>
            <wp:effectExtent l="0" t="38100" r="0" b="45720"/>
            <wp:docPr id="36" name="Diagram 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7" r:lo="rId58" r:qs="rId59" r:cs="rId60"/>
              </a:graphicData>
            </a:graphic>
          </wp:inline>
        </w:drawing>
      </w:r>
    </w:p>
    <w:p w14:paraId="4A93245F" w14:textId="67562897" w:rsidR="00AC7848" w:rsidRPr="00D9152B" w:rsidRDefault="0065647C" w:rsidP="002C2DA0">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E25D8A">
        <w:rPr>
          <w:rFonts w:ascii="Calibri" w:hAnsi="Calibri" w:cs="Calibri"/>
          <w:color w:val="808080" w:themeColor="background1" w:themeShade="80"/>
          <w:sz w:val="22"/>
          <w:szCs w:val="22"/>
        </w:rPr>
        <w:t>5.</w:t>
      </w:r>
      <w:r w:rsidRPr="00D9152B">
        <w:rPr>
          <w:rFonts w:ascii="Calibri" w:hAnsi="Calibri" w:cs="Calibri"/>
          <w:color w:val="808080" w:themeColor="background1" w:themeShade="80"/>
          <w:sz w:val="22"/>
          <w:szCs w:val="22"/>
        </w:rPr>
        <w:t>2</w:t>
      </w:r>
      <w:r w:rsidR="00AC7848" w:rsidRPr="00D9152B">
        <w:rPr>
          <w:rFonts w:ascii="Calibri" w:hAnsi="Calibri" w:cs="Calibri"/>
          <w:color w:val="808080" w:themeColor="background1" w:themeShade="80"/>
          <w:sz w:val="22"/>
          <w:szCs w:val="22"/>
        </w:rPr>
        <w:t>. The Onchocerciasis Fund</w:t>
      </w:r>
      <w:r w:rsidRPr="00D9152B">
        <w:rPr>
          <w:rFonts w:ascii="Calibri" w:hAnsi="Calibri" w:cs="Calibri"/>
          <w:color w:val="808080" w:themeColor="background1" w:themeShade="80"/>
          <w:sz w:val="22"/>
          <w:szCs w:val="22"/>
        </w:rPr>
        <w:t xml:space="preserve"> general</w:t>
      </w:r>
      <w:r w:rsidR="00AC7848" w:rsidRPr="00D9152B">
        <w:rPr>
          <w:rFonts w:ascii="Calibri" w:hAnsi="Calibri" w:cs="Calibri"/>
          <w:color w:val="808080" w:themeColor="background1" w:themeShade="80"/>
          <w:sz w:val="22"/>
          <w:szCs w:val="22"/>
        </w:rPr>
        <w:t xml:space="preserve"> financing mechani</w:t>
      </w:r>
      <w:r w:rsidR="002C2DA0" w:rsidRPr="00D9152B">
        <w:rPr>
          <w:rFonts w:ascii="Calibri" w:hAnsi="Calibri" w:cs="Calibri"/>
          <w:color w:val="808080" w:themeColor="background1" w:themeShade="80"/>
          <w:sz w:val="22"/>
          <w:szCs w:val="22"/>
        </w:rPr>
        <w:t>sm</w:t>
      </w:r>
      <w:r w:rsidR="00AC7848" w:rsidRPr="00D9152B">
        <w:rPr>
          <w:rFonts w:ascii="Calibri" w:hAnsi="Calibri" w:cs="Calibri"/>
          <w:color w:val="808080" w:themeColor="background1" w:themeShade="80"/>
          <w:sz w:val="22"/>
          <w:szCs w:val="22"/>
        </w:rPr>
        <w:t>.</w:t>
      </w:r>
      <w:r w:rsidR="0078014F" w:rsidRPr="00D9152B">
        <w:rPr>
          <w:rStyle w:val="FootnoteReference"/>
          <w:rFonts w:ascii="Calibri" w:hAnsi="Calibri" w:cs="Calibri"/>
          <w:color w:val="808080" w:themeColor="background1" w:themeShade="80"/>
        </w:rPr>
        <w:footnoteReference w:id="470"/>
      </w:r>
      <w:r w:rsidR="00AC7848" w:rsidRPr="00D9152B">
        <w:rPr>
          <w:rFonts w:ascii="Calibri" w:hAnsi="Calibri" w:cs="Calibri"/>
          <w:color w:val="808080" w:themeColor="background1" w:themeShade="80"/>
          <w:sz w:val="22"/>
          <w:szCs w:val="22"/>
        </w:rPr>
        <w:t xml:space="preserve"> </w:t>
      </w:r>
    </w:p>
    <w:p w14:paraId="62ED1F29" w14:textId="77777777" w:rsidR="00313FE9" w:rsidRPr="00D9152B" w:rsidRDefault="00313FE9" w:rsidP="0065647C">
      <w:pPr>
        <w:pStyle w:val="Heading3"/>
        <w:rPr>
          <w:rFonts w:ascii="Calibri" w:hAnsi="Calibri" w:cs="Calibri"/>
          <w:b/>
        </w:rPr>
      </w:pPr>
    </w:p>
    <w:p w14:paraId="11547DB0" w14:textId="3082EB97" w:rsidR="0065647C" w:rsidRPr="00D9152B" w:rsidRDefault="009A5A65" w:rsidP="009A5A65">
      <w:pPr>
        <w:pStyle w:val="Heading2"/>
        <w:rPr>
          <w:rFonts w:ascii="Calibri" w:hAnsi="Calibri" w:cs="Calibri"/>
          <w:b/>
          <w:sz w:val="26"/>
          <w:szCs w:val="26"/>
        </w:rPr>
      </w:pPr>
      <w:bookmarkStart w:id="84" w:name="_Toc41505658"/>
      <w:r w:rsidRPr="00D9152B">
        <w:rPr>
          <w:rFonts w:ascii="Calibri" w:hAnsi="Calibri" w:cs="Calibri"/>
          <w:b/>
          <w:sz w:val="26"/>
          <w:szCs w:val="26"/>
        </w:rPr>
        <w:t>5.5</w:t>
      </w:r>
      <w:r w:rsidR="0065647C" w:rsidRPr="00D9152B">
        <w:rPr>
          <w:rFonts w:ascii="Calibri" w:hAnsi="Calibri" w:cs="Calibri"/>
          <w:b/>
          <w:sz w:val="26"/>
          <w:szCs w:val="26"/>
        </w:rPr>
        <w:t>. A new, influential health trust fund model</w:t>
      </w:r>
      <w:bookmarkEnd w:id="84"/>
    </w:p>
    <w:p w14:paraId="09E72E53" w14:textId="7C1122A1"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In short, the Onchocerciasis Fund – like the trust funds supporting CGIAR and TDR – was primarily the brainchild of McNamara. It marked a new era of financing at the Bank, characterised by three major trends. First, it established grant financing as a fast and flexible way to scale-up financing for global programmes, particularly those involving multiple Bretton Woods sponsoring agencies. Second, it broke apart the financing vehicles (Bank trust funds) from the technical execution (WHO) of these programmes. This new model assumed that the Bank’s fiscal and managerial arrangements could improve the technical delivery of UN agencies like the WHO for projects tackling global public goods in the development sector. Third, the Onchocerciasis Fund model put forward the idea of co-financing as ‘catalytic aid’ for health programmes. As early as 1980, the Bank argued that the OCP was an ‘extremely productive’ co-financing effort, since ‘each dollar contributed by the Bank is now matched by 12 dollars from other donors’.</w:t>
      </w:r>
      <w:r w:rsidRPr="00D9152B">
        <w:rPr>
          <w:rStyle w:val="FootnoteReference"/>
          <w:rFonts w:ascii="Calibri" w:hAnsi="Calibri" w:cs="Calibri"/>
          <w:sz w:val="22"/>
          <w:szCs w:val="22"/>
        </w:rPr>
        <w:t xml:space="preserve"> </w:t>
      </w:r>
      <w:r w:rsidRPr="00D9152B">
        <w:rPr>
          <w:rStyle w:val="FootnoteReference"/>
          <w:rFonts w:ascii="Calibri" w:hAnsi="Calibri" w:cs="Calibri"/>
          <w:sz w:val="22"/>
          <w:szCs w:val="22"/>
        </w:rPr>
        <w:footnoteReference w:id="471"/>
      </w:r>
      <w:r w:rsidRPr="00D9152B">
        <w:rPr>
          <w:rFonts w:ascii="Calibri" w:hAnsi="Calibri" w:cs="Calibri"/>
          <w:sz w:val="22"/>
          <w:szCs w:val="22"/>
        </w:rPr>
        <w:t xml:space="preserve"> McNamara later wrote to the Executive Directors that ‘each dollar contributed by the Bank </w:t>
      </w:r>
      <w:r w:rsidRPr="00D9152B">
        <w:rPr>
          <w:rFonts w:ascii="Calibri" w:hAnsi="Calibri" w:cs="Calibri"/>
          <w:i/>
          <w:sz w:val="22"/>
          <w:szCs w:val="22"/>
        </w:rPr>
        <w:t xml:space="preserve">generates </w:t>
      </w:r>
      <w:r w:rsidRPr="00D9152B">
        <w:rPr>
          <w:rFonts w:ascii="Calibri" w:hAnsi="Calibri" w:cs="Calibri"/>
          <w:sz w:val="22"/>
          <w:szCs w:val="22"/>
        </w:rPr>
        <w:t>at least nine dollars from other donors’.</w:t>
      </w:r>
      <w:r w:rsidRPr="00D9152B">
        <w:rPr>
          <w:rStyle w:val="FootnoteReference"/>
          <w:rFonts w:ascii="Calibri" w:hAnsi="Calibri" w:cs="Calibri"/>
          <w:sz w:val="22"/>
          <w:szCs w:val="22"/>
        </w:rPr>
        <w:t xml:space="preserve"> </w:t>
      </w:r>
      <w:r w:rsidRPr="00D9152B">
        <w:rPr>
          <w:rStyle w:val="FootnoteReference"/>
          <w:rFonts w:ascii="Calibri" w:hAnsi="Calibri" w:cs="Calibri"/>
          <w:sz w:val="22"/>
          <w:szCs w:val="22"/>
        </w:rPr>
        <w:footnoteReference w:id="472"/>
      </w:r>
      <w:r w:rsidRPr="00D9152B">
        <w:rPr>
          <w:rFonts w:ascii="Calibri" w:hAnsi="Calibri" w:cs="Calibri"/>
          <w:sz w:val="22"/>
          <w:szCs w:val="22"/>
        </w:rPr>
        <w:t xml:space="preserve"> Irrespective of whether this was a fair calculation – at least some dollars might have been forthcoming whether or not the Bank gave a grant to the </w:t>
      </w:r>
      <w:r w:rsidRPr="00D9152B">
        <w:rPr>
          <w:rFonts w:ascii="Calibri" w:hAnsi="Calibri" w:cs="Calibri"/>
          <w:sz w:val="22"/>
          <w:szCs w:val="22"/>
        </w:rPr>
        <w:lastRenderedPageBreak/>
        <w:t>Fund</w:t>
      </w:r>
      <w:r w:rsidRPr="00D9152B">
        <w:rPr>
          <w:rStyle w:val="FootnoteReference"/>
          <w:rFonts w:ascii="Calibri" w:hAnsi="Calibri" w:cs="Calibri"/>
          <w:sz w:val="22"/>
          <w:szCs w:val="22"/>
        </w:rPr>
        <w:footnoteReference w:id="473"/>
      </w:r>
      <w:r w:rsidRPr="00D9152B">
        <w:rPr>
          <w:rFonts w:ascii="Calibri" w:hAnsi="Calibri" w:cs="Calibri"/>
          <w:sz w:val="22"/>
          <w:szCs w:val="22"/>
        </w:rPr>
        <w:t xml:space="preserve"> – this language provided effective ammunition for selling a rural health programme within and outside of the Bank.</w:t>
      </w:r>
    </w:p>
    <w:p w14:paraId="04E8E984" w14:textId="6CACDEE8"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As Benton has argued, ‘There is, I think, a very important story to be told about how you can scale up a program rapidly if you have the grant financing, if you’re doing it on a regional basis, if you have an underlying agreement that everyone signed off on…’. Benton adds that the lesson is that valuable programmes can ‘scale up rapidly, without doing it irresponsibly’.</w:t>
      </w:r>
      <w:r w:rsidRPr="00D9152B">
        <w:rPr>
          <w:rStyle w:val="FootnoteReference"/>
          <w:rFonts w:ascii="Calibri" w:hAnsi="Calibri" w:cs="Calibri"/>
          <w:sz w:val="22"/>
          <w:szCs w:val="22"/>
        </w:rPr>
        <w:t xml:space="preserve"> </w:t>
      </w:r>
      <w:r w:rsidRPr="00D9152B">
        <w:rPr>
          <w:rStyle w:val="FootnoteReference"/>
          <w:rFonts w:ascii="Calibri" w:hAnsi="Calibri" w:cs="Calibri"/>
          <w:sz w:val="22"/>
          <w:szCs w:val="22"/>
        </w:rPr>
        <w:footnoteReference w:id="474"/>
      </w:r>
      <w:r w:rsidRPr="00D9152B">
        <w:rPr>
          <w:rFonts w:ascii="Calibri" w:hAnsi="Calibri" w:cs="Calibri"/>
          <w:sz w:val="22"/>
          <w:szCs w:val="22"/>
        </w:rPr>
        <w:t xml:space="preserve"> A counter argument is that there were little multilateral checks placed on the OCP using this system. Buy-in from leaders at the WHO, Bank, and UNDP pushed the programme forward, </w:t>
      </w:r>
      <w:r w:rsidR="00CB50A3" w:rsidRPr="00D9152B">
        <w:rPr>
          <w:rFonts w:ascii="Calibri" w:hAnsi="Calibri" w:cs="Calibri"/>
          <w:sz w:val="22"/>
          <w:szCs w:val="22"/>
        </w:rPr>
        <w:t xml:space="preserve">often </w:t>
      </w:r>
      <w:r w:rsidRPr="00D9152B">
        <w:rPr>
          <w:rFonts w:ascii="Calibri" w:hAnsi="Calibri" w:cs="Calibri"/>
          <w:sz w:val="22"/>
          <w:szCs w:val="22"/>
        </w:rPr>
        <w:t>without formal votes that would be required for core funding at the WHO and Bank.</w:t>
      </w:r>
      <w:r w:rsidRPr="00D9152B">
        <w:rPr>
          <w:rStyle w:val="FootnoteReference"/>
          <w:rFonts w:ascii="Calibri" w:hAnsi="Calibri" w:cs="Calibri"/>
          <w:sz w:val="22"/>
          <w:szCs w:val="22"/>
        </w:rPr>
        <w:footnoteReference w:id="475"/>
      </w:r>
      <w:r w:rsidR="00CB50A3" w:rsidRPr="00D9152B">
        <w:rPr>
          <w:rFonts w:ascii="Calibri" w:hAnsi="Calibri" w:cs="Calibri"/>
          <w:sz w:val="22"/>
          <w:szCs w:val="22"/>
        </w:rPr>
        <w:t xml:space="preserve"> And, </w:t>
      </w:r>
      <w:r w:rsidR="009F78E5" w:rsidRPr="00D9152B">
        <w:rPr>
          <w:rFonts w:ascii="Calibri" w:hAnsi="Calibri" w:cs="Calibri"/>
          <w:sz w:val="22"/>
          <w:szCs w:val="22"/>
        </w:rPr>
        <w:t xml:space="preserve">as </w:t>
      </w:r>
      <w:r w:rsidR="00CB50A3" w:rsidRPr="00D9152B">
        <w:rPr>
          <w:rFonts w:ascii="Calibri" w:hAnsi="Calibri" w:cs="Calibri"/>
          <w:sz w:val="22"/>
          <w:szCs w:val="22"/>
        </w:rPr>
        <w:t>Chapter 9</w:t>
      </w:r>
      <w:r w:rsidRPr="00D9152B">
        <w:rPr>
          <w:rFonts w:ascii="Calibri" w:hAnsi="Calibri" w:cs="Calibri"/>
          <w:sz w:val="22"/>
          <w:szCs w:val="22"/>
        </w:rPr>
        <w:t xml:space="preserve"> further explores, the programme opened the flood-gates for health trust funds at the Bank. These trust funds typically have ad-hoc administrative agreements about safeguards, such as access to information and environmental protection, and pose the risk of fragmenting development assistance for health.</w:t>
      </w:r>
      <w:r w:rsidRPr="00D9152B">
        <w:rPr>
          <w:rStyle w:val="FootnoteReference"/>
          <w:rFonts w:ascii="Calibri" w:hAnsi="Calibri" w:cs="Calibri"/>
          <w:sz w:val="22"/>
          <w:szCs w:val="22"/>
        </w:rPr>
        <w:footnoteReference w:id="476"/>
      </w:r>
      <w:r w:rsidRPr="00D9152B">
        <w:rPr>
          <w:rFonts w:ascii="Calibri" w:hAnsi="Calibri" w:cs="Calibri"/>
          <w:sz w:val="22"/>
          <w:szCs w:val="22"/>
        </w:rPr>
        <w:t xml:space="preserve"> Furthermore, as the next section describes, trust funded projects are often less transparent </w:t>
      </w:r>
      <w:r w:rsidR="00E25D8A">
        <w:rPr>
          <w:rFonts w:ascii="Calibri" w:hAnsi="Calibri" w:cs="Calibri"/>
          <w:sz w:val="22"/>
          <w:szCs w:val="22"/>
        </w:rPr>
        <w:t xml:space="preserve">to the public </w:t>
      </w:r>
      <w:r w:rsidRPr="00D9152B">
        <w:rPr>
          <w:rFonts w:ascii="Calibri" w:hAnsi="Calibri" w:cs="Calibri"/>
          <w:sz w:val="22"/>
          <w:szCs w:val="22"/>
        </w:rPr>
        <w:t>than core projects.</w:t>
      </w:r>
    </w:p>
    <w:p w14:paraId="6BD2FC4F" w14:textId="23DC9D3F" w:rsidR="00AC7848" w:rsidRPr="00D9152B" w:rsidRDefault="009A5A65" w:rsidP="00FA7761">
      <w:pPr>
        <w:pStyle w:val="Heading2"/>
        <w:rPr>
          <w:rFonts w:ascii="Calibri" w:hAnsi="Calibri" w:cs="Calibri"/>
          <w:b/>
          <w:sz w:val="28"/>
          <w:szCs w:val="28"/>
        </w:rPr>
      </w:pPr>
      <w:bookmarkStart w:id="85" w:name="_Toc41505659"/>
      <w:r w:rsidRPr="00D9152B">
        <w:rPr>
          <w:rFonts w:ascii="Calibri" w:hAnsi="Calibri" w:cs="Calibri"/>
          <w:b/>
          <w:sz w:val="28"/>
          <w:szCs w:val="28"/>
        </w:rPr>
        <w:t>5.6</w:t>
      </w:r>
      <w:r w:rsidR="00FA7761" w:rsidRPr="00D9152B">
        <w:rPr>
          <w:rFonts w:ascii="Calibri" w:hAnsi="Calibri" w:cs="Calibri"/>
          <w:b/>
          <w:sz w:val="28"/>
          <w:szCs w:val="28"/>
        </w:rPr>
        <w:t xml:space="preserve">. </w:t>
      </w:r>
      <w:r w:rsidR="00561883" w:rsidRPr="00D9152B">
        <w:rPr>
          <w:rFonts w:ascii="Calibri" w:hAnsi="Calibri" w:cs="Calibri"/>
          <w:b/>
          <w:sz w:val="28"/>
          <w:szCs w:val="28"/>
        </w:rPr>
        <w:t>Budgeting: transparency and priorities</w:t>
      </w:r>
      <w:bookmarkEnd w:id="85"/>
    </w:p>
    <w:p w14:paraId="6E12CC19" w14:textId="77777777" w:rsidR="002C2DA0" w:rsidRPr="00D9152B" w:rsidRDefault="002C2DA0" w:rsidP="002C2DA0">
      <w:pPr>
        <w:pStyle w:val="Heading3"/>
        <w:rPr>
          <w:rFonts w:ascii="Calibri" w:hAnsi="Calibri" w:cs="Calibri"/>
        </w:rPr>
      </w:pPr>
    </w:p>
    <w:p w14:paraId="18265D0F" w14:textId="19A4C0F4" w:rsidR="00AC7848" w:rsidRPr="00D9152B" w:rsidRDefault="009A5A65" w:rsidP="005C7F9F">
      <w:pPr>
        <w:pStyle w:val="Heading3"/>
        <w:spacing w:line="360" w:lineRule="auto"/>
        <w:rPr>
          <w:rFonts w:ascii="Calibri" w:hAnsi="Calibri" w:cs="Calibri"/>
          <w:b/>
          <w:i/>
          <w:color w:val="000000" w:themeColor="text1"/>
          <w:sz w:val="22"/>
          <w:szCs w:val="22"/>
        </w:rPr>
      </w:pPr>
      <w:bookmarkStart w:id="86" w:name="_Toc41505660"/>
      <w:r w:rsidRPr="00D9152B">
        <w:rPr>
          <w:rFonts w:ascii="Calibri" w:hAnsi="Calibri" w:cs="Calibri"/>
          <w:b/>
          <w:i/>
          <w:color w:val="000000" w:themeColor="text1"/>
          <w:sz w:val="22"/>
          <w:szCs w:val="22"/>
        </w:rPr>
        <w:t>5</w:t>
      </w:r>
      <w:r w:rsidR="002C2DA0" w:rsidRPr="00D9152B">
        <w:rPr>
          <w:rFonts w:ascii="Calibri" w:hAnsi="Calibri" w:cs="Calibri"/>
          <w:b/>
          <w:i/>
          <w:color w:val="000000" w:themeColor="text1"/>
          <w:sz w:val="22"/>
          <w:szCs w:val="22"/>
        </w:rPr>
        <w:t>.</w:t>
      </w:r>
      <w:r w:rsidRPr="00D9152B">
        <w:rPr>
          <w:rFonts w:ascii="Calibri" w:hAnsi="Calibri" w:cs="Calibri"/>
          <w:b/>
          <w:i/>
          <w:color w:val="000000" w:themeColor="text1"/>
          <w:sz w:val="22"/>
          <w:szCs w:val="22"/>
        </w:rPr>
        <w:t>6</w:t>
      </w:r>
      <w:r w:rsidR="002C2DA0" w:rsidRPr="00D9152B">
        <w:rPr>
          <w:rFonts w:ascii="Calibri" w:hAnsi="Calibri" w:cs="Calibri"/>
          <w:b/>
          <w:i/>
          <w:color w:val="000000" w:themeColor="text1"/>
          <w:sz w:val="22"/>
          <w:szCs w:val="22"/>
        </w:rPr>
        <w:t>.</w:t>
      </w:r>
      <w:r w:rsidRPr="00D9152B">
        <w:rPr>
          <w:rFonts w:ascii="Calibri" w:hAnsi="Calibri" w:cs="Calibri"/>
          <w:b/>
          <w:i/>
          <w:color w:val="000000" w:themeColor="text1"/>
          <w:sz w:val="22"/>
          <w:szCs w:val="22"/>
        </w:rPr>
        <w:t>A.</w:t>
      </w:r>
      <w:r w:rsidR="002C2DA0" w:rsidRPr="00D9152B">
        <w:rPr>
          <w:rFonts w:ascii="Calibri" w:hAnsi="Calibri" w:cs="Calibri"/>
          <w:b/>
          <w:i/>
          <w:color w:val="000000" w:themeColor="text1"/>
          <w:sz w:val="22"/>
          <w:szCs w:val="22"/>
        </w:rPr>
        <w:t xml:space="preserve"> </w:t>
      </w:r>
      <w:r w:rsidR="000D611F" w:rsidRPr="00D9152B">
        <w:rPr>
          <w:rFonts w:ascii="Calibri" w:hAnsi="Calibri" w:cs="Calibri"/>
          <w:b/>
          <w:i/>
          <w:color w:val="000000" w:themeColor="text1"/>
          <w:sz w:val="22"/>
          <w:szCs w:val="22"/>
        </w:rPr>
        <w:t>E</w:t>
      </w:r>
      <w:r w:rsidR="00B75B32" w:rsidRPr="00D9152B">
        <w:rPr>
          <w:rFonts w:ascii="Calibri" w:hAnsi="Calibri" w:cs="Calibri"/>
          <w:b/>
          <w:i/>
          <w:color w:val="000000" w:themeColor="text1"/>
          <w:sz w:val="22"/>
          <w:szCs w:val="22"/>
        </w:rPr>
        <w:t>stimates of total costs</w:t>
      </w:r>
      <w:bookmarkEnd w:id="86"/>
    </w:p>
    <w:p w14:paraId="12CCD3C1" w14:textId="530DA71B"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Tracking what was contributed and expended from the Onchocerciasis Fund is surprisingly challenging. According </w:t>
      </w:r>
      <w:r w:rsidR="000B094F">
        <w:rPr>
          <w:rFonts w:ascii="Calibri" w:hAnsi="Calibri" w:cs="Calibri"/>
          <w:sz w:val="22"/>
          <w:szCs w:val="22"/>
        </w:rPr>
        <w:t xml:space="preserve">to </w:t>
      </w:r>
      <w:r w:rsidRPr="00D9152B">
        <w:rPr>
          <w:rFonts w:ascii="Calibri" w:hAnsi="Calibri" w:cs="Calibri"/>
          <w:sz w:val="22"/>
          <w:szCs w:val="22"/>
        </w:rPr>
        <w:t xml:space="preserve">the WHO’s </w:t>
      </w:r>
      <w:r w:rsidRPr="00D9152B">
        <w:rPr>
          <w:rFonts w:ascii="Calibri" w:hAnsi="Calibri" w:cs="Calibri"/>
          <w:i/>
          <w:sz w:val="22"/>
          <w:szCs w:val="22"/>
        </w:rPr>
        <w:t xml:space="preserve">Success in Africa </w:t>
      </w:r>
      <w:r w:rsidRPr="00D9152B">
        <w:rPr>
          <w:rFonts w:ascii="Calibri" w:hAnsi="Calibri" w:cs="Calibri"/>
          <w:sz w:val="22"/>
          <w:szCs w:val="22"/>
        </w:rPr>
        <w:t>book, the programme’s total budget was approximately $556 million from 1974-2002.</w:t>
      </w:r>
      <w:r w:rsidRPr="00D9152B">
        <w:rPr>
          <w:rStyle w:val="FootnoteReference"/>
          <w:rFonts w:ascii="Calibri" w:hAnsi="Calibri" w:cs="Calibri"/>
          <w:sz w:val="22"/>
          <w:szCs w:val="22"/>
        </w:rPr>
        <w:footnoteReference w:id="477"/>
      </w:r>
      <w:r w:rsidRPr="00D9152B">
        <w:rPr>
          <w:rFonts w:ascii="Calibri" w:hAnsi="Calibri" w:cs="Calibri"/>
          <w:sz w:val="22"/>
          <w:szCs w:val="22"/>
        </w:rPr>
        <w:t xml:space="preserve"> However, this publication does not provide a breakdown of how the $556 million was spent over time, or what was contributed by various partners. </w:t>
      </w:r>
      <w:r w:rsidR="0065647C" w:rsidRPr="00D9152B">
        <w:rPr>
          <w:rFonts w:ascii="Calibri" w:hAnsi="Calibri" w:cs="Calibri"/>
          <w:sz w:val="22"/>
          <w:szCs w:val="22"/>
        </w:rPr>
        <w:t>OCP Director E.M. Samba’s 1994 book</w:t>
      </w:r>
      <w:r w:rsidRPr="00D9152B">
        <w:rPr>
          <w:rFonts w:ascii="Calibri" w:hAnsi="Calibri" w:cs="Calibri"/>
          <w:sz w:val="22"/>
          <w:szCs w:val="22"/>
        </w:rPr>
        <w:t xml:space="preserve"> placed the total </w:t>
      </w:r>
      <w:r w:rsidRPr="00D9152B">
        <w:rPr>
          <w:rFonts w:ascii="Calibri" w:hAnsi="Calibri" w:cs="Calibri"/>
          <w:sz w:val="22"/>
          <w:szCs w:val="22"/>
        </w:rPr>
        <w:lastRenderedPageBreak/>
        <w:t>cost of the programme during its first three phases (from 19</w:t>
      </w:r>
      <w:r w:rsidR="00D60532">
        <w:rPr>
          <w:rFonts w:ascii="Calibri" w:hAnsi="Calibri" w:cs="Calibri"/>
          <w:sz w:val="22"/>
          <w:szCs w:val="22"/>
        </w:rPr>
        <w:t>7</w:t>
      </w:r>
      <w:r w:rsidRPr="00D9152B">
        <w:rPr>
          <w:rFonts w:ascii="Calibri" w:hAnsi="Calibri" w:cs="Calibri"/>
          <w:sz w:val="22"/>
          <w:szCs w:val="22"/>
        </w:rPr>
        <w:t>4-1991) at $338 million.</w:t>
      </w:r>
      <w:r w:rsidRPr="00D9152B">
        <w:rPr>
          <w:rStyle w:val="FootnoteReference"/>
          <w:rFonts w:ascii="Calibri" w:hAnsi="Calibri" w:cs="Calibri"/>
          <w:sz w:val="22"/>
          <w:szCs w:val="22"/>
        </w:rPr>
        <w:footnoteReference w:id="478"/>
      </w:r>
      <w:r w:rsidRPr="00D9152B">
        <w:rPr>
          <w:rFonts w:ascii="Calibri" w:hAnsi="Calibri" w:cs="Calibri"/>
          <w:sz w:val="22"/>
          <w:szCs w:val="22"/>
        </w:rPr>
        <w:t xml:space="preserve"> Yet, in a 2015 peer-reviewed p</w:t>
      </w:r>
      <w:r w:rsidR="0065647C" w:rsidRPr="00D9152B">
        <w:rPr>
          <w:rFonts w:ascii="Calibri" w:hAnsi="Calibri" w:cs="Calibri"/>
          <w:sz w:val="22"/>
          <w:szCs w:val="22"/>
        </w:rPr>
        <w:t>aper authored by Bank staff</w:t>
      </w:r>
      <w:r w:rsidRPr="00D9152B">
        <w:rPr>
          <w:rFonts w:ascii="Calibri" w:hAnsi="Calibri" w:cs="Calibri"/>
          <w:sz w:val="22"/>
          <w:szCs w:val="22"/>
        </w:rPr>
        <w:t xml:space="preserve"> involved in current onchocerciasis control efforts, donations looked quite different from these costs over time. According to Bundy et al., cumulative donations to the OCP stood at ove</w:t>
      </w:r>
      <w:r w:rsidR="003A0943" w:rsidRPr="00D9152B">
        <w:rPr>
          <w:rFonts w:ascii="Calibri" w:hAnsi="Calibri" w:cs="Calibri"/>
          <w:sz w:val="22"/>
          <w:szCs w:val="22"/>
        </w:rPr>
        <w:t>r $700 million by 1991</w:t>
      </w:r>
      <w:r w:rsidRPr="00D9152B">
        <w:rPr>
          <w:rFonts w:ascii="Calibri" w:hAnsi="Calibri" w:cs="Calibri"/>
          <w:sz w:val="22"/>
          <w:szCs w:val="22"/>
        </w:rPr>
        <w:t>.</w:t>
      </w:r>
      <w:r w:rsidR="009B60DA" w:rsidRPr="00D9152B">
        <w:rPr>
          <w:rStyle w:val="FootnoteReference"/>
          <w:rFonts w:ascii="Calibri" w:hAnsi="Calibri" w:cs="Calibri"/>
          <w:sz w:val="22"/>
          <w:szCs w:val="22"/>
        </w:rPr>
        <w:footnoteReference w:id="479"/>
      </w:r>
      <w:r w:rsidRPr="00D9152B">
        <w:rPr>
          <w:rFonts w:ascii="Calibri" w:hAnsi="Calibri" w:cs="Calibri"/>
          <w:sz w:val="22"/>
          <w:szCs w:val="22"/>
        </w:rPr>
        <w:t xml:space="preserve"> None of these publications provide sources for their calculations. </w:t>
      </w:r>
    </w:p>
    <w:p w14:paraId="1BE3B9B2" w14:textId="591E35E0" w:rsidR="00407CB2" w:rsidRPr="00D9152B" w:rsidRDefault="00AC7848" w:rsidP="005C7F9F">
      <w:pPr>
        <w:spacing w:before="100" w:beforeAutospacing="1" w:after="100" w:afterAutospacing="1" w:line="360" w:lineRule="auto"/>
        <w:ind w:firstLine="720"/>
        <w:rPr>
          <w:rFonts w:ascii="Calibri" w:hAnsi="Calibri" w:cs="Calibri"/>
          <w:sz w:val="22"/>
          <w:szCs w:val="22"/>
          <w:highlight w:val="yellow"/>
        </w:rPr>
      </w:pPr>
      <w:r w:rsidRPr="00D9152B">
        <w:rPr>
          <w:rFonts w:ascii="Calibri" w:hAnsi="Calibri" w:cs="Calibri"/>
          <w:sz w:val="22"/>
          <w:szCs w:val="22"/>
        </w:rPr>
        <w:t xml:space="preserve">Because the Bank was the fiscal guardian of the Onchocerciasis Fund for nearly forty years, one would expect that it would have publicly available information on commitments and disbursements for the fund (and, ideally, on approved budgetary breakdowns). Until 2018, however, no trust funds were included in the Bank’s </w:t>
      </w:r>
      <w:r w:rsidRPr="00D9152B">
        <w:rPr>
          <w:rFonts w:ascii="Calibri" w:hAnsi="Calibri" w:cs="Calibri"/>
          <w:i/>
          <w:sz w:val="22"/>
          <w:szCs w:val="22"/>
        </w:rPr>
        <w:t xml:space="preserve">Projects and Operations </w:t>
      </w:r>
      <w:r w:rsidRPr="00D9152B">
        <w:rPr>
          <w:rFonts w:ascii="Calibri" w:hAnsi="Calibri" w:cs="Calibri"/>
          <w:sz w:val="22"/>
          <w:szCs w:val="22"/>
        </w:rPr>
        <w:t>database, which is the major source that researchers use for Bank project-level data.</w:t>
      </w:r>
      <w:r w:rsidRPr="00D9152B">
        <w:rPr>
          <w:rStyle w:val="FootnoteReference"/>
          <w:rFonts w:ascii="Calibri" w:hAnsi="Calibri" w:cs="Calibri"/>
          <w:sz w:val="22"/>
          <w:szCs w:val="22"/>
        </w:rPr>
        <w:footnoteReference w:id="480"/>
      </w:r>
      <w:r w:rsidRPr="00D9152B">
        <w:rPr>
          <w:rFonts w:ascii="Calibri" w:hAnsi="Calibri" w:cs="Calibri"/>
          <w:sz w:val="22"/>
          <w:szCs w:val="22"/>
        </w:rPr>
        <w:t xml:space="preserve"> In response to concerns raised about trust fund transparency by its Independent Evaluation Group (IEG) in 2011,</w:t>
      </w:r>
      <w:r w:rsidRPr="00D9152B">
        <w:rPr>
          <w:rStyle w:val="FootnoteReference"/>
          <w:rFonts w:ascii="Calibri" w:hAnsi="Calibri" w:cs="Calibri"/>
          <w:sz w:val="22"/>
          <w:szCs w:val="22"/>
        </w:rPr>
        <w:footnoteReference w:id="481"/>
      </w:r>
      <w:r w:rsidRPr="00D9152B">
        <w:rPr>
          <w:rFonts w:ascii="Calibri" w:hAnsi="Calibri" w:cs="Calibri"/>
          <w:sz w:val="22"/>
          <w:szCs w:val="22"/>
        </w:rPr>
        <w:t xml:space="preserve"> the Bank released trust fund data through its </w:t>
      </w:r>
      <w:r w:rsidRPr="00D9152B">
        <w:rPr>
          <w:rFonts w:ascii="Calibri" w:hAnsi="Calibri" w:cs="Calibri"/>
          <w:i/>
          <w:sz w:val="22"/>
          <w:szCs w:val="22"/>
        </w:rPr>
        <w:t xml:space="preserve">World Bank </w:t>
      </w:r>
      <w:r w:rsidR="003E0AEF" w:rsidRPr="00D9152B">
        <w:rPr>
          <w:rFonts w:ascii="Calibri" w:hAnsi="Calibri" w:cs="Calibri"/>
          <w:i/>
          <w:sz w:val="22"/>
          <w:szCs w:val="22"/>
        </w:rPr>
        <w:t xml:space="preserve">Group </w:t>
      </w:r>
      <w:r w:rsidRPr="00D9152B">
        <w:rPr>
          <w:rFonts w:ascii="Calibri" w:hAnsi="Calibri" w:cs="Calibri"/>
          <w:i/>
          <w:sz w:val="22"/>
          <w:szCs w:val="22"/>
        </w:rPr>
        <w:t xml:space="preserve">Finances </w:t>
      </w:r>
      <w:r w:rsidRPr="00D9152B">
        <w:rPr>
          <w:rFonts w:ascii="Calibri" w:hAnsi="Calibri" w:cs="Calibri"/>
          <w:sz w:val="22"/>
          <w:szCs w:val="22"/>
        </w:rPr>
        <w:t>portal.</w:t>
      </w:r>
      <w:r w:rsidRPr="00D9152B">
        <w:rPr>
          <w:rStyle w:val="FootnoteReference"/>
          <w:rFonts w:ascii="Calibri" w:hAnsi="Calibri" w:cs="Calibri"/>
          <w:sz w:val="22"/>
          <w:szCs w:val="22"/>
        </w:rPr>
        <w:footnoteReference w:id="482"/>
      </w:r>
      <w:r w:rsidRPr="00D9152B">
        <w:rPr>
          <w:rFonts w:ascii="Calibri" w:hAnsi="Calibri" w:cs="Calibri"/>
          <w:sz w:val="22"/>
          <w:szCs w:val="22"/>
        </w:rPr>
        <w:t xml:space="preserve"> This portal is la</w:t>
      </w:r>
      <w:r w:rsidR="00CD4566" w:rsidRPr="00D9152B">
        <w:rPr>
          <w:rFonts w:ascii="Calibri" w:hAnsi="Calibri" w:cs="Calibri"/>
          <w:sz w:val="22"/>
          <w:szCs w:val="22"/>
        </w:rPr>
        <w:t xml:space="preserve">cking significant historic data, </w:t>
      </w:r>
      <w:r w:rsidRPr="00D9152B">
        <w:rPr>
          <w:rFonts w:ascii="Calibri" w:hAnsi="Calibri" w:cs="Calibri"/>
          <w:sz w:val="22"/>
          <w:szCs w:val="22"/>
        </w:rPr>
        <w:t>is no longer being updated</w:t>
      </w:r>
      <w:r w:rsidR="003A0943" w:rsidRPr="00D9152B">
        <w:rPr>
          <w:rFonts w:ascii="Calibri" w:hAnsi="Calibri" w:cs="Calibri"/>
          <w:sz w:val="22"/>
          <w:szCs w:val="22"/>
        </w:rPr>
        <w:t>,</w:t>
      </w:r>
      <w:r w:rsidR="00CD4566" w:rsidRPr="00D9152B">
        <w:rPr>
          <w:rFonts w:ascii="Calibri" w:hAnsi="Calibri" w:cs="Calibri"/>
          <w:sz w:val="22"/>
          <w:szCs w:val="22"/>
        </w:rPr>
        <w:t xml:space="preserve"> </w:t>
      </w:r>
      <w:r w:rsidR="003A0943" w:rsidRPr="00D9152B">
        <w:rPr>
          <w:rFonts w:ascii="Calibri" w:hAnsi="Calibri" w:cs="Calibri"/>
          <w:sz w:val="22"/>
          <w:szCs w:val="22"/>
        </w:rPr>
        <w:t xml:space="preserve">and </w:t>
      </w:r>
      <w:r w:rsidRPr="00D9152B">
        <w:rPr>
          <w:rFonts w:ascii="Calibri" w:hAnsi="Calibri" w:cs="Calibri"/>
          <w:sz w:val="22"/>
          <w:szCs w:val="22"/>
        </w:rPr>
        <w:t xml:space="preserve">does not include OCP or </w:t>
      </w:r>
      <w:r w:rsidR="003E0AEF" w:rsidRPr="00D9152B">
        <w:rPr>
          <w:rFonts w:ascii="Calibri" w:hAnsi="Calibri" w:cs="Calibri"/>
          <w:sz w:val="22"/>
          <w:szCs w:val="22"/>
        </w:rPr>
        <w:t>African Programme for Onchocerciasis Cont</w:t>
      </w:r>
      <w:r w:rsidR="00191ADA">
        <w:rPr>
          <w:rFonts w:ascii="Calibri" w:hAnsi="Calibri" w:cs="Calibri"/>
          <w:sz w:val="22"/>
          <w:szCs w:val="22"/>
        </w:rPr>
        <w:t>r</w:t>
      </w:r>
      <w:r w:rsidR="003E0AEF" w:rsidRPr="00D9152B">
        <w:rPr>
          <w:rFonts w:ascii="Calibri" w:hAnsi="Calibri" w:cs="Calibri"/>
          <w:sz w:val="22"/>
          <w:szCs w:val="22"/>
        </w:rPr>
        <w:t>ol (APOC)</w:t>
      </w:r>
      <w:r w:rsidRPr="00D9152B">
        <w:rPr>
          <w:rFonts w:ascii="Calibri" w:hAnsi="Calibri" w:cs="Calibri"/>
          <w:sz w:val="22"/>
          <w:szCs w:val="22"/>
        </w:rPr>
        <w:t xml:space="preserve"> data.</w:t>
      </w:r>
      <w:r w:rsidRPr="00D9152B">
        <w:rPr>
          <w:rStyle w:val="FootnoteReference"/>
          <w:rFonts w:ascii="Calibri" w:hAnsi="Calibri" w:cs="Calibri"/>
          <w:sz w:val="22"/>
          <w:szCs w:val="22"/>
        </w:rPr>
        <w:footnoteReference w:id="483"/>
      </w:r>
      <w:r w:rsidRPr="00D9152B">
        <w:rPr>
          <w:rFonts w:ascii="Calibri" w:hAnsi="Calibri" w:cs="Calibri"/>
          <w:sz w:val="22"/>
          <w:szCs w:val="22"/>
        </w:rPr>
        <w:t xml:space="preserve"> Information on Onchocerciasis Fund commitments and disbursements is, therefore, only available through general Bank reports, historic OECD donor reporting, and sponsoring agency archival collections.</w:t>
      </w:r>
      <w:r w:rsidR="00407CB2" w:rsidRPr="00D9152B">
        <w:rPr>
          <w:rFonts w:ascii="Calibri" w:hAnsi="Calibri" w:cs="Calibri"/>
          <w:sz w:val="22"/>
          <w:szCs w:val="22"/>
        </w:rPr>
        <w:t xml:space="preserve"> </w:t>
      </w:r>
      <w:r w:rsidRPr="00D9152B">
        <w:rPr>
          <w:rFonts w:ascii="Calibri" w:hAnsi="Calibri" w:cs="Calibri"/>
          <w:sz w:val="22"/>
          <w:szCs w:val="22"/>
        </w:rPr>
        <w:t>Tracking OCP costs over time using these historic sources also poses significant challenges</w:t>
      </w:r>
      <w:r w:rsidR="00407CB2" w:rsidRPr="00D9152B">
        <w:rPr>
          <w:rFonts w:ascii="Calibri" w:hAnsi="Calibri" w:cs="Calibri"/>
          <w:sz w:val="22"/>
          <w:szCs w:val="22"/>
        </w:rPr>
        <w:t xml:space="preserve">, which are summarised in Appendix </w:t>
      </w:r>
      <w:r w:rsidR="001D5952">
        <w:rPr>
          <w:rFonts w:ascii="Calibri" w:hAnsi="Calibri" w:cs="Calibri"/>
          <w:sz w:val="22"/>
          <w:szCs w:val="22"/>
        </w:rPr>
        <w:t>VIII</w:t>
      </w:r>
      <w:r w:rsidRPr="00D9152B">
        <w:rPr>
          <w:rFonts w:ascii="Calibri" w:hAnsi="Calibri" w:cs="Calibri"/>
          <w:sz w:val="22"/>
          <w:szCs w:val="22"/>
        </w:rPr>
        <w:t xml:space="preserve">. </w:t>
      </w:r>
    </w:p>
    <w:p w14:paraId="41019D87" w14:textId="23388203"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Figure </w:t>
      </w:r>
      <w:r w:rsidR="00E25D8A">
        <w:rPr>
          <w:rFonts w:ascii="Calibri" w:hAnsi="Calibri" w:cs="Calibri"/>
          <w:sz w:val="22"/>
          <w:szCs w:val="22"/>
        </w:rPr>
        <w:t>5.</w:t>
      </w:r>
      <w:r w:rsidR="003A0943" w:rsidRPr="00D9152B">
        <w:rPr>
          <w:rFonts w:ascii="Calibri" w:hAnsi="Calibri" w:cs="Calibri"/>
          <w:sz w:val="22"/>
          <w:szCs w:val="22"/>
        </w:rPr>
        <w:t>3</w:t>
      </w:r>
      <w:r w:rsidRPr="00D9152B">
        <w:rPr>
          <w:rFonts w:ascii="Calibri" w:hAnsi="Calibri" w:cs="Calibri"/>
          <w:sz w:val="22"/>
          <w:szCs w:val="22"/>
        </w:rPr>
        <w:t xml:space="preserve"> shows estimated programme expenditures, compiled from many folders from the Bank and WHO library.</w:t>
      </w:r>
      <w:r w:rsidRPr="00D9152B">
        <w:rPr>
          <w:rStyle w:val="FootnoteReference"/>
          <w:rFonts w:ascii="Calibri" w:hAnsi="Calibri" w:cs="Calibri"/>
          <w:sz w:val="22"/>
          <w:szCs w:val="22"/>
        </w:rPr>
        <w:footnoteReference w:id="484"/>
      </w:r>
      <w:r w:rsidRPr="00D9152B">
        <w:rPr>
          <w:rFonts w:ascii="Calibri" w:hAnsi="Calibri" w:cs="Calibri"/>
          <w:sz w:val="22"/>
          <w:szCs w:val="22"/>
        </w:rPr>
        <w:t xml:space="preserve"> Taken together, archival sources from 1974-</w:t>
      </w:r>
      <w:r w:rsidRPr="00D9152B">
        <w:rPr>
          <w:rFonts w:ascii="Calibri" w:hAnsi="Calibri" w:cs="Calibri"/>
          <w:sz w:val="22"/>
          <w:szCs w:val="22"/>
        </w:rPr>
        <w:lastRenderedPageBreak/>
        <w:t>1998 put the OCP total expenditures at about $490.88 million. Peak programme expenditures occurred around 1987 and 1992.</w:t>
      </w:r>
      <w:r w:rsidRPr="00D9152B">
        <w:rPr>
          <w:rStyle w:val="FootnoteReference"/>
          <w:rFonts w:ascii="Calibri" w:hAnsi="Calibri" w:cs="Calibri"/>
          <w:sz w:val="22"/>
          <w:szCs w:val="22"/>
        </w:rPr>
        <w:footnoteReference w:id="485"/>
      </w:r>
      <w:r w:rsidRPr="00D9152B">
        <w:rPr>
          <w:rFonts w:ascii="Calibri" w:hAnsi="Calibri" w:cs="Calibri"/>
          <w:sz w:val="22"/>
          <w:szCs w:val="22"/>
        </w:rPr>
        <w:t xml:space="preserve"> This trend is similar </w:t>
      </w:r>
      <w:r w:rsidRPr="00D9152B">
        <w:rPr>
          <w:rFonts w:ascii="Calibri" w:hAnsi="Calibri" w:cs="Calibri"/>
          <w:color w:val="000000" w:themeColor="text1"/>
          <w:sz w:val="22"/>
          <w:szCs w:val="22"/>
        </w:rPr>
        <w:t>when expenses are adjusted for inflation (i.e. converted from nominal</w:t>
      </w:r>
      <w:r w:rsidR="003A0943" w:rsidRPr="00D9152B">
        <w:rPr>
          <w:rFonts w:ascii="Calibri" w:hAnsi="Calibri" w:cs="Calibri"/>
          <w:color w:val="000000" w:themeColor="text1"/>
          <w:sz w:val="22"/>
          <w:szCs w:val="22"/>
        </w:rPr>
        <w:t xml:space="preserve"> to constant 1985 USD)</w:t>
      </w:r>
      <w:r w:rsidRPr="00D9152B">
        <w:rPr>
          <w:rFonts w:ascii="Calibri" w:hAnsi="Calibri" w:cs="Calibri"/>
          <w:color w:val="000000" w:themeColor="text1"/>
          <w:sz w:val="22"/>
          <w:szCs w:val="22"/>
        </w:rPr>
        <w:t>.</w:t>
      </w:r>
      <w:r w:rsidR="003A0943" w:rsidRPr="00D9152B">
        <w:rPr>
          <w:rStyle w:val="FootnoteReference"/>
          <w:rFonts w:ascii="Calibri" w:hAnsi="Calibri" w:cs="Calibri"/>
          <w:color w:val="000000" w:themeColor="text1"/>
          <w:sz w:val="22"/>
          <w:szCs w:val="22"/>
        </w:rPr>
        <w:footnoteReference w:id="486"/>
      </w:r>
    </w:p>
    <w:p w14:paraId="760517A9" w14:textId="53B0D8E5" w:rsidR="00AC7848" w:rsidRPr="00D9152B" w:rsidRDefault="00AC7848" w:rsidP="003A0943">
      <w:pPr>
        <w:ind w:firstLine="720"/>
        <w:rPr>
          <w:rFonts w:ascii="Calibri" w:hAnsi="Calibri" w:cs="Calibri"/>
          <w:noProof/>
          <w:lang w:eastAsia="en-GB"/>
        </w:rPr>
      </w:pPr>
      <w:r w:rsidRPr="00D9152B">
        <w:rPr>
          <w:rFonts w:ascii="Calibri" w:hAnsi="Calibri" w:cs="Calibri"/>
          <w:noProof/>
          <w:lang w:eastAsia="en-GB"/>
        </w:rPr>
        <w:lastRenderedPageBreak/>
        <w:t xml:space="preserve"> </w:t>
      </w:r>
      <w:r w:rsidRPr="00D9152B">
        <w:rPr>
          <w:rFonts w:ascii="Calibri" w:hAnsi="Calibri" w:cs="Calibri"/>
          <w:noProof/>
          <w:lang w:eastAsia="en-GB"/>
        </w:rPr>
        <w:drawing>
          <wp:inline distT="0" distB="0" distL="0" distR="0" wp14:anchorId="397B89F4" wp14:editId="532C42F5">
            <wp:extent cx="4410710" cy="3108960"/>
            <wp:effectExtent l="0" t="0" r="8890" b="15240"/>
            <wp:docPr id="103" name="Chart 103"/>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427DB59D" w14:textId="77777777" w:rsidR="002C2DA0" w:rsidRPr="00D9152B" w:rsidRDefault="002C2DA0" w:rsidP="002C2DA0">
      <w:pPr>
        <w:ind w:firstLine="720"/>
        <w:jc w:val="center"/>
        <w:rPr>
          <w:rFonts w:ascii="Calibri" w:hAnsi="Calibri" w:cs="Calibri"/>
        </w:rPr>
      </w:pPr>
    </w:p>
    <w:p w14:paraId="10C2D6AC" w14:textId="43356632" w:rsidR="003A0943" w:rsidRPr="00D9152B" w:rsidRDefault="00CC1A24" w:rsidP="00792F10">
      <w:pPr>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E25D8A">
        <w:rPr>
          <w:rFonts w:ascii="Calibri" w:hAnsi="Calibri" w:cs="Calibri"/>
          <w:color w:val="808080" w:themeColor="background1" w:themeShade="80"/>
          <w:sz w:val="22"/>
          <w:szCs w:val="22"/>
        </w:rPr>
        <w:t>5.</w:t>
      </w:r>
      <w:r w:rsidR="003A0943" w:rsidRPr="00D9152B">
        <w:rPr>
          <w:rFonts w:ascii="Calibri" w:hAnsi="Calibri" w:cs="Calibri"/>
          <w:color w:val="808080" w:themeColor="background1" w:themeShade="80"/>
          <w:sz w:val="22"/>
          <w:szCs w:val="22"/>
        </w:rPr>
        <w:t>3</w:t>
      </w:r>
      <w:r w:rsidR="002C2DA0" w:rsidRPr="00D9152B">
        <w:rPr>
          <w:rFonts w:ascii="Calibri" w:hAnsi="Calibri" w:cs="Calibri"/>
          <w:color w:val="808080" w:themeColor="background1" w:themeShade="80"/>
          <w:sz w:val="22"/>
          <w:szCs w:val="22"/>
        </w:rPr>
        <w:t>. E</w:t>
      </w:r>
      <w:r w:rsidR="00AC7848" w:rsidRPr="00D9152B">
        <w:rPr>
          <w:rFonts w:ascii="Calibri" w:hAnsi="Calibri" w:cs="Calibri"/>
          <w:color w:val="808080" w:themeColor="background1" w:themeShade="80"/>
          <w:sz w:val="22"/>
          <w:szCs w:val="22"/>
        </w:rPr>
        <w:t>stimates of Onchocerciasis Fund expenditures</w:t>
      </w:r>
      <w:r w:rsidR="00407CB2" w:rsidRPr="00D9152B">
        <w:rPr>
          <w:rFonts w:ascii="Calibri" w:hAnsi="Calibri" w:cs="Calibri"/>
          <w:color w:val="808080" w:themeColor="background1" w:themeShade="80"/>
          <w:sz w:val="22"/>
          <w:szCs w:val="22"/>
        </w:rPr>
        <w:t xml:space="preserve">, based on </w:t>
      </w:r>
      <w:r w:rsidR="003A0943" w:rsidRPr="00D9152B">
        <w:rPr>
          <w:rFonts w:ascii="Calibri" w:hAnsi="Calibri" w:cs="Calibri"/>
          <w:color w:val="808080" w:themeColor="background1" w:themeShade="80"/>
          <w:sz w:val="22"/>
          <w:szCs w:val="22"/>
        </w:rPr>
        <w:t xml:space="preserve">many </w:t>
      </w:r>
      <w:r w:rsidR="00407CB2" w:rsidRPr="00D9152B">
        <w:rPr>
          <w:rFonts w:ascii="Calibri" w:hAnsi="Calibri" w:cs="Calibri"/>
          <w:color w:val="808080" w:themeColor="background1" w:themeShade="80"/>
          <w:sz w:val="22"/>
          <w:szCs w:val="22"/>
        </w:rPr>
        <w:t>archived documents.</w:t>
      </w:r>
      <w:r w:rsidR="00407CB2" w:rsidRPr="00D9152B">
        <w:rPr>
          <w:rStyle w:val="FootnoteReference"/>
          <w:rFonts w:ascii="Calibri" w:hAnsi="Calibri" w:cs="Calibri"/>
          <w:color w:val="808080" w:themeColor="background1" w:themeShade="80"/>
          <w:sz w:val="22"/>
          <w:szCs w:val="22"/>
        </w:rPr>
        <w:footnoteReference w:id="487"/>
      </w:r>
      <w:r w:rsidR="00AC7848" w:rsidRPr="00D9152B">
        <w:rPr>
          <w:rFonts w:ascii="Calibri" w:hAnsi="Calibri" w:cs="Calibri"/>
          <w:color w:val="808080" w:themeColor="background1" w:themeShade="80"/>
          <w:sz w:val="22"/>
          <w:szCs w:val="22"/>
        </w:rPr>
        <w:t xml:space="preserve"> </w:t>
      </w:r>
    </w:p>
    <w:p w14:paraId="1D3035E6" w14:textId="66B16C17" w:rsidR="009F78E5"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Surprisingly, most Bank publications seem to rely on cost estimates from general OCP records now deposited in the archives. This suggests that Bank staff in the 1980s and 1990s did not themselves have clear access to systematically tabulated budgetary information for all programme years. For instance, in a 1997 computer printout on ‘OCP Expenditures’ from the </w:t>
      </w:r>
      <w:r w:rsidR="003A0943" w:rsidRPr="00D9152B">
        <w:rPr>
          <w:rFonts w:ascii="Calibri" w:hAnsi="Calibri" w:cs="Calibri"/>
          <w:sz w:val="22"/>
          <w:szCs w:val="22"/>
        </w:rPr>
        <w:t>onchocerciasis unit</w:t>
      </w:r>
      <w:r w:rsidRPr="00D9152B">
        <w:rPr>
          <w:rFonts w:ascii="Calibri" w:hAnsi="Calibri" w:cs="Calibri"/>
          <w:sz w:val="22"/>
          <w:szCs w:val="22"/>
        </w:rPr>
        <w:t>, a handwritten note explains that the sources use</w:t>
      </w:r>
      <w:r w:rsidR="003A0943" w:rsidRPr="00D9152B">
        <w:rPr>
          <w:rFonts w:ascii="Calibri" w:hAnsi="Calibri" w:cs="Calibri"/>
          <w:sz w:val="22"/>
          <w:szCs w:val="22"/>
        </w:rPr>
        <w:t>d were the 1981 Plan of Action and</w:t>
      </w:r>
      <w:r w:rsidRPr="00D9152B">
        <w:rPr>
          <w:rFonts w:ascii="Calibri" w:hAnsi="Calibri" w:cs="Calibri"/>
          <w:sz w:val="22"/>
          <w:szCs w:val="22"/>
        </w:rPr>
        <w:t xml:space="preserve"> Budget (for Phase I); the 1980-1983 and 1984 Plan of Action</w:t>
      </w:r>
      <w:r w:rsidR="003E0AEF" w:rsidRPr="00D9152B">
        <w:rPr>
          <w:rFonts w:ascii="Calibri" w:hAnsi="Calibri" w:cs="Calibri"/>
          <w:sz w:val="22"/>
          <w:szCs w:val="22"/>
        </w:rPr>
        <w:t xml:space="preserve"> and Budget</w:t>
      </w:r>
      <w:r w:rsidRPr="00D9152B">
        <w:rPr>
          <w:rFonts w:ascii="Calibri" w:hAnsi="Calibri" w:cs="Calibri"/>
          <w:sz w:val="22"/>
          <w:szCs w:val="22"/>
        </w:rPr>
        <w:t xml:space="preserve"> (for early Phase II); Younger and Zongo’s 1989 chapter on the OCP in the Bank’s </w:t>
      </w:r>
      <w:r w:rsidRPr="00D9152B">
        <w:rPr>
          <w:rFonts w:ascii="Calibri" w:hAnsi="Calibri" w:cs="Calibri"/>
          <w:i/>
          <w:sz w:val="22"/>
          <w:szCs w:val="22"/>
        </w:rPr>
        <w:t xml:space="preserve">Successful </w:t>
      </w:r>
      <w:r w:rsidR="009F78E5" w:rsidRPr="00D9152B">
        <w:rPr>
          <w:rFonts w:ascii="Calibri" w:hAnsi="Calibri" w:cs="Calibri"/>
          <w:i/>
          <w:sz w:val="22"/>
          <w:szCs w:val="22"/>
        </w:rPr>
        <w:t>d</w:t>
      </w:r>
      <w:r w:rsidRPr="00D9152B">
        <w:rPr>
          <w:rFonts w:ascii="Calibri" w:hAnsi="Calibri" w:cs="Calibri"/>
          <w:i/>
          <w:sz w:val="22"/>
          <w:szCs w:val="22"/>
        </w:rPr>
        <w:t xml:space="preserve">evelopment in Africa </w:t>
      </w:r>
      <w:r w:rsidRPr="00D9152B">
        <w:rPr>
          <w:rFonts w:ascii="Calibri" w:hAnsi="Calibri" w:cs="Calibri"/>
          <w:sz w:val="22"/>
          <w:szCs w:val="22"/>
        </w:rPr>
        <w:t>publication (for late Phase II); and the 1989</w:t>
      </w:r>
      <w:r w:rsidR="009F78E5" w:rsidRPr="00D9152B">
        <w:rPr>
          <w:rFonts w:ascii="Calibri" w:hAnsi="Calibri" w:cs="Calibri"/>
          <w:sz w:val="22"/>
          <w:szCs w:val="22"/>
        </w:rPr>
        <w:t xml:space="preserve"> OCP</w:t>
      </w:r>
      <w:r w:rsidRPr="00D9152B">
        <w:rPr>
          <w:rFonts w:ascii="Calibri" w:hAnsi="Calibri" w:cs="Calibri"/>
          <w:sz w:val="22"/>
          <w:szCs w:val="22"/>
        </w:rPr>
        <w:t xml:space="preserve"> Plan of Action</w:t>
      </w:r>
      <w:r w:rsidR="003E0AEF" w:rsidRPr="00D9152B">
        <w:rPr>
          <w:rFonts w:ascii="Calibri" w:hAnsi="Calibri" w:cs="Calibri"/>
          <w:sz w:val="22"/>
          <w:szCs w:val="22"/>
        </w:rPr>
        <w:t xml:space="preserve"> and Budget</w:t>
      </w:r>
      <w:r w:rsidRPr="00D9152B">
        <w:rPr>
          <w:rFonts w:ascii="Calibri" w:hAnsi="Calibri" w:cs="Calibri"/>
          <w:sz w:val="22"/>
          <w:szCs w:val="22"/>
        </w:rPr>
        <w:t xml:space="preserve"> (for early Phase III, until 1987). The expenditures</w:t>
      </w:r>
      <w:r w:rsidR="003A0943" w:rsidRPr="00D9152B">
        <w:rPr>
          <w:rFonts w:ascii="Calibri" w:hAnsi="Calibri" w:cs="Calibri"/>
          <w:sz w:val="22"/>
          <w:szCs w:val="22"/>
        </w:rPr>
        <w:t xml:space="preserve"> given</w:t>
      </w:r>
      <w:r w:rsidRPr="00D9152B">
        <w:rPr>
          <w:rFonts w:ascii="Calibri" w:hAnsi="Calibri" w:cs="Calibri"/>
          <w:sz w:val="22"/>
          <w:szCs w:val="22"/>
        </w:rPr>
        <w:t xml:space="preserve"> for </w:t>
      </w:r>
      <w:r w:rsidRPr="00D9152B">
        <w:rPr>
          <w:rFonts w:ascii="Calibri" w:hAnsi="Calibri" w:cs="Calibri"/>
          <w:sz w:val="22"/>
          <w:szCs w:val="22"/>
        </w:rPr>
        <w:lastRenderedPageBreak/>
        <w:t>1988-1997 were based simply on ‘Benton estimates’.</w:t>
      </w:r>
      <w:r w:rsidRPr="00D9152B">
        <w:rPr>
          <w:rStyle w:val="FootnoteReference"/>
          <w:rFonts w:ascii="Calibri" w:hAnsi="Calibri" w:cs="Calibri"/>
          <w:sz w:val="22"/>
          <w:szCs w:val="22"/>
        </w:rPr>
        <w:footnoteReference w:id="488"/>
      </w:r>
      <w:r w:rsidRPr="00D9152B">
        <w:rPr>
          <w:rFonts w:ascii="Calibri" w:hAnsi="Calibri" w:cs="Calibri"/>
          <w:sz w:val="22"/>
          <w:szCs w:val="22"/>
        </w:rPr>
        <w:t xml:space="preserve"> Interestingly, Younger and Zongo themselves did not state where they obtained their cost information.</w:t>
      </w:r>
      <w:r w:rsidRPr="00D9152B">
        <w:rPr>
          <w:rStyle w:val="FootnoteReference"/>
          <w:rFonts w:ascii="Calibri" w:hAnsi="Calibri" w:cs="Calibri"/>
          <w:sz w:val="22"/>
          <w:szCs w:val="22"/>
        </w:rPr>
        <w:footnoteReference w:id="489"/>
      </w:r>
      <w:r w:rsidRPr="00D9152B">
        <w:rPr>
          <w:rFonts w:ascii="Calibri" w:hAnsi="Calibri" w:cs="Calibri"/>
          <w:sz w:val="22"/>
          <w:szCs w:val="22"/>
        </w:rPr>
        <w:t xml:space="preserve"> The cost figures provided in Kim and Benton’s highly-cited 1995 cost-benefit paper are similarly based on the </w:t>
      </w:r>
      <w:r w:rsidR="009F78E5" w:rsidRPr="00D9152B">
        <w:rPr>
          <w:rFonts w:ascii="Calibri" w:hAnsi="Calibri" w:cs="Calibri"/>
          <w:sz w:val="22"/>
          <w:szCs w:val="22"/>
        </w:rPr>
        <w:t>‘</w:t>
      </w:r>
      <w:r w:rsidRPr="00D9152B">
        <w:rPr>
          <w:rFonts w:ascii="Calibri" w:hAnsi="Calibri" w:cs="Calibri"/>
          <w:sz w:val="22"/>
          <w:szCs w:val="22"/>
        </w:rPr>
        <w:t>OCP Plan of Operation for the Fourth Financial Phase</w:t>
      </w:r>
      <w:r w:rsidR="009F78E5" w:rsidRPr="00D9152B">
        <w:rPr>
          <w:rFonts w:ascii="Calibri" w:hAnsi="Calibri" w:cs="Calibri"/>
          <w:sz w:val="22"/>
          <w:szCs w:val="22"/>
        </w:rPr>
        <w:t>’</w:t>
      </w:r>
      <w:r w:rsidRPr="00D9152B">
        <w:rPr>
          <w:rFonts w:ascii="Calibri" w:hAnsi="Calibri" w:cs="Calibri"/>
          <w:sz w:val="22"/>
          <w:szCs w:val="22"/>
        </w:rPr>
        <w:t xml:space="preserve"> (1991), and ‘other OCP and World Bank financial documents’.</w:t>
      </w:r>
      <w:r w:rsidRPr="00D9152B">
        <w:rPr>
          <w:rStyle w:val="FootnoteReference"/>
          <w:rFonts w:ascii="Calibri" w:hAnsi="Calibri" w:cs="Calibri"/>
          <w:sz w:val="22"/>
          <w:szCs w:val="22"/>
        </w:rPr>
        <w:footnoteReference w:id="490"/>
      </w:r>
      <w:r w:rsidRPr="00D9152B">
        <w:rPr>
          <w:rFonts w:ascii="Calibri" w:hAnsi="Calibri" w:cs="Calibri"/>
          <w:sz w:val="22"/>
          <w:szCs w:val="22"/>
        </w:rPr>
        <w:t xml:space="preserve"> They therefore only use actual programme expenditures through 1989 and their estimate</w:t>
      </w:r>
      <w:r w:rsidR="008F751F" w:rsidRPr="00D9152B">
        <w:rPr>
          <w:rFonts w:ascii="Calibri" w:hAnsi="Calibri" w:cs="Calibri"/>
          <w:sz w:val="22"/>
          <w:szCs w:val="22"/>
        </w:rPr>
        <w:t xml:space="preserve">s are not reproducible. </w:t>
      </w:r>
    </w:p>
    <w:p w14:paraId="2EE83879" w14:textId="01348907" w:rsidR="00AC7848" w:rsidRPr="00D9152B" w:rsidRDefault="008F751F"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Figure </w:t>
      </w:r>
      <w:r w:rsidR="001D0CA0">
        <w:rPr>
          <w:rFonts w:ascii="Calibri" w:hAnsi="Calibri" w:cs="Calibri"/>
          <w:sz w:val="22"/>
          <w:szCs w:val="22"/>
        </w:rPr>
        <w:t>5.</w:t>
      </w:r>
      <w:r w:rsidRPr="00D9152B">
        <w:rPr>
          <w:rFonts w:ascii="Calibri" w:hAnsi="Calibri" w:cs="Calibri"/>
          <w:sz w:val="22"/>
          <w:szCs w:val="22"/>
        </w:rPr>
        <w:t>4</w:t>
      </w:r>
      <w:r w:rsidR="00AC7848" w:rsidRPr="00D9152B">
        <w:rPr>
          <w:rFonts w:ascii="Calibri" w:hAnsi="Calibri" w:cs="Calibri"/>
          <w:sz w:val="22"/>
          <w:szCs w:val="22"/>
        </w:rPr>
        <w:t xml:space="preserve"> shows the inconsistencies in actual and estimated OCP expenditures given in two major Bank publications. It also uses the AidData ‘Multi-Bi Aid Data’ dataset – adapted from the </w:t>
      </w:r>
      <w:r w:rsidR="001D0CA0">
        <w:rPr>
          <w:rFonts w:ascii="Calibri" w:hAnsi="Calibri" w:cs="Calibri"/>
          <w:sz w:val="22"/>
          <w:szCs w:val="22"/>
        </w:rPr>
        <w:t>Oganisation for Economic Cooperation and Development (OECD)’s</w:t>
      </w:r>
      <w:r w:rsidR="00AC7848" w:rsidRPr="00D9152B">
        <w:rPr>
          <w:rFonts w:ascii="Calibri" w:hAnsi="Calibri" w:cs="Calibri"/>
          <w:sz w:val="22"/>
          <w:szCs w:val="22"/>
        </w:rPr>
        <w:t xml:space="preserve"> Development Assistance Committee (DAC)’s Creditor Reporting System (CRS)</w:t>
      </w:r>
      <w:r w:rsidR="00AC7848" w:rsidRPr="00D9152B">
        <w:rPr>
          <w:rStyle w:val="FootnoteReference"/>
          <w:rFonts w:ascii="Calibri" w:hAnsi="Calibri" w:cs="Calibri"/>
          <w:sz w:val="22"/>
          <w:szCs w:val="22"/>
        </w:rPr>
        <w:footnoteReference w:id="491"/>
      </w:r>
      <w:r w:rsidR="00AC7848" w:rsidRPr="00D9152B">
        <w:rPr>
          <w:rFonts w:ascii="Calibri" w:hAnsi="Calibri" w:cs="Calibri"/>
          <w:sz w:val="22"/>
          <w:szCs w:val="22"/>
        </w:rPr>
        <w:t xml:space="preserve"> – to track OCP commitments. The DAC-CRS should theoretically report all commitments to the OCP by the majority of the OCP’s donors. Like </w:t>
      </w:r>
      <w:r w:rsidR="001D0CA0">
        <w:rPr>
          <w:rFonts w:ascii="Calibri" w:hAnsi="Calibri" w:cs="Calibri"/>
          <w:sz w:val="22"/>
          <w:szCs w:val="22"/>
        </w:rPr>
        <w:t>‘</w:t>
      </w:r>
      <w:r w:rsidR="00AC7848" w:rsidRPr="001D0CA0">
        <w:rPr>
          <w:rFonts w:ascii="Calibri" w:hAnsi="Calibri" w:cs="Calibri"/>
          <w:sz w:val="22"/>
          <w:szCs w:val="22"/>
        </w:rPr>
        <w:t>World Bank</w:t>
      </w:r>
      <w:r w:rsidR="00611F06" w:rsidRPr="001D0CA0">
        <w:rPr>
          <w:rFonts w:ascii="Calibri" w:hAnsi="Calibri" w:cs="Calibri"/>
          <w:sz w:val="22"/>
          <w:szCs w:val="22"/>
        </w:rPr>
        <w:t xml:space="preserve"> Group</w:t>
      </w:r>
      <w:r w:rsidR="00AC7848" w:rsidRPr="001D0CA0">
        <w:rPr>
          <w:rFonts w:ascii="Calibri" w:hAnsi="Calibri" w:cs="Calibri"/>
          <w:sz w:val="22"/>
          <w:szCs w:val="22"/>
        </w:rPr>
        <w:t xml:space="preserve"> Finances</w:t>
      </w:r>
      <w:r w:rsidR="001D0CA0">
        <w:rPr>
          <w:rFonts w:ascii="Calibri" w:hAnsi="Calibri" w:cs="Calibri"/>
          <w:sz w:val="22"/>
          <w:szCs w:val="22"/>
        </w:rPr>
        <w:t>’</w:t>
      </w:r>
      <w:r w:rsidR="00AC7848" w:rsidRPr="00D9152B">
        <w:rPr>
          <w:rFonts w:ascii="Calibri" w:hAnsi="Calibri" w:cs="Calibri"/>
          <w:sz w:val="22"/>
          <w:szCs w:val="22"/>
        </w:rPr>
        <w:t xml:space="preserve">, however, the DAC-CRS lacks most OCP commitments. It cannot be used to fill gaps in Bank-reported Onchocerciasis Fund commitments and disbursements. </w:t>
      </w:r>
    </w:p>
    <w:p w14:paraId="1DCB3634" w14:textId="77777777" w:rsidR="00AC7848" w:rsidRPr="00D9152B" w:rsidRDefault="00AC7848" w:rsidP="002C2DA0">
      <w:pPr>
        <w:rPr>
          <w:rFonts w:ascii="Calibri" w:hAnsi="Calibri" w:cs="Calibri"/>
        </w:rPr>
      </w:pPr>
      <w:r w:rsidRPr="00D9152B">
        <w:rPr>
          <w:rFonts w:ascii="Calibri" w:hAnsi="Calibri" w:cs="Calibri"/>
          <w:noProof/>
          <w:lang w:eastAsia="en-GB"/>
        </w:rPr>
        <w:lastRenderedPageBreak/>
        <w:drawing>
          <wp:inline distT="0" distB="0" distL="0" distR="0" wp14:anchorId="6D8F53A3" wp14:editId="7E03B358">
            <wp:extent cx="5325036" cy="3759835"/>
            <wp:effectExtent l="0" t="0" r="9525" b="12065"/>
            <wp:docPr id="107" name="Chart 107"/>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2486E29D" w14:textId="77777777" w:rsidR="002C2DA0" w:rsidRPr="00D9152B" w:rsidRDefault="002C2DA0" w:rsidP="002C2DA0">
      <w:pPr>
        <w:jc w:val="both"/>
        <w:rPr>
          <w:rFonts w:ascii="Calibri" w:hAnsi="Calibri" w:cs="Calibri"/>
          <w:color w:val="808080" w:themeColor="background1" w:themeShade="80"/>
        </w:rPr>
      </w:pPr>
    </w:p>
    <w:p w14:paraId="17EB1DDE" w14:textId="68F444E3" w:rsidR="00AC7848" w:rsidRPr="00D9152B" w:rsidRDefault="00AC7848" w:rsidP="002C2DA0">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1D0CA0">
        <w:rPr>
          <w:rFonts w:ascii="Calibri" w:hAnsi="Calibri" w:cs="Calibri"/>
          <w:color w:val="808080" w:themeColor="background1" w:themeShade="80"/>
          <w:sz w:val="22"/>
          <w:szCs w:val="22"/>
        </w:rPr>
        <w:t>5.</w:t>
      </w:r>
      <w:r w:rsidR="008F751F" w:rsidRPr="00D9152B">
        <w:rPr>
          <w:rFonts w:ascii="Calibri" w:hAnsi="Calibri" w:cs="Calibri"/>
          <w:color w:val="808080" w:themeColor="background1" w:themeShade="80"/>
          <w:sz w:val="22"/>
          <w:szCs w:val="22"/>
        </w:rPr>
        <w:t>4</w:t>
      </w:r>
      <w:r w:rsidRPr="00D9152B">
        <w:rPr>
          <w:rFonts w:ascii="Calibri" w:hAnsi="Calibri" w:cs="Calibri"/>
          <w:color w:val="808080" w:themeColor="background1" w:themeShade="80"/>
          <w:sz w:val="22"/>
          <w:szCs w:val="22"/>
        </w:rPr>
        <w:t xml:space="preserve">. </w:t>
      </w:r>
      <w:r w:rsidR="008F751F" w:rsidRPr="00D9152B">
        <w:rPr>
          <w:rFonts w:ascii="Calibri" w:hAnsi="Calibri" w:cs="Calibri"/>
          <w:color w:val="808080" w:themeColor="background1" w:themeShade="80"/>
          <w:sz w:val="22"/>
          <w:szCs w:val="22"/>
        </w:rPr>
        <w:t>Two major Bank publications and a document with internal estimates give inconsistent OCP expenditure totals, and OECD data is not helpful to clarify these expenditures.</w:t>
      </w:r>
      <w:r w:rsidRPr="00D9152B">
        <w:rPr>
          <w:rStyle w:val="FootnoteReference"/>
          <w:rFonts w:ascii="Calibri" w:hAnsi="Calibri" w:cs="Calibri"/>
          <w:color w:val="808080" w:themeColor="background1" w:themeShade="80"/>
          <w:sz w:val="22"/>
          <w:szCs w:val="22"/>
        </w:rPr>
        <w:footnoteReference w:id="492"/>
      </w:r>
    </w:p>
    <w:p w14:paraId="31E5913C" w14:textId="04A3A46A"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Benton and Kim’s 1995</w:t>
      </w:r>
      <w:r w:rsidR="008F751F" w:rsidRPr="00D9152B">
        <w:rPr>
          <w:rFonts w:ascii="Calibri" w:hAnsi="Calibri" w:cs="Calibri"/>
          <w:sz w:val="22"/>
          <w:szCs w:val="22"/>
        </w:rPr>
        <w:t xml:space="preserve"> paper</w:t>
      </w:r>
      <w:r w:rsidRPr="00D9152B">
        <w:rPr>
          <w:rFonts w:ascii="Calibri" w:hAnsi="Calibri" w:cs="Calibri"/>
          <w:sz w:val="22"/>
          <w:szCs w:val="22"/>
        </w:rPr>
        <w:t xml:space="preserve"> and the Bank’s 1997 cost estimates bear a striking resemblance to the widely cited WHO figure</w:t>
      </w:r>
      <w:r w:rsidRPr="00D9152B">
        <w:rPr>
          <w:rStyle w:val="FootnoteReference"/>
          <w:rFonts w:ascii="Calibri" w:hAnsi="Calibri" w:cs="Calibri"/>
          <w:sz w:val="22"/>
          <w:szCs w:val="22"/>
        </w:rPr>
        <w:footnoteReference w:id="493"/>
      </w:r>
      <w:r w:rsidRPr="00D9152B">
        <w:rPr>
          <w:rFonts w:ascii="Calibri" w:hAnsi="Calibri" w:cs="Calibri"/>
          <w:sz w:val="22"/>
          <w:szCs w:val="22"/>
        </w:rPr>
        <w:t xml:space="preserve"> about total OCP costs: they also add-up to $556 million. It is therefore possible that </w:t>
      </w:r>
      <w:r w:rsidR="008F751F" w:rsidRPr="00D9152B">
        <w:rPr>
          <w:rFonts w:ascii="Calibri" w:hAnsi="Calibri" w:cs="Calibri"/>
          <w:sz w:val="22"/>
          <w:szCs w:val="22"/>
        </w:rPr>
        <w:t>the</w:t>
      </w:r>
      <w:r w:rsidRPr="00D9152B">
        <w:rPr>
          <w:rFonts w:ascii="Calibri" w:hAnsi="Calibri" w:cs="Calibri"/>
          <w:sz w:val="22"/>
          <w:szCs w:val="22"/>
        </w:rPr>
        <w:t xml:space="preserve"> WHO simply used these Bank estimates, which only include actual expenses through 1993</w:t>
      </w:r>
      <w:r w:rsidR="008F751F" w:rsidRPr="00D9152B">
        <w:rPr>
          <w:rFonts w:ascii="Calibri" w:hAnsi="Calibri" w:cs="Calibri"/>
          <w:sz w:val="22"/>
          <w:szCs w:val="22"/>
        </w:rPr>
        <w:t>, as official total programme expenditures</w:t>
      </w:r>
      <w:r w:rsidRPr="00D9152B">
        <w:rPr>
          <w:rFonts w:ascii="Calibri" w:hAnsi="Calibri" w:cs="Calibri"/>
          <w:sz w:val="22"/>
          <w:szCs w:val="22"/>
        </w:rPr>
        <w:t>. In the absence of clear, published records, these estimates have become the de facto accepted costs of the programme.</w:t>
      </w:r>
      <w:r w:rsidR="00C60D76">
        <w:rPr>
          <w:rFonts w:ascii="Calibri" w:hAnsi="Calibri" w:cs="Calibri"/>
          <w:sz w:val="22"/>
          <w:szCs w:val="22"/>
        </w:rPr>
        <w:t xml:space="preserve"> </w:t>
      </w:r>
      <w:r w:rsidR="00A01968">
        <w:rPr>
          <w:rFonts w:ascii="Calibri" w:hAnsi="Calibri" w:cs="Calibri"/>
          <w:sz w:val="22"/>
          <w:szCs w:val="22"/>
        </w:rPr>
        <w:t>When</w:t>
      </w:r>
      <w:r w:rsidR="00C60D76">
        <w:rPr>
          <w:rFonts w:ascii="Calibri" w:hAnsi="Calibri" w:cs="Calibri"/>
          <w:sz w:val="22"/>
          <w:szCs w:val="22"/>
        </w:rPr>
        <w:t xml:space="preserve"> adjusted to 2015 USD, the 1997 Bank estimates of OCP expenditures from 1974-2002 total approximately $1.24 billion.</w:t>
      </w:r>
    </w:p>
    <w:p w14:paraId="4DC3C3D0" w14:textId="15A1B2E1" w:rsidR="00CD08E4" w:rsidRPr="00D9152B" w:rsidRDefault="009A5A65" w:rsidP="005C7F9F">
      <w:pPr>
        <w:pStyle w:val="Heading3"/>
        <w:spacing w:line="360" w:lineRule="auto"/>
        <w:rPr>
          <w:rFonts w:ascii="Calibri" w:hAnsi="Calibri" w:cs="Calibri"/>
          <w:b/>
          <w:i/>
          <w:color w:val="000000" w:themeColor="text1"/>
          <w:sz w:val="22"/>
          <w:szCs w:val="22"/>
        </w:rPr>
      </w:pPr>
      <w:bookmarkStart w:id="87" w:name="_Toc41505661"/>
      <w:r w:rsidRPr="00D9152B">
        <w:rPr>
          <w:rFonts w:ascii="Calibri" w:hAnsi="Calibri" w:cs="Calibri"/>
          <w:b/>
          <w:i/>
          <w:color w:val="000000" w:themeColor="text1"/>
          <w:sz w:val="22"/>
          <w:szCs w:val="22"/>
        </w:rPr>
        <w:lastRenderedPageBreak/>
        <w:t>5.6.B</w:t>
      </w:r>
      <w:r w:rsidR="00CD08E4" w:rsidRPr="00D9152B">
        <w:rPr>
          <w:rFonts w:ascii="Calibri" w:hAnsi="Calibri" w:cs="Calibri"/>
          <w:b/>
          <w:i/>
          <w:color w:val="000000" w:themeColor="text1"/>
          <w:sz w:val="22"/>
          <w:szCs w:val="22"/>
        </w:rPr>
        <w:t xml:space="preserve">. </w:t>
      </w:r>
      <w:r w:rsidR="00871836" w:rsidRPr="00D9152B">
        <w:rPr>
          <w:rFonts w:ascii="Calibri" w:hAnsi="Calibri" w:cs="Calibri"/>
          <w:b/>
          <w:i/>
          <w:color w:val="000000" w:themeColor="text1"/>
          <w:sz w:val="22"/>
          <w:szCs w:val="22"/>
        </w:rPr>
        <w:t>The Bank’s budgetary prowess?</w:t>
      </w:r>
      <w:bookmarkEnd w:id="87"/>
    </w:p>
    <w:p w14:paraId="4F017E7E" w14:textId="4F47C887" w:rsidR="00AC7848" w:rsidRPr="00D9152B" w:rsidRDefault="00AC7848" w:rsidP="005C7F9F">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ab/>
        <w:t>Assuming that this $556 million figure is the actual expenditure for the OCP, how do expenditures match with initial budgets? Did the OCP keep to its projected costs? Preliminary costs for the programme were first given as $120 million over 20 years.</w:t>
      </w:r>
      <w:r w:rsidRPr="00D9152B">
        <w:rPr>
          <w:rStyle w:val="FootnoteReference"/>
          <w:rFonts w:ascii="Calibri" w:hAnsi="Calibri" w:cs="Calibri"/>
          <w:sz w:val="22"/>
          <w:szCs w:val="22"/>
        </w:rPr>
        <w:footnoteReference w:id="494"/>
      </w:r>
      <w:r w:rsidRPr="00D9152B">
        <w:rPr>
          <w:rFonts w:ascii="Calibri" w:hAnsi="Calibri" w:cs="Calibri"/>
          <w:sz w:val="22"/>
          <w:szCs w:val="22"/>
        </w:rPr>
        <w:t xml:space="preserve"> At the Tunis Conference in 1968</w:t>
      </w:r>
      <w:r w:rsidR="007D1529" w:rsidRPr="00D9152B">
        <w:rPr>
          <w:rFonts w:ascii="Calibri" w:hAnsi="Calibri" w:cs="Calibri"/>
          <w:sz w:val="22"/>
          <w:szCs w:val="22"/>
        </w:rPr>
        <w:t xml:space="preserve"> (see </w:t>
      </w:r>
      <w:r w:rsidR="001D0CA0">
        <w:rPr>
          <w:rFonts w:ascii="Calibri" w:hAnsi="Calibri" w:cs="Calibri"/>
          <w:sz w:val="22"/>
          <w:szCs w:val="22"/>
        </w:rPr>
        <w:t>Figure 1.7</w:t>
      </w:r>
      <w:r w:rsidR="007D1529" w:rsidRPr="00D9152B">
        <w:rPr>
          <w:rFonts w:ascii="Calibri" w:hAnsi="Calibri" w:cs="Calibri"/>
          <w:sz w:val="22"/>
          <w:szCs w:val="22"/>
        </w:rPr>
        <w:t>)</w:t>
      </w:r>
      <w:r w:rsidRPr="00D9152B">
        <w:rPr>
          <w:rFonts w:ascii="Calibri" w:hAnsi="Calibri" w:cs="Calibri"/>
          <w:sz w:val="22"/>
          <w:szCs w:val="22"/>
        </w:rPr>
        <w:t>, the cost of a regional onchocerciasis larviciding campaign was estimated at a higher $25 million per year over ten years, plus extra for maintenance ‘as necessary’. Later, at the WHO Conference in Brazzaville, this number was revised to $45 million over 10 years. As De Wilde wrote around 1970, ‘Actually, there appears to be little basis for either of these widely varying estimates’.</w:t>
      </w:r>
      <w:r w:rsidRPr="00D9152B">
        <w:rPr>
          <w:rStyle w:val="FootnoteReference"/>
          <w:rFonts w:ascii="Calibri" w:hAnsi="Calibri" w:cs="Calibri"/>
          <w:sz w:val="22"/>
          <w:szCs w:val="22"/>
        </w:rPr>
        <w:footnoteReference w:id="495"/>
      </w:r>
      <w:r w:rsidRPr="00D9152B">
        <w:rPr>
          <w:rFonts w:ascii="Calibri" w:hAnsi="Calibri" w:cs="Calibri"/>
          <w:sz w:val="22"/>
          <w:szCs w:val="22"/>
        </w:rPr>
        <w:t xml:space="preserve"> By 1972, the estimate was increased to perhaps $20 million a year over 20 years, including maintenance, or a total of about $400 million (in 1972 dollars).</w:t>
      </w:r>
      <w:r w:rsidRPr="00D9152B">
        <w:rPr>
          <w:rStyle w:val="FootnoteReference"/>
          <w:rFonts w:ascii="Calibri" w:hAnsi="Calibri" w:cs="Calibri"/>
          <w:sz w:val="22"/>
          <w:szCs w:val="22"/>
        </w:rPr>
        <w:footnoteReference w:id="496"/>
      </w:r>
      <w:r w:rsidRPr="00D9152B">
        <w:rPr>
          <w:rFonts w:ascii="Calibri" w:hAnsi="Calibri" w:cs="Calibri"/>
          <w:sz w:val="22"/>
          <w:szCs w:val="22"/>
        </w:rPr>
        <w:t xml:space="preserve"> OCP total costs are, therefore, much higher than the estimates provided when the WHO, McNamara</w:t>
      </w:r>
      <w:r w:rsidR="008F751F" w:rsidRPr="00D9152B">
        <w:rPr>
          <w:rFonts w:ascii="Calibri" w:hAnsi="Calibri" w:cs="Calibri"/>
          <w:sz w:val="22"/>
          <w:szCs w:val="22"/>
        </w:rPr>
        <w:t>,</w:t>
      </w:r>
      <w:r w:rsidRPr="00D9152B">
        <w:rPr>
          <w:rFonts w:ascii="Calibri" w:hAnsi="Calibri" w:cs="Calibri"/>
          <w:sz w:val="22"/>
          <w:szCs w:val="22"/>
        </w:rPr>
        <w:t xml:space="preserve"> and </w:t>
      </w:r>
      <w:r w:rsidR="008F751F" w:rsidRPr="00D9152B">
        <w:rPr>
          <w:rFonts w:ascii="Calibri" w:hAnsi="Calibri" w:cs="Calibri"/>
          <w:sz w:val="22"/>
          <w:szCs w:val="22"/>
        </w:rPr>
        <w:t xml:space="preserve">other </w:t>
      </w:r>
      <w:r w:rsidRPr="00D9152B">
        <w:rPr>
          <w:rFonts w:ascii="Calibri" w:hAnsi="Calibri" w:cs="Calibri"/>
          <w:sz w:val="22"/>
          <w:szCs w:val="22"/>
        </w:rPr>
        <w:t>partners initially moved forward with the programme in 1971</w:t>
      </w:r>
      <w:r w:rsidR="007D1529" w:rsidRPr="00D9152B">
        <w:rPr>
          <w:rFonts w:ascii="Calibri" w:hAnsi="Calibri" w:cs="Calibri"/>
          <w:sz w:val="22"/>
          <w:szCs w:val="22"/>
        </w:rPr>
        <w:t>-1972</w:t>
      </w:r>
      <w:r w:rsidRPr="00D9152B">
        <w:rPr>
          <w:rFonts w:ascii="Calibri" w:hAnsi="Calibri" w:cs="Calibri"/>
          <w:sz w:val="22"/>
          <w:szCs w:val="22"/>
        </w:rPr>
        <w:t>. This is mainly because initial budgets under-estimated the timeframe of the program</w:t>
      </w:r>
      <w:r w:rsidR="002D31A3">
        <w:rPr>
          <w:rFonts w:ascii="Calibri" w:hAnsi="Calibri" w:cs="Calibri"/>
          <w:sz w:val="22"/>
          <w:szCs w:val="22"/>
        </w:rPr>
        <w:t>me</w:t>
      </w:r>
      <w:r w:rsidRPr="00D9152B">
        <w:rPr>
          <w:rFonts w:ascii="Calibri" w:hAnsi="Calibri" w:cs="Calibri"/>
          <w:sz w:val="22"/>
          <w:szCs w:val="22"/>
        </w:rPr>
        <w:t xml:space="preserve">; per year expenditures were lower most years than initial estimates. </w:t>
      </w:r>
    </w:p>
    <w:p w14:paraId="075E7D7F" w14:textId="6A8C173F" w:rsidR="00AC7848" w:rsidRPr="00D9152B" w:rsidRDefault="00AC7848">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If long-term expenditures crept higher than projected, this was balanced-out by good adherence to budgets set </w:t>
      </w:r>
      <w:r w:rsidRPr="00D9152B">
        <w:rPr>
          <w:rFonts w:ascii="Calibri" w:hAnsi="Calibri" w:cs="Calibri"/>
          <w:i/>
          <w:sz w:val="22"/>
          <w:szCs w:val="22"/>
        </w:rPr>
        <w:t xml:space="preserve">within </w:t>
      </w:r>
      <w:r w:rsidRPr="00D9152B">
        <w:rPr>
          <w:rFonts w:ascii="Calibri" w:hAnsi="Calibri" w:cs="Calibri"/>
          <w:sz w:val="22"/>
          <w:szCs w:val="22"/>
        </w:rPr>
        <w:t>each phase. The cost of Phase II (1980-1985), for instance, was estimated at $133 million in 1978</w:t>
      </w:r>
      <w:r w:rsidRPr="00D9152B">
        <w:rPr>
          <w:rStyle w:val="FootnoteReference"/>
          <w:rFonts w:ascii="Calibri" w:hAnsi="Calibri" w:cs="Calibri"/>
          <w:sz w:val="22"/>
          <w:szCs w:val="22"/>
        </w:rPr>
        <w:footnoteReference w:id="497"/>
      </w:r>
      <w:r w:rsidRPr="00D9152B">
        <w:rPr>
          <w:rFonts w:ascii="Calibri" w:hAnsi="Calibri" w:cs="Calibri"/>
          <w:sz w:val="22"/>
          <w:szCs w:val="22"/>
        </w:rPr>
        <w:t xml:space="preserve"> and revised to $107 million in late 1979.</w:t>
      </w:r>
      <w:r w:rsidRPr="00D9152B">
        <w:rPr>
          <w:rStyle w:val="FootnoteReference"/>
          <w:rFonts w:ascii="Calibri" w:hAnsi="Calibri" w:cs="Calibri"/>
          <w:sz w:val="22"/>
          <w:szCs w:val="22"/>
        </w:rPr>
        <w:footnoteReference w:id="498"/>
      </w:r>
      <w:r w:rsidRPr="00D9152B">
        <w:rPr>
          <w:rFonts w:ascii="Calibri" w:hAnsi="Calibri" w:cs="Calibri"/>
          <w:sz w:val="22"/>
          <w:szCs w:val="22"/>
        </w:rPr>
        <w:t xml:space="preserve"> Phase II expenditures were ultimately around $105 million. Similarly, estimated expenditures compiled just before Phase III (1986-1991)</w:t>
      </w:r>
      <w:r w:rsidR="007D1529" w:rsidRPr="00D9152B">
        <w:rPr>
          <w:rFonts w:ascii="Calibri" w:hAnsi="Calibri" w:cs="Calibri"/>
          <w:sz w:val="22"/>
          <w:szCs w:val="22"/>
        </w:rPr>
        <w:t xml:space="preserve"> </w:t>
      </w:r>
      <w:r w:rsidRPr="00D9152B">
        <w:rPr>
          <w:rFonts w:ascii="Calibri" w:hAnsi="Calibri" w:cs="Calibri"/>
          <w:sz w:val="22"/>
          <w:szCs w:val="22"/>
        </w:rPr>
        <w:t>budgeted $175 million for the phase, which ultimately costed about $177 million.</w:t>
      </w:r>
      <w:r w:rsidRPr="00D9152B">
        <w:rPr>
          <w:rStyle w:val="FootnoteReference"/>
          <w:rFonts w:ascii="Calibri" w:hAnsi="Calibri" w:cs="Calibri"/>
          <w:sz w:val="22"/>
          <w:szCs w:val="22"/>
        </w:rPr>
        <w:footnoteReference w:id="499"/>
      </w:r>
      <w:r w:rsidRPr="00D9152B">
        <w:rPr>
          <w:rFonts w:ascii="Calibri" w:hAnsi="Calibri" w:cs="Calibri"/>
          <w:sz w:val="22"/>
          <w:szCs w:val="22"/>
        </w:rPr>
        <w:t xml:space="preserve"> While actual costs are not available for Phase IV (1992-2002) through archived documents, basic arithmetic indicates that this phase likely cost around $218 million, against a 1991 estimated budget of $175 million.</w:t>
      </w:r>
      <w:r w:rsidRPr="00D9152B">
        <w:rPr>
          <w:rStyle w:val="FootnoteReference"/>
          <w:rFonts w:ascii="Calibri" w:hAnsi="Calibri" w:cs="Calibri"/>
          <w:sz w:val="22"/>
          <w:szCs w:val="22"/>
        </w:rPr>
        <w:footnoteReference w:id="500"/>
      </w:r>
      <w:r w:rsidRPr="00D9152B">
        <w:rPr>
          <w:rFonts w:ascii="Calibri" w:hAnsi="Calibri" w:cs="Calibri"/>
          <w:sz w:val="22"/>
          <w:szCs w:val="22"/>
        </w:rPr>
        <w:t xml:space="preserve"> </w:t>
      </w:r>
      <w:r w:rsidR="00B70D6F" w:rsidRPr="00D9152B">
        <w:rPr>
          <w:rFonts w:ascii="Calibri" w:hAnsi="Calibri" w:cs="Calibri"/>
          <w:sz w:val="22"/>
          <w:szCs w:val="22"/>
        </w:rPr>
        <w:lastRenderedPageBreak/>
        <w:t xml:space="preserve">The </w:t>
      </w:r>
      <w:r w:rsidR="007D1529" w:rsidRPr="00D9152B">
        <w:rPr>
          <w:rFonts w:ascii="Calibri" w:hAnsi="Calibri" w:cs="Calibri"/>
          <w:sz w:val="22"/>
          <w:szCs w:val="22"/>
        </w:rPr>
        <w:t>OCP was</w:t>
      </w:r>
      <w:r w:rsidR="00B70D6F" w:rsidRPr="00D9152B">
        <w:rPr>
          <w:rFonts w:ascii="Calibri" w:hAnsi="Calibri" w:cs="Calibri"/>
          <w:sz w:val="22"/>
          <w:szCs w:val="22"/>
        </w:rPr>
        <w:t xml:space="preserve"> therefore arguably</w:t>
      </w:r>
      <w:r w:rsidRPr="00D9152B">
        <w:rPr>
          <w:rFonts w:ascii="Calibri" w:hAnsi="Calibri" w:cs="Calibri"/>
          <w:sz w:val="22"/>
          <w:szCs w:val="22"/>
        </w:rPr>
        <w:t xml:space="preserve"> successful in terms of sticking to </w:t>
      </w:r>
      <w:r w:rsidR="007D1529" w:rsidRPr="00D9152B">
        <w:rPr>
          <w:rFonts w:ascii="Calibri" w:hAnsi="Calibri" w:cs="Calibri"/>
          <w:sz w:val="22"/>
          <w:szCs w:val="22"/>
        </w:rPr>
        <w:t>recent</w:t>
      </w:r>
      <w:r w:rsidRPr="00D9152B">
        <w:rPr>
          <w:rFonts w:ascii="Calibri" w:hAnsi="Calibri" w:cs="Calibri"/>
          <w:sz w:val="22"/>
          <w:szCs w:val="22"/>
        </w:rPr>
        <w:t xml:space="preserve"> budgets – but less successful in terms of budgetary transparency and long-term budgetary projection. </w:t>
      </w:r>
    </w:p>
    <w:p w14:paraId="4F011CD2" w14:textId="6E2E7F72"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Bank undoubtedly played a role in keeping the WHO to its budget for each phase. Technical execution of the programme was the jurisdiction of the WHO, but the Bank’s influence with donors (and as a major donor itself) gave it a lever of influence in managing total </w:t>
      </w:r>
      <w:r w:rsidR="008F751F" w:rsidRPr="00D9152B">
        <w:rPr>
          <w:rFonts w:ascii="Calibri" w:hAnsi="Calibri" w:cs="Calibri"/>
          <w:sz w:val="22"/>
          <w:szCs w:val="22"/>
        </w:rPr>
        <w:t>f</w:t>
      </w:r>
      <w:r w:rsidRPr="00D9152B">
        <w:rPr>
          <w:rFonts w:ascii="Calibri" w:hAnsi="Calibri" w:cs="Calibri"/>
          <w:sz w:val="22"/>
          <w:szCs w:val="22"/>
        </w:rPr>
        <w:t>und expenses. In 1977, for example, a Bank staff member wrote that, ‘At present the Bank has little effective control over the technical parameters which determine the size of the budget’, but ‘not to attempt a closer control may cause embarrassment’ with donors.</w:t>
      </w:r>
      <w:r w:rsidRPr="00D9152B">
        <w:rPr>
          <w:rStyle w:val="FootnoteReference"/>
          <w:rFonts w:ascii="Calibri" w:hAnsi="Calibri" w:cs="Calibri"/>
          <w:sz w:val="22"/>
          <w:szCs w:val="22"/>
        </w:rPr>
        <w:footnoteReference w:id="501"/>
      </w:r>
      <w:r w:rsidR="008F751F" w:rsidRPr="00D9152B">
        <w:rPr>
          <w:rFonts w:ascii="Calibri" w:hAnsi="Calibri" w:cs="Calibri"/>
          <w:sz w:val="22"/>
          <w:szCs w:val="22"/>
        </w:rPr>
        <w:t xml:space="preserve"> The first onchocerciasis c</w:t>
      </w:r>
      <w:r w:rsidRPr="00D9152B">
        <w:rPr>
          <w:rFonts w:ascii="Calibri" w:hAnsi="Calibri" w:cs="Calibri"/>
          <w:sz w:val="22"/>
          <w:szCs w:val="22"/>
        </w:rPr>
        <w:t xml:space="preserve">oordinator at the Bank, Jean-Paul Dailly, even left his position because of a disagreement with the new OCP </w:t>
      </w:r>
      <w:r w:rsidR="007D1529" w:rsidRPr="00D9152B">
        <w:rPr>
          <w:rFonts w:ascii="Calibri" w:hAnsi="Calibri" w:cs="Calibri"/>
          <w:sz w:val="22"/>
          <w:szCs w:val="22"/>
        </w:rPr>
        <w:t>D</w:t>
      </w:r>
      <w:r w:rsidRPr="00D9152B">
        <w:rPr>
          <w:rFonts w:ascii="Calibri" w:hAnsi="Calibri" w:cs="Calibri"/>
          <w:sz w:val="22"/>
          <w:szCs w:val="22"/>
        </w:rPr>
        <w:t>irector, E.M. Samba, over what he perceived as inflated WHO budgets in the early 1980s.</w:t>
      </w:r>
      <w:r w:rsidRPr="00D9152B">
        <w:rPr>
          <w:rStyle w:val="FootnoteReference"/>
          <w:rFonts w:ascii="Calibri" w:hAnsi="Calibri" w:cs="Calibri"/>
          <w:sz w:val="22"/>
          <w:szCs w:val="22"/>
        </w:rPr>
        <w:footnoteReference w:id="502"/>
      </w:r>
      <w:r w:rsidRPr="00D9152B">
        <w:rPr>
          <w:rFonts w:ascii="Calibri" w:hAnsi="Calibri" w:cs="Calibri"/>
          <w:sz w:val="22"/>
          <w:szCs w:val="22"/>
        </w:rPr>
        <w:t xml:space="preserve"> In 1984, some donors conditioned their Phase III pledges on the WHO’s development of a ‘top notch’ plan for operations, and demanded that this be ‘properly evaluated and cost-guaranteed by the Bank’. The Bank agreed to provide a specialist to assist with costing this plan, because it recognized that ‘cost calculation and presentation was one of the weakest sections’ of the OCP’s earlier WHO-executed long-term strategy.</w:t>
      </w:r>
      <w:r w:rsidRPr="00D9152B">
        <w:rPr>
          <w:rStyle w:val="FootnoteReference"/>
          <w:rFonts w:ascii="Calibri" w:hAnsi="Calibri" w:cs="Calibri"/>
          <w:sz w:val="22"/>
          <w:szCs w:val="22"/>
        </w:rPr>
        <w:footnoteReference w:id="503"/>
      </w:r>
      <w:r w:rsidRPr="00D9152B">
        <w:rPr>
          <w:rFonts w:ascii="Calibri" w:hAnsi="Calibri" w:cs="Calibri"/>
          <w:sz w:val="22"/>
          <w:szCs w:val="22"/>
        </w:rPr>
        <w:t xml:space="preserve"> </w:t>
      </w:r>
    </w:p>
    <w:p w14:paraId="78BB7A27" w14:textId="7705B9EC"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By 1987, when the OCP was facing a serious budgetary crisis due to the declining value of the dollar and insecticide resistance,</w:t>
      </w:r>
      <w:r w:rsidRPr="00D9152B">
        <w:rPr>
          <w:rStyle w:val="FootnoteReference"/>
          <w:rFonts w:ascii="Calibri" w:hAnsi="Calibri" w:cs="Calibri"/>
          <w:sz w:val="22"/>
          <w:szCs w:val="22"/>
        </w:rPr>
        <w:footnoteReference w:id="504"/>
      </w:r>
      <w:r w:rsidRPr="00D9152B">
        <w:rPr>
          <w:rFonts w:ascii="Calibri" w:hAnsi="Calibri" w:cs="Calibri"/>
          <w:sz w:val="22"/>
          <w:szCs w:val="22"/>
        </w:rPr>
        <w:t xml:space="preserve"> the Bank also played a major role in helping the OCP keep expenditures to a manageable level. </w:t>
      </w:r>
      <w:r w:rsidR="0040436C">
        <w:rPr>
          <w:rFonts w:ascii="Calibri" w:hAnsi="Calibri" w:cs="Calibri"/>
          <w:sz w:val="22"/>
          <w:szCs w:val="22"/>
        </w:rPr>
        <w:t xml:space="preserve">The budgetary crisis of the OCP was only a small part of larger challenges facing the AFRO region at the time. For instance, Regional Director Lobe Monekosso (serving from 1984-1994) led a </w:t>
      </w:r>
      <w:r w:rsidR="0040436C" w:rsidRPr="00546CBA">
        <w:rPr>
          <w:rFonts w:ascii="Calibri" w:hAnsi="Calibri" w:cs="Calibri"/>
          <w:sz w:val="22"/>
          <w:szCs w:val="22"/>
        </w:rPr>
        <w:t>three-phase action plan for Africa that was underfunded and never fully implemented</w:t>
      </w:r>
      <w:r w:rsidR="0040436C" w:rsidRPr="00681100">
        <w:rPr>
          <w:rFonts w:ascii="Calibri" w:hAnsi="Calibri" w:cs="Calibri"/>
          <w:sz w:val="22"/>
          <w:szCs w:val="22"/>
        </w:rPr>
        <w:t>.</w:t>
      </w:r>
      <w:r w:rsidR="0040436C" w:rsidRPr="00CF189D">
        <w:rPr>
          <w:rStyle w:val="FootnoteReference"/>
          <w:rFonts w:ascii="Calibri" w:hAnsi="Calibri" w:cs="Calibri"/>
          <w:sz w:val="18"/>
          <w:szCs w:val="18"/>
        </w:rPr>
        <w:footnoteReference w:id="505"/>
      </w:r>
      <w:r w:rsidR="0040436C" w:rsidRPr="00CF189D">
        <w:rPr>
          <w:rFonts w:ascii="Calibri" w:hAnsi="Calibri" w:cs="Calibri"/>
          <w:sz w:val="18"/>
          <w:szCs w:val="18"/>
        </w:rPr>
        <w:t xml:space="preserve"> </w:t>
      </w:r>
      <w:r w:rsidR="0040436C" w:rsidRPr="00546CBA">
        <w:rPr>
          <w:rFonts w:ascii="Calibri" w:hAnsi="Calibri" w:cs="Calibri"/>
          <w:sz w:val="22"/>
          <w:szCs w:val="22"/>
        </w:rPr>
        <w:t>The</w:t>
      </w:r>
      <w:r w:rsidR="0040436C">
        <w:rPr>
          <w:rFonts w:ascii="Calibri" w:hAnsi="Calibri" w:cs="Calibri"/>
          <w:sz w:val="22"/>
          <w:szCs w:val="22"/>
        </w:rPr>
        <w:t xml:space="preserve"> Bank</w:t>
      </w:r>
      <w:r w:rsidR="0040436C" w:rsidRPr="00D9152B">
        <w:rPr>
          <w:rFonts w:ascii="Calibri" w:hAnsi="Calibri" w:cs="Calibri"/>
          <w:sz w:val="22"/>
          <w:szCs w:val="22"/>
        </w:rPr>
        <w:t xml:space="preserve"> </w:t>
      </w:r>
      <w:r w:rsidRPr="00D9152B">
        <w:rPr>
          <w:rFonts w:ascii="Calibri" w:hAnsi="Calibri" w:cs="Calibri"/>
          <w:sz w:val="22"/>
          <w:szCs w:val="22"/>
        </w:rPr>
        <w:t>served as a liaison with</w:t>
      </w:r>
      <w:r w:rsidR="0040436C">
        <w:rPr>
          <w:rFonts w:ascii="Calibri" w:hAnsi="Calibri" w:cs="Calibri"/>
          <w:sz w:val="22"/>
          <w:szCs w:val="22"/>
        </w:rPr>
        <w:t xml:space="preserve"> OCP</w:t>
      </w:r>
      <w:r w:rsidRPr="00D9152B">
        <w:rPr>
          <w:rFonts w:ascii="Calibri" w:hAnsi="Calibri" w:cs="Calibri"/>
          <w:sz w:val="22"/>
          <w:szCs w:val="22"/>
        </w:rPr>
        <w:t xml:space="preserve"> donors, who indicated that additional funds would only be available if the OCP could prove it was making efforts at cost-cutting. The Bank </w:t>
      </w:r>
      <w:r w:rsidR="008F751F" w:rsidRPr="00D9152B">
        <w:rPr>
          <w:rFonts w:ascii="Calibri" w:hAnsi="Calibri" w:cs="Calibri"/>
          <w:sz w:val="22"/>
          <w:szCs w:val="22"/>
        </w:rPr>
        <w:t>requested that Samba plan a financial management s</w:t>
      </w:r>
      <w:r w:rsidRPr="00D9152B">
        <w:rPr>
          <w:rFonts w:ascii="Calibri" w:hAnsi="Calibri" w:cs="Calibri"/>
          <w:sz w:val="22"/>
          <w:szCs w:val="22"/>
        </w:rPr>
        <w:t xml:space="preserve">eminar in March 1987, which considered how to reduce </w:t>
      </w:r>
      <w:r w:rsidRPr="00D9152B">
        <w:rPr>
          <w:rFonts w:ascii="Calibri" w:hAnsi="Calibri" w:cs="Calibri"/>
          <w:sz w:val="22"/>
          <w:szCs w:val="22"/>
        </w:rPr>
        <w:lastRenderedPageBreak/>
        <w:t>costs and streamline activities. The seminar recommended temporary austerity measures, like suspending all recruitment, reducing vector control personnel, asking unit chiefs to justify their personnel requirements and recommend reductions, limiting consultants, better maintaining vehicles so that operations could be run ‘with an aging vehicle fleet’, and restricting staff travel.</w:t>
      </w:r>
      <w:r w:rsidRPr="00D9152B">
        <w:rPr>
          <w:rStyle w:val="FootnoteReference"/>
          <w:rFonts w:ascii="Calibri" w:hAnsi="Calibri" w:cs="Calibri"/>
          <w:sz w:val="22"/>
          <w:szCs w:val="22"/>
        </w:rPr>
        <w:footnoteReference w:id="506"/>
      </w:r>
      <w:r w:rsidRPr="00D9152B">
        <w:rPr>
          <w:rFonts w:ascii="Calibri" w:hAnsi="Calibri" w:cs="Calibri"/>
          <w:sz w:val="22"/>
          <w:szCs w:val="22"/>
        </w:rPr>
        <w:t xml:space="preserve"> In many ways, these austerity measures reflected the Bank’s own structural adjustment policies at the time.</w:t>
      </w:r>
      <w:r w:rsidRPr="00D9152B">
        <w:rPr>
          <w:rStyle w:val="FootnoteReference"/>
          <w:rFonts w:ascii="Calibri" w:hAnsi="Calibri" w:cs="Calibri"/>
          <w:sz w:val="22"/>
          <w:szCs w:val="22"/>
        </w:rPr>
        <w:footnoteReference w:id="507"/>
      </w:r>
    </w:p>
    <w:p w14:paraId="4B4A3084" w14:textId="2DBBCEF9" w:rsidR="00AC7848" w:rsidRPr="00D9152B" w:rsidRDefault="009A5A65" w:rsidP="005C7F9F">
      <w:pPr>
        <w:pStyle w:val="Heading3"/>
        <w:spacing w:line="360" w:lineRule="auto"/>
        <w:rPr>
          <w:rFonts w:ascii="Calibri" w:hAnsi="Calibri" w:cs="Calibri"/>
          <w:b/>
          <w:i/>
          <w:color w:val="000000" w:themeColor="text1"/>
          <w:sz w:val="22"/>
          <w:szCs w:val="22"/>
        </w:rPr>
      </w:pPr>
      <w:bookmarkStart w:id="88" w:name="_Toc41505662"/>
      <w:r w:rsidRPr="00D9152B">
        <w:rPr>
          <w:rFonts w:ascii="Calibri" w:hAnsi="Calibri" w:cs="Calibri"/>
          <w:b/>
          <w:i/>
          <w:color w:val="000000" w:themeColor="text1"/>
          <w:sz w:val="22"/>
          <w:szCs w:val="22"/>
        </w:rPr>
        <w:t>5.6.C</w:t>
      </w:r>
      <w:r w:rsidR="002C2DA0" w:rsidRPr="00D9152B">
        <w:rPr>
          <w:rFonts w:ascii="Calibri" w:hAnsi="Calibri" w:cs="Calibri"/>
          <w:b/>
          <w:i/>
          <w:color w:val="000000" w:themeColor="text1"/>
          <w:sz w:val="22"/>
          <w:szCs w:val="22"/>
        </w:rPr>
        <w:t xml:space="preserve">. </w:t>
      </w:r>
      <w:r w:rsidR="00871836" w:rsidRPr="00D9152B">
        <w:rPr>
          <w:rFonts w:ascii="Calibri" w:hAnsi="Calibri" w:cs="Calibri"/>
          <w:b/>
          <w:i/>
          <w:color w:val="000000" w:themeColor="text1"/>
          <w:sz w:val="22"/>
          <w:szCs w:val="22"/>
        </w:rPr>
        <w:t>The programme’s budgetary priorities</w:t>
      </w:r>
      <w:bookmarkEnd w:id="88"/>
    </w:p>
    <w:p w14:paraId="783405A7" w14:textId="3523A9BD" w:rsidR="00AC7848" w:rsidRPr="00D9152B" w:rsidRDefault="00AC7848" w:rsidP="007D1529">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As </w:t>
      </w:r>
      <w:r w:rsidR="008F751F" w:rsidRPr="00D9152B">
        <w:rPr>
          <w:rFonts w:ascii="Calibri" w:hAnsi="Calibri" w:cs="Calibri"/>
          <w:sz w:val="22"/>
          <w:szCs w:val="22"/>
        </w:rPr>
        <w:t>shown in</w:t>
      </w:r>
      <w:r w:rsidRPr="00D9152B">
        <w:rPr>
          <w:rFonts w:ascii="Calibri" w:hAnsi="Calibri" w:cs="Calibri"/>
          <w:sz w:val="22"/>
          <w:szCs w:val="22"/>
        </w:rPr>
        <w:t xml:space="preserve"> Chapter 3, the Bank’s </w:t>
      </w:r>
      <w:r w:rsidR="008F751F" w:rsidRPr="00D9152B">
        <w:rPr>
          <w:rFonts w:ascii="Calibri" w:hAnsi="Calibri" w:cs="Calibri"/>
          <w:sz w:val="22"/>
          <w:szCs w:val="22"/>
        </w:rPr>
        <w:t xml:space="preserve">OCP </w:t>
      </w:r>
      <w:r w:rsidRPr="00D9152B">
        <w:rPr>
          <w:rFonts w:ascii="Calibri" w:hAnsi="Calibri" w:cs="Calibri"/>
          <w:sz w:val="22"/>
          <w:szCs w:val="22"/>
        </w:rPr>
        <w:t xml:space="preserve">success story highlights the importance of operational research and the </w:t>
      </w:r>
      <w:r w:rsidR="008F751F" w:rsidRPr="00D9152B">
        <w:rPr>
          <w:rFonts w:ascii="Calibri" w:hAnsi="Calibri" w:cs="Calibri"/>
          <w:sz w:val="22"/>
          <w:szCs w:val="22"/>
        </w:rPr>
        <w:t>programme’s</w:t>
      </w:r>
      <w:r w:rsidRPr="00D9152B">
        <w:rPr>
          <w:rFonts w:ascii="Calibri" w:hAnsi="Calibri" w:cs="Calibri"/>
          <w:sz w:val="22"/>
          <w:szCs w:val="22"/>
        </w:rPr>
        <w:t xml:space="preserve"> role in health system strengthening</w:t>
      </w:r>
      <w:r w:rsidR="008F751F" w:rsidRPr="00D9152B">
        <w:rPr>
          <w:rFonts w:ascii="Calibri" w:hAnsi="Calibri" w:cs="Calibri"/>
          <w:sz w:val="22"/>
          <w:szCs w:val="22"/>
        </w:rPr>
        <w:t>, through community engagement</w:t>
      </w:r>
      <w:r w:rsidRPr="00D9152B">
        <w:rPr>
          <w:rFonts w:ascii="Calibri" w:hAnsi="Calibri" w:cs="Calibri"/>
          <w:sz w:val="22"/>
          <w:szCs w:val="22"/>
        </w:rPr>
        <w:t xml:space="preserve">. Chapter 4 also </w:t>
      </w:r>
      <w:r w:rsidR="008F751F" w:rsidRPr="00D9152B">
        <w:rPr>
          <w:rFonts w:ascii="Calibri" w:hAnsi="Calibri" w:cs="Calibri"/>
          <w:sz w:val="22"/>
          <w:szCs w:val="22"/>
        </w:rPr>
        <w:t>demonstrated</w:t>
      </w:r>
      <w:r w:rsidRPr="00D9152B">
        <w:rPr>
          <w:rFonts w:ascii="Calibri" w:hAnsi="Calibri" w:cs="Calibri"/>
          <w:sz w:val="22"/>
          <w:szCs w:val="22"/>
        </w:rPr>
        <w:t xml:space="preserve"> how much weight the Bank – and participating countries – placed on freeing land for socio-economic development. How</w:t>
      </w:r>
      <w:r w:rsidR="008F751F" w:rsidRPr="00D9152B">
        <w:rPr>
          <w:rFonts w:ascii="Calibri" w:hAnsi="Calibri" w:cs="Calibri"/>
          <w:sz w:val="22"/>
          <w:szCs w:val="22"/>
        </w:rPr>
        <w:t>, then,</w:t>
      </w:r>
      <w:r w:rsidRPr="00D9152B">
        <w:rPr>
          <w:rFonts w:ascii="Calibri" w:hAnsi="Calibri" w:cs="Calibri"/>
          <w:sz w:val="22"/>
          <w:szCs w:val="22"/>
        </w:rPr>
        <w:t xml:space="preserve"> does the success narrative match with the way that resources were allocated during the OCP? </w:t>
      </w:r>
      <w:r w:rsidR="00B70D6F" w:rsidRPr="00D9152B">
        <w:rPr>
          <w:rFonts w:ascii="Calibri" w:hAnsi="Calibri" w:cs="Calibri"/>
          <w:sz w:val="22"/>
          <w:szCs w:val="22"/>
        </w:rPr>
        <w:t>Assuming</w:t>
      </w:r>
      <w:r w:rsidRPr="00D9152B">
        <w:rPr>
          <w:rFonts w:ascii="Calibri" w:hAnsi="Calibri" w:cs="Calibri"/>
          <w:sz w:val="22"/>
          <w:szCs w:val="22"/>
        </w:rPr>
        <w:t xml:space="preserve"> that budgeting is linked </w:t>
      </w:r>
      <w:r w:rsidR="00B70D6F" w:rsidRPr="00D9152B">
        <w:rPr>
          <w:rFonts w:ascii="Calibri" w:hAnsi="Calibri" w:cs="Calibri"/>
          <w:sz w:val="22"/>
          <w:szCs w:val="22"/>
        </w:rPr>
        <w:t>to</w:t>
      </w:r>
      <w:r w:rsidRPr="00D9152B">
        <w:rPr>
          <w:rFonts w:ascii="Calibri" w:hAnsi="Calibri" w:cs="Calibri"/>
          <w:sz w:val="22"/>
          <w:szCs w:val="22"/>
        </w:rPr>
        <w:t xml:space="preserve"> programme priorities, what areas did th</w:t>
      </w:r>
      <w:r w:rsidR="008F751F" w:rsidRPr="00D9152B">
        <w:rPr>
          <w:rFonts w:ascii="Calibri" w:hAnsi="Calibri" w:cs="Calibri"/>
          <w:sz w:val="22"/>
          <w:szCs w:val="22"/>
        </w:rPr>
        <w:t xml:space="preserve">e OCP prioritise most? Figures </w:t>
      </w:r>
      <w:r w:rsidR="001D0CA0">
        <w:rPr>
          <w:rFonts w:ascii="Calibri" w:hAnsi="Calibri" w:cs="Calibri"/>
          <w:sz w:val="22"/>
          <w:szCs w:val="22"/>
        </w:rPr>
        <w:t>5.</w:t>
      </w:r>
      <w:r w:rsidR="008F751F" w:rsidRPr="00D9152B">
        <w:rPr>
          <w:rFonts w:ascii="Calibri" w:hAnsi="Calibri" w:cs="Calibri"/>
          <w:sz w:val="22"/>
          <w:szCs w:val="22"/>
        </w:rPr>
        <w:t>5</w:t>
      </w:r>
      <w:r w:rsidRPr="00D9152B">
        <w:rPr>
          <w:rFonts w:ascii="Calibri" w:hAnsi="Calibri" w:cs="Calibri"/>
          <w:sz w:val="22"/>
          <w:szCs w:val="22"/>
        </w:rPr>
        <w:t xml:space="preserve"> and </w:t>
      </w:r>
      <w:r w:rsidR="001D0CA0">
        <w:rPr>
          <w:rFonts w:ascii="Calibri" w:hAnsi="Calibri" w:cs="Calibri"/>
          <w:sz w:val="22"/>
          <w:szCs w:val="22"/>
        </w:rPr>
        <w:t>5.</w:t>
      </w:r>
      <w:r w:rsidR="008F751F" w:rsidRPr="00D9152B">
        <w:rPr>
          <w:rFonts w:ascii="Calibri" w:hAnsi="Calibri" w:cs="Calibri"/>
          <w:sz w:val="22"/>
          <w:szCs w:val="22"/>
        </w:rPr>
        <w:t>6</w:t>
      </w:r>
      <w:r w:rsidRPr="00D9152B">
        <w:rPr>
          <w:rFonts w:ascii="Calibri" w:hAnsi="Calibri" w:cs="Calibri"/>
          <w:sz w:val="22"/>
          <w:szCs w:val="22"/>
        </w:rPr>
        <w:t xml:space="preserve"> summari</w:t>
      </w:r>
      <w:r w:rsidR="00254A9B">
        <w:rPr>
          <w:rFonts w:ascii="Calibri" w:hAnsi="Calibri" w:cs="Calibri"/>
          <w:sz w:val="22"/>
          <w:szCs w:val="22"/>
        </w:rPr>
        <w:t>s</w:t>
      </w:r>
      <w:r w:rsidRPr="00D9152B">
        <w:rPr>
          <w:rFonts w:ascii="Calibri" w:hAnsi="Calibri" w:cs="Calibri"/>
          <w:sz w:val="22"/>
          <w:szCs w:val="22"/>
        </w:rPr>
        <w:t>e budgetary expenditures for Phases I-III by catego</w:t>
      </w:r>
      <w:r w:rsidR="008F751F" w:rsidRPr="00D9152B">
        <w:rPr>
          <w:rFonts w:ascii="Calibri" w:hAnsi="Calibri" w:cs="Calibri"/>
          <w:sz w:val="22"/>
          <w:szCs w:val="22"/>
        </w:rPr>
        <w:t xml:space="preserve">ry of expenditure, and Figure </w:t>
      </w:r>
      <w:r w:rsidR="001D0CA0">
        <w:rPr>
          <w:rFonts w:ascii="Calibri" w:hAnsi="Calibri" w:cs="Calibri"/>
          <w:sz w:val="22"/>
          <w:szCs w:val="22"/>
        </w:rPr>
        <w:t>5.</w:t>
      </w:r>
      <w:r w:rsidR="008F751F" w:rsidRPr="00D9152B">
        <w:rPr>
          <w:rFonts w:ascii="Calibri" w:hAnsi="Calibri" w:cs="Calibri"/>
          <w:sz w:val="22"/>
          <w:szCs w:val="22"/>
        </w:rPr>
        <w:t>7</w:t>
      </w:r>
      <w:r w:rsidRPr="00D9152B">
        <w:rPr>
          <w:rFonts w:ascii="Calibri" w:hAnsi="Calibri" w:cs="Calibri"/>
          <w:sz w:val="22"/>
          <w:szCs w:val="22"/>
        </w:rPr>
        <w:t xml:space="preserve"> by programme area. The figures are based predominately on expenditures taken from archived </w:t>
      </w:r>
      <w:r w:rsidR="00B70D6F" w:rsidRPr="00D9152B">
        <w:rPr>
          <w:rFonts w:ascii="Calibri" w:hAnsi="Calibri" w:cs="Calibri"/>
          <w:sz w:val="22"/>
          <w:szCs w:val="22"/>
        </w:rPr>
        <w:t>‘</w:t>
      </w:r>
      <w:r w:rsidRPr="00D9152B">
        <w:rPr>
          <w:rFonts w:ascii="Calibri" w:hAnsi="Calibri" w:cs="Calibri"/>
          <w:sz w:val="22"/>
          <w:szCs w:val="22"/>
        </w:rPr>
        <w:t>Plan</w:t>
      </w:r>
      <w:r w:rsidR="00B70D6F" w:rsidRPr="00D9152B">
        <w:rPr>
          <w:rFonts w:ascii="Calibri" w:hAnsi="Calibri" w:cs="Calibri"/>
          <w:sz w:val="22"/>
          <w:szCs w:val="22"/>
        </w:rPr>
        <w:t>s of Action</w:t>
      </w:r>
      <w:r w:rsidRPr="00D9152B">
        <w:rPr>
          <w:rFonts w:ascii="Calibri" w:hAnsi="Calibri" w:cs="Calibri"/>
          <w:sz w:val="22"/>
          <w:szCs w:val="22"/>
        </w:rPr>
        <w:t xml:space="preserve"> and Budgets</w:t>
      </w:r>
      <w:r w:rsidR="00B70D6F" w:rsidRPr="00D9152B">
        <w:rPr>
          <w:rFonts w:ascii="Calibri" w:hAnsi="Calibri" w:cs="Calibri"/>
          <w:sz w:val="22"/>
          <w:szCs w:val="22"/>
        </w:rPr>
        <w:t>’</w:t>
      </w:r>
      <w:r w:rsidRPr="00D9152B">
        <w:rPr>
          <w:rFonts w:ascii="Calibri" w:hAnsi="Calibri" w:cs="Calibri"/>
          <w:sz w:val="22"/>
          <w:szCs w:val="22"/>
        </w:rPr>
        <w:t>.</w:t>
      </w:r>
      <w:r w:rsidR="00B70D6F" w:rsidRPr="00D9152B">
        <w:rPr>
          <w:rFonts w:ascii="Calibri" w:hAnsi="Calibri" w:cs="Calibri"/>
          <w:sz w:val="22"/>
          <w:szCs w:val="22"/>
        </w:rPr>
        <w:t xml:space="preserve"> </w:t>
      </w:r>
    </w:p>
    <w:p w14:paraId="1CBF61FA" w14:textId="77777777" w:rsidR="00AC7848" w:rsidRPr="00D9152B" w:rsidRDefault="00AC7848" w:rsidP="002C2DA0">
      <w:pPr>
        <w:jc w:val="center"/>
        <w:rPr>
          <w:rFonts w:ascii="Calibri" w:hAnsi="Calibri" w:cs="Calibri"/>
          <w:b/>
        </w:rPr>
      </w:pPr>
      <w:r w:rsidRPr="00D9152B">
        <w:rPr>
          <w:rFonts w:ascii="Calibri" w:hAnsi="Calibri" w:cs="Calibri"/>
          <w:noProof/>
          <w:lang w:eastAsia="en-GB"/>
        </w:rPr>
        <w:lastRenderedPageBreak/>
        <w:drawing>
          <wp:inline distT="0" distB="0" distL="0" distR="0" wp14:anchorId="4579A3A9" wp14:editId="0FA3B6AC">
            <wp:extent cx="5513070" cy="3155577"/>
            <wp:effectExtent l="0" t="0" r="11430" b="6985"/>
            <wp:docPr id="110" name="Chart 110"/>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01E26941" w14:textId="3570BA91" w:rsidR="007D1529" w:rsidRPr="00D9152B" w:rsidRDefault="008F751F" w:rsidP="002C2DA0">
      <w:pPr>
        <w:jc w:val="both"/>
        <w:rPr>
          <w:rFonts w:ascii="Calibri" w:hAnsi="Calibri" w:cs="Calibri"/>
          <w:color w:val="7F7F7F" w:themeColor="text1" w:themeTint="80"/>
          <w:sz w:val="22"/>
          <w:szCs w:val="22"/>
        </w:rPr>
      </w:pPr>
      <w:r w:rsidRPr="00D9152B">
        <w:rPr>
          <w:rFonts w:ascii="Calibri" w:hAnsi="Calibri" w:cs="Calibri"/>
          <w:color w:val="808080" w:themeColor="background1" w:themeShade="80"/>
          <w:sz w:val="22"/>
          <w:szCs w:val="22"/>
        </w:rPr>
        <w:t>Figure 5</w:t>
      </w:r>
      <w:r w:rsidR="001D0CA0">
        <w:rPr>
          <w:rFonts w:ascii="Calibri" w:hAnsi="Calibri" w:cs="Calibri"/>
          <w:color w:val="808080" w:themeColor="background1" w:themeShade="80"/>
          <w:sz w:val="22"/>
          <w:szCs w:val="22"/>
        </w:rPr>
        <w:t>.5</w:t>
      </w:r>
      <w:r w:rsidR="00AC7848" w:rsidRPr="00D9152B">
        <w:rPr>
          <w:rFonts w:ascii="Calibri" w:hAnsi="Calibri" w:cs="Calibri"/>
          <w:color w:val="808080" w:themeColor="background1" w:themeShade="80"/>
          <w:sz w:val="22"/>
          <w:szCs w:val="22"/>
        </w:rPr>
        <w:t xml:space="preserve">. Total OCP expenditures (nominal USD) during Phases I-III, divided by category of expenditure. </w:t>
      </w:r>
      <w:r w:rsidRPr="00D9152B">
        <w:rPr>
          <w:rFonts w:ascii="Calibri" w:hAnsi="Calibri" w:cs="Calibri"/>
          <w:color w:val="808080" w:themeColor="background1" w:themeShade="80"/>
          <w:sz w:val="22"/>
          <w:szCs w:val="22"/>
        </w:rPr>
        <w:t>[</w:t>
      </w:r>
      <w:r w:rsidR="00AC7848" w:rsidRPr="00D9152B">
        <w:rPr>
          <w:rFonts w:ascii="Calibri" w:hAnsi="Calibri" w:cs="Calibri"/>
          <w:color w:val="808080" w:themeColor="background1" w:themeShade="80"/>
          <w:sz w:val="22"/>
          <w:szCs w:val="22"/>
        </w:rPr>
        <w:t>Phase I and II are actual; Phase III is based on 1991 estimates</w:t>
      </w:r>
      <w:r w:rsidR="00AC7848" w:rsidRPr="00D9152B">
        <w:rPr>
          <w:rFonts w:ascii="Calibri" w:hAnsi="Calibri" w:cs="Calibri"/>
          <w:color w:val="7F7F7F" w:themeColor="text1" w:themeTint="80"/>
          <w:sz w:val="22"/>
          <w:szCs w:val="22"/>
        </w:rPr>
        <w:t>.</w:t>
      </w:r>
      <w:r w:rsidRPr="00D9152B">
        <w:rPr>
          <w:rFonts w:ascii="Calibri" w:hAnsi="Calibri" w:cs="Calibri"/>
          <w:color w:val="7F7F7F" w:themeColor="text1" w:themeTint="80"/>
          <w:sz w:val="22"/>
          <w:szCs w:val="22"/>
        </w:rPr>
        <w:t>]</w:t>
      </w:r>
      <w:r w:rsidR="00882DE0" w:rsidRPr="00D9152B">
        <w:rPr>
          <w:rStyle w:val="FootnoteReference"/>
          <w:rFonts w:ascii="Calibri" w:hAnsi="Calibri" w:cs="Calibri"/>
          <w:color w:val="7F7F7F" w:themeColor="text1" w:themeTint="80"/>
          <w:sz w:val="22"/>
          <w:szCs w:val="22"/>
        </w:rPr>
        <w:footnoteReference w:id="508"/>
      </w:r>
    </w:p>
    <w:p w14:paraId="232B9523" w14:textId="2525031C" w:rsidR="00AC7848" w:rsidRPr="00D9152B" w:rsidRDefault="00AC7848" w:rsidP="002C2DA0">
      <w:pPr>
        <w:rPr>
          <w:rFonts w:ascii="Calibri" w:hAnsi="Calibri" w:cs="Calibri"/>
          <w:i/>
        </w:rPr>
      </w:pPr>
      <w:r w:rsidRPr="00D9152B">
        <w:rPr>
          <w:rFonts w:ascii="Calibri" w:hAnsi="Calibri" w:cs="Calibri"/>
          <w:noProof/>
          <w:lang w:eastAsia="en-GB"/>
        </w:rPr>
        <w:lastRenderedPageBreak/>
        <w:drawing>
          <wp:inline distT="0" distB="0" distL="0" distR="0" wp14:anchorId="186ECF80" wp14:editId="3B1B9DE9">
            <wp:extent cx="5874707" cy="4562475"/>
            <wp:effectExtent l="0" t="0" r="18415" b="9525"/>
            <wp:docPr id="111" name="Chart 111"/>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00485E0D" w14:textId="0BB91BEF" w:rsidR="00B70D6F" w:rsidRPr="00D9152B" w:rsidRDefault="008F751F" w:rsidP="002C2DA0">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1D0CA0">
        <w:rPr>
          <w:rFonts w:ascii="Calibri" w:hAnsi="Calibri" w:cs="Calibri"/>
          <w:color w:val="808080" w:themeColor="background1" w:themeShade="80"/>
          <w:sz w:val="22"/>
          <w:szCs w:val="22"/>
        </w:rPr>
        <w:t>5.</w:t>
      </w:r>
      <w:r w:rsidRPr="00D9152B">
        <w:rPr>
          <w:rFonts w:ascii="Calibri" w:hAnsi="Calibri" w:cs="Calibri"/>
          <w:color w:val="808080" w:themeColor="background1" w:themeShade="80"/>
          <w:sz w:val="22"/>
          <w:szCs w:val="22"/>
        </w:rPr>
        <w:t>6</w:t>
      </w:r>
      <w:r w:rsidR="00AC7848" w:rsidRPr="00D9152B">
        <w:rPr>
          <w:rFonts w:ascii="Calibri" w:hAnsi="Calibri" w:cs="Calibri"/>
          <w:color w:val="808080" w:themeColor="background1" w:themeShade="80"/>
          <w:sz w:val="22"/>
          <w:szCs w:val="22"/>
        </w:rPr>
        <w:t xml:space="preserve">. The percentage of total OCP costs allocated to each category of expenditure, during Phases I-III. </w:t>
      </w:r>
      <w:r w:rsidRPr="00D9152B">
        <w:rPr>
          <w:rFonts w:ascii="Calibri" w:hAnsi="Calibri" w:cs="Calibri"/>
          <w:color w:val="808080" w:themeColor="background1" w:themeShade="80"/>
          <w:sz w:val="22"/>
          <w:szCs w:val="22"/>
        </w:rPr>
        <w:t>[</w:t>
      </w:r>
      <w:r w:rsidR="00AC7848" w:rsidRPr="00D9152B">
        <w:rPr>
          <w:rFonts w:ascii="Calibri" w:hAnsi="Calibri" w:cs="Calibri"/>
          <w:color w:val="808080" w:themeColor="background1" w:themeShade="80"/>
          <w:sz w:val="22"/>
          <w:szCs w:val="22"/>
        </w:rPr>
        <w:t>Phase I and II are actual; Phase III is based on 1991 estimates.</w:t>
      </w:r>
      <w:r w:rsidRPr="00D9152B">
        <w:rPr>
          <w:rFonts w:ascii="Calibri" w:hAnsi="Calibri" w:cs="Calibri"/>
          <w:color w:val="808080" w:themeColor="background1" w:themeShade="80"/>
          <w:sz w:val="22"/>
          <w:szCs w:val="22"/>
        </w:rPr>
        <w:t>]</w:t>
      </w:r>
      <w:r w:rsidR="00882DE0" w:rsidRPr="00D9152B">
        <w:rPr>
          <w:rStyle w:val="FootnoteReference"/>
          <w:rFonts w:ascii="Calibri" w:hAnsi="Calibri" w:cs="Calibri"/>
          <w:color w:val="7F7F7F" w:themeColor="text1" w:themeTint="80"/>
          <w:sz w:val="22"/>
          <w:szCs w:val="22"/>
        </w:rPr>
        <w:footnoteReference w:id="509"/>
      </w:r>
    </w:p>
    <w:p w14:paraId="7FA7ABA0" w14:textId="77777777" w:rsidR="00F94376" w:rsidRPr="00D9152B" w:rsidRDefault="00F94376" w:rsidP="002C2DA0">
      <w:pPr>
        <w:jc w:val="both"/>
        <w:rPr>
          <w:rFonts w:ascii="Calibri" w:hAnsi="Calibri" w:cs="Calibri"/>
          <w:color w:val="808080" w:themeColor="background1" w:themeShade="80"/>
        </w:rPr>
      </w:pPr>
    </w:p>
    <w:p w14:paraId="6A613C0A" w14:textId="40A55F3B" w:rsidR="00B70D6F" w:rsidRPr="00D9152B" w:rsidRDefault="00AC7848" w:rsidP="00B70D6F">
      <w:pPr>
        <w:jc w:val="center"/>
        <w:rPr>
          <w:rFonts w:ascii="Calibri" w:hAnsi="Calibri" w:cs="Calibri"/>
          <w:b/>
          <w:i/>
        </w:rPr>
      </w:pPr>
      <w:r w:rsidRPr="00D9152B">
        <w:rPr>
          <w:rFonts w:ascii="Calibri" w:hAnsi="Calibri" w:cs="Calibri"/>
          <w:noProof/>
          <w:lang w:eastAsia="en-GB"/>
        </w:rPr>
        <w:lastRenderedPageBreak/>
        <w:drawing>
          <wp:inline distT="0" distB="0" distL="0" distR="0" wp14:anchorId="1FE0EDEB" wp14:editId="69AA0907">
            <wp:extent cx="5209540" cy="3132814"/>
            <wp:effectExtent l="0" t="0" r="10160" b="17145"/>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14:paraId="1E95B529" w14:textId="30BDEC58" w:rsidR="00AC7848" w:rsidRPr="00D9152B" w:rsidRDefault="008F751F" w:rsidP="007234AB">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1D0CA0">
        <w:rPr>
          <w:rFonts w:ascii="Calibri" w:hAnsi="Calibri" w:cs="Calibri"/>
          <w:color w:val="808080" w:themeColor="background1" w:themeShade="80"/>
          <w:sz w:val="22"/>
          <w:szCs w:val="22"/>
        </w:rPr>
        <w:t>5.</w:t>
      </w:r>
      <w:r w:rsidRPr="00D9152B">
        <w:rPr>
          <w:rFonts w:ascii="Calibri" w:hAnsi="Calibri" w:cs="Calibri"/>
          <w:color w:val="808080" w:themeColor="background1" w:themeShade="80"/>
          <w:sz w:val="22"/>
          <w:szCs w:val="22"/>
        </w:rPr>
        <w:t>7</w:t>
      </w:r>
      <w:r w:rsidR="00AC7848" w:rsidRPr="00D9152B">
        <w:rPr>
          <w:rFonts w:ascii="Calibri" w:hAnsi="Calibri" w:cs="Calibri"/>
          <w:color w:val="808080" w:themeColor="background1" w:themeShade="80"/>
          <w:sz w:val="22"/>
          <w:szCs w:val="22"/>
        </w:rPr>
        <w:t xml:space="preserve">. The percentage of total OCP costs allocated to each type of programme activity, during Phases I-III. </w:t>
      </w:r>
      <w:r w:rsidRPr="00D9152B">
        <w:rPr>
          <w:rFonts w:ascii="Calibri" w:hAnsi="Calibri" w:cs="Calibri"/>
          <w:color w:val="808080" w:themeColor="background1" w:themeShade="80"/>
          <w:sz w:val="22"/>
          <w:szCs w:val="22"/>
        </w:rPr>
        <w:t>[</w:t>
      </w:r>
      <w:r w:rsidR="00AC7848" w:rsidRPr="00D9152B">
        <w:rPr>
          <w:rFonts w:ascii="Calibri" w:hAnsi="Calibri" w:cs="Calibri"/>
          <w:color w:val="808080" w:themeColor="background1" w:themeShade="80"/>
          <w:sz w:val="22"/>
          <w:szCs w:val="22"/>
        </w:rPr>
        <w:t xml:space="preserve">Phase I and II are actual; Phase III is based on 1991 </w:t>
      </w:r>
      <w:r w:rsidR="00AC7848" w:rsidRPr="00D9152B">
        <w:rPr>
          <w:rFonts w:ascii="Calibri" w:hAnsi="Calibri" w:cs="Calibri"/>
          <w:color w:val="7F7F7F" w:themeColor="text1" w:themeTint="80"/>
          <w:sz w:val="22"/>
          <w:szCs w:val="22"/>
        </w:rPr>
        <w:t>estimates.</w:t>
      </w:r>
      <w:r w:rsidRPr="00D9152B">
        <w:rPr>
          <w:rFonts w:ascii="Calibri" w:hAnsi="Calibri" w:cs="Calibri"/>
          <w:color w:val="7F7F7F" w:themeColor="text1" w:themeTint="80"/>
          <w:sz w:val="22"/>
          <w:szCs w:val="22"/>
        </w:rPr>
        <w:t>]</w:t>
      </w:r>
      <w:r w:rsidR="00882DE0" w:rsidRPr="00D9152B">
        <w:rPr>
          <w:rStyle w:val="FootnoteReference"/>
          <w:rFonts w:ascii="Calibri" w:hAnsi="Calibri" w:cs="Calibri"/>
          <w:color w:val="7F7F7F" w:themeColor="text1" w:themeTint="80"/>
          <w:sz w:val="22"/>
          <w:szCs w:val="22"/>
        </w:rPr>
        <w:footnoteReference w:id="510"/>
      </w:r>
    </w:p>
    <w:p w14:paraId="705396AC" w14:textId="29C902CE"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These expenditures raise five key budgetary trends</w:t>
      </w:r>
      <w:r w:rsidR="00530248" w:rsidRPr="00D9152B">
        <w:rPr>
          <w:rFonts w:ascii="Calibri" w:hAnsi="Calibri" w:cs="Calibri"/>
          <w:sz w:val="22"/>
          <w:szCs w:val="22"/>
        </w:rPr>
        <w:t xml:space="preserve">, which challenge </w:t>
      </w:r>
      <w:r w:rsidR="007D1529" w:rsidRPr="00D9152B">
        <w:rPr>
          <w:rFonts w:ascii="Calibri" w:hAnsi="Calibri" w:cs="Calibri"/>
          <w:sz w:val="22"/>
          <w:szCs w:val="22"/>
        </w:rPr>
        <w:t>some elements</w:t>
      </w:r>
      <w:r w:rsidR="00530248" w:rsidRPr="00D9152B">
        <w:rPr>
          <w:rFonts w:ascii="Calibri" w:hAnsi="Calibri" w:cs="Calibri"/>
          <w:sz w:val="22"/>
          <w:szCs w:val="22"/>
        </w:rPr>
        <w:t xml:space="preserve"> of the Bank’s dominant narrative</w:t>
      </w:r>
      <w:r w:rsidRPr="00D9152B">
        <w:rPr>
          <w:rFonts w:ascii="Calibri" w:hAnsi="Calibri" w:cs="Calibri"/>
          <w:sz w:val="22"/>
          <w:szCs w:val="22"/>
        </w:rPr>
        <w:t xml:space="preserve">. First, vector control was consistently the largest cost and its proportion of total costs </w:t>
      </w:r>
      <w:r w:rsidRPr="00D9152B">
        <w:rPr>
          <w:rFonts w:ascii="Calibri" w:hAnsi="Calibri" w:cs="Calibri"/>
          <w:i/>
          <w:sz w:val="22"/>
          <w:szCs w:val="22"/>
        </w:rPr>
        <w:t>increased</w:t>
      </w:r>
      <w:r w:rsidR="00E30741" w:rsidRPr="00D9152B">
        <w:rPr>
          <w:rFonts w:ascii="Calibri" w:hAnsi="Calibri" w:cs="Calibri"/>
          <w:sz w:val="22"/>
          <w:szCs w:val="22"/>
        </w:rPr>
        <w:t xml:space="preserve"> over time (from 53.3 percent in Phase I to 70.7 percent</w:t>
      </w:r>
      <w:r w:rsidRPr="00D9152B">
        <w:rPr>
          <w:rFonts w:ascii="Calibri" w:hAnsi="Calibri" w:cs="Calibri"/>
          <w:sz w:val="22"/>
          <w:szCs w:val="22"/>
        </w:rPr>
        <w:t xml:space="preserve"> in Phase III). Like traditional vector control programmes, the OCP relied heavily on technology. For instance, about a third of all programme expenses went towards aerial operations and larvicides during each phase.</w:t>
      </w:r>
      <w:r w:rsidRPr="00D9152B">
        <w:rPr>
          <w:rStyle w:val="FootnoteReference"/>
          <w:rFonts w:ascii="Calibri" w:hAnsi="Calibri" w:cs="Calibri"/>
          <w:sz w:val="22"/>
          <w:szCs w:val="22"/>
        </w:rPr>
        <w:footnoteReference w:id="511"/>
      </w:r>
      <w:r w:rsidRPr="00D9152B">
        <w:rPr>
          <w:rFonts w:ascii="Calibri" w:hAnsi="Calibri" w:cs="Calibri"/>
          <w:sz w:val="22"/>
          <w:szCs w:val="22"/>
        </w:rPr>
        <w:t xml:space="preserve"> Most of the personnel costs were similarly for the vector control teams, which provided onchocerciasis-related services. And, although most personnel were African, they were paid at a local WHO rate, which was typically about five to ten percent of what international staff were paid annually (and equal to less annually than one month of average consultant fees).</w:t>
      </w:r>
      <w:r w:rsidRPr="00D9152B">
        <w:rPr>
          <w:rStyle w:val="FootnoteReference"/>
          <w:rFonts w:ascii="Calibri" w:hAnsi="Calibri" w:cs="Calibri"/>
          <w:sz w:val="22"/>
          <w:szCs w:val="22"/>
        </w:rPr>
        <w:footnoteReference w:id="512"/>
      </w:r>
      <w:r w:rsidRPr="00D9152B">
        <w:rPr>
          <w:rFonts w:ascii="Calibri" w:hAnsi="Calibri" w:cs="Calibri"/>
          <w:sz w:val="22"/>
          <w:szCs w:val="22"/>
        </w:rPr>
        <w:t xml:space="preserve"> </w:t>
      </w:r>
      <w:r w:rsidR="00A41563" w:rsidRPr="00D9152B">
        <w:rPr>
          <w:rFonts w:ascii="Calibri" w:hAnsi="Calibri" w:cs="Calibri"/>
          <w:sz w:val="22"/>
          <w:szCs w:val="22"/>
        </w:rPr>
        <w:t>As Chapter 8 explores, t</w:t>
      </w:r>
      <w:r w:rsidRPr="00D9152B">
        <w:rPr>
          <w:rFonts w:ascii="Calibri" w:hAnsi="Calibri" w:cs="Calibri"/>
          <w:sz w:val="22"/>
          <w:szCs w:val="22"/>
        </w:rPr>
        <w:t>his vertical, technology-mediated delivery</w:t>
      </w:r>
      <w:r w:rsidR="00A41563" w:rsidRPr="00D9152B">
        <w:rPr>
          <w:rFonts w:ascii="Calibri" w:hAnsi="Calibri" w:cs="Calibri"/>
          <w:sz w:val="22"/>
          <w:szCs w:val="22"/>
        </w:rPr>
        <w:t xml:space="preserve"> often</w:t>
      </w:r>
      <w:r w:rsidRPr="00D9152B">
        <w:rPr>
          <w:rFonts w:ascii="Calibri" w:hAnsi="Calibri" w:cs="Calibri"/>
          <w:sz w:val="22"/>
          <w:szCs w:val="22"/>
        </w:rPr>
        <w:t xml:space="preserve"> put the OCP at odds with the ‘Health for All’ ideology espoused </w:t>
      </w:r>
      <w:r w:rsidR="00A41563" w:rsidRPr="00D9152B">
        <w:rPr>
          <w:rFonts w:ascii="Calibri" w:hAnsi="Calibri" w:cs="Calibri"/>
          <w:sz w:val="22"/>
          <w:szCs w:val="22"/>
        </w:rPr>
        <w:t>at</w:t>
      </w:r>
      <w:r w:rsidRPr="00D9152B">
        <w:rPr>
          <w:rFonts w:ascii="Calibri" w:hAnsi="Calibri" w:cs="Calibri"/>
          <w:sz w:val="22"/>
          <w:szCs w:val="22"/>
        </w:rPr>
        <w:t xml:space="preserve"> the</w:t>
      </w:r>
      <w:r w:rsidR="0040436C">
        <w:rPr>
          <w:rFonts w:ascii="Calibri" w:hAnsi="Calibri" w:cs="Calibri"/>
          <w:sz w:val="22"/>
          <w:szCs w:val="22"/>
        </w:rPr>
        <w:t xml:space="preserve"> 1976 World Health Assembly at 1978</w:t>
      </w:r>
      <w:r w:rsidRPr="00D9152B">
        <w:rPr>
          <w:rFonts w:ascii="Calibri" w:hAnsi="Calibri" w:cs="Calibri"/>
          <w:sz w:val="22"/>
          <w:szCs w:val="22"/>
        </w:rPr>
        <w:t xml:space="preserve"> Alma Ata Convention. This explains why sponsoring agencies and donors emphasized the importance of devolution from the early 1980s onwards</w:t>
      </w:r>
      <w:r w:rsidR="00350BB2" w:rsidRPr="00D9152B">
        <w:rPr>
          <w:rFonts w:ascii="Calibri" w:hAnsi="Calibri" w:cs="Calibri"/>
          <w:sz w:val="22"/>
          <w:szCs w:val="22"/>
        </w:rPr>
        <w:t xml:space="preserve"> (see </w:t>
      </w:r>
      <w:r w:rsidR="001D0CA0">
        <w:rPr>
          <w:rFonts w:ascii="Calibri" w:hAnsi="Calibri" w:cs="Calibri"/>
          <w:sz w:val="22"/>
          <w:szCs w:val="22"/>
        </w:rPr>
        <w:t>section 4.2</w:t>
      </w:r>
      <w:r w:rsidR="00350BB2" w:rsidRPr="00D9152B">
        <w:rPr>
          <w:rFonts w:ascii="Calibri" w:hAnsi="Calibri" w:cs="Calibri"/>
          <w:sz w:val="22"/>
          <w:szCs w:val="22"/>
        </w:rPr>
        <w:t>)</w:t>
      </w:r>
      <w:r w:rsidRPr="00D9152B">
        <w:rPr>
          <w:rFonts w:ascii="Calibri" w:hAnsi="Calibri" w:cs="Calibri"/>
          <w:sz w:val="22"/>
          <w:szCs w:val="22"/>
        </w:rPr>
        <w:t xml:space="preserve">, which would </w:t>
      </w:r>
      <w:r w:rsidRPr="00D9152B">
        <w:rPr>
          <w:rFonts w:ascii="Calibri" w:hAnsi="Calibri" w:cs="Calibri"/>
          <w:sz w:val="22"/>
          <w:szCs w:val="22"/>
        </w:rPr>
        <w:lastRenderedPageBreak/>
        <w:t>link the programme to the delivery of other primary care services. Some donors suggested initiating a separate devolution trust fund for this purpose.</w:t>
      </w:r>
      <w:r w:rsidRPr="00D9152B">
        <w:rPr>
          <w:rStyle w:val="FootnoteReference"/>
          <w:rFonts w:ascii="Calibri" w:hAnsi="Calibri" w:cs="Calibri"/>
          <w:sz w:val="22"/>
          <w:szCs w:val="22"/>
        </w:rPr>
        <w:footnoteReference w:id="513"/>
      </w:r>
      <w:r w:rsidRPr="00D9152B">
        <w:rPr>
          <w:rFonts w:ascii="Calibri" w:hAnsi="Calibri" w:cs="Calibri"/>
          <w:sz w:val="22"/>
          <w:szCs w:val="22"/>
        </w:rPr>
        <w:t xml:space="preserve"> </w:t>
      </w:r>
    </w:p>
    <w:p w14:paraId="51C827D7" w14:textId="4D3AE36A"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Second, this devolution rhetoric was not matched with significant financial resources. The OCP managed to kee</w:t>
      </w:r>
      <w:r w:rsidR="00A41563" w:rsidRPr="00D9152B">
        <w:rPr>
          <w:rFonts w:ascii="Calibri" w:hAnsi="Calibri" w:cs="Calibri"/>
          <w:sz w:val="22"/>
          <w:szCs w:val="22"/>
        </w:rPr>
        <w:t>p its bureaucratic costs –Office of the D</w:t>
      </w:r>
      <w:r w:rsidRPr="00D9152B">
        <w:rPr>
          <w:rFonts w:ascii="Calibri" w:hAnsi="Calibri" w:cs="Calibri"/>
          <w:sz w:val="22"/>
          <w:szCs w:val="22"/>
        </w:rPr>
        <w:t xml:space="preserve">irector, </w:t>
      </w:r>
      <w:r w:rsidR="001D0CA0">
        <w:rPr>
          <w:rFonts w:ascii="Calibri" w:hAnsi="Calibri" w:cs="Calibri"/>
          <w:sz w:val="22"/>
          <w:szCs w:val="22"/>
        </w:rPr>
        <w:t xml:space="preserve">administrative, </w:t>
      </w:r>
      <w:r w:rsidRPr="00D9152B">
        <w:rPr>
          <w:rFonts w:ascii="Calibri" w:hAnsi="Calibri" w:cs="Calibri"/>
          <w:sz w:val="22"/>
          <w:szCs w:val="22"/>
        </w:rPr>
        <w:t xml:space="preserve">meeting, and consultant costs – relatively low. However, devolution itself was not given any programmatic resources through Phase III, beyond administrative costs borne by the Bank in coordinating country devolution plans. The OCP foresaw three possible types of training that would strengthen health systems: training OCP staff in </w:t>
      </w:r>
      <w:r w:rsidR="00530248" w:rsidRPr="00D9152B">
        <w:rPr>
          <w:rFonts w:ascii="Calibri" w:hAnsi="Calibri" w:cs="Calibri"/>
          <w:sz w:val="22"/>
          <w:szCs w:val="22"/>
        </w:rPr>
        <w:t>primary health care</w:t>
      </w:r>
      <w:r w:rsidRPr="00D9152B">
        <w:rPr>
          <w:rFonts w:ascii="Calibri" w:hAnsi="Calibri" w:cs="Calibri"/>
          <w:sz w:val="22"/>
          <w:szCs w:val="22"/>
        </w:rPr>
        <w:t xml:space="preserve"> directly, training existing national staff in onchocerciasis control activities, and strengthening PHC national staff through WHO training (rather than OCP training).</w:t>
      </w:r>
      <w:r w:rsidRPr="00D9152B">
        <w:rPr>
          <w:rStyle w:val="FootnoteReference"/>
          <w:rFonts w:ascii="Calibri" w:hAnsi="Calibri" w:cs="Calibri"/>
          <w:sz w:val="22"/>
          <w:szCs w:val="22"/>
        </w:rPr>
        <w:footnoteReference w:id="514"/>
      </w:r>
      <w:r w:rsidRPr="00D9152B">
        <w:rPr>
          <w:rFonts w:ascii="Calibri" w:hAnsi="Calibri" w:cs="Calibri"/>
          <w:sz w:val="22"/>
          <w:szCs w:val="22"/>
        </w:rPr>
        <w:t xml:space="preserve"> Yet, all together, research, research contracts, fellowships, and training cost</w:t>
      </w:r>
      <w:r w:rsidR="00530248" w:rsidRPr="00D9152B">
        <w:rPr>
          <w:rFonts w:ascii="Calibri" w:hAnsi="Calibri" w:cs="Calibri"/>
          <w:sz w:val="22"/>
          <w:szCs w:val="22"/>
        </w:rPr>
        <w:t>s only accounted for about five to 11 percent</w:t>
      </w:r>
      <w:r w:rsidRPr="00D9152B">
        <w:rPr>
          <w:rFonts w:ascii="Calibri" w:hAnsi="Calibri" w:cs="Calibri"/>
          <w:sz w:val="22"/>
          <w:szCs w:val="22"/>
        </w:rPr>
        <w:t xml:space="preserve"> of programme costs, and the majority of these</w:t>
      </w:r>
      <w:r w:rsidR="00A41563" w:rsidRPr="00D9152B">
        <w:rPr>
          <w:rFonts w:ascii="Calibri" w:hAnsi="Calibri" w:cs="Calibri"/>
          <w:sz w:val="22"/>
          <w:szCs w:val="22"/>
        </w:rPr>
        <w:t xml:space="preserve"> resources</w:t>
      </w:r>
      <w:r w:rsidRPr="00D9152B">
        <w:rPr>
          <w:rFonts w:ascii="Calibri" w:hAnsi="Calibri" w:cs="Calibri"/>
          <w:sz w:val="22"/>
          <w:szCs w:val="22"/>
        </w:rPr>
        <w:t xml:space="preserve"> went towards vector and environmental saf</w:t>
      </w:r>
      <w:r w:rsidR="00530248" w:rsidRPr="00D9152B">
        <w:rPr>
          <w:rFonts w:ascii="Calibri" w:hAnsi="Calibri" w:cs="Calibri"/>
          <w:sz w:val="22"/>
          <w:szCs w:val="22"/>
        </w:rPr>
        <w:t xml:space="preserve">eguarding research. </w:t>
      </w:r>
      <w:r w:rsidRPr="00D9152B">
        <w:rPr>
          <w:rFonts w:ascii="Calibri" w:hAnsi="Calibri" w:cs="Calibri"/>
          <w:sz w:val="22"/>
          <w:szCs w:val="22"/>
        </w:rPr>
        <w:t xml:space="preserve">The financial onus for long-term maintenance was placed on the participating countries themselves. </w:t>
      </w:r>
      <w:r w:rsidR="004E7C82">
        <w:rPr>
          <w:rFonts w:ascii="Calibri" w:hAnsi="Calibri" w:cs="Calibri"/>
          <w:sz w:val="22"/>
          <w:szCs w:val="22"/>
        </w:rPr>
        <w:t xml:space="preserve">This decision to restrict substantial financing for strengthening national staff in PHC reflects the Bank’s contemporary structural adjustment agenda in </w:t>
      </w:r>
      <w:r w:rsidR="00A2292A">
        <w:rPr>
          <w:rFonts w:ascii="Calibri" w:hAnsi="Calibri" w:cs="Calibri"/>
          <w:sz w:val="22"/>
          <w:szCs w:val="22"/>
        </w:rPr>
        <w:t>Sub-Saharan</w:t>
      </w:r>
      <w:r w:rsidR="004E7C82">
        <w:rPr>
          <w:rFonts w:ascii="Calibri" w:hAnsi="Calibri" w:cs="Calibri"/>
          <w:sz w:val="22"/>
          <w:szCs w:val="22"/>
        </w:rPr>
        <w:t xml:space="preserve"> Africa, which emphasised decentralization and frequently led to a constriction of governments’ health workforces.</w:t>
      </w:r>
      <w:r w:rsidR="004E7C82" w:rsidRPr="00CF189D">
        <w:rPr>
          <w:rStyle w:val="FootnoteReference"/>
          <w:rFonts w:ascii="Calibri" w:hAnsi="Calibri" w:cs="Calibri"/>
        </w:rPr>
        <w:footnoteReference w:id="515"/>
      </w:r>
    </w:p>
    <w:p w14:paraId="06AD378E" w14:textId="4834284A"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Third, socio-economic development was also given ‘very few resources’, which around 1980 corresponded to one expert and consultant.</w:t>
      </w:r>
      <w:r w:rsidRPr="00D9152B">
        <w:rPr>
          <w:rStyle w:val="FootnoteReference"/>
          <w:rFonts w:ascii="Calibri" w:hAnsi="Calibri" w:cs="Calibri"/>
          <w:sz w:val="22"/>
          <w:szCs w:val="22"/>
        </w:rPr>
        <w:footnoteReference w:id="516"/>
      </w:r>
      <w:r w:rsidRPr="00D9152B">
        <w:rPr>
          <w:rFonts w:ascii="Calibri" w:hAnsi="Calibri" w:cs="Calibri"/>
          <w:sz w:val="22"/>
          <w:szCs w:val="22"/>
        </w:rPr>
        <w:t xml:space="preserve"> One percent or less of the funding for each phase went to development activities. This hardly gave the Economic Development Unit at OCP headquarters the resources to meaningfully assist with national development plan operationalization or to continually collect and review bilaterally funded projects. In response to a FAO complaint about the lack of specific budgetary resources for economic development, the OCP merely agreed to highlight in footnotes </w:t>
      </w:r>
      <w:r w:rsidRPr="00D9152B">
        <w:rPr>
          <w:rFonts w:ascii="Calibri" w:hAnsi="Calibri" w:cs="Calibri"/>
          <w:sz w:val="22"/>
          <w:szCs w:val="22"/>
        </w:rPr>
        <w:lastRenderedPageBreak/>
        <w:t>that, ‘OCP as well as individual Agencies would provide funds…on specific request of participating governments’.</w:t>
      </w:r>
      <w:r w:rsidRPr="00D9152B">
        <w:rPr>
          <w:rStyle w:val="FootnoteReference"/>
          <w:rFonts w:ascii="Calibri" w:hAnsi="Calibri" w:cs="Calibri"/>
          <w:sz w:val="22"/>
          <w:szCs w:val="22"/>
        </w:rPr>
        <w:footnoteReference w:id="517"/>
      </w:r>
      <w:r w:rsidRPr="00D9152B">
        <w:rPr>
          <w:rFonts w:ascii="Calibri" w:hAnsi="Calibri" w:cs="Calibri"/>
          <w:sz w:val="22"/>
          <w:szCs w:val="22"/>
        </w:rPr>
        <w:t xml:space="preserve"> Socio-economic development of the ‘freed lands’ was to be budgeted for and pursued outside the framework of</w:t>
      </w:r>
      <w:r w:rsidR="00530248" w:rsidRPr="00D9152B">
        <w:rPr>
          <w:rFonts w:ascii="Calibri" w:hAnsi="Calibri" w:cs="Calibri"/>
          <w:sz w:val="22"/>
          <w:szCs w:val="22"/>
        </w:rPr>
        <w:t xml:space="preserve"> the Onchocerciasis Fund. As </w:t>
      </w:r>
      <w:r w:rsidRPr="00D9152B">
        <w:rPr>
          <w:rFonts w:ascii="Calibri" w:hAnsi="Calibri" w:cs="Calibri"/>
          <w:sz w:val="22"/>
          <w:szCs w:val="22"/>
        </w:rPr>
        <w:t xml:space="preserve">Dailly mused upon in a 2018 interview, this relative neglect of socio-economic development made it challenging for </w:t>
      </w:r>
      <w:r w:rsidR="007E502F" w:rsidRPr="00D9152B">
        <w:rPr>
          <w:rFonts w:ascii="Calibri" w:hAnsi="Calibri" w:cs="Calibri"/>
          <w:sz w:val="22"/>
          <w:szCs w:val="22"/>
        </w:rPr>
        <w:t>the Bank to directly link Onchocerciasis</w:t>
      </w:r>
      <w:r w:rsidRPr="00D9152B">
        <w:rPr>
          <w:rFonts w:ascii="Calibri" w:hAnsi="Calibri" w:cs="Calibri"/>
          <w:sz w:val="22"/>
          <w:szCs w:val="22"/>
        </w:rPr>
        <w:t xml:space="preserve"> Fund investments with economic outcomes.</w:t>
      </w:r>
      <w:r w:rsidRPr="00D9152B">
        <w:rPr>
          <w:rStyle w:val="FootnoteReference"/>
          <w:rFonts w:ascii="Calibri" w:hAnsi="Calibri" w:cs="Calibri"/>
          <w:sz w:val="22"/>
          <w:szCs w:val="22"/>
        </w:rPr>
        <w:footnoteReference w:id="518"/>
      </w:r>
    </w:p>
    <w:p w14:paraId="3E38EAE6" w14:textId="22F21C03"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Fourth, beginning in the early 1980s, chemotherapy research attracted significant resources. Unlike with devolution and socio-economic development, a separate budget was created for chemotherapy activities, which allowed for distinct priority-setting. About three-fourths of the chemotherapy fund budget went to research and development at partner pharmaceutical companies and research institutions. This relatively high funding for chemotherapy was </w:t>
      </w:r>
      <w:r w:rsidR="005E0052" w:rsidRPr="00D9152B">
        <w:rPr>
          <w:rFonts w:ascii="Calibri" w:hAnsi="Calibri" w:cs="Calibri"/>
          <w:sz w:val="22"/>
          <w:szCs w:val="22"/>
        </w:rPr>
        <w:t>at least partially</w:t>
      </w:r>
      <w:r w:rsidRPr="00D9152B">
        <w:rPr>
          <w:rFonts w:ascii="Calibri" w:hAnsi="Calibri" w:cs="Calibri"/>
          <w:sz w:val="22"/>
          <w:szCs w:val="22"/>
        </w:rPr>
        <w:t xml:space="preserve"> due to donor pressure; two major donors, the United States and the Netherlands, argued that there would be no end in sight for the OCP if it relied wholly on vector control.</w:t>
      </w:r>
      <w:r w:rsidRPr="00D9152B">
        <w:rPr>
          <w:rStyle w:val="FootnoteReference"/>
          <w:rFonts w:ascii="Calibri" w:hAnsi="Calibri" w:cs="Calibri"/>
          <w:sz w:val="22"/>
          <w:szCs w:val="22"/>
        </w:rPr>
        <w:t xml:space="preserve"> </w:t>
      </w:r>
      <w:r w:rsidRPr="00D9152B">
        <w:rPr>
          <w:rStyle w:val="FootnoteReference"/>
          <w:rFonts w:ascii="Calibri" w:hAnsi="Calibri" w:cs="Calibri"/>
          <w:sz w:val="22"/>
          <w:szCs w:val="22"/>
        </w:rPr>
        <w:footnoteReference w:id="519"/>
      </w:r>
      <w:r w:rsidRPr="00D9152B">
        <w:rPr>
          <w:rFonts w:ascii="Calibri" w:hAnsi="Calibri" w:cs="Calibri"/>
          <w:sz w:val="22"/>
          <w:szCs w:val="22"/>
        </w:rPr>
        <w:t xml:space="preserve"> Another key argument for allocating this high percentage of funding to the high-risk drug development process was cost-efficiency. If a drug became available, the total programme costs (vector control) could be dramatically reduced.</w:t>
      </w:r>
      <w:r w:rsidRPr="00D9152B">
        <w:rPr>
          <w:rStyle w:val="FootnoteReference"/>
          <w:rFonts w:ascii="Calibri" w:hAnsi="Calibri" w:cs="Calibri"/>
          <w:sz w:val="22"/>
          <w:szCs w:val="22"/>
        </w:rPr>
        <w:footnoteReference w:id="520"/>
      </w:r>
      <w:r w:rsidRPr="00D9152B">
        <w:rPr>
          <w:rFonts w:ascii="Calibri" w:hAnsi="Calibri" w:cs="Calibri"/>
          <w:sz w:val="22"/>
          <w:szCs w:val="22"/>
        </w:rPr>
        <w:t xml:space="preserve"> The chemotherapy fund’s collaborations with pharmaceutical companies helped in the development, testing, and delivery of ivermectin (a microfilaricide), but it did not reach its major goal of developing a marketable macrofilaricide, in spite of a budget of over </w:t>
      </w:r>
      <w:r w:rsidR="004818D2" w:rsidRPr="00D9152B">
        <w:rPr>
          <w:rFonts w:ascii="Calibri" w:hAnsi="Calibri" w:cs="Calibri"/>
          <w:sz w:val="22"/>
          <w:szCs w:val="22"/>
        </w:rPr>
        <w:t>$</w:t>
      </w:r>
      <w:r w:rsidRPr="00D9152B">
        <w:rPr>
          <w:rFonts w:ascii="Calibri" w:hAnsi="Calibri" w:cs="Calibri"/>
          <w:sz w:val="22"/>
          <w:szCs w:val="22"/>
        </w:rPr>
        <w:t>22 million during Phase IV</w:t>
      </w:r>
      <w:r w:rsidR="0074184A" w:rsidRPr="00D9152B">
        <w:rPr>
          <w:rFonts w:ascii="Calibri" w:hAnsi="Calibri" w:cs="Calibri"/>
          <w:sz w:val="22"/>
          <w:szCs w:val="22"/>
        </w:rPr>
        <w:t>. The importance of this distinction is explored in Chapter 7.</w:t>
      </w:r>
      <w:r w:rsidRPr="00D9152B">
        <w:rPr>
          <w:rStyle w:val="FootnoteReference"/>
          <w:rFonts w:ascii="Calibri" w:hAnsi="Calibri" w:cs="Calibri"/>
          <w:sz w:val="22"/>
          <w:szCs w:val="22"/>
        </w:rPr>
        <w:footnoteReference w:id="521"/>
      </w:r>
      <w:r w:rsidRPr="00D9152B">
        <w:rPr>
          <w:rFonts w:ascii="Calibri" w:hAnsi="Calibri" w:cs="Calibri"/>
          <w:sz w:val="22"/>
          <w:szCs w:val="22"/>
        </w:rPr>
        <w:t xml:space="preserve"> </w:t>
      </w:r>
    </w:p>
    <w:p w14:paraId="289848C1" w14:textId="00DCEC15"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Fifth, although its costs were insubstantial compared to those of vector control, applied research was a consistently important part of the OCP. Only when combined with chemotherapy resear</w:t>
      </w:r>
      <w:r w:rsidR="00530248" w:rsidRPr="00D9152B">
        <w:rPr>
          <w:rFonts w:ascii="Calibri" w:hAnsi="Calibri" w:cs="Calibri"/>
          <w:sz w:val="22"/>
          <w:szCs w:val="22"/>
        </w:rPr>
        <w:t>ch did it reach the levels – 10 percent</w:t>
      </w:r>
      <w:r w:rsidRPr="00D9152B">
        <w:rPr>
          <w:rFonts w:ascii="Calibri" w:hAnsi="Calibri" w:cs="Calibri"/>
          <w:sz w:val="22"/>
          <w:szCs w:val="22"/>
        </w:rPr>
        <w:t xml:space="preserve"> of the total budget – cited by Benton as a ‘highly underestimated’ key to OCP success.</w:t>
      </w:r>
      <w:r w:rsidRPr="00D9152B">
        <w:rPr>
          <w:rStyle w:val="FootnoteReference"/>
          <w:rFonts w:ascii="Calibri" w:hAnsi="Calibri" w:cs="Calibri"/>
          <w:sz w:val="22"/>
          <w:szCs w:val="22"/>
        </w:rPr>
        <w:footnoteReference w:id="522"/>
      </w:r>
      <w:r w:rsidRPr="00D9152B">
        <w:rPr>
          <w:rFonts w:ascii="Calibri" w:hAnsi="Calibri" w:cs="Calibri"/>
          <w:sz w:val="22"/>
          <w:szCs w:val="22"/>
        </w:rPr>
        <w:t xml:space="preserve"> However, small research </w:t>
      </w:r>
      <w:r w:rsidRPr="00D9152B">
        <w:rPr>
          <w:rFonts w:ascii="Calibri" w:hAnsi="Calibri" w:cs="Calibri"/>
          <w:sz w:val="22"/>
          <w:szCs w:val="22"/>
        </w:rPr>
        <w:lastRenderedPageBreak/>
        <w:t xml:space="preserve">contracts, like that with </w:t>
      </w:r>
      <w:r w:rsidR="0074184A" w:rsidRPr="00D9152B">
        <w:rPr>
          <w:rFonts w:ascii="Calibri" w:hAnsi="Calibri" w:cs="Calibri"/>
          <w:sz w:val="22"/>
          <w:szCs w:val="22"/>
        </w:rPr>
        <w:t xml:space="preserve">Office de la </w:t>
      </w:r>
      <w:r w:rsidR="000B094F">
        <w:rPr>
          <w:rFonts w:ascii="Calibri" w:hAnsi="Calibri" w:cs="Calibri"/>
          <w:sz w:val="22"/>
          <w:szCs w:val="22"/>
        </w:rPr>
        <w:t>R</w:t>
      </w:r>
      <w:r w:rsidR="0074184A" w:rsidRPr="00D9152B">
        <w:rPr>
          <w:rFonts w:ascii="Calibri" w:hAnsi="Calibri" w:cs="Calibri"/>
          <w:sz w:val="22"/>
          <w:szCs w:val="22"/>
        </w:rPr>
        <w:t xml:space="preserve">echerché </w:t>
      </w:r>
      <w:r w:rsidR="000B094F">
        <w:rPr>
          <w:rFonts w:ascii="Calibri" w:hAnsi="Calibri" w:cs="Calibri"/>
          <w:sz w:val="22"/>
          <w:szCs w:val="22"/>
        </w:rPr>
        <w:t>S</w:t>
      </w:r>
      <w:r w:rsidR="0074184A" w:rsidRPr="00D9152B">
        <w:rPr>
          <w:rFonts w:ascii="Calibri" w:hAnsi="Calibri" w:cs="Calibri"/>
          <w:sz w:val="22"/>
          <w:szCs w:val="22"/>
        </w:rPr>
        <w:t xml:space="preserve">cientifique et </w:t>
      </w:r>
      <w:r w:rsidR="000B094F">
        <w:rPr>
          <w:rFonts w:ascii="Calibri" w:hAnsi="Calibri" w:cs="Calibri"/>
          <w:sz w:val="22"/>
          <w:szCs w:val="22"/>
        </w:rPr>
        <w:t>T</w:t>
      </w:r>
      <w:r w:rsidR="0074184A" w:rsidRPr="00D9152B">
        <w:rPr>
          <w:rFonts w:ascii="Calibri" w:hAnsi="Calibri" w:cs="Calibri"/>
          <w:sz w:val="22"/>
          <w:szCs w:val="22"/>
        </w:rPr>
        <w:t xml:space="preserve">echnique </w:t>
      </w:r>
      <w:r w:rsidR="000B094F">
        <w:rPr>
          <w:rFonts w:ascii="Calibri" w:hAnsi="Calibri" w:cs="Calibri"/>
          <w:sz w:val="22"/>
          <w:szCs w:val="22"/>
        </w:rPr>
        <w:t>O</w:t>
      </w:r>
      <w:r w:rsidR="0074184A" w:rsidRPr="00D9152B">
        <w:rPr>
          <w:rFonts w:ascii="Calibri" w:hAnsi="Calibri" w:cs="Calibri"/>
          <w:sz w:val="22"/>
          <w:szCs w:val="22"/>
        </w:rPr>
        <w:t>utre-</w:t>
      </w:r>
      <w:r w:rsidR="000B094F">
        <w:rPr>
          <w:rFonts w:ascii="Calibri" w:hAnsi="Calibri" w:cs="Calibri"/>
          <w:sz w:val="22"/>
          <w:szCs w:val="22"/>
        </w:rPr>
        <w:t>M</w:t>
      </w:r>
      <w:r w:rsidR="0074184A" w:rsidRPr="00D9152B">
        <w:rPr>
          <w:rFonts w:ascii="Calibri" w:hAnsi="Calibri" w:cs="Calibri"/>
          <w:sz w:val="22"/>
          <w:szCs w:val="22"/>
        </w:rPr>
        <w:t xml:space="preserve">er (ORSTOM) </w:t>
      </w:r>
      <w:r w:rsidRPr="00D9152B">
        <w:rPr>
          <w:rFonts w:ascii="Calibri" w:hAnsi="Calibri" w:cs="Calibri"/>
          <w:sz w:val="22"/>
          <w:szCs w:val="22"/>
        </w:rPr>
        <w:t xml:space="preserve">to research alternative insecticides, proved crucial to helping the OCP overcome what could have been crippling problems, </w:t>
      </w:r>
      <w:r w:rsidR="005E0052" w:rsidRPr="00D9152B">
        <w:rPr>
          <w:rFonts w:ascii="Calibri" w:hAnsi="Calibri" w:cs="Calibri"/>
          <w:sz w:val="22"/>
          <w:szCs w:val="22"/>
        </w:rPr>
        <w:t>such as</w:t>
      </w:r>
      <w:r w:rsidRPr="00D9152B">
        <w:rPr>
          <w:rFonts w:ascii="Calibri" w:hAnsi="Calibri" w:cs="Calibri"/>
          <w:sz w:val="22"/>
          <w:szCs w:val="22"/>
        </w:rPr>
        <w:t xml:space="preserve"> insecticide resistance in the 1980s.</w:t>
      </w:r>
      <w:r w:rsidRPr="00D9152B">
        <w:rPr>
          <w:rStyle w:val="FootnoteReference"/>
          <w:rFonts w:ascii="Calibri" w:hAnsi="Calibri" w:cs="Calibri"/>
          <w:sz w:val="22"/>
          <w:szCs w:val="22"/>
        </w:rPr>
        <w:footnoteReference w:id="523"/>
      </w:r>
    </w:p>
    <w:p w14:paraId="314BDBB4" w14:textId="0CACB014" w:rsidR="00AC7848" w:rsidRPr="00D9152B" w:rsidRDefault="009A5A65" w:rsidP="00FA7761">
      <w:pPr>
        <w:pStyle w:val="Heading2"/>
        <w:rPr>
          <w:rFonts w:ascii="Calibri" w:hAnsi="Calibri" w:cs="Calibri"/>
          <w:b/>
          <w:sz w:val="26"/>
          <w:szCs w:val="26"/>
        </w:rPr>
      </w:pPr>
      <w:bookmarkStart w:id="89" w:name="_Toc6939090"/>
      <w:bookmarkStart w:id="90" w:name="_Toc41505663"/>
      <w:r w:rsidRPr="00D9152B">
        <w:rPr>
          <w:rFonts w:ascii="Calibri" w:hAnsi="Calibri" w:cs="Calibri"/>
          <w:b/>
          <w:sz w:val="26"/>
          <w:szCs w:val="26"/>
        </w:rPr>
        <w:t>5.7</w:t>
      </w:r>
      <w:r w:rsidR="00FA7761" w:rsidRPr="00D9152B">
        <w:rPr>
          <w:rFonts w:ascii="Calibri" w:hAnsi="Calibri" w:cs="Calibri"/>
          <w:b/>
          <w:sz w:val="26"/>
          <w:szCs w:val="26"/>
        </w:rPr>
        <w:t xml:space="preserve">. </w:t>
      </w:r>
      <w:r w:rsidR="00AC7848" w:rsidRPr="00D9152B">
        <w:rPr>
          <w:rFonts w:ascii="Calibri" w:hAnsi="Calibri" w:cs="Calibri"/>
          <w:b/>
          <w:sz w:val="26"/>
          <w:szCs w:val="26"/>
        </w:rPr>
        <w:t>Onchocerciasis Fund donors: the usual suspects</w:t>
      </w:r>
      <w:bookmarkEnd w:id="89"/>
      <w:bookmarkEnd w:id="90"/>
    </w:p>
    <w:p w14:paraId="185DD0CE" w14:textId="1139293D" w:rsidR="00871836" w:rsidRPr="00D9152B" w:rsidRDefault="005302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w:t>
      </w:r>
      <w:r w:rsidR="00AC7848" w:rsidRPr="00D9152B">
        <w:rPr>
          <w:rFonts w:ascii="Calibri" w:hAnsi="Calibri" w:cs="Calibri"/>
          <w:sz w:val="22"/>
          <w:szCs w:val="22"/>
        </w:rPr>
        <w:t xml:space="preserve"> OCP’s trust fund structure meant that donors had more leverage</w:t>
      </w:r>
      <w:r w:rsidRPr="00D9152B">
        <w:rPr>
          <w:rFonts w:ascii="Calibri" w:hAnsi="Calibri" w:cs="Calibri"/>
          <w:sz w:val="22"/>
          <w:szCs w:val="22"/>
        </w:rPr>
        <w:t>, including on the OCP budget,</w:t>
      </w:r>
      <w:r w:rsidR="00AC7848" w:rsidRPr="00D9152B">
        <w:rPr>
          <w:rFonts w:ascii="Calibri" w:hAnsi="Calibri" w:cs="Calibri"/>
          <w:sz w:val="22"/>
          <w:szCs w:val="22"/>
        </w:rPr>
        <w:t xml:space="preserve"> than they would through the traditional multilateral framework. What donors contributed to the fund and had the most leverage in terms of financial input? Did the OCP offer a new form of donor partnership, in terms of bringing on</w:t>
      </w:r>
      <w:r w:rsidR="002156A6" w:rsidRPr="00D9152B">
        <w:rPr>
          <w:rFonts w:ascii="Calibri" w:hAnsi="Calibri" w:cs="Calibri"/>
          <w:sz w:val="22"/>
          <w:szCs w:val="22"/>
        </w:rPr>
        <w:t xml:space="preserve"> </w:t>
      </w:r>
      <w:r w:rsidR="00AC7848" w:rsidRPr="00D9152B">
        <w:rPr>
          <w:rFonts w:ascii="Calibri" w:hAnsi="Calibri" w:cs="Calibri"/>
          <w:sz w:val="22"/>
          <w:szCs w:val="22"/>
        </w:rPr>
        <w:t xml:space="preserve">board novel streams of funding for health programmes? </w:t>
      </w:r>
    </w:p>
    <w:p w14:paraId="35D70EAB" w14:textId="4AB725B3" w:rsidR="00871836" w:rsidRPr="00D9152B" w:rsidRDefault="009A5A65" w:rsidP="005C7F9F">
      <w:pPr>
        <w:pStyle w:val="Heading3"/>
        <w:spacing w:line="360" w:lineRule="auto"/>
        <w:rPr>
          <w:rFonts w:ascii="Calibri" w:hAnsi="Calibri" w:cs="Calibri"/>
          <w:b/>
          <w:i/>
          <w:color w:val="000000" w:themeColor="text1"/>
          <w:sz w:val="22"/>
          <w:szCs w:val="22"/>
        </w:rPr>
      </w:pPr>
      <w:bookmarkStart w:id="91" w:name="_Toc41505664"/>
      <w:r w:rsidRPr="00D9152B">
        <w:rPr>
          <w:rFonts w:ascii="Calibri" w:hAnsi="Calibri" w:cs="Calibri"/>
          <w:b/>
          <w:i/>
          <w:color w:val="000000" w:themeColor="text1"/>
          <w:sz w:val="22"/>
          <w:szCs w:val="22"/>
        </w:rPr>
        <w:t>5.7.A</w:t>
      </w:r>
      <w:r w:rsidR="00871836" w:rsidRPr="00D9152B">
        <w:rPr>
          <w:rFonts w:ascii="Calibri" w:hAnsi="Calibri" w:cs="Calibri"/>
          <w:b/>
          <w:i/>
          <w:color w:val="000000" w:themeColor="text1"/>
          <w:sz w:val="22"/>
          <w:szCs w:val="22"/>
        </w:rPr>
        <w:t>. Donor consistency – but not innovation</w:t>
      </w:r>
      <w:bookmarkEnd w:id="91"/>
    </w:p>
    <w:p w14:paraId="463847DB" w14:textId="0C49539F"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OCP development partners can be roughly divided into three groups: donor countries and foundations (who contribute</w:t>
      </w:r>
      <w:r w:rsidR="00530248" w:rsidRPr="00D9152B">
        <w:rPr>
          <w:rFonts w:ascii="Calibri" w:hAnsi="Calibri" w:cs="Calibri"/>
          <w:sz w:val="22"/>
          <w:szCs w:val="22"/>
        </w:rPr>
        <w:t>d directly to the fund</w:t>
      </w:r>
      <w:r w:rsidRPr="00D9152B">
        <w:rPr>
          <w:rFonts w:ascii="Calibri" w:hAnsi="Calibri" w:cs="Calibri"/>
          <w:sz w:val="22"/>
          <w:szCs w:val="22"/>
        </w:rPr>
        <w:t>), sponsoring agencies (who co</w:t>
      </w:r>
      <w:r w:rsidR="00530248" w:rsidRPr="00D9152B">
        <w:rPr>
          <w:rFonts w:ascii="Calibri" w:hAnsi="Calibri" w:cs="Calibri"/>
          <w:sz w:val="22"/>
          <w:szCs w:val="22"/>
        </w:rPr>
        <w:t>ntributed both directly to the f</w:t>
      </w:r>
      <w:r w:rsidRPr="00D9152B">
        <w:rPr>
          <w:rFonts w:ascii="Calibri" w:hAnsi="Calibri" w:cs="Calibri"/>
          <w:sz w:val="22"/>
          <w:szCs w:val="22"/>
        </w:rPr>
        <w:t>und and indirectly through administrative functions), and beneficiary countries (</w:t>
      </w:r>
      <w:r w:rsidR="00530248" w:rsidRPr="00D9152B">
        <w:rPr>
          <w:rFonts w:ascii="Calibri" w:hAnsi="Calibri" w:cs="Calibri"/>
          <w:sz w:val="22"/>
          <w:szCs w:val="22"/>
        </w:rPr>
        <w:t>who contributed in cash to the f</w:t>
      </w:r>
      <w:r w:rsidRPr="00D9152B">
        <w:rPr>
          <w:rFonts w:ascii="Calibri" w:hAnsi="Calibri" w:cs="Calibri"/>
          <w:sz w:val="22"/>
          <w:szCs w:val="22"/>
        </w:rPr>
        <w:t xml:space="preserve">und, </w:t>
      </w:r>
      <w:r w:rsidR="00530248" w:rsidRPr="00D9152B">
        <w:rPr>
          <w:rFonts w:ascii="Calibri" w:hAnsi="Calibri" w:cs="Calibri"/>
          <w:sz w:val="22"/>
          <w:szCs w:val="22"/>
        </w:rPr>
        <w:t>to the WHO, or in kind). While the Bank’s statement that OCP donors grew from six to 20 during the programme is accurate,</w:t>
      </w:r>
      <w:r w:rsidR="00530248" w:rsidRPr="00D9152B">
        <w:rPr>
          <w:rStyle w:val="FootnoteReference"/>
          <w:rFonts w:ascii="Calibri" w:hAnsi="Calibri" w:cs="Calibri"/>
          <w:sz w:val="22"/>
          <w:szCs w:val="22"/>
        </w:rPr>
        <w:footnoteReference w:id="524"/>
      </w:r>
      <w:r w:rsidR="00530248" w:rsidRPr="00D9152B">
        <w:rPr>
          <w:rFonts w:ascii="Calibri" w:hAnsi="Calibri" w:cs="Calibri"/>
          <w:sz w:val="22"/>
          <w:szCs w:val="22"/>
        </w:rPr>
        <w:t xml:space="preserve"> most of this growth reflects sign-on of donors during the first years of the OCP (Phase I). Figure </w:t>
      </w:r>
      <w:r w:rsidR="001D0CA0">
        <w:rPr>
          <w:rFonts w:ascii="Calibri" w:hAnsi="Calibri" w:cs="Calibri"/>
          <w:sz w:val="22"/>
          <w:szCs w:val="22"/>
        </w:rPr>
        <w:t>5.</w:t>
      </w:r>
      <w:r w:rsidR="00530248" w:rsidRPr="00D9152B">
        <w:rPr>
          <w:rFonts w:ascii="Calibri" w:hAnsi="Calibri" w:cs="Calibri"/>
          <w:sz w:val="22"/>
          <w:szCs w:val="22"/>
        </w:rPr>
        <w:t>8</w:t>
      </w:r>
      <w:r w:rsidRPr="00D9152B">
        <w:rPr>
          <w:rFonts w:ascii="Calibri" w:hAnsi="Calibri" w:cs="Calibri"/>
          <w:sz w:val="22"/>
          <w:szCs w:val="22"/>
        </w:rPr>
        <w:t xml:space="preserve"> depicts the actual breakdown</w:t>
      </w:r>
      <w:r w:rsidR="005E0052" w:rsidRPr="00D9152B">
        <w:rPr>
          <w:rFonts w:ascii="Calibri" w:hAnsi="Calibri" w:cs="Calibri"/>
          <w:sz w:val="22"/>
          <w:szCs w:val="22"/>
        </w:rPr>
        <w:t xml:space="preserve"> of donor contributions to the f</w:t>
      </w:r>
      <w:r w:rsidRPr="00D9152B">
        <w:rPr>
          <w:rFonts w:ascii="Calibri" w:hAnsi="Calibri" w:cs="Calibri"/>
          <w:sz w:val="22"/>
          <w:szCs w:val="22"/>
        </w:rPr>
        <w:t xml:space="preserve">und during each financial phase, based on archived financial statements. </w:t>
      </w:r>
      <w:r w:rsidR="00530248" w:rsidRPr="00D9152B">
        <w:rPr>
          <w:rFonts w:ascii="Calibri" w:hAnsi="Calibri" w:cs="Calibri"/>
          <w:sz w:val="22"/>
          <w:szCs w:val="22"/>
        </w:rPr>
        <w:t>The United States, Netherlands, and the World Bank were consistently the largest donors.</w:t>
      </w:r>
    </w:p>
    <w:p w14:paraId="73B7F773" w14:textId="619D007F" w:rsidR="00AC7848" w:rsidRPr="00D9152B" w:rsidRDefault="00E327AF" w:rsidP="005C7F9F">
      <w:pPr>
        <w:ind w:left="-851"/>
        <w:jc w:val="both"/>
        <w:rPr>
          <w:rFonts w:ascii="Calibri" w:hAnsi="Calibri" w:cs="Calibri"/>
          <w:color w:val="808080" w:themeColor="background1" w:themeShade="80"/>
        </w:rPr>
      </w:pPr>
      <w:r w:rsidRPr="00E327AF">
        <w:rPr>
          <w:noProof/>
        </w:rPr>
        <w:lastRenderedPageBreak/>
        <w:t xml:space="preserve"> </w:t>
      </w:r>
      <w:r>
        <w:rPr>
          <w:noProof/>
          <w:lang w:eastAsia="en-GB"/>
        </w:rPr>
        <w:drawing>
          <wp:inline distT="0" distB="0" distL="0" distR="0" wp14:anchorId="29D1A840" wp14:editId="062B25C5">
            <wp:extent cx="2833735" cy="3404071"/>
            <wp:effectExtent l="0" t="0" r="0" b="0"/>
            <wp:docPr id="33" name="Chart 33">
              <a:extLst xmlns:a="http://schemas.openxmlformats.org/drawingml/2006/main">
                <a:ext uri="{FF2B5EF4-FFF2-40B4-BE49-F238E27FC236}">
                  <a16:creationId xmlns:a16="http://schemas.microsoft.com/office/drawing/2014/main" id="{C3658375-37A4-304C-84DD-EC5FC27CAE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r w:rsidR="008F1985">
        <w:rPr>
          <w:noProof/>
          <w:lang w:eastAsia="en-GB"/>
        </w:rPr>
        <w:drawing>
          <wp:inline distT="0" distB="0" distL="0" distR="0" wp14:anchorId="74C67778" wp14:editId="287BA2EE">
            <wp:extent cx="2761307" cy="3404040"/>
            <wp:effectExtent l="0" t="0" r="0" b="0"/>
            <wp:docPr id="1054" name="Chart 1054">
              <a:extLst xmlns:a="http://schemas.openxmlformats.org/drawingml/2006/main">
                <a:ext uri="{FF2B5EF4-FFF2-40B4-BE49-F238E27FC236}">
                  <a16:creationId xmlns:a16="http://schemas.microsoft.com/office/drawing/2014/main" id="{B1516168-AF51-D648-9796-2FB6CC5D21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r w:rsidRPr="00E327AF">
        <w:rPr>
          <w:noProof/>
        </w:rPr>
        <w:t xml:space="preserve"> </w:t>
      </w:r>
      <w:r>
        <w:rPr>
          <w:noProof/>
          <w:lang w:eastAsia="en-GB"/>
        </w:rPr>
        <w:drawing>
          <wp:inline distT="0" distB="0" distL="0" distR="0" wp14:anchorId="43775FB3" wp14:editId="403B2FC2">
            <wp:extent cx="2824681" cy="3468370"/>
            <wp:effectExtent l="0" t="0" r="0" b="0"/>
            <wp:docPr id="1055" name="Chart 1055">
              <a:extLst xmlns:a="http://schemas.openxmlformats.org/drawingml/2006/main">
                <a:ext uri="{FF2B5EF4-FFF2-40B4-BE49-F238E27FC236}">
                  <a16:creationId xmlns:a16="http://schemas.microsoft.com/office/drawing/2014/main" id="{5F79F4EA-F169-C44B-972D-8FFBBBD92A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r w:rsidR="008F1985">
        <w:rPr>
          <w:noProof/>
          <w:lang w:eastAsia="en-GB"/>
        </w:rPr>
        <w:drawing>
          <wp:inline distT="0" distB="0" distL="0" distR="0" wp14:anchorId="6F7FC81E" wp14:editId="50737748">
            <wp:extent cx="2806575" cy="3422009"/>
            <wp:effectExtent l="0" t="0" r="635" b="0"/>
            <wp:docPr id="1056" name="Chart 1056">
              <a:extLst xmlns:a="http://schemas.openxmlformats.org/drawingml/2006/main">
                <a:ext uri="{FF2B5EF4-FFF2-40B4-BE49-F238E27FC236}">
                  <a16:creationId xmlns:a16="http://schemas.microsoft.com/office/drawing/2014/main" id="{46C27C37-C017-1540-9F6A-3A2B47FB4B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r w:rsidR="00530248" w:rsidRPr="00D9152B">
        <w:rPr>
          <w:rFonts w:ascii="Calibri" w:hAnsi="Calibri" w:cs="Calibri"/>
          <w:color w:val="808080" w:themeColor="background1" w:themeShade="80"/>
          <w:sz w:val="22"/>
          <w:szCs w:val="22"/>
        </w:rPr>
        <w:t xml:space="preserve">Figure </w:t>
      </w:r>
      <w:r w:rsidR="001D0CA0">
        <w:rPr>
          <w:rFonts w:ascii="Calibri" w:hAnsi="Calibri" w:cs="Calibri"/>
          <w:color w:val="808080" w:themeColor="background1" w:themeShade="80"/>
          <w:sz w:val="22"/>
          <w:szCs w:val="22"/>
        </w:rPr>
        <w:t xml:space="preserve">5. </w:t>
      </w:r>
      <w:r w:rsidR="00530248" w:rsidRPr="00D9152B">
        <w:rPr>
          <w:rFonts w:ascii="Calibri" w:hAnsi="Calibri" w:cs="Calibri"/>
          <w:color w:val="808080" w:themeColor="background1" w:themeShade="80"/>
          <w:sz w:val="22"/>
          <w:szCs w:val="22"/>
        </w:rPr>
        <w:t>8</w:t>
      </w:r>
      <w:r w:rsidR="00AC7848" w:rsidRPr="00D9152B">
        <w:rPr>
          <w:rFonts w:ascii="Calibri" w:hAnsi="Calibri" w:cs="Calibri"/>
          <w:color w:val="808080" w:themeColor="background1" w:themeShade="80"/>
          <w:sz w:val="22"/>
          <w:szCs w:val="22"/>
        </w:rPr>
        <w:t>. Donor contributions to the Onchocerciasis Fund, as a proportio</w:t>
      </w:r>
      <w:r w:rsidR="005E0052" w:rsidRPr="00D9152B">
        <w:rPr>
          <w:rFonts w:ascii="Calibri" w:hAnsi="Calibri" w:cs="Calibri"/>
          <w:color w:val="808080" w:themeColor="background1" w:themeShade="80"/>
          <w:sz w:val="22"/>
          <w:szCs w:val="22"/>
        </w:rPr>
        <w:t>n of total contributions</w:t>
      </w:r>
      <w:r w:rsidR="00AC7848" w:rsidRPr="00D9152B">
        <w:rPr>
          <w:rFonts w:ascii="Calibri" w:hAnsi="Calibri" w:cs="Calibri"/>
          <w:color w:val="808080" w:themeColor="background1" w:themeShade="80"/>
          <w:sz w:val="22"/>
          <w:szCs w:val="22"/>
        </w:rPr>
        <w:t>. The number of donors increased from 17 (</w:t>
      </w:r>
      <w:r w:rsidR="001D0CA0">
        <w:rPr>
          <w:rFonts w:ascii="Calibri" w:hAnsi="Calibri" w:cs="Calibri"/>
          <w:color w:val="808080" w:themeColor="background1" w:themeShade="80"/>
          <w:sz w:val="22"/>
          <w:szCs w:val="22"/>
        </w:rPr>
        <w:t xml:space="preserve">across </w:t>
      </w:r>
      <w:r w:rsidR="00AC7848" w:rsidRPr="00D9152B">
        <w:rPr>
          <w:rFonts w:ascii="Calibri" w:hAnsi="Calibri" w:cs="Calibri"/>
          <w:color w:val="808080" w:themeColor="background1" w:themeShade="80"/>
          <w:sz w:val="22"/>
          <w:szCs w:val="22"/>
        </w:rPr>
        <w:t>Phase I) to 20 (Phase IV</w:t>
      </w:r>
      <w:r w:rsidR="00530248" w:rsidRPr="00D9152B">
        <w:rPr>
          <w:rFonts w:ascii="Calibri" w:hAnsi="Calibri" w:cs="Calibri"/>
          <w:color w:val="808080" w:themeColor="background1" w:themeShade="80"/>
          <w:sz w:val="22"/>
          <w:szCs w:val="22"/>
        </w:rPr>
        <w:t>).</w:t>
      </w:r>
      <w:r w:rsidR="00344CB1">
        <w:rPr>
          <w:rFonts w:ascii="Calibri" w:hAnsi="Calibri" w:cs="Calibri"/>
          <w:color w:val="808080" w:themeColor="background1" w:themeShade="80"/>
          <w:sz w:val="22"/>
          <w:szCs w:val="22"/>
        </w:rPr>
        <w:t xml:space="preserve"> [EEC is the European Economic Commission, AFDB is the African Development Bank, and OPEC Fund is the Organisation of the Petroleum Exporting Countries Fund.]</w:t>
      </w:r>
      <w:r w:rsidR="00AC7848" w:rsidRPr="00D9152B">
        <w:rPr>
          <w:rStyle w:val="FootnoteReference"/>
          <w:rFonts w:ascii="Calibri" w:hAnsi="Calibri" w:cs="Calibri"/>
          <w:color w:val="808080" w:themeColor="background1" w:themeShade="80"/>
          <w:sz w:val="22"/>
          <w:szCs w:val="22"/>
        </w:rPr>
        <w:footnoteReference w:id="525"/>
      </w:r>
    </w:p>
    <w:p w14:paraId="6876A472" w14:textId="7BD163A7" w:rsidR="00AC7848" w:rsidRPr="00D9152B" w:rsidRDefault="005302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lastRenderedPageBreak/>
        <w:t xml:space="preserve">The significant majority of fund donations across all phases, therefore, </w:t>
      </w:r>
      <w:r w:rsidR="00AC7848" w:rsidRPr="00D9152B">
        <w:rPr>
          <w:rFonts w:ascii="Calibri" w:hAnsi="Calibri" w:cs="Calibri"/>
          <w:sz w:val="22"/>
          <w:szCs w:val="22"/>
        </w:rPr>
        <w:t>came from the traditional block of development assistance dono</w:t>
      </w:r>
      <w:r w:rsidRPr="00D9152B">
        <w:rPr>
          <w:rFonts w:ascii="Calibri" w:hAnsi="Calibri" w:cs="Calibri"/>
          <w:sz w:val="22"/>
          <w:szCs w:val="22"/>
        </w:rPr>
        <w:t xml:space="preserve">rs in the 1970s-1990s (Figure </w:t>
      </w:r>
      <w:r w:rsidR="001D0CA0">
        <w:rPr>
          <w:rFonts w:ascii="Calibri" w:hAnsi="Calibri" w:cs="Calibri"/>
          <w:sz w:val="22"/>
          <w:szCs w:val="22"/>
        </w:rPr>
        <w:t>5.</w:t>
      </w:r>
      <w:r w:rsidRPr="00D9152B">
        <w:rPr>
          <w:rFonts w:ascii="Calibri" w:hAnsi="Calibri" w:cs="Calibri"/>
          <w:sz w:val="22"/>
          <w:szCs w:val="22"/>
        </w:rPr>
        <w:t>9</w:t>
      </w:r>
      <w:r w:rsidR="00AC7848" w:rsidRPr="00D9152B">
        <w:rPr>
          <w:rFonts w:ascii="Calibri" w:hAnsi="Calibri" w:cs="Calibri"/>
          <w:sz w:val="22"/>
          <w:szCs w:val="22"/>
        </w:rPr>
        <w:t xml:space="preserve">). The Bank unsuccessfully approached </w:t>
      </w:r>
      <w:r w:rsidR="007B78E0" w:rsidRPr="00D9152B">
        <w:rPr>
          <w:rFonts w:ascii="Calibri" w:hAnsi="Calibri" w:cs="Calibri"/>
          <w:sz w:val="22"/>
          <w:szCs w:val="22"/>
        </w:rPr>
        <w:t xml:space="preserve">some </w:t>
      </w:r>
      <w:r w:rsidR="00AC7848" w:rsidRPr="00D9152B">
        <w:rPr>
          <w:rFonts w:ascii="Calibri" w:hAnsi="Calibri" w:cs="Calibri"/>
          <w:sz w:val="22"/>
          <w:szCs w:val="22"/>
        </w:rPr>
        <w:t>less traditional donor countries including Algeria, Iraq, and Venezuela, and successfully approached less traditional donors like Slovenia (but contributions from new sources were typically small).</w:t>
      </w:r>
      <w:r w:rsidR="00AC7848" w:rsidRPr="00D9152B">
        <w:rPr>
          <w:rStyle w:val="FootnoteReference"/>
          <w:rFonts w:ascii="Calibri" w:hAnsi="Calibri" w:cs="Calibri"/>
          <w:sz w:val="22"/>
          <w:szCs w:val="22"/>
        </w:rPr>
        <w:footnoteReference w:id="526"/>
      </w:r>
      <w:r w:rsidR="00AC7848" w:rsidRPr="00D9152B">
        <w:rPr>
          <w:rFonts w:ascii="Calibri" w:hAnsi="Calibri" w:cs="Calibri"/>
          <w:sz w:val="22"/>
          <w:szCs w:val="22"/>
        </w:rPr>
        <w:t xml:space="preserve"> </w:t>
      </w:r>
    </w:p>
    <w:p w14:paraId="6476638D" w14:textId="77777777" w:rsidR="00AC7848" w:rsidRPr="00D9152B" w:rsidRDefault="00AC7848" w:rsidP="007234AB">
      <w:pPr>
        <w:jc w:val="both"/>
        <w:rPr>
          <w:rFonts w:ascii="Calibri" w:hAnsi="Calibri" w:cs="Calibri"/>
          <w:color w:val="808080" w:themeColor="background1" w:themeShade="80"/>
        </w:rPr>
      </w:pPr>
      <w:r w:rsidRPr="00D9152B">
        <w:rPr>
          <w:rFonts w:ascii="Calibri" w:hAnsi="Calibri" w:cs="Calibri"/>
          <w:noProof/>
          <w:color w:val="808080" w:themeColor="background1" w:themeShade="80"/>
          <w:lang w:eastAsia="en-GB"/>
        </w:rPr>
        <w:drawing>
          <wp:inline distT="0" distB="0" distL="0" distR="0" wp14:anchorId="657093BF" wp14:editId="7833DAE1">
            <wp:extent cx="5647502" cy="3884295"/>
            <wp:effectExtent l="0" t="0" r="17145" b="14605"/>
            <wp:docPr id="120" name="Chart 120"/>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666D79FE" w14:textId="77777777" w:rsidR="007234AB" w:rsidRPr="00D9152B" w:rsidRDefault="007234AB" w:rsidP="007234AB">
      <w:pPr>
        <w:jc w:val="both"/>
        <w:rPr>
          <w:rFonts w:ascii="Calibri" w:hAnsi="Calibri" w:cs="Calibri"/>
          <w:i/>
          <w:color w:val="808080" w:themeColor="background1" w:themeShade="80"/>
        </w:rPr>
      </w:pPr>
    </w:p>
    <w:p w14:paraId="2CD6077E" w14:textId="5D998851" w:rsidR="00AC7848" w:rsidRPr="00D9152B" w:rsidRDefault="00530248" w:rsidP="007234AB">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1D0CA0">
        <w:rPr>
          <w:rFonts w:ascii="Calibri" w:hAnsi="Calibri" w:cs="Calibri"/>
          <w:color w:val="808080" w:themeColor="background1" w:themeShade="80"/>
          <w:sz w:val="22"/>
          <w:szCs w:val="22"/>
        </w:rPr>
        <w:t>5.</w:t>
      </w:r>
      <w:r w:rsidRPr="00D9152B">
        <w:rPr>
          <w:rFonts w:ascii="Calibri" w:hAnsi="Calibri" w:cs="Calibri"/>
          <w:color w:val="808080" w:themeColor="background1" w:themeShade="80"/>
          <w:sz w:val="22"/>
          <w:szCs w:val="22"/>
        </w:rPr>
        <w:t>9</w:t>
      </w:r>
      <w:r w:rsidR="00AC7848" w:rsidRPr="00D9152B">
        <w:rPr>
          <w:rFonts w:ascii="Calibri" w:hAnsi="Calibri" w:cs="Calibri"/>
          <w:color w:val="808080" w:themeColor="background1" w:themeShade="80"/>
          <w:sz w:val="22"/>
          <w:szCs w:val="22"/>
        </w:rPr>
        <w:t>. From 1970-1999, the major development assistance bilateral donors worldwide were the United State, Japan, Germany, France, the United Kingdom, Canada, and the Netherlands.</w:t>
      </w:r>
      <w:r w:rsidR="00AC7848" w:rsidRPr="00D9152B">
        <w:rPr>
          <w:rStyle w:val="FootnoteReference"/>
          <w:rFonts w:ascii="Calibri" w:hAnsi="Calibri" w:cs="Calibri"/>
          <w:color w:val="808080" w:themeColor="background1" w:themeShade="80"/>
          <w:sz w:val="22"/>
          <w:szCs w:val="22"/>
        </w:rPr>
        <w:footnoteReference w:id="527"/>
      </w:r>
    </w:p>
    <w:p w14:paraId="1A1FB82B" w14:textId="27BC914D"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Saudi Arabian contributions – and the Bank’s contributions themselves – constituted the major victories in terms of attracting high levels of investment from non-traditional donors. In s</w:t>
      </w:r>
      <w:r w:rsidR="00FE4A15" w:rsidRPr="00D9152B">
        <w:rPr>
          <w:rFonts w:ascii="Calibri" w:hAnsi="Calibri" w:cs="Calibri"/>
          <w:sz w:val="22"/>
          <w:szCs w:val="22"/>
        </w:rPr>
        <w:t>pite of the flexibility of the</w:t>
      </w:r>
      <w:r w:rsidR="009C20F5" w:rsidRPr="00D9152B">
        <w:rPr>
          <w:rFonts w:ascii="Calibri" w:hAnsi="Calibri" w:cs="Calibri"/>
          <w:sz w:val="22"/>
          <w:szCs w:val="22"/>
        </w:rPr>
        <w:t xml:space="preserve"> </w:t>
      </w:r>
      <w:r w:rsidR="00FE4A15" w:rsidRPr="00D9152B">
        <w:rPr>
          <w:rFonts w:ascii="Calibri" w:hAnsi="Calibri" w:cs="Calibri"/>
          <w:sz w:val="22"/>
          <w:szCs w:val="22"/>
        </w:rPr>
        <w:t>f</w:t>
      </w:r>
      <w:r w:rsidRPr="00D9152B">
        <w:rPr>
          <w:rFonts w:ascii="Calibri" w:hAnsi="Calibri" w:cs="Calibri"/>
          <w:sz w:val="22"/>
          <w:szCs w:val="22"/>
        </w:rPr>
        <w:t xml:space="preserve">und to accept funding beyond that of sovereign states and Bank member countries, only two foundations – the Gulbenkian </w:t>
      </w:r>
      <w:r w:rsidRPr="00D9152B">
        <w:rPr>
          <w:rFonts w:ascii="Calibri" w:hAnsi="Calibri" w:cs="Calibri"/>
          <w:sz w:val="22"/>
          <w:szCs w:val="22"/>
        </w:rPr>
        <w:lastRenderedPageBreak/>
        <w:t>Foundation (</w:t>
      </w:r>
      <w:r w:rsidR="000E6CFC">
        <w:rPr>
          <w:rFonts w:ascii="Calibri" w:hAnsi="Calibri" w:cs="Calibri"/>
          <w:sz w:val="22"/>
          <w:szCs w:val="22"/>
        </w:rPr>
        <w:t>Portugal</w:t>
      </w:r>
      <w:r w:rsidRPr="00D9152B">
        <w:rPr>
          <w:rFonts w:ascii="Calibri" w:hAnsi="Calibri" w:cs="Calibri"/>
          <w:sz w:val="22"/>
          <w:szCs w:val="22"/>
        </w:rPr>
        <w:t>) and the Sheikh Sabah Al-Salem Al-Sabah Foundation</w:t>
      </w:r>
      <w:r w:rsidR="00283EFC" w:rsidRPr="00D9152B">
        <w:rPr>
          <w:rFonts w:ascii="Calibri" w:hAnsi="Calibri" w:cs="Calibri"/>
          <w:sz w:val="22"/>
          <w:szCs w:val="22"/>
        </w:rPr>
        <w:t xml:space="preserve"> (Kuwait) – contributed to the f</w:t>
      </w:r>
      <w:r w:rsidRPr="00D9152B">
        <w:rPr>
          <w:rFonts w:ascii="Calibri" w:hAnsi="Calibri" w:cs="Calibri"/>
          <w:sz w:val="22"/>
          <w:szCs w:val="22"/>
        </w:rPr>
        <w:t xml:space="preserve">und. Collectively, their contributions represented under one percent of total contributions. Regional banks and organizations, including the </w:t>
      </w:r>
      <w:r w:rsidR="006A144D">
        <w:rPr>
          <w:rFonts w:ascii="Calibri" w:hAnsi="Calibri" w:cs="Calibri"/>
          <w:sz w:val="22"/>
          <w:szCs w:val="22"/>
        </w:rPr>
        <w:t>Organization for Petroleum Exporting Countries (OPEC)</w:t>
      </w:r>
      <w:r w:rsidRPr="00D9152B">
        <w:rPr>
          <w:rFonts w:ascii="Calibri" w:hAnsi="Calibri" w:cs="Calibri"/>
          <w:sz w:val="22"/>
          <w:szCs w:val="22"/>
        </w:rPr>
        <w:t xml:space="preserve"> Fund</w:t>
      </w:r>
      <w:r w:rsidR="009D01BF" w:rsidRPr="00D9152B">
        <w:rPr>
          <w:rFonts w:ascii="Calibri" w:hAnsi="Calibri" w:cs="Calibri"/>
          <w:sz w:val="22"/>
          <w:szCs w:val="22"/>
        </w:rPr>
        <w:t xml:space="preserve"> for International Development</w:t>
      </w:r>
      <w:r w:rsidRPr="00D9152B">
        <w:rPr>
          <w:rFonts w:ascii="Calibri" w:hAnsi="Calibri" w:cs="Calibri"/>
          <w:sz w:val="22"/>
          <w:szCs w:val="22"/>
        </w:rPr>
        <w:t xml:space="preserve"> and the African Development Bank</w:t>
      </w:r>
      <w:r w:rsidR="009D01BF" w:rsidRPr="00D9152B">
        <w:rPr>
          <w:rFonts w:ascii="Calibri" w:hAnsi="Calibri" w:cs="Calibri"/>
          <w:sz w:val="22"/>
          <w:szCs w:val="22"/>
        </w:rPr>
        <w:t xml:space="preserve"> (A</w:t>
      </w:r>
      <w:r w:rsidR="00344CB1">
        <w:rPr>
          <w:rFonts w:ascii="Calibri" w:hAnsi="Calibri" w:cs="Calibri"/>
          <w:sz w:val="22"/>
          <w:szCs w:val="22"/>
        </w:rPr>
        <w:t>F</w:t>
      </w:r>
      <w:r w:rsidR="009D01BF" w:rsidRPr="00D9152B">
        <w:rPr>
          <w:rFonts w:ascii="Calibri" w:hAnsi="Calibri" w:cs="Calibri"/>
          <w:sz w:val="22"/>
          <w:szCs w:val="22"/>
        </w:rPr>
        <w:t>DB)</w:t>
      </w:r>
      <w:r w:rsidRPr="00D9152B">
        <w:rPr>
          <w:rFonts w:ascii="Calibri" w:hAnsi="Calibri" w:cs="Calibri"/>
          <w:sz w:val="22"/>
          <w:szCs w:val="22"/>
        </w:rPr>
        <w:t>, also made relatively modest contributions. Pharmaceutical companies cho</w:t>
      </w:r>
      <w:r w:rsidR="00283EFC" w:rsidRPr="00D9152B">
        <w:rPr>
          <w:rFonts w:ascii="Calibri" w:hAnsi="Calibri" w:cs="Calibri"/>
          <w:sz w:val="22"/>
          <w:szCs w:val="22"/>
        </w:rPr>
        <w:t>se not to give directly to the f</w:t>
      </w:r>
      <w:r w:rsidRPr="00D9152B">
        <w:rPr>
          <w:rFonts w:ascii="Calibri" w:hAnsi="Calibri" w:cs="Calibri"/>
          <w:sz w:val="22"/>
          <w:szCs w:val="22"/>
        </w:rPr>
        <w:t>und during OCP; Merck donated ivermectin beginning in 1988, and la</w:t>
      </w:r>
      <w:r w:rsidR="00283EFC" w:rsidRPr="00D9152B">
        <w:rPr>
          <w:rFonts w:ascii="Calibri" w:hAnsi="Calibri" w:cs="Calibri"/>
          <w:sz w:val="22"/>
          <w:szCs w:val="22"/>
        </w:rPr>
        <w:t xml:space="preserve">ter became a donor to the </w:t>
      </w:r>
      <w:r w:rsidR="00494BA1" w:rsidRPr="00D9152B">
        <w:rPr>
          <w:rFonts w:ascii="Calibri" w:hAnsi="Calibri" w:cs="Calibri"/>
          <w:sz w:val="22"/>
          <w:szCs w:val="22"/>
        </w:rPr>
        <w:t>African Programme for Onchocerciasis Control</w:t>
      </w:r>
      <w:r w:rsidR="00283EFC" w:rsidRPr="00D9152B">
        <w:rPr>
          <w:rFonts w:ascii="Calibri" w:hAnsi="Calibri" w:cs="Calibri"/>
          <w:sz w:val="22"/>
          <w:szCs w:val="22"/>
        </w:rPr>
        <w:t xml:space="preserve"> trust f</w:t>
      </w:r>
      <w:r w:rsidRPr="00D9152B">
        <w:rPr>
          <w:rFonts w:ascii="Calibri" w:hAnsi="Calibri" w:cs="Calibri"/>
          <w:sz w:val="22"/>
          <w:szCs w:val="22"/>
        </w:rPr>
        <w:t>und.</w:t>
      </w:r>
      <w:r w:rsidRPr="00D9152B">
        <w:rPr>
          <w:rStyle w:val="FootnoteReference"/>
          <w:rFonts w:ascii="Calibri" w:hAnsi="Calibri" w:cs="Calibri"/>
          <w:sz w:val="22"/>
          <w:szCs w:val="22"/>
        </w:rPr>
        <w:footnoteReference w:id="528"/>
      </w:r>
      <w:r w:rsidRPr="00D9152B">
        <w:rPr>
          <w:rFonts w:ascii="Calibri" w:hAnsi="Calibri" w:cs="Calibri"/>
          <w:sz w:val="22"/>
          <w:szCs w:val="22"/>
        </w:rPr>
        <w:t xml:space="preserve"> The novel aspect of the donor partnership was largely the fact that most donors were retained for the duration of the OCP, </w:t>
      </w:r>
      <w:r w:rsidRPr="00D9152B">
        <w:rPr>
          <w:rFonts w:ascii="Calibri" w:hAnsi="Calibri" w:cs="Calibri"/>
          <w:i/>
          <w:sz w:val="22"/>
          <w:szCs w:val="22"/>
        </w:rPr>
        <w:t xml:space="preserve">not </w:t>
      </w:r>
      <w:r w:rsidRPr="00D9152B">
        <w:rPr>
          <w:rFonts w:ascii="Calibri" w:hAnsi="Calibri" w:cs="Calibri"/>
          <w:sz w:val="22"/>
          <w:szCs w:val="22"/>
        </w:rPr>
        <w:t>that the OCP trust fund allowed it to capitalize on innovative finance flows (such as from the private sector).</w:t>
      </w:r>
    </w:p>
    <w:p w14:paraId="4DE90FE7" w14:textId="23289C3D" w:rsidR="00AC7848" w:rsidRPr="00D9152B" w:rsidRDefault="00283EFC"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 Bank was</w:t>
      </w:r>
      <w:r w:rsidR="00AC7848" w:rsidRPr="00D9152B">
        <w:rPr>
          <w:rFonts w:ascii="Calibri" w:hAnsi="Calibri" w:cs="Calibri"/>
          <w:sz w:val="22"/>
          <w:szCs w:val="22"/>
        </w:rPr>
        <w:t xml:space="preserve"> well aware that, in spite of its ability to bring major donor countries on board as co-financers, it was unable to attract untied funding from more innovative sources. During a period of budgetary crises in the early 1980s, it decided to ‘look at alternative financing mechanisms, i.e. bilateral assistance, private foundations and possibly loans’ to bolster the </w:t>
      </w:r>
      <w:r w:rsidRPr="00D9152B">
        <w:rPr>
          <w:rFonts w:ascii="Calibri" w:hAnsi="Calibri" w:cs="Calibri"/>
          <w:sz w:val="22"/>
          <w:szCs w:val="22"/>
        </w:rPr>
        <w:t>fund’s</w:t>
      </w:r>
      <w:r w:rsidR="00AC7848" w:rsidRPr="00D9152B">
        <w:rPr>
          <w:rFonts w:ascii="Calibri" w:hAnsi="Calibri" w:cs="Calibri"/>
          <w:sz w:val="22"/>
          <w:szCs w:val="22"/>
        </w:rPr>
        <w:t xml:space="preserve"> coffers.</w:t>
      </w:r>
      <w:r w:rsidR="00AC7848" w:rsidRPr="00D9152B">
        <w:rPr>
          <w:rStyle w:val="FootnoteReference"/>
          <w:rFonts w:ascii="Calibri" w:hAnsi="Calibri" w:cs="Calibri"/>
          <w:sz w:val="22"/>
          <w:szCs w:val="22"/>
        </w:rPr>
        <w:footnoteReference w:id="529"/>
      </w:r>
      <w:r w:rsidR="00AC7848" w:rsidRPr="00D9152B">
        <w:rPr>
          <w:rFonts w:ascii="Calibri" w:hAnsi="Calibri" w:cs="Calibri"/>
          <w:sz w:val="22"/>
          <w:szCs w:val="22"/>
        </w:rPr>
        <w:t xml:space="preserve"> The </w:t>
      </w:r>
      <w:r w:rsidRPr="00D9152B">
        <w:rPr>
          <w:rFonts w:ascii="Calibri" w:hAnsi="Calibri" w:cs="Calibri"/>
          <w:sz w:val="22"/>
          <w:szCs w:val="22"/>
        </w:rPr>
        <w:t>Committee of Sponsoring Agencies (CSA)</w:t>
      </w:r>
      <w:r w:rsidR="00AC7848" w:rsidRPr="00D9152B">
        <w:rPr>
          <w:rFonts w:ascii="Calibri" w:hAnsi="Calibri" w:cs="Calibri"/>
          <w:sz w:val="22"/>
          <w:szCs w:val="22"/>
        </w:rPr>
        <w:t xml:space="preserve"> encouraged this attempt to broaden the base of support.</w:t>
      </w:r>
      <w:r w:rsidR="00AC7848" w:rsidRPr="00D9152B">
        <w:rPr>
          <w:rStyle w:val="FootnoteReference"/>
          <w:rFonts w:ascii="Calibri" w:hAnsi="Calibri" w:cs="Calibri"/>
          <w:sz w:val="22"/>
          <w:szCs w:val="22"/>
        </w:rPr>
        <w:footnoteReference w:id="530"/>
      </w:r>
      <w:r w:rsidR="00AC7848" w:rsidRPr="00D9152B">
        <w:rPr>
          <w:rFonts w:ascii="Calibri" w:hAnsi="Calibri" w:cs="Calibri"/>
          <w:sz w:val="22"/>
          <w:szCs w:val="22"/>
        </w:rPr>
        <w:t xml:space="preserve"> The Bank </w:t>
      </w:r>
      <w:r w:rsidRPr="00D9152B">
        <w:rPr>
          <w:rFonts w:ascii="Calibri" w:hAnsi="Calibri" w:cs="Calibri"/>
          <w:sz w:val="22"/>
          <w:szCs w:val="22"/>
        </w:rPr>
        <w:t xml:space="preserve">even </w:t>
      </w:r>
      <w:r w:rsidR="00AC7848" w:rsidRPr="00D9152B">
        <w:rPr>
          <w:rFonts w:ascii="Calibri" w:hAnsi="Calibri" w:cs="Calibri"/>
          <w:sz w:val="22"/>
          <w:szCs w:val="22"/>
        </w:rPr>
        <w:t>considered ‘slicing the oncho program’ into a regional spraying operation financed multilaterally, a ‘universal’ research and development programme financed by private foundations, and a devolution programme financed bilaterally (including potential lending from the Bank).</w:t>
      </w:r>
      <w:r w:rsidR="00AC7848" w:rsidRPr="00D9152B">
        <w:rPr>
          <w:rStyle w:val="FootnoteReference"/>
          <w:rFonts w:ascii="Calibri" w:hAnsi="Calibri" w:cs="Calibri"/>
          <w:sz w:val="22"/>
          <w:szCs w:val="22"/>
        </w:rPr>
        <w:footnoteReference w:id="531"/>
      </w:r>
      <w:r w:rsidR="00AC7848" w:rsidRPr="00D9152B">
        <w:rPr>
          <w:rFonts w:ascii="Calibri" w:hAnsi="Calibri" w:cs="Calibri"/>
          <w:sz w:val="22"/>
          <w:szCs w:val="22"/>
        </w:rPr>
        <w:t xml:space="preserve"> </w:t>
      </w:r>
      <w:r w:rsidRPr="00D9152B">
        <w:rPr>
          <w:rFonts w:ascii="Calibri" w:hAnsi="Calibri" w:cs="Calibri"/>
          <w:sz w:val="22"/>
          <w:szCs w:val="22"/>
        </w:rPr>
        <w:t xml:space="preserve">Writing to WHO Director General Halfdan Mahler about these possibilities, </w:t>
      </w:r>
      <w:r w:rsidR="00AC7848" w:rsidRPr="00D9152B">
        <w:rPr>
          <w:rFonts w:ascii="Calibri" w:hAnsi="Calibri" w:cs="Calibri"/>
          <w:sz w:val="22"/>
          <w:szCs w:val="22"/>
        </w:rPr>
        <w:t xml:space="preserve">Bank President Alden Clausen underscored that it would be difficult to attract other major international donor countries, and that private sources of aid would likely be limited and inflexibly earmarked to research. He also expressed his concern about parallel bilateral financing mechanisms for specific programme activities, because it would raise </w:t>
      </w:r>
      <w:r w:rsidR="00AC7848" w:rsidRPr="00D9152B">
        <w:rPr>
          <w:rFonts w:ascii="Calibri" w:hAnsi="Calibri" w:cs="Calibri"/>
          <w:sz w:val="22"/>
          <w:szCs w:val="22"/>
        </w:rPr>
        <w:lastRenderedPageBreak/>
        <w:t>operational and administrative issues.</w:t>
      </w:r>
      <w:r w:rsidR="00AC7848" w:rsidRPr="00D9152B">
        <w:rPr>
          <w:rStyle w:val="FootnoteReference"/>
          <w:rFonts w:ascii="Calibri" w:hAnsi="Calibri" w:cs="Calibri"/>
          <w:sz w:val="22"/>
          <w:szCs w:val="22"/>
        </w:rPr>
        <w:footnoteReference w:id="532"/>
      </w:r>
      <w:r w:rsidR="00AC7848" w:rsidRPr="00D9152B">
        <w:rPr>
          <w:rFonts w:ascii="Calibri" w:hAnsi="Calibri" w:cs="Calibri"/>
          <w:sz w:val="22"/>
          <w:szCs w:val="22"/>
        </w:rPr>
        <w:t xml:space="preserve"> Ultimately, the Bank was able to fundraise sufficiently to stick to the original Onchocerciasis Fund Agreement. It later kept a firm hand in dealing with donor requests to finance the OCP bilaterally through separate trust funds; it even used threats of applying standard Bank trust fund administrative fees when Germany asked to exit from the Fund Agreement and establish its own trust fund in 1987.</w:t>
      </w:r>
      <w:r w:rsidR="00AC7848" w:rsidRPr="00D9152B">
        <w:rPr>
          <w:rStyle w:val="FootnoteReference"/>
          <w:rFonts w:ascii="Calibri" w:hAnsi="Calibri" w:cs="Calibri"/>
          <w:sz w:val="22"/>
          <w:szCs w:val="22"/>
        </w:rPr>
        <w:footnoteReference w:id="533"/>
      </w:r>
    </w:p>
    <w:p w14:paraId="0113F94C" w14:textId="151AEBDE" w:rsidR="00AC7848" w:rsidRPr="00D9152B" w:rsidRDefault="00283EFC"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To retain donor consistency, the</w:t>
      </w:r>
      <w:r w:rsidR="00AC7848" w:rsidRPr="00D9152B">
        <w:rPr>
          <w:rFonts w:ascii="Calibri" w:hAnsi="Calibri" w:cs="Calibri"/>
          <w:sz w:val="22"/>
          <w:szCs w:val="22"/>
        </w:rPr>
        <w:t xml:space="preserve"> Bank kept a close eye on the interests and limitations of each donor, and used this information to </w:t>
      </w:r>
      <w:r w:rsidRPr="00D9152B">
        <w:rPr>
          <w:rFonts w:ascii="Calibri" w:hAnsi="Calibri" w:cs="Calibri"/>
          <w:sz w:val="22"/>
          <w:szCs w:val="22"/>
        </w:rPr>
        <w:t xml:space="preserve">systematically </w:t>
      </w:r>
      <w:r w:rsidR="00AC7848" w:rsidRPr="00D9152B">
        <w:rPr>
          <w:rFonts w:ascii="Calibri" w:hAnsi="Calibri" w:cs="Calibri"/>
          <w:sz w:val="22"/>
          <w:szCs w:val="22"/>
        </w:rPr>
        <w:t xml:space="preserve">target programme pitches. For instance, in the early 1980s, it described donors as falling into four major groups. The ‘leading donors’ contributed about ten percent of total costs each, and included Japan, the Netherlands, Saudi Arabia, the United States, and the Bank. ‘Important donors’ contributed about five percent of programme costs, and included Canada, France, Kuwait, Switzerland, </w:t>
      </w:r>
      <w:r w:rsidR="006A144D">
        <w:rPr>
          <w:rFonts w:ascii="Calibri" w:hAnsi="Calibri" w:cs="Calibri"/>
          <w:sz w:val="22"/>
          <w:szCs w:val="22"/>
        </w:rPr>
        <w:t xml:space="preserve">and </w:t>
      </w:r>
      <w:r w:rsidR="00AC7848" w:rsidRPr="00D9152B">
        <w:rPr>
          <w:rFonts w:ascii="Calibri" w:hAnsi="Calibri" w:cs="Calibri"/>
          <w:sz w:val="22"/>
          <w:szCs w:val="22"/>
        </w:rPr>
        <w:t>the UNDP. ‘Substantial donors’ contributed a bit less – under five percent – of the total. These donors were the African Development Bank, Belgium, Germany, Norway, the OPEC Fund, the Sabah Foundation, and the United Kingdom. Finally, ‘other donors’ gave sporadic and less substantial donations, including Iraq and the Ivory Coast. The Bank prioritized pitches to the important and substantial groups.</w:t>
      </w:r>
      <w:r w:rsidR="00AC7848" w:rsidRPr="00D9152B">
        <w:rPr>
          <w:rStyle w:val="FootnoteReference"/>
          <w:rFonts w:ascii="Calibri" w:hAnsi="Calibri" w:cs="Calibri"/>
          <w:sz w:val="22"/>
          <w:szCs w:val="22"/>
        </w:rPr>
        <w:footnoteReference w:id="534"/>
      </w:r>
      <w:r w:rsidR="00AC7848" w:rsidRPr="00D9152B">
        <w:rPr>
          <w:rFonts w:ascii="Calibri" w:hAnsi="Calibri" w:cs="Calibri"/>
          <w:sz w:val="22"/>
          <w:szCs w:val="22"/>
        </w:rPr>
        <w:t xml:space="preserve"> </w:t>
      </w:r>
      <w:r w:rsidRPr="00D9152B">
        <w:rPr>
          <w:rFonts w:ascii="Calibri" w:hAnsi="Calibri" w:cs="Calibri"/>
          <w:sz w:val="22"/>
          <w:szCs w:val="22"/>
        </w:rPr>
        <w:t xml:space="preserve">Section </w:t>
      </w:r>
      <w:r w:rsidR="006A144D">
        <w:rPr>
          <w:rFonts w:ascii="Calibri" w:hAnsi="Calibri" w:cs="Calibri"/>
          <w:sz w:val="22"/>
          <w:szCs w:val="22"/>
        </w:rPr>
        <w:t>5.8</w:t>
      </w:r>
      <w:r w:rsidR="00AC7848" w:rsidRPr="00D9152B">
        <w:rPr>
          <w:rFonts w:ascii="Calibri" w:hAnsi="Calibri" w:cs="Calibri"/>
          <w:sz w:val="22"/>
          <w:szCs w:val="22"/>
        </w:rPr>
        <w:t xml:space="preserve"> explores the specific strategies that the Bank used to attract and retain donors.</w:t>
      </w:r>
    </w:p>
    <w:p w14:paraId="72D5B1A1" w14:textId="474280AE" w:rsidR="00871836" w:rsidRPr="00D9152B" w:rsidRDefault="00412DF9" w:rsidP="005C7F9F">
      <w:pPr>
        <w:pStyle w:val="Heading3"/>
        <w:spacing w:line="360" w:lineRule="auto"/>
        <w:rPr>
          <w:rFonts w:ascii="Calibri" w:hAnsi="Calibri" w:cs="Calibri"/>
          <w:b/>
          <w:i/>
          <w:color w:val="000000" w:themeColor="text1"/>
          <w:sz w:val="22"/>
          <w:szCs w:val="22"/>
        </w:rPr>
      </w:pPr>
      <w:bookmarkStart w:id="92" w:name="_Toc41505665"/>
      <w:r w:rsidRPr="00D9152B">
        <w:rPr>
          <w:rFonts w:ascii="Calibri" w:hAnsi="Calibri" w:cs="Calibri"/>
          <w:b/>
          <w:i/>
          <w:color w:val="000000" w:themeColor="text1"/>
          <w:sz w:val="22"/>
          <w:szCs w:val="22"/>
        </w:rPr>
        <w:t>5</w:t>
      </w:r>
      <w:r w:rsidR="009A5A65" w:rsidRPr="00D9152B">
        <w:rPr>
          <w:rFonts w:ascii="Calibri" w:hAnsi="Calibri" w:cs="Calibri"/>
          <w:b/>
          <w:i/>
          <w:color w:val="000000" w:themeColor="text1"/>
          <w:sz w:val="22"/>
          <w:szCs w:val="22"/>
        </w:rPr>
        <w:t>.7.B</w:t>
      </w:r>
      <w:r w:rsidRPr="00D9152B">
        <w:rPr>
          <w:rFonts w:ascii="Calibri" w:hAnsi="Calibri" w:cs="Calibri"/>
          <w:b/>
          <w:i/>
          <w:color w:val="000000" w:themeColor="text1"/>
          <w:sz w:val="22"/>
          <w:szCs w:val="22"/>
        </w:rPr>
        <w:t xml:space="preserve">. </w:t>
      </w:r>
      <w:r w:rsidR="00871836" w:rsidRPr="00D9152B">
        <w:rPr>
          <w:rFonts w:ascii="Calibri" w:hAnsi="Calibri" w:cs="Calibri"/>
          <w:b/>
          <w:i/>
          <w:color w:val="000000" w:themeColor="text1"/>
          <w:sz w:val="22"/>
          <w:szCs w:val="22"/>
        </w:rPr>
        <w:t>Sponsoring agencies as (inconsistent) donors</w:t>
      </w:r>
      <w:bookmarkEnd w:id="92"/>
    </w:p>
    <w:p w14:paraId="764F8D0E" w14:textId="25256E30"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There was no agreed</w:t>
      </w:r>
      <w:r w:rsidR="005B2AAC" w:rsidRPr="00D9152B">
        <w:rPr>
          <w:rFonts w:ascii="Calibri" w:hAnsi="Calibri" w:cs="Calibri"/>
          <w:sz w:val="22"/>
          <w:szCs w:val="22"/>
        </w:rPr>
        <w:t xml:space="preserve"> </w:t>
      </w:r>
      <w:r w:rsidRPr="00D9152B">
        <w:rPr>
          <w:rFonts w:ascii="Calibri" w:hAnsi="Calibri" w:cs="Calibri"/>
          <w:sz w:val="22"/>
          <w:szCs w:val="22"/>
        </w:rPr>
        <w:t xml:space="preserve">upon formula for the relative amounts that sponsoring agencies would contribute to the programme. This led to discrepancies in their financial support, and sometimes fostered significant resentment between the multilateral partners. The WHO </w:t>
      </w:r>
      <w:r w:rsidR="00283EFC" w:rsidRPr="00D9152B">
        <w:rPr>
          <w:rFonts w:ascii="Calibri" w:hAnsi="Calibri" w:cs="Calibri"/>
          <w:sz w:val="22"/>
          <w:szCs w:val="22"/>
        </w:rPr>
        <w:t>sporadically donated to the f</w:t>
      </w:r>
      <w:r w:rsidRPr="00D9152B">
        <w:rPr>
          <w:rFonts w:ascii="Calibri" w:hAnsi="Calibri" w:cs="Calibri"/>
          <w:sz w:val="22"/>
          <w:szCs w:val="22"/>
        </w:rPr>
        <w:t>und, and did so in relatively low amounts that, at least once, were overdue.</w:t>
      </w:r>
      <w:r w:rsidRPr="00D9152B">
        <w:rPr>
          <w:rStyle w:val="FootnoteReference"/>
          <w:rFonts w:ascii="Calibri" w:hAnsi="Calibri" w:cs="Calibri"/>
          <w:sz w:val="22"/>
          <w:szCs w:val="22"/>
        </w:rPr>
        <w:footnoteReference w:id="535"/>
      </w:r>
      <w:r w:rsidRPr="00D9152B">
        <w:rPr>
          <w:rFonts w:ascii="Calibri" w:hAnsi="Calibri" w:cs="Calibri"/>
          <w:sz w:val="22"/>
          <w:szCs w:val="22"/>
        </w:rPr>
        <w:t xml:space="preserve"> The </w:t>
      </w:r>
      <w:r w:rsidR="00283EFC" w:rsidRPr="00D9152B">
        <w:rPr>
          <w:rFonts w:ascii="Calibri" w:hAnsi="Calibri" w:cs="Calibri"/>
          <w:sz w:val="22"/>
          <w:szCs w:val="22"/>
        </w:rPr>
        <w:t>FAO never gave directly to the f</w:t>
      </w:r>
      <w:r w:rsidRPr="00D9152B">
        <w:rPr>
          <w:rFonts w:ascii="Calibri" w:hAnsi="Calibri" w:cs="Calibri"/>
          <w:sz w:val="22"/>
          <w:szCs w:val="22"/>
        </w:rPr>
        <w:t xml:space="preserve">und, and a </w:t>
      </w:r>
      <w:r w:rsidRPr="00D9152B">
        <w:rPr>
          <w:rFonts w:ascii="Calibri" w:hAnsi="Calibri" w:cs="Calibri"/>
          <w:sz w:val="22"/>
          <w:szCs w:val="22"/>
        </w:rPr>
        <w:lastRenderedPageBreak/>
        <w:t xml:space="preserve">controversy arose in 1980 when the WHO dropped budgetary provisions – up to that point approximately $20,000 a year – that paid for the FAO’s administrative support for the programme. A FAO Steering Committee delegate did not believe the WHO’s justification for the budgetary change. </w:t>
      </w:r>
      <w:r w:rsidR="00283EFC" w:rsidRPr="00D9152B">
        <w:rPr>
          <w:rFonts w:ascii="Calibri" w:hAnsi="Calibri" w:cs="Calibri"/>
          <w:sz w:val="22"/>
          <w:szCs w:val="22"/>
        </w:rPr>
        <w:t>He</w:t>
      </w:r>
      <w:r w:rsidRPr="00D9152B">
        <w:rPr>
          <w:rFonts w:ascii="Calibri" w:hAnsi="Calibri" w:cs="Calibri"/>
          <w:sz w:val="22"/>
          <w:szCs w:val="22"/>
        </w:rPr>
        <w:t xml:space="preserve"> argued that this budgetary change was made ‘apparently on the grounds that donors have asked all Agencies to cover their cost of participation in OCP from their own resources’, but it was ‘not apparent just how WHO is managing to handle a $180 million project without agency costs appearing in the budget’. He suggested that the WHO was likely padding the budget to quietly finance its own implementation costs; costs were ‘probably included as a percentage against each item’ in the budget.</w:t>
      </w:r>
      <w:r w:rsidRPr="00D9152B">
        <w:rPr>
          <w:rStyle w:val="FootnoteReference"/>
          <w:rFonts w:ascii="Calibri" w:hAnsi="Calibri" w:cs="Calibri"/>
          <w:sz w:val="22"/>
          <w:szCs w:val="22"/>
        </w:rPr>
        <w:footnoteReference w:id="536"/>
      </w:r>
      <w:r w:rsidRPr="00D9152B">
        <w:rPr>
          <w:rFonts w:ascii="Calibri" w:hAnsi="Calibri" w:cs="Calibri"/>
          <w:sz w:val="22"/>
          <w:szCs w:val="22"/>
        </w:rPr>
        <w:t xml:space="preserve"> This budgetary controversy, coupled with its concerns about socio-economic development </w:t>
      </w:r>
      <w:r w:rsidR="00283EFC" w:rsidRPr="00D9152B">
        <w:rPr>
          <w:rFonts w:ascii="Calibri" w:hAnsi="Calibri" w:cs="Calibri"/>
          <w:sz w:val="22"/>
          <w:szCs w:val="22"/>
        </w:rPr>
        <w:t>prioritization</w:t>
      </w:r>
      <w:r w:rsidRPr="00D9152B">
        <w:rPr>
          <w:rFonts w:ascii="Calibri" w:hAnsi="Calibri" w:cs="Calibri"/>
          <w:sz w:val="22"/>
          <w:szCs w:val="22"/>
        </w:rPr>
        <w:t xml:space="preserve">, at least partially explains the FAO’s growing distance from the programme from the 1980s onwards. </w:t>
      </w:r>
    </w:p>
    <w:p w14:paraId="64E357FB" w14:textId="09D5E944"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 UNDP and Bank were more consistent donors. UNDP contributions, which were significantly lower than the Bank during each phase, are s</w:t>
      </w:r>
      <w:r w:rsidR="00283EFC" w:rsidRPr="00D9152B">
        <w:rPr>
          <w:rFonts w:ascii="Calibri" w:hAnsi="Calibri" w:cs="Calibri"/>
          <w:sz w:val="22"/>
          <w:szCs w:val="22"/>
        </w:rPr>
        <w:t xml:space="preserve">lightly inflated in Figure </w:t>
      </w:r>
      <w:r w:rsidR="006A144D">
        <w:rPr>
          <w:rFonts w:ascii="Calibri" w:hAnsi="Calibri" w:cs="Calibri"/>
          <w:sz w:val="22"/>
          <w:szCs w:val="22"/>
        </w:rPr>
        <w:t>5.8</w:t>
      </w:r>
      <w:r w:rsidRPr="00D9152B">
        <w:rPr>
          <w:rFonts w:ascii="Calibri" w:hAnsi="Calibri" w:cs="Calibri"/>
          <w:sz w:val="22"/>
          <w:szCs w:val="22"/>
        </w:rPr>
        <w:t>. Beginning in 1980, the UNDP had a cost-sharing relationship with the OPEC Fund;</w:t>
      </w:r>
      <w:r w:rsidRPr="00D9152B">
        <w:rPr>
          <w:rStyle w:val="FootnoteReference"/>
          <w:rFonts w:ascii="Calibri" w:hAnsi="Calibri" w:cs="Calibri"/>
          <w:sz w:val="22"/>
          <w:szCs w:val="22"/>
        </w:rPr>
        <w:footnoteReference w:id="537"/>
      </w:r>
      <w:r w:rsidRPr="00D9152B">
        <w:rPr>
          <w:rFonts w:ascii="Calibri" w:hAnsi="Calibri" w:cs="Calibri"/>
          <w:sz w:val="22"/>
          <w:szCs w:val="22"/>
        </w:rPr>
        <w:t xml:space="preserve"> OPEC sent money directly to the UNDP, which forwarded </w:t>
      </w:r>
      <w:r w:rsidR="00527765" w:rsidRPr="00D9152B">
        <w:rPr>
          <w:rFonts w:ascii="Calibri" w:hAnsi="Calibri" w:cs="Calibri"/>
          <w:sz w:val="22"/>
          <w:szCs w:val="22"/>
        </w:rPr>
        <w:t>this</w:t>
      </w:r>
      <w:r w:rsidRPr="00D9152B">
        <w:rPr>
          <w:rFonts w:ascii="Calibri" w:hAnsi="Calibri" w:cs="Calibri"/>
          <w:sz w:val="22"/>
          <w:szCs w:val="22"/>
        </w:rPr>
        <w:t xml:space="preserve"> to the Bank. This funding was often kept separately from the main Onchocerciasis Fund, because it was earmarked to research activities.</w:t>
      </w:r>
      <w:r w:rsidRPr="00D9152B">
        <w:rPr>
          <w:rStyle w:val="FootnoteReference"/>
          <w:rFonts w:ascii="Calibri" w:hAnsi="Calibri" w:cs="Calibri"/>
          <w:sz w:val="22"/>
          <w:szCs w:val="22"/>
        </w:rPr>
        <w:footnoteReference w:id="538"/>
      </w:r>
      <w:r w:rsidRPr="00D9152B">
        <w:rPr>
          <w:rFonts w:ascii="Calibri" w:hAnsi="Calibri" w:cs="Calibri"/>
          <w:sz w:val="22"/>
          <w:szCs w:val="22"/>
        </w:rPr>
        <w:t xml:space="preserve"> The</w:t>
      </w:r>
      <w:r w:rsidR="00283EFC" w:rsidRPr="00D9152B">
        <w:rPr>
          <w:rFonts w:ascii="Calibri" w:hAnsi="Calibri" w:cs="Calibri"/>
          <w:sz w:val="22"/>
          <w:szCs w:val="22"/>
        </w:rPr>
        <w:t xml:space="preserve"> Bank financed between eight and 12 percent</w:t>
      </w:r>
      <w:r w:rsidRPr="00D9152B">
        <w:rPr>
          <w:rFonts w:ascii="Calibri" w:hAnsi="Calibri" w:cs="Calibri"/>
          <w:sz w:val="22"/>
          <w:szCs w:val="22"/>
        </w:rPr>
        <w:t xml:space="preserve"> of the total programme costs each year. Until 1982, Bank donations were made out of I</w:t>
      </w:r>
      <w:r w:rsidR="005B2AAC" w:rsidRPr="00D9152B">
        <w:rPr>
          <w:rFonts w:ascii="Calibri" w:hAnsi="Calibri" w:cs="Calibri"/>
          <w:sz w:val="22"/>
          <w:szCs w:val="22"/>
        </w:rPr>
        <w:t>nternational Development Agency</w:t>
      </w:r>
      <w:r w:rsidR="006A144D">
        <w:rPr>
          <w:rFonts w:ascii="Calibri" w:hAnsi="Calibri" w:cs="Calibri"/>
          <w:sz w:val="22"/>
          <w:szCs w:val="22"/>
        </w:rPr>
        <w:t xml:space="preserve"> (IDA)</w:t>
      </w:r>
      <w:r w:rsidRPr="00D9152B">
        <w:rPr>
          <w:rFonts w:ascii="Calibri" w:hAnsi="Calibri" w:cs="Calibri"/>
          <w:sz w:val="22"/>
          <w:szCs w:val="22"/>
        </w:rPr>
        <w:t xml:space="preserve"> grants from the Bank’s profits.</w:t>
      </w:r>
      <w:r w:rsidRPr="00D9152B">
        <w:rPr>
          <w:rStyle w:val="FootnoteReference"/>
          <w:rFonts w:ascii="Calibri" w:hAnsi="Calibri" w:cs="Calibri"/>
          <w:sz w:val="22"/>
          <w:szCs w:val="22"/>
        </w:rPr>
        <w:footnoteReference w:id="539"/>
      </w:r>
      <w:r w:rsidRPr="00D9152B">
        <w:rPr>
          <w:rFonts w:ascii="Calibri" w:hAnsi="Calibri" w:cs="Calibri"/>
          <w:sz w:val="22"/>
          <w:szCs w:val="22"/>
        </w:rPr>
        <w:t xml:space="preserve"> After 1982, the Bank’s mechanism for donating changed; Bank grants to special programmes were then charged to the Bank’s administrative budget</w:t>
      </w:r>
      <w:r w:rsidR="00283EFC" w:rsidRPr="00D9152B">
        <w:rPr>
          <w:rFonts w:ascii="Calibri" w:hAnsi="Calibri" w:cs="Calibri"/>
          <w:sz w:val="22"/>
          <w:szCs w:val="22"/>
        </w:rPr>
        <w:t>, which required annual approval</w:t>
      </w:r>
      <w:r w:rsidRPr="00D9152B">
        <w:rPr>
          <w:rFonts w:ascii="Calibri" w:hAnsi="Calibri" w:cs="Calibri"/>
          <w:sz w:val="22"/>
          <w:szCs w:val="22"/>
        </w:rPr>
        <w:t>.</w:t>
      </w:r>
      <w:r w:rsidRPr="00D9152B">
        <w:rPr>
          <w:rStyle w:val="FootnoteReference"/>
          <w:rFonts w:ascii="Calibri" w:hAnsi="Calibri" w:cs="Calibri"/>
          <w:sz w:val="22"/>
          <w:szCs w:val="22"/>
        </w:rPr>
        <w:footnoteReference w:id="540"/>
      </w:r>
      <w:r w:rsidRPr="00D9152B">
        <w:rPr>
          <w:rFonts w:ascii="Calibri" w:hAnsi="Calibri" w:cs="Calibri"/>
          <w:sz w:val="22"/>
          <w:szCs w:val="22"/>
        </w:rPr>
        <w:t xml:space="preserve"> In addition to donating to the </w:t>
      </w:r>
      <w:r w:rsidR="00283EFC" w:rsidRPr="00D9152B">
        <w:rPr>
          <w:rFonts w:ascii="Calibri" w:hAnsi="Calibri" w:cs="Calibri"/>
          <w:sz w:val="22"/>
          <w:szCs w:val="22"/>
        </w:rPr>
        <w:t>f</w:t>
      </w:r>
      <w:r w:rsidRPr="00D9152B">
        <w:rPr>
          <w:rFonts w:ascii="Calibri" w:hAnsi="Calibri" w:cs="Calibri"/>
          <w:sz w:val="22"/>
          <w:szCs w:val="22"/>
        </w:rPr>
        <w:t xml:space="preserve">und, the Bank covered its financial management role costs, first through the </w:t>
      </w:r>
      <w:r w:rsidR="006A144D">
        <w:rPr>
          <w:rFonts w:ascii="Calibri" w:hAnsi="Calibri" w:cs="Calibri"/>
          <w:sz w:val="22"/>
          <w:szCs w:val="22"/>
        </w:rPr>
        <w:t xml:space="preserve">IDA </w:t>
      </w:r>
      <w:r w:rsidRPr="00D9152B">
        <w:rPr>
          <w:rFonts w:ascii="Calibri" w:hAnsi="Calibri" w:cs="Calibri"/>
          <w:sz w:val="22"/>
          <w:szCs w:val="22"/>
        </w:rPr>
        <w:t xml:space="preserve">granting system and later through its administrative budget. The decision to waive </w:t>
      </w:r>
      <w:r w:rsidRPr="00D9152B">
        <w:rPr>
          <w:rFonts w:ascii="Calibri" w:hAnsi="Calibri" w:cs="Calibri"/>
          <w:sz w:val="22"/>
          <w:szCs w:val="22"/>
        </w:rPr>
        <w:lastRenderedPageBreak/>
        <w:t>administrative fees for Onchocerciasis Fund management and associated Bank activities was likely due t</w:t>
      </w:r>
      <w:r w:rsidR="00283EFC" w:rsidRPr="00D9152B">
        <w:rPr>
          <w:rFonts w:ascii="Calibri" w:hAnsi="Calibri" w:cs="Calibri"/>
          <w:sz w:val="22"/>
          <w:szCs w:val="22"/>
        </w:rPr>
        <w:t>o McNamara’s influence and the f</w:t>
      </w:r>
      <w:r w:rsidRPr="00D9152B">
        <w:rPr>
          <w:rFonts w:ascii="Calibri" w:hAnsi="Calibri" w:cs="Calibri"/>
          <w:sz w:val="22"/>
          <w:szCs w:val="22"/>
        </w:rPr>
        <w:t xml:space="preserve">und’s ad hoc origins. </w:t>
      </w:r>
    </w:p>
    <w:p w14:paraId="75EBC69E" w14:textId="081EF11F"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With the ballooning of the Bank’s </w:t>
      </w:r>
      <w:r w:rsidR="00CC04F2" w:rsidRPr="00D9152B">
        <w:rPr>
          <w:rFonts w:ascii="Calibri" w:hAnsi="Calibri" w:cs="Calibri"/>
          <w:sz w:val="22"/>
          <w:szCs w:val="22"/>
        </w:rPr>
        <w:t>S</w:t>
      </w:r>
      <w:r w:rsidRPr="00D9152B">
        <w:rPr>
          <w:rFonts w:ascii="Calibri" w:hAnsi="Calibri" w:cs="Calibri"/>
          <w:sz w:val="22"/>
          <w:szCs w:val="22"/>
        </w:rPr>
        <w:t xml:space="preserve">pecial </w:t>
      </w:r>
      <w:r w:rsidR="00CC04F2" w:rsidRPr="00D9152B">
        <w:rPr>
          <w:rFonts w:ascii="Calibri" w:hAnsi="Calibri" w:cs="Calibri"/>
          <w:sz w:val="22"/>
          <w:szCs w:val="22"/>
        </w:rPr>
        <w:t>Gr</w:t>
      </w:r>
      <w:r w:rsidRPr="00D9152B">
        <w:rPr>
          <w:rFonts w:ascii="Calibri" w:hAnsi="Calibri" w:cs="Calibri"/>
          <w:sz w:val="22"/>
          <w:szCs w:val="22"/>
        </w:rPr>
        <w:t xml:space="preserve">ant </w:t>
      </w:r>
      <w:r w:rsidR="00CC04F2" w:rsidRPr="00D9152B">
        <w:rPr>
          <w:rFonts w:ascii="Calibri" w:hAnsi="Calibri" w:cs="Calibri"/>
          <w:sz w:val="22"/>
          <w:szCs w:val="22"/>
        </w:rPr>
        <w:t>P</w:t>
      </w:r>
      <w:r w:rsidRPr="00D9152B">
        <w:rPr>
          <w:rFonts w:ascii="Calibri" w:hAnsi="Calibri" w:cs="Calibri"/>
          <w:sz w:val="22"/>
          <w:szCs w:val="22"/>
        </w:rPr>
        <w:t>rogramme (SGP) portfolio in the late 1980s and early 1990s</w:t>
      </w:r>
      <w:r w:rsidR="006A144D">
        <w:rPr>
          <w:rFonts w:ascii="Calibri" w:hAnsi="Calibri" w:cs="Calibri"/>
          <w:sz w:val="22"/>
          <w:szCs w:val="22"/>
        </w:rPr>
        <w:t xml:space="preserve"> (see Appendix XI)</w:t>
      </w:r>
      <w:r w:rsidRPr="00D9152B">
        <w:rPr>
          <w:rFonts w:ascii="Calibri" w:hAnsi="Calibri" w:cs="Calibri"/>
          <w:sz w:val="22"/>
          <w:szCs w:val="22"/>
        </w:rPr>
        <w:t xml:space="preserve">, this type of administrative financing for trust funds came under fire. According to Edward V.K. Jaycox, the Vice President of the Bank’s Africa Region Department from 1987-1996, </w:t>
      </w:r>
      <w:r w:rsidR="00CC04F2" w:rsidRPr="00D9152B">
        <w:rPr>
          <w:rFonts w:ascii="Calibri" w:hAnsi="Calibri" w:cs="Calibri"/>
          <w:sz w:val="22"/>
          <w:szCs w:val="22"/>
        </w:rPr>
        <w:t>Special Grant Programmes</w:t>
      </w:r>
      <w:r w:rsidRPr="00D9152B">
        <w:rPr>
          <w:rFonts w:ascii="Calibri" w:hAnsi="Calibri" w:cs="Calibri"/>
          <w:sz w:val="22"/>
          <w:szCs w:val="22"/>
        </w:rPr>
        <w:t xml:space="preserve"> financed by trust funds required an average of $1 million a year for administrative services.</w:t>
      </w:r>
      <w:r w:rsidRPr="00D9152B">
        <w:rPr>
          <w:rStyle w:val="FootnoteReference"/>
          <w:rFonts w:ascii="Calibri" w:hAnsi="Calibri" w:cs="Calibri"/>
          <w:sz w:val="22"/>
          <w:szCs w:val="22"/>
        </w:rPr>
        <w:footnoteReference w:id="541"/>
      </w:r>
      <w:r w:rsidRPr="00D9152B">
        <w:rPr>
          <w:rFonts w:ascii="Calibri" w:hAnsi="Calibri" w:cs="Calibri"/>
          <w:sz w:val="22"/>
          <w:szCs w:val="22"/>
        </w:rPr>
        <w:t xml:space="preserve"> Together, </w:t>
      </w:r>
      <w:r w:rsidR="00CC04F2" w:rsidRPr="00D9152B">
        <w:rPr>
          <w:rFonts w:ascii="Calibri" w:hAnsi="Calibri" w:cs="Calibri"/>
          <w:sz w:val="22"/>
          <w:szCs w:val="22"/>
        </w:rPr>
        <w:t>P</w:t>
      </w:r>
      <w:r w:rsidR="00283EFC" w:rsidRPr="00D9152B">
        <w:rPr>
          <w:rFonts w:ascii="Calibri" w:hAnsi="Calibri" w:cs="Calibri"/>
          <w:sz w:val="22"/>
          <w:szCs w:val="22"/>
        </w:rPr>
        <w:t xml:space="preserve">opulation, </w:t>
      </w:r>
      <w:r w:rsidR="00CC04F2" w:rsidRPr="00D9152B">
        <w:rPr>
          <w:rFonts w:ascii="Calibri" w:hAnsi="Calibri" w:cs="Calibri"/>
          <w:sz w:val="22"/>
          <w:szCs w:val="22"/>
        </w:rPr>
        <w:t>H</w:t>
      </w:r>
      <w:r w:rsidR="00283EFC" w:rsidRPr="00D9152B">
        <w:rPr>
          <w:rFonts w:ascii="Calibri" w:hAnsi="Calibri" w:cs="Calibri"/>
          <w:sz w:val="22"/>
          <w:szCs w:val="22"/>
        </w:rPr>
        <w:t xml:space="preserve">ealth and </w:t>
      </w:r>
      <w:r w:rsidR="00CC04F2" w:rsidRPr="00D9152B">
        <w:rPr>
          <w:rFonts w:ascii="Calibri" w:hAnsi="Calibri" w:cs="Calibri"/>
          <w:sz w:val="22"/>
          <w:szCs w:val="22"/>
        </w:rPr>
        <w:t>N</w:t>
      </w:r>
      <w:r w:rsidR="00283EFC" w:rsidRPr="00D9152B">
        <w:rPr>
          <w:rFonts w:ascii="Calibri" w:hAnsi="Calibri" w:cs="Calibri"/>
          <w:sz w:val="22"/>
          <w:szCs w:val="22"/>
        </w:rPr>
        <w:t>utrition</w:t>
      </w:r>
      <w:r w:rsidR="006E27BB" w:rsidRPr="00D9152B">
        <w:rPr>
          <w:rFonts w:ascii="Calibri" w:hAnsi="Calibri" w:cs="Calibri"/>
          <w:sz w:val="22"/>
          <w:szCs w:val="22"/>
        </w:rPr>
        <w:t xml:space="preserve"> (PHN)</w:t>
      </w:r>
      <w:r w:rsidR="00283EFC" w:rsidRPr="00D9152B">
        <w:rPr>
          <w:rFonts w:ascii="Calibri" w:hAnsi="Calibri" w:cs="Calibri"/>
          <w:sz w:val="22"/>
          <w:szCs w:val="22"/>
        </w:rPr>
        <w:t xml:space="preserve"> </w:t>
      </w:r>
      <w:r w:rsidRPr="00D9152B">
        <w:rPr>
          <w:rFonts w:ascii="Calibri" w:hAnsi="Calibri" w:cs="Calibri"/>
          <w:sz w:val="22"/>
          <w:szCs w:val="22"/>
        </w:rPr>
        <w:t>and agricult</w:t>
      </w:r>
      <w:r w:rsidR="00283EFC" w:rsidRPr="00D9152B">
        <w:rPr>
          <w:rFonts w:ascii="Calibri" w:hAnsi="Calibri" w:cs="Calibri"/>
          <w:sz w:val="22"/>
          <w:szCs w:val="22"/>
        </w:rPr>
        <w:t>ure programmes accounted for 94 percent</w:t>
      </w:r>
      <w:r w:rsidRPr="00D9152B">
        <w:rPr>
          <w:rFonts w:ascii="Calibri" w:hAnsi="Calibri" w:cs="Calibri"/>
          <w:sz w:val="22"/>
          <w:szCs w:val="22"/>
        </w:rPr>
        <w:t xml:space="preserve"> of all </w:t>
      </w:r>
      <w:r w:rsidR="00CC04F2" w:rsidRPr="00D9152B">
        <w:rPr>
          <w:rFonts w:ascii="Calibri" w:hAnsi="Calibri" w:cs="Calibri"/>
          <w:sz w:val="22"/>
          <w:szCs w:val="22"/>
        </w:rPr>
        <w:t>Special Grant Prog</w:t>
      </w:r>
      <w:r w:rsidR="00191ADA">
        <w:rPr>
          <w:rFonts w:ascii="Calibri" w:hAnsi="Calibri" w:cs="Calibri"/>
          <w:sz w:val="22"/>
          <w:szCs w:val="22"/>
        </w:rPr>
        <w:t>r</w:t>
      </w:r>
      <w:r w:rsidR="00CC04F2" w:rsidRPr="00D9152B">
        <w:rPr>
          <w:rFonts w:ascii="Calibri" w:hAnsi="Calibri" w:cs="Calibri"/>
          <w:sz w:val="22"/>
          <w:szCs w:val="22"/>
        </w:rPr>
        <w:t>ammes</w:t>
      </w:r>
      <w:r w:rsidRPr="00D9152B">
        <w:rPr>
          <w:rFonts w:ascii="Calibri" w:hAnsi="Calibri" w:cs="Calibri"/>
          <w:sz w:val="22"/>
          <w:szCs w:val="22"/>
        </w:rPr>
        <w:t xml:space="preserve">. A new Oversight Committee argued that </w:t>
      </w:r>
      <w:r w:rsidR="00CC04F2" w:rsidRPr="00D9152B">
        <w:rPr>
          <w:rFonts w:ascii="Calibri" w:hAnsi="Calibri" w:cs="Calibri"/>
          <w:sz w:val="22"/>
          <w:szCs w:val="22"/>
        </w:rPr>
        <w:t>Population, Health and Nutrition</w:t>
      </w:r>
      <w:r w:rsidRPr="00D9152B">
        <w:rPr>
          <w:rFonts w:ascii="Calibri" w:hAnsi="Calibri" w:cs="Calibri"/>
          <w:sz w:val="22"/>
          <w:szCs w:val="22"/>
        </w:rPr>
        <w:t xml:space="preserve"> special grants were hollowing out the Bank’s capacity and contributing to fragmented health priority setting.</w:t>
      </w:r>
      <w:r w:rsidR="00283EFC" w:rsidRPr="00D9152B">
        <w:rPr>
          <w:rFonts w:ascii="Calibri" w:hAnsi="Calibri" w:cs="Calibri"/>
          <w:sz w:val="22"/>
          <w:szCs w:val="22"/>
        </w:rPr>
        <w:t xml:space="preserve"> The c</w:t>
      </w:r>
      <w:r w:rsidRPr="00D9152B">
        <w:rPr>
          <w:rFonts w:ascii="Calibri" w:hAnsi="Calibri" w:cs="Calibri"/>
          <w:sz w:val="22"/>
          <w:szCs w:val="22"/>
        </w:rPr>
        <w:t>ommittee attested that ‘there is a general feeling among Task Managers of SGPs that they require more time and attention that can realistically be budgeted in work programs’.</w:t>
      </w:r>
      <w:r w:rsidRPr="00D9152B">
        <w:rPr>
          <w:rStyle w:val="FootnoteReference"/>
          <w:rFonts w:ascii="Calibri" w:hAnsi="Calibri" w:cs="Calibri"/>
          <w:sz w:val="22"/>
          <w:szCs w:val="22"/>
        </w:rPr>
        <w:footnoteReference w:id="542"/>
      </w:r>
      <w:r w:rsidRPr="00D9152B">
        <w:rPr>
          <w:rFonts w:ascii="Calibri" w:hAnsi="Calibri" w:cs="Calibri"/>
          <w:sz w:val="22"/>
          <w:szCs w:val="22"/>
        </w:rPr>
        <w:t xml:space="preserve"> Within this landscape, Benton and leaders of </w:t>
      </w:r>
      <w:r w:rsidR="00527765" w:rsidRPr="00D9152B">
        <w:rPr>
          <w:rFonts w:ascii="Calibri" w:hAnsi="Calibri" w:cs="Calibri"/>
          <w:sz w:val="22"/>
          <w:szCs w:val="22"/>
        </w:rPr>
        <w:t xml:space="preserve">the </w:t>
      </w:r>
      <w:r w:rsidR="00CC04F2" w:rsidRPr="00D9152B">
        <w:rPr>
          <w:rFonts w:ascii="Calibri" w:hAnsi="Calibri" w:cs="Calibri"/>
          <w:sz w:val="22"/>
          <w:szCs w:val="22"/>
        </w:rPr>
        <w:t>Population, Health and Nutrition</w:t>
      </w:r>
      <w:r w:rsidRPr="00D9152B">
        <w:rPr>
          <w:rFonts w:ascii="Calibri" w:hAnsi="Calibri" w:cs="Calibri"/>
          <w:sz w:val="22"/>
          <w:szCs w:val="22"/>
        </w:rPr>
        <w:t xml:space="preserve"> and the West Africa department</w:t>
      </w:r>
      <w:r w:rsidR="00527765" w:rsidRPr="00D9152B">
        <w:rPr>
          <w:rFonts w:ascii="Calibri" w:hAnsi="Calibri" w:cs="Calibri"/>
          <w:sz w:val="22"/>
          <w:szCs w:val="22"/>
        </w:rPr>
        <w:t>s</w:t>
      </w:r>
      <w:r w:rsidRPr="00D9152B">
        <w:rPr>
          <w:rFonts w:ascii="Calibri" w:hAnsi="Calibri" w:cs="Calibri"/>
          <w:sz w:val="22"/>
          <w:szCs w:val="22"/>
        </w:rPr>
        <w:t xml:space="preserve"> had to fight hard to maintain administrative contributions for the OCP work programme.</w:t>
      </w:r>
      <w:r w:rsidRPr="00D9152B">
        <w:rPr>
          <w:rStyle w:val="FootnoteReference"/>
          <w:rFonts w:ascii="Calibri" w:hAnsi="Calibri" w:cs="Calibri"/>
          <w:sz w:val="22"/>
          <w:szCs w:val="22"/>
        </w:rPr>
        <w:footnoteReference w:id="543"/>
      </w:r>
      <w:r w:rsidRPr="00D9152B">
        <w:rPr>
          <w:rFonts w:ascii="Calibri" w:hAnsi="Calibri" w:cs="Calibri"/>
          <w:sz w:val="22"/>
          <w:szCs w:val="22"/>
        </w:rPr>
        <w:t xml:space="preserve"> The </w:t>
      </w:r>
      <w:r w:rsidR="00283EFC" w:rsidRPr="00D9152B">
        <w:rPr>
          <w:rFonts w:ascii="Calibri" w:hAnsi="Calibri" w:cs="Calibri"/>
          <w:sz w:val="22"/>
          <w:szCs w:val="22"/>
        </w:rPr>
        <w:t>o</w:t>
      </w:r>
      <w:r w:rsidRPr="00D9152B">
        <w:rPr>
          <w:rFonts w:ascii="Calibri" w:hAnsi="Calibri" w:cs="Calibri"/>
          <w:sz w:val="22"/>
          <w:szCs w:val="22"/>
        </w:rPr>
        <w:t xml:space="preserve">nchocerciasis </w:t>
      </w:r>
      <w:r w:rsidR="00283EFC" w:rsidRPr="00D9152B">
        <w:rPr>
          <w:rFonts w:ascii="Calibri" w:hAnsi="Calibri" w:cs="Calibri"/>
          <w:sz w:val="22"/>
          <w:szCs w:val="22"/>
        </w:rPr>
        <w:t>u</w:t>
      </w:r>
      <w:r w:rsidRPr="00D9152B">
        <w:rPr>
          <w:rFonts w:ascii="Calibri" w:hAnsi="Calibri" w:cs="Calibri"/>
          <w:sz w:val="22"/>
          <w:szCs w:val="22"/>
        </w:rPr>
        <w:t>nit pointed to the 20</w:t>
      </w:r>
      <w:r w:rsidR="00283EFC" w:rsidRPr="00D9152B">
        <w:rPr>
          <w:rFonts w:ascii="Calibri" w:hAnsi="Calibri" w:cs="Calibri"/>
          <w:sz w:val="22"/>
          <w:szCs w:val="22"/>
        </w:rPr>
        <w:t xml:space="preserve"> percent</w:t>
      </w:r>
      <w:r w:rsidRPr="00D9152B">
        <w:rPr>
          <w:rFonts w:ascii="Calibri" w:hAnsi="Calibri" w:cs="Calibri"/>
          <w:sz w:val="22"/>
          <w:szCs w:val="22"/>
        </w:rPr>
        <w:t xml:space="preserve"> </w:t>
      </w:r>
      <w:r w:rsidR="00CC04F2" w:rsidRPr="00D9152B">
        <w:rPr>
          <w:rFonts w:ascii="Calibri" w:hAnsi="Calibri" w:cs="Calibri"/>
          <w:sz w:val="22"/>
          <w:szCs w:val="22"/>
        </w:rPr>
        <w:t>economic rate of return</w:t>
      </w:r>
      <w:r w:rsidRPr="00D9152B">
        <w:rPr>
          <w:rFonts w:ascii="Calibri" w:hAnsi="Calibri" w:cs="Calibri"/>
          <w:sz w:val="22"/>
          <w:szCs w:val="22"/>
        </w:rPr>
        <w:t xml:space="preserve"> of the OCP, explained that the Bank’s role was more important than ever due to UNDP and FAO budget cutbacks,</w:t>
      </w:r>
      <w:r w:rsidRPr="00D9152B">
        <w:rPr>
          <w:rStyle w:val="FootnoteReference"/>
          <w:rFonts w:ascii="Calibri" w:hAnsi="Calibri" w:cs="Calibri"/>
          <w:sz w:val="22"/>
          <w:szCs w:val="22"/>
        </w:rPr>
        <w:footnoteReference w:id="544"/>
      </w:r>
      <w:r w:rsidRPr="00D9152B">
        <w:rPr>
          <w:rFonts w:ascii="Calibri" w:hAnsi="Calibri" w:cs="Calibri"/>
          <w:sz w:val="22"/>
          <w:szCs w:val="22"/>
        </w:rPr>
        <w:t xml:space="preserve"> and wrote that:</w:t>
      </w:r>
    </w:p>
    <w:p w14:paraId="712F9382" w14:textId="3F6A8450" w:rsidR="00AC7848" w:rsidRPr="00D9152B" w:rsidRDefault="00AC7848" w:rsidP="007234AB">
      <w:pPr>
        <w:pStyle w:val="Quote"/>
        <w:ind w:left="862" w:right="862"/>
        <w:rPr>
          <w:rFonts w:cs="Calibri"/>
          <w:i/>
          <w:sz w:val="22"/>
          <w:szCs w:val="22"/>
        </w:rPr>
      </w:pPr>
      <w:r w:rsidRPr="00D9152B">
        <w:rPr>
          <w:rFonts w:cs="Calibri"/>
          <w:i/>
          <w:sz w:val="22"/>
          <w:szCs w:val="22"/>
        </w:rPr>
        <w:t xml:space="preserve">‘If earmarked resources were not available through the SGP budget…the Bank’s </w:t>
      </w:r>
      <w:r w:rsidR="006A144D">
        <w:rPr>
          <w:rFonts w:cs="Calibri"/>
          <w:i/>
          <w:sz w:val="22"/>
          <w:szCs w:val="22"/>
        </w:rPr>
        <w:t xml:space="preserve">[Onchocerciasis] </w:t>
      </w:r>
      <w:r w:rsidRPr="00D9152B">
        <w:rPr>
          <w:rFonts w:cs="Calibri"/>
          <w:i/>
          <w:sz w:val="22"/>
          <w:szCs w:val="22"/>
        </w:rPr>
        <w:t xml:space="preserve">Unit would be forced to compete with administrative resources for “regular” Bank programs, and, I suspect, would frequently come out on the short end. This is particularly true under the “new Bank,” where control of purse strings is more likely to be in the hands of country managers. Large regional programs, such as, the Riverblindness Programs…would be at a significant disadvantage in competing for regular Bank resources. The upshot would be to raise doubts about the Bank’s continued reliability to fulfil its sizeable statutory functions – donor coordination, fund mobilization, Trust Fund </w:t>
      </w:r>
      <w:r w:rsidRPr="00D9152B">
        <w:rPr>
          <w:rFonts w:cs="Calibri"/>
          <w:i/>
          <w:sz w:val="22"/>
          <w:szCs w:val="22"/>
        </w:rPr>
        <w:lastRenderedPageBreak/>
        <w:t>management, and leadership in governance of the programs. This, in turn, would undermine donor confidence in the programs at a time when donor confidence in the executing agency, the WHO, is at an all-time low.’</w:t>
      </w:r>
      <w:r w:rsidRPr="00D9152B">
        <w:rPr>
          <w:rStyle w:val="FootnoteReference"/>
          <w:rFonts w:ascii="Calibri" w:hAnsi="Calibri" w:cs="Calibri"/>
          <w:i/>
          <w:sz w:val="22"/>
          <w:szCs w:val="22"/>
        </w:rPr>
        <w:footnoteReference w:id="545"/>
      </w:r>
    </w:p>
    <w:p w14:paraId="493ACE33" w14:textId="75D52F27" w:rsidR="00AC7848" w:rsidRPr="00D9152B" w:rsidRDefault="00AC7848" w:rsidP="00CC04F2">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After considerable lobbying, the Bank acquiesced to Benton’s request to maintain the OCP administrative budget. </w:t>
      </w:r>
      <w:r w:rsidR="00CC04F2" w:rsidRPr="00D9152B">
        <w:rPr>
          <w:rFonts w:ascii="Calibri" w:hAnsi="Calibri" w:cs="Calibri"/>
          <w:sz w:val="22"/>
          <w:szCs w:val="22"/>
        </w:rPr>
        <w:t xml:space="preserve">The </w:t>
      </w:r>
      <w:r w:rsidRPr="00D9152B">
        <w:rPr>
          <w:rFonts w:ascii="Calibri" w:hAnsi="Calibri" w:cs="Calibri"/>
          <w:sz w:val="22"/>
          <w:szCs w:val="22"/>
        </w:rPr>
        <w:t xml:space="preserve">OCP and </w:t>
      </w:r>
      <w:r w:rsidR="00CC04F2" w:rsidRPr="00D9152B">
        <w:rPr>
          <w:rFonts w:ascii="Calibri" w:hAnsi="Calibri" w:cs="Calibri"/>
          <w:sz w:val="22"/>
          <w:szCs w:val="22"/>
        </w:rPr>
        <w:t>the African Programme for Onchocerciasis Control</w:t>
      </w:r>
      <w:r w:rsidRPr="00D9152B">
        <w:rPr>
          <w:rFonts w:ascii="Calibri" w:hAnsi="Calibri" w:cs="Calibri"/>
          <w:sz w:val="22"/>
          <w:szCs w:val="22"/>
        </w:rPr>
        <w:t xml:space="preserve"> were among the only African portfolio </w:t>
      </w:r>
      <w:r w:rsidR="00CC04F2" w:rsidRPr="00D9152B">
        <w:rPr>
          <w:rFonts w:ascii="Calibri" w:hAnsi="Calibri" w:cs="Calibri"/>
          <w:sz w:val="22"/>
          <w:szCs w:val="22"/>
        </w:rPr>
        <w:t>Special Grant Programmes</w:t>
      </w:r>
      <w:r w:rsidRPr="00D9152B">
        <w:rPr>
          <w:rFonts w:ascii="Calibri" w:hAnsi="Calibri" w:cs="Calibri"/>
          <w:sz w:val="22"/>
          <w:szCs w:val="22"/>
        </w:rPr>
        <w:t xml:space="preserve"> with this administrative provision in the late 1990s.</w:t>
      </w:r>
      <w:r w:rsidRPr="00D9152B">
        <w:rPr>
          <w:rStyle w:val="FootnoteReference"/>
          <w:rFonts w:ascii="Calibri" w:hAnsi="Calibri" w:cs="Calibri"/>
          <w:sz w:val="22"/>
          <w:szCs w:val="22"/>
        </w:rPr>
        <w:footnoteReference w:id="546"/>
      </w:r>
      <w:r w:rsidRPr="00D9152B">
        <w:rPr>
          <w:rFonts w:ascii="Calibri" w:hAnsi="Calibri" w:cs="Calibri"/>
          <w:sz w:val="22"/>
          <w:szCs w:val="22"/>
        </w:rPr>
        <w:t xml:space="preserve"> The Bank allocated $850,000-870,000 a year from its administrative budget for OCP staff salaries, benefits, and statutory responsibilities.</w:t>
      </w:r>
      <w:r w:rsidRPr="00D9152B">
        <w:rPr>
          <w:rStyle w:val="FootnoteReference"/>
          <w:rFonts w:ascii="Calibri" w:hAnsi="Calibri" w:cs="Calibri"/>
          <w:sz w:val="22"/>
          <w:szCs w:val="22"/>
        </w:rPr>
        <w:footnoteReference w:id="547"/>
      </w:r>
      <w:r w:rsidRPr="00D9152B">
        <w:rPr>
          <w:rFonts w:ascii="Calibri" w:hAnsi="Calibri" w:cs="Calibri"/>
          <w:sz w:val="22"/>
          <w:szCs w:val="22"/>
        </w:rPr>
        <w:t xml:space="preserve"> In the late 1990s, the </w:t>
      </w:r>
      <w:r w:rsidR="00CC04F2" w:rsidRPr="00D9152B">
        <w:rPr>
          <w:rFonts w:ascii="Calibri" w:hAnsi="Calibri" w:cs="Calibri"/>
          <w:sz w:val="22"/>
          <w:szCs w:val="22"/>
        </w:rPr>
        <w:t>Special Grant Programme</w:t>
      </w:r>
      <w:r w:rsidRPr="00D9152B">
        <w:rPr>
          <w:rFonts w:ascii="Calibri" w:hAnsi="Calibri" w:cs="Calibri"/>
          <w:sz w:val="22"/>
          <w:szCs w:val="22"/>
        </w:rPr>
        <w:t xml:space="preserve"> was replaced with the Development Grant Facility, under which regional programmes financed by trust funds again rose.</w:t>
      </w:r>
      <w:r w:rsidRPr="00D9152B">
        <w:rPr>
          <w:rStyle w:val="FootnoteReference"/>
          <w:rFonts w:ascii="Calibri" w:hAnsi="Calibri" w:cs="Calibri"/>
          <w:sz w:val="22"/>
          <w:szCs w:val="22"/>
        </w:rPr>
        <w:footnoteReference w:id="548"/>
      </w:r>
      <w:r w:rsidRPr="00D9152B">
        <w:rPr>
          <w:rFonts w:ascii="Calibri" w:hAnsi="Calibri" w:cs="Calibri"/>
          <w:sz w:val="22"/>
          <w:szCs w:val="22"/>
        </w:rPr>
        <w:t xml:space="preserve"> With the surge of health trust funds in the 2000s, the Bank has continued to struggle with how to ensure that its trust funded health programmes have aligned priorities and do not erode its core lending capabilities.</w:t>
      </w:r>
      <w:r w:rsidRPr="00D9152B">
        <w:rPr>
          <w:rStyle w:val="FootnoteReference"/>
          <w:rFonts w:ascii="Calibri" w:hAnsi="Calibri" w:cs="Calibri"/>
          <w:sz w:val="22"/>
          <w:szCs w:val="22"/>
        </w:rPr>
        <w:footnoteReference w:id="549"/>
      </w:r>
      <w:r w:rsidRPr="00D9152B">
        <w:rPr>
          <w:rFonts w:ascii="Calibri" w:hAnsi="Calibri" w:cs="Calibri"/>
          <w:sz w:val="22"/>
          <w:szCs w:val="22"/>
        </w:rPr>
        <w:t xml:space="preserve"> Today, it typically levies administrative fees for opening and managing a trust fund, which vary depending on the type of trust fund.</w:t>
      </w:r>
      <w:r w:rsidRPr="00D9152B">
        <w:rPr>
          <w:rStyle w:val="FootnoteReference"/>
          <w:rFonts w:ascii="Calibri" w:hAnsi="Calibri" w:cs="Calibri"/>
          <w:sz w:val="22"/>
          <w:szCs w:val="22"/>
        </w:rPr>
        <w:footnoteReference w:id="550"/>
      </w:r>
      <w:r w:rsidRPr="00D9152B">
        <w:rPr>
          <w:rFonts w:ascii="Calibri" w:hAnsi="Calibri" w:cs="Calibri"/>
          <w:sz w:val="22"/>
          <w:szCs w:val="22"/>
        </w:rPr>
        <w:t xml:space="preserve"> These fees are designed to prevent ‘hollowing out’ the Bank’s capacity to administer its own core funding.</w:t>
      </w:r>
      <w:r w:rsidRPr="00D9152B">
        <w:rPr>
          <w:rStyle w:val="FootnoteReference"/>
          <w:rFonts w:ascii="Calibri" w:hAnsi="Calibri" w:cs="Calibri"/>
          <w:sz w:val="22"/>
          <w:szCs w:val="22"/>
        </w:rPr>
        <w:footnoteReference w:id="551"/>
      </w:r>
      <w:r w:rsidR="006E27BB" w:rsidRPr="00D9152B">
        <w:rPr>
          <w:rFonts w:ascii="Calibri" w:hAnsi="Calibri" w:cs="Calibri"/>
          <w:sz w:val="22"/>
          <w:szCs w:val="22"/>
        </w:rPr>
        <w:t xml:space="preserve"> </w:t>
      </w:r>
    </w:p>
    <w:p w14:paraId="578C1D60" w14:textId="38BDA18D" w:rsidR="00871836" w:rsidRPr="00D9152B" w:rsidRDefault="00412DF9" w:rsidP="005C7F9F">
      <w:pPr>
        <w:pStyle w:val="Heading3"/>
        <w:spacing w:line="360" w:lineRule="auto"/>
        <w:rPr>
          <w:rFonts w:ascii="Calibri" w:hAnsi="Calibri" w:cs="Calibri"/>
          <w:b/>
          <w:i/>
          <w:color w:val="000000" w:themeColor="text1"/>
          <w:sz w:val="22"/>
          <w:szCs w:val="22"/>
        </w:rPr>
      </w:pPr>
      <w:bookmarkStart w:id="93" w:name="_Toc41505666"/>
      <w:r w:rsidRPr="00D9152B">
        <w:rPr>
          <w:rFonts w:ascii="Calibri" w:hAnsi="Calibri" w:cs="Calibri"/>
          <w:b/>
          <w:i/>
          <w:color w:val="000000" w:themeColor="text1"/>
          <w:sz w:val="22"/>
          <w:szCs w:val="22"/>
        </w:rPr>
        <w:t>5.</w:t>
      </w:r>
      <w:r w:rsidR="009A5A65" w:rsidRPr="00D9152B">
        <w:rPr>
          <w:rFonts w:ascii="Calibri" w:hAnsi="Calibri" w:cs="Calibri"/>
          <w:b/>
          <w:i/>
          <w:color w:val="000000" w:themeColor="text1"/>
          <w:sz w:val="22"/>
          <w:szCs w:val="22"/>
        </w:rPr>
        <w:t>7.C</w:t>
      </w:r>
      <w:r w:rsidRPr="00D9152B">
        <w:rPr>
          <w:rFonts w:ascii="Calibri" w:hAnsi="Calibri" w:cs="Calibri"/>
          <w:b/>
          <w:i/>
          <w:color w:val="000000" w:themeColor="text1"/>
          <w:sz w:val="22"/>
          <w:szCs w:val="22"/>
        </w:rPr>
        <w:t xml:space="preserve">. </w:t>
      </w:r>
      <w:r w:rsidR="00871836" w:rsidRPr="00D9152B">
        <w:rPr>
          <w:rFonts w:ascii="Calibri" w:hAnsi="Calibri" w:cs="Calibri"/>
          <w:b/>
          <w:i/>
          <w:color w:val="000000" w:themeColor="text1"/>
          <w:sz w:val="22"/>
          <w:szCs w:val="22"/>
        </w:rPr>
        <w:t>Participating countries as donors (in principle)</w:t>
      </w:r>
      <w:bookmarkEnd w:id="93"/>
    </w:p>
    <w:p w14:paraId="0677D86B" w14:textId="77777777" w:rsidR="00C57446"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If multilateral sponsoring agencies sometimes struggled to meet their financial commitments to the programme, how were participating countries – some of the poorest countries in the world – expected to contribute? For the first phase, the seven beneficiary countries were collectively responsible for </w:t>
      </w:r>
      <w:r w:rsidR="00283EFC" w:rsidRPr="00D9152B">
        <w:rPr>
          <w:rFonts w:ascii="Calibri" w:hAnsi="Calibri" w:cs="Calibri"/>
          <w:sz w:val="22"/>
          <w:szCs w:val="22"/>
        </w:rPr>
        <w:t>paying $640,000, or just over one percent</w:t>
      </w:r>
      <w:r w:rsidRPr="00D9152B">
        <w:rPr>
          <w:rFonts w:ascii="Calibri" w:hAnsi="Calibri" w:cs="Calibri"/>
          <w:sz w:val="22"/>
          <w:szCs w:val="22"/>
        </w:rPr>
        <w:t xml:space="preserve"> of </w:t>
      </w:r>
      <w:r w:rsidRPr="00D9152B">
        <w:rPr>
          <w:rFonts w:ascii="Calibri" w:hAnsi="Calibri" w:cs="Calibri"/>
          <w:sz w:val="22"/>
          <w:szCs w:val="22"/>
        </w:rPr>
        <w:lastRenderedPageBreak/>
        <w:t xml:space="preserve">the total programme cost. The breakdown among these seven </w:t>
      </w:r>
      <w:r w:rsidR="00283EFC" w:rsidRPr="00D9152B">
        <w:rPr>
          <w:rFonts w:ascii="Calibri" w:hAnsi="Calibri" w:cs="Calibri"/>
          <w:sz w:val="22"/>
          <w:szCs w:val="22"/>
        </w:rPr>
        <w:t>countries’ contributions</w:t>
      </w:r>
      <w:r w:rsidRPr="00D9152B">
        <w:rPr>
          <w:rFonts w:ascii="Calibri" w:hAnsi="Calibri" w:cs="Calibri"/>
          <w:sz w:val="22"/>
          <w:szCs w:val="22"/>
        </w:rPr>
        <w:t xml:space="preserve"> was based on a formula ‘reflecting their ability to pay and benefits derived’. For instance, Burkina Faso contributed a large amount relative to its wealth because it had the largest geographic area in the OCP zone, and Cote d’Ivoire contributed a large amount relative to its control area because it was the wealthiest country.</w:t>
      </w:r>
      <w:r w:rsidRPr="00D9152B">
        <w:rPr>
          <w:rStyle w:val="FootnoteReference"/>
          <w:rFonts w:ascii="Calibri" w:hAnsi="Calibri" w:cs="Calibri"/>
          <w:sz w:val="22"/>
          <w:szCs w:val="22"/>
        </w:rPr>
        <w:footnoteReference w:id="552"/>
      </w:r>
      <w:r w:rsidRPr="00D9152B">
        <w:rPr>
          <w:rFonts w:ascii="Calibri" w:hAnsi="Calibri" w:cs="Calibri"/>
          <w:sz w:val="22"/>
          <w:szCs w:val="22"/>
        </w:rPr>
        <w:t xml:space="preserve"> </w:t>
      </w:r>
    </w:p>
    <w:p w14:paraId="6E363531" w14:textId="2E6008D2"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In 1979, the Bank proposed a new, more precise formula for calculating contributions. This formula was based on each country’s gross national</w:t>
      </w:r>
      <w:r w:rsidR="00475FF8" w:rsidRPr="00D9152B">
        <w:rPr>
          <w:rFonts w:ascii="Calibri" w:hAnsi="Calibri" w:cs="Calibri"/>
          <w:sz w:val="22"/>
          <w:szCs w:val="22"/>
        </w:rPr>
        <w:t xml:space="preserve"> product (GNP, 70 percent </w:t>
      </w:r>
      <w:r w:rsidRPr="00D9152B">
        <w:rPr>
          <w:rFonts w:ascii="Calibri" w:hAnsi="Calibri" w:cs="Calibri"/>
          <w:sz w:val="22"/>
          <w:szCs w:val="22"/>
        </w:rPr>
        <w:t xml:space="preserve">coefficient) and the percent of the people directly benefitting from </w:t>
      </w:r>
      <w:r w:rsidR="00475FF8" w:rsidRPr="00D9152B">
        <w:rPr>
          <w:rFonts w:ascii="Calibri" w:hAnsi="Calibri" w:cs="Calibri"/>
          <w:sz w:val="22"/>
          <w:szCs w:val="22"/>
        </w:rPr>
        <w:t>the program</w:t>
      </w:r>
      <w:r w:rsidR="002D31A3">
        <w:rPr>
          <w:rFonts w:ascii="Calibri" w:hAnsi="Calibri" w:cs="Calibri"/>
          <w:sz w:val="22"/>
          <w:szCs w:val="22"/>
        </w:rPr>
        <w:t>me</w:t>
      </w:r>
      <w:r w:rsidR="00475FF8" w:rsidRPr="00D9152B">
        <w:rPr>
          <w:rFonts w:ascii="Calibri" w:hAnsi="Calibri" w:cs="Calibri"/>
          <w:sz w:val="22"/>
          <w:szCs w:val="22"/>
        </w:rPr>
        <w:t xml:space="preserve"> in each country (30 percent</w:t>
      </w:r>
      <w:r w:rsidRPr="00D9152B">
        <w:rPr>
          <w:rFonts w:ascii="Calibri" w:hAnsi="Calibri" w:cs="Calibri"/>
          <w:sz w:val="22"/>
          <w:szCs w:val="22"/>
        </w:rPr>
        <w:t xml:space="preserve"> coefficient).</w:t>
      </w:r>
      <w:r w:rsidRPr="00D9152B">
        <w:rPr>
          <w:rStyle w:val="FootnoteReference"/>
          <w:rFonts w:ascii="Calibri" w:hAnsi="Calibri" w:cs="Calibri"/>
          <w:sz w:val="22"/>
          <w:szCs w:val="22"/>
        </w:rPr>
        <w:footnoteReference w:id="553"/>
      </w:r>
      <w:r w:rsidRPr="00D9152B">
        <w:rPr>
          <w:rFonts w:ascii="Calibri" w:hAnsi="Calibri" w:cs="Calibri"/>
          <w:sz w:val="22"/>
          <w:szCs w:val="22"/>
        </w:rPr>
        <w:t xml:space="preserve"> Collectively, participating countries were asked to maintain their</w:t>
      </w:r>
      <w:r w:rsidR="00475FF8" w:rsidRPr="00D9152B">
        <w:rPr>
          <w:rFonts w:ascii="Calibri" w:hAnsi="Calibri" w:cs="Calibri"/>
          <w:sz w:val="22"/>
          <w:szCs w:val="22"/>
        </w:rPr>
        <w:t xml:space="preserve"> proportion of program</w:t>
      </w:r>
      <w:r w:rsidR="002D31A3">
        <w:rPr>
          <w:rFonts w:ascii="Calibri" w:hAnsi="Calibri" w:cs="Calibri"/>
          <w:sz w:val="22"/>
          <w:szCs w:val="22"/>
        </w:rPr>
        <w:t>me</w:t>
      </w:r>
      <w:r w:rsidR="00475FF8" w:rsidRPr="00D9152B">
        <w:rPr>
          <w:rFonts w:ascii="Calibri" w:hAnsi="Calibri" w:cs="Calibri"/>
          <w:sz w:val="22"/>
          <w:szCs w:val="22"/>
        </w:rPr>
        <w:t xml:space="preserve"> costs (</w:t>
      </w:r>
      <w:r w:rsidR="006E27BB" w:rsidRPr="00D9152B">
        <w:rPr>
          <w:rFonts w:ascii="Calibri" w:hAnsi="Calibri" w:cs="Calibri"/>
          <w:sz w:val="22"/>
          <w:szCs w:val="22"/>
        </w:rPr>
        <w:t>one</w:t>
      </w:r>
      <w:r w:rsidR="00475FF8" w:rsidRPr="00D9152B">
        <w:rPr>
          <w:rFonts w:ascii="Calibri" w:hAnsi="Calibri" w:cs="Calibri"/>
          <w:sz w:val="22"/>
          <w:szCs w:val="22"/>
        </w:rPr>
        <w:t xml:space="preserve"> percent</w:t>
      </w:r>
      <w:r w:rsidRPr="00D9152B">
        <w:rPr>
          <w:rFonts w:ascii="Calibri" w:hAnsi="Calibri" w:cs="Calibri"/>
          <w:sz w:val="22"/>
          <w:szCs w:val="22"/>
        </w:rPr>
        <w:t xml:space="preserve">), which totalled $1.44 </w:t>
      </w:r>
      <w:r w:rsidR="00475FF8" w:rsidRPr="00D9152B">
        <w:rPr>
          <w:rFonts w:ascii="Calibri" w:hAnsi="Calibri" w:cs="Calibri"/>
          <w:sz w:val="22"/>
          <w:szCs w:val="22"/>
        </w:rPr>
        <w:t xml:space="preserve">million </w:t>
      </w:r>
      <w:r w:rsidRPr="00D9152B">
        <w:rPr>
          <w:rFonts w:ascii="Calibri" w:hAnsi="Calibri" w:cs="Calibri"/>
          <w:sz w:val="22"/>
          <w:szCs w:val="22"/>
        </w:rPr>
        <w:t>for Phase II. This change in relative cost sharing was approved by the African countries, although it ‘provoked lively discussion…because of resulting large differences in contributions and redistribution of financial responsibility’.</w:t>
      </w:r>
      <w:r w:rsidRPr="00D9152B">
        <w:rPr>
          <w:rStyle w:val="FootnoteReference"/>
          <w:rFonts w:ascii="Calibri" w:hAnsi="Calibri" w:cs="Calibri"/>
          <w:sz w:val="22"/>
          <w:szCs w:val="22"/>
        </w:rPr>
        <w:footnoteReference w:id="554"/>
      </w:r>
      <w:r w:rsidRPr="00D9152B">
        <w:rPr>
          <w:rFonts w:ascii="Calibri" w:hAnsi="Calibri" w:cs="Calibri"/>
          <w:sz w:val="22"/>
          <w:szCs w:val="22"/>
        </w:rPr>
        <w:t xml:space="preserve"> In Phase III, the same formula was used for contributions, although the amoun</w:t>
      </w:r>
      <w:r w:rsidR="00475FF8" w:rsidRPr="00D9152B">
        <w:rPr>
          <w:rFonts w:ascii="Calibri" w:hAnsi="Calibri" w:cs="Calibri"/>
          <w:sz w:val="22"/>
          <w:szCs w:val="22"/>
        </w:rPr>
        <w:t>t was reduced slightly (to 0.75 percent</w:t>
      </w:r>
      <w:r w:rsidRPr="00D9152B">
        <w:rPr>
          <w:rFonts w:ascii="Calibri" w:hAnsi="Calibri" w:cs="Calibri"/>
          <w:sz w:val="22"/>
          <w:szCs w:val="22"/>
        </w:rPr>
        <w:t xml:space="preserve"> of total costs, or $1.32 million).</w:t>
      </w:r>
      <w:r w:rsidRPr="00D9152B">
        <w:rPr>
          <w:rStyle w:val="FootnoteReference"/>
          <w:rFonts w:ascii="Calibri" w:hAnsi="Calibri" w:cs="Calibri"/>
          <w:sz w:val="22"/>
          <w:szCs w:val="22"/>
        </w:rPr>
        <w:footnoteReference w:id="555"/>
      </w:r>
    </w:p>
    <w:p w14:paraId="30A389A5" w14:textId="7B378A10"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Over the course of the OCP, participating countries did not pri</w:t>
      </w:r>
      <w:r w:rsidR="006E27BB" w:rsidRPr="00D9152B">
        <w:rPr>
          <w:rFonts w:ascii="Calibri" w:hAnsi="Calibri" w:cs="Calibri"/>
          <w:sz w:val="22"/>
          <w:szCs w:val="22"/>
        </w:rPr>
        <w:t>oritise their donations to the f</w:t>
      </w:r>
      <w:r w:rsidRPr="00D9152B">
        <w:rPr>
          <w:rFonts w:ascii="Calibri" w:hAnsi="Calibri" w:cs="Calibri"/>
          <w:sz w:val="22"/>
          <w:szCs w:val="22"/>
        </w:rPr>
        <w:t>und. By 1980, two countries were in arrears with their Phase I payments. Late payments continued in Phase II.</w:t>
      </w:r>
      <w:r w:rsidRPr="00D9152B">
        <w:rPr>
          <w:rStyle w:val="FootnoteReference"/>
          <w:rFonts w:ascii="Calibri" w:hAnsi="Calibri" w:cs="Calibri"/>
          <w:sz w:val="22"/>
          <w:szCs w:val="22"/>
        </w:rPr>
        <w:footnoteReference w:id="556"/>
      </w:r>
      <w:r w:rsidRPr="00D9152B">
        <w:rPr>
          <w:rFonts w:ascii="Calibri" w:hAnsi="Calibri" w:cs="Calibri"/>
          <w:sz w:val="22"/>
          <w:szCs w:val="22"/>
        </w:rPr>
        <w:t xml:space="preserve"> Contributions were even less forthcoming during Phase III; in spite of numerous letters sent by Samba to govern</w:t>
      </w:r>
      <w:r w:rsidR="00475FF8" w:rsidRPr="00D9152B">
        <w:rPr>
          <w:rFonts w:ascii="Calibri" w:hAnsi="Calibri" w:cs="Calibri"/>
          <w:sz w:val="22"/>
          <w:szCs w:val="22"/>
        </w:rPr>
        <w:t>ments and conversations within ministries of h</w:t>
      </w:r>
      <w:r w:rsidRPr="00D9152B">
        <w:rPr>
          <w:rFonts w:ascii="Calibri" w:hAnsi="Calibri" w:cs="Calibri"/>
          <w:sz w:val="22"/>
          <w:szCs w:val="22"/>
        </w:rPr>
        <w:t xml:space="preserve">ealth, only Burkina Faso paid anything to the </w:t>
      </w:r>
      <w:r w:rsidR="00475FF8" w:rsidRPr="00D9152B">
        <w:rPr>
          <w:rFonts w:ascii="Calibri" w:hAnsi="Calibri" w:cs="Calibri"/>
          <w:sz w:val="22"/>
          <w:szCs w:val="22"/>
        </w:rPr>
        <w:t>f</w:t>
      </w:r>
      <w:r w:rsidRPr="00D9152B">
        <w:rPr>
          <w:rFonts w:ascii="Calibri" w:hAnsi="Calibri" w:cs="Calibri"/>
          <w:sz w:val="22"/>
          <w:szCs w:val="22"/>
        </w:rPr>
        <w:t xml:space="preserve">und after 1988. The Bank viewed participating countries’ contributions as ‘comparatively small…a matter of principle’. Because it recognized that ‘chances of ever getting the outstanding contributions appear increasingly remote’, the Bank decided ‘not to press the Governments further’, and instead to engage them in a dialogue about devolution and maintenance. Following this logic – and because of restrictions on health funding in beneficiary countries due to structural adjustment policies – no formal cash inputs were </w:t>
      </w:r>
      <w:r w:rsidRPr="00D9152B">
        <w:rPr>
          <w:rFonts w:ascii="Calibri" w:hAnsi="Calibri" w:cs="Calibri"/>
          <w:sz w:val="22"/>
          <w:szCs w:val="22"/>
        </w:rPr>
        <w:lastRenderedPageBreak/>
        <w:t>requested of participating countries for Phase IV.</w:t>
      </w:r>
      <w:r w:rsidRPr="00D9152B">
        <w:rPr>
          <w:rStyle w:val="FootnoteReference"/>
          <w:rFonts w:ascii="Calibri" w:hAnsi="Calibri" w:cs="Calibri"/>
          <w:sz w:val="22"/>
          <w:szCs w:val="22"/>
        </w:rPr>
        <w:footnoteReference w:id="557"/>
      </w:r>
      <w:r w:rsidRPr="00D9152B">
        <w:rPr>
          <w:rFonts w:ascii="Calibri" w:hAnsi="Calibri" w:cs="Calibri"/>
          <w:sz w:val="22"/>
          <w:szCs w:val="22"/>
        </w:rPr>
        <w:t xml:space="preserve"> As descr</w:t>
      </w:r>
      <w:r w:rsidR="00475FF8" w:rsidRPr="00D9152B">
        <w:rPr>
          <w:rFonts w:ascii="Calibri" w:hAnsi="Calibri" w:cs="Calibri"/>
          <w:sz w:val="22"/>
          <w:szCs w:val="22"/>
        </w:rPr>
        <w:t>ibed in Chapter 8</w:t>
      </w:r>
      <w:r w:rsidRPr="00D9152B">
        <w:rPr>
          <w:rFonts w:ascii="Calibri" w:hAnsi="Calibri" w:cs="Calibri"/>
          <w:sz w:val="22"/>
          <w:szCs w:val="22"/>
        </w:rPr>
        <w:t xml:space="preserve">, a major part of devolution was reducing OCP staff numbers and converting some remaining staff to national employees. This meant that participating governments would </w:t>
      </w:r>
      <w:r w:rsidR="006E27BB" w:rsidRPr="00D9152B">
        <w:rPr>
          <w:rFonts w:ascii="Calibri" w:hAnsi="Calibri" w:cs="Calibri"/>
          <w:sz w:val="22"/>
          <w:szCs w:val="22"/>
        </w:rPr>
        <w:t xml:space="preserve">eventually </w:t>
      </w:r>
      <w:r w:rsidRPr="00D9152B">
        <w:rPr>
          <w:rFonts w:ascii="Calibri" w:hAnsi="Calibri" w:cs="Calibri"/>
          <w:sz w:val="22"/>
          <w:szCs w:val="22"/>
        </w:rPr>
        <w:t>be absorbing staff and eventually paying their (reduced) salaries. If devolution was successful, countries would therefore be expending resources for onchocerciasis control as part of their national health budgets, rather than</w:t>
      </w:r>
      <w:r w:rsidR="00CC04F2" w:rsidRPr="00D9152B">
        <w:rPr>
          <w:rFonts w:ascii="Calibri" w:hAnsi="Calibri" w:cs="Calibri"/>
          <w:sz w:val="22"/>
          <w:szCs w:val="22"/>
        </w:rPr>
        <w:t xml:space="preserve"> directly</w:t>
      </w:r>
      <w:r w:rsidRPr="00D9152B">
        <w:rPr>
          <w:rFonts w:ascii="Calibri" w:hAnsi="Calibri" w:cs="Calibri"/>
          <w:sz w:val="22"/>
          <w:szCs w:val="22"/>
        </w:rPr>
        <w:t xml:space="preserve"> through the OCP.</w:t>
      </w:r>
    </w:p>
    <w:p w14:paraId="2C9F5FD1" w14:textId="1E965DAC" w:rsidR="00AC7848" w:rsidRPr="00D9152B" w:rsidRDefault="009A5A65" w:rsidP="00A50782">
      <w:pPr>
        <w:pStyle w:val="Heading2"/>
        <w:ind w:left="567" w:hanging="567"/>
        <w:rPr>
          <w:rFonts w:ascii="Calibri" w:hAnsi="Calibri" w:cs="Calibri"/>
          <w:b/>
          <w:sz w:val="26"/>
          <w:szCs w:val="26"/>
        </w:rPr>
      </w:pPr>
      <w:bookmarkStart w:id="94" w:name="_Toc41505667"/>
      <w:r w:rsidRPr="00D9152B">
        <w:rPr>
          <w:rFonts w:ascii="Calibri" w:hAnsi="Calibri" w:cs="Calibri"/>
          <w:b/>
          <w:sz w:val="26"/>
          <w:szCs w:val="26"/>
        </w:rPr>
        <w:t>5.8</w:t>
      </w:r>
      <w:r w:rsidR="00A50782" w:rsidRPr="00D9152B">
        <w:rPr>
          <w:rFonts w:ascii="Calibri" w:hAnsi="Calibri" w:cs="Calibri"/>
          <w:b/>
          <w:sz w:val="26"/>
          <w:szCs w:val="26"/>
        </w:rPr>
        <w:t>.</w:t>
      </w:r>
      <w:r w:rsidR="00AC7848" w:rsidRPr="00D9152B">
        <w:rPr>
          <w:rFonts w:ascii="Calibri" w:hAnsi="Calibri" w:cs="Calibri"/>
          <w:b/>
          <w:sz w:val="26"/>
          <w:szCs w:val="26"/>
        </w:rPr>
        <w:t xml:space="preserve"> Godfathering the Fund</w:t>
      </w:r>
      <w:bookmarkEnd w:id="94"/>
    </w:p>
    <w:p w14:paraId="792B9AD5" w14:textId="2EA30FB7"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In her 2005 </w:t>
      </w:r>
      <w:r w:rsidR="00475FF8" w:rsidRPr="00D9152B">
        <w:rPr>
          <w:rFonts w:ascii="Calibri" w:hAnsi="Calibri" w:cs="Calibri"/>
          <w:sz w:val="22"/>
          <w:szCs w:val="22"/>
        </w:rPr>
        <w:t>article on</w:t>
      </w:r>
      <w:r w:rsidRPr="00D9152B">
        <w:rPr>
          <w:rFonts w:ascii="Calibri" w:hAnsi="Calibri" w:cs="Calibri"/>
          <w:sz w:val="22"/>
          <w:szCs w:val="22"/>
        </w:rPr>
        <w:t xml:space="preserve"> the Bank’s role in global health, Ruger emphasizes that the Bank’s main advantage over other global health actors is its unique ability to mobilize financial resources.</w:t>
      </w:r>
      <w:r w:rsidRPr="00D9152B">
        <w:rPr>
          <w:rStyle w:val="FootnoteReference"/>
          <w:rFonts w:ascii="Calibri" w:hAnsi="Calibri" w:cs="Calibri"/>
          <w:sz w:val="22"/>
          <w:szCs w:val="22"/>
        </w:rPr>
        <w:footnoteReference w:id="558"/>
      </w:r>
      <w:r w:rsidRPr="00D9152B">
        <w:rPr>
          <w:rFonts w:ascii="Calibri" w:hAnsi="Calibri" w:cs="Calibri"/>
          <w:sz w:val="22"/>
          <w:szCs w:val="22"/>
        </w:rPr>
        <w:t xml:space="preserve"> However, at the launch of the OCP, this fundraising prowess was in its infancy. In the words of a legal counsel whose career at the Bank spanned the 1950s-1980s, </w:t>
      </w:r>
      <w:r w:rsidR="0026207E" w:rsidRPr="00D9152B">
        <w:rPr>
          <w:rFonts w:ascii="Calibri" w:hAnsi="Calibri" w:cs="Calibri"/>
          <w:sz w:val="22"/>
          <w:szCs w:val="22"/>
        </w:rPr>
        <w:t xml:space="preserve"> early staff ‘were </w:t>
      </w:r>
      <w:r w:rsidRPr="00D9152B">
        <w:rPr>
          <w:rFonts w:ascii="Calibri" w:hAnsi="Calibri" w:cs="Calibri"/>
          <w:sz w:val="22"/>
          <w:szCs w:val="22"/>
        </w:rPr>
        <w:t>all lawyers</w:t>
      </w:r>
      <w:r w:rsidR="0026207E" w:rsidRPr="00D9152B">
        <w:rPr>
          <w:rFonts w:ascii="Calibri" w:hAnsi="Calibri" w:cs="Calibri"/>
          <w:sz w:val="22"/>
          <w:szCs w:val="22"/>
        </w:rPr>
        <w:t xml:space="preserve">’ – </w:t>
      </w:r>
      <w:r w:rsidRPr="00D9152B">
        <w:rPr>
          <w:rFonts w:ascii="Calibri" w:hAnsi="Calibri" w:cs="Calibri"/>
          <w:sz w:val="22"/>
          <w:szCs w:val="22"/>
        </w:rPr>
        <w:t>particularly</w:t>
      </w:r>
      <w:r w:rsidR="0026207E" w:rsidRPr="00D9152B">
        <w:rPr>
          <w:rFonts w:ascii="Calibri" w:hAnsi="Calibri" w:cs="Calibri"/>
          <w:sz w:val="22"/>
          <w:szCs w:val="22"/>
        </w:rPr>
        <w:t xml:space="preserve"> as financial lawyers – and</w:t>
      </w:r>
      <w:r w:rsidRPr="00D9152B">
        <w:rPr>
          <w:rFonts w:ascii="Calibri" w:hAnsi="Calibri" w:cs="Calibri"/>
          <w:sz w:val="22"/>
          <w:szCs w:val="22"/>
        </w:rPr>
        <w:t xml:space="preserve"> used to </w:t>
      </w:r>
      <w:r w:rsidR="0026207E" w:rsidRPr="00D9152B">
        <w:rPr>
          <w:rFonts w:ascii="Calibri" w:hAnsi="Calibri" w:cs="Calibri"/>
          <w:sz w:val="22"/>
          <w:szCs w:val="22"/>
        </w:rPr>
        <w:t>dealing with ‘responsible’ countries, with a ‘high degree of supervision from the Bank’</w:t>
      </w:r>
      <w:r w:rsidRPr="00D9152B">
        <w:rPr>
          <w:rFonts w:ascii="Calibri" w:hAnsi="Calibri" w:cs="Calibri"/>
          <w:sz w:val="22"/>
          <w:szCs w:val="22"/>
        </w:rPr>
        <w:t>.</w:t>
      </w:r>
      <w:r w:rsidRPr="00D9152B">
        <w:rPr>
          <w:rStyle w:val="FootnoteReference"/>
          <w:rFonts w:ascii="Calibri" w:hAnsi="Calibri" w:cs="Calibri"/>
          <w:sz w:val="22"/>
          <w:szCs w:val="22"/>
        </w:rPr>
        <w:footnoteReference w:id="559"/>
      </w:r>
      <w:r w:rsidRPr="00D9152B">
        <w:rPr>
          <w:rFonts w:ascii="Calibri" w:hAnsi="Calibri" w:cs="Calibri"/>
          <w:sz w:val="22"/>
          <w:szCs w:val="22"/>
        </w:rPr>
        <w:t xml:space="preserve"> Benton agrees that, ‘as an institution we had never had any – played a role in fundraising </w:t>
      </w:r>
      <w:r w:rsidRPr="00D9152B">
        <w:rPr>
          <w:rFonts w:ascii="Calibri" w:hAnsi="Calibri" w:cs="Calibri"/>
          <w:i/>
          <w:sz w:val="22"/>
          <w:szCs w:val="22"/>
        </w:rPr>
        <w:t xml:space="preserve">per se </w:t>
      </w:r>
      <w:r w:rsidRPr="00D9152B">
        <w:rPr>
          <w:rFonts w:ascii="Calibri" w:hAnsi="Calibri" w:cs="Calibri"/>
          <w:sz w:val="22"/>
          <w:szCs w:val="22"/>
        </w:rPr>
        <w:t xml:space="preserve">from bilateral donors or multilateral donors’. </w:t>
      </w:r>
      <w:r w:rsidR="00CC04F2" w:rsidRPr="00D9152B">
        <w:rPr>
          <w:rFonts w:ascii="Calibri" w:hAnsi="Calibri" w:cs="Calibri"/>
          <w:sz w:val="22"/>
          <w:szCs w:val="22"/>
        </w:rPr>
        <w:t xml:space="preserve">The </w:t>
      </w:r>
      <w:r w:rsidR="00940949">
        <w:rPr>
          <w:rFonts w:ascii="Calibri" w:hAnsi="Calibri" w:cs="Calibri"/>
          <w:sz w:val="22"/>
          <w:szCs w:val="22"/>
        </w:rPr>
        <w:t xml:space="preserve">IDA </w:t>
      </w:r>
      <w:r w:rsidR="006E27BB" w:rsidRPr="00D9152B">
        <w:rPr>
          <w:rFonts w:ascii="Calibri" w:hAnsi="Calibri" w:cs="Calibri"/>
          <w:sz w:val="22"/>
          <w:szCs w:val="22"/>
        </w:rPr>
        <w:t>participated</w:t>
      </w:r>
      <w:r w:rsidRPr="00D9152B">
        <w:rPr>
          <w:rFonts w:ascii="Calibri" w:hAnsi="Calibri" w:cs="Calibri"/>
          <w:sz w:val="22"/>
          <w:szCs w:val="22"/>
        </w:rPr>
        <w:t xml:space="preserve"> in negotiations about replenishments, but this did not require one-on-one negotiations with most donors.</w:t>
      </w:r>
      <w:r w:rsidRPr="00D9152B">
        <w:rPr>
          <w:rStyle w:val="FootnoteReference"/>
          <w:rFonts w:ascii="Calibri" w:hAnsi="Calibri" w:cs="Calibri"/>
          <w:sz w:val="22"/>
          <w:szCs w:val="22"/>
        </w:rPr>
        <w:footnoteReference w:id="560"/>
      </w:r>
      <w:r w:rsidRPr="00D9152B">
        <w:rPr>
          <w:rFonts w:ascii="Calibri" w:hAnsi="Calibri" w:cs="Calibri"/>
          <w:sz w:val="22"/>
          <w:szCs w:val="22"/>
        </w:rPr>
        <w:t xml:space="preserve"> </w:t>
      </w:r>
    </w:p>
    <w:p w14:paraId="55D8AE6F" w14:textId="77777777" w:rsidR="00DB4DC5" w:rsidRPr="00D9152B" w:rsidRDefault="00DB4DC5"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 Bank’s mandate was ‘first and foremost donor coordination, donor consultation, donor – donor generating, donor commitments’ to build a ‘healthy trust fund with a substantial reserve’.</w:t>
      </w:r>
      <w:r w:rsidRPr="00D9152B">
        <w:rPr>
          <w:rStyle w:val="FootnoteReference"/>
          <w:rFonts w:ascii="Calibri" w:hAnsi="Calibri" w:cs="Calibri"/>
          <w:sz w:val="22"/>
          <w:szCs w:val="22"/>
        </w:rPr>
        <w:t xml:space="preserve"> </w:t>
      </w:r>
      <w:r w:rsidRPr="00D9152B">
        <w:rPr>
          <w:rStyle w:val="FootnoteReference"/>
          <w:rFonts w:ascii="Calibri" w:hAnsi="Calibri" w:cs="Calibri"/>
          <w:sz w:val="22"/>
          <w:szCs w:val="22"/>
        </w:rPr>
        <w:footnoteReference w:id="561"/>
      </w:r>
      <w:r w:rsidRPr="00D9152B">
        <w:rPr>
          <w:rFonts w:ascii="Calibri" w:hAnsi="Calibri" w:cs="Calibri"/>
          <w:sz w:val="22"/>
          <w:szCs w:val="22"/>
        </w:rPr>
        <w:t xml:space="preserve"> A first step towards this mandate was recognizing that ‘Altruism doesn’t sustain participating in an affair like oncho’. As Benton put it, ‘Yeah, everyone’s out there for – there’s – there’s some payoff’,</w:t>
      </w:r>
      <w:r w:rsidRPr="00D9152B">
        <w:rPr>
          <w:rStyle w:val="FootnoteReference"/>
          <w:rFonts w:ascii="Calibri" w:hAnsi="Calibri" w:cs="Calibri"/>
          <w:sz w:val="22"/>
          <w:szCs w:val="22"/>
        </w:rPr>
        <w:footnoteReference w:id="562"/>
      </w:r>
      <w:r w:rsidRPr="00D9152B">
        <w:rPr>
          <w:rFonts w:ascii="Calibri" w:hAnsi="Calibri" w:cs="Calibri"/>
          <w:sz w:val="22"/>
          <w:szCs w:val="22"/>
        </w:rPr>
        <w:t xml:space="preserve"> even for a health or humanitarian programme. The onchocerciasis unit’s job was to figure out what would pay-off with each donor, and apply the right incentives or pressure to reach this resonance. The Bank’s self-title is apt; they became true ‘Godfather of the OCP’. This </w:t>
      </w:r>
      <w:r w:rsidRPr="00D9152B">
        <w:rPr>
          <w:rFonts w:ascii="Calibri" w:hAnsi="Calibri" w:cs="Calibri"/>
          <w:sz w:val="22"/>
          <w:szCs w:val="22"/>
        </w:rPr>
        <w:lastRenderedPageBreak/>
        <w:t>Godfather role consisted of sizing up specific donor interests; variously applying the carrot and stick to sell the programme to major donors and forge donor consensus before major multi-stakeholder meetings (which could be highly political, like the Joint Programme Committee); and using specific tools to make donors feel that they were part of a supportive, successful ‘family’.</w:t>
      </w:r>
    </w:p>
    <w:p w14:paraId="77417AE2" w14:textId="0F635512" w:rsidR="00871836" w:rsidRPr="00D9152B" w:rsidRDefault="009A5A65" w:rsidP="005C7F9F">
      <w:pPr>
        <w:pStyle w:val="Heading3"/>
        <w:spacing w:line="360" w:lineRule="auto"/>
        <w:rPr>
          <w:rFonts w:ascii="Calibri" w:hAnsi="Calibri" w:cs="Calibri"/>
          <w:b/>
          <w:i/>
          <w:color w:val="000000" w:themeColor="text1"/>
          <w:sz w:val="22"/>
          <w:szCs w:val="22"/>
        </w:rPr>
      </w:pPr>
      <w:bookmarkStart w:id="95" w:name="_Toc41505668"/>
      <w:r w:rsidRPr="00D9152B">
        <w:rPr>
          <w:rFonts w:ascii="Calibri" w:hAnsi="Calibri" w:cs="Calibri"/>
          <w:b/>
          <w:i/>
          <w:color w:val="000000" w:themeColor="text1"/>
          <w:sz w:val="22"/>
          <w:szCs w:val="22"/>
        </w:rPr>
        <w:t>5.8.A</w:t>
      </w:r>
      <w:r w:rsidR="00871836" w:rsidRPr="00D9152B">
        <w:rPr>
          <w:rFonts w:ascii="Calibri" w:hAnsi="Calibri" w:cs="Calibri"/>
          <w:b/>
          <w:i/>
          <w:color w:val="000000" w:themeColor="text1"/>
          <w:sz w:val="22"/>
          <w:szCs w:val="22"/>
        </w:rPr>
        <w:t>. Strategically building donor interest: the carrot and the stick</w:t>
      </w:r>
      <w:bookmarkEnd w:id="95"/>
    </w:p>
    <w:p w14:paraId="0A6CBD78" w14:textId="2412F225" w:rsidR="00FA7761" w:rsidRPr="00D9152B" w:rsidRDefault="00AC7848" w:rsidP="005864F8">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Sizing up donor interests required long-term, consi</w:t>
      </w:r>
      <w:r w:rsidR="00A106ED" w:rsidRPr="00D9152B">
        <w:rPr>
          <w:rFonts w:ascii="Calibri" w:hAnsi="Calibri" w:cs="Calibri"/>
          <w:sz w:val="22"/>
          <w:szCs w:val="22"/>
        </w:rPr>
        <w:t xml:space="preserve">stent donor attention. Figure </w:t>
      </w:r>
      <w:r w:rsidR="00940949">
        <w:rPr>
          <w:rFonts w:ascii="Calibri" w:hAnsi="Calibri" w:cs="Calibri"/>
          <w:sz w:val="22"/>
          <w:szCs w:val="22"/>
        </w:rPr>
        <w:t>5.</w:t>
      </w:r>
      <w:r w:rsidR="00A106ED" w:rsidRPr="00D9152B">
        <w:rPr>
          <w:rFonts w:ascii="Calibri" w:hAnsi="Calibri" w:cs="Calibri"/>
          <w:sz w:val="22"/>
          <w:szCs w:val="22"/>
        </w:rPr>
        <w:t>10</w:t>
      </w:r>
      <w:r w:rsidRPr="00D9152B">
        <w:rPr>
          <w:rFonts w:ascii="Calibri" w:hAnsi="Calibri" w:cs="Calibri"/>
          <w:sz w:val="22"/>
          <w:szCs w:val="22"/>
        </w:rPr>
        <w:t xml:space="preserve"> showcases the intense travel schedule that Dailly undertook during a period of budgetary concern in the early 1980s</w:t>
      </w:r>
      <w:r w:rsidR="006E27BB" w:rsidRPr="00D9152B">
        <w:rPr>
          <w:rFonts w:ascii="Calibri" w:hAnsi="Calibri" w:cs="Calibri"/>
          <w:sz w:val="22"/>
          <w:szCs w:val="22"/>
        </w:rPr>
        <w:t>, and provides examples of notes compiled about donor</w:t>
      </w:r>
      <w:r w:rsidR="003F660B" w:rsidRPr="00D9152B">
        <w:rPr>
          <w:rFonts w:ascii="Calibri" w:hAnsi="Calibri" w:cs="Calibri"/>
          <w:sz w:val="22"/>
          <w:szCs w:val="22"/>
        </w:rPr>
        <w:t>s</w:t>
      </w:r>
      <w:r w:rsidRPr="00D9152B">
        <w:rPr>
          <w:rFonts w:ascii="Calibri" w:hAnsi="Calibri" w:cs="Calibri"/>
          <w:sz w:val="22"/>
          <w:szCs w:val="22"/>
        </w:rPr>
        <w:t>.</w:t>
      </w:r>
      <w:r w:rsidRPr="00D9152B">
        <w:rPr>
          <w:rStyle w:val="FootnoteReference"/>
          <w:rFonts w:ascii="Calibri" w:hAnsi="Calibri" w:cs="Calibri"/>
          <w:sz w:val="22"/>
          <w:szCs w:val="22"/>
        </w:rPr>
        <w:footnoteReference w:id="563"/>
      </w:r>
      <w:r w:rsidRPr="00D9152B">
        <w:rPr>
          <w:rFonts w:ascii="Calibri" w:hAnsi="Calibri" w:cs="Calibri"/>
          <w:sz w:val="22"/>
          <w:szCs w:val="22"/>
        </w:rPr>
        <w:t xml:space="preserve"> Benton also visited donors ‘on a continuous basis, year after year after year, kept them involved, kept them interested, kept them committed, kept them contributing’.</w:t>
      </w:r>
      <w:r w:rsidRPr="00D9152B">
        <w:rPr>
          <w:rStyle w:val="FootnoteReference"/>
          <w:rFonts w:ascii="Calibri" w:hAnsi="Calibri" w:cs="Calibri"/>
          <w:sz w:val="22"/>
          <w:szCs w:val="22"/>
        </w:rPr>
        <w:footnoteReference w:id="564"/>
      </w:r>
      <w:r w:rsidRPr="00D9152B">
        <w:rPr>
          <w:rFonts w:ascii="Calibri" w:hAnsi="Calibri" w:cs="Calibri"/>
          <w:sz w:val="22"/>
          <w:szCs w:val="22"/>
        </w:rPr>
        <w:t xml:space="preserve"> Bernhard Liese, who was involved in </w:t>
      </w:r>
      <w:r w:rsidR="005864F8" w:rsidRPr="00D9152B">
        <w:rPr>
          <w:rFonts w:ascii="Calibri" w:hAnsi="Calibri" w:cs="Calibri"/>
          <w:sz w:val="22"/>
          <w:szCs w:val="22"/>
        </w:rPr>
        <w:t>health</w:t>
      </w:r>
      <w:r w:rsidRPr="00D9152B">
        <w:rPr>
          <w:rFonts w:ascii="Calibri" w:hAnsi="Calibri" w:cs="Calibri"/>
          <w:sz w:val="22"/>
          <w:szCs w:val="22"/>
        </w:rPr>
        <w:t xml:space="preserve"> activities at the Bank from the health components era through the 1990s, agrees that ‘the Bank helped in terms of the political assessment to keep the [OCP] donor coalition together, you know, sensing where the shoe pinches…’</w:t>
      </w:r>
      <w:r w:rsidRPr="00D9152B">
        <w:rPr>
          <w:rStyle w:val="FootnoteReference"/>
          <w:rFonts w:ascii="Calibri" w:hAnsi="Calibri" w:cs="Calibri"/>
          <w:sz w:val="22"/>
          <w:szCs w:val="22"/>
        </w:rPr>
        <w:footnoteReference w:id="565"/>
      </w:r>
      <w:r w:rsidRPr="00D9152B">
        <w:rPr>
          <w:rFonts w:ascii="Calibri" w:hAnsi="Calibri" w:cs="Calibri"/>
          <w:sz w:val="22"/>
          <w:szCs w:val="22"/>
        </w:rPr>
        <w:t xml:space="preserve"> The loss of one member of the family could have a snowball effect among others, so the Bank was particularly concerned not to let a major donor ‘slip away’.</w:t>
      </w:r>
      <w:r w:rsidRPr="00D9152B">
        <w:rPr>
          <w:rStyle w:val="FootnoteReference"/>
          <w:rFonts w:ascii="Calibri" w:hAnsi="Calibri" w:cs="Calibri"/>
          <w:sz w:val="22"/>
          <w:szCs w:val="22"/>
        </w:rPr>
        <w:footnoteReference w:id="566"/>
      </w:r>
      <w:r w:rsidRPr="00D9152B">
        <w:rPr>
          <w:rFonts w:ascii="Calibri" w:hAnsi="Calibri" w:cs="Calibri"/>
          <w:sz w:val="22"/>
          <w:szCs w:val="22"/>
        </w:rPr>
        <w:t xml:space="preserve"> When the UK was unable to sign the Phase II Agreement due to Margaret Thatcher’s slashing of the </w:t>
      </w:r>
      <w:r w:rsidR="005864F8" w:rsidRPr="00D9152B">
        <w:rPr>
          <w:rFonts w:ascii="Calibri" w:hAnsi="Calibri" w:cs="Calibri"/>
          <w:sz w:val="22"/>
          <w:szCs w:val="22"/>
        </w:rPr>
        <w:t>Office of Development Assistance’s</w:t>
      </w:r>
      <w:r w:rsidRPr="00D9152B">
        <w:rPr>
          <w:rFonts w:ascii="Calibri" w:hAnsi="Calibri" w:cs="Calibri"/>
          <w:sz w:val="22"/>
          <w:szCs w:val="22"/>
        </w:rPr>
        <w:t xml:space="preserve"> budget, for instance, the delegation still attended meetings, since a ‘total absence of delegation from London would be taken as a discourtesy by others and as and abrogation of our responsibilities’.</w:t>
      </w:r>
      <w:r w:rsidRPr="00D9152B">
        <w:rPr>
          <w:rStyle w:val="FootnoteReference"/>
          <w:rFonts w:ascii="Calibri" w:hAnsi="Calibri" w:cs="Calibri"/>
          <w:sz w:val="22"/>
          <w:szCs w:val="22"/>
        </w:rPr>
        <w:footnoteReference w:id="567"/>
      </w:r>
      <w:r w:rsidRPr="00D9152B">
        <w:rPr>
          <w:rFonts w:ascii="Calibri" w:hAnsi="Calibri" w:cs="Calibri"/>
          <w:sz w:val="22"/>
          <w:szCs w:val="22"/>
        </w:rPr>
        <w:t xml:space="preserve"> Japan became the only major donor to ‘slip away’ for more than a few years.</w:t>
      </w:r>
      <w:r w:rsidRPr="00D9152B">
        <w:rPr>
          <w:rStyle w:val="FootnoteReference"/>
          <w:rFonts w:ascii="Calibri" w:hAnsi="Calibri" w:cs="Calibri"/>
          <w:sz w:val="22"/>
          <w:szCs w:val="22"/>
        </w:rPr>
        <w:t xml:space="preserve"> </w:t>
      </w:r>
      <w:r w:rsidRPr="00D9152B">
        <w:rPr>
          <w:rStyle w:val="FootnoteReference"/>
          <w:rFonts w:ascii="Calibri" w:hAnsi="Calibri" w:cs="Calibri"/>
          <w:sz w:val="22"/>
          <w:szCs w:val="22"/>
        </w:rPr>
        <w:footnoteReference w:id="568"/>
      </w:r>
      <w:r w:rsidRPr="00D9152B">
        <w:rPr>
          <w:rFonts w:ascii="Calibri" w:hAnsi="Calibri" w:cs="Calibri"/>
          <w:sz w:val="22"/>
          <w:szCs w:val="22"/>
        </w:rPr>
        <w:t xml:space="preserve"> Dailly further underscores the importance of visiting donors with the right team. For instance, during the budgetary crisis in the early 1980s, Samba’s status as an African and personal charisma played a major role in reassuring donors. Dailly remembers that he </w:t>
      </w:r>
      <w:r w:rsidRPr="00D9152B">
        <w:rPr>
          <w:rFonts w:ascii="Calibri" w:hAnsi="Calibri" w:cs="Calibri"/>
          <w:sz w:val="22"/>
          <w:szCs w:val="22"/>
        </w:rPr>
        <w:lastRenderedPageBreak/>
        <w:t>took the personable Samba ‘on tour’ with him to donor countries, which may have saved the OCP from financial collapse.</w:t>
      </w:r>
      <w:r w:rsidRPr="00D9152B">
        <w:rPr>
          <w:rStyle w:val="FootnoteReference"/>
          <w:rFonts w:ascii="Calibri" w:hAnsi="Calibri" w:cs="Calibri"/>
          <w:sz w:val="22"/>
          <w:szCs w:val="22"/>
        </w:rPr>
        <w:footnoteReference w:id="569"/>
      </w:r>
    </w:p>
    <w:p w14:paraId="06842255" w14:textId="77777777" w:rsidR="00FA7761" w:rsidRPr="00D9152B" w:rsidRDefault="00FA7761" w:rsidP="00A50782">
      <w:pPr>
        <w:ind w:firstLine="720"/>
        <w:jc w:val="both"/>
        <w:rPr>
          <w:rFonts w:ascii="Calibri" w:hAnsi="Calibri" w:cs="Calibri"/>
          <w:color w:val="808080" w:themeColor="background1" w:themeShade="80"/>
        </w:rPr>
      </w:pPr>
    </w:p>
    <w:p w14:paraId="22D16F7F" w14:textId="01CFBB3B" w:rsidR="00AC7848" w:rsidRPr="00D9152B" w:rsidRDefault="00AC7848" w:rsidP="005864F8">
      <w:pPr>
        <w:jc w:val="center"/>
        <w:rPr>
          <w:rFonts w:ascii="Calibri" w:hAnsi="Calibri" w:cs="Calibri"/>
          <w:color w:val="808080" w:themeColor="background1" w:themeShade="80"/>
        </w:rPr>
      </w:pPr>
      <w:r w:rsidRPr="00D9152B">
        <w:rPr>
          <w:rFonts w:ascii="Calibri" w:hAnsi="Calibri" w:cs="Calibri"/>
          <w:noProof/>
          <w:color w:val="808080" w:themeColor="background1" w:themeShade="80"/>
          <w:lang w:eastAsia="en-GB"/>
        </w:rPr>
        <w:drawing>
          <wp:inline distT="0" distB="0" distL="0" distR="0" wp14:anchorId="10434008" wp14:editId="5E92E9AF">
            <wp:extent cx="5346113" cy="6687047"/>
            <wp:effectExtent l="0" t="0" r="635" b="635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2" cstate="print">
                      <a:extLst>
                        <a:ext uri="{28A0092B-C50C-407E-A947-70E740481C1C}">
                          <a14:useLocalDpi xmlns:a14="http://schemas.microsoft.com/office/drawing/2010/main"/>
                        </a:ext>
                      </a:extLst>
                    </a:blip>
                    <a:srcRect t="8641" r="5288" b="2413"/>
                    <a:stretch/>
                  </pic:blipFill>
                  <pic:spPr bwMode="auto">
                    <a:xfrm>
                      <a:off x="0" y="0"/>
                      <a:ext cx="5370587" cy="6717660"/>
                    </a:xfrm>
                    <a:prstGeom prst="rect">
                      <a:avLst/>
                    </a:prstGeom>
                    <a:noFill/>
                    <a:ln>
                      <a:noFill/>
                    </a:ln>
                    <a:extLst>
                      <a:ext uri="{53640926-AAD7-44D8-BBD7-CCE9431645EC}">
                        <a14:shadowObscured xmlns:a14="http://schemas.microsoft.com/office/drawing/2010/main"/>
                      </a:ext>
                    </a:extLst>
                  </pic:spPr>
                </pic:pic>
              </a:graphicData>
            </a:graphic>
          </wp:inline>
        </w:drawing>
      </w:r>
    </w:p>
    <w:p w14:paraId="1276AC24" w14:textId="632004D8" w:rsidR="003F660B" w:rsidRPr="00D9152B" w:rsidRDefault="003F660B" w:rsidP="007015FC">
      <w:pPr>
        <w:jc w:val="both"/>
        <w:rPr>
          <w:rFonts w:ascii="Calibri" w:hAnsi="Calibri" w:cs="Calibri"/>
          <w:color w:val="808080" w:themeColor="background1" w:themeShade="80"/>
        </w:rPr>
      </w:pPr>
      <w:r w:rsidRPr="00D9152B">
        <w:rPr>
          <w:rFonts w:ascii="Calibri" w:hAnsi="Calibri" w:cs="Calibri"/>
          <w:noProof/>
          <w:lang w:eastAsia="en-GB"/>
        </w:rPr>
        <w:lastRenderedPageBreak/>
        <w:drawing>
          <wp:inline distT="0" distB="0" distL="0" distR="0" wp14:anchorId="5E66C82E" wp14:editId="451BC168">
            <wp:extent cx="5567680" cy="6289276"/>
            <wp:effectExtent l="114300" t="101600" r="109220" b="9906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3">
                      <a:extLst>
                        <a:ext uri="{28A0092B-C50C-407E-A947-70E740481C1C}">
                          <a14:useLocalDpi xmlns:a14="http://schemas.microsoft.com/office/drawing/2010/main" val="0"/>
                        </a:ext>
                      </a:extLst>
                    </a:blip>
                    <a:srcRect l="6526" t="10585" b="726"/>
                    <a:stretch/>
                  </pic:blipFill>
                  <pic:spPr bwMode="auto">
                    <a:xfrm rot="21480000">
                      <a:off x="0" y="0"/>
                      <a:ext cx="5604531" cy="6330903"/>
                    </a:xfrm>
                    <a:prstGeom prst="rect">
                      <a:avLst/>
                    </a:prstGeom>
                    <a:noFill/>
                    <a:ln>
                      <a:noFill/>
                    </a:ln>
                    <a:extLst>
                      <a:ext uri="{53640926-AAD7-44D8-BBD7-CCE9431645EC}">
                        <a14:shadowObscured xmlns:a14="http://schemas.microsoft.com/office/drawing/2010/main"/>
                      </a:ext>
                    </a:extLst>
                  </pic:spPr>
                </pic:pic>
              </a:graphicData>
            </a:graphic>
          </wp:inline>
        </w:drawing>
      </w:r>
    </w:p>
    <w:p w14:paraId="6599ECBF" w14:textId="05C4D792" w:rsidR="00A106ED" w:rsidRPr="00742627" w:rsidRDefault="00A106ED" w:rsidP="00742627">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940949">
        <w:rPr>
          <w:rFonts w:ascii="Calibri" w:hAnsi="Calibri" w:cs="Calibri"/>
          <w:color w:val="808080" w:themeColor="background1" w:themeShade="80"/>
          <w:sz w:val="22"/>
          <w:szCs w:val="22"/>
        </w:rPr>
        <w:t>5.</w:t>
      </w:r>
      <w:r w:rsidRPr="00D9152B">
        <w:rPr>
          <w:rFonts w:ascii="Calibri" w:hAnsi="Calibri" w:cs="Calibri"/>
          <w:color w:val="808080" w:themeColor="background1" w:themeShade="80"/>
          <w:sz w:val="22"/>
          <w:szCs w:val="22"/>
        </w:rPr>
        <w:t>10</w:t>
      </w:r>
      <w:r w:rsidR="00AC7848" w:rsidRPr="00D9152B">
        <w:rPr>
          <w:rFonts w:ascii="Calibri" w:hAnsi="Calibri" w:cs="Calibri"/>
          <w:color w:val="808080" w:themeColor="background1" w:themeShade="80"/>
          <w:sz w:val="22"/>
          <w:szCs w:val="22"/>
        </w:rPr>
        <w:t>.</w:t>
      </w:r>
      <w:r w:rsidRPr="00D9152B">
        <w:rPr>
          <w:rFonts w:ascii="Calibri" w:hAnsi="Calibri" w:cs="Calibri"/>
          <w:color w:val="808080" w:themeColor="background1" w:themeShade="80"/>
          <w:sz w:val="22"/>
          <w:szCs w:val="22"/>
        </w:rPr>
        <w:t xml:space="preserve"> The onchocerciasis coordinators travelled extensively to sell the programme</w:t>
      </w:r>
      <w:r w:rsidR="003F660B" w:rsidRPr="00D9152B">
        <w:rPr>
          <w:rStyle w:val="FootnoteReference"/>
          <w:rFonts w:ascii="Calibri" w:hAnsi="Calibri" w:cs="Calibri"/>
          <w:color w:val="808080" w:themeColor="background1" w:themeShade="80"/>
          <w:sz w:val="22"/>
          <w:szCs w:val="22"/>
        </w:rPr>
        <w:footnoteReference w:id="570"/>
      </w:r>
      <w:r w:rsidR="003F660B" w:rsidRPr="00D9152B">
        <w:rPr>
          <w:rFonts w:ascii="Calibri" w:hAnsi="Calibri" w:cs="Calibri"/>
          <w:color w:val="808080" w:themeColor="background1" w:themeShade="80"/>
          <w:sz w:val="22"/>
          <w:szCs w:val="22"/>
        </w:rPr>
        <w:t xml:space="preserve"> and size-up donor priorities</w:t>
      </w:r>
      <w:r w:rsidRPr="00D9152B">
        <w:rPr>
          <w:rFonts w:ascii="Calibri" w:hAnsi="Calibri" w:cs="Calibri"/>
          <w:color w:val="808080" w:themeColor="background1" w:themeShade="80"/>
          <w:sz w:val="22"/>
          <w:szCs w:val="22"/>
        </w:rPr>
        <w:t>.</w:t>
      </w:r>
      <w:r w:rsidR="003F660B" w:rsidRPr="00D9152B">
        <w:rPr>
          <w:rStyle w:val="FootnoteReference"/>
          <w:rFonts w:ascii="Calibri" w:hAnsi="Calibri" w:cs="Calibri"/>
          <w:color w:val="808080" w:themeColor="background1" w:themeShade="80"/>
          <w:sz w:val="22"/>
          <w:szCs w:val="22"/>
        </w:rPr>
        <w:footnoteReference w:id="571"/>
      </w:r>
    </w:p>
    <w:p w14:paraId="6A2A8103" w14:textId="59D4D33B" w:rsidR="00A106ED" w:rsidRPr="00D9152B" w:rsidRDefault="009A5A65" w:rsidP="005C7F9F">
      <w:pPr>
        <w:pStyle w:val="Heading4"/>
        <w:spacing w:line="360" w:lineRule="auto"/>
        <w:rPr>
          <w:rFonts w:ascii="Calibri" w:hAnsi="Calibri" w:cs="Calibri"/>
          <w:b/>
          <w:color w:val="000000" w:themeColor="text1"/>
          <w:sz w:val="22"/>
          <w:szCs w:val="22"/>
        </w:rPr>
      </w:pPr>
      <w:r w:rsidRPr="00D9152B">
        <w:rPr>
          <w:rFonts w:ascii="Calibri" w:hAnsi="Calibri" w:cs="Calibri"/>
          <w:b/>
          <w:color w:val="000000" w:themeColor="text1"/>
          <w:sz w:val="22"/>
          <w:szCs w:val="22"/>
        </w:rPr>
        <w:lastRenderedPageBreak/>
        <w:t>5.8.B</w:t>
      </w:r>
      <w:r w:rsidR="00A106ED" w:rsidRPr="00D9152B">
        <w:rPr>
          <w:rFonts w:ascii="Calibri" w:hAnsi="Calibri" w:cs="Calibri"/>
          <w:b/>
          <w:color w:val="000000" w:themeColor="text1"/>
          <w:sz w:val="22"/>
          <w:szCs w:val="22"/>
        </w:rPr>
        <w:t>. Examples of donor ‘strategies’</w:t>
      </w:r>
    </w:p>
    <w:p w14:paraId="721B2B57" w14:textId="2614E3F1"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Bank’s donor strategies for South Korea, Eastern Europe, and the Gulf States demonstrate the types of political calculations that went into each donor campaign. For Korea and Eastern Europe, the Bank used an ‘underdog’ approach. As Benton describes, he thought about: ‘What’s Korea want? Recognition. Yeah. International recognition. They would love to be part of a group of major developed countries that supports a very successful program in Africa’. Although onchocerciasis was not a health problem </w:t>
      </w:r>
      <w:r w:rsidR="000B094F">
        <w:rPr>
          <w:rFonts w:ascii="Calibri" w:hAnsi="Calibri" w:cs="Calibri"/>
          <w:sz w:val="22"/>
          <w:szCs w:val="22"/>
        </w:rPr>
        <w:t>i</w:t>
      </w:r>
      <w:r w:rsidRPr="00D9152B">
        <w:rPr>
          <w:rFonts w:ascii="Calibri" w:hAnsi="Calibri" w:cs="Calibri"/>
          <w:sz w:val="22"/>
          <w:szCs w:val="22"/>
        </w:rPr>
        <w:t>n Asia, he was able to bring the Koreans on board for a number of years. A similar calculation worked in Eastern Europe. Benton recognized that, ‘they all want to be seen as part of the West…a member of the EU</w:t>
      </w:r>
      <w:r w:rsidR="00241E8F" w:rsidRPr="00D9152B">
        <w:rPr>
          <w:rFonts w:ascii="Calibri" w:hAnsi="Calibri" w:cs="Calibri"/>
          <w:sz w:val="22"/>
          <w:szCs w:val="22"/>
        </w:rPr>
        <w:t xml:space="preserve"> [European Union]</w:t>
      </w:r>
      <w:r w:rsidRPr="00D9152B">
        <w:rPr>
          <w:rFonts w:ascii="Calibri" w:hAnsi="Calibri" w:cs="Calibri"/>
          <w:sz w:val="22"/>
          <w:szCs w:val="22"/>
        </w:rPr>
        <w:t>…as a country that had graduated and become part of the – the donor community, rather than a recipient of foreign assistance’. Using donor visits</w:t>
      </w:r>
      <w:r w:rsidR="00940949">
        <w:rPr>
          <w:rFonts w:ascii="Calibri" w:hAnsi="Calibri" w:cs="Calibri"/>
          <w:sz w:val="22"/>
          <w:szCs w:val="22"/>
        </w:rPr>
        <w:t xml:space="preserve"> and</w:t>
      </w:r>
      <w:r w:rsidRPr="00D9152B">
        <w:rPr>
          <w:rFonts w:ascii="Calibri" w:hAnsi="Calibri" w:cs="Calibri"/>
          <w:sz w:val="22"/>
          <w:szCs w:val="22"/>
        </w:rPr>
        <w:t xml:space="preserve"> the tools described in the subsequent section, he was able to bring Poland and Slovenia (but not Hungary) on board.</w:t>
      </w:r>
      <w:r w:rsidRPr="00D9152B">
        <w:rPr>
          <w:rStyle w:val="FootnoteReference"/>
          <w:rFonts w:ascii="Calibri" w:hAnsi="Calibri" w:cs="Calibri"/>
          <w:sz w:val="22"/>
          <w:szCs w:val="22"/>
        </w:rPr>
        <w:footnoteReference w:id="572"/>
      </w:r>
      <w:r w:rsidRPr="00D9152B">
        <w:rPr>
          <w:rFonts w:ascii="Calibri" w:hAnsi="Calibri" w:cs="Calibri"/>
          <w:sz w:val="22"/>
          <w:szCs w:val="22"/>
        </w:rPr>
        <w:t xml:space="preserve"> </w:t>
      </w:r>
    </w:p>
    <w:p w14:paraId="175AB04E" w14:textId="6C4289E4"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 ‘oil-producing Arab’ countries</w:t>
      </w:r>
      <w:r w:rsidRPr="00D9152B">
        <w:rPr>
          <w:rStyle w:val="FootnoteReference"/>
          <w:rFonts w:ascii="Calibri" w:hAnsi="Calibri" w:cs="Calibri"/>
          <w:sz w:val="22"/>
          <w:szCs w:val="22"/>
        </w:rPr>
        <w:footnoteReference w:id="573"/>
      </w:r>
      <w:r w:rsidRPr="00D9152B">
        <w:rPr>
          <w:rFonts w:ascii="Calibri" w:hAnsi="Calibri" w:cs="Calibri"/>
          <w:sz w:val="22"/>
          <w:szCs w:val="22"/>
        </w:rPr>
        <w:t xml:space="preserve"> were wealthier than South Korea, Poland, and Slovenia, so the Bank’s fundraising strategy was well-developed </w:t>
      </w:r>
      <w:r w:rsidR="000B094F">
        <w:rPr>
          <w:rFonts w:ascii="Calibri" w:hAnsi="Calibri" w:cs="Calibri"/>
          <w:sz w:val="22"/>
          <w:szCs w:val="22"/>
        </w:rPr>
        <w:t>with a Muslim angle (including traditional clothing) to help bring the Saudis and Kuwaitis on board</w:t>
      </w:r>
      <w:r w:rsidRPr="00D9152B">
        <w:rPr>
          <w:rStyle w:val="FootnoteReference"/>
          <w:rFonts w:ascii="Calibri" w:hAnsi="Calibri" w:cs="Calibri"/>
          <w:sz w:val="22"/>
          <w:szCs w:val="22"/>
        </w:rPr>
        <w:footnoteReference w:id="574"/>
      </w:r>
      <w:r w:rsidRPr="00D9152B">
        <w:rPr>
          <w:rFonts w:ascii="Calibri" w:hAnsi="Calibri" w:cs="Calibri"/>
          <w:sz w:val="22"/>
          <w:szCs w:val="22"/>
        </w:rPr>
        <w:t xml:space="preserve"> and heavy attention to public relations. While Saudi Arabia, Kuwait, the OPEC Fund, and the Al-Sabah Foundation all contributed to Phase II (a total of 19.8 million),</w:t>
      </w:r>
      <w:r w:rsidRPr="00D9152B">
        <w:rPr>
          <w:rStyle w:val="FootnoteReference"/>
          <w:rFonts w:ascii="Calibri" w:hAnsi="Calibri" w:cs="Calibri"/>
          <w:sz w:val="22"/>
          <w:szCs w:val="22"/>
        </w:rPr>
        <w:footnoteReference w:id="575"/>
      </w:r>
      <w:r w:rsidRPr="00D9152B">
        <w:rPr>
          <w:rFonts w:ascii="Calibri" w:hAnsi="Calibri" w:cs="Calibri"/>
          <w:sz w:val="22"/>
          <w:szCs w:val="22"/>
        </w:rPr>
        <w:t xml:space="preserve"> other ‘prime targets’ included the United Arab Emirates, Badea, and the Abu Dhabi Fund.</w:t>
      </w:r>
      <w:r w:rsidRPr="00D9152B">
        <w:rPr>
          <w:rStyle w:val="FootnoteReference"/>
          <w:rFonts w:ascii="Calibri" w:hAnsi="Calibri" w:cs="Calibri"/>
          <w:sz w:val="22"/>
          <w:szCs w:val="22"/>
        </w:rPr>
        <w:footnoteReference w:id="576"/>
      </w:r>
      <w:r w:rsidRPr="00D9152B">
        <w:rPr>
          <w:rFonts w:ascii="Calibri" w:hAnsi="Calibri" w:cs="Calibri"/>
          <w:sz w:val="22"/>
          <w:szCs w:val="22"/>
        </w:rPr>
        <w:t xml:space="preserve"> The Bank also needed to retain, and hoped to increase, the Saudi and Kuwaiti contributions. The Bank developed an ‘Action Programme for Arab countries’, which included holding the J</w:t>
      </w:r>
      <w:r w:rsidR="00241E8F" w:rsidRPr="00D9152B">
        <w:rPr>
          <w:rFonts w:ascii="Calibri" w:hAnsi="Calibri" w:cs="Calibri"/>
          <w:sz w:val="22"/>
          <w:szCs w:val="22"/>
        </w:rPr>
        <w:t>oint Programme Committee meeting</w:t>
      </w:r>
      <w:r w:rsidRPr="00D9152B">
        <w:rPr>
          <w:rFonts w:ascii="Calibri" w:hAnsi="Calibri" w:cs="Calibri"/>
          <w:sz w:val="22"/>
          <w:szCs w:val="22"/>
        </w:rPr>
        <w:t xml:space="preserve"> in an Arab country in 1985; translating it new version of its film </w:t>
      </w:r>
      <w:r w:rsidRPr="00D9152B">
        <w:rPr>
          <w:rFonts w:ascii="Calibri" w:hAnsi="Calibri" w:cs="Calibri"/>
          <w:i/>
          <w:sz w:val="22"/>
          <w:szCs w:val="22"/>
        </w:rPr>
        <w:t xml:space="preserve">A </w:t>
      </w:r>
      <w:r w:rsidR="00241E8F" w:rsidRPr="00D9152B">
        <w:rPr>
          <w:rFonts w:ascii="Calibri" w:hAnsi="Calibri" w:cs="Calibri"/>
          <w:i/>
          <w:sz w:val="22"/>
          <w:szCs w:val="22"/>
        </w:rPr>
        <w:t>p</w:t>
      </w:r>
      <w:r w:rsidRPr="00D9152B">
        <w:rPr>
          <w:rFonts w:ascii="Calibri" w:hAnsi="Calibri" w:cs="Calibri"/>
          <w:i/>
          <w:sz w:val="22"/>
          <w:szCs w:val="22"/>
        </w:rPr>
        <w:t xml:space="preserve">lague </w:t>
      </w:r>
      <w:r w:rsidR="00241E8F" w:rsidRPr="00D9152B">
        <w:rPr>
          <w:rFonts w:ascii="Calibri" w:hAnsi="Calibri" w:cs="Calibri"/>
          <w:i/>
          <w:sz w:val="22"/>
          <w:szCs w:val="22"/>
        </w:rPr>
        <w:t>u</w:t>
      </w:r>
      <w:r w:rsidRPr="00D9152B">
        <w:rPr>
          <w:rFonts w:ascii="Calibri" w:hAnsi="Calibri" w:cs="Calibri"/>
          <w:i/>
          <w:sz w:val="22"/>
          <w:szCs w:val="22"/>
        </w:rPr>
        <w:t xml:space="preserve">pon the </w:t>
      </w:r>
      <w:r w:rsidR="00241E8F" w:rsidRPr="00D9152B">
        <w:rPr>
          <w:rFonts w:ascii="Calibri" w:hAnsi="Calibri" w:cs="Calibri"/>
          <w:i/>
          <w:sz w:val="22"/>
          <w:szCs w:val="22"/>
        </w:rPr>
        <w:t>l</w:t>
      </w:r>
      <w:r w:rsidRPr="00D9152B">
        <w:rPr>
          <w:rFonts w:ascii="Calibri" w:hAnsi="Calibri" w:cs="Calibri"/>
          <w:i/>
          <w:sz w:val="22"/>
          <w:szCs w:val="22"/>
        </w:rPr>
        <w:t xml:space="preserve">and </w:t>
      </w:r>
      <w:r w:rsidRPr="00D9152B">
        <w:rPr>
          <w:rFonts w:ascii="Calibri" w:hAnsi="Calibri" w:cs="Calibri"/>
          <w:sz w:val="22"/>
          <w:szCs w:val="22"/>
        </w:rPr>
        <w:t>into Arabic (the film featured Africans in traditional Muslim dress); and Bank visits to countries to inform on the programme’s success and future actions.</w:t>
      </w:r>
      <w:r w:rsidRPr="00D9152B">
        <w:rPr>
          <w:rStyle w:val="FootnoteReference"/>
          <w:rFonts w:ascii="Calibri" w:hAnsi="Calibri" w:cs="Calibri"/>
          <w:sz w:val="22"/>
          <w:szCs w:val="22"/>
        </w:rPr>
        <w:t xml:space="preserve"> </w:t>
      </w:r>
      <w:r w:rsidRPr="00D9152B">
        <w:rPr>
          <w:rStyle w:val="FootnoteReference"/>
          <w:rFonts w:ascii="Calibri" w:hAnsi="Calibri" w:cs="Calibri"/>
          <w:sz w:val="22"/>
          <w:szCs w:val="22"/>
        </w:rPr>
        <w:footnoteReference w:id="577"/>
      </w:r>
      <w:r w:rsidRPr="00D9152B">
        <w:rPr>
          <w:rFonts w:ascii="Calibri" w:hAnsi="Calibri" w:cs="Calibri"/>
          <w:sz w:val="22"/>
          <w:szCs w:val="22"/>
        </w:rPr>
        <w:t xml:space="preserve"> The Bank also wrote an article for the OPEC Fund </w:t>
      </w:r>
      <w:r w:rsidRPr="00D9152B">
        <w:rPr>
          <w:rFonts w:ascii="Calibri" w:hAnsi="Calibri" w:cs="Calibri"/>
          <w:sz w:val="22"/>
          <w:szCs w:val="22"/>
        </w:rPr>
        <w:lastRenderedPageBreak/>
        <w:t>newsletter, recognizing that it had a wide Arab government and academic audience and ‘could have a catalytic effect in attracting new donors’.</w:t>
      </w:r>
      <w:r w:rsidRPr="00D9152B">
        <w:rPr>
          <w:rStyle w:val="FootnoteReference"/>
          <w:rFonts w:ascii="Calibri" w:hAnsi="Calibri" w:cs="Calibri"/>
          <w:sz w:val="22"/>
          <w:szCs w:val="22"/>
        </w:rPr>
        <w:footnoteReference w:id="578"/>
      </w:r>
    </w:p>
    <w:p w14:paraId="60163294" w14:textId="605220B8" w:rsidR="00A106ED" w:rsidRPr="00D9152B" w:rsidRDefault="009A5A65" w:rsidP="005C7F9F">
      <w:pPr>
        <w:pStyle w:val="Heading4"/>
        <w:spacing w:line="360" w:lineRule="auto"/>
        <w:rPr>
          <w:rFonts w:ascii="Calibri" w:hAnsi="Calibri" w:cs="Calibri"/>
          <w:b/>
          <w:color w:val="000000" w:themeColor="text1"/>
          <w:sz w:val="22"/>
          <w:szCs w:val="22"/>
        </w:rPr>
      </w:pPr>
      <w:r w:rsidRPr="00D9152B">
        <w:rPr>
          <w:rFonts w:ascii="Calibri" w:hAnsi="Calibri" w:cs="Calibri"/>
          <w:b/>
          <w:color w:val="000000" w:themeColor="text1"/>
          <w:sz w:val="22"/>
          <w:szCs w:val="22"/>
        </w:rPr>
        <w:t>5.8.C</w:t>
      </w:r>
      <w:r w:rsidR="00A106ED" w:rsidRPr="00D9152B">
        <w:rPr>
          <w:rFonts w:ascii="Calibri" w:hAnsi="Calibri" w:cs="Calibri"/>
          <w:b/>
          <w:color w:val="000000" w:themeColor="text1"/>
          <w:sz w:val="22"/>
          <w:szCs w:val="22"/>
        </w:rPr>
        <w:t>. Donor conferences as critical discussion and policy-forming venues</w:t>
      </w:r>
    </w:p>
    <w:p w14:paraId="0D2A5204" w14:textId="4B2EB2B2"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In addition to individual donor visits, the Bank</w:t>
      </w:r>
      <w:r w:rsidR="00A106ED" w:rsidRPr="00D9152B">
        <w:rPr>
          <w:rFonts w:ascii="Calibri" w:hAnsi="Calibri" w:cs="Calibri"/>
          <w:sz w:val="22"/>
          <w:szCs w:val="22"/>
        </w:rPr>
        <w:t xml:space="preserve"> coordinated a formal event semi-annually</w:t>
      </w:r>
      <w:r w:rsidRPr="00D9152B">
        <w:rPr>
          <w:rFonts w:ascii="Calibri" w:hAnsi="Calibri" w:cs="Calibri"/>
          <w:sz w:val="22"/>
          <w:szCs w:val="22"/>
        </w:rPr>
        <w:t>, variously called a donor conference, seminar, or symposium, to bring together the entire OCP donor family. Archival records indicate that these meetings took place in the mid-1970s, 1979,</w:t>
      </w:r>
      <w:r w:rsidRPr="00D9152B">
        <w:rPr>
          <w:rStyle w:val="FootnoteReference"/>
          <w:rFonts w:ascii="Calibri" w:hAnsi="Calibri" w:cs="Calibri"/>
          <w:sz w:val="22"/>
          <w:szCs w:val="22"/>
        </w:rPr>
        <w:footnoteReference w:id="579"/>
      </w:r>
      <w:r w:rsidRPr="00D9152B">
        <w:rPr>
          <w:rFonts w:ascii="Calibri" w:hAnsi="Calibri" w:cs="Calibri"/>
          <w:sz w:val="22"/>
          <w:szCs w:val="22"/>
        </w:rPr>
        <w:t xml:space="preserve"> 1981,</w:t>
      </w:r>
      <w:r w:rsidRPr="00D9152B">
        <w:rPr>
          <w:rStyle w:val="FootnoteReference"/>
          <w:rFonts w:ascii="Calibri" w:hAnsi="Calibri" w:cs="Calibri"/>
          <w:sz w:val="22"/>
          <w:szCs w:val="22"/>
        </w:rPr>
        <w:footnoteReference w:id="580"/>
      </w:r>
      <w:r w:rsidRPr="00D9152B">
        <w:rPr>
          <w:rFonts w:ascii="Calibri" w:hAnsi="Calibri" w:cs="Calibri"/>
          <w:sz w:val="22"/>
          <w:szCs w:val="22"/>
        </w:rPr>
        <w:t xml:space="preserve"> 1982,</w:t>
      </w:r>
      <w:r w:rsidRPr="00D9152B">
        <w:rPr>
          <w:rStyle w:val="FootnoteReference"/>
          <w:rFonts w:ascii="Calibri" w:hAnsi="Calibri" w:cs="Calibri"/>
          <w:sz w:val="22"/>
          <w:szCs w:val="22"/>
        </w:rPr>
        <w:footnoteReference w:id="581"/>
      </w:r>
      <w:r w:rsidRPr="00D9152B">
        <w:rPr>
          <w:rFonts w:ascii="Calibri" w:hAnsi="Calibri" w:cs="Calibri"/>
          <w:sz w:val="22"/>
          <w:szCs w:val="22"/>
        </w:rPr>
        <w:t xml:space="preserve"> 1984, 1985,</w:t>
      </w:r>
      <w:r w:rsidRPr="00D9152B">
        <w:rPr>
          <w:rStyle w:val="FootnoteReference"/>
          <w:rFonts w:ascii="Calibri" w:hAnsi="Calibri" w:cs="Calibri"/>
          <w:sz w:val="22"/>
          <w:szCs w:val="22"/>
        </w:rPr>
        <w:footnoteReference w:id="582"/>
      </w:r>
      <w:r w:rsidRPr="00D9152B">
        <w:rPr>
          <w:rFonts w:ascii="Calibri" w:hAnsi="Calibri" w:cs="Calibri"/>
          <w:sz w:val="22"/>
          <w:szCs w:val="22"/>
        </w:rPr>
        <w:t xml:space="preserve"> 1987,</w:t>
      </w:r>
      <w:r w:rsidRPr="00D9152B">
        <w:rPr>
          <w:rStyle w:val="FootnoteReference"/>
          <w:rFonts w:ascii="Calibri" w:hAnsi="Calibri" w:cs="Calibri"/>
          <w:sz w:val="22"/>
          <w:szCs w:val="22"/>
        </w:rPr>
        <w:footnoteReference w:id="583"/>
      </w:r>
      <w:r w:rsidRPr="00D9152B">
        <w:rPr>
          <w:rFonts w:ascii="Calibri" w:hAnsi="Calibri" w:cs="Calibri"/>
          <w:sz w:val="22"/>
          <w:szCs w:val="22"/>
        </w:rPr>
        <w:t xml:space="preserve"> 1988,</w:t>
      </w:r>
      <w:r w:rsidR="00095B63" w:rsidRPr="00D9152B">
        <w:rPr>
          <w:rFonts w:ascii="Calibri" w:hAnsi="Calibri" w:cs="Calibri"/>
          <w:sz w:val="22"/>
          <w:szCs w:val="22"/>
        </w:rPr>
        <w:t xml:space="preserve"> </w:t>
      </w:r>
      <w:r w:rsidRPr="00D9152B">
        <w:rPr>
          <w:rFonts w:ascii="Calibri" w:hAnsi="Calibri" w:cs="Calibri"/>
          <w:sz w:val="22"/>
          <w:szCs w:val="22"/>
        </w:rPr>
        <w:t>1989, 1991, 1994, 1995,</w:t>
      </w:r>
      <w:r w:rsidRPr="00D9152B">
        <w:rPr>
          <w:rStyle w:val="FootnoteReference"/>
          <w:rFonts w:ascii="Calibri" w:hAnsi="Calibri" w:cs="Calibri"/>
          <w:sz w:val="22"/>
          <w:szCs w:val="22"/>
        </w:rPr>
        <w:footnoteReference w:id="584"/>
      </w:r>
      <w:r w:rsidRPr="00D9152B">
        <w:rPr>
          <w:rFonts w:ascii="Calibri" w:hAnsi="Calibri" w:cs="Calibri"/>
          <w:sz w:val="22"/>
          <w:szCs w:val="22"/>
        </w:rPr>
        <w:t xml:space="preserve"> and possibly some other years. Donor con</w:t>
      </w:r>
      <w:r w:rsidR="003F660B" w:rsidRPr="00D9152B">
        <w:rPr>
          <w:rFonts w:ascii="Calibri" w:hAnsi="Calibri" w:cs="Calibri"/>
          <w:sz w:val="22"/>
          <w:szCs w:val="22"/>
        </w:rPr>
        <w:t>ferences were typically around three</w:t>
      </w:r>
      <w:r w:rsidRPr="00D9152B">
        <w:rPr>
          <w:rFonts w:ascii="Calibri" w:hAnsi="Calibri" w:cs="Calibri"/>
          <w:sz w:val="22"/>
          <w:szCs w:val="22"/>
        </w:rPr>
        <w:t xml:space="preserve"> days long and provided a ‘highly technical’ venue for donors and sponsoring agencies to form consensus </w:t>
      </w:r>
      <w:r w:rsidRPr="00D9152B">
        <w:rPr>
          <w:rFonts w:ascii="Calibri" w:hAnsi="Calibri" w:cs="Calibri"/>
          <w:i/>
          <w:sz w:val="22"/>
          <w:szCs w:val="22"/>
        </w:rPr>
        <w:t xml:space="preserve">before </w:t>
      </w:r>
      <w:r w:rsidRPr="00D9152B">
        <w:rPr>
          <w:rFonts w:ascii="Calibri" w:hAnsi="Calibri" w:cs="Calibri"/>
          <w:sz w:val="22"/>
          <w:szCs w:val="22"/>
        </w:rPr>
        <w:t xml:space="preserve">more politically vulnerable OCP meetings. As Liese described it, the donor meetings were ‘very important because you involve the donor community into the real technical decision. And it was totally transparent. So there was no whitewashing on marketing. People said, </w:t>
      </w:r>
      <w:r w:rsidR="003F660B" w:rsidRPr="00D9152B">
        <w:rPr>
          <w:rFonts w:ascii="Calibri" w:hAnsi="Calibri" w:cs="Calibri"/>
          <w:sz w:val="22"/>
          <w:szCs w:val="22"/>
        </w:rPr>
        <w:t>“Well, call a spade a spade.”</w:t>
      </w:r>
      <w:r w:rsidRPr="00D9152B">
        <w:rPr>
          <w:rFonts w:ascii="Calibri" w:hAnsi="Calibri" w:cs="Calibri"/>
          <w:sz w:val="22"/>
          <w:szCs w:val="22"/>
        </w:rPr>
        <w:t xml:space="preserve"> And so a culture was developed amongst the donor community which was one of trust; one should not underestimate that…It’s understood that that is a family and the family has certain responsibility…’</w:t>
      </w:r>
      <w:r w:rsidRPr="00D9152B">
        <w:rPr>
          <w:rStyle w:val="FootnoteReference"/>
          <w:rFonts w:ascii="Calibri" w:hAnsi="Calibri" w:cs="Calibri"/>
          <w:sz w:val="22"/>
          <w:szCs w:val="22"/>
        </w:rPr>
        <w:footnoteReference w:id="585"/>
      </w:r>
      <w:r w:rsidRPr="00D9152B">
        <w:rPr>
          <w:rFonts w:ascii="Calibri" w:hAnsi="Calibri" w:cs="Calibri"/>
          <w:sz w:val="22"/>
          <w:szCs w:val="22"/>
        </w:rPr>
        <w:t xml:space="preserve"> </w:t>
      </w:r>
    </w:p>
    <w:p w14:paraId="2B992757" w14:textId="170B5290"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Donor meetings and conferences also helped the Bank address any mutinies in the family before they became serious political rifts. In 1982, for example, a budgetary crisis caused by a combination of insecticide resistance, high insecticide costs, and proposed chemotherapy research made donors question the long-term viability of the OCP. At the same time, countries in the proposed Western and Southern extension programme pressured for immediate, costly extensions. The Canadians organized a meeting, attended by Germany, the Netherlands, and the </w:t>
      </w:r>
      <w:r w:rsidR="00A106ED" w:rsidRPr="00D9152B">
        <w:rPr>
          <w:rFonts w:ascii="Calibri" w:hAnsi="Calibri" w:cs="Calibri"/>
          <w:sz w:val="22"/>
          <w:szCs w:val="22"/>
        </w:rPr>
        <w:t>United States</w:t>
      </w:r>
      <w:r w:rsidRPr="00D9152B">
        <w:rPr>
          <w:rFonts w:ascii="Calibri" w:hAnsi="Calibri" w:cs="Calibri"/>
          <w:sz w:val="22"/>
          <w:szCs w:val="22"/>
        </w:rPr>
        <w:t>, ‘for the purposes of establishing a joint strategy for rejecting the Western extension once or for all’.</w:t>
      </w:r>
      <w:r w:rsidRPr="00D9152B">
        <w:rPr>
          <w:rStyle w:val="FootnoteReference"/>
          <w:rFonts w:ascii="Calibri" w:hAnsi="Calibri" w:cs="Calibri"/>
          <w:sz w:val="22"/>
          <w:szCs w:val="22"/>
        </w:rPr>
        <w:t xml:space="preserve"> </w:t>
      </w:r>
      <w:r w:rsidRPr="00D9152B">
        <w:rPr>
          <w:rFonts w:ascii="Calibri" w:hAnsi="Calibri" w:cs="Calibri"/>
          <w:sz w:val="22"/>
          <w:szCs w:val="22"/>
        </w:rPr>
        <w:t xml:space="preserve">This </w:t>
      </w:r>
      <w:r w:rsidRPr="00D9152B">
        <w:rPr>
          <w:rFonts w:ascii="Calibri" w:hAnsi="Calibri" w:cs="Calibri"/>
          <w:sz w:val="22"/>
          <w:szCs w:val="22"/>
        </w:rPr>
        <w:lastRenderedPageBreak/>
        <w:t xml:space="preserve">would have undermined the Bank’s priorities and caused a political fallout at the upcoming </w:t>
      </w:r>
      <w:r w:rsidR="00A106ED" w:rsidRPr="00D9152B">
        <w:rPr>
          <w:rFonts w:ascii="Calibri" w:hAnsi="Calibri" w:cs="Calibri"/>
          <w:sz w:val="22"/>
          <w:szCs w:val="22"/>
        </w:rPr>
        <w:t>Joint Programme Committee</w:t>
      </w:r>
      <w:r w:rsidRPr="00D9152B">
        <w:rPr>
          <w:rFonts w:ascii="Calibri" w:hAnsi="Calibri" w:cs="Calibri"/>
          <w:sz w:val="22"/>
          <w:szCs w:val="22"/>
        </w:rPr>
        <w:t>. To quell the mutiny, the Bank visited major donors, with a regimented agenda: to review donor positions, brief on programme status, and (re)set priorities ‘in view of achievements’. This strategy made ‘Canada warmer this year’, ‘increased sympathy for the role of the Bank as an agent of communication and coordination’, and helped all countries – other than the United States – fall in line with the Bank’s broad order of priorities.</w:t>
      </w:r>
      <w:r w:rsidRPr="00D9152B">
        <w:rPr>
          <w:rStyle w:val="FootnoteReference"/>
          <w:rFonts w:ascii="Calibri" w:hAnsi="Calibri" w:cs="Calibri"/>
          <w:sz w:val="22"/>
          <w:szCs w:val="22"/>
        </w:rPr>
        <w:footnoteReference w:id="586"/>
      </w:r>
    </w:p>
    <w:p w14:paraId="2D86FDD0" w14:textId="49F46433"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 1994 donor conference further illuminates utility of donor meetings in advancing the Bank’s financing agenda. As Benton put it, the meeting needed to ‘build momentum as we head toward the highly visible, watershed JPC in Washington at Bank HQs in December 1995’, and ‘shore up support for 1997-2002’.</w:t>
      </w:r>
      <w:r w:rsidRPr="00D9152B">
        <w:rPr>
          <w:rStyle w:val="FootnoteReference"/>
          <w:rFonts w:ascii="Calibri" w:hAnsi="Calibri" w:cs="Calibri"/>
          <w:sz w:val="22"/>
          <w:szCs w:val="22"/>
        </w:rPr>
        <w:t xml:space="preserve"> </w:t>
      </w:r>
      <w:r w:rsidRPr="00D9152B">
        <w:rPr>
          <w:rFonts w:ascii="Calibri" w:hAnsi="Calibri" w:cs="Calibri"/>
          <w:sz w:val="22"/>
          <w:szCs w:val="22"/>
        </w:rPr>
        <w:t>The meeting was ‘well organized and</w:t>
      </w:r>
      <w:r w:rsidR="003F660B" w:rsidRPr="00D9152B">
        <w:rPr>
          <w:rFonts w:ascii="Calibri" w:hAnsi="Calibri" w:cs="Calibri"/>
          <w:sz w:val="22"/>
          <w:szCs w:val="22"/>
        </w:rPr>
        <w:t xml:space="preserve"> scripted’. The onchocerciasis u</w:t>
      </w:r>
      <w:r w:rsidRPr="00D9152B">
        <w:rPr>
          <w:rFonts w:ascii="Calibri" w:hAnsi="Calibri" w:cs="Calibri"/>
          <w:sz w:val="22"/>
          <w:szCs w:val="22"/>
        </w:rPr>
        <w:t>nit even gave the meeting Chairman detailed point-by-point instructions about the messages to be conveyed by each meeting agenda item. A new OCP film, for example, was to be ‘premiered to create an uplifting atmosphere’.</w:t>
      </w:r>
      <w:r w:rsidRPr="00D9152B">
        <w:rPr>
          <w:rStyle w:val="FootnoteReference"/>
          <w:rFonts w:ascii="Calibri" w:hAnsi="Calibri" w:cs="Calibri"/>
          <w:sz w:val="22"/>
          <w:szCs w:val="22"/>
        </w:rPr>
        <w:t xml:space="preserve"> </w:t>
      </w:r>
      <w:r w:rsidRPr="00D9152B">
        <w:rPr>
          <w:rStyle w:val="FootnoteReference"/>
          <w:rFonts w:ascii="Calibri" w:hAnsi="Calibri" w:cs="Calibri"/>
          <w:sz w:val="22"/>
          <w:szCs w:val="22"/>
        </w:rPr>
        <w:footnoteReference w:id="587"/>
      </w:r>
      <w:r w:rsidRPr="00D9152B">
        <w:rPr>
          <w:rFonts w:ascii="Calibri" w:hAnsi="Calibri" w:cs="Calibri"/>
          <w:sz w:val="22"/>
          <w:szCs w:val="22"/>
        </w:rPr>
        <w:t xml:space="preserve"> Benton believes that the Expanded Special </w:t>
      </w:r>
      <w:r w:rsidR="00E73FA3" w:rsidRPr="00D9152B">
        <w:rPr>
          <w:rFonts w:ascii="Calibri" w:hAnsi="Calibri" w:cs="Calibri"/>
          <w:sz w:val="22"/>
          <w:szCs w:val="22"/>
        </w:rPr>
        <w:t>Project</w:t>
      </w:r>
      <w:r w:rsidRPr="00D9152B">
        <w:rPr>
          <w:rFonts w:ascii="Calibri" w:hAnsi="Calibri" w:cs="Calibri"/>
          <w:sz w:val="22"/>
          <w:szCs w:val="22"/>
        </w:rPr>
        <w:t xml:space="preserve"> for </w:t>
      </w:r>
      <w:r w:rsidR="00E73FA3" w:rsidRPr="00D9152B">
        <w:rPr>
          <w:rFonts w:ascii="Calibri" w:hAnsi="Calibri" w:cs="Calibri"/>
          <w:sz w:val="22"/>
          <w:szCs w:val="22"/>
        </w:rPr>
        <w:t xml:space="preserve">Elimination of </w:t>
      </w:r>
      <w:r w:rsidRPr="00D9152B">
        <w:rPr>
          <w:rFonts w:ascii="Calibri" w:hAnsi="Calibri" w:cs="Calibri"/>
          <w:sz w:val="22"/>
          <w:szCs w:val="22"/>
        </w:rPr>
        <w:t xml:space="preserve">Neglected </w:t>
      </w:r>
      <w:r w:rsidR="00E73FA3" w:rsidRPr="00D9152B">
        <w:rPr>
          <w:rFonts w:ascii="Calibri" w:hAnsi="Calibri" w:cs="Calibri"/>
          <w:sz w:val="22"/>
          <w:szCs w:val="22"/>
        </w:rPr>
        <w:t>T</w:t>
      </w:r>
      <w:r w:rsidRPr="00D9152B">
        <w:rPr>
          <w:rFonts w:ascii="Calibri" w:hAnsi="Calibri" w:cs="Calibri"/>
          <w:sz w:val="22"/>
          <w:szCs w:val="22"/>
        </w:rPr>
        <w:t xml:space="preserve">ropical Diseases (ESPEN)’s move away from using donor conferences may cause a </w:t>
      </w:r>
      <w:r w:rsidR="00940949">
        <w:rPr>
          <w:rFonts w:ascii="Calibri" w:hAnsi="Calibri" w:cs="Calibri"/>
          <w:sz w:val="22"/>
          <w:szCs w:val="22"/>
        </w:rPr>
        <w:t>serious</w:t>
      </w:r>
      <w:r w:rsidRPr="00D9152B">
        <w:rPr>
          <w:rFonts w:ascii="Calibri" w:hAnsi="Calibri" w:cs="Calibri"/>
          <w:sz w:val="22"/>
          <w:szCs w:val="22"/>
        </w:rPr>
        <w:t xml:space="preserve"> blow to its success in sustaining donor participation.</w:t>
      </w:r>
      <w:r w:rsidRPr="00D9152B">
        <w:rPr>
          <w:rStyle w:val="FootnoteReference"/>
          <w:rFonts w:ascii="Calibri" w:hAnsi="Calibri" w:cs="Calibri"/>
          <w:sz w:val="22"/>
          <w:szCs w:val="22"/>
        </w:rPr>
        <w:footnoteReference w:id="588"/>
      </w:r>
    </w:p>
    <w:p w14:paraId="058AAC3F" w14:textId="59C4214E" w:rsidR="00871836" w:rsidRPr="00D9152B" w:rsidRDefault="009A5A65" w:rsidP="00871836">
      <w:pPr>
        <w:pStyle w:val="Heading3"/>
        <w:rPr>
          <w:rFonts w:ascii="Calibri" w:hAnsi="Calibri" w:cs="Calibri"/>
          <w:b/>
          <w:color w:val="000000" w:themeColor="text1"/>
          <w:sz w:val="26"/>
          <w:szCs w:val="26"/>
        </w:rPr>
      </w:pPr>
      <w:bookmarkStart w:id="96" w:name="_Toc41505669"/>
      <w:r w:rsidRPr="00D9152B">
        <w:rPr>
          <w:rFonts w:ascii="Calibri" w:hAnsi="Calibri" w:cs="Calibri"/>
          <w:b/>
          <w:color w:val="000000" w:themeColor="text1"/>
          <w:sz w:val="26"/>
          <w:szCs w:val="26"/>
        </w:rPr>
        <w:t>5.9</w:t>
      </w:r>
      <w:r w:rsidR="00412DF9" w:rsidRPr="00D9152B">
        <w:rPr>
          <w:rFonts w:ascii="Calibri" w:hAnsi="Calibri" w:cs="Calibri"/>
          <w:b/>
          <w:color w:val="000000" w:themeColor="text1"/>
          <w:sz w:val="26"/>
          <w:szCs w:val="26"/>
        </w:rPr>
        <w:t>. Maintaining and strengthening donor interest through visual marketing</w:t>
      </w:r>
      <w:bookmarkEnd w:id="96"/>
    </w:p>
    <w:p w14:paraId="2EC3D9CC" w14:textId="52910BC6"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 Bank developed key tools to showcase its success directly to donors, internally, and with the press and greater public. These tools primarily relied on visual representations of onchocerciasis – the onchocerciasis image – and specific metrics, like the number of children born without disease and the 25 million hectares of free land</w:t>
      </w:r>
      <w:r w:rsidR="00A106ED" w:rsidRPr="00D9152B">
        <w:rPr>
          <w:rFonts w:ascii="Calibri" w:hAnsi="Calibri" w:cs="Calibri"/>
          <w:sz w:val="22"/>
          <w:szCs w:val="22"/>
        </w:rPr>
        <w:t xml:space="preserve">. </w:t>
      </w:r>
    </w:p>
    <w:p w14:paraId="217D7ACE" w14:textId="6C470A72" w:rsidR="00A106ED" w:rsidRPr="00D9152B" w:rsidRDefault="009A5A65" w:rsidP="005C7F9F">
      <w:pPr>
        <w:pStyle w:val="Heading4"/>
        <w:spacing w:line="360" w:lineRule="auto"/>
        <w:rPr>
          <w:rFonts w:ascii="Calibri" w:hAnsi="Calibri" w:cs="Calibri"/>
          <w:b/>
          <w:color w:val="000000" w:themeColor="text1"/>
          <w:sz w:val="22"/>
          <w:szCs w:val="22"/>
        </w:rPr>
      </w:pPr>
      <w:r w:rsidRPr="00D9152B">
        <w:rPr>
          <w:rFonts w:ascii="Calibri" w:hAnsi="Calibri" w:cs="Calibri"/>
          <w:b/>
          <w:color w:val="000000" w:themeColor="text1"/>
          <w:sz w:val="22"/>
          <w:szCs w:val="22"/>
        </w:rPr>
        <w:lastRenderedPageBreak/>
        <w:t>5.9.</w:t>
      </w:r>
      <w:r w:rsidR="00A106ED" w:rsidRPr="00D9152B">
        <w:rPr>
          <w:rFonts w:ascii="Calibri" w:hAnsi="Calibri" w:cs="Calibri"/>
          <w:b/>
          <w:color w:val="000000" w:themeColor="text1"/>
          <w:sz w:val="22"/>
          <w:szCs w:val="22"/>
        </w:rPr>
        <w:t>A. Films as marketing tools</w:t>
      </w:r>
    </w:p>
    <w:p w14:paraId="2A873AA8" w14:textId="5DD86BBF"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first key tool that the Bank developed was its film, </w:t>
      </w:r>
      <w:r w:rsidRPr="00D9152B">
        <w:rPr>
          <w:rFonts w:ascii="Calibri" w:hAnsi="Calibri" w:cs="Calibri"/>
          <w:i/>
          <w:sz w:val="22"/>
          <w:szCs w:val="22"/>
        </w:rPr>
        <w:t xml:space="preserve">A </w:t>
      </w:r>
      <w:r w:rsidR="00E73FA3" w:rsidRPr="00D9152B">
        <w:rPr>
          <w:rFonts w:ascii="Calibri" w:hAnsi="Calibri" w:cs="Calibri"/>
          <w:i/>
          <w:sz w:val="22"/>
          <w:szCs w:val="22"/>
        </w:rPr>
        <w:t>p</w:t>
      </w:r>
      <w:r w:rsidRPr="00D9152B">
        <w:rPr>
          <w:rFonts w:ascii="Calibri" w:hAnsi="Calibri" w:cs="Calibri"/>
          <w:i/>
          <w:sz w:val="22"/>
          <w:szCs w:val="22"/>
        </w:rPr>
        <w:t xml:space="preserve">lague </w:t>
      </w:r>
      <w:r w:rsidR="00E73FA3" w:rsidRPr="00D9152B">
        <w:rPr>
          <w:rFonts w:ascii="Calibri" w:hAnsi="Calibri" w:cs="Calibri"/>
          <w:i/>
          <w:sz w:val="22"/>
          <w:szCs w:val="22"/>
        </w:rPr>
        <w:t>u</w:t>
      </w:r>
      <w:r w:rsidRPr="00D9152B">
        <w:rPr>
          <w:rFonts w:ascii="Calibri" w:hAnsi="Calibri" w:cs="Calibri"/>
          <w:i/>
          <w:sz w:val="22"/>
          <w:szCs w:val="22"/>
        </w:rPr>
        <w:t xml:space="preserve">pon the </w:t>
      </w:r>
      <w:r w:rsidR="00E73FA3" w:rsidRPr="00D9152B">
        <w:rPr>
          <w:rFonts w:ascii="Calibri" w:hAnsi="Calibri" w:cs="Calibri"/>
          <w:i/>
          <w:sz w:val="22"/>
          <w:szCs w:val="22"/>
        </w:rPr>
        <w:t>l</w:t>
      </w:r>
      <w:r w:rsidRPr="00D9152B">
        <w:rPr>
          <w:rFonts w:ascii="Calibri" w:hAnsi="Calibri" w:cs="Calibri"/>
          <w:i/>
          <w:sz w:val="22"/>
          <w:szCs w:val="22"/>
        </w:rPr>
        <w:t>and</w:t>
      </w:r>
      <w:r w:rsidRPr="00D9152B">
        <w:rPr>
          <w:rFonts w:ascii="Calibri" w:hAnsi="Calibri" w:cs="Calibri"/>
          <w:sz w:val="22"/>
          <w:szCs w:val="22"/>
        </w:rPr>
        <w:t>. This was also the first feature film ever produced by the Bank. Blinkhorn recalls that, in a meeting about health and the OCP at the Bank in the early 1970s, he said, ‘Well, you know, one of the best ways to demonstrate and educate people about this is to do a movie</w:t>
      </w:r>
      <w:r w:rsidR="00C81F96" w:rsidRPr="00D9152B">
        <w:rPr>
          <w:rFonts w:ascii="Calibri" w:hAnsi="Calibri" w:cs="Calibri"/>
          <w:sz w:val="22"/>
          <w:szCs w:val="22"/>
        </w:rPr>
        <w:t xml:space="preserve"> or a video</w:t>
      </w:r>
      <w:r w:rsidRPr="00D9152B">
        <w:rPr>
          <w:rFonts w:ascii="Calibri" w:hAnsi="Calibri" w:cs="Calibri"/>
          <w:sz w:val="22"/>
          <w:szCs w:val="22"/>
        </w:rPr>
        <w:t xml:space="preserve"> because you can show people in villages with blindness and little kids leading them around, and it’s very powerful’. </w:t>
      </w:r>
      <w:r w:rsidR="00A106ED" w:rsidRPr="00D9152B">
        <w:rPr>
          <w:rFonts w:ascii="Calibri" w:hAnsi="Calibri" w:cs="Calibri"/>
          <w:sz w:val="22"/>
          <w:szCs w:val="22"/>
        </w:rPr>
        <w:t>The Bank’s</w:t>
      </w:r>
      <w:r w:rsidRPr="00D9152B">
        <w:rPr>
          <w:rFonts w:ascii="Calibri" w:hAnsi="Calibri" w:cs="Calibri"/>
          <w:sz w:val="22"/>
          <w:szCs w:val="22"/>
        </w:rPr>
        <w:t xml:space="preserve"> Vice President found Blinkhorn the money to do just that, and a cameraman and radio crew shot footage of onchocerciasis and early vector control operations in the Volta </w:t>
      </w:r>
      <w:r w:rsidR="00E73FA3" w:rsidRPr="00D9152B">
        <w:rPr>
          <w:rFonts w:ascii="Calibri" w:hAnsi="Calibri" w:cs="Calibri"/>
          <w:sz w:val="22"/>
          <w:szCs w:val="22"/>
        </w:rPr>
        <w:t>River b</w:t>
      </w:r>
      <w:r w:rsidRPr="00D9152B">
        <w:rPr>
          <w:rFonts w:ascii="Calibri" w:hAnsi="Calibri" w:cs="Calibri"/>
          <w:sz w:val="22"/>
          <w:szCs w:val="22"/>
        </w:rPr>
        <w:t>asin, Geneva, and Paris. McNamara ‘just loved’ the film, and had the entire management team come to see it.</w:t>
      </w:r>
      <w:r w:rsidR="000C05FE" w:rsidRPr="00D9152B">
        <w:rPr>
          <w:rStyle w:val="FootnoteReference"/>
          <w:rFonts w:ascii="Calibri" w:hAnsi="Calibri" w:cs="Calibri"/>
          <w:sz w:val="22"/>
          <w:szCs w:val="22"/>
        </w:rPr>
        <w:footnoteReference w:id="589"/>
      </w:r>
      <w:r w:rsidRPr="00D9152B">
        <w:rPr>
          <w:rFonts w:ascii="Calibri" w:hAnsi="Calibri" w:cs="Calibri"/>
          <w:sz w:val="22"/>
          <w:szCs w:val="22"/>
        </w:rPr>
        <w:t xml:space="preserve"> The film helped bring the Board of </w:t>
      </w:r>
      <w:r w:rsidR="00E73FA3" w:rsidRPr="00D9152B">
        <w:rPr>
          <w:rFonts w:ascii="Calibri" w:hAnsi="Calibri" w:cs="Calibri"/>
          <w:sz w:val="22"/>
          <w:szCs w:val="22"/>
        </w:rPr>
        <w:t xml:space="preserve">Executive </w:t>
      </w:r>
      <w:r w:rsidRPr="00D9152B">
        <w:rPr>
          <w:rFonts w:ascii="Calibri" w:hAnsi="Calibri" w:cs="Calibri"/>
          <w:sz w:val="22"/>
          <w:szCs w:val="22"/>
        </w:rPr>
        <w:t>Directors on board with the OCP,</w:t>
      </w:r>
      <w:r w:rsidRPr="00D9152B">
        <w:rPr>
          <w:rStyle w:val="FootnoteReference"/>
          <w:rFonts w:ascii="Calibri" w:hAnsi="Calibri" w:cs="Calibri"/>
          <w:sz w:val="22"/>
          <w:szCs w:val="22"/>
        </w:rPr>
        <w:footnoteReference w:id="590"/>
      </w:r>
      <w:r w:rsidRPr="00D9152B">
        <w:rPr>
          <w:rFonts w:ascii="Calibri" w:hAnsi="Calibri" w:cs="Calibri"/>
          <w:sz w:val="22"/>
          <w:szCs w:val="22"/>
        </w:rPr>
        <w:t xml:space="preserve"> was shown frequently at press and donor events,</w:t>
      </w:r>
      <w:r w:rsidRPr="00D9152B">
        <w:rPr>
          <w:rStyle w:val="FootnoteReference"/>
          <w:rFonts w:ascii="Calibri" w:hAnsi="Calibri" w:cs="Calibri"/>
          <w:sz w:val="22"/>
          <w:szCs w:val="22"/>
        </w:rPr>
        <w:footnoteReference w:id="591"/>
      </w:r>
      <w:r w:rsidRPr="00D9152B">
        <w:rPr>
          <w:rFonts w:ascii="Calibri" w:hAnsi="Calibri" w:cs="Calibri"/>
          <w:sz w:val="22"/>
          <w:szCs w:val="22"/>
        </w:rPr>
        <w:t xml:space="preserve"> was updated to showcase new successes in 1983, and was ultimately translated into Japanese, Italian, Arabic, and French. After the first showing of the modified film in 1983, USAID even requested a meeting to discuss ways of ‘accelerating support’ to the programme.</w:t>
      </w:r>
      <w:r w:rsidRPr="00D9152B">
        <w:rPr>
          <w:rStyle w:val="FootnoteReference"/>
          <w:rFonts w:ascii="Calibri" w:hAnsi="Calibri" w:cs="Calibri"/>
          <w:sz w:val="22"/>
          <w:szCs w:val="22"/>
        </w:rPr>
        <w:footnoteReference w:id="592"/>
      </w:r>
      <w:r w:rsidRPr="00D9152B">
        <w:rPr>
          <w:rFonts w:ascii="Calibri" w:hAnsi="Calibri" w:cs="Calibri"/>
          <w:sz w:val="22"/>
          <w:szCs w:val="22"/>
        </w:rPr>
        <w:t xml:space="preserve"> </w:t>
      </w:r>
    </w:p>
    <w:p w14:paraId="358159B4" w14:textId="20523972" w:rsidR="00A106ED" w:rsidRPr="00D9152B" w:rsidRDefault="00AC7848" w:rsidP="005C7F9F">
      <w:pPr>
        <w:spacing w:before="100" w:beforeAutospacing="1" w:after="100" w:afterAutospacing="1" w:line="360" w:lineRule="auto"/>
        <w:ind w:firstLine="720"/>
        <w:rPr>
          <w:rFonts w:ascii="Calibri" w:hAnsi="Calibri" w:cs="Calibri"/>
          <w:i/>
          <w:sz w:val="22"/>
          <w:szCs w:val="22"/>
        </w:rPr>
      </w:pPr>
      <w:r w:rsidRPr="00D9152B">
        <w:rPr>
          <w:rFonts w:ascii="Calibri" w:hAnsi="Calibri" w:cs="Calibri"/>
          <w:sz w:val="22"/>
          <w:szCs w:val="22"/>
        </w:rPr>
        <w:t xml:space="preserve">Two later films – the French government and WHO film </w:t>
      </w:r>
      <w:r w:rsidRPr="00D9152B">
        <w:rPr>
          <w:rFonts w:ascii="Calibri" w:hAnsi="Calibri" w:cs="Calibri"/>
          <w:i/>
          <w:sz w:val="22"/>
          <w:szCs w:val="22"/>
        </w:rPr>
        <w:t xml:space="preserve">Mara, </w:t>
      </w:r>
      <w:r w:rsidR="00E73FA3" w:rsidRPr="00D9152B">
        <w:rPr>
          <w:rFonts w:ascii="Calibri" w:hAnsi="Calibri" w:cs="Calibri"/>
          <w:i/>
          <w:sz w:val="22"/>
          <w:szCs w:val="22"/>
        </w:rPr>
        <w:t>t</w:t>
      </w:r>
      <w:r w:rsidRPr="00D9152B">
        <w:rPr>
          <w:rFonts w:ascii="Calibri" w:hAnsi="Calibri" w:cs="Calibri"/>
          <w:i/>
          <w:sz w:val="22"/>
          <w:szCs w:val="22"/>
        </w:rPr>
        <w:t xml:space="preserve">he </w:t>
      </w:r>
      <w:r w:rsidR="00E73FA3" w:rsidRPr="00D9152B">
        <w:rPr>
          <w:rFonts w:ascii="Calibri" w:hAnsi="Calibri" w:cs="Calibri"/>
          <w:i/>
          <w:sz w:val="22"/>
          <w:szCs w:val="22"/>
        </w:rPr>
        <w:t>l</w:t>
      </w:r>
      <w:r w:rsidRPr="00D9152B">
        <w:rPr>
          <w:rFonts w:ascii="Calibri" w:hAnsi="Calibri" w:cs="Calibri"/>
          <w:i/>
          <w:sz w:val="22"/>
          <w:szCs w:val="22"/>
        </w:rPr>
        <w:t xml:space="preserve">ion’s </w:t>
      </w:r>
      <w:r w:rsidR="00E73FA3" w:rsidRPr="00D9152B">
        <w:rPr>
          <w:rFonts w:ascii="Calibri" w:hAnsi="Calibri" w:cs="Calibri"/>
          <w:i/>
          <w:sz w:val="22"/>
          <w:szCs w:val="22"/>
        </w:rPr>
        <w:t>l</w:t>
      </w:r>
      <w:r w:rsidRPr="00D9152B">
        <w:rPr>
          <w:rFonts w:ascii="Calibri" w:hAnsi="Calibri" w:cs="Calibri"/>
          <w:i/>
          <w:sz w:val="22"/>
          <w:szCs w:val="22"/>
        </w:rPr>
        <w:t xml:space="preserve">ook </w:t>
      </w:r>
      <w:r w:rsidRPr="00D9152B">
        <w:rPr>
          <w:rFonts w:ascii="Calibri" w:hAnsi="Calibri" w:cs="Calibri"/>
          <w:sz w:val="22"/>
          <w:szCs w:val="22"/>
        </w:rPr>
        <w:t xml:space="preserve">(1985) and a Bank film featuring McNamara and Jimmy Carter (1994) – served a similar function. </w:t>
      </w:r>
      <w:r w:rsidRPr="00D9152B">
        <w:rPr>
          <w:rFonts w:ascii="Calibri" w:hAnsi="Calibri" w:cs="Calibri"/>
          <w:i/>
          <w:sz w:val="22"/>
          <w:szCs w:val="22"/>
        </w:rPr>
        <w:t xml:space="preserve">Mara </w:t>
      </w:r>
      <w:r w:rsidRPr="00D9152B">
        <w:rPr>
          <w:rFonts w:ascii="Calibri" w:hAnsi="Calibri" w:cs="Calibri"/>
          <w:sz w:val="22"/>
          <w:szCs w:val="22"/>
        </w:rPr>
        <w:t>won a ten international awards,</w:t>
      </w:r>
      <w:r w:rsidRPr="00D9152B">
        <w:rPr>
          <w:rStyle w:val="FootnoteReference"/>
          <w:rFonts w:ascii="Calibri" w:hAnsi="Calibri" w:cs="Calibri"/>
          <w:sz w:val="22"/>
          <w:szCs w:val="22"/>
        </w:rPr>
        <w:footnoteReference w:id="593"/>
      </w:r>
      <w:r w:rsidRPr="00D9152B">
        <w:rPr>
          <w:rFonts w:ascii="Calibri" w:hAnsi="Calibri" w:cs="Calibri"/>
          <w:sz w:val="22"/>
          <w:szCs w:val="22"/>
        </w:rPr>
        <w:t xml:space="preserve"> and ended with a dramatic humanitarian appeal.</w:t>
      </w:r>
      <w:r w:rsidRPr="00D9152B">
        <w:rPr>
          <w:rStyle w:val="FootnoteReference"/>
          <w:rFonts w:ascii="Calibri" w:hAnsi="Calibri" w:cs="Calibri"/>
          <w:sz w:val="22"/>
          <w:szCs w:val="22"/>
        </w:rPr>
        <w:footnoteReference w:id="594"/>
      </w:r>
      <w:r w:rsidR="00A106ED" w:rsidRPr="00D9152B">
        <w:rPr>
          <w:rFonts w:ascii="Calibri" w:hAnsi="Calibri" w:cs="Calibri"/>
          <w:sz w:val="22"/>
          <w:szCs w:val="22"/>
        </w:rPr>
        <w:t xml:space="preserve"> Figure </w:t>
      </w:r>
      <w:r w:rsidR="00940949">
        <w:rPr>
          <w:rFonts w:ascii="Calibri" w:hAnsi="Calibri" w:cs="Calibri"/>
          <w:sz w:val="22"/>
          <w:szCs w:val="22"/>
        </w:rPr>
        <w:t>5.</w:t>
      </w:r>
      <w:r w:rsidR="00A106ED" w:rsidRPr="00D9152B">
        <w:rPr>
          <w:rFonts w:ascii="Calibri" w:hAnsi="Calibri" w:cs="Calibri"/>
          <w:sz w:val="22"/>
          <w:szCs w:val="22"/>
        </w:rPr>
        <w:t>11</w:t>
      </w:r>
      <w:r w:rsidRPr="00D9152B">
        <w:rPr>
          <w:rFonts w:ascii="Calibri" w:hAnsi="Calibri" w:cs="Calibri"/>
          <w:sz w:val="22"/>
          <w:szCs w:val="22"/>
        </w:rPr>
        <w:t xml:space="preserve"> shows the heavily humanitarian message infused in </w:t>
      </w:r>
      <w:r w:rsidRPr="00D9152B">
        <w:rPr>
          <w:rFonts w:ascii="Calibri" w:hAnsi="Calibri" w:cs="Calibri"/>
          <w:i/>
          <w:sz w:val="22"/>
          <w:szCs w:val="22"/>
        </w:rPr>
        <w:t>Mara</w:t>
      </w:r>
      <w:r w:rsidR="00A106ED" w:rsidRPr="00D9152B">
        <w:rPr>
          <w:rFonts w:ascii="Calibri" w:hAnsi="Calibri" w:cs="Calibri"/>
          <w:sz w:val="22"/>
          <w:szCs w:val="22"/>
        </w:rPr>
        <w:t>’s script</w:t>
      </w:r>
      <w:r w:rsidRPr="00D9152B">
        <w:rPr>
          <w:rFonts w:ascii="Calibri" w:hAnsi="Calibri" w:cs="Calibri"/>
          <w:i/>
          <w:sz w:val="22"/>
          <w:szCs w:val="22"/>
        </w:rPr>
        <w:t xml:space="preserve">. </w:t>
      </w:r>
    </w:p>
    <w:p w14:paraId="755A6A45" w14:textId="78665E8E" w:rsidR="00A106ED" w:rsidRPr="00D9152B" w:rsidRDefault="00A106ED" w:rsidP="00A106ED">
      <w:pPr>
        <w:jc w:val="center"/>
        <w:rPr>
          <w:rFonts w:ascii="Calibri" w:hAnsi="Calibri" w:cs="Calibri"/>
          <w:i/>
        </w:rPr>
      </w:pPr>
      <w:r w:rsidRPr="00D9152B">
        <w:rPr>
          <w:rFonts w:ascii="Calibri" w:hAnsi="Calibri" w:cs="Calibri"/>
          <w:noProof/>
          <w:lang w:eastAsia="en-GB"/>
        </w:rPr>
        <w:lastRenderedPageBreak/>
        <w:drawing>
          <wp:inline distT="0" distB="0" distL="0" distR="0" wp14:anchorId="0B4C43A8" wp14:editId="54D77CA9">
            <wp:extent cx="5289176" cy="2259106"/>
            <wp:effectExtent l="0" t="0" r="6985" b="8255"/>
            <wp:docPr id="122" name="Picture 122"/>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332912" cy="2277786"/>
                    </a:xfrm>
                    <a:prstGeom prst="rect">
                      <a:avLst/>
                    </a:prstGeom>
                    <a:noFill/>
                    <a:ln>
                      <a:noFill/>
                    </a:ln>
                  </pic:spPr>
                </pic:pic>
              </a:graphicData>
            </a:graphic>
          </wp:inline>
        </w:drawing>
      </w:r>
    </w:p>
    <w:p w14:paraId="0A46694C" w14:textId="77777777" w:rsidR="00F52631" w:rsidRPr="00D9152B" w:rsidRDefault="00F52631" w:rsidP="00A106ED">
      <w:pPr>
        <w:jc w:val="center"/>
        <w:rPr>
          <w:rFonts w:ascii="Calibri" w:hAnsi="Calibri" w:cs="Calibri"/>
          <w:i/>
        </w:rPr>
      </w:pPr>
    </w:p>
    <w:p w14:paraId="28ABBE99" w14:textId="77777777" w:rsidR="00A106ED" w:rsidRPr="00D9152B" w:rsidRDefault="00A106ED" w:rsidP="00A106ED">
      <w:pPr>
        <w:jc w:val="center"/>
        <w:rPr>
          <w:rFonts w:ascii="Calibri" w:hAnsi="Calibri" w:cs="Calibri"/>
          <w:noProof/>
          <w:lang w:eastAsia="en-GB"/>
        </w:rPr>
      </w:pPr>
      <w:r w:rsidRPr="00D9152B">
        <w:rPr>
          <w:rFonts w:ascii="Calibri" w:hAnsi="Calibri" w:cs="Calibri"/>
          <w:noProof/>
          <w:lang w:eastAsia="en-GB"/>
        </w:rPr>
        <w:drawing>
          <wp:inline distT="0" distB="0" distL="0" distR="0" wp14:anchorId="4254928F" wp14:editId="69D63CFA">
            <wp:extent cx="5288915" cy="4203700"/>
            <wp:effectExtent l="0" t="0" r="0" b="0"/>
            <wp:docPr id="123" name="Picture 123"/>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75" cstate="print">
                      <a:extLst>
                        <a:ext uri="{28A0092B-C50C-407E-A947-70E740481C1C}">
                          <a14:useLocalDpi xmlns:a14="http://schemas.microsoft.com/office/drawing/2010/main" val="0"/>
                        </a:ext>
                      </a:extLst>
                    </a:blip>
                    <a:srcRect t="25086"/>
                    <a:stretch/>
                  </pic:blipFill>
                  <pic:spPr bwMode="auto">
                    <a:xfrm>
                      <a:off x="0" y="0"/>
                      <a:ext cx="5293570" cy="4207400"/>
                    </a:xfrm>
                    <a:prstGeom prst="rect">
                      <a:avLst/>
                    </a:prstGeom>
                    <a:noFill/>
                    <a:ln>
                      <a:noFill/>
                    </a:ln>
                    <a:extLst>
                      <a:ext uri="{53640926-AAD7-44D8-BBD7-CCE9431645EC}">
                        <a14:shadowObscured xmlns:a14="http://schemas.microsoft.com/office/drawing/2010/main"/>
                      </a:ext>
                    </a:extLst>
                  </pic:spPr>
                </pic:pic>
              </a:graphicData>
            </a:graphic>
          </wp:inline>
        </w:drawing>
      </w:r>
    </w:p>
    <w:p w14:paraId="5FBBABDA" w14:textId="77777777" w:rsidR="00A106ED" w:rsidRPr="00D9152B" w:rsidRDefault="00A106ED" w:rsidP="00A106ED">
      <w:pPr>
        <w:jc w:val="both"/>
        <w:rPr>
          <w:rFonts w:ascii="Calibri" w:hAnsi="Calibri" w:cs="Calibri"/>
          <w:color w:val="808080" w:themeColor="background1" w:themeShade="80"/>
        </w:rPr>
      </w:pPr>
    </w:p>
    <w:p w14:paraId="3DBCB3D8" w14:textId="050845D1" w:rsidR="00A106ED" w:rsidRPr="00D9152B" w:rsidRDefault="00A106ED" w:rsidP="00A106ED">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940949">
        <w:rPr>
          <w:rFonts w:ascii="Calibri" w:hAnsi="Calibri" w:cs="Calibri"/>
          <w:color w:val="808080" w:themeColor="background1" w:themeShade="80"/>
          <w:sz w:val="22"/>
          <w:szCs w:val="22"/>
        </w:rPr>
        <w:t>5.</w:t>
      </w:r>
      <w:r w:rsidRPr="00D9152B">
        <w:rPr>
          <w:rFonts w:ascii="Calibri" w:hAnsi="Calibri" w:cs="Calibri"/>
          <w:color w:val="808080" w:themeColor="background1" w:themeShade="80"/>
          <w:sz w:val="22"/>
          <w:szCs w:val="22"/>
        </w:rPr>
        <w:t xml:space="preserve">11. The dramatic beginning of the </w:t>
      </w:r>
      <w:r w:rsidRPr="00D9152B">
        <w:rPr>
          <w:rFonts w:ascii="Calibri" w:hAnsi="Calibri" w:cs="Calibri"/>
          <w:i/>
          <w:color w:val="808080" w:themeColor="background1" w:themeShade="80"/>
          <w:sz w:val="22"/>
          <w:szCs w:val="22"/>
        </w:rPr>
        <w:t>Mara</w:t>
      </w:r>
      <w:r w:rsidRPr="00D9152B">
        <w:rPr>
          <w:rFonts w:ascii="Calibri" w:hAnsi="Calibri" w:cs="Calibri"/>
          <w:color w:val="808080" w:themeColor="background1" w:themeShade="80"/>
          <w:sz w:val="22"/>
          <w:szCs w:val="22"/>
        </w:rPr>
        <w:t xml:space="preserve"> script evoked the onchocerciasis image.</w:t>
      </w:r>
      <w:r w:rsidRPr="00D9152B">
        <w:rPr>
          <w:rStyle w:val="FootnoteReference"/>
          <w:rFonts w:ascii="Calibri" w:hAnsi="Calibri" w:cs="Calibri"/>
          <w:color w:val="808080" w:themeColor="background1" w:themeShade="80"/>
          <w:sz w:val="22"/>
          <w:szCs w:val="22"/>
        </w:rPr>
        <w:footnoteReference w:id="595"/>
      </w:r>
    </w:p>
    <w:p w14:paraId="6966F0E7" w14:textId="77777777" w:rsidR="00F52631" w:rsidRPr="00D9152B" w:rsidRDefault="00F52631" w:rsidP="00A106ED">
      <w:pPr>
        <w:jc w:val="both"/>
        <w:rPr>
          <w:rFonts w:ascii="Calibri" w:hAnsi="Calibri" w:cs="Calibri"/>
          <w:color w:val="808080" w:themeColor="background1" w:themeShade="80"/>
          <w:sz w:val="22"/>
          <w:szCs w:val="22"/>
        </w:rPr>
      </w:pPr>
    </w:p>
    <w:p w14:paraId="20E206D1" w14:textId="1ED3917E" w:rsidR="00AC7848" w:rsidRPr="00D9152B" w:rsidRDefault="00AC7848" w:rsidP="005C7F9F">
      <w:pPr>
        <w:spacing w:before="100" w:beforeAutospacing="1" w:after="100" w:afterAutospacing="1" w:line="360" w:lineRule="auto"/>
        <w:rPr>
          <w:rFonts w:ascii="Calibri" w:hAnsi="Calibri" w:cs="Calibri"/>
          <w:i/>
          <w:sz w:val="22"/>
          <w:szCs w:val="22"/>
        </w:rPr>
      </w:pPr>
      <w:r w:rsidRPr="00D9152B">
        <w:rPr>
          <w:rFonts w:ascii="Calibri" w:hAnsi="Calibri" w:cs="Calibri"/>
          <w:sz w:val="22"/>
          <w:szCs w:val="22"/>
        </w:rPr>
        <w:lastRenderedPageBreak/>
        <w:t>The Bank was ‘convinced that this film can serve as an extremely effective instrument in efforts to mobilize funds on behalf of the Program’.</w:t>
      </w:r>
      <w:r w:rsidRPr="00D9152B">
        <w:rPr>
          <w:rStyle w:val="FootnoteReference"/>
          <w:rFonts w:ascii="Calibri" w:hAnsi="Calibri" w:cs="Calibri"/>
          <w:sz w:val="22"/>
          <w:szCs w:val="22"/>
        </w:rPr>
        <w:t xml:space="preserve"> </w:t>
      </w:r>
      <w:r w:rsidRPr="00D9152B">
        <w:rPr>
          <w:rStyle w:val="FootnoteReference"/>
          <w:rFonts w:ascii="Calibri" w:hAnsi="Calibri" w:cs="Calibri"/>
          <w:sz w:val="22"/>
          <w:szCs w:val="22"/>
        </w:rPr>
        <w:footnoteReference w:id="596"/>
      </w:r>
      <w:r w:rsidRPr="00D9152B">
        <w:rPr>
          <w:rFonts w:ascii="Calibri" w:hAnsi="Calibri" w:cs="Calibri"/>
          <w:sz w:val="22"/>
          <w:szCs w:val="22"/>
        </w:rPr>
        <w:t xml:space="preserve"> The 1994 film was screened at the strategically-positioned 1994 donor conference.</w:t>
      </w:r>
      <w:r w:rsidRPr="00D9152B">
        <w:rPr>
          <w:rStyle w:val="FootnoteReference"/>
          <w:rFonts w:ascii="Calibri" w:hAnsi="Calibri" w:cs="Calibri"/>
          <w:sz w:val="22"/>
          <w:szCs w:val="22"/>
        </w:rPr>
        <w:footnoteReference w:id="597"/>
      </w:r>
      <w:r w:rsidRPr="00D9152B">
        <w:rPr>
          <w:rFonts w:ascii="Calibri" w:hAnsi="Calibri" w:cs="Calibri"/>
          <w:sz w:val="22"/>
          <w:szCs w:val="22"/>
        </w:rPr>
        <w:t xml:space="preserve"> Archived notes indicate that they had carefully thought through the use of this film:</w:t>
      </w:r>
    </w:p>
    <w:p w14:paraId="1A2C33DB" w14:textId="4FB0DB6D" w:rsidR="00AC7848" w:rsidRPr="00D9152B" w:rsidRDefault="00AC7848" w:rsidP="00A50782">
      <w:pPr>
        <w:pStyle w:val="Quote"/>
        <w:ind w:left="862" w:right="862"/>
        <w:rPr>
          <w:rFonts w:cs="Calibri"/>
          <w:i/>
          <w:sz w:val="22"/>
          <w:szCs w:val="22"/>
        </w:rPr>
      </w:pPr>
      <w:r w:rsidRPr="00D9152B">
        <w:rPr>
          <w:rFonts w:cs="Calibri"/>
          <w:i/>
          <w:sz w:val="22"/>
          <w:szCs w:val="22"/>
        </w:rPr>
        <w:t xml:space="preserve"> ‘Film: Message: OCP is a highly complex, successful international effort involving a wide partnership of countries, international agencies, and the private sector, which can serve as a model for addressing other major regional problems. Major international figures such as Robert McNamara and Jimmy Carter (Appearing in the film) think highly of its effectiveness and achievements’</w:t>
      </w:r>
      <w:r w:rsidR="00344CB1">
        <w:rPr>
          <w:rFonts w:cs="Calibri"/>
          <w:i/>
          <w:sz w:val="22"/>
          <w:szCs w:val="22"/>
        </w:rPr>
        <w:t>.</w:t>
      </w:r>
      <w:r w:rsidRPr="00D9152B">
        <w:rPr>
          <w:rStyle w:val="FootnoteReference"/>
          <w:rFonts w:ascii="Calibri" w:hAnsi="Calibri" w:cs="Calibri"/>
          <w:i/>
          <w:sz w:val="22"/>
          <w:szCs w:val="22"/>
        </w:rPr>
        <w:footnoteReference w:id="598"/>
      </w:r>
    </w:p>
    <w:p w14:paraId="0F8E9E17" w14:textId="77777777" w:rsidR="003F660B" w:rsidRPr="00D9152B" w:rsidRDefault="003F660B" w:rsidP="00A106ED">
      <w:pPr>
        <w:rPr>
          <w:rFonts w:ascii="Calibri" w:hAnsi="Calibri" w:cs="Calibri"/>
          <w:lang w:val="fr-CH"/>
        </w:rPr>
      </w:pPr>
    </w:p>
    <w:p w14:paraId="171471A2" w14:textId="08FC1FDC" w:rsidR="00A106ED" w:rsidRPr="00D9152B" w:rsidRDefault="009A5A65" w:rsidP="003F660B">
      <w:pPr>
        <w:pStyle w:val="Heading4"/>
        <w:spacing w:before="100" w:beforeAutospacing="1" w:after="100" w:afterAutospacing="1"/>
        <w:rPr>
          <w:rFonts w:ascii="Calibri" w:hAnsi="Calibri" w:cs="Calibri"/>
          <w:b/>
          <w:color w:val="000000" w:themeColor="text1"/>
          <w:lang w:val="fr-CH"/>
        </w:rPr>
      </w:pPr>
      <w:r w:rsidRPr="00D9152B">
        <w:rPr>
          <w:rFonts w:ascii="Calibri" w:hAnsi="Calibri" w:cs="Calibri"/>
          <w:b/>
          <w:color w:val="000000" w:themeColor="text1"/>
          <w:lang w:val="fr-CH"/>
        </w:rPr>
        <w:t>5.9.</w:t>
      </w:r>
      <w:r w:rsidR="00A106ED" w:rsidRPr="00D9152B">
        <w:rPr>
          <w:rFonts w:ascii="Calibri" w:hAnsi="Calibri" w:cs="Calibri"/>
          <w:b/>
          <w:color w:val="000000" w:themeColor="text1"/>
          <w:lang w:val="fr-CH"/>
        </w:rPr>
        <w:t xml:space="preserve">B. </w:t>
      </w:r>
      <w:r w:rsidR="007F4760" w:rsidRPr="00D9152B">
        <w:rPr>
          <w:rFonts w:ascii="Calibri" w:hAnsi="Calibri" w:cs="Calibri"/>
          <w:b/>
          <w:color w:val="000000" w:themeColor="text1"/>
          <w:lang w:val="fr-CH"/>
        </w:rPr>
        <w:t>The news media as a marketing tool</w:t>
      </w:r>
    </w:p>
    <w:p w14:paraId="102D8198" w14:textId="51ABAE46" w:rsidR="007F4760"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In addition to films, the Bank proactively engaged the press during the OCP. For instance, it organized a press tour for journalists from major donor countries in 1982, to showcase the OCP and other Bank agricultural schemes. The journalists were universally moved by the power of the onchocerciasis image. As a Bank staff member later wrote, journalists were critical of the Malian agricultural schemes, but ‘on the other hand, the Onchocerciasis program, which has its share of problems, received practically no scrutiny. The journalists seemed so appalled at the horror of the disease that any effort seemed to be considered a worthy one, despite the massive infusions of donor funds’.</w:t>
      </w:r>
      <w:r w:rsidRPr="00D9152B">
        <w:rPr>
          <w:rStyle w:val="FootnoteReference"/>
          <w:rFonts w:ascii="Calibri" w:hAnsi="Calibri" w:cs="Calibri"/>
          <w:sz w:val="22"/>
          <w:szCs w:val="22"/>
        </w:rPr>
        <w:footnoteReference w:id="599"/>
      </w:r>
      <w:r w:rsidRPr="00D9152B">
        <w:rPr>
          <w:rFonts w:ascii="Calibri" w:hAnsi="Calibri" w:cs="Calibri"/>
          <w:sz w:val="22"/>
          <w:szCs w:val="22"/>
        </w:rPr>
        <w:t xml:space="preserve"> </w:t>
      </w:r>
    </w:p>
    <w:p w14:paraId="373DC327" w14:textId="4EDEB824" w:rsidR="00AC7848" w:rsidRPr="00D9152B" w:rsidRDefault="00AC7848" w:rsidP="005C7F9F">
      <w:pPr>
        <w:spacing w:line="360" w:lineRule="auto"/>
        <w:ind w:firstLine="720"/>
        <w:rPr>
          <w:rFonts w:ascii="Calibri" w:hAnsi="Calibri" w:cs="Calibri"/>
          <w:sz w:val="22"/>
          <w:szCs w:val="22"/>
        </w:rPr>
      </w:pPr>
      <w:r w:rsidRPr="00D9152B">
        <w:rPr>
          <w:rFonts w:ascii="Calibri" w:hAnsi="Calibri" w:cs="Calibri"/>
          <w:sz w:val="22"/>
          <w:szCs w:val="22"/>
        </w:rPr>
        <w:t xml:space="preserve">The following year, the Bank produced an OCP press kit, for dissemination at the annual Bank donor seminar. This kit included bulleted lists of OCP ‘facts’, including its history, operational strategy, and metrics. It also included powerful full-page photos, including the traditional blind man being led on a stick and contrasting images showing socio-economic progress (Figure </w:t>
      </w:r>
      <w:r w:rsidR="00940949">
        <w:rPr>
          <w:rFonts w:ascii="Calibri" w:hAnsi="Calibri" w:cs="Calibri"/>
          <w:sz w:val="22"/>
          <w:szCs w:val="22"/>
        </w:rPr>
        <w:t>5.</w:t>
      </w:r>
      <w:r w:rsidRPr="00D9152B">
        <w:rPr>
          <w:rFonts w:ascii="Calibri" w:hAnsi="Calibri" w:cs="Calibri"/>
          <w:sz w:val="22"/>
          <w:szCs w:val="22"/>
        </w:rPr>
        <w:t>1</w:t>
      </w:r>
      <w:r w:rsidR="007F4760" w:rsidRPr="00D9152B">
        <w:rPr>
          <w:rFonts w:ascii="Calibri" w:hAnsi="Calibri" w:cs="Calibri"/>
          <w:sz w:val="22"/>
          <w:szCs w:val="22"/>
        </w:rPr>
        <w:t>2</w:t>
      </w:r>
      <w:r w:rsidRPr="00D9152B">
        <w:rPr>
          <w:rFonts w:ascii="Calibri" w:hAnsi="Calibri" w:cs="Calibri"/>
          <w:sz w:val="22"/>
          <w:szCs w:val="22"/>
        </w:rPr>
        <w:t xml:space="preserve">). </w:t>
      </w:r>
    </w:p>
    <w:p w14:paraId="44A0F204" w14:textId="77777777" w:rsidR="005C7F9F" w:rsidRPr="00D9152B" w:rsidRDefault="005C7F9F" w:rsidP="005C7F9F">
      <w:pPr>
        <w:spacing w:line="360" w:lineRule="auto"/>
        <w:ind w:firstLine="720"/>
        <w:rPr>
          <w:rFonts w:ascii="Calibri" w:hAnsi="Calibri" w:cs="Calibri"/>
          <w:sz w:val="22"/>
          <w:szCs w:val="22"/>
        </w:rPr>
      </w:pPr>
    </w:p>
    <w:p w14:paraId="5774808A" w14:textId="5F53489D" w:rsidR="00AC7848" w:rsidRPr="00D9152B" w:rsidRDefault="00AC7848" w:rsidP="00A50782">
      <w:pPr>
        <w:jc w:val="center"/>
        <w:rPr>
          <w:rFonts w:ascii="Calibri" w:hAnsi="Calibri" w:cs="Calibri"/>
          <w:b/>
          <w:noProof/>
          <w:lang w:eastAsia="en-GB"/>
        </w:rPr>
      </w:pPr>
      <w:r w:rsidRPr="00D9152B">
        <w:rPr>
          <w:rFonts w:ascii="Calibri" w:hAnsi="Calibri" w:cs="Calibri"/>
          <w:b/>
          <w:noProof/>
          <w:lang w:eastAsia="en-GB"/>
        </w:rPr>
        <w:lastRenderedPageBreak/>
        <w:drawing>
          <wp:inline distT="0" distB="0" distL="0" distR="0" wp14:anchorId="5629F7C0" wp14:editId="5AEE3E00">
            <wp:extent cx="2356348" cy="3133725"/>
            <wp:effectExtent l="0" t="0" r="635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6" cstate="print">
                      <a:extLst>
                        <a:ext uri="{28A0092B-C50C-407E-A947-70E740481C1C}">
                          <a14:useLocalDpi xmlns:a14="http://schemas.microsoft.com/office/drawing/2010/main"/>
                        </a:ext>
                      </a:extLst>
                    </a:blip>
                    <a:srcRect/>
                    <a:stretch>
                      <a:fillRect/>
                    </a:stretch>
                  </pic:blipFill>
                  <pic:spPr bwMode="auto">
                    <a:xfrm>
                      <a:off x="0" y="0"/>
                      <a:ext cx="2368059" cy="3149300"/>
                    </a:xfrm>
                    <a:prstGeom prst="rect">
                      <a:avLst/>
                    </a:prstGeom>
                    <a:noFill/>
                    <a:ln>
                      <a:noFill/>
                    </a:ln>
                  </pic:spPr>
                </pic:pic>
              </a:graphicData>
            </a:graphic>
          </wp:inline>
        </w:drawing>
      </w:r>
      <w:r w:rsidRPr="00D9152B">
        <w:rPr>
          <w:rFonts w:ascii="Calibri" w:hAnsi="Calibri" w:cs="Calibri"/>
          <w:b/>
          <w:noProof/>
          <w:lang w:eastAsia="en-GB"/>
        </w:rPr>
        <w:drawing>
          <wp:inline distT="0" distB="0" distL="0" distR="0" wp14:anchorId="147A49E4" wp14:editId="00CD7785">
            <wp:extent cx="2248192" cy="3131751"/>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7">
                      <a:extLst>
                        <a:ext uri="{28A0092B-C50C-407E-A947-70E740481C1C}">
                          <a14:useLocalDpi xmlns:a14="http://schemas.microsoft.com/office/drawing/2010/main"/>
                        </a:ext>
                      </a:extLst>
                    </a:blip>
                    <a:srcRect/>
                    <a:stretch>
                      <a:fillRect/>
                    </a:stretch>
                  </pic:blipFill>
                  <pic:spPr bwMode="auto">
                    <a:xfrm>
                      <a:off x="0" y="0"/>
                      <a:ext cx="2284941" cy="3182943"/>
                    </a:xfrm>
                    <a:prstGeom prst="rect">
                      <a:avLst/>
                    </a:prstGeom>
                    <a:noFill/>
                    <a:ln>
                      <a:noFill/>
                    </a:ln>
                  </pic:spPr>
                </pic:pic>
              </a:graphicData>
            </a:graphic>
          </wp:inline>
        </w:drawing>
      </w:r>
    </w:p>
    <w:p w14:paraId="2B741204" w14:textId="77777777" w:rsidR="00AC7848" w:rsidRPr="00D9152B" w:rsidRDefault="00AC7848" w:rsidP="00A50782">
      <w:pPr>
        <w:ind w:firstLine="720"/>
        <w:jc w:val="center"/>
        <w:rPr>
          <w:rFonts w:ascii="Calibri" w:hAnsi="Calibri" w:cs="Calibri"/>
          <w:b/>
          <w:noProof/>
          <w:lang w:eastAsia="en-GB"/>
        </w:rPr>
      </w:pPr>
      <w:r w:rsidRPr="00D9152B">
        <w:rPr>
          <w:rFonts w:ascii="Calibri" w:hAnsi="Calibri" w:cs="Calibri"/>
          <w:b/>
          <w:noProof/>
          <w:lang w:eastAsia="en-GB"/>
        </w:rPr>
        <w:drawing>
          <wp:inline distT="0" distB="0" distL="0" distR="0" wp14:anchorId="422C8252" wp14:editId="656EE3E9">
            <wp:extent cx="3028950" cy="2071328"/>
            <wp:effectExtent l="0" t="0" r="0" b="571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8" cstate="print">
                      <a:extLst>
                        <a:ext uri="{28A0092B-C50C-407E-A947-70E740481C1C}">
                          <a14:useLocalDpi xmlns:a14="http://schemas.microsoft.com/office/drawing/2010/main"/>
                        </a:ext>
                      </a:extLst>
                    </a:blip>
                    <a:srcRect/>
                    <a:stretch>
                      <a:fillRect/>
                    </a:stretch>
                  </pic:blipFill>
                  <pic:spPr bwMode="auto">
                    <a:xfrm>
                      <a:off x="0" y="0"/>
                      <a:ext cx="3071833" cy="2100653"/>
                    </a:xfrm>
                    <a:prstGeom prst="rect">
                      <a:avLst/>
                    </a:prstGeom>
                    <a:noFill/>
                    <a:ln>
                      <a:noFill/>
                    </a:ln>
                  </pic:spPr>
                </pic:pic>
              </a:graphicData>
            </a:graphic>
          </wp:inline>
        </w:drawing>
      </w:r>
    </w:p>
    <w:p w14:paraId="1EE3DBCD" w14:textId="77777777" w:rsidR="00AC7848" w:rsidRPr="00D9152B" w:rsidRDefault="00AC7848" w:rsidP="00CE0CDD">
      <w:pPr>
        <w:jc w:val="center"/>
        <w:rPr>
          <w:rFonts w:ascii="Calibri" w:hAnsi="Calibri" w:cs="Calibri"/>
          <w:b/>
          <w:noProof/>
          <w:lang w:eastAsia="en-GB"/>
        </w:rPr>
      </w:pPr>
      <w:r w:rsidRPr="00D9152B">
        <w:rPr>
          <w:rFonts w:ascii="Calibri" w:hAnsi="Calibri" w:cs="Calibri"/>
          <w:b/>
          <w:noProof/>
          <w:lang w:eastAsia="en-GB"/>
        </w:rPr>
        <w:drawing>
          <wp:inline distT="0" distB="0" distL="0" distR="0" wp14:anchorId="7BCC8D85" wp14:editId="6A2A3D22">
            <wp:extent cx="2621717" cy="1809750"/>
            <wp:effectExtent l="0" t="0" r="762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9" cstate="print">
                      <a:extLst>
                        <a:ext uri="{28A0092B-C50C-407E-A947-70E740481C1C}">
                          <a14:useLocalDpi xmlns:a14="http://schemas.microsoft.com/office/drawing/2010/main"/>
                        </a:ext>
                      </a:extLst>
                    </a:blip>
                    <a:srcRect/>
                    <a:stretch>
                      <a:fillRect/>
                    </a:stretch>
                  </pic:blipFill>
                  <pic:spPr bwMode="auto">
                    <a:xfrm>
                      <a:off x="0" y="0"/>
                      <a:ext cx="2673920" cy="1845785"/>
                    </a:xfrm>
                    <a:prstGeom prst="rect">
                      <a:avLst/>
                    </a:prstGeom>
                    <a:noFill/>
                    <a:ln>
                      <a:noFill/>
                    </a:ln>
                  </pic:spPr>
                </pic:pic>
              </a:graphicData>
            </a:graphic>
          </wp:inline>
        </w:drawing>
      </w:r>
      <w:r w:rsidRPr="00D9152B">
        <w:rPr>
          <w:rFonts w:ascii="Calibri" w:hAnsi="Calibri" w:cs="Calibri"/>
          <w:b/>
          <w:noProof/>
          <w:lang w:eastAsia="en-GB"/>
        </w:rPr>
        <w:drawing>
          <wp:inline distT="0" distB="0" distL="0" distR="0" wp14:anchorId="45835B07" wp14:editId="71781E56">
            <wp:extent cx="2384462" cy="1793597"/>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0" cstate="print">
                      <a:extLst>
                        <a:ext uri="{28A0092B-C50C-407E-A947-70E740481C1C}">
                          <a14:useLocalDpi xmlns:a14="http://schemas.microsoft.com/office/drawing/2010/main"/>
                        </a:ext>
                      </a:extLst>
                    </a:blip>
                    <a:srcRect/>
                    <a:stretch>
                      <a:fillRect/>
                    </a:stretch>
                  </pic:blipFill>
                  <pic:spPr bwMode="auto">
                    <a:xfrm>
                      <a:off x="0" y="0"/>
                      <a:ext cx="2413429" cy="1815386"/>
                    </a:xfrm>
                    <a:prstGeom prst="rect">
                      <a:avLst/>
                    </a:prstGeom>
                    <a:noFill/>
                    <a:ln>
                      <a:noFill/>
                    </a:ln>
                  </pic:spPr>
                </pic:pic>
              </a:graphicData>
            </a:graphic>
          </wp:inline>
        </w:drawing>
      </w:r>
    </w:p>
    <w:p w14:paraId="2ECB026C" w14:textId="77777777" w:rsidR="00A50782" w:rsidRPr="00D9152B" w:rsidRDefault="00A50782" w:rsidP="00A50782">
      <w:pPr>
        <w:jc w:val="both"/>
        <w:rPr>
          <w:rFonts w:ascii="Calibri" w:hAnsi="Calibri" w:cs="Calibri"/>
          <w:noProof/>
          <w:color w:val="808080" w:themeColor="background1" w:themeShade="80"/>
          <w:lang w:eastAsia="en-GB"/>
        </w:rPr>
      </w:pPr>
    </w:p>
    <w:p w14:paraId="267411BA" w14:textId="630478A4" w:rsidR="00AC7848" w:rsidRPr="00D9152B" w:rsidRDefault="00AC7848" w:rsidP="00A50782">
      <w:pPr>
        <w:jc w:val="both"/>
        <w:rPr>
          <w:rFonts w:ascii="Calibri" w:hAnsi="Calibri" w:cs="Calibri"/>
          <w:noProof/>
          <w:color w:val="808080" w:themeColor="background1" w:themeShade="80"/>
          <w:sz w:val="22"/>
          <w:szCs w:val="22"/>
          <w:lang w:eastAsia="en-GB"/>
        </w:rPr>
      </w:pPr>
      <w:r w:rsidRPr="00D9152B">
        <w:rPr>
          <w:rFonts w:ascii="Calibri" w:hAnsi="Calibri" w:cs="Calibri"/>
          <w:noProof/>
          <w:color w:val="808080" w:themeColor="background1" w:themeShade="80"/>
          <w:sz w:val="22"/>
          <w:szCs w:val="22"/>
          <w:lang w:eastAsia="en-GB"/>
        </w:rPr>
        <w:t xml:space="preserve">Figure </w:t>
      </w:r>
      <w:r w:rsidR="00940949">
        <w:rPr>
          <w:rFonts w:ascii="Calibri" w:hAnsi="Calibri" w:cs="Calibri"/>
          <w:noProof/>
          <w:color w:val="808080" w:themeColor="background1" w:themeShade="80"/>
          <w:sz w:val="22"/>
          <w:szCs w:val="22"/>
          <w:lang w:eastAsia="en-GB"/>
        </w:rPr>
        <w:t>5.</w:t>
      </w:r>
      <w:r w:rsidRPr="00D9152B">
        <w:rPr>
          <w:rFonts w:ascii="Calibri" w:hAnsi="Calibri" w:cs="Calibri"/>
          <w:noProof/>
          <w:color w:val="808080" w:themeColor="background1" w:themeShade="80"/>
          <w:sz w:val="22"/>
          <w:szCs w:val="22"/>
          <w:lang w:eastAsia="en-GB"/>
        </w:rPr>
        <w:t>1</w:t>
      </w:r>
      <w:r w:rsidR="007F4760" w:rsidRPr="00D9152B">
        <w:rPr>
          <w:rFonts w:ascii="Calibri" w:hAnsi="Calibri" w:cs="Calibri"/>
          <w:noProof/>
          <w:color w:val="808080" w:themeColor="background1" w:themeShade="80"/>
          <w:sz w:val="22"/>
          <w:szCs w:val="22"/>
          <w:lang w:eastAsia="en-GB"/>
        </w:rPr>
        <w:t>2</w:t>
      </w:r>
      <w:r w:rsidRPr="00D9152B">
        <w:rPr>
          <w:rFonts w:ascii="Calibri" w:hAnsi="Calibri" w:cs="Calibri"/>
          <w:noProof/>
          <w:color w:val="808080" w:themeColor="background1" w:themeShade="80"/>
          <w:sz w:val="22"/>
          <w:szCs w:val="22"/>
          <w:lang w:eastAsia="en-GB"/>
        </w:rPr>
        <w:t xml:space="preserve">. </w:t>
      </w:r>
      <w:r w:rsidR="00A50782" w:rsidRPr="00D9152B">
        <w:rPr>
          <w:rFonts w:ascii="Calibri" w:hAnsi="Calibri" w:cs="Calibri"/>
          <w:noProof/>
          <w:color w:val="808080" w:themeColor="background1" w:themeShade="80"/>
          <w:sz w:val="22"/>
          <w:szCs w:val="22"/>
          <w:lang w:eastAsia="en-GB"/>
        </w:rPr>
        <w:t>Components of the</w:t>
      </w:r>
      <w:r w:rsidRPr="00D9152B">
        <w:rPr>
          <w:rFonts w:ascii="Calibri" w:hAnsi="Calibri" w:cs="Calibri"/>
          <w:noProof/>
          <w:color w:val="808080" w:themeColor="background1" w:themeShade="80"/>
          <w:sz w:val="22"/>
          <w:szCs w:val="22"/>
          <w:lang w:eastAsia="en-GB"/>
        </w:rPr>
        <w:t xml:space="preserve"> World Bank’s onchocerciasis press kit (198</w:t>
      </w:r>
      <w:r w:rsidR="00CC1A24" w:rsidRPr="00D9152B">
        <w:rPr>
          <w:rFonts w:ascii="Calibri" w:hAnsi="Calibri" w:cs="Calibri"/>
          <w:noProof/>
          <w:color w:val="808080" w:themeColor="background1" w:themeShade="80"/>
          <w:sz w:val="22"/>
          <w:szCs w:val="22"/>
          <w:lang w:eastAsia="en-GB"/>
        </w:rPr>
        <w:t>3</w:t>
      </w:r>
      <w:r w:rsidRPr="00D9152B">
        <w:rPr>
          <w:rFonts w:ascii="Calibri" w:hAnsi="Calibri" w:cs="Calibri"/>
          <w:noProof/>
          <w:color w:val="808080" w:themeColor="background1" w:themeShade="80"/>
          <w:sz w:val="22"/>
          <w:szCs w:val="22"/>
          <w:lang w:eastAsia="en-GB"/>
        </w:rPr>
        <w:t>).</w:t>
      </w:r>
      <w:r w:rsidRPr="00D9152B">
        <w:rPr>
          <w:rStyle w:val="FootnoteReference"/>
          <w:rFonts w:ascii="Calibri" w:hAnsi="Calibri" w:cs="Calibri"/>
          <w:noProof/>
          <w:color w:val="808080" w:themeColor="background1" w:themeShade="80"/>
          <w:sz w:val="22"/>
          <w:szCs w:val="22"/>
          <w:lang w:eastAsia="en-GB"/>
        </w:rPr>
        <w:footnoteReference w:id="600"/>
      </w:r>
      <w:r w:rsidRPr="00D9152B">
        <w:rPr>
          <w:rFonts w:ascii="Calibri" w:hAnsi="Calibri" w:cs="Calibri"/>
          <w:noProof/>
          <w:color w:val="808080" w:themeColor="background1" w:themeShade="80"/>
          <w:sz w:val="22"/>
          <w:szCs w:val="22"/>
          <w:lang w:eastAsia="en-GB"/>
        </w:rPr>
        <w:t xml:space="preserve"> </w:t>
      </w:r>
    </w:p>
    <w:p w14:paraId="4DD8E6A2" w14:textId="1744FB82"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lastRenderedPageBreak/>
        <w:t xml:space="preserve">The Bank continued to produce press kits in </w:t>
      </w:r>
      <w:r w:rsidR="00E73FA3" w:rsidRPr="00D9152B">
        <w:rPr>
          <w:rFonts w:ascii="Calibri" w:hAnsi="Calibri" w:cs="Calibri"/>
          <w:sz w:val="22"/>
          <w:szCs w:val="22"/>
        </w:rPr>
        <w:t>subsequent years</w:t>
      </w:r>
      <w:r w:rsidRPr="00D9152B">
        <w:rPr>
          <w:rFonts w:ascii="Calibri" w:hAnsi="Calibri" w:cs="Calibri"/>
          <w:sz w:val="22"/>
          <w:szCs w:val="22"/>
        </w:rPr>
        <w:t xml:space="preserve">, </w:t>
      </w:r>
      <w:r w:rsidR="007F4760" w:rsidRPr="00D9152B">
        <w:rPr>
          <w:rFonts w:ascii="Calibri" w:hAnsi="Calibri" w:cs="Calibri"/>
          <w:sz w:val="22"/>
          <w:szCs w:val="22"/>
        </w:rPr>
        <w:t xml:space="preserve">including in French, Japanese, and Arabic, </w:t>
      </w:r>
      <w:r w:rsidRPr="00D9152B">
        <w:rPr>
          <w:rFonts w:ascii="Calibri" w:hAnsi="Calibri" w:cs="Calibri"/>
          <w:sz w:val="22"/>
          <w:szCs w:val="22"/>
        </w:rPr>
        <w:t>after noting, ‘Response highly favourable: very useful tool to support aid budgets for oncho because it summari</w:t>
      </w:r>
      <w:r w:rsidR="002D31A3">
        <w:rPr>
          <w:rFonts w:ascii="Calibri" w:hAnsi="Calibri" w:cs="Calibri"/>
          <w:sz w:val="22"/>
          <w:szCs w:val="22"/>
        </w:rPr>
        <w:t>s</w:t>
      </w:r>
      <w:r w:rsidRPr="00D9152B">
        <w:rPr>
          <w:rFonts w:ascii="Calibri" w:hAnsi="Calibri" w:cs="Calibri"/>
          <w:sz w:val="22"/>
          <w:szCs w:val="22"/>
        </w:rPr>
        <w:t>es succinctly key aspects of the program’.</w:t>
      </w:r>
      <w:r w:rsidRPr="00D9152B">
        <w:rPr>
          <w:rStyle w:val="FootnoteReference"/>
          <w:rFonts w:ascii="Calibri" w:hAnsi="Calibri" w:cs="Calibri"/>
          <w:sz w:val="22"/>
          <w:szCs w:val="22"/>
        </w:rPr>
        <w:footnoteReference w:id="601"/>
      </w:r>
      <w:r w:rsidRPr="00D9152B">
        <w:rPr>
          <w:rFonts w:ascii="Calibri" w:hAnsi="Calibri" w:cs="Calibri"/>
          <w:sz w:val="22"/>
          <w:szCs w:val="22"/>
        </w:rPr>
        <w:t xml:space="preserve"> In addition to this kit, the Bank used strategically-timed press releases and press conferences to fundraise, again disseminating the same clear metrics. For instance, it hosted a highly publicized press conference with Bank President James Wolfensohn, Former United States President Jimmy Carter, WHO Director General Hiroshi Nakajima, and Merck’s Public Relations director in December 1995.</w:t>
      </w:r>
      <w:r w:rsidRPr="00D9152B">
        <w:rPr>
          <w:rStyle w:val="FootnoteReference"/>
          <w:rFonts w:ascii="Calibri" w:hAnsi="Calibri" w:cs="Calibri"/>
          <w:sz w:val="22"/>
          <w:szCs w:val="22"/>
        </w:rPr>
        <w:footnoteReference w:id="602"/>
      </w:r>
      <w:r w:rsidRPr="00D9152B">
        <w:rPr>
          <w:rFonts w:ascii="Calibri" w:hAnsi="Calibri" w:cs="Calibri"/>
          <w:sz w:val="22"/>
          <w:szCs w:val="22"/>
        </w:rPr>
        <w:t xml:space="preserve"> It also organized an ‘Oncho Week’ at Bank headquarters that month, which included these major figures in global health, donors, civil society organization heads, and ministers of health of 27 African countries.</w:t>
      </w:r>
      <w:r w:rsidRPr="00D9152B">
        <w:rPr>
          <w:rStyle w:val="FootnoteReference"/>
          <w:rFonts w:ascii="Calibri" w:hAnsi="Calibri" w:cs="Calibri"/>
          <w:sz w:val="22"/>
          <w:szCs w:val="22"/>
        </w:rPr>
        <w:footnoteReference w:id="603"/>
      </w:r>
      <w:r w:rsidRPr="00D9152B">
        <w:rPr>
          <w:rFonts w:ascii="Calibri" w:hAnsi="Calibri" w:cs="Calibri"/>
          <w:sz w:val="22"/>
          <w:szCs w:val="22"/>
        </w:rPr>
        <w:t xml:space="preserve"> </w:t>
      </w:r>
    </w:p>
    <w:p w14:paraId="77641AEB" w14:textId="64F22E08" w:rsidR="007F4760" w:rsidRPr="00D9152B" w:rsidRDefault="009A5A65" w:rsidP="007F4760">
      <w:pPr>
        <w:pStyle w:val="Heading4"/>
        <w:rPr>
          <w:rFonts w:ascii="Calibri" w:hAnsi="Calibri" w:cs="Calibri"/>
          <w:b/>
          <w:color w:val="000000" w:themeColor="text1"/>
        </w:rPr>
      </w:pPr>
      <w:r w:rsidRPr="00D9152B">
        <w:rPr>
          <w:rFonts w:ascii="Calibri" w:hAnsi="Calibri" w:cs="Calibri"/>
          <w:b/>
          <w:color w:val="000000" w:themeColor="text1"/>
        </w:rPr>
        <w:t>5.9</w:t>
      </w:r>
      <w:r w:rsidR="007F4760" w:rsidRPr="00D9152B">
        <w:rPr>
          <w:rFonts w:ascii="Calibri" w:hAnsi="Calibri" w:cs="Calibri"/>
          <w:b/>
          <w:color w:val="000000" w:themeColor="text1"/>
        </w:rPr>
        <w:t>.C. Systematic use of marketing tools: the example of Japan</w:t>
      </w:r>
    </w:p>
    <w:p w14:paraId="1514BB6E" w14:textId="48028880"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While the Bank was not ultimately effective in retaining Japan as a donor, its Japanese campaign shows how it used these engagement tools. When Japan declined to pledge in 1983, the</w:t>
      </w:r>
      <w:r w:rsidR="0028452B" w:rsidRPr="00D9152B">
        <w:rPr>
          <w:rFonts w:ascii="Calibri" w:hAnsi="Calibri" w:cs="Calibri"/>
          <w:sz w:val="22"/>
          <w:szCs w:val="22"/>
        </w:rPr>
        <w:t xml:space="preserve"> Bank met to discuss how to retain</w:t>
      </w:r>
      <w:r w:rsidRPr="00D9152B">
        <w:rPr>
          <w:rFonts w:ascii="Calibri" w:hAnsi="Calibri" w:cs="Calibri"/>
          <w:sz w:val="22"/>
          <w:szCs w:val="22"/>
        </w:rPr>
        <w:t xml:space="preserve"> Japanese support. In the 1980s, it had a five-pronged campaign to retain Japan’s contributions. First, the West African regional representatives and onchocerciasis technical specialists went to Japan for an ‘information gathering reconnaissance mission’. This mission was intended help them identify appropriate government, scientific, and news media contacts to promote the OCP. Second, the Bank sent </w:t>
      </w:r>
      <w:r w:rsidRPr="00D9152B">
        <w:rPr>
          <w:rFonts w:ascii="Calibri" w:hAnsi="Calibri" w:cs="Calibri"/>
          <w:i/>
          <w:sz w:val="22"/>
          <w:szCs w:val="22"/>
        </w:rPr>
        <w:t xml:space="preserve">A </w:t>
      </w:r>
      <w:r w:rsidR="00E73FA3" w:rsidRPr="00D9152B">
        <w:rPr>
          <w:rFonts w:ascii="Calibri" w:hAnsi="Calibri" w:cs="Calibri"/>
          <w:i/>
          <w:sz w:val="22"/>
          <w:szCs w:val="22"/>
        </w:rPr>
        <w:t>p</w:t>
      </w:r>
      <w:r w:rsidRPr="00D9152B">
        <w:rPr>
          <w:rFonts w:ascii="Calibri" w:hAnsi="Calibri" w:cs="Calibri"/>
          <w:i/>
          <w:sz w:val="22"/>
          <w:szCs w:val="22"/>
        </w:rPr>
        <w:t xml:space="preserve">lague </w:t>
      </w:r>
      <w:r w:rsidR="00E73FA3" w:rsidRPr="00D9152B">
        <w:rPr>
          <w:rFonts w:ascii="Calibri" w:hAnsi="Calibri" w:cs="Calibri"/>
          <w:i/>
          <w:sz w:val="22"/>
          <w:szCs w:val="22"/>
        </w:rPr>
        <w:t>u</w:t>
      </w:r>
      <w:r w:rsidRPr="00D9152B">
        <w:rPr>
          <w:rFonts w:ascii="Calibri" w:hAnsi="Calibri" w:cs="Calibri"/>
          <w:i/>
          <w:sz w:val="22"/>
          <w:szCs w:val="22"/>
        </w:rPr>
        <w:t xml:space="preserve">pon the </w:t>
      </w:r>
      <w:r w:rsidR="00E73FA3" w:rsidRPr="00D9152B">
        <w:rPr>
          <w:rFonts w:ascii="Calibri" w:hAnsi="Calibri" w:cs="Calibri"/>
          <w:i/>
          <w:sz w:val="22"/>
          <w:szCs w:val="22"/>
        </w:rPr>
        <w:t>l</w:t>
      </w:r>
      <w:r w:rsidRPr="00D9152B">
        <w:rPr>
          <w:rFonts w:ascii="Calibri" w:hAnsi="Calibri" w:cs="Calibri"/>
          <w:i/>
          <w:sz w:val="22"/>
          <w:szCs w:val="22"/>
        </w:rPr>
        <w:t xml:space="preserve">and </w:t>
      </w:r>
      <w:r w:rsidRPr="00D9152B">
        <w:rPr>
          <w:rFonts w:ascii="Calibri" w:hAnsi="Calibri" w:cs="Calibri"/>
          <w:sz w:val="22"/>
          <w:szCs w:val="22"/>
        </w:rPr>
        <w:t>and specific programme documents to its Japanese peers. Distinct documents were intended to show the ‘viability of program and need for extension’, ‘agreement on priorities’, ‘priority given to OCP by Bank’, and ‘optimism for future’.</w:t>
      </w:r>
      <w:r w:rsidRPr="00D9152B">
        <w:rPr>
          <w:rStyle w:val="FootnoteReference"/>
          <w:rFonts w:ascii="Calibri" w:hAnsi="Calibri" w:cs="Calibri"/>
          <w:sz w:val="22"/>
          <w:szCs w:val="22"/>
        </w:rPr>
        <w:footnoteReference w:id="604"/>
      </w:r>
      <w:r w:rsidRPr="00D9152B">
        <w:rPr>
          <w:rFonts w:ascii="Calibri" w:hAnsi="Calibri" w:cs="Calibri"/>
          <w:sz w:val="22"/>
          <w:szCs w:val="22"/>
        </w:rPr>
        <w:t xml:space="preserve"> Third, the Bank translated </w:t>
      </w:r>
      <w:r w:rsidRPr="00D9152B">
        <w:rPr>
          <w:rFonts w:ascii="Calibri" w:hAnsi="Calibri" w:cs="Calibri"/>
          <w:i/>
          <w:sz w:val="22"/>
          <w:szCs w:val="22"/>
        </w:rPr>
        <w:t xml:space="preserve">Mara </w:t>
      </w:r>
      <w:r w:rsidRPr="00D9152B">
        <w:rPr>
          <w:rFonts w:ascii="Calibri" w:hAnsi="Calibri" w:cs="Calibri"/>
          <w:sz w:val="22"/>
          <w:szCs w:val="22"/>
        </w:rPr>
        <w:t>into Japanese and showed it at its headquarters to a visiting Japanese delegation, to showcase the OCP’s success.</w:t>
      </w:r>
      <w:r w:rsidRPr="00D9152B">
        <w:rPr>
          <w:rStyle w:val="FootnoteReference"/>
          <w:rFonts w:ascii="Calibri" w:hAnsi="Calibri" w:cs="Calibri"/>
          <w:sz w:val="22"/>
          <w:szCs w:val="22"/>
        </w:rPr>
        <w:footnoteReference w:id="605"/>
      </w:r>
      <w:r w:rsidRPr="00D9152B">
        <w:rPr>
          <w:rFonts w:ascii="Calibri" w:hAnsi="Calibri" w:cs="Calibri"/>
          <w:sz w:val="22"/>
          <w:szCs w:val="22"/>
        </w:rPr>
        <w:t xml:space="preserve"> Fourth, Samba visited Japan with a delegation, to meet with the </w:t>
      </w:r>
      <w:r w:rsidR="0028452B" w:rsidRPr="00D9152B">
        <w:rPr>
          <w:rFonts w:ascii="Calibri" w:hAnsi="Calibri" w:cs="Calibri"/>
          <w:sz w:val="22"/>
          <w:szCs w:val="22"/>
        </w:rPr>
        <w:t>m</w:t>
      </w:r>
      <w:r w:rsidRPr="00D9152B">
        <w:rPr>
          <w:rFonts w:ascii="Calibri" w:hAnsi="Calibri" w:cs="Calibri"/>
          <w:sz w:val="22"/>
          <w:szCs w:val="22"/>
        </w:rPr>
        <w:t xml:space="preserve">inister of </w:t>
      </w:r>
      <w:r w:rsidR="0028452B" w:rsidRPr="00D9152B">
        <w:rPr>
          <w:rFonts w:ascii="Calibri" w:hAnsi="Calibri" w:cs="Calibri"/>
          <w:sz w:val="22"/>
          <w:szCs w:val="22"/>
        </w:rPr>
        <w:t>foreign a</w:t>
      </w:r>
      <w:r w:rsidRPr="00D9152B">
        <w:rPr>
          <w:rFonts w:ascii="Calibri" w:hAnsi="Calibri" w:cs="Calibri"/>
          <w:sz w:val="22"/>
          <w:szCs w:val="22"/>
        </w:rPr>
        <w:t>ffairs.</w:t>
      </w:r>
      <w:r w:rsidRPr="00D9152B">
        <w:rPr>
          <w:rStyle w:val="FootnoteReference"/>
          <w:rFonts w:ascii="Calibri" w:hAnsi="Calibri" w:cs="Calibri"/>
          <w:sz w:val="22"/>
          <w:szCs w:val="22"/>
        </w:rPr>
        <w:footnoteReference w:id="606"/>
      </w:r>
      <w:r w:rsidRPr="00D9152B">
        <w:rPr>
          <w:rFonts w:ascii="Calibri" w:hAnsi="Calibri" w:cs="Calibri"/>
          <w:sz w:val="22"/>
          <w:szCs w:val="22"/>
        </w:rPr>
        <w:t xml:space="preserve"> And, fifth, the Bank and Samba emphasized metrics as much as possible with </w:t>
      </w:r>
      <w:r w:rsidRPr="00D9152B">
        <w:rPr>
          <w:rFonts w:ascii="Calibri" w:hAnsi="Calibri" w:cs="Calibri"/>
          <w:sz w:val="22"/>
          <w:szCs w:val="22"/>
        </w:rPr>
        <w:lastRenderedPageBreak/>
        <w:t>Japanese contacts, to showcase ‘concrete results’ and the Bank’s own priority for the programme.</w:t>
      </w:r>
      <w:r w:rsidRPr="00D9152B">
        <w:rPr>
          <w:rStyle w:val="FootnoteReference"/>
          <w:rFonts w:ascii="Calibri" w:hAnsi="Calibri" w:cs="Calibri"/>
          <w:sz w:val="22"/>
          <w:szCs w:val="22"/>
        </w:rPr>
        <w:footnoteReference w:id="607"/>
      </w:r>
    </w:p>
    <w:p w14:paraId="576737FC" w14:textId="7A1206A7" w:rsidR="00AC7848" w:rsidRPr="00D9152B" w:rsidRDefault="009A5A65" w:rsidP="00A50782">
      <w:pPr>
        <w:pStyle w:val="Heading2"/>
        <w:ind w:left="567" w:hanging="567"/>
        <w:rPr>
          <w:rFonts w:ascii="Calibri" w:hAnsi="Calibri" w:cs="Calibri"/>
          <w:b/>
          <w:sz w:val="26"/>
          <w:szCs w:val="26"/>
        </w:rPr>
      </w:pPr>
      <w:bookmarkStart w:id="97" w:name="_Toc41505670"/>
      <w:r w:rsidRPr="00D9152B">
        <w:rPr>
          <w:rFonts w:ascii="Calibri" w:hAnsi="Calibri" w:cs="Calibri"/>
          <w:b/>
          <w:sz w:val="26"/>
          <w:szCs w:val="26"/>
        </w:rPr>
        <w:t>5.</w:t>
      </w:r>
      <w:r w:rsidR="00984DC0" w:rsidRPr="00D9152B">
        <w:rPr>
          <w:rFonts w:ascii="Calibri" w:hAnsi="Calibri" w:cs="Calibri"/>
          <w:b/>
          <w:sz w:val="26"/>
          <w:szCs w:val="26"/>
        </w:rPr>
        <w:t>9</w:t>
      </w:r>
      <w:r w:rsidR="00412DF9" w:rsidRPr="00D9152B">
        <w:rPr>
          <w:rFonts w:ascii="Calibri" w:hAnsi="Calibri" w:cs="Calibri"/>
          <w:b/>
          <w:sz w:val="26"/>
          <w:szCs w:val="26"/>
        </w:rPr>
        <w:t>. Conclusion</w:t>
      </w:r>
      <w:bookmarkEnd w:id="97"/>
    </w:p>
    <w:p w14:paraId="609F2F87" w14:textId="65ED1AEC" w:rsidR="00AC7848" w:rsidRPr="00D9152B" w:rsidRDefault="00AC7848" w:rsidP="005C7F9F">
      <w:pPr>
        <w:spacing w:before="100" w:beforeAutospacing="1" w:after="100" w:afterAutospacing="1" w:line="360" w:lineRule="auto"/>
        <w:rPr>
          <w:rFonts w:ascii="Calibri" w:hAnsi="Calibri" w:cs="Calibri"/>
          <w:sz w:val="22"/>
          <w:szCs w:val="22"/>
        </w:rPr>
      </w:pPr>
      <w:r w:rsidRPr="00D9152B">
        <w:rPr>
          <w:rFonts w:ascii="Calibri" w:hAnsi="Calibri" w:cs="Calibri"/>
        </w:rPr>
        <w:tab/>
      </w:r>
      <w:r w:rsidRPr="00D9152B">
        <w:rPr>
          <w:rFonts w:ascii="Calibri" w:hAnsi="Calibri" w:cs="Calibri"/>
          <w:sz w:val="22"/>
          <w:szCs w:val="22"/>
        </w:rPr>
        <w:t xml:space="preserve">The OCP began as a financial experiment at the Bank. McNamara’s ad hoc decision that the Bank could finance special programmes through a combination of a trust fund and Bank grants set the stage for a new type of development financing for health. The OCP partnership was not particularly novel in terms of its actual donors; most donors were sovereign states that had major voting power at the Bank and were regular contributors to the WHO. What was novel was the Bank’s ‘catalytic’ contribution – its use of its own grant donations as a ‘carrot’ for donor investments in health – and that most major members of this donor coalition stayed on board for nearly forty years. This steady donor coalition was at least as much a consequence of the Bank’s growing role as a public relations-savvy fundraiser as </w:t>
      </w:r>
      <w:r w:rsidR="00E30696">
        <w:rPr>
          <w:rFonts w:ascii="Calibri" w:hAnsi="Calibri" w:cs="Calibri"/>
          <w:sz w:val="22"/>
          <w:szCs w:val="22"/>
        </w:rPr>
        <w:t xml:space="preserve">of its </w:t>
      </w:r>
      <w:r w:rsidRPr="00D9152B">
        <w:rPr>
          <w:rFonts w:ascii="Calibri" w:hAnsi="Calibri" w:cs="Calibri"/>
          <w:sz w:val="22"/>
          <w:szCs w:val="22"/>
        </w:rPr>
        <w:t xml:space="preserve">actual progress in preventing onchocerciasis. </w:t>
      </w:r>
      <w:r w:rsidR="009337D3">
        <w:rPr>
          <w:rFonts w:ascii="Calibri" w:hAnsi="Calibri" w:cs="Calibri"/>
          <w:sz w:val="22"/>
          <w:szCs w:val="22"/>
        </w:rPr>
        <w:t>This financial analysis admittedly omits a major flow of financing during the OCP: AFRO and country office’s precise roles in programmatic budgeting and disbursement of funds. Future research should consider the wider role and programmatic implications of external financial support at AFRO, by obtaining financial records from the WHO archives in Brazzaville.</w:t>
      </w:r>
    </w:p>
    <w:p w14:paraId="55EF28EE" w14:textId="338A9D85"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Ultimately, the Bank recognized the power of public relations and high-level buy-in for maintaining healthy trust funds. In 1997, it commissioned a bronze statue of the onchocerciasis image, at the cost of about $250,000, for Bank headquarters.</w:t>
      </w:r>
      <w:r w:rsidRPr="00D9152B">
        <w:rPr>
          <w:rStyle w:val="FootnoteReference"/>
          <w:rFonts w:ascii="Calibri" w:hAnsi="Calibri" w:cs="Calibri"/>
          <w:sz w:val="22"/>
          <w:szCs w:val="22"/>
        </w:rPr>
        <w:footnoteReference w:id="608"/>
      </w:r>
      <w:r w:rsidRPr="00D9152B">
        <w:rPr>
          <w:rFonts w:ascii="Calibri" w:hAnsi="Calibri" w:cs="Calibri"/>
          <w:sz w:val="22"/>
          <w:szCs w:val="22"/>
        </w:rPr>
        <w:t xml:space="preserve"> This statue was unveiled by the heads of the Bank, WHO, FAO, and Merck, who pointed to how a successful partnership was ‘illustrative of the possibility of development to assist in yielding significant humanitarian and economic payoffs’. The unveiling was accompanied by a pledge to eliminate onchocerciasis as a public health threat by 2007.</w:t>
      </w:r>
      <w:r w:rsidRPr="00D9152B">
        <w:rPr>
          <w:rStyle w:val="FootnoteReference"/>
          <w:rFonts w:ascii="Calibri" w:hAnsi="Calibri" w:cs="Calibri"/>
          <w:sz w:val="22"/>
          <w:szCs w:val="22"/>
        </w:rPr>
        <w:footnoteReference w:id="609"/>
      </w:r>
      <w:r w:rsidRPr="00D9152B">
        <w:rPr>
          <w:rFonts w:ascii="Calibri" w:hAnsi="Calibri" w:cs="Calibri"/>
          <w:sz w:val="22"/>
          <w:szCs w:val="22"/>
        </w:rPr>
        <w:t xml:space="preserve"> While this (unsuccessful) pledge is rarely remembered today, the statues have remained. They stand as a tribute to the success of a novel partnership.</w:t>
      </w:r>
    </w:p>
    <w:p w14:paraId="530218F6" w14:textId="4C84DF9C" w:rsidR="00AC7848" w:rsidRPr="00D9152B" w:rsidRDefault="00AC7848" w:rsidP="005C7F9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lastRenderedPageBreak/>
        <w:t>Instead of taking the OCP’s financing success for granted, or asking what made i</w:t>
      </w:r>
      <w:r w:rsidR="007F4760" w:rsidRPr="00D9152B">
        <w:rPr>
          <w:rFonts w:ascii="Calibri" w:hAnsi="Calibri" w:cs="Calibri"/>
          <w:sz w:val="22"/>
          <w:szCs w:val="22"/>
        </w:rPr>
        <w:t>t successful, what if global health researchers and policymakers</w:t>
      </w:r>
      <w:r w:rsidRPr="00D9152B">
        <w:rPr>
          <w:rFonts w:ascii="Calibri" w:hAnsi="Calibri" w:cs="Calibri"/>
          <w:sz w:val="22"/>
          <w:szCs w:val="22"/>
        </w:rPr>
        <w:t xml:space="preserve"> instead </w:t>
      </w:r>
      <w:r w:rsidR="007F4760" w:rsidRPr="00D9152B">
        <w:rPr>
          <w:rFonts w:ascii="Calibri" w:hAnsi="Calibri" w:cs="Calibri"/>
          <w:sz w:val="22"/>
          <w:szCs w:val="22"/>
        </w:rPr>
        <w:t>thought</w:t>
      </w:r>
      <w:r w:rsidRPr="00D9152B">
        <w:rPr>
          <w:rFonts w:ascii="Calibri" w:hAnsi="Calibri" w:cs="Calibri"/>
          <w:sz w:val="22"/>
          <w:szCs w:val="22"/>
        </w:rPr>
        <w:t xml:space="preserve"> about the </w:t>
      </w:r>
      <w:r w:rsidR="007F4760" w:rsidRPr="00D9152B">
        <w:rPr>
          <w:rFonts w:ascii="Calibri" w:hAnsi="Calibri" w:cs="Calibri"/>
          <w:sz w:val="22"/>
          <w:szCs w:val="22"/>
        </w:rPr>
        <w:t xml:space="preserve">specific </w:t>
      </w:r>
      <w:r w:rsidRPr="00D9152B">
        <w:rPr>
          <w:rFonts w:ascii="Calibri" w:hAnsi="Calibri" w:cs="Calibri"/>
          <w:sz w:val="22"/>
          <w:szCs w:val="22"/>
        </w:rPr>
        <w:t xml:space="preserve">operational lessons that it raises? </w:t>
      </w:r>
      <w:r w:rsidR="007F4760" w:rsidRPr="00D9152B">
        <w:rPr>
          <w:rFonts w:ascii="Calibri" w:hAnsi="Calibri" w:cs="Calibri"/>
          <w:sz w:val="22"/>
          <w:szCs w:val="22"/>
        </w:rPr>
        <w:t>One</w:t>
      </w:r>
      <w:r w:rsidRPr="00D9152B">
        <w:rPr>
          <w:rFonts w:ascii="Calibri" w:hAnsi="Calibri" w:cs="Calibri"/>
          <w:sz w:val="22"/>
          <w:szCs w:val="22"/>
        </w:rPr>
        <w:t xml:space="preserve"> could ask, for</w:t>
      </w:r>
      <w:r w:rsidR="007F4760" w:rsidRPr="00D9152B">
        <w:rPr>
          <w:rFonts w:ascii="Calibri" w:hAnsi="Calibri" w:cs="Calibri"/>
          <w:sz w:val="22"/>
          <w:szCs w:val="22"/>
        </w:rPr>
        <w:t xml:space="preserve"> instance, what techniques the onchocerciasis u</w:t>
      </w:r>
      <w:r w:rsidRPr="00D9152B">
        <w:rPr>
          <w:rFonts w:ascii="Calibri" w:hAnsi="Calibri" w:cs="Calibri"/>
          <w:sz w:val="22"/>
          <w:szCs w:val="22"/>
        </w:rPr>
        <w:t xml:space="preserve">nit used to keep together a broad donor coalition for a long period of time, and in what contexts these may be replicable. Or, </w:t>
      </w:r>
      <w:r w:rsidR="007F4760" w:rsidRPr="00D9152B">
        <w:rPr>
          <w:rFonts w:ascii="Calibri" w:hAnsi="Calibri" w:cs="Calibri"/>
          <w:sz w:val="22"/>
          <w:szCs w:val="22"/>
        </w:rPr>
        <w:t>one</w:t>
      </w:r>
      <w:r w:rsidRPr="00D9152B">
        <w:rPr>
          <w:rFonts w:ascii="Calibri" w:hAnsi="Calibri" w:cs="Calibri"/>
          <w:sz w:val="22"/>
          <w:szCs w:val="22"/>
        </w:rPr>
        <w:t xml:space="preserve"> could think about what operational aspects </w:t>
      </w:r>
      <w:r w:rsidRPr="00D9152B">
        <w:rPr>
          <w:rFonts w:ascii="Calibri" w:hAnsi="Calibri" w:cs="Calibri"/>
          <w:i/>
          <w:sz w:val="22"/>
          <w:szCs w:val="22"/>
        </w:rPr>
        <w:t xml:space="preserve">failed </w:t>
      </w:r>
      <w:r w:rsidRPr="00D9152B">
        <w:rPr>
          <w:rFonts w:ascii="Calibri" w:hAnsi="Calibri" w:cs="Calibri"/>
          <w:sz w:val="22"/>
          <w:szCs w:val="22"/>
        </w:rPr>
        <w:t xml:space="preserve">during the OCP. Understanding what has not worked in global health </w:t>
      </w:r>
      <w:r w:rsidR="007F4760" w:rsidRPr="00D9152B">
        <w:rPr>
          <w:rFonts w:ascii="Calibri" w:hAnsi="Calibri" w:cs="Calibri"/>
          <w:sz w:val="22"/>
          <w:szCs w:val="22"/>
        </w:rPr>
        <w:t>may provide more lessons than</w:t>
      </w:r>
      <w:r w:rsidRPr="00D9152B">
        <w:rPr>
          <w:rFonts w:ascii="Calibri" w:hAnsi="Calibri" w:cs="Calibri"/>
          <w:sz w:val="22"/>
          <w:szCs w:val="22"/>
        </w:rPr>
        <w:t xml:space="preserve"> what Yogesh Rajkotia has recently termed the global health ‘success cartel’.</w:t>
      </w:r>
      <w:r w:rsidRPr="00D9152B">
        <w:rPr>
          <w:rStyle w:val="FootnoteReference"/>
          <w:rFonts w:ascii="Calibri" w:hAnsi="Calibri" w:cs="Calibri"/>
          <w:sz w:val="22"/>
          <w:szCs w:val="22"/>
        </w:rPr>
        <w:footnoteReference w:id="610"/>
      </w:r>
    </w:p>
    <w:p w14:paraId="128481CB" w14:textId="67EB1335" w:rsidR="00AC7848" w:rsidRDefault="00AC7848" w:rsidP="005C7F9F">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ab/>
        <w:t>For instance, an alternative analysis of the OCP’s financing yields at least seven operational lessons. First, public relations campaigns have the power to ‘sell’ global health, in a way often disproportionate to the actual burden of disease. Diseases like onchocerciasis, which can deeply, visually connect to donors (the gift of sight is, after all, a biblical miracle), can even be packaged to fundraise for the integrated control of less visually vivid diseases, like schistosomiasis or soil-transmitted helminthic infections. And, the right public relations can transform a programme like the</w:t>
      </w:r>
      <w:r w:rsidR="007F4760" w:rsidRPr="00D9152B">
        <w:rPr>
          <w:rFonts w:ascii="Calibri" w:hAnsi="Calibri" w:cs="Calibri"/>
          <w:sz w:val="22"/>
          <w:szCs w:val="22"/>
        </w:rPr>
        <w:t xml:space="preserve"> OCP – which expended about 70 percent </w:t>
      </w:r>
      <w:r w:rsidRPr="00D9152B">
        <w:rPr>
          <w:rFonts w:ascii="Calibri" w:hAnsi="Calibri" w:cs="Calibri"/>
          <w:sz w:val="22"/>
          <w:szCs w:val="22"/>
        </w:rPr>
        <w:t xml:space="preserve">of its resources on vector control – into a health system strengthening programme in the eyes of the global health community. Second, major leader buy-in can go a long way in selling a programme and maintaining the flexibility of its financing mechanisms. Figure </w:t>
      </w:r>
      <w:r w:rsidR="00940949">
        <w:rPr>
          <w:rFonts w:ascii="Calibri" w:hAnsi="Calibri" w:cs="Calibri"/>
          <w:sz w:val="22"/>
          <w:szCs w:val="22"/>
        </w:rPr>
        <w:t>5.</w:t>
      </w:r>
      <w:r w:rsidRPr="00D9152B">
        <w:rPr>
          <w:rFonts w:ascii="Calibri" w:hAnsi="Calibri" w:cs="Calibri"/>
          <w:sz w:val="22"/>
          <w:szCs w:val="22"/>
        </w:rPr>
        <w:t>1</w:t>
      </w:r>
      <w:r w:rsidR="007F4760" w:rsidRPr="00D9152B">
        <w:rPr>
          <w:rFonts w:ascii="Calibri" w:hAnsi="Calibri" w:cs="Calibri"/>
          <w:sz w:val="22"/>
          <w:szCs w:val="22"/>
        </w:rPr>
        <w:t>3</w:t>
      </w:r>
      <w:r w:rsidRPr="00D9152B">
        <w:rPr>
          <w:rFonts w:ascii="Calibri" w:hAnsi="Calibri" w:cs="Calibri"/>
          <w:sz w:val="22"/>
          <w:szCs w:val="22"/>
        </w:rPr>
        <w:t xml:space="preserve"> shows former Bank President McNamara, attending the signing ceremony for Phase IV of the programme in 1992 with then President Lewis Preston. This was ten years after McNamara’s tenure ended at the Bank.</w:t>
      </w:r>
    </w:p>
    <w:p w14:paraId="404CBEE8" w14:textId="77777777" w:rsidR="00546CBA" w:rsidRPr="00D9152B" w:rsidRDefault="00546CBA" w:rsidP="005C7F9F">
      <w:pPr>
        <w:spacing w:before="100" w:beforeAutospacing="1" w:after="100" w:afterAutospacing="1" w:line="360" w:lineRule="auto"/>
        <w:rPr>
          <w:rFonts w:ascii="Calibri" w:hAnsi="Calibri" w:cs="Calibri"/>
          <w:sz w:val="22"/>
          <w:szCs w:val="22"/>
        </w:rPr>
      </w:pPr>
    </w:p>
    <w:p w14:paraId="0073F5DB" w14:textId="77777777" w:rsidR="00AC7848" w:rsidRPr="00D9152B" w:rsidRDefault="00AC7848" w:rsidP="00A50782">
      <w:pPr>
        <w:jc w:val="center"/>
        <w:rPr>
          <w:rFonts w:ascii="Calibri" w:hAnsi="Calibri" w:cs="Calibri"/>
          <w:color w:val="808080" w:themeColor="background1" w:themeShade="80"/>
        </w:rPr>
      </w:pPr>
      <w:r w:rsidRPr="00D9152B">
        <w:rPr>
          <w:rFonts w:ascii="Calibri" w:hAnsi="Calibri" w:cs="Calibri"/>
          <w:noProof/>
          <w:color w:val="808080" w:themeColor="background1" w:themeShade="80"/>
          <w:lang w:eastAsia="en-GB"/>
        </w:rPr>
        <w:lastRenderedPageBreak/>
        <w:drawing>
          <wp:inline distT="0" distB="0" distL="0" distR="0" wp14:anchorId="71C30C19" wp14:editId="43B09258">
            <wp:extent cx="3469640" cy="2041743"/>
            <wp:effectExtent l="0" t="0" r="0" b="3175"/>
            <wp:docPr id="129" name="Picture 129"/>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533741" cy="2079464"/>
                    </a:xfrm>
                    <a:prstGeom prst="rect">
                      <a:avLst/>
                    </a:prstGeom>
                    <a:noFill/>
                    <a:ln>
                      <a:noFill/>
                    </a:ln>
                  </pic:spPr>
                </pic:pic>
              </a:graphicData>
            </a:graphic>
          </wp:inline>
        </w:drawing>
      </w:r>
    </w:p>
    <w:p w14:paraId="2C3C1DED" w14:textId="77777777" w:rsidR="00A50782" w:rsidRPr="00D9152B" w:rsidRDefault="00A50782" w:rsidP="00A50782">
      <w:pPr>
        <w:jc w:val="both"/>
        <w:rPr>
          <w:rFonts w:ascii="Calibri" w:hAnsi="Calibri" w:cs="Calibri"/>
          <w:color w:val="808080" w:themeColor="background1" w:themeShade="80"/>
        </w:rPr>
      </w:pPr>
    </w:p>
    <w:p w14:paraId="7BAB935E" w14:textId="0D4F6002" w:rsidR="00AC7848" w:rsidRPr="00D9152B" w:rsidRDefault="00AC7848" w:rsidP="00A50782">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940949">
        <w:rPr>
          <w:rFonts w:ascii="Calibri" w:hAnsi="Calibri" w:cs="Calibri"/>
          <w:color w:val="808080" w:themeColor="background1" w:themeShade="80"/>
          <w:sz w:val="22"/>
          <w:szCs w:val="22"/>
        </w:rPr>
        <w:t>5.</w:t>
      </w:r>
      <w:r w:rsidRPr="00D9152B">
        <w:rPr>
          <w:rFonts w:ascii="Calibri" w:hAnsi="Calibri" w:cs="Calibri"/>
          <w:color w:val="808080" w:themeColor="background1" w:themeShade="80"/>
          <w:sz w:val="22"/>
          <w:szCs w:val="22"/>
        </w:rPr>
        <w:t>1</w:t>
      </w:r>
      <w:r w:rsidR="007F4760" w:rsidRPr="00D9152B">
        <w:rPr>
          <w:rFonts w:ascii="Calibri" w:hAnsi="Calibri" w:cs="Calibri"/>
          <w:color w:val="808080" w:themeColor="background1" w:themeShade="80"/>
          <w:sz w:val="22"/>
          <w:szCs w:val="22"/>
        </w:rPr>
        <w:t>3</w:t>
      </w:r>
      <w:r w:rsidRPr="00D9152B">
        <w:rPr>
          <w:rFonts w:ascii="Calibri" w:hAnsi="Calibri" w:cs="Calibri"/>
          <w:color w:val="808080" w:themeColor="background1" w:themeShade="80"/>
          <w:sz w:val="22"/>
          <w:szCs w:val="22"/>
        </w:rPr>
        <w:t>. Robert McNamara and Lewis Preston at the heavily publicized Phase IV Agreement signing ceremony.</w:t>
      </w:r>
      <w:r w:rsidRPr="00D9152B">
        <w:rPr>
          <w:rStyle w:val="FootnoteReference"/>
          <w:rFonts w:ascii="Calibri" w:hAnsi="Calibri" w:cs="Calibri"/>
          <w:color w:val="808080" w:themeColor="background1" w:themeShade="80"/>
          <w:sz w:val="22"/>
          <w:szCs w:val="22"/>
        </w:rPr>
        <w:footnoteReference w:id="611"/>
      </w:r>
    </w:p>
    <w:p w14:paraId="67E585CE" w14:textId="4FFB6DD8" w:rsidR="00E84F69" w:rsidRPr="00D9152B" w:rsidRDefault="00AC7848" w:rsidP="003673B7">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Third, donors are attracted to flexible pledging mechanisms, and may be willing to give up intra-programme earmarking with th</w:t>
      </w:r>
      <w:r w:rsidR="007F4760" w:rsidRPr="00D9152B">
        <w:rPr>
          <w:rFonts w:ascii="Calibri" w:hAnsi="Calibri" w:cs="Calibri"/>
          <w:sz w:val="22"/>
          <w:szCs w:val="22"/>
        </w:rPr>
        <w:t xml:space="preserve">e right incentives. </w:t>
      </w:r>
      <w:r w:rsidR="00AE36C8" w:rsidRPr="00D9152B">
        <w:rPr>
          <w:rFonts w:ascii="Calibri" w:hAnsi="Calibri" w:cs="Calibri"/>
          <w:sz w:val="22"/>
          <w:szCs w:val="22"/>
        </w:rPr>
        <w:t>This</w:t>
      </w:r>
      <w:r w:rsidRPr="00D9152B">
        <w:rPr>
          <w:rFonts w:ascii="Calibri" w:hAnsi="Calibri" w:cs="Calibri"/>
          <w:sz w:val="22"/>
          <w:szCs w:val="22"/>
        </w:rPr>
        <w:t xml:space="preserve"> lesson appears to have been overlooked when designing the </w:t>
      </w:r>
      <w:r w:rsidR="007F4760" w:rsidRPr="00D9152B">
        <w:rPr>
          <w:rFonts w:ascii="Calibri" w:hAnsi="Calibri" w:cs="Calibri"/>
          <w:sz w:val="22"/>
          <w:szCs w:val="22"/>
        </w:rPr>
        <w:t xml:space="preserve">new Expanded Special </w:t>
      </w:r>
      <w:r w:rsidR="00F7697C" w:rsidRPr="00D9152B">
        <w:rPr>
          <w:rFonts w:ascii="Calibri" w:hAnsi="Calibri" w:cs="Calibri"/>
          <w:sz w:val="22"/>
          <w:szCs w:val="22"/>
        </w:rPr>
        <w:t>Project</w:t>
      </w:r>
      <w:r w:rsidR="007F4760" w:rsidRPr="00D9152B">
        <w:rPr>
          <w:rFonts w:ascii="Calibri" w:hAnsi="Calibri" w:cs="Calibri"/>
          <w:sz w:val="22"/>
          <w:szCs w:val="22"/>
        </w:rPr>
        <w:t xml:space="preserve"> for Elimination of </w:t>
      </w:r>
      <w:r w:rsidR="00940949">
        <w:rPr>
          <w:rFonts w:ascii="Calibri" w:hAnsi="Calibri" w:cs="Calibri"/>
          <w:sz w:val="22"/>
          <w:szCs w:val="22"/>
        </w:rPr>
        <w:t>Neglected Tropical Diseases</w:t>
      </w:r>
      <w:r w:rsidRPr="00D9152B">
        <w:rPr>
          <w:rFonts w:ascii="Calibri" w:hAnsi="Calibri" w:cs="Calibri"/>
          <w:sz w:val="22"/>
          <w:szCs w:val="22"/>
        </w:rPr>
        <w:t xml:space="preserve">. Fourth, having a specific allocation (budgetary line) for a programme area can be extremely important. For example, the OCP was able to channel resources towards chemotherapy through the </w:t>
      </w:r>
      <w:r w:rsidR="000B209F" w:rsidRPr="00D9152B">
        <w:rPr>
          <w:rFonts w:ascii="Calibri" w:hAnsi="Calibri" w:cs="Calibri"/>
          <w:sz w:val="22"/>
          <w:szCs w:val="22"/>
        </w:rPr>
        <w:t>Onchocerciasis</w:t>
      </w:r>
      <w:r w:rsidRPr="00D9152B">
        <w:rPr>
          <w:rFonts w:ascii="Calibri" w:hAnsi="Calibri" w:cs="Calibri"/>
          <w:sz w:val="22"/>
          <w:szCs w:val="22"/>
        </w:rPr>
        <w:t xml:space="preserve"> Fund budget, but the Bank struggled to attract bilateral funding for critical socio-economic development and devolution initiatives. Fifth, having frequent donor meetings – both in times of financial health and peril – can go a long way in maintaining fiscal stability, by building channels of communication and trust. Sixth, the presence a long-term financial coordinator with deep regional experience promotes financial stability, even though this is at odds with the Bank’s model of quick staff turnover between positions. Bruce Benton </w:t>
      </w:r>
      <w:r w:rsidR="007F4760" w:rsidRPr="00D9152B">
        <w:rPr>
          <w:rFonts w:ascii="Calibri" w:hAnsi="Calibri" w:cs="Calibri"/>
          <w:sz w:val="22"/>
          <w:szCs w:val="22"/>
        </w:rPr>
        <w:t>had a nearly 20-year tenure as onchocerciasis c</w:t>
      </w:r>
      <w:r w:rsidRPr="00D9152B">
        <w:rPr>
          <w:rFonts w:ascii="Calibri" w:hAnsi="Calibri" w:cs="Calibri"/>
          <w:sz w:val="22"/>
          <w:szCs w:val="22"/>
        </w:rPr>
        <w:t>oordinator and years of experience in Africa, which helped with strategic donor relations. Seventh, having a small operational research budget can be critical, if the programme is relying on technology that may become less effectual over time. Finally, budgetary transparency is a major reason that donors contribute to trust funds. While this transparency often does not trickle down to external researchers, being able to point directly to programme costs and their direct outputs can be extremely motivating to donors</w:t>
      </w:r>
      <w:r w:rsidR="003673B7" w:rsidRPr="00D9152B">
        <w:rPr>
          <w:rFonts w:ascii="Calibri" w:hAnsi="Calibri" w:cs="Calibri"/>
          <w:sz w:val="22"/>
          <w:szCs w:val="22"/>
        </w:rPr>
        <w:t>.</w:t>
      </w:r>
      <w:r w:rsidR="00940949">
        <w:rPr>
          <w:rFonts w:ascii="Calibri" w:hAnsi="Calibri" w:cs="Calibri"/>
          <w:sz w:val="22"/>
          <w:szCs w:val="22"/>
        </w:rPr>
        <w:t xml:space="preserve"> These ‘underlying’ lessons are summarised in Figure 5.14.</w:t>
      </w:r>
    </w:p>
    <w:p w14:paraId="17F0DC42" w14:textId="5CFD315B" w:rsidR="00E84F69" w:rsidRPr="00D9152B" w:rsidRDefault="003673B7" w:rsidP="00F52631">
      <w:pPr>
        <w:spacing w:before="100" w:beforeAutospacing="1" w:after="100" w:afterAutospacing="1" w:line="360" w:lineRule="auto"/>
        <w:rPr>
          <w:rFonts w:ascii="Calibri" w:hAnsi="Calibri" w:cs="Calibri"/>
          <w:color w:val="808080" w:themeColor="background1" w:themeShade="80"/>
          <w:sz w:val="22"/>
          <w:szCs w:val="22"/>
        </w:rPr>
      </w:pPr>
      <w:r w:rsidRPr="00D9152B">
        <w:rPr>
          <w:rFonts w:ascii="Calibri" w:hAnsi="Calibri" w:cs="Calibri"/>
          <w:noProof/>
          <w:lang w:eastAsia="en-GB"/>
        </w:rPr>
        <w:lastRenderedPageBreak/>
        <w:drawing>
          <wp:inline distT="0" distB="0" distL="0" distR="0" wp14:anchorId="6DA73592" wp14:editId="422CC15A">
            <wp:extent cx="5334000" cy="5143500"/>
            <wp:effectExtent l="0" t="0" r="1270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2" r:lo="rId83" r:qs="rId84" r:cs="rId85"/>
              </a:graphicData>
            </a:graphic>
          </wp:inline>
        </w:drawing>
      </w:r>
      <w:r w:rsidRPr="00D9152B">
        <w:rPr>
          <w:rFonts w:ascii="Calibri" w:hAnsi="Calibri" w:cs="Calibri"/>
          <w:color w:val="808080" w:themeColor="background1" w:themeShade="80"/>
          <w:sz w:val="22"/>
          <w:szCs w:val="22"/>
        </w:rPr>
        <w:t>Figure 14</w:t>
      </w:r>
      <w:r w:rsidR="00E84F69" w:rsidRPr="00D9152B">
        <w:rPr>
          <w:rFonts w:ascii="Calibri" w:hAnsi="Calibri" w:cs="Calibri"/>
          <w:color w:val="808080" w:themeColor="background1" w:themeShade="80"/>
          <w:sz w:val="22"/>
          <w:szCs w:val="22"/>
        </w:rPr>
        <w:t xml:space="preserve">. Summary of </w:t>
      </w:r>
      <w:r w:rsidRPr="00D9152B">
        <w:rPr>
          <w:rFonts w:ascii="Calibri" w:hAnsi="Calibri" w:cs="Calibri"/>
          <w:color w:val="808080" w:themeColor="background1" w:themeShade="80"/>
          <w:sz w:val="22"/>
          <w:szCs w:val="22"/>
        </w:rPr>
        <w:t>‘underlying’</w:t>
      </w:r>
      <w:r w:rsidR="00E84F69" w:rsidRPr="00D9152B">
        <w:rPr>
          <w:rFonts w:ascii="Calibri" w:hAnsi="Calibri" w:cs="Calibri"/>
          <w:color w:val="808080" w:themeColor="background1" w:themeShade="80"/>
          <w:sz w:val="22"/>
          <w:szCs w:val="22"/>
        </w:rPr>
        <w:t xml:space="preserve"> lessons</w:t>
      </w:r>
      <w:r w:rsidRPr="00D9152B">
        <w:rPr>
          <w:rFonts w:ascii="Calibri" w:hAnsi="Calibri" w:cs="Calibri"/>
          <w:color w:val="808080" w:themeColor="background1" w:themeShade="80"/>
          <w:sz w:val="22"/>
          <w:szCs w:val="22"/>
        </w:rPr>
        <w:t xml:space="preserve"> on financial management of the OCP</w:t>
      </w:r>
      <w:r w:rsidR="00E84F69" w:rsidRPr="00D9152B">
        <w:rPr>
          <w:rFonts w:ascii="Calibri" w:hAnsi="Calibri" w:cs="Calibri"/>
          <w:color w:val="808080" w:themeColor="background1" w:themeShade="80"/>
          <w:sz w:val="22"/>
          <w:szCs w:val="22"/>
        </w:rPr>
        <w:t>.</w:t>
      </w:r>
      <w:r w:rsidR="00E84F69" w:rsidRPr="00D9152B">
        <w:rPr>
          <w:rStyle w:val="FootnoteReference"/>
          <w:rFonts w:ascii="Calibri" w:hAnsi="Calibri" w:cs="Calibri"/>
          <w:color w:val="808080" w:themeColor="background1" w:themeShade="80"/>
          <w:sz w:val="22"/>
          <w:szCs w:val="22"/>
        </w:rPr>
        <w:footnoteReference w:id="612"/>
      </w:r>
    </w:p>
    <w:p w14:paraId="3E33C11B" w14:textId="6AA00BE0" w:rsidR="00404D3A" w:rsidRPr="00D9152B" w:rsidRDefault="00AC7848" w:rsidP="005C7F9F">
      <w:pPr>
        <w:spacing w:before="100" w:beforeAutospacing="1" w:after="100" w:afterAutospacing="1" w:line="360" w:lineRule="auto"/>
        <w:rPr>
          <w:rFonts w:ascii="Calibri" w:hAnsi="Calibri" w:cs="Calibri"/>
          <w:sz w:val="22"/>
          <w:szCs w:val="22"/>
        </w:rPr>
        <w:sectPr w:rsidR="00404D3A" w:rsidRPr="00D9152B" w:rsidSect="00E418AF">
          <w:footnotePr>
            <w:numRestart w:val="eachSect"/>
          </w:footnotePr>
          <w:pgSz w:w="11906" w:h="16838"/>
          <w:pgMar w:top="1134" w:right="1558" w:bottom="2268" w:left="2268" w:header="708" w:footer="708" w:gutter="0"/>
          <w:cols w:space="708"/>
          <w:docGrid w:linePitch="360"/>
        </w:sectPr>
      </w:pPr>
      <w:r w:rsidRPr="00D9152B">
        <w:rPr>
          <w:rFonts w:ascii="Calibri" w:hAnsi="Calibri" w:cs="Calibri"/>
          <w:sz w:val="22"/>
          <w:szCs w:val="22"/>
        </w:rPr>
        <w:tab/>
        <w:t xml:space="preserve">If </w:t>
      </w:r>
      <w:r w:rsidR="00F52631" w:rsidRPr="00D9152B">
        <w:rPr>
          <w:rFonts w:ascii="Calibri" w:hAnsi="Calibri" w:cs="Calibri"/>
          <w:sz w:val="22"/>
          <w:szCs w:val="22"/>
        </w:rPr>
        <w:t>one</w:t>
      </w:r>
      <w:r w:rsidRPr="00D9152B">
        <w:rPr>
          <w:rFonts w:ascii="Calibri" w:hAnsi="Calibri" w:cs="Calibri"/>
          <w:sz w:val="22"/>
          <w:szCs w:val="22"/>
        </w:rPr>
        <w:t xml:space="preserve"> think</w:t>
      </w:r>
      <w:r w:rsidR="00F52631" w:rsidRPr="00D9152B">
        <w:rPr>
          <w:rFonts w:ascii="Calibri" w:hAnsi="Calibri" w:cs="Calibri"/>
          <w:sz w:val="22"/>
          <w:szCs w:val="22"/>
        </w:rPr>
        <w:t>s</w:t>
      </w:r>
      <w:r w:rsidRPr="00D9152B">
        <w:rPr>
          <w:rFonts w:ascii="Calibri" w:hAnsi="Calibri" w:cs="Calibri"/>
          <w:sz w:val="22"/>
          <w:szCs w:val="22"/>
        </w:rPr>
        <w:t xml:space="preserve"> about what </w:t>
      </w:r>
      <w:r w:rsidRPr="00D9152B">
        <w:rPr>
          <w:rFonts w:ascii="Calibri" w:hAnsi="Calibri" w:cs="Calibri"/>
          <w:i/>
          <w:sz w:val="22"/>
          <w:szCs w:val="22"/>
        </w:rPr>
        <w:t xml:space="preserve">didn’t </w:t>
      </w:r>
      <w:r w:rsidRPr="00D9152B">
        <w:rPr>
          <w:rFonts w:ascii="Calibri" w:hAnsi="Calibri" w:cs="Calibri"/>
          <w:sz w:val="22"/>
          <w:szCs w:val="22"/>
        </w:rPr>
        <w:t xml:space="preserve">work in financing the OCP, </w:t>
      </w:r>
      <w:r w:rsidR="00F52631" w:rsidRPr="00D9152B">
        <w:rPr>
          <w:rFonts w:ascii="Calibri" w:hAnsi="Calibri" w:cs="Calibri"/>
          <w:sz w:val="22"/>
          <w:szCs w:val="22"/>
        </w:rPr>
        <w:t>this raises</w:t>
      </w:r>
      <w:r w:rsidRPr="00D9152B">
        <w:rPr>
          <w:rFonts w:ascii="Calibri" w:hAnsi="Calibri" w:cs="Calibri"/>
          <w:sz w:val="22"/>
          <w:szCs w:val="22"/>
        </w:rPr>
        <w:t xml:space="preserve"> at least as many lessons.  These incl</w:t>
      </w:r>
      <w:r w:rsidR="007F4760" w:rsidRPr="00D9152B">
        <w:rPr>
          <w:rFonts w:ascii="Calibri" w:hAnsi="Calibri" w:cs="Calibri"/>
          <w:sz w:val="22"/>
          <w:szCs w:val="22"/>
        </w:rPr>
        <w:t>ude the difficulty in tracking f</w:t>
      </w:r>
      <w:r w:rsidRPr="00D9152B">
        <w:rPr>
          <w:rFonts w:ascii="Calibri" w:hAnsi="Calibri" w:cs="Calibri"/>
          <w:sz w:val="22"/>
          <w:szCs w:val="22"/>
        </w:rPr>
        <w:t>und expenditures; potential capacity erosion at the Bank; the risk of ‘Trojan Multilateralism’ or certain donors (in this case, including the Bank) gaining influence and weakening the WHO’s statutory responsibility for health; the potential of earmarking to contribute to regional disparities in disease control; and the difficulty in (and ethics of) securing participating country fiscal buy-in to regional</w:t>
      </w:r>
      <w:r w:rsidR="007F4760" w:rsidRPr="00D9152B">
        <w:rPr>
          <w:rFonts w:ascii="Calibri" w:hAnsi="Calibri" w:cs="Calibri"/>
          <w:sz w:val="22"/>
          <w:szCs w:val="22"/>
        </w:rPr>
        <w:t xml:space="preserve"> programmes. Chapter 6</w:t>
      </w:r>
      <w:r w:rsidRPr="00D9152B">
        <w:rPr>
          <w:rFonts w:ascii="Calibri" w:hAnsi="Calibri" w:cs="Calibri"/>
          <w:sz w:val="22"/>
          <w:szCs w:val="22"/>
        </w:rPr>
        <w:t xml:space="preserve"> deals grapples with many similar themes, as it explores </w:t>
      </w:r>
      <w:r w:rsidR="007F4760" w:rsidRPr="00D9152B">
        <w:rPr>
          <w:rFonts w:ascii="Calibri" w:hAnsi="Calibri" w:cs="Calibri"/>
          <w:sz w:val="22"/>
          <w:szCs w:val="22"/>
        </w:rPr>
        <w:t>the sponsoring agency partnership during the OCP.</w:t>
      </w:r>
    </w:p>
    <w:p w14:paraId="5E878E9F" w14:textId="6845F9ED" w:rsidR="00AC7848" w:rsidRPr="00D9152B" w:rsidRDefault="00AC7848" w:rsidP="00A50782">
      <w:pPr>
        <w:pStyle w:val="Heading1"/>
        <w:rPr>
          <w:rFonts w:ascii="Calibri" w:eastAsia="Calibri" w:hAnsi="Calibri" w:cs="Calibri"/>
          <w:b/>
          <w:sz w:val="36"/>
          <w:szCs w:val="36"/>
        </w:rPr>
      </w:pPr>
      <w:bookmarkStart w:id="98" w:name="_Toc41505671"/>
      <w:bookmarkStart w:id="99" w:name="OLE_LINK1"/>
      <w:bookmarkStart w:id="100" w:name="OLE_LINK2"/>
      <w:bookmarkStart w:id="101" w:name="OLE_LINK5"/>
      <w:bookmarkStart w:id="102" w:name="OLE_LINK6"/>
      <w:bookmarkStart w:id="103" w:name="OLE_LINK9"/>
      <w:bookmarkStart w:id="104" w:name="OLE_LINK10"/>
      <w:bookmarkStart w:id="105" w:name="OLE_LINK11"/>
      <w:bookmarkStart w:id="106" w:name="OLE_LINK12"/>
      <w:r w:rsidRPr="00D9152B">
        <w:rPr>
          <w:rFonts w:ascii="Calibri" w:eastAsia="Calibri" w:hAnsi="Calibri" w:cs="Calibri"/>
          <w:b/>
          <w:sz w:val="36"/>
          <w:szCs w:val="36"/>
        </w:rPr>
        <w:lastRenderedPageBreak/>
        <w:t>Chapter 6</w:t>
      </w:r>
      <w:r w:rsidR="00A50782" w:rsidRPr="00D9152B">
        <w:rPr>
          <w:rFonts w:ascii="Calibri" w:eastAsia="Calibri" w:hAnsi="Calibri" w:cs="Calibri"/>
          <w:b/>
          <w:sz w:val="36"/>
          <w:szCs w:val="36"/>
        </w:rPr>
        <w:t>.</w:t>
      </w:r>
      <w:bookmarkEnd w:id="98"/>
    </w:p>
    <w:p w14:paraId="2AB65699" w14:textId="0FF8F59E" w:rsidR="00AC7848" w:rsidRPr="00D9152B" w:rsidRDefault="00472F39" w:rsidP="009A5A65">
      <w:pPr>
        <w:pStyle w:val="Heading1"/>
        <w:rPr>
          <w:rFonts w:ascii="Calibri" w:eastAsia="Calibri" w:hAnsi="Calibri" w:cs="Calibri"/>
          <w:b/>
          <w:sz w:val="36"/>
          <w:szCs w:val="36"/>
        </w:rPr>
      </w:pPr>
      <w:bookmarkStart w:id="107" w:name="_Toc41505672"/>
      <w:r w:rsidRPr="00D9152B">
        <w:rPr>
          <w:rFonts w:ascii="Calibri" w:eastAsia="Calibri" w:hAnsi="Calibri" w:cs="Calibri"/>
          <w:b/>
          <w:sz w:val="36"/>
          <w:szCs w:val="36"/>
        </w:rPr>
        <w:t>Sponsoring agency p</w:t>
      </w:r>
      <w:r w:rsidR="00AC7848" w:rsidRPr="00D9152B">
        <w:rPr>
          <w:rFonts w:ascii="Calibri" w:eastAsia="Calibri" w:hAnsi="Calibri" w:cs="Calibri"/>
          <w:b/>
          <w:sz w:val="36"/>
          <w:szCs w:val="36"/>
        </w:rPr>
        <w:t>artnership</w:t>
      </w:r>
      <w:r w:rsidR="004523C0" w:rsidRPr="00D9152B">
        <w:rPr>
          <w:rFonts w:ascii="Calibri" w:eastAsia="Calibri" w:hAnsi="Calibri" w:cs="Calibri"/>
          <w:b/>
          <w:sz w:val="36"/>
          <w:szCs w:val="36"/>
        </w:rPr>
        <w:t xml:space="preserve">: </w:t>
      </w:r>
      <w:r w:rsidR="00FC467B" w:rsidRPr="00D9152B">
        <w:rPr>
          <w:rFonts w:ascii="Calibri" w:eastAsia="Calibri" w:hAnsi="Calibri" w:cs="Calibri"/>
          <w:b/>
          <w:sz w:val="36"/>
          <w:szCs w:val="36"/>
        </w:rPr>
        <w:t>A showcase in international collaboration?</w:t>
      </w:r>
      <w:bookmarkStart w:id="108" w:name="_Toc3029251"/>
      <w:bookmarkEnd w:id="107"/>
    </w:p>
    <w:p w14:paraId="1954D477" w14:textId="77777777" w:rsidR="009A5A65" w:rsidRPr="00D9152B" w:rsidRDefault="009A5A65" w:rsidP="009A5A65">
      <w:pPr>
        <w:pStyle w:val="Heading2"/>
        <w:rPr>
          <w:rFonts w:ascii="Calibri" w:hAnsi="Calibri" w:cs="Calibri"/>
          <w:b/>
          <w:color w:val="000000" w:themeColor="text1"/>
          <w:sz w:val="26"/>
          <w:szCs w:val="26"/>
        </w:rPr>
      </w:pPr>
      <w:bookmarkStart w:id="109" w:name="_Toc3314354"/>
    </w:p>
    <w:p w14:paraId="3024EEA5" w14:textId="65F594A8" w:rsidR="00AC7848" w:rsidRPr="00D9152B" w:rsidRDefault="009A5A65" w:rsidP="009A5A65">
      <w:pPr>
        <w:pStyle w:val="Heading2"/>
        <w:rPr>
          <w:rFonts w:ascii="Calibri" w:hAnsi="Calibri" w:cs="Calibri"/>
          <w:b/>
          <w:color w:val="000000" w:themeColor="text1"/>
          <w:sz w:val="26"/>
          <w:szCs w:val="26"/>
        </w:rPr>
      </w:pPr>
      <w:bookmarkStart w:id="110" w:name="_Toc41505673"/>
      <w:r w:rsidRPr="00D9152B">
        <w:rPr>
          <w:rFonts w:ascii="Calibri" w:hAnsi="Calibri" w:cs="Calibri"/>
          <w:b/>
          <w:color w:val="000000" w:themeColor="text1"/>
          <w:sz w:val="26"/>
          <w:szCs w:val="26"/>
        </w:rPr>
        <w:t>6.</w:t>
      </w:r>
      <w:r w:rsidR="00FA7761" w:rsidRPr="00D9152B">
        <w:rPr>
          <w:rFonts w:ascii="Calibri" w:hAnsi="Calibri" w:cs="Calibri"/>
          <w:b/>
          <w:color w:val="000000" w:themeColor="text1"/>
          <w:sz w:val="26"/>
          <w:szCs w:val="26"/>
        </w:rPr>
        <w:t xml:space="preserve">1. </w:t>
      </w:r>
      <w:r w:rsidR="00AC7848" w:rsidRPr="00D9152B">
        <w:rPr>
          <w:rFonts w:ascii="Calibri" w:hAnsi="Calibri" w:cs="Calibri"/>
          <w:b/>
          <w:color w:val="000000" w:themeColor="text1"/>
          <w:sz w:val="26"/>
          <w:szCs w:val="26"/>
        </w:rPr>
        <w:t>Introduction</w:t>
      </w:r>
      <w:bookmarkEnd w:id="108"/>
      <w:bookmarkEnd w:id="109"/>
      <w:bookmarkEnd w:id="110"/>
    </w:p>
    <w:p w14:paraId="13E3F939" w14:textId="1CF8B8AC" w:rsidR="00AC7848" w:rsidRPr="00D9152B" w:rsidRDefault="00AC7848" w:rsidP="005C7F9F">
      <w:pPr>
        <w:spacing w:before="100" w:beforeAutospacing="1" w:after="100" w:afterAutospacing="1" w:line="360" w:lineRule="auto"/>
        <w:rPr>
          <w:rFonts w:ascii="Calibri" w:eastAsia="Calibri" w:hAnsi="Calibri" w:cs="Calibri"/>
          <w:sz w:val="22"/>
          <w:szCs w:val="22"/>
        </w:rPr>
      </w:pPr>
      <w:r w:rsidRPr="00D9152B">
        <w:rPr>
          <w:rFonts w:ascii="Calibri" w:hAnsi="Calibri" w:cs="Calibri"/>
          <w:color w:val="000000"/>
          <w:lang w:eastAsia="en-GB"/>
        </w:rPr>
        <w:tab/>
      </w:r>
      <w:r w:rsidRPr="00D9152B">
        <w:rPr>
          <w:rFonts w:ascii="Calibri" w:eastAsia="Calibri" w:hAnsi="Calibri" w:cs="Calibri"/>
          <w:sz w:val="22"/>
          <w:szCs w:val="22"/>
        </w:rPr>
        <w:t xml:space="preserve">In 1969, a ‘provocative’ </w:t>
      </w:r>
      <w:r w:rsidR="00ED5A10" w:rsidRPr="00D9152B">
        <w:rPr>
          <w:rFonts w:ascii="Calibri" w:eastAsia="Calibri" w:hAnsi="Calibri" w:cs="Calibri"/>
          <w:sz w:val="22"/>
          <w:szCs w:val="22"/>
        </w:rPr>
        <w:t xml:space="preserve">United Nations (UN) </w:t>
      </w:r>
      <w:r w:rsidRPr="00D9152B">
        <w:rPr>
          <w:rFonts w:ascii="Calibri" w:eastAsia="Calibri" w:hAnsi="Calibri" w:cs="Calibri"/>
          <w:sz w:val="22"/>
          <w:szCs w:val="22"/>
        </w:rPr>
        <w:t>report gave a ‘terrible image of the United Nations…</w:t>
      </w:r>
      <w:r w:rsidR="00ED5A10" w:rsidRPr="00D9152B">
        <w:rPr>
          <w:rFonts w:ascii="Calibri" w:eastAsia="Calibri" w:hAnsi="Calibri" w:cs="Calibri"/>
          <w:sz w:val="22"/>
          <w:szCs w:val="22"/>
        </w:rPr>
        <w:t xml:space="preserve"> </w:t>
      </w:r>
      <w:r w:rsidRPr="00D9152B">
        <w:rPr>
          <w:rFonts w:ascii="Calibri" w:eastAsia="Calibri" w:hAnsi="Calibri" w:cs="Calibri"/>
          <w:sz w:val="22"/>
          <w:szCs w:val="22"/>
        </w:rPr>
        <w:t xml:space="preserve">one of a “machine” which had such a marked identity that no one, in effect, was in control’. The report portrayed specialized UN agencies, including the </w:t>
      </w:r>
      <w:r w:rsidR="00F52631" w:rsidRPr="00D9152B">
        <w:rPr>
          <w:rFonts w:ascii="Calibri" w:eastAsia="Calibri" w:hAnsi="Calibri" w:cs="Calibri"/>
          <w:sz w:val="22"/>
          <w:szCs w:val="22"/>
        </w:rPr>
        <w:t>World Health Organization (WHO)</w:t>
      </w:r>
      <w:r w:rsidRPr="00D9152B">
        <w:rPr>
          <w:rFonts w:ascii="Calibri" w:eastAsia="Calibri" w:hAnsi="Calibri" w:cs="Calibri"/>
          <w:sz w:val="22"/>
          <w:szCs w:val="22"/>
        </w:rPr>
        <w:t xml:space="preserve"> and </w:t>
      </w:r>
      <w:r w:rsidR="00F52631" w:rsidRPr="00D9152B">
        <w:rPr>
          <w:rFonts w:ascii="Calibri" w:eastAsia="Calibri" w:hAnsi="Calibri" w:cs="Calibri"/>
          <w:sz w:val="22"/>
          <w:szCs w:val="22"/>
        </w:rPr>
        <w:t>Food and Agriculture Organization (FAO)</w:t>
      </w:r>
      <w:r w:rsidRPr="00D9152B">
        <w:rPr>
          <w:rFonts w:ascii="Calibri" w:eastAsia="Calibri" w:hAnsi="Calibri" w:cs="Calibri"/>
          <w:sz w:val="22"/>
          <w:szCs w:val="22"/>
        </w:rPr>
        <w:t xml:space="preserve">, as siloed, territorial agencies, with little interest or capability in collective priority-setting or technical collaboration. It put forward the newly-minted </w:t>
      </w:r>
      <w:r w:rsidR="00F52631" w:rsidRPr="00D9152B">
        <w:rPr>
          <w:rFonts w:ascii="Calibri" w:eastAsia="Calibri" w:hAnsi="Calibri" w:cs="Calibri"/>
          <w:sz w:val="22"/>
          <w:szCs w:val="22"/>
        </w:rPr>
        <w:t>United Nations Development Programme (UNDP)</w:t>
      </w:r>
      <w:r w:rsidRPr="00D9152B">
        <w:rPr>
          <w:rFonts w:ascii="Calibri" w:eastAsia="Calibri" w:hAnsi="Calibri" w:cs="Calibri"/>
          <w:sz w:val="22"/>
          <w:szCs w:val="22"/>
        </w:rPr>
        <w:t xml:space="preserve"> as a potential key conductor and financier for development activities across the UN system; </w:t>
      </w:r>
      <w:r w:rsidR="000F6814" w:rsidRPr="00D9152B">
        <w:rPr>
          <w:rFonts w:ascii="Calibri" w:eastAsia="Calibri" w:hAnsi="Calibri" w:cs="Calibri"/>
          <w:sz w:val="22"/>
          <w:szCs w:val="22"/>
        </w:rPr>
        <w:t>the UNDP</w:t>
      </w:r>
      <w:r w:rsidRPr="00D9152B">
        <w:rPr>
          <w:rFonts w:ascii="Calibri" w:eastAsia="Calibri" w:hAnsi="Calibri" w:cs="Calibri"/>
          <w:sz w:val="22"/>
          <w:szCs w:val="22"/>
        </w:rPr>
        <w:t xml:space="preserve"> could be ‘a main gear wheel, with each of the Agencies as another important wheel, all of which must mesh together if the mechanism is to function efficiently’.</w:t>
      </w:r>
      <w:r w:rsidRPr="00D9152B">
        <w:rPr>
          <w:rFonts w:ascii="Calibri" w:eastAsia="Calibri" w:hAnsi="Calibri" w:cs="Calibri"/>
          <w:sz w:val="22"/>
          <w:szCs w:val="22"/>
          <w:vertAlign w:val="superscript"/>
        </w:rPr>
        <w:footnoteReference w:id="613"/>
      </w:r>
      <w:r w:rsidRPr="00D9152B">
        <w:rPr>
          <w:rFonts w:ascii="Calibri" w:eastAsia="Calibri" w:hAnsi="Calibri" w:cs="Calibri"/>
          <w:sz w:val="22"/>
          <w:szCs w:val="22"/>
        </w:rPr>
        <w:t xml:space="preserve"> </w:t>
      </w:r>
    </w:p>
    <w:p w14:paraId="2BDCCBE9" w14:textId="514B2B39" w:rsidR="00AC7848" w:rsidRPr="00D9152B" w:rsidRDefault="00AC7848" w:rsidP="005C7F9F">
      <w:pPr>
        <w:spacing w:before="100" w:beforeAutospacing="1" w:after="100" w:afterAutospacing="1" w:line="360" w:lineRule="auto"/>
        <w:ind w:firstLine="720"/>
        <w:rPr>
          <w:rFonts w:ascii="Calibri" w:eastAsia="Calibri" w:hAnsi="Calibri" w:cs="Calibri"/>
          <w:sz w:val="22"/>
          <w:szCs w:val="22"/>
        </w:rPr>
      </w:pPr>
      <w:r w:rsidRPr="00D9152B">
        <w:rPr>
          <w:rFonts w:ascii="Calibri" w:eastAsia="Calibri" w:hAnsi="Calibri" w:cs="Calibri"/>
          <w:sz w:val="22"/>
          <w:szCs w:val="22"/>
        </w:rPr>
        <w:t xml:space="preserve">The UNDP itself was </w:t>
      </w:r>
      <w:r w:rsidR="00ED5A10" w:rsidRPr="00D9152B">
        <w:rPr>
          <w:rFonts w:ascii="Calibri" w:eastAsia="Calibri" w:hAnsi="Calibri" w:cs="Calibri"/>
          <w:sz w:val="22"/>
          <w:szCs w:val="22"/>
        </w:rPr>
        <w:t>a partial</w:t>
      </w:r>
      <w:r w:rsidRPr="00D9152B">
        <w:rPr>
          <w:rFonts w:ascii="Calibri" w:eastAsia="Calibri" w:hAnsi="Calibri" w:cs="Calibri"/>
          <w:sz w:val="22"/>
          <w:szCs w:val="22"/>
        </w:rPr>
        <w:t xml:space="preserve"> product of the Bank’s initial disinterest in providing dramatic increases of development assistance in the 1950s</w:t>
      </w:r>
      <w:r w:rsidR="004523C0" w:rsidRPr="00D9152B">
        <w:rPr>
          <w:rFonts w:ascii="Calibri" w:eastAsia="Calibri" w:hAnsi="Calibri" w:cs="Calibri"/>
          <w:sz w:val="22"/>
          <w:szCs w:val="22"/>
        </w:rPr>
        <w:t xml:space="preserve"> (before McNamara’s tenure)</w:t>
      </w:r>
      <w:r w:rsidRPr="00D9152B">
        <w:rPr>
          <w:rFonts w:ascii="Calibri" w:eastAsia="Calibri" w:hAnsi="Calibri" w:cs="Calibri"/>
          <w:sz w:val="22"/>
          <w:szCs w:val="22"/>
        </w:rPr>
        <w:t>, and the Bank had been ‘adamantly against the creation’</w:t>
      </w:r>
      <w:r w:rsidR="00ED5A10" w:rsidRPr="00D9152B">
        <w:rPr>
          <w:rFonts w:ascii="Calibri" w:eastAsia="Calibri" w:hAnsi="Calibri" w:cs="Calibri"/>
          <w:sz w:val="22"/>
          <w:szCs w:val="22"/>
        </w:rPr>
        <w:t xml:space="preserve"> of its predecessor, the UN </w:t>
      </w:r>
      <w:r w:rsidRPr="00D9152B">
        <w:rPr>
          <w:rFonts w:ascii="Calibri" w:eastAsia="Calibri" w:hAnsi="Calibri" w:cs="Calibri"/>
          <w:sz w:val="22"/>
          <w:szCs w:val="22"/>
        </w:rPr>
        <w:t>Special Fund.</w:t>
      </w:r>
      <w:r w:rsidRPr="00D9152B">
        <w:rPr>
          <w:rFonts w:ascii="Calibri" w:eastAsia="Calibri" w:hAnsi="Calibri" w:cs="Calibri"/>
          <w:sz w:val="22"/>
          <w:szCs w:val="22"/>
          <w:vertAlign w:val="superscript"/>
        </w:rPr>
        <w:footnoteReference w:id="614"/>
      </w:r>
      <w:r w:rsidRPr="00D9152B">
        <w:rPr>
          <w:rFonts w:ascii="Calibri" w:eastAsia="Calibri" w:hAnsi="Calibri" w:cs="Calibri"/>
          <w:sz w:val="22"/>
          <w:szCs w:val="22"/>
        </w:rPr>
        <w:t xml:space="preserve"> Similarly, the WHO</w:t>
      </w:r>
      <w:r w:rsidR="00581476" w:rsidRPr="00D9152B">
        <w:rPr>
          <w:rFonts w:ascii="Calibri" w:eastAsia="Calibri" w:hAnsi="Calibri" w:cs="Calibri"/>
          <w:sz w:val="22"/>
          <w:szCs w:val="22"/>
        </w:rPr>
        <w:t xml:space="preserve"> at times</w:t>
      </w:r>
      <w:r w:rsidRPr="00D9152B">
        <w:rPr>
          <w:rFonts w:ascii="Calibri" w:eastAsia="Calibri" w:hAnsi="Calibri" w:cs="Calibri"/>
          <w:sz w:val="22"/>
          <w:szCs w:val="22"/>
        </w:rPr>
        <w:t xml:space="preserve"> felt threatened by UNDP’s in-country role in the late 1960s and early 1970s. It refused to locate its in-country representatives within the office of the resident representative of UNDP, and maintained that </w:t>
      </w:r>
      <w:r w:rsidR="00ED5A10" w:rsidRPr="00D9152B">
        <w:rPr>
          <w:rFonts w:ascii="Calibri" w:eastAsia="Calibri" w:hAnsi="Calibri" w:cs="Calibri"/>
          <w:sz w:val="22"/>
          <w:szCs w:val="22"/>
        </w:rPr>
        <w:t>the WHO</w:t>
      </w:r>
      <w:r w:rsidRPr="00D9152B">
        <w:rPr>
          <w:rFonts w:ascii="Calibri" w:eastAsia="Calibri" w:hAnsi="Calibri" w:cs="Calibri"/>
          <w:sz w:val="22"/>
          <w:szCs w:val="22"/>
        </w:rPr>
        <w:t xml:space="preserve"> had the right to access </w:t>
      </w:r>
      <w:r w:rsidR="00E30696">
        <w:rPr>
          <w:rFonts w:ascii="Calibri" w:eastAsia="Calibri" w:hAnsi="Calibri" w:cs="Calibri"/>
          <w:sz w:val="22"/>
          <w:szCs w:val="22"/>
        </w:rPr>
        <w:t>ministries</w:t>
      </w:r>
      <w:r w:rsidR="00E30696" w:rsidRPr="00D9152B">
        <w:rPr>
          <w:rFonts w:ascii="Calibri" w:eastAsia="Calibri" w:hAnsi="Calibri" w:cs="Calibri"/>
          <w:sz w:val="22"/>
          <w:szCs w:val="22"/>
        </w:rPr>
        <w:t xml:space="preserve"> </w:t>
      </w:r>
      <w:r w:rsidRPr="00D9152B">
        <w:rPr>
          <w:rFonts w:ascii="Calibri" w:eastAsia="Calibri" w:hAnsi="Calibri" w:cs="Calibri"/>
          <w:sz w:val="22"/>
          <w:szCs w:val="22"/>
        </w:rPr>
        <w:t>of health directly and independently.</w:t>
      </w:r>
      <w:r w:rsidRPr="00D9152B">
        <w:rPr>
          <w:rFonts w:ascii="Calibri" w:eastAsia="Calibri" w:hAnsi="Calibri" w:cs="Calibri"/>
          <w:sz w:val="22"/>
          <w:szCs w:val="22"/>
          <w:vertAlign w:val="superscript"/>
        </w:rPr>
        <w:footnoteReference w:id="615"/>
      </w:r>
      <w:r w:rsidRPr="00D9152B">
        <w:rPr>
          <w:rFonts w:ascii="Calibri" w:eastAsia="Calibri" w:hAnsi="Calibri" w:cs="Calibri"/>
          <w:sz w:val="22"/>
          <w:szCs w:val="22"/>
        </w:rPr>
        <w:t xml:space="preserve"> With Halfdan Mahler’s ascendancy as</w:t>
      </w:r>
      <w:r w:rsidR="00ED5A10" w:rsidRPr="00D9152B">
        <w:rPr>
          <w:rFonts w:ascii="Calibri" w:eastAsia="Calibri" w:hAnsi="Calibri" w:cs="Calibri"/>
          <w:sz w:val="22"/>
          <w:szCs w:val="22"/>
        </w:rPr>
        <w:t xml:space="preserve"> WHO</w:t>
      </w:r>
      <w:r w:rsidRPr="00D9152B">
        <w:rPr>
          <w:rFonts w:ascii="Calibri" w:eastAsia="Calibri" w:hAnsi="Calibri" w:cs="Calibri"/>
          <w:sz w:val="22"/>
          <w:szCs w:val="22"/>
        </w:rPr>
        <w:t xml:space="preserve"> Director General in 1973, the WHO looked to move beyond this silo</w:t>
      </w:r>
      <w:r w:rsidR="00ED5A10" w:rsidRPr="00D9152B">
        <w:rPr>
          <w:rFonts w:ascii="Calibri" w:eastAsia="Calibri" w:hAnsi="Calibri" w:cs="Calibri"/>
          <w:sz w:val="22"/>
          <w:szCs w:val="22"/>
        </w:rPr>
        <w:t>. I</w:t>
      </w:r>
      <w:r w:rsidRPr="00D9152B">
        <w:rPr>
          <w:rFonts w:ascii="Calibri" w:eastAsia="Calibri" w:hAnsi="Calibri" w:cs="Calibri"/>
          <w:sz w:val="22"/>
          <w:szCs w:val="22"/>
        </w:rPr>
        <w:t xml:space="preserve">n </w:t>
      </w:r>
      <w:r w:rsidR="000F6814" w:rsidRPr="00D9152B">
        <w:rPr>
          <w:rFonts w:ascii="Calibri" w:eastAsia="Calibri" w:hAnsi="Calibri" w:cs="Calibri"/>
          <w:sz w:val="22"/>
          <w:szCs w:val="22"/>
        </w:rPr>
        <w:t>Mahler</w:t>
      </w:r>
      <w:r w:rsidR="004523C0" w:rsidRPr="00D9152B">
        <w:rPr>
          <w:rFonts w:ascii="Calibri" w:eastAsia="Calibri" w:hAnsi="Calibri" w:cs="Calibri"/>
          <w:sz w:val="22"/>
          <w:szCs w:val="22"/>
        </w:rPr>
        <w:t>’</w:t>
      </w:r>
      <w:r w:rsidR="000F6814" w:rsidRPr="00D9152B">
        <w:rPr>
          <w:rFonts w:ascii="Calibri" w:eastAsia="Calibri" w:hAnsi="Calibri" w:cs="Calibri"/>
          <w:sz w:val="22"/>
          <w:szCs w:val="22"/>
        </w:rPr>
        <w:t>s</w:t>
      </w:r>
      <w:r w:rsidRPr="00D9152B">
        <w:rPr>
          <w:rFonts w:ascii="Calibri" w:eastAsia="Calibri" w:hAnsi="Calibri" w:cs="Calibri"/>
          <w:sz w:val="22"/>
          <w:szCs w:val="22"/>
        </w:rPr>
        <w:t xml:space="preserve"> words, it would ‘become much more prepared to shed the last fragments of the shell of health isolationism and to be able to work together with all the other </w:t>
      </w:r>
      <w:r w:rsidR="004523C0" w:rsidRPr="00D9152B">
        <w:rPr>
          <w:rFonts w:ascii="Calibri" w:eastAsia="Calibri" w:hAnsi="Calibri" w:cs="Calibri"/>
          <w:sz w:val="22"/>
          <w:szCs w:val="22"/>
        </w:rPr>
        <w:lastRenderedPageBreak/>
        <w:t>organizations</w:t>
      </w:r>
      <w:r w:rsidRPr="00D9152B">
        <w:rPr>
          <w:rFonts w:ascii="Calibri" w:eastAsia="Calibri" w:hAnsi="Calibri" w:cs="Calibri"/>
          <w:sz w:val="22"/>
          <w:szCs w:val="22"/>
        </w:rPr>
        <w:t xml:space="preserve"> of the United Nations system which are concerned about social and economic development’.</w:t>
      </w:r>
      <w:r w:rsidRPr="00D9152B">
        <w:rPr>
          <w:rFonts w:ascii="Calibri" w:eastAsia="Calibri" w:hAnsi="Calibri" w:cs="Calibri"/>
          <w:sz w:val="22"/>
          <w:szCs w:val="22"/>
          <w:vertAlign w:val="superscript"/>
        </w:rPr>
        <w:footnoteReference w:id="616"/>
      </w:r>
      <w:r w:rsidRPr="00D9152B">
        <w:rPr>
          <w:rFonts w:ascii="Calibri" w:eastAsia="Calibri" w:hAnsi="Calibri" w:cs="Calibri"/>
          <w:sz w:val="22"/>
          <w:szCs w:val="22"/>
        </w:rPr>
        <w:t xml:space="preserve"> </w:t>
      </w:r>
    </w:p>
    <w:p w14:paraId="65940D58" w14:textId="77777777" w:rsidR="00ED5A10" w:rsidRPr="00D9152B" w:rsidRDefault="00ED5A10" w:rsidP="005C7F9F">
      <w:pPr>
        <w:spacing w:before="100" w:beforeAutospacing="1" w:after="100" w:afterAutospacing="1" w:line="360" w:lineRule="auto"/>
        <w:ind w:firstLine="720"/>
        <w:rPr>
          <w:rFonts w:ascii="Calibri" w:hAnsi="Calibri" w:cs="Calibri"/>
          <w:color w:val="000000"/>
          <w:sz w:val="22"/>
          <w:szCs w:val="22"/>
          <w:lang w:eastAsia="en-GB"/>
        </w:rPr>
      </w:pPr>
      <w:r w:rsidRPr="00D9152B">
        <w:rPr>
          <w:rFonts w:ascii="Calibri" w:eastAsia="Calibri" w:hAnsi="Calibri" w:cs="Calibri"/>
          <w:sz w:val="22"/>
          <w:szCs w:val="22"/>
        </w:rPr>
        <w:t>The OCP was launched within this contentious multilateral context. Yet, by 1986, the WHO publicly showcased the OCP partnerships’ unique ‘inter’ qualities</w:t>
      </w:r>
      <w:r w:rsidR="00AC7848" w:rsidRPr="00D9152B">
        <w:rPr>
          <w:rFonts w:ascii="Calibri" w:eastAsia="Calibri" w:hAnsi="Calibri" w:cs="Calibri"/>
          <w:sz w:val="22"/>
          <w:szCs w:val="22"/>
        </w:rPr>
        <w:t xml:space="preserve">. </w:t>
      </w:r>
      <w:r w:rsidR="00AC7848" w:rsidRPr="00D9152B">
        <w:rPr>
          <w:rFonts w:ascii="Calibri" w:hAnsi="Calibri" w:cs="Calibri"/>
          <w:color w:val="000000"/>
          <w:sz w:val="22"/>
          <w:szCs w:val="22"/>
          <w:lang w:eastAsia="en-GB"/>
        </w:rPr>
        <w:t>It depicted the programme as international, inter-regional, inter-agency, inter-disciplinary, and inter-sectoral, from the macro level (its leadership) to the micro level (participating villages). In such a way, it presented the OCP ‘as a catalyst to set off a whole variety of activities in an almost unlimited number of inter-related fields’.</w:t>
      </w:r>
      <w:r w:rsidR="00AC7848" w:rsidRPr="00D9152B">
        <w:rPr>
          <w:rFonts w:ascii="Calibri" w:hAnsi="Calibri" w:cs="Calibri"/>
          <w:color w:val="000000"/>
          <w:sz w:val="22"/>
          <w:szCs w:val="22"/>
          <w:vertAlign w:val="superscript"/>
          <w:lang w:eastAsia="en-GB"/>
        </w:rPr>
        <w:footnoteReference w:id="617"/>
      </w:r>
      <w:r w:rsidR="00AC7848" w:rsidRPr="00D9152B">
        <w:rPr>
          <w:rFonts w:ascii="Calibri" w:hAnsi="Calibri" w:cs="Calibri"/>
          <w:color w:val="000000"/>
          <w:sz w:val="22"/>
          <w:szCs w:val="22"/>
          <w:lang w:eastAsia="en-GB"/>
        </w:rPr>
        <w:t xml:space="preserve"> That same year, the World Health Assembly showcased the OCP as a ‘prime example of intersectoral collaboration for health’.</w:t>
      </w:r>
      <w:r w:rsidR="00AC7848" w:rsidRPr="00D9152B">
        <w:rPr>
          <w:rFonts w:ascii="Calibri" w:hAnsi="Calibri" w:cs="Calibri"/>
          <w:color w:val="000000"/>
          <w:sz w:val="22"/>
          <w:szCs w:val="22"/>
          <w:vertAlign w:val="superscript"/>
          <w:lang w:eastAsia="en-GB"/>
        </w:rPr>
        <w:footnoteReference w:id="618"/>
      </w:r>
      <w:r w:rsidR="000F6814" w:rsidRPr="00D9152B">
        <w:rPr>
          <w:rFonts w:ascii="Calibri" w:hAnsi="Calibri" w:cs="Calibri"/>
          <w:color w:val="000000"/>
          <w:sz w:val="22"/>
          <w:szCs w:val="22"/>
          <w:lang w:eastAsia="en-GB"/>
        </w:rPr>
        <w:t xml:space="preserve"> </w:t>
      </w:r>
      <w:r w:rsidRPr="00D9152B">
        <w:rPr>
          <w:rFonts w:ascii="Calibri" w:hAnsi="Calibri" w:cs="Calibri"/>
          <w:color w:val="000000"/>
          <w:sz w:val="22"/>
          <w:szCs w:val="22"/>
          <w:lang w:eastAsia="en-GB"/>
        </w:rPr>
        <w:t>At a major 1994 meeting on sustainable development in the OCP areas, the programme’s successful partnership was described in opening and closing words by the UNDP and Bank, respectively, and the word ‘success’</w:t>
      </w:r>
      <w:r w:rsidR="00AC7848" w:rsidRPr="00D9152B">
        <w:rPr>
          <w:rFonts w:ascii="Calibri" w:hAnsi="Calibri" w:cs="Calibri"/>
          <w:color w:val="000000"/>
          <w:sz w:val="22"/>
          <w:szCs w:val="22"/>
          <w:vertAlign w:val="superscript"/>
          <w:lang w:eastAsia="en-GB"/>
        </w:rPr>
        <w:footnoteReference w:id="619"/>
      </w:r>
      <w:r w:rsidR="00AC7848" w:rsidRPr="00D9152B">
        <w:rPr>
          <w:rFonts w:ascii="Calibri" w:hAnsi="Calibri" w:cs="Calibri"/>
          <w:color w:val="000000"/>
          <w:sz w:val="22"/>
          <w:szCs w:val="22"/>
          <w:lang w:eastAsia="en-GB"/>
        </w:rPr>
        <w:t xml:space="preserve"> appeared a full 134 times in the </w:t>
      </w:r>
      <w:r w:rsidRPr="00D9152B">
        <w:rPr>
          <w:rFonts w:ascii="Calibri" w:hAnsi="Calibri" w:cs="Calibri"/>
          <w:color w:val="000000"/>
          <w:sz w:val="22"/>
          <w:szCs w:val="22"/>
          <w:lang w:eastAsia="en-GB"/>
        </w:rPr>
        <w:t>meeting’s proceedings.</w:t>
      </w:r>
      <w:r w:rsidR="00AC7848" w:rsidRPr="00D9152B">
        <w:rPr>
          <w:rFonts w:ascii="Calibri" w:hAnsi="Calibri" w:cs="Calibri"/>
          <w:color w:val="000000"/>
          <w:sz w:val="22"/>
          <w:szCs w:val="22"/>
          <w:vertAlign w:val="superscript"/>
          <w:lang w:eastAsia="en-GB"/>
        </w:rPr>
        <w:footnoteReference w:id="620"/>
      </w:r>
      <w:r w:rsidR="00AC7848" w:rsidRPr="00D9152B">
        <w:rPr>
          <w:rFonts w:ascii="Calibri" w:hAnsi="Calibri" w:cs="Calibri"/>
          <w:color w:val="000000"/>
          <w:sz w:val="22"/>
          <w:szCs w:val="22"/>
          <w:lang w:eastAsia="en-GB"/>
        </w:rPr>
        <w:t xml:space="preserve"> When the OCP was winding-down in</w:t>
      </w:r>
      <w:r w:rsidRPr="00D9152B">
        <w:rPr>
          <w:rFonts w:ascii="Calibri" w:hAnsi="Calibri" w:cs="Calibri"/>
          <w:color w:val="000000"/>
          <w:sz w:val="22"/>
          <w:szCs w:val="22"/>
          <w:lang w:eastAsia="en-GB"/>
        </w:rPr>
        <w:t xml:space="preserve"> the early 2000s</w:t>
      </w:r>
      <w:r w:rsidR="00AC7848" w:rsidRPr="00D9152B">
        <w:rPr>
          <w:rFonts w:ascii="Calibri" w:hAnsi="Calibri" w:cs="Calibri"/>
          <w:color w:val="000000"/>
          <w:sz w:val="22"/>
          <w:szCs w:val="22"/>
          <w:lang w:eastAsia="en-GB"/>
        </w:rPr>
        <w:t xml:space="preserve">, the Bank </w:t>
      </w:r>
      <w:r w:rsidR="000F6814" w:rsidRPr="00D9152B">
        <w:rPr>
          <w:rFonts w:ascii="Calibri" w:hAnsi="Calibri" w:cs="Calibri"/>
          <w:color w:val="000000"/>
          <w:sz w:val="22"/>
          <w:szCs w:val="22"/>
          <w:lang w:eastAsia="en-GB"/>
        </w:rPr>
        <w:t xml:space="preserve">further </w:t>
      </w:r>
      <w:r w:rsidR="00AC7848" w:rsidRPr="00D9152B">
        <w:rPr>
          <w:rFonts w:ascii="Calibri" w:hAnsi="Calibri" w:cs="Calibri"/>
          <w:color w:val="000000"/>
          <w:sz w:val="22"/>
          <w:szCs w:val="22"/>
          <w:lang w:eastAsia="en-GB"/>
        </w:rPr>
        <w:t>described the partnership’s success as transcending the health sector, hailing it as ‘one of the most successful partnerships in the history of development assistance’.</w:t>
      </w:r>
      <w:r w:rsidR="00AC7848" w:rsidRPr="00D9152B">
        <w:rPr>
          <w:rFonts w:ascii="Calibri" w:hAnsi="Calibri" w:cs="Calibri"/>
          <w:color w:val="000000"/>
          <w:sz w:val="22"/>
          <w:szCs w:val="22"/>
          <w:vertAlign w:val="superscript"/>
          <w:lang w:eastAsia="en-GB"/>
        </w:rPr>
        <w:footnoteReference w:id="621"/>
      </w:r>
      <w:r w:rsidR="00AC7848" w:rsidRPr="00D9152B">
        <w:rPr>
          <w:rFonts w:ascii="Calibri" w:hAnsi="Calibri" w:cs="Calibri"/>
          <w:color w:val="000000"/>
          <w:sz w:val="22"/>
          <w:szCs w:val="22"/>
          <w:lang w:eastAsia="en-GB"/>
        </w:rPr>
        <w:t xml:space="preserve"> </w:t>
      </w:r>
    </w:p>
    <w:p w14:paraId="1B50D50E" w14:textId="74D3EEB3" w:rsidR="00AC7848" w:rsidRPr="00D9152B" w:rsidRDefault="00AC7848" w:rsidP="005C7F9F">
      <w:pPr>
        <w:spacing w:before="100" w:beforeAutospacing="1" w:after="100" w:afterAutospacing="1" w:line="360" w:lineRule="auto"/>
        <w:ind w:firstLine="720"/>
        <w:rPr>
          <w:rFonts w:ascii="Calibri" w:hAnsi="Calibri" w:cs="Calibri"/>
          <w:color w:val="000000"/>
          <w:sz w:val="22"/>
          <w:szCs w:val="22"/>
          <w:lang w:eastAsia="en-GB"/>
        </w:rPr>
      </w:pPr>
      <w:r w:rsidRPr="00D9152B">
        <w:rPr>
          <w:rFonts w:ascii="Calibri" w:hAnsi="Calibri" w:cs="Calibri"/>
          <w:color w:val="000000"/>
          <w:sz w:val="22"/>
          <w:szCs w:val="22"/>
          <w:lang w:eastAsia="en-GB"/>
        </w:rPr>
        <w:t>In Benton’s words, ‘Both APOC</w:t>
      </w:r>
      <w:r w:rsidR="005215B7">
        <w:rPr>
          <w:rFonts w:ascii="Calibri" w:hAnsi="Calibri" w:cs="Calibri"/>
          <w:color w:val="000000"/>
          <w:sz w:val="22"/>
          <w:szCs w:val="22"/>
          <w:lang w:eastAsia="en-GB"/>
        </w:rPr>
        <w:t xml:space="preserve"> [the African Programme for Onchocerciasis Control]</w:t>
      </w:r>
      <w:r w:rsidRPr="00D9152B">
        <w:rPr>
          <w:rFonts w:ascii="Calibri" w:hAnsi="Calibri" w:cs="Calibri"/>
          <w:color w:val="000000"/>
          <w:sz w:val="22"/>
          <w:szCs w:val="22"/>
          <w:lang w:eastAsia="en-GB"/>
        </w:rPr>
        <w:t xml:space="preserve"> and OCP demonstrate that partnerships among multilateral agencies, participating governments, NGDOs</w:t>
      </w:r>
      <w:r w:rsidR="005215B7">
        <w:rPr>
          <w:rFonts w:ascii="Calibri" w:hAnsi="Calibri" w:cs="Calibri"/>
          <w:color w:val="000000"/>
          <w:sz w:val="22"/>
          <w:szCs w:val="22"/>
          <w:lang w:eastAsia="en-GB"/>
        </w:rPr>
        <w:t xml:space="preserve"> [non-governmental development organizations]</w:t>
      </w:r>
      <w:r w:rsidRPr="00D9152B">
        <w:rPr>
          <w:rFonts w:ascii="Calibri" w:hAnsi="Calibri" w:cs="Calibri"/>
          <w:color w:val="000000"/>
          <w:sz w:val="22"/>
          <w:szCs w:val="22"/>
          <w:lang w:eastAsia="en-GB"/>
        </w:rPr>
        <w:t>, bilateral donors and the private sector generate important synergies, providing greater benefits at less cost’. Such partnerships accomplish this feat by ‘improved resource allocation and efficiency based on exploitation of economies of scale and the principle of comparative advantage’.</w:t>
      </w:r>
      <w:r w:rsidRPr="00D9152B">
        <w:rPr>
          <w:rFonts w:ascii="Calibri" w:hAnsi="Calibri" w:cs="Calibri"/>
          <w:color w:val="000000"/>
          <w:sz w:val="22"/>
          <w:szCs w:val="22"/>
          <w:vertAlign w:val="superscript"/>
          <w:lang w:eastAsia="en-GB"/>
        </w:rPr>
        <w:footnoteReference w:id="622"/>
      </w:r>
      <w:r w:rsidR="004523C0" w:rsidRPr="00D9152B">
        <w:rPr>
          <w:rFonts w:ascii="Calibri" w:hAnsi="Calibri" w:cs="Calibri"/>
          <w:color w:val="000000"/>
          <w:sz w:val="22"/>
          <w:szCs w:val="22"/>
          <w:lang w:eastAsia="en-GB"/>
        </w:rPr>
        <w:t xml:space="preserve"> This chapter focuses on power dynamics with</w:t>
      </w:r>
      <w:r w:rsidR="00ED5A10" w:rsidRPr="00D9152B">
        <w:rPr>
          <w:rFonts w:ascii="Calibri" w:hAnsi="Calibri" w:cs="Calibri"/>
          <w:color w:val="000000"/>
          <w:sz w:val="22"/>
          <w:szCs w:val="22"/>
          <w:lang w:eastAsia="en-GB"/>
        </w:rPr>
        <w:t>in</w:t>
      </w:r>
      <w:r w:rsidR="004523C0" w:rsidRPr="00D9152B">
        <w:rPr>
          <w:rFonts w:ascii="Calibri" w:hAnsi="Calibri" w:cs="Calibri"/>
          <w:color w:val="000000"/>
          <w:sz w:val="22"/>
          <w:szCs w:val="22"/>
          <w:lang w:eastAsia="en-GB"/>
        </w:rPr>
        <w:t xml:space="preserve"> the sponsoring agency partnership, and </w:t>
      </w:r>
      <w:r w:rsidR="005A6E2D" w:rsidRPr="00D9152B">
        <w:rPr>
          <w:rFonts w:ascii="Calibri" w:hAnsi="Calibri" w:cs="Calibri"/>
          <w:color w:val="000000"/>
          <w:sz w:val="22"/>
          <w:szCs w:val="22"/>
          <w:lang w:eastAsia="en-GB"/>
        </w:rPr>
        <w:t>reflects upon</w:t>
      </w:r>
      <w:r w:rsidR="004523C0" w:rsidRPr="00D9152B">
        <w:rPr>
          <w:rFonts w:ascii="Calibri" w:hAnsi="Calibri" w:cs="Calibri"/>
          <w:color w:val="000000"/>
          <w:sz w:val="22"/>
          <w:szCs w:val="22"/>
          <w:lang w:eastAsia="en-GB"/>
        </w:rPr>
        <w:t xml:space="preserve"> what collective advantages were offered by </w:t>
      </w:r>
      <w:r w:rsidR="00ED5A10" w:rsidRPr="00D9152B">
        <w:rPr>
          <w:rFonts w:ascii="Calibri" w:hAnsi="Calibri" w:cs="Calibri"/>
          <w:color w:val="000000"/>
          <w:sz w:val="22"/>
          <w:szCs w:val="22"/>
          <w:lang w:eastAsia="en-GB"/>
        </w:rPr>
        <w:t>this</w:t>
      </w:r>
      <w:r w:rsidR="004523C0" w:rsidRPr="00D9152B">
        <w:rPr>
          <w:rFonts w:ascii="Calibri" w:hAnsi="Calibri" w:cs="Calibri"/>
          <w:color w:val="000000"/>
          <w:sz w:val="22"/>
          <w:szCs w:val="22"/>
          <w:lang w:eastAsia="en-GB"/>
        </w:rPr>
        <w:t xml:space="preserve"> </w:t>
      </w:r>
      <w:r w:rsidR="004523C0" w:rsidRPr="00D9152B">
        <w:rPr>
          <w:rFonts w:ascii="Calibri" w:hAnsi="Calibri" w:cs="Calibri"/>
          <w:color w:val="000000"/>
          <w:sz w:val="22"/>
          <w:szCs w:val="22"/>
          <w:lang w:eastAsia="en-GB"/>
        </w:rPr>
        <w:lastRenderedPageBreak/>
        <w:t xml:space="preserve">partnership. </w:t>
      </w:r>
      <w:r w:rsidR="00581476" w:rsidRPr="00D9152B">
        <w:rPr>
          <w:rFonts w:ascii="Calibri" w:hAnsi="Calibri" w:cs="Calibri"/>
          <w:color w:val="000000"/>
          <w:sz w:val="22"/>
          <w:szCs w:val="22"/>
          <w:lang w:eastAsia="en-GB"/>
        </w:rPr>
        <w:t>It</w:t>
      </w:r>
      <w:r w:rsidR="004523C0" w:rsidRPr="00D9152B">
        <w:rPr>
          <w:rFonts w:ascii="Calibri" w:hAnsi="Calibri" w:cs="Calibri"/>
          <w:color w:val="000000"/>
          <w:sz w:val="22"/>
          <w:szCs w:val="22"/>
          <w:lang w:eastAsia="en-GB"/>
        </w:rPr>
        <w:t xml:space="preserve"> </w:t>
      </w:r>
      <w:r w:rsidR="005A6E2D" w:rsidRPr="00D9152B">
        <w:rPr>
          <w:rFonts w:ascii="Calibri" w:hAnsi="Calibri" w:cs="Calibri"/>
          <w:color w:val="000000"/>
          <w:sz w:val="22"/>
          <w:szCs w:val="22"/>
          <w:lang w:eastAsia="en-GB"/>
        </w:rPr>
        <w:t>considers</w:t>
      </w:r>
      <w:r w:rsidR="004523C0" w:rsidRPr="00D9152B">
        <w:rPr>
          <w:rFonts w:ascii="Calibri" w:hAnsi="Calibri" w:cs="Calibri"/>
          <w:color w:val="000000"/>
          <w:sz w:val="22"/>
          <w:szCs w:val="22"/>
          <w:lang w:eastAsia="en-GB"/>
        </w:rPr>
        <w:t xml:space="preserve"> two central question</w:t>
      </w:r>
      <w:r w:rsidR="00581476" w:rsidRPr="00D9152B">
        <w:rPr>
          <w:rFonts w:ascii="Calibri" w:hAnsi="Calibri" w:cs="Calibri"/>
          <w:color w:val="000000"/>
          <w:sz w:val="22"/>
          <w:szCs w:val="22"/>
          <w:lang w:eastAsia="en-GB"/>
        </w:rPr>
        <w:t>s</w:t>
      </w:r>
      <w:r w:rsidR="001819AA" w:rsidRPr="00D9152B">
        <w:rPr>
          <w:rFonts w:ascii="Calibri" w:hAnsi="Calibri" w:cs="Calibri"/>
          <w:color w:val="000000"/>
          <w:sz w:val="22"/>
          <w:szCs w:val="22"/>
          <w:lang w:eastAsia="en-GB"/>
        </w:rPr>
        <w:t>. First, d</w:t>
      </w:r>
      <w:r w:rsidR="004523C0" w:rsidRPr="00D9152B">
        <w:rPr>
          <w:rFonts w:ascii="Calibri" w:hAnsi="Calibri" w:cs="Calibri"/>
          <w:color w:val="000000"/>
          <w:sz w:val="22"/>
          <w:szCs w:val="22"/>
          <w:lang w:eastAsia="en-GB"/>
        </w:rPr>
        <w:t>id the formal mandates and ideologies of each sponsoring agency correspond to thei</w:t>
      </w:r>
      <w:r w:rsidR="001819AA" w:rsidRPr="00D9152B">
        <w:rPr>
          <w:rFonts w:ascii="Calibri" w:hAnsi="Calibri" w:cs="Calibri"/>
          <w:color w:val="000000"/>
          <w:sz w:val="22"/>
          <w:szCs w:val="22"/>
          <w:lang w:eastAsia="en-GB"/>
        </w:rPr>
        <w:t>r distinct role in the OCP? Second,</w:t>
      </w:r>
      <w:r w:rsidR="004523C0" w:rsidRPr="00D9152B">
        <w:rPr>
          <w:rFonts w:ascii="Calibri" w:hAnsi="Calibri" w:cs="Calibri"/>
          <w:color w:val="000000"/>
          <w:sz w:val="22"/>
          <w:szCs w:val="22"/>
          <w:lang w:eastAsia="en-GB"/>
        </w:rPr>
        <w:t xml:space="preserve"> in what areas was </w:t>
      </w:r>
      <w:r w:rsidR="001819AA" w:rsidRPr="00D9152B">
        <w:rPr>
          <w:rFonts w:ascii="Calibri" w:hAnsi="Calibri" w:cs="Calibri"/>
          <w:color w:val="000000"/>
          <w:sz w:val="22"/>
          <w:szCs w:val="22"/>
          <w:lang w:eastAsia="en-GB"/>
        </w:rPr>
        <w:t xml:space="preserve">sponsoring agency </w:t>
      </w:r>
      <w:r w:rsidR="004523C0" w:rsidRPr="00D9152B">
        <w:rPr>
          <w:rFonts w:ascii="Calibri" w:hAnsi="Calibri" w:cs="Calibri"/>
          <w:color w:val="000000"/>
          <w:sz w:val="22"/>
          <w:szCs w:val="22"/>
          <w:lang w:eastAsia="en-GB"/>
        </w:rPr>
        <w:t>collaborati</w:t>
      </w:r>
      <w:r w:rsidR="001819AA" w:rsidRPr="00D9152B">
        <w:rPr>
          <w:rFonts w:ascii="Calibri" w:hAnsi="Calibri" w:cs="Calibri"/>
          <w:color w:val="000000"/>
          <w:sz w:val="22"/>
          <w:szCs w:val="22"/>
          <w:lang w:eastAsia="en-GB"/>
        </w:rPr>
        <w:t>on effective – or not effective?</w:t>
      </w:r>
    </w:p>
    <w:p w14:paraId="2F7F5C96" w14:textId="2DC46AF8" w:rsidR="00AC7848" w:rsidRPr="00D9152B" w:rsidRDefault="009A5A65" w:rsidP="00FA7761">
      <w:pPr>
        <w:pStyle w:val="Heading2"/>
        <w:rPr>
          <w:rFonts w:ascii="Calibri" w:hAnsi="Calibri" w:cs="Calibri"/>
          <w:b/>
          <w:sz w:val="26"/>
          <w:szCs w:val="26"/>
        </w:rPr>
      </w:pPr>
      <w:bookmarkStart w:id="111" w:name="_Toc41505674"/>
      <w:r w:rsidRPr="00D9152B">
        <w:rPr>
          <w:rFonts w:ascii="Calibri" w:hAnsi="Calibri" w:cs="Calibri"/>
          <w:b/>
          <w:sz w:val="26"/>
          <w:szCs w:val="26"/>
        </w:rPr>
        <w:t>6.</w:t>
      </w:r>
      <w:r w:rsidR="00FA7761" w:rsidRPr="00D9152B">
        <w:rPr>
          <w:rFonts w:ascii="Calibri" w:hAnsi="Calibri" w:cs="Calibri"/>
          <w:b/>
          <w:sz w:val="26"/>
          <w:szCs w:val="26"/>
        </w:rPr>
        <w:t xml:space="preserve">2. </w:t>
      </w:r>
      <w:r w:rsidR="008023F4" w:rsidRPr="00D9152B">
        <w:rPr>
          <w:rFonts w:ascii="Calibri" w:hAnsi="Calibri" w:cs="Calibri"/>
          <w:b/>
          <w:sz w:val="26"/>
          <w:szCs w:val="26"/>
        </w:rPr>
        <w:t>Tension</w:t>
      </w:r>
      <w:r w:rsidR="005A5829" w:rsidRPr="00D9152B">
        <w:rPr>
          <w:rFonts w:ascii="Calibri" w:hAnsi="Calibri" w:cs="Calibri"/>
          <w:b/>
          <w:sz w:val="26"/>
          <w:szCs w:val="26"/>
        </w:rPr>
        <w:t>s</w:t>
      </w:r>
      <w:r w:rsidR="008023F4" w:rsidRPr="00D9152B">
        <w:rPr>
          <w:rFonts w:ascii="Calibri" w:hAnsi="Calibri" w:cs="Calibri"/>
          <w:b/>
          <w:sz w:val="26"/>
          <w:szCs w:val="26"/>
        </w:rPr>
        <w:t xml:space="preserve"> over formal and effective mandates</w:t>
      </w:r>
      <w:bookmarkEnd w:id="111"/>
    </w:p>
    <w:p w14:paraId="440FA9DA" w14:textId="069422C2" w:rsidR="00AC7848" w:rsidRPr="00D9152B" w:rsidRDefault="00AC7848" w:rsidP="006B543F">
      <w:pPr>
        <w:spacing w:before="100" w:beforeAutospacing="1" w:after="100" w:afterAutospacing="1" w:line="360" w:lineRule="auto"/>
        <w:ind w:firstLine="720"/>
        <w:rPr>
          <w:rFonts w:ascii="Calibri" w:eastAsia="Calibri" w:hAnsi="Calibri" w:cs="Calibri"/>
          <w:sz w:val="22"/>
          <w:szCs w:val="22"/>
        </w:rPr>
      </w:pPr>
      <w:r w:rsidRPr="00D9152B">
        <w:rPr>
          <w:rFonts w:ascii="Calibri" w:eastAsia="Calibri" w:hAnsi="Calibri" w:cs="Calibri"/>
          <w:sz w:val="22"/>
          <w:szCs w:val="22"/>
        </w:rPr>
        <w:t>From the start, the OCP was a highly political programme. As described in Chapter 4, it had to be justified in a way that was acceptable to the leadership and personalities of each sponsoring agency, which each had distinct mandates and</w:t>
      </w:r>
      <w:r w:rsidR="00E71170" w:rsidRPr="00D9152B">
        <w:rPr>
          <w:rFonts w:ascii="Calibri" w:eastAsia="Calibri" w:hAnsi="Calibri" w:cs="Calibri"/>
          <w:sz w:val="22"/>
          <w:szCs w:val="22"/>
        </w:rPr>
        <w:t xml:space="preserve"> areas of collective advantage (official mandates are given in</w:t>
      </w:r>
      <w:r w:rsidR="009B3989" w:rsidRPr="00D9152B">
        <w:rPr>
          <w:rFonts w:ascii="Calibri" w:eastAsia="Calibri" w:hAnsi="Calibri" w:cs="Calibri"/>
          <w:sz w:val="22"/>
          <w:szCs w:val="22"/>
        </w:rPr>
        <w:t xml:space="preserve"> Appendix </w:t>
      </w:r>
      <w:r w:rsidR="001D5952">
        <w:rPr>
          <w:rFonts w:ascii="Calibri" w:eastAsia="Calibri" w:hAnsi="Calibri" w:cs="Calibri"/>
          <w:sz w:val="22"/>
          <w:szCs w:val="22"/>
        </w:rPr>
        <w:t>I</w:t>
      </w:r>
      <w:r w:rsidR="009B3989" w:rsidRPr="00D9152B">
        <w:rPr>
          <w:rFonts w:ascii="Calibri" w:eastAsia="Calibri" w:hAnsi="Calibri" w:cs="Calibri"/>
          <w:sz w:val="22"/>
          <w:szCs w:val="22"/>
        </w:rPr>
        <w:t>X)</w:t>
      </w:r>
      <w:r w:rsidR="00E71170" w:rsidRPr="00D9152B">
        <w:rPr>
          <w:rFonts w:ascii="Calibri" w:eastAsia="Calibri" w:hAnsi="Calibri" w:cs="Calibri"/>
          <w:sz w:val="22"/>
          <w:szCs w:val="22"/>
        </w:rPr>
        <w:t>.</w:t>
      </w:r>
      <w:r w:rsidRPr="00D9152B">
        <w:rPr>
          <w:rFonts w:ascii="Calibri" w:hAnsi="Calibri" w:cs="Calibri"/>
          <w:sz w:val="22"/>
          <w:szCs w:val="22"/>
          <w:vertAlign w:val="superscript"/>
          <w:lang w:val="en-US"/>
        </w:rPr>
        <w:footnoteReference w:id="623"/>
      </w:r>
      <w:r w:rsidRPr="00D9152B">
        <w:rPr>
          <w:rFonts w:ascii="Calibri" w:eastAsia="Calibri" w:hAnsi="Calibri" w:cs="Calibri"/>
          <w:sz w:val="22"/>
          <w:szCs w:val="22"/>
        </w:rPr>
        <w:t xml:space="preserve"> Mandates can take two forms: they can be formal mandates, based on the agency’s raison d’être as expressed in its formal constitution or articles of agreement, or effective mandates, which result from the actual operationalization and implementation of the agency’s activities over time.</w:t>
      </w:r>
      <w:r w:rsidRPr="00D9152B">
        <w:rPr>
          <w:rFonts w:ascii="Calibri" w:eastAsia="Calibri" w:hAnsi="Calibri" w:cs="Calibri"/>
          <w:sz w:val="22"/>
          <w:szCs w:val="22"/>
          <w:vertAlign w:val="superscript"/>
        </w:rPr>
        <w:footnoteReference w:id="624"/>
      </w:r>
      <w:r w:rsidRPr="00D9152B">
        <w:rPr>
          <w:rFonts w:ascii="Calibri" w:eastAsia="Calibri" w:hAnsi="Calibri" w:cs="Calibri"/>
          <w:sz w:val="22"/>
          <w:szCs w:val="22"/>
        </w:rPr>
        <w:t xml:space="preserve"> While the economic development justification of the OCP helped it ostensibly fit within the formal mandates of the WHO, Bank, UNDP, and FAO, each agencies’ effective mandates set the stage for significant intra-prog</w:t>
      </w:r>
      <w:r w:rsidR="00E71170" w:rsidRPr="00D9152B">
        <w:rPr>
          <w:rFonts w:ascii="Calibri" w:eastAsia="Calibri" w:hAnsi="Calibri" w:cs="Calibri"/>
          <w:sz w:val="22"/>
          <w:szCs w:val="22"/>
        </w:rPr>
        <w:t>r</w:t>
      </w:r>
      <w:r w:rsidRPr="00D9152B">
        <w:rPr>
          <w:rFonts w:ascii="Calibri" w:eastAsia="Calibri" w:hAnsi="Calibri" w:cs="Calibri"/>
          <w:sz w:val="22"/>
          <w:szCs w:val="22"/>
        </w:rPr>
        <w:t>amm</w:t>
      </w:r>
      <w:r w:rsidR="005A6E2D" w:rsidRPr="00D9152B">
        <w:rPr>
          <w:rFonts w:ascii="Calibri" w:eastAsia="Calibri" w:hAnsi="Calibri" w:cs="Calibri"/>
          <w:sz w:val="22"/>
          <w:szCs w:val="22"/>
        </w:rPr>
        <w:t>at</w:t>
      </w:r>
      <w:r w:rsidRPr="00D9152B">
        <w:rPr>
          <w:rFonts w:ascii="Calibri" w:eastAsia="Calibri" w:hAnsi="Calibri" w:cs="Calibri"/>
          <w:sz w:val="22"/>
          <w:szCs w:val="22"/>
        </w:rPr>
        <w:t>ic rivalry.</w:t>
      </w:r>
    </w:p>
    <w:p w14:paraId="27F3F55A" w14:textId="7FB209D9" w:rsidR="00AC7848" w:rsidRPr="00D9152B" w:rsidRDefault="00AC7848" w:rsidP="006B543F">
      <w:pPr>
        <w:spacing w:before="100" w:beforeAutospacing="1" w:after="100" w:afterAutospacing="1" w:line="360" w:lineRule="auto"/>
        <w:ind w:firstLine="720"/>
        <w:rPr>
          <w:rFonts w:ascii="Calibri" w:eastAsia="Calibri" w:hAnsi="Calibri" w:cs="Calibri"/>
          <w:sz w:val="22"/>
          <w:szCs w:val="22"/>
        </w:rPr>
      </w:pPr>
      <w:r w:rsidRPr="00D9152B">
        <w:rPr>
          <w:rFonts w:ascii="Calibri" w:eastAsia="Calibri" w:hAnsi="Calibri" w:cs="Calibri"/>
          <w:sz w:val="22"/>
          <w:szCs w:val="22"/>
        </w:rPr>
        <w:t>This section describes some of the ideological and operational tensions that emerged during the OCP among these sponsoring agencies. Because the planning for the OCP began in the 1960s, the programme ran for a full 39 years, and its sponsoring agencies were represented by many different individuals over its tenure, it would be indefensible to claim to capture the nuanced ideologies and roles of each sponsoring agency. Instead, the section uses letters and memoranda from sponsoring agency archives to draw-out specific examples of collaborations and debates</w:t>
      </w:r>
      <w:r w:rsidR="009B3989" w:rsidRPr="00D9152B">
        <w:rPr>
          <w:rFonts w:ascii="Calibri" w:eastAsia="Calibri" w:hAnsi="Calibri" w:cs="Calibri"/>
          <w:sz w:val="22"/>
          <w:szCs w:val="22"/>
        </w:rPr>
        <w:t>, which are overlooked in the dominant narrative</w:t>
      </w:r>
      <w:r w:rsidRPr="00D9152B">
        <w:rPr>
          <w:rFonts w:ascii="Calibri" w:eastAsia="Calibri" w:hAnsi="Calibri" w:cs="Calibri"/>
          <w:sz w:val="22"/>
          <w:szCs w:val="22"/>
        </w:rPr>
        <w:t xml:space="preserve">. </w:t>
      </w:r>
    </w:p>
    <w:p w14:paraId="6C30D8DE" w14:textId="518D91D9" w:rsidR="009B3989" w:rsidRPr="00D9152B" w:rsidRDefault="009A5A65" w:rsidP="006B543F">
      <w:pPr>
        <w:pStyle w:val="Heading3"/>
        <w:spacing w:line="360" w:lineRule="auto"/>
        <w:rPr>
          <w:rFonts w:ascii="Calibri" w:eastAsia="Calibri" w:hAnsi="Calibri" w:cs="Calibri"/>
          <w:b/>
          <w:i/>
          <w:color w:val="000000" w:themeColor="text1"/>
          <w:sz w:val="22"/>
          <w:szCs w:val="22"/>
        </w:rPr>
      </w:pPr>
      <w:bookmarkStart w:id="112" w:name="_Toc41505675"/>
      <w:r w:rsidRPr="00D9152B">
        <w:rPr>
          <w:rFonts w:ascii="Calibri" w:eastAsia="Calibri" w:hAnsi="Calibri" w:cs="Calibri"/>
          <w:b/>
          <w:i/>
          <w:color w:val="000000" w:themeColor="text1"/>
          <w:sz w:val="22"/>
          <w:szCs w:val="22"/>
        </w:rPr>
        <w:lastRenderedPageBreak/>
        <w:t>6.2.A</w:t>
      </w:r>
      <w:r w:rsidR="00405EC5" w:rsidRPr="00D9152B">
        <w:rPr>
          <w:rFonts w:ascii="Calibri" w:eastAsia="Calibri" w:hAnsi="Calibri" w:cs="Calibri"/>
          <w:b/>
          <w:i/>
          <w:color w:val="000000" w:themeColor="text1"/>
          <w:sz w:val="22"/>
          <w:szCs w:val="22"/>
        </w:rPr>
        <w:t xml:space="preserve">. </w:t>
      </w:r>
      <w:r w:rsidR="009B3989" w:rsidRPr="00D9152B">
        <w:rPr>
          <w:rFonts w:ascii="Calibri" w:eastAsia="Calibri" w:hAnsi="Calibri" w:cs="Calibri"/>
          <w:b/>
          <w:i/>
          <w:color w:val="000000" w:themeColor="text1"/>
          <w:sz w:val="22"/>
          <w:szCs w:val="22"/>
        </w:rPr>
        <w:t>The WHO</w:t>
      </w:r>
      <w:r w:rsidR="008023F4" w:rsidRPr="00D9152B">
        <w:rPr>
          <w:rFonts w:ascii="Calibri" w:eastAsia="Calibri" w:hAnsi="Calibri" w:cs="Calibri"/>
          <w:b/>
          <w:i/>
          <w:color w:val="000000" w:themeColor="text1"/>
          <w:sz w:val="22"/>
          <w:szCs w:val="22"/>
        </w:rPr>
        <w:t>’s ability to perform regional planning and economic analyses</w:t>
      </w:r>
      <w:bookmarkEnd w:id="112"/>
    </w:p>
    <w:p w14:paraId="70362464" w14:textId="68398D00" w:rsidR="00AC7848" w:rsidRPr="00D9152B" w:rsidRDefault="00AC7848" w:rsidP="006B543F">
      <w:pPr>
        <w:spacing w:before="100" w:beforeAutospacing="1" w:after="100" w:afterAutospacing="1" w:line="360" w:lineRule="auto"/>
        <w:ind w:firstLine="720"/>
        <w:contextualSpacing/>
        <w:rPr>
          <w:rFonts w:ascii="Calibri" w:eastAsia="Calibri" w:hAnsi="Calibri" w:cs="Calibri"/>
          <w:sz w:val="22"/>
          <w:szCs w:val="22"/>
          <w:lang w:val="en-US"/>
        </w:rPr>
      </w:pPr>
      <w:r w:rsidRPr="00D9152B">
        <w:rPr>
          <w:rFonts w:ascii="Calibri" w:eastAsia="Calibri" w:hAnsi="Calibri" w:cs="Calibri"/>
          <w:sz w:val="22"/>
          <w:szCs w:val="22"/>
        </w:rPr>
        <w:t>All sponsoring agencies agreed that, due to its formal mandate and experience with global disease control initiatives,</w:t>
      </w:r>
      <w:r w:rsidRPr="00D9152B">
        <w:rPr>
          <w:rFonts w:ascii="Calibri" w:eastAsia="Calibri" w:hAnsi="Calibri" w:cs="Calibri"/>
          <w:sz w:val="22"/>
          <w:szCs w:val="22"/>
          <w:vertAlign w:val="superscript"/>
        </w:rPr>
        <w:footnoteReference w:id="625"/>
      </w:r>
      <w:r w:rsidRPr="00D9152B">
        <w:rPr>
          <w:rFonts w:ascii="Calibri" w:eastAsia="Calibri" w:hAnsi="Calibri" w:cs="Calibri"/>
          <w:sz w:val="22"/>
          <w:szCs w:val="22"/>
        </w:rPr>
        <w:t xml:space="preserve"> the WHO should provide technical execution of the OCP. However, the UNDP, FAO, and Bank worried that the WHO’s management would be ill-equipped to support regional development activities. </w:t>
      </w:r>
      <w:r w:rsidRPr="00D9152B">
        <w:rPr>
          <w:rFonts w:ascii="Calibri" w:eastAsia="Calibri" w:hAnsi="Calibri" w:cs="Calibri"/>
          <w:sz w:val="22"/>
          <w:szCs w:val="22"/>
          <w:lang w:val="en-US"/>
        </w:rPr>
        <w:t>As Ralph Townley, the point-man on OCP planning at UNDP, wrote in 1972:</w:t>
      </w:r>
    </w:p>
    <w:p w14:paraId="681F07C3" w14:textId="1D5042BE" w:rsidR="00AC7848" w:rsidRPr="00D9152B" w:rsidRDefault="00AC7848" w:rsidP="008023F4">
      <w:pPr>
        <w:pStyle w:val="Quote"/>
        <w:ind w:left="862" w:right="862"/>
        <w:rPr>
          <w:rFonts w:cs="Calibri"/>
          <w:i/>
          <w:sz w:val="22"/>
          <w:szCs w:val="22"/>
        </w:rPr>
      </w:pPr>
      <w:r w:rsidRPr="00D9152B">
        <w:rPr>
          <w:rFonts w:cs="Calibri"/>
          <w:i/>
          <w:sz w:val="22"/>
          <w:szCs w:val="22"/>
        </w:rPr>
        <w:t>‘The issue of co-ordination has been of primary concern to the [UNDP] Regional Bureau for Africa...WHO, the Executing Agency, had in the past demonstrated timidity in taking the reins of leadership for the whole PAG operation [OCP preparatory mission] primarily because they viewed themselves as specialists in public health with no knowledge of either economics or agriculture. I emphasized that this kind of thinking could lead to many misunderstandings and required actions “falling between the seats”. Our position, ever since the January discussions, has been one of “looking over WHO’s shoulder” to press for co-ordination</w:t>
      </w:r>
      <w:r w:rsidR="0028464C">
        <w:rPr>
          <w:rFonts w:cs="Calibri"/>
          <w:i/>
          <w:sz w:val="22"/>
          <w:szCs w:val="22"/>
        </w:rPr>
        <w:t>.</w:t>
      </w:r>
      <w:r w:rsidRPr="00D9152B">
        <w:rPr>
          <w:rFonts w:cs="Calibri"/>
          <w:i/>
          <w:sz w:val="22"/>
          <w:szCs w:val="22"/>
        </w:rPr>
        <w:t>’</w:t>
      </w:r>
      <w:r w:rsidRPr="00D9152B">
        <w:rPr>
          <w:rFonts w:cs="Calibri"/>
          <w:i/>
          <w:sz w:val="22"/>
          <w:szCs w:val="22"/>
          <w:vertAlign w:val="superscript"/>
        </w:rPr>
        <w:footnoteReference w:id="626"/>
      </w:r>
    </w:p>
    <w:p w14:paraId="1CBC4A31" w14:textId="509CC25F" w:rsidR="00AC7848" w:rsidRPr="00D9152B" w:rsidRDefault="00AC7848" w:rsidP="006B543F">
      <w:pPr>
        <w:spacing w:before="100" w:beforeAutospacing="1" w:after="100" w:afterAutospacing="1" w:line="360" w:lineRule="auto"/>
        <w:rPr>
          <w:rFonts w:ascii="Calibri" w:eastAsia="Calibri" w:hAnsi="Calibri" w:cs="Calibri"/>
          <w:sz w:val="22"/>
          <w:szCs w:val="22"/>
        </w:rPr>
      </w:pPr>
      <w:r w:rsidRPr="00D9152B">
        <w:rPr>
          <w:rFonts w:ascii="Calibri" w:eastAsia="Calibri" w:hAnsi="Calibri" w:cs="Calibri"/>
          <w:sz w:val="22"/>
          <w:szCs w:val="22"/>
        </w:rPr>
        <w:t>Sponsoring agencies had heated debates about how far the WHO’s authority should extend as the executing agency. These debates</w:t>
      </w:r>
      <w:r w:rsidR="00F3502A" w:rsidRPr="00D9152B">
        <w:rPr>
          <w:rFonts w:ascii="Calibri" w:eastAsia="Calibri" w:hAnsi="Calibri" w:cs="Calibri"/>
          <w:sz w:val="22"/>
          <w:szCs w:val="22"/>
        </w:rPr>
        <w:t xml:space="preserve"> about effective mandates</w:t>
      </w:r>
      <w:r w:rsidRPr="00D9152B">
        <w:rPr>
          <w:rFonts w:ascii="Calibri" w:eastAsia="Calibri" w:hAnsi="Calibri" w:cs="Calibri"/>
          <w:sz w:val="22"/>
          <w:szCs w:val="22"/>
        </w:rPr>
        <w:t xml:space="preserve"> refl</w:t>
      </w:r>
      <w:r w:rsidR="00F3502A" w:rsidRPr="00D9152B">
        <w:rPr>
          <w:rFonts w:ascii="Calibri" w:eastAsia="Calibri" w:hAnsi="Calibri" w:cs="Calibri"/>
          <w:sz w:val="22"/>
          <w:szCs w:val="22"/>
        </w:rPr>
        <w:t>ected three inter-related trends</w:t>
      </w:r>
      <w:r w:rsidRPr="00D9152B">
        <w:rPr>
          <w:rFonts w:ascii="Calibri" w:eastAsia="Calibri" w:hAnsi="Calibri" w:cs="Calibri"/>
          <w:sz w:val="22"/>
          <w:szCs w:val="22"/>
        </w:rPr>
        <w:t>: the WHO’s feeling that it needed to safeguard its status as the normative world power for health sector technical assistance (especially during the 1980s), the Bank’s belief that its budgeting and economic modelling capabilities surpassed those of the WHO (even for the health sector), and the wide</w:t>
      </w:r>
      <w:r w:rsidR="00E30696">
        <w:rPr>
          <w:rFonts w:ascii="Calibri" w:eastAsia="Calibri" w:hAnsi="Calibri" w:cs="Calibri"/>
          <w:sz w:val="22"/>
          <w:szCs w:val="22"/>
        </w:rPr>
        <w:t>ly</w:t>
      </w:r>
      <w:r w:rsidRPr="00D9152B">
        <w:rPr>
          <w:rFonts w:ascii="Calibri" w:eastAsia="Calibri" w:hAnsi="Calibri" w:cs="Calibri"/>
          <w:sz w:val="22"/>
          <w:szCs w:val="22"/>
        </w:rPr>
        <w:t xml:space="preserve">-held belief among sponsoring agencies that </w:t>
      </w:r>
      <w:r w:rsidR="005A6E2D" w:rsidRPr="00D9152B">
        <w:rPr>
          <w:rFonts w:ascii="Calibri" w:eastAsia="Calibri" w:hAnsi="Calibri" w:cs="Calibri"/>
          <w:sz w:val="22"/>
          <w:szCs w:val="22"/>
        </w:rPr>
        <w:t>the WHO Regional Office for Africa (</w:t>
      </w:r>
      <w:r w:rsidRPr="00D9152B">
        <w:rPr>
          <w:rFonts w:ascii="Calibri" w:eastAsia="Calibri" w:hAnsi="Calibri" w:cs="Calibri"/>
          <w:sz w:val="22"/>
          <w:szCs w:val="22"/>
        </w:rPr>
        <w:t>AFRO</w:t>
      </w:r>
      <w:r w:rsidR="005A6E2D" w:rsidRPr="00D9152B">
        <w:rPr>
          <w:rFonts w:ascii="Calibri" w:eastAsia="Calibri" w:hAnsi="Calibri" w:cs="Calibri"/>
          <w:sz w:val="22"/>
          <w:szCs w:val="22"/>
        </w:rPr>
        <w:t>) secretariat</w:t>
      </w:r>
      <w:r w:rsidRPr="00D9152B">
        <w:rPr>
          <w:rFonts w:ascii="Calibri" w:eastAsia="Calibri" w:hAnsi="Calibri" w:cs="Calibri"/>
          <w:sz w:val="22"/>
          <w:szCs w:val="22"/>
        </w:rPr>
        <w:t xml:space="preserve"> was a particularly weak link within the WHO system. </w:t>
      </w:r>
    </w:p>
    <w:p w14:paraId="7A22EF6A" w14:textId="0F98BE70" w:rsidR="00405EC5" w:rsidRPr="00D9152B" w:rsidRDefault="00405EC5" w:rsidP="006B543F">
      <w:pPr>
        <w:pStyle w:val="Heading4"/>
        <w:spacing w:line="360" w:lineRule="auto"/>
        <w:rPr>
          <w:rFonts w:ascii="Calibri" w:eastAsia="Calibri" w:hAnsi="Calibri" w:cs="Calibri"/>
          <w:sz w:val="22"/>
          <w:szCs w:val="22"/>
        </w:rPr>
      </w:pPr>
      <w:r w:rsidRPr="00D9152B">
        <w:rPr>
          <w:rFonts w:ascii="Calibri" w:eastAsia="Calibri" w:hAnsi="Calibri" w:cs="Calibri"/>
          <w:sz w:val="22"/>
          <w:szCs w:val="22"/>
        </w:rPr>
        <w:t>The WHO’s authority as executing agency</w:t>
      </w:r>
    </w:p>
    <w:p w14:paraId="4D373D98" w14:textId="3A646A4F" w:rsidR="00AC7848" w:rsidRPr="00D9152B" w:rsidRDefault="00AC7848" w:rsidP="006B543F">
      <w:pPr>
        <w:spacing w:before="100" w:beforeAutospacing="1" w:after="100" w:afterAutospacing="1" w:line="360" w:lineRule="auto"/>
        <w:ind w:firstLine="720"/>
        <w:rPr>
          <w:rFonts w:ascii="Calibri" w:hAnsi="Calibri" w:cs="Calibri"/>
          <w:color w:val="000000"/>
          <w:sz w:val="22"/>
          <w:szCs w:val="22"/>
          <w:lang w:eastAsia="en-GB"/>
        </w:rPr>
      </w:pPr>
      <w:r w:rsidRPr="00D9152B">
        <w:rPr>
          <w:rFonts w:ascii="Calibri" w:eastAsia="Calibri" w:hAnsi="Calibri" w:cs="Calibri"/>
          <w:sz w:val="22"/>
          <w:szCs w:val="22"/>
        </w:rPr>
        <w:t xml:space="preserve">From the start of the OCP, the WHO heavily guarded its executing agency role. It maintained that it was only answerable to the OCP’s Joint Coordinating Committee/Joint Programme Committee, and not to any other sponsoring agencies. As a FAO staff member </w:t>
      </w:r>
      <w:r w:rsidRPr="00D9152B">
        <w:rPr>
          <w:rFonts w:ascii="Calibri" w:eastAsia="Calibri" w:hAnsi="Calibri" w:cs="Calibri"/>
          <w:sz w:val="22"/>
          <w:szCs w:val="22"/>
        </w:rPr>
        <w:lastRenderedPageBreak/>
        <w:t>complained in 1979, ‘the representative of WHO made it quite clear that his Agency would never accept any supervision by the Steering Committee,’ even though the ‘wording of the legal documents is ambiguous in this respect’.</w:t>
      </w:r>
      <w:r w:rsidRPr="00D9152B">
        <w:rPr>
          <w:rFonts w:ascii="Calibri" w:eastAsia="Calibri" w:hAnsi="Calibri" w:cs="Calibri"/>
          <w:sz w:val="22"/>
          <w:szCs w:val="22"/>
          <w:vertAlign w:val="superscript"/>
        </w:rPr>
        <w:footnoteReference w:id="627"/>
      </w:r>
      <w:r w:rsidRPr="00D9152B">
        <w:rPr>
          <w:rFonts w:ascii="Calibri" w:hAnsi="Calibri" w:cs="Calibri"/>
          <w:color w:val="000000"/>
          <w:sz w:val="22"/>
          <w:szCs w:val="22"/>
          <w:lang w:eastAsia="en-GB"/>
        </w:rPr>
        <w:t xml:space="preserve"> </w:t>
      </w:r>
    </w:p>
    <w:p w14:paraId="5B42D944" w14:textId="65D3A163" w:rsidR="00AC7848" w:rsidRPr="00D9152B" w:rsidRDefault="00AC7848" w:rsidP="006B543F">
      <w:pPr>
        <w:spacing w:before="100" w:beforeAutospacing="1" w:after="100" w:afterAutospacing="1" w:line="360" w:lineRule="auto"/>
        <w:ind w:firstLine="720"/>
        <w:rPr>
          <w:rFonts w:ascii="Calibri" w:hAnsi="Calibri" w:cs="Calibri"/>
          <w:color w:val="000000"/>
          <w:sz w:val="22"/>
          <w:szCs w:val="22"/>
          <w:lang w:eastAsia="en-GB"/>
        </w:rPr>
      </w:pPr>
      <w:r w:rsidRPr="00D9152B">
        <w:rPr>
          <w:rFonts w:ascii="Calibri" w:eastAsia="Calibri" w:hAnsi="Calibri" w:cs="Calibri"/>
          <w:sz w:val="22"/>
          <w:szCs w:val="22"/>
        </w:rPr>
        <w:t>The UNDP, in particular, was wary of the WHO bypassing its resident representative system and overlooking the importance of participating country government buy-in. As early as 1972, the UNDP advocated that the seven participating governments should be brought to the decision-making table and a clear system should be developed for their engagement.</w:t>
      </w:r>
      <w:r w:rsidRPr="00D9152B">
        <w:rPr>
          <w:rFonts w:ascii="Calibri" w:eastAsia="Calibri" w:hAnsi="Calibri" w:cs="Calibri"/>
          <w:sz w:val="22"/>
          <w:szCs w:val="22"/>
          <w:vertAlign w:val="superscript"/>
        </w:rPr>
        <w:footnoteReference w:id="628"/>
      </w:r>
      <w:r w:rsidRPr="00D9152B">
        <w:rPr>
          <w:rFonts w:ascii="Calibri" w:eastAsia="Calibri" w:hAnsi="Calibri" w:cs="Calibri"/>
          <w:sz w:val="22"/>
          <w:szCs w:val="22"/>
        </w:rPr>
        <w:t xml:space="preserve"> </w:t>
      </w:r>
      <w:r w:rsidRPr="00D9152B">
        <w:rPr>
          <w:rFonts w:ascii="Calibri" w:eastAsia="Calibri" w:hAnsi="Calibri" w:cs="Calibri"/>
          <w:sz w:val="22"/>
          <w:szCs w:val="22"/>
          <w:lang w:val="en-US"/>
        </w:rPr>
        <w:t xml:space="preserve">At a sponsoring agency planning session the same year, there was an ‘undercurrent of uneasiness’ by resident representatives. A UNDP staff member reasoned that this ‘probably sprang from the absence of communication from WHO… the communications channel maintained by WHO did not place the UNDP field offices in the centre of the action’. For instance, the resident representative of Upper </w:t>
      </w:r>
      <w:r w:rsidR="00F3502A" w:rsidRPr="00D9152B">
        <w:rPr>
          <w:rFonts w:ascii="Calibri" w:eastAsia="Calibri" w:hAnsi="Calibri" w:cs="Calibri"/>
          <w:sz w:val="22"/>
          <w:szCs w:val="22"/>
          <w:lang w:val="en-US"/>
        </w:rPr>
        <w:t>Volta believed that his office sh</w:t>
      </w:r>
      <w:r w:rsidRPr="00D9152B">
        <w:rPr>
          <w:rFonts w:ascii="Calibri" w:eastAsia="Calibri" w:hAnsi="Calibri" w:cs="Calibri"/>
          <w:sz w:val="22"/>
          <w:szCs w:val="22"/>
          <w:lang w:val="en-US"/>
        </w:rPr>
        <w:t>ould be used as a central clearing house for OCP operations,</w:t>
      </w:r>
      <w:r w:rsidRPr="00D9152B">
        <w:rPr>
          <w:rFonts w:ascii="Calibri" w:eastAsia="Calibri" w:hAnsi="Calibri" w:cs="Calibri"/>
          <w:sz w:val="22"/>
          <w:szCs w:val="22"/>
          <w:vertAlign w:val="superscript"/>
        </w:rPr>
        <w:footnoteReference w:id="629"/>
      </w:r>
      <w:r w:rsidRPr="00D9152B">
        <w:rPr>
          <w:rFonts w:ascii="Calibri" w:eastAsia="Calibri" w:hAnsi="Calibri" w:cs="Calibri"/>
          <w:sz w:val="22"/>
          <w:szCs w:val="22"/>
          <w:lang w:val="en-US"/>
        </w:rPr>
        <w:t xml:space="preserve"> and Townley questioned whether WHO’s reporting to its regional office </w:t>
      </w:r>
      <w:r w:rsidR="0011077C" w:rsidRPr="00D9152B">
        <w:rPr>
          <w:rFonts w:ascii="Calibri" w:eastAsia="Calibri" w:hAnsi="Calibri" w:cs="Calibri"/>
          <w:sz w:val="22"/>
          <w:szCs w:val="22"/>
          <w:lang w:val="en-US"/>
        </w:rPr>
        <w:t xml:space="preserve">(AFRO) </w:t>
      </w:r>
      <w:r w:rsidRPr="00D9152B">
        <w:rPr>
          <w:rFonts w:ascii="Calibri" w:eastAsia="Calibri" w:hAnsi="Calibri" w:cs="Calibri"/>
          <w:sz w:val="22"/>
          <w:szCs w:val="22"/>
          <w:lang w:val="en-US"/>
        </w:rPr>
        <w:t>in Brazzaville was an ‘arrangement satisfactory for this particular project in view of its complexity and magnitude’, especially because the programme would be UNDP’s largest involvement to-date.</w:t>
      </w:r>
      <w:r w:rsidRPr="00D9152B">
        <w:rPr>
          <w:rFonts w:ascii="Calibri" w:hAnsi="Calibri" w:cs="Calibri"/>
          <w:color w:val="000000"/>
          <w:sz w:val="22"/>
          <w:szCs w:val="22"/>
          <w:vertAlign w:val="superscript"/>
          <w:lang w:eastAsia="en-GB"/>
        </w:rPr>
        <w:footnoteReference w:id="630"/>
      </w:r>
      <w:r w:rsidRPr="00D9152B">
        <w:rPr>
          <w:rFonts w:ascii="Calibri" w:hAnsi="Calibri" w:cs="Calibri"/>
          <w:color w:val="000000"/>
          <w:sz w:val="22"/>
          <w:szCs w:val="22"/>
          <w:lang w:eastAsia="en-GB"/>
        </w:rPr>
        <w:t xml:space="preserve"> </w:t>
      </w:r>
    </w:p>
    <w:p w14:paraId="7E983BC5" w14:textId="77777777" w:rsidR="00F3502A" w:rsidRPr="00D9152B" w:rsidRDefault="00AC7848" w:rsidP="006B543F">
      <w:pPr>
        <w:spacing w:before="100" w:beforeAutospacing="1" w:after="100" w:afterAutospacing="1" w:line="360" w:lineRule="auto"/>
        <w:ind w:firstLine="720"/>
        <w:rPr>
          <w:rFonts w:ascii="Calibri" w:eastAsia="Calibri" w:hAnsi="Calibri" w:cs="Calibri"/>
          <w:sz w:val="22"/>
          <w:szCs w:val="22"/>
          <w:lang w:val="en-US"/>
        </w:rPr>
      </w:pPr>
      <w:r w:rsidRPr="00D9152B">
        <w:rPr>
          <w:rFonts w:ascii="Calibri" w:eastAsia="Calibri" w:hAnsi="Calibri" w:cs="Calibri"/>
          <w:sz w:val="22"/>
          <w:szCs w:val="22"/>
          <w:lang w:val="en-US"/>
        </w:rPr>
        <w:t>UNDP staff hoped that generalized and specific functions would be added to the terms of reference for each Steering Committee member, which would ‘clarify the functional roles and relationship</w:t>
      </w:r>
      <w:r w:rsidR="00F3502A" w:rsidRPr="00D9152B">
        <w:rPr>
          <w:rFonts w:ascii="Calibri" w:eastAsia="Calibri" w:hAnsi="Calibri" w:cs="Calibri"/>
          <w:sz w:val="22"/>
          <w:szCs w:val="22"/>
          <w:lang w:val="en-US"/>
        </w:rPr>
        <w:t>s’ between sponsoring agencies. This was particularly important in the case of</w:t>
      </w:r>
      <w:r w:rsidRPr="00D9152B">
        <w:rPr>
          <w:rFonts w:ascii="Calibri" w:eastAsia="Calibri" w:hAnsi="Calibri" w:cs="Calibri"/>
          <w:sz w:val="22"/>
          <w:szCs w:val="22"/>
          <w:lang w:val="en-US"/>
        </w:rPr>
        <w:t xml:space="preserve"> the FAO and IBRD</w:t>
      </w:r>
      <w:r w:rsidR="00707C1E" w:rsidRPr="00D9152B">
        <w:rPr>
          <w:rFonts w:ascii="Calibri" w:eastAsia="Calibri" w:hAnsi="Calibri" w:cs="Calibri"/>
          <w:sz w:val="22"/>
          <w:szCs w:val="22"/>
          <w:lang w:val="en-US"/>
        </w:rPr>
        <w:t>,</w:t>
      </w:r>
      <w:r w:rsidRPr="00D9152B">
        <w:rPr>
          <w:rFonts w:ascii="Calibri" w:eastAsia="Calibri" w:hAnsi="Calibri" w:cs="Calibri"/>
          <w:sz w:val="22"/>
          <w:szCs w:val="22"/>
          <w:lang w:val="en-US"/>
        </w:rPr>
        <w:t xml:space="preserve"> ‘where obvious potential for overlapping exists’. It also suggested </w:t>
      </w:r>
      <w:r w:rsidR="00F3502A" w:rsidRPr="00D9152B">
        <w:rPr>
          <w:rFonts w:ascii="Calibri" w:eastAsia="Calibri" w:hAnsi="Calibri" w:cs="Calibri"/>
          <w:sz w:val="22"/>
          <w:szCs w:val="22"/>
          <w:lang w:val="en-US"/>
        </w:rPr>
        <w:t>establishing</w:t>
      </w:r>
      <w:r w:rsidRPr="00D9152B">
        <w:rPr>
          <w:rFonts w:ascii="Calibri" w:eastAsia="Calibri" w:hAnsi="Calibri" w:cs="Calibri"/>
          <w:sz w:val="22"/>
          <w:szCs w:val="22"/>
          <w:lang w:val="en-US"/>
        </w:rPr>
        <w:t xml:space="preserve"> a formalized information transfer system, to foster monthly sharing between the sponsoring agencies (and to prevent the WHO from </w:t>
      </w:r>
      <w:r w:rsidRPr="00D9152B">
        <w:rPr>
          <w:rFonts w:ascii="Calibri" w:eastAsia="Calibri" w:hAnsi="Calibri" w:cs="Calibri"/>
          <w:sz w:val="22"/>
          <w:szCs w:val="22"/>
          <w:lang w:val="en-US"/>
        </w:rPr>
        <w:lastRenderedPageBreak/>
        <w:t>monopolizing information flow).</w:t>
      </w:r>
      <w:r w:rsidRPr="00D9152B">
        <w:rPr>
          <w:rFonts w:ascii="Calibri" w:hAnsi="Calibri" w:cs="Calibri"/>
          <w:color w:val="000000"/>
          <w:sz w:val="22"/>
          <w:szCs w:val="22"/>
          <w:vertAlign w:val="superscript"/>
          <w:lang w:eastAsia="en-GB"/>
        </w:rPr>
        <w:footnoteReference w:id="631"/>
      </w:r>
      <w:r w:rsidRPr="00D9152B">
        <w:rPr>
          <w:rFonts w:ascii="Calibri" w:eastAsia="Calibri" w:hAnsi="Calibri" w:cs="Calibri"/>
          <w:sz w:val="22"/>
          <w:szCs w:val="22"/>
          <w:lang w:val="en-US"/>
        </w:rPr>
        <w:t xml:space="preserve"> I have not found evidence that these UNDP recommendations were </w:t>
      </w:r>
      <w:r w:rsidR="00CF451F" w:rsidRPr="00D9152B">
        <w:rPr>
          <w:rFonts w:ascii="Calibri" w:eastAsia="Calibri" w:hAnsi="Calibri" w:cs="Calibri"/>
          <w:sz w:val="22"/>
          <w:szCs w:val="22"/>
          <w:lang w:val="en-US"/>
        </w:rPr>
        <w:t xml:space="preserve">acted upon. </w:t>
      </w:r>
    </w:p>
    <w:p w14:paraId="4A793D75" w14:textId="1B6096EC" w:rsidR="00AC7848" w:rsidRPr="00D9152B" w:rsidRDefault="00F3502A" w:rsidP="006B543F">
      <w:pPr>
        <w:spacing w:before="100" w:beforeAutospacing="1" w:after="100" w:afterAutospacing="1" w:line="360" w:lineRule="auto"/>
        <w:ind w:firstLine="720"/>
        <w:rPr>
          <w:rFonts w:ascii="Calibri" w:eastAsia="Calibri" w:hAnsi="Calibri" w:cs="Calibri"/>
          <w:sz w:val="22"/>
          <w:szCs w:val="22"/>
          <w:lang w:val="en-US"/>
        </w:rPr>
      </w:pPr>
      <w:r w:rsidRPr="00D9152B">
        <w:rPr>
          <w:rFonts w:ascii="Calibri" w:eastAsia="Calibri" w:hAnsi="Calibri" w:cs="Calibri"/>
          <w:sz w:val="22"/>
          <w:szCs w:val="22"/>
          <w:lang w:val="en-US"/>
        </w:rPr>
        <w:t>Instead, the</w:t>
      </w:r>
      <w:r w:rsidR="00AC7848" w:rsidRPr="00D9152B">
        <w:rPr>
          <w:rFonts w:ascii="Calibri" w:eastAsia="Calibri" w:hAnsi="Calibri" w:cs="Calibri"/>
          <w:sz w:val="22"/>
          <w:szCs w:val="22"/>
          <w:lang w:val="en-US"/>
        </w:rPr>
        <w:t xml:space="preserve"> WHO’s resistance to delegating authority to in-country resident representatives was part of a wider trend in the mid-1960s and 1970s.</w:t>
      </w:r>
      <w:r w:rsidR="00AC7848" w:rsidRPr="00D9152B">
        <w:rPr>
          <w:rFonts w:ascii="Calibri" w:eastAsia="Calibri" w:hAnsi="Calibri" w:cs="Calibri"/>
          <w:sz w:val="22"/>
          <w:szCs w:val="22"/>
          <w:vertAlign w:val="superscript"/>
          <w:lang w:val="en-US"/>
        </w:rPr>
        <w:footnoteReference w:id="632"/>
      </w:r>
      <w:r w:rsidR="00AC7848" w:rsidRPr="00D9152B">
        <w:rPr>
          <w:rFonts w:ascii="Calibri" w:eastAsia="Calibri" w:hAnsi="Calibri" w:cs="Calibri"/>
          <w:sz w:val="22"/>
          <w:szCs w:val="22"/>
          <w:lang w:val="en-US"/>
        </w:rPr>
        <w:t xml:space="preserve"> National Onchocerciasis Committees (NOCs) were also delegated little authority by the WHO, in spite of the UNDP’s initial requests. As early as 1977, Bank staff reflected that the </w:t>
      </w:r>
      <w:r w:rsidR="00966160" w:rsidRPr="00D9152B">
        <w:rPr>
          <w:rFonts w:ascii="Calibri" w:eastAsia="Calibri" w:hAnsi="Calibri" w:cs="Calibri"/>
          <w:sz w:val="22"/>
          <w:szCs w:val="22"/>
          <w:lang w:val="en-US"/>
        </w:rPr>
        <w:t>National Onchocerciasis Committees</w:t>
      </w:r>
      <w:r w:rsidR="00AC7848" w:rsidRPr="00D9152B">
        <w:rPr>
          <w:rFonts w:ascii="Calibri" w:eastAsia="Calibri" w:hAnsi="Calibri" w:cs="Calibri"/>
          <w:sz w:val="22"/>
          <w:szCs w:val="22"/>
          <w:lang w:val="en-US"/>
        </w:rPr>
        <w:t xml:space="preserve"> and country ministries were a ‘poor liaison’ (and not within the programme decision-making hierarchy), and the consequences of this arrangement could ‘prove severe’ for development planning.</w:t>
      </w:r>
      <w:r w:rsidR="00AC7848" w:rsidRPr="00D9152B">
        <w:rPr>
          <w:rFonts w:ascii="Calibri" w:eastAsia="Calibri" w:hAnsi="Calibri" w:cs="Calibri"/>
          <w:sz w:val="22"/>
          <w:szCs w:val="22"/>
          <w:vertAlign w:val="superscript"/>
          <w:lang w:val="en-US"/>
        </w:rPr>
        <w:footnoteReference w:id="633"/>
      </w:r>
      <w:r w:rsidR="00AC7848" w:rsidRPr="00D9152B">
        <w:rPr>
          <w:rFonts w:ascii="Calibri" w:eastAsia="Calibri" w:hAnsi="Calibri" w:cs="Calibri"/>
          <w:sz w:val="22"/>
          <w:szCs w:val="22"/>
          <w:lang w:val="en-US"/>
        </w:rPr>
        <w:t xml:space="preserve"> The WHO realized that the </w:t>
      </w:r>
      <w:r w:rsidR="00966160" w:rsidRPr="00D9152B">
        <w:rPr>
          <w:rFonts w:ascii="Calibri" w:eastAsia="Calibri" w:hAnsi="Calibri" w:cs="Calibri"/>
          <w:sz w:val="22"/>
          <w:szCs w:val="22"/>
          <w:lang w:val="en-US"/>
        </w:rPr>
        <w:t>committees</w:t>
      </w:r>
      <w:r w:rsidR="00AC7848" w:rsidRPr="00D9152B">
        <w:rPr>
          <w:rFonts w:ascii="Calibri" w:eastAsia="Calibri" w:hAnsi="Calibri" w:cs="Calibri"/>
          <w:sz w:val="22"/>
          <w:szCs w:val="22"/>
          <w:lang w:val="en-US"/>
        </w:rPr>
        <w:t xml:space="preserve"> needed to be more effective, and suggested that they could focus on socio-economic development issues.</w:t>
      </w:r>
      <w:r w:rsidR="00AC7848" w:rsidRPr="00D9152B">
        <w:rPr>
          <w:rFonts w:ascii="Calibri" w:eastAsia="Calibri" w:hAnsi="Calibri" w:cs="Calibri"/>
          <w:sz w:val="22"/>
          <w:szCs w:val="22"/>
          <w:vertAlign w:val="superscript"/>
          <w:lang w:val="en-US"/>
        </w:rPr>
        <w:footnoteReference w:id="634"/>
      </w:r>
      <w:r w:rsidR="00AC7848" w:rsidRPr="00D9152B">
        <w:rPr>
          <w:rFonts w:ascii="Calibri" w:eastAsia="Calibri" w:hAnsi="Calibri" w:cs="Calibri"/>
          <w:sz w:val="22"/>
          <w:szCs w:val="22"/>
          <w:lang w:val="en-US"/>
        </w:rPr>
        <w:t xml:space="preserve"> However, by the mid-1980s, a Bank staff member</w:t>
      </w:r>
      <w:r w:rsidR="00707C1E" w:rsidRPr="00D9152B">
        <w:rPr>
          <w:rFonts w:ascii="Calibri" w:eastAsia="Calibri" w:hAnsi="Calibri" w:cs="Calibri"/>
          <w:sz w:val="22"/>
          <w:szCs w:val="22"/>
          <w:lang w:val="en-US"/>
        </w:rPr>
        <w:t xml:space="preserve"> attending an </w:t>
      </w:r>
      <w:r w:rsidR="00966160" w:rsidRPr="00D9152B">
        <w:rPr>
          <w:rFonts w:ascii="Calibri" w:eastAsia="Calibri" w:hAnsi="Calibri" w:cs="Calibri"/>
          <w:sz w:val="22"/>
          <w:szCs w:val="22"/>
          <w:lang w:val="en-US"/>
        </w:rPr>
        <w:t>National Onchocercaisis Committees</w:t>
      </w:r>
      <w:r w:rsidR="00707C1E" w:rsidRPr="00D9152B">
        <w:rPr>
          <w:rFonts w:ascii="Calibri" w:eastAsia="Calibri" w:hAnsi="Calibri" w:cs="Calibri"/>
          <w:sz w:val="22"/>
          <w:szCs w:val="22"/>
          <w:lang w:val="en-US"/>
        </w:rPr>
        <w:t xml:space="preserve"> meeting</w:t>
      </w:r>
      <w:r w:rsidR="00AC7848" w:rsidRPr="00D9152B">
        <w:rPr>
          <w:rFonts w:ascii="Calibri" w:eastAsia="Calibri" w:hAnsi="Calibri" w:cs="Calibri"/>
          <w:sz w:val="22"/>
          <w:szCs w:val="22"/>
          <w:lang w:val="en-US"/>
        </w:rPr>
        <w:t xml:space="preserve"> again reflected that, </w:t>
      </w:r>
    </w:p>
    <w:p w14:paraId="28377F0E" w14:textId="7C062D23" w:rsidR="00AC7848" w:rsidRPr="00D9152B" w:rsidRDefault="00AC7848" w:rsidP="008023F4">
      <w:pPr>
        <w:pStyle w:val="Quote"/>
        <w:ind w:left="862" w:right="862"/>
        <w:rPr>
          <w:rFonts w:cs="Calibri"/>
          <w:i/>
          <w:sz w:val="22"/>
          <w:szCs w:val="22"/>
        </w:rPr>
      </w:pPr>
      <w:r w:rsidRPr="00D9152B">
        <w:rPr>
          <w:rFonts w:cs="Calibri"/>
          <w:i/>
          <w:sz w:val="22"/>
          <w:szCs w:val="22"/>
        </w:rPr>
        <w:t>‘…this particular OCP forum is mainly a public relations exercise for bilateral relations between OCP/OMS [the WHO] and African participating countries…</w:t>
      </w:r>
      <w:r w:rsidR="005215B7">
        <w:rPr>
          <w:rFonts w:cs="Calibri"/>
          <w:i/>
          <w:sz w:val="22"/>
          <w:szCs w:val="22"/>
        </w:rPr>
        <w:t xml:space="preserve"> </w:t>
      </w:r>
      <w:r w:rsidRPr="00D9152B">
        <w:rPr>
          <w:rFonts w:cs="Calibri"/>
          <w:i/>
          <w:sz w:val="22"/>
          <w:szCs w:val="22"/>
        </w:rPr>
        <w:t>Bank representation, along with cosponsors FAO and UNDP, was politically necessary as symbol of our active support to the program and to development of oncho-freed areas. However there was no substance for us to transact here since all major decisions for the next operational phase have been taken in other areas</w:t>
      </w:r>
      <w:r w:rsidR="0028464C">
        <w:rPr>
          <w:rFonts w:cs="Calibri"/>
          <w:i/>
          <w:sz w:val="22"/>
          <w:szCs w:val="22"/>
        </w:rPr>
        <w:t>.</w:t>
      </w:r>
      <w:r w:rsidRPr="00D9152B">
        <w:rPr>
          <w:rFonts w:cs="Calibri"/>
          <w:i/>
          <w:sz w:val="22"/>
          <w:szCs w:val="22"/>
        </w:rPr>
        <w:t>’</w:t>
      </w:r>
      <w:r w:rsidRPr="00D9152B">
        <w:rPr>
          <w:rFonts w:cs="Calibri"/>
          <w:i/>
          <w:sz w:val="22"/>
          <w:szCs w:val="22"/>
          <w:vertAlign w:val="superscript"/>
        </w:rPr>
        <w:footnoteReference w:id="635"/>
      </w:r>
      <w:r w:rsidRPr="00D9152B">
        <w:rPr>
          <w:rFonts w:cs="Calibri"/>
          <w:i/>
          <w:sz w:val="22"/>
          <w:szCs w:val="22"/>
        </w:rPr>
        <w:t xml:space="preserve"> </w:t>
      </w:r>
    </w:p>
    <w:p w14:paraId="4082DADE" w14:textId="77777777" w:rsidR="008023F4" w:rsidRPr="00D9152B" w:rsidRDefault="008023F4" w:rsidP="00707C1E">
      <w:pPr>
        <w:pStyle w:val="Heading4"/>
        <w:rPr>
          <w:rFonts w:ascii="Calibri" w:eastAsia="Times New Roman" w:hAnsi="Calibri" w:cs="Calibri"/>
          <w:b/>
        </w:rPr>
      </w:pPr>
    </w:p>
    <w:p w14:paraId="74DD16E5" w14:textId="2381759C" w:rsidR="00AC7848" w:rsidRPr="00D9152B" w:rsidRDefault="00AC7848" w:rsidP="006B543F">
      <w:pPr>
        <w:pStyle w:val="Heading4"/>
        <w:spacing w:line="360" w:lineRule="auto"/>
        <w:rPr>
          <w:rFonts w:ascii="Calibri" w:eastAsia="Times New Roman" w:hAnsi="Calibri" w:cs="Calibri"/>
          <w:sz w:val="22"/>
          <w:szCs w:val="22"/>
        </w:rPr>
      </w:pPr>
      <w:r w:rsidRPr="00D9152B">
        <w:rPr>
          <w:rFonts w:ascii="Calibri" w:eastAsia="Times New Roman" w:hAnsi="Calibri" w:cs="Calibri"/>
          <w:sz w:val="22"/>
          <w:szCs w:val="22"/>
        </w:rPr>
        <w:t>Bank challenges to the WHO’s planning and economic analysis authority</w:t>
      </w:r>
    </w:p>
    <w:p w14:paraId="02F5252C" w14:textId="3149BC59" w:rsidR="00707C1E" w:rsidRPr="00D9152B" w:rsidRDefault="00AC7848" w:rsidP="006B543F">
      <w:pPr>
        <w:spacing w:before="100" w:beforeAutospacing="1" w:after="100" w:afterAutospacing="1" w:line="360" w:lineRule="auto"/>
        <w:ind w:firstLine="720"/>
        <w:rPr>
          <w:rFonts w:ascii="Calibri" w:eastAsia="Calibri" w:hAnsi="Calibri" w:cs="Calibri"/>
          <w:sz w:val="22"/>
          <w:szCs w:val="22"/>
        </w:rPr>
      </w:pPr>
      <w:r w:rsidRPr="00D9152B">
        <w:rPr>
          <w:rFonts w:ascii="Calibri" w:eastAsia="Calibri" w:hAnsi="Calibri" w:cs="Calibri"/>
          <w:sz w:val="22"/>
          <w:szCs w:val="22"/>
        </w:rPr>
        <w:t xml:space="preserve">Together with </w:t>
      </w:r>
      <w:r w:rsidR="00707C1E" w:rsidRPr="00D9152B">
        <w:rPr>
          <w:rFonts w:ascii="Calibri" w:eastAsia="Calibri" w:hAnsi="Calibri" w:cs="Calibri"/>
          <w:sz w:val="22"/>
          <w:szCs w:val="22"/>
        </w:rPr>
        <w:t xml:space="preserve">the Special Programme for Research and Training </w:t>
      </w:r>
      <w:r w:rsidR="00966160" w:rsidRPr="00D9152B">
        <w:rPr>
          <w:rFonts w:ascii="Calibri" w:eastAsia="Calibri" w:hAnsi="Calibri" w:cs="Calibri"/>
          <w:sz w:val="22"/>
          <w:szCs w:val="22"/>
        </w:rPr>
        <w:t>in Tropical Diseases</w:t>
      </w:r>
      <w:r w:rsidR="00707C1E" w:rsidRPr="00D9152B">
        <w:rPr>
          <w:rFonts w:ascii="Calibri" w:eastAsia="Calibri" w:hAnsi="Calibri" w:cs="Calibri"/>
          <w:sz w:val="22"/>
          <w:szCs w:val="22"/>
        </w:rPr>
        <w:t xml:space="preserve"> (TDR</w:t>
      </w:r>
      <w:r w:rsidR="005215B7">
        <w:rPr>
          <w:rFonts w:ascii="Calibri" w:eastAsia="Calibri" w:hAnsi="Calibri" w:cs="Calibri"/>
          <w:sz w:val="22"/>
          <w:szCs w:val="22"/>
        </w:rPr>
        <w:t>, see Figure 7.3 for background on this programme</w:t>
      </w:r>
      <w:r w:rsidR="00707C1E" w:rsidRPr="00D9152B">
        <w:rPr>
          <w:rFonts w:ascii="Calibri" w:eastAsia="Calibri" w:hAnsi="Calibri" w:cs="Calibri"/>
          <w:sz w:val="22"/>
          <w:szCs w:val="22"/>
        </w:rPr>
        <w:t>)</w:t>
      </w:r>
      <w:r w:rsidRPr="00D9152B">
        <w:rPr>
          <w:rFonts w:ascii="Calibri" w:eastAsia="Calibri" w:hAnsi="Calibri" w:cs="Calibri"/>
          <w:sz w:val="22"/>
          <w:szCs w:val="22"/>
        </w:rPr>
        <w:t>, the OCP represented the earliest large-scale health collaboration between the WHO and the Bank.</w:t>
      </w:r>
      <w:r w:rsidRPr="00D9152B">
        <w:rPr>
          <w:rFonts w:ascii="Calibri" w:hAnsi="Calibri" w:cs="Calibri"/>
          <w:color w:val="000000"/>
          <w:sz w:val="22"/>
          <w:szCs w:val="22"/>
          <w:vertAlign w:val="superscript"/>
          <w:lang w:eastAsia="en-GB"/>
        </w:rPr>
        <w:footnoteReference w:id="636"/>
      </w:r>
      <w:r w:rsidRPr="00D9152B">
        <w:rPr>
          <w:rFonts w:ascii="Calibri" w:eastAsia="Calibri" w:hAnsi="Calibri" w:cs="Calibri"/>
          <w:sz w:val="22"/>
          <w:szCs w:val="22"/>
        </w:rPr>
        <w:t xml:space="preserve"> Bernhard Liese, one of the first health specialists at the Bank in</w:t>
      </w:r>
      <w:r w:rsidR="00C520CE" w:rsidRPr="00D9152B">
        <w:rPr>
          <w:rFonts w:ascii="Calibri" w:eastAsia="Calibri" w:hAnsi="Calibri" w:cs="Calibri"/>
          <w:sz w:val="22"/>
          <w:szCs w:val="22"/>
        </w:rPr>
        <w:t xml:space="preserve"> the 1970s, has reflected that </w:t>
      </w:r>
      <w:r w:rsidRPr="00D9152B">
        <w:rPr>
          <w:rFonts w:ascii="Calibri" w:eastAsia="Calibri" w:hAnsi="Calibri" w:cs="Calibri"/>
          <w:sz w:val="22"/>
          <w:szCs w:val="22"/>
        </w:rPr>
        <w:t xml:space="preserve">the WHO had ‘anxiety…that the Bank would take over its business. That anxiety has not been </w:t>
      </w:r>
      <w:r w:rsidRPr="00D9152B">
        <w:rPr>
          <w:rFonts w:ascii="Calibri" w:eastAsia="Calibri" w:hAnsi="Calibri" w:cs="Calibri"/>
          <w:sz w:val="22"/>
          <w:szCs w:val="22"/>
        </w:rPr>
        <w:lastRenderedPageBreak/>
        <w:t>unfounded, as we have later seen’.</w:t>
      </w:r>
      <w:r w:rsidRPr="00D9152B">
        <w:rPr>
          <w:rFonts w:ascii="Calibri" w:eastAsia="Calibri" w:hAnsi="Calibri" w:cs="Calibri"/>
          <w:sz w:val="22"/>
          <w:szCs w:val="22"/>
          <w:vertAlign w:val="superscript"/>
        </w:rPr>
        <w:footnoteReference w:id="637"/>
      </w:r>
      <w:r w:rsidRPr="00D9152B">
        <w:rPr>
          <w:rFonts w:ascii="Calibri" w:eastAsia="Calibri" w:hAnsi="Calibri" w:cs="Calibri"/>
          <w:sz w:val="22"/>
          <w:szCs w:val="22"/>
        </w:rPr>
        <w:t xml:space="preserve"> In 1976, the Bank and WHO signed a general memorandum on health activities, based on what each identified as their areas of competitive advantage. The Bank would assist the WHO with socio-economic analysis, national development plan analysis, planning and evaluation of some WHO assisted projects, and analysing problems in health service delivery. In turn, the WHO would assist the Bank with designing, appraising, and monitoring schemes for health service delivery, controlling communicable diseases, planning health manpower education, monitoring health conditions, and conducting biomedical research.</w:t>
      </w:r>
      <w:r w:rsidRPr="00D9152B">
        <w:rPr>
          <w:rFonts w:ascii="Calibri" w:hAnsi="Calibri" w:cs="Calibri"/>
          <w:color w:val="000000"/>
          <w:sz w:val="22"/>
          <w:szCs w:val="22"/>
          <w:vertAlign w:val="superscript"/>
          <w:lang w:eastAsia="en-GB"/>
        </w:rPr>
        <w:footnoteReference w:id="638"/>
      </w:r>
      <w:r w:rsidRPr="00D9152B">
        <w:rPr>
          <w:rFonts w:ascii="Calibri" w:eastAsia="Calibri" w:hAnsi="Calibri" w:cs="Calibri"/>
          <w:sz w:val="22"/>
          <w:szCs w:val="22"/>
        </w:rPr>
        <w:t xml:space="preserve"> </w:t>
      </w:r>
    </w:p>
    <w:p w14:paraId="66B660F8" w14:textId="7A941867" w:rsidR="00AC7848" w:rsidRPr="00D9152B" w:rsidRDefault="00AC7848" w:rsidP="006B543F">
      <w:pPr>
        <w:spacing w:before="100" w:beforeAutospacing="1" w:after="100" w:afterAutospacing="1" w:line="360" w:lineRule="auto"/>
        <w:ind w:firstLine="720"/>
        <w:rPr>
          <w:rFonts w:ascii="Calibri" w:eastAsia="Calibri" w:hAnsi="Calibri" w:cs="Calibri"/>
          <w:sz w:val="22"/>
          <w:szCs w:val="22"/>
        </w:rPr>
      </w:pPr>
      <w:r w:rsidRPr="00D9152B">
        <w:rPr>
          <w:rFonts w:ascii="Calibri" w:eastAsia="Calibri" w:hAnsi="Calibri" w:cs="Calibri"/>
          <w:sz w:val="22"/>
          <w:szCs w:val="22"/>
        </w:rPr>
        <w:t>Bank staff held a general consensus that they were better qualified than the WHO to apply market principles to a health project like the OCP, especially due to the leadership changes at the WHO in the 1970s. From 1953-1973, WHO Director General Marc Candau had prioritized the organization’s professional competency, role as a technical expert, and ability to initiate regulatory functions, like the International Health Regulations.</w:t>
      </w:r>
      <w:r w:rsidRPr="00D9152B">
        <w:rPr>
          <w:rFonts w:ascii="Calibri" w:eastAsia="Calibri" w:hAnsi="Calibri" w:cs="Calibri"/>
          <w:sz w:val="22"/>
          <w:szCs w:val="22"/>
          <w:vertAlign w:val="superscript"/>
        </w:rPr>
        <w:footnoteReference w:id="639"/>
      </w:r>
      <w:r w:rsidRPr="00D9152B">
        <w:rPr>
          <w:rFonts w:ascii="Calibri" w:eastAsia="Calibri" w:hAnsi="Calibri" w:cs="Calibri"/>
          <w:sz w:val="22"/>
          <w:szCs w:val="22"/>
        </w:rPr>
        <w:t xml:space="preserve"> Candau became the first chairman of the OCP’s Joint Coordinating Committee in 1974, and provided a link between the WHO’s technical expertise for vertical disease control programmes and the OCP.</w:t>
      </w:r>
      <w:r w:rsidRPr="00D9152B">
        <w:rPr>
          <w:rFonts w:ascii="Calibri" w:eastAsia="Calibri" w:hAnsi="Calibri" w:cs="Calibri"/>
          <w:sz w:val="22"/>
          <w:szCs w:val="22"/>
          <w:vertAlign w:val="superscript"/>
        </w:rPr>
        <w:footnoteReference w:id="640"/>
      </w:r>
      <w:r w:rsidRPr="00D9152B">
        <w:rPr>
          <w:rFonts w:ascii="Calibri" w:eastAsia="Calibri" w:hAnsi="Calibri" w:cs="Calibri"/>
          <w:sz w:val="22"/>
          <w:szCs w:val="22"/>
        </w:rPr>
        <w:t xml:space="preserve"> </w:t>
      </w:r>
      <w:r w:rsidR="00707C1E" w:rsidRPr="00D9152B">
        <w:rPr>
          <w:rFonts w:ascii="Calibri" w:eastAsia="Calibri" w:hAnsi="Calibri" w:cs="Calibri"/>
          <w:sz w:val="22"/>
          <w:szCs w:val="22"/>
        </w:rPr>
        <w:t xml:space="preserve">Director General </w:t>
      </w:r>
      <w:r w:rsidRPr="00D9152B">
        <w:rPr>
          <w:rFonts w:ascii="Calibri" w:eastAsia="Calibri" w:hAnsi="Calibri" w:cs="Calibri"/>
          <w:sz w:val="22"/>
          <w:szCs w:val="22"/>
        </w:rPr>
        <w:t>Mahler took the WHO in a more rights-based, development-focused direction in the 1970s. As Liese has described, ‘PHC emerged, basically, when Halfdan Mahler almost single-handedly decided that the WHO should no longer be the technical advisory entity it had been in the previous decade’. This perspective was built on providing equitable access to basic health services, rather than a market concept. In the late 1970s, the WHO brought on many health systems staff, doubled its size, and fielded significant staff resistance to these changes.</w:t>
      </w:r>
      <w:r w:rsidRPr="00D9152B">
        <w:rPr>
          <w:rFonts w:ascii="Calibri" w:eastAsia="Calibri" w:hAnsi="Calibri" w:cs="Calibri"/>
          <w:sz w:val="22"/>
          <w:szCs w:val="22"/>
          <w:vertAlign w:val="superscript"/>
        </w:rPr>
        <w:footnoteReference w:id="641"/>
      </w:r>
      <w:r w:rsidRPr="00D9152B">
        <w:rPr>
          <w:rFonts w:ascii="Calibri" w:eastAsia="Calibri" w:hAnsi="Calibri" w:cs="Calibri"/>
          <w:sz w:val="22"/>
          <w:szCs w:val="22"/>
        </w:rPr>
        <w:t xml:space="preserve"> </w:t>
      </w:r>
    </w:p>
    <w:p w14:paraId="5A6CF27C" w14:textId="705F49A2" w:rsidR="00F81366" w:rsidRPr="00D9152B" w:rsidRDefault="00AC7848" w:rsidP="006B543F">
      <w:pPr>
        <w:spacing w:before="100" w:beforeAutospacing="1" w:after="100" w:afterAutospacing="1" w:line="360" w:lineRule="auto"/>
        <w:ind w:firstLine="720"/>
        <w:rPr>
          <w:rFonts w:ascii="Calibri" w:eastAsia="Calibri" w:hAnsi="Calibri" w:cs="Calibri"/>
          <w:sz w:val="22"/>
          <w:szCs w:val="22"/>
        </w:rPr>
      </w:pPr>
      <w:r w:rsidRPr="00D9152B">
        <w:rPr>
          <w:rFonts w:ascii="Calibri" w:eastAsia="Calibri" w:hAnsi="Calibri" w:cs="Calibri"/>
          <w:sz w:val="22"/>
          <w:szCs w:val="22"/>
        </w:rPr>
        <w:t xml:space="preserve">The Bank’s economically-grounded ideology clashed with this evolving ethos at the WHO, and some staff at the Bank presented </w:t>
      </w:r>
      <w:r w:rsidR="00707C1E" w:rsidRPr="00D9152B">
        <w:rPr>
          <w:rFonts w:ascii="Calibri" w:eastAsia="Calibri" w:hAnsi="Calibri" w:cs="Calibri"/>
          <w:sz w:val="22"/>
          <w:szCs w:val="22"/>
        </w:rPr>
        <w:t>their institution</w:t>
      </w:r>
      <w:r w:rsidRPr="00D9152B">
        <w:rPr>
          <w:rFonts w:ascii="Calibri" w:eastAsia="Calibri" w:hAnsi="Calibri" w:cs="Calibri"/>
          <w:sz w:val="22"/>
          <w:szCs w:val="22"/>
        </w:rPr>
        <w:t xml:space="preserve"> as uniquely capable of </w:t>
      </w:r>
      <w:r w:rsidRPr="00D9152B">
        <w:rPr>
          <w:rFonts w:ascii="Calibri" w:eastAsia="Calibri" w:hAnsi="Calibri" w:cs="Calibri"/>
          <w:sz w:val="22"/>
          <w:szCs w:val="22"/>
        </w:rPr>
        <w:lastRenderedPageBreak/>
        <w:t xml:space="preserve">long-term planning for the OCP. This was an area flagged as a WHO weakness and Bank comparative advantage in the 1976 memorandum. For instance, John Evans, the Director of the Bank’s new </w:t>
      </w:r>
      <w:r w:rsidR="00F81366" w:rsidRPr="00D9152B">
        <w:rPr>
          <w:rFonts w:ascii="Calibri" w:eastAsia="Calibri" w:hAnsi="Calibri" w:cs="Calibri"/>
          <w:sz w:val="22"/>
          <w:szCs w:val="22"/>
        </w:rPr>
        <w:t>Population, Health and Nutrition (PHN)</w:t>
      </w:r>
      <w:r w:rsidRPr="00D9152B">
        <w:rPr>
          <w:rFonts w:ascii="Calibri" w:eastAsia="Calibri" w:hAnsi="Calibri" w:cs="Calibri"/>
          <w:sz w:val="22"/>
          <w:szCs w:val="22"/>
        </w:rPr>
        <w:t xml:space="preserve"> department, argued that for </w:t>
      </w:r>
      <w:r w:rsidR="005215B7">
        <w:rPr>
          <w:rFonts w:ascii="Calibri" w:eastAsia="Calibri" w:hAnsi="Calibri" w:cs="Calibri"/>
          <w:sz w:val="22"/>
          <w:szCs w:val="22"/>
        </w:rPr>
        <w:t>international</w:t>
      </w:r>
      <w:r w:rsidRPr="00D9152B">
        <w:rPr>
          <w:rFonts w:ascii="Calibri" w:eastAsia="Calibri" w:hAnsi="Calibri" w:cs="Calibri"/>
          <w:sz w:val="22"/>
          <w:szCs w:val="22"/>
        </w:rPr>
        <w:t xml:space="preserve"> health projects in general, ‘the Bank’s economic perspective and broad multisectoral approach to development should reduce the danger of programs falling into narrow compartments corresponding to the sector responsibility of one technical agency’. The Bank was therefore in a ‘much stronger position to ensure expert, independent scientific advice’, and to use this for long-term programmatic (including financial) planning, than an agency like the WHO.</w:t>
      </w:r>
      <w:r w:rsidRPr="00D9152B">
        <w:rPr>
          <w:rFonts w:ascii="Calibri" w:eastAsia="Calibri" w:hAnsi="Calibri" w:cs="Calibri"/>
          <w:sz w:val="22"/>
          <w:szCs w:val="22"/>
          <w:vertAlign w:val="superscript"/>
        </w:rPr>
        <w:footnoteReference w:id="642"/>
      </w:r>
      <w:r w:rsidRPr="00D9152B">
        <w:rPr>
          <w:rFonts w:ascii="Calibri" w:eastAsia="Calibri" w:hAnsi="Calibri" w:cs="Calibri"/>
          <w:sz w:val="22"/>
          <w:szCs w:val="22"/>
        </w:rPr>
        <w:t xml:space="preserve"> </w:t>
      </w:r>
      <w:r w:rsidR="00F81366" w:rsidRPr="00D9152B">
        <w:rPr>
          <w:rFonts w:ascii="Calibri" w:hAnsi="Calibri" w:cs="Calibri"/>
          <w:sz w:val="22"/>
          <w:szCs w:val="22"/>
        </w:rPr>
        <w:t xml:space="preserve">Economist </w:t>
      </w:r>
      <w:r w:rsidRPr="00D9152B">
        <w:rPr>
          <w:rFonts w:ascii="Calibri" w:hAnsi="Calibri" w:cs="Calibri"/>
          <w:sz w:val="22"/>
          <w:szCs w:val="22"/>
        </w:rPr>
        <w:t>Andr</w:t>
      </w:r>
      <w:r w:rsidR="00F81366" w:rsidRPr="00D9152B">
        <w:rPr>
          <w:rFonts w:ascii="Calibri" w:hAnsi="Calibri" w:cs="Calibri"/>
          <w:sz w:val="22"/>
          <w:szCs w:val="22"/>
        </w:rPr>
        <w:t>é</w:t>
      </w:r>
      <w:r w:rsidRPr="00D9152B">
        <w:rPr>
          <w:rFonts w:ascii="Calibri" w:hAnsi="Calibri" w:cs="Calibri"/>
          <w:sz w:val="22"/>
          <w:szCs w:val="22"/>
        </w:rPr>
        <w:t xml:space="preserve"> Prost and </w:t>
      </w:r>
      <w:r w:rsidR="00F81366" w:rsidRPr="00D9152B">
        <w:rPr>
          <w:rFonts w:ascii="Calibri" w:hAnsi="Calibri" w:cs="Calibri"/>
          <w:sz w:val="22"/>
          <w:szCs w:val="22"/>
        </w:rPr>
        <w:t xml:space="preserve">onchocerciasis coordinator </w:t>
      </w:r>
      <w:r w:rsidRPr="00D9152B">
        <w:rPr>
          <w:rFonts w:ascii="Calibri" w:hAnsi="Calibri" w:cs="Calibri"/>
          <w:sz w:val="22"/>
          <w:szCs w:val="22"/>
        </w:rPr>
        <w:t xml:space="preserve">J.P. Dailly extended this logic to the OCP in 1983. In an internal memorandum, they noted that, </w:t>
      </w:r>
    </w:p>
    <w:p w14:paraId="3F0C414C" w14:textId="13FE8E8E" w:rsidR="00F81366" w:rsidRPr="00D9152B" w:rsidRDefault="00AC7848" w:rsidP="00F81366">
      <w:pPr>
        <w:pStyle w:val="Quote"/>
        <w:ind w:left="862" w:right="862"/>
        <w:rPr>
          <w:rFonts w:cs="Calibri"/>
          <w:i/>
          <w:sz w:val="22"/>
          <w:szCs w:val="22"/>
        </w:rPr>
      </w:pPr>
      <w:r w:rsidRPr="00D9152B">
        <w:rPr>
          <w:rFonts w:cs="Calibri"/>
          <w:i/>
          <w:sz w:val="22"/>
          <w:szCs w:val="22"/>
        </w:rPr>
        <w:t>‘Samba</w:t>
      </w:r>
      <w:r w:rsidR="00FF60DD" w:rsidRPr="00D9152B">
        <w:rPr>
          <w:rFonts w:cs="Calibri"/>
          <w:i/>
          <w:sz w:val="22"/>
          <w:szCs w:val="22"/>
        </w:rPr>
        <w:t xml:space="preserve"> [then the OCP Director, a WHO employee]</w:t>
      </w:r>
      <w:r w:rsidRPr="00D9152B">
        <w:rPr>
          <w:rFonts w:cs="Calibri"/>
          <w:i/>
          <w:sz w:val="22"/>
          <w:szCs w:val="22"/>
        </w:rPr>
        <w:t xml:space="preserve"> is not a planner…taking into account the present lack of planning capability in OCP, and the impossibility of building up an effective capability within the scheduled time-frame, the Bank…</w:t>
      </w:r>
      <w:r w:rsidR="00F81366" w:rsidRPr="00D9152B">
        <w:rPr>
          <w:rFonts w:cs="Calibri"/>
          <w:i/>
          <w:sz w:val="22"/>
          <w:szCs w:val="22"/>
        </w:rPr>
        <w:t xml:space="preserve"> </w:t>
      </w:r>
      <w:r w:rsidRPr="00D9152B">
        <w:rPr>
          <w:rFonts w:cs="Calibri"/>
          <w:i/>
          <w:sz w:val="22"/>
          <w:szCs w:val="22"/>
        </w:rPr>
        <w:t>does not have any choice but to strengthen this capability so as to produce a credible document [Plan of Operations], for the fund</w:t>
      </w:r>
      <w:r w:rsidR="00F81366" w:rsidRPr="00D9152B">
        <w:rPr>
          <w:rFonts w:cs="Calibri"/>
          <w:i/>
          <w:sz w:val="22"/>
          <w:szCs w:val="22"/>
        </w:rPr>
        <w:t>raising campaign of Phase III</w:t>
      </w:r>
      <w:r w:rsidR="0028464C">
        <w:rPr>
          <w:rFonts w:cs="Calibri"/>
          <w:i/>
          <w:sz w:val="22"/>
          <w:szCs w:val="22"/>
        </w:rPr>
        <w:t>.</w:t>
      </w:r>
      <w:r w:rsidR="00F81366" w:rsidRPr="00D9152B">
        <w:rPr>
          <w:rFonts w:cs="Calibri"/>
          <w:i/>
          <w:sz w:val="22"/>
          <w:szCs w:val="22"/>
        </w:rPr>
        <w:t>’</w:t>
      </w:r>
      <w:r w:rsidR="00F81366" w:rsidRPr="00D9152B">
        <w:rPr>
          <w:rFonts w:cs="Calibri"/>
          <w:i/>
          <w:sz w:val="22"/>
          <w:szCs w:val="22"/>
          <w:vertAlign w:val="superscript"/>
        </w:rPr>
        <w:footnoteReference w:id="643"/>
      </w:r>
    </w:p>
    <w:p w14:paraId="7DB30293" w14:textId="05C9FF44" w:rsidR="00AC7848" w:rsidRPr="00D9152B" w:rsidRDefault="00AC7848" w:rsidP="006B543F">
      <w:pPr>
        <w:spacing w:before="100" w:beforeAutospacing="1" w:after="100" w:afterAutospacing="1" w:line="360" w:lineRule="auto"/>
        <w:rPr>
          <w:rFonts w:ascii="Calibri" w:eastAsia="Calibri" w:hAnsi="Calibri" w:cs="Calibri"/>
          <w:sz w:val="22"/>
          <w:szCs w:val="22"/>
        </w:rPr>
      </w:pPr>
      <w:r w:rsidRPr="00D9152B">
        <w:rPr>
          <w:rFonts w:ascii="Calibri" w:eastAsia="Calibri" w:hAnsi="Calibri" w:cs="Calibri"/>
          <w:sz w:val="22"/>
          <w:szCs w:val="22"/>
        </w:rPr>
        <w:t>This view of the Bank’s superior planning capabilities w</w:t>
      </w:r>
      <w:r w:rsidR="00F81366" w:rsidRPr="00D9152B">
        <w:rPr>
          <w:rFonts w:ascii="Calibri" w:eastAsia="Calibri" w:hAnsi="Calibri" w:cs="Calibri"/>
          <w:sz w:val="22"/>
          <w:szCs w:val="22"/>
        </w:rPr>
        <w:t>as somewhat controversial internally</w:t>
      </w:r>
      <w:r w:rsidRPr="00D9152B">
        <w:rPr>
          <w:rFonts w:ascii="Calibri" w:eastAsia="Calibri" w:hAnsi="Calibri" w:cs="Calibri"/>
          <w:sz w:val="22"/>
          <w:szCs w:val="22"/>
        </w:rPr>
        <w:t>, largely because some staff did not feel that it should take the lead with technical public health aspects of the programme. For instance, in handwritten notes on this memorandum, another Bank staff member asked, ‘Why more impossible in OCP and WHO than Bank?’, and noted that, ‘This is the height of immodesty’.</w:t>
      </w:r>
      <w:r w:rsidRPr="00D9152B">
        <w:rPr>
          <w:rFonts w:ascii="Calibri" w:eastAsia="Calibri" w:hAnsi="Calibri" w:cs="Calibri"/>
          <w:sz w:val="22"/>
          <w:szCs w:val="22"/>
          <w:vertAlign w:val="superscript"/>
        </w:rPr>
        <w:footnoteReference w:id="644"/>
      </w:r>
      <w:r w:rsidRPr="00D9152B">
        <w:rPr>
          <w:rFonts w:ascii="Calibri" w:eastAsia="Calibri" w:hAnsi="Calibri" w:cs="Calibri"/>
          <w:sz w:val="22"/>
          <w:szCs w:val="22"/>
        </w:rPr>
        <w:t xml:space="preserve"> </w:t>
      </w:r>
    </w:p>
    <w:p w14:paraId="38BC3265" w14:textId="093B1976" w:rsidR="00F81366" w:rsidRPr="00D9152B" w:rsidRDefault="00AC7848" w:rsidP="006B543F">
      <w:pPr>
        <w:spacing w:before="100" w:beforeAutospacing="1" w:after="100" w:afterAutospacing="1" w:line="360" w:lineRule="auto"/>
        <w:ind w:firstLine="720"/>
        <w:rPr>
          <w:rFonts w:ascii="Calibri" w:eastAsia="Calibri" w:hAnsi="Calibri" w:cs="Calibri"/>
          <w:sz w:val="22"/>
          <w:szCs w:val="22"/>
        </w:rPr>
      </w:pPr>
      <w:r w:rsidRPr="00D9152B">
        <w:rPr>
          <w:rFonts w:ascii="Calibri" w:eastAsia="Calibri" w:hAnsi="Calibri" w:cs="Calibri"/>
          <w:sz w:val="22"/>
          <w:szCs w:val="22"/>
        </w:rPr>
        <w:t>A view that was less internally controversial was the Bank’s unique ability to perform economic analyses that could guide justifications of, and policy-setting during, the OCP. For example, a Bank staff member (most likely</w:t>
      </w:r>
      <w:r w:rsidR="00F81366" w:rsidRPr="00D9152B">
        <w:rPr>
          <w:rFonts w:ascii="Calibri" w:eastAsia="Calibri" w:hAnsi="Calibri" w:cs="Calibri"/>
          <w:sz w:val="22"/>
          <w:szCs w:val="22"/>
        </w:rPr>
        <w:t xml:space="preserve"> the economist Nicholas</w:t>
      </w:r>
      <w:r w:rsidRPr="00D9152B">
        <w:rPr>
          <w:rFonts w:ascii="Calibri" w:eastAsia="Calibri" w:hAnsi="Calibri" w:cs="Calibri"/>
          <w:sz w:val="22"/>
          <w:szCs w:val="22"/>
        </w:rPr>
        <w:t xml:space="preserve"> Prescott) took extensive notes on a WHO economic analysis of the Malaria Eradication Programme in the British Solomon Islands in the early 1980s. He ultimately crossed-out the title of ‘Economist’ given to the report’s author, replacing it with ‘Political Scientist’ (Figure </w:t>
      </w:r>
      <w:r w:rsidR="005215B7">
        <w:rPr>
          <w:rFonts w:ascii="Calibri" w:eastAsia="Calibri" w:hAnsi="Calibri" w:cs="Calibri"/>
          <w:sz w:val="22"/>
          <w:szCs w:val="22"/>
        </w:rPr>
        <w:t>6.</w:t>
      </w:r>
      <w:r w:rsidR="008023F4" w:rsidRPr="00D9152B">
        <w:rPr>
          <w:rFonts w:ascii="Calibri" w:eastAsia="Calibri" w:hAnsi="Calibri" w:cs="Calibri"/>
          <w:sz w:val="22"/>
          <w:szCs w:val="22"/>
        </w:rPr>
        <w:t>1</w:t>
      </w:r>
      <w:r w:rsidRPr="00D9152B">
        <w:rPr>
          <w:rFonts w:ascii="Calibri" w:eastAsia="Calibri" w:hAnsi="Calibri" w:cs="Calibri"/>
          <w:sz w:val="22"/>
          <w:szCs w:val="22"/>
        </w:rPr>
        <w:t xml:space="preserve">). </w:t>
      </w:r>
    </w:p>
    <w:p w14:paraId="63AA6A12" w14:textId="0F606761" w:rsidR="00AC7848" w:rsidRPr="00D9152B" w:rsidRDefault="00AC7848" w:rsidP="005215B7">
      <w:pPr>
        <w:jc w:val="center"/>
        <w:rPr>
          <w:rFonts w:ascii="Calibri" w:eastAsia="Calibri" w:hAnsi="Calibri" w:cs="Calibri"/>
          <w:color w:val="7F7F7F" w:themeColor="text1" w:themeTint="80"/>
          <w:lang w:val="en-US"/>
        </w:rPr>
      </w:pPr>
      <w:r w:rsidRPr="00D9152B">
        <w:rPr>
          <w:rFonts w:ascii="Calibri" w:eastAsia="Calibri" w:hAnsi="Calibri" w:cs="Calibri"/>
          <w:noProof/>
          <w:color w:val="7F7F7F" w:themeColor="text1" w:themeTint="80"/>
          <w:lang w:eastAsia="en-GB"/>
        </w:rPr>
        <w:lastRenderedPageBreak/>
        <w:drawing>
          <wp:inline distT="0" distB="0" distL="0" distR="0" wp14:anchorId="2019C59E" wp14:editId="22AC3413">
            <wp:extent cx="4863158" cy="4343400"/>
            <wp:effectExtent l="0" t="0" r="1270" b="0"/>
            <wp:docPr id="13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rotWithShape="1">
                    <a:blip r:embed="rId87">
                      <a:extLst>
                        <a:ext uri="{28A0092B-C50C-407E-A947-70E740481C1C}">
                          <a14:useLocalDpi xmlns:a14="http://schemas.microsoft.com/office/drawing/2010/main" val="0"/>
                        </a:ext>
                      </a:extLst>
                    </a:blip>
                    <a:srcRect b="18312"/>
                    <a:stretch/>
                  </pic:blipFill>
                  <pic:spPr bwMode="auto">
                    <a:xfrm>
                      <a:off x="0" y="0"/>
                      <a:ext cx="4999599" cy="4465259"/>
                    </a:xfrm>
                    <a:prstGeom prst="rect">
                      <a:avLst/>
                    </a:prstGeom>
                    <a:ln>
                      <a:noFill/>
                    </a:ln>
                    <a:extLst>
                      <a:ext uri="{53640926-AAD7-44D8-BBD7-CCE9431645EC}">
                        <a14:shadowObscured xmlns:a14="http://schemas.microsoft.com/office/drawing/2010/main"/>
                      </a:ext>
                    </a:extLst>
                  </pic:spPr>
                </pic:pic>
              </a:graphicData>
            </a:graphic>
          </wp:inline>
        </w:drawing>
      </w:r>
    </w:p>
    <w:p w14:paraId="006AC072" w14:textId="77777777" w:rsidR="00F81366" w:rsidRPr="00D9152B" w:rsidRDefault="00F81366" w:rsidP="008023F4">
      <w:pPr>
        <w:ind w:firstLine="720"/>
        <w:jc w:val="center"/>
        <w:rPr>
          <w:rFonts w:ascii="Calibri" w:eastAsia="Calibri" w:hAnsi="Calibri" w:cs="Calibri"/>
          <w:color w:val="7F7F7F" w:themeColor="text1" w:themeTint="80"/>
          <w:lang w:val="en-US"/>
        </w:rPr>
      </w:pPr>
    </w:p>
    <w:p w14:paraId="1BB40DA2" w14:textId="7D777490" w:rsidR="00AC7848" w:rsidRPr="00D9152B" w:rsidRDefault="008023F4" w:rsidP="008023F4">
      <w:pPr>
        <w:jc w:val="both"/>
        <w:rPr>
          <w:rFonts w:ascii="Calibri" w:eastAsia="Calibri" w:hAnsi="Calibri" w:cs="Calibri"/>
          <w:color w:val="7F7F7F" w:themeColor="text1" w:themeTint="80"/>
          <w:sz w:val="22"/>
          <w:szCs w:val="22"/>
          <w:lang w:val="en-US"/>
        </w:rPr>
      </w:pPr>
      <w:r w:rsidRPr="00D9152B">
        <w:rPr>
          <w:rFonts w:ascii="Calibri" w:eastAsia="Calibri" w:hAnsi="Calibri" w:cs="Calibri"/>
          <w:color w:val="7F7F7F" w:themeColor="text1" w:themeTint="80"/>
          <w:sz w:val="22"/>
          <w:szCs w:val="22"/>
          <w:lang w:val="en-US"/>
        </w:rPr>
        <w:t xml:space="preserve">Figure </w:t>
      </w:r>
      <w:r w:rsidR="005215B7">
        <w:rPr>
          <w:rFonts w:ascii="Calibri" w:eastAsia="Calibri" w:hAnsi="Calibri" w:cs="Calibri"/>
          <w:color w:val="7F7F7F" w:themeColor="text1" w:themeTint="80"/>
          <w:sz w:val="22"/>
          <w:szCs w:val="22"/>
          <w:lang w:val="en-US"/>
        </w:rPr>
        <w:t>6.</w:t>
      </w:r>
      <w:r w:rsidRPr="00D9152B">
        <w:rPr>
          <w:rFonts w:ascii="Calibri" w:eastAsia="Calibri" w:hAnsi="Calibri" w:cs="Calibri"/>
          <w:color w:val="7F7F7F" w:themeColor="text1" w:themeTint="80"/>
          <w:sz w:val="22"/>
          <w:szCs w:val="22"/>
          <w:lang w:val="en-US"/>
        </w:rPr>
        <w:t>1</w:t>
      </w:r>
      <w:r w:rsidR="00AC7848" w:rsidRPr="00D9152B">
        <w:rPr>
          <w:rFonts w:ascii="Calibri" w:eastAsia="Calibri" w:hAnsi="Calibri" w:cs="Calibri"/>
          <w:color w:val="7F7F7F" w:themeColor="text1" w:themeTint="80"/>
          <w:sz w:val="22"/>
          <w:szCs w:val="22"/>
          <w:lang w:val="en-US"/>
        </w:rPr>
        <w:t>. A Bank staffer’s annotation of a WHO malaria economic analysis, suggesting that the WHO was not capable of the task</w:t>
      </w:r>
      <w:r w:rsidR="002651AB" w:rsidRPr="00D9152B">
        <w:rPr>
          <w:rFonts w:ascii="Calibri" w:eastAsia="Calibri" w:hAnsi="Calibri" w:cs="Calibri"/>
          <w:color w:val="A5A5A5" w:themeColor="accent3"/>
          <w:sz w:val="22"/>
          <w:szCs w:val="22"/>
          <w:lang w:val="en-US"/>
        </w:rPr>
        <w:t>.</w:t>
      </w:r>
      <w:r w:rsidR="002651AB" w:rsidRPr="00D9152B">
        <w:rPr>
          <w:rFonts w:ascii="Calibri" w:hAnsi="Calibri" w:cs="Calibri"/>
          <w:color w:val="808080" w:themeColor="background1" w:themeShade="80"/>
          <w:sz w:val="22"/>
          <w:szCs w:val="22"/>
          <w:vertAlign w:val="superscript"/>
        </w:rPr>
        <w:footnoteReference w:id="645"/>
      </w:r>
    </w:p>
    <w:p w14:paraId="58E2C96C" w14:textId="77777777" w:rsidR="00AC7848" w:rsidRPr="00D9152B" w:rsidRDefault="00AC7848" w:rsidP="006B543F">
      <w:pPr>
        <w:spacing w:before="100" w:beforeAutospacing="1" w:after="100" w:afterAutospacing="1" w:line="360" w:lineRule="auto"/>
        <w:rPr>
          <w:rFonts w:ascii="Calibri" w:eastAsia="Calibri" w:hAnsi="Calibri" w:cs="Calibri"/>
          <w:sz w:val="22"/>
          <w:szCs w:val="22"/>
        </w:rPr>
      </w:pPr>
      <w:r w:rsidRPr="00D9152B">
        <w:rPr>
          <w:rFonts w:ascii="Calibri" w:eastAsia="Calibri" w:hAnsi="Calibri" w:cs="Calibri"/>
          <w:sz w:val="22"/>
          <w:szCs w:val="22"/>
        </w:rPr>
        <w:t>This staff member concluded that ‘the whole report is so feeble and incoherent that it would be intolerably tiring to draw attention to all its weaknesses’, but did highlight a few of them. These weaknesses included its lack of viable alternative options (variants), and its poor costing and epidemiological data. He did not mince words when describing the WHO’s capacity to assist the OCP with economic calculations:</w:t>
      </w:r>
    </w:p>
    <w:p w14:paraId="0F5625E7" w14:textId="6ABFB331" w:rsidR="00AC7848" w:rsidRPr="00D9152B" w:rsidRDefault="008023F4" w:rsidP="008023F4">
      <w:pPr>
        <w:pStyle w:val="Quote"/>
        <w:ind w:left="862" w:right="862"/>
        <w:rPr>
          <w:rFonts w:cs="Calibri"/>
          <w:i/>
          <w:sz w:val="22"/>
          <w:szCs w:val="22"/>
        </w:rPr>
      </w:pPr>
      <w:r w:rsidRPr="00D9152B">
        <w:rPr>
          <w:rFonts w:cs="Calibri"/>
          <w:i/>
          <w:sz w:val="22"/>
          <w:szCs w:val="22"/>
        </w:rPr>
        <w:t>‘</w:t>
      </w:r>
      <w:r w:rsidR="00AC7848" w:rsidRPr="00D9152B">
        <w:rPr>
          <w:rFonts w:cs="Calibri"/>
          <w:i/>
          <w:sz w:val="22"/>
          <w:szCs w:val="22"/>
        </w:rPr>
        <w:t>Thus we are faced with a cost-effectiveness analysis that is based on irrelevant alternatives, uses seemingly imaginary cost data and uses no effectiveness data at all…</w:t>
      </w:r>
      <w:r w:rsidR="005215B7">
        <w:rPr>
          <w:rFonts w:cs="Calibri"/>
          <w:i/>
          <w:sz w:val="22"/>
          <w:szCs w:val="22"/>
        </w:rPr>
        <w:t xml:space="preserve"> </w:t>
      </w:r>
      <w:r w:rsidR="00AC7848" w:rsidRPr="00D9152B">
        <w:rPr>
          <w:rFonts w:cs="Calibri"/>
          <w:i/>
          <w:sz w:val="22"/>
          <w:szCs w:val="22"/>
        </w:rPr>
        <w:t>there is no need to wonder whether Mr. Baker – or indeed anyone else from WHO – can give the Bank any useful assistance in designing or undertaking any economic analysis related to the OCP long-term strategy. The answer is clearly: No.’</w:t>
      </w:r>
      <w:r w:rsidR="00AC7848" w:rsidRPr="00D9152B">
        <w:rPr>
          <w:rFonts w:cs="Calibri"/>
          <w:i/>
          <w:sz w:val="22"/>
          <w:szCs w:val="22"/>
          <w:vertAlign w:val="superscript"/>
        </w:rPr>
        <w:footnoteReference w:id="646"/>
      </w:r>
    </w:p>
    <w:p w14:paraId="52936DF4" w14:textId="05C87853" w:rsidR="00A15B56" w:rsidRDefault="00A15B56" w:rsidP="006B543F">
      <w:pPr>
        <w:spacing w:before="100" w:beforeAutospacing="1" w:after="100" w:afterAutospacing="1" w:line="360" w:lineRule="auto"/>
        <w:rPr>
          <w:rFonts w:ascii="Calibri" w:eastAsia="Calibri" w:hAnsi="Calibri" w:cs="Calibri"/>
          <w:sz w:val="22"/>
          <w:szCs w:val="22"/>
        </w:rPr>
      </w:pPr>
      <w:r>
        <w:rPr>
          <w:rFonts w:ascii="Calibri" w:eastAsia="Calibri" w:hAnsi="Calibri" w:cs="Calibri"/>
          <w:sz w:val="22"/>
          <w:szCs w:val="22"/>
        </w:rPr>
        <w:lastRenderedPageBreak/>
        <w:t xml:space="preserve">Mills </w:t>
      </w:r>
      <w:r w:rsidR="00D90DFC">
        <w:rPr>
          <w:rFonts w:ascii="Calibri" w:eastAsia="Calibri" w:hAnsi="Calibri" w:cs="Calibri"/>
          <w:sz w:val="22"/>
          <w:szCs w:val="22"/>
        </w:rPr>
        <w:t xml:space="preserve">argues that, during the 1970s and early 1980s, </w:t>
      </w:r>
      <w:r>
        <w:rPr>
          <w:rFonts w:ascii="Calibri" w:eastAsia="Calibri" w:hAnsi="Calibri" w:cs="Calibri"/>
          <w:sz w:val="22"/>
          <w:szCs w:val="22"/>
        </w:rPr>
        <w:t xml:space="preserve">techniques like cost-benefit analysis (which had first been applied to public sector investment decisions in the 1950s-1960s) were increasingly used to </w:t>
      </w:r>
      <w:r w:rsidR="00746AE1">
        <w:rPr>
          <w:rFonts w:ascii="Calibri" w:eastAsia="Calibri" w:hAnsi="Calibri" w:cs="Calibri"/>
          <w:sz w:val="22"/>
          <w:szCs w:val="22"/>
        </w:rPr>
        <w:t xml:space="preserve">justify health investments, and small numbers of economists began to work with ministries of health. However, early cost-benefit studies were generally ‘extremely crude and showed only a passing acquaintance with empirical evidence’, and therefore ‘did not prove a very powerful technique to guide investments in the health </w:t>
      </w:r>
      <w:r w:rsidR="00746AE1" w:rsidRPr="00546CBA">
        <w:rPr>
          <w:rFonts w:ascii="Calibri" w:eastAsia="Calibri" w:hAnsi="Calibri" w:cs="Calibri"/>
          <w:sz w:val="22"/>
          <w:szCs w:val="22"/>
        </w:rPr>
        <w:t>sector’.</w:t>
      </w:r>
      <w:r w:rsidR="00832432" w:rsidRPr="00CF189D">
        <w:rPr>
          <w:rStyle w:val="FootnoteReference"/>
          <w:rFonts w:ascii="Calibri" w:eastAsia="Calibri" w:hAnsi="Calibri" w:cs="Calibri"/>
        </w:rPr>
        <w:footnoteReference w:id="647"/>
      </w:r>
      <w:r w:rsidR="00746AE1" w:rsidRPr="00546CBA">
        <w:rPr>
          <w:rFonts w:ascii="Calibri" w:eastAsia="Calibri" w:hAnsi="Calibri" w:cs="Calibri"/>
          <w:sz w:val="22"/>
          <w:szCs w:val="22"/>
        </w:rPr>
        <w:t xml:space="preserve"> </w:t>
      </w:r>
      <w:r w:rsidR="00746AE1" w:rsidRPr="00681100">
        <w:rPr>
          <w:rFonts w:ascii="Calibri" w:eastAsia="Calibri" w:hAnsi="Calibri" w:cs="Calibri"/>
          <w:sz w:val="22"/>
          <w:szCs w:val="22"/>
        </w:rPr>
        <w:t>The</w:t>
      </w:r>
      <w:r w:rsidR="00746AE1">
        <w:rPr>
          <w:rFonts w:ascii="Calibri" w:eastAsia="Calibri" w:hAnsi="Calibri" w:cs="Calibri"/>
          <w:sz w:val="22"/>
          <w:szCs w:val="22"/>
        </w:rPr>
        <w:t xml:space="preserve"> Bank staffer’s annotations </w:t>
      </w:r>
      <w:r w:rsidR="00832432">
        <w:rPr>
          <w:rFonts w:ascii="Calibri" w:eastAsia="Calibri" w:hAnsi="Calibri" w:cs="Calibri"/>
          <w:sz w:val="22"/>
          <w:szCs w:val="22"/>
        </w:rPr>
        <w:t>may be best interpreted as expressing</w:t>
      </w:r>
      <w:r w:rsidR="00746AE1">
        <w:rPr>
          <w:rFonts w:ascii="Calibri" w:eastAsia="Calibri" w:hAnsi="Calibri" w:cs="Calibri"/>
          <w:sz w:val="22"/>
          <w:szCs w:val="22"/>
        </w:rPr>
        <w:t xml:space="preserve"> their </w:t>
      </w:r>
      <w:r w:rsidR="00832432">
        <w:rPr>
          <w:rFonts w:ascii="Calibri" w:eastAsia="Calibri" w:hAnsi="Calibri" w:cs="Calibri"/>
          <w:sz w:val="22"/>
          <w:szCs w:val="22"/>
        </w:rPr>
        <w:t>claim of normative expertise within this burgeoning field.</w:t>
      </w:r>
    </w:p>
    <w:p w14:paraId="436E2A06" w14:textId="79948A88" w:rsidR="00AC7848" w:rsidRPr="00D9152B" w:rsidRDefault="00AC7848" w:rsidP="00CF189D">
      <w:pPr>
        <w:spacing w:before="100" w:beforeAutospacing="1" w:after="100" w:afterAutospacing="1" w:line="360" w:lineRule="auto"/>
        <w:ind w:firstLine="720"/>
        <w:rPr>
          <w:rFonts w:ascii="Calibri" w:eastAsia="Calibri" w:hAnsi="Calibri" w:cs="Calibri"/>
          <w:sz w:val="22"/>
          <w:szCs w:val="22"/>
        </w:rPr>
      </w:pPr>
      <w:r w:rsidRPr="00D9152B">
        <w:rPr>
          <w:rFonts w:ascii="Calibri" w:eastAsia="Calibri" w:hAnsi="Calibri" w:cs="Calibri"/>
          <w:sz w:val="22"/>
          <w:szCs w:val="22"/>
        </w:rPr>
        <w:t>With Bank President James Wolfensohn’s 1997 reorganiza</w:t>
      </w:r>
      <w:r w:rsidR="008023F4" w:rsidRPr="00D9152B">
        <w:rPr>
          <w:rFonts w:ascii="Calibri" w:eastAsia="Calibri" w:hAnsi="Calibri" w:cs="Calibri"/>
          <w:sz w:val="22"/>
          <w:szCs w:val="22"/>
        </w:rPr>
        <w:t>tion of the Bank, the o</w:t>
      </w:r>
      <w:r w:rsidRPr="00D9152B">
        <w:rPr>
          <w:rFonts w:ascii="Calibri" w:eastAsia="Calibri" w:hAnsi="Calibri" w:cs="Calibri"/>
          <w:sz w:val="22"/>
          <w:szCs w:val="22"/>
        </w:rPr>
        <w:t xml:space="preserve">nchocerciasis </w:t>
      </w:r>
      <w:r w:rsidR="008023F4" w:rsidRPr="00D9152B">
        <w:rPr>
          <w:rFonts w:ascii="Calibri" w:eastAsia="Calibri" w:hAnsi="Calibri" w:cs="Calibri"/>
          <w:sz w:val="22"/>
          <w:szCs w:val="22"/>
        </w:rPr>
        <w:t>u</w:t>
      </w:r>
      <w:r w:rsidRPr="00D9152B">
        <w:rPr>
          <w:rFonts w:ascii="Calibri" w:eastAsia="Calibri" w:hAnsi="Calibri" w:cs="Calibri"/>
          <w:sz w:val="22"/>
          <w:szCs w:val="22"/>
        </w:rPr>
        <w:t>nit was moved from a program</w:t>
      </w:r>
      <w:r w:rsidR="002D31A3">
        <w:rPr>
          <w:rFonts w:ascii="Calibri" w:eastAsia="Calibri" w:hAnsi="Calibri" w:cs="Calibri"/>
          <w:sz w:val="22"/>
          <w:szCs w:val="22"/>
        </w:rPr>
        <w:t>me</w:t>
      </w:r>
      <w:r w:rsidRPr="00D9152B">
        <w:rPr>
          <w:rFonts w:ascii="Calibri" w:eastAsia="Calibri" w:hAnsi="Calibri" w:cs="Calibri"/>
          <w:sz w:val="22"/>
          <w:szCs w:val="22"/>
        </w:rPr>
        <w:t>s to a projects department. This meant that the unit went from the West Africa department, which provided the overall development strategy for countries in the region, to a human development department, which specialized in the health sector. Benton has stated that the move was ‘sort of a signal that – to others that we [the Onchocerciasis Unit] should really focus on health and the technical aspects of health’. He further states that:</w:t>
      </w:r>
    </w:p>
    <w:p w14:paraId="744EFA86" w14:textId="1F34CC9E" w:rsidR="00AC7848" w:rsidRPr="00D9152B" w:rsidRDefault="00AC7848" w:rsidP="008023F4">
      <w:pPr>
        <w:pStyle w:val="Quote"/>
        <w:ind w:left="862" w:right="862"/>
        <w:rPr>
          <w:rFonts w:cs="Calibri"/>
          <w:i/>
          <w:sz w:val="22"/>
          <w:szCs w:val="22"/>
        </w:rPr>
      </w:pPr>
      <w:r w:rsidRPr="00D9152B">
        <w:rPr>
          <w:rFonts w:cs="Calibri"/>
          <w:i/>
          <w:sz w:val="22"/>
          <w:szCs w:val="22"/>
        </w:rPr>
        <w:t xml:space="preserve"> ‘I think that it was a mistake, in retrospect, because that was WHO’s job. We had a division of responsibility here which was working, and we had – each one had its – had its comparative advantage. And we were not strong in health as an institution, certainly to take on… an arcane disease like this, you know, should we really be…</w:t>
      </w:r>
      <w:r w:rsidR="008D7BFE" w:rsidRPr="00D9152B">
        <w:rPr>
          <w:rFonts w:cs="Calibri"/>
          <w:i/>
          <w:sz w:val="22"/>
          <w:szCs w:val="22"/>
        </w:rPr>
        <w:t xml:space="preserve"> </w:t>
      </w:r>
      <w:r w:rsidRPr="00D9152B">
        <w:rPr>
          <w:rFonts w:cs="Calibri"/>
          <w:i/>
          <w:sz w:val="22"/>
          <w:szCs w:val="22"/>
        </w:rPr>
        <w:t>in charge of the technical side of things? And isn’t that just duplicating what WHO has to offer? And doesn’t that cause turf problems? And I think, in retrospect, that all came to pass.’</w:t>
      </w:r>
      <w:r w:rsidRPr="00D9152B">
        <w:rPr>
          <w:rFonts w:cs="Calibri"/>
          <w:i/>
          <w:sz w:val="22"/>
          <w:szCs w:val="22"/>
          <w:vertAlign w:val="superscript"/>
        </w:rPr>
        <w:footnoteReference w:id="648"/>
      </w:r>
    </w:p>
    <w:p w14:paraId="14EDD86C" w14:textId="514AAB5E" w:rsidR="00AC7848" w:rsidRPr="00D9152B" w:rsidRDefault="00AC7848" w:rsidP="006B543F">
      <w:pPr>
        <w:spacing w:before="100" w:beforeAutospacing="1" w:after="100" w:afterAutospacing="1" w:line="360" w:lineRule="auto"/>
        <w:jc w:val="both"/>
        <w:rPr>
          <w:rFonts w:ascii="Calibri" w:eastAsia="Calibri" w:hAnsi="Calibri" w:cs="Calibri"/>
          <w:sz w:val="22"/>
          <w:szCs w:val="22"/>
          <w:lang w:val="en-US"/>
        </w:rPr>
      </w:pPr>
      <w:r w:rsidRPr="00D9152B">
        <w:rPr>
          <w:rFonts w:ascii="Calibri" w:eastAsia="Calibri" w:hAnsi="Calibri" w:cs="Calibri"/>
          <w:sz w:val="22"/>
          <w:szCs w:val="22"/>
          <w:lang w:val="en-US"/>
        </w:rPr>
        <w:t>The next section of Benton’s oral history transcript, which presumably contained examples of these turf problems, was redacted by the Bank in 2011</w:t>
      </w:r>
      <w:r w:rsidR="00F81366" w:rsidRPr="00D9152B">
        <w:rPr>
          <w:rFonts w:ascii="Calibri" w:eastAsia="Calibri" w:hAnsi="Calibri" w:cs="Calibri"/>
          <w:sz w:val="22"/>
          <w:szCs w:val="22"/>
          <w:lang w:val="en-US"/>
        </w:rPr>
        <w:t>.</w:t>
      </w:r>
      <w:r w:rsidR="002B09DC" w:rsidRPr="00D9152B">
        <w:rPr>
          <w:rStyle w:val="FootnoteReference"/>
          <w:rFonts w:ascii="Calibri" w:eastAsia="Calibri" w:hAnsi="Calibri" w:cs="Calibri"/>
          <w:sz w:val="22"/>
          <w:szCs w:val="22"/>
          <w:lang w:val="en-US"/>
        </w:rPr>
        <w:footnoteReference w:id="649"/>
      </w:r>
      <w:r w:rsidRPr="00D9152B">
        <w:rPr>
          <w:rFonts w:ascii="Calibri" w:eastAsia="Calibri" w:hAnsi="Calibri" w:cs="Calibri"/>
          <w:sz w:val="22"/>
          <w:szCs w:val="22"/>
          <w:lang w:val="en-US"/>
        </w:rPr>
        <w:t xml:space="preserve"> His words reinforce the role that the OCP played in stimulating the Bank’s interest in health. Simultaneously, they demonstrate the WHO’s concern with the Bank’s extension of its health programming </w:t>
      </w:r>
      <w:r w:rsidRPr="00D9152B">
        <w:rPr>
          <w:rFonts w:ascii="Calibri" w:eastAsia="Calibri" w:hAnsi="Calibri" w:cs="Calibri"/>
          <w:sz w:val="22"/>
          <w:szCs w:val="22"/>
          <w:lang w:val="en-US"/>
        </w:rPr>
        <w:lastRenderedPageBreak/>
        <w:t>beyond the Bank’s areas of competitive advantage (like health fundraising and economic analyses) outlined in the 1976 memorandum.</w:t>
      </w:r>
    </w:p>
    <w:p w14:paraId="71A19929" w14:textId="4F1FE4AB" w:rsidR="00AC7848" w:rsidRPr="00D9152B" w:rsidRDefault="008023F4" w:rsidP="006B543F">
      <w:pPr>
        <w:pStyle w:val="Heading4"/>
        <w:spacing w:line="360" w:lineRule="auto"/>
        <w:rPr>
          <w:rFonts w:ascii="Calibri" w:eastAsia="Times New Roman" w:hAnsi="Calibri" w:cs="Calibri"/>
          <w:sz w:val="22"/>
          <w:szCs w:val="22"/>
        </w:rPr>
      </w:pPr>
      <w:r w:rsidRPr="00D9152B">
        <w:rPr>
          <w:rFonts w:ascii="Calibri" w:eastAsia="Times New Roman" w:hAnsi="Calibri" w:cs="Calibri"/>
          <w:sz w:val="22"/>
          <w:szCs w:val="22"/>
        </w:rPr>
        <w:t>The a</w:t>
      </w:r>
      <w:r w:rsidR="00AC7848" w:rsidRPr="00D9152B">
        <w:rPr>
          <w:rFonts w:ascii="Calibri" w:eastAsia="Times New Roman" w:hAnsi="Calibri" w:cs="Calibri"/>
          <w:sz w:val="22"/>
          <w:szCs w:val="22"/>
        </w:rPr>
        <w:t>utonomy of the OCP from WHO - AFRO</w:t>
      </w:r>
    </w:p>
    <w:p w14:paraId="3B1EF804" w14:textId="3B01239B" w:rsidR="00A859B6" w:rsidRPr="00CF189D" w:rsidRDefault="00AC7848" w:rsidP="006B543F">
      <w:pPr>
        <w:spacing w:before="100" w:beforeAutospacing="1" w:after="100" w:afterAutospacing="1" w:line="360" w:lineRule="auto"/>
        <w:ind w:firstLine="720"/>
        <w:rPr>
          <w:rFonts w:ascii="Calibri" w:eastAsia="Calibri" w:hAnsi="Calibri" w:cs="Calibri"/>
          <w:i/>
          <w:iCs/>
          <w:sz w:val="22"/>
          <w:szCs w:val="22"/>
        </w:rPr>
      </w:pPr>
      <w:r w:rsidRPr="00D9152B">
        <w:rPr>
          <w:rFonts w:ascii="Calibri" w:eastAsia="Calibri" w:hAnsi="Calibri" w:cs="Calibri"/>
          <w:sz w:val="22"/>
          <w:szCs w:val="22"/>
        </w:rPr>
        <w:t xml:space="preserve">If the Bank was wary of the WHO’s technical and managerial capabilities beyond leading vector control operations, sponsoring agencies were even more suspicious of those of AFRO. </w:t>
      </w:r>
      <w:r w:rsidR="00A859B6">
        <w:rPr>
          <w:rFonts w:ascii="Calibri" w:eastAsia="Calibri" w:hAnsi="Calibri" w:cs="Calibri"/>
          <w:sz w:val="22"/>
          <w:szCs w:val="22"/>
        </w:rPr>
        <w:t xml:space="preserve">This section presents examples of sponsoring agencies’ depictions of AFRO and arguments about whether it should be included in OCP decision-making, based on a limited analysis of </w:t>
      </w:r>
      <w:r w:rsidR="00D90DFC">
        <w:rPr>
          <w:rFonts w:ascii="Calibri" w:eastAsia="Calibri" w:hAnsi="Calibri" w:cs="Calibri"/>
          <w:sz w:val="22"/>
          <w:szCs w:val="22"/>
        </w:rPr>
        <w:t>the Bank’s</w:t>
      </w:r>
      <w:r w:rsidR="00A859B6">
        <w:rPr>
          <w:rFonts w:ascii="Calibri" w:eastAsia="Calibri" w:hAnsi="Calibri" w:cs="Calibri"/>
          <w:sz w:val="22"/>
          <w:szCs w:val="22"/>
        </w:rPr>
        <w:t xml:space="preserve"> archival collections. </w:t>
      </w:r>
      <w:r w:rsidR="00E7488D">
        <w:rPr>
          <w:rFonts w:ascii="Calibri" w:eastAsia="Calibri" w:hAnsi="Calibri" w:cs="Calibri"/>
          <w:sz w:val="22"/>
          <w:szCs w:val="22"/>
        </w:rPr>
        <w:t xml:space="preserve">It sheds light on what the </w:t>
      </w:r>
      <w:r w:rsidR="00E7488D" w:rsidRPr="00CF189D">
        <w:rPr>
          <w:rFonts w:ascii="Calibri" w:eastAsia="Calibri" w:hAnsi="Calibri" w:cs="Calibri"/>
          <w:i/>
          <w:iCs/>
          <w:sz w:val="22"/>
          <w:szCs w:val="22"/>
        </w:rPr>
        <w:t>Bank</w:t>
      </w:r>
      <w:r w:rsidR="00E7488D">
        <w:rPr>
          <w:rFonts w:ascii="Calibri" w:eastAsia="Calibri" w:hAnsi="Calibri" w:cs="Calibri"/>
          <w:sz w:val="22"/>
          <w:szCs w:val="22"/>
        </w:rPr>
        <w:t xml:space="preserve"> means when it points to the importance of ‘autonomy’ in its success narrative. </w:t>
      </w:r>
    </w:p>
    <w:p w14:paraId="5F7DAAA9" w14:textId="42366073" w:rsidR="00AC7848" w:rsidRPr="00D9152B" w:rsidRDefault="00AC7848" w:rsidP="006B543F">
      <w:pPr>
        <w:spacing w:before="100" w:beforeAutospacing="1" w:after="100" w:afterAutospacing="1" w:line="360" w:lineRule="auto"/>
        <w:ind w:firstLine="720"/>
        <w:rPr>
          <w:rFonts w:ascii="Calibri" w:eastAsia="Calibri" w:hAnsi="Calibri" w:cs="Calibri"/>
          <w:sz w:val="22"/>
          <w:szCs w:val="22"/>
        </w:rPr>
      </w:pPr>
      <w:r w:rsidRPr="00D9152B">
        <w:rPr>
          <w:rFonts w:ascii="Calibri" w:eastAsia="Calibri" w:hAnsi="Calibri" w:cs="Calibri"/>
          <w:sz w:val="22"/>
          <w:szCs w:val="22"/>
        </w:rPr>
        <w:t>When planning for the OCP in 1973, Townley wrote that:</w:t>
      </w:r>
    </w:p>
    <w:p w14:paraId="3AF0C9E6" w14:textId="574A5ACE" w:rsidR="00AC7848" w:rsidRPr="00D9152B" w:rsidRDefault="00AC7848" w:rsidP="008023F4">
      <w:pPr>
        <w:pStyle w:val="Quote"/>
        <w:ind w:left="862" w:right="862"/>
        <w:rPr>
          <w:rFonts w:cs="Calibri"/>
          <w:i/>
          <w:sz w:val="22"/>
          <w:szCs w:val="22"/>
        </w:rPr>
      </w:pPr>
      <w:r w:rsidRPr="00D9152B">
        <w:rPr>
          <w:rFonts w:cs="Calibri"/>
          <w:i/>
          <w:sz w:val="22"/>
          <w:szCs w:val="22"/>
        </w:rPr>
        <w:t>‘Vector control, linked to subsequent maintenance of cleared areas, is the pivot of the whole strategy. As a public health task, it [executing authority] has been given to WHO. Within that Agency lies our major problem. WHO has a regional structure established by its constitution…</w:t>
      </w:r>
      <w:r w:rsidR="005215B7">
        <w:rPr>
          <w:rFonts w:cs="Calibri"/>
          <w:i/>
          <w:sz w:val="22"/>
          <w:szCs w:val="22"/>
        </w:rPr>
        <w:t xml:space="preserve"> </w:t>
      </w:r>
      <w:r w:rsidRPr="00D9152B">
        <w:rPr>
          <w:rFonts w:cs="Calibri"/>
          <w:i/>
          <w:sz w:val="22"/>
          <w:szCs w:val="22"/>
        </w:rPr>
        <w:t xml:space="preserve">Onchocerciasis control in West Africa falls within the province of the regional office of Brazzaville, which is incapable of supporting the preparatory activity, let alone administer </w:t>
      </w:r>
      <w:r w:rsidR="008D7BFE" w:rsidRPr="00D9152B">
        <w:rPr>
          <w:rFonts w:cs="Calibri"/>
          <w:i/>
          <w:sz w:val="22"/>
          <w:szCs w:val="22"/>
        </w:rPr>
        <w:t xml:space="preserve">[sic] </w:t>
      </w:r>
      <w:r w:rsidRPr="00D9152B">
        <w:rPr>
          <w:rFonts w:cs="Calibri"/>
          <w:i/>
          <w:sz w:val="22"/>
          <w:szCs w:val="22"/>
        </w:rPr>
        <w:t>and control a major clearance operation. The Program Manager, while ostensibly reporting to Brazzaville, works, in fact, with Geneva…but it has not yet demonstrated a top-notch operational capacity. It should be established that, if WHO is to keep the running on this, it must operate out of Geneva and continue to strengthen its operational capacity.’</w:t>
      </w:r>
      <w:r w:rsidRPr="00D9152B">
        <w:rPr>
          <w:rFonts w:cs="Calibri"/>
          <w:i/>
          <w:sz w:val="22"/>
          <w:szCs w:val="22"/>
          <w:vertAlign w:val="superscript"/>
        </w:rPr>
        <w:footnoteReference w:id="650"/>
      </w:r>
    </w:p>
    <w:p w14:paraId="01584E4D" w14:textId="213927F1" w:rsidR="00AC7848" w:rsidRPr="00D9152B" w:rsidRDefault="00AC7848" w:rsidP="006B543F">
      <w:pPr>
        <w:spacing w:before="100" w:beforeAutospacing="1" w:after="100" w:afterAutospacing="1" w:line="360" w:lineRule="auto"/>
        <w:rPr>
          <w:rFonts w:ascii="Calibri" w:eastAsia="Calibri" w:hAnsi="Calibri" w:cs="Calibri"/>
          <w:sz w:val="22"/>
          <w:szCs w:val="22"/>
        </w:rPr>
      </w:pPr>
      <w:r w:rsidRPr="00D9152B">
        <w:rPr>
          <w:rFonts w:ascii="Calibri" w:eastAsia="Calibri" w:hAnsi="Calibri" w:cs="Calibri"/>
          <w:sz w:val="22"/>
          <w:szCs w:val="22"/>
        </w:rPr>
        <w:t xml:space="preserve">Townley believed that the operational capabilities of the WHO </w:t>
      </w:r>
      <w:r w:rsidR="002C4C59" w:rsidRPr="00D9152B">
        <w:rPr>
          <w:rFonts w:ascii="Calibri" w:eastAsia="Calibri" w:hAnsi="Calibri" w:cs="Calibri"/>
          <w:sz w:val="22"/>
          <w:szCs w:val="22"/>
        </w:rPr>
        <w:t>Headquarters (</w:t>
      </w:r>
      <w:r w:rsidRPr="00D9152B">
        <w:rPr>
          <w:rFonts w:ascii="Calibri" w:eastAsia="Calibri" w:hAnsi="Calibri" w:cs="Calibri"/>
          <w:sz w:val="22"/>
          <w:szCs w:val="22"/>
        </w:rPr>
        <w:t>Geneva</w:t>
      </w:r>
      <w:r w:rsidR="002C4C59" w:rsidRPr="00D9152B">
        <w:rPr>
          <w:rFonts w:ascii="Calibri" w:eastAsia="Calibri" w:hAnsi="Calibri" w:cs="Calibri"/>
          <w:sz w:val="22"/>
          <w:szCs w:val="22"/>
        </w:rPr>
        <w:t>)</w:t>
      </w:r>
      <w:r w:rsidRPr="00D9152B">
        <w:rPr>
          <w:rFonts w:ascii="Calibri" w:eastAsia="Calibri" w:hAnsi="Calibri" w:cs="Calibri"/>
          <w:sz w:val="22"/>
          <w:szCs w:val="22"/>
        </w:rPr>
        <w:t xml:space="preserve"> secretariat were ‘slowly being strengthened’, with </w:t>
      </w:r>
      <w:r w:rsidR="00833702" w:rsidRPr="00D9152B">
        <w:rPr>
          <w:rFonts w:ascii="Calibri" w:eastAsia="Calibri" w:hAnsi="Calibri" w:cs="Calibri"/>
          <w:sz w:val="22"/>
          <w:szCs w:val="22"/>
        </w:rPr>
        <w:t>the</w:t>
      </w:r>
      <w:r w:rsidRPr="00D9152B">
        <w:rPr>
          <w:rFonts w:ascii="Calibri" w:eastAsia="Calibri" w:hAnsi="Calibri" w:cs="Calibri"/>
          <w:sz w:val="22"/>
          <w:szCs w:val="22"/>
        </w:rPr>
        <w:t xml:space="preserve"> closer working relationship of its vector control and parasitic disease divisions. He suggested that, if Candau was politically unable to </w:t>
      </w:r>
      <w:r w:rsidR="00833702" w:rsidRPr="00D9152B">
        <w:rPr>
          <w:rFonts w:ascii="Calibri" w:eastAsia="Calibri" w:hAnsi="Calibri" w:cs="Calibri"/>
          <w:sz w:val="22"/>
          <w:szCs w:val="22"/>
        </w:rPr>
        <w:t>side step</w:t>
      </w:r>
      <w:r w:rsidRPr="00D9152B">
        <w:rPr>
          <w:rFonts w:ascii="Calibri" w:eastAsia="Calibri" w:hAnsi="Calibri" w:cs="Calibri"/>
          <w:sz w:val="22"/>
          <w:szCs w:val="22"/>
        </w:rPr>
        <w:t xml:space="preserve"> AFRO, there could be a creative (if sub-optimal) solution. Sponsoring agencies could ‘perhaps convert the project into an inter-regional or global scheme by including, say, Guatemala or some other country where onchocerciasis is endemic, just </w:t>
      </w:r>
      <w:r w:rsidRPr="00D9152B">
        <w:rPr>
          <w:rFonts w:ascii="Calibri" w:eastAsia="Calibri" w:hAnsi="Calibri" w:cs="Calibri"/>
          <w:sz w:val="22"/>
          <w:szCs w:val="22"/>
        </w:rPr>
        <w:lastRenderedPageBreak/>
        <w:t>enabling Dr. Candau to house responsibility in Geneva’, as had been done with another African project.</w:t>
      </w:r>
      <w:r w:rsidRPr="00D9152B">
        <w:rPr>
          <w:rFonts w:ascii="Calibri" w:eastAsia="Calibri" w:hAnsi="Calibri" w:cs="Calibri"/>
          <w:sz w:val="22"/>
          <w:szCs w:val="22"/>
          <w:vertAlign w:val="superscript"/>
        </w:rPr>
        <w:footnoteReference w:id="651"/>
      </w:r>
    </w:p>
    <w:p w14:paraId="33C09ACB" w14:textId="77777777" w:rsidR="00AC7848" w:rsidRPr="00D9152B" w:rsidRDefault="00AC7848" w:rsidP="006B543F">
      <w:pPr>
        <w:spacing w:before="100" w:beforeAutospacing="1" w:after="100" w:afterAutospacing="1" w:line="360" w:lineRule="auto"/>
        <w:ind w:firstLine="720"/>
        <w:rPr>
          <w:rFonts w:ascii="Calibri" w:eastAsia="Calibri" w:hAnsi="Calibri" w:cs="Calibri"/>
          <w:sz w:val="22"/>
          <w:szCs w:val="22"/>
        </w:rPr>
      </w:pPr>
      <w:r w:rsidRPr="00D9152B">
        <w:rPr>
          <w:rFonts w:ascii="Calibri" w:eastAsia="Calibri" w:hAnsi="Calibri" w:cs="Calibri"/>
          <w:sz w:val="22"/>
          <w:szCs w:val="22"/>
        </w:rPr>
        <w:t>The AFRO secretariat was ultimately written into the official management chain of the OCP in 1977,</w:t>
      </w:r>
      <w:r w:rsidRPr="00D9152B">
        <w:rPr>
          <w:rFonts w:ascii="Calibri" w:eastAsia="Calibri" w:hAnsi="Calibri" w:cs="Calibri"/>
          <w:sz w:val="22"/>
          <w:szCs w:val="22"/>
          <w:vertAlign w:val="superscript"/>
        </w:rPr>
        <w:footnoteReference w:id="652"/>
      </w:r>
      <w:r w:rsidRPr="00D9152B">
        <w:rPr>
          <w:rFonts w:ascii="Calibri" w:eastAsia="Calibri" w:hAnsi="Calibri" w:cs="Calibri"/>
          <w:sz w:val="22"/>
          <w:szCs w:val="22"/>
        </w:rPr>
        <w:t xml:space="preserve"> which prompted sponsoring agencies to guard the OCP Director’s independent authority. In 1980, for example, AFRO was quietly restricted from its role in programme planning for the proposed Senegambia extension. AFRO led a Senegal River basin feasibility study in collaboration with USAID, to explore fly reinvasion in regions of Senegal, Guinea, and Mali outside of programme boundaries. Expert Advisory Committee members stated that the study ‘has so far been a disaster’, and that the original interim report was ‘so weak and so badly put together that WHO [Geneva] refused to allow it to be tabled, although this was not stated publicly’. AFRO had been unable to get required assistance from Guinea for logistical and bureaucratic regions, and the report was abandoned.</w:t>
      </w:r>
      <w:r w:rsidRPr="00D9152B">
        <w:rPr>
          <w:rFonts w:ascii="Calibri" w:eastAsia="Calibri" w:hAnsi="Calibri" w:cs="Calibri"/>
          <w:sz w:val="22"/>
          <w:szCs w:val="22"/>
          <w:vertAlign w:val="superscript"/>
        </w:rPr>
        <w:footnoteReference w:id="653"/>
      </w:r>
      <w:r w:rsidRPr="00D9152B">
        <w:rPr>
          <w:rFonts w:ascii="Calibri" w:eastAsia="Calibri" w:hAnsi="Calibri" w:cs="Calibri"/>
          <w:sz w:val="22"/>
          <w:szCs w:val="22"/>
        </w:rPr>
        <w:t xml:space="preserve"> </w:t>
      </w:r>
    </w:p>
    <w:p w14:paraId="14032B1F" w14:textId="74CC3153" w:rsidR="00C53143" w:rsidRPr="00D9152B" w:rsidRDefault="00C53143" w:rsidP="006B543F">
      <w:pPr>
        <w:spacing w:before="100" w:beforeAutospacing="1" w:after="100" w:afterAutospacing="1" w:line="360" w:lineRule="auto"/>
        <w:ind w:firstLine="720"/>
        <w:rPr>
          <w:rFonts w:ascii="Calibri" w:eastAsia="Calibri" w:hAnsi="Calibri" w:cs="Calibri"/>
          <w:sz w:val="22"/>
          <w:szCs w:val="22"/>
        </w:rPr>
      </w:pPr>
      <w:r w:rsidRPr="00D9152B">
        <w:rPr>
          <w:rFonts w:ascii="Calibri" w:eastAsia="Calibri" w:hAnsi="Calibri" w:cs="Calibri"/>
          <w:sz w:val="22"/>
          <w:szCs w:val="22"/>
        </w:rPr>
        <w:t xml:space="preserve">When OCP or AFRO leaders attempted to increase AFRO’s influence over the programme, this was typically met with quiet resistance from sponsoring agencies. For instance, </w:t>
      </w:r>
      <w:r w:rsidR="00AC7848" w:rsidRPr="00D9152B">
        <w:rPr>
          <w:rFonts w:ascii="Calibri" w:eastAsia="Calibri" w:hAnsi="Calibri" w:cs="Calibri"/>
          <w:sz w:val="22"/>
          <w:szCs w:val="22"/>
        </w:rPr>
        <w:t>Alfred Quenum, the Director of the AFRO office, was up</w:t>
      </w:r>
      <w:r w:rsidRPr="00D9152B">
        <w:rPr>
          <w:rFonts w:ascii="Calibri" w:eastAsia="Calibri" w:hAnsi="Calibri" w:cs="Calibri"/>
          <w:sz w:val="22"/>
          <w:szCs w:val="22"/>
        </w:rPr>
        <w:t xml:space="preserve"> for re-election in 1980</w:t>
      </w:r>
      <w:r w:rsidR="00AC7848" w:rsidRPr="00D9152B">
        <w:rPr>
          <w:rFonts w:ascii="Calibri" w:eastAsia="Calibri" w:hAnsi="Calibri" w:cs="Calibri"/>
          <w:sz w:val="22"/>
          <w:szCs w:val="22"/>
        </w:rPr>
        <w:t>. The United Kingdom representatives for the OCP predicted that Quenum would therefore ‘urge the JPC to admit Senegal, Guinea etc. to full [OCP] membership’ to bolster his chances at re-election, irrespective of whether this was sustainable for the programme. At the same time, OCP Director Marc Bazin (seconded from the Bank) was ‘totally opposed to the scheme, because he knows it will be a disaster… He will stall at this meeting and will no doubt tell [incoming OCP Director] Samba not to touch the project even with a very long pole’.</w:t>
      </w:r>
      <w:r w:rsidR="00AC7848" w:rsidRPr="00D9152B">
        <w:rPr>
          <w:rFonts w:ascii="Calibri" w:eastAsia="Calibri" w:hAnsi="Calibri" w:cs="Calibri"/>
          <w:sz w:val="22"/>
          <w:szCs w:val="22"/>
          <w:vertAlign w:val="superscript"/>
        </w:rPr>
        <w:footnoteReference w:id="654"/>
      </w:r>
      <w:r w:rsidR="00AC7848" w:rsidRPr="00D9152B">
        <w:rPr>
          <w:rFonts w:ascii="Calibri" w:eastAsia="Calibri" w:hAnsi="Calibri" w:cs="Calibri"/>
          <w:sz w:val="22"/>
          <w:szCs w:val="22"/>
        </w:rPr>
        <w:t xml:space="preserve"> Quenum was ultimately not able to push through the Senegambia extension that year, reflecting AFRO’s small influence relative to other sponsoring agencies. Instead, the </w:t>
      </w:r>
      <w:r w:rsidR="002C4C59" w:rsidRPr="00D9152B">
        <w:rPr>
          <w:rFonts w:ascii="Calibri" w:eastAsia="Calibri" w:hAnsi="Calibri" w:cs="Calibri"/>
          <w:sz w:val="22"/>
          <w:szCs w:val="22"/>
        </w:rPr>
        <w:t>Committee of Sponsoring Agencies</w:t>
      </w:r>
      <w:r w:rsidR="00AC7848" w:rsidRPr="00D9152B">
        <w:rPr>
          <w:rFonts w:ascii="Calibri" w:eastAsia="Calibri" w:hAnsi="Calibri" w:cs="Calibri"/>
          <w:sz w:val="22"/>
          <w:szCs w:val="22"/>
        </w:rPr>
        <w:t xml:space="preserve"> </w:t>
      </w:r>
      <w:r w:rsidR="002C4C59" w:rsidRPr="00D9152B">
        <w:rPr>
          <w:rFonts w:ascii="Calibri" w:eastAsia="Calibri" w:hAnsi="Calibri" w:cs="Calibri"/>
          <w:sz w:val="22"/>
          <w:szCs w:val="22"/>
        </w:rPr>
        <w:t xml:space="preserve">(CSA) </w:t>
      </w:r>
      <w:r w:rsidR="00AC7848" w:rsidRPr="00D9152B">
        <w:rPr>
          <w:rFonts w:ascii="Calibri" w:eastAsia="Calibri" w:hAnsi="Calibri" w:cs="Calibri"/>
          <w:sz w:val="22"/>
          <w:szCs w:val="22"/>
        </w:rPr>
        <w:t xml:space="preserve">launched an Independent </w:t>
      </w:r>
      <w:r w:rsidR="00AC7848" w:rsidRPr="00D9152B">
        <w:rPr>
          <w:rFonts w:ascii="Calibri" w:eastAsia="Calibri" w:hAnsi="Calibri" w:cs="Calibri"/>
          <w:sz w:val="22"/>
          <w:szCs w:val="22"/>
        </w:rPr>
        <w:lastRenderedPageBreak/>
        <w:t xml:space="preserve">Commission, led by Professor C.E. Gordon-Smith of the London School of Hygiene and Tropical Medicine, to explore the feasibility of a Senegambia extension, among other topics. Gordon-Smith was to report directly to </w:t>
      </w:r>
      <w:r w:rsidR="002C4C59" w:rsidRPr="00D9152B">
        <w:rPr>
          <w:rFonts w:ascii="Calibri" w:eastAsia="Calibri" w:hAnsi="Calibri" w:cs="Calibri"/>
          <w:sz w:val="22"/>
          <w:szCs w:val="22"/>
        </w:rPr>
        <w:t xml:space="preserve">WHO </w:t>
      </w:r>
      <w:r w:rsidR="00AC7848" w:rsidRPr="00D9152B">
        <w:rPr>
          <w:rFonts w:ascii="Calibri" w:eastAsia="Calibri" w:hAnsi="Calibri" w:cs="Calibri"/>
          <w:sz w:val="22"/>
          <w:szCs w:val="22"/>
        </w:rPr>
        <w:t>Director</w:t>
      </w:r>
      <w:r w:rsidR="002C4C59" w:rsidRPr="00D9152B">
        <w:rPr>
          <w:rFonts w:ascii="Calibri" w:eastAsia="Calibri" w:hAnsi="Calibri" w:cs="Calibri"/>
          <w:sz w:val="22"/>
          <w:szCs w:val="22"/>
        </w:rPr>
        <w:t xml:space="preserve"> </w:t>
      </w:r>
      <w:r w:rsidR="00AC7848" w:rsidRPr="00D9152B">
        <w:rPr>
          <w:rFonts w:ascii="Calibri" w:eastAsia="Calibri" w:hAnsi="Calibri" w:cs="Calibri"/>
          <w:sz w:val="22"/>
          <w:szCs w:val="22"/>
        </w:rPr>
        <w:t>General Halfdan Mahler, rather than AFRO.</w:t>
      </w:r>
      <w:r w:rsidR="00AC7848" w:rsidRPr="00D9152B">
        <w:rPr>
          <w:rFonts w:ascii="Calibri" w:eastAsia="Calibri" w:hAnsi="Calibri" w:cs="Calibri"/>
          <w:sz w:val="22"/>
          <w:szCs w:val="22"/>
          <w:vertAlign w:val="superscript"/>
        </w:rPr>
        <w:footnoteReference w:id="655"/>
      </w:r>
      <w:r w:rsidR="00AC7848" w:rsidRPr="00D9152B">
        <w:rPr>
          <w:rFonts w:ascii="Calibri" w:eastAsia="Calibri" w:hAnsi="Calibri" w:cs="Calibri"/>
          <w:sz w:val="22"/>
          <w:szCs w:val="22"/>
        </w:rPr>
        <w:t xml:space="preserve"> </w:t>
      </w:r>
    </w:p>
    <w:p w14:paraId="621E3D82" w14:textId="6F713EE1" w:rsidR="00AE70A7" w:rsidRPr="00D9152B" w:rsidRDefault="00AE70A7" w:rsidP="006B543F">
      <w:pPr>
        <w:spacing w:before="100" w:beforeAutospacing="1" w:after="100" w:afterAutospacing="1" w:line="360" w:lineRule="auto"/>
        <w:ind w:firstLine="720"/>
        <w:rPr>
          <w:rFonts w:ascii="Calibri" w:eastAsia="Calibri" w:hAnsi="Calibri" w:cs="Calibri"/>
          <w:sz w:val="22"/>
          <w:szCs w:val="22"/>
        </w:rPr>
      </w:pPr>
      <w:r w:rsidRPr="00D9152B">
        <w:rPr>
          <w:rFonts w:ascii="Calibri" w:eastAsia="Calibri" w:hAnsi="Calibri" w:cs="Calibri"/>
          <w:sz w:val="22"/>
          <w:szCs w:val="22"/>
        </w:rPr>
        <w:t>In 1987, sponsoring agencies appealed directly to the WHO Director General, when they believed that the OCP Director’s independence was being restricted at a high level by AFRO. In a note marked strictly confidential, the Committe</w:t>
      </w:r>
      <w:r w:rsidR="003B233B" w:rsidRPr="00D9152B">
        <w:rPr>
          <w:rFonts w:ascii="Calibri" w:eastAsia="Calibri" w:hAnsi="Calibri" w:cs="Calibri"/>
          <w:sz w:val="22"/>
          <w:szCs w:val="22"/>
        </w:rPr>
        <w:t xml:space="preserve">e of Sponsoring Agencies </w:t>
      </w:r>
      <w:r w:rsidR="005215B7">
        <w:rPr>
          <w:rFonts w:ascii="Calibri" w:eastAsia="Calibri" w:hAnsi="Calibri" w:cs="Calibri"/>
          <w:sz w:val="22"/>
          <w:szCs w:val="22"/>
        </w:rPr>
        <w:t>(CSA) Ch</w:t>
      </w:r>
      <w:r w:rsidR="003B233B" w:rsidRPr="00D9152B">
        <w:rPr>
          <w:rFonts w:ascii="Calibri" w:eastAsia="Calibri" w:hAnsi="Calibri" w:cs="Calibri"/>
          <w:sz w:val="22"/>
          <w:szCs w:val="22"/>
        </w:rPr>
        <w:t xml:space="preserve">airman wrote that it </w:t>
      </w:r>
      <w:r w:rsidRPr="00D9152B">
        <w:rPr>
          <w:rFonts w:ascii="Calibri" w:eastAsia="Calibri" w:hAnsi="Calibri" w:cs="Calibri"/>
          <w:sz w:val="22"/>
          <w:szCs w:val="22"/>
        </w:rPr>
        <w:t>was ‘perturbed to learn’ that Samba had been asked not to attend the World Health Assembly and regional AFRO meeting that year. He noted that it was even more concerning that the Regional [AFRO] Assistant Director-General had required the OCP Director to clear staff recruitment with him. The Chairman worried that inserting AFRO into the direct decision-making hierarchy would comprise the OCP’s effectiveness:</w:t>
      </w:r>
    </w:p>
    <w:p w14:paraId="7AA21974" w14:textId="2B0F42A3" w:rsidR="00DB1F26" w:rsidRPr="00D9152B" w:rsidRDefault="00DB1F26" w:rsidP="00AE70A7">
      <w:pPr>
        <w:pStyle w:val="Quote"/>
        <w:ind w:left="862" w:right="862"/>
        <w:rPr>
          <w:rFonts w:cs="Calibri"/>
          <w:i/>
          <w:sz w:val="22"/>
          <w:szCs w:val="22"/>
        </w:rPr>
      </w:pPr>
      <w:r w:rsidRPr="00D9152B">
        <w:rPr>
          <w:rFonts w:cs="Calibri"/>
          <w:i/>
          <w:sz w:val="22"/>
          <w:szCs w:val="22"/>
        </w:rPr>
        <w:t>‘The Director is a member of the CSA and up till now he has always been granted a large degree of independence and flexibility with sufficient latitude to operate the Programme, granted the many unknown and unstable factors involved. This arrangement has largely been instrumental in the success of the Programme and the acclamation which it has received from independent bodies as one of the most successful projects in Africa…</w:t>
      </w:r>
      <w:r w:rsidR="00AE70A7" w:rsidRPr="00D9152B">
        <w:rPr>
          <w:rFonts w:cs="Calibri"/>
          <w:i/>
          <w:sz w:val="22"/>
          <w:szCs w:val="22"/>
        </w:rPr>
        <w:t xml:space="preserve"> On behalf of the Committee of Sponsoring Agencies, I emphasize that it was only after considerable prodding that the Director of the project exposed these constraints in detail to the CSA. The CSA is very concerned about the increasing impediments being placed in the way of the Director and their detrimental effects and has therefore requested its current Chairman to bring these matters to the attention of the Director-General of the Executing Agency as it falls within his responsibility to restore the authority of the Director…</w:t>
      </w:r>
      <w:r w:rsidR="000568F2" w:rsidRPr="00D9152B">
        <w:rPr>
          <w:rFonts w:cs="Calibri"/>
          <w:i/>
          <w:sz w:val="22"/>
          <w:szCs w:val="22"/>
        </w:rPr>
        <w:t>’</w:t>
      </w:r>
      <w:r w:rsidR="00AE70A7" w:rsidRPr="00D9152B">
        <w:rPr>
          <w:rStyle w:val="FootnoteReference"/>
          <w:rFonts w:ascii="Calibri" w:eastAsia="Calibri" w:hAnsi="Calibri" w:cs="Calibri"/>
          <w:i/>
          <w:sz w:val="22"/>
          <w:szCs w:val="22"/>
        </w:rPr>
        <w:footnoteReference w:id="656"/>
      </w:r>
    </w:p>
    <w:p w14:paraId="1DE53DA6" w14:textId="71FE41FC" w:rsidR="00AE70A7" w:rsidRPr="00D9152B" w:rsidRDefault="00AE70A7" w:rsidP="006B543F">
      <w:pPr>
        <w:spacing w:before="100" w:beforeAutospacing="1" w:after="100" w:afterAutospacing="1" w:line="360" w:lineRule="auto"/>
        <w:rPr>
          <w:rFonts w:ascii="Calibri" w:eastAsia="Calibri" w:hAnsi="Calibri" w:cs="Calibri"/>
          <w:sz w:val="22"/>
          <w:szCs w:val="22"/>
        </w:rPr>
      </w:pPr>
      <w:r w:rsidRPr="00D9152B">
        <w:rPr>
          <w:rFonts w:ascii="Calibri" w:eastAsia="Calibri" w:hAnsi="Calibri" w:cs="Calibri"/>
          <w:sz w:val="22"/>
          <w:szCs w:val="22"/>
        </w:rPr>
        <w:t>Samba’s ties with AFRO grew stronger during the late 1980s, particularly when he ran for the AFRO Regional Director position in 1989.</w:t>
      </w:r>
      <w:r w:rsidRPr="00D9152B">
        <w:rPr>
          <w:rFonts w:ascii="Calibri" w:eastAsia="Calibri" w:hAnsi="Calibri" w:cs="Calibri"/>
          <w:sz w:val="22"/>
          <w:szCs w:val="22"/>
          <w:vertAlign w:val="superscript"/>
        </w:rPr>
        <w:footnoteReference w:id="657"/>
      </w:r>
      <w:r w:rsidRPr="00D9152B">
        <w:rPr>
          <w:rFonts w:ascii="Calibri" w:eastAsia="Calibri" w:hAnsi="Calibri" w:cs="Calibri"/>
          <w:sz w:val="22"/>
          <w:szCs w:val="22"/>
        </w:rPr>
        <w:t xml:space="preserve"> When a new OCP Director was sought in </w:t>
      </w:r>
      <w:r w:rsidRPr="00D9152B">
        <w:rPr>
          <w:rFonts w:ascii="Calibri" w:eastAsia="Calibri" w:hAnsi="Calibri" w:cs="Calibri"/>
          <w:sz w:val="22"/>
          <w:szCs w:val="22"/>
        </w:rPr>
        <w:lastRenderedPageBreak/>
        <w:t>1994, sponsoring agencies again emphasised the importance of retaining the autonomy of the OCP secretariat from AFRO.</w:t>
      </w:r>
      <w:r w:rsidRPr="00D9152B">
        <w:rPr>
          <w:rFonts w:ascii="Calibri" w:eastAsia="Calibri" w:hAnsi="Calibri" w:cs="Calibri"/>
          <w:sz w:val="22"/>
          <w:szCs w:val="22"/>
          <w:vertAlign w:val="superscript"/>
        </w:rPr>
        <w:footnoteReference w:id="658"/>
      </w:r>
      <w:r w:rsidR="00A859B6">
        <w:rPr>
          <w:rFonts w:ascii="Calibri" w:eastAsia="Calibri" w:hAnsi="Calibri" w:cs="Calibri"/>
          <w:sz w:val="22"/>
          <w:szCs w:val="22"/>
        </w:rPr>
        <w:t xml:space="preserve"> </w:t>
      </w:r>
    </w:p>
    <w:p w14:paraId="748F34C4" w14:textId="49354247" w:rsidR="00AC7848" w:rsidRPr="00D9152B" w:rsidRDefault="009A5A65" w:rsidP="006B543F">
      <w:pPr>
        <w:pStyle w:val="Heading3"/>
        <w:spacing w:line="360" w:lineRule="auto"/>
        <w:rPr>
          <w:rFonts w:ascii="Calibri" w:eastAsia="Times New Roman" w:hAnsi="Calibri" w:cs="Calibri"/>
          <w:b/>
          <w:i/>
          <w:color w:val="000000" w:themeColor="text1"/>
          <w:sz w:val="22"/>
          <w:szCs w:val="22"/>
          <w:lang w:val="en-US"/>
        </w:rPr>
      </w:pPr>
      <w:bookmarkStart w:id="113" w:name="_Toc3314357"/>
      <w:bookmarkStart w:id="114" w:name="_Toc41505676"/>
      <w:r w:rsidRPr="00D9152B">
        <w:rPr>
          <w:rFonts w:ascii="Calibri" w:eastAsia="Times New Roman" w:hAnsi="Calibri" w:cs="Calibri"/>
          <w:b/>
          <w:i/>
          <w:color w:val="000000" w:themeColor="text1"/>
          <w:sz w:val="22"/>
          <w:szCs w:val="22"/>
          <w:lang w:val="en-US"/>
        </w:rPr>
        <w:t>6.2.B.</w:t>
      </w:r>
      <w:r w:rsidR="006728FF" w:rsidRPr="00D9152B">
        <w:rPr>
          <w:rFonts w:ascii="Calibri" w:eastAsia="Times New Roman" w:hAnsi="Calibri" w:cs="Calibri"/>
          <w:b/>
          <w:i/>
          <w:color w:val="000000" w:themeColor="text1"/>
          <w:sz w:val="22"/>
          <w:szCs w:val="22"/>
          <w:lang w:val="en-US"/>
        </w:rPr>
        <w:t xml:space="preserve"> The FAO and the Bank’s </w:t>
      </w:r>
      <w:r w:rsidR="00AC7848" w:rsidRPr="00D9152B">
        <w:rPr>
          <w:rFonts w:ascii="Calibri" w:eastAsia="Times New Roman" w:hAnsi="Calibri" w:cs="Calibri"/>
          <w:b/>
          <w:i/>
          <w:color w:val="000000" w:themeColor="text1"/>
          <w:sz w:val="22"/>
          <w:szCs w:val="22"/>
          <w:lang w:val="en-US"/>
        </w:rPr>
        <w:t>competing ideologies of international development</w:t>
      </w:r>
      <w:bookmarkEnd w:id="113"/>
      <w:bookmarkEnd w:id="114"/>
    </w:p>
    <w:p w14:paraId="275BF802" w14:textId="663F594D" w:rsidR="000568F2" w:rsidRPr="00D9152B" w:rsidRDefault="00AC7848" w:rsidP="006B543F">
      <w:pPr>
        <w:spacing w:before="100" w:beforeAutospacing="1" w:after="100" w:afterAutospacing="1" w:line="360" w:lineRule="auto"/>
        <w:ind w:firstLine="720"/>
        <w:rPr>
          <w:rFonts w:ascii="Calibri" w:eastAsia="Calibri" w:hAnsi="Calibri" w:cs="Calibri"/>
          <w:sz w:val="22"/>
          <w:szCs w:val="22"/>
          <w:lang w:val="en-US"/>
        </w:rPr>
      </w:pPr>
      <w:r w:rsidRPr="00D9152B">
        <w:rPr>
          <w:rFonts w:ascii="Calibri" w:eastAsia="Calibri" w:hAnsi="Calibri" w:cs="Calibri"/>
          <w:sz w:val="22"/>
          <w:szCs w:val="22"/>
          <w:lang w:val="en-US"/>
        </w:rPr>
        <w:t xml:space="preserve">While the FAO’s frustrations with the WHO were mostly operational, its frustrations with the Bank were deeply rooted in developmental ideology, and </w:t>
      </w:r>
      <w:r w:rsidR="006728FF" w:rsidRPr="00D9152B">
        <w:rPr>
          <w:rFonts w:ascii="Calibri" w:eastAsia="Calibri" w:hAnsi="Calibri" w:cs="Calibri"/>
          <w:sz w:val="22"/>
          <w:szCs w:val="22"/>
          <w:lang w:val="en-US"/>
        </w:rPr>
        <w:t>became more pronounced</w:t>
      </w:r>
      <w:r w:rsidRPr="00D9152B">
        <w:rPr>
          <w:rFonts w:ascii="Calibri" w:eastAsia="Calibri" w:hAnsi="Calibri" w:cs="Calibri"/>
          <w:sz w:val="22"/>
          <w:szCs w:val="22"/>
          <w:lang w:val="en-US"/>
        </w:rPr>
        <w:t xml:space="preserve"> </w:t>
      </w:r>
      <w:r w:rsidR="006728FF" w:rsidRPr="00D9152B">
        <w:rPr>
          <w:rFonts w:ascii="Calibri" w:eastAsia="Calibri" w:hAnsi="Calibri" w:cs="Calibri"/>
          <w:sz w:val="22"/>
          <w:szCs w:val="22"/>
          <w:lang w:val="en-US"/>
        </w:rPr>
        <w:t>during</w:t>
      </w:r>
      <w:r w:rsidRPr="00D9152B">
        <w:rPr>
          <w:rFonts w:ascii="Calibri" w:eastAsia="Calibri" w:hAnsi="Calibri" w:cs="Calibri"/>
          <w:sz w:val="22"/>
          <w:szCs w:val="22"/>
          <w:lang w:val="en-US"/>
        </w:rPr>
        <w:t xml:space="preserve"> the 1970s and 1980s. In 1976, David Carney, a British economist heading the OCP</w:t>
      </w:r>
      <w:r w:rsidR="003C480A" w:rsidRPr="00D9152B">
        <w:rPr>
          <w:rFonts w:ascii="Calibri" w:eastAsia="Calibri" w:hAnsi="Calibri" w:cs="Calibri"/>
          <w:sz w:val="22"/>
          <w:szCs w:val="22"/>
          <w:lang w:val="en-US"/>
        </w:rPr>
        <w:t>’s</w:t>
      </w:r>
      <w:r w:rsidRPr="00D9152B">
        <w:rPr>
          <w:rFonts w:ascii="Calibri" w:eastAsia="Calibri" w:hAnsi="Calibri" w:cs="Calibri"/>
          <w:sz w:val="22"/>
          <w:szCs w:val="22"/>
          <w:lang w:val="en-US"/>
        </w:rPr>
        <w:t xml:space="preserve"> Economic Development Unit, criticized the Bank’s narrow focus on ‘economic development’ of onchocerciasis freed lands. Carney believed that the Bank was justifying programme expenses purely in terms of economic growth, and he labeled the Bank’s land development </w:t>
      </w:r>
      <w:r w:rsidR="003C480A" w:rsidRPr="00D9152B">
        <w:rPr>
          <w:rFonts w:ascii="Calibri" w:eastAsia="Calibri" w:hAnsi="Calibri" w:cs="Calibri"/>
          <w:sz w:val="22"/>
          <w:szCs w:val="22"/>
          <w:lang w:val="en-US"/>
        </w:rPr>
        <w:t>Me</w:t>
      </w:r>
      <w:r w:rsidRPr="00D9152B">
        <w:rPr>
          <w:rFonts w:ascii="Calibri" w:eastAsia="Calibri" w:hAnsi="Calibri" w:cs="Calibri"/>
          <w:sz w:val="22"/>
          <w:szCs w:val="22"/>
          <w:lang w:val="en-US"/>
        </w:rPr>
        <w:t>thodology (see Chapter 4) the ‘Bank Doctrine’ or the ‘Food and Fibre Basket Doctrine’.</w:t>
      </w:r>
      <w:r w:rsidRPr="00D9152B">
        <w:rPr>
          <w:rFonts w:ascii="Calibri" w:eastAsia="Calibri" w:hAnsi="Calibri" w:cs="Calibri"/>
          <w:sz w:val="22"/>
          <w:szCs w:val="22"/>
          <w:vertAlign w:val="superscript"/>
          <w:lang w:val="en-US"/>
        </w:rPr>
        <w:footnoteReference w:id="659"/>
      </w:r>
      <w:r w:rsidRPr="00D9152B">
        <w:rPr>
          <w:rFonts w:ascii="Calibri" w:eastAsia="Calibri" w:hAnsi="Calibri" w:cs="Calibri"/>
          <w:sz w:val="22"/>
          <w:szCs w:val="22"/>
          <w:lang w:val="en-US"/>
        </w:rPr>
        <w:t xml:space="preserve"> He depicted this doctrine as centered on measurable economic outputs, or ensuring that the OCP yielded the highest possible outputs for food commodity production projects with minimum expenditure. </w:t>
      </w:r>
    </w:p>
    <w:p w14:paraId="34E83D6A" w14:textId="0B2250EA" w:rsidR="00AC7848" w:rsidRPr="00D9152B" w:rsidRDefault="00AC7848" w:rsidP="006B543F">
      <w:pPr>
        <w:spacing w:before="100" w:beforeAutospacing="1" w:after="100" w:afterAutospacing="1" w:line="360" w:lineRule="auto"/>
        <w:ind w:firstLine="720"/>
        <w:rPr>
          <w:rFonts w:ascii="Calibri" w:eastAsia="Calibri" w:hAnsi="Calibri" w:cs="Calibri"/>
          <w:sz w:val="22"/>
          <w:szCs w:val="22"/>
          <w:lang w:val="en-US"/>
        </w:rPr>
      </w:pPr>
      <w:r w:rsidRPr="00D9152B">
        <w:rPr>
          <w:rFonts w:ascii="Calibri" w:eastAsia="Calibri" w:hAnsi="Calibri" w:cs="Calibri"/>
          <w:sz w:val="22"/>
          <w:szCs w:val="22"/>
          <w:lang w:val="en-US"/>
        </w:rPr>
        <w:t>According to Carney, the doctrine was a product of pragmatism; the Bank needed to demonstrate to prospective donors that ‘this was no “bleeding hearts” or do-gooder programme but a hard nosed one that would yield results in saleable products required by the producers in the outside world’. Carney stated that the FAO initially supported this Bank doctrine because of its strong link to agricultural land value, which provided ‘a tie-in of the programme to current and increasing world shortage of food and fibre’ (the FAO’s formal mandate), even though the FAO viewed development in wider terms.</w:t>
      </w:r>
      <w:r w:rsidRPr="00D9152B">
        <w:rPr>
          <w:rFonts w:ascii="Calibri" w:eastAsia="Calibri" w:hAnsi="Calibri" w:cs="Calibri"/>
          <w:sz w:val="22"/>
          <w:szCs w:val="22"/>
          <w:vertAlign w:val="superscript"/>
          <w:lang w:val="en-US"/>
        </w:rPr>
        <w:footnoteReference w:id="660"/>
      </w:r>
      <w:r w:rsidRPr="00D9152B">
        <w:rPr>
          <w:rFonts w:ascii="Calibri" w:eastAsia="Calibri" w:hAnsi="Calibri" w:cs="Calibri"/>
          <w:sz w:val="22"/>
          <w:szCs w:val="22"/>
          <w:lang w:val="en-US"/>
        </w:rPr>
        <w:t xml:space="preserve"> </w:t>
      </w:r>
      <w:r w:rsidR="00A34D82" w:rsidRPr="00D9152B">
        <w:rPr>
          <w:rFonts w:ascii="Calibri" w:eastAsia="Calibri" w:hAnsi="Calibri" w:cs="Calibri"/>
          <w:sz w:val="22"/>
          <w:szCs w:val="22"/>
          <w:lang w:val="en-US"/>
        </w:rPr>
        <w:t>He</w:t>
      </w:r>
      <w:r w:rsidRPr="00D9152B">
        <w:rPr>
          <w:rFonts w:ascii="Calibri" w:eastAsia="Calibri" w:hAnsi="Calibri" w:cs="Calibri"/>
          <w:sz w:val="22"/>
          <w:szCs w:val="22"/>
          <w:lang w:val="en-US"/>
        </w:rPr>
        <w:t xml:space="preserve"> hoped that the Bank and OCP would instead advocate for ‘total development’ of freed lands, by including the construction of schools, dispensaries, roads, and other social infrastructure in the development methodology.</w:t>
      </w:r>
      <w:r w:rsidRPr="00D9152B">
        <w:rPr>
          <w:rFonts w:ascii="Calibri" w:eastAsia="Calibri" w:hAnsi="Calibri" w:cs="Calibri"/>
          <w:sz w:val="22"/>
          <w:szCs w:val="22"/>
          <w:vertAlign w:val="superscript"/>
          <w:lang w:val="en-US"/>
        </w:rPr>
        <w:footnoteReference w:id="661"/>
      </w:r>
      <w:r w:rsidRPr="00D9152B">
        <w:rPr>
          <w:rFonts w:ascii="Calibri" w:eastAsia="Calibri" w:hAnsi="Calibri" w:cs="Calibri"/>
          <w:sz w:val="22"/>
          <w:szCs w:val="22"/>
          <w:lang w:val="en-US"/>
        </w:rPr>
        <w:t xml:space="preserve"> </w:t>
      </w:r>
    </w:p>
    <w:p w14:paraId="4C88C8E0" w14:textId="3715BDAE" w:rsidR="00AC7848" w:rsidRPr="00D9152B" w:rsidRDefault="00AC7848" w:rsidP="006B543F">
      <w:pPr>
        <w:spacing w:before="100" w:beforeAutospacing="1" w:after="100" w:afterAutospacing="1" w:line="360" w:lineRule="auto"/>
        <w:ind w:firstLine="720"/>
        <w:rPr>
          <w:rFonts w:ascii="Calibri" w:eastAsia="Calibri" w:hAnsi="Calibri" w:cs="Calibri"/>
          <w:sz w:val="22"/>
          <w:szCs w:val="22"/>
          <w:lang w:val="en-US"/>
        </w:rPr>
      </w:pPr>
      <w:r w:rsidRPr="00D9152B">
        <w:rPr>
          <w:rFonts w:ascii="Calibri" w:eastAsia="Calibri" w:hAnsi="Calibri" w:cs="Calibri"/>
          <w:sz w:val="22"/>
          <w:szCs w:val="22"/>
          <w:lang w:val="en-US"/>
        </w:rPr>
        <w:t xml:space="preserve">Although the FAO initially supported the OCP </w:t>
      </w:r>
      <w:r w:rsidR="003C480A" w:rsidRPr="00D9152B">
        <w:rPr>
          <w:rFonts w:ascii="Calibri" w:eastAsia="Calibri" w:hAnsi="Calibri" w:cs="Calibri"/>
          <w:sz w:val="22"/>
          <w:szCs w:val="22"/>
          <w:lang w:val="en-US"/>
        </w:rPr>
        <w:t>Methodology</w:t>
      </w:r>
      <w:r w:rsidRPr="00D9152B">
        <w:rPr>
          <w:rFonts w:ascii="Calibri" w:eastAsia="Calibri" w:hAnsi="Calibri" w:cs="Calibri"/>
          <w:sz w:val="22"/>
          <w:szCs w:val="22"/>
          <w:lang w:val="en-US"/>
        </w:rPr>
        <w:t xml:space="preserve">, it grew increasingly critical of the Bank’s economically-centered approach. The FAO found itself ‘more than </w:t>
      </w:r>
      <w:r w:rsidRPr="00D9152B">
        <w:rPr>
          <w:rFonts w:ascii="Calibri" w:eastAsia="Calibri" w:hAnsi="Calibri" w:cs="Calibri"/>
          <w:sz w:val="22"/>
          <w:szCs w:val="22"/>
          <w:lang w:val="en-US"/>
        </w:rPr>
        <w:lastRenderedPageBreak/>
        <w:t>any other agency’ to be in the ‘position of major critic to the report’ of the 1978 Economic Review Mission, which was financed by the Bank and led by its consultant Elliot Berg.</w:t>
      </w:r>
      <w:r w:rsidRPr="00D9152B">
        <w:rPr>
          <w:rFonts w:ascii="Calibri" w:eastAsia="Calibri" w:hAnsi="Calibri" w:cs="Calibri"/>
          <w:sz w:val="22"/>
          <w:szCs w:val="22"/>
          <w:vertAlign w:val="superscript"/>
          <w:lang w:val="en-US"/>
        </w:rPr>
        <w:footnoteReference w:id="662"/>
      </w:r>
      <w:r w:rsidRPr="00D9152B">
        <w:rPr>
          <w:rFonts w:ascii="Calibri" w:eastAsia="Calibri" w:hAnsi="Calibri" w:cs="Calibri"/>
          <w:sz w:val="22"/>
          <w:szCs w:val="22"/>
          <w:lang w:val="en-US"/>
        </w:rPr>
        <w:t xml:space="preserve"> After an advisory meeting on Berg’s initial report, the Director of the FAO’s Agricultural Services department, T.S.B. Aribisala, summari</w:t>
      </w:r>
      <w:r w:rsidR="002D31A3">
        <w:rPr>
          <w:rFonts w:ascii="Calibri" w:eastAsia="Calibri" w:hAnsi="Calibri" w:cs="Calibri"/>
          <w:sz w:val="22"/>
          <w:szCs w:val="22"/>
          <w:lang w:val="en-US"/>
        </w:rPr>
        <w:t>s</w:t>
      </w:r>
      <w:r w:rsidRPr="00D9152B">
        <w:rPr>
          <w:rFonts w:ascii="Calibri" w:eastAsia="Calibri" w:hAnsi="Calibri" w:cs="Calibri"/>
          <w:sz w:val="22"/>
          <w:szCs w:val="22"/>
          <w:lang w:val="en-US"/>
        </w:rPr>
        <w:t xml:space="preserve">ed Berg’s mission as an effort to ‘explode the empty valley theory which had its origins in an oversimplification of statements found in the PAG Mission report’ and to ‘show how the methodology has been rejected by the countries, how it is inflexible and inappropriate’. Aribisala countered that ‘this would seem to me to be a rather useless exercise, but it would appear that the World Bank have put him up to this one to discredit the PAG Mission’ (which had been run largely by UNDP, using an FAO-recruited economist). He instead </w:t>
      </w:r>
      <w:r w:rsidRPr="00D9152B">
        <w:rPr>
          <w:rFonts w:ascii="Calibri" w:eastAsia="Calibri" w:hAnsi="Calibri" w:cs="Calibri"/>
          <w:iCs/>
          <w:sz w:val="22"/>
          <w:szCs w:val="22"/>
          <w:lang w:val="en-US"/>
        </w:rPr>
        <w:t>discredited</w:t>
      </w:r>
      <w:r w:rsidRPr="00D9152B">
        <w:rPr>
          <w:rFonts w:ascii="Calibri" w:eastAsia="Calibri" w:hAnsi="Calibri" w:cs="Calibri"/>
          <w:i/>
          <w:iCs/>
          <w:sz w:val="22"/>
          <w:szCs w:val="22"/>
          <w:lang w:val="en-US"/>
        </w:rPr>
        <w:t xml:space="preserve"> </w:t>
      </w:r>
      <w:r w:rsidRPr="00D9152B">
        <w:rPr>
          <w:rFonts w:ascii="Calibri" w:eastAsia="Calibri" w:hAnsi="Calibri" w:cs="Calibri"/>
          <w:sz w:val="22"/>
          <w:szCs w:val="22"/>
          <w:lang w:val="en-US"/>
        </w:rPr>
        <w:t xml:space="preserve">the Bank’s </w:t>
      </w:r>
      <w:r w:rsidR="00A34D82" w:rsidRPr="00D9152B">
        <w:rPr>
          <w:rFonts w:ascii="Calibri" w:eastAsia="Calibri" w:hAnsi="Calibri" w:cs="Calibri"/>
          <w:sz w:val="22"/>
          <w:szCs w:val="22"/>
          <w:lang w:val="en-US"/>
        </w:rPr>
        <w:t>‘</w:t>
      </w:r>
      <w:r w:rsidRPr="00D9152B">
        <w:rPr>
          <w:rFonts w:ascii="Calibri" w:eastAsia="Calibri" w:hAnsi="Calibri" w:cs="Calibri"/>
          <w:sz w:val="22"/>
          <w:szCs w:val="22"/>
          <w:lang w:val="en-US"/>
        </w:rPr>
        <w:t>Berg mission</w:t>
      </w:r>
      <w:r w:rsidR="00A34D82" w:rsidRPr="00D9152B">
        <w:rPr>
          <w:rFonts w:ascii="Calibri" w:eastAsia="Calibri" w:hAnsi="Calibri" w:cs="Calibri"/>
          <w:sz w:val="22"/>
          <w:szCs w:val="22"/>
          <w:lang w:val="en-US"/>
        </w:rPr>
        <w:t>’</w:t>
      </w:r>
      <w:r w:rsidRPr="00D9152B">
        <w:rPr>
          <w:rFonts w:ascii="Calibri" w:eastAsia="Calibri" w:hAnsi="Calibri" w:cs="Calibri"/>
          <w:sz w:val="22"/>
          <w:szCs w:val="22"/>
          <w:lang w:val="en-US"/>
        </w:rPr>
        <w:t xml:space="preserve"> itself, by pointing to a lack of communication between team members and the fact that the mission ‘rarely got into the real oncho areas’.</w:t>
      </w:r>
      <w:r w:rsidRPr="00D9152B">
        <w:rPr>
          <w:rFonts w:ascii="Calibri" w:eastAsia="Calibri" w:hAnsi="Calibri" w:cs="Calibri"/>
          <w:sz w:val="22"/>
          <w:szCs w:val="22"/>
          <w:vertAlign w:val="superscript"/>
          <w:lang w:val="en-US"/>
        </w:rPr>
        <w:footnoteReference w:id="663"/>
      </w:r>
      <w:r w:rsidRPr="00D9152B">
        <w:rPr>
          <w:rFonts w:ascii="Calibri" w:eastAsia="Calibri" w:hAnsi="Calibri" w:cs="Calibri"/>
          <w:sz w:val="22"/>
          <w:szCs w:val="22"/>
          <w:lang w:val="en-US"/>
        </w:rPr>
        <w:t xml:space="preserve"> By ‘delving into historical developments and abandoned valleys’, the Berg mission had neglected the real data that was needed: information on soil fertility and land resources of OCP river basins.</w:t>
      </w:r>
      <w:r w:rsidRPr="00D9152B">
        <w:rPr>
          <w:rFonts w:ascii="Calibri" w:eastAsia="Calibri" w:hAnsi="Calibri" w:cs="Calibri"/>
          <w:sz w:val="22"/>
          <w:szCs w:val="22"/>
          <w:vertAlign w:val="superscript"/>
          <w:lang w:val="en-US"/>
        </w:rPr>
        <w:footnoteReference w:id="664"/>
      </w:r>
      <w:r w:rsidRPr="00D9152B">
        <w:rPr>
          <w:rFonts w:ascii="Calibri" w:eastAsia="Calibri" w:hAnsi="Calibri" w:cs="Calibri"/>
          <w:sz w:val="22"/>
          <w:szCs w:val="22"/>
          <w:lang w:val="en-US"/>
        </w:rPr>
        <w:t xml:space="preserve"> What the OCP really needed was a total development perspective.</w:t>
      </w:r>
    </w:p>
    <w:p w14:paraId="2885264D" w14:textId="45680AB7" w:rsidR="00AC7848" w:rsidRPr="00D9152B" w:rsidRDefault="00A34D82" w:rsidP="003C480A">
      <w:pPr>
        <w:spacing w:before="100" w:beforeAutospacing="1" w:after="100" w:afterAutospacing="1" w:line="360" w:lineRule="auto"/>
        <w:ind w:firstLine="720"/>
        <w:rPr>
          <w:rFonts w:ascii="Calibri" w:eastAsia="Calibri" w:hAnsi="Calibri" w:cs="Calibri"/>
          <w:sz w:val="22"/>
          <w:szCs w:val="22"/>
          <w:lang w:val="en-US"/>
        </w:rPr>
      </w:pPr>
      <w:r w:rsidRPr="00D9152B">
        <w:rPr>
          <w:rFonts w:ascii="Calibri" w:eastAsia="Calibri" w:hAnsi="Calibri" w:cs="Calibri"/>
          <w:sz w:val="22"/>
          <w:szCs w:val="22"/>
          <w:lang w:val="en-US"/>
        </w:rPr>
        <w:t>In the</w:t>
      </w:r>
      <w:r w:rsidR="00AC7848" w:rsidRPr="00D9152B">
        <w:rPr>
          <w:rFonts w:ascii="Calibri" w:eastAsia="Calibri" w:hAnsi="Calibri" w:cs="Calibri"/>
          <w:sz w:val="22"/>
          <w:szCs w:val="22"/>
          <w:lang w:val="en-US"/>
        </w:rPr>
        <w:t xml:space="preserve"> 1980s </w:t>
      </w:r>
      <w:r w:rsidRPr="00D9152B">
        <w:rPr>
          <w:rFonts w:ascii="Calibri" w:eastAsia="Calibri" w:hAnsi="Calibri" w:cs="Calibri"/>
          <w:sz w:val="22"/>
          <w:szCs w:val="22"/>
          <w:lang w:val="en-US"/>
        </w:rPr>
        <w:t>the Bank’s</w:t>
      </w:r>
      <w:r w:rsidR="00AC7848" w:rsidRPr="00D9152B">
        <w:rPr>
          <w:rFonts w:ascii="Calibri" w:eastAsia="Calibri" w:hAnsi="Calibri" w:cs="Calibri"/>
          <w:sz w:val="22"/>
          <w:szCs w:val="22"/>
          <w:lang w:val="en-US"/>
        </w:rPr>
        <w:t xml:space="preserve"> economic doctrine became more deeply entrenched</w:t>
      </w:r>
      <w:r w:rsidRPr="00D9152B">
        <w:rPr>
          <w:rFonts w:ascii="Calibri" w:eastAsia="Calibri" w:hAnsi="Calibri" w:cs="Calibri"/>
          <w:sz w:val="22"/>
          <w:szCs w:val="22"/>
          <w:lang w:val="en-US"/>
        </w:rPr>
        <w:t xml:space="preserve"> in the OCP</w:t>
      </w:r>
      <w:r w:rsidR="00AC7848" w:rsidRPr="00D9152B">
        <w:rPr>
          <w:rFonts w:ascii="Calibri" w:eastAsia="Calibri" w:hAnsi="Calibri" w:cs="Calibri"/>
          <w:sz w:val="22"/>
          <w:szCs w:val="22"/>
          <w:lang w:val="en-US"/>
        </w:rPr>
        <w:t xml:space="preserve">. </w:t>
      </w:r>
      <w:r w:rsidRPr="00D9152B">
        <w:rPr>
          <w:rFonts w:ascii="Calibri" w:eastAsia="Calibri" w:hAnsi="Calibri" w:cs="Calibri"/>
          <w:sz w:val="22"/>
          <w:szCs w:val="22"/>
          <w:lang w:val="en-US"/>
        </w:rPr>
        <w:t>The Bank</w:t>
      </w:r>
      <w:r w:rsidR="00AC7848" w:rsidRPr="00D9152B">
        <w:rPr>
          <w:rFonts w:ascii="Calibri" w:eastAsia="Calibri" w:hAnsi="Calibri" w:cs="Calibri"/>
          <w:sz w:val="22"/>
          <w:szCs w:val="22"/>
          <w:lang w:val="en-US"/>
        </w:rPr>
        <w:t xml:space="preserve"> proposed Berg for membership of the new OCP Expert Advisory Committee. The FAO suggested other candidates, which the Bank felt ‘were not economists’, and the FAO replied that this was true but, ‘we are surely looking for something more than an economist – we need a rural development specialist with practical experiences’.</w:t>
      </w:r>
      <w:r w:rsidR="00AC7848" w:rsidRPr="00D9152B">
        <w:rPr>
          <w:rFonts w:ascii="Calibri" w:eastAsia="Calibri" w:hAnsi="Calibri" w:cs="Calibri"/>
          <w:sz w:val="22"/>
          <w:szCs w:val="22"/>
          <w:vertAlign w:val="superscript"/>
          <w:lang w:val="en-US"/>
        </w:rPr>
        <w:t xml:space="preserve"> </w:t>
      </w:r>
      <w:r w:rsidR="00AC7848" w:rsidRPr="00D9152B">
        <w:rPr>
          <w:rFonts w:ascii="Calibri" w:eastAsia="Calibri" w:hAnsi="Calibri" w:cs="Calibri"/>
          <w:sz w:val="22"/>
          <w:szCs w:val="22"/>
          <w:vertAlign w:val="superscript"/>
          <w:lang w:val="en-US"/>
        </w:rPr>
        <w:footnoteReference w:id="665"/>
      </w:r>
      <w:r w:rsidR="00AC7848" w:rsidRPr="00D9152B">
        <w:rPr>
          <w:rFonts w:ascii="Calibri" w:eastAsia="Calibri" w:hAnsi="Calibri" w:cs="Calibri"/>
          <w:sz w:val="22"/>
          <w:szCs w:val="22"/>
          <w:lang w:val="en-US"/>
        </w:rPr>
        <w:t xml:space="preserve"> Later, in 1982, FAO staff surmised that the Bank’s nomination of Berg was due to his focus on rates of return for development projects, which was part and parcel of the Bank’s economic doctrine. In handwritten notes on a copy of Quentin Peel’s </w:t>
      </w:r>
      <w:r w:rsidR="00AC7848" w:rsidRPr="00D9152B">
        <w:rPr>
          <w:rFonts w:ascii="Calibri" w:eastAsia="Calibri" w:hAnsi="Calibri" w:cs="Calibri"/>
          <w:i/>
          <w:iCs/>
          <w:sz w:val="22"/>
          <w:szCs w:val="22"/>
          <w:lang w:val="en-US"/>
        </w:rPr>
        <w:lastRenderedPageBreak/>
        <w:t xml:space="preserve">Financial Times </w:t>
      </w:r>
      <w:r w:rsidR="00AC7848" w:rsidRPr="00D9152B">
        <w:rPr>
          <w:rFonts w:ascii="Calibri" w:eastAsia="Calibri" w:hAnsi="Calibri" w:cs="Calibri"/>
          <w:sz w:val="22"/>
          <w:szCs w:val="22"/>
          <w:lang w:val="en-US"/>
        </w:rPr>
        <w:t>article about health and development in Africa, an FAO staff member exclaimed, ‘this is why the bank was insisting on “BERG” at</w:t>
      </w:r>
      <w:r w:rsidRPr="00D9152B">
        <w:rPr>
          <w:rFonts w:ascii="Calibri" w:eastAsia="Calibri" w:hAnsi="Calibri" w:cs="Calibri"/>
          <w:sz w:val="22"/>
          <w:szCs w:val="22"/>
          <w:lang w:val="en-US"/>
        </w:rPr>
        <w:t xml:space="preserve"> all costs!!’ (Figure </w:t>
      </w:r>
      <w:r w:rsidR="005215B7">
        <w:rPr>
          <w:rFonts w:ascii="Calibri" w:eastAsia="Calibri" w:hAnsi="Calibri" w:cs="Calibri"/>
          <w:sz w:val="22"/>
          <w:szCs w:val="22"/>
          <w:lang w:val="en-US"/>
        </w:rPr>
        <w:t>6.</w:t>
      </w:r>
      <w:r w:rsidRPr="00D9152B">
        <w:rPr>
          <w:rFonts w:ascii="Calibri" w:eastAsia="Calibri" w:hAnsi="Calibri" w:cs="Calibri"/>
          <w:sz w:val="22"/>
          <w:szCs w:val="22"/>
          <w:lang w:val="en-US"/>
        </w:rPr>
        <w:t>2</w:t>
      </w:r>
      <w:r w:rsidR="00AC7848" w:rsidRPr="00D9152B">
        <w:rPr>
          <w:rFonts w:ascii="Calibri" w:eastAsia="Calibri" w:hAnsi="Calibri" w:cs="Calibri"/>
          <w:sz w:val="22"/>
          <w:szCs w:val="22"/>
          <w:lang w:val="en-US"/>
        </w:rPr>
        <w:t>).</w:t>
      </w:r>
      <w:r w:rsidR="00AC7848" w:rsidRPr="00D9152B">
        <w:rPr>
          <w:rFonts w:ascii="Calibri" w:eastAsia="Calibri" w:hAnsi="Calibri" w:cs="Calibri"/>
          <w:sz w:val="22"/>
          <w:szCs w:val="22"/>
          <w:vertAlign w:val="superscript"/>
          <w:lang w:val="en-US"/>
        </w:rPr>
        <w:footnoteReference w:id="666"/>
      </w:r>
      <w:r w:rsidR="00AC7848" w:rsidRPr="00D9152B">
        <w:rPr>
          <w:rFonts w:ascii="Calibri" w:eastAsia="Calibri" w:hAnsi="Calibri" w:cs="Calibri"/>
          <w:sz w:val="22"/>
          <w:szCs w:val="22"/>
          <w:lang w:val="en-US"/>
        </w:rPr>
        <w:t xml:space="preserve"> </w:t>
      </w:r>
    </w:p>
    <w:p w14:paraId="5DCAF618" w14:textId="77777777" w:rsidR="00A34D82" w:rsidRPr="00D9152B" w:rsidRDefault="00AC7848" w:rsidP="00A34D82">
      <w:pPr>
        <w:jc w:val="center"/>
        <w:rPr>
          <w:rFonts w:ascii="Calibri" w:eastAsia="Calibri" w:hAnsi="Calibri" w:cs="Calibri"/>
          <w:i/>
          <w:lang w:val="en-US"/>
        </w:rPr>
      </w:pPr>
      <w:r w:rsidRPr="00D9152B">
        <w:rPr>
          <w:rFonts w:ascii="Calibri" w:eastAsia="Calibri" w:hAnsi="Calibri" w:cs="Calibri"/>
          <w:noProof/>
          <w:lang w:eastAsia="en-GB"/>
        </w:rPr>
        <w:drawing>
          <wp:inline distT="0" distB="0" distL="0" distR="0" wp14:anchorId="1853F65F" wp14:editId="51D0956E">
            <wp:extent cx="5697553" cy="2938409"/>
            <wp:effectExtent l="0" t="0" r="5080" b="0"/>
            <wp:docPr id="1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5"/>
                    <pic:cNvPicPr>
                      <a:picLocks noChangeAspect="1" noChangeArrowheads="1"/>
                    </pic:cNvPicPr>
                  </pic:nvPicPr>
                  <pic:blipFill rotWithShape="1">
                    <a:blip r:embed="rId88">
                      <a:extLst>
                        <a:ext uri="{28A0092B-C50C-407E-A947-70E740481C1C}">
                          <a14:useLocalDpi xmlns:a14="http://schemas.microsoft.com/office/drawing/2010/main" val="0"/>
                        </a:ext>
                      </a:extLst>
                    </a:blip>
                    <a:srcRect t="3993" b="8502"/>
                    <a:stretch/>
                  </pic:blipFill>
                  <pic:spPr bwMode="auto">
                    <a:xfrm>
                      <a:off x="0" y="0"/>
                      <a:ext cx="5747613" cy="2964227"/>
                    </a:xfrm>
                    <a:prstGeom prst="rect">
                      <a:avLst/>
                    </a:prstGeom>
                    <a:noFill/>
                    <a:ln>
                      <a:noFill/>
                    </a:ln>
                    <a:extLst>
                      <a:ext uri="{53640926-AAD7-44D8-BBD7-CCE9431645EC}">
                        <a14:shadowObscured xmlns:a14="http://schemas.microsoft.com/office/drawing/2010/main"/>
                      </a:ext>
                    </a:extLst>
                  </pic:spPr>
                </pic:pic>
              </a:graphicData>
            </a:graphic>
          </wp:inline>
        </w:drawing>
      </w:r>
    </w:p>
    <w:p w14:paraId="783BBA26" w14:textId="77777777" w:rsidR="00A34D82" w:rsidRPr="00D9152B" w:rsidRDefault="00A34D82" w:rsidP="00A34D82">
      <w:pPr>
        <w:jc w:val="both"/>
        <w:rPr>
          <w:rFonts w:ascii="Calibri" w:eastAsia="Calibri" w:hAnsi="Calibri" w:cs="Calibri"/>
          <w:i/>
          <w:lang w:val="en-US"/>
        </w:rPr>
      </w:pPr>
    </w:p>
    <w:p w14:paraId="171B314A" w14:textId="3932EC50" w:rsidR="00AC7848" w:rsidRPr="00D9152B" w:rsidRDefault="00A34D82" w:rsidP="00A34D82">
      <w:pPr>
        <w:jc w:val="both"/>
        <w:rPr>
          <w:rFonts w:ascii="Calibri" w:eastAsia="Calibri" w:hAnsi="Calibri" w:cs="Calibri"/>
          <w:color w:val="7F7F7F" w:themeColor="text1" w:themeTint="80"/>
          <w:sz w:val="22"/>
          <w:szCs w:val="22"/>
          <w:lang w:val="en-US"/>
        </w:rPr>
      </w:pPr>
      <w:r w:rsidRPr="00D9152B">
        <w:rPr>
          <w:rFonts w:ascii="Calibri" w:eastAsia="Calibri" w:hAnsi="Calibri" w:cs="Calibri"/>
          <w:color w:val="7F7F7F" w:themeColor="text1" w:themeTint="80"/>
          <w:sz w:val="22"/>
          <w:szCs w:val="22"/>
          <w:lang w:val="en-US"/>
        </w:rPr>
        <w:t xml:space="preserve">Figure </w:t>
      </w:r>
      <w:r w:rsidR="005215B7">
        <w:rPr>
          <w:rFonts w:ascii="Calibri" w:eastAsia="Calibri" w:hAnsi="Calibri" w:cs="Calibri"/>
          <w:color w:val="7F7F7F" w:themeColor="text1" w:themeTint="80"/>
          <w:sz w:val="22"/>
          <w:szCs w:val="22"/>
          <w:lang w:val="en-US"/>
        </w:rPr>
        <w:t>6.</w:t>
      </w:r>
      <w:r w:rsidRPr="00D9152B">
        <w:rPr>
          <w:rFonts w:ascii="Calibri" w:eastAsia="Calibri" w:hAnsi="Calibri" w:cs="Calibri"/>
          <w:color w:val="7F7F7F" w:themeColor="text1" w:themeTint="80"/>
          <w:sz w:val="22"/>
          <w:szCs w:val="22"/>
          <w:lang w:val="en-US"/>
        </w:rPr>
        <w:t>2</w:t>
      </w:r>
      <w:r w:rsidR="00AC7848" w:rsidRPr="00D9152B">
        <w:rPr>
          <w:rFonts w:ascii="Calibri" w:eastAsia="Calibri" w:hAnsi="Calibri" w:cs="Calibri"/>
          <w:color w:val="7F7F7F" w:themeColor="text1" w:themeTint="80"/>
          <w:sz w:val="22"/>
          <w:szCs w:val="22"/>
          <w:lang w:val="en-US"/>
        </w:rPr>
        <w:t>. The FAO annotator further noted, ‘Berg makes some good points but force feeding or force administration of medicine never cured anybody’</w:t>
      </w:r>
      <w:r w:rsidRPr="00D9152B">
        <w:rPr>
          <w:rFonts w:ascii="Calibri" w:eastAsia="Calibri" w:hAnsi="Calibri" w:cs="Calibri"/>
          <w:color w:val="7F7F7F" w:themeColor="text1" w:themeTint="80"/>
          <w:sz w:val="22"/>
          <w:szCs w:val="22"/>
          <w:lang w:val="en-US"/>
        </w:rPr>
        <w:t>.</w:t>
      </w:r>
      <w:r w:rsidR="00AC7848" w:rsidRPr="00D9152B">
        <w:rPr>
          <w:rFonts w:ascii="Calibri" w:eastAsia="Calibri" w:hAnsi="Calibri" w:cs="Calibri"/>
          <w:color w:val="7F7F7F" w:themeColor="text1" w:themeTint="80"/>
          <w:sz w:val="22"/>
          <w:szCs w:val="22"/>
          <w:vertAlign w:val="superscript"/>
          <w:lang w:val="en-US"/>
        </w:rPr>
        <w:footnoteReference w:id="667"/>
      </w:r>
    </w:p>
    <w:p w14:paraId="443853F4" w14:textId="15DB5ECC" w:rsidR="00AC7848" w:rsidRPr="00D9152B" w:rsidRDefault="00AC7848" w:rsidP="006B543F">
      <w:pPr>
        <w:spacing w:before="100" w:beforeAutospacing="1" w:after="100" w:afterAutospacing="1" w:line="360" w:lineRule="auto"/>
        <w:ind w:firstLine="720"/>
        <w:rPr>
          <w:rFonts w:ascii="Calibri" w:eastAsia="Calibri" w:hAnsi="Calibri" w:cs="Calibri"/>
          <w:sz w:val="22"/>
          <w:szCs w:val="22"/>
          <w:lang w:val="en-US"/>
        </w:rPr>
      </w:pPr>
      <w:r w:rsidRPr="00D9152B">
        <w:rPr>
          <w:rFonts w:ascii="Calibri" w:eastAsia="Calibri" w:hAnsi="Calibri" w:cs="Calibri"/>
          <w:sz w:val="22"/>
          <w:szCs w:val="22"/>
          <w:lang w:val="en-US"/>
        </w:rPr>
        <w:t xml:space="preserve">The article discussed </w:t>
      </w:r>
      <w:r w:rsidR="00871E27">
        <w:rPr>
          <w:rFonts w:ascii="Calibri" w:eastAsia="Calibri" w:hAnsi="Calibri" w:cs="Calibri"/>
          <w:sz w:val="22"/>
          <w:szCs w:val="22"/>
          <w:lang w:val="en-US"/>
        </w:rPr>
        <w:t>the</w:t>
      </w:r>
      <w:r w:rsidR="00871E27" w:rsidRPr="00D9152B">
        <w:rPr>
          <w:rFonts w:ascii="Calibri" w:eastAsia="Calibri" w:hAnsi="Calibri" w:cs="Calibri"/>
          <w:sz w:val="22"/>
          <w:szCs w:val="22"/>
          <w:lang w:val="en-US"/>
        </w:rPr>
        <w:t xml:space="preserve"> </w:t>
      </w:r>
      <w:r w:rsidRPr="00D9152B">
        <w:rPr>
          <w:rFonts w:ascii="Calibri" w:eastAsia="Calibri" w:hAnsi="Calibri" w:cs="Calibri"/>
          <w:sz w:val="22"/>
          <w:szCs w:val="22"/>
          <w:lang w:val="en-US"/>
        </w:rPr>
        <w:t xml:space="preserve">‘Berg report’, </w:t>
      </w:r>
      <w:r w:rsidR="00871E27">
        <w:rPr>
          <w:rFonts w:ascii="Calibri" w:eastAsia="Calibri" w:hAnsi="Calibri" w:cs="Calibri"/>
          <w:sz w:val="22"/>
          <w:szCs w:val="22"/>
          <w:lang w:val="en-US"/>
        </w:rPr>
        <w:t xml:space="preserve">or </w:t>
      </w:r>
      <w:r w:rsidRPr="00D9152B">
        <w:rPr>
          <w:rFonts w:ascii="Calibri" w:eastAsia="Calibri" w:hAnsi="Calibri" w:cs="Calibri"/>
          <w:sz w:val="22"/>
          <w:szCs w:val="22"/>
          <w:lang w:val="en-US"/>
        </w:rPr>
        <w:t>the Bank’s seminal</w:t>
      </w:r>
      <w:r w:rsidR="006460C0" w:rsidRPr="00D9152B">
        <w:rPr>
          <w:rFonts w:ascii="Calibri" w:eastAsia="Calibri" w:hAnsi="Calibri" w:cs="Calibri"/>
          <w:sz w:val="22"/>
          <w:szCs w:val="22"/>
          <w:lang w:val="en-US"/>
        </w:rPr>
        <w:t xml:space="preserve"> </w:t>
      </w:r>
      <w:r w:rsidRPr="00D9152B">
        <w:rPr>
          <w:rFonts w:ascii="Calibri" w:eastAsia="Calibri" w:hAnsi="Calibri" w:cs="Calibri"/>
          <w:sz w:val="22"/>
          <w:szCs w:val="22"/>
          <w:lang w:val="en-US"/>
        </w:rPr>
        <w:t xml:space="preserve">1981 </w:t>
      </w:r>
      <w:r w:rsidR="002B4CD2" w:rsidRPr="00D9152B">
        <w:rPr>
          <w:rFonts w:ascii="Calibri" w:eastAsia="Calibri" w:hAnsi="Calibri" w:cs="Calibri"/>
          <w:i/>
          <w:iCs/>
          <w:sz w:val="22"/>
          <w:szCs w:val="22"/>
          <w:lang w:val="en-US"/>
        </w:rPr>
        <w:t>Accelerated d</w:t>
      </w:r>
      <w:r w:rsidRPr="00D9152B">
        <w:rPr>
          <w:rFonts w:ascii="Calibri" w:eastAsia="Calibri" w:hAnsi="Calibri" w:cs="Calibri"/>
          <w:i/>
          <w:iCs/>
          <w:sz w:val="22"/>
          <w:szCs w:val="22"/>
          <w:lang w:val="en-US"/>
        </w:rPr>
        <w:t>evelopment in Sub-Saharan Africa</w:t>
      </w:r>
      <w:r w:rsidRPr="00D9152B">
        <w:rPr>
          <w:rFonts w:ascii="Calibri" w:eastAsia="Calibri" w:hAnsi="Calibri" w:cs="Calibri"/>
          <w:sz w:val="22"/>
          <w:szCs w:val="22"/>
          <w:lang w:val="en-US"/>
        </w:rPr>
        <w:t xml:space="preserve"> report.</w:t>
      </w:r>
      <w:r w:rsidRPr="00D9152B">
        <w:rPr>
          <w:rFonts w:ascii="Calibri" w:eastAsia="Calibri" w:hAnsi="Calibri" w:cs="Calibri"/>
          <w:sz w:val="22"/>
          <w:szCs w:val="22"/>
          <w:vertAlign w:val="superscript"/>
          <w:lang w:val="en-US"/>
        </w:rPr>
        <w:footnoteReference w:id="668"/>
      </w:r>
      <w:r w:rsidRPr="00D9152B">
        <w:rPr>
          <w:rFonts w:ascii="Calibri" w:eastAsia="Calibri" w:hAnsi="Calibri" w:cs="Calibri"/>
          <w:sz w:val="22"/>
          <w:szCs w:val="22"/>
          <w:lang w:val="en-US"/>
        </w:rPr>
        <w:t xml:space="preserve"> The </w:t>
      </w:r>
      <w:r w:rsidR="002B4CD2" w:rsidRPr="00D9152B">
        <w:rPr>
          <w:rFonts w:ascii="Calibri" w:eastAsia="Calibri" w:hAnsi="Calibri" w:cs="Calibri"/>
          <w:i/>
          <w:sz w:val="22"/>
          <w:szCs w:val="22"/>
          <w:lang w:val="en-US"/>
        </w:rPr>
        <w:t>Accelerated d</w:t>
      </w:r>
      <w:r w:rsidRPr="00D9152B">
        <w:rPr>
          <w:rFonts w:ascii="Calibri" w:eastAsia="Calibri" w:hAnsi="Calibri" w:cs="Calibri"/>
          <w:i/>
          <w:sz w:val="22"/>
          <w:szCs w:val="22"/>
          <w:lang w:val="en-US"/>
        </w:rPr>
        <w:t xml:space="preserve">evelopment </w:t>
      </w:r>
      <w:r w:rsidRPr="00D9152B">
        <w:rPr>
          <w:rFonts w:ascii="Calibri" w:eastAsia="Calibri" w:hAnsi="Calibri" w:cs="Calibri"/>
          <w:sz w:val="22"/>
          <w:szCs w:val="22"/>
          <w:lang w:val="en-US"/>
        </w:rPr>
        <w:t>report was coordinated by Berg, and provided an initial impetus for structural adjustment, which would define much of the Bank’s development policy in the 1980s. It argued that poor domestic policies often undercut the cost-effectiveness and the rate of return of projects in Africa, and that these policies at least partially explained poor economic growth in Africa in the 1960s-1970s. The report suggested that promoting economic growth and preserving donor resources would require tougher domestic policy conditions and realignment of the public sector (including an increasing role of the private sector).</w:t>
      </w:r>
      <w:r w:rsidRPr="00D9152B">
        <w:rPr>
          <w:rFonts w:ascii="Calibri" w:eastAsia="Calibri" w:hAnsi="Calibri" w:cs="Calibri"/>
          <w:sz w:val="22"/>
          <w:szCs w:val="22"/>
          <w:vertAlign w:val="superscript"/>
          <w:lang w:val="en-US"/>
        </w:rPr>
        <w:footnoteReference w:id="669"/>
      </w:r>
      <w:r w:rsidRPr="00D9152B">
        <w:rPr>
          <w:rFonts w:ascii="Calibri" w:eastAsia="Calibri" w:hAnsi="Calibri" w:cs="Calibri"/>
          <w:sz w:val="22"/>
          <w:szCs w:val="22"/>
          <w:lang w:val="en-US"/>
        </w:rPr>
        <w:t xml:space="preserve"> While the </w:t>
      </w:r>
      <w:r w:rsidR="002B4CD2" w:rsidRPr="00D9152B">
        <w:rPr>
          <w:rFonts w:ascii="Calibri" w:eastAsia="Calibri" w:hAnsi="Calibri" w:cs="Calibri"/>
          <w:i/>
          <w:iCs/>
          <w:sz w:val="22"/>
          <w:szCs w:val="22"/>
          <w:lang w:val="en-US"/>
        </w:rPr>
        <w:t>Accelerated d</w:t>
      </w:r>
      <w:r w:rsidRPr="00D9152B">
        <w:rPr>
          <w:rFonts w:ascii="Calibri" w:eastAsia="Calibri" w:hAnsi="Calibri" w:cs="Calibri"/>
          <w:i/>
          <w:iCs/>
          <w:sz w:val="22"/>
          <w:szCs w:val="22"/>
          <w:lang w:val="en-US"/>
        </w:rPr>
        <w:t xml:space="preserve">evelopment </w:t>
      </w:r>
      <w:r w:rsidRPr="00D9152B">
        <w:rPr>
          <w:rFonts w:ascii="Calibri" w:eastAsia="Calibri" w:hAnsi="Calibri" w:cs="Calibri"/>
          <w:sz w:val="22"/>
          <w:szCs w:val="22"/>
          <w:lang w:val="en-US"/>
        </w:rPr>
        <w:t>report was criticized for its over-emphasis on in-</w:t>
      </w:r>
      <w:r w:rsidRPr="00D9152B">
        <w:rPr>
          <w:rFonts w:ascii="Calibri" w:eastAsia="Calibri" w:hAnsi="Calibri" w:cs="Calibri"/>
          <w:sz w:val="22"/>
          <w:szCs w:val="22"/>
          <w:lang w:val="en-US"/>
        </w:rPr>
        <w:lastRenderedPageBreak/>
        <w:t>country policies’ link to poor development outcomes, the Bank and many donor quietly began to insist on domestic policy reform in exchange for aid.</w:t>
      </w:r>
      <w:r w:rsidRPr="00D9152B">
        <w:rPr>
          <w:rFonts w:ascii="Calibri" w:eastAsia="Calibri" w:hAnsi="Calibri" w:cs="Calibri"/>
          <w:sz w:val="22"/>
          <w:szCs w:val="22"/>
          <w:vertAlign w:val="superscript"/>
          <w:lang w:val="en-US"/>
        </w:rPr>
        <w:footnoteReference w:id="670"/>
      </w:r>
      <w:r w:rsidRPr="00D9152B">
        <w:rPr>
          <w:rFonts w:ascii="Calibri" w:eastAsia="Calibri" w:hAnsi="Calibri" w:cs="Calibri"/>
          <w:sz w:val="22"/>
          <w:szCs w:val="22"/>
          <w:lang w:val="en-US"/>
        </w:rPr>
        <w:t xml:space="preserve"> </w:t>
      </w:r>
    </w:p>
    <w:p w14:paraId="3FF9833E" w14:textId="5C4E0141" w:rsidR="00AC7848" w:rsidRPr="00D9152B" w:rsidRDefault="00AC7848" w:rsidP="006B543F">
      <w:pPr>
        <w:spacing w:before="100" w:beforeAutospacing="1" w:after="100" w:afterAutospacing="1" w:line="360" w:lineRule="auto"/>
        <w:ind w:firstLine="720"/>
        <w:rPr>
          <w:rFonts w:ascii="Calibri" w:eastAsia="Calibri" w:hAnsi="Calibri" w:cs="Calibri"/>
          <w:sz w:val="22"/>
          <w:szCs w:val="22"/>
          <w:lang w:val="en-US"/>
        </w:rPr>
      </w:pPr>
      <w:r w:rsidRPr="00D9152B">
        <w:rPr>
          <w:rFonts w:ascii="Calibri" w:eastAsia="Calibri" w:hAnsi="Calibri" w:cs="Calibri"/>
          <w:sz w:val="22"/>
          <w:szCs w:val="22"/>
          <w:lang w:val="en-US"/>
        </w:rPr>
        <w:t>The FAO and the UNDP were ‘very against Berg who has not had to live with his economic advice’.</w:t>
      </w:r>
      <w:r w:rsidRPr="00D9152B">
        <w:rPr>
          <w:rFonts w:ascii="Calibri" w:eastAsia="Calibri" w:hAnsi="Calibri" w:cs="Calibri"/>
          <w:sz w:val="22"/>
          <w:szCs w:val="22"/>
          <w:vertAlign w:val="superscript"/>
          <w:lang w:val="en-US"/>
        </w:rPr>
        <w:footnoteReference w:id="671"/>
      </w:r>
      <w:r w:rsidRPr="00D9152B">
        <w:rPr>
          <w:rFonts w:ascii="Calibri" w:eastAsia="Calibri" w:hAnsi="Calibri" w:cs="Calibri"/>
          <w:sz w:val="22"/>
          <w:szCs w:val="22"/>
          <w:lang w:val="en-US"/>
        </w:rPr>
        <w:t xml:space="preserve"> Since the early 1970s, UNDP resident representatives had stressed the importance of linking the OCP with health service delivery and control of other endemic diseases, like trypanosomiasis.</w:t>
      </w:r>
      <w:r w:rsidRPr="00D9152B">
        <w:rPr>
          <w:rFonts w:ascii="Calibri" w:eastAsia="Calibri" w:hAnsi="Calibri" w:cs="Calibri"/>
          <w:sz w:val="22"/>
          <w:szCs w:val="22"/>
          <w:vertAlign w:val="superscript"/>
        </w:rPr>
        <w:footnoteReference w:id="672"/>
      </w:r>
      <w:r w:rsidRPr="00D9152B">
        <w:rPr>
          <w:rFonts w:ascii="Calibri" w:eastAsia="Calibri" w:hAnsi="Calibri" w:cs="Calibri"/>
          <w:sz w:val="22"/>
          <w:szCs w:val="22"/>
        </w:rPr>
        <w:t xml:space="preserve"> </w:t>
      </w:r>
      <w:r w:rsidRPr="00D9152B">
        <w:rPr>
          <w:rFonts w:ascii="Calibri" w:eastAsia="Calibri" w:hAnsi="Calibri" w:cs="Calibri"/>
          <w:sz w:val="22"/>
          <w:szCs w:val="22"/>
          <w:lang w:val="en-US"/>
        </w:rPr>
        <w:t>Within this climate of early structural adjustment, the FAO declared its role in the OCP to be a ‘watchdog for the African governments, and as a catalyst or executing agency for development programmes</w:t>
      </w:r>
      <w:r w:rsidR="007F5272" w:rsidRPr="00D9152B">
        <w:rPr>
          <w:rFonts w:ascii="Calibri" w:eastAsia="Calibri" w:hAnsi="Calibri" w:cs="Calibri"/>
          <w:sz w:val="22"/>
          <w:szCs w:val="22"/>
          <w:lang w:val="en-US"/>
        </w:rPr>
        <w:t>’</w:t>
      </w:r>
      <w:r w:rsidRPr="00D9152B">
        <w:rPr>
          <w:rFonts w:ascii="Calibri" w:eastAsia="Calibri" w:hAnsi="Calibri" w:cs="Calibri"/>
          <w:sz w:val="22"/>
          <w:szCs w:val="22"/>
          <w:lang w:val="en-US"/>
        </w:rPr>
        <w:t>.</w:t>
      </w:r>
      <w:r w:rsidRPr="00D9152B">
        <w:rPr>
          <w:rFonts w:ascii="Calibri" w:eastAsia="Calibri" w:hAnsi="Calibri" w:cs="Calibri"/>
          <w:sz w:val="22"/>
          <w:szCs w:val="22"/>
          <w:vertAlign w:val="superscript"/>
          <w:lang w:val="en-US"/>
        </w:rPr>
        <w:footnoteReference w:id="673"/>
      </w:r>
    </w:p>
    <w:p w14:paraId="6AB1FE38" w14:textId="44B3C934" w:rsidR="00AC7848" w:rsidRPr="00D9152B" w:rsidRDefault="009A5A65" w:rsidP="00FE377C">
      <w:pPr>
        <w:pStyle w:val="Heading3"/>
        <w:rPr>
          <w:rFonts w:ascii="Calibri" w:eastAsia="Times New Roman" w:hAnsi="Calibri" w:cs="Calibri"/>
          <w:b/>
          <w:i/>
          <w:color w:val="000000" w:themeColor="text1"/>
          <w:sz w:val="22"/>
          <w:szCs w:val="22"/>
        </w:rPr>
      </w:pPr>
      <w:bookmarkStart w:id="115" w:name="_Toc3314358"/>
      <w:bookmarkStart w:id="116" w:name="_Toc41505677"/>
      <w:r w:rsidRPr="00D9152B">
        <w:rPr>
          <w:rFonts w:ascii="Calibri" w:eastAsia="Times New Roman" w:hAnsi="Calibri" w:cs="Calibri"/>
          <w:b/>
          <w:i/>
          <w:color w:val="000000" w:themeColor="text1"/>
          <w:sz w:val="22"/>
          <w:szCs w:val="22"/>
        </w:rPr>
        <w:t>6.2.C</w:t>
      </w:r>
      <w:r w:rsidR="006460C0" w:rsidRPr="00D9152B">
        <w:rPr>
          <w:rFonts w:ascii="Calibri" w:eastAsia="Times New Roman" w:hAnsi="Calibri" w:cs="Calibri"/>
          <w:b/>
          <w:i/>
          <w:color w:val="000000" w:themeColor="text1"/>
          <w:sz w:val="22"/>
          <w:szCs w:val="22"/>
        </w:rPr>
        <w:t xml:space="preserve">. </w:t>
      </w:r>
      <w:r w:rsidR="00AC7848" w:rsidRPr="00D9152B">
        <w:rPr>
          <w:rFonts w:ascii="Calibri" w:eastAsia="Times New Roman" w:hAnsi="Calibri" w:cs="Calibri"/>
          <w:b/>
          <w:i/>
          <w:color w:val="000000" w:themeColor="text1"/>
          <w:sz w:val="22"/>
          <w:szCs w:val="22"/>
        </w:rPr>
        <w:t>The Com</w:t>
      </w:r>
      <w:r w:rsidR="006460C0" w:rsidRPr="00D9152B">
        <w:rPr>
          <w:rFonts w:ascii="Calibri" w:eastAsia="Times New Roman" w:hAnsi="Calibri" w:cs="Calibri"/>
          <w:b/>
          <w:i/>
          <w:color w:val="000000" w:themeColor="text1"/>
          <w:sz w:val="22"/>
          <w:szCs w:val="22"/>
        </w:rPr>
        <w:t>mittee of Sponsoring Agencies as a</w:t>
      </w:r>
      <w:r w:rsidR="00AC7848" w:rsidRPr="00D9152B">
        <w:rPr>
          <w:rFonts w:ascii="Calibri" w:eastAsia="Times New Roman" w:hAnsi="Calibri" w:cs="Calibri"/>
          <w:b/>
          <w:i/>
          <w:color w:val="000000" w:themeColor="text1"/>
          <w:sz w:val="22"/>
          <w:szCs w:val="22"/>
        </w:rPr>
        <w:t xml:space="preserve"> tool</w:t>
      </w:r>
      <w:r w:rsidR="006460C0" w:rsidRPr="00D9152B">
        <w:rPr>
          <w:rFonts w:ascii="Calibri" w:eastAsia="Times New Roman" w:hAnsi="Calibri" w:cs="Calibri"/>
          <w:b/>
          <w:i/>
          <w:color w:val="000000" w:themeColor="text1"/>
          <w:sz w:val="22"/>
          <w:szCs w:val="22"/>
        </w:rPr>
        <w:t xml:space="preserve"> of</w:t>
      </w:r>
      <w:r w:rsidR="00AC7848" w:rsidRPr="00D9152B">
        <w:rPr>
          <w:rFonts w:ascii="Calibri" w:eastAsia="Times New Roman" w:hAnsi="Calibri" w:cs="Calibri"/>
          <w:b/>
          <w:i/>
          <w:color w:val="000000" w:themeColor="text1"/>
          <w:sz w:val="22"/>
          <w:szCs w:val="22"/>
        </w:rPr>
        <w:t xml:space="preserve"> inter-agency of collaborative diplomacy</w:t>
      </w:r>
      <w:bookmarkEnd w:id="115"/>
      <w:bookmarkEnd w:id="116"/>
    </w:p>
    <w:p w14:paraId="4972A47A" w14:textId="696FC8AB" w:rsidR="00AC7848" w:rsidRPr="00D9152B" w:rsidRDefault="00AC7848" w:rsidP="006B543F">
      <w:pPr>
        <w:spacing w:before="100" w:beforeAutospacing="1" w:after="100" w:afterAutospacing="1" w:line="360" w:lineRule="auto"/>
        <w:ind w:firstLine="720"/>
        <w:rPr>
          <w:rFonts w:ascii="Calibri" w:eastAsia="Calibri" w:hAnsi="Calibri" w:cs="Calibri"/>
          <w:sz w:val="22"/>
          <w:szCs w:val="22"/>
        </w:rPr>
      </w:pPr>
      <w:r w:rsidRPr="00D9152B">
        <w:rPr>
          <w:rFonts w:ascii="Calibri" w:eastAsia="Calibri" w:hAnsi="Calibri" w:cs="Calibri"/>
          <w:sz w:val="22"/>
          <w:szCs w:val="22"/>
        </w:rPr>
        <w:t>How did the programme stay afloat amidst these types of rivalries over OCP ideologies and effective mandates? The most important mechanism of OCP ‘collaborative diplomacy’ was the</w:t>
      </w:r>
      <w:r w:rsidR="00A31390" w:rsidRPr="00D9152B">
        <w:rPr>
          <w:rFonts w:ascii="Calibri" w:eastAsia="Calibri" w:hAnsi="Calibri" w:cs="Calibri"/>
          <w:sz w:val="22"/>
          <w:szCs w:val="22"/>
        </w:rPr>
        <w:t xml:space="preserve"> </w:t>
      </w:r>
      <w:r w:rsidR="005215B7">
        <w:rPr>
          <w:rFonts w:ascii="Calibri" w:eastAsia="Calibri" w:hAnsi="Calibri" w:cs="Calibri"/>
          <w:sz w:val="22"/>
          <w:szCs w:val="22"/>
        </w:rPr>
        <w:t>Committee of Sponsoring Agencies</w:t>
      </w:r>
      <w:r w:rsidR="0092098A" w:rsidRPr="00D9152B">
        <w:rPr>
          <w:rFonts w:ascii="Calibri" w:eastAsia="Calibri" w:hAnsi="Calibri" w:cs="Calibri"/>
          <w:sz w:val="22"/>
          <w:szCs w:val="22"/>
        </w:rPr>
        <w:t xml:space="preserve"> (initially called the Steering Committee)</w:t>
      </w:r>
      <w:r w:rsidR="002B4CD2" w:rsidRPr="00D9152B">
        <w:rPr>
          <w:rFonts w:ascii="Calibri" w:eastAsia="Calibri" w:hAnsi="Calibri" w:cs="Calibri"/>
          <w:sz w:val="22"/>
          <w:szCs w:val="22"/>
        </w:rPr>
        <w:t xml:space="preserve">. </w:t>
      </w:r>
      <w:r w:rsidRPr="00D9152B">
        <w:rPr>
          <w:rFonts w:ascii="Calibri" w:eastAsia="Calibri" w:hAnsi="Calibri" w:cs="Calibri"/>
          <w:sz w:val="22"/>
          <w:szCs w:val="22"/>
        </w:rPr>
        <w:t>The</w:t>
      </w:r>
      <w:r w:rsidR="002B4CD2" w:rsidRPr="00D9152B">
        <w:rPr>
          <w:rFonts w:ascii="Calibri" w:eastAsia="Calibri" w:hAnsi="Calibri" w:cs="Calibri"/>
          <w:sz w:val="22"/>
          <w:szCs w:val="22"/>
        </w:rPr>
        <w:t xml:space="preserve"> </w:t>
      </w:r>
      <w:r w:rsidR="005215B7">
        <w:rPr>
          <w:rFonts w:ascii="Calibri" w:eastAsia="Calibri" w:hAnsi="Calibri" w:cs="Calibri"/>
          <w:sz w:val="22"/>
          <w:szCs w:val="22"/>
        </w:rPr>
        <w:t>Joint Programme Committee</w:t>
      </w:r>
      <w:r w:rsidR="0092098A" w:rsidRPr="00D9152B">
        <w:rPr>
          <w:rFonts w:ascii="Calibri" w:eastAsia="Calibri" w:hAnsi="Calibri" w:cs="Calibri"/>
          <w:sz w:val="22"/>
          <w:szCs w:val="22"/>
        </w:rPr>
        <w:t xml:space="preserve"> (</w:t>
      </w:r>
      <w:r w:rsidR="005215B7">
        <w:rPr>
          <w:rFonts w:ascii="Calibri" w:eastAsia="Calibri" w:hAnsi="Calibri" w:cs="Calibri"/>
          <w:sz w:val="22"/>
          <w:szCs w:val="22"/>
        </w:rPr>
        <w:t xml:space="preserve">JPC, </w:t>
      </w:r>
      <w:r w:rsidR="0092098A" w:rsidRPr="00D9152B">
        <w:rPr>
          <w:rFonts w:ascii="Calibri" w:eastAsia="Calibri" w:hAnsi="Calibri" w:cs="Calibri"/>
          <w:sz w:val="22"/>
          <w:szCs w:val="22"/>
        </w:rPr>
        <w:t xml:space="preserve">initially called the Joint </w:t>
      </w:r>
      <w:r w:rsidR="005215B7">
        <w:rPr>
          <w:rFonts w:ascii="Calibri" w:eastAsia="Calibri" w:hAnsi="Calibri" w:cs="Calibri"/>
          <w:sz w:val="22"/>
          <w:szCs w:val="22"/>
        </w:rPr>
        <w:t>Coordinating</w:t>
      </w:r>
      <w:r w:rsidR="0092098A" w:rsidRPr="00D9152B">
        <w:rPr>
          <w:rFonts w:ascii="Calibri" w:eastAsia="Calibri" w:hAnsi="Calibri" w:cs="Calibri"/>
          <w:sz w:val="22"/>
          <w:szCs w:val="22"/>
        </w:rPr>
        <w:t xml:space="preserve"> Committee)</w:t>
      </w:r>
      <w:r w:rsidR="002B4CD2" w:rsidRPr="00D9152B">
        <w:rPr>
          <w:rFonts w:ascii="Calibri" w:eastAsia="Calibri" w:hAnsi="Calibri" w:cs="Calibri"/>
          <w:sz w:val="22"/>
          <w:szCs w:val="22"/>
        </w:rPr>
        <w:t xml:space="preserve">, </w:t>
      </w:r>
      <w:r w:rsidRPr="00D9152B">
        <w:rPr>
          <w:rFonts w:ascii="Calibri" w:eastAsia="Calibri" w:hAnsi="Calibri" w:cs="Calibri"/>
          <w:sz w:val="22"/>
          <w:szCs w:val="22"/>
        </w:rPr>
        <w:t>which included donors, sponsoring agencies, and beneficiary countries, was ostensibly the primary decision-making platform of the OCP</w:t>
      </w:r>
      <w:r w:rsidR="00FE377C" w:rsidRPr="00D9152B">
        <w:rPr>
          <w:rFonts w:ascii="Calibri" w:eastAsia="Calibri" w:hAnsi="Calibri" w:cs="Calibri"/>
          <w:sz w:val="22"/>
          <w:szCs w:val="22"/>
        </w:rPr>
        <w:t xml:space="preserve"> (see </w:t>
      </w:r>
      <w:r w:rsidR="005215B7">
        <w:rPr>
          <w:rFonts w:ascii="Calibri" w:eastAsia="Calibri" w:hAnsi="Calibri" w:cs="Calibri"/>
          <w:sz w:val="22"/>
          <w:szCs w:val="22"/>
        </w:rPr>
        <w:t>Table 3.2</w:t>
      </w:r>
      <w:r w:rsidR="00FE377C" w:rsidRPr="00D9152B">
        <w:rPr>
          <w:rFonts w:ascii="Calibri" w:eastAsia="Calibri" w:hAnsi="Calibri" w:cs="Calibri"/>
          <w:sz w:val="22"/>
          <w:szCs w:val="22"/>
        </w:rPr>
        <w:t>)</w:t>
      </w:r>
      <w:r w:rsidRPr="00D9152B">
        <w:rPr>
          <w:rFonts w:ascii="Calibri" w:eastAsia="Calibri" w:hAnsi="Calibri" w:cs="Calibri"/>
          <w:sz w:val="22"/>
          <w:szCs w:val="22"/>
        </w:rPr>
        <w:t>. However, a combination of donor conferences (</w:t>
      </w:r>
      <w:r w:rsidR="00FE377C" w:rsidRPr="00D9152B">
        <w:rPr>
          <w:rFonts w:ascii="Calibri" w:eastAsia="Calibri" w:hAnsi="Calibri" w:cs="Calibri"/>
          <w:sz w:val="22"/>
          <w:szCs w:val="22"/>
        </w:rPr>
        <w:t xml:space="preserve">see </w:t>
      </w:r>
      <w:r w:rsidR="005215B7">
        <w:rPr>
          <w:rFonts w:ascii="Calibri" w:eastAsia="Calibri" w:hAnsi="Calibri" w:cs="Calibri"/>
          <w:sz w:val="22"/>
          <w:szCs w:val="22"/>
        </w:rPr>
        <w:t>section 5.8</w:t>
      </w:r>
      <w:r w:rsidR="00FE377C" w:rsidRPr="00D9152B">
        <w:rPr>
          <w:rFonts w:ascii="Calibri" w:eastAsia="Calibri" w:hAnsi="Calibri" w:cs="Calibri"/>
          <w:sz w:val="22"/>
          <w:szCs w:val="22"/>
        </w:rPr>
        <w:t xml:space="preserve">) </w:t>
      </w:r>
      <w:r w:rsidRPr="00D9152B">
        <w:rPr>
          <w:rFonts w:ascii="Calibri" w:eastAsia="Calibri" w:hAnsi="Calibri" w:cs="Calibri"/>
          <w:sz w:val="22"/>
          <w:szCs w:val="22"/>
        </w:rPr>
        <w:t xml:space="preserve">and strategic </w:t>
      </w:r>
      <w:r w:rsidR="00FE377C" w:rsidRPr="00D9152B">
        <w:rPr>
          <w:rFonts w:ascii="Calibri" w:eastAsia="Calibri" w:hAnsi="Calibri" w:cs="Calibri"/>
          <w:sz w:val="22"/>
          <w:szCs w:val="22"/>
        </w:rPr>
        <w:t>Committee of Sponsoring Agencies</w:t>
      </w:r>
      <w:r w:rsidRPr="00D9152B">
        <w:rPr>
          <w:rFonts w:ascii="Calibri" w:eastAsia="Calibri" w:hAnsi="Calibri" w:cs="Calibri"/>
          <w:sz w:val="22"/>
          <w:szCs w:val="22"/>
        </w:rPr>
        <w:t xml:space="preserve"> meetings ensured that major decisions were prepared before the </w:t>
      </w:r>
      <w:r w:rsidR="00FE377C" w:rsidRPr="00D9152B">
        <w:rPr>
          <w:rFonts w:ascii="Calibri" w:eastAsia="Calibri" w:hAnsi="Calibri" w:cs="Calibri"/>
          <w:sz w:val="22"/>
          <w:szCs w:val="22"/>
        </w:rPr>
        <w:t>Joint Programme Committee</w:t>
      </w:r>
      <w:r w:rsidRPr="00D9152B">
        <w:rPr>
          <w:rFonts w:ascii="Calibri" w:eastAsia="Calibri" w:hAnsi="Calibri" w:cs="Calibri"/>
          <w:sz w:val="22"/>
          <w:szCs w:val="22"/>
        </w:rPr>
        <w:t xml:space="preserve"> convened. By ha</w:t>
      </w:r>
      <w:r w:rsidR="00A31390" w:rsidRPr="00D9152B">
        <w:rPr>
          <w:rFonts w:ascii="Calibri" w:eastAsia="Calibri" w:hAnsi="Calibri" w:cs="Calibri"/>
          <w:sz w:val="22"/>
          <w:szCs w:val="22"/>
        </w:rPr>
        <w:t xml:space="preserve">ving a confidential meeting three to four </w:t>
      </w:r>
      <w:r w:rsidRPr="00D9152B">
        <w:rPr>
          <w:rFonts w:ascii="Calibri" w:eastAsia="Calibri" w:hAnsi="Calibri" w:cs="Calibri"/>
          <w:sz w:val="22"/>
          <w:szCs w:val="22"/>
        </w:rPr>
        <w:t xml:space="preserve">times a year, the sponsoring agencies were able to share their dissatisfactions behind </w:t>
      </w:r>
      <w:r w:rsidRPr="00D9152B">
        <w:rPr>
          <w:rFonts w:ascii="Calibri" w:eastAsia="Calibri" w:hAnsi="Calibri" w:cs="Calibri"/>
          <w:sz w:val="22"/>
          <w:szCs w:val="22"/>
        </w:rPr>
        <w:lastRenderedPageBreak/>
        <w:t xml:space="preserve">closed doors. Some </w:t>
      </w:r>
      <w:r w:rsidR="00FE377C" w:rsidRPr="00D9152B">
        <w:rPr>
          <w:rFonts w:ascii="Calibri" w:eastAsia="Calibri" w:hAnsi="Calibri" w:cs="Calibri"/>
          <w:sz w:val="22"/>
          <w:szCs w:val="22"/>
        </w:rPr>
        <w:t>Committee of Sponsoring Agencies</w:t>
      </w:r>
      <w:r w:rsidRPr="00D9152B">
        <w:rPr>
          <w:rFonts w:ascii="Calibri" w:eastAsia="Calibri" w:hAnsi="Calibri" w:cs="Calibri"/>
          <w:sz w:val="22"/>
          <w:szCs w:val="22"/>
        </w:rPr>
        <w:t xml:space="preserve"> meeting minutes are still kept confidentially by the Bank, e</w:t>
      </w:r>
      <w:r w:rsidR="00A31390" w:rsidRPr="00D9152B">
        <w:rPr>
          <w:rFonts w:ascii="Calibri" w:eastAsia="Calibri" w:hAnsi="Calibri" w:cs="Calibri"/>
          <w:sz w:val="22"/>
          <w:szCs w:val="22"/>
        </w:rPr>
        <w:t xml:space="preserve">ven thirty years later (Figure </w:t>
      </w:r>
      <w:r w:rsidR="005215B7">
        <w:rPr>
          <w:rFonts w:ascii="Calibri" w:eastAsia="Calibri" w:hAnsi="Calibri" w:cs="Calibri"/>
          <w:sz w:val="22"/>
          <w:szCs w:val="22"/>
        </w:rPr>
        <w:t>6.</w:t>
      </w:r>
      <w:r w:rsidR="00A31390" w:rsidRPr="00D9152B">
        <w:rPr>
          <w:rFonts w:ascii="Calibri" w:eastAsia="Calibri" w:hAnsi="Calibri" w:cs="Calibri"/>
          <w:sz w:val="22"/>
          <w:szCs w:val="22"/>
        </w:rPr>
        <w:t>3</w:t>
      </w:r>
      <w:r w:rsidRPr="00D9152B">
        <w:rPr>
          <w:rFonts w:ascii="Calibri" w:eastAsia="Calibri" w:hAnsi="Calibri" w:cs="Calibri"/>
          <w:sz w:val="22"/>
          <w:szCs w:val="22"/>
        </w:rPr>
        <w:t xml:space="preserve">). </w:t>
      </w:r>
    </w:p>
    <w:p w14:paraId="5BDD389A" w14:textId="2500C486" w:rsidR="00A31390" w:rsidRPr="00D9152B" w:rsidRDefault="00AC7848" w:rsidP="00FE377C">
      <w:pPr>
        <w:jc w:val="center"/>
        <w:rPr>
          <w:rFonts w:ascii="Calibri" w:eastAsia="Calibri" w:hAnsi="Calibri" w:cs="Calibri"/>
          <w:color w:val="7F7F7F" w:themeColor="text1" w:themeTint="80"/>
        </w:rPr>
      </w:pPr>
      <w:r w:rsidRPr="00D9152B">
        <w:rPr>
          <w:rFonts w:ascii="Calibri" w:eastAsia="Calibri" w:hAnsi="Calibri" w:cs="Calibri"/>
          <w:noProof/>
          <w:color w:val="7F7F7F" w:themeColor="text1" w:themeTint="80"/>
          <w:lang w:eastAsia="en-GB"/>
        </w:rPr>
        <w:drawing>
          <wp:inline distT="0" distB="0" distL="0" distR="0" wp14:anchorId="1472AF69" wp14:editId="0AC9B64A">
            <wp:extent cx="5746933" cy="3908120"/>
            <wp:effectExtent l="0" t="0" r="0" b="381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89">
                      <a:extLst>
                        <a:ext uri="{28A0092B-C50C-407E-A947-70E740481C1C}">
                          <a14:useLocalDpi xmlns:a14="http://schemas.microsoft.com/office/drawing/2010/main" val="0"/>
                        </a:ext>
                      </a:extLst>
                    </a:blip>
                    <a:srcRect t="5760" b="2791"/>
                    <a:stretch/>
                  </pic:blipFill>
                  <pic:spPr bwMode="auto">
                    <a:xfrm>
                      <a:off x="0" y="0"/>
                      <a:ext cx="5858863" cy="3984236"/>
                    </a:xfrm>
                    <a:prstGeom prst="rect">
                      <a:avLst/>
                    </a:prstGeom>
                    <a:noFill/>
                    <a:ln>
                      <a:noFill/>
                    </a:ln>
                    <a:extLst>
                      <a:ext uri="{53640926-AAD7-44D8-BBD7-CCE9431645EC}">
                        <a14:shadowObscured xmlns:a14="http://schemas.microsoft.com/office/drawing/2010/main"/>
                      </a:ext>
                    </a:extLst>
                  </pic:spPr>
                </pic:pic>
              </a:graphicData>
            </a:graphic>
          </wp:inline>
        </w:drawing>
      </w:r>
    </w:p>
    <w:p w14:paraId="70E68FE8" w14:textId="6FA5180B" w:rsidR="00AC7848" w:rsidRPr="00D9152B" w:rsidRDefault="00A31390" w:rsidP="00A31390">
      <w:pPr>
        <w:jc w:val="both"/>
        <w:rPr>
          <w:rFonts w:ascii="Calibri" w:eastAsia="Calibri" w:hAnsi="Calibri" w:cs="Calibri"/>
          <w:color w:val="7F7F7F" w:themeColor="text1" w:themeTint="80"/>
          <w:sz w:val="22"/>
          <w:szCs w:val="22"/>
        </w:rPr>
      </w:pPr>
      <w:r w:rsidRPr="00D9152B">
        <w:rPr>
          <w:rFonts w:ascii="Calibri" w:eastAsia="Calibri" w:hAnsi="Calibri" w:cs="Calibri"/>
          <w:color w:val="7F7F7F" w:themeColor="text1" w:themeTint="80"/>
          <w:sz w:val="22"/>
          <w:szCs w:val="22"/>
        </w:rPr>
        <w:t xml:space="preserve">Figure </w:t>
      </w:r>
      <w:r w:rsidR="005215B7">
        <w:rPr>
          <w:rFonts w:ascii="Calibri" w:eastAsia="Calibri" w:hAnsi="Calibri" w:cs="Calibri"/>
          <w:color w:val="7F7F7F" w:themeColor="text1" w:themeTint="80"/>
          <w:sz w:val="22"/>
          <w:szCs w:val="22"/>
        </w:rPr>
        <w:t>6.</w:t>
      </w:r>
      <w:r w:rsidRPr="00D9152B">
        <w:rPr>
          <w:rFonts w:ascii="Calibri" w:eastAsia="Calibri" w:hAnsi="Calibri" w:cs="Calibri"/>
          <w:color w:val="7F7F7F" w:themeColor="text1" w:themeTint="80"/>
          <w:sz w:val="22"/>
          <w:szCs w:val="22"/>
        </w:rPr>
        <w:t>3</w:t>
      </w:r>
      <w:r w:rsidR="00AC7848" w:rsidRPr="00D9152B">
        <w:rPr>
          <w:rFonts w:ascii="Calibri" w:eastAsia="Calibri" w:hAnsi="Calibri" w:cs="Calibri"/>
          <w:color w:val="7F7F7F" w:themeColor="text1" w:themeTint="80"/>
          <w:sz w:val="22"/>
          <w:szCs w:val="22"/>
        </w:rPr>
        <w:t xml:space="preserve">. Many </w:t>
      </w:r>
      <w:r w:rsidR="00FE377C" w:rsidRPr="00D9152B">
        <w:rPr>
          <w:rFonts w:ascii="Calibri" w:eastAsia="Calibri" w:hAnsi="Calibri" w:cs="Calibri"/>
          <w:color w:val="7F7F7F" w:themeColor="text1" w:themeTint="80"/>
          <w:sz w:val="22"/>
          <w:szCs w:val="22"/>
        </w:rPr>
        <w:t>Committee of Sponsoring Agencies</w:t>
      </w:r>
      <w:r w:rsidR="00AC7848" w:rsidRPr="00D9152B">
        <w:rPr>
          <w:rFonts w:ascii="Calibri" w:eastAsia="Calibri" w:hAnsi="Calibri" w:cs="Calibri"/>
          <w:color w:val="7F7F7F" w:themeColor="text1" w:themeTint="80"/>
          <w:sz w:val="22"/>
          <w:szCs w:val="22"/>
        </w:rPr>
        <w:t xml:space="preserve"> documents remain restricted at the Bank, through its Access to Information policy</w:t>
      </w:r>
      <w:r w:rsidRPr="00D9152B">
        <w:rPr>
          <w:rFonts w:ascii="Calibri" w:eastAsia="Calibri" w:hAnsi="Calibri" w:cs="Calibri"/>
          <w:color w:val="7F7F7F" w:themeColor="text1" w:themeTint="80"/>
          <w:sz w:val="22"/>
          <w:szCs w:val="22"/>
        </w:rPr>
        <w:t>.</w:t>
      </w:r>
      <w:r w:rsidR="00AC7848" w:rsidRPr="00D9152B">
        <w:rPr>
          <w:rFonts w:ascii="Calibri" w:eastAsia="Calibri" w:hAnsi="Calibri" w:cs="Calibri"/>
          <w:color w:val="7F7F7F" w:themeColor="text1" w:themeTint="80"/>
          <w:sz w:val="22"/>
          <w:szCs w:val="22"/>
          <w:vertAlign w:val="superscript"/>
        </w:rPr>
        <w:footnoteReference w:id="674"/>
      </w:r>
    </w:p>
    <w:p w14:paraId="208F7D58" w14:textId="337B0FFA" w:rsidR="00AC7848" w:rsidRPr="00D9152B" w:rsidRDefault="00AC7848" w:rsidP="006B543F">
      <w:pPr>
        <w:spacing w:before="100" w:beforeAutospacing="1" w:after="100" w:afterAutospacing="1" w:line="360" w:lineRule="auto"/>
        <w:ind w:firstLine="720"/>
        <w:rPr>
          <w:rFonts w:ascii="Calibri" w:eastAsia="Calibri" w:hAnsi="Calibri" w:cs="Calibri"/>
          <w:sz w:val="22"/>
          <w:szCs w:val="22"/>
        </w:rPr>
      </w:pPr>
      <w:r w:rsidRPr="00D9152B">
        <w:rPr>
          <w:rFonts w:ascii="Calibri" w:eastAsia="Calibri" w:hAnsi="Calibri" w:cs="Calibri"/>
          <w:sz w:val="22"/>
          <w:szCs w:val="22"/>
        </w:rPr>
        <w:t xml:space="preserve">As noted </w:t>
      </w:r>
      <w:r w:rsidR="0092098A" w:rsidRPr="00D9152B">
        <w:rPr>
          <w:rFonts w:ascii="Calibri" w:eastAsia="Calibri" w:hAnsi="Calibri" w:cs="Calibri"/>
          <w:sz w:val="22"/>
          <w:szCs w:val="22"/>
        </w:rPr>
        <w:t>by the authors of the 1990 OCP external r</w:t>
      </w:r>
      <w:r w:rsidRPr="00D9152B">
        <w:rPr>
          <w:rFonts w:ascii="Calibri" w:eastAsia="Calibri" w:hAnsi="Calibri" w:cs="Calibri"/>
          <w:sz w:val="22"/>
          <w:szCs w:val="22"/>
        </w:rPr>
        <w:t xml:space="preserve">eview, </w:t>
      </w:r>
      <w:r w:rsidR="00EC5872" w:rsidRPr="00D9152B">
        <w:rPr>
          <w:rFonts w:ascii="Calibri" w:eastAsia="Calibri" w:hAnsi="Calibri" w:cs="Calibri"/>
          <w:sz w:val="22"/>
          <w:szCs w:val="22"/>
        </w:rPr>
        <w:t>the Committee of Sponsoring Agencies’</w:t>
      </w:r>
      <w:r w:rsidRPr="00D9152B">
        <w:rPr>
          <w:rFonts w:ascii="Calibri" w:eastAsia="Calibri" w:hAnsi="Calibri" w:cs="Calibri"/>
          <w:sz w:val="22"/>
          <w:szCs w:val="22"/>
        </w:rPr>
        <w:t xml:space="preserve"> meetings were a ‘useful, persistent referee of the OCP since the beginning’, which restricted the WHO’s authority and increased the ability of other sponsoring agencies to guide the programme.</w:t>
      </w:r>
      <w:r w:rsidRPr="00D9152B">
        <w:rPr>
          <w:rFonts w:ascii="Calibri" w:eastAsia="Calibri" w:hAnsi="Calibri" w:cs="Calibri"/>
          <w:sz w:val="22"/>
          <w:szCs w:val="22"/>
          <w:vertAlign w:val="superscript"/>
          <w:lang w:val="en-US"/>
        </w:rPr>
        <w:footnoteReference w:id="675"/>
      </w:r>
      <w:r w:rsidRPr="00D9152B">
        <w:rPr>
          <w:rFonts w:ascii="Calibri" w:eastAsia="Calibri" w:hAnsi="Calibri" w:cs="Calibri"/>
          <w:sz w:val="22"/>
          <w:szCs w:val="22"/>
          <w:lang w:val="en-US"/>
        </w:rPr>
        <w:t xml:space="preserve"> ‘Peer pressure’ generated by sponsoring agencies then trickled</w:t>
      </w:r>
      <w:r w:rsidR="00A31390" w:rsidRPr="00D9152B">
        <w:rPr>
          <w:rFonts w:ascii="Calibri" w:eastAsia="Calibri" w:hAnsi="Calibri" w:cs="Calibri"/>
          <w:sz w:val="22"/>
          <w:szCs w:val="22"/>
          <w:lang w:val="en-US"/>
        </w:rPr>
        <w:t xml:space="preserve"> down through the programme. In Benton’s words, </w:t>
      </w:r>
      <w:r w:rsidRPr="00D9152B">
        <w:rPr>
          <w:rFonts w:ascii="Calibri" w:eastAsia="Calibri" w:hAnsi="Calibri" w:cs="Calibri"/>
          <w:sz w:val="22"/>
          <w:szCs w:val="22"/>
          <w:lang w:val="en-US"/>
        </w:rPr>
        <w:t xml:space="preserve">this peer pressure ‘started at the – at the </w:t>
      </w:r>
      <w:r w:rsidR="00A31390" w:rsidRPr="00D9152B">
        <w:rPr>
          <w:rFonts w:ascii="Calibri" w:eastAsia="Calibri" w:hAnsi="Calibri" w:cs="Calibri"/>
          <w:sz w:val="22"/>
          <w:szCs w:val="22"/>
          <w:lang w:val="en-US"/>
        </w:rPr>
        <w:t>ministerial</w:t>
      </w:r>
      <w:r w:rsidRPr="00D9152B">
        <w:rPr>
          <w:rFonts w:ascii="Calibri" w:eastAsia="Calibri" w:hAnsi="Calibri" w:cs="Calibri"/>
          <w:sz w:val="22"/>
          <w:szCs w:val="22"/>
          <w:lang w:val="en-US"/>
        </w:rPr>
        <w:t xml:space="preserve"> level, just filtered down to the workers and the staff, the operational level, to deliver. And so you got collaboration and regional integration’.</w:t>
      </w:r>
      <w:r w:rsidRPr="00D9152B">
        <w:rPr>
          <w:rFonts w:ascii="Calibri" w:eastAsia="Calibri" w:hAnsi="Calibri" w:cs="Calibri"/>
          <w:sz w:val="22"/>
          <w:szCs w:val="22"/>
          <w:vertAlign w:val="superscript"/>
          <w:lang w:val="en-US"/>
        </w:rPr>
        <w:footnoteReference w:id="676"/>
      </w:r>
    </w:p>
    <w:p w14:paraId="6EEE1140" w14:textId="39860D14" w:rsidR="00AC7848" w:rsidRPr="00D9152B" w:rsidRDefault="00AC7848" w:rsidP="006B543F">
      <w:pPr>
        <w:spacing w:before="100" w:beforeAutospacing="1" w:after="100" w:afterAutospacing="1" w:line="360" w:lineRule="auto"/>
        <w:ind w:firstLine="720"/>
        <w:rPr>
          <w:rFonts w:ascii="Calibri" w:eastAsia="Calibri" w:hAnsi="Calibri" w:cs="Calibri"/>
          <w:noProof/>
          <w:sz w:val="22"/>
          <w:szCs w:val="22"/>
          <w:lang w:eastAsia="en-GB"/>
        </w:rPr>
      </w:pPr>
      <w:r w:rsidRPr="00D9152B">
        <w:rPr>
          <w:rFonts w:ascii="Calibri" w:eastAsia="Calibri" w:hAnsi="Calibri" w:cs="Calibri"/>
          <w:sz w:val="22"/>
          <w:szCs w:val="22"/>
          <w:lang w:val="en-US"/>
        </w:rPr>
        <w:lastRenderedPageBreak/>
        <w:t xml:space="preserve">Within the </w:t>
      </w:r>
      <w:r w:rsidR="00EC5872" w:rsidRPr="00D9152B">
        <w:rPr>
          <w:rFonts w:ascii="Calibri" w:eastAsia="Calibri" w:hAnsi="Calibri" w:cs="Calibri"/>
          <w:sz w:val="22"/>
          <w:szCs w:val="22"/>
          <w:lang w:val="en-US"/>
        </w:rPr>
        <w:t>Committee of Sponsoring Agencies</w:t>
      </w:r>
      <w:r w:rsidRPr="00D9152B">
        <w:rPr>
          <w:rFonts w:ascii="Calibri" w:eastAsia="Calibri" w:hAnsi="Calibri" w:cs="Calibri"/>
          <w:sz w:val="22"/>
          <w:szCs w:val="22"/>
          <w:lang w:val="en-US"/>
        </w:rPr>
        <w:t xml:space="preserve">, power dynamics between agencies were contested and shifted over time. </w:t>
      </w:r>
      <w:r w:rsidRPr="00D9152B">
        <w:rPr>
          <w:rFonts w:ascii="Calibri" w:eastAsia="Calibri" w:hAnsi="Calibri" w:cs="Calibri"/>
          <w:sz w:val="22"/>
          <w:szCs w:val="22"/>
        </w:rPr>
        <w:t>The FAO was especially resentful of what it perceived as the WHO’s over-representation on the Steering Committee, and the implication that this had for programme priorities. In 1979-1980 the Steering Committee was composed of Bazin, the OCP Director (and a therefore a WHO staff member), and a senior staff member from the FAO, Bank, and UNDP. The FAO felt that this ‘dual role’ of Bazin as a representative of both the OCP secretariat and the WHO</w:t>
      </w:r>
      <w:r w:rsidRPr="00D9152B">
        <w:rPr>
          <w:rFonts w:ascii="Calibri" w:eastAsia="Calibri" w:hAnsi="Calibri" w:cs="Calibri"/>
          <w:sz w:val="22"/>
          <w:szCs w:val="22"/>
          <w:vertAlign w:val="superscript"/>
        </w:rPr>
        <w:footnoteReference w:id="677"/>
      </w:r>
      <w:r w:rsidRPr="00D9152B">
        <w:rPr>
          <w:rFonts w:ascii="Calibri" w:eastAsia="Calibri" w:hAnsi="Calibri" w:cs="Calibri"/>
          <w:sz w:val="22"/>
          <w:szCs w:val="22"/>
        </w:rPr>
        <w:t xml:space="preserve"> </w:t>
      </w:r>
      <w:r w:rsidR="0092098A" w:rsidRPr="00D9152B">
        <w:rPr>
          <w:rFonts w:ascii="Calibri" w:eastAsia="Calibri" w:hAnsi="Calibri" w:cs="Calibri"/>
          <w:sz w:val="22"/>
          <w:szCs w:val="22"/>
        </w:rPr>
        <w:t>‘</w:t>
      </w:r>
      <w:r w:rsidRPr="00D9152B">
        <w:rPr>
          <w:rFonts w:ascii="Calibri" w:eastAsia="Calibri" w:hAnsi="Calibri" w:cs="Calibri"/>
          <w:sz w:val="22"/>
          <w:szCs w:val="22"/>
        </w:rPr>
        <w:t>clearly impedes the proper functioning of the Steering Committee’. It pressed for parity by way of a separate WHO representative, ideally a senior officer at the policy level based in Geneva or Brazzaville.</w:t>
      </w:r>
      <w:r w:rsidRPr="00D9152B">
        <w:rPr>
          <w:rFonts w:ascii="Calibri" w:eastAsia="Calibri" w:hAnsi="Calibri" w:cs="Calibri"/>
          <w:sz w:val="22"/>
          <w:szCs w:val="22"/>
          <w:vertAlign w:val="superscript"/>
        </w:rPr>
        <w:footnoteReference w:id="678"/>
      </w:r>
      <w:r w:rsidRPr="00D9152B">
        <w:rPr>
          <w:rFonts w:ascii="Calibri" w:eastAsia="Calibri" w:hAnsi="Calibri" w:cs="Calibri"/>
          <w:sz w:val="22"/>
          <w:szCs w:val="22"/>
        </w:rPr>
        <w:t xml:space="preserve"> The FAO viewed this issue as symptomatic of, and contributing to, other subtle WHO programme oversteps. For example, on a draft of the OCP’s annual report in 1979, FAO Deputy Director C. Bonte-Friedheim wrote that, ‘it is interesting to note that an epidemiologist from WHO Regional Office for Africa has spent 10 months training with the OCP – this is a hidden subsidy for WHO’. He was careful to prevent these comments from becoming an accusation, writing that they were ‘not to be included in FAO comments to WHO’.</w:t>
      </w:r>
      <w:r w:rsidRPr="00D9152B">
        <w:rPr>
          <w:rFonts w:ascii="Calibri" w:eastAsia="Calibri" w:hAnsi="Calibri" w:cs="Calibri"/>
          <w:sz w:val="22"/>
          <w:szCs w:val="22"/>
          <w:vertAlign w:val="superscript"/>
        </w:rPr>
        <w:footnoteReference w:id="679"/>
      </w:r>
      <w:r w:rsidRPr="00D9152B">
        <w:rPr>
          <w:rFonts w:ascii="Calibri" w:eastAsia="Calibri" w:hAnsi="Calibri" w:cs="Calibri"/>
          <w:sz w:val="22"/>
          <w:szCs w:val="22"/>
        </w:rPr>
        <w:t xml:space="preserve"> Another FAO staff member similarly wrote that some funds intended for economic development were being channelled to primar</w:t>
      </w:r>
      <w:r w:rsidR="00A31390" w:rsidRPr="00D9152B">
        <w:rPr>
          <w:rFonts w:ascii="Calibri" w:eastAsia="Calibri" w:hAnsi="Calibri" w:cs="Calibri"/>
          <w:sz w:val="22"/>
          <w:szCs w:val="22"/>
        </w:rPr>
        <w:t xml:space="preserve">y health care projects (Figure </w:t>
      </w:r>
      <w:r w:rsidR="005215B7">
        <w:rPr>
          <w:rFonts w:ascii="Calibri" w:eastAsia="Calibri" w:hAnsi="Calibri" w:cs="Calibri"/>
          <w:sz w:val="22"/>
          <w:szCs w:val="22"/>
        </w:rPr>
        <w:t>6.</w:t>
      </w:r>
      <w:r w:rsidR="00A31390" w:rsidRPr="00D9152B">
        <w:rPr>
          <w:rFonts w:ascii="Calibri" w:eastAsia="Calibri" w:hAnsi="Calibri" w:cs="Calibri"/>
          <w:sz w:val="22"/>
          <w:szCs w:val="22"/>
        </w:rPr>
        <w:t>4</w:t>
      </w:r>
      <w:r w:rsidRPr="00D9152B">
        <w:rPr>
          <w:rFonts w:ascii="Calibri" w:eastAsia="Calibri" w:hAnsi="Calibri" w:cs="Calibri"/>
          <w:sz w:val="22"/>
          <w:szCs w:val="22"/>
        </w:rPr>
        <w:t>).</w:t>
      </w:r>
      <w:r w:rsidRPr="00D9152B">
        <w:rPr>
          <w:rFonts w:ascii="Calibri" w:eastAsia="Calibri" w:hAnsi="Calibri" w:cs="Calibri"/>
          <w:sz w:val="22"/>
          <w:szCs w:val="22"/>
          <w:vertAlign w:val="superscript"/>
        </w:rPr>
        <w:footnoteReference w:id="680"/>
      </w:r>
      <w:r w:rsidRPr="00D9152B">
        <w:rPr>
          <w:rFonts w:ascii="Calibri" w:eastAsia="Calibri" w:hAnsi="Calibri" w:cs="Calibri"/>
          <w:sz w:val="22"/>
          <w:szCs w:val="22"/>
        </w:rPr>
        <w:t xml:space="preserve"> </w:t>
      </w:r>
    </w:p>
    <w:p w14:paraId="3E18B744" w14:textId="71DF8E5D" w:rsidR="00AC7848" w:rsidRPr="00D9152B" w:rsidRDefault="00AC7848" w:rsidP="00A31390">
      <w:pPr>
        <w:jc w:val="center"/>
        <w:rPr>
          <w:rFonts w:ascii="Calibri" w:eastAsia="Calibri" w:hAnsi="Calibri" w:cs="Calibri"/>
          <w:color w:val="7F7F7F" w:themeColor="text1" w:themeTint="80"/>
        </w:rPr>
      </w:pPr>
      <w:r w:rsidRPr="00D9152B">
        <w:rPr>
          <w:rFonts w:ascii="Calibri" w:eastAsia="Calibri" w:hAnsi="Calibri" w:cs="Calibri"/>
          <w:noProof/>
          <w:color w:val="7F7F7F" w:themeColor="text1" w:themeTint="80"/>
          <w:lang w:eastAsia="en-GB"/>
        </w:rPr>
        <w:lastRenderedPageBreak/>
        <w:drawing>
          <wp:inline distT="0" distB="0" distL="0" distR="0" wp14:anchorId="7B2AF1A6" wp14:editId="457A7A03">
            <wp:extent cx="5762903" cy="2715491"/>
            <wp:effectExtent l="0" t="0" r="3175" b="254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0">
                      <a:extLst>
                        <a:ext uri="{28A0092B-C50C-407E-A947-70E740481C1C}">
                          <a14:useLocalDpi xmlns:a14="http://schemas.microsoft.com/office/drawing/2010/main" val="0"/>
                        </a:ext>
                      </a:extLst>
                    </a:blip>
                    <a:srcRect l="1340" t="3114" r="5559" b="41130"/>
                    <a:stretch/>
                  </pic:blipFill>
                  <pic:spPr bwMode="auto">
                    <a:xfrm>
                      <a:off x="0" y="0"/>
                      <a:ext cx="5842744" cy="2753112"/>
                    </a:xfrm>
                    <a:prstGeom prst="rect">
                      <a:avLst/>
                    </a:prstGeom>
                    <a:noFill/>
                    <a:ln>
                      <a:noFill/>
                    </a:ln>
                    <a:extLst>
                      <a:ext uri="{53640926-AAD7-44D8-BBD7-CCE9431645EC}">
                        <a14:shadowObscured xmlns:a14="http://schemas.microsoft.com/office/drawing/2010/main"/>
                      </a:ext>
                    </a:extLst>
                  </pic:spPr>
                </pic:pic>
              </a:graphicData>
            </a:graphic>
          </wp:inline>
        </w:drawing>
      </w:r>
    </w:p>
    <w:p w14:paraId="2865883D" w14:textId="77777777" w:rsidR="00A31390" w:rsidRPr="00D9152B" w:rsidRDefault="00A31390" w:rsidP="00A31390">
      <w:pPr>
        <w:jc w:val="center"/>
        <w:rPr>
          <w:rFonts w:ascii="Calibri" w:eastAsia="Calibri" w:hAnsi="Calibri" w:cs="Calibri"/>
          <w:color w:val="7F7F7F" w:themeColor="text1" w:themeTint="80"/>
        </w:rPr>
      </w:pPr>
    </w:p>
    <w:p w14:paraId="553B7EA6" w14:textId="1F240482" w:rsidR="00AC7848" w:rsidRPr="00D9152B" w:rsidRDefault="00A31390" w:rsidP="00A31390">
      <w:pPr>
        <w:jc w:val="both"/>
        <w:rPr>
          <w:rFonts w:ascii="Calibri" w:eastAsia="Calibri" w:hAnsi="Calibri" w:cs="Calibri"/>
          <w:color w:val="7F7F7F" w:themeColor="text1" w:themeTint="80"/>
          <w:sz w:val="22"/>
          <w:szCs w:val="22"/>
        </w:rPr>
      </w:pPr>
      <w:r w:rsidRPr="00D9152B">
        <w:rPr>
          <w:rFonts w:ascii="Calibri" w:eastAsia="Calibri" w:hAnsi="Calibri" w:cs="Calibri"/>
          <w:color w:val="7F7F7F" w:themeColor="text1" w:themeTint="80"/>
          <w:sz w:val="22"/>
          <w:szCs w:val="22"/>
        </w:rPr>
        <w:t xml:space="preserve">Figure </w:t>
      </w:r>
      <w:r w:rsidR="005215B7">
        <w:rPr>
          <w:rFonts w:ascii="Calibri" w:eastAsia="Calibri" w:hAnsi="Calibri" w:cs="Calibri"/>
          <w:color w:val="7F7F7F" w:themeColor="text1" w:themeTint="80"/>
          <w:sz w:val="22"/>
          <w:szCs w:val="22"/>
        </w:rPr>
        <w:t>6.</w:t>
      </w:r>
      <w:r w:rsidRPr="00D9152B">
        <w:rPr>
          <w:rFonts w:ascii="Calibri" w:eastAsia="Calibri" w:hAnsi="Calibri" w:cs="Calibri"/>
          <w:color w:val="7F7F7F" w:themeColor="text1" w:themeTint="80"/>
          <w:sz w:val="22"/>
          <w:szCs w:val="22"/>
        </w:rPr>
        <w:t>4.</w:t>
      </w:r>
      <w:r w:rsidR="00AC7848" w:rsidRPr="00D9152B">
        <w:rPr>
          <w:rFonts w:ascii="Calibri" w:eastAsia="Calibri" w:hAnsi="Calibri" w:cs="Calibri"/>
          <w:color w:val="7F7F7F" w:themeColor="text1" w:themeTint="80"/>
          <w:sz w:val="22"/>
          <w:szCs w:val="22"/>
        </w:rPr>
        <w:t xml:space="preserve"> An FAO staff member wrote that, ‘WHO – is using OCP funds to undertake health studies – but doesn’t agree to use the money for other non-health activities’.</w:t>
      </w:r>
      <w:r w:rsidR="00AC7848" w:rsidRPr="00D9152B">
        <w:rPr>
          <w:rFonts w:ascii="Calibri" w:eastAsia="Calibri" w:hAnsi="Calibri" w:cs="Calibri"/>
          <w:color w:val="7F7F7F" w:themeColor="text1" w:themeTint="80"/>
          <w:sz w:val="22"/>
          <w:szCs w:val="22"/>
          <w:vertAlign w:val="superscript"/>
        </w:rPr>
        <w:footnoteReference w:id="681"/>
      </w:r>
    </w:p>
    <w:p w14:paraId="6B8EF811" w14:textId="0A7410B9" w:rsidR="00AC7848" w:rsidRPr="00D9152B" w:rsidRDefault="00AC7848" w:rsidP="006B543F">
      <w:pPr>
        <w:spacing w:before="100" w:beforeAutospacing="1" w:after="100" w:afterAutospacing="1" w:line="360" w:lineRule="auto"/>
        <w:ind w:firstLine="720"/>
        <w:rPr>
          <w:rFonts w:ascii="Calibri" w:eastAsia="Calibri" w:hAnsi="Calibri" w:cs="Calibri"/>
          <w:sz w:val="22"/>
          <w:szCs w:val="22"/>
        </w:rPr>
      </w:pPr>
      <w:r w:rsidRPr="00D9152B">
        <w:rPr>
          <w:rFonts w:ascii="Calibri" w:eastAsia="Calibri" w:hAnsi="Calibri" w:cs="Calibri"/>
          <w:sz w:val="22"/>
          <w:szCs w:val="22"/>
        </w:rPr>
        <w:t>Adding insult to injury, in 1980 the WHO deleted a special budgeting line that had previously contributed $20,000 annually towards the FAO’s technical support of the OCP. High-level attempts from the FAO headquarters in Rome to reinstate this budgetary provision were unsuccessful, and staff reflected that the FAO was ‘clearly considered as the “black sheep” of the Steering Committee’. The FAO took this black sheep status seriously enough that it considered leaving the OCP partnership, and formally shared its frustrations with the WHO Division of Inter-Agency Coordination.</w:t>
      </w:r>
      <w:r w:rsidRPr="00D9152B">
        <w:rPr>
          <w:rFonts w:ascii="Calibri" w:eastAsia="Calibri" w:hAnsi="Calibri" w:cs="Calibri"/>
          <w:sz w:val="22"/>
          <w:szCs w:val="22"/>
          <w:vertAlign w:val="superscript"/>
        </w:rPr>
        <w:footnoteReference w:id="682"/>
      </w:r>
      <w:r w:rsidRPr="00D9152B">
        <w:rPr>
          <w:rFonts w:ascii="Calibri" w:eastAsia="Calibri" w:hAnsi="Calibri" w:cs="Calibri"/>
          <w:sz w:val="22"/>
          <w:szCs w:val="22"/>
          <w:vertAlign w:val="superscript"/>
        </w:rPr>
        <w:t xml:space="preserve"> </w:t>
      </w:r>
      <w:r w:rsidRPr="00D9152B">
        <w:rPr>
          <w:rFonts w:ascii="Calibri" w:eastAsia="Calibri" w:hAnsi="Calibri" w:cs="Calibri"/>
          <w:sz w:val="22"/>
          <w:szCs w:val="22"/>
        </w:rPr>
        <w:t>Ultimately, the FAO decided to remain a sponsoring agency because its staff felt that it ‘represents the views of the recipient countries more than any other agency’, and ‘the economic development of the area – of primary interest to FAO – will be the most important item in the future, since such developments must generate the necessary funds to con</w:t>
      </w:r>
      <w:r w:rsidR="0092098A" w:rsidRPr="00D9152B">
        <w:rPr>
          <w:rFonts w:ascii="Calibri" w:eastAsia="Calibri" w:hAnsi="Calibri" w:cs="Calibri"/>
          <w:sz w:val="22"/>
          <w:szCs w:val="22"/>
        </w:rPr>
        <w:t>tinue the programme after 1985’.</w:t>
      </w:r>
      <w:r w:rsidRPr="00D9152B">
        <w:rPr>
          <w:rFonts w:ascii="Calibri" w:eastAsia="Calibri" w:hAnsi="Calibri" w:cs="Calibri"/>
          <w:sz w:val="22"/>
          <w:szCs w:val="22"/>
          <w:vertAlign w:val="superscript"/>
        </w:rPr>
        <w:footnoteReference w:id="683"/>
      </w:r>
      <w:r w:rsidRPr="00D9152B">
        <w:rPr>
          <w:rFonts w:ascii="Calibri" w:eastAsia="Calibri" w:hAnsi="Calibri" w:cs="Calibri"/>
          <w:sz w:val="22"/>
          <w:szCs w:val="22"/>
        </w:rPr>
        <w:t xml:space="preserve"> However, this frustration certainly contributed to FAO’s generally low level of participation in the FAO from the mid-1980s until its close.</w:t>
      </w:r>
    </w:p>
    <w:p w14:paraId="66CF9CA9" w14:textId="127973C5" w:rsidR="00AC7848" w:rsidRPr="00D9152B" w:rsidRDefault="00AC7848" w:rsidP="006B543F">
      <w:pPr>
        <w:spacing w:before="100" w:beforeAutospacing="1" w:after="100" w:afterAutospacing="1" w:line="360" w:lineRule="auto"/>
        <w:ind w:firstLine="720"/>
        <w:rPr>
          <w:rFonts w:ascii="Calibri" w:eastAsia="Calibri" w:hAnsi="Calibri" w:cs="Calibri"/>
          <w:sz w:val="22"/>
          <w:szCs w:val="22"/>
        </w:rPr>
      </w:pPr>
      <w:r w:rsidRPr="00D9152B">
        <w:rPr>
          <w:rFonts w:ascii="Calibri" w:eastAsia="Calibri" w:hAnsi="Calibri" w:cs="Calibri"/>
          <w:sz w:val="22"/>
          <w:szCs w:val="22"/>
        </w:rPr>
        <w:lastRenderedPageBreak/>
        <w:t xml:space="preserve">In response to its own reservations about the WHO’s control over the programme, the Bank sought to increase both its position </w:t>
      </w:r>
      <w:r w:rsidR="001656B0" w:rsidRPr="00D9152B">
        <w:rPr>
          <w:rFonts w:ascii="Calibri" w:eastAsia="Calibri" w:hAnsi="Calibri" w:cs="Calibri"/>
          <w:sz w:val="22"/>
          <w:szCs w:val="22"/>
        </w:rPr>
        <w:t>within</w:t>
      </w:r>
      <w:r w:rsidRPr="00D9152B">
        <w:rPr>
          <w:rFonts w:ascii="Calibri" w:eastAsia="Calibri" w:hAnsi="Calibri" w:cs="Calibri"/>
          <w:sz w:val="22"/>
          <w:szCs w:val="22"/>
        </w:rPr>
        <w:t xml:space="preserve"> the </w:t>
      </w:r>
      <w:r w:rsidR="007574F7" w:rsidRPr="00D9152B">
        <w:rPr>
          <w:rFonts w:ascii="Calibri" w:eastAsia="Calibri" w:hAnsi="Calibri" w:cs="Calibri"/>
          <w:sz w:val="22"/>
          <w:szCs w:val="22"/>
        </w:rPr>
        <w:t>Committee of Sponsoring Agencies</w:t>
      </w:r>
      <w:r w:rsidRPr="00D9152B">
        <w:rPr>
          <w:rFonts w:ascii="Calibri" w:eastAsia="Calibri" w:hAnsi="Calibri" w:cs="Calibri"/>
          <w:sz w:val="22"/>
          <w:szCs w:val="22"/>
        </w:rPr>
        <w:t xml:space="preserve"> and th</w:t>
      </w:r>
      <w:r w:rsidR="007574F7" w:rsidRPr="00D9152B">
        <w:rPr>
          <w:rFonts w:ascii="Calibri" w:eastAsia="Calibri" w:hAnsi="Calibri" w:cs="Calibri"/>
          <w:sz w:val="22"/>
          <w:szCs w:val="22"/>
        </w:rPr>
        <w:t xml:space="preserve">is committee’s </w:t>
      </w:r>
      <w:r w:rsidRPr="00D9152B">
        <w:rPr>
          <w:rFonts w:ascii="Calibri" w:eastAsia="Calibri" w:hAnsi="Calibri" w:cs="Calibri"/>
          <w:sz w:val="22"/>
          <w:szCs w:val="22"/>
        </w:rPr>
        <w:t>power as an OCP policy-making mechanism in the 1980s.</w:t>
      </w:r>
      <w:r w:rsidRPr="00D9152B">
        <w:rPr>
          <w:rFonts w:ascii="Calibri" w:eastAsia="Calibri" w:hAnsi="Calibri" w:cs="Calibri"/>
          <w:sz w:val="22"/>
          <w:szCs w:val="22"/>
          <w:vertAlign w:val="superscript"/>
        </w:rPr>
        <w:footnoteReference w:id="684"/>
      </w:r>
      <w:r w:rsidRPr="00D9152B">
        <w:rPr>
          <w:rFonts w:ascii="Calibri" w:eastAsia="Calibri" w:hAnsi="Calibri" w:cs="Calibri"/>
          <w:sz w:val="22"/>
          <w:szCs w:val="22"/>
        </w:rPr>
        <w:t xml:space="preserve"> As Benton has reflected, ‘There were cases where…WHO wanted to go there and say, “We’re going to take your finance officer away from OCP and put him in Brazzaville [at the AFRO secretariat]…” And we took that to the top, and we stopped it’. In such a way, the </w:t>
      </w:r>
      <w:r w:rsidR="00934533" w:rsidRPr="00D9152B">
        <w:rPr>
          <w:rFonts w:ascii="Calibri" w:eastAsia="Calibri" w:hAnsi="Calibri" w:cs="Calibri"/>
          <w:sz w:val="22"/>
          <w:szCs w:val="22"/>
        </w:rPr>
        <w:t>Committee of Sponsoring Agencies</w:t>
      </w:r>
      <w:r w:rsidRPr="00D9152B">
        <w:rPr>
          <w:rFonts w:ascii="Calibri" w:eastAsia="Calibri" w:hAnsi="Calibri" w:cs="Calibri"/>
          <w:sz w:val="22"/>
          <w:szCs w:val="22"/>
        </w:rPr>
        <w:t xml:space="preserve"> allowed the OCP to maintain a ‘high degree of autonomy’ (from the WHO</w:t>
      </w:r>
      <w:r w:rsidR="005F7D3B">
        <w:rPr>
          <w:rFonts w:ascii="Calibri" w:eastAsia="Calibri" w:hAnsi="Calibri" w:cs="Calibri"/>
          <w:sz w:val="22"/>
          <w:szCs w:val="22"/>
        </w:rPr>
        <w:t xml:space="preserve"> and especially AFRO</w:t>
      </w:r>
      <w:r w:rsidRPr="00D9152B">
        <w:rPr>
          <w:rFonts w:ascii="Calibri" w:eastAsia="Calibri" w:hAnsi="Calibri" w:cs="Calibri"/>
          <w:sz w:val="22"/>
          <w:szCs w:val="22"/>
        </w:rPr>
        <w:t>).</w:t>
      </w:r>
      <w:r w:rsidRPr="00D9152B">
        <w:rPr>
          <w:rFonts w:ascii="Calibri" w:eastAsia="Calibri" w:hAnsi="Calibri" w:cs="Calibri"/>
          <w:color w:val="FF0000"/>
          <w:sz w:val="22"/>
          <w:szCs w:val="22"/>
        </w:rPr>
        <w:t xml:space="preserve"> </w:t>
      </w:r>
      <w:r w:rsidRPr="00D9152B">
        <w:rPr>
          <w:rFonts w:ascii="Calibri" w:eastAsia="Calibri" w:hAnsi="Calibri" w:cs="Calibri"/>
          <w:sz w:val="22"/>
          <w:szCs w:val="22"/>
        </w:rPr>
        <w:t xml:space="preserve">In particular, Benton sought to restrict the WHO’s chairmanship of the </w:t>
      </w:r>
      <w:r w:rsidR="005F7D3B">
        <w:rPr>
          <w:rFonts w:ascii="Calibri" w:eastAsia="Calibri" w:hAnsi="Calibri" w:cs="Calibri"/>
          <w:sz w:val="22"/>
          <w:szCs w:val="22"/>
        </w:rPr>
        <w:t>Committee of Sponsoring Agencies</w:t>
      </w:r>
      <w:r w:rsidRPr="00D9152B">
        <w:rPr>
          <w:rFonts w:ascii="Calibri" w:eastAsia="Calibri" w:hAnsi="Calibri" w:cs="Calibri"/>
          <w:sz w:val="22"/>
          <w:szCs w:val="22"/>
        </w:rPr>
        <w:t xml:space="preserve">, </w:t>
      </w:r>
      <w:r w:rsidR="001656B0" w:rsidRPr="00D9152B">
        <w:rPr>
          <w:rFonts w:ascii="Calibri" w:eastAsia="Calibri" w:hAnsi="Calibri" w:cs="Calibri"/>
          <w:sz w:val="22"/>
          <w:szCs w:val="22"/>
        </w:rPr>
        <w:t>because</w:t>
      </w:r>
      <w:r w:rsidRPr="00D9152B">
        <w:rPr>
          <w:rFonts w:ascii="Calibri" w:eastAsia="Calibri" w:hAnsi="Calibri" w:cs="Calibri"/>
          <w:sz w:val="22"/>
          <w:szCs w:val="22"/>
        </w:rPr>
        <w:t xml:space="preserve"> this position ‘in effect, provides the leadership, the intellectual leadership for the program, and the program director answers to the Committee of Sponsoring Agencies’. Benton suggested that there was a ‘conflict of interest’ when the WHO held this seat, especially because ‘WHO wasn’t putting the money into this program…no one was going to let WHO say, hey, we’re going to do it this way, this way, this way…’.</w:t>
      </w:r>
      <w:r w:rsidRPr="00D9152B">
        <w:rPr>
          <w:rFonts w:ascii="Calibri" w:eastAsia="Calibri" w:hAnsi="Calibri" w:cs="Calibri"/>
          <w:sz w:val="22"/>
          <w:szCs w:val="22"/>
          <w:vertAlign w:val="superscript"/>
        </w:rPr>
        <w:footnoteReference w:id="685"/>
      </w:r>
      <w:r w:rsidRPr="00D9152B">
        <w:rPr>
          <w:rFonts w:ascii="Calibri" w:eastAsia="Calibri" w:hAnsi="Calibri" w:cs="Calibri"/>
          <w:sz w:val="22"/>
          <w:szCs w:val="22"/>
        </w:rPr>
        <w:t xml:space="preserve"> </w:t>
      </w:r>
    </w:p>
    <w:p w14:paraId="06429F4D" w14:textId="681EAB7B" w:rsidR="00AC7848" w:rsidRPr="00D9152B" w:rsidRDefault="00AC7848" w:rsidP="006B543F">
      <w:pPr>
        <w:spacing w:before="100" w:beforeAutospacing="1" w:after="100" w:afterAutospacing="1" w:line="360" w:lineRule="auto"/>
        <w:ind w:firstLine="720"/>
        <w:rPr>
          <w:rFonts w:ascii="Calibri" w:eastAsia="Calibri" w:hAnsi="Calibri" w:cs="Calibri"/>
          <w:sz w:val="22"/>
          <w:szCs w:val="22"/>
        </w:rPr>
      </w:pPr>
      <w:r w:rsidRPr="00D9152B">
        <w:rPr>
          <w:rFonts w:ascii="Calibri" w:eastAsia="Calibri" w:hAnsi="Calibri" w:cs="Calibri"/>
          <w:sz w:val="22"/>
          <w:szCs w:val="22"/>
        </w:rPr>
        <w:t xml:space="preserve">The Bank took the chairmanship of the </w:t>
      </w:r>
      <w:r w:rsidR="005F7D3B">
        <w:rPr>
          <w:rFonts w:ascii="Calibri" w:eastAsia="Calibri" w:hAnsi="Calibri" w:cs="Calibri"/>
          <w:sz w:val="22"/>
          <w:szCs w:val="22"/>
        </w:rPr>
        <w:t>Committee of Sponsoring Agencies</w:t>
      </w:r>
      <w:r w:rsidRPr="00D9152B">
        <w:rPr>
          <w:rFonts w:ascii="Calibri" w:eastAsia="Calibri" w:hAnsi="Calibri" w:cs="Calibri"/>
          <w:sz w:val="22"/>
          <w:szCs w:val="22"/>
        </w:rPr>
        <w:t xml:space="preserve"> around 1990, and Benton stated that, ‘given weak staff support from other co-sponsoring agencies, UNDP and FAO, we may wind up as permanent chair of this influential executive committee’.</w:t>
      </w:r>
      <w:r w:rsidRPr="00D9152B">
        <w:rPr>
          <w:rFonts w:ascii="Calibri" w:eastAsia="Calibri" w:hAnsi="Calibri" w:cs="Calibri"/>
          <w:sz w:val="22"/>
          <w:szCs w:val="22"/>
          <w:vertAlign w:val="superscript"/>
        </w:rPr>
        <w:footnoteReference w:id="686"/>
      </w:r>
      <w:r w:rsidRPr="00D9152B">
        <w:rPr>
          <w:rFonts w:ascii="Calibri" w:eastAsia="Calibri" w:hAnsi="Calibri" w:cs="Calibri"/>
          <w:sz w:val="22"/>
          <w:szCs w:val="22"/>
        </w:rPr>
        <w:t xml:space="preserve"> </w:t>
      </w:r>
      <w:r w:rsidRPr="00D9152B">
        <w:rPr>
          <w:rFonts w:ascii="Calibri" w:eastAsia="Calibri" w:hAnsi="Calibri" w:cs="Calibri"/>
          <w:sz w:val="22"/>
          <w:szCs w:val="22"/>
          <w:lang w:val="en-US"/>
        </w:rPr>
        <w:t xml:space="preserve">By 1994, he felt that even the WHO was becoming complacent with its role. Benton ‘was struck by the extent to which the Bank is carrying this program. The other co-sponsoring agencies…are now only marginally involved. UNDP and WHO have been weakened by budget cutbacks and reduced donor support,’ although ‘FAO, never a key player, seems to have picked up interest recently’ in sustainable settlements and agricultural development. </w:t>
      </w:r>
      <w:r w:rsidRPr="00D9152B">
        <w:rPr>
          <w:rFonts w:ascii="Calibri" w:eastAsia="Calibri" w:hAnsi="Calibri" w:cs="Calibri"/>
          <w:sz w:val="22"/>
          <w:szCs w:val="22"/>
        </w:rPr>
        <w:t>Ultimately, the Bank retained chairmanship until the OCP closed in 2002.</w:t>
      </w:r>
      <w:r w:rsidRPr="00D9152B">
        <w:rPr>
          <w:rFonts w:ascii="Calibri" w:eastAsia="Calibri" w:hAnsi="Calibri" w:cs="Calibri"/>
          <w:sz w:val="22"/>
          <w:szCs w:val="22"/>
          <w:vertAlign w:val="superscript"/>
        </w:rPr>
        <w:footnoteReference w:id="687"/>
      </w:r>
    </w:p>
    <w:p w14:paraId="38D960D9" w14:textId="38BA4122" w:rsidR="00AC7848" w:rsidRPr="00D9152B" w:rsidRDefault="009A5A65" w:rsidP="005A5829">
      <w:pPr>
        <w:pStyle w:val="Heading2"/>
        <w:rPr>
          <w:rFonts w:ascii="Calibri" w:hAnsi="Calibri" w:cs="Calibri"/>
          <w:b/>
          <w:sz w:val="26"/>
          <w:szCs w:val="26"/>
        </w:rPr>
      </w:pPr>
      <w:bookmarkStart w:id="117" w:name="_Toc3314367"/>
      <w:bookmarkStart w:id="118" w:name="_Toc41505678"/>
      <w:r w:rsidRPr="00D9152B">
        <w:rPr>
          <w:rFonts w:ascii="Calibri" w:hAnsi="Calibri" w:cs="Calibri"/>
          <w:b/>
          <w:sz w:val="26"/>
          <w:szCs w:val="26"/>
        </w:rPr>
        <w:t>6.3</w:t>
      </w:r>
      <w:r w:rsidR="005A5829" w:rsidRPr="00D9152B">
        <w:rPr>
          <w:rFonts w:ascii="Calibri" w:hAnsi="Calibri" w:cs="Calibri"/>
          <w:b/>
          <w:sz w:val="26"/>
          <w:szCs w:val="26"/>
        </w:rPr>
        <w:t xml:space="preserve">. </w:t>
      </w:r>
      <w:r w:rsidR="00AC7848" w:rsidRPr="00D9152B">
        <w:rPr>
          <w:rFonts w:ascii="Calibri" w:hAnsi="Calibri" w:cs="Calibri"/>
          <w:b/>
          <w:sz w:val="26"/>
          <w:szCs w:val="26"/>
        </w:rPr>
        <w:t>Conclusion</w:t>
      </w:r>
      <w:bookmarkEnd w:id="117"/>
      <w:bookmarkEnd w:id="118"/>
    </w:p>
    <w:p w14:paraId="640948E3" w14:textId="6B73EC85" w:rsidR="00F812E4" w:rsidRPr="00D9152B" w:rsidRDefault="00F812E4" w:rsidP="006B543F">
      <w:pPr>
        <w:spacing w:before="100" w:beforeAutospacing="1" w:after="100" w:afterAutospacing="1" w:line="360" w:lineRule="auto"/>
        <w:ind w:firstLine="720"/>
        <w:rPr>
          <w:rFonts w:ascii="Calibri" w:hAnsi="Calibri" w:cs="Calibri"/>
          <w:color w:val="000000"/>
          <w:sz w:val="22"/>
          <w:szCs w:val="22"/>
          <w:lang w:eastAsia="en-GB"/>
        </w:rPr>
      </w:pPr>
      <w:r w:rsidRPr="00D9152B">
        <w:rPr>
          <w:rFonts w:ascii="Calibri" w:hAnsi="Calibri" w:cs="Calibri"/>
          <w:color w:val="000000"/>
          <w:sz w:val="22"/>
          <w:szCs w:val="22"/>
          <w:lang w:eastAsia="en-GB"/>
        </w:rPr>
        <w:t>In a 2000 Bank publication, the onchocerciasis unit</w:t>
      </w:r>
      <w:r w:rsidR="00AC7848" w:rsidRPr="00D9152B">
        <w:rPr>
          <w:rFonts w:ascii="Calibri" w:hAnsi="Calibri" w:cs="Calibri"/>
          <w:color w:val="000000"/>
          <w:sz w:val="22"/>
          <w:szCs w:val="22"/>
          <w:lang w:eastAsia="en-GB"/>
        </w:rPr>
        <w:t xml:space="preserve"> shared key lessons </w:t>
      </w:r>
      <w:r w:rsidRPr="00D9152B">
        <w:rPr>
          <w:rFonts w:ascii="Calibri" w:hAnsi="Calibri" w:cs="Calibri"/>
          <w:color w:val="000000"/>
          <w:sz w:val="22"/>
          <w:szCs w:val="22"/>
          <w:lang w:eastAsia="en-GB"/>
        </w:rPr>
        <w:t>learned from</w:t>
      </w:r>
      <w:r w:rsidR="00AC7848" w:rsidRPr="00D9152B">
        <w:rPr>
          <w:rFonts w:ascii="Calibri" w:hAnsi="Calibri" w:cs="Calibri"/>
          <w:color w:val="000000"/>
          <w:sz w:val="22"/>
          <w:szCs w:val="22"/>
          <w:lang w:eastAsia="en-GB"/>
        </w:rPr>
        <w:t xml:space="preserve"> the OCP partnership, </w:t>
      </w:r>
      <w:r w:rsidRPr="00D9152B">
        <w:rPr>
          <w:rFonts w:ascii="Calibri" w:hAnsi="Calibri" w:cs="Calibri"/>
          <w:color w:val="000000"/>
          <w:sz w:val="22"/>
          <w:szCs w:val="22"/>
          <w:lang w:eastAsia="en-GB"/>
        </w:rPr>
        <w:t xml:space="preserve">which </w:t>
      </w:r>
      <w:r w:rsidR="00AC7848" w:rsidRPr="00D9152B">
        <w:rPr>
          <w:rFonts w:ascii="Calibri" w:hAnsi="Calibri" w:cs="Calibri"/>
          <w:color w:val="000000"/>
          <w:sz w:val="22"/>
          <w:szCs w:val="22"/>
          <w:lang w:eastAsia="en-GB"/>
        </w:rPr>
        <w:t xml:space="preserve">centred on the fact that </w:t>
      </w:r>
      <w:r w:rsidR="005F7D3B">
        <w:rPr>
          <w:rFonts w:ascii="Calibri" w:hAnsi="Calibri" w:cs="Calibri"/>
          <w:color w:val="000000"/>
          <w:sz w:val="22"/>
          <w:szCs w:val="22"/>
          <w:lang w:eastAsia="en-GB"/>
        </w:rPr>
        <w:t>similar</w:t>
      </w:r>
      <w:r w:rsidR="00AC7848" w:rsidRPr="00D9152B">
        <w:rPr>
          <w:rFonts w:ascii="Calibri" w:hAnsi="Calibri" w:cs="Calibri"/>
          <w:color w:val="000000"/>
          <w:sz w:val="22"/>
          <w:szCs w:val="22"/>
          <w:lang w:eastAsia="en-GB"/>
        </w:rPr>
        <w:t xml:space="preserve"> partnersh</w:t>
      </w:r>
      <w:r w:rsidR="0092098A" w:rsidRPr="00D9152B">
        <w:rPr>
          <w:rFonts w:ascii="Calibri" w:hAnsi="Calibri" w:cs="Calibri"/>
          <w:color w:val="000000"/>
          <w:sz w:val="22"/>
          <w:szCs w:val="22"/>
          <w:lang w:eastAsia="en-GB"/>
        </w:rPr>
        <w:t xml:space="preserve">ips have </w:t>
      </w:r>
      <w:r w:rsidR="0092098A" w:rsidRPr="00D9152B">
        <w:rPr>
          <w:rFonts w:ascii="Calibri" w:hAnsi="Calibri" w:cs="Calibri"/>
          <w:color w:val="000000"/>
          <w:sz w:val="22"/>
          <w:szCs w:val="22"/>
          <w:lang w:eastAsia="en-GB"/>
        </w:rPr>
        <w:lastRenderedPageBreak/>
        <w:t xml:space="preserve">‘tremendous potential’, if they can </w:t>
      </w:r>
      <w:r w:rsidR="00AC7848" w:rsidRPr="00D9152B">
        <w:rPr>
          <w:rFonts w:ascii="Calibri" w:hAnsi="Calibri" w:cs="Calibri"/>
          <w:color w:val="000000"/>
          <w:sz w:val="22"/>
          <w:szCs w:val="22"/>
          <w:lang w:eastAsia="en-GB"/>
        </w:rPr>
        <w:t>balance tension-producin</w:t>
      </w:r>
      <w:r w:rsidRPr="00D9152B">
        <w:rPr>
          <w:rFonts w:ascii="Calibri" w:hAnsi="Calibri" w:cs="Calibri"/>
          <w:color w:val="000000"/>
          <w:sz w:val="22"/>
          <w:szCs w:val="22"/>
          <w:lang w:eastAsia="en-GB"/>
        </w:rPr>
        <w:t>g corporate cultures</w:t>
      </w:r>
      <w:r w:rsidR="00AC7848" w:rsidRPr="00D9152B">
        <w:rPr>
          <w:rFonts w:ascii="Calibri" w:hAnsi="Calibri" w:cs="Calibri"/>
          <w:color w:val="000000"/>
          <w:sz w:val="22"/>
          <w:szCs w:val="22"/>
          <w:lang w:eastAsia="en-GB"/>
        </w:rPr>
        <w:t>.</w:t>
      </w:r>
      <w:r w:rsidR="00AC7848" w:rsidRPr="00D9152B">
        <w:rPr>
          <w:rFonts w:ascii="Calibri" w:hAnsi="Calibri" w:cs="Calibri"/>
          <w:color w:val="000000"/>
          <w:sz w:val="22"/>
          <w:szCs w:val="22"/>
          <w:vertAlign w:val="superscript"/>
          <w:lang w:eastAsia="en-GB"/>
        </w:rPr>
        <w:footnoteReference w:id="688"/>
      </w:r>
      <w:r w:rsidR="00AC7848" w:rsidRPr="00D9152B">
        <w:rPr>
          <w:rFonts w:ascii="Calibri" w:hAnsi="Calibri" w:cs="Calibri"/>
          <w:color w:val="000000"/>
          <w:sz w:val="22"/>
          <w:szCs w:val="22"/>
          <w:lang w:eastAsia="en-GB"/>
        </w:rPr>
        <w:t xml:space="preserve"> </w:t>
      </w:r>
      <w:r w:rsidRPr="00D9152B">
        <w:rPr>
          <w:rFonts w:ascii="Calibri" w:hAnsi="Calibri" w:cs="Calibri"/>
          <w:color w:val="000000"/>
          <w:sz w:val="22"/>
          <w:szCs w:val="22"/>
          <w:lang w:eastAsia="en-GB"/>
        </w:rPr>
        <w:t xml:space="preserve">This </w:t>
      </w:r>
      <w:r w:rsidR="008A6D2C" w:rsidRPr="00D9152B">
        <w:rPr>
          <w:rFonts w:ascii="Calibri" w:hAnsi="Calibri" w:cs="Calibri"/>
          <w:color w:val="000000"/>
          <w:sz w:val="22"/>
          <w:szCs w:val="22"/>
          <w:lang w:eastAsia="en-GB"/>
        </w:rPr>
        <w:t>chapter</w:t>
      </w:r>
      <w:r w:rsidRPr="00D9152B">
        <w:rPr>
          <w:rFonts w:ascii="Calibri" w:hAnsi="Calibri" w:cs="Calibri"/>
          <w:color w:val="000000"/>
          <w:sz w:val="22"/>
          <w:szCs w:val="22"/>
          <w:lang w:eastAsia="en-GB"/>
        </w:rPr>
        <w:t xml:space="preserve"> identifies five alternate </w:t>
      </w:r>
      <w:r w:rsidR="00AC7848" w:rsidRPr="00D9152B">
        <w:rPr>
          <w:rFonts w:ascii="Calibri" w:hAnsi="Calibri" w:cs="Calibri"/>
          <w:color w:val="000000"/>
          <w:sz w:val="22"/>
          <w:szCs w:val="22"/>
          <w:lang w:eastAsia="en-GB"/>
        </w:rPr>
        <w:t>trends</w:t>
      </w:r>
      <w:r w:rsidR="008A6D2C" w:rsidRPr="00D9152B">
        <w:rPr>
          <w:rFonts w:ascii="Calibri" w:hAnsi="Calibri" w:cs="Calibri"/>
          <w:color w:val="000000"/>
          <w:sz w:val="22"/>
          <w:szCs w:val="22"/>
          <w:lang w:eastAsia="en-GB"/>
        </w:rPr>
        <w:t xml:space="preserve"> about the sponsoring agency partnership</w:t>
      </w:r>
      <w:r w:rsidR="00AC7848" w:rsidRPr="00D9152B">
        <w:rPr>
          <w:rFonts w:ascii="Calibri" w:hAnsi="Calibri" w:cs="Calibri"/>
          <w:color w:val="000000"/>
          <w:sz w:val="22"/>
          <w:szCs w:val="22"/>
          <w:lang w:eastAsia="en-GB"/>
        </w:rPr>
        <w:t xml:space="preserve">. </w:t>
      </w:r>
    </w:p>
    <w:p w14:paraId="096D2828" w14:textId="47BC3745" w:rsidR="00AC7848" w:rsidRPr="00D9152B" w:rsidRDefault="00AC7848" w:rsidP="006B543F">
      <w:pPr>
        <w:spacing w:before="100" w:beforeAutospacing="1" w:after="100" w:afterAutospacing="1" w:line="360" w:lineRule="auto"/>
        <w:ind w:firstLine="720"/>
        <w:rPr>
          <w:rFonts w:ascii="Calibri" w:hAnsi="Calibri" w:cs="Calibri"/>
          <w:color w:val="000000"/>
          <w:sz w:val="22"/>
          <w:szCs w:val="22"/>
          <w:lang w:eastAsia="en-GB"/>
        </w:rPr>
      </w:pPr>
      <w:r w:rsidRPr="00D9152B">
        <w:rPr>
          <w:rFonts w:ascii="Calibri" w:hAnsi="Calibri" w:cs="Calibri"/>
          <w:color w:val="000000"/>
          <w:sz w:val="22"/>
          <w:szCs w:val="22"/>
          <w:lang w:eastAsia="en-GB"/>
        </w:rPr>
        <w:t xml:space="preserve">First, ‘corporate cultures’ of the sponsoring agencies definitely did lead to tensions over their roles, but these tensions were often </w:t>
      </w:r>
      <w:r w:rsidRPr="00D9152B">
        <w:rPr>
          <w:rFonts w:ascii="Calibri" w:hAnsi="Calibri" w:cs="Calibri"/>
          <w:i/>
          <w:color w:val="000000"/>
          <w:sz w:val="22"/>
          <w:szCs w:val="22"/>
          <w:lang w:eastAsia="en-GB"/>
        </w:rPr>
        <w:t>because</w:t>
      </w:r>
      <w:r w:rsidRPr="00D9152B">
        <w:rPr>
          <w:rFonts w:ascii="Calibri" w:hAnsi="Calibri" w:cs="Calibri"/>
          <w:color w:val="000000"/>
          <w:sz w:val="22"/>
          <w:szCs w:val="22"/>
          <w:lang w:eastAsia="en-GB"/>
        </w:rPr>
        <w:t xml:space="preserve"> their areas of comparative advantage </w:t>
      </w:r>
      <w:r w:rsidR="00934533" w:rsidRPr="00D9152B">
        <w:rPr>
          <w:rFonts w:ascii="Calibri" w:hAnsi="Calibri" w:cs="Calibri"/>
          <w:color w:val="000000"/>
          <w:sz w:val="22"/>
          <w:szCs w:val="22"/>
          <w:lang w:eastAsia="en-GB"/>
        </w:rPr>
        <w:t>were</w:t>
      </w:r>
      <w:r w:rsidRPr="00D9152B">
        <w:rPr>
          <w:rFonts w:ascii="Calibri" w:hAnsi="Calibri" w:cs="Calibri"/>
          <w:color w:val="000000"/>
          <w:sz w:val="22"/>
          <w:szCs w:val="22"/>
          <w:lang w:eastAsia="en-GB"/>
        </w:rPr>
        <w:t xml:space="preserve"> contested (rather than fixed or commonly agreed-upon). For instance, the WHO attempted to safeguard its normative power in global health by consolidating its Geneva-based power on the </w:t>
      </w:r>
      <w:r w:rsidR="00934533" w:rsidRPr="00D9152B">
        <w:rPr>
          <w:rFonts w:ascii="Calibri" w:hAnsi="Calibri" w:cs="Calibri"/>
          <w:color w:val="000000"/>
          <w:sz w:val="22"/>
          <w:szCs w:val="22"/>
          <w:lang w:eastAsia="en-GB"/>
        </w:rPr>
        <w:t>Committee of Sponsoring Agencies</w:t>
      </w:r>
      <w:r w:rsidRPr="00D9152B">
        <w:rPr>
          <w:rFonts w:ascii="Calibri" w:hAnsi="Calibri" w:cs="Calibri"/>
          <w:color w:val="000000"/>
          <w:sz w:val="22"/>
          <w:szCs w:val="22"/>
          <w:lang w:eastAsia="en-GB"/>
        </w:rPr>
        <w:t xml:space="preserve">, limiting that of AFRO, and neglecting to initiate a formal information flow system between partners. Similarly, </w:t>
      </w:r>
      <w:r w:rsidR="008A6D2C" w:rsidRPr="00D9152B">
        <w:rPr>
          <w:rFonts w:ascii="Calibri" w:hAnsi="Calibri" w:cs="Calibri"/>
          <w:color w:val="000000"/>
          <w:sz w:val="22"/>
          <w:szCs w:val="22"/>
          <w:lang w:eastAsia="en-GB"/>
        </w:rPr>
        <w:t xml:space="preserve">the Bank </w:t>
      </w:r>
      <w:r w:rsidRPr="00D9152B">
        <w:rPr>
          <w:rFonts w:ascii="Calibri" w:hAnsi="Calibri" w:cs="Calibri"/>
          <w:color w:val="000000"/>
          <w:sz w:val="22"/>
          <w:szCs w:val="22"/>
          <w:lang w:eastAsia="en-GB"/>
        </w:rPr>
        <w:t xml:space="preserve">tried to expand its market-based ideology to development </w:t>
      </w:r>
      <w:r w:rsidR="008A6D2C" w:rsidRPr="00D9152B">
        <w:rPr>
          <w:rFonts w:ascii="Calibri" w:hAnsi="Calibri" w:cs="Calibri"/>
          <w:color w:val="000000"/>
          <w:sz w:val="22"/>
          <w:szCs w:val="22"/>
          <w:lang w:eastAsia="en-GB"/>
        </w:rPr>
        <w:t>aspects of the programme</w:t>
      </w:r>
      <w:r w:rsidRPr="00D9152B">
        <w:rPr>
          <w:rFonts w:ascii="Calibri" w:hAnsi="Calibri" w:cs="Calibri"/>
          <w:color w:val="000000"/>
          <w:sz w:val="22"/>
          <w:szCs w:val="22"/>
          <w:lang w:eastAsia="en-GB"/>
        </w:rPr>
        <w:t xml:space="preserve">. The UNDP and FAO initially pressed for more involvement of their resident representatives and a wider concept of development, respectively, and lost interest in the programme over time when this involvement was restricted. The lack of utilization of the latter two agencies’ comparative advantages in these areas can at least partially explain the struggle that the OCP had with its wider development of the OCP-freed lands. </w:t>
      </w:r>
    </w:p>
    <w:p w14:paraId="58BAEB44" w14:textId="44DDF9CB" w:rsidR="008A6D2C" w:rsidRPr="00D9152B" w:rsidRDefault="00AC7848" w:rsidP="006B543F">
      <w:pPr>
        <w:spacing w:before="100" w:beforeAutospacing="1" w:after="100" w:afterAutospacing="1" w:line="360" w:lineRule="auto"/>
        <w:ind w:firstLine="720"/>
        <w:rPr>
          <w:rFonts w:ascii="Calibri" w:hAnsi="Calibri" w:cs="Calibri"/>
          <w:color w:val="000000"/>
          <w:sz w:val="22"/>
          <w:szCs w:val="22"/>
          <w:lang w:eastAsia="en-GB"/>
        </w:rPr>
      </w:pPr>
      <w:r w:rsidRPr="00D9152B">
        <w:rPr>
          <w:rFonts w:ascii="Calibri" w:hAnsi="Calibri" w:cs="Calibri"/>
          <w:color w:val="000000"/>
          <w:sz w:val="22"/>
          <w:szCs w:val="22"/>
          <w:lang w:eastAsia="en-GB"/>
        </w:rPr>
        <w:t xml:space="preserve">Second, the effective mandates that each sponsoring agency assumed during the OCP were typically not formalized, because this would have required agreement on collective advantages. This made some partners become disengaged due to a lack of perceived payoff. For instance, the Bank took over </w:t>
      </w:r>
      <w:r w:rsidR="008A6D2C" w:rsidRPr="00D9152B">
        <w:rPr>
          <w:rFonts w:ascii="Calibri" w:hAnsi="Calibri" w:cs="Calibri"/>
          <w:color w:val="000000"/>
          <w:sz w:val="22"/>
          <w:szCs w:val="22"/>
          <w:lang w:eastAsia="en-GB"/>
        </w:rPr>
        <w:t xml:space="preserve">most of the programmatic </w:t>
      </w:r>
      <w:r w:rsidRPr="00D9152B">
        <w:rPr>
          <w:rFonts w:ascii="Calibri" w:hAnsi="Calibri" w:cs="Calibri"/>
          <w:color w:val="000000"/>
          <w:sz w:val="22"/>
          <w:szCs w:val="22"/>
          <w:lang w:eastAsia="en-GB"/>
        </w:rPr>
        <w:t xml:space="preserve">socio-economic analysis. However, its formal role remained the OCP’s fiscal agent. Even at the level of the </w:t>
      </w:r>
      <w:r w:rsidR="00934533" w:rsidRPr="00D9152B">
        <w:rPr>
          <w:rFonts w:ascii="Calibri" w:hAnsi="Calibri" w:cs="Calibri"/>
          <w:color w:val="000000"/>
          <w:sz w:val="22"/>
          <w:szCs w:val="22"/>
          <w:lang w:eastAsia="en-GB"/>
        </w:rPr>
        <w:t>Committee of Sponsoring Agencies</w:t>
      </w:r>
      <w:r w:rsidRPr="00D9152B">
        <w:rPr>
          <w:rFonts w:ascii="Calibri" w:hAnsi="Calibri" w:cs="Calibri"/>
          <w:color w:val="000000"/>
          <w:sz w:val="22"/>
          <w:szCs w:val="22"/>
          <w:lang w:eastAsia="en-GB"/>
        </w:rPr>
        <w:t xml:space="preserve">, some rivalries could have been addressed by clarifying functional roles of members (as suggested by the UNDP), but this was not done. </w:t>
      </w:r>
    </w:p>
    <w:p w14:paraId="3BAA4B04" w14:textId="5859943C" w:rsidR="00AC7848" w:rsidRPr="00D9152B" w:rsidRDefault="00AC7848" w:rsidP="006B543F">
      <w:pPr>
        <w:spacing w:before="100" w:beforeAutospacing="1" w:after="100" w:afterAutospacing="1" w:line="360" w:lineRule="auto"/>
        <w:ind w:firstLine="720"/>
        <w:rPr>
          <w:rFonts w:ascii="Calibri" w:hAnsi="Calibri" w:cs="Calibri"/>
          <w:color w:val="000000"/>
          <w:sz w:val="22"/>
          <w:szCs w:val="22"/>
          <w:lang w:eastAsia="en-GB"/>
        </w:rPr>
      </w:pPr>
      <w:r w:rsidRPr="00D9152B">
        <w:rPr>
          <w:rFonts w:ascii="Calibri" w:hAnsi="Calibri" w:cs="Calibri"/>
          <w:color w:val="000000"/>
          <w:sz w:val="22"/>
          <w:szCs w:val="22"/>
          <w:lang w:eastAsia="en-GB"/>
        </w:rPr>
        <w:t xml:space="preserve">Third, these turf issues were typically not publicly discussed. </w:t>
      </w:r>
      <w:r w:rsidR="00934533" w:rsidRPr="00D9152B">
        <w:rPr>
          <w:rFonts w:ascii="Calibri" w:hAnsi="Calibri" w:cs="Calibri"/>
          <w:color w:val="000000"/>
          <w:sz w:val="22"/>
          <w:szCs w:val="22"/>
          <w:lang w:eastAsia="en-GB"/>
        </w:rPr>
        <w:t>Good examples include</w:t>
      </w:r>
      <w:r w:rsidRPr="00D9152B">
        <w:rPr>
          <w:rFonts w:ascii="Calibri" w:hAnsi="Calibri" w:cs="Calibri"/>
          <w:color w:val="000000"/>
          <w:sz w:val="22"/>
          <w:szCs w:val="22"/>
          <w:lang w:eastAsia="en-GB"/>
        </w:rPr>
        <w:t xml:space="preserve"> the Bank’s blacking-out of Benton’s words about tensions with the WHO in his oral history</w:t>
      </w:r>
      <w:r w:rsidR="00934533" w:rsidRPr="00D9152B">
        <w:rPr>
          <w:rFonts w:ascii="Calibri" w:hAnsi="Calibri" w:cs="Calibri"/>
          <w:color w:val="000000"/>
          <w:sz w:val="22"/>
          <w:szCs w:val="22"/>
          <w:lang w:eastAsia="en-GB"/>
        </w:rPr>
        <w:t xml:space="preserve">, and the FAO’s stipulation that candid comments about the WHO be left-off of </w:t>
      </w:r>
      <w:r w:rsidR="00934533" w:rsidRPr="00D9152B">
        <w:rPr>
          <w:rFonts w:ascii="Calibri" w:hAnsi="Calibri" w:cs="Calibri"/>
          <w:color w:val="000000"/>
          <w:sz w:val="22"/>
          <w:szCs w:val="22"/>
          <w:lang w:eastAsia="en-GB"/>
        </w:rPr>
        <w:lastRenderedPageBreak/>
        <w:t>formal feedback on reports</w:t>
      </w:r>
      <w:r w:rsidRPr="00D9152B">
        <w:rPr>
          <w:rFonts w:ascii="Calibri" w:hAnsi="Calibri" w:cs="Calibri"/>
          <w:color w:val="000000"/>
          <w:sz w:val="22"/>
          <w:szCs w:val="22"/>
          <w:lang w:eastAsia="en-GB"/>
        </w:rPr>
        <w:t>. In Benton’s words, there is ‘much to be learned from this success story’ about the importance of autonomy, a ‘vast collaboration network’, and ‘congeniality’.</w:t>
      </w:r>
      <w:r w:rsidRPr="00D9152B">
        <w:rPr>
          <w:rFonts w:ascii="Calibri" w:eastAsia="Calibri" w:hAnsi="Calibri" w:cs="Calibri"/>
          <w:sz w:val="22"/>
          <w:szCs w:val="22"/>
          <w:vertAlign w:val="superscript"/>
          <w:lang w:val="en-US"/>
        </w:rPr>
        <w:t xml:space="preserve"> </w:t>
      </w:r>
      <w:r w:rsidRPr="00D9152B">
        <w:rPr>
          <w:rFonts w:ascii="Calibri" w:eastAsia="Calibri" w:hAnsi="Calibri" w:cs="Calibri"/>
          <w:sz w:val="22"/>
          <w:szCs w:val="22"/>
          <w:vertAlign w:val="superscript"/>
          <w:lang w:val="en-US"/>
        </w:rPr>
        <w:footnoteReference w:id="689"/>
      </w:r>
      <w:r w:rsidRPr="00D9152B">
        <w:rPr>
          <w:rFonts w:ascii="Calibri" w:hAnsi="Calibri" w:cs="Calibri"/>
          <w:color w:val="000000"/>
          <w:sz w:val="22"/>
          <w:szCs w:val="22"/>
          <w:lang w:eastAsia="en-GB"/>
        </w:rPr>
        <w:t xml:space="preserve"> Congeniality – specifically, </w:t>
      </w:r>
      <w:r w:rsidRPr="00D9152B">
        <w:rPr>
          <w:rFonts w:ascii="Calibri" w:hAnsi="Calibri" w:cs="Calibri"/>
          <w:i/>
          <w:color w:val="000000"/>
          <w:sz w:val="22"/>
          <w:szCs w:val="22"/>
          <w:lang w:eastAsia="en-GB"/>
        </w:rPr>
        <w:t xml:space="preserve">public </w:t>
      </w:r>
      <w:r w:rsidRPr="00D9152B">
        <w:rPr>
          <w:rFonts w:ascii="Calibri" w:hAnsi="Calibri" w:cs="Calibri"/>
          <w:color w:val="000000"/>
          <w:sz w:val="22"/>
          <w:szCs w:val="22"/>
          <w:lang w:eastAsia="en-GB"/>
        </w:rPr>
        <w:t xml:space="preserve">congeniality – made the agency partnership seem uniquely strong in an era of UN collaboration woes. Yet, it often masked deep issues of contested mandates and development ideologies, which led to the WHO and Bank monopolizing their </w:t>
      </w:r>
      <w:r w:rsidR="001656B0" w:rsidRPr="00D9152B">
        <w:rPr>
          <w:rFonts w:ascii="Calibri" w:hAnsi="Calibri" w:cs="Calibri"/>
          <w:color w:val="000000"/>
          <w:sz w:val="22"/>
          <w:szCs w:val="22"/>
          <w:lang w:eastAsia="en-GB"/>
        </w:rPr>
        <w:t>control</w:t>
      </w:r>
      <w:r w:rsidRPr="00D9152B">
        <w:rPr>
          <w:rFonts w:ascii="Calibri" w:hAnsi="Calibri" w:cs="Calibri"/>
          <w:color w:val="000000"/>
          <w:sz w:val="22"/>
          <w:szCs w:val="22"/>
          <w:lang w:eastAsia="en-GB"/>
        </w:rPr>
        <w:t>.</w:t>
      </w:r>
      <w:r w:rsidRPr="00D9152B">
        <w:rPr>
          <w:rFonts w:ascii="Calibri" w:eastAsia="Calibri" w:hAnsi="Calibri" w:cs="Calibri"/>
          <w:sz w:val="22"/>
          <w:szCs w:val="22"/>
          <w:vertAlign w:val="superscript"/>
        </w:rPr>
        <w:footnoteReference w:id="690"/>
      </w:r>
    </w:p>
    <w:p w14:paraId="02225691" w14:textId="1BD075A1" w:rsidR="008A6D2C" w:rsidRPr="00D9152B" w:rsidRDefault="00AC7848" w:rsidP="006B543F">
      <w:pPr>
        <w:spacing w:before="100" w:beforeAutospacing="1" w:after="100" w:afterAutospacing="1" w:line="360" w:lineRule="auto"/>
        <w:ind w:firstLine="720"/>
        <w:rPr>
          <w:rFonts w:ascii="Calibri" w:hAnsi="Calibri" w:cs="Calibri"/>
          <w:color w:val="000000"/>
          <w:sz w:val="22"/>
          <w:szCs w:val="22"/>
          <w:lang w:eastAsia="en-GB"/>
        </w:rPr>
      </w:pPr>
      <w:r w:rsidRPr="00D9152B">
        <w:rPr>
          <w:rFonts w:ascii="Calibri" w:hAnsi="Calibri" w:cs="Calibri"/>
          <w:color w:val="000000"/>
          <w:sz w:val="22"/>
          <w:szCs w:val="22"/>
          <w:lang w:eastAsia="en-GB"/>
        </w:rPr>
        <w:t>Fourth, centrali</w:t>
      </w:r>
      <w:r w:rsidR="00DF3530">
        <w:rPr>
          <w:rFonts w:ascii="Calibri" w:hAnsi="Calibri" w:cs="Calibri"/>
          <w:color w:val="000000"/>
          <w:sz w:val="22"/>
          <w:szCs w:val="22"/>
          <w:lang w:eastAsia="en-GB"/>
        </w:rPr>
        <w:t>s</w:t>
      </w:r>
      <w:r w:rsidRPr="00D9152B">
        <w:rPr>
          <w:rFonts w:ascii="Calibri" w:hAnsi="Calibri" w:cs="Calibri"/>
          <w:color w:val="000000"/>
          <w:sz w:val="22"/>
          <w:szCs w:val="22"/>
          <w:lang w:eastAsia="en-GB"/>
        </w:rPr>
        <w:t xml:space="preserve">ing decision-making authority – while promoting ‘ownership’ at the local level – likely helped the OCP’s success, in terms of public health outcomes and a positive public image. While most OCP staff, including its Director, were African from the early 1980s onwards, they coordinated in-country operations, like day-to-day larviciding and research contracts. </w:t>
      </w:r>
      <w:r w:rsidR="005A5982" w:rsidRPr="00D9152B">
        <w:rPr>
          <w:rFonts w:ascii="Calibri" w:hAnsi="Calibri" w:cs="Calibri"/>
          <w:color w:val="000000"/>
          <w:sz w:val="22"/>
          <w:szCs w:val="22"/>
          <w:lang w:eastAsia="en-GB"/>
        </w:rPr>
        <w:t>In contrast, the</w:t>
      </w:r>
      <w:r w:rsidRPr="00D9152B">
        <w:rPr>
          <w:rFonts w:ascii="Calibri" w:hAnsi="Calibri" w:cs="Calibri"/>
          <w:color w:val="000000"/>
          <w:sz w:val="22"/>
          <w:szCs w:val="22"/>
          <w:lang w:eastAsia="en-GB"/>
        </w:rPr>
        <w:t xml:space="preserve"> </w:t>
      </w:r>
      <w:r w:rsidR="00934533" w:rsidRPr="00D9152B">
        <w:rPr>
          <w:rFonts w:ascii="Calibri" w:hAnsi="Calibri" w:cs="Calibri"/>
          <w:color w:val="000000"/>
          <w:sz w:val="22"/>
          <w:szCs w:val="22"/>
          <w:lang w:eastAsia="en-GB"/>
        </w:rPr>
        <w:t>Committee of Sponsoring Agencies</w:t>
      </w:r>
      <w:r w:rsidRPr="00D9152B">
        <w:rPr>
          <w:rFonts w:ascii="Calibri" w:hAnsi="Calibri" w:cs="Calibri"/>
          <w:color w:val="000000"/>
          <w:sz w:val="22"/>
          <w:szCs w:val="22"/>
          <w:lang w:eastAsia="en-GB"/>
        </w:rPr>
        <w:t xml:space="preserve"> had effective power over most major programme decision-making processes, ensuring that the needs of sponsoring agencies were met, and donor conferences allowed sponsoring agencies to meet the demands of key financiers. </w:t>
      </w:r>
    </w:p>
    <w:p w14:paraId="0F0CB30B" w14:textId="63F59E03" w:rsidR="00AC7848" w:rsidRDefault="00AC7848" w:rsidP="006B543F">
      <w:pPr>
        <w:spacing w:before="100" w:beforeAutospacing="1" w:after="100" w:afterAutospacing="1" w:line="360" w:lineRule="auto"/>
        <w:ind w:firstLine="720"/>
        <w:rPr>
          <w:rFonts w:ascii="Calibri" w:hAnsi="Calibri" w:cs="Calibri"/>
          <w:color w:val="000000"/>
          <w:sz w:val="22"/>
          <w:szCs w:val="22"/>
          <w:lang w:eastAsia="en-GB"/>
        </w:rPr>
      </w:pPr>
      <w:r w:rsidRPr="00D9152B">
        <w:rPr>
          <w:rFonts w:ascii="Calibri" w:hAnsi="Calibri" w:cs="Calibri"/>
          <w:color w:val="000000"/>
          <w:sz w:val="22"/>
          <w:szCs w:val="22"/>
          <w:lang w:eastAsia="en-GB"/>
        </w:rPr>
        <w:t xml:space="preserve">Fifth, in this context, words like ‘autonomy’ in describing the OCP’s success can be </w:t>
      </w:r>
      <w:r w:rsidR="005A5982" w:rsidRPr="00D9152B">
        <w:rPr>
          <w:rFonts w:ascii="Calibri" w:hAnsi="Calibri" w:cs="Calibri"/>
          <w:color w:val="000000"/>
          <w:sz w:val="22"/>
          <w:szCs w:val="22"/>
          <w:lang w:eastAsia="en-GB"/>
        </w:rPr>
        <w:t>overly general or misleading</w:t>
      </w:r>
      <w:r w:rsidRPr="00D9152B">
        <w:rPr>
          <w:rFonts w:ascii="Calibri" w:hAnsi="Calibri" w:cs="Calibri"/>
          <w:color w:val="000000"/>
          <w:sz w:val="22"/>
          <w:szCs w:val="22"/>
          <w:lang w:eastAsia="en-GB"/>
        </w:rPr>
        <w:t xml:space="preserve">. When discussing the OCP’s autonomy, it is essential to consider autonomy </w:t>
      </w:r>
      <w:r w:rsidRPr="00D9152B">
        <w:rPr>
          <w:rFonts w:ascii="Calibri" w:hAnsi="Calibri" w:cs="Calibri"/>
          <w:i/>
          <w:color w:val="000000"/>
          <w:sz w:val="22"/>
          <w:szCs w:val="22"/>
          <w:lang w:eastAsia="en-GB"/>
        </w:rPr>
        <w:t>from whom</w:t>
      </w:r>
      <w:r w:rsidRPr="00D9152B">
        <w:rPr>
          <w:rFonts w:ascii="Calibri" w:hAnsi="Calibri" w:cs="Calibri"/>
          <w:color w:val="000000"/>
          <w:sz w:val="22"/>
          <w:szCs w:val="22"/>
          <w:lang w:eastAsia="en-GB"/>
        </w:rPr>
        <w:t xml:space="preserve">. The Bank and </w:t>
      </w:r>
      <w:r w:rsidR="008A6D2C" w:rsidRPr="00D9152B">
        <w:rPr>
          <w:rFonts w:ascii="Calibri" w:hAnsi="Calibri" w:cs="Calibri"/>
          <w:color w:val="000000"/>
          <w:sz w:val="22"/>
          <w:szCs w:val="22"/>
          <w:lang w:eastAsia="en-GB"/>
        </w:rPr>
        <w:t xml:space="preserve">the </w:t>
      </w:r>
      <w:r w:rsidR="005A5982" w:rsidRPr="00D9152B">
        <w:rPr>
          <w:rFonts w:ascii="Calibri" w:hAnsi="Calibri" w:cs="Calibri"/>
          <w:color w:val="000000"/>
          <w:sz w:val="22"/>
          <w:szCs w:val="22"/>
          <w:lang w:eastAsia="en-GB"/>
        </w:rPr>
        <w:t>1990 external r</w:t>
      </w:r>
      <w:r w:rsidRPr="00D9152B">
        <w:rPr>
          <w:rFonts w:ascii="Calibri" w:hAnsi="Calibri" w:cs="Calibri"/>
          <w:color w:val="000000"/>
          <w:sz w:val="22"/>
          <w:szCs w:val="22"/>
          <w:lang w:eastAsia="en-GB"/>
        </w:rPr>
        <w:t xml:space="preserve">eview, for example, </w:t>
      </w:r>
      <w:r w:rsidR="008A6D2C" w:rsidRPr="00D9152B">
        <w:rPr>
          <w:rFonts w:ascii="Calibri" w:hAnsi="Calibri" w:cs="Calibri"/>
          <w:color w:val="000000"/>
          <w:sz w:val="22"/>
          <w:szCs w:val="22"/>
          <w:lang w:eastAsia="en-GB"/>
        </w:rPr>
        <w:t>argued</w:t>
      </w:r>
      <w:r w:rsidRPr="00D9152B">
        <w:rPr>
          <w:rFonts w:ascii="Calibri" w:hAnsi="Calibri" w:cs="Calibri"/>
          <w:color w:val="000000"/>
          <w:sz w:val="22"/>
          <w:szCs w:val="22"/>
          <w:lang w:eastAsia="en-GB"/>
        </w:rPr>
        <w:t xml:space="preserve"> that the programme was successful because it was removed from direct WHO bureaucratic procedures and internal competition,</w:t>
      </w:r>
      <w:r w:rsidRPr="00D9152B">
        <w:rPr>
          <w:rFonts w:ascii="Calibri" w:eastAsia="Calibri" w:hAnsi="Calibri" w:cs="Calibri"/>
          <w:sz w:val="22"/>
          <w:szCs w:val="22"/>
          <w:vertAlign w:val="superscript"/>
        </w:rPr>
        <w:footnoteReference w:id="691"/>
      </w:r>
      <w:r w:rsidRPr="00D9152B">
        <w:rPr>
          <w:rFonts w:ascii="Calibri" w:hAnsi="Calibri" w:cs="Calibri"/>
          <w:color w:val="000000"/>
          <w:sz w:val="22"/>
          <w:szCs w:val="22"/>
          <w:lang w:eastAsia="en-GB"/>
        </w:rPr>
        <w:t xml:space="preserve"> especially of the AFRO secretariat. This presents a lesson that is often ignored in success narratives of the OCP: if the programme was successful, is this because it was extra-budgetary, and fell under neither the WHO nor the Bank’s direct administrative clutches?</w:t>
      </w:r>
    </w:p>
    <w:p w14:paraId="60BBC9B5" w14:textId="0B651319" w:rsidR="00DF3530" w:rsidRDefault="00DF3530" w:rsidP="00066932">
      <w:pPr>
        <w:spacing w:before="100" w:beforeAutospacing="1" w:after="100" w:afterAutospacing="1" w:line="360" w:lineRule="auto"/>
        <w:ind w:firstLine="720"/>
        <w:rPr>
          <w:rFonts w:ascii="Calibri" w:hAnsi="Calibri" w:cs="Calibri"/>
          <w:color w:val="000000"/>
          <w:sz w:val="22"/>
          <w:szCs w:val="22"/>
          <w:lang w:eastAsia="en-GB"/>
        </w:rPr>
      </w:pPr>
      <w:r>
        <w:rPr>
          <w:rFonts w:ascii="Calibri" w:hAnsi="Calibri" w:cs="Calibri"/>
          <w:color w:val="000000"/>
          <w:sz w:val="22"/>
          <w:szCs w:val="22"/>
          <w:lang w:eastAsia="en-GB"/>
        </w:rPr>
        <w:t xml:space="preserve">The first three of these alternative trends are well-supported by the archival analyses of the Bank, UN, FAO, and WHO Headquarters. However, the latter two trends – particularly the themes of centralised decision-making authority and autonomy – should be viewed in limited terms. Very few African voices are represented directly in the </w:t>
      </w:r>
      <w:r>
        <w:rPr>
          <w:rFonts w:ascii="Calibri" w:hAnsi="Calibri" w:cs="Calibri"/>
          <w:color w:val="000000"/>
          <w:sz w:val="22"/>
          <w:szCs w:val="22"/>
          <w:lang w:eastAsia="en-GB"/>
        </w:rPr>
        <w:lastRenderedPageBreak/>
        <w:t>sponsoring agency archives</w:t>
      </w:r>
      <w:r w:rsidR="0075601F">
        <w:rPr>
          <w:rFonts w:ascii="Calibri" w:hAnsi="Calibri" w:cs="Calibri"/>
          <w:color w:val="000000"/>
          <w:sz w:val="22"/>
          <w:szCs w:val="22"/>
          <w:lang w:eastAsia="en-GB"/>
        </w:rPr>
        <w:t>’ OCP collections, and</w:t>
      </w:r>
      <w:r w:rsidR="00066932">
        <w:rPr>
          <w:rFonts w:ascii="Calibri" w:hAnsi="Calibri" w:cs="Calibri"/>
          <w:color w:val="000000"/>
          <w:sz w:val="22"/>
          <w:szCs w:val="22"/>
          <w:lang w:eastAsia="en-GB"/>
        </w:rPr>
        <w:t xml:space="preserve"> the dissertation’s central questions were carefully selected to minimise bias associated with this lack of African voices. </w:t>
      </w:r>
      <w:r w:rsidR="0075601F">
        <w:rPr>
          <w:rFonts w:ascii="Calibri" w:hAnsi="Calibri" w:cs="Calibri"/>
          <w:color w:val="000000"/>
          <w:sz w:val="22"/>
          <w:szCs w:val="22"/>
          <w:lang w:eastAsia="en-GB"/>
        </w:rPr>
        <w:t>I only touch on the programmatic role of the AFRO secretariat from a birds-eye view</w:t>
      </w:r>
      <w:r w:rsidR="00066932">
        <w:rPr>
          <w:rFonts w:ascii="Calibri" w:hAnsi="Calibri" w:cs="Calibri"/>
          <w:color w:val="000000"/>
          <w:sz w:val="22"/>
          <w:szCs w:val="22"/>
          <w:lang w:eastAsia="en-GB"/>
        </w:rPr>
        <w:t>, and suggest that future research on the OCP’s effectiveness includes AFRO, national, and local perspectives.</w:t>
      </w:r>
    </w:p>
    <w:p w14:paraId="44638EC2" w14:textId="7A5818CA" w:rsidR="00404D3A" w:rsidRPr="00D9152B" w:rsidRDefault="00AC7848" w:rsidP="006B543F">
      <w:pPr>
        <w:spacing w:before="100" w:beforeAutospacing="1" w:after="100" w:afterAutospacing="1" w:line="360" w:lineRule="auto"/>
        <w:rPr>
          <w:rFonts w:ascii="Calibri" w:hAnsi="Calibri" w:cs="Calibri"/>
          <w:color w:val="000000"/>
          <w:sz w:val="22"/>
          <w:szCs w:val="22"/>
          <w:lang w:eastAsia="en-GB"/>
        </w:rPr>
        <w:sectPr w:rsidR="00404D3A" w:rsidRPr="00D9152B" w:rsidSect="00E418AF">
          <w:footnotePr>
            <w:numRestart w:val="eachSect"/>
          </w:footnotePr>
          <w:pgSz w:w="11906" w:h="16838"/>
          <w:pgMar w:top="1134" w:right="1558" w:bottom="2268" w:left="2268" w:header="708" w:footer="708" w:gutter="0"/>
          <w:cols w:space="708"/>
          <w:docGrid w:linePitch="360"/>
        </w:sectPr>
      </w:pPr>
      <w:r w:rsidRPr="00D9152B">
        <w:rPr>
          <w:rFonts w:ascii="Calibri" w:hAnsi="Calibri" w:cs="Calibri"/>
          <w:color w:val="000000"/>
          <w:sz w:val="22"/>
          <w:szCs w:val="22"/>
          <w:lang w:eastAsia="en-GB"/>
        </w:rPr>
        <w:tab/>
        <w:t>In the end, the OCP may be frequently put forward as an example of positive inter-agency partnership for global health because few such examples</w:t>
      </w:r>
      <w:r w:rsidR="005F7D3B">
        <w:rPr>
          <w:rFonts w:ascii="Calibri" w:hAnsi="Calibri" w:cs="Calibri"/>
          <w:color w:val="000000"/>
          <w:sz w:val="22"/>
          <w:szCs w:val="22"/>
          <w:lang w:eastAsia="en-GB"/>
        </w:rPr>
        <w:t xml:space="preserve"> exist</w:t>
      </w:r>
      <w:r w:rsidRPr="00D9152B">
        <w:rPr>
          <w:rFonts w:ascii="Calibri" w:hAnsi="Calibri" w:cs="Calibri"/>
          <w:color w:val="000000"/>
          <w:sz w:val="22"/>
          <w:szCs w:val="22"/>
          <w:lang w:eastAsia="en-GB"/>
        </w:rPr>
        <w:t>.</w:t>
      </w:r>
      <w:r w:rsidR="00E71170" w:rsidRPr="00D9152B">
        <w:rPr>
          <w:rStyle w:val="FootnoteReference"/>
          <w:rFonts w:ascii="Calibri" w:hAnsi="Calibri" w:cs="Calibri"/>
          <w:color w:val="000000"/>
          <w:sz w:val="22"/>
          <w:szCs w:val="22"/>
          <w:lang w:eastAsia="en-GB"/>
        </w:rPr>
        <w:footnoteReference w:id="692"/>
      </w:r>
      <w:r w:rsidRPr="00D9152B">
        <w:rPr>
          <w:rFonts w:ascii="Calibri" w:hAnsi="Calibri" w:cs="Calibri"/>
          <w:color w:val="000000"/>
          <w:sz w:val="22"/>
          <w:szCs w:val="22"/>
          <w:lang w:eastAsia="en-GB"/>
        </w:rPr>
        <w:t xml:space="preserve"> In 1993, for instance, the WHO admitted that, despite a memorandum signed in 1978 on controlling </w:t>
      </w:r>
      <w:r w:rsidR="003D6826" w:rsidRPr="00D9152B">
        <w:rPr>
          <w:rFonts w:ascii="Calibri" w:hAnsi="Calibri" w:cs="Calibri"/>
          <w:color w:val="000000"/>
          <w:sz w:val="22"/>
          <w:szCs w:val="22"/>
          <w:lang w:eastAsia="en-GB"/>
        </w:rPr>
        <w:t>water-associated parasitic diseases in development projects</w:t>
      </w:r>
      <w:r w:rsidRPr="00D9152B">
        <w:rPr>
          <w:rFonts w:ascii="Calibri" w:hAnsi="Calibri" w:cs="Calibri"/>
          <w:color w:val="000000"/>
          <w:sz w:val="22"/>
          <w:szCs w:val="22"/>
          <w:lang w:eastAsia="en-GB"/>
        </w:rPr>
        <w:t xml:space="preserve"> and semi-frequent inter-agency meetings, ‘It is apparent that agreements among WHO, FAO and the World Bank are not being effectively implemented at the planning level or in the field’.</w:t>
      </w:r>
      <w:r w:rsidRPr="00D9152B">
        <w:rPr>
          <w:rFonts w:ascii="Calibri" w:hAnsi="Calibri" w:cs="Calibri"/>
          <w:color w:val="000000"/>
          <w:sz w:val="22"/>
          <w:szCs w:val="22"/>
          <w:vertAlign w:val="superscript"/>
          <w:lang w:eastAsia="en-GB"/>
        </w:rPr>
        <w:footnoteReference w:id="693"/>
      </w:r>
      <w:r w:rsidRPr="00D9152B">
        <w:rPr>
          <w:rFonts w:ascii="Calibri" w:hAnsi="Calibri" w:cs="Calibri"/>
          <w:color w:val="000000"/>
          <w:sz w:val="22"/>
          <w:szCs w:val="22"/>
          <w:lang w:eastAsia="en-GB"/>
        </w:rPr>
        <w:t xml:space="preserve"> In this sense, the OCP partnership’s success may be best viewed </w:t>
      </w:r>
      <w:r w:rsidRPr="00D9152B">
        <w:rPr>
          <w:rFonts w:ascii="Calibri" w:hAnsi="Calibri" w:cs="Calibri"/>
          <w:i/>
          <w:color w:val="000000"/>
          <w:sz w:val="22"/>
          <w:szCs w:val="22"/>
          <w:lang w:eastAsia="en-GB"/>
        </w:rPr>
        <w:t xml:space="preserve">relative </w:t>
      </w:r>
      <w:r w:rsidRPr="00D9152B">
        <w:rPr>
          <w:rFonts w:ascii="Calibri" w:hAnsi="Calibri" w:cs="Calibri"/>
          <w:color w:val="000000"/>
          <w:sz w:val="22"/>
          <w:szCs w:val="22"/>
          <w:lang w:eastAsia="en-GB"/>
        </w:rPr>
        <w:t xml:space="preserve">to failures of other inter-agency programmes, rather than in absolute terms. Chapter 7 considers this idea of relative and absolute success in more detail, through an analysis of </w:t>
      </w:r>
      <w:r w:rsidR="008A6D2C" w:rsidRPr="00D9152B">
        <w:rPr>
          <w:rFonts w:ascii="Calibri" w:hAnsi="Calibri" w:cs="Calibri"/>
          <w:color w:val="000000"/>
          <w:sz w:val="22"/>
          <w:szCs w:val="22"/>
          <w:lang w:eastAsia="en-GB"/>
        </w:rPr>
        <w:t>another aspect of the Bank’s partnership: its research collaborations with pharmaceutical companies.</w:t>
      </w:r>
    </w:p>
    <w:p w14:paraId="08C1E3DA" w14:textId="16C79035" w:rsidR="00D602C6" w:rsidRPr="00D9152B" w:rsidRDefault="00AC7848" w:rsidP="0049471C">
      <w:pPr>
        <w:pStyle w:val="Heading1"/>
        <w:rPr>
          <w:rFonts w:ascii="Calibri" w:hAnsi="Calibri" w:cs="Calibri"/>
          <w:b/>
          <w:sz w:val="36"/>
          <w:szCs w:val="36"/>
        </w:rPr>
      </w:pPr>
      <w:bookmarkStart w:id="119" w:name="_Toc41505679"/>
      <w:r w:rsidRPr="00D9152B">
        <w:rPr>
          <w:rFonts w:ascii="Calibri" w:hAnsi="Calibri" w:cs="Calibri"/>
          <w:b/>
          <w:sz w:val="36"/>
          <w:szCs w:val="36"/>
        </w:rPr>
        <w:lastRenderedPageBreak/>
        <w:t xml:space="preserve">Chapter </w:t>
      </w:r>
      <w:r w:rsidR="00472F39" w:rsidRPr="00D9152B">
        <w:rPr>
          <w:rFonts w:ascii="Calibri" w:hAnsi="Calibri" w:cs="Calibri"/>
          <w:b/>
          <w:sz w:val="36"/>
          <w:szCs w:val="36"/>
        </w:rPr>
        <w:t>7</w:t>
      </w:r>
      <w:r w:rsidR="0049471C" w:rsidRPr="00D9152B">
        <w:rPr>
          <w:rFonts w:ascii="Calibri" w:hAnsi="Calibri" w:cs="Calibri"/>
          <w:b/>
          <w:sz w:val="36"/>
          <w:szCs w:val="36"/>
        </w:rPr>
        <w:t>.</w:t>
      </w:r>
      <w:bookmarkEnd w:id="119"/>
      <w:r w:rsidR="0049471C" w:rsidRPr="00D9152B">
        <w:rPr>
          <w:rFonts w:ascii="Calibri" w:hAnsi="Calibri" w:cs="Calibri"/>
          <w:b/>
          <w:sz w:val="36"/>
          <w:szCs w:val="36"/>
        </w:rPr>
        <w:t xml:space="preserve"> </w:t>
      </w:r>
    </w:p>
    <w:p w14:paraId="01E6BA93" w14:textId="6C4374D7" w:rsidR="0049471C" w:rsidRPr="00D9152B" w:rsidRDefault="0049471C" w:rsidP="0049471C">
      <w:pPr>
        <w:pStyle w:val="Heading1"/>
        <w:rPr>
          <w:rFonts w:ascii="Calibri" w:hAnsi="Calibri" w:cs="Calibri"/>
          <w:b/>
          <w:sz w:val="36"/>
          <w:szCs w:val="36"/>
        </w:rPr>
      </w:pPr>
      <w:bookmarkStart w:id="120" w:name="_Toc41505680"/>
      <w:r w:rsidRPr="00D9152B">
        <w:rPr>
          <w:rFonts w:ascii="Calibri" w:hAnsi="Calibri" w:cs="Calibri"/>
          <w:b/>
          <w:sz w:val="36"/>
          <w:szCs w:val="36"/>
        </w:rPr>
        <w:t xml:space="preserve">Research partnership: </w:t>
      </w:r>
      <w:r w:rsidR="001E7513" w:rsidRPr="00D9152B">
        <w:rPr>
          <w:rFonts w:ascii="Calibri" w:hAnsi="Calibri" w:cs="Calibri"/>
          <w:b/>
          <w:sz w:val="36"/>
          <w:szCs w:val="36"/>
        </w:rPr>
        <w:t>Drug development &amp; ‘Moral C</w:t>
      </w:r>
      <w:r w:rsidRPr="00D9152B">
        <w:rPr>
          <w:rFonts w:ascii="Calibri" w:hAnsi="Calibri" w:cs="Calibri"/>
          <w:b/>
          <w:sz w:val="36"/>
          <w:szCs w:val="36"/>
        </w:rPr>
        <w:t>orporations’</w:t>
      </w:r>
      <w:bookmarkEnd w:id="120"/>
    </w:p>
    <w:p w14:paraId="5FC71F2B" w14:textId="19234A6D" w:rsidR="00AC7848" w:rsidRPr="00D9152B" w:rsidRDefault="00AC7848" w:rsidP="0049471C">
      <w:pPr>
        <w:pStyle w:val="Heading2"/>
        <w:rPr>
          <w:rFonts w:ascii="Calibri" w:hAnsi="Calibri" w:cs="Calibri"/>
        </w:rPr>
      </w:pPr>
    </w:p>
    <w:p w14:paraId="79EAFA81" w14:textId="77777777" w:rsidR="0049471C" w:rsidRPr="00D9152B" w:rsidRDefault="0049471C" w:rsidP="0049471C">
      <w:pPr>
        <w:rPr>
          <w:rFonts w:ascii="Calibri" w:hAnsi="Calibri" w:cs="Calibri"/>
          <w:lang w:val="en-US"/>
        </w:rPr>
      </w:pPr>
    </w:p>
    <w:p w14:paraId="17D11723" w14:textId="2C1D5501" w:rsidR="0049471C" w:rsidRPr="00D9152B" w:rsidRDefault="00076FC2" w:rsidP="00656BE2">
      <w:pPr>
        <w:pStyle w:val="Heading2"/>
        <w:rPr>
          <w:rFonts w:ascii="Calibri" w:hAnsi="Calibri" w:cs="Calibri"/>
          <w:b/>
          <w:sz w:val="26"/>
          <w:szCs w:val="26"/>
        </w:rPr>
      </w:pPr>
      <w:bookmarkStart w:id="121" w:name="_Toc41505681"/>
      <w:r w:rsidRPr="00D9152B">
        <w:rPr>
          <w:rFonts w:ascii="Calibri" w:hAnsi="Calibri" w:cs="Calibri"/>
          <w:b/>
          <w:sz w:val="26"/>
          <w:szCs w:val="26"/>
        </w:rPr>
        <w:t>7.1</w:t>
      </w:r>
      <w:r w:rsidR="002F22C3" w:rsidRPr="00D9152B">
        <w:rPr>
          <w:rFonts w:ascii="Calibri" w:hAnsi="Calibri" w:cs="Calibri"/>
          <w:b/>
          <w:sz w:val="26"/>
          <w:szCs w:val="26"/>
        </w:rPr>
        <w:t xml:space="preserve">. </w:t>
      </w:r>
      <w:r w:rsidR="0049471C" w:rsidRPr="00D9152B">
        <w:rPr>
          <w:rFonts w:ascii="Calibri" w:hAnsi="Calibri" w:cs="Calibri"/>
          <w:b/>
          <w:sz w:val="26"/>
          <w:szCs w:val="26"/>
        </w:rPr>
        <w:t>Introduction</w:t>
      </w:r>
      <w:bookmarkEnd w:id="121"/>
    </w:p>
    <w:p w14:paraId="548882BB" w14:textId="77AC30FE" w:rsidR="001728A0" w:rsidRPr="00D9152B" w:rsidRDefault="00E15AB8" w:rsidP="006B543F">
      <w:pPr>
        <w:spacing w:before="100" w:beforeAutospacing="1" w:after="100" w:afterAutospacing="1" w:line="360" w:lineRule="auto"/>
        <w:ind w:firstLine="720"/>
        <w:rPr>
          <w:rFonts w:ascii="Calibri" w:hAnsi="Calibri" w:cs="Calibri"/>
          <w:sz w:val="22"/>
          <w:szCs w:val="22"/>
        </w:rPr>
      </w:pPr>
      <w:r w:rsidRPr="00D9152B">
        <w:rPr>
          <w:rFonts w:ascii="Calibri" w:hAnsi="Calibri" w:cs="Calibri"/>
          <w:color w:val="000000"/>
          <w:sz w:val="22"/>
          <w:szCs w:val="22"/>
          <w:lang w:eastAsia="en-GB"/>
        </w:rPr>
        <w:t>At the time of the OCP’s launch</w:t>
      </w:r>
      <w:r w:rsidR="001728A0" w:rsidRPr="00D9152B">
        <w:rPr>
          <w:rFonts w:ascii="Calibri" w:hAnsi="Calibri" w:cs="Calibri"/>
          <w:color w:val="000000"/>
          <w:sz w:val="22"/>
          <w:szCs w:val="22"/>
          <w:lang w:eastAsia="en-GB"/>
        </w:rPr>
        <w:t xml:space="preserve">, the Bank was </w:t>
      </w:r>
      <w:r w:rsidR="00820420" w:rsidRPr="00D9152B">
        <w:rPr>
          <w:rFonts w:ascii="Calibri" w:hAnsi="Calibri" w:cs="Calibri"/>
          <w:color w:val="000000"/>
          <w:sz w:val="22"/>
          <w:szCs w:val="22"/>
          <w:lang w:eastAsia="en-GB"/>
        </w:rPr>
        <w:t>broadly trying to increase the interest of the private sector in supporting West African development activities</w:t>
      </w:r>
      <w:r w:rsidR="001728A0" w:rsidRPr="00D9152B">
        <w:rPr>
          <w:rFonts w:ascii="Calibri" w:hAnsi="Calibri" w:cs="Calibri"/>
          <w:color w:val="000000"/>
          <w:sz w:val="22"/>
          <w:szCs w:val="22"/>
          <w:lang w:eastAsia="en-GB"/>
        </w:rPr>
        <w:t xml:space="preserve">. As </w:t>
      </w:r>
      <w:r w:rsidR="0057269D" w:rsidRPr="00D9152B">
        <w:rPr>
          <w:rFonts w:ascii="Calibri" w:hAnsi="Calibri" w:cs="Calibri"/>
          <w:color w:val="000000"/>
          <w:sz w:val="22"/>
          <w:szCs w:val="22"/>
          <w:lang w:eastAsia="en-GB"/>
        </w:rPr>
        <w:t xml:space="preserve">the Bank’s Africa region Vice President, </w:t>
      </w:r>
      <w:r w:rsidR="001728A0" w:rsidRPr="00D9152B">
        <w:rPr>
          <w:rFonts w:ascii="Calibri" w:hAnsi="Calibri" w:cs="Calibri"/>
          <w:color w:val="000000"/>
          <w:sz w:val="22"/>
          <w:szCs w:val="22"/>
          <w:lang w:eastAsia="en-GB"/>
        </w:rPr>
        <w:t>Edward Jaycox</w:t>
      </w:r>
      <w:r w:rsidR="0057269D" w:rsidRPr="00D9152B">
        <w:rPr>
          <w:rFonts w:ascii="Calibri" w:hAnsi="Calibri" w:cs="Calibri"/>
          <w:color w:val="000000"/>
          <w:sz w:val="22"/>
          <w:szCs w:val="22"/>
          <w:lang w:eastAsia="en-GB"/>
        </w:rPr>
        <w:t xml:space="preserve">, </w:t>
      </w:r>
      <w:r w:rsidR="001728A0" w:rsidRPr="00D9152B">
        <w:rPr>
          <w:rFonts w:ascii="Calibri" w:hAnsi="Calibri" w:cs="Calibri"/>
          <w:color w:val="000000"/>
          <w:sz w:val="22"/>
          <w:szCs w:val="22"/>
          <w:lang w:eastAsia="en-GB"/>
        </w:rPr>
        <w:t xml:space="preserve">later explained, the West African department worried about the ‘slow response’ of the private sector, and believed that without increased investments, ‘we are not going to get an acceleration of </w:t>
      </w:r>
      <w:r w:rsidR="00094131" w:rsidRPr="00D9152B">
        <w:rPr>
          <w:rFonts w:ascii="Calibri" w:hAnsi="Calibri" w:cs="Calibri"/>
          <w:color w:val="000000"/>
          <w:sz w:val="22"/>
          <w:szCs w:val="22"/>
          <w:lang w:eastAsia="en-GB"/>
        </w:rPr>
        <w:t xml:space="preserve">the </w:t>
      </w:r>
      <w:r w:rsidR="001728A0" w:rsidRPr="00D9152B">
        <w:rPr>
          <w:rFonts w:ascii="Calibri" w:hAnsi="Calibri" w:cs="Calibri"/>
          <w:color w:val="000000"/>
          <w:sz w:val="22"/>
          <w:szCs w:val="22"/>
          <w:lang w:eastAsia="en-GB"/>
        </w:rPr>
        <w:t xml:space="preserve">results’ – like </w:t>
      </w:r>
      <w:r w:rsidR="00820420" w:rsidRPr="00D9152B">
        <w:rPr>
          <w:rFonts w:ascii="Calibri" w:hAnsi="Calibri" w:cs="Calibri"/>
          <w:color w:val="000000"/>
          <w:sz w:val="22"/>
          <w:szCs w:val="22"/>
          <w:lang w:eastAsia="en-GB"/>
        </w:rPr>
        <w:t xml:space="preserve">regional </w:t>
      </w:r>
      <w:r w:rsidR="001728A0" w:rsidRPr="00D9152B">
        <w:rPr>
          <w:rFonts w:ascii="Calibri" w:hAnsi="Calibri" w:cs="Calibri"/>
          <w:color w:val="000000"/>
          <w:sz w:val="22"/>
          <w:szCs w:val="22"/>
          <w:lang w:eastAsia="en-GB"/>
        </w:rPr>
        <w:t>economic growth</w:t>
      </w:r>
      <w:r w:rsidR="00820420" w:rsidRPr="00D9152B">
        <w:rPr>
          <w:rFonts w:ascii="Calibri" w:hAnsi="Calibri" w:cs="Calibri"/>
          <w:color w:val="000000"/>
          <w:sz w:val="22"/>
          <w:szCs w:val="22"/>
          <w:lang w:eastAsia="en-GB"/>
        </w:rPr>
        <w:t>.</w:t>
      </w:r>
      <w:r w:rsidR="00217272" w:rsidRPr="00D9152B">
        <w:rPr>
          <w:rFonts w:ascii="Calibri" w:hAnsi="Calibri" w:cs="Calibri"/>
          <w:sz w:val="22"/>
          <w:szCs w:val="22"/>
        </w:rPr>
        <w:t xml:space="preserve"> </w:t>
      </w:r>
      <w:r w:rsidR="000C15D5" w:rsidRPr="00D9152B">
        <w:rPr>
          <w:rFonts w:ascii="Calibri" w:hAnsi="Calibri" w:cs="Calibri"/>
          <w:sz w:val="22"/>
          <w:szCs w:val="22"/>
        </w:rPr>
        <w:t xml:space="preserve">Other </w:t>
      </w:r>
      <w:r w:rsidR="00820420" w:rsidRPr="00D9152B">
        <w:rPr>
          <w:rFonts w:ascii="Calibri" w:hAnsi="Calibri" w:cs="Calibri"/>
          <w:sz w:val="22"/>
          <w:szCs w:val="22"/>
        </w:rPr>
        <w:t>sponsoring agencies and donors agreed that it was vital to develop a better drug for the treatment or prevention of onchocerciasis</w:t>
      </w:r>
      <w:r w:rsidR="00E71170" w:rsidRPr="00D9152B">
        <w:rPr>
          <w:rFonts w:ascii="Calibri" w:hAnsi="Calibri" w:cs="Calibri"/>
          <w:sz w:val="22"/>
          <w:szCs w:val="22"/>
        </w:rPr>
        <w:t xml:space="preserve"> (Appendix X provides more details about why sponsoring agencies believed that a chemotherapy partnership was necessary)</w:t>
      </w:r>
      <w:r w:rsidR="001542F8" w:rsidRPr="00D9152B">
        <w:rPr>
          <w:rFonts w:ascii="Calibri" w:hAnsi="Calibri" w:cs="Calibri"/>
          <w:sz w:val="22"/>
          <w:szCs w:val="22"/>
        </w:rPr>
        <w:t>.</w:t>
      </w:r>
      <w:r w:rsidR="001542F8" w:rsidRPr="00D9152B">
        <w:rPr>
          <w:rStyle w:val="FootnoteReference"/>
          <w:rFonts w:ascii="Calibri" w:hAnsi="Calibri" w:cs="Calibri"/>
          <w:sz w:val="22"/>
          <w:szCs w:val="22"/>
        </w:rPr>
        <w:footnoteReference w:id="694"/>
      </w:r>
      <w:r w:rsidR="00820420" w:rsidRPr="00D9152B">
        <w:rPr>
          <w:rFonts w:ascii="Calibri" w:hAnsi="Calibri" w:cs="Calibri"/>
          <w:sz w:val="22"/>
          <w:szCs w:val="22"/>
        </w:rPr>
        <w:t xml:space="preserve"> This would require some form of partnership with major pharmaceutical companies or research institutions</w:t>
      </w:r>
      <w:r w:rsidR="00F33345" w:rsidRPr="00D9152B">
        <w:rPr>
          <w:rFonts w:ascii="Calibri" w:hAnsi="Calibri" w:cs="Calibri"/>
          <w:sz w:val="22"/>
          <w:szCs w:val="22"/>
        </w:rPr>
        <w:t>, since these companies would have little financial incentive to invest in neglected tropical diseases on their own</w:t>
      </w:r>
      <w:r w:rsidR="00820420" w:rsidRPr="00D9152B">
        <w:rPr>
          <w:rFonts w:ascii="Calibri" w:hAnsi="Calibri" w:cs="Calibri"/>
          <w:sz w:val="22"/>
          <w:szCs w:val="22"/>
        </w:rPr>
        <w:t>.</w:t>
      </w:r>
    </w:p>
    <w:p w14:paraId="043374C1" w14:textId="4984890B" w:rsidR="00A75FE0" w:rsidRPr="00D9152B" w:rsidRDefault="001728A0" w:rsidP="006B543F">
      <w:pPr>
        <w:spacing w:before="100" w:beforeAutospacing="1" w:after="100" w:afterAutospacing="1" w:line="360" w:lineRule="auto"/>
        <w:ind w:firstLine="720"/>
        <w:rPr>
          <w:rFonts w:ascii="Calibri" w:hAnsi="Calibri" w:cs="Calibri"/>
          <w:color w:val="000000"/>
          <w:sz w:val="22"/>
          <w:szCs w:val="22"/>
          <w:lang w:eastAsia="en-GB"/>
        </w:rPr>
      </w:pPr>
      <w:r w:rsidRPr="00D9152B">
        <w:rPr>
          <w:rFonts w:ascii="Calibri" w:hAnsi="Calibri" w:cs="Calibri"/>
          <w:color w:val="000000"/>
          <w:sz w:val="22"/>
          <w:szCs w:val="22"/>
          <w:lang w:eastAsia="en-GB"/>
        </w:rPr>
        <w:t>As described in</w:t>
      </w:r>
      <w:r w:rsidR="00F33345" w:rsidRPr="00D9152B">
        <w:rPr>
          <w:rFonts w:ascii="Calibri" w:hAnsi="Calibri" w:cs="Calibri"/>
          <w:color w:val="000000"/>
          <w:sz w:val="22"/>
          <w:szCs w:val="22"/>
          <w:lang w:eastAsia="en-GB"/>
        </w:rPr>
        <w:t xml:space="preserve"> Chapter 3’s success narrative, the OCP’s </w:t>
      </w:r>
      <w:r w:rsidR="00A75FE0" w:rsidRPr="00D9152B">
        <w:rPr>
          <w:rFonts w:ascii="Calibri" w:hAnsi="Calibri" w:cs="Calibri"/>
          <w:color w:val="000000"/>
          <w:sz w:val="22"/>
          <w:szCs w:val="22"/>
          <w:lang w:eastAsia="en-GB"/>
        </w:rPr>
        <w:t xml:space="preserve">pharmaceutical partnership </w:t>
      </w:r>
      <w:r w:rsidR="00EC15C7" w:rsidRPr="00D9152B">
        <w:rPr>
          <w:rFonts w:ascii="Calibri" w:hAnsi="Calibri" w:cs="Calibri"/>
          <w:color w:val="000000"/>
          <w:sz w:val="22"/>
          <w:szCs w:val="22"/>
          <w:lang w:eastAsia="en-GB"/>
        </w:rPr>
        <w:t>has been</w:t>
      </w:r>
      <w:r w:rsidR="00A75FE0" w:rsidRPr="00D9152B">
        <w:rPr>
          <w:rFonts w:ascii="Calibri" w:hAnsi="Calibri" w:cs="Calibri"/>
          <w:color w:val="000000"/>
          <w:sz w:val="22"/>
          <w:szCs w:val="22"/>
          <w:lang w:eastAsia="en-GB"/>
        </w:rPr>
        <w:t xml:space="preserve"> touted as </w:t>
      </w:r>
      <w:r w:rsidR="00EC15C7" w:rsidRPr="00D9152B">
        <w:rPr>
          <w:rFonts w:ascii="Calibri" w:hAnsi="Calibri" w:cs="Calibri"/>
          <w:color w:val="000000"/>
          <w:sz w:val="22"/>
          <w:szCs w:val="22"/>
          <w:lang w:eastAsia="en-GB"/>
        </w:rPr>
        <w:t>a major reason</w:t>
      </w:r>
      <w:r w:rsidR="00A75FE0" w:rsidRPr="00D9152B">
        <w:rPr>
          <w:rFonts w:ascii="Calibri" w:hAnsi="Calibri" w:cs="Calibri"/>
          <w:color w:val="000000"/>
          <w:sz w:val="22"/>
          <w:szCs w:val="22"/>
          <w:lang w:eastAsia="en-GB"/>
        </w:rPr>
        <w:t xml:space="preserve"> for </w:t>
      </w:r>
      <w:r w:rsidR="00F33345" w:rsidRPr="00D9152B">
        <w:rPr>
          <w:rFonts w:ascii="Calibri" w:hAnsi="Calibri" w:cs="Calibri"/>
          <w:color w:val="000000"/>
          <w:sz w:val="22"/>
          <w:szCs w:val="22"/>
          <w:lang w:eastAsia="en-GB"/>
        </w:rPr>
        <w:t>the programme’s</w:t>
      </w:r>
      <w:r w:rsidR="00A75FE0" w:rsidRPr="00D9152B">
        <w:rPr>
          <w:rFonts w:ascii="Calibri" w:hAnsi="Calibri" w:cs="Calibri"/>
          <w:color w:val="000000"/>
          <w:sz w:val="22"/>
          <w:szCs w:val="22"/>
          <w:lang w:eastAsia="en-GB"/>
        </w:rPr>
        <w:t xml:space="preserve"> success. </w:t>
      </w:r>
      <w:r w:rsidRPr="00D9152B">
        <w:rPr>
          <w:rFonts w:ascii="Calibri" w:hAnsi="Calibri" w:cs="Calibri"/>
          <w:color w:val="000000"/>
          <w:sz w:val="22"/>
          <w:szCs w:val="22"/>
          <w:lang w:eastAsia="en-GB"/>
        </w:rPr>
        <w:t>In 1987, the pharmaceutical company Merck</w:t>
      </w:r>
      <w:r w:rsidR="00A75FE0" w:rsidRPr="00D9152B">
        <w:rPr>
          <w:rFonts w:ascii="Calibri" w:hAnsi="Calibri" w:cs="Calibri"/>
          <w:color w:val="000000"/>
          <w:sz w:val="22"/>
          <w:szCs w:val="22"/>
          <w:lang w:eastAsia="en-GB"/>
        </w:rPr>
        <w:t xml:space="preserve"> &amp; Co., Ltd made an </w:t>
      </w:r>
      <w:r w:rsidRPr="00D9152B">
        <w:rPr>
          <w:rFonts w:ascii="Calibri" w:hAnsi="Calibri" w:cs="Calibri"/>
          <w:color w:val="000000"/>
          <w:sz w:val="22"/>
          <w:szCs w:val="22"/>
          <w:lang w:eastAsia="en-GB"/>
        </w:rPr>
        <w:t>unprecedented decision to donate a</w:t>
      </w:r>
      <w:r w:rsidR="00F33345" w:rsidRPr="00D9152B">
        <w:rPr>
          <w:rFonts w:ascii="Calibri" w:hAnsi="Calibri" w:cs="Calibri"/>
          <w:color w:val="000000"/>
          <w:sz w:val="22"/>
          <w:szCs w:val="22"/>
          <w:lang w:eastAsia="en-GB"/>
        </w:rPr>
        <w:t>s much of a</w:t>
      </w:r>
      <w:r w:rsidRPr="00D9152B">
        <w:rPr>
          <w:rFonts w:ascii="Calibri" w:hAnsi="Calibri" w:cs="Calibri"/>
          <w:color w:val="000000"/>
          <w:sz w:val="22"/>
          <w:szCs w:val="22"/>
          <w:lang w:eastAsia="en-GB"/>
        </w:rPr>
        <w:t xml:space="preserve"> drug – ivermectin (Mectizan) – </w:t>
      </w:r>
      <w:r w:rsidR="00F33345" w:rsidRPr="00D9152B">
        <w:rPr>
          <w:rFonts w:ascii="Calibri" w:hAnsi="Calibri" w:cs="Calibri"/>
          <w:color w:val="000000"/>
          <w:sz w:val="22"/>
          <w:szCs w:val="22"/>
          <w:lang w:eastAsia="en-GB"/>
        </w:rPr>
        <w:t xml:space="preserve">as needed </w:t>
      </w:r>
      <w:r w:rsidRPr="00D9152B">
        <w:rPr>
          <w:rFonts w:ascii="Calibri" w:hAnsi="Calibri" w:cs="Calibri"/>
          <w:color w:val="000000"/>
          <w:sz w:val="22"/>
          <w:szCs w:val="22"/>
          <w:lang w:eastAsia="en-GB"/>
        </w:rPr>
        <w:t>for</w:t>
      </w:r>
      <w:r w:rsidR="00A75FE0" w:rsidRPr="00D9152B">
        <w:rPr>
          <w:rFonts w:ascii="Calibri" w:hAnsi="Calibri" w:cs="Calibri"/>
          <w:color w:val="000000"/>
          <w:sz w:val="22"/>
          <w:szCs w:val="22"/>
          <w:lang w:eastAsia="en-GB"/>
        </w:rPr>
        <w:t xml:space="preserve"> the control of onchocerciasis,</w:t>
      </w:r>
      <w:r w:rsidRPr="00D9152B">
        <w:rPr>
          <w:rFonts w:ascii="Calibri" w:hAnsi="Calibri" w:cs="Calibri"/>
          <w:color w:val="000000"/>
          <w:sz w:val="22"/>
          <w:szCs w:val="22"/>
          <w:lang w:eastAsia="en-GB"/>
        </w:rPr>
        <w:t xml:space="preserve"> for as long as needed. This decision generated a </w:t>
      </w:r>
      <w:r w:rsidR="005A59F8" w:rsidRPr="00D9152B">
        <w:rPr>
          <w:rFonts w:ascii="Calibri" w:hAnsi="Calibri" w:cs="Calibri"/>
          <w:color w:val="000000"/>
          <w:sz w:val="22"/>
          <w:szCs w:val="22"/>
          <w:lang w:eastAsia="en-GB"/>
        </w:rPr>
        <w:t xml:space="preserve">flurry of media attention </w:t>
      </w:r>
      <w:r w:rsidR="00A75FE0" w:rsidRPr="00D9152B">
        <w:rPr>
          <w:rFonts w:ascii="Calibri" w:hAnsi="Calibri" w:cs="Calibri"/>
          <w:color w:val="000000"/>
          <w:sz w:val="22"/>
          <w:szCs w:val="22"/>
          <w:lang w:eastAsia="en-GB"/>
        </w:rPr>
        <w:t xml:space="preserve">(Figure </w:t>
      </w:r>
      <w:r w:rsidR="005F7D3B">
        <w:rPr>
          <w:rFonts w:ascii="Calibri" w:hAnsi="Calibri" w:cs="Calibri"/>
          <w:color w:val="000000"/>
          <w:sz w:val="22"/>
          <w:szCs w:val="22"/>
          <w:lang w:eastAsia="en-GB"/>
        </w:rPr>
        <w:t>7.</w:t>
      </w:r>
      <w:r w:rsidR="00A75FE0" w:rsidRPr="00D9152B">
        <w:rPr>
          <w:rFonts w:ascii="Calibri" w:hAnsi="Calibri" w:cs="Calibri"/>
          <w:color w:val="000000"/>
          <w:sz w:val="22"/>
          <w:szCs w:val="22"/>
          <w:lang w:eastAsia="en-GB"/>
        </w:rPr>
        <w:t>1)</w:t>
      </w:r>
      <w:r w:rsidRPr="00D9152B">
        <w:rPr>
          <w:rFonts w:ascii="Calibri" w:hAnsi="Calibri" w:cs="Calibri"/>
          <w:color w:val="000000"/>
          <w:sz w:val="22"/>
          <w:szCs w:val="22"/>
          <w:lang w:eastAsia="en-GB"/>
        </w:rPr>
        <w:t>, at least partially because of pu</w:t>
      </w:r>
      <w:r w:rsidR="00A75FE0" w:rsidRPr="00D9152B">
        <w:rPr>
          <w:rFonts w:ascii="Calibri" w:hAnsi="Calibri" w:cs="Calibri"/>
          <w:color w:val="000000"/>
          <w:sz w:val="22"/>
          <w:szCs w:val="22"/>
          <w:lang w:eastAsia="en-GB"/>
        </w:rPr>
        <w:t xml:space="preserve">blic relations efforts by Merck, the </w:t>
      </w:r>
      <w:r w:rsidR="00217272" w:rsidRPr="00D9152B">
        <w:rPr>
          <w:rFonts w:ascii="Calibri" w:hAnsi="Calibri" w:cs="Calibri"/>
          <w:color w:val="000000"/>
          <w:sz w:val="22"/>
          <w:szCs w:val="22"/>
          <w:lang w:eastAsia="en-GB"/>
        </w:rPr>
        <w:t>World Health Organization (WHO)</w:t>
      </w:r>
      <w:r w:rsidR="00A75FE0" w:rsidRPr="00D9152B">
        <w:rPr>
          <w:rFonts w:ascii="Calibri" w:hAnsi="Calibri" w:cs="Calibri"/>
          <w:color w:val="000000"/>
          <w:sz w:val="22"/>
          <w:szCs w:val="22"/>
          <w:lang w:eastAsia="en-GB"/>
        </w:rPr>
        <w:t xml:space="preserve">, and the </w:t>
      </w:r>
      <w:r w:rsidR="00217272" w:rsidRPr="00D9152B">
        <w:rPr>
          <w:rFonts w:ascii="Calibri" w:hAnsi="Calibri" w:cs="Calibri"/>
          <w:color w:val="000000"/>
          <w:sz w:val="22"/>
          <w:szCs w:val="22"/>
          <w:lang w:eastAsia="en-GB"/>
        </w:rPr>
        <w:t xml:space="preserve">World </w:t>
      </w:r>
      <w:r w:rsidR="00A75FE0" w:rsidRPr="00D9152B">
        <w:rPr>
          <w:rFonts w:ascii="Calibri" w:hAnsi="Calibri" w:cs="Calibri"/>
          <w:color w:val="000000"/>
          <w:sz w:val="22"/>
          <w:szCs w:val="22"/>
          <w:lang w:eastAsia="en-GB"/>
        </w:rPr>
        <w:t>Bank</w:t>
      </w:r>
      <w:r w:rsidRPr="00D9152B">
        <w:rPr>
          <w:rFonts w:ascii="Calibri" w:hAnsi="Calibri" w:cs="Calibri"/>
          <w:color w:val="000000"/>
          <w:sz w:val="22"/>
          <w:szCs w:val="22"/>
          <w:lang w:eastAsia="en-GB"/>
        </w:rPr>
        <w:t>.</w:t>
      </w:r>
      <w:r w:rsidR="00A75FE0" w:rsidRPr="00D9152B">
        <w:rPr>
          <w:rFonts w:ascii="Calibri" w:hAnsi="Calibri" w:cs="Calibri"/>
          <w:color w:val="000000"/>
          <w:sz w:val="22"/>
          <w:szCs w:val="22"/>
          <w:lang w:eastAsia="en-GB"/>
        </w:rPr>
        <w:t xml:space="preserve"> </w:t>
      </w:r>
      <w:r w:rsidR="00EC15C7" w:rsidRPr="00D9152B">
        <w:rPr>
          <w:rFonts w:ascii="Calibri" w:hAnsi="Calibri" w:cs="Calibri"/>
          <w:color w:val="000000"/>
          <w:sz w:val="22"/>
          <w:szCs w:val="22"/>
          <w:lang w:eastAsia="en-GB"/>
        </w:rPr>
        <w:t xml:space="preserve">United States </w:t>
      </w:r>
      <w:r w:rsidR="00BA1092" w:rsidRPr="00D9152B">
        <w:rPr>
          <w:rFonts w:ascii="Calibri" w:hAnsi="Calibri" w:cs="Calibri"/>
          <w:color w:val="000000"/>
          <w:sz w:val="22"/>
          <w:szCs w:val="22"/>
          <w:lang w:eastAsia="en-GB"/>
        </w:rPr>
        <w:t xml:space="preserve">Senator </w:t>
      </w:r>
      <w:r w:rsidR="00217272" w:rsidRPr="00D9152B">
        <w:rPr>
          <w:rFonts w:ascii="Calibri" w:hAnsi="Calibri" w:cs="Calibri"/>
          <w:color w:val="000000"/>
          <w:sz w:val="22"/>
          <w:szCs w:val="22"/>
          <w:lang w:eastAsia="en-GB"/>
        </w:rPr>
        <w:t>Edward (</w:t>
      </w:r>
      <w:r w:rsidR="00BA1092" w:rsidRPr="00D9152B">
        <w:rPr>
          <w:rFonts w:ascii="Calibri" w:hAnsi="Calibri" w:cs="Calibri"/>
          <w:color w:val="000000"/>
          <w:sz w:val="22"/>
          <w:szCs w:val="22"/>
          <w:lang w:eastAsia="en-GB"/>
        </w:rPr>
        <w:t>Ted</w:t>
      </w:r>
      <w:r w:rsidR="00217272" w:rsidRPr="00D9152B">
        <w:rPr>
          <w:rFonts w:ascii="Calibri" w:hAnsi="Calibri" w:cs="Calibri"/>
          <w:color w:val="000000"/>
          <w:sz w:val="22"/>
          <w:szCs w:val="22"/>
          <w:lang w:eastAsia="en-GB"/>
        </w:rPr>
        <w:t>)</w:t>
      </w:r>
      <w:r w:rsidR="00BA1092" w:rsidRPr="00D9152B">
        <w:rPr>
          <w:rFonts w:ascii="Calibri" w:hAnsi="Calibri" w:cs="Calibri"/>
          <w:color w:val="000000"/>
          <w:sz w:val="22"/>
          <w:szCs w:val="22"/>
          <w:lang w:eastAsia="en-GB"/>
        </w:rPr>
        <w:t xml:space="preserve"> Kennedy went as far as to say, ‘Merck’s gift to the World Health Organization is more than a medical </w:t>
      </w:r>
      <w:r w:rsidR="00BA1092" w:rsidRPr="00D9152B">
        <w:rPr>
          <w:rFonts w:ascii="Calibri" w:hAnsi="Calibri" w:cs="Calibri"/>
          <w:color w:val="000000"/>
          <w:sz w:val="22"/>
          <w:szCs w:val="22"/>
          <w:lang w:eastAsia="en-GB"/>
        </w:rPr>
        <w:lastRenderedPageBreak/>
        <w:t>breakthrough – it is truly a triumph of the human spirit’.</w:t>
      </w:r>
      <w:r w:rsidR="00BA1092" w:rsidRPr="00D9152B">
        <w:rPr>
          <w:rStyle w:val="FootnoteReference"/>
          <w:rFonts w:ascii="Calibri" w:hAnsi="Calibri" w:cs="Calibri"/>
          <w:color w:val="000000"/>
          <w:sz w:val="22"/>
          <w:szCs w:val="22"/>
          <w:lang w:eastAsia="en-GB"/>
        </w:rPr>
        <w:footnoteReference w:id="695"/>
      </w:r>
      <w:r w:rsidR="00BA1092" w:rsidRPr="00D9152B">
        <w:rPr>
          <w:rFonts w:ascii="Calibri" w:hAnsi="Calibri" w:cs="Calibri"/>
          <w:color w:val="000000"/>
          <w:sz w:val="22"/>
          <w:szCs w:val="22"/>
          <w:lang w:eastAsia="en-GB"/>
        </w:rPr>
        <w:t xml:space="preserve"> </w:t>
      </w:r>
      <w:r w:rsidR="00A75FE0" w:rsidRPr="00D9152B">
        <w:rPr>
          <w:rFonts w:ascii="Calibri" w:hAnsi="Calibri" w:cs="Calibri"/>
          <w:color w:val="000000"/>
          <w:sz w:val="22"/>
          <w:szCs w:val="22"/>
          <w:lang w:eastAsia="en-GB"/>
        </w:rPr>
        <w:t xml:space="preserve">At a joint press conference, </w:t>
      </w:r>
      <w:r w:rsidR="00217272" w:rsidRPr="00D9152B">
        <w:rPr>
          <w:rFonts w:ascii="Calibri" w:hAnsi="Calibri" w:cs="Calibri"/>
          <w:color w:val="000000"/>
          <w:sz w:val="22"/>
          <w:szCs w:val="22"/>
          <w:lang w:eastAsia="en-GB"/>
        </w:rPr>
        <w:t xml:space="preserve">WHO Director General Halfdan </w:t>
      </w:r>
      <w:r w:rsidR="00A75FE0" w:rsidRPr="00D9152B">
        <w:rPr>
          <w:rFonts w:ascii="Calibri" w:hAnsi="Calibri" w:cs="Calibri"/>
          <w:color w:val="000000"/>
          <w:sz w:val="22"/>
          <w:szCs w:val="22"/>
          <w:lang w:eastAsia="en-GB"/>
        </w:rPr>
        <w:t xml:space="preserve">Mahler </w:t>
      </w:r>
      <w:r w:rsidR="00BA1092" w:rsidRPr="00D9152B">
        <w:rPr>
          <w:rFonts w:ascii="Calibri" w:hAnsi="Calibri" w:cs="Calibri"/>
          <w:color w:val="000000"/>
          <w:sz w:val="22"/>
          <w:szCs w:val="22"/>
          <w:lang w:eastAsia="en-GB"/>
        </w:rPr>
        <w:t xml:space="preserve">also </w:t>
      </w:r>
      <w:r w:rsidR="00A75FE0" w:rsidRPr="00D9152B">
        <w:rPr>
          <w:rFonts w:ascii="Calibri" w:hAnsi="Calibri" w:cs="Calibri"/>
          <w:color w:val="000000"/>
          <w:sz w:val="22"/>
          <w:szCs w:val="22"/>
          <w:lang w:eastAsia="en-GB"/>
        </w:rPr>
        <w:t xml:space="preserve">stated that, </w:t>
      </w:r>
    </w:p>
    <w:p w14:paraId="4A237775" w14:textId="71A32386" w:rsidR="00A75FE0" w:rsidRPr="00D9152B" w:rsidRDefault="00A75FE0" w:rsidP="00BA1092">
      <w:pPr>
        <w:pStyle w:val="Quote"/>
        <w:spacing w:before="100" w:beforeAutospacing="1" w:after="100" w:afterAutospacing="1"/>
        <w:ind w:left="862" w:right="862"/>
        <w:rPr>
          <w:rFonts w:cs="Calibri"/>
          <w:sz w:val="22"/>
          <w:szCs w:val="22"/>
        </w:rPr>
      </w:pPr>
      <w:r w:rsidRPr="00D9152B">
        <w:rPr>
          <w:rStyle w:val="QuoteChar"/>
          <w:rFonts w:cs="Calibri"/>
          <w:i/>
          <w:iCs/>
          <w:sz w:val="22"/>
          <w:szCs w:val="22"/>
        </w:rPr>
        <w:t>‘The development, testing and use of ivermectin for the treatment of onchocerciasis is a critical breakthrough in the struggle against this disease and it exemplifies the useful results that can be achieved from collaboration between the pharmaceutical industry and the World Health Organization, acting on behalf of its 166 member states, for the improvement of human health.’</w:t>
      </w:r>
      <w:r w:rsidRPr="00D9152B">
        <w:rPr>
          <w:rStyle w:val="QuoteChar"/>
          <w:rFonts w:cs="Calibri"/>
          <w:iCs/>
          <w:sz w:val="22"/>
          <w:szCs w:val="22"/>
          <w:vertAlign w:val="superscript"/>
        </w:rPr>
        <w:footnoteReference w:id="696"/>
      </w:r>
      <w:r w:rsidR="001728A0" w:rsidRPr="00D9152B">
        <w:rPr>
          <w:rStyle w:val="QuoteChar"/>
          <w:rFonts w:cs="Calibri"/>
          <w:i/>
          <w:iCs/>
          <w:sz w:val="22"/>
          <w:szCs w:val="22"/>
          <w:vertAlign w:val="superscript"/>
        </w:rPr>
        <w:t xml:space="preserve"> </w:t>
      </w:r>
    </w:p>
    <w:p w14:paraId="125B6564" w14:textId="77777777" w:rsidR="000C15D5" w:rsidRPr="00D9152B" w:rsidRDefault="000C15D5" w:rsidP="00BA1092">
      <w:pPr>
        <w:spacing w:before="120" w:after="120"/>
        <w:jc w:val="center"/>
        <w:rPr>
          <w:rFonts w:ascii="Calibri" w:hAnsi="Calibri" w:cs="Calibri"/>
        </w:rPr>
      </w:pPr>
      <w:r w:rsidRPr="00D9152B">
        <w:rPr>
          <w:rFonts w:ascii="Calibri" w:hAnsi="Calibri" w:cs="Calibri"/>
          <w:b/>
          <w:noProof/>
          <w:lang w:eastAsia="en-GB"/>
        </w:rPr>
        <w:drawing>
          <wp:inline distT="0" distB="0" distL="0" distR="0" wp14:anchorId="5CB4DD99" wp14:editId="01D9869B">
            <wp:extent cx="5128259" cy="1219200"/>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rotWithShape="1">
                    <a:blip r:embed="rId91">
                      <a:extLst>
                        <a:ext uri="{28A0092B-C50C-407E-A947-70E740481C1C}">
                          <a14:useLocalDpi xmlns:a14="http://schemas.microsoft.com/office/drawing/2010/main" val="0"/>
                        </a:ext>
                      </a:extLst>
                    </a:blip>
                    <a:srcRect t="21481"/>
                    <a:stretch/>
                  </pic:blipFill>
                  <pic:spPr bwMode="auto">
                    <a:xfrm>
                      <a:off x="0" y="0"/>
                      <a:ext cx="5143091" cy="1222726"/>
                    </a:xfrm>
                    <a:prstGeom prst="rect">
                      <a:avLst/>
                    </a:prstGeom>
                    <a:noFill/>
                    <a:ln>
                      <a:noFill/>
                    </a:ln>
                    <a:extLst>
                      <a:ext uri="{53640926-AAD7-44D8-BBD7-CCE9431645EC}">
                        <a14:shadowObscured xmlns:a14="http://schemas.microsoft.com/office/drawing/2010/main"/>
                      </a:ext>
                    </a:extLst>
                  </pic:spPr>
                </pic:pic>
              </a:graphicData>
            </a:graphic>
          </wp:inline>
        </w:drawing>
      </w:r>
    </w:p>
    <w:p w14:paraId="574D6167" w14:textId="77777777" w:rsidR="000C15D5" w:rsidRPr="00D9152B" w:rsidRDefault="000C15D5" w:rsidP="00BA1092">
      <w:pPr>
        <w:spacing w:before="120" w:after="120"/>
        <w:jc w:val="center"/>
        <w:rPr>
          <w:rFonts w:ascii="Calibri" w:hAnsi="Calibri" w:cs="Calibri"/>
        </w:rPr>
      </w:pPr>
      <w:r w:rsidRPr="00D9152B">
        <w:rPr>
          <w:rFonts w:ascii="Calibri" w:hAnsi="Calibri" w:cs="Calibri"/>
          <w:b/>
          <w:noProof/>
          <w:lang w:eastAsia="en-GB"/>
        </w:rPr>
        <w:drawing>
          <wp:inline distT="0" distB="0" distL="0" distR="0" wp14:anchorId="7BE7A45C" wp14:editId="110D987E">
            <wp:extent cx="5125720" cy="1041338"/>
            <wp:effectExtent l="0" t="0" r="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rotWithShape="1">
                    <a:blip r:embed="rId92">
                      <a:extLst>
                        <a:ext uri="{28A0092B-C50C-407E-A947-70E740481C1C}">
                          <a14:useLocalDpi xmlns:a14="http://schemas.microsoft.com/office/drawing/2010/main" val="0"/>
                        </a:ext>
                      </a:extLst>
                    </a:blip>
                    <a:srcRect t="24170" b="11900"/>
                    <a:stretch/>
                  </pic:blipFill>
                  <pic:spPr bwMode="auto">
                    <a:xfrm>
                      <a:off x="0" y="0"/>
                      <a:ext cx="5145113" cy="1045278"/>
                    </a:xfrm>
                    <a:prstGeom prst="rect">
                      <a:avLst/>
                    </a:prstGeom>
                    <a:noFill/>
                    <a:ln>
                      <a:noFill/>
                    </a:ln>
                    <a:extLst>
                      <a:ext uri="{53640926-AAD7-44D8-BBD7-CCE9431645EC}">
                        <a14:shadowObscured xmlns:a14="http://schemas.microsoft.com/office/drawing/2010/main"/>
                      </a:ext>
                    </a:extLst>
                  </pic:spPr>
                </pic:pic>
              </a:graphicData>
            </a:graphic>
          </wp:inline>
        </w:drawing>
      </w:r>
    </w:p>
    <w:p w14:paraId="4E9E8F79" w14:textId="77777777" w:rsidR="000C15D5" w:rsidRPr="00D9152B" w:rsidRDefault="000C15D5" w:rsidP="00BA1092">
      <w:pPr>
        <w:spacing w:before="120" w:after="120"/>
        <w:jc w:val="center"/>
        <w:rPr>
          <w:rFonts w:ascii="Calibri" w:hAnsi="Calibri" w:cs="Calibri"/>
        </w:rPr>
      </w:pPr>
      <w:r w:rsidRPr="00D9152B">
        <w:rPr>
          <w:rFonts w:ascii="Calibri" w:hAnsi="Calibri" w:cs="Calibri"/>
          <w:noProof/>
          <w:lang w:eastAsia="en-GB"/>
        </w:rPr>
        <w:drawing>
          <wp:inline distT="0" distB="0" distL="0" distR="0" wp14:anchorId="142E5188" wp14:editId="7A544ED4">
            <wp:extent cx="5124598" cy="951978"/>
            <wp:effectExtent l="0" t="0" r="0" b="63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3" cstate="print">
                      <a:extLst>
                        <a:ext uri="{28A0092B-C50C-407E-A947-70E740481C1C}">
                          <a14:useLocalDpi xmlns:a14="http://schemas.microsoft.com/office/drawing/2010/main" val="0"/>
                        </a:ext>
                      </a:extLst>
                    </a:blip>
                    <a:srcRect t="28780" b="17268"/>
                    <a:stretch/>
                  </pic:blipFill>
                  <pic:spPr bwMode="auto">
                    <a:xfrm>
                      <a:off x="0" y="0"/>
                      <a:ext cx="5135621" cy="954026"/>
                    </a:xfrm>
                    <a:prstGeom prst="rect">
                      <a:avLst/>
                    </a:prstGeom>
                    <a:noFill/>
                    <a:ln>
                      <a:noFill/>
                    </a:ln>
                    <a:extLst>
                      <a:ext uri="{53640926-AAD7-44D8-BBD7-CCE9431645EC}">
                        <a14:shadowObscured xmlns:a14="http://schemas.microsoft.com/office/drawing/2010/main"/>
                      </a:ext>
                    </a:extLst>
                  </pic:spPr>
                </pic:pic>
              </a:graphicData>
            </a:graphic>
          </wp:inline>
        </w:drawing>
      </w:r>
    </w:p>
    <w:p w14:paraId="33F2F3BE" w14:textId="77777777" w:rsidR="000C15D5" w:rsidRPr="00D9152B" w:rsidRDefault="000C15D5" w:rsidP="00BA1092">
      <w:pPr>
        <w:spacing w:before="120" w:after="120"/>
        <w:jc w:val="center"/>
        <w:rPr>
          <w:rFonts w:ascii="Calibri" w:hAnsi="Calibri" w:cs="Calibri"/>
        </w:rPr>
      </w:pPr>
      <w:r w:rsidRPr="00D9152B">
        <w:rPr>
          <w:rFonts w:ascii="Calibri" w:hAnsi="Calibri" w:cs="Calibri"/>
          <w:noProof/>
          <w:lang w:eastAsia="en-GB"/>
        </w:rPr>
        <w:drawing>
          <wp:inline distT="0" distB="0" distL="0" distR="0" wp14:anchorId="58DCB232" wp14:editId="79642680">
            <wp:extent cx="5113020" cy="10730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4">
                      <a:extLst>
                        <a:ext uri="{28A0092B-C50C-407E-A947-70E740481C1C}">
                          <a14:useLocalDpi xmlns:a14="http://schemas.microsoft.com/office/drawing/2010/main" val="0"/>
                        </a:ext>
                      </a:extLst>
                    </a:blip>
                    <a:srcRect t="33143"/>
                    <a:stretch/>
                  </pic:blipFill>
                  <pic:spPr bwMode="auto">
                    <a:xfrm>
                      <a:off x="0" y="0"/>
                      <a:ext cx="5125062" cy="1075577"/>
                    </a:xfrm>
                    <a:prstGeom prst="rect">
                      <a:avLst/>
                    </a:prstGeom>
                    <a:noFill/>
                    <a:ln>
                      <a:noFill/>
                    </a:ln>
                    <a:extLst>
                      <a:ext uri="{53640926-AAD7-44D8-BBD7-CCE9431645EC}">
                        <a14:shadowObscured xmlns:a14="http://schemas.microsoft.com/office/drawing/2010/main"/>
                      </a:ext>
                    </a:extLst>
                  </pic:spPr>
                </pic:pic>
              </a:graphicData>
            </a:graphic>
          </wp:inline>
        </w:drawing>
      </w:r>
    </w:p>
    <w:p w14:paraId="0A7D9140" w14:textId="60AA89F6" w:rsidR="000C15D5" w:rsidRPr="00D9152B" w:rsidRDefault="000C15D5" w:rsidP="000C15D5">
      <w:pPr>
        <w:jc w:val="both"/>
        <w:rPr>
          <w:rFonts w:ascii="Calibri" w:hAnsi="Calibri" w:cs="Calibri"/>
          <w:color w:val="7F7F7F" w:themeColor="text1" w:themeTint="80"/>
          <w:sz w:val="22"/>
          <w:szCs w:val="22"/>
        </w:rPr>
      </w:pPr>
      <w:r w:rsidRPr="00D9152B">
        <w:rPr>
          <w:rFonts w:ascii="Calibri" w:hAnsi="Calibri" w:cs="Calibri"/>
          <w:color w:val="7F7F7F" w:themeColor="text1" w:themeTint="80"/>
          <w:sz w:val="22"/>
          <w:szCs w:val="22"/>
        </w:rPr>
        <w:t xml:space="preserve">Figure </w:t>
      </w:r>
      <w:r w:rsidR="005F7D3B">
        <w:rPr>
          <w:rFonts w:ascii="Calibri" w:hAnsi="Calibri" w:cs="Calibri"/>
          <w:color w:val="7F7F7F" w:themeColor="text1" w:themeTint="80"/>
          <w:sz w:val="22"/>
          <w:szCs w:val="22"/>
        </w:rPr>
        <w:t>7.</w:t>
      </w:r>
      <w:r w:rsidRPr="00D9152B">
        <w:rPr>
          <w:rFonts w:ascii="Calibri" w:hAnsi="Calibri" w:cs="Calibri"/>
          <w:color w:val="7F7F7F" w:themeColor="text1" w:themeTint="80"/>
          <w:sz w:val="22"/>
          <w:szCs w:val="22"/>
        </w:rPr>
        <w:t>1. Examples of the prominent media coverage of Merck’s decision to donate ivermectin in 1987.</w:t>
      </w:r>
      <w:r w:rsidRPr="00D9152B">
        <w:rPr>
          <w:rStyle w:val="FootnoteReference"/>
          <w:rFonts w:ascii="Calibri" w:hAnsi="Calibri" w:cs="Calibri"/>
          <w:color w:val="7F7F7F" w:themeColor="text1" w:themeTint="80"/>
          <w:sz w:val="22"/>
          <w:szCs w:val="22"/>
        </w:rPr>
        <w:footnoteReference w:id="697"/>
      </w:r>
    </w:p>
    <w:p w14:paraId="04785F59" w14:textId="1C3CE0B5" w:rsidR="00F33345" w:rsidRPr="00D9152B" w:rsidRDefault="00F33345" w:rsidP="00217272">
      <w:pPr>
        <w:spacing w:before="100" w:beforeAutospacing="1" w:after="100" w:afterAutospacing="1" w:line="360" w:lineRule="auto"/>
        <w:ind w:firstLine="720"/>
        <w:rPr>
          <w:rFonts w:ascii="Calibri" w:hAnsi="Calibri" w:cs="Calibri"/>
          <w:color w:val="000000"/>
          <w:sz w:val="22"/>
          <w:szCs w:val="22"/>
          <w:lang w:eastAsia="en-GB"/>
        </w:rPr>
      </w:pPr>
      <w:r w:rsidRPr="00D9152B">
        <w:rPr>
          <w:rFonts w:ascii="Calibri" w:hAnsi="Calibri" w:cs="Calibri"/>
          <w:color w:val="000000"/>
          <w:sz w:val="22"/>
          <w:szCs w:val="22"/>
          <w:lang w:eastAsia="en-GB"/>
        </w:rPr>
        <w:lastRenderedPageBreak/>
        <w:t xml:space="preserve">Over the years, Merck leaders have appeared with key global health stakeholders, including </w:t>
      </w:r>
      <w:r w:rsidR="00217272" w:rsidRPr="00D9152B">
        <w:rPr>
          <w:rFonts w:ascii="Calibri" w:hAnsi="Calibri" w:cs="Calibri"/>
          <w:color w:val="000000"/>
          <w:sz w:val="22"/>
          <w:szCs w:val="22"/>
          <w:lang w:eastAsia="en-GB"/>
        </w:rPr>
        <w:t>U.S. President James (</w:t>
      </w:r>
      <w:r w:rsidR="00EC15C7" w:rsidRPr="00D9152B">
        <w:rPr>
          <w:rFonts w:ascii="Calibri" w:hAnsi="Calibri" w:cs="Calibri"/>
          <w:color w:val="000000"/>
          <w:sz w:val="22"/>
          <w:szCs w:val="22"/>
          <w:lang w:eastAsia="en-GB"/>
        </w:rPr>
        <w:t>Jimmy</w:t>
      </w:r>
      <w:r w:rsidR="00217272" w:rsidRPr="00D9152B">
        <w:rPr>
          <w:rFonts w:ascii="Calibri" w:hAnsi="Calibri" w:cs="Calibri"/>
          <w:color w:val="000000"/>
          <w:sz w:val="22"/>
          <w:szCs w:val="22"/>
          <w:lang w:eastAsia="en-GB"/>
        </w:rPr>
        <w:t>)</w:t>
      </w:r>
      <w:r w:rsidR="00EC15C7" w:rsidRPr="00D9152B">
        <w:rPr>
          <w:rFonts w:ascii="Calibri" w:hAnsi="Calibri" w:cs="Calibri"/>
          <w:color w:val="000000"/>
          <w:sz w:val="22"/>
          <w:szCs w:val="22"/>
          <w:lang w:eastAsia="en-GB"/>
        </w:rPr>
        <w:t xml:space="preserve"> Carter</w:t>
      </w:r>
      <w:r w:rsidRPr="00D9152B">
        <w:rPr>
          <w:rFonts w:ascii="Calibri" w:hAnsi="Calibri" w:cs="Calibri"/>
          <w:color w:val="000000"/>
          <w:sz w:val="22"/>
          <w:szCs w:val="22"/>
          <w:lang w:eastAsia="en-GB"/>
        </w:rPr>
        <w:t xml:space="preserve"> </w:t>
      </w:r>
      <w:r w:rsidR="00BA1092" w:rsidRPr="00D9152B">
        <w:rPr>
          <w:rFonts w:ascii="Calibri" w:hAnsi="Calibri" w:cs="Calibri"/>
          <w:color w:val="000000"/>
          <w:sz w:val="22"/>
          <w:szCs w:val="22"/>
          <w:lang w:eastAsia="en-GB"/>
        </w:rPr>
        <w:t xml:space="preserve">and </w:t>
      </w:r>
      <w:r w:rsidRPr="00D9152B">
        <w:rPr>
          <w:rFonts w:ascii="Calibri" w:hAnsi="Calibri" w:cs="Calibri"/>
          <w:color w:val="000000"/>
          <w:sz w:val="22"/>
          <w:szCs w:val="22"/>
          <w:lang w:eastAsia="en-GB"/>
        </w:rPr>
        <w:t>the Director General of the WHO, to promote riverblindness control activities.</w:t>
      </w:r>
      <w:r w:rsidRPr="00D9152B">
        <w:rPr>
          <w:rStyle w:val="FootnoteReference"/>
          <w:rFonts w:ascii="Calibri" w:hAnsi="Calibri" w:cs="Calibri"/>
          <w:color w:val="000000"/>
          <w:sz w:val="22"/>
          <w:szCs w:val="22"/>
          <w:lang w:eastAsia="en-GB"/>
        </w:rPr>
        <w:footnoteReference w:id="698"/>
      </w:r>
      <w:r w:rsidRPr="00D9152B">
        <w:rPr>
          <w:rFonts w:ascii="Calibri" w:hAnsi="Calibri" w:cs="Calibri"/>
          <w:color w:val="000000"/>
          <w:sz w:val="22"/>
          <w:szCs w:val="22"/>
          <w:lang w:eastAsia="en-GB"/>
        </w:rPr>
        <w:t xml:space="preserve"> Merck’s Mectizan Donation Program (MDP) has helped the pharmaceutical company depict itself as a ‘Moral Corporation’ (Figure </w:t>
      </w:r>
      <w:r w:rsidR="00C11A65">
        <w:rPr>
          <w:rFonts w:ascii="Calibri" w:hAnsi="Calibri" w:cs="Calibri"/>
          <w:color w:val="000000"/>
          <w:sz w:val="22"/>
          <w:szCs w:val="22"/>
          <w:lang w:eastAsia="en-GB"/>
        </w:rPr>
        <w:t>7.</w:t>
      </w:r>
      <w:r w:rsidRPr="00D9152B">
        <w:rPr>
          <w:rFonts w:ascii="Calibri" w:hAnsi="Calibri" w:cs="Calibri"/>
          <w:color w:val="000000"/>
          <w:sz w:val="22"/>
          <w:szCs w:val="22"/>
          <w:lang w:eastAsia="en-GB"/>
        </w:rPr>
        <w:t xml:space="preserve">2). </w:t>
      </w:r>
      <w:r w:rsidR="00BA1092" w:rsidRPr="00D9152B">
        <w:rPr>
          <w:rFonts w:ascii="Calibri" w:hAnsi="Calibri" w:cs="Calibri"/>
          <w:color w:val="000000"/>
          <w:sz w:val="22"/>
          <w:szCs w:val="22"/>
          <w:lang w:eastAsia="en-GB"/>
        </w:rPr>
        <w:t>And, p</w:t>
      </w:r>
      <w:r w:rsidRPr="00D9152B">
        <w:rPr>
          <w:rFonts w:ascii="Calibri" w:hAnsi="Calibri" w:cs="Calibri"/>
          <w:color w:val="000000"/>
          <w:sz w:val="22"/>
          <w:szCs w:val="22"/>
          <w:lang w:eastAsia="en-GB"/>
        </w:rPr>
        <w:t>ublic fanfare surrounding the donation surged in 2015, when two scientists involved in the discovery of ivermectin in the 1970s – Satoshi Omura (Kitasato Institute) and William Campbell (Merck &amp; Co.) – were awarded the Nobel Prize for Medicine.</w:t>
      </w:r>
      <w:r w:rsidRPr="00D9152B">
        <w:rPr>
          <w:rStyle w:val="FootnoteReference"/>
          <w:rFonts w:ascii="Calibri" w:hAnsi="Calibri" w:cs="Calibri"/>
          <w:color w:val="000000"/>
          <w:sz w:val="22"/>
          <w:szCs w:val="22"/>
          <w:lang w:eastAsia="en-GB"/>
        </w:rPr>
        <w:footnoteReference w:id="699"/>
      </w:r>
    </w:p>
    <w:p w14:paraId="2EC792B1" w14:textId="77DD6489" w:rsidR="00AC7848" w:rsidRPr="00D9152B" w:rsidRDefault="00AC7848" w:rsidP="00BA1092">
      <w:pPr>
        <w:jc w:val="center"/>
        <w:rPr>
          <w:rFonts w:ascii="Calibri" w:hAnsi="Calibri" w:cs="Calibri"/>
          <w:color w:val="000000"/>
          <w:lang w:eastAsia="en-GB"/>
        </w:rPr>
      </w:pPr>
      <w:r w:rsidRPr="00D9152B">
        <w:rPr>
          <w:rFonts w:ascii="Calibri" w:hAnsi="Calibri" w:cs="Calibri"/>
          <w:noProof/>
          <w:lang w:eastAsia="en-GB"/>
        </w:rPr>
        <w:drawing>
          <wp:inline distT="0" distB="0" distL="0" distR="0" wp14:anchorId="1DD5BC24" wp14:editId="5AC137A5">
            <wp:extent cx="3252470" cy="1377863"/>
            <wp:effectExtent l="0" t="0" r="0" b="0"/>
            <wp:docPr id="142" name="Picture 142" descr="Image result for merck moral corpo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merck moral corporation"/>
                    <pic:cNvPicPr>
                      <a:picLocks noChangeAspect="1" noChangeArrowheads="1"/>
                    </pic:cNvPicPr>
                  </pic:nvPicPr>
                  <pic:blipFill rotWithShape="1">
                    <a:blip r:embed="rId95">
                      <a:extLst>
                        <a:ext uri="{28A0092B-C50C-407E-A947-70E740481C1C}">
                          <a14:useLocalDpi xmlns:a14="http://schemas.microsoft.com/office/drawing/2010/main" val="0"/>
                        </a:ext>
                      </a:extLst>
                    </a:blip>
                    <a:srcRect t="1" b="70060"/>
                    <a:stretch/>
                  </pic:blipFill>
                  <pic:spPr bwMode="auto">
                    <a:xfrm>
                      <a:off x="0" y="0"/>
                      <a:ext cx="3308029" cy="1401400"/>
                    </a:xfrm>
                    <a:prstGeom prst="rect">
                      <a:avLst/>
                    </a:prstGeom>
                    <a:noFill/>
                    <a:ln>
                      <a:noFill/>
                    </a:ln>
                    <a:extLst>
                      <a:ext uri="{53640926-AAD7-44D8-BBD7-CCE9431645EC}">
                        <a14:shadowObscured xmlns:a14="http://schemas.microsoft.com/office/drawing/2010/main"/>
                      </a:ext>
                    </a:extLst>
                  </pic:spPr>
                </pic:pic>
              </a:graphicData>
            </a:graphic>
          </wp:inline>
        </w:drawing>
      </w:r>
    </w:p>
    <w:p w14:paraId="0366E3EB" w14:textId="77777777" w:rsidR="00BA1092" w:rsidRPr="00D9152B" w:rsidRDefault="00BA1092" w:rsidP="00BA1092">
      <w:pPr>
        <w:jc w:val="center"/>
        <w:rPr>
          <w:rFonts w:ascii="Calibri" w:hAnsi="Calibri" w:cs="Calibri"/>
          <w:color w:val="000000"/>
          <w:lang w:eastAsia="en-GB"/>
        </w:rPr>
      </w:pPr>
    </w:p>
    <w:p w14:paraId="3953693E" w14:textId="1EA3B4C3" w:rsidR="00AC7848" w:rsidRPr="00D9152B" w:rsidRDefault="00AC7848" w:rsidP="00BA1092">
      <w:pPr>
        <w:jc w:val="both"/>
        <w:rPr>
          <w:rFonts w:ascii="Calibri" w:hAnsi="Calibri" w:cs="Calibri"/>
          <w:color w:val="7F7F7F" w:themeColor="text1" w:themeTint="80"/>
          <w:sz w:val="22"/>
          <w:szCs w:val="22"/>
          <w:lang w:eastAsia="en-GB"/>
        </w:rPr>
      </w:pPr>
      <w:r w:rsidRPr="00D9152B">
        <w:rPr>
          <w:rFonts w:ascii="Calibri" w:hAnsi="Calibri" w:cs="Calibri"/>
          <w:color w:val="7F7F7F" w:themeColor="text1" w:themeTint="80"/>
          <w:sz w:val="22"/>
          <w:szCs w:val="22"/>
          <w:lang w:eastAsia="en-GB"/>
        </w:rPr>
        <w:t xml:space="preserve">Figure </w:t>
      </w:r>
      <w:r w:rsidR="00C11A65">
        <w:rPr>
          <w:rFonts w:ascii="Calibri" w:hAnsi="Calibri" w:cs="Calibri"/>
          <w:color w:val="7F7F7F" w:themeColor="text1" w:themeTint="80"/>
          <w:sz w:val="22"/>
          <w:szCs w:val="22"/>
          <w:lang w:eastAsia="en-GB"/>
        </w:rPr>
        <w:t>7.</w:t>
      </w:r>
      <w:r w:rsidRPr="00D9152B">
        <w:rPr>
          <w:rFonts w:ascii="Calibri" w:hAnsi="Calibri" w:cs="Calibri"/>
          <w:color w:val="7F7F7F" w:themeColor="text1" w:themeTint="80"/>
          <w:sz w:val="22"/>
          <w:szCs w:val="22"/>
          <w:lang w:eastAsia="en-GB"/>
        </w:rPr>
        <w:t xml:space="preserve">2. Merck CEO Roy Vagelos authored a book </w:t>
      </w:r>
      <w:r w:rsidR="00BA1092" w:rsidRPr="00D9152B">
        <w:rPr>
          <w:rFonts w:ascii="Calibri" w:hAnsi="Calibri" w:cs="Calibri"/>
          <w:color w:val="7F7F7F" w:themeColor="text1" w:themeTint="80"/>
          <w:sz w:val="22"/>
          <w:szCs w:val="22"/>
          <w:lang w:eastAsia="en-GB"/>
        </w:rPr>
        <w:t>depicting it as a</w:t>
      </w:r>
      <w:r w:rsidRPr="00D9152B">
        <w:rPr>
          <w:rFonts w:ascii="Calibri" w:hAnsi="Calibri" w:cs="Calibri"/>
          <w:color w:val="7F7F7F" w:themeColor="text1" w:themeTint="80"/>
          <w:sz w:val="22"/>
          <w:szCs w:val="22"/>
          <w:lang w:eastAsia="en-GB"/>
        </w:rPr>
        <w:t xml:space="preserve"> ‘Moral Corporation’, largely due to its decision to donate drugs, which began large-sale with ivermectin</w:t>
      </w:r>
      <w:r w:rsidR="00BA1092" w:rsidRPr="00D9152B">
        <w:rPr>
          <w:rFonts w:ascii="Calibri" w:hAnsi="Calibri" w:cs="Calibri"/>
          <w:color w:val="7F7F7F" w:themeColor="text1" w:themeTint="80"/>
          <w:sz w:val="22"/>
          <w:szCs w:val="22"/>
          <w:lang w:eastAsia="en-GB"/>
        </w:rPr>
        <w:t>.</w:t>
      </w:r>
      <w:r w:rsidRPr="00D9152B">
        <w:rPr>
          <w:rStyle w:val="FootnoteReference"/>
          <w:rFonts w:ascii="Calibri" w:hAnsi="Calibri" w:cs="Calibri"/>
          <w:color w:val="7F7F7F" w:themeColor="text1" w:themeTint="80"/>
          <w:sz w:val="22"/>
          <w:szCs w:val="22"/>
          <w:lang w:eastAsia="en-GB"/>
        </w:rPr>
        <w:footnoteReference w:id="700"/>
      </w:r>
    </w:p>
    <w:p w14:paraId="56768C4C" w14:textId="23E080B4" w:rsidR="00F33345" w:rsidRPr="00D9152B" w:rsidRDefault="00BA1092" w:rsidP="006B543F">
      <w:pPr>
        <w:spacing w:before="100" w:beforeAutospacing="1" w:after="100" w:afterAutospacing="1" w:line="360" w:lineRule="auto"/>
        <w:ind w:firstLine="720"/>
        <w:rPr>
          <w:rFonts w:ascii="Calibri" w:hAnsi="Calibri" w:cs="Calibri"/>
          <w:color w:val="000000"/>
          <w:sz w:val="22"/>
          <w:szCs w:val="22"/>
          <w:lang w:eastAsia="en-GB"/>
        </w:rPr>
      </w:pPr>
      <w:r w:rsidRPr="00D9152B">
        <w:rPr>
          <w:rFonts w:ascii="Calibri" w:hAnsi="Calibri" w:cs="Calibri"/>
          <w:color w:val="000000"/>
          <w:sz w:val="22"/>
          <w:szCs w:val="22"/>
          <w:lang w:eastAsia="en-GB"/>
        </w:rPr>
        <w:t xml:space="preserve">This chapter </w:t>
      </w:r>
      <w:r w:rsidR="00FB2F4B" w:rsidRPr="00D9152B">
        <w:rPr>
          <w:rFonts w:ascii="Calibri" w:hAnsi="Calibri" w:cs="Calibri"/>
          <w:color w:val="000000"/>
          <w:sz w:val="22"/>
          <w:szCs w:val="22"/>
          <w:lang w:eastAsia="en-GB"/>
        </w:rPr>
        <w:t xml:space="preserve">goes beyond the Merck donation </w:t>
      </w:r>
      <w:r w:rsidRPr="00D9152B">
        <w:rPr>
          <w:rFonts w:ascii="Calibri" w:hAnsi="Calibri" w:cs="Calibri"/>
          <w:color w:val="000000"/>
          <w:sz w:val="22"/>
          <w:szCs w:val="22"/>
          <w:lang w:eastAsia="en-GB"/>
        </w:rPr>
        <w:t>so often depicted in the dominant success narrative</w:t>
      </w:r>
      <w:r w:rsidR="00FB2F4B" w:rsidRPr="00D9152B">
        <w:rPr>
          <w:rFonts w:ascii="Calibri" w:hAnsi="Calibri" w:cs="Calibri"/>
          <w:color w:val="000000"/>
          <w:sz w:val="22"/>
          <w:szCs w:val="22"/>
          <w:lang w:eastAsia="en-GB"/>
        </w:rPr>
        <w:t>, to consider what was novel about the OCP research partnership</w:t>
      </w:r>
      <w:r w:rsidRPr="00D9152B">
        <w:rPr>
          <w:rFonts w:ascii="Calibri" w:hAnsi="Calibri" w:cs="Calibri"/>
          <w:color w:val="000000"/>
          <w:sz w:val="22"/>
          <w:szCs w:val="22"/>
          <w:lang w:eastAsia="en-GB"/>
        </w:rPr>
        <w:t xml:space="preserve">. It first describes how the OCP’s drug development research partnership (the ‘Onchocerciasis Chemotherapy Project’, </w:t>
      </w:r>
      <w:r w:rsidR="00EC15C7" w:rsidRPr="00D9152B">
        <w:rPr>
          <w:rFonts w:ascii="Calibri" w:hAnsi="Calibri" w:cs="Calibri"/>
          <w:color w:val="000000"/>
          <w:sz w:val="22"/>
          <w:szCs w:val="22"/>
          <w:lang w:eastAsia="en-GB"/>
        </w:rPr>
        <w:t xml:space="preserve">or </w:t>
      </w:r>
      <w:r w:rsidRPr="00D9152B">
        <w:rPr>
          <w:rFonts w:ascii="Calibri" w:hAnsi="Calibri" w:cs="Calibri"/>
          <w:color w:val="000000"/>
          <w:sz w:val="22"/>
          <w:szCs w:val="22"/>
          <w:lang w:eastAsia="en-GB"/>
        </w:rPr>
        <w:t>OCT) was structured</w:t>
      </w:r>
      <w:r w:rsidR="00FB2F4B" w:rsidRPr="00D9152B">
        <w:rPr>
          <w:rFonts w:ascii="Calibri" w:hAnsi="Calibri" w:cs="Calibri"/>
          <w:color w:val="000000"/>
          <w:sz w:val="22"/>
          <w:szCs w:val="22"/>
          <w:lang w:eastAsia="en-GB"/>
        </w:rPr>
        <w:t>, and the types of legal protections offered by this model</w:t>
      </w:r>
      <w:r w:rsidRPr="00D9152B">
        <w:rPr>
          <w:rFonts w:ascii="Calibri" w:hAnsi="Calibri" w:cs="Calibri"/>
          <w:color w:val="000000"/>
          <w:sz w:val="22"/>
          <w:szCs w:val="22"/>
          <w:lang w:eastAsia="en-GB"/>
        </w:rPr>
        <w:t xml:space="preserve">. It then turns to some of the </w:t>
      </w:r>
      <w:r w:rsidRPr="00D9152B">
        <w:rPr>
          <w:rFonts w:ascii="Calibri" w:hAnsi="Calibri" w:cs="Calibri"/>
          <w:i/>
          <w:color w:val="000000"/>
          <w:sz w:val="22"/>
          <w:szCs w:val="22"/>
          <w:lang w:eastAsia="en-GB"/>
        </w:rPr>
        <w:t xml:space="preserve">unsuccessful </w:t>
      </w:r>
      <w:r w:rsidR="00FB2F4B" w:rsidRPr="00D9152B">
        <w:rPr>
          <w:rFonts w:ascii="Calibri" w:hAnsi="Calibri" w:cs="Calibri"/>
          <w:color w:val="000000"/>
          <w:sz w:val="22"/>
          <w:szCs w:val="22"/>
          <w:lang w:eastAsia="en-GB"/>
        </w:rPr>
        <w:t>drug candidates</w:t>
      </w:r>
      <w:r w:rsidRPr="00D9152B">
        <w:rPr>
          <w:rFonts w:ascii="Calibri" w:hAnsi="Calibri" w:cs="Calibri"/>
          <w:color w:val="000000"/>
          <w:sz w:val="22"/>
          <w:szCs w:val="22"/>
          <w:lang w:eastAsia="en-GB"/>
        </w:rPr>
        <w:t xml:space="preserve"> that were </w:t>
      </w:r>
      <w:r w:rsidR="00E30696">
        <w:rPr>
          <w:rFonts w:ascii="Calibri" w:hAnsi="Calibri" w:cs="Calibri"/>
          <w:color w:val="000000"/>
          <w:sz w:val="22"/>
          <w:szCs w:val="22"/>
          <w:lang w:eastAsia="en-GB"/>
        </w:rPr>
        <w:t>developed</w:t>
      </w:r>
      <w:r w:rsidR="00E30696" w:rsidRPr="00D9152B">
        <w:rPr>
          <w:rFonts w:ascii="Calibri" w:hAnsi="Calibri" w:cs="Calibri"/>
          <w:color w:val="000000"/>
          <w:sz w:val="22"/>
          <w:szCs w:val="22"/>
          <w:lang w:eastAsia="en-GB"/>
        </w:rPr>
        <w:t xml:space="preserve"> </w:t>
      </w:r>
      <w:r w:rsidRPr="00D9152B">
        <w:rPr>
          <w:rFonts w:ascii="Calibri" w:hAnsi="Calibri" w:cs="Calibri"/>
          <w:color w:val="000000"/>
          <w:sz w:val="22"/>
          <w:szCs w:val="22"/>
          <w:lang w:eastAsia="en-GB"/>
        </w:rPr>
        <w:t xml:space="preserve">during the OCT. Finally, it considers how the OCT </w:t>
      </w:r>
      <w:r w:rsidR="00FB2F4B" w:rsidRPr="00D9152B">
        <w:rPr>
          <w:rFonts w:ascii="Calibri" w:hAnsi="Calibri" w:cs="Calibri"/>
          <w:color w:val="000000"/>
          <w:sz w:val="22"/>
          <w:szCs w:val="22"/>
          <w:lang w:eastAsia="en-GB"/>
        </w:rPr>
        <w:t>worked with Merck to develop and deliver ivermectin, and why this is important for understanding the OCP’s legacy.</w:t>
      </w:r>
    </w:p>
    <w:p w14:paraId="4B7682AB" w14:textId="251804C8" w:rsidR="00AC7848" w:rsidRPr="00D9152B" w:rsidRDefault="00076FC2" w:rsidP="00677774">
      <w:pPr>
        <w:pStyle w:val="Heading2"/>
        <w:rPr>
          <w:rFonts w:ascii="Calibri" w:hAnsi="Calibri" w:cs="Calibri"/>
          <w:b/>
          <w:color w:val="000000" w:themeColor="text1"/>
          <w:sz w:val="26"/>
          <w:szCs w:val="26"/>
        </w:rPr>
      </w:pPr>
      <w:bookmarkStart w:id="122" w:name="_Toc6939092"/>
      <w:bookmarkStart w:id="123" w:name="_Toc41505682"/>
      <w:r w:rsidRPr="00D9152B">
        <w:rPr>
          <w:rFonts w:ascii="Calibri" w:hAnsi="Calibri" w:cs="Calibri"/>
          <w:b/>
          <w:color w:val="000000" w:themeColor="text1"/>
          <w:sz w:val="26"/>
          <w:szCs w:val="26"/>
        </w:rPr>
        <w:lastRenderedPageBreak/>
        <w:t>7</w:t>
      </w:r>
      <w:r w:rsidR="00F33345" w:rsidRPr="00D9152B">
        <w:rPr>
          <w:rFonts w:ascii="Calibri" w:hAnsi="Calibri" w:cs="Calibri"/>
          <w:b/>
          <w:color w:val="000000" w:themeColor="text1"/>
          <w:sz w:val="26"/>
          <w:szCs w:val="26"/>
        </w:rPr>
        <w:t>.</w:t>
      </w:r>
      <w:r w:rsidR="00677774" w:rsidRPr="00D9152B">
        <w:rPr>
          <w:rFonts w:ascii="Calibri" w:hAnsi="Calibri" w:cs="Calibri"/>
          <w:b/>
          <w:color w:val="000000" w:themeColor="text1"/>
          <w:sz w:val="26"/>
          <w:szCs w:val="26"/>
        </w:rPr>
        <w:t>2</w:t>
      </w:r>
      <w:r w:rsidR="00F33345" w:rsidRPr="00D9152B">
        <w:rPr>
          <w:rFonts w:ascii="Calibri" w:hAnsi="Calibri" w:cs="Calibri"/>
          <w:b/>
          <w:color w:val="000000" w:themeColor="text1"/>
          <w:sz w:val="26"/>
          <w:szCs w:val="26"/>
        </w:rPr>
        <w:t xml:space="preserve"> </w:t>
      </w:r>
      <w:bookmarkEnd w:id="122"/>
      <w:r w:rsidR="001542F8" w:rsidRPr="00D9152B">
        <w:rPr>
          <w:rFonts w:ascii="Calibri" w:hAnsi="Calibri" w:cs="Calibri"/>
          <w:b/>
          <w:color w:val="000000" w:themeColor="text1"/>
          <w:sz w:val="26"/>
          <w:szCs w:val="26"/>
        </w:rPr>
        <w:t>Structuring the OCT</w:t>
      </w:r>
      <w:bookmarkEnd w:id="123"/>
    </w:p>
    <w:p w14:paraId="33853AB8" w14:textId="77777777" w:rsidR="00076FC2" w:rsidRPr="00D9152B" w:rsidRDefault="00076FC2" w:rsidP="00076FC2">
      <w:pPr>
        <w:rPr>
          <w:rFonts w:ascii="Calibri" w:hAnsi="Calibri" w:cs="Calibri"/>
        </w:rPr>
      </w:pPr>
    </w:p>
    <w:p w14:paraId="470697C7" w14:textId="2BB68DC1" w:rsidR="00B67FDC" w:rsidRPr="00D9152B" w:rsidRDefault="00EC15C7" w:rsidP="006B543F">
      <w:pPr>
        <w:spacing w:line="360" w:lineRule="auto"/>
        <w:ind w:firstLine="720"/>
        <w:rPr>
          <w:rFonts w:ascii="Calibri" w:hAnsi="Calibri" w:cs="Calibri"/>
          <w:sz w:val="22"/>
          <w:szCs w:val="22"/>
        </w:rPr>
      </w:pPr>
      <w:r w:rsidRPr="00D9152B">
        <w:rPr>
          <w:rFonts w:ascii="Calibri" w:hAnsi="Calibri" w:cs="Calibri"/>
          <w:sz w:val="22"/>
          <w:szCs w:val="22"/>
        </w:rPr>
        <w:t xml:space="preserve">If a chemotherapy partnership was required, how should it be structured to have the highest chance of success? To answer this question, </w:t>
      </w:r>
      <w:r w:rsidR="00217272" w:rsidRPr="00D9152B">
        <w:rPr>
          <w:rFonts w:ascii="Calibri" w:hAnsi="Calibri" w:cs="Calibri"/>
          <w:sz w:val="22"/>
          <w:szCs w:val="22"/>
        </w:rPr>
        <w:t>the Special Programme on Research and Training in Tropical Diseases (</w:t>
      </w:r>
      <w:r w:rsidRPr="00D9152B">
        <w:rPr>
          <w:rFonts w:ascii="Calibri" w:hAnsi="Calibri" w:cs="Calibri"/>
          <w:sz w:val="22"/>
          <w:szCs w:val="22"/>
        </w:rPr>
        <w:t>TDR</w:t>
      </w:r>
      <w:r w:rsidR="00217272" w:rsidRPr="00D9152B">
        <w:rPr>
          <w:rFonts w:ascii="Calibri" w:hAnsi="Calibri" w:cs="Calibri"/>
          <w:sz w:val="22"/>
          <w:szCs w:val="22"/>
        </w:rPr>
        <w:t>)</w:t>
      </w:r>
      <w:r w:rsidRPr="00D9152B">
        <w:rPr>
          <w:rFonts w:ascii="Calibri" w:hAnsi="Calibri" w:cs="Calibri"/>
          <w:sz w:val="22"/>
          <w:szCs w:val="22"/>
        </w:rPr>
        <w:t xml:space="preserve"> conducted research on why companies were not putting more resources into filaricide</w:t>
      </w:r>
      <w:r w:rsidRPr="00D9152B">
        <w:rPr>
          <w:rStyle w:val="FootnoteReference"/>
          <w:rFonts w:ascii="Calibri" w:hAnsi="Calibri" w:cs="Calibri"/>
          <w:sz w:val="22"/>
          <w:szCs w:val="22"/>
        </w:rPr>
        <w:footnoteReference w:id="701"/>
      </w:r>
      <w:r w:rsidRPr="00D9152B">
        <w:rPr>
          <w:rFonts w:ascii="Calibri" w:hAnsi="Calibri" w:cs="Calibri"/>
          <w:sz w:val="22"/>
          <w:szCs w:val="22"/>
        </w:rPr>
        <w:t xml:space="preserve"> drug development. It identified four major barriers: the slow turnover of drug screening mechanisms, the increasing costs of drug development, the lack of a sufficiently profitable market, and the risk of patent piracy.</w:t>
      </w:r>
      <w:r w:rsidRPr="00D9152B">
        <w:rPr>
          <w:rStyle w:val="FootnoteReference"/>
          <w:rFonts w:ascii="Calibri" w:hAnsi="Calibri" w:cs="Calibri"/>
          <w:sz w:val="22"/>
          <w:szCs w:val="22"/>
        </w:rPr>
        <w:footnoteReference w:id="702"/>
      </w:r>
      <w:r w:rsidR="00C11A65">
        <w:rPr>
          <w:rFonts w:ascii="Calibri" w:hAnsi="Calibri" w:cs="Calibri"/>
          <w:sz w:val="22"/>
          <w:szCs w:val="22"/>
        </w:rPr>
        <w:t xml:space="preserve"> Background on TDR’s objectives and governance structure is given in Figure 7.3.</w:t>
      </w:r>
    </w:p>
    <w:p w14:paraId="48158F27" w14:textId="7E21B929" w:rsidR="00217272" w:rsidRPr="00D9152B" w:rsidRDefault="00217272" w:rsidP="00217272">
      <w:pPr>
        <w:spacing w:line="360" w:lineRule="auto"/>
        <w:rPr>
          <w:rFonts w:ascii="Calibri" w:hAnsi="Calibri" w:cs="Calibri"/>
          <w:sz w:val="22"/>
          <w:szCs w:val="22"/>
        </w:rPr>
      </w:pPr>
    </w:p>
    <w:p w14:paraId="08A8FC79" w14:textId="21BBA29F" w:rsidR="00BE44B3" w:rsidRPr="00D9152B" w:rsidRDefault="00BE44B3" w:rsidP="00217272">
      <w:pPr>
        <w:spacing w:line="360" w:lineRule="auto"/>
        <w:rPr>
          <w:rFonts w:ascii="Calibri" w:hAnsi="Calibri" w:cs="Calibri"/>
          <w:noProof/>
          <w:sz w:val="22"/>
          <w:szCs w:val="22"/>
        </w:rPr>
      </w:pPr>
    </w:p>
    <w:p w14:paraId="365A7B3D" w14:textId="5761299D" w:rsidR="0026033D" w:rsidRPr="00D9152B" w:rsidRDefault="0026033D" w:rsidP="00217272">
      <w:pPr>
        <w:spacing w:line="360" w:lineRule="auto"/>
        <w:rPr>
          <w:rFonts w:ascii="Calibri" w:hAnsi="Calibri" w:cs="Calibri"/>
          <w:sz w:val="22"/>
          <w:szCs w:val="22"/>
        </w:rPr>
      </w:pPr>
    </w:p>
    <w:p w14:paraId="458656F5" w14:textId="4DC2D68F" w:rsidR="0026033D" w:rsidRPr="00D9152B" w:rsidRDefault="0026033D" w:rsidP="00217272">
      <w:pPr>
        <w:spacing w:line="360" w:lineRule="auto"/>
        <w:rPr>
          <w:rFonts w:ascii="Calibri" w:hAnsi="Calibri" w:cs="Calibri"/>
          <w:sz w:val="22"/>
          <w:szCs w:val="22"/>
        </w:rPr>
      </w:pPr>
    </w:p>
    <w:p w14:paraId="46AE18D2" w14:textId="1FFB0735" w:rsidR="0026033D" w:rsidRPr="00D9152B" w:rsidRDefault="0026033D" w:rsidP="00217272">
      <w:pPr>
        <w:spacing w:line="360" w:lineRule="auto"/>
        <w:rPr>
          <w:rFonts w:ascii="Calibri" w:hAnsi="Calibri" w:cs="Calibri"/>
          <w:sz w:val="22"/>
          <w:szCs w:val="22"/>
        </w:rPr>
      </w:pPr>
    </w:p>
    <w:p w14:paraId="7C504AB3" w14:textId="2F4EBC0D" w:rsidR="0026033D" w:rsidRPr="00D9152B" w:rsidRDefault="0026033D" w:rsidP="00217272">
      <w:pPr>
        <w:spacing w:line="360" w:lineRule="auto"/>
        <w:rPr>
          <w:rFonts w:ascii="Calibri" w:hAnsi="Calibri" w:cs="Calibri"/>
          <w:sz w:val="22"/>
          <w:szCs w:val="22"/>
        </w:rPr>
      </w:pPr>
    </w:p>
    <w:p w14:paraId="7A90FE7C" w14:textId="277FCAFE" w:rsidR="0026033D" w:rsidRPr="00D9152B" w:rsidRDefault="0026033D" w:rsidP="00217272">
      <w:pPr>
        <w:spacing w:line="360" w:lineRule="auto"/>
        <w:rPr>
          <w:rFonts w:ascii="Calibri" w:hAnsi="Calibri" w:cs="Calibri"/>
          <w:sz w:val="22"/>
          <w:szCs w:val="22"/>
        </w:rPr>
      </w:pPr>
    </w:p>
    <w:p w14:paraId="6C9B3422" w14:textId="192BEF98" w:rsidR="0026033D" w:rsidRPr="00D9152B" w:rsidRDefault="0026033D" w:rsidP="00217272">
      <w:pPr>
        <w:spacing w:line="360" w:lineRule="auto"/>
        <w:rPr>
          <w:rFonts w:ascii="Calibri" w:hAnsi="Calibri" w:cs="Calibri"/>
          <w:sz w:val="22"/>
          <w:szCs w:val="22"/>
        </w:rPr>
      </w:pPr>
    </w:p>
    <w:p w14:paraId="45935BC8" w14:textId="4134DF06" w:rsidR="0026033D" w:rsidRPr="00D9152B" w:rsidRDefault="0026033D" w:rsidP="00217272">
      <w:pPr>
        <w:spacing w:line="360" w:lineRule="auto"/>
        <w:rPr>
          <w:rFonts w:ascii="Calibri" w:hAnsi="Calibri" w:cs="Calibri"/>
          <w:sz w:val="22"/>
          <w:szCs w:val="22"/>
        </w:rPr>
      </w:pPr>
    </w:p>
    <w:p w14:paraId="245CBB14" w14:textId="1481B633" w:rsidR="0026033D" w:rsidRPr="00D9152B" w:rsidRDefault="0026033D" w:rsidP="00217272">
      <w:pPr>
        <w:spacing w:line="360" w:lineRule="auto"/>
        <w:rPr>
          <w:rFonts w:ascii="Calibri" w:hAnsi="Calibri" w:cs="Calibri"/>
          <w:sz w:val="22"/>
          <w:szCs w:val="22"/>
        </w:rPr>
      </w:pPr>
    </w:p>
    <w:p w14:paraId="4F378464" w14:textId="1FDEBD35" w:rsidR="0026033D" w:rsidRPr="00D9152B" w:rsidRDefault="0026033D" w:rsidP="00217272">
      <w:pPr>
        <w:spacing w:line="360" w:lineRule="auto"/>
        <w:rPr>
          <w:rFonts w:ascii="Calibri" w:hAnsi="Calibri" w:cs="Calibri"/>
          <w:sz w:val="22"/>
          <w:szCs w:val="22"/>
        </w:rPr>
      </w:pPr>
    </w:p>
    <w:p w14:paraId="3F0D5BAB" w14:textId="7E82788C" w:rsidR="0026033D" w:rsidRPr="00D9152B" w:rsidRDefault="0026033D" w:rsidP="00217272">
      <w:pPr>
        <w:spacing w:line="360" w:lineRule="auto"/>
        <w:rPr>
          <w:rFonts w:ascii="Calibri" w:hAnsi="Calibri" w:cs="Calibri"/>
          <w:sz w:val="22"/>
          <w:szCs w:val="22"/>
        </w:rPr>
      </w:pPr>
    </w:p>
    <w:p w14:paraId="62365BF1" w14:textId="5587DE22" w:rsidR="0026033D" w:rsidRPr="00D9152B" w:rsidRDefault="00C11A65" w:rsidP="00A30E90">
      <w:pPr>
        <w:spacing w:line="360" w:lineRule="auto"/>
        <w:ind w:left="-567" w:firstLine="283"/>
        <w:rPr>
          <w:rFonts w:ascii="Calibri" w:hAnsi="Calibri" w:cs="Calibri"/>
          <w:sz w:val="22"/>
          <w:szCs w:val="22"/>
        </w:rPr>
      </w:pPr>
      <w:r>
        <w:rPr>
          <w:rFonts w:ascii="Calibri" w:hAnsi="Calibri" w:cs="Calibri"/>
          <w:noProof/>
          <w:sz w:val="22"/>
          <w:szCs w:val="22"/>
          <w:lang w:eastAsia="en-GB"/>
        </w:rPr>
        <w:lastRenderedPageBreak/>
        <mc:AlternateContent>
          <mc:Choice Requires="wps">
            <w:drawing>
              <wp:anchor distT="0" distB="0" distL="114300" distR="114300" simplePos="0" relativeHeight="251645951" behindDoc="1" locked="0" layoutInCell="1" allowOverlap="1" wp14:anchorId="5861992A" wp14:editId="695E7512">
                <wp:simplePos x="0" y="0"/>
                <wp:positionH relativeFrom="column">
                  <wp:posOffset>-378286</wp:posOffset>
                </wp:positionH>
                <wp:positionV relativeFrom="paragraph">
                  <wp:posOffset>-79375</wp:posOffset>
                </wp:positionV>
                <wp:extent cx="6059055" cy="7019637"/>
                <wp:effectExtent l="0" t="0" r="12065" b="16510"/>
                <wp:wrapNone/>
                <wp:docPr id="1060" name="Rectangle 1060"/>
                <wp:cNvGraphicFramePr/>
                <a:graphic xmlns:a="http://schemas.openxmlformats.org/drawingml/2006/main">
                  <a:graphicData uri="http://schemas.microsoft.com/office/word/2010/wordprocessingShape">
                    <wps:wsp>
                      <wps:cNvSpPr/>
                      <wps:spPr>
                        <a:xfrm>
                          <a:off x="0" y="0"/>
                          <a:ext cx="6059055" cy="7019637"/>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A73280A" id="Rectangle 1060" o:spid="_x0000_s1026" style="position:absolute;margin-left:-29.8pt;margin-top:-6.25pt;width:477.1pt;height:552.75pt;z-index:-25167052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" fillcolor="white [3201]" strokecolor="black [3213]" strokeweight="1pt"/>
            </w:pict>
          </mc:Fallback>
        </mc:AlternateContent>
      </w:r>
      <w:r w:rsidR="004922EF" w:rsidRPr="00D9152B">
        <w:rPr>
          <w:rFonts w:ascii="Calibri" w:hAnsi="Calibri" w:cs="Calibri"/>
          <w:noProof/>
          <w:sz w:val="22"/>
          <w:szCs w:val="22"/>
          <w:lang w:eastAsia="en-GB"/>
        </w:rPr>
        <mc:AlternateContent>
          <mc:Choice Requires="wpg">
            <w:drawing>
              <wp:anchor distT="0" distB="0" distL="114300" distR="114300" simplePos="0" relativeHeight="251682816" behindDoc="0" locked="0" layoutInCell="1" allowOverlap="1" wp14:anchorId="1C7E84D8" wp14:editId="3AB315CA">
                <wp:simplePos x="0" y="0"/>
                <wp:positionH relativeFrom="column">
                  <wp:posOffset>-45489</wp:posOffset>
                </wp:positionH>
                <wp:positionV relativeFrom="paragraph">
                  <wp:posOffset>86822</wp:posOffset>
                </wp:positionV>
                <wp:extent cx="5510272" cy="6770884"/>
                <wp:effectExtent l="0" t="0" r="1905" b="11430"/>
                <wp:wrapNone/>
                <wp:docPr id="180" name="Group 180"/>
                <wp:cNvGraphicFramePr/>
                <a:graphic xmlns:a="http://schemas.openxmlformats.org/drawingml/2006/main">
                  <a:graphicData uri="http://schemas.microsoft.com/office/word/2010/wordprocessingGroup">
                    <wpg:wgp>
                      <wpg:cNvGrpSpPr/>
                      <wpg:grpSpPr>
                        <a:xfrm>
                          <a:off x="0" y="0"/>
                          <a:ext cx="5510272" cy="6770884"/>
                          <a:chOff x="177800" y="139700"/>
                          <a:chExt cx="5994400" cy="7569200"/>
                        </a:xfrm>
                      </wpg:grpSpPr>
                      <wps:wsp>
                        <wps:cNvPr id="171" name="Straight Arrow Connector 171"/>
                        <wps:cNvCnPr/>
                        <wps:spPr>
                          <a:xfrm flipV="1">
                            <a:off x="889000" y="6718300"/>
                            <a:ext cx="0" cy="41910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cNvPr id="178" name="Group 178"/>
                        <wpg:cNvGrpSpPr/>
                        <wpg:grpSpPr>
                          <a:xfrm>
                            <a:off x="177800" y="139700"/>
                            <a:ext cx="5994400" cy="7569200"/>
                            <a:chOff x="-114300" y="0"/>
                            <a:chExt cx="5994400" cy="7569200"/>
                          </a:xfrm>
                        </wpg:grpSpPr>
                        <wpg:grpSp>
                          <wpg:cNvPr id="176" name="Group 176"/>
                          <wpg:cNvGrpSpPr/>
                          <wpg:grpSpPr>
                            <a:xfrm>
                              <a:off x="0" y="4127499"/>
                              <a:ext cx="5507990" cy="3441701"/>
                              <a:chOff x="0" y="152399"/>
                              <a:chExt cx="5507990" cy="3441701"/>
                            </a:xfrm>
                          </wpg:grpSpPr>
                          <wps:wsp>
                            <wps:cNvPr id="158" name="Straight Arrow Connector 158"/>
                            <wps:cNvCnPr/>
                            <wps:spPr>
                              <a:xfrm flipH="1" flipV="1">
                                <a:off x="774700" y="1016000"/>
                                <a:ext cx="745356" cy="292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66" name="Straight Arrow Connector 166"/>
                            <wps:cNvCnPr/>
                            <wps:spPr>
                              <a:xfrm flipV="1">
                                <a:off x="596900" y="1016000"/>
                                <a:ext cx="0" cy="90165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cNvPr id="175" name="Group 175"/>
                            <wpg:cNvGrpSpPr/>
                            <wpg:grpSpPr>
                              <a:xfrm>
                                <a:off x="0" y="152399"/>
                                <a:ext cx="5507990" cy="3441701"/>
                                <a:chOff x="0" y="152399"/>
                                <a:chExt cx="5507990" cy="3441701"/>
                              </a:xfrm>
                            </wpg:grpSpPr>
                            <wpg:grpSp>
                              <wpg:cNvPr id="174" name="Group 174"/>
                              <wpg:cNvGrpSpPr/>
                              <wpg:grpSpPr>
                                <a:xfrm>
                                  <a:off x="0" y="152399"/>
                                  <a:ext cx="5507990" cy="3441701"/>
                                  <a:chOff x="0" y="152399"/>
                                  <a:chExt cx="5507990" cy="3441701"/>
                                </a:xfrm>
                              </wpg:grpSpPr>
                              <wps:wsp>
                                <wps:cNvPr id="170" name="Text Box 170"/>
                                <wps:cNvSpPr txBox="1"/>
                                <wps:spPr>
                                  <a:xfrm>
                                    <a:off x="4597400" y="1333500"/>
                                    <a:ext cx="910590" cy="334010"/>
                                  </a:xfrm>
                                  <a:prstGeom prst="rect">
                                    <a:avLst/>
                                  </a:prstGeom>
                                  <a:solidFill>
                                    <a:schemeClr val="lt1"/>
                                  </a:solidFill>
                                  <a:ln w="6350">
                                    <a:noFill/>
                                  </a:ln>
                                </wps:spPr>
                                <wps:txbx>
                                  <w:txbxContent>
                                    <w:p w14:paraId="1F107D82" w14:textId="77777777" w:rsidR="00CF189D" w:rsidRPr="003905A7" w:rsidRDefault="00CF189D" w:rsidP="00607DD7">
                                      <w:pPr>
                                        <w:rPr>
                                          <w:rFonts w:ascii="Calibri" w:hAnsi="Calibri" w:cs="Calibri"/>
                                          <w:b/>
                                          <w:color w:val="000000" w:themeColor="text1"/>
                                          <w:sz w:val="20"/>
                                          <w:szCs w:val="20"/>
                                        </w:rPr>
                                      </w:pPr>
                                      <w:r w:rsidRPr="003905A7">
                                        <w:rPr>
                                          <w:rFonts w:ascii="Calibri" w:hAnsi="Calibri" w:cs="Calibri"/>
                                          <w:b/>
                                          <w:color w:val="000000" w:themeColor="text1"/>
                                          <w:sz w:val="20"/>
                                          <w:szCs w:val="20"/>
                                        </w:rPr>
                                        <w:t>Advice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4" name="Text Box 164"/>
                                <wps:cNvSpPr txBox="1"/>
                                <wps:spPr>
                                  <a:xfrm>
                                    <a:off x="2527300" y="252135"/>
                                    <a:ext cx="910590" cy="334010"/>
                                  </a:xfrm>
                                  <a:prstGeom prst="rect">
                                    <a:avLst/>
                                  </a:prstGeom>
                                  <a:solidFill>
                                    <a:schemeClr val="lt1"/>
                                  </a:solidFill>
                                  <a:ln w="6350">
                                    <a:noFill/>
                                  </a:ln>
                                </wps:spPr>
                                <wps:txbx>
                                  <w:txbxContent>
                                    <w:p w14:paraId="7B768B9B" w14:textId="6CA49C73" w:rsidR="00CF189D" w:rsidRPr="003905A7" w:rsidRDefault="00CF189D">
                                      <w:pPr>
                                        <w:rPr>
                                          <w:rFonts w:ascii="Calibri" w:hAnsi="Calibri" w:cs="Calibri"/>
                                          <w:b/>
                                          <w:color w:val="000000" w:themeColor="text1"/>
                                          <w:sz w:val="20"/>
                                          <w:szCs w:val="20"/>
                                        </w:rPr>
                                      </w:pPr>
                                      <w:r w:rsidRPr="003905A7">
                                        <w:rPr>
                                          <w:rFonts w:ascii="Calibri" w:hAnsi="Calibri" w:cs="Calibri"/>
                                          <w:b/>
                                          <w:color w:val="000000" w:themeColor="text1"/>
                                          <w:sz w:val="20"/>
                                          <w:szCs w:val="20"/>
                                        </w:rPr>
                                        <w:t>Advice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73" name="Group 173"/>
                                <wpg:cNvGrpSpPr/>
                                <wpg:grpSpPr>
                                  <a:xfrm>
                                    <a:off x="0" y="152399"/>
                                    <a:ext cx="5505449" cy="3441701"/>
                                    <a:chOff x="0" y="152399"/>
                                    <a:chExt cx="5505449" cy="3441701"/>
                                  </a:xfrm>
                                </wpg:grpSpPr>
                                <wpg:grpSp>
                                  <wpg:cNvPr id="96" name="Group 96"/>
                                  <wpg:cNvGrpSpPr/>
                                  <wpg:grpSpPr>
                                    <a:xfrm>
                                      <a:off x="0" y="152399"/>
                                      <a:ext cx="5505449" cy="3441701"/>
                                      <a:chOff x="198694" y="-310644"/>
                                      <a:chExt cx="6755554" cy="4006873"/>
                                    </a:xfrm>
                                  </wpg:grpSpPr>
                                  <wps:wsp>
                                    <wps:cNvPr id="105" name="Rounded Rectangle 105"/>
                                    <wps:cNvSpPr/>
                                    <wps:spPr>
                                      <a:xfrm>
                                        <a:off x="198694" y="-310643"/>
                                        <a:ext cx="2670832" cy="934795"/>
                                      </a:xfrm>
                                      <a:prstGeom prst="roundRect">
                                        <a:avLst/>
                                      </a:prstGeom>
                                    </wps:spPr>
                                    <wps:style>
                                      <a:lnRef idx="2">
                                        <a:schemeClr val="dk1"/>
                                      </a:lnRef>
                                      <a:fillRef idx="1">
                                        <a:schemeClr val="lt1"/>
                                      </a:fillRef>
                                      <a:effectRef idx="0">
                                        <a:schemeClr val="dk1"/>
                                      </a:effectRef>
                                      <a:fontRef idx="minor">
                                        <a:schemeClr val="dk1"/>
                                      </a:fontRef>
                                    </wps:style>
                                    <wps:txbx>
                                      <w:txbxContent>
                                        <w:p w14:paraId="16915F29" w14:textId="22686290" w:rsidR="00CF189D" w:rsidRPr="003905A7" w:rsidRDefault="00CF189D" w:rsidP="001F3016">
                                          <w:pPr>
                                            <w:jc w:val="center"/>
                                            <w:rPr>
                                              <w:rFonts w:ascii="Calibri" w:hAnsi="Calibri" w:cs="Calibri"/>
                                              <w:b/>
                                              <w:color w:val="000000" w:themeColor="text1"/>
                                              <w:sz w:val="20"/>
                                              <w:szCs w:val="20"/>
                                            </w:rPr>
                                          </w:pPr>
                                          <w:r w:rsidRPr="003905A7">
                                            <w:rPr>
                                              <w:rFonts w:ascii="Calibri" w:hAnsi="Calibri" w:cs="Calibri"/>
                                              <w:b/>
                                              <w:color w:val="000000" w:themeColor="text1"/>
                                              <w:sz w:val="20"/>
                                              <w:szCs w:val="20"/>
                                            </w:rPr>
                                            <w:t>Joint Coordinating Board (JCB) –</w:t>
                                          </w:r>
                                        </w:p>
                                        <w:p w14:paraId="653077D4" w14:textId="077ECC54" w:rsidR="00CF189D" w:rsidRPr="003905A7" w:rsidRDefault="00CF189D" w:rsidP="001F3016">
                                          <w:pPr>
                                            <w:jc w:val="center"/>
                                            <w:rPr>
                                              <w:rFonts w:ascii="Calibri" w:hAnsi="Calibri" w:cs="Calibri"/>
                                              <w:color w:val="000000" w:themeColor="text1"/>
                                              <w:sz w:val="18"/>
                                              <w:szCs w:val="18"/>
                                            </w:rPr>
                                          </w:pPr>
                                          <w:r w:rsidRPr="003905A7">
                                            <w:rPr>
                                              <w:rFonts w:ascii="Calibri" w:hAnsi="Calibri" w:cs="Calibri"/>
                                              <w:color w:val="000000" w:themeColor="text1"/>
                                              <w:sz w:val="18"/>
                                              <w:szCs w:val="18"/>
                                            </w:rPr>
                                            <w:t>World Bank, UNDP, WHO + donors + developing country representatives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 name="Rounded Rectangle 117"/>
                                    <wps:cNvSpPr/>
                                    <wps:spPr>
                                      <a:xfrm>
                                        <a:off x="198703" y="1829995"/>
                                        <a:ext cx="1905635" cy="638979"/>
                                      </a:xfrm>
                                      <a:prstGeom prst="roundRect">
                                        <a:avLst/>
                                      </a:prstGeom>
                                    </wps:spPr>
                                    <wps:style>
                                      <a:lnRef idx="2">
                                        <a:schemeClr val="dk1"/>
                                      </a:lnRef>
                                      <a:fillRef idx="1">
                                        <a:schemeClr val="lt1"/>
                                      </a:fillRef>
                                      <a:effectRef idx="0">
                                        <a:schemeClr val="dk1"/>
                                      </a:effectRef>
                                      <a:fontRef idx="minor">
                                        <a:schemeClr val="dk1"/>
                                      </a:fontRef>
                                    </wps:style>
                                    <wps:txbx>
                                      <w:txbxContent>
                                        <w:p w14:paraId="68D3F866" w14:textId="74DED220" w:rsidR="00CF189D" w:rsidRPr="003905A7" w:rsidRDefault="00CF189D" w:rsidP="001F3016">
                                          <w:pPr>
                                            <w:jc w:val="center"/>
                                            <w:rPr>
                                              <w:rFonts w:ascii="Calibri" w:hAnsi="Calibri" w:cs="Calibri"/>
                                              <w:b/>
                                              <w:color w:val="000000" w:themeColor="text1"/>
                                              <w:sz w:val="20"/>
                                              <w:szCs w:val="20"/>
                                            </w:rPr>
                                          </w:pPr>
                                          <w:r w:rsidRPr="003905A7">
                                            <w:rPr>
                                              <w:rFonts w:ascii="Calibri" w:hAnsi="Calibri" w:cs="Calibri"/>
                                              <w:b/>
                                              <w:color w:val="000000" w:themeColor="text1"/>
                                              <w:sz w:val="20"/>
                                              <w:szCs w:val="20"/>
                                            </w:rPr>
                                            <w:t>Secretariat (Geneva)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Rounded Rectangle 130"/>
                                    <wps:cNvSpPr/>
                                    <wps:spPr>
                                      <a:xfrm>
                                        <a:off x="2258430" y="700740"/>
                                        <a:ext cx="1853975" cy="1117400"/>
                                      </a:xfrm>
                                      <a:prstGeom prst="roundRect">
                                        <a:avLst/>
                                      </a:prstGeom>
                                      <a:solidFill>
                                        <a:schemeClr val="bg1">
                                          <a:lumMod val="75000"/>
                                        </a:schemeClr>
                                      </a:solidFill>
                                    </wps:spPr>
                                    <wps:style>
                                      <a:lnRef idx="2">
                                        <a:schemeClr val="dk1"/>
                                      </a:lnRef>
                                      <a:fillRef idx="1">
                                        <a:schemeClr val="lt1"/>
                                      </a:fillRef>
                                      <a:effectRef idx="0">
                                        <a:schemeClr val="dk1"/>
                                      </a:effectRef>
                                      <a:fontRef idx="minor">
                                        <a:schemeClr val="dk1"/>
                                      </a:fontRef>
                                    </wps:style>
                                    <wps:txbx>
                                      <w:txbxContent>
                                        <w:p w14:paraId="7204D4D3" w14:textId="5851497B" w:rsidR="00CF189D" w:rsidRPr="003905A7" w:rsidRDefault="00CF189D" w:rsidP="001F3016">
                                          <w:pPr>
                                            <w:jc w:val="center"/>
                                            <w:rPr>
                                              <w:rFonts w:ascii="Calibri" w:hAnsi="Calibri" w:cs="Calibri"/>
                                              <w:b/>
                                              <w:color w:val="000000" w:themeColor="text1"/>
                                              <w:sz w:val="20"/>
                                              <w:szCs w:val="20"/>
                                            </w:rPr>
                                          </w:pPr>
                                          <w:r w:rsidRPr="003905A7">
                                            <w:rPr>
                                              <w:rFonts w:ascii="Calibri" w:hAnsi="Calibri" w:cs="Calibri"/>
                                              <w:b/>
                                              <w:color w:val="000000" w:themeColor="text1"/>
                                              <w:sz w:val="20"/>
                                              <w:szCs w:val="20"/>
                                            </w:rPr>
                                            <w:t xml:space="preserve">Standing Committee (SC) – </w:t>
                                          </w:r>
                                        </w:p>
                                        <w:p w14:paraId="78AB15D2" w14:textId="5F7425DF" w:rsidR="00CF189D" w:rsidRPr="003905A7" w:rsidRDefault="00CF189D" w:rsidP="001F3016">
                                          <w:pPr>
                                            <w:jc w:val="center"/>
                                            <w:rPr>
                                              <w:rFonts w:ascii="Calibri" w:hAnsi="Calibri" w:cs="Calibri"/>
                                              <w:b/>
                                              <w:color w:val="000000" w:themeColor="text1"/>
                                              <w:sz w:val="18"/>
                                              <w:szCs w:val="18"/>
                                            </w:rPr>
                                          </w:pPr>
                                          <w:r w:rsidRPr="003905A7">
                                            <w:rPr>
                                              <w:rFonts w:ascii="Calibri" w:hAnsi="Calibri" w:cs="Calibri"/>
                                              <w:color w:val="000000" w:themeColor="text1"/>
                                              <w:sz w:val="18"/>
                                              <w:szCs w:val="18"/>
                                            </w:rPr>
                                            <w:t>World Bank, UNDP, WHO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 name="Straight Arrow Connector 131"/>
                                    <wps:cNvCnPr/>
                                    <wps:spPr>
                                      <a:xfrm flipH="1">
                                        <a:off x="3101783" y="152256"/>
                                        <a:ext cx="111751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39" name="Rounded Rectangle 139"/>
                                    <wps:cNvSpPr/>
                                    <wps:spPr>
                                      <a:xfrm>
                                        <a:off x="198931" y="3030889"/>
                                        <a:ext cx="1905187" cy="665340"/>
                                      </a:xfrm>
                                      <a:prstGeom prst="roundRect">
                                        <a:avLst/>
                                      </a:prstGeom>
                                    </wps:spPr>
                                    <wps:style>
                                      <a:lnRef idx="2">
                                        <a:schemeClr val="dk1"/>
                                      </a:lnRef>
                                      <a:fillRef idx="1">
                                        <a:schemeClr val="lt1"/>
                                      </a:fillRef>
                                      <a:effectRef idx="0">
                                        <a:schemeClr val="dk1"/>
                                      </a:effectRef>
                                      <a:fontRef idx="minor">
                                        <a:schemeClr val="dk1"/>
                                      </a:fontRef>
                                    </wps:style>
                                    <wps:txbx>
                                      <w:txbxContent>
                                        <w:p w14:paraId="03845400" w14:textId="77777777" w:rsidR="00CF189D" w:rsidRPr="003905A7" w:rsidRDefault="00CF189D" w:rsidP="001F3016">
                                          <w:pPr>
                                            <w:jc w:val="center"/>
                                            <w:rPr>
                                              <w:rFonts w:ascii="Calibri" w:hAnsi="Calibri" w:cs="Calibri"/>
                                              <w:b/>
                                              <w:color w:val="000000" w:themeColor="text1"/>
                                              <w:sz w:val="20"/>
                                              <w:szCs w:val="20"/>
                                            </w:rPr>
                                          </w:pPr>
                                          <w:r w:rsidRPr="003905A7">
                                            <w:rPr>
                                              <w:rFonts w:ascii="Calibri" w:hAnsi="Calibri" w:cs="Calibri"/>
                                              <w:b/>
                                              <w:color w:val="000000" w:themeColor="text1"/>
                                              <w:sz w:val="20"/>
                                              <w:szCs w:val="20"/>
                                            </w:rPr>
                                            <w:t>Staff Officers  -</w:t>
                                          </w:r>
                                        </w:p>
                                        <w:p w14:paraId="6708B8D4" w14:textId="069746FD" w:rsidR="00CF189D" w:rsidRPr="003905A7" w:rsidRDefault="00CF189D" w:rsidP="001F3016">
                                          <w:pPr>
                                            <w:jc w:val="center"/>
                                            <w:rPr>
                                              <w:rFonts w:ascii="Calibri" w:hAnsi="Calibri" w:cs="Calibri"/>
                                              <w:color w:val="000000" w:themeColor="text1"/>
                                              <w:sz w:val="18"/>
                                              <w:szCs w:val="18"/>
                                            </w:rPr>
                                          </w:pPr>
                                          <w:r w:rsidRPr="003905A7">
                                            <w:rPr>
                                              <w:rFonts w:ascii="Calibri" w:hAnsi="Calibri" w:cs="Calibri"/>
                                              <w:color w:val="000000" w:themeColor="text1"/>
                                              <w:sz w:val="18"/>
                                              <w:szCs w:val="18"/>
                                            </w:rPr>
                                            <w:t>1 per disease sub-group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 name="Rounded Rectangle 141"/>
                                    <wps:cNvSpPr/>
                                    <wps:spPr>
                                      <a:xfrm>
                                        <a:off x="4406047" y="-310644"/>
                                        <a:ext cx="2548201" cy="958629"/>
                                      </a:xfrm>
                                      <a:prstGeom prst="roundRect">
                                        <a:avLst/>
                                      </a:prstGeom>
                                    </wps:spPr>
                                    <wps:style>
                                      <a:lnRef idx="2">
                                        <a:schemeClr val="dk1"/>
                                      </a:lnRef>
                                      <a:fillRef idx="1">
                                        <a:schemeClr val="lt1"/>
                                      </a:fillRef>
                                      <a:effectRef idx="0">
                                        <a:schemeClr val="dk1"/>
                                      </a:effectRef>
                                      <a:fontRef idx="minor">
                                        <a:schemeClr val="dk1"/>
                                      </a:fontRef>
                                    </wps:style>
                                    <wps:txbx>
                                      <w:txbxContent>
                                        <w:p w14:paraId="40C42764" w14:textId="1CC18DC9" w:rsidR="00CF189D" w:rsidRDefault="00CF189D" w:rsidP="001F3016">
                                          <w:pPr>
                                            <w:jc w:val="center"/>
                                            <w:rPr>
                                              <w:rFonts w:ascii="Calibri" w:hAnsi="Calibri" w:cs="Calibri"/>
                                              <w:b/>
                                              <w:color w:val="000000" w:themeColor="text1"/>
                                              <w:sz w:val="20"/>
                                              <w:szCs w:val="20"/>
                                            </w:rPr>
                                          </w:pPr>
                                          <w:r w:rsidRPr="003905A7">
                                            <w:rPr>
                                              <w:rFonts w:ascii="Calibri" w:hAnsi="Calibri" w:cs="Calibri"/>
                                              <w:b/>
                                              <w:color w:val="000000" w:themeColor="text1"/>
                                              <w:sz w:val="20"/>
                                              <w:szCs w:val="20"/>
                                            </w:rPr>
                                            <w:t>Science and Technology Advisory Committee (STAC)</w:t>
                                          </w:r>
                                          <w:r>
                                            <w:rPr>
                                              <w:rFonts w:ascii="Calibri" w:hAnsi="Calibri" w:cs="Calibri"/>
                                              <w:b/>
                                              <w:color w:val="000000" w:themeColor="text1"/>
                                              <w:sz w:val="20"/>
                                              <w:szCs w:val="20"/>
                                            </w:rPr>
                                            <w:t xml:space="preserve"> – </w:t>
                                          </w:r>
                                        </w:p>
                                        <w:p w14:paraId="53132680" w14:textId="611C1923" w:rsidR="00CF189D" w:rsidRPr="00322FEF" w:rsidRDefault="00CF189D" w:rsidP="001F3016">
                                          <w:pPr>
                                            <w:jc w:val="center"/>
                                            <w:rPr>
                                              <w:rFonts w:ascii="Calibri" w:hAnsi="Calibri" w:cs="Calibri"/>
                                              <w:color w:val="000000" w:themeColor="text1"/>
                                              <w:sz w:val="18"/>
                                              <w:szCs w:val="18"/>
                                            </w:rPr>
                                          </w:pPr>
                                          <w:r>
                                            <w:rPr>
                                              <w:rFonts w:ascii="Calibri" w:hAnsi="Calibri" w:cs="Calibri"/>
                                              <w:color w:val="000000" w:themeColor="text1"/>
                                              <w:sz w:val="18"/>
                                              <w:szCs w:val="18"/>
                                            </w:rPr>
                                            <w:t>Senior technical advisory 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0" name="Rounded Rectangle 150"/>
                                  <wps:cNvSpPr/>
                                  <wps:spPr>
                                    <a:xfrm>
                                      <a:off x="3797032" y="1942650"/>
                                      <a:ext cx="1553114" cy="752439"/>
                                    </a:xfrm>
                                    <a:prstGeom prst="roundRect">
                                      <a:avLst/>
                                    </a:prstGeom>
                                  </wps:spPr>
                                  <wps:style>
                                    <a:lnRef idx="2">
                                      <a:schemeClr val="dk1"/>
                                    </a:lnRef>
                                    <a:fillRef idx="1">
                                      <a:schemeClr val="lt1"/>
                                    </a:fillRef>
                                    <a:effectRef idx="0">
                                      <a:schemeClr val="dk1"/>
                                    </a:effectRef>
                                    <a:fontRef idx="minor">
                                      <a:schemeClr val="dk1"/>
                                    </a:fontRef>
                                  </wps:style>
                                  <wps:txbx>
                                    <w:txbxContent>
                                      <w:p w14:paraId="5EB1A956" w14:textId="596D7C62" w:rsidR="00CF189D" w:rsidRPr="003905A7" w:rsidRDefault="00CF189D" w:rsidP="001F3016">
                                        <w:pPr>
                                          <w:jc w:val="center"/>
                                          <w:rPr>
                                            <w:rFonts w:ascii="Calibri" w:hAnsi="Calibri" w:cs="Calibri"/>
                                            <w:b/>
                                            <w:color w:val="000000" w:themeColor="text1"/>
                                            <w:sz w:val="20"/>
                                            <w:szCs w:val="20"/>
                                          </w:rPr>
                                        </w:pPr>
                                        <w:r w:rsidRPr="003905A7">
                                          <w:rPr>
                                            <w:rFonts w:ascii="Calibri" w:hAnsi="Calibri" w:cs="Calibri"/>
                                            <w:b/>
                                            <w:color w:val="000000" w:themeColor="text1"/>
                                            <w:sz w:val="20"/>
                                            <w:szCs w:val="20"/>
                                          </w:rPr>
                                          <w:t>Scientific Working Groups (SWGs) –</w:t>
                                        </w:r>
                                      </w:p>
                                      <w:p w14:paraId="6BBB6A84" w14:textId="6EA7E9CE" w:rsidR="00CF189D" w:rsidRPr="003905A7" w:rsidRDefault="00CF189D" w:rsidP="001F3016">
                                        <w:pPr>
                                          <w:jc w:val="center"/>
                                          <w:rPr>
                                            <w:rFonts w:ascii="Calibri" w:hAnsi="Calibri" w:cs="Calibri"/>
                                            <w:color w:val="000000" w:themeColor="text1"/>
                                            <w:sz w:val="20"/>
                                            <w:szCs w:val="20"/>
                                          </w:rPr>
                                        </w:pPr>
                                        <w:r w:rsidRPr="003905A7">
                                          <w:rPr>
                                            <w:rFonts w:ascii="Calibri" w:hAnsi="Calibri" w:cs="Calibri"/>
                                            <w:color w:val="000000" w:themeColor="text1"/>
                                            <w:sz w:val="20"/>
                                            <w:szCs w:val="20"/>
                                          </w:rPr>
                                          <w:t>1 per sub-group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67" name="Straight Arrow Connector 167"/>
                              <wps:cNvCnPr/>
                              <wps:spPr>
                                <a:xfrm flipH="1">
                                  <a:off x="1574800" y="2286000"/>
                                  <a:ext cx="2017091" cy="825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68" name="Straight Arrow Connector 168"/>
                              <wps:cNvCnPr/>
                              <wps:spPr>
                                <a:xfrm flipV="1">
                                  <a:off x="4521200" y="1028700"/>
                                  <a:ext cx="0" cy="86032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grpSp>
                        <wps:wsp>
                          <wps:cNvPr id="172" name="Text Box 172"/>
                          <wps:cNvSpPr txBox="1"/>
                          <wps:spPr>
                            <a:xfrm>
                              <a:off x="-114300" y="0"/>
                              <a:ext cx="5994400" cy="368300"/>
                            </a:xfrm>
                            <a:prstGeom prst="rect">
                              <a:avLst/>
                            </a:prstGeom>
                            <a:solidFill>
                              <a:schemeClr val="lt1"/>
                            </a:solidFill>
                            <a:ln w="6350">
                              <a:noFill/>
                            </a:ln>
                          </wps:spPr>
                          <wps:txbx>
                            <w:txbxContent>
                              <w:p w14:paraId="0FFF8CB2" w14:textId="28F8FA3E" w:rsidR="00CF189D" w:rsidRPr="00607DD7" w:rsidRDefault="00CF189D" w:rsidP="001136FE">
                                <w:pPr>
                                  <w:jc w:val="center"/>
                                  <w:rPr>
                                    <w:rFonts w:ascii="Calibri" w:hAnsi="Calibri" w:cs="Calibri"/>
                                    <w:b/>
                                    <w:i/>
                                    <w:sz w:val="22"/>
                                    <w:szCs w:val="22"/>
                                    <w:u w:val="single"/>
                                  </w:rPr>
                                </w:pPr>
                                <w:r w:rsidRPr="00607DD7">
                                  <w:rPr>
                                    <w:rFonts w:ascii="Calibri" w:hAnsi="Calibri" w:cs="Calibri"/>
                                    <w:b/>
                                    <w:i/>
                                    <w:sz w:val="22"/>
                                    <w:szCs w:val="22"/>
                                    <w:u w:val="single"/>
                                  </w:rPr>
                                  <w:t>The Special Programme for Research and Training in Tropical Diseases (TDR)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C7E84D8" id="Group 180" o:spid="_x0000_s1066" style="position:absolute;left:0;text-align:left;margin-left:-3.6pt;margin-top:6.85pt;width:433.9pt;height:533.15pt;z-index:251682816;mso-width-relative:margin;mso-height-relative:margin" coordorigin="1778,1397" coordsize="59944,75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">
                <v:shape id="Straight Arrow Connector 171" o:spid="_x0000_s1067" type="#_x0000_t32" style="position:absolute;left:8890;top:67183;width:0;height:41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" strokecolor="#5b9bd5 [3204]" strokeweight=".5pt">
                  <v:stroke endarrow="block" joinstyle="miter"/>
                </v:shape>
                <v:group id="Group 178" o:spid="_x0000_s1068" style="position:absolute;left:1778;top:1397;width:59944;height:75692" coordorigin="-1143" coordsize="59944,75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">
                  <v:group id="Group 176" o:spid="_x0000_s1069" style="position:absolute;top:41274;width:55079;height:34418" coordorigin=",1523" coordsize="55079,34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">
                    <v:shape id="Straight Arrow Connector 158" o:spid="_x0000_s1070" type="#_x0000_t32" style="position:absolute;left:7747;top:10160;width:7453;height:292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" strokecolor="#5b9bd5 [3204]" strokeweight=".5pt">
                      <v:stroke endarrow="block" joinstyle="miter"/>
                    </v:shape>
                    <v:shape id="Straight Arrow Connector 166" o:spid="_x0000_s1071" type="#_x0000_t32" style="position:absolute;left:5969;top:10160;width:0;height:90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" strokecolor="#5b9bd5 [3204]" strokeweight=".5pt">
                      <v:stroke endarrow="block" joinstyle="miter"/>
                    </v:shape>
                    <v:group id="Group 175" o:spid="_x0000_s1072" style="position:absolute;top:1523;width:55079;height:34418" coordorigin=",1523" coordsize="55079,34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">
                      <v:group id="Group 174" o:spid="_x0000_s1073" style="position:absolute;top:1523;width:55079;height:34418" coordorigin=",1523" coordsize="55079,34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">
                        <v:shape id="Text Box 170" o:spid="_x0000_s1074" type="#_x0000_t202" style="position:absolute;left:45974;top:13335;width:9105;height:3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" fillcolor="white [3201]" stroked="f" strokeweight=".5pt">
                          <v:textbox>
                            <w:txbxContent>
                              <w:p w14:paraId="1F107D82" w14:textId="77777777" w:rsidR="00CF189D" w:rsidRPr="003905A7" w:rsidRDefault="00CF189D" w:rsidP="00607DD7">
                                <w:pPr>
                                  <w:rPr>
                                    <w:rFonts w:ascii="Calibri" w:hAnsi="Calibri" w:cs="Calibri"/>
                                    <w:b/>
                                    <w:color w:val="000000" w:themeColor="text1"/>
                                    <w:sz w:val="20"/>
                                    <w:szCs w:val="20"/>
                                  </w:rPr>
                                </w:pPr>
                                <w:r w:rsidRPr="003905A7">
                                  <w:rPr>
                                    <w:rFonts w:ascii="Calibri" w:hAnsi="Calibri" w:cs="Calibri"/>
                                    <w:b/>
                                    <w:color w:val="000000" w:themeColor="text1"/>
                                    <w:sz w:val="20"/>
                                    <w:szCs w:val="20"/>
                                  </w:rPr>
                                  <w:t>Advice</w:t>
                                </w:r>
                              </w:p>
                            </w:txbxContent>
                          </v:textbox>
                        </v:shape>
                        <v:shape id="Text Box 164" o:spid="_x0000_s1075" type="#_x0000_t202" style="position:absolute;left:25273;top:2521;width:9105;height:3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" fillcolor="white [3201]" stroked="f" strokeweight=".5pt">
                          <v:textbox>
                            <w:txbxContent>
                              <w:p w14:paraId="7B768B9B" w14:textId="6CA49C73" w:rsidR="00CF189D" w:rsidRPr="003905A7" w:rsidRDefault="00CF189D">
                                <w:pPr>
                                  <w:rPr>
                                    <w:rFonts w:ascii="Calibri" w:hAnsi="Calibri" w:cs="Calibri"/>
                                    <w:b/>
                                    <w:color w:val="000000" w:themeColor="text1"/>
                                    <w:sz w:val="20"/>
                                    <w:szCs w:val="20"/>
                                  </w:rPr>
                                </w:pPr>
                                <w:r w:rsidRPr="003905A7">
                                  <w:rPr>
                                    <w:rFonts w:ascii="Calibri" w:hAnsi="Calibri" w:cs="Calibri"/>
                                    <w:b/>
                                    <w:color w:val="000000" w:themeColor="text1"/>
                                    <w:sz w:val="20"/>
                                    <w:szCs w:val="20"/>
                                  </w:rPr>
                                  <w:t>Advice</w:t>
                                </w:r>
                              </w:p>
                            </w:txbxContent>
                          </v:textbox>
                        </v:shape>
                        <v:group id="Group 173" o:spid="_x0000_s1076" style="position:absolute;top:1523;width:55054;height:34418" coordorigin=",1523" coordsize="55054,34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">
                          <v:group id="Group 96" o:spid="_x0000_s1077" style="position:absolute;top:1523;width:55054;height:34418" coordorigin="1986,-3106" coordsize="67555,40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">
                            <v:roundrect id="Rounded Rectangle 105" o:spid="_x0000_s1078" style="position:absolute;left:1986;top:-3106;width:26709;height:93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" fillcolor="white [3201]" strokecolor="black [3200]" strokeweight="1pt">
                              <v:stroke joinstyle="miter"/>
                              <v:textbox>
                                <w:txbxContent>
                                  <w:p w14:paraId="16915F29" w14:textId="22686290" w:rsidR="00CF189D" w:rsidRPr="003905A7" w:rsidRDefault="00CF189D" w:rsidP="001F3016">
                                    <w:pPr>
                                      <w:jc w:val="center"/>
                                      <w:rPr>
                                        <w:rFonts w:ascii="Calibri" w:hAnsi="Calibri" w:cs="Calibri"/>
                                        <w:b/>
                                        <w:color w:val="000000" w:themeColor="text1"/>
                                        <w:sz w:val="20"/>
                                        <w:szCs w:val="20"/>
                                      </w:rPr>
                                    </w:pPr>
                                    <w:r w:rsidRPr="003905A7">
                                      <w:rPr>
                                        <w:rFonts w:ascii="Calibri" w:hAnsi="Calibri" w:cs="Calibri"/>
                                        <w:b/>
                                        <w:color w:val="000000" w:themeColor="text1"/>
                                        <w:sz w:val="20"/>
                                        <w:szCs w:val="20"/>
                                      </w:rPr>
                                      <w:t>Joint Coordinating Board (JCB) –</w:t>
                                    </w:r>
                                  </w:p>
                                  <w:p w14:paraId="653077D4" w14:textId="077ECC54" w:rsidR="00CF189D" w:rsidRPr="003905A7" w:rsidRDefault="00CF189D" w:rsidP="001F3016">
                                    <w:pPr>
                                      <w:jc w:val="center"/>
                                      <w:rPr>
                                        <w:rFonts w:ascii="Calibri" w:hAnsi="Calibri" w:cs="Calibri"/>
                                        <w:color w:val="000000" w:themeColor="text1"/>
                                        <w:sz w:val="18"/>
                                        <w:szCs w:val="18"/>
                                      </w:rPr>
                                    </w:pPr>
                                    <w:r w:rsidRPr="003905A7">
                                      <w:rPr>
                                        <w:rFonts w:ascii="Calibri" w:hAnsi="Calibri" w:cs="Calibri"/>
                                        <w:color w:val="000000" w:themeColor="text1"/>
                                        <w:sz w:val="18"/>
                                        <w:szCs w:val="18"/>
                                      </w:rPr>
                                      <w:t>World Bank, UNDP, WHO + donors + developing country representatives</w:t>
                                    </w:r>
                                  </w:p>
                                </w:txbxContent>
                              </v:textbox>
                            </v:roundrect>
                            <v:roundrect id="Rounded Rectangle 117" o:spid="_x0000_s1079" style="position:absolute;left:1987;top:18299;width:19056;height:63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" fillcolor="white [3201]" strokecolor="black [3200]" strokeweight="1pt">
                              <v:stroke joinstyle="miter"/>
                              <v:textbox>
                                <w:txbxContent>
                                  <w:p w14:paraId="68D3F866" w14:textId="74DED220" w:rsidR="00CF189D" w:rsidRPr="003905A7" w:rsidRDefault="00CF189D" w:rsidP="001F3016">
                                    <w:pPr>
                                      <w:jc w:val="center"/>
                                      <w:rPr>
                                        <w:rFonts w:ascii="Calibri" w:hAnsi="Calibri" w:cs="Calibri"/>
                                        <w:b/>
                                        <w:color w:val="000000" w:themeColor="text1"/>
                                        <w:sz w:val="20"/>
                                        <w:szCs w:val="20"/>
                                      </w:rPr>
                                    </w:pPr>
                                    <w:r w:rsidRPr="003905A7">
                                      <w:rPr>
                                        <w:rFonts w:ascii="Calibri" w:hAnsi="Calibri" w:cs="Calibri"/>
                                        <w:b/>
                                        <w:color w:val="000000" w:themeColor="text1"/>
                                        <w:sz w:val="20"/>
                                        <w:szCs w:val="20"/>
                                      </w:rPr>
                                      <w:t>Secretariat (Geneva)</w:t>
                                    </w:r>
                                  </w:p>
                                </w:txbxContent>
                              </v:textbox>
                            </v:roundrect>
                            <v:roundrect id="Rounded Rectangle 130" o:spid="_x0000_s1080" style="position:absolute;left:22584;top:7007;width:18540;height:111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" fillcolor="#bfbfbf [2412]" strokecolor="black [3200]" strokeweight="1pt">
                              <v:stroke joinstyle="miter"/>
                              <v:textbox>
                                <w:txbxContent>
                                  <w:p w14:paraId="7204D4D3" w14:textId="5851497B" w:rsidR="00CF189D" w:rsidRPr="003905A7" w:rsidRDefault="00CF189D" w:rsidP="001F3016">
                                    <w:pPr>
                                      <w:jc w:val="center"/>
                                      <w:rPr>
                                        <w:rFonts w:ascii="Calibri" w:hAnsi="Calibri" w:cs="Calibri"/>
                                        <w:b/>
                                        <w:color w:val="000000" w:themeColor="text1"/>
                                        <w:sz w:val="20"/>
                                        <w:szCs w:val="20"/>
                                      </w:rPr>
                                    </w:pPr>
                                    <w:r w:rsidRPr="003905A7">
                                      <w:rPr>
                                        <w:rFonts w:ascii="Calibri" w:hAnsi="Calibri" w:cs="Calibri"/>
                                        <w:b/>
                                        <w:color w:val="000000" w:themeColor="text1"/>
                                        <w:sz w:val="20"/>
                                        <w:szCs w:val="20"/>
                                      </w:rPr>
                                      <w:t xml:space="preserve">Standing Committee (SC) – </w:t>
                                    </w:r>
                                  </w:p>
                                  <w:p w14:paraId="78AB15D2" w14:textId="5F7425DF" w:rsidR="00CF189D" w:rsidRPr="003905A7" w:rsidRDefault="00CF189D" w:rsidP="001F3016">
                                    <w:pPr>
                                      <w:jc w:val="center"/>
                                      <w:rPr>
                                        <w:rFonts w:ascii="Calibri" w:hAnsi="Calibri" w:cs="Calibri"/>
                                        <w:b/>
                                        <w:color w:val="000000" w:themeColor="text1"/>
                                        <w:sz w:val="18"/>
                                        <w:szCs w:val="18"/>
                                      </w:rPr>
                                    </w:pPr>
                                    <w:r w:rsidRPr="003905A7">
                                      <w:rPr>
                                        <w:rFonts w:ascii="Calibri" w:hAnsi="Calibri" w:cs="Calibri"/>
                                        <w:color w:val="000000" w:themeColor="text1"/>
                                        <w:sz w:val="18"/>
                                        <w:szCs w:val="18"/>
                                      </w:rPr>
                                      <w:t>World Bank, UNDP, WHO</w:t>
                                    </w:r>
                                  </w:p>
                                </w:txbxContent>
                              </v:textbox>
                            </v:roundrect>
                            <v:shape id="Straight Arrow Connector 131" o:spid="_x0000_s1081" type="#_x0000_t32" style="position:absolute;left:31017;top:1522;width:1117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" strokecolor="#5b9bd5 [3204]" strokeweight=".5pt">
                              <v:stroke endarrow="block" joinstyle="miter"/>
                            </v:shape>
                            <v:roundrect id="Rounded Rectangle 139" o:spid="_x0000_s1082" style="position:absolute;left:1989;top:30308;width:19052;height:665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" fillcolor="white [3201]" strokecolor="black [3200]" strokeweight="1pt">
                              <v:stroke joinstyle="miter"/>
                              <v:textbox>
                                <w:txbxContent>
                                  <w:p w14:paraId="03845400" w14:textId="77777777" w:rsidR="00CF189D" w:rsidRPr="003905A7" w:rsidRDefault="00CF189D" w:rsidP="001F3016">
                                    <w:pPr>
                                      <w:jc w:val="center"/>
                                      <w:rPr>
                                        <w:rFonts w:ascii="Calibri" w:hAnsi="Calibri" w:cs="Calibri"/>
                                        <w:b/>
                                        <w:color w:val="000000" w:themeColor="text1"/>
                                        <w:sz w:val="20"/>
                                        <w:szCs w:val="20"/>
                                      </w:rPr>
                                    </w:pPr>
                                    <w:r w:rsidRPr="003905A7">
                                      <w:rPr>
                                        <w:rFonts w:ascii="Calibri" w:hAnsi="Calibri" w:cs="Calibri"/>
                                        <w:b/>
                                        <w:color w:val="000000" w:themeColor="text1"/>
                                        <w:sz w:val="20"/>
                                        <w:szCs w:val="20"/>
                                      </w:rPr>
                                      <w:t>Staff Officers  -</w:t>
                                    </w:r>
                                  </w:p>
                                  <w:p w14:paraId="6708B8D4" w14:textId="069746FD" w:rsidR="00CF189D" w:rsidRPr="003905A7" w:rsidRDefault="00CF189D" w:rsidP="001F3016">
                                    <w:pPr>
                                      <w:jc w:val="center"/>
                                      <w:rPr>
                                        <w:rFonts w:ascii="Calibri" w:hAnsi="Calibri" w:cs="Calibri"/>
                                        <w:color w:val="000000" w:themeColor="text1"/>
                                        <w:sz w:val="18"/>
                                        <w:szCs w:val="18"/>
                                      </w:rPr>
                                    </w:pPr>
                                    <w:r w:rsidRPr="003905A7">
                                      <w:rPr>
                                        <w:rFonts w:ascii="Calibri" w:hAnsi="Calibri" w:cs="Calibri"/>
                                        <w:color w:val="000000" w:themeColor="text1"/>
                                        <w:sz w:val="18"/>
                                        <w:szCs w:val="18"/>
                                      </w:rPr>
                                      <w:t>1 per disease sub-group</w:t>
                                    </w:r>
                                  </w:p>
                                </w:txbxContent>
                              </v:textbox>
                            </v:roundrect>
                            <v:roundrect id="Rounded Rectangle 141" o:spid="_x0000_s1083" style="position:absolute;left:44060;top:-3106;width:25482;height:958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" fillcolor="white [3201]" strokecolor="black [3200]" strokeweight="1pt">
                              <v:stroke joinstyle="miter"/>
                              <v:textbox>
                                <w:txbxContent>
                                  <w:p w14:paraId="40C42764" w14:textId="1CC18DC9" w:rsidR="00CF189D" w:rsidRDefault="00CF189D" w:rsidP="001F3016">
                                    <w:pPr>
                                      <w:jc w:val="center"/>
                                      <w:rPr>
                                        <w:rFonts w:ascii="Calibri" w:hAnsi="Calibri" w:cs="Calibri"/>
                                        <w:b/>
                                        <w:color w:val="000000" w:themeColor="text1"/>
                                        <w:sz w:val="20"/>
                                        <w:szCs w:val="20"/>
                                      </w:rPr>
                                    </w:pPr>
                                    <w:r w:rsidRPr="003905A7">
                                      <w:rPr>
                                        <w:rFonts w:ascii="Calibri" w:hAnsi="Calibri" w:cs="Calibri"/>
                                        <w:b/>
                                        <w:color w:val="000000" w:themeColor="text1"/>
                                        <w:sz w:val="20"/>
                                        <w:szCs w:val="20"/>
                                      </w:rPr>
                                      <w:t>Science and Technology Advisory Committee (STAC)</w:t>
                                    </w:r>
                                    <w:r>
                                      <w:rPr>
                                        <w:rFonts w:ascii="Calibri" w:hAnsi="Calibri" w:cs="Calibri"/>
                                        <w:b/>
                                        <w:color w:val="000000" w:themeColor="text1"/>
                                        <w:sz w:val="20"/>
                                        <w:szCs w:val="20"/>
                                      </w:rPr>
                                      <w:t xml:space="preserve"> – </w:t>
                                    </w:r>
                                  </w:p>
                                  <w:p w14:paraId="53132680" w14:textId="611C1923" w:rsidR="00CF189D" w:rsidRPr="00322FEF" w:rsidRDefault="00CF189D" w:rsidP="001F3016">
                                    <w:pPr>
                                      <w:jc w:val="center"/>
                                      <w:rPr>
                                        <w:rFonts w:ascii="Calibri" w:hAnsi="Calibri" w:cs="Calibri"/>
                                        <w:color w:val="000000" w:themeColor="text1"/>
                                        <w:sz w:val="18"/>
                                        <w:szCs w:val="18"/>
                                      </w:rPr>
                                    </w:pPr>
                                    <w:r>
                                      <w:rPr>
                                        <w:rFonts w:ascii="Calibri" w:hAnsi="Calibri" w:cs="Calibri"/>
                                        <w:color w:val="000000" w:themeColor="text1"/>
                                        <w:sz w:val="18"/>
                                        <w:szCs w:val="18"/>
                                      </w:rPr>
                                      <w:t>Senior technical advisory body</w:t>
                                    </w:r>
                                  </w:p>
                                </w:txbxContent>
                              </v:textbox>
                            </v:roundrect>
                          </v:group>
                          <v:roundrect id="Rounded Rectangle 150" o:spid="_x0000_s1084" style="position:absolute;left:37970;top:19426;width:15531;height:75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" fillcolor="white [3201]" strokecolor="black [3200]" strokeweight="1pt">
                            <v:stroke joinstyle="miter"/>
                            <v:textbox>
                              <w:txbxContent>
                                <w:p w14:paraId="5EB1A956" w14:textId="596D7C62" w:rsidR="00CF189D" w:rsidRPr="003905A7" w:rsidRDefault="00CF189D" w:rsidP="001F3016">
                                  <w:pPr>
                                    <w:jc w:val="center"/>
                                    <w:rPr>
                                      <w:rFonts w:ascii="Calibri" w:hAnsi="Calibri" w:cs="Calibri"/>
                                      <w:b/>
                                      <w:color w:val="000000" w:themeColor="text1"/>
                                      <w:sz w:val="20"/>
                                      <w:szCs w:val="20"/>
                                    </w:rPr>
                                  </w:pPr>
                                  <w:r w:rsidRPr="003905A7">
                                    <w:rPr>
                                      <w:rFonts w:ascii="Calibri" w:hAnsi="Calibri" w:cs="Calibri"/>
                                      <w:b/>
                                      <w:color w:val="000000" w:themeColor="text1"/>
                                      <w:sz w:val="20"/>
                                      <w:szCs w:val="20"/>
                                    </w:rPr>
                                    <w:t>Scientific Working Groups (SWGs) –</w:t>
                                  </w:r>
                                </w:p>
                                <w:p w14:paraId="6BBB6A84" w14:textId="6EA7E9CE" w:rsidR="00CF189D" w:rsidRPr="003905A7" w:rsidRDefault="00CF189D" w:rsidP="001F3016">
                                  <w:pPr>
                                    <w:jc w:val="center"/>
                                    <w:rPr>
                                      <w:rFonts w:ascii="Calibri" w:hAnsi="Calibri" w:cs="Calibri"/>
                                      <w:color w:val="000000" w:themeColor="text1"/>
                                      <w:sz w:val="20"/>
                                      <w:szCs w:val="20"/>
                                    </w:rPr>
                                  </w:pPr>
                                  <w:r w:rsidRPr="003905A7">
                                    <w:rPr>
                                      <w:rFonts w:ascii="Calibri" w:hAnsi="Calibri" w:cs="Calibri"/>
                                      <w:color w:val="000000" w:themeColor="text1"/>
                                      <w:sz w:val="20"/>
                                      <w:szCs w:val="20"/>
                                    </w:rPr>
                                    <w:t>1 per sub-group</w:t>
                                  </w:r>
                                </w:p>
                              </w:txbxContent>
                            </v:textbox>
                          </v:roundrect>
                        </v:group>
                      </v:group>
                      <v:shape id="Straight Arrow Connector 167" o:spid="_x0000_s1085" type="#_x0000_t32" style="position:absolute;left:15748;top:22860;width:20170;height:825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" strokecolor="#5b9bd5 [3204]" strokeweight=".5pt">
                        <v:stroke endarrow="block" joinstyle="miter"/>
                      </v:shape>
                      <v:shape id="Straight Arrow Connector 168" o:spid="_x0000_s1086" type="#_x0000_t32" style="position:absolute;left:45212;top:10287;width:0;height:860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" strokecolor="#5b9bd5 [3204]" strokeweight=".5pt">
                        <v:stroke endarrow="block" joinstyle="miter"/>
                      </v:shape>
                    </v:group>
                  </v:group>
                  <v:shape id="Text Box 172" o:spid="_x0000_s1087" type="#_x0000_t202" style="position:absolute;left:-1143;width:59944;height:3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" fillcolor="white [3201]" stroked="f" strokeweight=".5pt">
                    <v:textbox>
                      <w:txbxContent>
                        <w:p w14:paraId="0FFF8CB2" w14:textId="28F8FA3E" w:rsidR="00CF189D" w:rsidRPr="00607DD7" w:rsidRDefault="00CF189D" w:rsidP="001136FE">
                          <w:pPr>
                            <w:jc w:val="center"/>
                            <w:rPr>
                              <w:rFonts w:ascii="Calibri" w:hAnsi="Calibri" w:cs="Calibri"/>
                              <w:b/>
                              <w:i/>
                              <w:sz w:val="22"/>
                              <w:szCs w:val="22"/>
                              <w:u w:val="single"/>
                            </w:rPr>
                          </w:pPr>
                          <w:r w:rsidRPr="00607DD7">
                            <w:rPr>
                              <w:rFonts w:ascii="Calibri" w:hAnsi="Calibri" w:cs="Calibri"/>
                              <w:b/>
                              <w:i/>
                              <w:sz w:val="22"/>
                              <w:szCs w:val="22"/>
                              <w:u w:val="single"/>
                            </w:rPr>
                            <w:t>The Special Programme for Research and Training in Tropical Diseases (TDR)</w:t>
                          </w:r>
                        </w:p>
                      </w:txbxContent>
                    </v:textbox>
                  </v:shape>
                </v:group>
              </v:group>
            </w:pict>
          </mc:Fallback>
        </mc:AlternateContent>
      </w:r>
      <w:r w:rsidR="003905A7" w:rsidRPr="00D9152B">
        <w:rPr>
          <w:rFonts w:ascii="Calibri" w:hAnsi="Calibri" w:cs="Calibri"/>
          <w:noProof/>
          <w:sz w:val="22"/>
          <w:szCs w:val="22"/>
          <w:lang w:eastAsia="en-GB"/>
        </w:rPr>
        <w:drawing>
          <wp:inline distT="0" distB="0" distL="0" distR="0" wp14:anchorId="5057040A" wp14:editId="00648C92">
            <wp:extent cx="5638800" cy="2921000"/>
            <wp:effectExtent l="12700" t="304800" r="12700" b="317500"/>
            <wp:docPr id="177" name="Diagram 17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6" r:lo="rId97" r:qs="rId98" r:cs="rId99"/>
              </a:graphicData>
            </a:graphic>
          </wp:inline>
        </w:drawing>
      </w:r>
    </w:p>
    <w:p w14:paraId="6814E654" w14:textId="0B642CA4" w:rsidR="0026033D" w:rsidRPr="00D9152B" w:rsidRDefault="00322FEF" w:rsidP="00322FEF">
      <w:pPr>
        <w:spacing w:line="360" w:lineRule="auto"/>
        <w:jc w:val="center"/>
        <w:rPr>
          <w:rFonts w:ascii="Calibri" w:hAnsi="Calibri" w:cs="Calibri"/>
          <w:sz w:val="22"/>
          <w:szCs w:val="22"/>
        </w:rPr>
      </w:pPr>
      <w:r w:rsidRPr="00D9152B">
        <w:rPr>
          <w:rFonts w:ascii="Calibri" w:hAnsi="Calibri" w:cs="Calibri"/>
          <w:b/>
          <w:sz w:val="22"/>
          <w:szCs w:val="22"/>
        </w:rPr>
        <w:t>General governance structure</w:t>
      </w:r>
      <w:r w:rsidRPr="00D9152B">
        <w:rPr>
          <w:rFonts w:ascii="Calibri" w:hAnsi="Calibri" w:cs="Calibri"/>
          <w:sz w:val="22"/>
          <w:szCs w:val="22"/>
        </w:rPr>
        <w:t>:</w:t>
      </w:r>
    </w:p>
    <w:p w14:paraId="7C877FB3" w14:textId="0B15F871" w:rsidR="0026033D" w:rsidRPr="00D9152B" w:rsidRDefault="0026033D" w:rsidP="00217272">
      <w:pPr>
        <w:spacing w:line="360" w:lineRule="auto"/>
        <w:rPr>
          <w:rFonts w:ascii="Calibri" w:hAnsi="Calibri" w:cs="Calibri"/>
          <w:sz w:val="22"/>
          <w:szCs w:val="22"/>
        </w:rPr>
      </w:pPr>
    </w:p>
    <w:p w14:paraId="6F5BC5E7" w14:textId="1FAEDE45" w:rsidR="0026033D" w:rsidRPr="00D9152B" w:rsidRDefault="0026033D" w:rsidP="00217272">
      <w:pPr>
        <w:spacing w:line="360" w:lineRule="auto"/>
        <w:rPr>
          <w:rFonts w:ascii="Calibri" w:hAnsi="Calibri" w:cs="Calibri"/>
          <w:sz w:val="22"/>
          <w:szCs w:val="22"/>
        </w:rPr>
      </w:pPr>
    </w:p>
    <w:p w14:paraId="363C966D" w14:textId="2725C472" w:rsidR="0026033D" w:rsidRPr="00D9152B" w:rsidRDefault="0026033D" w:rsidP="00217272">
      <w:pPr>
        <w:spacing w:line="360" w:lineRule="auto"/>
        <w:rPr>
          <w:rFonts w:ascii="Calibri" w:hAnsi="Calibri" w:cs="Calibri"/>
          <w:sz w:val="22"/>
          <w:szCs w:val="22"/>
        </w:rPr>
      </w:pPr>
    </w:p>
    <w:p w14:paraId="0107B5A3" w14:textId="57E729DA" w:rsidR="0026033D" w:rsidRPr="00D9152B" w:rsidRDefault="0026033D" w:rsidP="00217272">
      <w:pPr>
        <w:spacing w:line="360" w:lineRule="auto"/>
        <w:rPr>
          <w:rFonts w:ascii="Calibri" w:hAnsi="Calibri" w:cs="Calibri"/>
          <w:sz w:val="22"/>
          <w:szCs w:val="22"/>
        </w:rPr>
      </w:pPr>
    </w:p>
    <w:p w14:paraId="01F0190F" w14:textId="6B16C20E" w:rsidR="0026033D" w:rsidRPr="00D9152B" w:rsidRDefault="0026033D" w:rsidP="00217272">
      <w:pPr>
        <w:spacing w:line="360" w:lineRule="auto"/>
        <w:rPr>
          <w:rFonts w:ascii="Calibri" w:hAnsi="Calibri" w:cs="Calibri"/>
          <w:sz w:val="22"/>
          <w:szCs w:val="22"/>
        </w:rPr>
      </w:pPr>
    </w:p>
    <w:p w14:paraId="17FFBFA4" w14:textId="573F594B" w:rsidR="0026033D" w:rsidRPr="00D9152B" w:rsidRDefault="0026033D" w:rsidP="00217272">
      <w:pPr>
        <w:spacing w:line="360" w:lineRule="auto"/>
        <w:rPr>
          <w:rFonts w:ascii="Calibri" w:hAnsi="Calibri" w:cs="Calibri"/>
          <w:sz w:val="22"/>
          <w:szCs w:val="22"/>
        </w:rPr>
      </w:pPr>
    </w:p>
    <w:p w14:paraId="281EF654" w14:textId="1E9B3643" w:rsidR="0026033D" w:rsidRPr="00D9152B" w:rsidRDefault="0026033D" w:rsidP="00217272">
      <w:pPr>
        <w:spacing w:line="360" w:lineRule="auto"/>
        <w:rPr>
          <w:rFonts w:ascii="Calibri" w:hAnsi="Calibri" w:cs="Calibri"/>
          <w:sz w:val="22"/>
          <w:szCs w:val="22"/>
        </w:rPr>
      </w:pPr>
    </w:p>
    <w:p w14:paraId="1F894EDF" w14:textId="53B954D2" w:rsidR="0026033D" w:rsidRPr="00D9152B" w:rsidRDefault="0026033D" w:rsidP="00217272">
      <w:pPr>
        <w:spacing w:line="360" w:lineRule="auto"/>
        <w:rPr>
          <w:rFonts w:ascii="Calibri" w:hAnsi="Calibri" w:cs="Calibri"/>
          <w:sz w:val="22"/>
          <w:szCs w:val="22"/>
        </w:rPr>
      </w:pPr>
    </w:p>
    <w:p w14:paraId="292B54E4" w14:textId="5ABDD112" w:rsidR="0026033D" w:rsidRPr="00D9152B" w:rsidRDefault="0026033D" w:rsidP="00217272">
      <w:pPr>
        <w:spacing w:line="360" w:lineRule="auto"/>
        <w:rPr>
          <w:rFonts w:ascii="Calibri" w:hAnsi="Calibri" w:cs="Calibri"/>
          <w:sz w:val="22"/>
          <w:szCs w:val="22"/>
        </w:rPr>
      </w:pPr>
    </w:p>
    <w:p w14:paraId="6F63763E" w14:textId="2D8C3D7E" w:rsidR="0026033D" w:rsidRPr="00D9152B" w:rsidRDefault="0026033D" w:rsidP="00217272">
      <w:pPr>
        <w:spacing w:line="360" w:lineRule="auto"/>
        <w:rPr>
          <w:rFonts w:ascii="Calibri" w:hAnsi="Calibri" w:cs="Calibri"/>
          <w:sz w:val="22"/>
          <w:szCs w:val="22"/>
        </w:rPr>
      </w:pPr>
    </w:p>
    <w:p w14:paraId="2C4B5226" w14:textId="79BF6990" w:rsidR="0026033D" w:rsidRPr="00D9152B" w:rsidRDefault="0026033D" w:rsidP="00217272">
      <w:pPr>
        <w:spacing w:line="360" w:lineRule="auto"/>
        <w:rPr>
          <w:rFonts w:ascii="Calibri" w:hAnsi="Calibri" w:cs="Calibri"/>
          <w:sz w:val="22"/>
          <w:szCs w:val="22"/>
        </w:rPr>
      </w:pPr>
    </w:p>
    <w:p w14:paraId="19A4AD48" w14:textId="77777777" w:rsidR="00DB591F" w:rsidRPr="00D9152B" w:rsidRDefault="00DB591F" w:rsidP="00217272">
      <w:pPr>
        <w:spacing w:line="360" w:lineRule="auto"/>
        <w:rPr>
          <w:rFonts w:ascii="Calibri" w:hAnsi="Calibri" w:cs="Calibri"/>
          <w:sz w:val="22"/>
          <w:szCs w:val="22"/>
        </w:rPr>
      </w:pPr>
    </w:p>
    <w:p w14:paraId="4D1ECDAC" w14:textId="79C5A8D8" w:rsidR="00EC15C7" w:rsidRPr="00D62C34" w:rsidRDefault="001136FE" w:rsidP="00F11827">
      <w:pPr>
        <w:jc w:val="both"/>
        <w:rPr>
          <w:rFonts w:ascii="Calibri" w:hAnsi="Calibri" w:cs="Calibri"/>
          <w:color w:val="808080" w:themeColor="background1" w:themeShade="80"/>
          <w:sz w:val="22"/>
          <w:szCs w:val="22"/>
        </w:rPr>
      </w:pPr>
      <w:r w:rsidRPr="00D62C34">
        <w:rPr>
          <w:rFonts w:ascii="Calibri" w:hAnsi="Calibri" w:cs="Calibri"/>
          <w:color w:val="808080" w:themeColor="background1" w:themeShade="80"/>
          <w:sz w:val="22"/>
          <w:szCs w:val="22"/>
        </w:rPr>
        <w:t xml:space="preserve">Figure </w:t>
      </w:r>
      <w:r w:rsidR="00C11A65">
        <w:rPr>
          <w:rFonts w:ascii="Calibri" w:hAnsi="Calibri" w:cs="Calibri"/>
          <w:color w:val="808080" w:themeColor="background1" w:themeShade="80"/>
          <w:sz w:val="22"/>
          <w:szCs w:val="22"/>
        </w:rPr>
        <w:t>7.</w:t>
      </w:r>
      <w:r w:rsidRPr="00D62C34">
        <w:rPr>
          <w:rFonts w:ascii="Calibri" w:hAnsi="Calibri" w:cs="Calibri"/>
          <w:color w:val="808080" w:themeColor="background1" w:themeShade="80"/>
          <w:sz w:val="22"/>
          <w:szCs w:val="22"/>
        </w:rPr>
        <w:t>3. A snapshot of the TDR program in the 1970s and 1980s. TDR was started the same year as the OCP (1974), and included three of the same sponsoring agencies by the late 1970</w:t>
      </w:r>
      <w:r w:rsidR="0016374D" w:rsidRPr="00D62C34">
        <w:rPr>
          <w:rFonts w:ascii="Calibri" w:hAnsi="Calibri" w:cs="Calibri"/>
          <w:color w:val="808080" w:themeColor="background1" w:themeShade="80"/>
          <w:sz w:val="22"/>
          <w:szCs w:val="22"/>
        </w:rPr>
        <w:t>s</w:t>
      </w:r>
      <w:r w:rsidRPr="00D62C34">
        <w:rPr>
          <w:rFonts w:ascii="Calibri" w:hAnsi="Calibri" w:cs="Calibri"/>
          <w:color w:val="808080" w:themeColor="background1" w:themeShade="80"/>
          <w:sz w:val="22"/>
          <w:szCs w:val="22"/>
        </w:rPr>
        <w:t>. The Bank held a trust fund for TDR, but did not perform a fundraising role for the programme and initially did not contribute directly to the fund. Onchocerciasis was one of the eight original diseases targeted by the programme.</w:t>
      </w:r>
      <w:r w:rsidRPr="00D62C34">
        <w:rPr>
          <w:rStyle w:val="FootnoteReference"/>
          <w:rFonts w:ascii="Calibri" w:hAnsi="Calibri" w:cs="Calibri"/>
          <w:color w:val="808080" w:themeColor="background1" w:themeShade="80"/>
        </w:rPr>
        <w:footnoteReference w:id="703"/>
      </w:r>
      <w:r w:rsidRPr="00D62C34">
        <w:rPr>
          <w:rFonts w:ascii="Calibri" w:hAnsi="Calibri" w:cs="Calibri"/>
          <w:color w:val="808080" w:themeColor="background1" w:themeShade="80"/>
          <w:sz w:val="22"/>
          <w:szCs w:val="22"/>
        </w:rPr>
        <w:t xml:space="preserve"> </w:t>
      </w:r>
      <w:r w:rsidR="00C11A65">
        <w:rPr>
          <w:rFonts w:ascii="Calibri" w:hAnsi="Calibri" w:cs="Calibri"/>
          <w:color w:val="808080" w:themeColor="background1" w:themeShade="80"/>
          <w:sz w:val="22"/>
          <w:szCs w:val="22"/>
        </w:rPr>
        <w:t>[Arrow means reporting to.]</w:t>
      </w:r>
    </w:p>
    <w:p w14:paraId="72B78717" w14:textId="0284182F" w:rsidR="00B67FDC" w:rsidRPr="00D9152B" w:rsidRDefault="00076FC2" w:rsidP="00656BE2">
      <w:pPr>
        <w:pStyle w:val="Heading3"/>
        <w:rPr>
          <w:rFonts w:ascii="Calibri" w:hAnsi="Calibri" w:cs="Calibri"/>
          <w:b/>
          <w:i/>
          <w:color w:val="000000" w:themeColor="text1"/>
          <w:sz w:val="22"/>
          <w:szCs w:val="22"/>
        </w:rPr>
      </w:pPr>
      <w:bookmarkStart w:id="124" w:name="_Toc41505683"/>
      <w:r w:rsidRPr="00D9152B">
        <w:rPr>
          <w:rFonts w:ascii="Calibri" w:hAnsi="Calibri" w:cs="Calibri"/>
          <w:b/>
          <w:i/>
          <w:color w:val="000000" w:themeColor="text1"/>
          <w:sz w:val="22"/>
          <w:szCs w:val="22"/>
        </w:rPr>
        <w:t>7</w:t>
      </w:r>
      <w:r w:rsidR="00B67FDC" w:rsidRPr="00D9152B">
        <w:rPr>
          <w:rFonts w:ascii="Calibri" w:hAnsi="Calibri" w:cs="Calibri"/>
          <w:b/>
          <w:i/>
          <w:color w:val="000000" w:themeColor="text1"/>
          <w:sz w:val="22"/>
          <w:szCs w:val="22"/>
        </w:rPr>
        <w:t>.</w:t>
      </w:r>
      <w:r w:rsidR="00677774" w:rsidRPr="00D9152B">
        <w:rPr>
          <w:rFonts w:ascii="Calibri" w:hAnsi="Calibri" w:cs="Calibri"/>
          <w:b/>
          <w:i/>
          <w:color w:val="000000" w:themeColor="text1"/>
          <w:sz w:val="22"/>
          <w:szCs w:val="22"/>
        </w:rPr>
        <w:t>2.A</w:t>
      </w:r>
      <w:r w:rsidR="00B67FDC" w:rsidRPr="00D9152B">
        <w:rPr>
          <w:rFonts w:ascii="Calibri" w:hAnsi="Calibri" w:cs="Calibri"/>
          <w:b/>
          <w:i/>
          <w:color w:val="000000" w:themeColor="text1"/>
          <w:sz w:val="22"/>
          <w:szCs w:val="22"/>
        </w:rPr>
        <w:t>. Four models for incentivizing chemotherapy research</w:t>
      </w:r>
      <w:bookmarkEnd w:id="124"/>
    </w:p>
    <w:p w14:paraId="18E5A51A" w14:textId="1641F815" w:rsidR="00AC7848" w:rsidRPr="00D9152B" w:rsidRDefault="00AC7848" w:rsidP="006B543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A Bank and WHO-initiated working group then developed four potential </w:t>
      </w:r>
      <w:r w:rsidR="001542F8" w:rsidRPr="00D9152B">
        <w:rPr>
          <w:rFonts w:ascii="Calibri" w:hAnsi="Calibri" w:cs="Calibri"/>
          <w:sz w:val="22"/>
          <w:szCs w:val="22"/>
        </w:rPr>
        <w:t xml:space="preserve">structural </w:t>
      </w:r>
      <w:r w:rsidRPr="00D9152B">
        <w:rPr>
          <w:rFonts w:ascii="Calibri" w:hAnsi="Calibri" w:cs="Calibri"/>
          <w:sz w:val="22"/>
          <w:szCs w:val="22"/>
        </w:rPr>
        <w:t xml:space="preserve">models to address these </w:t>
      </w:r>
      <w:r w:rsidR="00CC1A24" w:rsidRPr="00D9152B">
        <w:rPr>
          <w:rFonts w:ascii="Calibri" w:hAnsi="Calibri" w:cs="Calibri"/>
          <w:sz w:val="22"/>
          <w:szCs w:val="22"/>
        </w:rPr>
        <w:t xml:space="preserve">barriers (Table </w:t>
      </w:r>
      <w:r w:rsidR="00C11A65">
        <w:rPr>
          <w:rFonts w:ascii="Calibri" w:hAnsi="Calibri" w:cs="Calibri"/>
          <w:sz w:val="22"/>
          <w:szCs w:val="22"/>
        </w:rPr>
        <w:t>7.</w:t>
      </w:r>
      <w:r w:rsidR="00CC1A24" w:rsidRPr="00D9152B">
        <w:rPr>
          <w:rFonts w:ascii="Calibri" w:hAnsi="Calibri" w:cs="Calibri"/>
          <w:sz w:val="22"/>
          <w:szCs w:val="22"/>
        </w:rPr>
        <w:t>1</w:t>
      </w:r>
      <w:r w:rsidRPr="00D9152B">
        <w:rPr>
          <w:rFonts w:ascii="Calibri" w:hAnsi="Calibri" w:cs="Calibri"/>
          <w:sz w:val="22"/>
          <w:szCs w:val="22"/>
        </w:rPr>
        <w:t xml:space="preserve">). </w:t>
      </w:r>
      <w:r w:rsidR="001542F8" w:rsidRPr="00D9152B">
        <w:rPr>
          <w:rFonts w:ascii="Calibri" w:hAnsi="Calibri" w:cs="Calibri"/>
          <w:sz w:val="22"/>
          <w:szCs w:val="22"/>
        </w:rPr>
        <w:t>In the Bank’s words,</w:t>
      </w:r>
      <w:r w:rsidRPr="00D9152B">
        <w:rPr>
          <w:rFonts w:ascii="Calibri" w:hAnsi="Calibri" w:cs="Calibri"/>
          <w:sz w:val="22"/>
          <w:szCs w:val="22"/>
        </w:rPr>
        <w:t xml:space="preserve"> ‘A small group of people from OCP, TDR and private industry is being established within WHO to prepare a proposal [for the OCT], but it will need careful watching by the Bank if a viable scheme is to emerge’.</w:t>
      </w:r>
      <w:r w:rsidRPr="00D9152B">
        <w:rPr>
          <w:rStyle w:val="FootnoteReference"/>
          <w:rFonts w:ascii="Calibri" w:hAnsi="Calibri" w:cs="Calibri"/>
          <w:sz w:val="22"/>
          <w:szCs w:val="22"/>
        </w:rPr>
        <w:footnoteReference w:id="704"/>
      </w:r>
    </w:p>
    <w:tbl>
      <w:tblPr>
        <w:tblStyle w:val="GridTable2-Accent3"/>
        <w:tblW w:w="7699" w:type="dxa"/>
        <w:jc w:val="center"/>
        <w:tblBorders>
          <w:top w:val="none" w:sz="0" w:space="0" w:color="auto"/>
          <w:insideH w:val="single" w:sz="4" w:space="0" w:color="auto"/>
          <w:insideV w:val="single" w:sz="4" w:space="0" w:color="auto"/>
        </w:tblBorders>
        <w:tblLook w:val="0420" w:firstRow="1" w:lastRow="0" w:firstColumn="0" w:lastColumn="0" w:noHBand="0" w:noVBand="1"/>
      </w:tblPr>
      <w:tblGrid>
        <w:gridCol w:w="2510"/>
        <w:gridCol w:w="5189"/>
      </w:tblGrid>
      <w:tr w:rsidR="00AC7848" w:rsidRPr="00D9152B" w14:paraId="55A7B297" w14:textId="77777777" w:rsidTr="00C11A65">
        <w:trPr>
          <w:cnfStyle w:val="100000000000" w:firstRow="1" w:lastRow="0" w:firstColumn="0" w:lastColumn="0" w:oddVBand="0" w:evenVBand="0" w:oddHBand="0" w:evenHBand="0" w:firstRowFirstColumn="0" w:firstRowLastColumn="0" w:lastRowFirstColumn="0" w:lastRowLastColumn="0"/>
          <w:trHeight w:val="203"/>
          <w:jc w:val="center"/>
        </w:trPr>
        <w:tc>
          <w:tcPr>
            <w:tcW w:w="2510" w:type="dxa"/>
            <w:tcBorders>
              <w:top w:val="none" w:sz="0" w:space="0" w:color="auto"/>
              <w:bottom w:val="none" w:sz="0" w:space="0" w:color="auto"/>
              <w:right w:val="none" w:sz="0" w:space="0" w:color="auto"/>
            </w:tcBorders>
            <w:hideMark/>
          </w:tcPr>
          <w:p w14:paraId="3CFB88F3" w14:textId="38B4D564" w:rsidR="00AC7848" w:rsidRPr="00D9152B" w:rsidRDefault="00E751A5" w:rsidP="00E751A5">
            <w:pPr>
              <w:jc w:val="center"/>
              <w:rPr>
                <w:rFonts w:ascii="Calibri" w:hAnsi="Calibri" w:cs="Calibri"/>
                <w:i/>
                <w:sz w:val="18"/>
                <w:szCs w:val="18"/>
              </w:rPr>
            </w:pPr>
            <w:r w:rsidRPr="00D9152B">
              <w:rPr>
                <w:rFonts w:ascii="Calibri" w:hAnsi="Calibri" w:cs="Calibri"/>
                <w:bCs w:val="0"/>
                <w:i/>
                <w:sz w:val="18"/>
                <w:szCs w:val="18"/>
              </w:rPr>
              <w:t>Model</w:t>
            </w:r>
          </w:p>
        </w:tc>
        <w:tc>
          <w:tcPr>
            <w:tcW w:w="5189" w:type="dxa"/>
            <w:tcBorders>
              <w:top w:val="none" w:sz="0" w:space="0" w:color="auto"/>
              <w:left w:val="none" w:sz="0" w:space="0" w:color="auto"/>
              <w:bottom w:val="none" w:sz="0" w:space="0" w:color="auto"/>
            </w:tcBorders>
            <w:hideMark/>
          </w:tcPr>
          <w:p w14:paraId="18FAA14E" w14:textId="22C93663" w:rsidR="00E751A5" w:rsidRPr="00D9152B" w:rsidRDefault="00AC7848" w:rsidP="00E751A5">
            <w:pPr>
              <w:jc w:val="center"/>
              <w:rPr>
                <w:rFonts w:ascii="Calibri" w:hAnsi="Calibri" w:cs="Calibri"/>
                <w:b w:val="0"/>
                <w:i/>
                <w:sz w:val="18"/>
                <w:szCs w:val="18"/>
              </w:rPr>
            </w:pPr>
            <w:r w:rsidRPr="00D9152B">
              <w:rPr>
                <w:rFonts w:ascii="Calibri" w:hAnsi="Calibri" w:cs="Calibri"/>
                <w:bCs w:val="0"/>
                <w:i/>
                <w:sz w:val="18"/>
                <w:szCs w:val="18"/>
              </w:rPr>
              <w:t>Funding plan (incentivization)</w:t>
            </w:r>
          </w:p>
          <w:p w14:paraId="1C3830F6" w14:textId="77777777" w:rsidR="009069B1" w:rsidRPr="00D9152B" w:rsidRDefault="009069B1" w:rsidP="00E751A5">
            <w:pPr>
              <w:jc w:val="center"/>
              <w:rPr>
                <w:rFonts w:ascii="Calibri" w:hAnsi="Calibri" w:cs="Calibri"/>
                <w:bCs w:val="0"/>
                <w:i/>
                <w:sz w:val="18"/>
                <w:szCs w:val="18"/>
              </w:rPr>
            </w:pPr>
          </w:p>
          <w:p w14:paraId="18C19617" w14:textId="0BA37636" w:rsidR="00EC15C7" w:rsidRPr="00D9152B" w:rsidRDefault="00EC15C7" w:rsidP="00E751A5">
            <w:pPr>
              <w:jc w:val="center"/>
              <w:rPr>
                <w:rFonts w:ascii="Calibri" w:hAnsi="Calibri" w:cs="Calibri"/>
                <w:sz w:val="18"/>
                <w:szCs w:val="18"/>
              </w:rPr>
            </w:pPr>
          </w:p>
        </w:tc>
      </w:tr>
      <w:tr w:rsidR="00AC7848" w:rsidRPr="00D9152B" w14:paraId="08BA8EB5" w14:textId="77777777" w:rsidTr="00C11A65">
        <w:trPr>
          <w:cnfStyle w:val="000000100000" w:firstRow="0" w:lastRow="0" w:firstColumn="0" w:lastColumn="0" w:oddVBand="0" w:evenVBand="0" w:oddHBand="1" w:evenHBand="0" w:firstRowFirstColumn="0" w:firstRowLastColumn="0" w:lastRowFirstColumn="0" w:lastRowLastColumn="0"/>
          <w:trHeight w:val="509"/>
          <w:jc w:val="center"/>
        </w:trPr>
        <w:tc>
          <w:tcPr>
            <w:tcW w:w="2510" w:type="dxa"/>
            <w:hideMark/>
          </w:tcPr>
          <w:p w14:paraId="1D7B3A93" w14:textId="4494A7BF" w:rsidR="00AC7848" w:rsidRPr="00D9152B" w:rsidRDefault="00AC7848" w:rsidP="00EC15C7">
            <w:pPr>
              <w:jc w:val="center"/>
              <w:rPr>
                <w:rFonts w:ascii="Calibri" w:hAnsi="Calibri" w:cs="Calibri"/>
                <w:i/>
                <w:sz w:val="18"/>
                <w:szCs w:val="18"/>
              </w:rPr>
            </w:pPr>
            <w:r w:rsidRPr="00D9152B">
              <w:rPr>
                <w:rFonts w:ascii="Calibri" w:hAnsi="Calibri" w:cs="Calibri"/>
                <w:b/>
                <w:bCs/>
                <w:i/>
                <w:sz w:val="18"/>
                <w:szCs w:val="18"/>
              </w:rPr>
              <w:t xml:space="preserve">Specific </w:t>
            </w:r>
            <w:r w:rsidR="00EC15C7" w:rsidRPr="00D9152B">
              <w:rPr>
                <w:rFonts w:ascii="Calibri" w:hAnsi="Calibri" w:cs="Calibri"/>
                <w:b/>
                <w:bCs/>
                <w:i/>
                <w:sz w:val="18"/>
                <w:szCs w:val="18"/>
              </w:rPr>
              <w:t>s</w:t>
            </w:r>
            <w:r w:rsidRPr="00D9152B">
              <w:rPr>
                <w:rFonts w:ascii="Calibri" w:hAnsi="Calibri" w:cs="Calibri"/>
                <w:b/>
                <w:bCs/>
                <w:i/>
                <w:sz w:val="18"/>
                <w:szCs w:val="18"/>
              </w:rPr>
              <w:t>mall-</w:t>
            </w:r>
            <w:r w:rsidR="00471303" w:rsidRPr="00D9152B">
              <w:rPr>
                <w:rFonts w:ascii="Calibri" w:hAnsi="Calibri" w:cs="Calibri"/>
                <w:b/>
                <w:bCs/>
                <w:i/>
                <w:sz w:val="18"/>
                <w:szCs w:val="18"/>
              </w:rPr>
              <w:t>s</w:t>
            </w:r>
            <w:r w:rsidRPr="00D9152B">
              <w:rPr>
                <w:rFonts w:ascii="Calibri" w:hAnsi="Calibri" w:cs="Calibri"/>
                <w:b/>
                <w:bCs/>
                <w:i/>
                <w:sz w:val="18"/>
                <w:szCs w:val="18"/>
              </w:rPr>
              <w:t>cale</w:t>
            </w:r>
          </w:p>
        </w:tc>
        <w:tc>
          <w:tcPr>
            <w:tcW w:w="5189" w:type="dxa"/>
            <w:hideMark/>
          </w:tcPr>
          <w:p w14:paraId="1B82EC93" w14:textId="77777777" w:rsidR="00AC7848" w:rsidRPr="00D9152B" w:rsidRDefault="00AC7848" w:rsidP="00E751A5">
            <w:pPr>
              <w:jc w:val="center"/>
              <w:rPr>
                <w:rFonts w:ascii="Calibri" w:hAnsi="Calibri" w:cs="Calibri"/>
                <w:sz w:val="18"/>
                <w:szCs w:val="18"/>
              </w:rPr>
            </w:pPr>
            <w:r w:rsidRPr="00D9152B">
              <w:rPr>
                <w:rFonts w:ascii="Calibri" w:hAnsi="Calibri" w:cs="Calibri"/>
                <w:sz w:val="18"/>
                <w:szCs w:val="18"/>
              </w:rPr>
              <w:t>Provide ad-hoc funding for activities of high priority and prohibitive cost, like chemical synthesis and cattle screens</w:t>
            </w:r>
          </w:p>
        </w:tc>
      </w:tr>
      <w:tr w:rsidR="00AC7848" w:rsidRPr="00D9152B" w14:paraId="4EEFF68C" w14:textId="77777777" w:rsidTr="00C11A65">
        <w:trPr>
          <w:trHeight w:val="509"/>
          <w:jc w:val="center"/>
        </w:trPr>
        <w:tc>
          <w:tcPr>
            <w:tcW w:w="2510" w:type="dxa"/>
            <w:hideMark/>
          </w:tcPr>
          <w:p w14:paraId="78017E48" w14:textId="689E7181" w:rsidR="00AC7848" w:rsidRPr="00D9152B" w:rsidRDefault="00471303" w:rsidP="00E751A5">
            <w:pPr>
              <w:jc w:val="center"/>
              <w:rPr>
                <w:rFonts w:ascii="Calibri" w:hAnsi="Calibri" w:cs="Calibri"/>
                <w:i/>
                <w:sz w:val="18"/>
                <w:szCs w:val="18"/>
              </w:rPr>
            </w:pPr>
            <w:r w:rsidRPr="00D9152B">
              <w:rPr>
                <w:rFonts w:ascii="Calibri" w:hAnsi="Calibri" w:cs="Calibri"/>
                <w:b/>
                <w:bCs/>
                <w:i/>
                <w:sz w:val="18"/>
                <w:szCs w:val="18"/>
              </w:rPr>
              <w:t>Moon m</w:t>
            </w:r>
            <w:r w:rsidR="00AC7848" w:rsidRPr="00D9152B">
              <w:rPr>
                <w:rFonts w:ascii="Calibri" w:hAnsi="Calibri" w:cs="Calibri"/>
                <w:b/>
                <w:bCs/>
                <w:i/>
                <w:sz w:val="18"/>
                <w:szCs w:val="18"/>
              </w:rPr>
              <w:t>ission</w:t>
            </w:r>
          </w:p>
        </w:tc>
        <w:tc>
          <w:tcPr>
            <w:tcW w:w="5189" w:type="dxa"/>
            <w:hideMark/>
          </w:tcPr>
          <w:p w14:paraId="6C5689C3" w14:textId="77777777" w:rsidR="00AC7848" w:rsidRPr="00D9152B" w:rsidRDefault="00AC7848" w:rsidP="00E751A5">
            <w:pPr>
              <w:jc w:val="center"/>
              <w:rPr>
                <w:rFonts w:ascii="Calibri" w:hAnsi="Calibri" w:cs="Calibri"/>
                <w:sz w:val="18"/>
                <w:szCs w:val="18"/>
              </w:rPr>
            </w:pPr>
            <w:r w:rsidRPr="00D9152B">
              <w:rPr>
                <w:rFonts w:ascii="Calibri" w:hAnsi="Calibri" w:cs="Calibri"/>
                <w:sz w:val="18"/>
                <w:szCs w:val="18"/>
              </w:rPr>
              <w:t xml:space="preserve">Entirely finance a few </w:t>
            </w:r>
            <w:r w:rsidRPr="00D9152B">
              <w:rPr>
                <w:rFonts w:ascii="Calibri" w:hAnsi="Calibri" w:cs="Calibri"/>
                <w:sz w:val="18"/>
                <w:szCs w:val="18"/>
                <w:u w:val="single"/>
              </w:rPr>
              <w:t>specific</w:t>
            </w:r>
            <w:r w:rsidRPr="00D9152B">
              <w:rPr>
                <w:rFonts w:ascii="Calibri" w:hAnsi="Calibri" w:cs="Calibri"/>
                <w:sz w:val="18"/>
                <w:szCs w:val="18"/>
              </w:rPr>
              <w:t xml:space="preserve"> research teams/companies to develop a new drug on contract basis</w:t>
            </w:r>
          </w:p>
        </w:tc>
      </w:tr>
      <w:tr w:rsidR="00AC7848" w:rsidRPr="00D9152B" w14:paraId="6ADDDF6D" w14:textId="77777777" w:rsidTr="00C11A65">
        <w:trPr>
          <w:cnfStyle w:val="000000100000" w:firstRow="0" w:lastRow="0" w:firstColumn="0" w:lastColumn="0" w:oddVBand="0" w:evenVBand="0" w:oddHBand="1" w:evenHBand="0" w:firstRowFirstColumn="0" w:firstRowLastColumn="0" w:lastRowFirstColumn="0" w:lastRowLastColumn="0"/>
          <w:trHeight w:val="358"/>
          <w:jc w:val="center"/>
        </w:trPr>
        <w:tc>
          <w:tcPr>
            <w:tcW w:w="2510" w:type="dxa"/>
            <w:hideMark/>
          </w:tcPr>
          <w:p w14:paraId="66D24AAC" w14:textId="736BD4C4" w:rsidR="00AC7848" w:rsidRPr="00D9152B" w:rsidRDefault="00471303" w:rsidP="00E751A5">
            <w:pPr>
              <w:jc w:val="center"/>
              <w:rPr>
                <w:rFonts w:ascii="Calibri" w:hAnsi="Calibri" w:cs="Calibri"/>
                <w:i/>
                <w:sz w:val="18"/>
                <w:szCs w:val="18"/>
              </w:rPr>
            </w:pPr>
            <w:r w:rsidRPr="00D9152B">
              <w:rPr>
                <w:rFonts w:ascii="Calibri" w:hAnsi="Calibri" w:cs="Calibri"/>
                <w:b/>
                <w:bCs/>
                <w:i/>
                <w:sz w:val="18"/>
                <w:szCs w:val="18"/>
              </w:rPr>
              <w:t>Market g</w:t>
            </w:r>
            <w:r w:rsidR="00AC7848" w:rsidRPr="00D9152B">
              <w:rPr>
                <w:rFonts w:ascii="Calibri" w:hAnsi="Calibri" w:cs="Calibri"/>
                <w:b/>
                <w:bCs/>
                <w:i/>
                <w:sz w:val="18"/>
                <w:szCs w:val="18"/>
              </w:rPr>
              <w:t>uarantee</w:t>
            </w:r>
          </w:p>
        </w:tc>
        <w:tc>
          <w:tcPr>
            <w:tcW w:w="5189" w:type="dxa"/>
            <w:hideMark/>
          </w:tcPr>
          <w:p w14:paraId="2C87A551" w14:textId="77777777" w:rsidR="00AC7848" w:rsidRPr="00D9152B" w:rsidRDefault="00AC7848" w:rsidP="00E751A5">
            <w:pPr>
              <w:jc w:val="center"/>
              <w:rPr>
                <w:rFonts w:ascii="Calibri" w:hAnsi="Calibri" w:cs="Calibri"/>
                <w:sz w:val="18"/>
                <w:szCs w:val="18"/>
              </w:rPr>
            </w:pPr>
            <w:r w:rsidRPr="00D9152B">
              <w:rPr>
                <w:rFonts w:ascii="Calibri" w:hAnsi="Calibri" w:cs="Calibri"/>
                <w:sz w:val="18"/>
                <w:szCs w:val="18"/>
              </w:rPr>
              <w:t>Guarantee in advance the sale of a potential drug</w:t>
            </w:r>
          </w:p>
        </w:tc>
      </w:tr>
      <w:tr w:rsidR="00AC7848" w:rsidRPr="00D9152B" w14:paraId="53ADFAC8" w14:textId="77777777" w:rsidTr="00C11A65">
        <w:trPr>
          <w:trHeight w:val="520"/>
          <w:jc w:val="center"/>
        </w:trPr>
        <w:tc>
          <w:tcPr>
            <w:tcW w:w="2510" w:type="dxa"/>
            <w:hideMark/>
          </w:tcPr>
          <w:p w14:paraId="5CD151FB" w14:textId="050764D9" w:rsidR="00AC7848" w:rsidRPr="00D9152B" w:rsidRDefault="00471303" w:rsidP="00471303">
            <w:pPr>
              <w:jc w:val="center"/>
              <w:rPr>
                <w:rFonts w:ascii="Calibri" w:hAnsi="Calibri" w:cs="Calibri"/>
                <w:i/>
                <w:sz w:val="18"/>
                <w:szCs w:val="18"/>
              </w:rPr>
            </w:pPr>
            <w:r w:rsidRPr="00D9152B">
              <w:rPr>
                <w:rFonts w:ascii="Calibri" w:hAnsi="Calibri" w:cs="Calibri"/>
                <w:b/>
                <w:bCs/>
                <w:i/>
                <w:sz w:val="18"/>
                <w:szCs w:val="18"/>
              </w:rPr>
              <w:t>Underwriting t</w:t>
            </w:r>
            <w:r w:rsidR="00AC7848" w:rsidRPr="00D9152B">
              <w:rPr>
                <w:rFonts w:ascii="Calibri" w:hAnsi="Calibri" w:cs="Calibri"/>
                <w:b/>
                <w:bCs/>
                <w:i/>
                <w:sz w:val="18"/>
                <w:szCs w:val="18"/>
              </w:rPr>
              <w:t xml:space="preserve">esting </w:t>
            </w:r>
            <w:r w:rsidRPr="00D9152B">
              <w:rPr>
                <w:rFonts w:ascii="Calibri" w:hAnsi="Calibri" w:cs="Calibri"/>
                <w:b/>
                <w:bCs/>
                <w:i/>
                <w:sz w:val="18"/>
                <w:szCs w:val="18"/>
              </w:rPr>
              <w:t>c</w:t>
            </w:r>
            <w:r w:rsidR="00AC7848" w:rsidRPr="00D9152B">
              <w:rPr>
                <w:rFonts w:ascii="Calibri" w:hAnsi="Calibri" w:cs="Calibri"/>
                <w:b/>
                <w:bCs/>
                <w:i/>
                <w:sz w:val="18"/>
                <w:szCs w:val="18"/>
              </w:rPr>
              <w:t>osts</w:t>
            </w:r>
          </w:p>
        </w:tc>
        <w:tc>
          <w:tcPr>
            <w:tcW w:w="5189" w:type="dxa"/>
            <w:hideMark/>
          </w:tcPr>
          <w:p w14:paraId="6542EDE9" w14:textId="77777777" w:rsidR="00AC7848" w:rsidRPr="00D9152B" w:rsidRDefault="00AC7848" w:rsidP="00E751A5">
            <w:pPr>
              <w:jc w:val="center"/>
              <w:rPr>
                <w:rFonts w:ascii="Calibri" w:hAnsi="Calibri" w:cs="Calibri"/>
                <w:sz w:val="18"/>
                <w:szCs w:val="18"/>
              </w:rPr>
            </w:pPr>
            <w:r w:rsidRPr="00D9152B">
              <w:rPr>
                <w:rFonts w:ascii="Calibri" w:hAnsi="Calibri" w:cs="Calibri"/>
                <w:sz w:val="18"/>
                <w:szCs w:val="18"/>
              </w:rPr>
              <w:t>Finance testing of good candidates from the cattle screen through the first human trials</w:t>
            </w:r>
          </w:p>
        </w:tc>
      </w:tr>
    </w:tbl>
    <w:p w14:paraId="40EB153A" w14:textId="77777777" w:rsidR="00F14DB5" w:rsidRPr="00D9152B" w:rsidRDefault="00F14DB5" w:rsidP="001542F8">
      <w:pPr>
        <w:jc w:val="both"/>
        <w:rPr>
          <w:rFonts w:ascii="Calibri" w:hAnsi="Calibri" w:cs="Calibri"/>
        </w:rPr>
      </w:pPr>
    </w:p>
    <w:p w14:paraId="547A9D27" w14:textId="7FE3CADD" w:rsidR="00AC7848" w:rsidRPr="00D9152B" w:rsidRDefault="00CC1A24" w:rsidP="001542F8">
      <w:pPr>
        <w:jc w:val="both"/>
        <w:rPr>
          <w:rFonts w:ascii="Calibri" w:hAnsi="Calibri" w:cs="Calibri"/>
          <w:i/>
          <w:color w:val="7F7F7F" w:themeColor="text1" w:themeTint="80"/>
          <w:sz w:val="22"/>
          <w:szCs w:val="22"/>
        </w:rPr>
      </w:pPr>
      <w:r w:rsidRPr="00D9152B">
        <w:rPr>
          <w:rFonts w:ascii="Calibri" w:hAnsi="Calibri" w:cs="Calibri"/>
          <w:color w:val="7F7F7F" w:themeColor="text1" w:themeTint="80"/>
          <w:sz w:val="22"/>
          <w:szCs w:val="22"/>
        </w:rPr>
        <w:t xml:space="preserve">Table </w:t>
      </w:r>
      <w:r w:rsidR="00C11A65">
        <w:rPr>
          <w:rFonts w:ascii="Calibri" w:hAnsi="Calibri" w:cs="Calibri"/>
          <w:color w:val="7F7F7F" w:themeColor="text1" w:themeTint="80"/>
          <w:sz w:val="22"/>
          <w:szCs w:val="22"/>
        </w:rPr>
        <w:t>7.</w:t>
      </w:r>
      <w:r w:rsidRPr="00D9152B">
        <w:rPr>
          <w:rFonts w:ascii="Calibri" w:hAnsi="Calibri" w:cs="Calibri"/>
          <w:color w:val="7F7F7F" w:themeColor="text1" w:themeTint="80"/>
          <w:sz w:val="22"/>
          <w:szCs w:val="22"/>
        </w:rPr>
        <w:t>1</w:t>
      </w:r>
      <w:r w:rsidR="00AC7848" w:rsidRPr="00D9152B">
        <w:rPr>
          <w:rFonts w:ascii="Calibri" w:hAnsi="Calibri" w:cs="Calibri"/>
          <w:i/>
          <w:color w:val="7F7F7F" w:themeColor="text1" w:themeTint="80"/>
          <w:sz w:val="22"/>
          <w:szCs w:val="22"/>
        </w:rPr>
        <w:t>.</w:t>
      </w:r>
      <w:r w:rsidR="001542F8" w:rsidRPr="00D9152B">
        <w:rPr>
          <w:rFonts w:ascii="Calibri" w:hAnsi="Calibri" w:cs="Calibri"/>
          <w:color w:val="7F7F7F" w:themeColor="text1" w:themeTint="80"/>
          <w:sz w:val="22"/>
          <w:szCs w:val="22"/>
        </w:rPr>
        <w:t xml:space="preserve"> Fo</w:t>
      </w:r>
      <w:r w:rsidR="00F14DB5" w:rsidRPr="00D9152B">
        <w:rPr>
          <w:rFonts w:ascii="Calibri" w:hAnsi="Calibri" w:cs="Calibri"/>
          <w:color w:val="7F7F7F" w:themeColor="text1" w:themeTint="80"/>
          <w:sz w:val="22"/>
          <w:szCs w:val="22"/>
        </w:rPr>
        <w:t>u</w:t>
      </w:r>
      <w:r w:rsidR="001542F8" w:rsidRPr="00D9152B">
        <w:rPr>
          <w:rFonts w:ascii="Calibri" w:hAnsi="Calibri" w:cs="Calibri"/>
          <w:color w:val="7F7F7F" w:themeColor="text1" w:themeTint="80"/>
          <w:sz w:val="22"/>
          <w:szCs w:val="22"/>
        </w:rPr>
        <w:t>r models put forward for the OCT, by a 1981 Bank and WHO working group.</w:t>
      </w:r>
      <w:r w:rsidR="00AC7848" w:rsidRPr="00D9152B">
        <w:rPr>
          <w:rStyle w:val="FootnoteReference"/>
          <w:rFonts w:ascii="Calibri" w:hAnsi="Calibri" w:cs="Calibri"/>
          <w:color w:val="7F7F7F" w:themeColor="text1" w:themeTint="80"/>
          <w:sz w:val="22"/>
          <w:szCs w:val="22"/>
        </w:rPr>
        <w:footnoteReference w:id="705"/>
      </w:r>
    </w:p>
    <w:p w14:paraId="345DEE4E" w14:textId="0ADDA3BF" w:rsidR="00AC7848" w:rsidRPr="00D9152B" w:rsidRDefault="00AC7848" w:rsidP="006B543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In early 1982, Bank staff visited major pharmaceutical companies to obtain their perspectives on the four options.</w:t>
      </w:r>
      <w:r w:rsidRPr="00D9152B">
        <w:rPr>
          <w:rStyle w:val="FootnoteReference"/>
          <w:rFonts w:ascii="Calibri" w:hAnsi="Calibri" w:cs="Calibri"/>
          <w:sz w:val="22"/>
          <w:szCs w:val="22"/>
        </w:rPr>
        <w:footnoteReference w:id="706"/>
      </w:r>
      <w:r w:rsidRPr="00D9152B">
        <w:rPr>
          <w:rFonts w:ascii="Calibri" w:hAnsi="Calibri" w:cs="Calibri"/>
          <w:sz w:val="22"/>
          <w:szCs w:val="22"/>
        </w:rPr>
        <w:t xml:space="preserve"> One company favoured financing an entire onchocerciasis-focused research group (the ‘moon mission’), while a second was interested in extra funds to speed-up screening (the ‘underwriting testing costs’ or ‘specific small-scale’ approaches). A third stressed that the ‘market guarantee’ approach would not be very useful, </w:t>
      </w:r>
      <w:r w:rsidR="006D0C6C" w:rsidRPr="00D9152B">
        <w:rPr>
          <w:rFonts w:ascii="Calibri" w:hAnsi="Calibri" w:cs="Calibri"/>
          <w:sz w:val="22"/>
          <w:szCs w:val="22"/>
        </w:rPr>
        <w:t>because</w:t>
      </w:r>
      <w:r w:rsidRPr="00D9152B">
        <w:rPr>
          <w:rFonts w:ascii="Calibri" w:hAnsi="Calibri" w:cs="Calibri"/>
          <w:sz w:val="22"/>
          <w:szCs w:val="22"/>
        </w:rPr>
        <w:t xml:space="preserve"> an economic return from an onchocerciasis drug would still be small. Public relations value would probably be the biggest return the drug company could hope for.</w:t>
      </w:r>
      <w:r w:rsidRPr="00D9152B">
        <w:rPr>
          <w:rStyle w:val="FootnoteReference"/>
          <w:rFonts w:ascii="Calibri" w:hAnsi="Calibri" w:cs="Calibri"/>
          <w:sz w:val="22"/>
          <w:szCs w:val="22"/>
        </w:rPr>
        <w:footnoteReference w:id="707"/>
      </w:r>
      <w:r w:rsidRPr="00D9152B">
        <w:rPr>
          <w:rFonts w:ascii="Calibri" w:hAnsi="Calibri" w:cs="Calibri"/>
          <w:sz w:val="22"/>
          <w:szCs w:val="22"/>
        </w:rPr>
        <w:t xml:space="preserve"> </w:t>
      </w:r>
    </w:p>
    <w:p w14:paraId="128BF64A" w14:textId="4917C665" w:rsidR="00AC7848" w:rsidRPr="00D9152B" w:rsidRDefault="00AC7848" w:rsidP="006B543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lastRenderedPageBreak/>
        <w:t>The benefits and risks of the four models were discussed at length by the Bank and WHO. The WHO initially considered underwriting costs and specific small-scale activities to be the most appropriate approaches, in terms of risk and cost.</w:t>
      </w:r>
      <w:r w:rsidRPr="00D9152B">
        <w:rPr>
          <w:rStyle w:val="FootnoteReference"/>
          <w:rFonts w:ascii="Calibri" w:hAnsi="Calibri" w:cs="Calibri"/>
          <w:sz w:val="22"/>
          <w:szCs w:val="22"/>
        </w:rPr>
        <w:footnoteReference w:id="708"/>
      </w:r>
      <w:r w:rsidRPr="00D9152B">
        <w:rPr>
          <w:rFonts w:ascii="Calibri" w:hAnsi="Calibri" w:cs="Calibri"/>
          <w:sz w:val="22"/>
          <w:szCs w:val="22"/>
        </w:rPr>
        <w:t xml:space="preserve"> Financing key bottlenecks – like the costs of toxicity testing to bring a compound to Phas</w:t>
      </w:r>
      <w:r w:rsidR="00F14DB5" w:rsidRPr="00D9152B">
        <w:rPr>
          <w:rFonts w:ascii="Calibri" w:hAnsi="Calibri" w:cs="Calibri"/>
          <w:sz w:val="22"/>
          <w:szCs w:val="22"/>
        </w:rPr>
        <w:t>e I clinical trials (about $350,000 to $</w:t>
      </w:r>
      <w:r w:rsidRPr="00D9152B">
        <w:rPr>
          <w:rFonts w:ascii="Calibri" w:hAnsi="Calibri" w:cs="Calibri"/>
          <w:sz w:val="22"/>
          <w:szCs w:val="22"/>
        </w:rPr>
        <w:t>500,000 per compound) – would incentivize up-front investments in onchocerciasis drug development. The WHO was initially not in favour of the moon mission, which ‘excludes the element of competition’. And, it believed that the market guarantee approach posed ‘too great of a risk that having guaranteed sales of one product, another better one might unexpectedly emerge’.</w:t>
      </w:r>
      <w:r w:rsidRPr="00D9152B">
        <w:rPr>
          <w:rStyle w:val="FootnoteReference"/>
          <w:rFonts w:ascii="Calibri" w:hAnsi="Calibri" w:cs="Calibri"/>
          <w:sz w:val="22"/>
          <w:szCs w:val="22"/>
        </w:rPr>
        <w:footnoteReference w:id="709"/>
      </w:r>
      <w:r w:rsidRPr="00D9152B">
        <w:rPr>
          <w:rFonts w:ascii="Calibri" w:hAnsi="Calibri" w:cs="Calibri"/>
          <w:sz w:val="22"/>
          <w:szCs w:val="22"/>
        </w:rPr>
        <w:t xml:space="preserve"> The Bank also had reservations about the moon mission, and believed that the most promising approach was to un</w:t>
      </w:r>
      <w:r w:rsidR="00383AB4" w:rsidRPr="00D9152B">
        <w:rPr>
          <w:rFonts w:ascii="Calibri" w:hAnsi="Calibri" w:cs="Calibri"/>
          <w:sz w:val="22"/>
          <w:szCs w:val="22"/>
        </w:rPr>
        <w:t>derwrite costs of drug testing.</w:t>
      </w:r>
      <w:r w:rsidR="00383AB4" w:rsidRPr="00D9152B">
        <w:rPr>
          <w:rStyle w:val="FootnoteReference"/>
          <w:rFonts w:ascii="Calibri" w:hAnsi="Calibri" w:cs="Calibri"/>
          <w:sz w:val="22"/>
          <w:szCs w:val="22"/>
        </w:rPr>
        <w:footnoteReference w:id="710"/>
      </w:r>
    </w:p>
    <w:p w14:paraId="1E742118" w14:textId="627C2C29" w:rsidR="00AC7848" w:rsidRPr="00D9152B" w:rsidRDefault="00AC7848" w:rsidP="006B543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In 1982, the WHO changed its position on chemotherapy and advocated for two moon mission groups, first at Wellcome Research Laboratories and later at the Upjohn Company. Bank staff expressed their concern with this change, writing that: </w:t>
      </w:r>
    </w:p>
    <w:p w14:paraId="68264FA3" w14:textId="77777777" w:rsidR="00AC7848" w:rsidRPr="00D9152B" w:rsidRDefault="00AC7848" w:rsidP="00F14DB5">
      <w:pPr>
        <w:pStyle w:val="Quote"/>
        <w:ind w:left="862" w:right="862"/>
        <w:rPr>
          <w:rFonts w:cs="Calibri"/>
          <w:i/>
          <w:sz w:val="22"/>
          <w:szCs w:val="22"/>
          <w:lang w:val="en-GB"/>
        </w:rPr>
      </w:pPr>
      <w:r w:rsidRPr="00D9152B">
        <w:rPr>
          <w:rFonts w:cs="Calibri"/>
          <w:i/>
          <w:sz w:val="22"/>
          <w:szCs w:val="22"/>
          <w:lang w:val="en-GB"/>
        </w:rPr>
        <w:t>‘A central criticism of the moon mission approach was that it would clearly generate further research, but it was unclear how it could be managed so as to get results. Thus private firms from universities would be delighted to set up research funded outside, but there were major risks that the best personnel would not be allocated, that the management would not be as vigorous as private research aimed at profit, that the research would easily arrive at a dead-end but nonetheless continue by way of academic interest without the funding agencies becoming aware that the money was being wasted, that tough commercial-type decisions needed to manage the effort would be difficult to mesh with an international agency’s administrative structures, and that the management of the effort would not have sufficient room for manoeuvre to make quick decisions…’</w:t>
      </w:r>
      <w:r w:rsidRPr="00D9152B">
        <w:rPr>
          <w:rStyle w:val="FootnoteReference"/>
          <w:rFonts w:ascii="Calibri" w:hAnsi="Calibri" w:cs="Calibri"/>
          <w:i/>
          <w:sz w:val="22"/>
          <w:szCs w:val="22"/>
          <w:lang w:val="en-GB"/>
        </w:rPr>
        <w:footnoteReference w:id="711"/>
      </w:r>
    </w:p>
    <w:p w14:paraId="20CA09B7" w14:textId="1FE087C3" w:rsidR="00AC7848" w:rsidRPr="00D9152B" w:rsidRDefault="00AC7848" w:rsidP="006B543F">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 xml:space="preserve">In line with its emphasis on economic markets, the Bank wanted a more rigorous costing and risk calculation for the OCT than WHO and TDR had provided. It asked, for instance, ‘on a scale between 0 and 100% of the probability of success vs. failure, what is it?...Is it </w:t>
      </w:r>
      <w:r w:rsidRPr="00D9152B">
        <w:rPr>
          <w:rFonts w:ascii="Calibri" w:hAnsi="Calibri" w:cs="Calibri"/>
          <w:sz w:val="22"/>
          <w:szCs w:val="22"/>
        </w:rPr>
        <w:lastRenderedPageBreak/>
        <w:t>50% or 10% or 1% or .001%?’ The Bank also wanted to know ‘to what extent the probabilities are affected by greater or lesser expenditure of money’ on chemotherapy.</w:t>
      </w:r>
      <w:r w:rsidRPr="00D9152B">
        <w:rPr>
          <w:rStyle w:val="FootnoteReference"/>
          <w:rFonts w:ascii="Calibri" w:hAnsi="Calibri" w:cs="Calibri"/>
          <w:sz w:val="22"/>
          <w:szCs w:val="22"/>
        </w:rPr>
        <w:footnoteReference w:id="712"/>
      </w:r>
      <w:r w:rsidRPr="00D9152B">
        <w:rPr>
          <w:rFonts w:ascii="Calibri" w:hAnsi="Calibri" w:cs="Calibri"/>
          <w:sz w:val="22"/>
          <w:szCs w:val="22"/>
        </w:rPr>
        <w:t xml:space="preserve"> This approach would require a better understanding of absorptive capacity of funds.</w:t>
      </w:r>
      <w:r w:rsidRPr="00D9152B">
        <w:rPr>
          <w:rStyle w:val="FootnoteReference"/>
          <w:rFonts w:ascii="Calibri" w:hAnsi="Calibri" w:cs="Calibri"/>
          <w:sz w:val="22"/>
          <w:szCs w:val="22"/>
        </w:rPr>
        <w:footnoteReference w:id="713"/>
      </w:r>
      <w:r w:rsidRPr="00D9152B">
        <w:rPr>
          <w:rFonts w:ascii="Calibri" w:hAnsi="Calibri" w:cs="Calibri"/>
          <w:sz w:val="22"/>
          <w:szCs w:val="22"/>
        </w:rPr>
        <w:t xml:space="preserve"> In other words, the Bank thought that a chemotherapy partnership would require a</w:t>
      </w:r>
      <w:r w:rsidR="006D0C6C" w:rsidRPr="00D9152B">
        <w:rPr>
          <w:rFonts w:ascii="Calibri" w:hAnsi="Calibri" w:cs="Calibri"/>
          <w:sz w:val="22"/>
          <w:szCs w:val="22"/>
        </w:rPr>
        <w:t xml:space="preserve"> Bank</w:t>
      </w:r>
      <w:r w:rsidRPr="00D9152B">
        <w:rPr>
          <w:rFonts w:ascii="Calibri" w:hAnsi="Calibri" w:cs="Calibri"/>
          <w:sz w:val="22"/>
          <w:szCs w:val="22"/>
        </w:rPr>
        <w:t xml:space="preserve">-like management approach: ‘we need the best </w:t>
      </w:r>
      <w:r w:rsidRPr="00D9152B">
        <w:rPr>
          <w:rFonts w:ascii="Calibri" w:hAnsi="Calibri" w:cs="Calibri"/>
          <w:sz w:val="22"/>
          <w:szCs w:val="22"/>
          <w:u w:val="single"/>
        </w:rPr>
        <w:t>judgement</w:t>
      </w:r>
      <w:r w:rsidRPr="00D9152B">
        <w:rPr>
          <w:rFonts w:ascii="Calibri" w:hAnsi="Calibri" w:cs="Calibri"/>
          <w:sz w:val="22"/>
          <w:szCs w:val="22"/>
        </w:rPr>
        <w:t xml:space="preserve"> of the OC [Onchocerciasis Chemotherapy] group in the same way that the Board of Directors of a drug firm would ask its management to assess the chances of success’.</w:t>
      </w:r>
      <w:r w:rsidRPr="00D9152B">
        <w:rPr>
          <w:rStyle w:val="FootnoteReference"/>
          <w:rFonts w:ascii="Calibri" w:hAnsi="Calibri" w:cs="Calibri"/>
          <w:sz w:val="22"/>
          <w:szCs w:val="22"/>
        </w:rPr>
        <w:footnoteReference w:id="714"/>
      </w:r>
      <w:r w:rsidRPr="00D9152B">
        <w:rPr>
          <w:rFonts w:ascii="Calibri" w:hAnsi="Calibri" w:cs="Calibri"/>
          <w:sz w:val="22"/>
          <w:szCs w:val="22"/>
        </w:rPr>
        <w:t xml:space="preserve"> The Bank proposed funds of about $17 million over 5 years, ‘on the basis of absorptive capacity and not of possibility of drug discovery’.</w:t>
      </w:r>
      <w:r w:rsidRPr="00D9152B">
        <w:rPr>
          <w:rStyle w:val="FootnoteReference"/>
          <w:rFonts w:ascii="Calibri" w:hAnsi="Calibri" w:cs="Calibri"/>
          <w:sz w:val="22"/>
          <w:szCs w:val="22"/>
        </w:rPr>
        <w:footnoteReference w:id="715"/>
      </w:r>
    </w:p>
    <w:p w14:paraId="454EE4E2" w14:textId="48B9DC55" w:rsidR="00B67FDC" w:rsidRPr="00D9152B" w:rsidRDefault="00076FC2" w:rsidP="00656BE2">
      <w:pPr>
        <w:pStyle w:val="Heading3"/>
        <w:rPr>
          <w:rFonts w:ascii="Calibri" w:hAnsi="Calibri" w:cs="Calibri"/>
          <w:b/>
          <w:i/>
          <w:color w:val="000000" w:themeColor="text1"/>
          <w:sz w:val="22"/>
          <w:szCs w:val="22"/>
        </w:rPr>
      </w:pPr>
      <w:bookmarkStart w:id="125" w:name="_Toc41505684"/>
      <w:r w:rsidRPr="00D9152B">
        <w:rPr>
          <w:rFonts w:ascii="Calibri" w:hAnsi="Calibri" w:cs="Calibri"/>
          <w:b/>
          <w:i/>
          <w:color w:val="000000" w:themeColor="text1"/>
          <w:sz w:val="22"/>
          <w:szCs w:val="22"/>
        </w:rPr>
        <w:t>7</w:t>
      </w:r>
      <w:r w:rsidR="00B67FDC" w:rsidRPr="00D9152B">
        <w:rPr>
          <w:rFonts w:ascii="Calibri" w:hAnsi="Calibri" w:cs="Calibri"/>
          <w:b/>
          <w:i/>
          <w:color w:val="000000" w:themeColor="text1"/>
          <w:sz w:val="22"/>
          <w:szCs w:val="22"/>
        </w:rPr>
        <w:t>.</w:t>
      </w:r>
      <w:r w:rsidR="00677774" w:rsidRPr="00D9152B">
        <w:rPr>
          <w:rFonts w:ascii="Calibri" w:hAnsi="Calibri" w:cs="Calibri"/>
          <w:b/>
          <w:i/>
          <w:color w:val="000000" w:themeColor="text1"/>
          <w:sz w:val="22"/>
          <w:szCs w:val="22"/>
        </w:rPr>
        <w:t>2</w:t>
      </w:r>
      <w:r w:rsidR="00B67FDC" w:rsidRPr="00D9152B">
        <w:rPr>
          <w:rFonts w:ascii="Calibri" w:hAnsi="Calibri" w:cs="Calibri"/>
          <w:b/>
          <w:i/>
          <w:color w:val="000000" w:themeColor="text1"/>
          <w:sz w:val="22"/>
          <w:szCs w:val="22"/>
        </w:rPr>
        <w:t>.B. TDR and OCP rivalries over control of the OCT</w:t>
      </w:r>
      <w:bookmarkEnd w:id="125"/>
    </w:p>
    <w:p w14:paraId="01E381BC" w14:textId="18F3DAC9" w:rsidR="00AC7848" w:rsidRPr="00D9152B" w:rsidRDefault="00AC7848" w:rsidP="006B543F">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ab/>
        <w:t>TDR, the OCP, and the Bank agreed upon the format for the OCT in 1982. The OCT working group</w:t>
      </w:r>
      <w:r w:rsidR="00B67FDC" w:rsidRPr="00D9152B">
        <w:rPr>
          <w:rFonts w:ascii="Calibri" w:hAnsi="Calibri" w:cs="Calibri"/>
          <w:sz w:val="22"/>
          <w:szCs w:val="22"/>
        </w:rPr>
        <w:t xml:space="preserve"> </w:t>
      </w:r>
      <w:r w:rsidRPr="00D9152B">
        <w:rPr>
          <w:rFonts w:ascii="Calibri" w:hAnsi="Calibri" w:cs="Calibri"/>
          <w:sz w:val="22"/>
          <w:szCs w:val="22"/>
        </w:rPr>
        <w:t>recommended that the programme begin with the two moon mission groups.</w:t>
      </w:r>
      <w:r w:rsidRPr="00D9152B">
        <w:rPr>
          <w:rStyle w:val="FootnoteReference"/>
          <w:rFonts w:ascii="Calibri" w:hAnsi="Calibri" w:cs="Calibri"/>
          <w:sz w:val="22"/>
          <w:szCs w:val="22"/>
        </w:rPr>
        <w:footnoteReference w:id="716"/>
      </w:r>
      <w:r w:rsidRPr="00D9152B">
        <w:rPr>
          <w:rFonts w:ascii="Calibri" w:hAnsi="Calibri" w:cs="Calibri"/>
          <w:sz w:val="22"/>
          <w:szCs w:val="22"/>
        </w:rPr>
        <w:t xml:space="preserve"> Having two moon mission groups would ‘increase the critical mass of scientists’ involved in onchocerciasis drug research, ‘while also encouraging competition’.</w:t>
      </w:r>
      <w:r w:rsidRPr="00D9152B">
        <w:rPr>
          <w:rStyle w:val="FootnoteReference"/>
          <w:rFonts w:ascii="Calibri" w:hAnsi="Calibri" w:cs="Calibri"/>
          <w:sz w:val="22"/>
          <w:szCs w:val="22"/>
        </w:rPr>
        <w:footnoteReference w:id="717"/>
      </w:r>
      <w:r w:rsidRPr="00D9152B">
        <w:rPr>
          <w:rFonts w:ascii="Calibri" w:hAnsi="Calibri" w:cs="Calibri"/>
          <w:sz w:val="22"/>
          <w:szCs w:val="22"/>
        </w:rPr>
        <w:t xml:space="preserve"> In addition to this ‘active initiative’, there would be a ‘responsive component’, financing specific small</w:t>
      </w:r>
      <w:r w:rsidR="00B67FDC" w:rsidRPr="00D9152B">
        <w:rPr>
          <w:rFonts w:ascii="Calibri" w:hAnsi="Calibri" w:cs="Calibri"/>
          <w:sz w:val="22"/>
          <w:szCs w:val="22"/>
        </w:rPr>
        <w:t>-</w:t>
      </w:r>
      <w:r w:rsidRPr="00D9152B">
        <w:rPr>
          <w:rFonts w:ascii="Calibri" w:hAnsi="Calibri" w:cs="Calibri"/>
          <w:sz w:val="22"/>
          <w:szCs w:val="22"/>
        </w:rPr>
        <w:t>scale activities (like drug screening, toxicity tests, and clinical trials) for multiple companies and research groups.</w:t>
      </w:r>
      <w:r w:rsidR="00CC550B" w:rsidRPr="00D9152B">
        <w:rPr>
          <w:rFonts w:ascii="Calibri" w:hAnsi="Calibri" w:cs="Calibri"/>
          <w:sz w:val="22"/>
          <w:szCs w:val="22"/>
        </w:rPr>
        <w:t xml:space="preserve"> The objective of the OCT would be to develop a macrofilaricide, or a drug capable of killing adult worms in humans, which could be administrated in field conditions (i.e. ideally not requiring a cold-chain, multiple doses on a short time-scale, or monitoring </w:t>
      </w:r>
      <w:r w:rsidR="00C11A65">
        <w:rPr>
          <w:rFonts w:ascii="Calibri" w:hAnsi="Calibri" w:cs="Calibri"/>
          <w:sz w:val="22"/>
          <w:szCs w:val="22"/>
        </w:rPr>
        <w:t>by</w:t>
      </w:r>
      <w:r w:rsidR="00CC550B" w:rsidRPr="00D9152B">
        <w:rPr>
          <w:rFonts w:ascii="Calibri" w:hAnsi="Calibri" w:cs="Calibri"/>
          <w:sz w:val="22"/>
          <w:szCs w:val="22"/>
        </w:rPr>
        <w:t xml:space="preserve"> highly-trained medical personnel).</w:t>
      </w:r>
      <w:r w:rsidRPr="00D9152B">
        <w:rPr>
          <w:rFonts w:ascii="Calibri" w:hAnsi="Calibri" w:cs="Calibri"/>
          <w:sz w:val="22"/>
          <w:szCs w:val="22"/>
        </w:rPr>
        <w:t xml:space="preserve"> </w:t>
      </w:r>
      <w:r w:rsidR="006D0C6C" w:rsidRPr="00D9152B">
        <w:rPr>
          <w:rFonts w:ascii="Calibri" w:hAnsi="Calibri" w:cs="Calibri"/>
          <w:sz w:val="22"/>
          <w:szCs w:val="22"/>
        </w:rPr>
        <w:t xml:space="preserve">A microfilaricide (as opposed to a microfilaricide) was the OCT’s goal, </w:t>
      </w:r>
      <w:r w:rsidR="00C11A65">
        <w:rPr>
          <w:rFonts w:ascii="Calibri" w:hAnsi="Calibri" w:cs="Calibri"/>
          <w:sz w:val="22"/>
          <w:szCs w:val="22"/>
        </w:rPr>
        <w:t>because</w:t>
      </w:r>
      <w:r w:rsidR="006D0C6C" w:rsidRPr="00D9152B">
        <w:rPr>
          <w:rFonts w:ascii="Calibri" w:hAnsi="Calibri" w:cs="Calibri"/>
          <w:sz w:val="22"/>
          <w:szCs w:val="22"/>
        </w:rPr>
        <w:t xml:space="preserve"> it would kill the adult worms; a microfilaricide might halt symptoms (when worm larvae died), but would have to be administered frequently and consistently over the course of the adult worm’s </w:t>
      </w:r>
      <w:r w:rsidR="006D0C6C" w:rsidRPr="00D9152B">
        <w:rPr>
          <w:rFonts w:ascii="Calibri" w:hAnsi="Calibri" w:cs="Calibri"/>
          <w:sz w:val="22"/>
          <w:szCs w:val="22"/>
        </w:rPr>
        <w:lastRenderedPageBreak/>
        <w:t>lifespan (about 13-14 years) to prevent transmission</w:t>
      </w:r>
      <w:r w:rsidR="00FA6009">
        <w:rPr>
          <w:rFonts w:ascii="Calibri" w:hAnsi="Calibri" w:cs="Calibri"/>
          <w:sz w:val="22"/>
          <w:szCs w:val="22"/>
        </w:rPr>
        <w:t>, increasing potential organisational barriers and costs of delivery</w:t>
      </w:r>
      <w:r w:rsidR="006D0C6C" w:rsidRPr="00D9152B">
        <w:rPr>
          <w:rFonts w:ascii="Calibri" w:hAnsi="Calibri" w:cs="Calibri"/>
          <w:sz w:val="22"/>
          <w:szCs w:val="22"/>
        </w:rPr>
        <w:t>.</w:t>
      </w:r>
      <w:r w:rsidR="006D0C6C" w:rsidRPr="00D9152B">
        <w:rPr>
          <w:rStyle w:val="FootnoteReference"/>
          <w:rFonts w:ascii="Calibri" w:hAnsi="Calibri" w:cs="Calibri"/>
          <w:sz w:val="22"/>
          <w:szCs w:val="22"/>
        </w:rPr>
        <w:footnoteReference w:id="718"/>
      </w:r>
    </w:p>
    <w:p w14:paraId="0FF4AB05" w14:textId="778FF2F9" w:rsidR="00AC7848" w:rsidRPr="00D9152B" w:rsidRDefault="00B67FDC" w:rsidP="006B543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 OCP and TDR collaborative relationship</w:t>
      </w:r>
      <w:r w:rsidR="00AC7848" w:rsidRPr="00D9152B">
        <w:rPr>
          <w:rFonts w:ascii="Calibri" w:hAnsi="Calibri" w:cs="Calibri"/>
          <w:sz w:val="22"/>
          <w:szCs w:val="22"/>
        </w:rPr>
        <w:t xml:space="preserve"> was initially rocky. After a 1982 </w:t>
      </w:r>
      <w:r w:rsidR="00FA6009">
        <w:rPr>
          <w:rFonts w:ascii="Calibri" w:hAnsi="Calibri" w:cs="Calibri"/>
          <w:sz w:val="22"/>
          <w:szCs w:val="22"/>
        </w:rPr>
        <w:t>Committee of Sponsoring Agencies</w:t>
      </w:r>
      <w:r w:rsidR="00AC7848" w:rsidRPr="00D9152B">
        <w:rPr>
          <w:rFonts w:ascii="Calibri" w:hAnsi="Calibri" w:cs="Calibri"/>
          <w:sz w:val="22"/>
          <w:szCs w:val="22"/>
        </w:rPr>
        <w:t xml:space="preserve"> meeting, for example, the </w:t>
      </w:r>
      <w:r w:rsidR="00FA6009">
        <w:rPr>
          <w:rFonts w:ascii="Calibri" w:hAnsi="Calibri" w:cs="Calibri"/>
          <w:sz w:val="22"/>
          <w:szCs w:val="22"/>
        </w:rPr>
        <w:t>Food and Agriculture Organization (FAO)</w:t>
      </w:r>
      <w:r w:rsidR="00AC7848" w:rsidRPr="00D9152B">
        <w:rPr>
          <w:rFonts w:ascii="Calibri" w:hAnsi="Calibri" w:cs="Calibri"/>
          <w:sz w:val="22"/>
          <w:szCs w:val="22"/>
        </w:rPr>
        <w:t xml:space="preserve"> representative commented that, </w:t>
      </w:r>
    </w:p>
    <w:p w14:paraId="38518841" w14:textId="3441F84D" w:rsidR="00AC7848" w:rsidRPr="00D9152B" w:rsidRDefault="00AC7848" w:rsidP="00B67FDC">
      <w:pPr>
        <w:pStyle w:val="Quote"/>
        <w:ind w:left="862" w:right="862"/>
        <w:rPr>
          <w:rFonts w:cs="Calibri"/>
          <w:i/>
          <w:sz w:val="22"/>
          <w:szCs w:val="22"/>
          <w:lang w:val="en-GB"/>
        </w:rPr>
      </w:pPr>
      <w:r w:rsidRPr="00D9152B">
        <w:rPr>
          <w:rFonts w:cs="Calibri"/>
          <w:i/>
          <w:sz w:val="22"/>
          <w:szCs w:val="22"/>
          <w:lang w:val="en-GB"/>
        </w:rPr>
        <w:t xml:space="preserve">‘It was clear that there was likely to be some inter-programme rivalry on the management of the money for the Oncho research and in respect of the scientific management. One felt that this was a matter that the executing agency </w:t>
      </w:r>
      <w:r w:rsidR="00FA6009">
        <w:rPr>
          <w:rFonts w:cs="Calibri"/>
          <w:i/>
          <w:sz w:val="22"/>
          <w:szCs w:val="22"/>
          <w:lang w:val="en-GB"/>
        </w:rPr>
        <w:t xml:space="preserve">[the WHO] </w:t>
      </w:r>
      <w:r w:rsidRPr="00D9152B">
        <w:rPr>
          <w:rFonts w:cs="Calibri"/>
          <w:i/>
          <w:sz w:val="22"/>
          <w:szCs w:val="22"/>
          <w:lang w:val="en-GB"/>
        </w:rPr>
        <w:t>for the two programmes [TDR and OCP] should have sorted out internally rather than bringing the matter to two inter-agency groups which had no jurisdiction over such internal matters’.</w:t>
      </w:r>
      <w:r w:rsidRPr="00D9152B">
        <w:rPr>
          <w:rStyle w:val="FootnoteReference"/>
          <w:rFonts w:ascii="Calibri" w:hAnsi="Calibri" w:cs="Calibri"/>
          <w:i/>
          <w:sz w:val="22"/>
          <w:szCs w:val="22"/>
          <w:lang w:val="en-GB"/>
        </w:rPr>
        <w:footnoteReference w:id="719"/>
      </w:r>
      <w:r w:rsidRPr="00D9152B">
        <w:rPr>
          <w:rFonts w:cs="Calibri"/>
          <w:i/>
          <w:sz w:val="22"/>
          <w:szCs w:val="22"/>
          <w:lang w:val="en-GB"/>
        </w:rPr>
        <w:t xml:space="preserve"> </w:t>
      </w:r>
    </w:p>
    <w:p w14:paraId="75D71642" w14:textId="15918A94" w:rsidR="00B67FDC" w:rsidRPr="00D9152B" w:rsidRDefault="00AC7848" w:rsidP="006B543F">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The Bank agreed that there was a ‘rather byzantine dispute’ brewing about control of the OCT.</w:t>
      </w:r>
      <w:r w:rsidRPr="00D9152B">
        <w:rPr>
          <w:rStyle w:val="FootnoteReference"/>
          <w:rFonts w:ascii="Calibri" w:hAnsi="Calibri" w:cs="Calibri"/>
          <w:sz w:val="22"/>
          <w:szCs w:val="22"/>
        </w:rPr>
        <w:footnoteReference w:id="720"/>
      </w:r>
      <w:r w:rsidRPr="00D9152B">
        <w:rPr>
          <w:rFonts w:ascii="Calibri" w:hAnsi="Calibri" w:cs="Calibri"/>
          <w:sz w:val="22"/>
          <w:szCs w:val="22"/>
        </w:rPr>
        <w:t xml:space="preserve"> The WHO representative on TDR’s Steering Committee was adamant that TDR have autonomy with deciding which research to fund; he ‘insisted that the management of chemotherapy research must be considered as a sub-contract from OCP – terminal accountability would be the only “interference”</w:t>
      </w:r>
      <w:r w:rsidR="007A7E6A" w:rsidRPr="00D9152B">
        <w:rPr>
          <w:rFonts w:ascii="Calibri" w:hAnsi="Calibri" w:cs="Calibri"/>
          <w:sz w:val="22"/>
          <w:szCs w:val="22"/>
        </w:rPr>
        <w:t>’</w:t>
      </w:r>
      <w:r w:rsidRPr="00D9152B">
        <w:rPr>
          <w:rFonts w:ascii="Calibri" w:hAnsi="Calibri" w:cs="Calibri"/>
          <w:sz w:val="22"/>
          <w:szCs w:val="22"/>
        </w:rPr>
        <w:t xml:space="preserve"> </w:t>
      </w:r>
      <w:r w:rsidR="007A7E6A" w:rsidRPr="00D9152B">
        <w:rPr>
          <w:rFonts w:ascii="Calibri" w:hAnsi="Calibri" w:cs="Calibri"/>
          <w:sz w:val="22"/>
          <w:szCs w:val="22"/>
        </w:rPr>
        <w:t>that they would accept from OCP</w:t>
      </w:r>
      <w:r w:rsidRPr="00D9152B">
        <w:rPr>
          <w:rFonts w:ascii="Calibri" w:hAnsi="Calibri" w:cs="Calibri"/>
          <w:sz w:val="22"/>
          <w:szCs w:val="22"/>
        </w:rPr>
        <w:t>. The OCP argued instead that collaboration should be based on a small, scientific steering group, whose work would be reviewed annually by the OCP Expert Advisory Committee and its TDR equivalent</w:t>
      </w:r>
      <w:r w:rsidR="00FA6009">
        <w:rPr>
          <w:rFonts w:ascii="Calibri" w:hAnsi="Calibri" w:cs="Calibri"/>
          <w:sz w:val="22"/>
          <w:szCs w:val="22"/>
        </w:rPr>
        <w:t xml:space="preserve"> (the Science and Technology Advisory Committee)</w:t>
      </w:r>
      <w:r w:rsidRPr="00D9152B">
        <w:rPr>
          <w:rFonts w:ascii="Calibri" w:hAnsi="Calibri" w:cs="Calibri"/>
          <w:sz w:val="22"/>
          <w:szCs w:val="22"/>
        </w:rPr>
        <w:t>.</w:t>
      </w:r>
      <w:r w:rsidRPr="00D9152B">
        <w:rPr>
          <w:rStyle w:val="FootnoteReference"/>
          <w:rFonts w:ascii="Calibri" w:hAnsi="Calibri" w:cs="Calibri"/>
          <w:sz w:val="22"/>
          <w:szCs w:val="22"/>
        </w:rPr>
        <w:footnoteReference w:id="721"/>
      </w:r>
      <w:r w:rsidRPr="00D9152B">
        <w:rPr>
          <w:rFonts w:ascii="Calibri" w:hAnsi="Calibri" w:cs="Calibri"/>
          <w:sz w:val="22"/>
          <w:szCs w:val="22"/>
        </w:rPr>
        <w:t xml:space="preserve"> </w:t>
      </w:r>
    </w:p>
    <w:p w14:paraId="2AE50141" w14:textId="54203A09" w:rsidR="00AC7848" w:rsidRPr="00D9152B" w:rsidRDefault="00AC7848" w:rsidP="006B543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Ultimately, a compromise was reached. OCT’s management structure would consist of a Steering Committee on Chemotherapy, with members appointed by </w:t>
      </w:r>
      <w:r w:rsidR="00B67FDC" w:rsidRPr="00D9152B">
        <w:rPr>
          <w:rFonts w:ascii="Calibri" w:hAnsi="Calibri" w:cs="Calibri"/>
          <w:sz w:val="22"/>
          <w:szCs w:val="22"/>
        </w:rPr>
        <w:t xml:space="preserve">the </w:t>
      </w:r>
      <w:r w:rsidRPr="00D9152B">
        <w:rPr>
          <w:rFonts w:ascii="Calibri" w:hAnsi="Calibri" w:cs="Calibri"/>
          <w:sz w:val="22"/>
          <w:szCs w:val="22"/>
        </w:rPr>
        <w:t>TDR Director in consultation with the OCP Director. The OCT Steering Committee would act on TDR’s scientific and technical advice, using OCP funding, and would include at least one OCP technical expert. Reports and budgets would be approved by both the OCP</w:t>
      </w:r>
      <w:r w:rsidR="006D0C6C" w:rsidRPr="00D9152B">
        <w:rPr>
          <w:rFonts w:ascii="Calibri" w:hAnsi="Calibri" w:cs="Calibri"/>
          <w:sz w:val="22"/>
          <w:szCs w:val="22"/>
        </w:rPr>
        <w:t xml:space="preserve">’s Committee of Sponsoring Agencies </w:t>
      </w:r>
      <w:r w:rsidRPr="00D9152B">
        <w:rPr>
          <w:rFonts w:ascii="Calibri" w:hAnsi="Calibri" w:cs="Calibri"/>
          <w:sz w:val="22"/>
          <w:szCs w:val="22"/>
        </w:rPr>
        <w:t xml:space="preserve">and its TDR equivalent, and would be signed by the </w:t>
      </w:r>
      <w:r w:rsidRPr="00D9152B">
        <w:rPr>
          <w:rFonts w:ascii="Calibri" w:hAnsi="Calibri" w:cs="Calibri"/>
          <w:sz w:val="22"/>
          <w:szCs w:val="22"/>
        </w:rPr>
        <w:lastRenderedPageBreak/>
        <w:t>OCP before funding was given. A WHO employee would serve as the Secretary of the Steering Committee on Chemotherapy, would report to the TDR Director, and would ‘be the link between industry and academic organizations for the project’.</w:t>
      </w:r>
      <w:r w:rsidRPr="00D9152B">
        <w:rPr>
          <w:rStyle w:val="FootnoteReference"/>
          <w:rFonts w:ascii="Calibri" w:hAnsi="Calibri" w:cs="Calibri"/>
          <w:sz w:val="22"/>
          <w:szCs w:val="22"/>
        </w:rPr>
        <w:footnoteReference w:id="722"/>
      </w:r>
    </w:p>
    <w:p w14:paraId="2E6DD3B6" w14:textId="13AAA00F" w:rsidR="00AC7848" w:rsidRPr="00D9152B" w:rsidRDefault="00AC7848" w:rsidP="006B543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By 1987, there were again issues with the OCP</w:t>
      </w:r>
      <w:r w:rsidR="006D0C6C" w:rsidRPr="00D9152B">
        <w:rPr>
          <w:rFonts w:ascii="Calibri" w:hAnsi="Calibri" w:cs="Calibri"/>
          <w:sz w:val="22"/>
          <w:szCs w:val="22"/>
        </w:rPr>
        <w:t xml:space="preserve"> and </w:t>
      </w:r>
      <w:r w:rsidRPr="00D9152B">
        <w:rPr>
          <w:rFonts w:ascii="Calibri" w:hAnsi="Calibri" w:cs="Calibri"/>
          <w:sz w:val="22"/>
          <w:szCs w:val="22"/>
        </w:rPr>
        <w:t>TDR division of power, which became critical when the first drug – ivermectin – was scheduled for large-scale field trials. An independent review of the OCT suggested that it was ‘essential that OCT be more closely related functionally to OCP’</w:t>
      </w:r>
      <w:r w:rsidR="00D52B01" w:rsidRPr="00D9152B">
        <w:rPr>
          <w:rFonts w:ascii="Calibri" w:hAnsi="Calibri" w:cs="Calibri"/>
          <w:sz w:val="22"/>
          <w:szCs w:val="22"/>
        </w:rPr>
        <w:t xml:space="preserve"> (which had better connections to locations for field trials)</w:t>
      </w:r>
      <w:r w:rsidRPr="00D9152B">
        <w:rPr>
          <w:rFonts w:ascii="Calibri" w:hAnsi="Calibri" w:cs="Calibri"/>
          <w:sz w:val="22"/>
          <w:szCs w:val="22"/>
        </w:rPr>
        <w:t xml:space="preserve">, and to continue to focus on developing a macrofilaricide. It also recommended termination of the </w:t>
      </w:r>
      <w:r w:rsidR="00D52B01" w:rsidRPr="00D9152B">
        <w:rPr>
          <w:rFonts w:ascii="Calibri" w:hAnsi="Calibri" w:cs="Calibri"/>
          <w:sz w:val="22"/>
          <w:szCs w:val="22"/>
        </w:rPr>
        <w:t>‘</w:t>
      </w:r>
      <w:r w:rsidRPr="00D9152B">
        <w:rPr>
          <w:rFonts w:ascii="Calibri" w:hAnsi="Calibri" w:cs="Calibri"/>
          <w:sz w:val="22"/>
          <w:szCs w:val="22"/>
        </w:rPr>
        <w:t>moon missions</w:t>
      </w:r>
      <w:r w:rsidR="00D52B01" w:rsidRPr="00D9152B">
        <w:rPr>
          <w:rFonts w:ascii="Calibri" w:hAnsi="Calibri" w:cs="Calibri"/>
          <w:sz w:val="22"/>
          <w:szCs w:val="22"/>
        </w:rPr>
        <w:t>’</w:t>
      </w:r>
      <w:r w:rsidRPr="00D9152B">
        <w:rPr>
          <w:rFonts w:ascii="Calibri" w:hAnsi="Calibri" w:cs="Calibri"/>
          <w:sz w:val="22"/>
          <w:szCs w:val="22"/>
        </w:rPr>
        <w:t>, which had not produced viable drug candidates.</w:t>
      </w:r>
      <w:r w:rsidRPr="00D9152B">
        <w:rPr>
          <w:rStyle w:val="FootnoteReference"/>
          <w:rFonts w:ascii="Calibri" w:hAnsi="Calibri" w:cs="Calibri"/>
          <w:sz w:val="22"/>
          <w:szCs w:val="22"/>
        </w:rPr>
        <w:footnoteReference w:id="723"/>
      </w:r>
      <w:r w:rsidRPr="00D9152B">
        <w:rPr>
          <w:rFonts w:ascii="Calibri" w:hAnsi="Calibri" w:cs="Calibri"/>
          <w:sz w:val="22"/>
          <w:szCs w:val="22"/>
        </w:rPr>
        <w:t xml:space="preserve"> In 1988, a Joint Preclinical Drug Development Team was established, which relied on the technical expertise of both OCP and TDR to ‘greatly enhance efficiency’ of macrofilaricide development. Unlike the earlier OCT, this new body was financed by both OCP and TDR.</w:t>
      </w:r>
      <w:r w:rsidRPr="00D9152B">
        <w:rPr>
          <w:rStyle w:val="FootnoteReference"/>
          <w:rFonts w:ascii="Calibri" w:hAnsi="Calibri" w:cs="Calibri"/>
          <w:sz w:val="22"/>
          <w:szCs w:val="22"/>
        </w:rPr>
        <w:footnoteReference w:id="724"/>
      </w:r>
      <w:r w:rsidRPr="00D9152B">
        <w:rPr>
          <w:rFonts w:ascii="Calibri" w:hAnsi="Calibri" w:cs="Calibri"/>
          <w:sz w:val="22"/>
          <w:szCs w:val="22"/>
        </w:rPr>
        <w:t xml:space="preserve"> </w:t>
      </w:r>
    </w:p>
    <w:p w14:paraId="465FB054" w14:textId="335BC6C4" w:rsidR="00AC7848" w:rsidRPr="00D9152B" w:rsidRDefault="00AC7848" w:rsidP="006B543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In 1991, with the recognition that ivermectin would have to be taken long-term to reduce disease transmission and </w:t>
      </w:r>
      <w:r w:rsidR="00A166EF" w:rsidRPr="00D9152B">
        <w:rPr>
          <w:rFonts w:ascii="Calibri" w:hAnsi="Calibri" w:cs="Calibri"/>
          <w:sz w:val="22"/>
          <w:szCs w:val="22"/>
        </w:rPr>
        <w:t xml:space="preserve">that </w:t>
      </w:r>
      <w:r w:rsidR="00A166EF" w:rsidRPr="00D9152B">
        <w:rPr>
          <w:rFonts w:ascii="Calibri" w:hAnsi="Calibri" w:cs="Calibri"/>
          <w:i/>
          <w:sz w:val="22"/>
          <w:szCs w:val="22"/>
        </w:rPr>
        <w:t xml:space="preserve">Onchocerca volvulus </w:t>
      </w:r>
      <w:r w:rsidRPr="00D9152B">
        <w:rPr>
          <w:rFonts w:ascii="Calibri" w:hAnsi="Calibri" w:cs="Calibri"/>
          <w:sz w:val="22"/>
          <w:szCs w:val="22"/>
        </w:rPr>
        <w:t>could potentially develop resistance</w:t>
      </w:r>
      <w:r w:rsidR="00A166EF" w:rsidRPr="00D9152B">
        <w:rPr>
          <w:rFonts w:ascii="Calibri" w:hAnsi="Calibri" w:cs="Calibri"/>
          <w:sz w:val="22"/>
          <w:szCs w:val="22"/>
        </w:rPr>
        <w:t xml:space="preserve"> to the drug</w:t>
      </w:r>
      <w:r w:rsidRPr="00D9152B">
        <w:rPr>
          <w:rFonts w:ascii="Calibri" w:hAnsi="Calibri" w:cs="Calibri"/>
          <w:sz w:val="22"/>
          <w:szCs w:val="22"/>
        </w:rPr>
        <w:t>, the OCT’s structure was again changed. It was merged with the TDR filariasis unit into a ‘MACROFIL’ programme.</w:t>
      </w:r>
      <w:r w:rsidRPr="00D9152B">
        <w:rPr>
          <w:rStyle w:val="FootnoteReference"/>
          <w:rFonts w:ascii="Calibri" w:hAnsi="Calibri" w:cs="Calibri"/>
          <w:sz w:val="22"/>
          <w:szCs w:val="22"/>
        </w:rPr>
        <w:footnoteReference w:id="725"/>
      </w:r>
      <w:r w:rsidRPr="00D9152B">
        <w:rPr>
          <w:rFonts w:ascii="Calibri" w:hAnsi="Calibri" w:cs="Calibri"/>
          <w:sz w:val="22"/>
          <w:szCs w:val="22"/>
        </w:rPr>
        <w:t xml:space="preserve"> MACROFIL was devoted exclusively to developing a macrofilaricide for onchocerciasis and lymphatic filariasis</w:t>
      </w:r>
      <w:r w:rsidR="00FA6009">
        <w:rPr>
          <w:rFonts w:ascii="Calibri" w:hAnsi="Calibri" w:cs="Calibri"/>
          <w:sz w:val="22"/>
          <w:szCs w:val="22"/>
        </w:rPr>
        <w:t>, which could ultimately replace ivermectin</w:t>
      </w:r>
      <w:r w:rsidRPr="00D9152B">
        <w:rPr>
          <w:rFonts w:ascii="Calibri" w:hAnsi="Calibri" w:cs="Calibri"/>
          <w:sz w:val="22"/>
          <w:szCs w:val="22"/>
        </w:rPr>
        <w:t>.</w:t>
      </w:r>
      <w:r w:rsidRPr="00D9152B">
        <w:rPr>
          <w:rStyle w:val="FootnoteReference"/>
          <w:rFonts w:ascii="Calibri" w:hAnsi="Calibri" w:cs="Calibri"/>
          <w:sz w:val="22"/>
          <w:szCs w:val="22"/>
        </w:rPr>
        <w:footnoteReference w:id="726"/>
      </w:r>
      <w:r w:rsidRPr="00D9152B">
        <w:rPr>
          <w:rFonts w:ascii="Calibri" w:hAnsi="Calibri" w:cs="Calibri"/>
          <w:sz w:val="22"/>
          <w:szCs w:val="22"/>
        </w:rPr>
        <w:t xml:space="preserve"> As the OCP began to wind-down operations in the mid-1990s, it realized that ‘a field-applicable macrofilaricide was unlikely to materialize before the end of OCP operations in time to reduce the duration of vector control’. The OCP stopped funding MACROFIL in 1997, after which it became a smaller programme run entirely by TDR out of its WHO-Geneva base.</w:t>
      </w:r>
      <w:r w:rsidRPr="00D9152B">
        <w:rPr>
          <w:rStyle w:val="FootnoteReference"/>
          <w:rFonts w:ascii="Calibri" w:hAnsi="Calibri" w:cs="Calibri"/>
          <w:sz w:val="22"/>
          <w:szCs w:val="22"/>
        </w:rPr>
        <w:footnoteReference w:id="727"/>
      </w:r>
    </w:p>
    <w:p w14:paraId="5FFC5DBB" w14:textId="37FCFCE4" w:rsidR="00AC7848" w:rsidRPr="00D9152B" w:rsidRDefault="00076FC2" w:rsidP="00656BE2">
      <w:pPr>
        <w:pStyle w:val="Heading2"/>
        <w:rPr>
          <w:rFonts w:ascii="Calibri" w:hAnsi="Calibri" w:cs="Calibri"/>
          <w:b/>
          <w:color w:val="000000" w:themeColor="text1"/>
          <w:sz w:val="26"/>
          <w:szCs w:val="26"/>
        </w:rPr>
      </w:pPr>
      <w:bookmarkStart w:id="126" w:name="_Toc41505685"/>
      <w:r w:rsidRPr="00D9152B">
        <w:rPr>
          <w:rFonts w:ascii="Calibri" w:hAnsi="Calibri" w:cs="Calibri"/>
          <w:b/>
          <w:color w:val="000000" w:themeColor="text1"/>
          <w:sz w:val="26"/>
          <w:szCs w:val="26"/>
        </w:rPr>
        <w:lastRenderedPageBreak/>
        <w:t>7</w:t>
      </w:r>
      <w:r w:rsidR="00D52B01" w:rsidRPr="00D9152B">
        <w:rPr>
          <w:rFonts w:ascii="Calibri" w:hAnsi="Calibri" w:cs="Calibri"/>
          <w:b/>
          <w:color w:val="000000" w:themeColor="text1"/>
          <w:sz w:val="26"/>
          <w:szCs w:val="26"/>
        </w:rPr>
        <w:t>.</w:t>
      </w:r>
      <w:r w:rsidR="00677774" w:rsidRPr="00D9152B">
        <w:rPr>
          <w:rFonts w:ascii="Calibri" w:hAnsi="Calibri" w:cs="Calibri"/>
          <w:b/>
          <w:color w:val="000000" w:themeColor="text1"/>
          <w:sz w:val="26"/>
          <w:szCs w:val="26"/>
        </w:rPr>
        <w:t>3</w:t>
      </w:r>
      <w:r w:rsidR="00D52B01" w:rsidRPr="00D9152B">
        <w:rPr>
          <w:rFonts w:ascii="Calibri" w:hAnsi="Calibri" w:cs="Calibri"/>
          <w:b/>
          <w:color w:val="000000" w:themeColor="text1"/>
          <w:sz w:val="26"/>
          <w:szCs w:val="26"/>
        </w:rPr>
        <w:t>. Pharmaceutical company relationships: confidentiality, good faith, and sovereignty</w:t>
      </w:r>
      <w:bookmarkEnd w:id="126"/>
    </w:p>
    <w:p w14:paraId="47729C1B" w14:textId="4E8DDC81" w:rsidR="00D52B01" w:rsidRPr="00D9152B" w:rsidRDefault="00AC7848" w:rsidP="006B543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 OCP invested about $29 million in chemotherapy research over the course of the project.</w:t>
      </w:r>
      <w:r w:rsidRPr="00D9152B">
        <w:rPr>
          <w:rStyle w:val="FootnoteReference"/>
          <w:rFonts w:ascii="Calibri" w:hAnsi="Calibri" w:cs="Calibri"/>
          <w:sz w:val="22"/>
          <w:szCs w:val="22"/>
        </w:rPr>
        <w:footnoteReference w:id="728"/>
      </w:r>
      <w:r w:rsidRPr="00D9152B">
        <w:rPr>
          <w:rFonts w:ascii="Calibri" w:hAnsi="Calibri" w:cs="Calibri"/>
          <w:sz w:val="22"/>
          <w:szCs w:val="22"/>
        </w:rPr>
        <w:t xml:space="preserve"> On the legal front, a system had to be developed to account for clinical trial risk and to protect pharmaceutical company proprietary information.</w:t>
      </w:r>
      <w:r w:rsidR="00D52B01" w:rsidRPr="00D9152B">
        <w:rPr>
          <w:rFonts w:ascii="Calibri" w:hAnsi="Calibri" w:cs="Calibri"/>
          <w:sz w:val="22"/>
          <w:szCs w:val="22"/>
        </w:rPr>
        <w:t xml:space="preserve"> Two major issues had to be addressed: where any legal liability would lie</w:t>
      </w:r>
      <w:r w:rsidR="00CD7AC0" w:rsidRPr="00D9152B">
        <w:rPr>
          <w:rFonts w:ascii="Calibri" w:hAnsi="Calibri" w:cs="Calibri"/>
          <w:sz w:val="22"/>
          <w:szCs w:val="22"/>
        </w:rPr>
        <w:t xml:space="preserve"> </w:t>
      </w:r>
      <w:r w:rsidR="00D52B01" w:rsidRPr="00D9152B">
        <w:rPr>
          <w:rFonts w:ascii="Calibri" w:hAnsi="Calibri" w:cs="Calibri"/>
          <w:sz w:val="22"/>
          <w:szCs w:val="22"/>
        </w:rPr>
        <w:t>if anyone was harmed during clinical or field trials, and whether (and how) the programme’s investment would guarantee fair pricing for a successful drug candidate.</w:t>
      </w:r>
      <w:r w:rsidRPr="00D9152B">
        <w:rPr>
          <w:rFonts w:ascii="Calibri" w:hAnsi="Calibri" w:cs="Calibri"/>
          <w:sz w:val="22"/>
          <w:szCs w:val="22"/>
        </w:rPr>
        <w:t xml:space="preserve"> </w:t>
      </w:r>
    </w:p>
    <w:p w14:paraId="62811690" w14:textId="0849B794" w:rsidR="00AC7848" w:rsidRPr="00D9152B" w:rsidRDefault="00AC7848" w:rsidP="006B543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WHO made individual confidentiality and liability contracts for each company, as part of research funding contracts. For example, when </w:t>
      </w:r>
      <w:r w:rsidR="00D52B01" w:rsidRPr="00D9152B">
        <w:rPr>
          <w:rFonts w:ascii="Calibri" w:hAnsi="Calibri" w:cs="Calibri"/>
          <w:sz w:val="22"/>
          <w:szCs w:val="22"/>
        </w:rPr>
        <w:t xml:space="preserve">the Swiss pharmaceutical company </w:t>
      </w:r>
      <w:r w:rsidRPr="00D9152B">
        <w:rPr>
          <w:rFonts w:ascii="Calibri" w:hAnsi="Calibri" w:cs="Calibri"/>
          <w:sz w:val="22"/>
          <w:szCs w:val="22"/>
        </w:rPr>
        <w:t xml:space="preserve">Ciba-Geigy was testing a major potential macrofilaricide in the mid-1980s, the WHO cleared the study ethically, on the condition that local and governmental ethical clearance was obtained (including free consent), </w:t>
      </w:r>
      <w:r w:rsidRPr="00D9152B">
        <w:rPr>
          <w:rFonts w:ascii="Calibri" w:hAnsi="Calibri" w:cs="Calibri"/>
          <w:i/>
          <w:sz w:val="22"/>
          <w:szCs w:val="22"/>
        </w:rPr>
        <w:t>and</w:t>
      </w:r>
      <w:r w:rsidRPr="00D9152B">
        <w:rPr>
          <w:rFonts w:ascii="Calibri" w:hAnsi="Calibri" w:cs="Calibri"/>
          <w:sz w:val="22"/>
          <w:szCs w:val="22"/>
        </w:rPr>
        <w:t xml:space="preserve"> that the WHO would be held blameless from any liability associated with the trials.</w:t>
      </w:r>
      <w:r w:rsidRPr="00D9152B">
        <w:rPr>
          <w:rStyle w:val="FootnoteReference"/>
          <w:rFonts w:ascii="Calibri" w:hAnsi="Calibri" w:cs="Calibri"/>
          <w:sz w:val="22"/>
          <w:szCs w:val="22"/>
        </w:rPr>
        <w:footnoteReference w:id="729"/>
      </w:r>
      <w:r w:rsidRPr="00D9152B">
        <w:rPr>
          <w:rFonts w:ascii="Calibri" w:hAnsi="Calibri" w:cs="Calibri"/>
          <w:sz w:val="22"/>
          <w:szCs w:val="22"/>
        </w:rPr>
        <w:t xml:space="preserve"> Ciba-Geigy purchased its own insurance policy to cover the trials, which covered any OCP staff involved in them.</w:t>
      </w:r>
      <w:r w:rsidRPr="00D9152B">
        <w:rPr>
          <w:rStyle w:val="FootnoteReference"/>
          <w:rFonts w:ascii="Calibri" w:hAnsi="Calibri" w:cs="Calibri"/>
          <w:sz w:val="22"/>
          <w:szCs w:val="22"/>
        </w:rPr>
        <w:footnoteReference w:id="730"/>
      </w:r>
      <w:r w:rsidRPr="00D9152B">
        <w:rPr>
          <w:rFonts w:ascii="Calibri" w:hAnsi="Calibri" w:cs="Calibri"/>
          <w:sz w:val="22"/>
          <w:szCs w:val="22"/>
        </w:rPr>
        <w:t xml:space="preserve"> Ciba-Geigy’s intellectual property was covered by a confidentiality agreement, which meant that no third parties would have knowledge of its proprietary information and testing data of drug compounds, until at least one year after its contract with the WHO ended.</w:t>
      </w:r>
      <w:r w:rsidRPr="00D9152B">
        <w:rPr>
          <w:rStyle w:val="FootnoteReference"/>
          <w:rFonts w:ascii="Calibri" w:hAnsi="Calibri" w:cs="Calibri"/>
          <w:sz w:val="22"/>
          <w:szCs w:val="22"/>
        </w:rPr>
        <w:footnoteReference w:id="731"/>
      </w:r>
    </w:p>
    <w:p w14:paraId="218C6553" w14:textId="76B639C0" w:rsidR="00AC7848" w:rsidRPr="00D9152B" w:rsidRDefault="00E30696" w:rsidP="009D5C0D">
      <w:pPr>
        <w:spacing w:before="100" w:beforeAutospacing="1" w:after="100" w:afterAutospacing="1" w:line="360" w:lineRule="auto"/>
        <w:ind w:firstLine="720"/>
        <w:rPr>
          <w:rFonts w:ascii="Calibri" w:hAnsi="Calibri" w:cs="Calibri"/>
          <w:sz w:val="22"/>
          <w:szCs w:val="22"/>
        </w:rPr>
      </w:pPr>
      <w:r>
        <w:rPr>
          <w:rFonts w:ascii="Calibri" w:hAnsi="Calibri" w:cs="Calibri"/>
          <w:sz w:val="22"/>
          <w:szCs w:val="22"/>
        </w:rPr>
        <w:t>Price protections</w:t>
      </w:r>
      <w:r w:rsidRPr="00D9152B">
        <w:rPr>
          <w:rFonts w:ascii="Calibri" w:hAnsi="Calibri" w:cs="Calibri"/>
          <w:sz w:val="22"/>
          <w:szCs w:val="22"/>
        </w:rPr>
        <w:t xml:space="preserve"> </w:t>
      </w:r>
      <w:r w:rsidR="00AC7848" w:rsidRPr="00D9152B">
        <w:rPr>
          <w:rFonts w:ascii="Calibri" w:hAnsi="Calibri" w:cs="Calibri"/>
          <w:sz w:val="22"/>
          <w:szCs w:val="22"/>
        </w:rPr>
        <w:t>for the future cost of any drug developed were much trickier, and were made ad-hoc. The OCT committee ‘expressed the hope that the excellent idea of setting up an OCP chemotherapy fund and getting on with work should not be held up by minor legal quibbles concerning the distribution of any eventual benefits from the enterprise’.</w:t>
      </w:r>
      <w:r w:rsidR="00AC7848" w:rsidRPr="00D9152B">
        <w:rPr>
          <w:rStyle w:val="FootnoteReference"/>
          <w:rFonts w:ascii="Calibri" w:hAnsi="Calibri" w:cs="Calibri"/>
          <w:sz w:val="22"/>
          <w:szCs w:val="22"/>
        </w:rPr>
        <w:footnoteReference w:id="732"/>
      </w:r>
      <w:r w:rsidR="00AC7848" w:rsidRPr="00D9152B">
        <w:rPr>
          <w:rFonts w:ascii="Calibri" w:hAnsi="Calibri" w:cs="Calibri"/>
          <w:sz w:val="22"/>
          <w:szCs w:val="22"/>
        </w:rPr>
        <w:t xml:space="preserve"> It again individually worked with companies to create agreements about the potential pricing of drugs. As part of its fiscal agent role, the Bank was asked to mediate </w:t>
      </w:r>
      <w:r w:rsidR="00AC7848" w:rsidRPr="00D9152B">
        <w:rPr>
          <w:rFonts w:ascii="Calibri" w:hAnsi="Calibri" w:cs="Calibri"/>
          <w:sz w:val="22"/>
          <w:szCs w:val="22"/>
        </w:rPr>
        <w:lastRenderedPageBreak/>
        <w:t>discussions with pharmaceutical companies about potential pricing guarantees, but was largely otherwise absent from OCT deliberations.</w:t>
      </w:r>
      <w:r w:rsidR="00AC7848" w:rsidRPr="00D9152B">
        <w:rPr>
          <w:rStyle w:val="FootnoteReference"/>
          <w:rFonts w:ascii="Calibri" w:hAnsi="Calibri" w:cs="Calibri"/>
          <w:sz w:val="22"/>
          <w:szCs w:val="22"/>
        </w:rPr>
        <w:footnoteReference w:id="733"/>
      </w:r>
      <w:r w:rsidR="00AC7848" w:rsidRPr="00D9152B">
        <w:rPr>
          <w:rFonts w:ascii="Calibri" w:hAnsi="Calibri" w:cs="Calibri"/>
          <w:sz w:val="22"/>
          <w:szCs w:val="22"/>
        </w:rPr>
        <w:t xml:space="preserve"> The OCT decided that all benefits of potential drugs outside of human health (such as on the veterinary market) would accrue to companies, to further incentivize their research.</w:t>
      </w:r>
      <w:r w:rsidR="00AC7848" w:rsidRPr="00D9152B">
        <w:rPr>
          <w:rStyle w:val="FootnoteReference"/>
          <w:rFonts w:ascii="Calibri" w:hAnsi="Calibri" w:cs="Calibri"/>
          <w:sz w:val="22"/>
          <w:szCs w:val="22"/>
        </w:rPr>
        <w:footnoteReference w:id="734"/>
      </w:r>
      <w:r w:rsidR="00AC7848" w:rsidRPr="00D9152B">
        <w:rPr>
          <w:rFonts w:ascii="Calibri" w:hAnsi="Calibri" w:cs="Calibri"/>
          <w:sz w:val="22"/>
          <w:szCs w:val="22"/>
        </w:rPr>
        <w:t xml:space="preserve"> </w:t>
      </w:r>
      <w:r w:rsidR="004C29CA" w:rsidRPr="00D9152B">
        <w:rPr>
          <w:rFonts w:ascii="Calibri" w:hAnsi="Calibri" w:cs="Calibri"/>
          <w:sz w:val="22"/>
          <w:szCs w:val="22"/>
        </w:rPr>
        <w:t xml:space="preserve">Figure </w:t>
      </w:r>
      <w:r w:rsidR="00FA6009">
        <w:rPr>
          <w:rFonts w:ascii="Calibri" w:hAnsi="Calibri" w:cs="Calibri"/>
          <w:sz w:val="22"/>
          <w:szCs w:val="22"/>
        </w:rPr>
        <w:t>7.</w:t>
      </w:r>
      <w:r w:rsidR="00F11827" w:rsidRPr="00D9152B">
        <w:rPr>
          <w:rFonts w:ascii="Calibri" w:hAnsi="Calibri" w:cs="Calibri"/>
          <w:sz w:val="22"/>
          <w:szCs w:val="22"/>
        </w:rPr>
        <w:t>4</w:t>
      </w:r>
      <w:r w:rsidR="00AC7848" w:rsidRPr="00D9152B">
        <w:rPr>
          <w:rFonts w:ascii="Calibri" w:hAnsi="Calibri" w:cs="Calibri"/>
          <w:sz w:val="22"/>
          <w:szCs w:val="22"/>
        </w:rPr>
        <w:t xml:space="preserve"> provides an example of a good faith agreement with Ciba-Geigy. As the next section describes, a similar arrangement was reached with Merck for ivermectin, after the drug was well into </w:t>
      </w:r>
      <w:r w:rsidR="00CD7AC0" w:rsidRPr="00D9152B">
        <w:rPr>
          <w:rFonts w:ascii="Calibri" w:hAnsi="Calibri" w:cs="Calibri"/>
          <w:sz w:val="22"/>
          <w:szCs w:val="22"/>
        </w:rPr>
        <w:t xml:space="preserve">the </w:t>
      </w:r>
      <w:r w:rsidR="00AC7848" w:rsidRPr="00D9152B">
        <w:rPr>
          <w:rFonts w:ascii="Calibri" w:hAnsi="Calibri" w:cs="Calibri"/>
          <w:sz w:val="22"/>
          <w:szCs w:val="22"/>
        </w:rPr>
        <w:t xml:space="preserve">testing </w:t>
      </w:r>
      <w:r w:rsidR="00CD7AC0" w:rsidRPr="00D9152B">
        <w:rPr>
          <w:rFonts w:ascii="Calibri" w:hAnsi="Calibri" w:cs="Calibri"/>
          <w:sz w:val="22"/>
          <w:szCs w:val="22"/>
        </w:rPr>
        <w:t xml:space="preserve">process </w:t>
      </w:r>
      <w:r w:rsidR="00AC7848" w:rsidRPr="00D9152B">
        <w:rPr>
          <w:rFonts w:ascii="Calibri" w:hAnsi="Calibri" w:cs="Calibri"/>
          <w:sz w:val="22"/>
          <w:szCs w:val="22"/>
        </w:rPr>
        <w:t>for onchocerciasis.</w:t>
      </w:r>
    </w:p>
    <w:p w14:paraId="2217EA0F" w14:textId="2E467FAE" w:rsidR="00AC7848" w:rsidRPr="00D9152B" w:rsidRDefault="00AC7848" w:rsidP="00D07FD2">
      <w:pPr>
        <w:jc w:val="center"/>
        <w:rPr>
          <w:rFonts w:ascii="Calibri" w:hAnsi="Calibri" w:cs="Calibri"/>
          <w:color w:val="7F7F7F" w:themeColor="text1" w:themeTint="80"/>
        </w:rPr>
      </w:pPr>
      <w:r w:rsidRPr="00D9152B">
        <w:rPr>
          <w:rFonts w:ascii="Calibri" w:hAnsi="Calibri" w:cs="Calibri"/>
          <w:noProof/>
          <w:color w:val="7F7F7F" w:themeColor="text1" w:themeTint="80"/>
          <w:lang w:eastAsia="en-GB"/>
        </w:rPr>
        <w:drawing>
          <wp:inline distT="0" distB="0" distL="0" distR="0" wp14:anchorId="1F34727D" wp14:editId="77BB5820">
            <wp:extent cx="5051162" cy="2628900"/>
            <wp:effectExtent l="0" t="0" r="3810" b="0"/>
            <wp:docPr id="1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rotWithShape="1">
                    <a:blip r:embed="rId101">
                      <a:extLst>
                        <a:ext uri="{28A0092B-C50C-407E-A947-70E740481C1C}">
                          <a14:useLocalDpi xmlns:a14="http://schemas.microsoft.com/office/drawing/2010/main" val="0"/>
                        </a:ext>
                      </a:extLst>
                    </a:blip>
                    <a:srcRect l="3089" t="4800" b="12168"/>
                    <a:stretch/>
                  </pic:blipFill>
                  <pic:spPr bwMode="auto">
                    <a:xfrm>
                      <a:off x="0" y="0"/>
                      <a:ext cx="5069488" cy="2638438"/>
                    </a:xfrm>
                    <a:prstGeom prst="rect">
                      <a:avLst/>
                    </a:prstGeom>
                    <a:ln>
                      <a:noFill/>
                    </a:ln>
                    <a:extLst>
                      <a:ext uri="{53640926-AAD7-44D8-BBD7-CCE9431645EC}">
                        <a14:shadowObscured xmlns:a14="http://schemas.microsoft.com/office/drawing/2010/main"/>
                      </a:ext>
                    </a:extLst>
                  </pic:spPr>
                </pic:pic>
              </a:graphicData>
            </a:graphic>
          </wp:inline>
        </w:drawing>
      </w:r>
    </w:p>
    <w:p w14:paraId="619D100C" w14:textId="77777777" w:rsidR="00130ADA" w:rsidRPr="00D9152B" w:rsidRDefault="00130ADA" w:rsidP="00D07FD2">
      <w:pPr>
        <w:jc w:val="both"/>
        <w:rPr>
          <w:rFonts w:ascii="Calibri" w:hAnsi="Calibri" w:cs="Calibri"/>
          <w:color w:val="7F7F7F" w:themeColor="text1" w:themeTint="80"/>
        </w:rPr>
      </w:pPr>
    </w:p>
    <w:p w14:paraId="0A7B112D" w14:textId="664D9E0F" w:rsidR="00AC7848" w:rsidRPr="00D9152B" w:rsidRDefault="00CC550B" w:rsidP="004C29CA">
      <w:pPr>
        <w:jc w:val="both"/>
        <w:rPr>
          <w:rFonts w:ascii="Calibri" w:hAnsi="Calibri" w:cs="Calibri"/>
          <w:color w:val="7F7F7F" w:themeColor="text1" w:themeTint="80"/>
          <w:sz w:val="22"/>
          <w:szCs w:val="22"/>
        </w:rPr>
      </w:pPr>
      <w:r w:rsidRPr="00D9152B">
        <w:rPr>
          <w:rFonts w:ascii="Calibri" w:hAnsi="Calibri" w:cs="Calibri"/>
          <w:color w:val="7F7F7F" w:themeColor="text1" w:themeTint="80"/>
          <w:sz w:val="22"/>
          <w:szCs w:val="22"/>
        </w:rPr>
        <w:t xml:space="preserve">Figure </w:t>
      </w:r>
      <w:r w:rsidR="00FA6009">
        <w:rPr>
          <w:rFonts w:ascii="Calibri" w:hAnsi="Calibri" w:cs="Calibri"/>
          <w:color w:val="7F7F7F" w:themeColor="text1" w:themeTint="80"/>
          <w:sz w:val="22"/>
          <w:szCs w:val="22"/>
        </w:rPr>
        <w:t>7.</w:t>
      </w:r>
      <w:r w:rsidR="00F11827" w:rsidRPr="00D9152B">
        <w:rPr>
          <w:rFonts w:ascii="Calibri" w:hAnsi="Calibri" w:cs="Calibri"/>
          <w:color w:val="7F7F7F" w:themeColor="text1" w:themeTint="80"/>
          <w:sz w:val="22"/>
          <w:szCs w:val="22"/>
        </w:rPr>
        <w:t>4</w:t>
      </w:r>
      <w:r w:rsidR="00B72D22" w:rsidRPr="00D9152B">
        <w:rPr>
          <w:rFonts w:ascii="Calibri" w:hAnsi="Calibri" w:cs="Calibri"/>
          <w:color w:val="7F7F7F" w:themeColor="text1" w:themeTint="80"/>
          <w:sz w:val="22"/>
          <w:szCs w:val="22"/>
        </w:rPr>
        <w:t>. The 1984 WHO and Ciba-</w:t>
      </w:r>
      <w:r w:rsidR="00AC7848" w:rsidRPr="00D9152B">
        <w:rPr>
          <w:rFonts w:ascii="Calibri" w:hAnsi="Calibri" w:cs="Calibri"/>
          <w:color w:val="7F7F7F" w:themeColor="text1" w:themeTint="80"/>
          <w:sz w:val="22"/>
          <w:szCs w:val="22"/>
        </w:rPr>
        <w:t>Geigy good faith agreement</w:t>
      </w:r>
      <w:r w:rsidR="004C29CA" w:rsidRPr="00D9152B">
        <w:rPr>
          <w:rFonts w:ascii="Calibri" w:hAnsi="Calibri" w:cs="Calibri"/>
          <w:color w:val="7F7F7F" w:themeColor="text1" w:themeTint="80"/>
          <w:sz w:val="22"/>
          <w:szCs w:val="22"/>
        </w:rPr>
        <w:t xml:space="preserve"> largely delayed any decision about how drugs would be priced and profit would accrue, if the company developed a drug suitable for mass-drug administration for onchocerciasis</w:t>
      </w:r>
      <w:r w:rsidR="00AC7848" w:rsidRPr="00D9152B">
        <w:rPr>
          <w:rFonts w:ascii="Calibri" w:hAnsi="Calibri" w:cs="Calibri"/>
          <w:color w:val="7F7F7F" w:themeColor="text1" w:themeTint="80"/>
          <w:sz w:val="22"/>
          <w:szCs w:val="22"/>
        </w:rPr>
        <w:t>.</w:t>
      </w:r>
      <w:r w:rsidR="00AC7848" w:rsidRPr="00D9152B">
        <w:rPr>
          <w:rStyle w:val="FootnoteReference"/>
          <w:rFonts w:ascii="Calibri" w:hAnsi="Calibri" w:cs="Calibri"/>
          <w:color w:val="7F7F7F" w:themeColor="text1" w:themeTint="80"/>
          <w:sz w:val="22"/>
          <w:szCs w:val="22"/>
        </w:rPr>
        <w:footnoteReference w:id="735"/>
      </w:r>
    </w:p>
    <w:p w14:paraId="25FDD0ED" w14:textId="2857F7C5" w:rsidR="004C29CA" w:rsidRPr="00D9152B" w:rsidRDefault="004C29CA" w:rsidP="004C29CA">
      <w:pPr>
        <w:rPr>
          <w:rFonts w:ascii="Calibri" w:eastAsiaTheme="majorEastAsia" w:hAnsi="Calibri" w:cs="Calibri"/>
          <w:color w:val="2E74B5" w:themeColor="accent1" w:themeShade="BF"/>
          <w:sz w:val="26"/>
          <w:szCs w:val="26"/>
          <w:lang w:val="en-US"/>
        </w:rPr>
      </w:pPr>
    </w:p>
    <w:p w14:paraId="51C8FDC8" w14:textId="132B7670" w:rsidR="004C29CA" w:rsidRPr="00D9152B" w:rsidRDefault="00076FC2" w:rsidP="00656BE2">
      <w:pPr>
        <w:pStyle w:val="Heading2"/>
        <w:rPr>
          <w:rFonts w:ascii="Calibri" w:hAnsi="Calibri" w:cs="Calibri"/>
          <w:b/>
          <w:color w:val="000000" w:themeColor="text1"/>
          <w:sz w:val="26"/>
          <w:szCs w:val="26"/>
        </w:rPr>
      </w:pPr>
      <w:bookmarkStart w:id="127" w:name="_Toc41505686"/>
      <w:r w:rsidRPr="00D9152B">
        <w:rPr>
          <w:rFonts w:ascii="Calibri" w:hAnsi="Calibri" w:cs="Calibri"/>
          <w:b/>
          <w:color w:val="000000" w:themeColor="text1"/>
          <w:sz w:val="26"/>
          <w:szCs w:val="26"/>
        </w:rPr>
        <w:t>7.</w:t>
      </w:r>
      <w:r w:rsidR="00677774" w:rsidRPr="00D9152B">
        <w:rPr>
          <w:rFonts w:ascii="Calibri" w:hAnsi="Calibri" w:cs="Calibri"/>
          <w:b/>
          <w:color w:val="000000" w:themeColor="text1"/>
          <w:sz w:val="26"/>
          <w:szCs w:val="26"/>
        </w:rPr>
        <w:t>4</w:t>
      </w:r>
      <w:r w:rsidR="004C29CA" w:rsidRPr="00D9152B">
        <w:rPr>
          <w:rFonts w:ascii="Calibri" w:hAnsi="Calibri" w:cs="Calibri"/>
          <w:b/>
          <w:color w:val="000000" w:themeColor="text1"/>
          <w:sz w:val="26"/>
          <w:szCs w:val="26"/>
        </w:rPr>
        <w:t>. Private contractors &amp; drug candidates</w:t>
      </w:r>
      <w:bookmarkEnd w:id="127"/>
    </w:p>
    <w:p w14:paraId="06F2F927" w14:textId="10BCA466" w:rsidR="006E0F7B" w:rsidRDefault="004C29CA" w:rsidP="00F11827">
      <w:pPr>
        <w:spacing w:before="100" w:beforeAutospacing="1" w:after="100" w:afterAutospacing="1" w:line="360" w:lineRule="auto"/>
        <w:rPr>
          <w:rFonts w:ascii="Calibri" w:hAnsi="Calibri" w:cs="Calibri"/>
          <w:sz w:val="22"/>
          <w:szCs w:val="22"/>
        </w:rPr>
      </w:pPr>
      <w:r w:rsidRPr="00D9152B">
        <w:rPr>
          <w:rFonts w:ascii="Calibri" w:hAnsi="Calibri" w:cs="Calibri"/>
        </w:rPr>
        <w:tab/>
      </w:r>
      <w:r w:rsidR="00CC550B" w:rsidRPr="00D9152B">
        <w:rPr>
          <w:rFonts w:ascii="Calibri" w:hAnsi="Calibri" w:cs="Calibri"/>
          <w:sz w:val="22"/>
          <w:szCs w:val="22"/>
        </w:rPr>
        <w:t xml:space="preserve">In pursuit of its primary objective – to develop a macrofilaricide useful for the treatment or prevention of onchocerciasis in African conditions </w:t>
      </w:r>
      <w:r w:rsidR="00C117AE" w:rsidRPr="00D9152B">
        <w:rPr>
          <w:rFonts w:ascii="Calibri" w:hAnsi="Calibri" w:cs="Calibri"/>
          <w:sz w:val="22"/>
          <w:szCs w:val="22"/>
        </w:rPr>
        <w:t>–</w:t>
      </w:r>
      <w:r w:rsidR="00CC550B" w:rsidRPr="00D9152B">
        <w:rPr>
          <w:rFonts w:ascii="Calibri" w:hAnsi="Calibri" w:cs="Calibri"/>
          <w:sz w:val="22"/>
          <w:szCs w:val="22"/>
        </w:rPr>
        <w:t xml:space="preserve"> </w:t>
      </w:r>
      <w:r w:rsidRPr="00D9152B">
        <w:rPr>
          <w:rFonts w:ascii="Calibri" w:hAnsi="Calibri" w:cs="Calibri"/>
          <w:sz w:val="22"/>
          <w:szCs w:val="22"/>
        </w:rPr>
        <w:t xml:space="preserve"> </w:t>
      </w:r>
      <w:r w:rsidR="00CC550B" w:rsidRPr="00D9152B">
        <w:rPr>
          <w:rFonts w:ascii="Calibri" w:hAnsi="Calibri" w:cs="Calibri"/>
          <w:sz w:val="22"/>
          <w:szCs w:val="22"/>
        </w:rPr>
        <w:t xml:space="preserve">the OCT entered into contractual agreements with at least ten research groups. </w:t>
      </w:r>
      <w:r w:rsidR="00CC1A24" w:rsidRPr="00D9152B">
        <w:rPr>
          <w:rFonts w:ascii="Calibri" w:hAnsi="Calibri" w:cs="Calibri"/>
          <w:sz w:val="22"/>
          <w:szCs w:val="22"/>
        </w:rPr>
        <w:t xml:space="preserve">Table </w:t>
      </w:r>
      <w:r w:rsidR="00FA6009">
        <w:rPr>
          <w:rFonts w:ascii="Calibri" w:hAnsi="Calibri" w:cs="Calibri"/>
          <w:sz w:val="22"/>
          <w:szCs w:val="22"/>
        </w:rPr>
        <w:t>7.</w:t>
      </w:r>
      <w:r w:rsidR="00CC1A24" w:rsidRPr="00D9152B">
        <w:rPr>
          <w:rFonts w:ascii="Calibri" w:hAnsi="Calibri" w:cs="Calibri"/>
          <w:sz w:val="22"/>
          <w:szCs w:val="22"/>
        </w:rPr>
        <w:t>2</w:t>
      </w:r>
      <w:r w:rsidR="00CC550B" w:rsidRPr="00D9152B">
        <w:rPr>
          <w:rFonts w:ascii="Calibri" w:hAnsi="Calibri" w:cs="Calibri"/>
          <w:sz w:val="22"/>
          <w:szCs w:val="22"/>
        </w:rPr>
        <w:t xml:space="preserve"> lists the major contracted research groups, which were based at both Western pharmaceutical companies and government or university research laboratories. It also describes some of </w:t>
      </w:r>
      <w:r w:rsidR="00CC550B" w:rsidRPr="00D9152B">
        <w:rPr>
          <w:rFonts w:ascii="Calibri" w:hAnsi="Calibri" w:cs="Calibri"/>
          <w:sz w:val="22"/>
          <w:szCs w:val="22"/>
        </w:rPr>
        <w:lastRenderedPageBreak/>
        <w:t>the major drug candidates that were pursued under each contractual partnership.</w:t>
      </w:r>
      <w:r w:rsidR="00F42AF0" w:rsidRPr="00D9152B">
        <w:rPr>
          <w:rFonts w:ascii="Calibri" w:hAnsi="Calibri" w:cs="Calibri"/>
          <w:sz w:val="22"/>
          <w:szCs w:val="22"/>
        </w:rPr>
        <w:t xml:space="preserve"> Most of the candidates were abandoned, due to their inactivity in cattle screens, toxicity profiles, or sub-efficacy at safe dosages.</w:t>
      </w:r>
      <w:r w:rsidR="00CC550B" w:rsidRPr="00D9152B">
        <w:rPr>
          <w:rFonts w:ascii="Calibri" w:hAnsi="Calibri" w:cs="Calibri"/>
          <w:sz w:val="22"/>
          <w:szCs w:val="22"/>
        </w:rPr>
        <w:t xml:space="preserve"> The programme was not successful in producing a macrofilaricide</w:t>
      </w:r>
      <w:r w:rsidR="00F42AF0" w:rsidRPr="00D9152B">
        <w:rPr>
          <w:rFonts w:ascii="Calibri" w:hAnsi="Calibri" w:cs="Calibri"/>
          <w:sz w:val="22"/>
          <w:szCs w:val="22"/>
        </w:rPr>
        <w:t xml:space="preserve">, and its investments in </w:t>
      </w:r>
      <w:r w:rsidR="00D52B01" w:rsidRPr="00D9152B">
        <w:rPr>
          <w:rFonts w:ascii="Calibri" w:hAnsi="Calibri" w:cs="Calibri"/>
          <w:sz w:val="22"/>
          <w:szCs w:val="22"/>
        </w:rPr>
        <w:t>ivermectin (a microfilaricide) ‘diverted a substantial portion of OCT resources to its development with a corresponding reduction in resources available for macrofilaricides’</w:t>
      </w:r>
      <w:r w:rsidR="00F42AF0" w:rsidRPr="00D9152B">
        <w:rPr>
          <w:rFonts w:ascii="Calibri" w:hAnsi="Calibri" w:cs="Calibri"/>
          <w:sz w:val="22"/>
          <w:szCs w:val="22"/>
        </w:rPr>
        <w:t>.</w:t>
      </w:r>
      <w:r w:rsidR="00D52B01" w:rsidRPr="00D9152B">
        <w:rPr>
          <w:rStyle w:val="FootnoteReference"/>
          <w:rFonts w:ascii="Calibri" w:hAnsi="Calibri" w:cs="Calibri"/>
          <w:sz w:val="22"/>
          <w:szCs w:val="22"/>
        </w:rPr>
        <w:footnoteReference w:id="736"/>
      </w:r>
      <w:r w:rsidR="00D52B01" w:rsidRPr="00D9152B">
        <w:rPr>
          <w:rFonts w:ascii="Calibri" w:hAnsi="Calibri" w:cs="Calibri"/>
          <w:sz w:val="22"/>
          <w:szCs w:val="22"/>
        </w:rPr>
        <w:t xml:space="preserve"> As Benton </w:t>
      </w:r>
      <w:r w:rsidR="00F42AF0" w:rsidRPr="00D9152B">
        <w:rPr>
          <w:rFonts w:ascii="Calibri" w:hAnsi="Calibri" w:cs="Calibri"/>
          <w:sz w:val="22"/>
          <w:szCs w:val="22"/>
        </w:rPr>
        <w:t>has recalled</w:t>
      </w:r>
      <w:r w:rsidR="00D52B01" w:rsidRPr="00D9152B">
        <w:rPr>
          <w:rFonts w:ascii="Calibri" w:hAnsi="Calibri" w:cs="Calibri"/>
          <w:sz w:val="22"/>
          <w:szCs w:val="22"/>
        </w:rPr>
        <w:t>, ‘And that’s one – if this program has had a failing, that’s – that’s been its failing’.</w:t>
      </w:r>
      <w:r w:rsidR="00D52B01" w:rsidRPr="00D9152B">
        <w:rPr>
          <w:rStyle w:val="FootnoteReference"/>
          <w:rFonts w:ascii="Calibri" w:hAnsi="Calibri" w:cs="Calibri"/>
          <w:sz w:val="22"/>
          <w:szCs w:val="22"/>
        </w:rPr>
        <w:footnoteReference w:id="737"/>
      </w:r>
      <w:r w:rsidR="00D52B01" w:rsidRPr="00D9152B">
        <w:rPr>
          <w:rFonts w:ascii="Calibri" w:hAnsi="Calibri" w:cs="Calibri"/>
          <w:sz w:val="22"/>
          <w:szCs w:val="22"/>
        </w:rPr>
        <w:t xml:space="preserve"> </w:t>
      </w:r>
    </w:p>
    <w:p w14:paraId="2FFB9D45" w14:textId="77777777" w:rsidR="00FA6009" w:rsidRPr="00D9152B" w:rsidRDefault="00FA6009" w:rsidP="00F11827">
      <w:pPr>
        <w:spacing w:before="100" w:beforeAutospacing="1" w:after="100" w:afterAutospacing="1" w:line="360" w:lineRule="auto"/>
        <w:rPr>
          <w:rFonts w:ascii="Calibri" w:hAnsi="Calibri" w:cs="Calibri"/>
          <w:sz w:val="22"/>
          <w:szCs w:val="22"/>
        </w:rPr>
      </w:pPr>
    </w:p>
    <w:tbl>
      <w:tblPr>
        <w:tblStyle w:val="ListTable7Colorful"/>
        <w:tblW w:w="8647" w:type="dxa"/>
        <w:tblLook w:val="04A0" w:firstRow="1" w:lastRow="0" w:firstColumn="1" w:lastColumn="0" w:noHBand="0" w:noVBand="1"/>
      </w:tblPr>
      <w:tblGrid>
        <w:gridCol w:w="2239"/>
        <w:gridCol w:w="2581"/>
        <w:gridCol w:w="3827"/>
      </w:tblGrid>
      <w:tr w:rsidR="00D52B01" w:rsidRPr="00D9152B" w14:paraId="13738873" w14:textId="77777777" w:rsidTr="00094131">
        <w:trPr>
          <w:cnfStyle w:val="100000000000" w:firstRow="1" w:lastRow="0" w:firstColumn="0" w:lastColumn="0" w:oddVBand="0" w:evenVBand="0" w:oddHBand="0" w:evenHBand="0" w:firstRowFirstColumn="0" w:firstRowLastColumn="0" w:lastRowFirstColumn="0" w:lastRowLastColumn="0"/>
          <w:trHeight w:val="386"/>
        </w:trPr>
        <w:tc>
          <w:tcPr>
            <w:cnfStyle w:val="001000000100" w:firstRow="0" w:lastRow="0" w:firstColumn="1" w:lastColumn="0" w:oddVBand="0" w:evenVBand="0" w:oddHBand="0" w:evenHBand="0" w:firstRowFirstColumn="1" w:firstRowLastColumn="0" w:lastRowFirstColumn="0" w:lastRowLastColumn="0"/>
            <w:tcW w:w="2239" w:type="dxa"/>
          </w:tcPr>
          <w:p w14:paraId="09AAF064" w14:textId="77777777" w:rsidR="00D52B01" w:rsidRPr="00D9152B" w:rsidRDefault="00D52B01" w:rsidP="00094131">
            <w:pPr>
              <w:jc w:val="center"/>
              <w:rPr>
                <w:rFonts w:ascii="Calibri" w:hAnsi="Calibri" w:cs="Calibri"/>
                <w:b/>
                <w:sz w:val="18"/>
                <w:szCs w:val="18"/>
              </w:rPr>
            </w:pPr>
            <w:r w:rsidRPr="00D9152B">
              <w:rPr>
                <w:rFonts w:ascii="Calibri" w:hAnsi="Calibri" w:cs="Calibri"/>
                <w:b/>
                <w:sz w:val="18"/>
                <w:szCs w:val="18"/>
              </w:rPr>
              <w:t>Collaborator</w:t>
            </w:r>
          </w:p>
        </w:tc>
        <w:tc>
          <w:tcPr>
            <w:tcW w:w="2581" w:type="dxa"/>
            <w:tcBorders>
              <w:bottom w:val="single" w:sz="4" w:space="0" w:color="auto"/>
            </w:tcBorders>
          </w:tcPr>
          <w:p w14:paraId="699ADF04" w14:textId="55E18DDD" w:rsidR="00D52B01" w:rsidRPr="00D9152B" w:rsidRDefault="00D52B01" w:rsidP="00B72D22">
            <w:pPr>
              <w:jc w:val="center"/>
              <w:cnfStyle w:val="100000000000" w:firstRow="1" w:lastRow="0" w:firstColumn="0" w:lastColumn="0" w:oddVBand="0" w:evenVBand="0" w:oddHBand="0" w:evenHBand="0" w:firstRowFirstColumn="0" w:firstRowLastColumn="0" w:lastRowFirstColumn="0" w:lastRowLastColumn="0"/>
              <w:rPr>
                <w:rFonts w:ascii="Calibri" w:hAnsi="Calibri" w:cs="Calibri"/>
                <w:b/>
                <w:sz w:val="18"/>
                <w:szCs w:val="18"/>
              </w:rPr>
            </w:pPr>
            <w:r w:rsidRPr="00D9152B">
              <w:rPr>
                <w:rFonts w:ascii="Calibri" w:hAnsi="Calibri" w:cs="Calibri"/>
                <w:b/>
                <w:sz w:val="18"/>
                <w:szCs w:val="18"/>
              </w:rPr>
              <w:t xml:space="preserve">Drug candidates </w:t>
            </w:r>
          </w:p>
        </w:tc>
        <w:tc>
          <w:tcPr>
            <w:tcW w:w="3827" w:type="dxa"/>
            <w:tcBorders>
              <w:bottom w:val="single" w:sz="4" w:space="0" w:color="auto"/>
            </w:tcBorders>
          </w:tcPr>
          <w:p w14:paraId="756A8B6B" w14:textId="77777777" w:rsidR="00D52B01" w:rsidRPr="00D9152B" w:rsidRDefault="00D52B01" w:rsidP="00094131">
            <w:pPr>
              <w:jc w:val="center"/>
              <w:cnfStyle w:val="100000000000" w:firstRow="1" w:lastRow="0" w:firstColumn="0" w:lastColumn="0" w:oddVBand="0" w:evenVBand="0" w:oddHBand="0" w:evenHBand="0" w:firstRowFirstColumn="0" w:firstRowLastColumn="0" w:lastRowFirstColumn="0" w:lastRowLastColumn="0"/>
              <w:rPr>
                <w:rFonts w:ascii="Calibri" w:hAnsi="Calibri" w:cs="Calibri"/>
                <w:b/>
                <w:sz w:val="18"/>
                <w:szCs w:val="18"/>
              </w:rPr>
            </w:pPr>
            <w:r w:rsidRPr="00D9152B">
              <w:rPr>
                <w:rFonts w:ascii="Calibri" w:hAnsi="Calibri" w:cs="Calibri"/>
                <w:b/>
                <w:sz w:val="18"/>
                <w:szCs w:val="18"/>
              </w:rPr>
              <w:t>Status</w:t>
            </w:r>
          </w:p>
        </w:tc>
      </w:tr>
      <w:tr w:rsidR="00D52B01" w:rsidRPr="00D9152B" w14:paraId="5083DB57" w14:textId="77777777" w:rsidTr="000941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9" w:type="dxa"/>
            <w:tcBorders>
              <w:top w:val="single" w:sz="4" w:space="0" w:color="000000" w:themeColor="text1"/>
              <w:bottom w:val="single" w:sz="4" w:space="0" w:color="auto"/>
              <w:right w:val="single" w:sz="4" w:space="0" w:color="auto"/>
            </w:tcBorders>
          </w:tcPr>
          <w:p w14:paraId="524671ED" w14:textId="77777777" w:rsidR="00D52B01" w:rsidRPr="00D9152B" w:rsidRDefault="00D52B01" w:rsidP="00094131">
            <w:pPr>
              <w:rPr>
                <w:rFonts w:ascii="Calibri" w:hAnsi="Calibri" w:cs="Calibri"/>
                <w:b/>
                <w:sz w:val="18"/>
                <w:szCs w:val="18"/>
              </w:rPr>
            </w:pPr>
            <w:r w:rsidRPr="00D9152B">
              <w:rPr>
                <w:rFonts w:ascii="Calibri" w:hAnsi="Calibri" w:cs="Calibri"/>
                <w:b/>
                <w:sz w:val="18"/>
                <w:szCs w:val="18"/>
              </w:rPr>
              <w:t>Ciba-Geigy Ltd. (Switzerland)</w:t>
            </w:r>
          </w:p>
          <w:p w14:paraId="738D7C3E" w14:textId="77777777" w:rsidR="00D52B01" w:rsidRPr="00D9152B" w:rsidRDefault="00D52B01" w:rsidP="00094131">
            <w:pPr>
              <w:rPr>
                <w:rFonts w:ascii="Calibri" w:hAnsi="Calibri" w:cs="Calibri"/>
                <w:b/>
                <w:sz w:val="18"/>
                <w:szCs w:val="18"/>
              </w:rPr>
            </w:pPr>
          </w:p>
        </w:tc>
        <w:tc>
          <w:tcPr>
            <w:tcW w:w="2581" w:type="dxa"/>
            <w:tcBorders>
              <w:top w:val="single" w:sz="4" w:space="0" w:color="auto"/>
              <w:left w:val="single" w:sz="4" w:space="0" w:color="auto"/>
              <w:bottom w:val="single" w:sz="4" w:space="0" w:color="auto"/>
              <w:right w:val="single" w:sz="4" w:space="0" w:color="auto"/>
            </w:tcBorders>
          </w:tcPr>
          <w:p w14:paraId="15E44CFD" w14:textId="77777777" w:rsidR="00D52B01" w:rsidRPr="00D9152B" w:rsidRDefault="00D52B01" w:rsidP="0009413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CGP 6140 (Amocarzine)</w:t>
            </w:r>
          </w:p>
          <w:p w14:paraId="726A4020" w14:textId="77777777" w:rsidR="00D52B01" w:rsidRPr="00D9152B" w:rsidRDefault="00D52B01" w:rsidP="0009413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p>
          <w:p w14:paraId="712B10FF" w14:textId="77777777" w:rsidR="00D52B01" w:rsidRPr="00D9152B" w:rsidRDefault="00D52B01" w:rsidP="0009413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p>
          <w:p w14:paraId="1C37ECC4" w14:textId="77777777" w:rsidR="00D52B01" w:rsidRPr="00D9152B" w:rsidRDefault="00D52B01" w:rsidP="00094131">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p>
          <w:p w14:paraId="7ECD994C" w14:textId="77777777" w:rsidR="000B70B0" w:rsidRPr="00D9152B" w:rsidRDefault="000B70B0" w:rsidP="00094131">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p>
          <w:p w14:paraId="2882E4DC" w14:textId="1291CF62" w:rsidR="00D52B01" w:rsidRPr="00D9152B" w:rsidRDefault="00D52B01" w:rsidP="00094131">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r w:rsidRPr="00D9152B">
              <w:rPr>
                <w:rFonts w:ascii="Calibri" w:hAnsi="Calibri" w:cs="Calibri"/>
                <w:b/>
                <w:sz w:val="18"/>
                <w:szCs w:val="18"/>
              </w:rPr>
              <w:t>CGP 20376</w:t>
            </w:r>
          </w:p>
          <w:p w14:paraId="4092949A" w14:textId="77777777" w:rsidR="00D52B01" w:rsidRPr="00D9152B" w:rsidRDefault="00D52B01" w:rsidP="00094131">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p>
          <w:p w14:paraId="525BB920" w14:textId="77777777" w:rsidR="00D52B01" w:rsidRPr="00D9152B" w:rsidRDefault="00D52B01" w:rsidP="00094131">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p>
          <w:p w14:paraId="23D9F105" w14:textId="77777777" w:rsidR="00D52B01" w:rsidRPr="00D9152B" w:rsidRDefault="00D52B01" w:rsidP="00094131">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r w:rsidRPr="00D9152B">
              <w:rPr>
                <w:rFonts w:ascii="Calibri" w:hAnsi="Calibri" w:cs="Calibri"/>
                <w:b/>
                <w:sz w:val="18"/>
                <w:szCs w:val="18"/>
              </w:rPr>
              <w:t>CGP 21833 &amp; 20309</w:t>
            </w:r>
          </w:p>
          <w:p w14:paraId="7B0011F9" w14:textId="77777777" w:rsidR="00D52B01" w:rsidRPr="00D9152B" w:rsidRDefault="00D52B01" w:rsidP="00094131">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p>
          <w:p w14:paraId="4CBE7066" w14:textId="77777777" w:rsidR="00D52B01" w:rsidRPr="00D9152B" w:rsidRDefault="00D52B01" w:rsidP="0009413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CGI 18041</w:t>
            </w:r>
            <w:r w:rsidRPr="00D9152B">
              <w:rPr>
                <w:rFonts w:ascii="Calibri" w:hAnsi="Calibri" w:cs="Calibri"/>
                <w:sz w:val="18"/>
                <w:szCs w:val="18"/>
              </w:rPr>
              <w:t xml:space="preserve"> </w:t>
            </w:r>
          </w:p>
        </w:tc>
        <w:tc>
          <w:tcPr>
            <w:tcW w:w="3827" w:type="dxa"/>
            <w:tcBorders>
              <w:top w:val="single" w:sz="4" w:space="0" w:color="auto"/>
              <w:left w:val="single" w:sz="4" w:space="0" w:color="auto"/>
              <w:bottom w:val="single" w:sz="4" w:space="0" w:color="auto"/>
              <w:right w:val="single" w:sz="4" w:space="0" w:color="auto"/>
            </w:tcBorders>
          </w:tcPr>
          <w:p w14:paraId="40EAC51B" w14:textId="77777777" w:rsidR="00D52B01" w:rsidRPr="00D9152B" w:rsidRDefault="00D52B01" w:rsidP="0009413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Initial worries about toxicity. Phase II trials at OCRC in mid-1990s. Terminated due to narrow therapeutic index (no efficacy at maximum dose).</w:t>
            </w:r>
          </w:p>
          <w:p w14:paraId="099884AA" w14:textId="77777777" w:rsidR="00D52B01" w:rsidRPr="00D9152B" w:rsidRDefault="00D52B01" w:rsidP="0009413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p>
          <w:p w14:paraId="3B2617CB" w14:textId="307EE961" w:rsidR="00D52B01" w:rsidRPr="00D9152B" w:rsidRDefault="00D52B01" w:rsidP="0009413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Clinical trials for lymphatic filariasis in 1990. Terminated due to toxicity at efficacious dose</w:t>
            </w:r>
            <w:r w:rsidR="000B70B0" w:rsidRPr="00D9152B">
              <w:rPr>
                <w:rFonts w:ascii="Calibri" w:hAnsi="Calibri" w:cs="Calibri"/>
                <w:sz w:val="18"/>
                <w:szCs w:val="18"/>
              </w:rPr>
              <w:t>.</w:t>
            </w:r>
          </w:p>
          <w:p w14:paraId="3F6B9CC4" w14:textId="77777777" w:rsidR="00D52B01" w:rsidRPr="00D9152B" w:rsidRDefault="00D52B01" w:rsidP="0009413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p>
          <w:p w14:paraId="1E69D2C3" w14:textId="0FCBEFF4" w:rsidR="00D52B01" w:rsidRPr="00D9152B" w:rsidRDefault="00D52B01" w:rsidP="0009413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Preclinical toxicity shown in 1991 in rodents</w:t>
            </w:r>
            <w:r w:rsidR="000B70B0" w:rsidRPr="00D9152B">
              <w:rPr>
                <w:rFonts w:ascii="Calibri" w:hAnsi="Calibri" w:cs="Calibri"/>
                <w:sz w:val="18"/>
                <w:szCs w:val="18"/>
              </w:rPr>
              <w:t>.</w:t>
            </w:r>
          </w:p>
          <w:p w14:paraId="5CC74839" w14:textId="77777777" w:rsidR="00D52B01" w:rsidRPr="00D9152B" w:rsidRDefault="00D52B01" w:rsidP="0009413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p>
          <w:p w14:paraId="642A9430" w14:textId="1DC12295" w:rsidR="00D52B01" w:rsidRPr="00D9152B" w:rsidRDefault="00D52B01" w:rsidP="0009413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Terminated at pre-clinical level in 1993 due to toxicity in dogs</w:t>
            </w:r>
            <w:r w:rsidR="000B70B0" w:rsidRPr="00D9152B">
              <w:rPr>
                <w:rFonts w:ascii="Calibri" w:hAnsi="Calibri" w:cs="Calibri"/>
                <w:sz w:val="18"/>
                <w:szCs w:val="18"/>
              </w:rPr>
              <w:t>.</w:t>
            </w:r>
          </w:p>
        </w:tc>
      </w:tr>
      <w:tr w:rsidR="00D52B01" w:rsidRPr="00D9152B" w14:paraId="53A46F74" w14:textId="77777777" w:rsidTr="00094131">
        <w:tc>
          <w:tcPr>
            <w:cnfStyle w:val="001000000000" w:firstRow="0" w:lastRow="0" w:firstColumn="1" w:lastColumn="0" w:oddVBand="0" w:evenVBand="0" w:oddHBand="0" w:evenHBand="0" w:firstRowFirstColumn="0" w:firstRowLastColumn="0" w:lastRowFirstColumn="0" w:lastRowLastColumn="0"/>
            <w:tcW w:w="2239" w:type="dxa"/>
            <w:tcBorders>
              <w:top w:val="single" w:sz="4" w:space="0" w:color="auto"/>
              <w:bottom w:val="single" w:sz="4" w:space="0" w:color="auto"/>
              <w:right w:val="single" w:sz="4" w:space="0" w:color="auto"/>
            </w:tcBorders>
          </w:tcPr>
          <w:p w14:paraId="6D8273A4" w14:textId="77777777" w:rsidR="00D52B01" w:rsidRPr="00D9152B" w:rsidRDefault="00D52B01" w:rsidP="00094131">
            <w:pPr>
              <w:rPr>
                <w:rFonts w:ascii="Calibri" w:hAnsi="Calibri" w:cs="Calibri"/>
                <w:b/>
                <w:sz w:val="18"/>
                <w:szCs w:val="18"/>
              </w:rPr>
            </w:pPr>
            <w:r w:rsidRPr="00D9152B">
              <w:rPr>
                <w:rFonts w:ascii="Calibri" w:hAnsi="Calibri" w:cs="Calibri"/>
                <w:b/>
                <w:sz w:val="18"/>
                <w:szCs w:val="18"/>
              </w:rPr>
              <w:t>Wellcome Foundation (United Kingdom)</w:t>
            </w:r>
          </w:p>
        </w:tc>
        <w:tc>
          <w:tcPr>
            <w:tcW w:w="2581" w:type="dxa"/>
            <w:tcBorders>
              <w:top w:val="single" w:sz="4" w:space="0" w:color="auto"/>
              <w:left w:val="single" w:sz="4" w:space="0" w:color="auto"/>
              <w:bottom w:val="single" w:sz="4" w:space="0" w:color="auto"/>
              <w:right w:val="single" w:sz="4" w:space="0" w:color="auto"/>
            </w:tcBorders>
          </w:tcPr>
          <w:p w14:paraId="409B4F04" w14:textId="77777777" w:rsidR="00D52B01" w:rsidRPr="00D9152B" w:rsidRDefault="00D52B01" w:rsidP="00094131">
            <w:pPr>
              <w:cnfStyle w:val="000000000000" w:firstRow="0" w:lastRow="0" w:firstColumn="0" w:lastColumn="0" w:oddVBand="0" w:evenVBand="0" w:oddHBand="0" w:evenHBand="0" w:firstRowFirstColumn="0" w:firstRowLastColumn="0" w:lastRowFirstColumn="0" w:lastRowLastColumn="0"/>
              <w:rPr>
                <w:rFonts w:ascii="Calibri" w:hAnsi="Calibri" w:cs="Calibri"/>
                <w:b/>
                <w:sz w:val="18"/>
                <w:szCs w:val="18"/>
              </w:rPr>
            </w:pPr>
            <w:r w:rsidRPr="00D9152B">
              <w:rPr>
                <w:rFonts w:ascii="Calibri" w:hAnsi="Calibri" w:cs="Calibri"/>
                <w:b/>
                <w:sz w:val="18"/>
                <w:szCs w:val="18"/>
              </w:rPr>
              <w:t xml:space="preserve">A276C </w:t>
            </w:r>
          </w:p>
          <w:p w14:paraId="43E34AD0" w14:textId="77777777" w:rsidR="00D52B01" w:rsidRPr="00D9152B" w:rsidRDefault="00D52B01" w:rsidP="0009413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Identified biochemical products for drug development</w:t>
            </w:r>
          </w:p>
        </w:tc>
        <w:tc>
          <w:tcPr>
            <w:tcW w:w="3827" w:type="dxa"/>
            <w:tcBorders>
              <w:top w:val="single" w:sz="4" w:space="0" w:color="auto"/>
              <w:left w:val="single" w:sz="4" w:space="0" w:color="auto"/>
              <w:bottom w:val="single" w:sz="4" w:space="0" w:color="auto"/>
              <w:right w:val="single" w:sz="4" w:space="0" w:color="auto"/>
            </w:tcBorders>
          </w:tcPr>
          <w:p w14:paraId="01B9E575" w14:textId="77777777" w:rsidR="00D52B01" w:rsidRPr="00D9152B" w:rsidRDefault="00D52B01" w:rsidP="0009413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Terminated at pre-clinical level in 1989 due to toxicity in dogs and low efficacy.</w:t>
            </w:r>
          </w:p>
        </w:tc>
      </w:tr>
      <w:tr w:rsidR="00D52B01" w:rsidRPr="00D9152B" w14:paraId="4F77043A" w14:textId="77777777" w:rsidTr="000941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9" w:type="dxa"/>
            <w:tcBorders>
              <w:top w:val="single" w:sz="4" w:space="0" w:color="auto"/>
              <w:bottom w:val="single" w:sz="4" w:space="0" w:color="auto"/>
              <w:right w:val="single" w:sz="4" w:space="0" w:color="auto"/>
            </w:tcBorders>
          </w:tcPr>
          <w:p w14:paraId="66548697" w14:textId="77777777" w:rsidR="00D52B01" w:rsidRPr="00D9152B" w:rsidRDefault="00D52B01" w:rsidP="00094131">
            <w:pPr>
              <w:rPr>
                <w:rFonts w:ascii="Calibri" w:hAnsi="Calibri" w:cs="Calibri"/>
                <w:b/>
                <w:sz w:val="18"/>
                <w:szCs w:val="18"/>
              </w:rPr>
            </w:pPr>
            <w:r w:rsidRPr="00D9152B">
              <w:rPr>
                <w:rFonts w:ascii="Calibri" w:hAnsi="Calibri" w:cs="Calibri"/>
                <w:b/>
                <w:sz w:val="18"/>
                <w:szCs w:val="18"/>
              </w:rPr>
              <w:t>Upjohn Company (United States)</w:t>
            </w:r>
          </w:p>
        </w:tc>
        <w:tc>
          <w:tcPr>
            <w:tcW w:w="2581" w:type="dxa"/>
            <w:tcBorders>
              <w:top w:val="single" w:sz="4" w:space="0" w:color="auto"/>
              <w:left w:val="single" w:sz="4" w:space="0" w:color="auto"/>
              <w:bottom w:val="single" w:sz="4" w:space="0" w:color="auto"/>
              <w:right w:val="single" w:sz="4" w:space="0" w:color="auto"/>
            </w:tcBorders>
          </w:tcPr>
          <w:p w14:paraId="53BC2A58" w14:textId="77777777" w:rsidR="00D52B01" w:rsidRPr="00D9152B" w:rsidRDefault="00D52B01" w:rsidP="0009413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Identified 45 classes of active compounds and narrowed to 5</w:t>
            </w:r>
          </w:p>
        </w:tc>
        <w:tc>
          <w:tcPr>
            <w:tcW w:w="3827" w:type="dxa"/>
            <w:tcBorders>
              <w:top w:val="single" w:sz="4" w:space="0" w:color="auto"/>
              <w:left w:val="single" w:sz="4" w:space="0" w:color="auto"/>
              <w:bottom w:val="single" w:sz="4" w:space="0" w:color="auto"/>
              <w:right w:val="single" w:sz="4" w:space="0" w:color="auto"/>
            </w:tcBorders>
          </w:tcPr>
          <w:p w14:paraId="74B1437D" w14:textId="155877C9" w:rsidR="00D52B01" w:rsidRPr="00D9152B" w:rsidRDefault="00D52B01" w:rsidP="0009413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No compounds had sufficient macrofilaricidal efficacy</w:t>
            </w:r>
            <w:r w:rsidR="000B70B0" w:rsidRPr="00D9152B">
              <w:rPr>
                <w:rFonts w:ascii="Calibri" w:hAnsi="Calibri" w:cs="Calibri"/>
                <w:sz w:val="18"/>
                <w:szCs w:val="18"/>
              </w:rPr>
              <w:t>.</w:t>
            </w:r>
          </w:p>
        </w:tc>
      </w:tr>
      <w:tr w:rsidR="00D52B01" w:rsidRPr="00D9152B" w14:paraId="40463634" w14:textId="77777777" w:rsidTr="00094131">
        <w:tc>
          <w:tcPr>
            <w:cnfStyle w:val="001000000000" w:firstRow="0" w:lastRow="0" w:firstColumn="1" w:lastColumn="0" w:oddVBand="0" w:evenVBand="0" w:oddHBand="0" w:evenHBand="0" w:firstRowFirstColumn="0" w:firstRowLastColumn="0" w:lastRowFirstColumn="0" w:lastRowLastColumn="0"/>
            <w:tcW w:w="2239" w:type="dxa"/>
            <w:tcBorders>
              <w:top w:val="single" w:sz="4" w:space="0" w:color="auto"/>
              <w:bottom w:val="single" w:sz="4" w:space="0" w:color="auto"/>
              <w:right w:val="single" w:sz="4" w:space="0" w:color="auto"/>
            </w:tcBorders>
          </w:tcPr>
          <w:p w14:paraId="23E9FB9D" w14:textId="77777777" w:rsidR="00D52B01" w:rsidRPr="00D9152B" w:rsidRDefault="00D52B01" w:rsidP="00094131">
            <w:pPr>
              <w:rPr>
                <w:rFonts w:ascii="Calibri" w:hAnsi="Calibri" w:cs="Calibri"/>
                <w:b/>
                <w:sz w:val="18"/>
                <w:szCs w:val="18"/>
              </w:rPr>
            </w:pPr>
            <w:r w:rsidRPr="00D9152B">
              <w:rPr>
                <w:rFonts w:ascii="Calibri" w:hAnsi="Calibri" w:cs="Calibri"/>
                <w:b/>
                <w:sz w:val="18"/>
                <w:szCs w:val="18"/>
              </w:rPr>
              <w:t>Clinical Research Centre (OCRC, Ghana)</w:t>
            </w:r>
          </w:p>
        </w:tc>
        <w:tc>
          <w:tcPr>
            <w:tcW w:w="2581" w:type="dxa"/>
            <w:tcBorders>
              <w:top w:val="single" w:sz="4" w:space="0" w:color="auto"/>
              <w:left w:val="single" w:sz="4" w:space="0" w:color="auto"/>
              <w:bottom w:val="single" w:sz="4" w:space="0" w:color="auto"/>
              <w:right w:val="single" w:sz="4" w:space="0" w:color="auto"/>
            </w:tcBorders>
          </w:tcPr>
          <w:p w14:paraId="62668801" w14:textId="77777777" w:rsidR="00D52B01" w:rsidRPr="00D9152B" w:rsidRDefault="00D52B01" w:rsidP="0009413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Performed clinical trials of CGP 6140; ivermectin; albendazole</w:t>
            </w:r>
          </w:p>
          <w:p w14:paraId="127C83A1" w14:textId="77777777" w:rsidR="00D52B01" w:rsidRPr="00D9152B" w:rsidRDefault="00D52B01" w:rsidP="00094131">
            <w:pPr>
              <w:cnfStyle w:val="000000000000" w:firstRow="0" w:lastRow="0" w:firstColumn="0" w:lastColumn="0" w:oddVBand="0" w:evenVBand="0" w:oddHBand="0" w:evenHBand="0" w:firstRowFirstColumn="0" w:firstRowLastColumn="0" w:lastRowFirstColumn="0" w:lastRowLastColumn="0"/>
              <w:rPr>
                <w:rFonts w:ascii="Calibri" w:hAnsi="Calibri" w:cs="Calibri"/>
                <w:b/>
                <w:sz w:val="18"/>
                <w:szCs w:val="18"/>
              </w:rPr>
            </w:pPr>
          </w:p>
        </w:tc>
        <w:tc>
          <w:tcPr>
            <w:tcW w:w="3827" w:type="dxa"/>
            <w:tcBorders>
              <w:top w:val="single" w:sz="4" w:space="0" w:color="auto"/>
              <w:left w:val="single" w:sz="4" w:space="0" w:color="auto"/>
              <w:bottom w:val="single" w:sz="4" w:space="0" w:color="auto"/>
              <w:right w:val="single" w:sz="4" w:space="0" w:color="auto"/>
            </w:tcBorders>
          </w:tcPr>
          <w:p w14:paraId="4DD2753B" w14:textId="1B1D253E" w:rsidR="00D52B01" w:rsidRPr="00D9152B" w:rsidRDefault="00D52B01" w:rsidP="0009413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 xml:space="preserve">Moved with support of Ghana Ministry of Health from Tamale to Hohoe in 1987 (to have enough onchocerciasis patients). </w:t>
            </w:r>
          </w:p>
          <w:p w14:paraId="482A706C" w14:textId="77777777" w:rsidR="000B70B0" w:rsidRPr="00D9152B" w:rsidRDefault="000B70B0" w:rsidP="0009413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p w14:paraId="1DE825B0" w14:textId="1F27C238" w:rsidR="00D52B01" w:rsidRPr="00D9152B" w:rsidRDefault="00D52B01" w:rsidP="0009413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Major location of field trials supported by OCT, incl</w:t>
            </w:r>
            <w:r w:rsidR="000B70B0" w:rsidRPr="00D9152B">
              <w:rPr>
                <w:rFonts w:ascii="Calibri" w:hAnsi="Calibri" w:cs="Calibri"/>
                <w:sz w:val="18"/>
                <w:szCs w:val="18"/>
              </w:rPr>
              <w:t>uding</w:t>
            </w:r>
            <w:r w:rsidRPr="00D9152B">
              <w:rPr>
                <w:rFonts w:ascii="Calibri" w:hAnsi="Calibri" w:cs="Calibri"/>
                <w:sz w:val="18"/>
                <w:szCs w:val="18"/>
              </w:rPr>
              <w:t xml:space="preserve"> ivermectin. </w:t>
            </w:r>
          </w:p>
          <w:p w14:paraId="53528FCC" w14:textId="77777777" w:rsidR="000B70B0" w:rsidRPr="00D9152B" w:rsidRDefault="000B70B0" w:rsidP="0009413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p w14:paraId="6DFA8ED3" w14:textId="77777777" w:rsidR="00D52B01" w:rsidRPr="00D9152B" w:rsidRDefault="00D52B01" w:rsidP="0009413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Financed initially by TDR and then OCP.</w:t>
            </w:r>
          </w:p>
        </w:tc>
      </w:tr>
      <w:tr w:rsidR="00D52B01" w:rsidRPr="00D9152B" w14:paraId="64650755" w14:textId="77777777" w:rsidTr="000941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9" w:type="dxa"/>
            <w:tcBorders>
              <w:top w:val="single" w:sz="4" w:space="0" w:color="auto"/>
              <w:bottom w:val="single" w:sz="4" w:space="0" w:color="auto"/>
              <w:right w:val="single" w:sz="4" w:space="0" w:color="auto"/>
            </w:tcBorders>
          </w:tcPr>
          <w:p w14:paraId="609A44FA" w14:textId="77777777" w:rsidR="00D52B01" w:rsidRPr="00D9152B" w:rsidRDefault="00D52B01" w:rsidP="00094131">
            <w:pPr>
              <w:rPr>
                <w:rFonts w:ascii="Calibri" w:hAnsi="Calibri" w:cs="Calibri"/>
                <w:b/>
                <w:sz w:val="18"/>
                <w:szCs w:val="18"/>
              </w:rPr>
            </w:pPr>
            <w:r w:rsidRPr="00D9152B">
              <w:rPr>
                <w:rFonts w:ascii="Calibri" w:hAnsi="Calibri" w:cs="Calibri"/>
                <w:b/>
                <w:sz w:val="18"/>
                <w:szCs w:val="18"/>
              </w:rPr>
              <w:t>Eli Lilly &amp; Company (United States)</w:t>
            </w:r>
          </w:p>
        </w:tc>
        <w:tc>
          <w:tcPr>
            <w:tcW w:w="2581" w:type="dxa"/>
            <w:tcBorders>
              <w:top w:val="single" w:sz="4" w:space="0" w:color="auto"/>
              <w:left w:val="single" w:sz="4" w:space="0" w:color="auto"/>
              <w:bottom w:val="single" w:sz="4" w:space="0" w:color="auto"/>
              <w:right w:val="single" w:sz="4" w:space="0" w:color="auto"/>
            </w:tcBorders>
          </w:tcPr>
          <w:p w14:paraId="19550DBA" w14:textId="77777777" w:rsidR="00D52B01" w:rsidRPr="00D9152B" w:rsidRDefault="00D52B01" w:rsidP="00094131">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r w:rsidRPr="00D9152B">
              <w:rPr>
                <w:rFonts w:ascii="Calibri" w:hAnsi="Calibri" w:cs="Calibri"/>
                <w:b/>
                <w:sz w:val="18"/>
                <w:szCs w:val="18"/>
              </w:rPr>
              <w:t xml:space="preserve">269017 </w:t>
            </w:r>
          </w:p>
        </w:tc>
        <w:tc>
          <w:tcPr>
            <w:tcW w:w="3827" w:type="dxa"/>
            <w:tcBorders>
              <w:top w:val="single" w:sz="4" w:space="0" w:color="auto"/>
              <w:left w:val="single" w:sz="4" w:space="0" w:color="auto"/>
              <w:bottom w:val="single" w:sz="4" w:space="0" w:color="auto"/>
              <w:right w:val="single" w:sz="4" w:space="0" w:color="auto"/>
            </w:tcBorders>
          </w:tcPr>
          <w:p w14:paraId="6EFC696A" w14:textId="03E1E653" w:rsidR="00D52B01" w:rsidRPr="00D9152B" w:rsidRDefault="00D52B01" w:rsidP="0009413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Terminated in 1996 due to toxicity in dogs and poor efficacy</w:t>
            </w:r>
            <w:r w:rsidR="000B70B0" w:rsidRPr="00D9152B">
              <w:rPr>
                <w:rFonts w:ascii="Calibri" w:hAnsi="Calibri" w:cs="Calibri"/>
                <w:sz w:val="18"/>
                <w:szCs w:val="18"/>
              </w:rPr>
              <w:t>.</w:t>
            </w:r>
          </w:p>
        </w:tc>
      </w:tr>
      <w:tr w:rsidR="00D52B01" w:rsidRPr="00D9152B" w14:paraId="50C7F5C3" w14:textId="77777777" w:rsidTr="00094131">
        <w:tc>
          <w:tcPr>
            <w:cnfStyle w:val="001000000000" w:firstRow="0" w:lastRow="0" w:firstColumn="1" w:lastColumn="0" w:oddVBand="0" w:evenVBand="0" w:oddHBand="0" w:evenHBand="0" w:firstRowFirstColumn="0" w:firstRowLastColumn="0" w:lastRowFirstColumn="0" w:lastRowLastColumn="0"/>
            <w:tcW w:w="2239" w:type="dxa"/>
            <w:tcBorders>
              <w:top w:val="single" w:sz="4" w:space="0" w:color="auto"/>
              <w:bottom w:val="single" w:sz="4" w:space="0" w:color="auto"/>
              <w:right w:val="single" w:sz="4" w:space="0" w:color="auto"/>
            </w:tcBorders>
          </w:tcPr>
          <w:p w14:paraId="12D74397" w14:textId="77777777" w:rsidR="00D52B01" w:rsidRPr="00D9152B" w:rsidRDefault="00D52B01" w:rsidP="00094131">
            <w:pPr>
              <w:rPr>
                <w:rFonts w:ascii="Calibri" w:hAnsi="Calibri" w:cs="Calibri"/>
                <w:b/>
                <w:sz w:val="18"/>
                <w:szCs w:val="18"/>
              </w:rPr>
            </w:pPr>
            <w:r w:rsidRPr="00D9152B">
              <w:rPr>
                <w:rFonts w:ascii="Calibri" w:hAnsi="Calibri" w:cs="Calibri"/>
                <w:b/>
                <w:sz w:val="18"/>
                <w:szCs w:val="18"/>
              </w:rPr>
              <w:t>Walter Reed Army Institute of Research (United States)</w:t>
            </w:r>
          </w:p>
        </w:tc>
        <w:tc>
          <w:tcPr>
            <w:tcW w:w="2581" w:type="dxa"/>
            <w:tcBorders>
              <w:top w:val="single" w:sz="4" w:space="0" w:color="auto"/>
              <w:left w:val="single" w:sz="4" w:space="0" w:color="auto"/>
              <w:bottom w:val="single" w:sz="4" w:space="0" w:color="auto"/>
              <w:right w:val="single" w:sz="4" w:space="0" w:color="auto"/>
            </w:tcBorders>
          </w:tcPr>
          <w:p w14:paraId="6748A70F" w14:textId="77777777" w:rsidR="00D52B01" w:rsidRPr="00D9152B" w:rsidRDefault="00D52B01" w:rsidP="00094131">
            <w:pPr>
              <w:cnfStyle w:val="000000000000" w:firstRow="0" w:lastRow="0" w:firstColumn="0" w:lastColumn="0" w:oddVBand="0" w:evenVBand="0" w:oddHBand="0" w:evenHBand="0" w:firstRowFirstColumn="0" w:firstRowLastColumn="0" w:lastRowFirstColumn="0" w:lastRowLastColumn="0"/>
              <w:rPr>
                <w:rFonts w:ascii="Calibri" w:hAnsi="Calibri" w:cs="Calibri"/>
                <w:b/>
                <w:sz w:val="18"/>
                <w:szCs w:val="18"/>
              </w:rPr>
            </w:pPr>
            <w:r w:rsidRPr="00D9152B">
              <w:rPr>
                <w:rFonts w:ascii="Calibri" w:hAnsi="Calibri" w:cs="Calibri"/>
                <w:b/>
                <w:sz w:val="18"/>
                <w:szCs w:val="18"/>
              </w:rPr>
              <w:t>WR 129577</w:t>
            </w:r>
          </w:p>
          <w:p w14:paraId="693DD4EC" w14:textId="77777777" w:rsidR="00D52B01" w:rsidRPr="00D9152B" w:rsidRDefault="00D52B01" w:rsidP="00094131">
            <w:pPr>
              <w:cnfStyle w:val="000000000000" w:firstRow="0" w:lastRow="0" w:firstColumn="0" w:lastColumn="0" w:oddVBand="0" w:evenVBand="0" w:oddHBand="0" w:evenHBand="0" w:firstRowFirstColumn="0" w:firstRowLastColumn="0" w:lastRowFirstColumn="0" w:lastRowLastColumn="0"/>
              <w:rPr>
                <w:rFonts w:ascii="Calibri" w:hAnsi="Calibri" w:cs="Calibri"/>
                <w:b/>
                <w:sz w:val="18"/>
                <w:szCs w:val="18"/>
              </w:rPr>
            </w:pPr>
          </w:p>
          <w:p w14:paraId="041E3FD9" w14:textId="77777777" w:rsidR="00D52B01" w:rsidRPr="00D9152B" w:rsidRDefault="00D52B01" w:rsidP="00094131">
            <w:pPr>
              <w:cnfStyle w:val="000000000000" w:firstRow="0" w:lastRow="0" w:firstColumn="0" w:lastColumn="0" w:oddVBand="0" w:evenVBand="0" w:oddHBand="0" w:evenHBand="0" w:firstRowFirstColumn="0" w:firstRowLastColumn="0" w:lastRowFirstColumn="0" w:lastRowLastColumn="0"/>
              <w:rPr>
                <w:rFonts w:ascii="Calibri" w:hAnsi="Calibri" w:cs="Calibri"/>
                <w:b/>
                <w:sz w:val="18"/>
                <w:szCs w:val="18"/>
              </w:rPr>
            </w:pPr>
          </w:p>
          <w:p w14:paraId="178420B5" w14:textId="77777777" w:rsidR="00D52B01" w:rsidRPr="00D9152B" w:rsidRDefault="00D52B01" w:rsidP="0009413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WR 251993</w:t>
            </w:r>
          </w:p>
        </w:tc>
        <w:tc>
          <w:tcPr>
            <w:tcW w:w="3827" w:type="dxa"/>
            <w:tcBorders>
              <w:top w:val="single" w:sz="4" w:space="0" w:color="auto"/>
              <w:left w:val="single" w:sz="4" w:space="0" w:color="auto"/>
              <w:bottom w:val="single" w:sz="4" w:space="0" w:color="auto"/>
              <w:right w:val="single" w:sz="4" w:space="0" w:color="auto"/>
            </w:tcBorders>
          </w:tcPr>
          <w:p w14:paraId="42E76E0F" w14:textId="0C4DAE1C" w:rsidR="00D52B01" w:rsidRPr="00D9152B" w:rsidRDefault="00D52B01" w:rsidP="0009413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Terminated in 1997 due to inactivity in cattle screen</w:t>
            </w:r>
            <w:r w:rsidR="000B70B0" w:rsidRPr="00D9152B">
              <w:rPr>
                <w:rFonts w:ascii="Calibri" w:hAnsi="Calibri" w:cs="Calibri"/>
                <w:sz w:val="18"/>
                <w:szCs w:val="18"/>
              </w:rPr>
              <w:t>.</w:t>
            </w:r>
          </w:p>
          <w:p w14:paraId="43761907" w14:textId="77777777" w:rsidR="00D52B01" w:rsidRPr="00D9152B" w:rsidRDefault="00D52B01" w:rsidP="0009413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p w14:paraId="24AB0ABF" w14:textId="21635A74" w:rsidR="00D52B01" w:rsidRPr="00D9152B" w:rsidRDefault="00D52B01" w:rsidP="0009413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Terminated c. 1997 due to inactivity in cattle screen</w:t>
            </w:r>
            <w:r w:rsidR="000B70B0" w:rsidRPr="00D9152B">
              <w:rPr>
                <w:rFonts w:ascii="Calibri" w:hAnsi="Calibri" w:cs="Calibri"/>
                <w:sz w:val="18"/>
                <w:szCs w:val="18"/>
              </w:rPr>
              <w:t>.</w:t>
            </w:r>
          </w:p>
        </w:tc>
      </w:tr>
      <w:tr w:rsidR="00D52B01" w:rsidRPr="00D9152B" w14:paraId="18C23A8E" w14:textId="77777777" w:rsidTr="000941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9" w:type="dxa"/>
            <w:tcBorders>
              <w:top w:val="single" w:sz="4" w:space="0" w:color="auto"/>
              <w:bottom w:val="single" w:sz="4" w:space="0" w:color="auto"/>
              <w:right w:val="single" w:sz="4" w:space="0" w:color="auto"/>
            </w:tcBorders>
          </w:tcPr>
          <w:p w14:paraId="222C1268" w14:textId="4956E41C" w:rsidR="00F11827" w:rsidRPr="00D9152B" w:rsidRDefault="00D52B01" w:rsidP="00F11827">
            <w:pPr>
              <w:rPr>
                <w:rFonts w:ascii="Calibri" w:hAnsi="Calibri" w:cs="Calibri"/>
                <w:b/>
                <w:i w:val="0"/>
                <w:iCs w:val="0"/>
                <w:sz w:val="18"/>
                <w:szCs w:val="18"/>
              </w:rPr>
            </w:pPr>
            <w:r w:rsidRPr="00D9152B">
              <w:rPr>
                <w:rFonts w:ascii="Calibri" w:hAnsi="Calibri" w:cs="Calibri"/>
                <w:b/>
                <w:sz w:val="18"/>
                <w:szCs w:val="18"/>
              </w:rPr>
              <w:t>Parke, Davis &amp; Company (United States)</w:t>
            </w:r>
          </w:p>
        </w:tc>
        <w:tc>
          <w:tcPr>
            <w:tcW w:w="2581" w:type="dxa"/>
            <w:tcBorders>
              <w:top w:val="single" w:sz="4" w:space="0" w:color="auto"/>
              <w:left w:val="single" w:sz="4" w:space="0" w:color="auto"/>
              <w:bottom w:val="single" w:sz="4" w:space="0" w:color="auto"/>
              <w:right w:val="single" w:sz="4" w:space="0" w:color="auto"/>
            </w:tcBorders>
          </w:tcPr>
          <w:p w14:paraId="0FCAEE16" w14:textId="3461108B" w:rsidR="00D52B01" w:rsidRPr="00D9152B" w:rsidRDefault="00D52B01" w:rsidP="0009413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PD 105666</w:t>
            </w:r>
          </w:p>
        </w:tc>
        <w:tc>
          <w:tcPr>
            <w:tcW w:w="3827" w:type="dxa"/>
            <w:tcBorders>
              <w:top w:val="single" w:sz="4" w:space="0" w:color="auto"/>
              <w:left w:val="single" w:sz="4" w:space="0" w:color="auto"/>
              <w:bottom w:val="single" w:sz="4" w:space="0" w:color="auto"/>
              <w:right w:val="single" w:sz="4" w:space="0" w:color="auto"/>
            </w:tcBorders>
          </w:tcPr>
          <w:p w14:paraId="771C6E59" w14:textId="7B91E9B5" w:rsidR="00D52B01" w:rsidRPr="00D9152B" w:rsidRDefault="00D52B01" w:rsidP="0009413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Terminated after 1997 (no data on reason)</w:t>
            </w:r>
            <w:r w:rsidR="000B70B0" w:rsidRPr="00D9152B">
              <w:rPr>
                <w:rFonts w:ascii="Calibri" w:hAnsi="Calibri" w:cs="Calibri"/>
                <w:sz w:val="18"/>
                <w:szCs w:val="18"/>
              </w:rPr>
              <w:t>.</w:t>
            </w:r>
          </w:p>
        </w:tc>
      </w:tr>
      <w:tr w:rsidR="00D52B01" w:rsidRPr="00D9152B" w14:paraId="4ADE5D97" w14:textId="77777777" w:rsidTr="00094131">
        <w:tc>
          <w:tcPr>
            <w:cnfStyle w:val="001000000000" w:firstRow="0" w:lastRow="0" w:firstColumn="1" w:lastColumn="0" w:oddVBand="0" w:evenVBand="0" w:oddHBand="0" w:evenHBand="0" w:firstRowFirstColumn="0" w:firstRowLastColumn="0" w:lastRowFirstColumn="0" w:lastRowLastColumn="0"/>
            <w:tcW w:w="2239" w:type="dxa"/>
            <w:tcBorders>
              <w:top w:val="single" w:sz="4" w:space="0" w:color="auto"/>
              <w:bottom w:val="single" w:sz="4" w:space="0" w:color="auto"/>
              <w:right w:val="single" w:sz="4" w:space="0" w:color="auto"/>
            </w:tcBorders>
          </w:tcPr>
          <w:p w14:paraId="6E4D148D" w14:textId="77777777" w:rsidR="00D52B01" w:rsidRPr="00D9152B" w:rsidRDefault="00D52B01" w:rsidP="00094131">
            <w:pPr>
              <w:rPr>
                <w:rFonts w:ascii="Calibri" w:hAnsi="Calibri" w:cs="Calibri"/>
                <w:b/>
                <w:sz w:val="18"/>
                <w:szCs w:val="18"/>
              </w:rPr>
            </w:pPr>
            <w:r w:rsidRPr="00D9152B">
              <w:rPr>
                <w:rFonts w:ascii="Calibri" w:hAnsi="Calibri" w:cs="Calibri"/>
                <w:b/>
                <w:sz w:val="18"/>
                <w:szCs w:val="18"/>
              </w:rPr>
              <w:lastRenderedPageBreak/>
              <w:t xml:space="preserve">Mobile team: Johns Hopkins University and University Hospitals of Cleveland </w:t>
            </w:r>
          </w:p>
          <w:p w14:paraId="1E1A638E" w14:textId="77777777" w:rsidR="00D52B01" w:rsidRPr="00D9152B" w:rsidRDefault="00D52B01" w:rsidP="00094131">
            <w:pPr>
              <w:rPr>
                <w:rFonts w:ascii="Calibri" w:hAnsi="Calibri" w:cs="Calibri"/>
                <w:b/>
                <w:sz w:val="18"/>
                <w:szCs w:val="18"/>
              </w:rPr>
            </w:pPr>
            <w:r w:rsidRPr="00D9152B">
              <w:rPr>
                <w:rFonts w:ascii="Calibri" w:hAnsi="Calibri" w:cs="Calibri"/>
                <w:b/>
                <w:sz w:val="18"/>
                <w:szCs w:val="18"/>
              </w:rPr>
              <w:t>(United States)</w:t>
            </w:r>
          </w:p>
        </w:tc>
        <w:tc>
          <w:tcPr>
            <w:tcW w:w="2581" w:type="dxa"/>
            <w:tcBorders>
              <w:top w:val="single" w:sz="4" w:space="0" w:color="auto"/>
              <w:left w:val="single" w:sz="4" w:space="0" w:color="auto"/>
              <w:bottom w:val="single" w:sz="4" w:space="0" w:color="auto"/>
              <w:right w:val="single" w:sz="4" w:space="0" w:color="auto"/>
            </w:tcBorders>
          </w:tcPr>
          <w:p w14:paraId="7569FBA6" w14:textId="1BC1DDA2" w:rsidR="00D52B01" w:rsidRPr="00D9152B" w:rsidRDefault="00D52B01" w:rsidP="0009413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Consortium of workers with ophthalmology experience, supported clinical trials (incl</w:t>
            </w:r>
            <w:r w:rsidR="000B70B0" w:rsidRPr="00D9152B">
              <w:rPr>
                <w:rFonts w:ascii="Calibri" w:hAnsi="Calibri" w:cs="Calibri"/>
                <w:sz w:val="18"/>
                <w:szCs w:val="18"/>
              </w:rPr>
              <w:t xml:space="preserve">uding </w:t>
            </w:r>
            <w:r w:rsidRPr="00D9152B">
              <w:rPr>
                <w:rFonts w:ascii="Calibri" w:hAnsi="Calibri" w:cs="Calibri"/>
                <w:sz w:val="18"/>
                <w:szCs w:val="18"/>
              </w:rPr>
              <w:t>ivermectin)</w:t>
            </w:r>
          </w:p>
        </w:tc>
        <w:tc>
          <w:tcPr>
            <w:tcW w:w="3827" w:type="dxa"/>
            <w:tcBorders>
              <w:top w:val="single" w:sz="4" w:space="0" w:color="auto"/>
              <w:left w:val="single" w:sz="4" w:space="0" w:color="auto"/>
              <w:bottom w:val="single" w:sz="4" w:space="0" w:color="auto"/>
              <w:right w:val="single" w:sz="4" w:space="0" w:color="auto"/>
            </w:tcBorders>
          </w:tcPr>
          <w:p w14:paraId="7DE810ED" w14:textId="27BFAF3B" w:rsidR="00D52B01" w:rsidRPr="00D9152B" w:rsidRDefault="00D52B01" w:rsidP="0009413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Terminated because it only worked in Liberia (original ‘mobile’ concept not fulfilled), had high costs, and had an ideological discrepancy with devolution</w:t>
            </w:r>
            <w:r w:rsidR="000B70B0" w:rsidRPr="00D9152B">
              <w:rPr>
                <w:rFonts w:ascii="Calibri" w:hAnsi="Calibri" w:cs="Calibri"/>
                <w:sz w:val="18"/>
                <w:szCs w:val="18"/>
              </w:rPr>
              <w:t>.</w:t>
            </w:r>
          </w:p>
        </w:tc>
      </w:tr>
      <w:tr w:rsidR="00D52B01" w:rsidRPr="00D9152B" w14:paraId="2E7C29D3" w14:textId="77777777" w:rsidTr="000941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9" w:type="dxa"/>
            <w:tcBorders>
              <w:top w:val="single" w:sz="4" w:space="0" w:color="auto"/>
              <w:bottom w:val="single" w:sz="4" w:space="0" w:color="auto"/>
              <w:right w:val="single" w:sz="4" w:space="0" w:color="auto"/>
            </w:tcBorders>
          </w:tcPr>
          <w:p w14:paraId="4FB94FAF" w14:textId="77777777" w:rsidR="00D52B01" w:rsidRPr="00D9152B" w:rsidRDefault="00D52B01" w:rsidP="00094131">
            <w:pPr>
              <w:rPr>
                <w:rFonts w:ascii="Calibri" w:hAnsi="Calibri" w:cs="Calibri"/>
                <w:b/>
                <w:sz w:val="18"/>
                <w:szCs w:val="18"/>
              </w:rPr>
            </w:pPr>
            <w:r w:rsidRPr="00D9152B">
              <w:rPr>
                <w:rFonts w:ascii="Calibri" w:hAnsi="Calibri" w:cs="Calibri"/>
                <w:b/>
                <w:sz w:val="18"/>
                <w:szCs w:val="18"/>
              </w:rPr>
              <w:t>University of Michigan (United States)</w:t>
            </w:r>
          </w:p>
        </w:tc>
        <w:tc>
          <w:tcPr>
            <w:tcW w:w="2581" w:type="dxa"/>
            <w:tcBorders>
              <w:top w:val="single" w:sz="4" w:space="0" w:color="auto"/>
              <w:left w:val="single" w:sz="4" w:space="0" w:color="auto"/>
              <w:bottom w:val="single" w:sz="4" w:space="0" w:color="auto"/>
              <w:right w:val="single" w:sz="4" w:space="0" w:color="auto"/>
            </w:tcBorders>
          </w:tcPr>
          <w:p w14:paraId="1332C0A6" w14:textId="77777777" w:rsidR="00D52B01" w:rsidRPr="00D9152B" w:rsidRDefault="00D52B01" w:rsidP="00094131">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r w:rsidRPr="00D9152B">
              <w:rPr>
                <w:rFonts w:ascii="Calibri" w:hAnsi="Calibri" w:cs="Calibri"/>
                <w:b/>
                <w:sz w:val="18"/>
                <w:szCs w:val="18"/>
              </w:rPr>
              <w:t xml:space="preserve">UMF 78 (Benzimidazole) </w:t>
            </w:r>
          </w:p>
          <w:p w14:paraId="1D154C24" w14:textId="77777777" w:rsidR="00D52B01" w:rsidRPr="00D9152B" w:rsidRDefault="00D52B01" w:rsidP="00094131">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w:p>
        </w:tc>
        <w:tc>
          <w:tcPr>
            <w:tcW w:w="3827" w:type="dxa"/>
            <w:tcBorders>
              <w:top w:val="single" w:sz="4" w:space="0" w:color="auto"/>
              <w:left w:val="single" w:sz="4" w:space="0" w:color="auto"/>
              <w:bottom w:val="single" w:sz="4" w:space="0" w:color="auto"/>
              <w:right w:val="single" w:sz="4" w:space="0" w:color="auto"/>
            </w:tcBorders>
          </w:tcPr>
          <w:p w14:paraId="5516BE85" w14:textId="77605682" w:rsidR="00D52B01" w:rsidRPr="00D9152B" w:rsidRDefault="00D52B01" w:rsidP="0009413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 xml:space="preserve">Tested in rats and cattle in mid-1990s. </w:t>
            </w:r>
          </w:p>
          <w:p w14:paraId="45E39E14" w14:textId="77777777" w:rsidR="000B70B0" w:rsidRPr="00D9152B" w:rsidRDefault="000B70B0" w:rsidP="0009413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p>
          <w:p w14:paraId="6497CC0E" w14:textId="483451FD" w:rsidR="00D52B01" w:rsidRPr="00D9152B" w:rsidRDefault="00D52B01" w:rsidP="0009413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Terminated in late 1990s due to issues with application (intra-muscular) and efficacy</w:t>
            </w:r>
            <w:r w:rsidR="000B70B0" w:rsidRPr="00D9152B">
              <w:rPr>
                <w:rFonts w:ascii="Calibri" w:hAnsi="Calibri" w:cs="Calibri"/>
                <w:sz w:val="18"/>
                <w:szCs w:val="18"/>
              </w:rPr>
              <w:t>.</w:t>
            </w:r>
          </w:p>
        </w:tc>
      </w:tr>
      <w:tr w:rsidR="00D52B01" w:rsidRPr="00D9152B" w14:paraId="554BDEA8" w14:textId="77777777" w:rsidTr="00094131">
        <w:tc>
          <w:tcPr>
            <w:cnfStyle w:val="001000000000" w:firstRow="0" w:lastRow="0" w:firstColumn="1" w:lastColumn="0" w:oddVBand="0" w:evenVBand="0" w:oddHBand="0" w:evenHBand="0" w:firstRowFirstColumn="0" w:firstRowLastColumn="0" w:lastRowFirstColumn="0" w:lastRowLastColumn="0"/>
            <w:tcW w:w="2239" w:type="dxa"/>
            <w:tcBorders>
              <w:top w:val="single" w:sz="4" w:space="0" w:color="auto"/>
              <w:right w:val="single" w:sz="4" w:space="0" w:color="auto"/>
            </w:tcBorders>
          </w:tcPr>
          <w:p w14:paraId="6C5D5D57" w14:textId="77777777" w:rsidR="00D52B01" w:rsidRPr="00D9152B" w:rsidRDefault="00D52B01" w:rsidP="00094131">
            <w:pPr>
              <w:rPr>
                <w:rFonts w:ascii="Calibri" w:hAnsi="Calibri" w:cs="Calibri"/>
                <w:b/>
                <w:sz w:val="18"/>
                <w:szCs w:val="18"/>
              </w:rPr>
            </w:pPr>
            <w:r w:rsidRPr="00D9152B">
              <w:rPr>
                <w:rFonts w:ascii="Calibri" w:hAnsi="Calibri" w:cs="Calibri"/>
                <w:b/>
                <w:sz w:val="18"/>
                <w:szCs w:val="18"/>
              </w:rPr>
              <w:t>Merck &amp; Co.</w:t>
            </w:r>
          </w:p>
        </w:tc>
        <w:tc>
          <w:tcPr>
            <w:tcW w:w="2581" w:type="dxa"/>
            <w:tcBorders>
              <w:top w:val="single" w:sz="4" w:space="0" w:color="auto"/>
              <w:left w:val="single" w:sz="4" w:space="0" w:color="auto"/>
              <w:bottom w:val="single" w:sz="4" w:space="0" w:color="auto"/>
              <w:right w:val="single" w:sz="4" w:space="0" w:color="auto"/>
            </w:tcBorders>
          </w:tcPr>
          <w:p w14:paraId="54D2BCB4" w14:textId="77777777" w:rsidR="00D52B01" w:rsidRPr="00D9152B" w:rsidRDefault="00D52B01" w:rsidP="00094131">
            <w:pPr>
              <w:cnfStyle w:val="000000000000" w:firstRow="0" w:lastRow="0" w:firstColumn="0" w:lastColumn="0" w:oddVBand="0" w:evenVBand="0" w:oddHBand="0" w:evenHBand="0" w:firstRowFirstColumn="0" w:firstRowLastColumn="0" w:lastRowFirstColumn="0" w:lastRowLastColumn="0"/>
              <w:rPr>
                <w:rFonts w:ascii="Calibri" w:hAnsi="Calibri" w:cs="Calibri"/>
                <w:b/>
                <w:sz w:val="18"/>
                <w:szCs w:val="18"/>
              </w:rPr>
            </w:pPr>
            <w:r w:rsidRPr="00D9152B">
              <w:rPr>
                <w:rFonts w:ascii="Calibri" w:hAnsi="Calibri" w:cs="Calibri"/>
                <w:b/>
                <w:sz w:val="18"/>
                <w:szCs w:val="18"/>
              </w:rPr>
              <w:t>Ivermectin (Mectizan)</w:t>
            </w:r>
          </w:p>
        </w:tc>
        <w:tc>
          <w:tcPr>
            <w:tcW w:w="3827" w:type="dxa"/>
            <w:tcBorders>
              <w:top w:val="single" w:sz="4" w:space="0" w:color="auto"/>
              <w:left w:val="single" w:sz="4" w:space="0" w:color="auto"/>
              <w:bottom w:val="single" w:sz="4" w:space="0" w:color="auto"/>
              <w:right w:val="single" w:sz="4" w:space="0" w:color="auto"/>
            </w:tcBorders>
          </w:tcPr>
          <w:p w14:paraId="42E64485" w14:textId="77777777" w:rsidR="00D52B01" w:rsidRPr="00D9152B" w:rsidRDefault="00D52B01" w:rsidP="0009413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Registered for field use in 1987.</w:t>
            </w:r>
          </w:p>
          <w:p w14:paraId="339E2706" w14:textId="1A3A1FE5" w:rsidR="000B70B0" w:rsidRPr="00D9152B" w:rsidRDefault="000B70B0" w:rsidP="0009413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tc>
      </w:tr>
    </w:tbl>
    <w:p w14:paraId="14E18583" w14:textId="77777777" w:rsidR="00EA1EE9" w:rsidRPr="00D9152B" w:rsidRDefault="00EA1EE9" w:rsidP="00D52B01">
      <w:pPr>
        <w:jc w:val="both"/>
        <w:rPr>
          <w:rFonts w:ascii="Calibri" w:hAnsi="Calibri" w:cs="Calibri"/>
          <w:color w:val="7F7F7F" w:themeColor="text1" w:themeTint="80"/>
        </w:rPr>
      </w:pPr>
    </w:p>
    <w:p w14:paraId="394B84D7" w14:textId="469D0459" w:rsidR="00D52B01" w:rsidRPr="00D9152B" w:rsidRDefault="00CC1A24" w:rsidP="00D52B01">
      <w:pPr>
        <w:jc w:val="both"/>
        <w:rPr>
          <w:rFonts w:ascii="Calibri" w:hAnsi="Calibri" w:cs="Calibri"/>
          <w:color w:val="7F7F7F" w:themeColor="text1" w:themeTint="80"/>
          <w:sz w:val="22"/>
          <w:szCs w:val="22"/>
        </w:rPr>
      </w:pPr>
      <w:r w:rsidRPr="00D9152B">
        <w:rPr>
          <w:rFonts w:ascii="Calibri" w:hAnsi="Calibri" w:cs="Calibri"/>
          <w:color w:val="7F7F7F" w:themeColor="text1" w:themeTint="80"/>
          <w:sz w:val="22"/>
          <w:szCs w:val="22"/>
        </w:rPr>
        <w:t xml:space="preserve">Table </w:t>
      </w:r>
      <w:r w:rsidR="00FA6009">
        <w:rPr>
          <w:rFonts w:ascii="Calibri" w:hAnsi="Calibri" w:cs="Calibri"/>
          <w:color w:val="7F7F7F" w:themeColor="text1" w:themeTint="80"/>
          <w:sz w:val="22"/>
          <w:szCs w:val="22"/>
        </w:rPr>
        <w:t>7.</w:t>
      </w:r>
      <w:r w:rsidRPr="00D9152B">
        <w:rPr>
          <w:rFonts w:ascii="Calibri" w:hAnsi="Calibri" w:cs="Calibri"/>
          <w:color w:val="7F7F7F" w:themeColor="text1" w:themeTint="80"/>
          <w:sz w:val="22"/>
          <w:szCs w:val="22"/>
        </w:rPr>
        <w:t>2</w:t>
      </w:r>
      <w:r w:rsidR="00D52B01" w:rsidRPr="00D9152B">
        <w:rPr>
          <w:rFonts w:ascii="Calibri" w:hAnsi="Calibri" w:cs="Calibri"/>
          <w:color w:val="7F7F7F" w:themeColor="text1" w:themeTint="80"/>
          <w:sz w:val="22"/>
          <w:szCs w:val="22"/>
        </w:rPr>
        <w:t>. Examples of major OCT research/industrial collaborators and their drug candidates (1982-1997).</w:t>
      </w:r>
      <w:r w:rsidR="00D52B01" w:rsidRPr="00D9152B">
        <w:rPr>
          <w:rStyle w:val="FootnoteReference"/>
          <w:rFonts w:ascii="Calibri" w:hAnsi="Calibri" w:cs="Calibri"/>
          <w:color w:val="7F7F7F" w:themeColor="text1" w:themeTint="80"/>
          <w:sz w:val="22"/>
          <w:szCs w:val="22"/>
        </w:rPr>
        <w:footnoteReference w:id="738"/>
      </w:r>
    </w:p>
    <w:p w14:paraId="0376B45E" w14:textId="324CF0FC" w:rsidR="00F42AF0" w:rsidRDefault="00F42AF0" w:rsidP="00D52B01">
      <w:pPr>
        <w:jc w:val="both"/>
        <w:rPr>
          <w:rFonts w:ascii="Calibri" w:hAnsi="Calibri" w:cs="Calibri"/>
          <w:color w:val="7F7F7F" w:themeColor="text1" w:themeTint="80"/>
        </w:rPr>
      </w:pPr>
    </w:p>
    <w:p w14:paraId="4CC5C6A4" w14:textId="77777777" w:rsidR="006E0F7B" w:rsidRPr="00D9152B" w:rsidRDefault="006E0F7B" w:rsidP="00D52B01">
      <w:pPr>
        <w:jc w:val="both"/>
        <w:rPr>
          <w:rFonts w:ascii="Calibri" w:hAnsi="Calibri" w:cs="Calibri"/>
          <w:color w:val="7F7F7F" w:themeColor="text1" w:themeTint="80"/>
        </w:rPr>
      </w:pPr>
    </w:p>
    <w:p w14:paraId="0B8A3E9B" w14:textId="4DE8A6B3" w:rsidR="00F42AF0" w:rsidRPr="00D9152B" w:rsidRDefault="00076FC2" w:rsidP="00656BE2">
      <w:pPr>
        <w:pStyle w:val="Heading2"/>
        <w:rPr>
          <w:rFonts w:ascii="Calibri" w:hAnsi="Calibri" w:cs="Calibri"/>
          <w:b/>
          <w:color w:val="000000" w:themeColor="text1"/>
          <w:sz w:val="26"/>
          <w:szCs w:val="26"/>
        </w:rPr>
      </w:pPr>
      <w:bookmarkStart w:id="128" w:name="_Toc41505687"/>
      <w:bookmarkStart w:id="129" w:name="_Toc6939095"/>
      <w:r w:rsidRPr="00D9152B">
        <w:rPr>
          <w:rFonts w:ascii="Calibri" w:hAnsi="Calibri" w:cs="Calibri"/>
          <w:b/>
          <w:color w:val="000000" w:themeColor="text1"/>
          <w:sz w:val="26"/>
          <w:szCs w:val="26"/>
        </w:rPr>
        <w:t>7.</w:t>
      </w:r>
      <w:r w:rsidR="00677774" w:rsidRPr="00D9152B">
        <w:rPr>
          <w:rFonts w:ascii="Calibri" w:hAnsi="Calibri" w:cs="Calibri"/>
          <w:b/>
          <w:color w:val="000000" w:themeColor="text1"/>
          <w:sz w:val="26"/>
          <w:szCs w:val="26"/>
        </w:rPr>
        <w:t>5</w:t>
      </w:r>
      <w:r w:rsidR="00F42AF0" w:rsidRPr="00D9152B">
        <w:rPr>
          <w:rFonts w:ascii="Calibri" w:hAnsi="Calibri" w:cs="Calibri"/>
          <w:b/>
          <w:color w:val="000000" w:themeColor="text1"/>
          <w:sz w:val="26"/>
          <w:szCs w:val="26"/>
        </w:rPr>
        <w:t xml:space="preserve">. Merck </w:t>
      </w:r>
      <w:r w:rsidR="00DE245C" w:rsidRPr="00D9152B">
        <w:rPr>
          <w:rFonts w:ascii="Calibri" w:hAnsi="Calibri" w:cs="Calibri"/>
          <w:b/>
          <w:color w:val="000000" w:themeColor="text1"/>
          <w:sz w:val="26"/>
          <w:szCs w:val="26"/>
        </w:rPr>
        <w:t>&amp;</w:t>
      </w:r>
      <w:r w:rsidR="00F42AF0" w:rsidRPr="00D9152B">
        <w:rPr>
          <w:rFonts w:ascii="Calibri" w:hAnsi="Calibri" w:cs="Calibri"/>
          <w:b/>
          <w:color w:val="000000" w:themeColor="text1"/>
          <w:sz w:val="26"/>
          <w:szCs w:val="26"/>
        </w:rPr>
        <w:t xml:space="preserve"> the development of ivermectin</w:t>
      </w:r>
      <w:bookmarkEnd w:id="128"/>
    </w:p>
    <w:bookmarkEnd w:id="129"/>
    <w:p w14:paraId="70A648AB" w14:textId="7CBEEF9F" w:rsidR="00AC7848" w:rsidRPr="00D9152B" w:rsidRDefault="00AC7848" w:rsidP="006B543F">
      <w:pPr>
        <w:spacing w:before="100" w:beforeAutospacing="1" w:after="100" w:afterAutospacing="1" w:line="360" w:lineRule="auto"/>
        <w:rPr>
          <w:rFonts w:ascii="Calibri" w:hAnsi="Calibri" w:cs="Calibri"/>
          <w:sz w:val="22"/>
          <w:szCs w:val="22"/>
        </w:rPr>
      </w:pPr>
      <w:r w:rsidRPr="00D9152B">
        <w:rPr>
          <w:rFonts w:ascii="Calibri" w:hAnsi="Calibri" w:cs="Calibri"/>
        </w:rPr>
        <w:tab/>
      </w:r>
      <w:r w:rsidRPr="00D9152B">
        <w:rPr>
          <w:rFonts w:ascii="Calibri" w:hAnsi="Calibri" w:cs="Calibri"/>
          <w:sz w:val="22"/>
          <w:szCs w:val="22"/>
        </w:rPr>
        <w:t>Considering that it was not the macrofilaricide so highly sought by the OCT, ivermectin has reached lege</w:t>
      </w:r>
      <w:r w:rsidR="00F42AF0" w:rsidRPr="00D9152B">
        <w:rPr>
          <w:rFonts w:ascii="Calibri" w:hAnsi="Calibri" w:cs="Calibri"/>
          <w:sz w:val="22"/>
          <w:szCs w:val="22"/>
        </w:rPr>
        <w:t xml:space="preserve">ndary status in global health. </w:t>
      </w:r>
      <w:r w:rsidR="004D1818" w:rsidRPr="00D9152B">
        <w:rPr>
          <w:rFonts w:ascii="Calibri" w:hAnsi="Calibri" w:cs="Calibri"/>
          <w:sz w:val="22"/>
          <w:szCs w:val="22"/>
        </w:rPr>
        <w:t>In what ways</w:t>
      </w:r>
      <w:r w:rsidR="00F42AF0" w:rsidRPr="00D9152B">
        <w:rPr>
          <w:rFonts w:ascii="Calibri" w:hAnsi="Calibri" w:cs="Calibri"/>
          <w:sz w:val="22"/>
          <w:szCs w:val="22"/>
        </w:rPr>
        <w:t xml:space="preserve"> did the OCT contribute to ivermectin’s development as an onchocerciasis control drug? Does the OCT offer a model for how to encourage investment in NTD drug research? This section considers to what extent the OCT’s structure and legal protections incentivized Merck’s production and later delivery of ivermectin. </w:t>
      </w:r>
    </w:p>
    <w:p w14:paraId="43FBB068" w14:textId="0397727A" w:rsidR="004D1818" w:rsidRPr="00D9152B" w:rsidRDefault="00076FC2" w:rsidP="00656BE2">
      <w:pPr>
        <w:pStyle w:val="Heading3"/>
        <w:rPr>
          <w:rFonts w:ascii="Calibri" w:hAnsi="Calibri" w:cs="Calibri"/>
          <w:b/>
          <w:i/>
          <w:color w:val="000000" w:themeColor="text1"/>
          <w:sz w:val="22"/>
          <w:szCs w:val="22"/>
        </w:rPr>
      </w:pPr>
      <w:bookmarkStart w:id="130" w:name="_Toc41505688"/>
      <w:r w:rsidRPr="00D9152B">
        <w:rPr>
          <w:rFonts w:ascii="Calibri" w:hAnsi="Calibri" w:cs="Calibri"/>
          <w:b/>
          <w:i/>
          <w:color w:val="000000" w:themeColor="text1"/>
          <w:sz w:val="22"/>
          <w:szCs w:val="22"/>
        </w:rPr>
        <w:t>7.</w:t>
      </w:r>
      <w:r w:rsidR="00677774" w:rsidRPr="00D9152B">
        <w:rPr>
          <w:rFonts w:ascii="Calibri" w:hAnsi="Calibri" w:cs="Calibri"/>
          <w:b/>
          <w:i/>
          <w:color w:val="000000" w:themeColor="text1"/>
          <w:sz w:val="22"/>
          <w:szCs w:val="22"/>
        </w:rPr>
        <w:t>5</w:t>
      </w:r>
      <w:r w:rsidRPr="00D9152B">
        <w:rPr>
          <w:rFonts w:ascii="Calibri" w:hAnsi="Calibri" w:cs="Calibri"/>
          <w:b/>
          <w:i/>
          <w:color w:val="000000" w:themeColor="text1"/>
          <w:sz w:val="22"/>
          <w:szCs w:val="22"/>
        </w:rPr>
        <w:t xml:space="preserve">.A. </w:t>
      </w:r>
      <w:r w:rsidR="004D1818" w:rsidRPr="00D9152B">
        <w:rPr>
          <w:rFonts w:ascii="Calibri" w:hAnsi="Calibri" w:cs="Calibri"/>
          <w:b/>
          <w:i/>
          <w:color w:val="000000" w:themeColor="text1"/>
          <w:sz w:val="22"/>
          <w:szCs w:val="22"/>
        </w:rPr>
        <w:t>Mixed interest in ivermectin and ad-hoc collaborations with Merck (1978-1985)</w:t>
      </w:r>
      <w:bookmarkEnd w:id="130"/>
    </w:p>
    <w:p w14:paraId="363EC94C" w14:textId="347F06CC" w:rsidR="00AC7848" w:rsidRPr="00D9152B" w:rsidRDefault="00AC7848" w:rsidP="006B543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OCT was initially lukewarm about ivermectin because it was not a </w:t>
      </w:r>
      <w:r w:rsidR="00FA6009">
        <w:rPr>
          <w:rFonts w:ascii="Calibri" w:hAnsi="Calibri" w:cs="Calibri"/>
          <w:sz w:val="22"/>
          <w:szCs w:val="22"/>
        </w:rPr>
        <w:t>macrofilaricide</w:t>
      </w:r>
      <w:r w:rsidR="00535A01" w:rsidRPr="00D9152B">
        <w:rPr>
          <w:rFonts w:ascii="Calibri" w:hAnsi="Calibri" w:cs="Calibri"/>
          <w:sz w:val="22"/>
          <w:szCs w:val="22"/>
        </w:rPr>
        <w:t>, and would therefore have to be delivered and administered for many years to prevent disease symptoms and halt transmission</w:t>
      </w:r>
      <w:r w:rsidRPr="00D9152B">
        <w:rPr>
          <w:rFonts w:ascii="Calibri" w:hAnsi="Calibri" w:cs="Calibri"/>
          <w:sz w:val="22"/>
          <w:szCs w:val="22"/>
        </w:rPr>
        <w:t>. Merck submitted ivermectin to the OCT’s cattle screening programme in 1978, but the WHO did not provide financing for Merck’s initial human trials in Dakar and Paris in 1981-1982.</w:t>
      </w:r>
      <w:r w:rsidRPr="00D9152B">
        <w:rPr>
          <w:rStyle w:val="FootnoteReference"/>
          <w:rFonts w:ascii="Calibri" w:hAnsi="Calibri" w:cs="Calibri"/>
          <w:sz w:val="22"/>
          <w:szCs w:val="22"/>
        </w:rPr>
        <w:footnoteReference w:id="739"/>
      </w:r>
      <w:r w:rsidRPr="00D9152B">
        <w:rPr>
          <w:rFonts w:ascii="Calibri" w:hAnsi="Calibri" w:cs="Calibri"/>
          <w:sz w:val="22"/>
          <w:szCs w:val="22"/>
        </w:rPr>
        <w:t xml:space="preserve"> When Merck published positive trial results in </w:t>
      </w:r>
      <w:r w:rsidRPr="00D9152B">
        <w:rPr>
          <w:rFonts w:ascii="Calibri" w:hAnsi="Calibri" w:cs="Calibri"/>
          <w:i/>
          <w:sz w:val="22"/>
          <w:szCs w:val="22"/>
        </w:rPr>
        <w:t>The Lancet</w:t>
      </w:r>
      <w:r w:rsidRPr="00D9152B">
        <w:rPr>
          <w:rFonts w:ascii="Calibri" w:hAnsi="Calibri" w:cs="Calibri"/>
          <w:sz w:val="22"/>
          <w:szCs w:val="22"/>
        </w:rPr>
        <w:t xml:space="preserve"> with large publicity, the Bank and WHO reacted with </w:t>
      </w:r>
      <w:r w:rsidRPr="00D9152B">
        <w:rPr>
          <w:rFonts w:ascii="Calibri" w:hAnsi="Calibri" w:cs="Calibri"/>
          <w:sz w:val="22"/>
          <w:szCs w:val="22"/>
        </w:rPr>
        <w:lastRenderedPageBreak/>
        <w:t>excitement and concern in equal measure. The Bank’s Andr</w:t>
      </w:r>
      <w:r w:rsidR="00C117AE" w:rsidRPr="00D9152B">
        <w:rPr>
          <w:rFonts w:ascii="Calibri" w:hAnsi="Calibri" w:cs="Calibri"/>
          <w:sz w:val="22"/>
          <w:szCs w:val="22"/>
        </w:rPr>
        <w:t>é</w:t>
      </w:r>
      <w:r w:rsidRPr="00D9152B">
        <w:rPr>
          <w:rFonts w:ascii="Calibri" w:hAnsi="Calibri" w:cs="Calibri"/>
          <w:sz w:val="22"/>
          <w:szCs w:val="22"/>
        </w:rPr>
        <w:t xml:space="preserve"> Prost, for instance, wrote that ‘There are no miracles in health except in Lourds or Fatima’. He was concerned about endemic area applicability of the study, since </w:t>
      </w:r>
      <w:r w:rsidR="00535A01" w:rsidRPr="00D9152B">
        <w:rPr>
          <w:rFonts w:ascii="Calibri" w:hAnsi="Calibri" w:cs="Calibri"/>
          <w:sz w:val="22"/>
          <w:szCs w:val="22"/>
        </w:rPr>
        <w:t>the study</w:t>
      </w:r>
      <w:r w:rsidRPr="00D9152B">
        <w:rPr>
          <w:rFonts w:ascii="Calibri" w:hAnsi="Calibri" w:cs="Calibri"/>
          <w:sz w:val="22"/>
          <w:szCs w:val="22"/>
        </w:rPr>
        <w:t xml:space="preserve"> was</w:t>
      </w:r>
      <w:r w:rsidR="00535A01" w:rsidRPr="00D9152B">
        <w:rPr>
          <w:rFonts w:ascii="Calibri" w:hAnsi="Calibri" w:cs="Calibri"/>
          <w:sz w:val="22"/>
          <w:szCs w:val="22"/>
        </w:rPr>
        <w:t xml:space="preserve"> conducted</w:t>
      </w:r>
      <w:r w:rsidRPr="00D9152B">
        <w:rPr>
          <w:rFonts w:ascii="Calibri" w:hAnsi="Calibri" w:cs="Calibri"/>
          <w:sz w:val="22"/>
          <w:szCs w:val="22"/>
        </w:rPr>
        <w:t xml:space="preserve"> in people with a very low level of onchocerciasis infection, but was excited that </w:t>
      </w:r>
      <w:r w:rsidR="00535A01" w:rsidRPr="00D9152B">
        <w:rPr>
          <w:rFonts w:ascii="Calibri" w:hAnsi="Calibri" w:cs="Calibri"/>
          <w:sz w:val="22"/>
          <w:szCs w:val="22"/>
        </w:rPr>
        <w:t>ivermectin</w:t>
      </w:r>
      <w:r w:rsidRPr="00D9152B">
        <w:rPr>
          <w:rFonts w:ascii="Calibri" w:hAnsi="Calibri" w:cs="Calibri"/>
          <w:sz w:val="22"/>
          <w:szCs w:val="22"/>
        </w:rPr>
        <w:t xml:space="preserve"> could be administ</w:t>
      </w:r>
      <w:r w:rsidR="004D1818" w:rsidRPr="00D9152B">
        <w:rPr>
          <w:rFonts w:ascii="Calibri" w:hAnsi="Calibri" w:cs="Calibri"/>
          <w:sz w:val="22"/>
          <w:szCs w:val="22"/>
        </w:rPr>
        <w:t>ered in a single dose</w:t>
      </w:r>
      <w:r w:rsidR="00535A01" w:rsidRPr="00D9152B">
        <w:rPr>
          <w:rFonts w:ascii="Calibri" w:hAnsi="Calibri" w:cs="Calibri"/>
          <w:sz w:val="22"/>
          <w:szCs w:val="22"/>
        </w:rPr>
        <w:t xml:space="preserve"> one to two times a year</w:t>
      </w:r>
      <w:r w:rsidRPr="00D9152B">
        <w:rPr>
          <w:rFonts w:ascii="Calibri" w:hAnsi="Calibri" w:cs="Calibri"/>
          <w:sz w:val="22"/>
          <w:szCs w:val="22"/>
        </w:rPr>
        <w:t>.</w:t>
      </w:r>
      <w:r w:rsidRPr="00D9152B">
        <w:rPr>
          <w:rStyle w:val="FootnoteReference"/>
          <w:rFonts w:ascii="Calibri" w:hAnsi="Calibri" w:cs="Calibri"/>
          <w:sz w:val="22"/>
          <w:szCs w:val="22"/>
        </w:rPr>
        <w:footnoteReference w:id="740"/>
      </w:r>
      <w:r w:rsidRPr="00D9152B">
        <w:rPr>
          <w:rFonts w:ascii="Calibri" w:hAnsi="Calibri" w:cs="Calibri"/>
          <w:sz w:val="22"/>
          <w:szCs w:val="22"/>
        </w:rPr>
        <w:t xml:space="preserve"> A Liverpool School of Tropical Medicine scie</w:t>
      </w:r>
      <w:r w:rsidR="00C117AE" w:rsidRPr="00D9152B">
        <w:rPr>
          <w:rFonts w:ascii="Calibri" w:hAnsi="Calibri" w:cs="Calibri"/>
          <w:sz w:val="22"/>
          <w:szCs w:val="22"/>
        </w:rPr>
        <w:t>ntist similarly wrote to TDR’s Filariasis C</w:t>
      </w:r>
      <w:r w:rsidRPr="00D9152B">
        <w:rPr>
          <w:rFonts w:ascii="Calibri" w:hAnsi="Calibri" w:cs="Calibri"/>
          <w:sz w:val="22"/>
          <w:szCs w:val="22"/>
        </w:rPr>
        <w:t>hief</w:t>
      </w:r>
      <w:r w:rsidR="00C117AE" w:rsidRPr="00D9152B">
        <w:rPr>
          <w:rFonts w:ascii="Calibri" w:hAnsi="Calibri" w:cs="Calibri"/>
          <w:sz w:val="22"/>
          <w:szCs w:val="22"/>
        </w:rPr>
        <w:t xml:space="preserve"> (and OCT Secretary), Brian O.L. Duke,</w:t>
      </w:r>
      <w:r w:rsidRPr="00D9152B">
        <w:rPr>
          <w:rFonts w:ascii="Calibri" w:hAnsi="Calibri" w:cs="Calibri"/>
          <w:sz w:val="22"/>
          <w:szCs w:val="22"/>
        </w:rPr>
        <w:t xml:space="preserve"> that Merck’s paper ‘has caused quite a furore here in the USA’. The scientist who was advising Merck on the ivermectin human trials had apparently not been consulted on the ethics of the trial, and ‘he was very angry’ about this because of ivermectin’s neurotoxic effects in animal trials. In spite of these concerns, the Liverpool scientist had ‘no doubt that this is one of the most exciting developments in chemotherapy’.</w:t>
      </w:r>
      <w:r w:rsidRPr="00D9152B">
        <w:rPr>
          <w:rStyle w:val="FootnoteReference"/>
          <w:rFonts w:ascii="Calibri" w:hAnsi="Calibri" w:cs="Calibri"/>
          <w:sz w:val="22"/>
          <w:szCs w:val="22"/>
        </w:rPr>
        <w:footnoteReference w:id="741"/>
      </w:r>
      <w:r w:rsidRPr="00D9152B">
        <w:rPr>
          <w:rFonts w:ascii="Calibri" w:hAnsi="Calibri" w:cs="Calibri"/>
          <w:sz w:val="22"/>
          <w:szCs w:val="22"/>
        </w:rPr>
        <w:t xml:space="preserve"> Other researchers affiliated with the OCT wrote to the WHO that they worried about Merck’s ‘cavalier in their disregard of possible toxic effects of ivermectin’,</w:t>
      </w:r>
      <w:r w:rsidRPr="00D9152B">
        <w:rPr>
          <w:rStyle w:val="FootnoteReference"/>
          <w:rFonts w:ascii="Calibri" w:hAnsi="Calibri" w:cs="Calibri"/>
          <w:sz w:val="22"/>
          <w:szCs w:val="22"/>
        </w:rPr>
        <w:footnoteReference w:id="742"/>
      </w:r>
      <w:r w:rsidRPr="00D9152B">
        <w:rPr>
          <w:rFonts w:ascii="Calibri" w:hAnsi="Calibri" w:cs="Calibri"/>
          <w:sz w:val="22"/>
          <w:szCs w:val="22"/>
        </w:rPr>
        <w:t xml:space="preserve"> and that they were ‘disturbed’ that Merck had ensured premature coverage of the small trial in the </w:t>
      </w:r>
      <w:r w:rsidRPr="00D9152B">
        <w:rPr>
          <w:rFonts w:ascii="Calibri" w:hAnsi="Calibri" w:cs="Calibri"/>
          <w:i/>
          <w:sz w:val="22"/>
          <w:szCs w:val="22"/>
        </w:rPr>
        <w:t>New York Times</w:t>
      </w:r>
      <w:r w:rsidRPr="00D9152B">
        <w:rPr>
          <w:rFonts w:ascii="Calibri" w:hAnsi="Calibri" w:cs="Calibri"/>
          <w:sz w:val="22"/>
          <w:szCs w:val="22"/>
        </w:rPr>
        <w:t>.</w:t>
      </w:r>
      <w:r w:rsidRPr="00D9152B">
        <w:rPr>
          <w:rStyle w:val="FootnoteReference"/>
          <w:rFonts w:ascii="Calibri" w:hAnsi="Calibri" w:cs="Calibri"/>
          <w:sz w:val="22"/>
          <w:szCs w:val="22"/>
        </w:rPr>
        <w:t xml:space="preserve"> </w:t>
      </w:r>
      <w:r w:rsidRPr="00D9152B">
        <w:rPr>
          <w:rStyle w:val="FootnoteReference"/>
          <w:rFonts w:ascii="Calibri" w:hAnsi="Calibri" w:cs="Calibri"/>
          <w:sz w:val="22"/>
          <w:szCs w:val="22"/>
        </w:rPr>
        <w:footnoteReference w:id="743"/>
      </w:r>
      <w:r w:rsidRPr="00D9152B">
        <w:rPr>
          <w:rFonts w:ascii="Calibri" w:hAnsi="Calibri" w:cs="Calibri"/>
          <w:sz w:val="22"/>
          <w:szCs w:val="22"/>
        </w:rPr>
        <w:t xml:space="preserve"> Soon after, OCP staf</w:t>
      </w:r>
      <w:r w:rsidR="00C117AE" w:rsidRPr="00D9152B">
        <w:rPr>
          <w:rFonts w:ascii="Calibri" w:hAnsi="Calibri" w:cs="Calibri"/>
          <w:sz w:val="22"/>
          <w:szCs w:val="22"/>
        </w:rPr>
        <w:t xml:space="preserve">f were also upset at being left </w:t>
      </w:r>
      <w:r w:rsidRPr="00D9152B">
        <w:rPr>
          <w:rFonts w:ascii="Calibri" w:hAnsi="Calibri" w:cs="Calibri"/>
          <w:sz w:val="22"/>
          <w:szCs w:val="22"/>
        </w:rPr>
        <w:t>out of a planning meeting for a larger ivermectin clinical trial protocol meeting, apparently because TDR did not pass along the invitation.</w:t>
      </w:r>
      <w:r w:rsidRPr="00D9152B">
        <w:rPr>
          <w:rStyle w:val="FootnoteReference"/>
          <w:rFonts w:ascii="Calibri" w:hAnsi="Calibri" w:cs="Calibri"/>
          <w:sz w:val="22"/>
          <w:szCs w:val="22"/>
        </w:rPr>
        <w:footnoteReference w:id="744"/>
      </w:r>
    </w:p>
    <w:p w14:paraId="4E8AD8DC" w14:textId="3981FE71" w:rsidR="006F0215" w:rsidRPr="00D9152B" w:rsidRDefault="00AC7848" w:rsidP="00F11827">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OCT’s collaboration with Merck was ad-hoc, without a clear plan for engagement, until 1985. </w:t>
      </w:r>
      <w:r w:rsidR="00042F86" w:rsidRPr="00D9152B">
        <w:rPr>
          <w:rFonts w:ascii="Calibri" w:hAnsi="Calibri" w:cs="Calibri"/>
          <w:sz w:val="22"/>
          <w:szCs w:val="22"/>
        </w:rPr>
        <w:t>This arrangement</w:t>
      </w:r>
      <w:r w:rsidRPr="00D9152B">
        <w:rPr>
          <w:rFonts w:ascii="Calibri" w:hAnsi="Calibri" w:cs="Calibri"/>
          <w:sz w:val="22"/>
          <w:szCs w:val="22"/>
        </w:rPr>
        <w:t xml:space="preserve"> provided very little legal protection for the OCP and TDR’s investments.</w:t>
      </w:r>
      <w:r w:rsidRPr="00D9152B">
        <w:rPr>
          <w:rStyle w:val="FootnoteReference"/>
          <w:rFonts w:ascii="Calibri" w:hAnsi="Calibri" w:cs="Calibri"/>
          <w:sz w:val="22"/>
          <w:szCs w:val="22"/>
        </w:rPr>
        <w:footnoteReference w:id="745"/>
      </w:r>
      <w:r w:rsidRPr="00D9152B">
        <w:rPr>
          <w:rFonts w:ascii="Calibri" w:hAnsi="Calibri" w:cs="Calibri"/>
          <w:sz w:val="22"/>
          <w:szCs w:val="22"/>
        </w:rPr>
        <w:t xml:space="preserve"> For instance, Merck declined WHO’s offer to financially support further human clinical trials in 1984, and clarified that, ‘the Company is not granting any implied and/or expressed rights, title or interest to the WHO regarding ivermectin’.</w:t>
      </w:r>
      <w:r w:rsidRPr="00D9152B">
        <w:rPr>
          <w:rStyle w:val="FootnoteReference"/>
          <w:rFonts w:ascii="Calibri" w:hAnsi="Calibri" w:cs="Calibri"/>
          <w:sz w:val="22"/>
          <w:szCs w:val="22"/>
        </w:rPr>
        <w:footnoteReference w:id="746"/>
      </w:r>
      <w:r w:rsidRPr="00D9152B">
        <w:rPr>
          <w:rFonts w:ascii="Calibri" w:hAnsi="Calibri" w:cs="Calibri"/>
          <w:sz w:val="22"/>
          <w:szCs w:val="22"/>
        </w:rPr>
        <w:t xml:space="preserve"> It also attached a list of even</w:t>
      </w:r>
      <w:r w:rsidR="00BA661A" w:rsidRPr="00D9152B">
        <w:rPr>
          <w:rFonts w:ascii="Calibri" w:hAnsi="Calibri" w:cs="Calibri"/>
          <w:sz w:val="22"/>
          <w:szCs w:val="22"/>
        </w:rPr>
        <w:t>ts in ivermectin’s development (</w:t>
      </w:r>
      <w:r w:rsidRPr="00D9152B">
        <w:rPr>
          <w:rFonts w:ascii="Calibri" w:hAnsi="Calibri" w:cs="Calibri"/>
          <w:sz w:val="22"/>
          <w:szCs w:val="22"/>
        </w:rPr>
        <w:t xml:space="preserve">which depicted </w:t>
      </w:r>
      <w:r w:rsidRPr="00D9152B">
        <w:rPr>
          <w:rFonts w:ascii="Calibri" w:hAnsi="Calibri" w:cs="Calibri"/>
          <w:sz w:val="22"/>
          <w:szCs w:val="22"/>
        </w:rPr>
        <w:lastRenderedPageBreak/>
        <w:t xml:space="preserve">Merck’s investment to-date </w:t>
      </w:r>
      <w:r w:rsidR="004D1818" w:rsidRPr="00D9152B">
        <w:rPr>
          <w:rFonts w:ascii="Calibri" w:hAnsi="Calibri" w:cs="Calibri"/>
          <w:sz w:val="22"/>
          <w:szCs w:val="22"/>
        </w:rPr>
        <w:t>as</w:t>
      </w:r>
      <w:r w:rsidRPr="00D9152B">
        <w:rPr>
          <w:rFonts w:ascii="Calibri" w:hAnsi="Calibri" w:cs="Calibri"/>
          <w:sz w:val="22"/>
          <w:szCs w:val="22"/>
        </w:rPr>
        <w:t xml:space="preserve"> greatly surpass</w:t>
      </w:r>
      <w:r w:rsidR="004D1818" w:rsidRPr="00D9152B">
        <w:rPr>
          <w:rFonts w:ascii="Calibri" w:hAnsi="Calibri" w:cs="Calibri"/>
          <w:sz w:val="22"/>
          <w:szCs w:val="22"/>
        </w:rPr>
        <w:t>ing</w:t>
      </w:r>
      <w:r w:rsidRPr="00D9152B">
        <w:rPr>
          <w:rFonts w:ascii="Calibri" w:hAnsi="Calibri" w:cs="Calibri"/>
          <w:sz w:val="22"/>
          <w:szCs w:val="22"/>
        </w:rPr>
        <w:t xml:space="preserve"> </w:t>
      </w:r>
      <w:r w:rsidR="00BA661A" w:rsidRPr="00D9152B">
        <w:rPr>
          <w:rFonts w:ascii="Calibri" w:hAnsi="Calibri" w:cs="Calibri"/>
          <w:sz w:val="22"/>
          <w:szCs w:val="22"/>
        </w:rPr>
        <w:t>WHO’s</w:t>
      </w:r>
      <w:r w:rsidR="006F0215" w:rsidRPr="00D9152B">
        <w:rPr>
          <w:rFonts w:ascii="Calibri" w:hAnsi="Calibri" w:cs="Calibri"/>
          <w:sz w:val="22"/>
          <w:szCs w:val="22"/>
        </w:rPr>
        <w:t>;</w:t>
      </w:r>
      <w:r w:rsidR="00BA661A" w:rsidRPr="00D9152B">
        <w:rPr>
          <w:rFonts w:ascii="Calibri" w:hAnsi="Calibri" w:cs="Calibri"/>
          <w:sz w:val="22"/>
          <w:szCs w:val="22"/>
        </w:rPr>
        <w:t xml:space="preserve"> </w:t>
      </w:r>
      <w:r w:rsidR="00CC1A24" w:rsidRPr="00D9152B">
        <w:rPr>
          <w:rFonts w:ascii="Calibri" w:hAnsi="Calibri" w:cs="Calibri"/>
          <w:sz w:val="22"/>
          <w:szCs w:val="22"/>
        </w:rPr>
        <w:t xml:space="preserve">Table </w:t>
      </w:r>
      <w:r w:rsidR="009257F8">
        <w:rPr>
          <w:rFonts w:ascii="Calibri" w:hAnsi="Calibri" w:cs="Calibri"/>
          <w:sz w:val="22"/>
          <w:szCs w:val="22"/>
        </w:rPr>
        <w:t>7.</w:t>
      </w:r>
      <w:r w:rsidR="00CC1A24" w:rsidRPr="00D9152B">
        <w:rPr>
          <w:rFonts w:ascii="Calibri" w:hAnsi="Calibri" w:cs="Calibri"/>
          <w:sz w:val="22"/>
          <w:szCs w:val="22"/>
        </w:rPr>
        <w:t>3</w:t>
      </w:r>
      <w:r w:rsidRPr="00D9152B">
        <w:rPr>
          <w:rFonts w:ascii="Calibri" w:hAnsi="Calibri" w:cs="Calibri"/>
          <w:sz w:val="22"/>
          <w:szCs w:val="22"/>
        </w:rPr>
        <w:t xml:space="preserve">, column 2). </w:t>
      </w:r>
      <w:r w:rsidR="00042F86" w:rsidRPr="00D9152B">
        <w:rPr>
          <w:rFonts w:ascii="Calibri" w:hAnsi="Calibri" w:cs="Calibri"/>
          <w:sz w:val="22"/>
          <w:szCs w:val="22"/>
        </w:rPr>
        <w:t>The WHO edited Merck’s chronology of events in ivermectin’s development (to include more of the WHO’s support</w:t>
      </w:r>
      <w:r w:rsidR="006F0215" w:rsidRPr="00D9152B">
        <w:rPr>
          <w:rFonts w:ascii="Calibri" w:hAnsi="Calibri" w:cs="Calibri"/>
          <w:sz w:val="22"/>
          <w:szCs w:val="22"/>
        </w:rPr>
        <w:t xml:space="preserve">; </w:t>
      </w:r>
      <w:r w:rsidR="00CC1A24" w:rsidRPr="00D9152B">
        <w:rPr>
          <w:rFonts w:ascii="Calibri" w:hAnsi="Calibri" w:cs="Calibri"/>
          <w:sz w:val="22"/>
          <w:szCs w:val="22"/>
        </w:rPr>
        <w:t xml:space="preserve">Table </w:t>
      </w:r>
      <w:r w:rsidR="009257F8">
        <w:rPr>
          <w:rFonts w:ascii="Calibri" w:hAnsi="Calibri" w:cs="Calibri"/>
          <w:sz w:val="22"/>
          <w:szCs w:val="22"/>
        </w:rPr>
        <w:t>7.</w:t>
      </w:r>
      <w:r w:rsidR="00CC1A24" w:rsidRPr="00D9152B">
        <w:rPr>
          <w:rFonts w:ascii="Calibri" w:hAnsi="Calibri" w:cs="Calibri"/>
          <w:sz w:val="22"/>
          <w:szCs w:val="22"/>
        </w:rPr>
        <w:t>3</w:t>
      </w:r>
      <w:r w:rsidR="00042F86" w:rsidRPr="00D9152B">
        <w:rPr>
          <w:rFonts w:ascii="Calibri" w:hAnsi="Calibri" w:cs="Calibri"/>
          <w:sz w:val="22"/>
          <w:szCs w:val="22"/>
        </w:rPr>
        <w:t>, column 3), and it hoped that ‘Once the importance of WHO’s contribution has been established, it would be legitimate for it to ensure a greater say in the design of the protocols for the research’. Yet, the WHO realized that it needed to ‘tread lightly’ on this point, and was careful to reassure Merck that this ‘updating is purely for the record and is in no way to be regarded as an issue between us’.</w:t>
      </w:r>
      <w:r w:rsidR="006B543F" w:rsidRPr="00D9152B">
        <w:rPr>
          <w:rStyle w:val="FootnoteReference"/>
          <w:rFonts w:ascii="Calibri" w:hAnsi="Calibri" w:cs="Calibri"/>
          <w:sz w:val="22"/>
          <w:szCs w:val="22"/>
        </w:rPr>
        <w:footnoteReference w:id="747"/>
      </w:r>
    </w:p>
    <w:tbl>
      <w:tblPr>
        <w:tblStyle w:val="ListTable7Colorful"/>
        <w:tblW w:w="8926" w:type="dxa"/>
        <w:tblLook w:val="04A0" w:firstRow="1" w:lastRow="0" w:firstColumn="1" w:lastColumn="0" w:noHBand="0" w:noVBand="1"/>
      </w:tblPr>
      <w:tblGrid>
        <w:gridCol w:w="1371"/>
        <w:gridCol w:w="3869"/>
        <w:gridCol w:w="3686"/>
      </w:tblGrid>
      <w:tr w:rsidR="00AC7848" w:rsidRPr="00D9152B" w14:paraId="1936A380" w14:textId="77777777" w:rsidTr="00B64EB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371" w:type="dxa"/>
            <w:tcBorders>
              <w:bottom w:val="single" w:sz="4" w:space="0" w:color="auto"/>
              <w:right w:val="single" w:sz="4" w:space="0" w:color="auto"/>
            </w:tcBorders>
          </w:tcPr>
          <w:p w14:paraId="75857D9E" w14:textId="77777777" w:rsidR="00AC7848" w:rsidRPr="00D9152B" w:rsidRDefault="00AC7848" w:rsidP="00130ADA">
            <w:pPr>
              <w:rPr>
                <w:rFonts w:ascii="Calibri" w:hAnsi="Calibri" w:cs="Calibri"/>
                <w:b/>
                <w:sz w:val="18"/>
                <w:szCs w:val="18"/>
              </w:rPr>
            </w:pPr>
            <w:r w:rsidRPr="00D9152B">
              <w:rPr>
                <w:rFonts w:ascii="Calibri" w:hAnsi="Calibri" w:cs="Calibri"/>
                <w:b/>
                <w:sz w:val="18"/>
                <w:szCs w:val="18"/>
              </w:rPr>
              <w:t>Date</w:t>
            </w:r>
          </w:p>
        </w:tc>
        <w:tc>
          <w:tcPr>
            <w:tcW w:w="3869" w:type="dxa"/>
            <w:tcBorders>
              <w:left w:val="single" w:sz="4" w:space="0" w:color="auto"/>
              <w:bottom w:val="single" w:sz="4" w:space="0" w:color="auto"/>
              <w:right w:val="single" w:sz="4" w:space="0" w:color="auto"/>
            </w:tcBorders>
          </w:tcPr>
          <w:p w14:paraId="1D310FDC" w14:textId="77777777" w:rsidR="00AC7848" w:rsidRPr="00D9152B" w:rsidRDefault="00AC7848" w:rsidP="00130ADA">
            <w:pPr>
              <w:cnfStyle w:val="100000000000" w:firstRow="1" w:lastRow="0" w:firstColumn="0" w:lastColumn="0" w:oddVBand="0" w:evenVBand="0" w:oddHBand="0" w:evenHBand="0" w:firstRowFirstColumn="0" w:firstRowLastColumn="0" w:lastRowFirstColumn="0" w:lastRowLastColumn="0"/>
              <w:rPr>
                <w:rFonts w:ascii="Calibri" w:hAnsi="Calibri" w:cs="Calibri"/>
                <w:b/>
                <w:sz w:val="18"/>
                <w:szCs w:val="18"/>
              </w:rPr>
            </w:pPr>
            <w:r w:rsidRPr="00D9152B">
              <w:rPr>
                <w:rFonts w:ascii="Calibri" w:hAnsi="Calibri" w:cs="Calibri"/>
                <w:b/>
                <w:sz w:val="18"/>
                <w:szCs w:val="18"/>
              </w:rPr>
              <w:t>Event: Merck’s description</w:t>
            </w:r>
          </w:p>
        </w:tc>
        <w:tc>
          <w:tcPr>
            <w:tcW w:w="3686" w:type="dxa"/>
            <w:tcBorders>
              <w:left w:val="single" w:sz="4" w:space="0" w:color="auto"/>
              <w:bottom w:val="single" w:sz="4" w:space="0" w:color="auto"/>
            </w:tcBorders>
          </w:tcPr>
          <w:p w14:paraId="69875F45" w14:textId="77777777" w:rsidR="00130ADA" w:rsidRPr="00D9152B" w:rsidRDefault="00AC7848" w:rsidP="00130ADA">
            <w:pPr>
              <w:cnfStyle w:val="100000000000" w:firstRow="1" w:lastRow="0" w:firstColumn="0" w:lastColumn="0" w:oddVBand="0" w:evenVBand="0" w:oddHBand="0" w:evenHBand="0" w:firstRowFirstColumn="0" w:firstRowLastColumn="0" w:lastRowFirstColumn="0" w:lastRowLastColumn="0"/>
              <w:rPr>
                <w:rFonts w:ascii="Calibri" w:hAnsi="Calibri" w:cs="Calibri"/>
                <w:b/>
                <w:i w:val="0"/>
                <w:iCs w:val="0"/>
                <w:sz w:val="18"/>
                <w:szCs w:val="18"/>
              </w:rPr>
            </w:pPr>
            <w:r w:rsidRPr="00D9152B">
              <w:rPr>
                <w:rFonts w:ascii="Calibri" w:hAnsi="Calibri" w:cs="Calibri"/>
                <w:b/>
                <w:sz w:val="18"/>
                <w:szCs w:val="18"/>
              </w:rPr>
              <w:t>Event: WHO’s added description</w:t>
            </w:r>
          </w:p>
          <w:p w14:paraId="7E3A2F54" w14:textId="75D0E252" w:rsidR="006F0215" w:rsidRPr="00D9152B" w:rsidRDefault="006F0215" w:rsidP="00130ADA">
            <w:pPr>
              <w:cnfStyle w:val="100000000000" w:firstRow="1" w:lastRow="0" w:firstColumn="0" w:lastColumn="0" w:oddVBand="0" w:evenVBand="0" w:oddHBand="0" w:evenHBand="0" w:firstRowFirstColumn="0" w:firstRowLastColumn="0" w:lastRowFirstColumn="0" w:lastRowLastColumn="0"/>
              <w:rPr>
                <w:rFonts w:ascii="Calibri" w:hAnsi="Calibri" w:cs="Calibri"/>
                <w:b/>
                <w:sz w:val="18"/>
                <w:szCs w:val="18"/>
              </w:rPr>
            </w:pPr>
          </w:p>
        </w:tc>
      </w:tr>
      <w:tr w:rsidR="00AC7848" w:rsidRPr="00D9152B" w14:paraId="6118125D" w14:textId="77777777" w:rsidTr="00B64E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dxa"/>
            <w:tcBorders>
              <w:top w:val="single" w:sz="4" w:space="0" w:color="auto"/>
              <w:bottom w:val="single" w:sz="4" w:space="0" w:color="auto"/>
              <w:right w:val="single" w:sz="4" w:space="0" w:color="auto"/>
            </w:tcBorders>
          </w:tcPr>
          <w:p w14:paraId="602B343F" w14:textId="77777777" w:rsidR="00AC7848" w:rsidRPr="00D9152B" w:rsidRDefault="00AC7848" w:rsidP="00130ADA">
            <w:pPr>
              <w:rPr>
                <w:rFonts w:ascii="Calibri" w:hAnsi="Calibri" w:cs="Calibri"/>
                <w:sz w:val="18"/>
                <w:szCs w:val="18"/>
              </w:rPr>
            </w:pPr>
            <w:r w:rsidRPr="00D9152B">
              <w:rPr>
                <w:rFonts w:ascii="Calibri" w:hAnsi="Calibri" w:cs="Calibri"/>
                <w:sz w:val="18"/>
                <w:szCs w:val="18"/>
              </w:rPr>
              <w:t>May 1977</w:t>
            </w:r>
          </w:p>
        </w:tc>
        <w:tc>
          <w:tcPr>
            <w:tcW w:w="3869" w:type="dxa"/>
            <w:tcBorders>
              <w:top w:val="single" w:sz="4" w:space="0" w:color="auto"/>
              <w:left w:val="single" w:sz="4" w:space="0" w:color="auto"/>
              <w:bottom w:val="single" w:sz="4" w:space="0" w:color="auto"/>
              <w:right w:val="single" w:sz="4" w:space="0" w:color="auto"/>
            </w:tcBorders>
          </w:tcPr>
          <w:p w14:paraId="7480516A" w14:textId="3A1BF6BD" w:rsidR="00AC7848" w:rsidRPr="00D9152B" w:rsidRDefault="00AC7848" w:rsidP="00130ADA">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Merck:</w:t>
            </w:r>
            <w:r w:rsidRPr="00D9152B">
              <w:rPr>
                <w:rFonts w:ascii="Calibri" w:hAnsi="Calibri" w:cs="Calibri"/>
                <w:sz w:val="18"/>
                <w:szCs w:val="18"/>
              </w:rPr>
              <w:t xml:space="preserve"> Scientists formally discuss possible use of IVM against human parasites, and decide more dog studies are needed</w:t>
            </w:r>
            <w:r w:rsidR="00D12A94" w:rsidRPr="00D9152B">
              <w:rPr>
                <w:rFonts w:ascii="Calibri" w:hAnsi="Calibri" w:cs="Calibri"/>
                <w:sz w:val="18"/>
                <w:szCs w:val="18"/>
              </w:rPr>
              <w:t>.</w:t>
            </w:r>
          </w:p>
        </w:tc>
        <w:tc>
          <w:tcPr>
            <w:tcW w:w="3686" w:type="dxa"/>
            <w:tcBorders>
              <w:top w:val="single" w:sz="4" w:space="0" w:color="auto"/>
              <w:left w:val="single" w:sz="4" w:space="0" w:color="auto"/>
              <w:bottom w:val="single" w:sz="4" w:space="0" w:color="auto"/>
              <w:right w:val="single" w:sz="4" w:space="0" w:color="auto"/>
            </w:tcBorders>
          </w:tcPr>
          <w:p w14:paraId="79C04B5C" w14:textId="77777777" w:rsidR="00AC7848" w:rsidRPr="00D9152B" w:rsidRDefault="00AC7848" w:rsidP="00130ADA">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(Same)</w:t>
            </w:r>
          </w:p>
        </w:tc>
      </w:tr>
      <w:tr w:rsidR="00AC7848" w:rsidRPr="00D9152B" w14:paraId="5565677E" w14:textId="77777777" w:rsidTr="00B72D22">
        <w:tc>
          <w:tcPr>
            <w:cnfStyle w:val="001000000000" w:firstRow="0" w:lastRow="0" w:firstColumn="1" w:lastColumn="0" w:oddVBand="0" w:evenVBand="0" w:oddHBand="0" w:evenHBand="0" w:firstRowFirstColumn="0" w:firstRowLastColumn="0" w:lastRowFirstColumn="0" w:lastRowLastColumn="0"/>
            <w:tcW w:w="1371" w:type="dxa"/>
            <w:tcBorders>
              <w:top w:val="single" w:sz="4" w:space="0" w:color="auto"/>
              <w:bottom w:val="single" w:sz="4" w:space="0" w:color="auto"/>
              <w:right w:val="single" w:sz="4" w:space="0" w:color="auto"/>
            </w:tcBorders>
          </w:tcPr>
          <w:p w14:paraId="7385630E" w14:textId="77777777" w:rsidR="00AC7848" w:rsidRPr="00D9152B" w:rsidRDefault="00AC7848" w:rsidP="00130ADA">
            <w:pPr>
              <w:rPr>
                <w:rFonts w:ascii="Calibri" w:hAnsi="Calibri" w:cs="Calibri"/>
                <w:sz w:val="18"/>
                <w:szCs w:val="18"/>
              </w:rPr>
            </w:pPr>
            <w:r w:rsidRPr="00D9152B">
              <w:rPr>
                <w:rFonts w:ascii="Calibri" w:hAnsi="Calibri" w:cs="Calibri"/>
                <w:sz w:val="18"/>
                <w:szCs w:val="18"/>
              </w:rPr>
              <w:t>January 1978</w:t>
            </w:r>
          </w:p>
        </w:tc>
        <w:tc>
          <w:tcPr>
            <w:tcW w:w="3869" w:type="dxa"/>
            <w:tcBorders>
              <w:top w:val="single" w:sz="4" w:space="0" w:color="auto"/>
              <w:left w:val="single" w:sz="4" w:space="0" w:color="auto"/>
              <w:bottom w:val="single" w:sz="4" w:space="0" w:color="auto"/>
              <w:right w:val="single" w:sz="4" w:space="0" w:color="auto"/>
            </w:tcBorders>
          </w:tcPr>
          <w:p w14:paraId="5F361827" w14:textId="62AB3169" w:rsidR="00AC7848" w:rsidRPr="00D9152B" w:rsidRDefault="00AC7848" w:rsidP="00130ADA">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Merck:</w:t>
            </w:r>
            <w:r w:rsidRPr="00D9152B">
              <w:rPr>
                <w:rFonts w:ascii="Calibri" w:hAnsi="Calibri" w:cs="Calibri"/>
                <w:sz w:val="18"/>
                <w:szCs w:val="18"/>
              </w:rPr>
              <w:t xml:space="preserve"> Further reviews human application, especially in</w:t>
            </w:r>
            <w:r w:rsidR="009257F8">
              <w:rPr>
                <w:rFonts w:ascii="Calibri" w:hAnsi="Calibri" w:cs="Calibri"/>
                <w:sz w:val="18"/>
                <w:szCs w:val="18"/>
              </w:rPr>
              <w:t xml:space="preserve"> the</w:t>
            </w:r>
            <w:r w:rsidRPr="00D9152B">
              <w:rPr>
                <w:rFonts w:ascii="Calibri" w:hAnsi="Calibri" w:cs="Calibri"/>
                <w:sz w:val="18"/>
                <w:szCs w:val="18"/>
              </w:rPr>
              <w:t xml:space="preserve"> </w:t>
            </w:r>
            <w:r w:rsidR="009257F8">
              <w:rPr>
                <w:rFonts w:ascii="Calibri" w:hAnsi="Calibri" w:cs="Calibri"/>
                <w:sz w:val="18"/>
                <w:szCs w:val="18"/>
              </w:rPr>
              <w:t>‘</w:t>
            </w:r>
            <w:r w:rsidRPr="00D9152B">
              <w:rPr>
                <w:rFonts w:ascii="Calibri" w:hAnsi="Calibri" w:cs="Calibri"/>
                <w:sz w:val="18"/>
                <w:szCs w:val="18"/>
              </w:rPr>
              <w:t>Third World</w:t>
            </w:r>
            <w:r w:rsidR="009257F8">
              <w:rPr>
                <w:rFonts w:ascii="Calibri" w:hAnsi="Calibri" w:cs="Calibri"/>
                <w:sz w:val="18"/>
                <w:szCs w:val="18"/>
              </w:rPr>
              <w:t>’</w:t>
            </w:r>
            <w:r w:rsidR="00D12A94" w:rsidRPr="00D9152B">
              <w:rPr>
                <w:rFonts w:ascii="Calibri" w:hAnsi="Calibri" w:cs="Calibri"/>
                <w:sz w:val="18"/>
                <w:szCs w:val="18"/>
              </w:rPr>
              <w:t>.</w:t>
            </w:r>
          </w:p>
        </w:tc>
        <w:tc>
          <w:tcPr>
            <w:tcW w:w="3686" w:type="dxa"/>
            <w:tcBorders>
              <w:top w:val="single" w:sz="4" w:space="0" w:color="auto"/>
              <w:left w:val="single" w:sz="4" w:space="0" w:color="auto"/>
              <w:bottom w:val="single" w:sz="4" w:space="0" w:color="auto"/>
              <w:right w:val="single" w:sz="4" w:space="0" w:color="auto"/>
            </w:tcBorders>
          </w:tcPr>
          <w:p w14:paraId="39498AFA" w14:textId="77777777" w:rsidR="00AC7848" w:rsidRPr="00D9152B" w:rsidRDefault="00AC7848" w:rsidP="00130ADA">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(Same)</w:t>
            </w:r>
          </w:p>
        </w:tc>
      </w:tr>
      <w:tr w:rsidR="00AC7848" w:rsidRPr="00D9152B" w14:paraId="4F4B8FC4" w14:textId="77777777" w:rsidTr="00B72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dxa"/>
            <w:tcBorders>
              <w:top w:val="single" w:sz="4" w:space="0" w:color="auto"/>
              <w:bottom w:val="single" w:sz="4" w:space="0" w:color="auto"/>
              <w:right w:val="single" w:sz="4" w:space="0" w:color="auto"/>
            </w:tcBorders>
          </w:tcPr>
          <w:p w14:paraId="2E404256" w14:textId="77777777" w:rsidR="00AC7848" w:rsidRPr="00D9152B" w:rsidRDefault="00AC7848" w:rsidP="00130ADA">
            <w:pPr>
              <w:rPr>
                <w:rFonts w:ascii="Calibri" w:hAnsi="Calibri" w:cs="Calibri"/>
                <w:sz w:val="18"/>
                <w:szCs w:val="18"/>
              </w:rPr>
            </w:pPr>
            <w:r w:rsidRPr="00D9152B">
              <w:rPr>
                <w:rFonts w:ascii="Calibri" w:hAnsi="Calibri" w:cs="Calibri"/>
                <w:sz w:val="18"/>
                <w:szCs w:val="18"/>
              </w:rPr>
              <w:t>April 1978</w:t>
            </w:r>
          </w:p>
        </w:tc>
        <w:tc>
          <w:tcPr>
            <w:tcW w:w="3869" w:type="dxa"/>
            <w:tcBorders>
              <w:top w:val="single" w:sz="4" w:space="0" w:color="auto"/>
              <w:left w:val="single" w:sz="4" w:space="0" w:color="auto"/>
              <w:bottom w:val="single" w:sz="4" w:space="0" w:color="auto"/>
              <w:right w:val="single" w:sz="4" w:space="0" w:color="auto"/>
            </w:tcBorders>
          </w:tcPr>
          <w:p w14:paraId="723DB6DB" w14:textId="5DE32A75" w:rsidR="00AC7848" w:rsidRPr="00D9152B" w:rsidRDefault="00AC7848" w:rsidP="00130ADA">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Merck:</w:t>
            </w:r>
            <w:r w:rsidRPr="00D9152B">
              <w:rPr>
                <w:rFonts w:ascii="Calibri" w:hAnsi="Calibri" w:cs="Calibri"/>
                <w:sz w:val="18"/>
                <w:szCs w:val="18"/>
              </w:rPr>
              <w:t xml:space="preserve"> In-house trials and report of IVM in horses infected with </w:t>
            </w:r>
            <w:r w:rsidR="00D12A94" w:rsidRPr="00D9152B">
              <w:rPr>
                <w:rFonts w:ascii="Calibri" w:hAnsi="Calibri" w:cs="Calibri"/>
                <w:i/>
                <w:sz w:val="18"/>
                <w:szCs w:val="18"/>
              </w:rPr>
              <w:t>O. volvulus</w:t>
            </w:r>
            <w:r w:rsidR="00D12A94" w:rsidRPr="00D9152B">
              <w:rPr>
                <w:rFonts w:ascii="Calibri" w:hAnsi="Calibri" w:cs="Calibri"/>
                <w:sz w:val="18"/>
                <w:szCs w:val="18"/>
              </w:rPr>
              <w:t>.</w:t>
            </w:r>
          </w:p>
        </w:tc>
        <w:tc>
          <w:tcPr>
            <w:tcW w:w="3686" w:type="dxa"/>
            <w:tcBorders>
              <w:top w:val="single" w:sz="4" w:space="0" w:color="auto"/>
              <w:left w:val="single" w:sz="4" w:space="0" w:color="auto"/>
              <w:bottom w:val="single" w:sz="4" w:space="0" w:color="auto"/>
              <w:right w:val="single" w:sz="4" w:space="0" w:color="auto"/>
            </w:tcBorders>
          </w:tcPr>
          <w:p w14:paraId="449CD2B0" w14:textId="77777777" w:rsidR="00AC7848" w:rsidRPr="00D9152B" w:rsidRDefault="00AC7848" w:rsidP="00130ADA">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(Same)</w:t>
            </w:r>
          </w:p>
        </w:tc>
      </w:tr>
      <w:tr w:rsidR="00AC7848" w:rsidRPr="00D9152B" w14:paraId="67E69033" w14:textId="77777777" w:rsidTr="00C4737B">
        <w:trPr>
          <w:trHeight w:val="550"/>
        </w:trPr>
        <w:tc>
          <w:tcPr>
            <w:cnfStyle w:val="001000000000" w:firstRow="0" w:lastRow="0" w:firstColumn="1" w:lastColumn="0" w:oddVBand="0" w:evenVBand="0" w:oddHBand="0" w:evenHBand="0" w:firstRowFirstColumn="0" w:firstRowLastColumn="0" w:lastRowFirstColumn="0" w:lastRowLastColumn="0"/>
            <w:tcW w:w="1371" w:type="dxa"/>
            <w:tcBorders>
              <w:top w:val="single" w:sz="4" w:space="0" w:color="auto"/>
              <w:bottom w:val="single" w:sz="4" w:space="0" w:color="auto"/>
              <w:right w:val="single" w:sz="4" w:space="0" w:color="auto"/>
            </w:tcBorders>
          </w:tcPr>
          <w:p w14:paraId="20D72646" w14:textId="77777777" w:rsidR="00AC7848" w:rsidRPr="00D9152B" w:rsidRDefault="00AC7848" w:rsidP="00130ADA">
            <w:pPr>
              <w:rPr>
                <w:rFonts w:ascii="Calibri" w:hAnsi="Calibri" w:cs="Calibri"/>
                <w:sz w:val="18"/>
                <w:szCs w:val="18"/>
              </w:rPr>
            </w:pPr>
            <w:r w:rsidRPr="00D9152B">
              <w:rPr>
                <w:rFonts w:ascii="Calibri" w:hAnsi="Calibri" w:cs="Calibri"/>
                <w:sz w:val="18"/>
                <w:szCs w:val="18"/>
              </w:rPr>
              <w:t>July 1978</w:t>
            </w:r>
          </w:p>
        </w:tc>
        <w:tc>
          <w:tcPr>
            <w:tcW w:w="3869" w:type="dxa"/>
            <w:tcBorders>
              <w:top w:val="single" w:sz="4" w:space="0" w:color="auto"/>
              <w:left w:val="single" w:sz="4" w:space="0" w:color="auto"/>
              <w:bottom w:val="single" w:sz="4" w:space="0" w:color="auto"/>
              <w:right w:val="single" w:sz="4" w:space="0" w:color="auto"/>
            </w:tcBorders>
          </w:tcPr>
          <w:p w14:paraId="78E41D9F" w14:textId="3E0217D5" w:rsidR="00AC7848" w:rsidRPr="00D9152B" w:rsidRDefault="00AC7848" w:rsidP="00C4737B">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Merck:</w:t>
            </w:r>
            <w:r w:rsidRPr="00D9152B">
              <w:rPr>
                <w:rFonts w:ascii="Calibri" w:hAnsi="Calibri" w:cs="Calibri"/>
                <w:sz w:val="18"/>
                <w:szCs w:val="18"/>
              </w:rPr>
              <w:t xml:space="preserve"> </w:t>
            </w:r>
            <w:r w:rsidR="00B72D22" w:rsidRPr="00D9152B">
              <w:rPr>
                <w:rFonts w:ascii="Calibri" w:hAnsi="Calibri" w:cs="Calibri"/>
                <w:sz w:val="18"/>
                <w:szCs w:val="18"/>
              </w:rPr>
              <w:t xml:space="preserve">Scientist </w:t>
            </w:r>
            <w:r w:rsidRPr="00D9152B">
              <w:rPr>
                <w:rFonts w:ascii="Calibri" w:hAnsi="Calibri" w:cs="Calibri"/>
                <w:sz w:val="18"/>
                <w:szCs w:val="18"/>
              </w:rPr>
              <w:t>Bill Campbell proposes to have avermec</w:t>
            </w:r>
            <w:r w:rsidR="00B72D22" w:rsidRPr="00D9152B">
              <w:rPr>
                <w:rFonts w:ascii="Calibri" w:hAnsi="Calibri" w:cs="Calibri"/>
                <w:sz w:val="18"/>
                <w:szCs w:val="18"/>
              </w:rPr>
              <w:t>tins tested by TDR’s</w:t>
            </w:r>
            <w:r w:rsidRPr="00D9152B">
              <w:rPr>
                <w:rFonts w:ascii="Calibri" w:hAnsi="Calibri" w:cs="Calibri"/>
                <w:sz w:val="18"/>
                <w:szCs w:val="18"/>
              </w:rPr>
              <w:t xml:space="preserve"> cattle screen</w:t>
            </w:r>
            <w:r w:rsidR="00D12A94" w:rsidRPr="00D9152B">
              <w:rPr>
                <w:rFonts w:ascii="Calibri" w:hAnsi="Calibri" w:cs="Calibri"/>
                <w:sz w:val="18"/>
                <w:szCs w:val="18"/>
              </w:rPr>
              <w:t>.</w:t>
            </w:r>
          </w:p>
        </w:tc>
        <w:tc>
          <w:tcPr>
            <w:tcW w:w="3686" w:type="dxa"/>
            <w:tcBorders>
              <w:top w:val="single" w:sz="4" w:space="0" w:color="auto"/>
              <w:left w:val="single" w:sz="4" w:space="0" w:color="auto"/>
              <w:bottom w:val="single" w:sz="4" w:space="0" w:color="auto"/>
              <w:right w:val="single" w:sz="4" w:space="0" w:color="auto"/>
            </w:tcBorders>
          </w:tcPr>
          <w:p w14:paraId="625166ED" w14:textId="77777777" w:rsidR="00AC7848" w:rsidRPr="00D9152B" w:rsidRDefault="00AC7848" w:rsidP="00130ADA">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(Same)</w:t>
            </w:r>
          </w:p>
        </w:tc>
      </w:tr>
      <w:tr w:rsidR="00AC7848" w:rsidRPr="00D9152B" w14:paraId="26F72C3B" w14:textId="77777777" w:rsidTr="00B72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dxa"/>
            <w:tcBorders>
              <w:top w:val="single" w:sz="4" w:space="0" w:color="auto"/>
              <w:bottom w:val="single" w:sz="4" w:space="0" w:color="auto"/>
              <w:right w:val="single" w:sz="4" w:space="0" w:color="auto"/>
            </w:tcBorders>
          </w:tcPr>
          <w:p w14:paraId="1336E945" w14:textId="77777777" w:rsidR="00AC7848" w:rsidRPr="00D9152B" w:rsidRDefault="00AC7848" w:rsidP="00130ADA">
            <w:pPr>
              <w:rPr>
                <w:rFonts w:ascii="Calibri" w:hAnsi="Calibri" w:cs="Calibri"/>
                <w:sz w:val="18"/>
                <w:szCs w:val="18"/>
              </w:rPr>
            </w:pPr>
            <w:r w:rsidRPr="00D9152B">
              <w:rPr>
                <w:rFonts w:ascii="Calibri" w:hAnsi="Calibri" w:cs="Calibri"/>
                <w:sz w:val="18"/>
                <w:szCs w:val="18"/>
              </w:rPr>
              <w:t>October – November 1978</w:t>
            </w:r>
          </w:p>
        </w:tc>
        <w:tc>
          <w:tcPr>
            <w:tcW w:w="3869" w:type="dxa"/>
            <w:tcBorders>
              <w:top w:val="single" w:sz="4" w:space="0" w:color="auto"/>
              <w:left w:val="single" w:sz="4" w:space="0" w:color="auto"/>
              <w:bottom w:val="single" w:sz="4" w:space="0" w:color="auto"/>
              <w:right w:val="single" w:sz="4" w:space="0" w:color="auto"/>
            </w:tcBorders>
          </w:tcPr>
          <w:p w14:paraId="3C9FAF65" w14:textId="65886E73" w:rsidR="00AC7848" w:rsidRPr="00D9152B" w:rsidRDefault="00AC7848" w:rsidP="00130ADA">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WHO:</w:t>
            </w:r>
            <w:r w:rsidRPr="00D9152B">
              <w:rPr>
                <w:rFonts w:ascii="Calibri" w:hAnsi="Calibri" w:cs="Calibri"/>
                <w:sz w:val="18"/>
                <w:szCs w:val="18"/>
              </w:rPr>
              <w:t xml:space="preserve"> Cattle screen trial completed, showing efficacy of IVM against microfilariae</w:t>
            </w:r>
            <w:r w:rsidR="00D12A94" w:rsidRPr="00D9152B">
              <w:rPr>
                <w:rFonts w:ascii="Calibri" w:hAnsi="Calibri" w:cs="Calibri"/>
                <w:sz w:val="18"/>
                <w:szCs w:val="18"/>
              </w:rPr>
              <w:t>.</w:t>
            </w:r>
          </w:p>
        </w:tc>
        <w:tc>
          <w:tcPr>
            <w:tcW w:w="3686" w:type="dxa"/>
            <w:tcBorders>
              <w:top w:val="single" w:sz="4" w:space="0" w:color="auto"/>
              <w:left w:val="single" w:sz="4" w:space="0" w:color="auto"/>
              <w:bottom w:val="single" w:sz="4" w:space="0" w:color="auto"/>
              <w:right w:val="single" w:sz="4" w:space="0" w:color="auto"/>
            </w:tcBorders>
          </w:tcPr>
          <w:p w14:paraId="5518796D" w14:textId="77777777" w:rsidR="00AC7848" w:rsidRPr="00D9152B" w:rsidRDefault="00AC7848" w:rsidP="00130ADA">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(Same)</w:t>
            </w:r>
          </w:p>
        </w:tc>
      </w:tr>
      <w:tr w:rsidR="00AC7848" w:rsidRPr="00D9152B" w14:paraId="571C7C61" w14:textId="77777777" w:rsidTr="00B72D22">
        <w:tc>
          <w:tcPr>
            <w:cnfStyle w:val="001000000000" w:firstRow="0" w:lastRow="0" w:firstColumn="1" w:lastColumn="0" w:oddVBand="0" w:evenVBand="0" w:oddHBand="0" w:evenHBand="0" w:firstRowFirstColumn="0" w:firstRowLastColumn="0" w:lastRowFirstColumn="0" w:lastRowLastColumn="0"/>
            <w:tcW w:w="1371" w:type="dxa"/>
            <w:tcBorders>
              <w:top w:val="single" w:sz="4" w:space="0" w:color="auto"/>
              <w:bottom w:val="single" w:sz="4" w:space="0" w:color="auto"/>
              <w:right w:val="single" w:sz="4" w:space="0" w:color="auto"/>
            </w:tcBorders>
          </w:tcPr>
          <w:p w14:paraId="7368A0E8" w14:textId="77777777" w:rsidR="00AC7848" w:rsidRPr="00D9152B" w:rsidRDefault="00AC7848" w:rsidP="00130ADA">
            <w:pPr>
              <w:rPr>
                <w:rFonts w:ascii="Calibri" w:hAnsi="Calibri" w:cs="Calibri"/>
                <w:sz w:val="18"/>
                <w:szCs w:val="18"/>
              </w:rPr>
            </w:pPr>
            <w:r w:rsidRPr="00D9152B">
              <w:rPr>
                <w:rFonts w:ascii="Calibri" w:hAnsi="Calibri" w:cs="Calibri"/>
                <w:sz w:val="18"/>
                <w:szCs w:val="18"/>
              </w:rPr>
              <w:t>December 1978</w:t>
            </w:r>
          </w:p>
        </w:tc>
        <w:tc>
          <w:tcPr>
            <w:tcW w:w="3869" w:type="dxa"/>
            <w:tcBorders>
              <w:top w:val="single" w:sz="4" w:space="0" w:color="auto"/>
              <w:left w:val="single" w:sz="4" w:space="0" w:color="auto"/>
              <w:bottom w:val="single" w:sz="4" w:space="0" w:color="auto"/>
              <w:right w:val="single" w:sz="4" w:space="0" w:color="auto"/>
            </w:tcBorders>
          </w:tcPr>
          <w:p w14:paraId="0FF1DD72" w14:textId="053BE337" w:rsidR="00AC7848" w:rsidRPr="00D9152B" w:rsidRDefault="00AC7848" w:rsidP="00130ADA">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Merck:</w:t>
            </w:r>
            <w:r w:rsidRPr="00D9152B">
              <w:rPr>
                <w:rFonts w:ascii="Calibri" w:hAnsi="Calibri" w:cs="Calibri"/>
                <w:sz w:val="18"/>
                <w:szCs w:val="18"/>
              </w:rPr>
              <w:t xml:space="preserve"> CEO Roy Vagelos &amp; staff recommend exploratory discussions with WHO about IVM for human onchocerciasis</w:t>
            </w:r>
            <w:r w:rsidR="00D12A94" w:rsidRPr="00D9152B">
              <w:rPr>
                <w:rFonts w:ascii="Calibri" w:hAnsi="Calibri" w:cs="Calibri"/>
                <w:sz w:val="18"/>
                <w:szCs w:val="18"/>
              </w:rPr>
              <w:t>.</w:t>
            </w:r>
          </w:p>
        </w:tc>
        <w:tc>
          <w:tcPr>
            <w:tcW w:w="3686" w:type="dxa"/>
            <w:tcBorders>
              <w:top w:val="single" w:sz="4" w:space="0" w:color="auto"/>
              <w:left w:val="single" w:sz="4" w:space="0" w:color="auto"/>
              <w:bottom w:val="single" w:sz="4" w:space="0" w:color="auto"/>
              <w:right w:val="single" w:sz="4" w:space="0" w:color="auto"/>
            </w:tcBorders>
          </w:tcPr>
          <w:p w14:paraId="4CC906F3" w14:textId="77777777" w:rsidR="00AC7848" w:rsidRPr="00D9152B" w:rsidRDefault="00AC7848" w:rsidP="00130ADA">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(Same)</w:t>
            </w:r>
          </w:p>
        </w:tc>
      </w:tr>
      <w:tr w:rsidR="00AC7848" w:rsidRPr="00D9152B" w14:paraId="5F508C8F" w14:textId="77777777" w:rsidTr="00B72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dxa"/>
            <w:tcBorders>
              <w:top w:val="single" w:sz="4" w:space="0" w:color="auto"/>
              <w:bottom w:val="single" w:sz="4" w:space="0" w:color="auto"/>
              <w:right w:val="single" w:sz="4" w:space="0" w:color="auto"/>
            </w:tcBorders>
          </w:tcPr>
          <w:p w14:paraId="7ADC88D9" w14:textId="77777777" w:rsidR="00AC7848" w:rsidRPr="00D9152B" w:rsidRDefault="00AC7848" w:rsidP="00130ADA">
            <w:pPr>
              <w:rPr>
                <w:rFonts w:ascii="Calibri" w:hAnsi="Calibri" w:cs="Calibri"/>
                <w:sz w:val="18"/>
                <w:szCs w:val="18"/>
              </w:rPr>
            </w:pPr>
            <w:r w:rsidRPr="00D9152B">
              <w:rPr>
                <w:rFonts w:ascii="Calibri" w:hAnsi="Calibri" w:cs="Calibri"/>
                <w:sz w:val="18"/>
                <w:szCs w:val="18"/>
              </w:rPr>
              <w:t>March 1979</w:t>
            </w:r>
          </w:p>
        </w:tc>
        <w:tc>
          <w:tcPr>
            <w:tcW w:w="3869" w:type="dxa"/>
            <w:tcBorders>
              <w:top w:val="single" w:sz="4" w:space="0" w:color="auto"/>
              <w:left w:val="single" w:sz="4" w:space="0" w:color="auto"/>
              <w:bottom w:val="single" w:sz="4" w:space="0" w:color="auto"/>
              <w:right w:val="single" w:sz="4" w:space="0" w:color="auto"/>
            </w:tcBorders>
          </w:tcPr>
          <w:p w14:paraId="797AF772" w14:textId="63F618CE" w:rsidR="00AC7848" w:rsidRPr="00D9152B" w:rsidRDefault="00AC7848" w:rsidP="00C4737B">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Merck:</w:t>
            </w:r>
            <w:r w:rsidRPr="00D9152B">
              <w:rPr>
                <w:rFonts w:ascii="Calibri" w:hAnsi="Calibri" w:cs="Calibri"/>
                <w:sz w:val="18"/>
                <w:szCs w:val="18"/>
              </w:rPr>
              <w:t xml:space="preserve"> Campbell forwards early IVM papers to TDR, and states IVM </w:t>
            </w:r>
            <w:r w:rsidR="009257F8">
              <w:rPr>
                <w:rFonts w:ascii="Calibri" w:hAnsi="Calibri" w:cs="Calibri"/>
                <w:sz w:val="18"/>
                <w:szCs w:val="18"/>
              </w:rPr>
              <w:t xml:space="preserve">is </w:t>
            </w:r>
            <w:r w:rsidRPr="00D9152B">
              <w:rPr>
                <w:rFonts w:ascii="Calibri" w:hAnsi="Calibri" w:cs="Calibri"/>
                <w:sz w:val="18"/>
                <w:szCs w:val="18"/>
              </w:rPr>
              <w:t xml:space="preserve">being investigated by 3 research teams, 2 </w:t>
            </w:r>
            <w:r w:rsidR="00C4737B" w:rsidRPr="00D9152B">
              <w:rPr>
                <w:rFonts w:ascii="Calibri" w:hAnsi="Calibri" w:cs="Calibri"/>
                <w:sz w:val="18"/>
                <w:szCs w:val="18"/>
              </w:rPr>
              <w:t>receiving</w:t>
            </w:r>
            <w:r w:rsidRPr="00D9152B">
              <w:rPr>
                <w:rFonts w:ascii="Calibri" w:hAnsi="Calibri" w:cs="Calibri"/>
                <w:sz w:val="18"/>
                <w:szCs w:val="18"/>
              </w:rPr>
              <w:t xml:space="preserve"> WHO support.</w:t>
            </w:r>
          </w:p>
        </w:tc>
        <w:tc>
          <w:tcPr>
            <w:tcW w:w="3686" w:type="dxa"/>
            <w:tcBorders>
              <w:top w:val="single" w:sz="4" w:space="0" w:color="auto"/>
              <w:left w:val="single" w:sz="4" w:space="0" w:color="auto"/>
              <w:bottom w:val="single" w:sz="4" w:space="0" w:color="auto"/>
              <w:right w:val="single" w:sz="4" w:space="0" w:color="auto"/>
            </w:tcBorders>
          </w:tcPr>
          <w:p w14:paraId="7D73D21D" w14:textId="77777777" w:rsidR="00AC7848" w:rsidRPr="00D9152B" w:rsidRDefault="00AC7848" w:rsidP="00130ADA">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WHO</w:t>
            </w:r>
            <w:r w:rsidRPr="00D9152B">
              <w:rPr>
                <w:rFonts w:ascii="Calibri" w:hAnsi="Calibri" w:cs="Calibri"/>
                <w:sz w:val="18"/>
                <w:szCs w:val="18"/>
              </w:rPr>
              <w:t>: Supported all 3 research teams for IVM animal trials.</w:t>
            </w:r>
          </w:p>
        </w:tc>
      </w:tr>
      <w:tr w:rsidR="00AC7848" w:rsidRPr="00D9152B" w14:paraId="2A1680FB" w14:textId="77777777" w:rsidTr="00B72D22">
        <w:tc>
          <w:tcPr>
            <w:cnfStyle w:val="001000000000" w:firstRow="0" w:lastRow="0" w:firstColumn="1" w:lastColumn="0" w:oddVBand="0" w:evenVBand="0" w:oddHBand="0" w:evenHBand="0" w:firstRowFirstColumn="0" w:firstRowLastColumn="0" w:lastRowFirstColumn="0" w:lastRowLastColumn="0"/>
            <w:tcW w:w="1371" w:type="dxa"/>
            <w:tcBorders>
              <w:top w:val="single" w:sz="4" w:space="0" w:color="auto"/>
              <w:bottom w:val="single" w:sz="4" w:space="0" w:color="auto"/>
              <w:right w:val="single" w:sz="4" w:space="0" w:color="auto"/>
            </w:tcBorders>
          </w:tcPr>
          <w:p w14:paraId="302D24B0" w14:textId="77777777" w:rsidR="00AC7848" w:rsidRPr="00D9152B" w:rsidRDefault="00AC7848" w:rsidP="00130ADA">
            <w:pPr>
              <w:rPr>
                <w:rFonts w:ascii="Calibri" w:hAnsi="Calibri" w:cs="Calibri"/>
                <w:sz w:val="18"/>
                <w:szCs w:val="18"/>
              </w:rPr>
            </w:pPr>
            <w:r w:rsidRPr="00D9152B">
              <w:rPr>
                <w:rFonts w:ascii="Calibri" w:hAnsi="Calibri" w:cs="Calibri"/>
                <w:sz w:val="18"/>
                <w:szCs w:val="18"/>
              </w:rPr>
              <w:t>July 1979</w:t>
            </w:r>
          </w:p>
        </w:tc>
        <w:tc>
          <w:tcPr>
            <w:tcW w:w="3869" w:type="dxa"/>
            <w:tcBorders>
              <w:top w:val="single" w:sz="4" w:space="0" w:color="auto"/>
              <w:left w:val="single" w:sz="4" w:space="0" w:color="auto"/>
              <w:bottom w:val="single" w:sz="4" w:space="0" w:color="auto"/>
              <w:right w:val="single" w:sz="4" w:space="0" w:color="auto"/>
            </w:tcBorders>
          </w:tcPr>
          <w:p w14:paraId="4EE54C81" w14:textId="6C055BE9" w:rsidR="00AC7848" w:rsidRPr="00D9152B" w:rsidRDefault="00AC7848" w:rsidP="00130ADA">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WHO:</w:t>
            </w:r>
            <w:r w:rsidRPr="00D9152B">
              <w:rPr>
                <w:rFonts w:ascii="Calibri" w:hAnsi="Calibri" w:cs="Calibri"/>
                <w:sz w:val="18"/>
                <w:szCs w:val="18"/>
              </w:rPr>
              <w:t xml:space="preserve"> Reports from IVM studies showing key advantage</w:t>
            </w:r>
            <w:r w:rsidR="009257F8">
              <w:rPr>
                <w:rFonts w:ascii="Calibri" w:hAnsi="Calibri" w:cs="Calibri"/>
                <w:sz w:val="18"/>
                <w:szCs w:val="18"/>
              </w:rPr>
              <w:t>: the</w:t>
            </w:r>
            <w:r w:rsidRPr="00D9152B">
              <w:rPr>
                <w:rFonts w:ascii="Calibri" w:hAnsi="Calibri" w:cs="Calibri"/>
                <w:sz w:val="18"/>
                <w:szCs w:val="18"/>
              </w:rPr>
              <w:t xml:space="preserve"> slow death of microfilariae</w:t>
            </w:r>
            <w:r w:rsidR="00D12A94" w:rsidRPr="00D9152B">
              <w:rPr>
                <w:rFonts w:ascii="Calibri" w:hAnsi="Calibri" w:cs="Calibri"/>
                <w:sz w:val="18"/>
                <w:szCs w:val="18"/>
              </w:rPr>
              <w:t>.</w:t>
            </w:r>
          </w:p>
        </w:tc>
        <w:tc>
          <w:tcPr>
            <w:tcW w:w="3686" w:type="dxa"/>
            <w:tcBorders>
              <w:top w:val="single" w:sz="4" w:space="0" w:color="auto"/>
              <w:left w:val="single" w:sz="4" w:space="0" w:color="auto"/>
              <w:bottom w:val="single" w:sz="4" w:space="0" w:color="auto"/>
              <w:right w:val="single" w:sz="4" w:space="0" w:color="auto"/>
            </w:tcBorders>
          </w:tcPr>
          <w:p w14:paraId="4DB4BF2A" w14:textId="77777777" w:rsidR="00AC7848" w:rsidRPr="00D9152B" w:rsidRDefault="00AC7848" w:rsidP="00130ADA">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(Same)</w:t>
            </w:r>
          </w:p>
        </w:tc>
      </w:tr>
      <w:tr w:rsidR="00AC7848" w:rsidRPr="00D9152B" w14:paraId="7F6B8E0D" w14:textId="77777777" w:rsidTr="00B72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dxa"/>
            <w:tcBorders>
              <w:top w:val="single" w:sz="4" w:space="0" w:color="auto"/>
              <w:bottom w:val="single" w:sz="4" w:space="0" w:color="auto"/>
              <w:right w:val="single" w:sz="4" w:space="0" w:color="auto"/>
            </w:tcBorders>
          </w:tcPr>
          <w:p w14:paraId="3C5EE50A" w14:textId="77777777" w:rsidR="00AC7848" w:rsidRPr="00D9152B" w:rsidRDefault="00AC7848" w:rsidP="00130ADA">
            <w:pPr>
              <w:rPr>
                <w:rFonts w:ascii="Calibri" w:hAnsi="Calibri" w:cs="Calibri"/>
                <w:sz w:val="18"/>
                <w:szCs w:val="18"/>
              </w:rPr>
            </w:pPr>
            <w:r w:rsidRPr="00D9152B">
              <w:rPr>
                <w:rFonts w:ascii="Calibri" w:hAnsi="Calibri" w:cs="Calibri"/>
                <w:sz w:val="18"/>
                <w:szCs w:val="18"/>
              </w:rPr>
              <w:t>October 1979</w:t>
            </w:r>
          </w:p>
        </w:tc>
        <w:tc>
          <w:tcPr>
            <w:tcW w:w="3869" w:type="dxa"/>
            <w:tcBorders>
              <w:top w:val="single" w:sz="4" w:space="0" w:color="auto"/>
              <w:left w:val="single" w:sz="4" w:space="0" w:color="auto"/>
              <w:bottom w:val="single" w:sz="4" w:space="0" w:color="auto"/>
              <w:right w:val="single" w:sz="4" w:space="0" w:color="auto"/>
            </w:tcBorders>
          </w:tcPr>
          <w:p w14:paraId="1F8591E4" w14:textId="6C30D173" w:rsidR="00AC7848" w:rsidRPr="00D9152B" w:rsidRDefault="00AC7848" w:rsidP="00130ADA">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WHO</w:t>
            </w:r>
            <w:r w:rsidRPr="00D9152B">
              <w:rPr>
                <w:rFonts w:ascii="Calibri" w:hAnsi="Calibri" w:cs="Calibri"/>
                <w:sz w:val="18"/>
                <w:szCs w:val="18"/>
              </w:rPr>
              <w:t xml:space="preserve"> TDR: Visit to Merck, with seminar on onchocerciasis and suggestions for future studies</w:t>
            </w:r>
            <w:r w:rsidR="00D12A94" w:rsidRPr="00D9152B">
              <w:rPr>
                <w:rFonts w:ascii="Calibri" w:hAnsi="Calibri" w:cs="Calibri"/>
                <w:sz w:val="18"/>
                <w:szCs w:val="18"/>
              </w:rPr>
              <w:t>.</w:t>
            </w:r>
          </w:p>
        </w:tc>
        <w:tc>
          <w:tcPr>
            <w:tcW w:w="3686" w:type="dxa"/>
            <w:tcBorders>
              <w:top w:val="single" w:sz="4" w:space="0" w:color="auto"/>
              <w:left w:val="single" w:sz="4" w:space="0" w:color="auto"/>
              <w:bottom w:val="single" w:sz="4" w:space="0" w:color="auto"/>
              <w:right w:val="single" w:sz="4" w:space="0" w:color="auto"/>
            </w:tcBorders>
          </w:tcPr>
          <w:p w14:paraId="623AA8D3" w14:textId="77777777" w:rsidR="00AC7848" w:rsidRPr="00D9152B" w:rsidRDefault="00AC7848" w:rsidP="00130ADA">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(Same)</w:t>
            </w:r>
          </w:p>
        </w:tc>
      </w:tr>
      <w:tr w:rsidR="00AC7848" w:rsidRPr="00D9152B" w14:paraId="2489973F" w14:textId="77777777" w:rsidTr="00B72D22">
        <w:tc>
          <w:tcPr>
            <w:cnfStyle w:val="001000000000" w:firstRow="0" w:lastRow="0" w:firstColumn="1" w:lastColumn="0" w:oddVBand="0" w:evenVBand="0" w:oddHBand="0" w:evenHBand="0" w:firstRowFirstColumn="0" w:firstRowLastColumn="0" w:lastRowFirstColumn="0" w:lastRowLastColumn="0"/>
            <w:tcW w:w="1371" w:type="dxa"/>
            <w:tcBorders>
              <w:top w:val="single" w:sz="4" w:space="0" w:color="auto"/>
              <w:bottom w:val="single" w:sz="4" w:space="0" w:color="auto"/>
              <w:right w:val="single" w:sz="4" w:space="0" w:color="auto"/>
            </w:tcBorders>
          </w:tcPr>
          <w:p w14:paraId="5C357C09" w14:textId="77777777" w:rsidR="00AC7848" w:rsidRPr="00D9152B" w:rsidRDefault="00AC7848" w:rsidP="00130ADA">
            <w:pPr>
              <w:rPr>
                <w:rFonts w:ascii="Calibri" w:hAnsi="Calibri" w:cs="Calibri"/>
                <w:sz w:val="18"/>
                <w:szCs w:val="18"/>
              </w:rPr>
            </w:pPr>
            <w:r w:rsidRPr="00D9152B">
              <w:rPr>
                <w:rFonts w:ascii="Calibri" w:hAnsi="Calibri" w:cs="Calibri"/>
                <w:sz w:val="18"/>
                <w:szCs w:val="18"/>
              </w:rPr>
              <w:t>November 1979</w:t>
            </w:r>
          </w:p>
        </w:tc>
        <w:tc>
          <w:tcPr>
            <w:tcW w:w="3869" w:type="dxa"/>
            <w:tcBorders>
              <w:top w:val="single" w:sz="4" w:space="0" w:color="auto"/>
              <w:left w:val="single" w:sz="4" w:space="0" w:color="auto"/>
              <w:bottom w:val="single" w:sz="4" w:space="0" w:color="auto"/>
              <w:right w:val="single" w:sz="4" w:space="0" w:color="auto"/>
            </w:tcBorders>
          </w:tcPr>
          <w:p w14:paraId="0AE45418" w14:textId="5704BF6E" w:rsidR="00AC7848" w:rsidRPr="00D9152B" w:rsidRDefault="00AC7848" w:rsidP="00130ADA">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257F8">
              <w:rPr>
                <w:rFonts w:ascii="Calibri" w:hAnsi="Calibri" w:cs="Calibri"/>
                <w:b/>
                <w:sz w:val="18"/>
                <w:szCs w:val="18"/>
              </w:rPr>
              <w:t>Merck:</w:t>
            </w:r>
            <w:r w:rsidRPr="00D9152B">
              <w:rPr>
                <w:rFonts w:ascii="Calibri" w:hAnsi="Calibri" w:cs="Calibri"/>
                <w:sz w:val="18"/>
                <w:szCs w:val="18"/>
              </w:rPr>
              <w:t xml:space="preserve"> Meeting recommends development plan to Merck management for clinical studies in man</w:t>
            </w:r>
            <w:r w:rsidR="00D12A94" w:rsidRPr="00D9152B">
              <w:rPr>
                <w:rFonts w:ascii="Calibri" w:hAnsi="Calibri" w:cs="Calibri"/>
                <w:sz w:val="18"/>
                <w:szCs w:val="18"/>
              </w:rPr>
              <w:t>.</w:t>
            </w:r>
          </w:p>
        </w:tc>
        <w:tc>
          <w:tcPr>
            <w:tcW w:w="3686" w:type="dxa"/>
            <w:tcBorders>
              <w:top w:val="single" w:sz="4" w:space="0" w:color="auto"/>
              <w:left w:val="single" w:sz="4" w:space="0" w:color="auto"/>
              <w:bottom w:val="single" w:sz="4" w:space="0" w:color="auto"/>
              <w:right w:val="single" w:sz="4" w:space="0" w:color="auto"/>
            </w:tcBorders>
          </w:tcPr>
          <w:p w14:paraId="747AC2A1" w14:textId="77777777" w:rsidR="00AC7848" w:rsidRPr="00D9152B" w:rsidRDefault="00AC7848" w:rsidP="00130ADA">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(Same)</w:t>
            </w:r>
          </w:p>
        </w:tc>
      </w:tr>
      <w:tr w:rsidR="00AC7848" w:rsidRPr="00D9152B" w14:paraId="6AEE6D6E" w14:textId="77777777" w:rsidTr="00B72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dxa"/>
            <w:tcBorders>
              <w:top w:val="single" w:sz="4" w:space="0" w:color="auto"/>
              <w:bottom w:val="single" w:sz="4" w:space="0" w:color="auto"/>
              <w:right w:val="single" w:sz="4" w:space="0" w:color="auto"/>
            </w:tcBorders>
          </w:tcPr>
          <w:p w14:paraId="4D7C0FFF" w14:textId="77777777" w:rsidR="00AC7848" w:rsidRPr="00D9152B" w:rsidRDefault="00AC7848" w:rsidP="00130ADA">
            <w:pPr>
              <w:rPr>
                <w:rFonts w:ascii="Calibri" w:hAnsi="Calibri" w:cs="Calibri"/>
                <w:sz w:val="18"/>
                <w:szCs w:val="18"/>
              </w:rPr>
            </w:pPr>
            <w:r w:rsidRPr="00D9152B">
              <w:rPr>
                <w:rFonts w:ascii="Calibri" w:hAnsi="Calibri" w:cs="Calibri"/>
                <w:sz w:val="18"/>
                <w:szCs w:val="18"/>
              </w:rPr>
              <w:t>January 1980</w:t>
            </w:r>
          </w:p>
        </w:tc>
        <w:tc>
          <w:tcPr>
            <w:tcW w:w="3869" w:type="dxa"/>
            <w:tcBorders>
              <w:top w:val="single" w:sz="4" w:space="0" w:color="auto"/>
              <w:left w:val="single" w:sz="4" w:space="0" w:color="auto"/>
              <w:bottom w:val="single" w:sz="4" w:space="0" w:color="auto"/>
              <w:right w:val="single" w:sz="4" w:space="0" w:color="auto"/>
            </w:tcBorders>
          </w:tcPr>
          <w:p w14:paraId="2B7E87C0" w14:textId="4DEB4D63" w:rsidR="00AC7848" w:rsidRPr="00D9152B" w:rsidRDefault="00AC7848" w:rsidP="00130ADA">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Merck:</w:t>
            </w:r>
            <w:r w:rsidRPr="00D9152B">
              <w:rPr>
                <w:rFonts w:ascii="Calibri" w:hAnsi="Calibri" w:cs="Calibri"/>
                <w:sz w:val="18"/>
                <w:szCs w:val="18"/>
              </w:rPr>
              <w:t xml:space="preserve"> Research Management Council approves initial clinical trials</w:t>
            </w:r>
            <w:r w:rsidR="00D12A94" w:rsidRPr="00D9152B">
              <w:rPr>
                <w:rFonts w:ascii="Calibri" w:hAnsi="Calibri" w:cs="Calibri"/>
                <w:sz w:val="18"/>
                <w:szCs w:val="18"/>
              </w:rPr>
              <w:t>.</w:t>
            </w:r>
          </w:p>
        </w:tc>
        <w:tc>
          <w:tcPr>
            <w:tcW w:w="3686" w:type="dxa"/>
            <w:tcBorders>
              <w:top w:val="single" w:sz="4" w:space="0" w:color="auto"/>
              <w:left w:val="single" w:sz="4" w:space="0" w:color="auto"/>
              <w:bottom w:val="single" w:sz="4" w:space="0" w:color="auto"/>
              <w:right w:val="single" w:sz="4" w:space="0" w:color="auto"/>
            </w:tcBorders>
          </w:tcPr>
          <w:p w14:paraId="302A899F" w14:textId="77777777" w:rsidR="00AC7848" w:rsidRPr="00D9152B" w:rsidRDefault="00AC7848" w:rsidP="00130ADA">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(Same)</w:t>
            </w:r>
          </w:p>
        </w:tc>
      </w:tr>
      <w:tr w:rsidR="00AC7848" w:rsidRPr="00D9152B" w14:paraId="124831DC" w14:textId="77777777" w:rsidTr="00B72D22">
        <w:tc>
          <w:tcPr>
            <w:cnfStyle w:val="001000000000" w:firstRow="0" w:lastRow="0" w:firstColumn="1" w:lastColumn="0" w:oddVBand="0" w:evenVBand="0" w:oddHBand="0" w:evenHBand="0" w:firstRowFirstColumn="0" w:firstRowLastColumn="0" w:lastRowFirstColumn="0" w:lastRowLastColumn="0"/>
            <w:tcW w:w="1371" w:type="dxa"/>
            <w:tcBorders>
              <w:top w:val="single" w:sz="4" w:space="0" w:color="auto"/>
              <w:bottom w:val="single" w:sz="4" w:space="0" w:color="auto"/>
              <w:right w:val="single" w:sz="4" w:space="0" w:color="auto"/>
            </w:tcBorders>
          </w:tcPr>
          <w:p w14:paraId="57E8F88A" w14:textId="77777777" w:rsidR="00AC7848" w:rsidRPr="00D9152B" w:rsidRDefault="00AC7848" w:rsidP="00130ADA">
            <w:pPr>
              <w:rPr>
                <w:rFonts w:ascii="Calibri" w:hAnsi="Calibri" w:cs="Calibri"/>
                <w:sz w:val="18"/>
                <w:szCs w:val="18"/>
              </w:rPr>
            </w:pPr>
            <w:r w:rsidRPr="00D9152B">
              <w:rPr>
                <w:rFonts w:ascii="Calibri" w:hAnsi="Calibri" w:cs="Calibri"/>
                <w:sz w:val="18"/>
                <w:szCs w:val="18"/>
              </w:rPr>
              <w:t>July 1980</w:t>
            </w:r>
          </w:p>
        </w:tc>
        <w:tc>
          <w:tcPr>
            <w:tcW w:w="3869" w:type="dxa"/>
            <w:tcBorders>
              <w:top w:val="single" w:sz="4" w:space="0" w:color="auto"/>
              <w:left w:val="single" w:sz="4" w:space="0" w:color="auto"/>
              <w:bottom w:val="single" w:sz="4" w:space="0" w:color="auto"/>
              <w:right w:val="single" w:sz="4" w:space="0" w:color="auto"/>
            </w:tcBorders>
          </w:tcPr>
          <w:p w14:paraId="1F93AF69" w14:textId="7BDC4FB8" w:rsidR="00AC7848" w:rsidRPr="00D9152B" w:rsidRDefault="00AC7848" w:rsidP="00130ADA">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Merck:</w:t>
            </w:r>
            <w:r w:rsidRPr="00D9152B">
              <w:rPr>
                <w:rFonts w:ascii="Calibri" w:hAnsi="Calibri" w:cs="Calibri"/>
                <w:sz w:val="18"/>
                <w:szCs w:val="18"/>
              </w:rPr>
              <w:t xml:space="preserve"> Management approves clinical operational plan for human clinical trials</w:t>
            </w:r>
            <w:r w:rsidR="00D12A94" w:rsidRPr="00D9152B">
              <w:rPr>
                <w:rFonts w:ascii="Calibri" w:hAnsi="Calibri" w:cs="Calibri"/>
                <w:sz w:val="18"/>
                <w:szCs w:val="18"/>
              </w:rPr>
              <w:t>.</w:t>
            </w:r>
          </w:p>
        </w:tc>
        <w:tc>
          <w:tcPr>
            <w:tcW w:w="3686" w:type="dxa"/>
            <w:tcBorders>
              <w:top w:val="single" w:sz="4" w:space="0" w:color="auto"/>
              <w:left w:val="single" w:sz="4" w:space="0" w:color="auto"/>
              <w:bottom w:val="single" w:sz="4" w:space="0" w:color="auto"/>
              <w:right w:val="single" w:sz="4" w:space="0" w:color="auto"/>
            </w:tcBorders>
          </w:tcPr>
          <w:p w14:paraId="7FBD0A7C" w14:textId="77777777" w:rsidR="00AC7848" w:rsidRPr="00D9152B" w:rsidRDefault="00AC7848" w:rsidP="00130ADA">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(Same)</w:t>
            </w:r>
          </w:p>
        </w:tc>
      </w:tr>
      <w:tr w:rsidR="00AC7848" w:rsidRPr="00D9152B" w14:paraId="4999A766" w14:textId="77777777" w:rsidTr="00B72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dxa"/>
            <w:tcBorders>
              <w:top w:val="single" w:sz="4" w:space="0" w:color="auto"/>
              <w:bottom w:val="single" w:sz="4" w:space="0" w:color="auto"/>
              <w:right w:val="single" w:sz="4" w:space="0" w:color="auto"/>
            </w:tcBorders>
          </w:tcPr>
          <w:p w14:paraId="76AD6D4E" w14:textId="77777777" w:rsidR="00AC7848" w:rsidRPr="00D9152B" w:rsidRDefault="00AC7848" w:rsidP="00130ADA">
            <w:pPr>
              <w:rPr>
                <w:rFonts w:ascii="Calibri" w:hAnsi="Calibri" w:cs="Calibri"/>
                <w:sz w:val="18"/>
                <w:szCs w:val="18"/>
              </w:rPr>
            </w:pPr>
            <w:r w:rsidRPr="00D9152B">
              <w:rPr>
                <w:rFonts w:ascii="Calibri" w:hAnsi="Calibri" w:cs="Calibri"/>
                <w:sz w:val="18"/>
                <w:szCs w:val="18"/>
              </w:rPr>
              <w:t>October 1980</w:t>
            </w:r>
          </w:p>
        </w:tc>
        <w:tc>
          <w:tcPr>
            <w:tcW w:w="3869" w:type="dxa"/>
            <w:tcBorders>
              <w:top w:val="single" w:sz="4" w:space="0" w:color="auto"/>
              <w:left w:val="single" w:sz="4" w:space="0" w:color="auto"/>
              <w:bottom w:val="single" w:sz="4" w:space="0" w:color="auto"/>
              <w:right w:val="single" w:sz="4" w:space="0" w:color="auto"/>
            </w:tcBorders>
          </w:tcPr>
          <w:p w14:paraId="764745DD" w14:textId="3DF796B8" w:rsidR="00AC7848" w:rsidRPr="00D9152B" w:rsidRDefault="00AC7848" w:rsidP="00C4737B">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WHO:</w:t>
            </w:r>
            <w:r w:rsidR="00C4737B" w:rsidRPr="00D9152B">
              <w:rPr>
                <w:rFonts w:ascii="Calibri" w:hAnsi="Calibri" w:cs="Calibri"/>
                <w:sz w:val="18"/>
                <w:szCs w:val="18"/>
              </w:rPr>
              <w:t xml:space="preserve"> Meeting of WHO w</w:t>
            </w:r>
            <w:r w:rsidRPr="00D9152B">
              <w:rPr>
                <w:rFonts w:ascii="Calibri" w:hAnsi="Calibri" w:cs="Calibri"/>
                <w:sz w:val="18"/>
                <w:szCs w:val="18"/>
              </w:rPr>
              <w:t xml:space="preserve">orking </w:t>
            </w:r>
            <w:r w:rsidR="00C4737B" w:rsidRPr="00D9152B">
              <w:rPr>
                <w:rFonts w:ascii="Calibri" w:hAnsi="Calibri" w:cs="Calibri"/>
                <w:sz w:val="18"/>
                <w:szCs w:val="18"/>
              </w:rPr>
              <w:t>g</w:t>
            </w:r>
            <w:r w:rsidRPr="00D9152B">
              <w:rPr>
                <w:rFonts w:ascii="Calibri" w:hAnsi="Calibri" w:cs="Calibri"/>
                <w:sz w:val="18"/>
                <w:szCs w:val="18"/>
              </w:rPr>
              <w:t xml:space="preserve">roup on </w:t>
            </w:r>
            <w:r w:rsidR="009257F8">
              <w:rPr>
                <w:rFonts w:ascii="Calibri" w:hAnsi="Calibri" w:cs="Calibri"/>
                <w:sz w:val="18"/>
                <w:szCs w:val="18"/>
              </w:rPr>
              <w:t>f</w:t>
            </w:r>
            <w:r w:rsidRPr="00D9152B">
              <w:rPr>
                <w:rFonts w:ascii="Calibri" w:hAnsi="Calibri" w:cs="Calibri"/>
                <w:sz w:val="18"/>
                <w:szCs w:val="18"/>
              </w:rPr>
              <w:t xml:space="preserve">ilariasis, </w:t>
            </w:r>
            <w:r w:rsidR="00C4737B" w:rsidRPr="00D9152B">
              <w:rPr>
                <w:rFonts w:ascii="Calibri" w:hAnsi="Calibri" w:cs="Calibri"/>
                <w:sz w:val="18"/>
                <w:szCs w:val="18"/>
              </w:rPr>
              <w:t>with discussions of IVM efficacy and WHO-financed trial in cattle</w:t>
            </w:r>
            <w:r w:rsidR="00D12A94" w:rsidRPr="00D9152B">
              <w:rPr>
                <w:rFonts w:ascii="Calibri" w:hAnsi="Calibri" w:cs="Calibri"/>
                <w:sz w:val="18"/>
                <w:szCs w:val="18"/>
              </w:rPr>
              <w:t>.</w:t>
            </w:r>
            <w:r w:rsidR="00C4737B" w:rsidRPr="00D9152B">
              <w:rPr>
                <w:rFonts w:ascii="Calibri" w:hAnsi="Calibri" w:cs="Calibri"/>
                <w:sz w:val="18"/>
                <w:szCs w:val="18"/>
              </w:rPr>
              <w:t xml:space="preserve"> </w:t>
            </w:r>
          </w:p>
        </w:tc>
        <w:tc>
          <w:tcPr>
            <w:tcW w:w="3686" w:type="dxa"/>
            <w:tcBorders>
              <w:top w:val="single" w:sz="4" w:space="0" w:color="auto"/>
              <w:left w:val="single" w:sz="4" w:space="0" w:color="auto"/>
              <w:bottom w:val="single" w:sz="4" w:space="0" w:color="auto"/>
              <w:right w:val="single" w:sz="4" w:space="0" w:color="auto"/>
            </w:tcBorders>
          </w:tcPr>
          <w:p w14:paraId="27502B4B" w14:textId="77777777" w:rsidR="00AC7848" w:rsidRPr="00D9152B" w:rsidRDefault="00AC7848" w:rsidP="00130ADA">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(Same)</w:t>
            </w:r>
          </w:p>
        </w:tc>
      </w:tr>
      <w:tr w:rsidR="00AC7848" w:rsidRPr="00D9152B" w14:paraId="59AFEC56" w14:textId="77777777" w:rsidTr="00B72D22">
        <w:tc>
          <w:tcPr>
            <w:cnfStyle w:val="001000000000" w:firstRow="0" w:lastRow="0" w:firstColumn="1" w:lastColumn="0" w:oddVBand="0" w:evenVBand="0" w:oddHBand="0" w:evenHBand="0" w:firstRowFirstColumn="0" w:firstRowLastColumn="0" w:lastRowFirstColumn="0" w:lastRowLastColumn="0"/>
            <w:tcW w:w="1371" w:type="dxa"/>
            <w:tcBorders>
              <w:top w:val="single" w:sz="4" w:space="0" w:color="auto"/>
              <w:bottom w:val="single" w:sz="4" w:space="0" w:color="auto"/>
              <w:right w:val="single" w:sz="4" w:space="0" w:color="auto"/>
            </w:tcBorders>
          </w:tcPr>
          <w:p w14:paraId="26B7D504" w14:textId="77777777" w:rsidR="00AC7848" w:rsidRPr="00D9152B" w:rsidRDefault="00AC7848" w:rsidP="00130ADA">
            <w:pPr>
              <w:rPr>
                <w:rFonts w:ascii="Calibri" w:hAnsi="Calibri" w:cs="Calibri"/>
                <w:sz w:val="18"/>
                <w:szCs w:val="18"/>
              </w:rPr>
            </w:pPr>
            <w:r w:rsidRPr="00D9152B">
              <w:rPr>
                <w:rFonts w:ascii="Calibri" w:hAnsi="Calibri" w:cs="Calibri"/>
                <w:sz w:val="18"/>
                <w:szCs w:val="18"/>
              </w:rPr>
              <w:t>January 1981</w:t>
            </w:r>
          </w:p>
        </w:tc>
        <w:tc>
          <w:tcPr>
            <w:tcW w:w="3869" w:type="dxa"/>
            <w:tcBorders>
              <w:top w:val="single" w:sz="4" w:space="0" w:color="auto"/>
              <w:left w:val="single" w:sz="4" w:space="0" w:color="auto"/>
              <w:bottom w:val="single" w:sz="4" w:space="0" w:color="auto"/>
              <w:right w:val="single" w:sz="4" w:space="0" w:color="auto"/>
            </w:tcBorders>
          </w:tcPr>
          <w:p w14:paraId="7573AF93" w14:textId="42FA113E" w:rsidR="00AC7848" w:rsidRPr="00D9152B" w:rsidRDefault="00AC7848" w:rsidP="00C4737B">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Merck:</w:t>
            </w:r>
            <w:r w:rsidRPr="00D9152B">
              <w:rPr>
                <w:rFonts w:ascii="Calibri" w:hAnsi="Calibri" w:cs="Calibri"/>
                <w:sz w:val="18"/>
                <w:szCs w:val="18"/>
              </w:rPr>
              <w:t xml:space="preserve"> IVM principal investigator visits Dakar with team </w:t>
            </w:r>
            <w:r w:rsidR="00C4737B" w:rsidRPr="00D9152B">
              <w:rPr>
                <w:rFonts w:ascii="Calibri" w:hAnsi="Calibri" w:cs="Calibri"/>
                <w:sz w:val="18"/>
                <w:szCs w:val="18"/>
              </w:rPr>
              <w:t>for</w:t>
            </w:r>
            <w:r w:rsidRPr="00D9152B">
              <w:rPr>
                <w:rFonts w:ascii="Calibri" w:hAnsi="Calibri" w:cs="Calibri"/>
                <w:sz w:val="18"/>
                <w:szCs w:val="18"/>
              </w:rPr>
              <w:t xml:space="preserve"> hu</w:t>
            </w:r>
            <w:r w:rsidR="00C4737B" w:rsidRPr="00D9152B">
              <w:rPr>
                <w:rFonts w:ascii="Calibri" w:hAnsi="Calibri" w:cs="Calibri"/>
                <w:sz w:val="18"/>
                <w:szCs w:val="18"/>
              </w:rPr>
              <w:t xml:space="preserve">man trial. Merck’s protocol </w:t>
            </w:r>
            <w:r w:rsidRPr="00D9152B">
              <w:rPr>
                <w:rFonts w:ascii="Calibri" w:hAnsi="Calibri" w:cs="Calibri"/>
                <w:sz w:val="18"/>
                <w:szCs w:val="18"/>
              </w:rPr>
              <w:t>approved.</w:t>
            </w:r>
          </w:p>
        </w:tc>
        <w:tc>
          <w:tcPr>
            <w:tcW w:w="3686" w:type="dxa"/>
            <w:tcBorders>
              <w:top w:val="single" w:sz="4" w:space="0" w:color="auto"/>
              <w:left w:val="single" w:sz="4" w:space="0" w:color="auto"/>
              <w:bottom w:val="single" w:sz="4" w:space="0" w:color="auto"/>
              <w:right w:val="single" w:sz="4" w:space="0" w:color="auto"/>
            </w:tcBorders>
          </w:tcPr>
          <w:p w14:paraId="72239249" w14:textId="77777777" w:rsidR="00AC7848" w:rsidRPr="00D9152B" w:rsidRDefault="00AC7848" w:rsidP="00130ADA">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(Same)</w:t>
            </w:r>
          </w:p>
        </w:tc>
      </w:tr>
      <w:tr w:rsidR="00AC7848" w:rsidRPr="00D9152B" w14:paraId="3D2B3817" w14:textId="77777777" w:rsidTr="00B72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dxa"/>
            <w:tcBorders>
              <w:top w:val="single" w:sz="4" w:space="0" w:color="auto"/>
              <w:bottom w:val="single" w:sz="4" w:space="0" w:color="auto"/>
              <w:right w:val="single" w:sz="4" w:space="0" w:color="auto"/>
            </w:tcBorders>
          </w:tcPr>
          <w:p w14:paraId="4D0A75C9" w14:textId="77777777" w:rsidR="00AC7848" w:rsidRPr="00D9152B" w:rsidRDefault="00AC7848" w:rsidP="00130ADA">
            <w:pPr>
              <w:rPr>
                <w:rFonts w:ascii="Calibri" w:hAnsi="Calibri" w:cs="Calibri"/>
                <w:sz w:val="18"/>
                <w:szCs w:val="18"/>
              </w:rPr>
            </w:pPr>
            <w:r w:rsidRPr="00D9152B">
              <w:rPr>
                <w:rFonts w:ascii="Calibri" w:hAnsi="Calibri" w:cs="Calibri"/>
                <w:sz w:val="18"/>
                <w:szCs w:val="18"/>
              </w:rPr>
              <w:t>February 1981</w:t>
            </w:r>
          </w:p>
        </w:tc>
        <w:tc>
          <w:tcPr>
            <w:tcW w:w="3869" w:type="dxa"/>
            <w:tcBorders>
              <w:top w:val="single" w:sz="4" w:space="0" w:color="auto"/>
              <w:left w:val="single" w:sz="4" w:space="0" w:color="auto"/>
              <w:bottom w:val="single" w:sz="4" w:space="0" w:color="auto"/>
              <w:right w:val="single" w:sz="4" w:space="0" w:color="auto"/>
            </w:tcBorders>
          </w:tcPr>
          <w:p w14:paraId="255571FE" w14:textId="33365100" w:rsidR="00AC7848" w:rsidRPr="00D9152B" w:rsidRDefault="00AC7848" w:rsidP="00C4737B">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Merck:</w:t>
            </w:r>
            <w:r w:rsidRPr="00D9152B">
              <w:rPr>
                <w:rFonts w:ascii="Calibri" w:hAnsi="Calibri" w:cs="Calibri"/>
                <w:sz w:val="18"/>
                <w:szCs w:val="18"/>
              </w:rPr>
              <w:t xml:space="preserve"> First onchocerciasis patients for IVM clinical trial.</w:t>
            </w:r>
          </w:p>
        </w:tc>
        <w:tc>
          <w:tcPr>
            <w:tcW w:w="3686" w:type="dxa"/>
            <w:tcBorders>
              <w:top w:val="single" w:sz="4" w:space="0" w:color="auto"/>
              <w:left w:val="single" w:sz="4" w:space="0" w:color="auto"/>
              <w:bottom w:val="single" w:sz="4" w:space="0" w:color="auto"/>
              <w:right w:val="single" w:sz="4" w:space="0" w:color="auto"/>
            </w:tcBorders>
          </w:tcPr>
          <w:p w14:paraId="5A02EC2C" w14:textId="77777777" w:rsidR="00AC7848" w:rsidRPr="00D9152B" w:rsidRDefault="00AC7848" w:rsidP="00130ADA">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(Same)</w:t>
            </w:r>
          </w:p>
        </w:tc>
      </w:tr>
      <w:tr w:rsidR="00AC7848" w:rsidRPr="00D9152B" w14:paraId="67F7DE83" w14:textId="77777777" w:rsidTr="00B72D22">
        <w:tc>
          <w:tcPr>
            <w:cnfStyle w:val="001000000000" w:firstRow="0" w:lastRow="0" w:firstColumn="1" w:lastColumn="0" w:oddVBand="0" w:evenVBand="0" w:oddHBand="0" w:evenHBand="0" w:firstRowFirstColumn="0" w:firstRowLastColumn="0" w:lastRowFirstColumn="0" w:lastRowLastColumn="0"/>
            <w:tcW w:w="1371" w:type="dxa"/>
            <w:tcBorders>
              <w:top w:val="single" w:sz="4" w:space="0" w:color="auto"/>
              <w:bottom w:val="single" w:sz="4" w:space="0" w:color="auto"/>
              <w:right w:val="single" w:sz="4" w:space="0" w:color="auto"/>
            </w:tcBorders>
          </w:tcPr>
          <w:p w14:paraId="3E13979B" w14:textId="77777777" w:rsidR="00AC7848" w:rsidRPr="00D9152B" w:rsidRDefault="00AC7848" w:rsidP="00130ADA">
            <w:pPr>
              <w:rPr>
                <w:rFonts w:ascii="Calibri" w:hAnsi="Calibri" w:cs="Calibri"/>
                <w:sz w:val="18"/>
                <w:szCs w:val="18"/>
              </w:rPr>
            </w:pPr>
            <w:r w:rsidRPr="00D9152B">
              <w:rPr>
                <w:rFonts w:ascii="Calibri" w:hAnsi="Calibri" w:cs="Calibri"/>
                <w:sz w:val="18"/>
                <w:szCs w:val="18"/>
              </w:rPr>
              <w:t>December 1981</w:t>
            </w:r>
          </w:p>
        </w:tc>
        <w:tc>
          <w:tcPr>
            <w:tcW w:w="3869" w:type="dxa"/>
            <w:tcBorders>
              <w:top w:val="single" w:sz="4" w:space="0" w:color="auto"/>
              <w:left w:val="single" w:sz="4" w:space="0" w:color="auto"/>
              <w:bottom w:val="single" w:sz="4" w:space="0" w:color="auto"/>
              <w:right w:val="single" w:sz="4" w:space="0" w:color="auto"/>
            </w:tcBorders>
          </w:tcPr>
          <w:p w14:paraId="10ABF991" w14:textId="77777777" w:rsidR="00AC7848" w:rsidRPr="00D9152B" w:rsidRDefault="00AC7848" w:rsidP="00130ADA">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Merck:</w:t>
            </w:r>
            <w:r w:rsidRPr="00D9152B">
              <w:rPr>
                <w:rFonts w:ascii="Calibri" w:hAnsi="Calibri" w:cs="Calibri"/>
                <w:sz w:val="18"/>
                <w:szCs w:val="18"/>
              </w:rPr>
              <w:t xml:space="preserve"> Protocol approved for Paris study in 10 patients ‘to confirm Dakar experience’.</w:t>
            </w:r>
          </w:p>
        </w:tc>
        <w:tc>
          <w:tcPr>
            <w:tcW w:w="3686" w:type="dxa"/>
            <w:tcBorders>
              <w:top w:val="single" w:sz="4" w:space="0" w:color="auto"/>
              <w:left w:val="single" w:sz="4" w:space="0" w:color="auto"/>
              <w:bottom w:val="single" w:sz="4" w:space="0" w:color="auto"/>
              <w:right w:val="single" w:sz="4" w:space="0" w:color="auto"/>
            </w:tcBorders>
          </w:tcPr>
          <w:p w14:paraId="3091E480" w14:textId="77777777" w:rsidR="00AC7848" w:rsidRPr="00D9152B" w:rsidRDefault="00AC7848" w:rsidP="00130ADA">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(Same)</w:t>
            </w:r>
          </w:p>
        </w:tc>
      </w:tr>
      <w:tr w:rsidR="00AC7848" w:rsidRPr="00D9152B" w14:paraId="59EE986D" w14:textId="77777777" w:rsidTr="00B72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dxa"/>
            <w:tcBorders>
              <w:top w:val="single" w:sz="4" w:space="0" w:color="auto"/>
              <w:bottom w:val="single" w:sz="4" w:space="0" w:color="auto"/>
              <w:right w:val="single" w:sz="4" w:space="0" w:color="auto"/>
            </w:tcBorders>
          </w:tcPr>
          <w:p w14:paraId="2B202387" w14:textId="77777777" w:rsidR="00AC7848" w:rsidRPr="00D9152B" w:rsidRDefault="00AC7848" w:rsidP="00130ADA">
            <w:pPr>
              <w:rPr>
                <w:rFonts w:ascii="Calibri" w:hAnsi="Calibri" w:cs="Calibri"/>
                <w:sz w:val="18"/>
                <w:szCs w:val="18"/>
              </w:rPr>
            </w:pPr>
            <w:r w:rsidRPr="00D9152B">
              <w:rPr>
                <w:rFonts w:ascii="Calibri" w:hAnsi="Calibri" w:cs="Calibri"/>
                <w:sz w:val="18"/>
                <w:szCs w:val="18"/>
              </w:rPr>
              <w:lastRenderedPageBreak/>
              <w:t>March 1982</w:t>
            </w:r>
          </w:p>
        </w:tc>
        <w:tc>
          <w:tcPr>
            <w:tcW w:w="3869" w:type="dxa"/>
            <w:tcBorders>
              <w:top w:val="single" w:sz="4" w:space="0" w:color="auto"/>
              <w:left w:val="single" w:sz="4" w:space="0" w:color="auto"/>
              <w:bottom w:val="single" w:sz="4" w:space="0" w:color="auto"/>
              <w:right w:val="single" w:sz="4" w:space="0" w:color="auto"/>
            </w:tcBorders>
          </w:tcPr>
          <w:p w14:paraId="0AFFC704" w14:textId="77777777" w:rsidR="00AC7848" w:rsidRPr="00D9152B" w:rsidRDefault="00AC7848" w:rsidP="00130ADA">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Merck:</w:t>
            </w:r>
            <w:r w:rsidRPr="00D9152B">
              <w:rPr>
                <w:rFonts w:ascii="Calibri" w:hAnsi="Calibri" w:cs="Calibri"/>
                <w:sz w:val="18"/>
                <w:szCs w:val="18"/>
              </w:rPr>
              <w:t xml:space="preserve"> Results of first clinical study with IVM in Senegal published in </w:t>
            </w:r>
            <w:r w:rsidRPr="00D9152B">
              <w:rPr>
                <w:rFonts w:ascii="Calibri" w:hAnsi="Calibri" w:cs="Calibri"/>
                <w:i/>
                <w:sz w:val="18"/>
                <w:szCs w:val="18"/>
              </w:rPr>
              <w:t>The Lancet</w:t>
            </w:r>
            <w:r w:rsidRPr="00D9152B">
              <w:rPr>
                <w:rFonts w:ascii="Calibri" w:hAnsi="Calibri" w:cs="Calibri"/>
                <w:sz w:val="18"/>
                <w:szCs w:val="18"/>
              </w:rPr>
              <w:t>.</w:t>
            </w:r>
          </w:p>
        </w:tc>
        <w:tc>
          <w:tcPr>
            <w:tcW w:w="3686" w:type="dxa"/>
            <w:tcBorders>
              <w:top w:val="single" w:sz="4" w:space="0" w:color="auto"/>
              <w:left w:val="single" w:sz="4" w:space="0" w:color="auto"/>
              <w:bottom w:val="single" w:sz="4" w:space="0" w:color="auto"/>
              <w:right w:val="single" w:sz="4" w:space="0" w:color="auto"/>
            </w:tcBorders>
          </w:tcPr>
          <w:p w14:paraId="1182972F" w14:textId="77777777" w:rsidR="00AC7848" w:rsidRPr="00D9152B" w:rsidRDefault="00AC7848" w:rsidP="00130ADA">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(Same)</w:t>
            </w:r>
          </w:p>
        </w:tc>
      </w:tr>
      <w:tr w:rsidR="00AC7848" w:rsidRPr="00D9152B" w14:paraId="589AC75A" w14:textId="77777777" w:rsidTr="00B72D22">
        <w:tc>
          <w:tcPr>
            <w:cnfStyle w:val="001000000000" w:firstRow="0" w:lastRow="0" w:firstColumn="1" w:lastColumn="0" w:oddVBand="0" w:evenVBand="0" w:oddHBand="0" w:evenHBand="0" w:firstRowFirstColumn="0" w:firstRowLastColumn="0" w:lastRowFirstColumn="0" w:lastRowLastColumn="0"/>
            <w:tcW w:w="1371" w:type="dxa"/>
            <w:tcBorders>
              <w:top w:val="single" w:sz="4" w:space="0" w:color="auto"/>
              <w:bottom w:val="single" w:sz="4" w:space="0" w:color="auto"/>
              <w:right w:val="single" w:sz="4" w:space="0" w:color="auto"/>
            </w:tcBorders>
          </w:tcPr>
          <w:p w14:paraId="315A69D6" w14:textId="77777777" w:rsidR="00AC7848" w:rsidRPr="00D9152B" w:rsidRDefault="00AC7848" w:rsidP="00130ADA">
            <w:pPr>
              <w:rPr>
                <w:rFonts w:ascii="Calibri" w:hAnsi="Calibri" w:cs="Calibri"/>
                <w:sz w:val="18"/>
                <w:szCs w:val="18"/>
              </w:rPr>
            </w:pPr>
            <w:r w:rsidRPr="00D9152B">
              <w:rPr>
                <w:rFonts w:ascii="Calibri" w:hAnsi="Calibri" w:cs="Calibri"/>
                <w:sz w:val="18"/>
                <w:szCs w:val="18"/>
              </w:rPr>
              <w:t>November 1982</w:t>
            </w:r>
          </w:p>
        </w:tc>
        <w:tc>
          <w:tcPr>
            <w:tcW w:w="3869" w:type="dxa"/>
            <w:tcBorders>
              <w:top w:val="single" w:sz="4" w:space="0" w:color="auto"/>
              <w:left w:val="single" w:sz="4" w:space="0" w:color="auto"/>
              <w:bottom w:val="single" w:sz="4" w:space="0" w:color="auto"/>
              <w:right w:val="single" w:sz="4" w:space="0" w:color="auto"/>
            </w:tcBorders>
          </w:tcPr>
          <w:p w14:paraId="749B0138" w14:textId="77777777" w:rsidR="00AC7848" w:rsidRPr="00D9152B" w:rsidRDefault="00AC7848" w:rsidP="00130ADA">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tc>
        <w:tc>
          <w:tcPr>
            <w:tcW w:w="3686" w:type="dxa"/>
            <w:tcBorders>
              <w:top w:val="single" w:sz="4" w:space="0" w:color="auto"/>
              <w:left w:val="single" w:sz="4" w:space="0" w:color="auto"/>
              <w:bottom w:val="single" w:sz="4" w:space="0" w:color="auto"/>
              <w:right w:val="single" w:sz="4" w:space="0" w:color="auto"/>
            </w:tcBorders>
          </w:tcPr>
          <w:p w14:paraId="798AB04F" w14:textId="37589C81" w:rsidR="00AC7848" w:rsidRPr="00D9152B" w:rsidRDefault="00AC7848" w:rsidP="00C4737B">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WHO</w:t>
            </w:r>
            <w:r w:rsidRPr="00D9152B">
              <w:rPr>
                <w:rFonts w:ascii="Calibri" w:hAnsi="Calibri" w:cs="Calibri"/>
                <w:sz w:val="18"/>
                <w:szCs w:val="18"/>
              </w:rPr>
              <w:t xml:space="preserve">: </w:t>
            </w:r>
            <w:r w:rsidR="00C4737B" w:rsidRPr="00D9152B">
              <w:rPr>
                <w:rFonts w:ascii="Calibri" w:hAnsi="Calibri" w:cs="Calibri"/>
                <w:sz w:val="18"/>
                <w:szCs w:val="18"/>
              </w:rPr>
              <w:t>WHO</w:t>
            </w:r>
            <w:r w:rsidRPr="00D9152B">
              <w:rPr>
                <w:rFonts w:ascii="Calibri" w:hAnsi="Calibri" w:cs="Calibri"/>
                <w:sz w:val="18"/>
                <w:szCs w:val="18"/>
              </w:rPr>
              <w:t xml:space="preserve"> and Merck meet</w:t>
            </w:r>
            <w:r w:rsidR="00C4737B" w:rsidRPr="00D9152B">
              <w:rPr>
                <w:rFonts w:ascii="Calibri" w:hAnsi="Calibri" w:cs="Calibri"/>
                <w:sz w:val="18"/>
                <w:szCs w:val="18"/>
              </w:rPr>
              <w:t xml:space="preserve"> to discuss latest IVM results. D</w:t>
            </w:r>
            <w:r w:rsidRPr="00D9152B">
              <w:rPr>
                <w:rFonts w:ascii="Calibri" w:hAnsi="Calibri" w:cs="Calibri"/>
                <w:sz w:val="18"/>
                <w:szCs w:val="18"/>
              </w:rPr>
              <w:t xml:space="preserve">ecide to conduct double-blind studies </w:t>
            </w:r>
            <w:r w:rsidR="00C4737B" w:rsidRPr="00D9152B">
              <w:rPr>
                <w:rFonts w:ascii="Calibri" w:hAnsi="Calibri" w:cs="Calibri"/>
                <w:sz w:val="18"/>
                <w:szCs w:val="18"/>
              </w:rPr>
              <w:t xml:space="preserve">to </w:t>
            </w:r>
            <w:r w:rsidRPr="00D9152B">
              <w:rPr>
                <w:rFonts w:ascii="Calibri" w:hAnsi="Calibri" w:cs="Calibri"/>
                <w:sz w:val="18"/>
                <w:szCs w:val="18"/>
              </w:rPr>
              <w:t>compare IVM with DEC and placebo. Discuss design and techniques to use in trials.</w:t>
            </w:r>
          </w:p>
        </w:tc>
      </w:tr>
      <w:tr w:rsidR="00AC7848" w:rsidRPr="00D9152B" w14:paraId="6028FEB4" w14:textId="77777777" w:rsidTr="00B72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dxa"/>
            <w:tcBorders>
              <w:top w:val="single" w:sz="4" w:space="0" w:color="auto"/>
              <w:bottom w:val="single" w:sz="4" w:space="0" w:color="auto"/>
              <w:right w:val="single" w:sz="4" w:space="0" w:color="auto"/>
            </w:tcBorders>
          </w:tcPr>
          <w:p w14:paraId="44DE9CE4" w14:textId="77777777" w:rsidR="00AC7848" w:rsidRPr="00D9152B" w:rsidRDefault="00AC7848" w:rsidP="00130ADA">
            <w:pPr>
              <w:rPr>
                <w:rFonts w:ascii="Calibri" w:hAnsi="Calibri" w:cs="Calibri"/>
                <w:sz w:val="18"/>
                <w:szCs w:val="18"/>
              </w:rPr>
            </w:pPr>
            <w:r w:rsidRPr="00D9152B">
              <w:rPr>
                <w:rFonts w:ascii="Calibri" w:hAnsi="Calibri" w:cs="Calibri"/>
                <w:sz w:val="18"/>
                <w:szCs w:val="18"/>
              </w:rPr>
              <w:t>June 1983</w:t>
            </w:r>
          </w:p>
        </w:tc>
        <w:tc>
          <w:tcPr>
            <w:tcW w:w="3869" w:type="dxa"/>
            <w:tcBorders>
              <w:top w:val="single" w:sz="4" w:space="0" w:color="auto"/>
              <w:left w:val="single" w:sz="4" w:space="0" w:color="auto"/>
              <w:bottom w:val="single" w:sz="4" w:space="0" w:color="auto"/>
              <w:right w:val="single" w:sz="4" w:space="0" w:color="auto"/>
            </w:tcBorders>
          </w:tcPr>
          <w:p w14:paraId="2B359E76" w14:textId="77777777" w:rsidR="00AC7848" w:rsidRPr="00D9152B" w:rsidRDefault="00AC7848" w:rsidP="00130ADA">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p>
        </w:tc>
        <w:tc>
          <w:tcPr>
            <w:tcW w:w="3686" w:type="dxa"/>
            <w:tcBorders>
              <w:top w:val="single" w:sz="4" w:space="0" w:color="auto"/>
              <w:left w:val="single" w:sz="4" w:space="0" w:color="auto"/>
              <w:bottom w:val="single" w:sz="4" w:space="0" w:color="auto"/>
              <w:right w:val="single" w:sz="4" w:space="0" w:color="auto"/>
            </w:tcBorders>
          </w:tcPr>
          <w:p w14:paraId="430CE138" w14:textId="47D27C13" w:rsidR="00AC7848" w:rsidRPr="00D9152B" w:rsidRDefault="00AC7848" w:rsidP="00130ADA">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WHO</w:t>
            </w:r>
            <w:r w:rsidRPr="00D9152B">
              <w:rPr>
                <w:rFonts w:ascii="Calibri" w:hAnsi="Calibri" w:cs="Calibri"/>
                <w:sz w:val="18"/>
                <w:szCs w:val="18"/>
              </w:rPr>
              <w:t xml:space="preserve">: OCRC Tamale (WHO supported) begins open dose ranging trial of IVM in 19 patients. </w:t>
            </w:r>
            <w:r w:rsidRPr="009257F8">
              <w:rPr>
                <w:rFonts w:ascii="Calibri" w:hAnsi="Calibri" w:cs="Calibri"/>
                <w:b/>
                <w:sz w:val="18"/>
                <w:szCs w:val="18"/>
              </w:rPr>
              <w:t>Merck:</w:t>
            </w:r>
            <w:r w:rsidRPr="00D9152B">
              <w:rPr>
                <w:rFonts w:ascii="Calibri" w:hAnsi="Calibri" w:cs="Calibri"/>
                <w:sz w:val="18"/>
                <w:szCs w:val="18"/>
              </w:rPr>
              <w:t xml:space="preserve"> </w:t>
            </w:r>
            <w:r w:rsidR="009C05EE">
              <w:rPr>
                <w:rFonts w:ascii="Calibri" w:hAnsi="Calibri" w:cs="Calibri"/>
                <w:sz w:val="18"/>
                <w:szCs w:val="18"/>
              </w:rPr>
              <w:t>P</w:t>
            </w:r>
            <w:r w:rsidRPr="00D9152B">
              <w:rPr>
                <w:rFonts w:ascii="Calibri" w:hAnsi="Calibri" w:cs="Calibri"/>
                <w:sz w:val="18"/>
                <w:szCs w:val="18"/>
              </w:rPr>
              <w:t>rovides small grant support.</w:t>
            </w:r>
          </w:p>
        </w:tc>
      </w:tr>
      <w:tr w:rsidR="00AC7848" w:rsidRPr="00D9152B" w14:paraId="3BC0D36A" w14:textId="77777777" w:rsidTr="00B72D22">
        <w:tc>
          <w:tcPr>
            <w:cnfStyle w:val="001000000000" w:firstRow="0" w:lastRow="0" w:firstColumn="1" w:lastColumn="0" w:oddVBand="0" w:evenVBand="0" w:oddHBand="0" w:evenHBand="0" w:firstRowFirstColumn="0" w:firstRowLastColumn="0" w:lastRowFirstColumn="0" w:lastRowLastColumn="0"/>
            <w:tcW w:w="1371" w:type="dxa"/>
            <w:tcBorders>
              <w:top w:val="single" w:sz="4" w:space="0" w:color="auto"/>
              <w:bottom w:val="single" w:sz="4" w:space="0" w:color="auto"/>
              <w:right w:val="single" w:sz="4" w:space="0" w:color="auto"/>
            </w:tcBorders>
          </w:tcPr>
          <w:p w14:paraId="1FC025AC" w14:textId="77777777" w:rsidR="00AC7848" w:rsidRPr="00D9152B" w:rsidRDefault="00AC7848" w:rsidP="00130ADA">
            <w:pPr>
              <w:rPr>
                <w:rFonts w:ascii="Calibri" w:hAnsi="Calibri" w:cs="Calibri"/>
                <w:sz w:val="18"/>
                <w:szCs w:val="18"/>
              </w:rPr>
            </w:pPr>
            <w:r w:rsidRPr="00D9152B">
              <w:rPr>
                <w:rFonts w:ascii="Calibri" w:hAnsi="Calibri" w:cs="Calibri"/>
                <w:sz w:val="18"/>
                <w:szCs w:val="18"/>
              </w:rPr>
              <w:t>October 1983</w:t>
            </w:r>
          </w:p>
        </w:tc>
        <w:tc>
          <w:tcPr>
            <w:tcW w:w="3869" w:type="dxa"/>
            <w:tcBorders>
              <w:top w:val="single" w:sz="4" w:space="0" w:color="auto"/>
              <w:left w:val="single" w:sz="4" w:space="0" w:color="auto"/>
              <w:bottom w:val="single" w:sz="4" w:space="0" w:color="auto"/>
              <w:right w:val="single" w:sz="4" w:space="0" w:color="auto"/>
            </w:tcBorders>
          </w:tcPr>
          <w:p w14:paraId="2971E8A4" w14:textId="77777777" w:rsidR="00AC7848" w:rsidRPr="00D9152B" w:rsidRDefault="00AC7848" w:rsidP="00130ADA">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tc>
        <w:tc>
          <w:tcPr>
            <w:tcW w:w="3686" w:type="dxa"/>
            <w:tcBorders>
              <w:top w:val="single" w:sz="4" w:space="0" w:color="auto"/>
              <w:left w:val="single" w:sz="4" w:space="0" w:color="auto"/>
              <w:bottom w:val="single" w:sz="4" w:space="0" w:color="auto"/>
              <w:right w:val="single" w:sz="4" w:space="0" w:color="auto"/>
            </w:tcBorders>
          </w:tcPr>
          <w:p w14:paraId="11F6950D" w14:textId="77777777" w:rsidR="00AC7848" w:rsidRPr="00D9152B" w:rsidRDefault="00AC7848" w:rsidP="00130ADA">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WHO</w:t>
            </w:r>
            <w:r w:rsidRPr="00D9152B">
              <w:rPr>
                <w:rFonts w:ascii="Calibri" w:hAnsi="Calibri" w:cs="Calibri"/>
                <w:sz w:val="18"/>
                <w:szCs w:val="18"/>
              </w:rPr>
              <w:t>: OCT agrees to fund double-blind study on IVM/DEC/placebo in Liberia; begins planning transmission and chemoprophylactic studies.</w:t>
            </w:r>
          </w:p>
        </w:tc>
      </w:tr>
      <w:tr w:rsidR="00AC7848" w:rsidRPr="00D9152B" w14:paraId="2335457B" w14:textId="77777777" w:rsidTr="00B72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dxa"/>
            <w:tcBorders>
              <w:top w:val="single" w:sz="4" w:space="0" w:color="auto"/>
              <w:bottom w:val="single" w:sz="4" w:space="0" w:color="auto"/>
              <w:right w:val="single" w:sz="4" w:space="0" w:color="auto"/>
            </w:tcBorders>
          </w:tcPr>
          <w:p w14:paraId="6F7B4C1E" w14:textId="77777777" w:rsidR="00AC7848" w:rsidRPr="00D9152B" w:rsidRDefault="00AC7848" w:rsidP="00130ADA">
            <w:pPr>
              <w:rPr>
                <w:rFonts w:ascii="Calibri" w:hAnsi="Calibri" w:cs="Calibri"/>
                <w:sz w:val="18"/>
                <w:szCs w:val="18"/>
              </w:rPr>
            </w:pPr>
            <w:r w:rsidRPr="00D9152B">
              <w:rPr>
                <w:rFonts w:ascii="Calibri" w:hAnsi="Calibri" w:cs="Calibri"/>
                <w:sz w:val="18"/>
                <w:szCs w:val="18"/>
              </w:rPr>
              <w:t>November 1983 – February 1984</w:t>
            </w:r>
          </w:p>
        </w:tc>
        <w:tc>
          <w:tcPr>
            <w:tcW w:w="3869" w:type="dxa"/>
            <w:tcBorders>
              <w:top w:val="single" w:sz="4" w:space="0" w:color="auto"/>
              <w:left w:val="single" w:sz="4" w:space="0" w:color="auto"/>
              <w:bottom w:val="single" w:sz="4" w:space="0" w:color="auto"/>
              <w:right w:val="single" w:sz="4" w:space="0" w:color="auto"/>
            </w:tcBorders>
          </w:tcPr>
          <w:p w14:paraId="68240718" w14:textId="77777777" w:rsidR="00AC7848" w:rsidRPr="00D9152B" w:rsidRDefault="00AC7848" w:rsidP="00130ADA">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p>
        </w:tc>
        <w:tc>
          <w:tcPr>
            <w:tcW w:w="3686" w:type="dxa"/>
            <w:tcBorders>
              <w:top w:val="single" w:sz="4" w:space="0" w:color="auto"/>
              <w:left w:val="single" w:sz="4" w:space="0" w:color="auto"/>
              <w:bottom w:val="single" w:sz="4" w:space="0" w:color="auto"/>
              <w:right w:val="single" w:sz="4" w:space="0" w:color="auto"/>
            </w:tcBorders>
          </w:tcPr>
          <w:p w14:paraId="493108A6" w14:textId="5F7EFE6F" w:rsidR="00AC7848" w:rsidRPr="00D9152B" w:rsidRDefault="00B72D22" w:rsidP="00130ADA">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Double-blind trials of IV</w:t>
            </w:r>
            <w:r w:rsidR="00AC7848" w:rsidRPr="00D9152B">
              <w:rPr>
                <w:rFonts w:ascii="Calibri" w:hAnsi="Calibri" w:cs="Calibri"/>
                <w:sz w:val="18"/>
                <w:szCs w:val="18"/>
              </w:rPr>
              <w:t xml:space="preserve">M/DEC/placebo – </w:t>
            </w:r>
          </w:p>
          <w:p w14:paraId="7925957A" w14:textId="77777777" w:rsidR="00AC7848" w:rsidRPr="00D9152B" w:rsidRDefault="00AC7848" w:rsidP="00130ADA">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Merck:</w:t>
            </w:r>
            <w:r w:rsidRPr="00D9152B">
              <w:rPr>
                <w:rFonts w:ascii="Calibri" w:hAnsi="Calibri" w:cs="Calibri"/>
                <w:sz w:val="18"/>
                <w:szCs w:val="18"/>
              </w:rPr>
              <w:t xml:space="preserve"> Funds trials in Senegal and Mali. Provides grant for trial at WHO-financed OCRC-Tamale. </w:t>
            </w:r>
          </w:p>
          <w:p w14:paraId="31E46CF8" w14:textId="77777777" w:rsidR="00AC7848" w:rsidRPr="00D9152B" w:rsidRDefault="00AC7848" w:rsidP="00130ADA">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WHO:</w:t>
            </w:r>
            <w:r w:rsidRPr="00D9152B">
              <w:rPr>
                <w:rFonts w:ascii="Calibri" w:hAnsi="Calibri" w:cs="Calibri"/>
                <w:sz w:val="18"/>
                <w:szCs w:val="18"/>
              </w:rPr>
              <w:t xml:space="preserve"> Funds trial in Liberia, with Merck supplement.</w:t>
            </w:r>
          </w:p>
        </w:tc>
      </w:tr>
      <w:tr w:rsidR="00AC7848" w:rsidRPr="00D9152B" w14:paraId="1364EB21" w14:textId="77777777" w:rsidTr="00B72D22">
        <w:tc>
          <w:tcPr>
            <w:cnfStyle w:val="001000000000" w:firstRow="0" w:lastRow="0" w:firstColumn="1" w:lastColumn="0" w:oddVBand="0" w:evenVBand="0" w:oddHBand="0" w:evenHBand="0" w:firstRowFirstColumn="0" w:firstRowLastColumn="0" w:lastRowFirstColumn="0" w:lastRowLastColumn="0"/>
            <w:tcW w:w="1371" w:type="dxa"/>
            <w:tcBorders>
              <w:top w:val="single" w:sz="4" w:space="0" w:color="auto"/>
              <w:bottom w:val="single" w:sz="4" w:space="0" w:color="auto"/>
              <w:right w:val="single" w:sz="4" w:space="0" w:color="auto"/>
            </w:tcBorders>
          </w:tcPr>
          <w:p w14:paraId="4DB73BED" w14:textId="77777777" w:rsidR="00AC7848" w:rsidRPr="00D9152B" w:rsidRDefault="00AC7848" w:rsidP="00130ADA">
            <w:pPr>
              <w:rPr>
                <w:rFonts w:ascii="Calibri" w:hAnsi="Calibri" w:cs="Calibri"/>
                <w:sz w:val="18"/>
                <w:szCs w:val="18"/>
              </w:rPr>
            </w:pPr>
            <w:r w:rsidRPr="00D9152B">
              <w:rPr>
                <w:rFonts w:ascii="Calibri" w:hAnsi="Calibri" w:cs="Calibri"/>
                <w:sz w:val="18"/>
                <w:szCs w:val="18"/>
              </w:rPr>
              <w:t>June 1984</w:t>
            </w:r>
          </w:p>
        </w:tc>
        <w:tc>
          <w:tcPr>
            <w:tcW w:w="3869" w:type="dxa"/>
            <w:tcBorders>
              <w:top w:val="single" w:sz="4" w:space="0" w:color="auto"/>
              <w:left w:val="single" w:sz="4" w:space="0" w:color="auto"/>
              <w:bottom w:val="single" w:sz="4" w:space="0" w:color="auto"/>
              <w:right w:val="single" w:sz="4" w:space="0" w:color="auto"/>
            </w:tcBorders>
          </w:tcPr>
          <w:p w14:paraId="0982CE70" w14:textId="77777777" w:rsidR="00AC7848" w:rsidRPr="00D9152B" w:rsidRDefault="00AC7848" w:rsidP="00130ADA">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tc>
        <w:tc>
          <w:tcPr>
            <w:tcW w:w="3686" w:type="dxa"/>
            <w:tcBorders>
              <w:top w:val="single" w:sz="4" w:space="0" w:color="auto"/>
              <w:left w:val="single" w:sz="4" w:space="0" w:color="auto"/>
              <w:bottom w:val="single" w:sz="4" w:space="0" w:color="auto"/>
              <w:right w:val="single" w:sz="4" w:space="0" w:color="auto"/>
            </w:tcBorders>
          </w:tcPr>
          <w:p w14:paraId="7A366245" w14:textId="7F195296" w:rsidR="00AC7848" w:rsidRPr="00D9152B" w:rsidRDefault="00AC7848" w:rsidP="00C4737B">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WHO:</w:t>
            </w:r>
            <w:r w:rsidRPr="00D9152B">
              <w:rPr>
                <w:rFonts w:ascii="Calibri" w:hAnsi="Calibri" w:cs="Calibri"/>
                <w:sz w:val="18"/>
                <w:szCs w:val="18"/>
              </w:rPr>
              <w:t xml:space="preserve"> Funds </w:t>
            </w:r>
            <w:r w:rsidR="00C4737B" w:rsidRPr="00D9152B">
              <w:rPr>
                <w:rFonts w:ascii="Calibri" w:hAnsi="Calibri" w:cs="Calibri"/>
                <w:sz w:val="18"/>
                <w:szCs w:val="18"/>
              </w:rPr>
              <w:t>2</w:t>
            </w:r>
            <w:r w:rsidRPr="00D9152B">
              <w:rPr>
                <w:rFonts w:ascii="Calibri" w:hAnsi="Calibri" w:cs="Calibri"/>
                <w:sz w:val="18"/>
                <w:szCs w:val="18"/>
              </w:rPr>
              <w:t xml:space="preserve"> trials of effect of IVM on blackfly intake/development.</w:t>
            </w:r>
          </w:p>
        </w:tc>
      </w:tr>
      <w:tr w:rsidR="00AC7848" w:rsidRPr="00D9152B" w14:paraId="39B75EFA" w14:textId="77777777" w:rsidTr="00B72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dxa"/>
            <w:tcBorders>
              <w:top w:val="single" w:sz="4" w:space="0" w:color="auto"/>
              <w:bottom w:val="single" w:sz="4" w:space="0" w:color="auto"/>
              <w:right w:val="single" w:sz="4" w:space="0" w:color="auto"/>
            </w:tcBorders>
          </w:tcPr>
          <w:p w14:paraId="219D006C" w14:textId="77777777" w:rsidR="00AC7848" w:rsidRPr="00D9152B" w:rsidRDefault="00AC7848" w:rsidP="00130ADA">
            <w:pPr>
              <w:rPr>
                <w:rFonts w:ascii="Calibri" w:hAnsi="Calibri" w:cs="Calibri"/>
                <w:sz w:val="18"/>
                <w:szCs w:val="18"/>
              </w:rPr>
            </w:pPr>
            <w:r w:rsidRPr="00D9152B">
              <w:rPr>
                <w:rFonts w:ascii="Calibri" w:hAnsi="Calibri" w:cs="Calibri"/>
                <w:sz w:val="18"/>
                <w:szCs w:val="18"/>
              </w:rPr>
              <w:t>August – September 1984</w:t>
            </w:r>
          </w:p>
        </w:tc>
        <w:tc>
          <w:tcPr>
            <w:tcW w:w="3869" w:type="dxa"/>
            <w:tcBorders>
              <w:top w:val="single" w:sz="4" w:space="0" w:color="auto"/>
              <w:left w:val="single" w:sz="4" w:space="0" w:color="auto"/>
              <w:bottom w:val="single" w:sz="4" w:space="0" w:color="auto"/>
              <w:right w:val="single" w:sz="4" w:space="0" w:color="auto"/>
            </w:tcBorders>
          </w:tcPr>
          <w:p w14:paraId="1F25E1E3" w14:textId="77777777" w:rsidR="00AC7848" w:rsidRPr="00D9152B" w:rsidRDefault="00AC7848" w:rsidP="00130ADA">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p>
        </w:tc>
        <w:tc>
          <w:tcPr>
            <w:tcW w:w="3686" w:type="dxa"/>
            <w:tcBorders>
              <w:top w:val="single" w:sz="4" w:space="0" w:color="auto"/>
              <w:left w:val="single" w:sz="4" w:space="0" w:color="auto"/>
              <w:bottom w:val="single" w:sz="4" w:space="0" w:color="auto"/>
              <w:right w:val="single" w:sz="4" w:space="0" w:color="auto"/>
            </w:tcBorders>
          </w:tcPr>
          <w:p w14:paraId="0B579337" w14:textId="77777777" w:rsidR="00AC7848" w:rsidRPr="00D9152B" w:rsidRDefault="00AC7848" w:rsidP="00130ADA">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Merck:</w:t>
            </w:r>
            <w:r w:rsidRPr="00D9152B">
              <w:rPr>
                <w:rFonts w:ascii="Calibri" w:hAnsi="Calibri" w:cs="Calibri"/>
                <w:sz w:val="18"/>
                <w:szCs w:val="18"/>
              </w:rPr>
              <w:t xml:space="preserve"> Plans to initiate Phase III trials, based on positive data from 4 initial clinical trials. </w:t>
            </w:r>
          </w:p>
        </w:tc>
      </w:tr>
      <w:tr w:rsidR="00AC7848" w:rsidRPr="00D9152B" w14:paraId="6055822E" w14:textId="77777777" w:rsidTr="00B72D22">
        <w:tc>
          <w:tcPr>
            <w:cnfStyle w:val="001000000000" w:firstRow="0" w:lastRow="0" w:firstColumn="1" w:lastColumn="0" w:oddVBand="0" w:evenVBand="0" w:oddHBand="0" w:evenHBand="0" w:firstRowFirstColumn="0" w:firstRowLastColumn="0" w:lastRowFirstColumn="0" w:lastRowLastColumn="0"/>
            <w:tcW w:w="1371" w:type="dxa"/>
            <w:tcBorders>
              <w:top w:val="single" w:sz="4" w:space="0" w:color="auto"/>
              <w:bottom w:val="single" w:sz="4" w:space="0" w:color="auto"/>
              <w:right w:val="single" w:sz="4" w:space="0" w:color="auto"/>
            </w:tcBorders>
          </w:tcPr>
          <w:p w14:paraId="4AC366ED" w14:textId="77777777" w:rsidR="00AC7848" w:rsidRPr="00D9152B" w:rsidRDefault="00AC7848" w:rsidP="00130ADA">
            <w:pPr>
              <w:rPr>
                <w:rFonts w:ascii="Calibri" w:hAnsi="Calibri" w:cs="Calibri"/>
                <w:sz w:val="18"/>
                <w:szCs w:val="18"/>
              </w:rPr>
            </w:pPr>
            <w:r w:rsidRPr="00D9152B">
              <w:rPr>
                <w:rFonts w:ascii="Calibri" w:hAnsi="Calibri" w:cs="Calibri"/>
                <w:sz w:val="18"/>
                <w:szCs w:val="18"/>
              </w:rPr>
              <w:t>September 1984</w:t>
            </w:r>
          </w:p>
        </w:tc>
        <w:tc>
          <w:tcPr>
            <w:tcW w:w="3869" w:type="dxa"/>
            <w:tcBorders>
              <w:top w:val="single" w:sz="4" w:space="0" w:color="auto"/>
              <w:left w:val="single" w:sz="4" w:space="0" w:color="auto"/>
              <w:bottom w:val="single" w:sz="4" w:space="0" w:color="auto"/>
              <w:right w:val="single" w:sz="4" w:space="0" w:color="auto"/>
            </w:tcBorders>
          </w:tcPr>
          <w:p w14:paraId="45505E3A" w14:textId="77777777" w:rsidR="00AC7848" w:rsidRPr="00D9152B" w:rsidRDefault="00AC7848" w:rsidP="00130ADA">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tc>
        <w:tc>
          <w:tcPr>
            <w:tcW w:w="3686" w:type="dxa"/>
            <w:tcBorders>
              <w:top w:val="single" w:sz="4" w:space="0" w:color="auto"/>
              <w:left w:val="single" w:sz="4" w:space="0" w:color="auto"/>
              <w:bottom w:val="single" w:sz="4" w:space="0" w:color="auto"/>
              <w:right w:val="single" w:sz="4" w:space="0" w:color="auto"/>
            </w:tcBorders>
          </w:tcPr>
          <w:p w14:paraId="373B9F87" w14:textId="2EDBA0BA" w:rsidR="00AC7848" w:rsidRPr="00D9152B" w:rsidRDefault="00AC7848" w:rsidP="00130ADA">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WHO:</w:t>
            </w:r>
            <w:r w:rsidRPr="00D9152B">
              <w:rPr>
                <w:rFonts w:ascii="Calibri" w:hAnsi="Calibri" w:cs="Calibri"/>
                <w:sz w:val="18"/>
                <w:szCs w:val="18"/>
              </w:rPr>
              <w:t xml:space="preserve"> Funds study of IVM in chimpanzees.</w:t>
            </w:r>
          </w:p>
          <w:p w14:paraId="0563CA53" w14:textId="25A7669C" w:rsidR="00AC7848" w:rsidRPr="00D9152B" w:rsidRDefault="00AC7848" w:rsidP="00B72D22">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D9152B">
              <w:rPr>
                <w:rFonts w:ascii="Calibri" w:hAnsi="Calibri" w:cs="Calibri"/>
                <w:sz w:val="18"/>
                <w:szCs w:val="18"/>
              </w:rPr>
              <w:t>Plans for animal tests to investigate IVM crossing blood-brain barrier in meningitis and trypanosomiasis. Recommends Merck investigates secretion of IVM in human milk.</w:t>
            </w:r>
          </w:p>
        </w:tc>
      </w:tr>
      <w:tr w:rsidR="00AC7848" w:rsidRPr="00D9152B" w14:paraId="0CB8E15D" w14:textId="77777777" w:rsidTr="00B72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dxa"/>
            <w:tcBorders>
              <w:top w:val="single" w:sz="4" w:space="0" w:color="auto"/>
              <w:right w:val="single" w:sz="4" w:space="0" w:color="auto"/>
            </w:tcBorders>
          </w:tcPr>
          <w:p w14:paraId="4B70091C" w14:textId="77777777" w:rsidR="00AC7848" w:rsidRPr="00D9152B" w:rsidRDefault="00AC7848" w:rsidP="00130ADA">
            <w:pPr>
              <w:rPr>
                <w:rFonts w:ascii="Calibri" w:hAnsi="Calibri" w:cs="Calibri"/>
                <w:sz w:val="18"/>
                <w:szCs w:val="18"/>
              </w:rPr>
            </w:pPr>
            <w:r w:rsidRPr="00D9152B">
              <w:rPr>
                <w:rFonts w:ascii="Calibri" w:hAnsi="Calibri" w:cs="Calibri"/>
                <w:sz w:val="18"/>
                <w:szCs w:val="18"/>
              </w:rPr>
              <w:t>January – March 1985</w:t>
            </w:r>
          </w:p>
        </w:tc>
        <w:tc>
          <w:tcPr>
            <w:tcW w:w="3869" w:type="dxa"/>
            <w:tcBorders>
              <w:top w:val="single" w:sz="4" w:space="0" w:color="auto"/>
              <w:left w:val="single" w:sz="4" w:space="0" w:color="auto"/>
              <w:bottom w:val="single" w:sz="4" w:space="0" w:color="auto"/>
              <w:right w:val="single" w:sz="4" w:space="0" w:color="auto"/>
            </w:tcBorders>
          </w:tcPr>
          <w:p w14:paraId="241A4E51" w14:textId="77777777" w:rsidR="00AC7848" w:rsidRPr="00D9152B" w:rsidRDefault="00AC7848" w:rsidP="00130ADA">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p>
        </w:tc>
        <w:tc>
          <w:tcPr>
            <w:tcW w:w="3686" w:type="dxa"/>
            <w:tcBorders>
              <w:top w:val="single" w:sz="4" w:space="0" w:color="auto"/>
              <w:left w:val="single" w:sz="4" w:space="0" w:color="auto"/>
              <w:bottom w:val="single" w:sz="4" w:space="0" w:color="auto"/>
              <w:right w:val="single" w:sz="4" w:space="0" w:color="auto"/>
            </w:tcBorders>
          </w:tcPr>
          <w:p w14:paraId="203B366B" w14:textId="0BA56663" w:rsidR="00AC7848" w:rsidRPr="00D9152B" w:rsidRDefault="00AC7848" w:rsidP="00130ADA">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Merck:</w:t>
            </w:r>
            <w:r w:rsidRPr="00D9152B">
              <w:rPr>
                <w:rFonts w:ascii="Calibri" w:hAnsi="Calibri" w:cs="Calibri"/>
                <w:sz w:val="18"/>
                <w:szCs w:val="18"/>
              </w:rPr>
              <w:t xml:space="preserve"> Begins Phase III trials in Liberia, Ghana, </w:t>
            </w:r>
            <w:r w:rsidR="00B72D22" w:rsidRPr="00D9152B">
              <w:rPr>
                <w:rFonts w:ascii="Calibri" w:hAnsi="Calibri" w:cs="Calibri"/>
                <w:sz w:val="18"/>
                <w:szCs w:val="18"/>
              </w:rPr>
              <w:t>Cote d’Ivoire.</w:t>
            </w:r>
          </w:p>
          <w:p w14:paraId="1AA37B2B" w14:textId="75298D49" w:rsidR="00AC7848" w:rsidRPr="00D9152B" w:rsidRDefault="00AC7848" w:rsidP="00C4737B">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D9152B">
              <w:rPr>
                <w:rFonts w:ascii="Calibri" w:hAnsi="Calibri" w:cs="Calibri"/>
                <w:b/>
                <w:sz w:val="18"/>
                <w:szCs w:val="18"/>
              </w:rPr>
              <w:t>WHO:</w:t>
            </w:r>
            <w:r w:rsidR="004D1818" w:rsidRPr="00D9152B">
              <w:rPr>
                <w:rFonts w:ascii="Calibri" w:hAnsi="Calibri" w:cs="Calibri"/>
                <w:sz w:val="18"/>
                <w:szCs w:val="18"/>
              </w:rPr>
              <w:t xml:space="preserve"> Supports trials with OCT mobile t</w:t>
            </w:r>
            <w:r w:rsidRPr="00D9152B">
              <w:rPr>
                <w:rFonts w:ascii="Calibri" w:hAnsi="Calibri" w:cs="Calibri"/>
                <w:sz w:val="18"/>
                <w:szCs w:val="18"/>
              </w:rPr>
              <w:t>eam.</w:t>
            </w:r>
          </w:p>
        </w:tc>
      </w:tr>
    </w:tbl>
    <w:p w14:paraId="6E4322D1" w14:textId="77777777" w:rsidR="006F0215" w:rsidRPr="00D9152B" w:rsidRDefault="006F0215" w:rsidP="00130ADA">
      <w:pPr>
        <w:jc w:val="both"/>
        <w:rPr>
          <w:rFonts w:ascii="Calibri" w:hAnsi="Calibri" w:cs="Calibri"/>
          <w:color w:val="7F7F7F" w:themeColor="text1" w:themeTint="80"/>
          <w:sz w:val="22"/>
          <w:szCs w:val="22"/>
        </w:rPr>
      </w:pPr>
    </w:p>
    <w:p w14:paraId="6E1BE2C7" w14:textId="54B62519" w:rsidR="006B543F" w:rsidRPr="00D9152B" w:rsidRDefault="00CC1A24" w:rsidP="00130ADA">
      <w:pPr>
        <w:jc w:val="both"/>
        <w:rPr>
          <w:rFonts w:ascii="Calibri" w:hAnsi="Calibri" w:cs="Calibri"/>
          <w:color w:val="7F7F7F" w:themeColor="text1" w:themeTint="80"/>
          <w:sz w:val="22"/>
          <w:szCs w:val="22"/>
        </w:rPr>
      </w:pPr>
      <w:r w:rsidRPr="00D9152B">
        <w:rPr>
          <w:rFonts w:ascii="Calibri" w:hAnsi="Calibri" w:cs="Calibri"/>
          <w:color w:val="7F7F7F" w:themeColor="text1" w:themeTint="80"/>
          <w:sz w:val="22"/>
          <w:szCs w:val="22"/>
        </w:rPr>
        <w:t xml:space="preserve">Table </w:t>
      </w:r>
      <w:r w:rsidR="009257F8">
        <w:rPr>
          <w:rFonts w:ascii="Calibri" w:hAnsi="Calibri" w:cs="Calibri"/>
          <w:color w:val="7F7F7F" w:themeColor="text1" w:themeTint="80"/>
          <w:sz w:val="22"/>
          <w:szCs w:val="22"/>
        </w:rPr>
        <w:t>7.</w:t>
      </w:r>
      <w:r w:rsidRPr="00D9152B">
        <w:rPr>
          <w:rFonts w:ascii="Calibri" w:hAnsi="Calibri" w:cs="Calibri"/>
          <w:color w:val="7F7F7F" w:themeColor="text1" w:themeTint="80"/>
          <w:sz w:val="22"/>
          <w:szCs w:val="22"/>
        </w:rPr>
        <w:t>3</w:t>
      </w:r>
      <w:r w:rsidR="00AC7848" w:rsidRPr="00D9152B">
        <w:rPr>
          <w:rFonts w:ascii="Calibri" w:hAnsi="Calibri" w:cs="Calibri"/>
          <w:color w:val="7F7F7F" w:themeColor="text1" w:themeTint="80"/>
          <w:sz w:val="22"/>
          <w:szCs w:val="22"/>
        </w:rPr>
        <w:t xml:space="preserve">. The WHO and Merck’s compilations of their </w:t>
      </w:r>
      <w:r w:rsidR="00130ADA" w:rsidRPr="00D9152B">
        <w:rPr>
          <w:rFonts w:ascii="Calibri" w:hAnsi="Calibri" w:cs="Calibri"/>
          <w:color w:val="7F7F7F" w:themeColor="text1" w:themeTint="80"/>
          <w:sz w:val="22"/>
          <w:szCs w:val="22"/>
        </w:rPr>
        <w:t>respective</w:t>
      </w:r>
      <w:r w:rsidR="00AC7848" w:rsidRPr="00D9152B">
        <w:rPr>
          <w:rFonts w:ascii="Calibri" w:hAnsi="Calibri" w:cs="Calibri"/>
          <w:color w:val="7F7F7F" w:themeColor="text1" w:themeTint="80"/>
          <w:sz w:val="22"/>
          <w:szCs w:val="22"/>
        </w:rPr>
        <w:t xml:space="preserve"> contributions to ivermectin development as an onchocerciasis drug, as of 1985.</w:t>
      </w:r>
      <w:r w:rsidR="00AC7848" w:rsidRPr="00D9152B">
        <w:rPr>
          <w:rStyle w:val="FootnoteReference"/>
          <w:rFonts w:ascii="Calibri" w:hAnsi="Calibri" w:cs="Calibri"/>
          <w:color w:val="7F7F7F" w:themeColor="text1" w:themeTint="80"/>
          <w:sz w:val="22"/>
          <w:szCs w:val="22"/>
        </w:rPr>
        <w:footnoteReference w:id="748"/>
      </w:r>
      <w:r w:rsidR="00B72D22" w:rsidRPr="00D9152B">
        <w:rPr>
          <w:rFonts w:ascii="Calibri" w:hAnsi="Calibri" w:cs="Calibri"/>
          <w:color w:val="7F7F7F" w:themeColor="text1" w:themeTint="80"/>
          <w:sz w:val="22"/>
          <w:szCs w:val="22"/>
        </w:rPr>
        <w:t xml:space="preserve"> [IVM is ivermectin and DEC is diethylcarbamazine, an earlier (and highly toxic) macrofilaricide.]</w:t>
      </w:r>
    </w:p>
    <w:p w14:paraId="13228632" w14:textId="77777777" w:rsidR="006F0215" w:rsidRPr="00D9152B" w:rsidRDefault="006F0215" w:rsidP="00130ADA">
      <w:pPr>
        <w:jc w:val="both"/>
        <w:rPr>
          <w:rFonts w:ascii="Calibri" w:hAnsi="Calibri" w:cs="Calibri"/>
          <w:color w:val="7F7F7F" w:themeColor="text1" w:themeTint="80"/>
          <w:sz w:val="22"/>
          <w:szCs w:val="22"/>
        </w:rPr>
      </w:pPr>
    </w:p>
    <w:p w14:paraId="24D5DB2A" w14:textId="28CAAE77" w:rsidR="00042F86" w:rsidRPr="00D9152B" w:rsidRDefault="00076FC2" w:rsidP="00656BE2">
      <w:pPr>
        <w:pStyle w:val="Heading3"/>
        <w:rPr>
          <w:rFonts w:ascii="Calibri" w:hAnsi="Calibri" w:cs="Calibri"/>
          <w:b/>
          <w:i/>
          <w:color w:val="000000" w:themeColor="text1"/>
          <w:sz w:val="22"/>
          <w:szCs w:val="22"/>
        </w:rPr>
      </w:pPr>
      <w:bookmarkStart w:id="131" w:name="_Toc41505689"/>
      <w:r w:rsidRPr="00D9152B">
        <w:rPr>
          <w:rFonts w:ascii="Calibri" w:hAnsi="Calibri" w:cs="Calibri"/>
          <w:b/>
          <w:i/>
          <w:color w:val="000000" w:themeColor="text1"/>
          <w:sz w:val="22"/>
          <w:szCs w:val="22"/>
        </w:rPr>
        <w:t>7.</w:t>
      </w:r>
      <w:r w:rsidR="00677774" w:rsidRPr="00D9152B">
        <w:rPr>
          <w:rFonts w:ascii="Calibri" w:hAnsi="Calibri" w:cs="Calibri"/>
          <w:b/>
          <w:i/>
          <w:color w:val="000000" w:themeColor="text1"/>
          <w:sz w:val="22"/>
          <w:szCs w:val="22"/>
        </w:rPr>
        <w:t>5</w:t>
      </w:r>
      <w:r w:rsidRPr="00D9152B">
        <w:rPr>
          <w:rFonts w:ascii="Calibri" w:hAnsi="Calibri" w:cs="Calibri"/>
          <w:b/>
          <w:i/>
          <w:color w:val="000000" w:themeColor="text1"/>
          <w:sz w:val="22"/>
          <w:szCs w:val="22"/>
        </w:rPr>
        <w:t>.B</w:t>
      </w:r>
      <w:r w:rsidR="00042F86" w:rsidRPr="00D9152B">
        <w:rPr>
          <w:rFonts w:ascii="Calibri" w:hAnsi="Calibri" w:cs="Calibri"/>
          <w:b/>
          <w:i/>
          <w:color w:val="000000" w:themeColor="text1"/>
          <w:sz w:val="22"/>
          <w:szCs w:val="22"/>
        </w:rPr>
        <w:t>. Legally formalising the partnership between the WHO and Merck (1984-1985)</w:t>
      </w:r>
      <w:bookmarkEnd w:id="131"/>
    </w:p>
    <w:p w14:paraId="415D8204" w14:textId="4DFC6E1B" w:rsidR="00042F86" w:rsidRPr="00D9152B" w:rsidRDefault="00042F86" w:rsidP="00A12E2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In response to this at times contentious dialogue with Merck, the WHO decided that it should better define their relationship. It drafted a memorandum of intent, which it hoped would be signed by both parties.</w:t>
      </w:r>
      <w:r w:rsidRPr="00D9152B">
        <w:rPr>
          <w:rStyle w:val="FootnoteReference"/>
          <w:rFonts w:ascii="Calibri" w:hAnsi="Calibri" w:cs="Calibri"/>
          <w:sz w:val="22"/>
          <w:szCs w:val="22"/>
        </w:rPr>
        <w:footnoteReference w:id="749"/>
      </w:r>
      <w:r w:rsidRPr="00D9152B">
        <w:rPr>
          <w:rFonts w:ascii="Calibri" w:hAnsi="Calibri" w:cs="Calibri"/>
          <w:sz w:val="22"/>
          <w:szCs w:val="22"/>
        </w:rPr>
        <w:t xml:space="preserve"> However, this memorandum generated some controversy at both organizations </w:t>
      </w:r>
      <w:r w:rsidR="00C117AE" w:rsidRPr="00D9152B">
        <w:rPr>
          <w:rFonts w:ascii="Calibri" w:hAnsi="Calibri" w:cs="Calibri"/>
          <w:sz w:val="22"/>
          <w:szCs w:val="22"/>
        </w:rPr>
        <w:t xml:space="preserve">during 1984 and </w:t>
      </w:r>
      <w:r w:rsidRPr="00D9152B">
        <w:rPr>
          <w:rFonts w:ascii="Calibri" w:hAnsi="Calibri" w:cs="Calibri"/>
          <w:sz w:val="22"/>
          <w:szCs w:val="22"/>
        </w:rPr>
        <w:t xml:space="preserve">1985.  This controversy centred on three points: Merck’s sovereignty when contracted with the WHO, the confidentiality of its proprietary drug data (especially toxicology), and eventual pricing guarantees. </w:t>
      </w:r>
    </w:p>
    <w:p w14:paraId="44B595BF" w14:textId="053E90CA" w:rsidR="00574713" w:rsidRPr="00D9152B" w:rsidRDefault="00AC7848" w:rsidP="00574713">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lastRenderedPageBreak/>
        <w:t>First, the WHO was concerned that it had little power to contribute to (or make demands of) clinical trials and eventual registration of ivermectin, even though TDR and the OCT had contributed about $600,000 to-date to the drug’s development for onchocerciasis. A WHO legal counsel representative was especially suspect of Me</w:t>
      </w:r>
      <w:r w:rsidR="00C117AE" w:rsidRPr="00D9152B">
        <w:rPr>
          <w:rFonts w:ascii="Calibri" w:hAnsi="Calibri" w:cs="Calibri"/>
          <w:sz w:val="22"/>
          <w:szCs w:val="22"/>
        </w:rPr>
        <w:t>rck’s intentions in this area. H</w:t>
      </w:r>
      <w:r w:rsidRPr="00D9152B">
        <w:rPr>
          <w:rFonts w:ascii="Calibri" w:hAnsi="Calibri" w:cs="Calibri"/>
          <w:sz w:val="22"/>
          <w:szCs w:val="22"/>
        </w:rPr>
        <w:t>e wrote confidentially to</w:t>
      </w:r>
      <w:r w:rsidR="00C117AE" w:rsidRPr="00D9152B">
        <w:rPr>
          <w:rFonts w:ascii="Calibri" w:hAnsi="Calibri" w:cs="Calibri"/>
          <w:sz w:val="22"/>
          <w:szCs w:val="22"/>
        </w:rPr>
        <w:t xml:space="preserve"> TDR’s Director, Adetokunbo O.</w:t>
      </w:r>
      <w:r w:rsidRPr="00D9152B">
        <w:rPr>
          <w:rFonts w:ascii="Calibri" w:hAnsi="Calibri" w:cs="Calibri"/>
          <w:sz w:val="22"/>
          <w:szCs w:val="22"/>
        </w:rPr>
        <w:t xml:space="preserve"> Lucas</w:t>
      </w:r>
      <w:r w:rsidR="00C117AE" w:rsidRPr="00D9152B">
        <w:rPr>
          <w:rFonts w:ascii="Calibri" w:hAnsi="Calibri" w:cs="Calibri"/>
          <w:sz w:val="22"/>
          <w:szCs w:val="22"/>
        </w:rPr>
        <w:t>,</w:t>
      </w:r>
      <w:r w:rsidRPr="00D9152B">
        <w:rPr>
          <w:rFonts w:ascii="Calibri" w:hAnsi="Calibri" w:cs="Calibri"/>
          <w:sz w:val="22"/>
          <w:szCs w:val="22"/>
        </w:rPr>
        <w:t xml:space="preserve"> that a ‘reasonable conclusion’ is that,</w:t>
      </w:r>
    </w:p>
    <w:p w14:paraId="3FDB5BFA" w14:textId="1B333568" w:rsidR="00AC7848" w:rsidRPr="00D9152B" w:rsidRDefault="00AC7848" w:rsidP="00B5007B">
      <w:pPr>
        <w:pStyle w:val="Quote"/>
        <w:ind w:left="862" w:right="862"/>
        <w:rPr>
          <w:rFonts w:cs="Calibri"/>
          <w:i/>
          <w:sz w:val="22"/>
          <w:szCs w:val="22"/>
        </w:rPr>
      </w:pPr>
      <w:r w:rsidRPr="00D9152B">
        <w:rPr>
          <w:rFonts w:cs="Calibri"/>
          <w:i/>
          <w:sz w:val="22"/>
          <w:szCs w:val="22"/>
          <w:lang w:val="en-GB"/>
        </w:rPr>
        <w:t>‘Merck wants to cooperate with WHO on an informa</w:t>
      </w:r>
      <w:r w:rsidR="00C117AE" w:rsidRPr="00D9152B">
        <w:rPr>
          <w:rFonts w:cs="Calibri"/>
          <w:i/>
          <w:sz w:val="22"/>
          <w:szCs w:val="22"/>
          <w:lang w:val="en-GB"/>
        </w:rPr>
        <w:t>l basis in the development of i</w:t>
      </w:r>
      <w:r w:rsidRPr="00D9152B">
        <w:rPr>
          <w:rFonts w:cs="Calibri"/>
          <w:i/>
          <w:sz w:val="22"/>
          <w:szCs w:val="22"/>
          <w:lang w:val="en-GB"/>
        </w:rPr>
        <w:t>vermectin for onchocerciasis…</w:t>
      </w:r>
      <w:r w:rsidR="00BA661A" w:rsidRPr="00D9152B">
        <w:rPr>
          <w:rFonts w:cs="Calibri"/>
          <w:i/>
          <w:sz w:val="22"/>
          <w:szCs w:val="22"/>
          <w:lang w:val="en-GB"/>
        </w:rPr>
        <w:t xml:space="preserve"> </w:t>
      </w:r>
      <w:r w:rsidRPr="00D9152B">
        <w:rPr>
          <w:rFonts w:cs="Calibri"/>
          <w:i/>
          <w:sz w:val="22"/>
          <w:szCs w:val="22"/>
          <w:lang w:val="en-GB"/>
        </w:rPr>
        <w:t>but it would like to restrict WHO’s technical and financial participation to a minimum, presumably in order to have greater freedom in the design of protocols and to avoid any legal or moral obligations with respect to making the results of the development, if successful, available in the public interest</w:t>
      </w:r>
      <w:r w:rsidR="00D07FD2" w:rsidRPr="00D9152B">
        <w:rPr>
          <w:rFonts w:cs="Calibri"/>
          <w:i/>
          <w:sz w:val="22"/>
          <w:szCs w:val="22"/>
          <w:lang w:val="en-GB"/>
        </w:rPr>
        <w:t>.</w:t>
      </w:r>
      <w:r w:rsidRPr="00D9152B">
        <w:rPr>
          <w:rFonts w:cs="Calibri"/>
          <w:i/>
          <w:sz w:val="22"/>
          <w:szCs w:val="22"/>
          <w:lang w:val="en-GB"/>
        </w:rPr>
        <w:t>’</w:t>
      </w:r>
      <w:r w:rsidRPr="00D9152B">
        <w:rPr>
          <w:rStyle w:val="FootnoteReference"/>
          <w:rFonts w:ascii="Calibri" w:hAnsi="Calibri" w:cs="Calibri"/>
          <w:i/>
          <w:sz w:val="22"/>
          <w:szCs w:val="22"/>
          <w:lang w:val="en-GB"/>
        </w:rPr>
        <w:footnoteReference w:id="750"/>
      </w:r>
      <w:r w:rsidRPr="00D9152B">
        <w:rPr>
          <w:rFonts w:cs="Calibri"/>
          <w:i/>
          <w:sz w:val="22"/>
          <w:szCs w:val="22"/>
        </w:rPr>
        <w:t xml:space="preserve"> </w:t>
      </w:r>
    </w:p>
    <w:p w14:paraId="5D646E6B" w14:textId="4460C83C" w:rsidR="00AC7848" w:rsidRPr="00D9152B" w:rsidRDefault="00AC7848" w:rsidP="00A12E2E">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 xml:space="preserve">Without a formal agreement of some sort, </w:t>
      </w:r>
      <w:r w:rsidR="00042F86" w:rsidRPr="00D9152B">
        <w:rPr>
          <w:rFonts w:ascii="Calibri" w:hAnsi="Calibri" w:cs="Calibri"/>
          <w:sz w:val="22"/>
          <w:szCs w:val="22"/>
        </w:rPr>
        <w:t>the OCP</w:t>
      </w:r>
      <w:r w:rsidRPr="00D9152B">
        <w:rPr>
          <w:rFonts w:ascii="Calibri" w:hAnsi="Calibri" w:cs="Calibri"/>
          <w:sz w:val="22"/>
          <w:szCs w:val="22"/>
        </w:rPr>
        <w:t xml:space="preserve"> and TDR would therefore be left open to serious criticisms from governments that funded the OCT (</w:t>
      </w:r>
      <w:r w:rsidR="00C117AE" w:rsidRPr="00D9152B">
        <w:rPr>
          <w:rFonts w:ascii="Calibri" w:hAnsi="Calibri" w:cs="Calibri"/>
          <w:sz w:val="22"/>
          <w:szCs w:val="22"/>
        </w:rPr>
        <w:t>and</w:t>
      </w:r>
      <w:r w:rsidRPr="00D9152B">
        <w:rPr>
          <w:rFonts w:ascii="Calibri" w:hAnsi="Calibri" w:cs="Calibri"/>
          <w:sz w:val="22"/>
          <w:szCs w:val="22"/>
        </w:rPr>
        <w:t xml:space="preserve"> WHO member states), if the drug turned out to be harmful to or unaffordable for OCP participating countries.</w:t>
      </w:r>
      <w:r w:rsidRPr="00D9152B">
        <w:rPr>
          <w:rStyle w:val="FootnoteReference"/>
          <w:rFonts w:ascii="Calibri" w:hAnsi="Calibri" w:cs="Calibri"/>
          <w:sz w:val="22"/>
          <w:szCs w:val="22"/>
        </w:rPr>
        <w:footnoteReference w:id="751"/>
      </w:r>
    </w:p>
    <w:p w14:paraId="0DC155D3" w14:textId="25F648AB" w:rsidR="009D5C0D" w:rsidRDefault="00AC7848" w:rsidP="00A12E2E">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ab/>
        <w:t>Second, the WHO worried that Merck might test the drug at OC</w:t>
      </w:r>
      <w:r w:rsidR="00042F86" w:rsidRPr="00D9152B">
        <w:rPr>
          <w:rFonts w:ascii="Calibri" w:hAnsi="Calibri" w:cs="Calibri"/>
          <w:sz w:val="22"/>
          <w:szCs w:val="22"/>
        </w:rPr>
        <w:t>P</w:t>
      </w:r>
      <w:r w:rsidRPr="00D9152B">
        <w:rPr>
          <w:rFonts w:ascii="Calibri" w:hAnsi="Calibri" w:cs="Calibri"/>
          <w:sz w:val="22"/>
          <w:szCs w:val="22"/>
        </w:rPr>
        <w:t xml:space="preserve">/TDR-financed research centres in West Africa without disclosing </w:t>
      </w:r>
      <w:r w:rsidR="00C117AE" w:rsidRPr="00D9152B">
        <w:rPr>
          <w:rFonts w:ascii="Calibri" w:hAnsi="Calibri" w:cs="Calibri"/>
          <w:sz w:val="22"/>
          <w:szCs w:val="22"/>
        </w:rPr>
        <w:t>sufficient</w:t>
      </w:r>
      <w:r w:rsidRPr="00D9152B">
        <w:rPr>
          <w:rFonts w:ascii="Calibri" w:hAnsi="Calibri" w:cs="Calibri"/>
          <w:sz w:val="22"/>
          <w:szCs w:val="22"/>
        </w:rPr>
        <w:t xml:space="preserve"> proprietary drug information. The OCT Secretary, Colin Ginger, argued that specific WHO personnel needed to have ‘full and open access to information pertinent to the use of ivermetin in humans’, for the OCT to be able to fully consider and recommend that its funded personnel undertake clinical trials in infected humans.</w:t>
      </w:r>
      <w:r w:rsidRPr="00D9152B">
        <w:rPr>
          <w:rStyle w:val="FootnoteReference"/>
          <w:rFonts w:ascii="Calibri" w:hAnsi="Calibri" w:cs="Calibri"/>
          <w:sz w:val="22"/>
          <w:szCs w:val="22"/>
        </w:rPr>
        <w:footnoteReference w:id="752"/>
      </w:r>
      <w:r w:rsidRPr="00D9152B">
        <w:rPr>
          <w:rFonts w:ascii="Calibri" w:hAnsi="Calibri" w:cs="Calibri"/>
          <w:sz w:val="22"/>
          <w:szCs w:val="22"/>
        </w:rPr>
        <w:t xml:space="preserve"> Merck retorted that sharing this confidential information was against its standard policy. As the Merck representative put it, </w:t>
      </w:r>
    </w:p>
    <w:p w14:paraId="744E97FE" w14:textId="7909A582" w:rsidR="00D07E3A" w:rsidRDefault="00D07E3A" w:rsidP="00A12E2E">
      <w:pPr>
        <w:spacing w:before="100" w:beforeAutospacing="1" w:after="100" w:afterAutospacing="1" w:line="360" w:lineRule="auto"/>
        <w:rPr>
          <w:rFonts w:ascii="Calibri" w:hAnsi="Calibri" w:cs="Calibri"/>
          <w:sz w:val="22"/>
          <w:szCs w:val="22"/>
        </w:rPr>
      </w:pPr>
    </w:p>
    <w:p w14:paraId="021F6251" w14:textId="77777777" w:rsidR="00D07E3A" w:rsidRPr="00D9152B" w:rsidRDefault="00D07E3A" w:rsidP="00A12E2E">
      <w:pPr>
        <w:spacing w:before="100" w:beforeAutospacing="1" w:after="100" w:afterAutospacing="1" w:line="360" w:lineRule="auto"/>
        <w:rPr>
          <w:rFonts w:ascii="Calibri" w:hAnsi="Calibri" w:cs="Calibri"/>
          <w:sz w:val="22"/>
          <w:szCs w:val="22"/>
        </w:rPr>
      </w:pPr>
    </w:p>
    <w:p w14:paraId="4C89EA07" w14:textId="77777777" w:rsidR="00AC7848" w:rsidRPr="00D9152B" w:rsidRDefault="00AC7848" w:rsidP="00D07FD2">
      <w:pPr>
        <w:pStyle w:val="Quote"/>
        <w:ind w:left="862" w:right="862"/>
        <w:rPr>
          <w:rFonts w:cs="Calibri"/>
          <w:i/>
          <w:sz w:val="22"/>
          <w:szCs w:val="22"/>
          <w:lang w:val="en-GB"/>
        </w:rPr>
      </w:pPr>
      <w:r w:rsidRPr="00D9152B">
        <w:rPr>
          <w:rFonts w:cs="Calibri"/>
          <w:i/>
          <w:sz w:val="22"/>
          <w:szCs w:val="22"/>
          <w:lang w:val="en-GB"/>
        </w:rPr>
        <w:lastRenderedPageBreak/>
        <w:t>‘We do not provide the full documentation submitted to regulatory agencies to outside investigators. The data provided to you to decide whether or not you will participate in studies will be the same as we provide to all investigators and should be sufficient for you to make your determination’.</w:t>
      </w:r>
      <w:r w:rsidRPr="00D9152B">
        <w:rPr>
          <w:rStyle w:val="FootnoteReference"/>
          <w:rFonts w:ascii="Calibri" w:hAnsi="Calibri" w:cs="Calibri"/>
          <w:i/>
          <w:color w:val="595959" w:themeColor="text1" w:themeTint="A6"/>
          <w:sz w:val="22"/>
          <w:szCs w:val="22"/>
          <w:lang w:val="en-GB"/>
        </w:rPr>
        <w:footnoteReference w:id="753"/>
      </w:r>
    </w:p>
    <w:p w14:paraId="61E3D9FE" w14:textId="2CCC3792" w:rsidR="00AC7848" w:rsidRPr="00D9152B" w:rsidRDefault="00AC7848" w:rsidP="00A12E2E">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 xml:space="preserve">Merck rejected the WHO’s attempt to add a clause to the letter of </w:t>
      </w:r>
      <w:r w:rsidR="00BA661A" w:rsidRPr="00D9152B">
        <w:rPr>
          <w:rFonts w:ascii="Calibri" w:hAnsi="Calibri" w:cs="Calibri"/>
          <w:sz w:val="22"/>
          <w:szCs w:val="22"/>
        </w:rPr>
        <w:t>intent</w:t>
      </w:r>
      <w:r w:rsidRPr="00D9152B">
        <w:rPr>
          <w:rFonts w:ascii="Calibri" w:hAnsi="Calibri" w:cs="Calibri"/>
          <w:sz w:val="22"/>
          <w:szCs w:val="22"/>
        </w:rPr>
        <w:t xml:space="preserve"> about this confidentiality; it was concerned that such a clause might ‘require Merck to do additional studies, if recommended by WHO investigators, which we consider unnecessary or unwarranted’.</w:t>
      </w:r>
      <w:r w:rsidRPr="00D9152B">
        <w:rPr>
          <w:rStyle w:val="FootnoteReference"/>
          <w:rFonts w:ascii="Calibri" w:hAnsi="Calibri" w:cs="Calibri"/>
          <w:sz w:val="22"/>
          <w:szCs w:val="22"/>
        </w:rPr>
        <w:footnoteReference w:id="754"/>
      </w:r>
    </w:p>
    <w:p w14:paraId="7D2EE21A" w14:textId="75C33445" w:rsidR="00AC7848" w:rsidRPr="00D9152B" w:rsidRDefault="00AC7848" w:rsidP="00A12E2E">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ab/>
        <w:t>This concern with drug safety and proprietary information was deeply held by the WHO. As</w:t>
      </w:r>
      <w:r w:rsidR="00C117AE" w:rsidRPr="00D9152B">
        <w:rPr>
          <w:rFonts w:ascii="Calibri" w:hAnsi="Calibri" w:cs="Calibri"/>
          <w:sz w:val="22"/>
          <w:szCs w:val="22"/>
        </w:rPr>
        <w:t xml:space="preserve"> Duke </w:t>
      </w:r>
      <w:r w:rsidR="008A1D31" w:rsidRPr="00D9152B">
        <w:rPr>
          <w:rFonts w:ascii="Calibri" w:hAnsi="Calibri" w:cs="Calibri"/>
          <w:sz w:val="22"/>
          <w:szCs w:val="22"/>
        </w:rPr>
        <w:t xml:space="preserve">wrote to </w:t>
      </w:r>
      <w:r w:rsidR="00C117AE" w:rsidRPr="00D9152B">
        <w:rPr>
          <w:rFonts w:ascii="Calibri" w:hAnsi="Calibri" w:cs="Calibri"/>
          <w:sz w:val="22"/>
          <w:szCs w:val="22"/>
        </w:rPr>
        <w:t xml:space="preserve">Lucas, </w:t>
      </w:r>
      <w:r w:rsidRPr="00D9152B">
        <w:rPr>
          <w:rFonts w:ascii="Calibri" w:hAnsi="Calibri" w:cs="Calibri"/>
          <w:sz w:val="22"/>
          <w:szCs w:val="22"/>
        </w:rPr>
        <w:t xml:space="preserve">‘Unfortunately, we know, from having seen the data supplied by MSD </w:t>
      </w:r>
      <w:r w:rsidR="009257F8" w:rsidRPr="00D9152B">
        <w:rPr>
          <w:rFonts w:ascii="Calibri" w:hAnsi="Calibri" w:cs="Calibri"/>
          <w:sz w:val="22"/>
          <w:szCs w:val="22"/>
        </w:rPr>
        <w:t xml:space="preserve"> [Merck, Sharpe and Dohme research laboratories] </w:t>
      </w:r>
      <w:r w:rsidRPr="00D9152B">
        <w:rPr>
          <w:rFonts w:ascii="Calibri" w:hAnsi="Calibri" w:cs="Calibri"/>
          <w:sz w:val="22"/>
          <w:szCs w:val="22"/>
        </w:rPr>
        <w:t>to Dr Zea-Flores in Guatemala, that what MSD “normally give to clinical investigators” is not really adequate for our purposes and would be unlikely to satisfy SCRIHS</w:t>
      </w:r>
      <w:r w:rsidR="00C117AE" w:rsidRPr="00D9152B">
        <w:rPr>
          <w:rFonts w:ascii="Calibri" w:hAnsi="Calibri" w:cs="Calibri"/>
          <w:sz w:val="22"/>
          <w:szCs w:val="22"/>
        </w:rPr>
        <w:t xml:space="preserve"> [the WHO’s ethics body]</w:t>
      </w:r>
      <w:r w:rsidRPr="00D9152B">
        <w:rPr>
          <w:rFonts w:ascii="Calibri" w:hAnsi="Calibri" w:cs="Calibri"/>
          <w:sz w:val="22"/>
          <w:szCs w:val="22"/>
        </w:rPr>
        <w:t xml:space="preserve">’. </w:t>
      </w:r>
      <w:r w:rsidR="008A1D31" w:rsidRPr="00D9152B">
        <w:rPr>
          <w:rFonts w:ascii="Calibri" w:hAnsi="Calibri" w:cs="Calibri"/>
          <w:sz w:val="22"/>
          <w:szCs w:val="22"/>
        </w:rPr>
        <w:t>Duke</w:t>
      </w:r>
      <w:r w:rsidRPr="00D9152B">
        <w:rPr>
          <w:rFonts w:ascii="Calibri" w:hAnsi="Calibri" w:cs="Calibri"/>
          <w:sz w:val="22"/>
          <w:szCs w:val="22"/>
        </w:rPr>
        <w:t xml:space="preserve"> argued that Merck typically provided drug handouts with little or no information on potential toxic manifestations. Clinical investigators involved in Ghana and the Ivory Coast ‘should be asking for more data themselves, but with the $120 000 bait offered, they may overlook this point!’. These facts posed a conundrum for WHO; it would be ‘foolish to sign the agreement letter as it stands without making sure that we shall get from Merck all the data that we need’, but ‘On the other hand, we do not want to force them into a corner and accuse them of not giving adequate data to their clinical investigators’.</w:t>
      </w:r>
      <w:r w:rsidRPr="00D9152B">
        <w:rPr>
          <w:rStyle w:val="FootnoteReference"/>
          <w:rFonts w:ascii="Calibri" w:hAnsi="Calibri" w:cs="Calibri"/>
          <w:sz w:val="22"/>
          <w:szCs w:val="22"/>
        </w:rPr>
        <w:footnoteReference w:id="755"/>
      </w:r>
    </w:p>
    <w:p w14:paraId="3C5093E7" w14:textId="4CC0B4D4" w:rsidR="00042F86" w:rsidRPr="00D9152B" w:rsidRDefault="00AC7848" w:rsidP="00A12E2E">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ab/>
        <w:t>Third, the OCT and WHO worried that they did not have a strong negotiating position over future ivermectin pricing. The WHO legal counsel suggested adding a pricing clause the letter of agreement.</w:t>
      </w:r>
      <w:r w:rsidRPr="00D9152B">
        <w:rPr>
          <w:rStyle w:val="FootnoteReference"/>
          <w:rFonts w:ascii="Calibri" w:hAnsi="Calibri" w:cs="Calibri"/>
          <w:sz w:val="22"/>
          <w:szCs w:val="22"/>
        </w:rPr>
        <w:footnoteReference w:id="756"/>
      </w:r>
      <w:r w:rsidRPr="00D9152B">
        <w:rPr>
          <w:rFonts w:ascii="Calibri" w:hAnsi="Calibri" w:cs="Calibri"/>
          <w:sz w:val="22"/>
          <w:szCs w:val="22"/>
        </w:rPr>
        <w:t xml:space="preserve"> However, Merck reacted forcefully to the WHO’s suggestion about price protections. It felt that the ‘company should be entitled to credit for a decision it made quite independently of WHO’s involvement, and not be put in a position of seeming to be responsive to social needs only as part of a </w:t>
      </w:r>
      <w:r w:rsidRPr="00D9152B">
        <w:rPr>
          <w:rFonts w:ascii="Calibri" w:hAnsi="Calibri" w:cs="Calibri"/>
          <w:sz w:val="22"/>
          <w:szCs w:val="22"/>
          <w:u w:val="single"/>
        </w:rPr>
        <w:t>quid pro quo</w:t>
      </w:r>
      <w:r w:rsidRPr="00D9152B">
        <w:rPr>
          <w:rFonts w:ascii="Calibri" w:hAnsi="Calibri" w:cs="Calibri"/>
          <w:sz w:val="22"/>
          <w:szCs w:val="22"/>
        </w:rPr>
        <w:t xml:space="preserve">’. </w:t>
      </w:r>
      <w:r w:rsidRPr="00D9152B">
        <w:rPr>
          <w:rFonts w:ascii="Calibri" w:hAnsi="Calibri" w:cs="Calibri"/>
          <w:sz w:val="22"/>
          <w:szCs w:val="22"/>
        </w:rPr>
        <w:lastRenderedPageBreak/>
        <w:t xml:space="preserve">Essentially, Merck argued that it was already a </w:t>
      </w:r>
      <w:r w:rsidR="00656055" w:rsidRPr="00D9152B">
        <w:rPr>
          <w:rFonts w:ascii="Calibri" w:hAnsi="Calibri" w:cs="Calibri"/>
          <w:sz w:val="22"/>
          <w:szCs w:val="22"/>
        </w:rPr>
        <w:t>morally aware</w:t>
      </w:r>
      <w:r w:rsidRPr="00D9152B">
        <w:rPr>
          <w:rFonts w:ascii="Calibri" w:hAnsi="Calibri" w:cs="Calibri"/>
          <w:sz w:val="22"/>
          <w:szCs w:val="22"/>
        </w:rPr>
        <w:t xml:space="preserve"> corporation, which recognized the economic limitations of the OCP countries and would meet them to the best of its abilities. OCT financial incentives had not changed the trajectory it had taken and would take with ivermectin. The</w:t>
      </w:r>
      <w:r w:rsidR="00042F86" w:rsidRPr="00D9152B">
        <w:rPr>
          <w:rFonts w:ascii="Calibri" w:hAnsi="Calibri" w:cs="Calibri"/>
          <w:sz w:val="22"/>
          <w:szCs w:val="22"/>
        </w:rPr>
        <w:t xml:space="preserve"> WHO’s request for a pricing c</w:t>
      </w:r>
      <w:r w:rsidR="00E30696">
        <w:rPr>
          <w:rFonts w:ascii="Calibri" w:hAnsi="Calibri" w:cs="Calibri"/>
          <w:sz w:val="22"/>
          <w:szCs w:val="22"/>
        </w:rPr>
        <w:t>l</w:t>
      </w:r>
      <w:r w:rsidR="00042F86" w:rsidRPr="00D9152B">
        <w:rPr>
          <w:rFonts w:ascii="Calibri" w:hAnsi="Calibri" w:cs="Calibri"/>
          <w:sz w:val="22"/>
          <w:szCs w:val="22"/>
        </w:rPr>
        <w:t xml:space="preserve">ause, </w:t>
      </w:r>
      <w:r w:rsidRPr="00D9152B">
        <w:rPr>
          <w:rFonts w:ascii="Calibri" w:hAnsi="Calibri" w:cs="Calibri"/>
          <w:sz w:val="22"/>
          <w:szCs w:val="22"/>
        </w:rPr>
        <w:t>contain</w:t>
      </w:r>
      <w:r w:rsidR="00042F86" w:rsidRPr="00D9152B">
        <w:rPr>
          <w:rFonts w:ascii="Calibri" w:hAnsi="Calibri" w:cs="Calibri"/>
          <w:sz w:val="22"/>
          <w:szCs w:val="22"/>
        </w:rPr>
        <w:t>ing</w:t>
      </w:r>
      <w:r w:rsidRPr="00D9152B">
        <w:rPr>
          <w:rFonts w:ascii="Calibri" w:hAnsi="Calibri" w:cs="Calibri"/>
          <w:sz w:val="22"/>
          <w:szCs w:val="22"/>
        </w:rPr>
        <w:t xml:space="preserve"> the phrase ‘use our best efforts’ to make the drug affordable, </w:t>
      </w:r>
      <w:r w:rsidR="00042F86" w:rsidRPr="00D9152B">
        <w:rPr>
          <w:rFonts w:ascii="Calibri" w:hAnsi="Calibri" w:cs="Calibri"/>
          <w:sz w:val="22"/>
          <w:szCs w:val="22"/>
        </w:rPr>
        <w:t>was considered to be</w:t>
      </w:r>
      <w:r w:rsidRPr="00D9152B">
        <w:rPr>
          <w:rFonts w:ascii="Calibri" w:hAnsi="Calibri" w:cs="Calibri"/>
          <w:sz w:val="22"/>
          <w:szCs w:val="22"/>
        </w:rPr>
        <w:t xml:space="preserve"> ‘too legal a commitment’ </w:t>
      </w:r>
      <w:r w:rsidR="00042F86" w:rsidRPr="00D9152B">
        <w:rPr>
          <w:rFonts w:ascii="Calibri" w:hAnsi="Calibri" w:cs="Calibri"/>
          <w:sz w:val="22"/>
          <w:szCs w:val="22"/>
        </w:rPr>
        <w:t>by</w:t>
      </w:r>
      <w:r w:rsidRPr="00D9152B">
        <w:rPr>
          <w:rFonts w:ascii="Calibri" w:hAnsi="Calibri" w:cs="Calibri"/>
          <w:sz w:val="22"/>
          <w:szCs w:val="22"/>
        </w:rPr>
        <w:t xml:space="preserve"> Merck. Merck instead suggested a compromise phrase</w:t>
      </w:r>
      <w:r w:rsidR="00042F86" w:rsidRPr="00D9152B">
        <w:rPr>
          <w:rFonts w:ascii="Calibri" w:hAnsi="Calibri" w:cs="Calibri"/>
          <w:sz w:val="22"/>
          <w:szCs w:val="22"/>
        </w:rPr>
        <w:t xml:space="preserve"> (like Ciba-Geigy had agreed upon)</w:t>
      </w:r>
      <w:r w:rsidR="00C117AE" w:rsidRPr="00D9152B">
        <w:rPr>
          <w:rFonts w:ascii="Calibri" w:hAnsi="Calibri" w:cs="Calibri"/>
          <w:sz w:val="22"/>
          <w:szCs w:val="22"/>
        </w:rPr>
        <w:t>:</w:t>
      </w:r>
      <w:r w:rsidRPr="00D9152B">
        <w:rPr>
          <w:rFonts w:ascii="Calibri" w:hAnsi="Calibri" w:cs="Calibri"/>
          <w:sz w:val="22"/>
          <w:szCs w:val="22"/>
        </w:rPr>
        <w:t xml:space="preserve"> t</w:t>
      </w:r>
      <w:r w:rsidR="00656055" w:rsidRPr="00D9152B">
        <w:rPr>
          <w:rFonts w:ascii="Calibri" w:hAnsi="Calibri" w:cs="Calibri"/>
          <w:sz w:val="22"/>
          <w:szCs w:val="22"/>
        </w:rPr>
        <w:t>hat it would</w:t>
      </w:r>
      <w:r w:rsidRPr="00D9152B">
        <w:rPr>
          <w:rFonts w:ascii="Calibri" w:hAnsi="Calibri" w:cs="Calibri"/>
          <w:sz w:val="22"/>
          <w:szCs w:val="22"/>
        </w:rPr>
        <w:t xml:space="preserve"> ‘make a good faith effort’ when pricing the drug. It also rejected WHO’s </w:t>
      </w:r>
      <w:r w:rsidR="00656055" w:rsidRPr="00D9152B">
        <w:rPr>
          <w:rFonts w:ascii="Calibri" w:hAnsi="Calibri" w:cs="Calibri"/>
          <w:sz w:val="22"/>
          <w:szCs w:val="22"/>
        </w:rPr>
        <w:t xml:space="preserve">accessory </w:t>
      </w:r>
      <w:r w:rsidRPr="00D9152B">
        <w:rPr>
          <w:rFonts w:ascii="Calibri" w:hAnsi="Calibri" w:cs="Calibri"/>
          <w:sz w:val="22"/>
          <w:szCs w:val="22"/>
        </w:rPr>
        <w:t>phrase</w:t>
      </w:r>
      <w:r w:rsidR="00656055" w:rsidRPr="00D9152B">
        <w:rPr>
          <w:rFonts w:ascii="Calibri" w:hAnsi="Calibri" w:cs="Calibri"/>
          <w:sz w:val="22"/>
          <w:szCs w:val="22"/>
        </w:rPr>
        <w:t xml:space="preserve"> suggestion – ‘at a lowest possible price’ –</w:t>
      </w:r>
      <w:r w:rsidRPr="00D9152B">
        <w:rPr>
          <w:rFonts w:ascii="Calibri" w:hAnsi="Calibri" w:cs="Calibri"/>
          <w:sz w:val="22"/>
          <w:szCs w:val="22"/>
        </w:rPr>
        <w:t xml:space="preserve"> which it believed ‘puts a requirement on us that may be practically as well as legally impossible’.</w:t>
      </w:r>
      <w:r w:rsidRPr="00D9152B">
        <w:rPr>
          <w:rStyle w:val="FootnoteReference"/>
          <w:rFonts w:ascii="Calibri" w:hAnsi="Calibri" w:cs="Calibri"/>
          <w:sz w:val="22"/>
          <w:szCs w:val="22"/>
        </w:rPr>
        <w:footnoteReference w:id="757"/>
      </w:r>
    </w:p>
    <w:p w14:paraId="74B72EA8" w14:textId="41738E23" w:rsidR="00AC7848" w:rsidRPr="00D9152B" w:rsidRDefault="00AC7848" w:rsidP="00A12E2E">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ab/>
        <w:t xml:space="preserve">Merck and WHO </w:t>
      </w:r>
      <w:r w:rsidR="00656055" w:rsidRPr="00D9152B">
        <w:rPr>
          <w:rFonts w:ascii="Calibri" w:hAnsi="Calibri" w:cs="Calibri"/>
          <w:sz w:val="22"/>
          <w:szCs w:val="22"/>
        </w:rPr>
        <w:t xml:space="preserve">ultimately </w:t>
      </w:r>
      <w:r w:rsidRPr="00D9152B">
        <w:rPr>
          <w:rFonts w:ascii="Calibri" w:hAnsi="Calibri" w:cs="Calibri"/>
          <w:sz w:val="22"/>
          <w:szCs w:val="22"/>
        </w:rPr>
        <w:t>sign</w:t>
      </w:r>
      <w:r w:rsidR="00656055" w:rsidRPr="00D9152B">
        <w:rPr>
          <w:rFonts w:ascii="Calibri" w:hAnsi="Calibri" w:cs="Calibri"/>
          <w:sz w:val="22"/>
          <w:szCs w:val="22"/>
        </w:rPr>
        <w:t>ed</w:t>
      </w:r>
      <w:r w:rsidRPr="00D9152B">
        <w:rPr>
          <w:rFonts w:ascii="Calibri" w:hAnsi="Calibri" w:cs="Calibri"/>
          <w:sz w:val="22"/>
          <w:szCs w:val="22"/>
        </w:rPr>
        <w:t xml:space="preserve"> the letter of agreement in 1985. Before signing, the Merck representative reinforced that Merck itself did not think that such a legal document was required. As a key Merck representative put it, </w:t>
      </w:r>
    </w:p>
    <w:p w14:paraId="3285CDBB" w14:textId="5670731F" w:rsidR="00AC7848" w:rsidRPr="00D9152B" w:rsidRDefault="00AC7848" w:rsidP="00D07FD2">
      <w:pPr>
        <w:pStyle w:val="Quote"/>
        <w:ind w:left="862" w:right="862"/>
        <w:rPr>
          <w:rFonts w:cs="Calibri"/>
          <w:i/>
          <w:sz w:val="22"/>
          <w:szCs w:val="22"/>
          <w:lang w:val="en-GB"/>
        </w:rPr>
      </w:pPr>
      <w:r w:rsidRPr="00D9152B">
        <w:rPr>
          <w:rFonts w:cs="Calibri"/>
          <w:i/>
          <w:sz w:val="22"/>
          <w:szCs w:val="22"/>
          <w:lang w:val="en-GB"/>
        </w:rPr>
        <w:t>‘This is being done on a purely voluntary basis in response to the concerns you have raised about our collaboration and not from a desire by Merck to have a negotiated contract. We see no need for one and we do not anticipate that a contract or a letter of understanding would change in any way what our plans and intentions are for ivermectin</w:t>
      </w:r>
      <w:r w:rsidR="00AE4BD4">
        <w:rPr>
          <w:rFonts w:cs="Calibri"/>
          <w:i/>
          <w:sz w:val="22"/>
          <w:szCs w:val="22"/>
          <w:lang w:val="en-GB"/>
        </w:rPr>
        <w:t>.</w:t>
      </w:r>
      <w:r w:rsidRPr="00D9152B">
        <w:rPr>
          <w:rFonts w:cs="Calibri"/>
          <w:i/>
          <w:sz w:val="22"/>
          <w:szCs w:val="22"/>
          <w:lang w:val="en-GB"/>
        </w:rPr>
        <w:t>’</w:t>
      </w:r>
      <w:r w:rsidRPr="00D9152B">
        <w:rPr>
          <w:rStyle w:val="FootnoteReference"/>
          <w:rFonts w:ascii="Calibri" w:hAnsi="Calibri" w:cs="Calibri"/>
          <w:i/>
          <w:sz w:val="22"/>
          <w:szCs w:val="22"/>
          <w:lang w:val="en-GB"/>
        </w:rPr>
        <w:footnoteReference w:id="758"/>
      </w:r>
    </w:p>
    <w:p w14:paraId="52324B96" w14:textId="77777777" w:rsidR="00AC7848" w:rsidRPr="00D9152B" w:rsidRDefault="00AC7848" w:rsidP="00A12E2E">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The letter reflected compromises on the second and third, but not first, fronts. For instance, an attached cover letter clarified that Merck would only be legally committed to providing its standard drug information to the OCT, but may choose to disclose more voluntarily. If Merck did not volunteer this information, WHO would be under no legal obligation to participate in any activity for which more drug safety information was required.</w:t>
      </w:r>
      <w:r w:rsidRPr="00D9152B">
        <w:rPr>
          <w:rStyle w:val="FootnoteReference"/>
          <w:rFonts w:ascii="Calibri" w:hAnsi="Calibri" w:cs="Calibri"/>
          <w:sz w:val="22"/>
          <w:szCs w:val="22"/>
        </w:rPr>
        <w:footnoteReference w:id="759"/>
      </w:r>
      <w:r w:rsidRPr="00D9152B">
        <w:rPr>
          <w:rFonts w:ascii="Calibri" w:hAnsi="Calibri" w:cs="Calibri"/>
          <w:sz w:val="22"/>
          <w:szCs w:val="22"/>
        </w:rPr>
        <w:t xml:space="preserve"> Merck would also use its best efforts, under good faith, to price the drug affordably if it was registered for human onchocerciasis use. Merck retained sole legal ownership over ivermectin and any clinical trials that it deemed necessary.</w:t>
      </w:r>
    </w:p>
    <w:p w14:paraId="19BE9D16" w14:textId="7E9C9726" w:rsidR="00656055" w:rsidRPr="00D9152B" w:rsidRDefault="00076FC2" w:rsidP="00656BE2">
      <w:pPr>
        <w:pStyle w:val="Heading3"/>
        <w:rPr>
          <w:rFonts w:ascii="Calibri" w:hAnsi="Calibri" w:cs="Calibri"/>
          <w:b/>
          <w:i/>
          <w:color w:val="000000" w:themeColor="text1"/>
          <w:sz w:val="22"/>
          <w:szCs w:val="22"/>
        </w:rPr>
      </w:pPr>
      <w:bookmarkStart w:id="132" w:name="_Toc41505690"/>
      <w:r w:rsidRPr="00D9152B">
        <w:rPr>
          <w:rFonts w:ascii="Calibri" w:hAnsi="Calibri" w:cs="Calibri"/>
          <w:b/>
          <w:i/>
          <w:color w:val="000000" w:themeColor="text1"/>
          <w:sz w:val="22"/>
          <w:szCs w:val="22"/>
        </w:rPr>
        <w:lastRenderedPageBreak/>
        <w:t>7.</w:t>
      </w:r>
      <w:r w:rsidR="00677774" w:rsidRPr="00D9152B">
        <w:rPr>
          <w:rFonts w:ascii="Calibri" w:hAnsi="Calibri" w:cs="Calibri"/>
          <w:b/>
          <w:i/>
          <w:color w:val="000000" w:themeColor="text1"/>
          <w:sz w:val="22"/>
          <w:szCs w:val="22"/>
        </w:rPr>
        <w:t>5</w:t>
      </w:r>
      <w:r w:rsidRPr="00D9152B">
        <w:rPr>
          <w:rFonts w:ascii="Calibri" w:hAnsi="Calibri" w:cs="Calibri"/>
          <w:b/>
          <w:i/>
          <w:color w:val="000000" w:themeColor="text1"/>
          <w:sz w:val="22"/>
          <w:szCs w:val="22"/>
        </w:rPr>
        <w:t>.C.</w:t>
      </w:r>
      <w:r w:rsidR="00656055" w:rsidRPr="00D9152B">
        <w:rPr>
          <w:rFonts w:ascii="Calibri" w:hAnsi="Calibri" w:cs="Calibri"/>
          <w:b/>
          <w:i/>
          <w:color w:val="000000" w:themeColor="text1"/>
          <w:sz w:val="22"/>
          <w:szCs w:val="22"/>
        </w:rPr>
        <w:t xml:space="preserve"> Licensing, pricing, and testing ivermectin (1985-1989)</w:t>
      </w:r>
      <w:bookmarkEnd w:id="132"/>
    </w:p>
    <w:p w14:paraId="6E8A8C5C" w14:textId="1954EBB7" w:rsidR="00AC7848" w:rsidRPr="00D9152B" w:rsidRDefault="00AC7848" w:rsidP="00A12E2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In the end, Merck’s good faith materialized, although the </w:t>
      </w:r>
      <w:r w:rsidR="00656055" w:rsidRPr="00D9152B">
        <w:rPr>
          <w:rFonts w:ascii="Calibri" w:hAnsi="Calibri" w:cs="Calibri"/>
          <w:sz w:val="22"/>
          <w:szCs w:val="22"/>
        </w:rPr>
        <w:t>OCT</w:t>
      </w:r>
      <w:r w:rsidRPr="00D9152B">
        <w:rPr>
          <w:rFonts w:ascii="Calibri" w:hAnsi="Calibri" w:cs="Calibri"/>
          <w:sz w:val="22"/>
          <w:szCs w:val="22"/>
        </w:rPr>
        <w:t xml:space="preserve"> would have had little recourse if it had not. From 1985-1987, the OCT, WHO, and Merck discussed pricing at length. Merck had four possible pricing options: to sell the drug directly, to provide the drug for the public sector and be</w:t>
      </w:r>
      <w:r w:rsidR="0094281F" w:rsidRPr="00D9152B">
        <w:rPr>
          <w:rFonts w:ascii="Calibri" w:hAnsi="Calibri" w:cs="Calibri"/>
          <w:sz w:val="22"/>
          <w:szCs w:val="22"/>
        </w:rPr>
        <w:t xml:space="preserve"> paid compensation from a third </w:t>
      </w:r>
      <w:r w:rsidRPr="00D9152B">
        <w:rPr>
          <w:rFonts w:ascii="Calibri" w:hAnsi="Calibri" w:cs="Calibri"/>
          <w:sz w:val="22"/>
          <w:szCs w:val="22"/>
        </w:rPr>
        <w:t>party, to donate the drug free of charge without compensation, or to abandon the human onchocerciasis component of its ivermectin profile.</w:t>
      </w:r>
      <w:r w:rsidRPr="00D9152B">
        <w:rPr>
          <w:rStyle w:val="FootnoteReference"/>
          <w:rFonts w:ascii="Calibri" w:hAnsi="Calibri" w:cs="Calibri"/>
          <w:sz w:val="22"/>
          <w:szCs w:val="22"/>
        </w:rPr>
        <w:footnoteReference w:id="760"/>
      </w:r>
      <w:r w:rsidRPr="00D9152B">
        <w:rPr>
          <w:rFonts w:ascii="Calibri" w:hAnsi="Calibri" w:cs="Calibri"/>
          <w:sz w:val="22"/>
          <w:szCs w:val="22"/>
        </w:rPr>
        <w:t xml:space="preserve"> Abandoning the drug did not seem a viable option, given the high level of publicity surrounding the successful clinical trials.</w:t>
      </w:r>
      <w:r w:rsidRPr="00D9152B">
        <w:rPr>
          <w:rStyle w:val="FootnoteReference"/>
          <w:rFonts w:ascii="Calibri" w:hAnsi="Calibri" w:cs="Calibri"/>
          <w:sz w:val="22"/>
          <w:szCs w:val="22"/>
        </w:rPr>
        <w:footnoteReference w:id="761"/>
      </w:r>
      <w:r w:rsidRPr="00D9152B">
        <w:rPr>
          <w:rFonts w:ascii="Calibri" w:hAnsi="Calibri" w:cs="Calibri"/>
          <w:sz w:val="22"/>
          <w:szCs w:val="22"/>
        </w:rPr>
        <w:t xml:space="preserve"> Instead, Roy Vagelos, Merck’s CEO, wrote to Mahler about how important it was for drug pricing (and delivery) to set a precedent for pharmaceutical industry interest in the NTD market:</w:t>
      </w:r>
    </w:p>
    <w:p w14:paraId="5437A194" w14:textId="529E9A7B" w:rsidR="00AC7848" w:rsidRPr="00D9152B" w:rsidRDefault="00EA3BDC" w:rsidP="00D07FD2">
      <w:pPr>
        <w:pStyle w:val="Quote"/>
        <w:ind w:left="862" w:right="862"/>
        <w:rPr>
          <w:rFonts w:cs="Calibri"/>
          <w:i/>
          <w:sz w:val="22"/>
          <w:szCs w:val="22"/>
          <w:lang w:val="en-GB"/>
        </w:rPr>
      </w:pPr>
      <w:r w:rsidRPr="00D9152B">
        <w:rPr>
          <w:rFonts w:cs="Calibri"/>
          <w:i/>
          <w:sz w:val="22"/>
          <w:szCs w:val="22"/>
          <w:lang w:val="en-GB"/>
        </w:rPr>
        <w:t>‘…</w:t>
      </w:r>
      <w:r w:rsidR="00AC7848" w:rsidRPr="00D9152B">
        <w:rPr>
          <w:rFonts w:cs="Calibri"/>
          <w:i/>
          <w:sz w:val="22"/>
          <w:szCs w:val="22"/>
          <w:lang w:val="en-GB"/>
        </w:rPr>
        <w:t>we believe a real financial return on the resources and effort invested to develop ivermectin for onchocerciasis is essential. This, by example, will encourage similar risk-taking research by private companies to find effective agents to treat Third World diseases…</w:t>
      </w:r>
      <w:r w:rsidRPr="00D9152B">
        <w:rPr>
          <w:rFonts w:cs="Calibri"/>
          <w:i/>
          <w:sz w:val="22"/>
          <w:szCs w:val="22"/>
          <w:lang w:val="en-GB"/>
        </w:rPr>
        <w:t xml:space="preserve"> </w:t>
      </w:r>
      <w:r w:rsidR="00AC7848" w:rsidRPr="00D9152B">
        <w:rPr>
          <w:rFonts w:cs="Calibri"/>
          <w:i/>
          <w:sz w:val="22"/>
          <w:szCs w:val="22"/>
          <w:lang w:val="en-GB"/>
        </w:rPr>
        <w:t>From our discussions with governmental and private agencies, we firmly believe that we will be able to secure the financial support we seek. I am certain you share with me the view that it would be a cautionary example for other innovative companies if funds from governmental and other international health-support agencies were not forthcoming for purchase of ivermectin as well as support of the delivery infrastructure’.</w:t>
      </w:r>
      <w:r w:rsidR="00AC7848" w:rsidRPr="00D9152B">
        <w:rPr>
          <w:rStyle w:val="FootnoteReference"/>
          <w:rFonts w:ascii="Calibri" w:hAnsi="Calibri" w:cs="Calibri"/>
          <w:i/>
          <w:sz w:val="22"/>
          <w:szCs w:val="22"/>
          <w:lang w:val="en-GB"/>
        </w:rPr>
        <w:footnoteReference w:id="762"/>
      </w:r>
      <w:r w:rsidR="00AC7848" w:rsidRPr="00D9152B">
        <w:rPr>
          <w:rFonts w:cs="Calibri"/>
          <w:i/>
          <w:sz w:val="22"/>
          <w:szCs w:val="22"/>
          <w:lang w:val="en-GB"/>
        </w:rPr>
        <w:t xml:space="preserve"> </w:t>
      </w:r>
    </w:p>
    <w:p w14:paraId="791D2F21" w14:textId="36B93340" w:rsidR="00813F97" w:rsidRPr="00D9152B" w:rsidRDefault="00AC7848" w:rsidP="00813F97">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In its application for French drug registration in 198</w:t>
      </w:r>
      <w:r w:rsidR="00656055" w:rsidRPr="00D9152B">
        <w:rPr>
          <w:rFonts w:ascii="Calibri" w:hAnsi="Calibri" w:cs="Calibri"/>
          <w:sz w:val="22"/>
          <w:szCs w:val="22"/>
        </w:rPr>
        <w:t xml:space="preserve">7, Merck suggested a price of three dollars per treatment, which it stated was </w:t>
      </w:r>
      <w:r w:rsidRPr="00D9152B">
        <w:rPr>
          <w:rFonts w:ascii="Calibri" w:hAnsi="Calibri" w:cs="Calibri"/>
          <w:sz w:val="22"/>
          <w:szCs w:val="22"/>
        </w:rPr>
        <w:t>below the drug’s veterinary market value. At a meeting with WHO that same ye</w:t>
      </w:r>
      <w:r w:rsidR="00656055" w:rsidRPr="00D9152B">
        <w:rPr>
          <w:rFonts w:ascii="Calibri" w:hAnsi="Calibri" w:cs="Calibri"/>
          <w:sz w:val="22"/>
          <w:szCs w:val="22"/>
        </w:rPr>
        <w:t>ar, the company also presented one dollar</w:t>
      </w:r>
      <w:r w:rsidRPr="00D9152B">
        <w:rPr>
          <w:rFonts w:ascii="Calibri" w:hAnsi="Calibri" w:cs="Calibri"/>
          <w:sz w:val="22"/>
          <w:szCs w:val="22"/>
        </w:rPr>
        <w:t xml:space="preserve"> per treatment as an option. WHO pushed back, stating that for a sustainable mass-drug administration campaign, the maximum overall cost of a treatment – including deli</w:t>
      </w:r>
      <w:r w:rsidR="00656055" w:rsidRPr="00D9152B">
        <w:rPr>
          <w:rFonts w:ascii="Calibri" w:hAnsi="Calibri" w:cs="Calibri"/>
          <w:sz w:val="22"/>
          <w:szCs w:val="22"/>
        </w:rPr>
        <w:t>very costs – could only be fifty cents per treatment</w:t>
      </w:r>
      <w:r w:rsidRPr="00D9152B">
        <w:rPr>
          <w:rFonts w:ascii="Calibri" w:hAnsi="Calibri" w:cs="Calibri"/>
          <w:sz w:val="22"/>
          <w:szCs w:val="22"/>
        </w:rPr>
        <w:t>.</w:t>
      </w:r>
      <w:r w:rsidRPr="00D9152B">
        <w:rPr>
          <w:rStyle w:val="FootnoteReference"/>
          <w:rFonts w:ascii="Calibri" w:hAnsi="Calibri" w:cs="Calibri"/>
          <w:sz w:val="22"/>
          <w:szCs w:val="22"/>
        </w:rPr>
        <w:footnoteReference w:id="763"/>
      </w:r>
      <w:r w:rsidRPr="00D9152B">
        <w:rPr>
          <w:rFonts w:ascii="Calibri" w:hAnsi="Calibri" w:cs="Calibri"/>
          <w:sz w:val="22"/>
          <w:szCs w:val="22"/>
        </w:rPr>
        <w:t xml:space="preserve"> Because selling the drug to the OCP for a reasonable profit seemed increasingly unlikely, Merck and the WHO reached-out to potential third-party payers. WHO had preliminary discussions with </w:t>
      </w:r>
      <w:r w:rsidR="009257F8">
        <w:rPr>
          <w:rFonts w:ascii="Calibri" w:hAnsi="Calibri" w:cs="Calibri"/>
          <w:sz w:val="22"/>
          <w:szCs w:val="22"/>
        </w:rPr>
        <w:t>the United States Agency for International Development (USAID)</w:t>
      </w:r>
      <w:r w:rsidRPr="00D9152B">
        <w:rPr>
          <w:rFonts w:ascii="Calibri" w:hAnsi="Calibri" w:cs="Calibri"/>
          <w:sz w:val="22"/>
          <w:szCs w:val="22"/>
        </w:rPr>
        <w:t xml:space="preserve"> about purchasing the drug for delivery in </w:t>
      </w:r>
      <w:r w:rsidRPr="00D9152B">
        <w:rPr>
          <w:rFonts w:ascii="Calibri" w:hAnsi="Calibri" w:cs="Calibri"/>
          <w:sz w:val="22"/>
          <w:szCs w:val="22"/>
        </w:rPr>
        <w:lastRenderedPageBreak/>
        <w:t>the OCP region,</w:t>
      </w:r>
      <w:r w:rsidRPr="00D9152B">
        <w:rPr>
          <w:rStyle w:val="FootnoteReference"/>
          <w:rFonts w:ascii="Calibri" w:hAnsi="Calibri" w:cs="Calibri"/>
          <w:sz w:val="22"/>
          <w:szCs w:val="22"/>
        </w:rPr>
        <w:footnoteReference w:id="764"/>
      </w:r>
      <w:r w:rsidRPr="00D9152B">
        <w:rPr>
          <w:rFonts w:ascii="Calibri" w:hAnsi="Calibri" w:cs="Calibri"/>
          <w:sz w:val="22"/>
          <w:szCs w:val="22"/>
        </w:rPr>
        <w:t xml:space="preserve"> a</w:t>
      </w:r>
      <w:r w:rsidR="00656055" w:rsidRPr="00D9152B">
        <w:rPr>
          <w:rFonts w:ascii="Calibri" w:hAnsi="Calibri" w:cs="Calibri"/>
          <w:sz w:val="22"/>
          <w:szCs w:val="22"/>
        </w:rPr>
        <w:t>nd Merck also contacted the United States</w:t>
      </w:r>
      <w:r w:rsidRPr="00D9152B">
        <w:rPr>
          <w:rFonts w:ascii="Calibri" w:hAnsi="Calibri" w:cs="Calibri"/>
          <w:sz w:val="22"/>
          <w:szCs w:val="22"/>
        </w:rPr>
        <w:t xml:space="preserve"> government and multilateral development agencies.</w:t>
      </w:r>
      <w:r w:rsidRPr="00D9152B">
        <w:rPr>
          <w:rStyle w:val="FootnoteReference"/>
          <w:rFonts w:ascii="Calibri" w:hAnsi="Calibri" w:cs="Calibri"/>
          <w:sz w:val="22"/>
          <w:szCs w:val="22"/>
        </w:rPr>
        <w:footnoteReference w:id="765"/>
      </w:r>
      <w:r w:rsidRPr="00D9152B">
        <w:rPr>
          <w:rFonts w:ascii="Calibri" w:hAnsi="Calibri" w:cs="Calibri"/>
          <w:sz w:val="22"/>
          <w:szCs w:val="22"/>
        </w:rPr>
        <w:t xml:space="preserve"> </w:t>
      </w:r>
      <w:r w:rsidR="003D2AD4" w:rsidRPr="00D9152B">
        <w:rPr>
          <w:rFonts w:ascii="Calibri" w:hAnsi="Calibri" w:cs="Calibri"/>
          <w:sz w:val="22"/>
          <w:szCs w:val="22"/>
        </w:rPr>
        <w:t>Vagelos</w:t>
      </w:r>
      <w:r w:rsidR="009257F8">
        <w:rPr>
          <w:rFonts w:ascii="Calibri" w:hAnsi="Calibri" w:cs="Calibri"/>
          <w:sz w:val="22"/>
          <w:szCs w:val="22"/>
        </w:rPr>
        <w:t xml:space="preserve"> </w:t>
      </w:r>
      <w:r w:rsidR="003D2AD4" w:rsidRPr="00D9152B">
        <w:rPr>
          <w:rFonts w:ascii="Calibri" w:hAnsi="Calibri" w:cs="Calibri"/>
          <w:sz w:val="22"/>
          <w:szCs w:val="22"/>
        </w:rPr>
        <w:t>has explained how he explored United States government support (from</w:t>
      </w:r>
      <w:r w:rsidR="009257F8">
        <w:rPr>
          <w:rFonts w:ascii="Calibri" w:hAnsi="Calibri" w:cs="Calibri"/>
          <w:sz w:val="22"/>
          <w:szCs w:val="22"/>
        </w:rPr>
        <w:t xml:space="preserve"> both</w:t>
      </w:r>
      <w:r w:rsidR="003D2AD4" w:rsidRPr="00D9152B">
        <w:rPr>
          <w:rFonts w:ascii="Calibri" w:hAnsi="Calibri" w:cs="Calibri"/>
          <w:sz w:val="22"/>
          <w:szCs w:val="22"/>
        </w:rPr>
        <w:t xml:space="preserve"> the Department of State and USAID), </w:t>
      </w:r>
      <w:r w:rsidR="009257F8">
        <w:rPr>
          <w:rFonts w:ascii="Calibri" w:hAnsi="Calibri" w:cs="Calibri"/>
          <w:sz w:val="22"/>
          <w:szCs w:val="22"/>
        </w:rPr>
        <w:t>but that this aid</w:t>
      </w:r>
      <w:r w:rsidR="003D2AD4" w:rsidRPr="00D9152B">
        <w:rPr>
          <w:rFonts w:ascii="Calibri" w:hAnsi="Calibri" w:cs="Calibri"/>
          <w:sz w:val="22"/>
          <w:szCs w:val="22"/>
        </w:rPr>
        <w:t xml:space="preserve"> was not forthcoming. He reflects that, when the French government suddenly informed Merck that it would be approving ivermectin, he felt compelled to act. He hastily set up a press conference in Washington DC, and decided – based on his training as a physician and Merck’s mission (‘to provide society with superior products and services’) – to donate the drug for the public control of onchocerciasis, for as long as needed. According to Vagelos, this decision was made individually</w:t>
      </w:r>
      <w:r w:rsidR="00813F97" w:rsidRPr="00D9152B">
        <w:rPr>
          <w:rFonts w:ascii="Calibri" w:hAnsi="Calibri" w:cs="Calibri"/>
          <w:sz w:val="22"/>
          <w:szCs w:val="22"/>
        </w:rPr>
        <w:t xml:space="preserve"> on a short time-frame</w:t>
      </w:r>
      <w:r w:rsidR="003D2AD4" w:rsidRPr="00D9152B">
        <w:rPr>
          <w:rFonts w:ascii="Calibri" w:hAnsi="Calibri" w:cs="Calibri"/>
          <w:sz w:val="22"/>
          <w:szCs w:val="22"/>
        </w:rPr>
        <w:t>, without consultation with Merck’s Board of Directors (who were later supportive).</w:t>
      </w:r>
      <w:r w:rsidR="003D2AD4" w:rsidRPr="00D9152B">
        <w:rPr>
          <w:rStyle w:val="FootnoteReference"/>
          <w:rFonts w:ascii="Calibri" w:hAnsi="Calibri" w:cs="Calibri"/>
        </w:rPr>
        <w:footnoteReference w:id="766"/>
      </w:r>
      <w:r w:rsidR="003D2AD4" w:rsidRPr="00D9152B">
        <w:rPr>
          <w:rFonts w:ascii="Calibri" w:hAnsi="Calibri" w:cs="Calibri"/>
          <w:sz w:val="22"/>
          <w:szCs w:val="22"/>
        </w:rPr>
        <w:t xml:space="preserve"> </w:t>
      </w:r>
    </w:p>
    <w:p w14:paraId="753E83DA" w14:textId="43D13193" w:rsidR="00AC7848" w:rsidRPr="00D9152B" w:rsidRDefault="003D2AD4" w:rsidP="00813F97">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Vagelos does not mention other non-humanitarian factors that may have contributed to his decision to donate ivermectin (and the Board’s decision to support it). These include ivermectin’s profitable veterinary market, Merck’s high profits from other blockbuster drugs in the late 1980s and 1990s, </w:t>
      </w:r>
      <w:r w:rsidR="00813F97" w:rsidRPr="00D9152B">
        <w:rPr>
          <w:rFonts w:ascii="Calibri" w:hAnsi="Calibri" w:cs="Calibri"/>
          <w:sz w:val="22"/>
          <w:szCs w:val="22"/>
        </w:rPr>
        <w:t>and the United States tax write-offs available for donated medicines.</w:t>
      </w:r>
      <w:r w:rsidR="00AC7848" w:rsidRPr="00D9152B">
        <w:rPr>
          <w:rStyle w:val="FootnoteReference"/>
          <w:rFonts w:ascii="Calibri" w:hAnsi="Calibri" w:cs="Calibri"/>
          <w:sz w:val="22"/>
          <w:szCs w:val="22"/>
        </w:rPr>
        <w:footnoteReference w:id="767"/>
      </w:r>
      <w:r w:rsidR="00AC7848" w:rsidRPr="00D9152B">
        <w:rPr>
          <w:rFonts w:ascii="Calibri" w:hAnsi="Calibri" w:cs="Calibri"/>
          <w:sz w:val="22"/>
          <w:szCs w:val="22"/>
        </w:rPr>
        <w:t xml:space="preserve"> </w:t>
      </w:r>
      <w:r w:rsidR="00813F97" w:rsidRPr="00D9152B">
        <w:rPr>
          <w:rFonts w:ascii="Calibri" w:hAnsi="Calibri" w:cs="Calibri"/>
          <w:sz w:val="22"/>
          <w:szCs w:val="22"/>
        </w:rPr>
        <w:t xml:space="preserve">Vagelos does acknowledge that the donation helped Merck with public relations, </w:t>
      </w:r>
      <w:r w:rsidR="009257F8">
        <w:rPr>
          <w:rFonts w:ascii="Calibri" w:hAnsi="Calibri" w:cs="Calibri"/>
          <w:sz w:val="22"/>
          <w:szCs w:val="22"/>
        </w:rPr>
        <w:t xml:space="preserve">including its status as </w:t>
      </w:r>
      <w:r w:rsidR="00813F97" w:rsidRPr="00D9152B">
        <w:rPr>
          <w:rFonts w:ascii="Calibri" w:hAnsi="Calibri" w:cs="Calibri"/>
          <w:i/>
          <w:sz w:val="22"/>
          <w:szCs w:val="22"/>
        </w:rPr>
        <w:t xml:space="preserve">Fortune’s </w:t>
      </w:r>
      <w:r w:rsidR="00813F97" w:rsidRPr="00D9152B">
        <w:rPr>
          <w:rFonts w:ascii="Calibri" w:hAnsi="Calibri" w:cs="Calibri"/>
          <w:sz w:val="22"/>
          <w:szCs w:val="22"/>
        </w:rPr>
        <w:t>‘Most admired corporation’ for seven years.</w:t>
      </w:r>
      <w:r w:rsidR="00813F97" w:rsidRPr="00D9152B">
        <w:rPr>
          <w:rStyle w:val="FootnoteReference"/>
          <w:rFonts w:ascii="Calibri" w:hAnsi="Calibri" w:cs="Calibri"/>
        </w:rPr>
        <w:footnoteReference w:id="768"/>
      </w:r>
      <w:r w:rsidR="00813F97" w:rsidRPr="00D9152B">
        <w:rPr>
          <w:rFonts w:ascii="Calibri" w:hAnsi="Calibri" w:cs="Calibri"/>
          <w:sz w:val="22"/>
          <w:szCs w:val="22"/>
        </w:rPr>
        <w:t xml:space="preserve"> A recent study by Hernando et al. estimated that, due to Merck’s valuation of ivermectin,</w:t>
      </w:r>
      <w:r w:rsidR="00813F97" w:rsidRPr="00D9152B">
        <w:rPr>
          <w:rStyle w:val="FootnoteReference"/>
          <w:rFonts w:ascii="Calibri" w:hAnsi="Calibri" w:cs="Calibri"/>
        </w:rPr>
        <w:footnoteReference w:id="769"/>
      </w:r>
      <w:r w:rsidR="00813F97" w:rsidRPr="00D9152B">
        <w:rPr>
          <w:rFonts w:ascii="Calibri" w:hAnsi="Calibri" w:cs="Calibri"/>
          <w:sz w:val="22"/>
          <w:szCs w:val="22"/>
        </w:rPr>
        <w:t xml:space="preserve"> Merck spent about $600 million on ivermectin production from 2005-2011, well below its stated value of the drug’s donation ($3.8 billion) during these years. </w:t>
      </w:r>
      <w:r w:rsidR="00181CAC" w:rsidRPr="00D9152B">
        <w:rPr>
          <w:rFonts w:ascii="Calibri" w:hAnsi="Calibri" w:cs="Calibri"/>
          <w:sz w:val="22"/>
          <w:szCs w:val="22"/>
        </w:rPr>
        <w:t>This</w:t>
      </w:r>
      <w:r w:rsidR="00813F97" w:rsidRPr="00D9152B">
        <w:rPr>
          <w:rFonts w:ascii="Calibri" w:hAnsi="Calibri" w:cs="Calibri"/>
          <w:sz w:val="22"/>
          <w:szCs w:val="22"/>
        </w:rPr>
        <w:t xml:space="preserve"> latter figure likely reduced Merck’s net costs of donation to $180 million from 2005-2011</w:t>
      </w:r>
      <w:r w:rsidR="00181CAC" w:rsidRPr="00D9152B">
        <w:rPr>
          <w:rFonts w:ascii="Calibri" w:hAnsi="Calibri" w:cs="Calibri"/>
          <w:sz w:val="22"/>
          <w:szCs w:val="22"/>
        </w:rPr>
        <w:t>, through U.S. tax deductions</w:t>
      </w:r>
      <w:r w:rsidR="00813F97" w:rsidRPr="00D9152B">
        <w:rPr>
          <w:rFonts w:ascii="Calibri" w:hAnsi="Calibri" w:cs="Calibri"/>
          <w:sz w:val="22"/>
          <w:szCs w:val="22"/>
        </w:rPr>
        <w:t>. Hernando et al. argue that ‘indirect market benefits and effects on goodwill further enhanced the compatibility of Merck’s donation programme with the company’s profit-maximizing objective’.</w:t>
      </w:r>
      <w:r w:rsidR="00813F97" w:rsidRPr="00D9152B">
        <w:rPr>
          <w:rStyle w:val="FootnoteReference"/>
          <w:rFonts w:ascii="Calibri" w:hAnsi="Calibri" w:cs="Calibri"/>
        </w:rPr>
        <w:footnoteReference w:id="770"/>
      </w:r>
    </w:p>
    <w:p w14:paraId="7A554145" w14:textId="7A6D5B96" w:rsidR="00AC7848" w:rsidRPr="00D9152B" w:rsidRDefault="00AC7848" w:rsidP="00A12E2E">
      <w:pPr>
        <w:spacing w:before="100" w:beforeAutospacing="1" w:after="100" w:afterAutospacing="1" w:line="360" w:lineRule="auto"/>
        <w:rPr>
          <w:rFonts w:ascii="Calibri" w:hAnsi="Calibri" w:cs="Calibri"/>
          <w:color w:val="000000"/>
          <w:sz w:val="22"/>
          <w:szCs w:val="22"/>
          <w:lang w:eastAsia="en-GB"/>
        </w:rPr>
      </w:pPr>
      <w:r w:rsidRPr="00D9152B">
        <w:rPr>
          <w:rFonts w:ascii="Calibri" w:hAnsi="Calibri" w:cs="Calibri"/>
          <w:sz w:val="22"/>
          <w:szCs w:val="22"/>
        </w:rPr>
        <w:lastRenderedPageBreak/>
        <w:tab/>
        <w:t xml:space="preserve">After ivermectin was licensed in October 1987, the OCT, OCP, and TDR planned for major community trials. Trials took place in field conditions at seven OCP locations, as well as in Latin America. While previously only about 2,000 patients had received ivermectin, the trials provided clinical data on the safety profile and efficacy in approximately 140,000 patients. The large scale of the trials was </w:t>
      </w:r>
      <w:r w:rsidR="00EA3BDC" w:rsidRPr="00D9152B">
        <w:rPr>
          <w:rFonts w:ascii="Calibri" w:hAnsi="Calibri" w:cs="Calibri"/>
          <w:sz w:val="22"/>
          <w:szCs w:val="22"/>
        </w:rPr>
        <w:t>primarily</w:t>
      </w:r>
      <w:r w:rsidRPr="00D9152B">
        <w:rPr>
          <w:rFonts w:ascii="Calibri" w:hAnsi="Calibri" w:cs="Calibri"/>
          <w:sz w:val="22"/>
          <w:szCs w:val="22"/>
        </w:rPr>
        <w:t xml:space="preserve"> at OCP and TDR’s insistence; while Merck was most interested in the drug’s efficacy in a medical setting, </w:t>
      </w:r>
      <w:r w:rsidR="00EA3BDC" w:rsidRPr="00D9152B">
        <w:rPr>
          <w:rFonts w:ascii="Calibri" w:hAnsi="Calibri" w:cs="Calibri"/>
          <w:sz w:val="22"/>
          <w:szCs w:val="22"/>
        </w:rPr>
        <w:t xml:space="preserve">the </w:t>
      </w:r>
      <w:r w:rsidRPr="00D9152B">
        <w:rPr>
          <w:rFonts w:ascii="Calibri" w:hAnsi="Calibri" w:cs="Calibri"/>
          <w:sz w:val="22"/>
          <w:szCs w:val="22"/>
        </w:rPr>
        <w:t xml:space="preserve">OCP was interested in its safety for mass-treatment and its </w:t>
      </w:r>
      <w:r w:rsidR="00EA3BDC" w:rsidRPr="00D9152B">
        <w:rPr>
          <w:rFonts w:ascii="Calibri" w:hAnsi="Calibri" w:cs="Calibri"/>
          <w:sz w:val="22"/>
          <w:szCs w:val="22"/>
        </w:rPr>
        <w:t xml:space="preserve">possible </w:t>
      </w:r>
      <w:r w:rsidRPr="00D9152B">
        <w:rPr>
          <w:rFonts w:ascii="Calibri" w:hAnsi="Calibri" w:cs="Calibri"/>
          <w:sz w:val="22"/>
          <w:szCs w:val="22"/>
        </w:rPr>
        <w:t>ability to interrupt disease transmission.</w:t>
      </w:r>
      <w:r w:rsidR="00C351BF" w:rsidRPr="00D9152B">
        <w:rPr>
          <w:rFonts w:ascii="Calibri" w:hAnsi="Calibri" w:cs="Calibri"/>
          <w:sz w:val="22"/>
          <w:szCs w:val="22"/>
        </w:rPr>
        <w:t xml:space="preserve"> The WHO and </w:t>
      </w:r>
      <w:r w:rsidRPr="00D9152B">
        <w:rPr>
          <w:rFonts w:ascii="Calibri" w:hAnsi="Calibri" w:cs="Calibri"/>
          <w:sz w:val="22"/>
          <w:szCs w:val="22"/>
        </w:rPr>
        <w:t xml:space="preserve">OCT were responsible for analysing </w:t>
      </w:r>
      <w:r w:rsidR="00EA3BDC" w:rsidRPr="00D9152B">
        <w:rPr>
          <w:rFonts w:ascii="Calibri" w:hAnsi="Calibri" w:cs="Calibri"/>
          <w:sz w:val="22"/>
          <w:szCs w:val="22"/>
        </w:rPr>
        <w:t>trial results</w:t>
      </w:r>
      <w:r w:rsidRPr="00D9152B">
        <w:rPr>
          <w:rFonts w:ascii="Calibri" w:hAnsi="Calibri" w:cs="Calibri"/>
          <w:sz w:val="22"/>
          <w:szCs w:val="22"/>
        </w:rPr>
        <w:t xml:space="preserve"> and consulting with Merck to revise recommendations on drug d</w:t>
      </w:r>
      <w:r w:rsidR="00C351BF" w:rsidRPr="00D9152B">
        <w:rPr>
          <w:rFonts w:ascii="Calibri" w:hAnsi="Calibri" w:cs="Calibri"/>
          <w:sz w:val="22"/>
          <w:szCs w:val="22"/>
        </w:rPr>
        <w:t>elivery strategies</w:t>
      </w:r>
      <w:r w:rsidR="00A1781F" w:rsidRPr="00D9152B">
        <w:rPr>
          <w:rFonts w:ascii="Calibri" w:hAnsi="Calibri" w:cs="Calibri"/>
          <w:sz w:val="22"/>
          <w:szCs w:val="22"/>
        </w:rPr>
        <w:t>.</w:t>
      </w:r>
      <w:r w:rsidR="00A1781F" w:rsidRPr="00D9152B">
        <w:rPr>
          <w:rStyle w:val="FootnoteReference"/>
          <w:rFonts w:ascii="Calibri" w:hAnsi="Calibri" w:cs="Calibri"/>
          <w:sz w:val="22"/>
          <w:szCs w:val="22"/>
        </w:rPr>
        <w:footnoteReference w:id="771"/>
      </w:r>
      <w:r w:rsidR="00C351BF" w:rsidRPr="00D9152B">
        <w:rPr>
          <w:rFonts w:ascii="Calibri" w:hAnsi="Calibri" w:cs="Calibri"/>
          <w:sz w:val="22"/>
          <w:szCs w:val="22"/>
        </w:rPr>
        <w:t xml:space="preserve"> </w:t>
      </w:r>
      <w:r w:rsidR="00EA3BDC" w:rsidRPr="00D9152B">
        <w:rPr>
          <w:rFonts w:ascii="Calibri" w:hAnsi="Calibri" w:cs="Calibri"/>
          <w:sz w:val="22"/>
          <w:szCs w:val="22"/>
        </w:rPr>
        <w:t xml:space="preserve">After </w:t>
      </w:r>
      <w:r w:rsidRPr="00D9152B">
        <w:rPr>
          <w:rFonts w:ascii="Calibri" w:hAnsi="Calibri" w:cs="Calibri"/>
          <w:sz w:val="22"/>
          <w:szCs w:val="22"/>
        </w:rPr>
        <w:t xml:space="preserve">the trials showed ivermectin to be safe for large-scale administration, Merck established an independent committee to review requests for public sector donations. This Mectizan </w:t>
      </w:r>
      <w:r w:rsidR="00EA3BDC" w:rsidRPr="00D9152B">
        <w:rPr>
          <w:rFonts w:ascii="Calibri" w:hAnsi="Calibri" w:cs="Calibri"/>
          <w:sz w:val="22"/>
          <w:szCs w:val="22"/>
        </w:rPr>
        <w:t>Expert</w:t>
      </w:r>
      <w:r w:rsidRPr="00D9152B">
        <w:rPr>
          <w:rFonts w:ascii="Calibri" w:hAnsi="Calibri" w:cs="Calibri"/>
          <w:sz w:val="22"/>
          <w:szCs w:val="22"/>
        </w:rPr>
        <w:t xml:space="preserve"> Committee</w:t>
      </w:r>
      <w:r w:rsidR="00EA3BDC" w:rsidRPr="00D9152B">
        <w:rPr>
          <w:rFonts w:ascii="Calibri" w:hAnsi="Calibri" w:cs="Calibri"/>
          <w:sz w:val="22"/>
          <w:szCs w:val="22"/>
        </w:rPr>
        <w:t>, which is further discussed in</w:t>
      </w:r>
      <w:r w:rsidR="009257F8">
        <w:rPr>
          <w:rFonts w:ascii="Calibri" w:hAnsi="Calibri" w:cs="Calibri"/>
          <w:sz w:val="22"/>
          <w:szCs w:val="22"/>
        </w:rPr>
        <w:t xml:space="preserve"> section 8.6</w:t>
      </w:r>
      <w:r w:rsidR="00EA3BDC" w:rsidRPr="00D9152B">
        <w:rPr>
          <w:rFonts w:ascii="Calibri" w:hAnsi="Calibri" w:cs="Calibri"/>
          <w:sz w:val="22"/>
          <w:szCs w:val="22"/>
        </w:rPr>
        <w:t>,</w:t>
      </w:r>
      <w:r w:rsidRPr="00D9152B">
        <w:rPr>
          <w:rFonts w:ascii="Calibri" w:hAnsi="Calibri" w:cs="Calibri"/>
          <w:sz w:val="22"/>
          <w:szCs w:val="22"/>
        </w:rPr>
        <w:t xml:space="preserve"> received informal WHO input on country conditions, and was composed of experts who did not work at Merck. It provided advisory services to the Mectizan Donation Programme, which coordinated </w:t>
      </w:r>
      <w:r w:rsidR="00EA3BDC" w:rsidRPr="00D9152B">
        <w:rPr>
          <w:rFonts w:ascii="Calibri" w:hAnsi="Calibri" w:cs="Calibri"/>
          <w:sz w:val="22"/>
          <w:szCs w:val="22"/>
        </w:rPr>
        <w:t>drug delivery</w:t>
      </w:r>
      <w:r w:rsidRPr="00D9152B">
        <w:rPr>
          <w:rFonts w:ascii="Calibri" w:hAnsi="Calibri" w:cs="Calibri"/>
          <w:sz w:val="22"/>
          <w:szCs w:val="22"/>
        </w:rPr>
        <w:t xml:space="preserve">. By 2004, over 250 million doses of ivermectin </w:t>
      </w:r>
      <w:r w:rsidR="00C351BF" w:rsidRPr="00D9152B">
        <w:rPr>
          <w:rFonts w:ascii="Calibri" w:hAnsi="Calibri" w:cs="Calibri"/>
          <w:sz w:val="22"/>
          <w:szCs w:val="22"/>
        </w:rPr>
        <w:t>had been</w:t>
      </w:r>
      <w:r w:rsidRPr="00D9152B">
        <w:rPr>
          <w:rFonts w:ascii="Calibri" w:hAnsi="Calibri" w:cs="Calibri"/>
          <w:sz w:val="22"/>
          <w:szCs w:val="22"/>
        </w:rPr>
        <w:t xml:space="preserve"> delivered in Africa.</w:t>
      </w:r>
      <w:r w:rsidRPr="00D9152B">
        <w:rPr>
          <w:rStyle w:val="FootnoteReference"/>
          <w:rFonts w:ascii="Calibri" w:hAnsi="Calibri" w:cs="Calibri"/>
          <w:color w:val="000000"/>
          <w:sz w:val="22"/>
          <w:szCs w:val="22"/>
          <w:lang w:eastAsia="en-GB"/>
        </w:rPr>
        <w:footnoteReference w:id="772"/>
      </w:r>
      <w:r w:rsidR="00813F97" w:rsidRPr="00D9152B">
        <w:rPr>
          <w:rFonts w:ascii="Calibri" w:hAnsi="Calibri" w:cs="Calibri"/>
          <w:sz w:val="22"/>
          <w:szCs w:val="22"/>
        </w:rPr>
        <w:t xml:space="preserve"> </w:t>
      </w:r>
    </w:p>
    <w:p w14:paraId="33B5F6AB" w14:textId="41808A0F" w:rsidR="00AC7848" w:rsidRDefault="00AC7848" w:rsidP="00A12E2E">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ab/>
        <w:t xml:space="preserve">While the Bank had considered its involvement in </w:t>
      </w:r>
      <w:r w:rsidR="00C351BF" w:rsidRPr="00D9152B">
        <w:rPr>
          <w:rFonts w:ascii="Calibri" w:hAnsi="Calibri" w:cs="Calibri"/>
          <w:sz w:val="22"/>
          <w:szCs w:val="22"/>
        </w:rPr>
        <w:t>the OCT</w:t>
      </w:r>
      <w:r w:rsidRPr="00D9152B">
        <w:rPr>
          <w:rFonts w:ascii="Calibri" w:hAnsi="Calibri" w:cs="Calibri"/>
          <w:sz w:val="22"/>
          <w:szCs w:val="22"/>
        </w:rPr>
        <w:t xml:space="preserve"> to be necessary to guide its efficiency,</w:t>
      </w:r>
      <w:r w:rsidR="00C351BF" w:rsidRPr="00D9152B">
        <w:rPr>
          <w:rStyle w:val="FootnoteReference"/>
          <w:rFonts w:ascii="Calibri" w:hAnsi="Calibri" w:cs="Calibri"/>
          <w:sz w:val="22"/>
          <w:szCs w:val="22"/>
        </w:rPr>
        <w:footnoteReference w:id="773"/>
      </w:r>
      <w:r w:rsidRPr="00D9152B">
        <w:rPr>
          <w:rFonts w:ascii="Calibri" w:hAnsi="Calibri" w:cs="Calibri"/>
          <w:sz w:val="22"/>
          <w:szCs w:val="22"/>
        </w:rPr>
        <w:t xml:space="preserve"> it was not </w:t>
      </w:r>
      <w:r w:rsidR="00EA3BDC" w:rsidRPr="00D9152B">
        <w:rPr>
          <w:rFonts w:ascii="Calibri" w:hAnsi="Calibri" w:cs="Calibri"/>
          <w:sz w:val="22"/>
          <w:szCs w:val="22"/>
        </w:rPr>
        <w:t>deeply</w:t>
      </w:r>
      <w:r w:rsidRPr="00D9152B">
        <w:rPr>
          <w:rFonts w:ascii="Calibri" w:hAnsi="Calibri" w:cs="Calibri"/>
          <w:sz w:val="22"/>
          <w:szCs w:val="22"/>
        </w:rPr>
        <w:t xml:space="preserve"> involved in the negotiations with Merck over confidentiality, pricing, and distribution.</w:t>
      </w:r>
      <w:r w:rsidR="00A1781F" w:rsidRPr="00D9152B">
        <w:rPr>
          <w:rStyle w:val="FootnoteReference"/>
          <w:rFonts w:ascii="Calibri" w:hAnsi="Calibri" w:cs="Calibri"/>
        </w:rPr>
        <w:footnoteReference w:id="774"/>
      </w:r>
      <w:r w:rsidRPr="00D9152B">
        <w:rPr>
          <w:rFonts w:ascii="Calibri" w:hAnsi="Calibri" w:cs="Calibri"/>
          <w:sz w:val="22"/>
          <w:szCs w:val="22"/>
        </w:rPr>
        <w:t xml:space="preserve"> Instead, the Bank attempted to incentivize donor investments to the OCP (and OCT), including raising publicity through figures like Jimmy Carter. As Benton has reflected: </w:t>
      </w:r>
    </w:p>
    <w:p w14:paraId="7B3D4879" w14:textId="791240CA" w:rsidR="00BC136C" w:rsidRDefault="00BC136C" w:rsidP="00A12E2E">
      <w:pPr>
        <w:spacing w:before="100" w:beforeAutospacing="1" w:after="100" w:afterAutospacing="1" w:line="360" w:lineRule="auto"/>
        <w:rPr>
          <w:rFonts w:ascii="Calibri" w:hAnsi="Calibri" w:cs="Calibri"/>
          <w:sz w:val="22"/>
          <w:szCs w:val="22"/>
        </w:rPr>
      </w:pPr>
    </w:p>
    <w:p w14:paraId="4C4C88E2" w14:textId="2F2C178D" w:rsidR="00BC136C" w:rsidRDefault="00BC136C" w:rsidP="00A12E2E">
      <w:pPr>
        <w:spacing w:before="100" w:beforeAutospacing="1" w:after="100" w:afterAutospacing="1" w:line="360" w:lineRule="auto"/>
        <w:rPr>
          <w:rFonts w:ascii="Calibri" w:hAnsi="Calibri" w:cs="Calibri"/>
          <w:sz w:val="22"/>
          <w:szCs w:val="22"/>
        </w:rPr>
      </w:pPr>
    </w:p>
    <w:p w14:paraId="499040B5" w14:textId="77777777" w:rsidR="00BC136C" w:rsidRPr="00D9152B" w:rsidRDefault="00BC136C" w:rsidP="00A12E2E">
      <w:pPr>
        <w:spacing w:before="100" w:beforeAutospacing="1" w:after="100" w:afterAutospacing="1" w:line="360" w:lineRule="auto"/>
        <w:rPr>
          <w:rFonts w:ascii="Calibri" w:hAnsi="Calibri" w:cs="Calibri"/>
          <w:sz w:val="22"/>
          <w:szCs w:val="22"/>
        </w:rPr>
      </w:pPr>
    </w:p>
    <w:p w14:paraId="1127E4BE" w14:textId="0DBF9630" w:rsidR="00C351BF" w:rsidRDefault="00AC7848" w:rsidP="002F7011">
      <w:pPr>
        <w:pStyle w:val="Quote"/>
        <w:ind w:left="862" w:right="862"/>
        <w:rPr>
          <w:rFonts w:cs="Calibri"/>
          <w:i/>
          <w:sz w:val="22"/>
          <w:szCs w:val="22"/>
          <w:lang w:val="en-GB"/>
        </w:rPr>
      </w:pPr>
      <w:r w:rsidRPr="00D9152B">
        <w:rPr>
          <w:rFonts w:cs="Calibri"/>
          <w:i/>
          <w:sz w:val="22"/>
          <w:szCs w:val="22"/>
          <w:lang w:val="en-GB"/>
        </w:rPr>
        <w:t>‘I really didn’t have any role in working with Merck…And – and Carter was very willing to write letters supporting the effort to control riverblindness, or to eliminate riverblindness, and – up to a point. And if it looked like it was going to compete with contributions that he hoped to use on Guinea worm, then he drew the line and wouldn’t write the letter. I can remember I – I wrote a letter to him to write to the ministry, the – the prime minister of Norway, and – asking for a contribution to OCP or APOC and I – he balked.</w:t>
      </w:r>
      <w:r w:rsidR="00A96A17" w:rsidRPr="00D9152B">
        <w:rPr>
          <w:rFonts w:cs="Calibri"/>
          <w:i/>
          <w:sz w:val="22"/>
          <w:szCs w:val="22"/>
          <w:lang w:val="en-GB"/>
        </w:rPr>
        <w:t>’</w:t>
      </w:r>
      <w:r w:rsidRPr="00D9152B">
        <w:rPr>
          <w:rStyle w:val="FootnoteReference"/>
          <w:rFonts w:ascii="Calibri" w:hAnsi="Calibri" w:cs="Calibri"/>
          <w:i/>
          <w:sz w:val="22"/>
          <w:szCs w:val="22"/>
          <w:lang w:val="en-GB"/>
        </w:rPr>
        <w:footnoteReference w:id="775"/>
      </w:r>
    </w:p>
    <w:p w14:paraId="09F17041" w14:textId="77777777" w:rsidR="009257F8" w:rsidRPr="009257F8" w:rsidRDefault="009257F8" w:rsidP="009257F8"/>
    <w:p w14:paraId="70C5F6CD" w14:textId="626428FD" w:rsidR="00C351BF" w:rsidRPr="00D9152B" w:rsidRDefault="00076FC2" w:rsidP="00656BE2">
      <w:pPr>
        <w:pStyle w:val="Heading2"/>
        <w:rPr>
          <w:rFonts w:ascii="Calibri" w:hAnsi="Calibri" w:cs="Calibri"/>
          <w:b/>
          <w:sz w:val="26"/>
          <w:szCs w:val="26"/>
        </w:rPr>
      </w:pPr>
      <w:bookmarkStart w:id="133" w:name="_Toc41505691"/>
      <w:r w:rsidRPr="00D9152B">
        <w:rPr>
          <w:rFonts w:ascii="Calibri" w:hAnsi="Calibri" w:cs="Calibri"/>
          <w:b/>
          <w:sz w:val="26"/>
          <w:szCs w:val="26"/>
        </w:rPr>
        <w:t>7.</w:t>
      </w:r>
      <w:r w:rsidR="00677774" w:rsidRPr="00D9152B">
        <w:rPr>
          <w:rFonts w:ascii="Calibri" w:hAnsi="Calibri" w:cs="Calibri"/>
          <w:b/>
          <w:sz w:val="26"/>
          <w:szCs w:val="26"/>
        </w:rPr>
        <w:t>6</w:t>
      </w:r>
      <w:r w:rsidR="00C351BF" w:rsidRPr="00D9152B">
        <w:rPr>
          <w:rFonts w:ascii="Calibri" w:hAnsi="Calibri" w:cs="Calibri"/>
          <w:b/>
          <w:sz w:val="26"/>
          <w:szCs w:val="26"/>
        </w:rPr>
        <w:t>. OCT reflections on lessons learned (1990)</w:t>
      </w:r>
      <w:bookmarkEnd w:id="133"/>
    </w:p>
    <w:p w14:paraId="1EBAF1F1" w14:textId="38B0B805" w:rsidR="009257F8" w:rsidRPr="00D9152B" w:rsidRDefault="00AC7848" w:rsidP="009257F8">
      <w:pPr>
        <w:pStyle w:val="Dissertationchapterbody"/>
        <w:numPr>
          <w:ilvl w:val="0"/>
          <w:numId w:val="0"/>
        </w:numPr>
        <w:spacing w:before="100" w:beforeAutospacing="1" w:after="100" w:afterAutospacing="1" w:line="360" w:lineRule="auto"/>
        <w:ind w:firstLine="720"/>
        <w:contextualSpacing w:val="0"/>
        <w:rPr>
          <w:rFonts w:ascii="Calibri" w:hAnsi="Calibri" w:cs="Calibri"/>
          <w:sz w:val="22"/>
          <w:szCs w:val="22"/>
          <w:lang w:val="en-GB"/>
        </w:rPr>
      </w:pPr>
      <w:r w:rsidRPr="00D9152B">
        <w:rPr>
          <w:rFonts w:ascii="Calibri" w:hAnsi="Calibri" w:cs="Calibri"/>
          <w:sz w:val="22"/>
          <w:szCs w:val="22"/>
          <w:lang w:val="en-GB"/>
        </w:rPr>
        <w:t xml:space="preserve">In 1990, </w:t>
      </w:r>
      <w:r w:rsidR="00534F4A" w:rsidRPr="00D9152B">
        <w:rPr>
          <w:rFonts w:ascii="Calibri" w:hAnsi="Calibri" w:cs="Calibri"/>
          <w:sz w:val="22"/>
          <w:szCs w:val="22"/>
          <w:lang w:val="en-GB"/>
        </w:rPr>
        <w:t>an</w:t>
      </w:r>
      <w:r w:rsidRPr="00D9152B">
        <w:rPr>
          <w:rFonts w:ascii="Calibri" w:hAnsi="Calibri" w:cs="Calibri"/>
          <w:sz w:val="22"/>
          <w:szCs w:val="22"/>
          <w:lang w:val="en-GB"/>
        </w:rPr>
        <w:t xml:space="preserve"> OCT </w:t>
      </w:r>
      <w:r w:rsidR="00C351BF" w:rsidRPr="00D9152B">
        <w:rPr>
          <w:rFonts w:ascii="Calibri" w:hAnsi="Calibri" w:cs="Calibri"/>
          <w:sz w:val="22"/>
          <w:szCs w:val="22"/>
          <w:lang w:val="en-GB"/>
        </w:rPr>
        <w:t>p</w:t>
      </w:r>
      <w:r w:rsidRPr="00D9152B">
        <w:rPr>
          <w:rFonts w:ascii="Calibri" w:hAnsi="Calibri" w:cs="Calibri"/>
          <w:sz w:val="22"/>
          <w:szCs w:val="22"/>
          <w:lang w:val="en-GB"/>
        </w:rPr>
        <w:t xml:space="preserve">rogress </w:t>
      </w:r>
      <w:r w:rsidR="00C351BF" w:rsidRPr="00D9152B">
        <w:rPr>
          <w:rFonts w:ascii="Calibri" w:hAnsi="Calibri" w:cs="Calibri"/>
          <w:sz w:val="22"/>
          <w:szCs w:val="22"/>
          <w:lang w:val="en-GB"/>
        </w:rPr>
        <w:t>r</w:t>
      </w:r>
      <w:r w:rsidRPr="00D9152B">
        <w:rPr>
          <w:rFonts w:ascii="Calibri" w:hAnsi="Calibri" w:cs="Calibri"/>
          <w:sz w:val="22"/>
          <w:szCs w:val="22"/>
          <w:lang w:val="en-GB"/>
        </w:rPr>
        <w:t xml:space="preserve">eport highlighted three major lessons </w:t>
      </w:r>
      <w:r w:rsidR="00C351BF" w:rsidRPr="00D9152B">
        <w:rPr>
          <w:rFonts w:ascii="Calibri" w:hAnsi="Calibri" w:cs="Calibri"/>
          <w:sz w:val="22"/>
          <w:szCs w:val="22"/>
          <w:lang w:val="en-GB"/>
        </w:rPr>
        <w:t xml:space="preserve">that the OCT offered </w:t>
      </w:r>
      <w:r w:rsidRPr="00D9152B">
        <w:rPr>
          <w:rFonts w:ascii="Calibri" w:hAnsi="Calibri" w:cs="Calibri"/>
          <w:sz w:val="22"/>
          <w:szCs w:val="22"/>
          <w:lang w:val="en-GB"/>
        </w:rPr>
        <w:t>about the structure and management of chemotherapy re</w:t>
      </w:r>
      <w:r w:rsidR="00C351BF" w:rsidRPr="00D9152B">
        <w:rPr>
          <w:rFonts w:ascii="Calibri" w:hAnsi="Calibri" w:cs="Calibri"/>
          <w:sz w:val="22"/>
          <w:szCs w:val="22"/>
          <w:lang w:val="en-GB"/>
        </w:rPr>
        <w:t>search partnerships</w:t>
      </w:r>
      <w:r w:rsidRPr="00D9152B">
        <w:rPr>
          <w:rFonts w:ascii="Calibri" w:hAnsi="Calibri" w:cs="Calibri"/>
          <w:sz w:val="22"/>
          <w:szCs w:val="22"/>
          <w:lang w:val="en-GB"/>
        </w:rPr>
        <w:t xml:space="preserve">. First, the OCT collaboration benefited from being at the </w:t>
      </w:r>
      <w:r w:rsidR="00C351BF" w:rsidRPr="00D9152B">
        <w:rPr>
          <w:rFonts w:ascii="Calibri" w:hAnsi="Calibri" w:cs="Calibri"/>
          <w:sz w:val="22"/>
          <w:szCs w:val="22"/>
          <w:lang w:val="en-GB"/>
        </w:rPr>
        <w:t>centre</w:t>
      </w:r>
      <w:r w:rsidRPr="00D9152B">
        <w:rPr>
          <w:rFonts w:ascii="Calibri" w:hAnsi="Calibri" w:cs="Calibri"/>
          <w:sz w:val="22"/>
          <w:szCs w:val="22"/>
          <w:lang w:val="en-GB"/>
        </w:rPr>
        <w:t xml:space="preserve"> of action in Geneva. It was always based in Geneva, which proved helpful, since this was also the seat of the TDR secretariat. Second, major pharmaceutical companies were </w:t>
      </w:r>
      <w:r w:rsidR="007F13B7" w:rsidRPr="00D9152B">
        <w:rPr>
          <w:rFonts w:ascii="Calibri" w:hAnsi="Calibri" w:cs="Calibri"/>
          <w:sz w:val="22"/>
          <w:szCs w:val="22"/>
          <w:lang w:val="en-GB"/>
        </w:rPr>
        <w:t>generally</w:t>
      </w:r>
      <w:r w:rsidRPr="00D9152B">
        <w:rPr>
          <w:rFonts w:ascii="Calibri" w:hAnsi="Calibri" w:cs="Calibri"/>
          <w:sz w:val="22"/>
          <w:szCs w:val="22"/>
          <w:lang w:val="en-GB"/>
        </w:rPr>
        <w:t xml:space="preserve"> not willing to self-fund a large </w:t>
      </w:r>
      <w:r w:rsidR="009257F8">
        <w:rPr>
          <w:rFonts w:ascii="Calibri" w:hAnsi="Calibri" w:cs="Calibri"/>
          <w:sz w:val="22"/>
          <w:szCs w:val="22"/>
          <w:lang w:val="en-GB"/>
        </w:rPr>
        <w:t>neglected tropical disease</w:t>
      </w:r>
      <w:r w:rsidRPr="00D9152B">
        <w:rPr>
          <w:rFonts w:ascii="Calibri" w:hAnsi="Calibri" w:cs="Calibri"/>
          <w:sz w:val="22"/>
          <w:szCs w:val="22"/>
          <w:lang w:val="en-GB"/>
        </w:rPr>
        <w:t xml:space="preserve"> research portfolio, because of the poor economic return expected and high risk. However, many seemed willing to carry out specific work on drugs, if this work was related to their wider research interests. </w:t>
      </w:r>
      <w:r w:rsidR="00C351BF" w:rsidRPr="00D9152B">
        <w:rPr>
          <w:rFonts w:ascii="Calibri" w:hAnsi="Calibri" w:cs="Calibri"/>
          <w:sz w:val="22"/>
          <w:szCs w:val="22"/>
          <w:lang w:val="en-GB"/>
        </w:rPr>
        <w:t>Partnerships like the OCT</w:t>
      </w:r>
      <w:r w:rsidRPr="00D9152B">
        <w:rPr>
          <w:rFonts w:ascii="Calibri" w:hAnsi="Calibri" w:cs="Calibri"/>
          <w:sz w:val="22"/>
          <w:szCs w:val="22"/>
          <w:lang w:val="en-GB"/>
        </w:rPr>
        <w:t xml:space="preserve"> therefore needed to focus on the ‘package’ that </w:t>
      </w:r>
      <w:r w:rsidR="00C351BF" w:rsidRPr="00D9152B">
        <w:rPr>
          <w:rFonts w:ascii="Calibri" w:hAnsi="Calibri" w:cs="Calibri"/>
          <w:sz w:val="22"/>
          <w:szCs w:val="22"/>
          <w:lang w:val="en-GB"/>
        </w:rPr>
        <w:t xml:space="preserve">they could offer </w:t>
      </w:r>
      <w:r w:rsidRPr="00D9152B">
        <w:rPr>
          <w:rFonts w:ascii="Calibri" w:hAnsi="Calibri" w:cs="Calibri"/>
          <w:sz w:val="22"/>
          <w:szCs w:val="22"/>
          <w:lang w:val="en-GB"/>
        </w:rPr>
        <w:t>to companies</w:t>
      </w:r>
      <w:r w:rsidR="00C351BF" w:rsidRPr="00D9152B">
        <w:rPr>
          <w:rFonts w:ascii="Calibri" w:hAnsi="Calibri" w:cs="Calibri"/>
          <w:sz w:val="22"/>
          <w:szCs w:val="22"/>
          <w:lang w:val="en-GB"/>
        </w:rPr>
        <w:t xml:space="preserve">. </w:t>
      </w:r>
      <w:r w:rsidRPr="00D9152B">
        <w:rPr>
          <w:rFonts w:ascii="Calibri" w:hAnsi="Calibri" w:cs="Calibri"/>
          <w:sz w:val="22"/>
          <w:szCs w:val="22"/>
          <w:lang w:val="en-GB"/>
        </w:rPr>
        <w:t>The OCT ‘package’ would be more successful if it offered companies information on specific types of compounds requested, and access to free screening pathways.</w:t>
      </w:r>
      <w:r w:rsidRPr="00D9152B">
        <w:rPr>
          <w:rStyle w:val="FootnoteReference"/>
          <w:rFonts w:ascii="Calibri" w:hAnsi="Calibri" w:cs="Calibri"/>
          <w:sz w:val="22"/>
          <w:szCs w:val="22"/>
          <w:lang w:val="en-GB"/>
        </w:rPr>
        <w:footnoteReference w:id="776"/>
      </w:r>
      <w:r w:rsidR="00C351BF" w:rsidRPr="00D9152B">
        <w:rPr>
          <w:rFonts w:ascii="Calibri" w:hAnsi="Calibri" w:cs="Calibri"/>
          <w:sz w:val="22"/>
          <w:szCs w:val="22"/>
          <w:lang w:val="en-GB"/>
        </w:rPr>
        <w:t xml:space="preserve"> </w:t>
      </w:r>
    </w:p>
    <w:p w14:paraId="41D20D85" w14:textId="08DBAD3F" w:rsidR="00AC7848" w:rsidRPr="00D9152B" w:rsidRDefault="00AC7848" w:rsidP="009257F8">
      <w:pPr>
        <w:pStyle w:val="Dissertationchapterbody"/>
        <w:numPr>
          <w:ilvl w:val="0"/>
          <w:numId w:val="0"/>
        </w:numPr>
        <w:spacing w:before="100" w:beforeAutospacing="1" w:after="100" w:afterAutospacing="1" w:line="360" w:lineRule="auto"/>
        <w:ind w:firstLine="720"/>
        <w:contextualSpacing w:val="0"/>
        <w:rPr>
          <w:rFonts w:ascii="Calibri" w:hAnsi="Calibri" w:cs="Calibri"/>
          <w:sz w:val="22"/>
          <w:szCs w:val="22"/>
          <w:lang w:val="en-GB"/>
        </w:rPr>
      </w:pPr>
      <w:r w:rsidRPr="00D9152B">
        <w:rPr>
          <w:rFonts w:ascii="Calibri" w:hAnsi="Calibri" w:cs="Calibri"/>
          <w:sz w:val="22"/>
          <w:szCs w:val="22"/>
          <w:lang w:val="en-GB"/>
        </w:rPr>
        <w:t>Third, creating a standard legal agreement guaranteeing cost of any drug developed was not possible in this context, especially at an early stage</w:t>
      </w:r>
      <w:r w:rsidR="00C351BF" w:rsidRPr="00D9152B">
        <w:rPr>
          <w:rFonts w:ascii="Calibri" w:hAnsi="Calibri" w:cs="Calibri"/>
          <w:sz w:val="22"/>
          <w:szCs w:val="22"/>
          <w:lang w:val="en-GB"/>
        </w:rPr>
        <w:t xml:space="preserve"> in the research and screening process. The OCT and WHO legal c</w:t>
      </w:r>
      <w:r w:rsidRPr="00D9152B">
        <w:rPr>
          <w:rFonts w:ascii="Calibri" w:hAnsi="Calibri" w:cs="Calibri"/>
          <w:sz w:val="22"/>
          <w:szCs w:val="22"/>
          <w:lang w:val="en-GB"/>
        </w:rPr>
        <w:t>ounsel obtained sample legal agreement</w:t>
      </w:r>
      <w:r w:rsidR="007F13B7" w:rsidRPr="00D9152B">
        <w:rPr>
          <w:rFonts w:ascii="Calibri" w:hAnsi="Calibri" w:cs="Calibri"/>
          <w:sz w:val="22"/>
          <w:szCs w:val="22"/>
          <w:lang w:val="en-GB"/>
        </w:rPr>
        <w:t>s</w:t>
      </w:r>
      <w:r w:rsidRPr="00D9152B">
        <w:rPr>
          <w:rFonts w:ascii="Calibri" w:hAnsi="Calibri" w:cs="Calibri"/>
          <w:sz w:val="22"/>
          <w:szCs w:val="22"/>
          <w:lang w:val="en-GB"/>
        </w:rPr>
        <w:t xml:space="preserve"> from groups involved in drug development, including the National Cancer Institute and Walter Reed Army Institute of Research, and held discussions with the International Federation of Pharmaceutical Manufacturers. However, the review commented that, ‘In general, if WHO tries to insist on ongoing commitment by a company at too early a stage then the company does not wish to become involved in collaborative agreements’. For instance, Merck might not have entered ivermectin into the cattle screen if they felt that </w:t>
      </w:r>
      <w:r w:rsidRPr="00D9152B">
        <w:rPr>
          <w:rFonts w:ascii="Calibri" w:hAnsi="Calibri" w:cs="Calibri"/>
          <w:sz w:val="22"/>
          <w:szCs w:val="22"/>
          <w:lang w:val="en-GB"/>
        </w:rPr>
        <w:lastRenderedPageBreak/>
        <w:t xml:space="preserve">their legal right to profits would be restricted if the drug proved efficacious. Instead, </w:t>
      </w:r>
      <w:r w:rsidR="00C351BF" w:rsidRPr="00D9152B">
        <w:rPr>
          <w:rFonts w:ascii="Calibri" w:hAnsi="Calibri" w:cs="Calibri"/>
          <w:sz w:val="22"/>
          <w:szCs w:val="22"/>
          <w:lang w:val="en-GB"/>
        </w:rPr>
        <w:t>the ‘b</w:t>
      </w:r>
      <w:r w:rsidRPr="00D9152B">
        <w:rPr>
          <w:rFonts w:ascii="Calibri" w:hAnsi="Calibri" w:cs="Calibri"/>
          <w:sz w:val="22"/>
          <w:szCs w:val="22"/>
          <w:lang w:val="en-GB"/>
        </w:rPr>
        <w:t>est one can achieve is a simple confidentiality agreement to allow initial testing of compounds, with a commitment to talk again “in good faith” on development once good antiparasitic activity has been indicated’.</w:t>
      </w:r>
      <w:r w:rsidRPr="00D9152B">
        <w:rPr>
          <w:rStyle w:val="FootnoteReference"/>
          <w:rFonts w:ascii="Calibri" w:hAnsi="Calibri" w:cs="Calibri"/>
          <w:sz w:val="22"/>
          <w:szCs w:val="22"/>
          <w:lang w:val="en-GB"/>
        </w:rPr>
        <w:footnoteReference w:id="777"/>
      </w:r>
    </w:p>
    <w:p w14:paraId="44174E06" w14:textId="62B412E8" w:rsidR="00C351BF" w:rsidRPr="00D9152B" w:rsidRDefault="00076FC2" w:rsidP="00656BE2">
      <w:pPr>
        <w:pStyle w:val="Heading2"/>
        <w:rPr>
          <w:rFonts w:ascii="Calibri" w:hAnsi="Calibri" w:cs="Calibri"/>
          <w:b/>
          <w:color w:val="000000" w:themeColor="text1"/>
          <w:sz w:val="26"/>
          <w:szCs w:val="26"/>
        </w:rPr>
      </w:pPr>
      <w:bookmarkStart w:id="134" w:name="_Toc41505692"/>
      <w:r w:rsidRPr="00D9152B">
        <w:rPr>
          <w:rFonts w:ascii="Calibri" w:hAnsi="Calibri" w:cs="Calibri"/>
          <w:b/>
          <w:color w:val="000000" w:themeColor="text1"/>
          <w:sz w:val="26"/>
          <w:szCs w:val="26"/>
        </w:rPr>
        <w:t>7.</w:t>
      </w:r>
      <w:r w:rsidR="00677774" w:rsidRPr="00D9152B">
        <w:rPr>
          <w:rFonts w:ascii="Calibri" w:hAnsi="Calibri" w:cs="Calibri"/>
          <w:b/>
          <w:color w:val="000000" w:themeColor="text1"/>
          <w:sz w:val="26"/>
          <w:szCs w:val="26"/>
        </w:rPr>
        <w:t>7</w:t>
      </w:r>
      <w:r w:rsidR="00C351BF" w:rsidRPr="00D9152B">
        <w:rPr>
          <w:rFonts w:ascii="Calibri" w:hAnsi="Calibri" w:cs="Calibri"/>
          <w:b/>
          <w:color w:val="000000" w:themeColor="text1"/>
          <w:sz w:val="26"/>
          <w:szCs w:val="26"/>
        </w:rPr>
        <w:t>. Conclusion</w:t>
      </w:r>
      <w:bookmarkEnd w:id="134"/>
    </w:p>
    <w:p w14:paraId="33D72036" w14:textId="18F04306" w:rsidR="00AC7848" w:rsidRPr="00D9152B" w:rsidRDefault="00AC7848" w:rsidP="00A12E2E">
      <w:pPr>
        <w:spacing w:before="100" w:beforeAutospacing="1" w:after="100" w:afterAutospacing="1" w:line="360" w:lineRule="auto"/>
        <w:rPr>
          <w:rFonts w:ascii="Calibri" w:hAnsi="Calibri" w:cs="Calibri"/>
          <w:color w:val="000000"/>
          <w:sz w:val="22"/>
          <w:szCs w:val="22"/>
          <w:lang w:eastAsia="en-GB"/>
        </w:rPr>
      </w:pPr>
      <w:r w:rsidRPr="00D9152B">
        <w:rPr>
          <w:rFonts w:ascii="Calibri" w:hAnsi="Calibri" w:cs="Calibri"/>
          <w:color w:val="000000"/>
          <w:lang w:eastAsia="en-GB"/>
        </w:rPr>
        <w:tab/>
      </w:r>
      <w:r w:rsidR="00534F4A" w:rsidRPr="00D9152B">
        <w:rPr>
          <w:rFonts w:ascii="Calibri" w:hAnsi="Calibri" w:cs="Calibri"/>
          <w:color w:val="000000"/>
          <w:sz w:val="22"/>
          <w:szCs w:val="22"/>
          <w:lang w:eastAsia="en-GB"/>
        </w:rPr>
        <w:t>These specific lessons learned are a helpful addition to the ‘dominant narrative’ of ivermectin’s development. This chapter’s</w:t>
      </w:r>
      <w:r w:rsidRPr="00D9152B">
        <w:rPr>
          <w:rFonts w:ascii="Calibri" w:hAnsi="Calibri" w:cs="Calibri"/>
          <w:color w:val="000000"/>
          <w:sz w:val="22"/>
          <w:szCs w:val="22"/>
          <w:lang w:eastAsia="en-GB"/>
        </w:rPr>
        <w:t xml:space="preserve"> analysis of the OCT </w:t>
      </w:r>
      <w:r w:rsidR="00534F4A" w:rsidRPr="00D9152B">
        <w:rPr>
          <w:rFonts w:ascii="Calibri" w:hAnsi="Calibri" w:cs="Calibri"/>
          <w:color w:val="000000"/>
          <w:sz w:val="22"/>
          <w:szCs w:val="22"/>
          <w:lang w:eastAsia="en-GB"/>
        </w:rPr>
        <w:t>raises</w:t>
      </w:r>
      <w:r w:rsidRPr="00D9152B">
        <w:rPr>
          <w:rFonts w:ascii="Calibri" w:hAnsi="Calibri" w:cs="Calibri"/>
          <w:color w:val="000000"/>
          <w:sz w:val="22"/>
          <w:szCs w:val="22"/>
          <w:lang w:eastAsia="en-GB"/>
        </w:rPr>
        <w:t xml:space="preserve"> at least three </w:t>
      </w:r>
      <w:r w:rsidR="004778FB" w:rsidRPr="00D9152B">
        <w:rPr>
          <w:rFonts w:ascii="Calibri" w:hAnsi="Calibri" w:cs="Calibri"/>
          <w:color w:val="000000"/>
          <w:sz w:val="22"/>
          <w:szCs w:val="22"/>
          <w:lang w:eastAsia="en-GB"/>
        </w:rPr>
        <w:t>additional points</w:t>
      </w:r>
      <w:r w:rsidRPr="00D9152B">
        <w:rPr>
          <w:rFonts w:ascii="Calibri" w:hAnsi="Calibri" w:cs="Calibri"/>
          <w:color w:val="000000"/>
          <w:sz w:val="22"/>
          <w:szCs w:val="22"/>
          <w:lang w:eastAsia="en-GB"/>
        </w:rPr>
        <w:t xml:space="preserve">. First, if </w:t>
      </w:r>
      <w:r w:rsidR="00534F4A" w:rsidRPr="00D9152B">
        <w:rPr>
          <w:rFonts w:ascii="Calibri" w:hAnsi="Calibri" w:cs="Calibri"/>
          <w:color w:val="000000"/>
          <w:sz w:val="22"/>
          <w:szCs w:val="22"/>
          <w:lang w:eastAsia="en-GB"/>
        </w:rPr>
        <w:t>the OCT was</w:t>
      </w:r>
      <w:r w:rsidRPr="00D9152B">
        <w:rPr>
          <w:rFonts w:ascii="Calibri" w:hAnsi="Calibri" w:cs="Calibri"/>
          <w:color w:val="000000"/>
          <w:sz w:val="22"/>
          <w:szCs w:val="22"/>
          <w:lang w:eastAsia="en-GB"/>
        </w:rPr>
        <w:t xml:space="preserve"> judged </w:t>
      </w:r>
      <w:r w:rsidR="00534F4A" w:rsidRPr="00D9152B">
        <w:rPr>
          <w:rFonts w:ascii="Calibri" w:hAnsi="Calibri" w:cs="Calibri"/>
          <w:color w:val="000000"/>
          <w:sz w:val="22"/>
          <w:szCs w:val="22"/>
          <w:lang w:eastAsia="en-GB"/>
        </w:rPr>
        <w:t>by</w:t>
      </w:r>
      <w:r w:rsidRPr="00D9152B">
        <w:rPr>
          <w:rFonts w:ascii="Calibri" w:hAnsi="Calibri" w:cs="Calibri"/>
          <w:color w:val="000000"/>
          <w:sz w:val="22"/>
          <w:szCs w:val="22"/>
          <w:lang w:eastAsia="en-GB"/>
        </w:rPr>
        <w:t xml:space="preserve"> its original o</w:t>
      </w:r>
      <w:r w:rsidR="00534F4A" w:rsidRPr="00D9152B">
        <w:rPr>
          <w:rFonts w:ascii="Calibri" w:hAnsi="Calibri" w:cs="Calibri"/>
          <w:color w:val="000000"/>
          <w:sz w:val="22"/>
          <w:szCs w:val="22"/>
          <w:lang w:eastAsia="en-GB"/>
        </w:rPr>
        <w:t>bjective, it would be a failure. It</w:t>
      </w:r>
      <w:r w:rsidRPr="00D9152B">
        <w:rPr>
          <w:rFonts w:ascii="Calibri" w:hAnsi="Calibri" w:cs="Calibri"/>
          <w:color w:val="000000"/>
          <w:sz w:val="22"/>
          <w:szCs w:val="22"/>
          <w:lang w:eastAsia="en-GB"/>
        </w:rPr>
        <w:t xml:space="preserve"> did not develop a macrofilaricide that could be used in West African field conditions.</w:t>
      </w:r>
      <w:r w:rsidRPr="00D9152B">
        <w:rPr>
          <w:rStyle w:val="FootnoteReference"/>
          <w:rFonts w:ascii="Calibri" w:hAnsi="Calibri" w:cs="Calibri"/>
          <w:sz w:val="22"/>
          <w:szCs w:val="22"/>
        </w:rPr>
        <w:footnoteReference w:id="778"/>
      </w:r>
      <w:r w:rsidRPr="00D9152B">
        <w:rPr>
          <w:rFonts w:ascii="Calibri" w:hAnsi="Calibri" w:cs="Calibri"/>
          <w:color w:val="000000"/>
          <w:sz w:val="22"/>
          <w:szCs w:val="22"/>
          <w:lang w:eastAsia="en-GB"/>
        </w:rPr>
        <w:t xml:space="preserve"> Second, the reason that the OCT is considered a dramatic success – that it fostered the development of ivermectin for human onchocerciasis use and prompted Merck to donate the drug – is at best oversimplified. The OCT was arguably successful in overcoming specific </w:t>
      </w:r>
      <w:r w:rsidRPr="00D9152B">
        <w:rPr>
          <w:rFonts w:ascii="Calibri" w:hAnsi="Calibri" w:cs="Calibri"/>
          <w:i/>
          <w:color w:val="000000"/>
          <w:sz w:val="22"/>
          <w:szCs w:val="22"/>
          <w:lang w:eastAsia="en-GB"/>
        </w:rPr>
        <w:t>dis</w:t>
      </w:r>
      <w:r w:rsidRPr="00D9152B">
        <w:rPr>
          <w:rFonts w:ascii="Calibri" w:hAnsi="Calibri" w:cs="Calibri"/>
          <w:color w:val="000000"/>
          <w:sz w:val="22"/>
          <w:szCs w:val="22"/>
          <w:lang w:eastAsia="en-GB"/>
        </w:rPr>
        <w:t xml:space="preserve">incentives for developing onchocerciasis drugs, but not in </w:t>
      </w:r>
      <w:r w:rsidRPr="00D9152B">
        <w:rPr>
          <w:rFonts w:ascii="Calibri" w:hAnsi="Calibri" w:cs="Calibri"/>
          <w:i/>
          <w:color w:val="000000"/>
          <w:sz w:val="22"/>
          <w:szCs w:val="22"/>
          <w:lang w:eastAsia="en-GB"/>
        </w:rPr>
        <w:t xml:space="preserve">incentivizing </w:t>
      </w:r>
      <w:r w:rsidRPr="00D9152B">
        <w:rPr>
          <w:rFonts w:ascii="Calibri" w:hAnsi="Calibri" w:cs="Calibri"/>
          <w:color w:val="000000"/>
          <w:sz w:val="22"/>
          <w:szCs w:val="22"/>
          <w:lang w:eastAsia="en-GB"/>
        </w:rPr>
        <w:t xml:space="preserve">their ultimate registration and pricing. For instance, it covered initial ivermectin cattle screening costs, but did not have a clear plan for protecting its investments or economically incentivizing </w:t>
      </w:r>
      <w:r w:rsidR="007F13B7" w:rsidRPr="00D9152B">
        <w:rPr>
          <w:rFonts w:ascii="Calibri" w:hAnsi="Calibri" w:cs="Calibri"/>
          <w:color w:val="000000"/>
          <w:sz w:val="22"/>
          <w:szCs w:val="22"/>
          <w:lang w:eastAsia="en-GB"/>
        </w:rPr>
        <w:t xml:space="preserve">neglected tropical disease </w:t>
      </w:r>
      <w:r w:rsidRPr="00D9152B">
        <w:rPr>
          <w:rFonts w:ascii="Calibri" w:hAnsi="Calibri" w:cs="Calibri"/>
          <w:color w:val="000000"/>
          <w:sz w:val="22"/>
          <w:szCs w:val="22"/>
          <w:lang w:eastAsia="en-GB"/>
        </w:rPr>
        <w:t>drug registration and delivery. If the OCT h</w:t>
      </w:r>
      <w:r w:rsidR="004778FB" w:rsidRPr="00D9152B">
        <w:rPr>
          <w:rFonts w:ascii="Calibri" w:hAnsi="Calibri" w:cs="Calibri"/>
          <w:color w:val="000000"/>
          <w:sz w:val="22"/>
          <w:szCs w:val="22"/>
          <w:lang w:eastAsia="en-GB"/>
        </w:rPr>
        <w:t>ad been upfront about the fifty</w:t>
      </w:r>
      <w:r w:rsidR="007F13B7" w:rsidRPr="00D9152B">
        <w:rPr>
          <w:rFonts w:ascii="Calibri" w:hAnsi="Calibri" w:cs="Calibri"/>
          <w:color w:val="000000"/>
          <w:sz w:val="22"/>
          <w:szCs w:val="22"/>
          <w:lang w:eastAsia="en-GB"/>
        </w:rPr>
        <w:t xml:space="preserve"> </w:t>
      </w:r>
      <w:r w:rsidR="004778FB" w:rsidRPr="00D9152B">
        <w:rPr>
          <w:rFonts w:ascii="Calibri" w:hAnsi="Calibri" w:cs="Calibri"/>
          <w:color w:val="000000"/>
          <w:sz w:val="22"/>
          <w:szCs w:val="22"/>
          <w:lang w:eastAsia="en-GB"/>
        </w:rPr>
        <w:t xml:space="preserve">cent maximum </w:t>
      </w:r>
      <w:r w:rsidRPr="00D9152B">
        <w:rPr>
          <w:rFonts w:ascii="Calibri" w:hAnsi="Calibri" w:cs="Calibri"/>
          <w:color w:val="000000"/>
          <w:sz w:val="22"/>
          <w:szCs w:val="22"/>
          <w:lang w:eastAsia="en-GB"/>
        </w:rPr>
        <w:t xml:space="preserve">drug </w:t>
      </w:r>
      <w:r w:rsidR="004778FB" w:rsidRPr="00D9152B">
        <w:rPr>
          <w:rFonts w:ascii="Calibri" w:hAnsi="Calibri" w:cs="Calibri"/>
          <w:color w:val="000000"/>
          <w:sz w:val="22"/>
          <w:szCs w:val="22"/>
          <w:lang w:eastAsia="en-GB"/>
        </w:rPr>
        <w:t>price</w:t>
      </w:r>
      <w:r w:rsidRPr="00D9152B">
        <w:rPr>
          <w:rFonts w:ascii="Calibri" w:hAnsi="Calibri" w:cs="Calibri"/>
          <w:color w:val="000000"/>
          <w:sz w:val="22"/>
          <w:szCs w:val="22"/>
          <w:lang w:eastAsia="en-GB"/>
        </w:rPr>
        <w:t xml:space="preserve"> and delivery cap, which offered little prospect for even a small economic return, would Merck have even submitted ivermectin to the cattle screen? Is a moral of the OCT story that </w:t>
      </w:r>
      <w:r w:rsidR="007F13B7" w:rsidRPr="00D9152B">
        <w:rPr>
          <w:rFonts w:ascii="Calibri" w:hAnsi="Calibri" w:cs="Calibri"/>
          <w:color w:val="000000"/>
          <w:sz w:val="22"/>
          <w:szCs w:val="22"/>
          <w:lang w:eastAsia="en-GB"/>
        </w:rPr>
        <w:t>neglected tropical disease</w:t>
      </w:r>
      <w:r w:rsidRPr="00D9152B">
        <w:rPr>
          <w:rFonts w:ascii="Calibri" w:hAnsi="Calibri" w:cs="Calibri"/>
          <w:color w:val="000000"/>
          <w:sz w:val="22"/>
          <w:szCs w:val="22"/>
          <w:lang w:eastAsia="en-GB"/>
        </w:rPr>
        <w:t xml:space="preserve"> drug development partnerships cannot yield drugs </w:t>
      </w:r>
      <w:r w:rsidR="007F13B7" w:rsidRPr="00D9152B">
        <w:rPr>
          <w:rFonts w:ascii="Calibri" w:hAnsi="Calibri" w:cs="Calibri"/>
          <w:color w:val="000000"/>
          <w:sz w:val="22"/>
          <w:szCs w:val="22"/>
          <w:lang w:eastAsia="en-GB"/>
        </w:rPr>
        <w:t xml:space="preserve">that are </w:t>
      </w:r>
      <w:r w:rsidRPr="00D9152B">
        <w:rPr>
          <w:rFonts w:ascii="Calibri" w:hAnsi="Calibri" w:cs="Calibri"/>
          <w:color w:val="000000"/>
          <w:sz w:val="22"/>
          <w:szCs w:val="22"/>
          <w:lang w:eastAsia="en-GB"/>
        </w:rPr>
        <w:t xml:space="preserve">both affordable for mass-distribution and </w:t>
      </w:r>
      <w:r w:rsidR="007F13B7" w:rsidRPr="00D9152B">
        <w:rPr>
          <w:rFonts w:ascii="Calibri" w:hAnsi="Calibri" w:cs="Calibri"/>
          <w:color w:val="000000"/>
          <w:sz w:val="22"/>
          <w:szCs w:val="22"/>
          <w:lang w:eastAsia="en-GB"/>
        </w:rPr>
        <w:t xml:space="preserve">offer </w:t>
      </w:r>
      <w:r w:rsidR="00E92708" w:rsidRPr="00D9152B">
        <w:rPr>
          <w:rFonts w:ascii="Calibri" w:hAnsi="Calibri" w:cs="Calibri"/>
          <w:color w:val="000000"/>
          <w:sz w:val="22"/>
          <w:szCs w:val="22"/>
          <w:lang w:eastAsia="en-GB"/>
        </w:rPr>
        <w:t>(even marginal)</w:t>
      </w:r>
      <w:r w:rsidRPr="00D9152B">
        <w:rPr>
          <w:rFonts w:ascii="Calibri" w:hAnsi="Calibri" w:cs="Calibri"/>
          <w:color w:val="000000"/>
          <w:sz w:val="22"/>
          <w:szCs w:val="22"/>
          <w:lang w:eastAsia="en-GB"/>
        </w:rPr>
        <w:t xml:space="preserve"> economic profits for pharmaceutical companies? Third, the OCT </w:t>
      </w:r>
      <w:r w:rsidRPr="00D9152B">
        <w:rPr>
          <w:rFonts w:ascii="Calibri" w:hAnsi="Calibri" w:cs="Calibri"/>
          <w:i/>
          <w:color w:val="000000"/>
          <w:sz w:val="22"/>
          <w:szCs w:val="22"/>
          <w:lang w:eastAsia="en-GB"/>
        </w:rPr>
        <w:t>did</w:t>
      </w:r>
      <w:r w:rsidRPr="00D9152B">
        <w:rPr>
          <w:rFonts w:ascii="Calibri" w:hAnsi="Calibri" w:cs="Calibri"/>
          <w:color w:val="000000"/>
          <w:sz w:val="22"/>
          <w:szCs w:val="22"/>
          <w:lang w:eastAsia="en-GB"/>
        </w:rPr>
        <w:t xml:space="preserve"> offer a major benefit for </w:t>
      </w:r>
      <w:r w:rsidR="00DE2CF4">
        <w:rPr>
          <w:rFonts w:ascii="Calibri" w:hAnsi="Calibri" w:cs="Calibri"/>
          <w:color w:val="000000"/>
          <w:sz w:val="22"/>
          <w:szCs w:val="22"/>
          <w:lang w:eastAsia="en-GB"/>
        </w:rPr>
        <w:t>neglected tropical disease</w:t>
      </w:r>
      <w:r w:rsidRPr="00D9152B">
        <w:rPr>
          <w:rFonts w:ascii="Calibri" w:hAnsi="Calibri" w:cs="Calibri"/>
          <w:color w:val="000000"/>
          <w:sz w:val="22"/>
          <w:szCs w:val="22"/>
          <w:lang w:eastAsia="en-GB"/>
        </w:rPr>
        <w:t xml:space="preserve"> drug development: a direct link to the OCP’s field network (of onchocerciasis patients). The OCP’s interest in drug delivery in West African community settings, rather than formal medical facilities, helped to direct the clinical trials, and ultimately played a major role in fostering the Mectizan Donation Programme. Similarly, the WHO was able to </w:t>
      </w:r>
      <w:r w:rsidRPr="00D9152B">
        <w:rPr>
          <w:rFonts w:ascii="Calibri" w:hAnsi="Calibri" w:cs="Calibri"/>
          <w:color w:val="000000"/>
          <w:sz w:val="22"/>
          <w:szCs w:val="22"/>
          <w:lang w:eastAsia="en-GB"/>
        </w:rPr>
        <w:lastRenderedPageBreak/>
        <w:t>monitor drug safety during clinical trials and to assist with clinical trial protocols, which may have reduced risks to patients in clinical trials.</w:t>
      </w:r>
    </w:p>
    <w:p w14:paraId="590B3030" w14:textId="70EED285" w:rsidR="00404D3A" w:rsidRPr="00D9152B" w:rsidRDefault="00AC7848" w:rsidP="00A12E2E">
      <w:pPr>
        <w:spacing w:before="100" w:beforeAutospacing="1" w:after="100" w:afterAutospacing="1" w:line="360" w:lineRule="auto"/>
        <w:rPr>
          <w:rFonts w:ascii="Calibri" w:hAnsi="Calibri" w:cs="Calibri"/>
          <w:color w:val="000000"/>
          <w:sz w:val="22"/>
          <w:szCs w:val="22"/>
          <w:lang w:eastAsia="en-GB"/>
        </w:rPr>
        <w:sectPr w:rsidR="00404D3A" w:rsidRPr="00D9152B" w:rsidSect="00E418AF">
          <w:footnotePr>
            <w:numRestart w:val="eachSect"/>
          </w:footnotePr>
          <w:pgSz w:w="11906" w:h="16838"/>
          <w:pgMar w:top="1134" w:right="1558" w:bottom="2268" w:left="2268" w:header="708" w:footer="708" w:gutter="0"/>
          <w:cols w:space="708"/>
          <w:docGrid w:linePitch="360"/>
        </w:sectPr>
      </w:pPr>
      <w:r w:rsidRPr="00D9152B">
        <w:rPr>
          <w:rFonts w:ascii="Calibri" w:hAnsi="Calibri" w:cs="Calibri"/>
          <w:color w:val="000000"/>
          <w:sz w:val="22"/>
          <w:szCs w:val="22"/>
          <w:lang w:eastAsia="en-GB"/>
        </w:rPr>
        <w:tab/>
        <w:t>The OCP partnership</w:t>
      </w:r>
      <w:r w:rsidR="004778FB" w:rsidRPr="00D9152B">
        <w:rPr>
          <w:rFonts w:ascii="Calibri" w:hAnsi="Calibri" w:cs="Calibri"/>
          <w:color w:val="000000"/>
          <w:sz w:val="22"/>
          <w:szCs w:val="22"/>
          <w:lang w:eastAsia="en-GB"/>
        </w:rPr>
        <w:t xml:space="preserve"> also</w:t>
      </w:r>
      <w:r w:rsidRPr="00D9152B">
        <w:rPr>
          <w:rFonts w:ascii="Calibri" w:hAnsi="Calibri" w:cs="Calibri"/>
          <w:color w:val="000000"/>
          <w:sz w:val="22"/>
          <w:szCs w:val="22"/>
          <w:lang w:eastAsia="en-GB"/>
        </w:rPr>
        <w:t xml:space="preserve"> presents </w:t>
      </w:r>
      <w:r w:rsidR="00EA3BDC" w:rsidRPr="00D9152B">
        <w:rPr>
          <w:rFonts w:ascii="Calibri" w:hAnsi="Calibri" w:cs="Calibri"/>
          <w:color w:val="000000"/>
          <w:sz w:val="22"/>
          <w:szCs w:val="22"/>
          <w:lang w:eastAsia="en-GB"/>
        </w:rPr>
        <w:t>a</w:t>
      </w:r>
      <w:r w:rsidRPr="00D9152B">
        <w:rPr>
          <w:rFonts w:ascii="Calibri" w:hAnsi="Calibri" w:cs="Calibri"/>
          <w:color w:val="000000"/>
          <w:sz w:val="22"/>
          <w:szCs w:val="22"/>
          <w:lang w:eastAsia="en-GB"/>
        </w:rPr>
        <w:t xml:space="preserve"> major overarching lesson for post-2000 global health: that </w:t>
      </w:r>
      <w:r w:rsidR="004778FB" w:rsidRPr="00D9152B">
        <w:rPr>
          <w:rFonts w:ascii="Calibri" w:hAnsi="Calibri" w:cs="Calibri"/>
          <w:color w:val="000000"/>
          <w:sz w:val="22"/>
          <w:szCs w:val="22"/>
          <w:lang w:eastAsia="en-GB"/>
        </w:rPr>
        <w:t>public-private</w:t>
      </w:r>
      <w:r w:rsidRPr="00D9152B">
        <w:rPr>
          <w:rFonts w:ascii="Calibri" w:hAnsi="Calibri" w:cs="Calibri"/>
          <w:color w:val="000000"/>
          <w:sz w:val="22"/>
          <w:szCs w:val="22"/>
          <w:lang w:eastAsia="en-GB"/>
        </w:rPr>
        <w:t xml:space="preserve"> partnerships can have dramatic public relations value</w:t>
      </w:r>
      <w:r w:rsidR="004778FB" w:rsidRPr="00D9152B">
        <w:rPr>
          <w:rFonts w:ascii="Calibri" w:hAnsi="Calibri" w:cs="Calibri"/>
          <w:color w:val="000000"/>
          <w:sz w:val="22"/>
          <w:szCs w:val="22"/>
          <w:lang w:eastAsia="en-GB"/>
        </w:rPr>
        <w:t>, especially for the private partner</w:t>
      </w:r>
      <w:r w:rsidRPr="00D9152B">
        <w:rPr>
          <w:rFonts w:ascii="Calibri" w:hAnsi="Calibri" w:cs="Calibri"/>
          <w:color w:val="000000"/>
          <w:sz w:val="22"/>
          <w:szCs w:val="22"/>
          <w:lang w:eastAsia="en-GB"/>
        </w:rPr>
        <w:t xml:space="preserve">. </w:t>
      </w:r>
      <w:r w:rsidR="00E92708" w:rsidRPr="00D9152B">
        <w:rPr>
          <w:rFonts w:ascii="Calibri" w:hAnsi="Calibri" w:cs="Calibri"/>
          <w:color w:val="000000"/>
          <w:sz w:val="22"/>
          <w:szCs w:val="22"/>
          <w:lang w:eastAsia="en-GB"/>
        </w:rPr>
        <w:t>T</w:t>
      </w:r>
      <w:r w:rsidR="00534F4A" w:rsidRPr="00D9152B">
        <w:rPr>
          <w:rFonts w:ascii="Calibri" w:hAnsi="Calibri" w:cs="Calibri"/>
          <w:color w:val="000000"/>
          <w:sz w:val="22"/>
          <w:szCs w:val="22"/>
          <w:lang w:eastAsia="en-GB"/>
        </w:rPr>
        <w:t>he Me</w:t>
      </w:r>
      <w:r w:rsidRPr="00D9152B">
        <w:rPr>
          <w:rFonts w:ascii="Calibri" w:hAnsi="Calibri" w:cs="Calibri"/>
          <w:color w:val="000000"/>
          <w:sz w:val="22"/>
          <w:szCs w:val="22"/>
          <w:lang w:eastAsia="en-GB"/>
        </w:rPr>
        <w:t>ctizan Donation Programme</w:t>
      </w:r>
      <w:r w:rsidR="004778FB" w:rsidRPr="00D9152B">
        <w:rPr>
          <w:rFonts w:ascii="Calibri" w:hAnsi="Calibri" w:cs="Calibri"/>
          <w:color w:val="000000"/>
          <w:sz w:val="22"/>
          <w:szCs w:val="22"/>
          <w:lang w:eastAsia="en-GB"/>
        </w:rPr>
        <w:t>, which is discussed in the next chapter,</w:t>
      </w:r>
      <w:r w:rsidRPr="00D9152B">
        <w:rPr>
          <w:rFonts w:ascii="Calibri" w:hAnsi="Calibri" w:cs="Calibri"/>
          <w:color w:val="000000"/>
          <w:sz w:val="22"/>
          <w:szCs w:val="22"/>
          <w:lang w:eastAsia="en-GB"/>
        </w:rPr>
        <w:t xml:space="preserve"> powerfully showed that, even if drugs are not profitable in terms of sales, donating them can improve public image of pharmaceutical companies. By 2003, onchocerciasis partnerships had delivered donated ivermectin to more than 40 million people worldwide.</w:t>
      </w:r>
      <w:r w:rsidRPr="00D9152B">
        <w:rPr>
          <w:rStyle w:val="FootnoteReference"/>
          <w:rFonts w:ascii="Calibri" w:hAnsi="Calibri" w:cs="Calibri"/>
          <w:sz w:val="22"/>
          <w:szCs w:val="22"/>
        </w:rPr>
        <w:footnoteReference w:id="779"/>
      </w:r>
      <w:r w:rsidRPr="00D9152B">
        <w:rPr>
          <w:rFonts w:ascii="Calibri" w:hAnsi="Calibri" w:cs="Calibri"/>
          <w:color w:val="000000"/>
          <w:sz w:val="22"/>
          <w:szCs w:val="22"/>
          <w:lang w:eastAsia="en-GB"/>
        </w:rPr>
        <w:t xml:space="preserve"> Other companies have since followed-suit with drug donations for </w:t>
      </w:r>
      <w:r w:rsidR="00DE2CF4">
        <w:rPr>
          <w:rFonts w:ascii="Calibri" w:hAnsi="Calibri" w:cs="Calibri"/>
          <w:color w:val="000000"/>
          <w:sz w:val="22"/>
          <w:szCs w:val="22"/>
          <w:lang w:eastAsia="en-GB"/>
        </w:rPr>
        <w:t>neglected tropical diseases</w:t>
      </w:r>
      <w:r w:rsidRPr="00D9152B">
        <w:rPr>
          <w:rFonts w:ascii="Calibri" w:hAnsi="Calibri" w:cs="Calibri"/>
          <w:color w:val="000000"/>
          <w:sz w:val="22"/>
          <w:szCs w:val="22"/>
          <w:lang w:eastAsia="en-GB"/>
        </w:rPr>
        <w:t>, such as Pfizer (azithromycin for trachoma), GlaxoSmithKline (albendazole for lymphatic filariasis), Johnson &amp; Johnson (mebandazole for intestinal worms), Eisai (</w:t>
      </w:r>
      <w:r w:rsidR="007F13B7" w:rsidRPr="00D9152B">
        <w:rPr>
          <w:rFonts w:ascii="Calibri" w:hAnsi="Calibri" w:cs="Calibri"/>
          <w:color w:val="000000"/>
          <w:sz w:val="22"/>
          <w:szCs w:val="22"/>
          <w:lang w:eastAsia="en-GB"/>
        </w:rPr>
        <w:t>diethylcarbamazine [</w:t>
      </w:r>
      <w:r w:rsidRPr="00D9152B">
        <w:rPr>
          <w:rFonts w:ascii="Calibri" w:hAnsi="Calibri" w:cs="Calibri"/>
          <w:color w:val="000000"/>
          <w:sz w:val="22"/>
          <w:szCs w:val="22"/>
          <w:lang w:eastAsia="en-GB"/>
        </w:rPr>
        <w:t>DEC</w:t>
      </w:r>
      <w:r w:rsidR="007F13B7" w:rsidRPr="00D9152B">
        <w:rPr>
          <w:rFonts w:ascii="Calibri" w:hAnsi="Calibri" w:cs="Calibri"/>
          <w:color w:val="000000"/>
          <w:sz w:val="22"/>
          <w:szCs w:val="22"/>
          <w:lang w:eastAsia="en-GB"/>
        </w:rPr>
        <w:t>]</w:t>
      </w:r>
      <w:r w:rsidRPr="00D9152B">
        <w:rPr>
          <w:rFonts w:ascii="Calibri" w:hAnsi="Calibri" w:cs="Calibri"/>
          <w:color w:val="000000"/>
          <w:sz w:val="22"/>
          <w:szCs w:val="22"/>
          <w:lang w:eastAsia="en-GB"/>
        </w:rPr>
        <w:t xml:space="preserve"> for lymphatic filariasis), and Medpharm (praziquantel for schistosomiasis).</w:t>
      </w:r>
      <w:r w:rsidRPr="00D9152B">
        <w:rPr>
          <w:rStyle w:val="FootnoteReference"/>
          <w:rFonts w:ascii="Calibri" w:hAnsi="Calibri" w:cs="Calibri"/>
          <w:color w:val="000000"/>
          <w:sz w:val="22"/>
          <w:szCs w:val="22"/>
          <w:lang w:eastAsia="en-GB"/>
        </w:rPr>
        <w:footnoteReference w:id="780"/>
      </w:r>
      <w:r w:rsidRPr="00D9152B">
        <w:rPr>
          <w:rFonts w:ascii="Calibri" w:hAnsi="Calibri" w:cs="Calibri"/>
          <w:color w:val="000000"/>
          <w:sz w:val="22"/>
          <w:szCs w:val="22"/>
          <w:lang w:eastAsia="en-GB"/>
        </w:rPr>
        <w:t xml:space="preserve"> This reflects the belief of the pharmaceutical company </w:t>
      </w:r>
      <w:r w:rsidR="00DE2CF4">
        <w:rPr>
          <w:rFonts w:ascii="Calibri" w:hAnsi="Calibri" w:cs="Calibri"/>
          <w:color w:val="000000"/>
          <w:sz w:val="22"/>
          <w:szCs w:val="22"/>
          <w:lang w:eastAsia="en-GB"/>
        </w:rPr>
        <w:t>visited by OCP planners</w:t>
      </w:r>
      <w:r w:rsidR="00534F4A" w:rsidRPr="00D9152B">
        <w:rPr>
          <w:rFonts w:ascii="Calibri" w:hAnsi="Calibri" w:cs="Calibri"/>
          <w:color w:val="000000"/>
          <w:sz w:val="22"/>
          <w:szCs w:val="22"/>
          <w:lang w:eastAsia="en-GB"/>
        </w:rPr>
        <w:t xml:space="preserve"> </w:t>
      </w:r>
      <w:r w:rsidRPr="00D9152B">
        <w:rPr>
          <w:rFonts w:ascii="Calibri" w:hAnsi="Calibri" w:cs="Calibri"/>
          <w:color w:val="000000"/>
          <w:sz w:val="22"/>
          <w:szCs w:val="22"/>
          <w:lang w:eastAsia="en-GB"/>
        </w:rPr>
        <w:t xml:space="preserve">in 1981: that public relations may be the major incentive for pharmaceutical investments in </w:t>
      </w:r>
      <w:r w:rsidR="00DE2CF4">
        <w:rPr>
          <w:rFonts w:ascii="Calibri" w:hAnsi="Calibri" w:cs="Calibri"/>
          <w:color w:val="000000"/>
          <w:sz w:val="22"/>
          <w:szCs w:val="22"/>
          <w:lang w:eastAsia="en-GB"/>
        </w:rPr>
        <w:t>neglected tropical disease</w:t>
      </w:r>
      <w:r w:rsidRPr="00D9152B">
        <w:rPr>
          <w:rFonts w:ascii="Calibri" w:hAnsi="Calibri" w:cs="Calibri"/>
          <w:color w:val="000000"/>
          <w:sz w:val="22"/>
          <w:szCs w:val="22"/>
          <w:lang w:eastAsia="en-GB"/>
        </w:rPr>
        <w:t xml:space="preserve"> drug development. </w:t>
      </w:r>
      <w:r w:rsidR="00534F4A" w:rsidRPr="00D9152B">
        <w:rPr>
          <w:rFonts w:ascii="Calibri" w:hAnsi="Calibri" w:cs="Calibri"/>
          <w:color w:val="000000"/>
          <w:sz w:val="22"/>
          <w:szCs w:val="22"/>
          <w:lang w:eastAsia="en-GB"/>
        </w:rPr>
        <w:t xml:space="preserve">The OCP’s relationship to the surge of public-private partnerships for drug access, and pharmaceutical drug donation programmes, is further </w:t>
      </w:r>
      <w:r w:rsidR="004205AB" w:rsidRPr="00D9152B">
        <w:rPr>
          <w:rFonts w:ascii="Calibri" w:hAnsi="Calibri" w:cs="Calibri"/>
          <w:color w:val="000000"/>
          <w:sz w:val="22"/>
          <w:szCs w:val="22"/>
          <w:lang w:eastAsia="en-GB"/>
        </w:rPr>
        <w:t>explored</w:t>
      </w:r>
      <w:r w:rsidR="00534F4A" w:rsidRPr="00D9152B">
        <w:rPr>
          <w:rFonts w:ascii="Calibri" w:hAnsi="Calibri" w:cs="Calibri"/>
          <w:color w:val="000000"/>
          <w:sz w:val="22"/>
          <w:szCs w:val="22"/>
          <w:lang w:eastAsia="en-GB"/>
        </w:rPr>
        <w:t xml:space="preserve"> in </w:t>
      </w:r>
      <w:r w:rsidR="00363E6C" w:rsidRPr="00D9152B">
        <w:rPr>
          <w:rFonts w:ascii="Calibri" w:hAnsi="Calibri" w:cs="Calibri"/>
          <w:color w:val="000000"/>
          <w:sz w:val="22"/>
          <w:szCs w:val="22"/>
          <w:lang w:eastAsia="en-GB"/>
        </w:rPr>
        <w:t>Chapter 9</w:t>
      </w:r>
      <w:r w:rsidR="006771D5">
        <w:rPr>
          <w:rFonts w:ascii="Calibri" w:hAnsi="Calibri" w:cs="Calibri"/>
          <w:color w:val="000000"/>
          <w:sz w:val="22"/>
          <w:szCs w:val="22"/>
          <w:lang w:eastAsia="en-GB"/>
        </w:rPr>
        <w:t xml:space="preserve"> and Appendix X</w:t>
      </w:r>
      <w:r w:rsidR="00DD4818">
        <w:rPr>
          <w:rFonts w:ascii="Calibri" w:hAnsi="Calibri" w:cs="Calibri"/>
          <w:color w:val="000000"/>
          <w:sz w:val="22"/>
          <w:szCs w:val="22"/>
          <w:lang w:eastAsia="en-GB"/>
        </w:rPr>
        <w:t>II</w:t>
      </w:r>
      <w:r w:rsidR="00363E6C" w:rsidRPr="00D9152B">
        <w:rPr>
          <w:rFonts w:ascii="Calibri" w:hAnsi="Calibri" w:cs="Calibri"/>
          <w:color w:val="000000"/>
          <w:sz w:val="22"/>
          <w:szCs w:val="22"/>
          <w:lang w:eastAsia="en-GB"/>
        </w:rPr>
        <w:t>.</w:t>
      </w:r>
    </w:p>
    <w:p w14:paraId="0806F667" w14:textId="2ED7234F" w:rsidR="00894F4F" w:rsidRPr="00D9152B" w:rsidRDefault="00AC7848" w:rsidP="00894F4F">
      <w:pPr>
        <w:pStyle w:val="Heading1"/>
        <w:rPr>
          <w:rFonts w:ascii="Calibri" w:hAnsi="Calibri" w:cs="Calibri"/>
          <w:b/>
          <w:sz w:val="36"/>
          <w:szCs w:val="36"/>
        </w:rPr>
      </w:pPr>
      <w:bookmarkStart w:id="135" w:name="_Toc41505693"/>
      <w:r w:rsidRPr="00D9152B">
        <w:rPr>
          <w:rFonts w:ascii="Calibri" w:hAnsi="Calibri" w:cs="Calibri"/>
          <w:b/>
          <w:sz w:val="36"/>
          <w:szCs w:val="36"/>
        </w:rPr>
        <w:lastRenderedPageBreak/>
        <w:t>Chapter 8</w:t>
      </w:r>
      <w:r w:rsidR="00894F4F" w:rsidRPr="00D9152B">
        <w:rPr>
          <w:rFonts w:ascii="Calibri" w:hAnsi="Calibri" w:cs="Calibri"/>
          <w:b/>
          <w:sz w:val="36"/>
          <w:szCs w:val="36"/>
        </w:rPr>
        <w:t>.</w:t>
      </w:r>
      <w:bookmarkEnd w:id="135"/>
      <w:r w:rsidRPr="00D9152B">
        <w:rPr>
          <w:rFonts w:ascii="Calibri" w:hAnsi="Calibri" w:cs="Calibri"/>
          <w:b/>
          <w:sz w:val="36"/>
          <w:szCs w:val="36"/>
        </w:rPr>
        <w:t xml:space="preserve"> </w:t>
      </w:r>
    </w:p>
    <w:p w14:paraId="7B1C0796" w14:textId="08814EA9" w:rsidR="00894F4F" w:rsidRPr="00D9152B" w:rsidRDefault="00AC7848" w:rsidP="00894F4F">
      <w:pPr>
        <w:pStyle w:val="Heading1"/>
        <w:rPr>
          <w:rFonts w:ascii="Calibri" w:eastAsiaTheme="minorHAnsi" w:hAnsi="Calibri" w:cs="Calibri"/>
          <w:b/>
          <w:sz w:val="36"/>
          <w:szCs w:val="36"/>
        </w:rPr>
      </w:pPr>
      <w:bookmarkStart w:id="136" w:name="_Toc41505694"/>
      <w:r w:rsidRPr="00D9152B">
        <w:rPr>
          <w:rFonts w:ascii="Calibri" w:hAnsi="Calibri" w:cs="Calibri"/>
          <w:b/>
          <w:sz w:val="36"/>
          <w:szCs w:val="36"/>
        </w:rPr>
        <w:t>Delivery</w:t>
      </w:r>
      <w:r w:rsidR="00894F4F" w:rsidRPr="00D9152B">
        <w:rPr>
          <w:rFonts w:ascii="Calibri" w:hAnsi="Calibri" w:cs="Calibri"/>
          <w:b/>
          <w:sz w:val="36"/>
          <w:szCs w:val="36"/>
        </w:rPr>
        <w:t xml:space="preserve">: </w:t>
      </w:r>
      <w:r w:rsidR="00A80EA9" w:rsidRPr="00D9152B">
        <w:rPr>
          <w:rFonts w:ascii="Calibri" w:eastAsiaTheme="minorHAnsi" w:hAnsi="Calibri" w:cs="Calibri"/>
          <w:b/>
          <w:sz w:val="36"/>
          <w:szCs w:val="36"/>
        </w:rPr>
        <w:t>The OCP as a</w:t>
      </w:r>
      <w:r w:rsidR="00894F4F" w:rsidRPr="00D9152B">
        <w:rPr>
          <w:rFonts w:ascii="Calibri" w:eastAsiaTheme="minorHAnsi" w:hAnsi="Calibri" w:cs="Calibri"/>
          <w:b/>
          <w:sz w:val="36"/>
          <w:szCs w:val="36"/>
        </w:rPr>
        <w:t xml:space="preserve"> ‘Trojan Horse’ for health system strengthening</w:t>
      </w:r>
      <w:bookmarkEnd w:id="136"/>
    </w:p>
    <w:p w14:paraId="07CE2147" w14:textId="77777777" w:rsidR="00C576D7" w:rsidRPr="00D9152B" w:rsidRDefault="00C576D7" w:rsidP="00894F4F">
      <w:pPr>
        <w:rPr>
          <w:rFonts w:ascii="Calibri" w:hAnsi="Calibri" w:cs="Calibri"/>
        </w:rPr>
      </w:pPr>
    </w:p>
    <w:p w14:paraId="7EC9CD2D" w14:textId="6939F7CD" w:rsidR="00AC7848" w:rsidRPr="00D9152B" w:rsidRDefault="00677774" w:rsidP="00076FC2">
      <w:pPr>
        <w:pStyle w:val="Heading2"/>
        <w:rPr>
          <w:rFonts w:ascii="Calibri" w:hAnsi="Calibri" w:cs="Calibri"/>
          <w:b/>
          <w:color w:val="000000" w:themeColor="text1"/>
          <w:sz w:val="26"/>
          <w:szCs w:val="26"/>
        </w:rPr>
      </w:pPr>
      <w:bookmarkStart w:id="137" w:name="_Toc41505695"/>
      <w:r w:rsidRPr="00D9152B">
        <w:rPr>
          <w:rFonts w:ascii="Calibri" w:hAnsi="Calibri" w:cs="Calibri"/>
          <w:b/>
          <w:color w:val="000000" w:themeColor="text1"/>
          <w:sz w:val="26"/>
          <w:szCs w:val="26"/>
        </w:rPr>
        <w:t>8.</w:t>
      </w:r>
      <w:r w:rsidR="00894F4F" w:rsidRPr="00D9152B">
        <w:rPr>
          <w:rFonts w:ascii="Calibri" w:hAnsi="Calibri" w:cs="Calibri"/>
          <w:b/>
          <w:color w:val="000000" w:themeColor="text1"/>
          <w:sz w:val="26"/>
          <w:szCs w:val="26"/>
        </w:rPr>
        <w:t>1. Introduction</w:t>
      </w:r>
      <w:bookmarkEnd w:id="137"/>
    </w:p>
    <w:p w14:paraId="6786C342" w14:textId="2AD6BBB0" w:rsidR="00C657AA" w:rsidRPr="00D9152B" w:rsidRDefault="00F857E3" w:rsidP="00A12E2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When</w:t>
      </w:r>
      <w:r w:rsidR="00A80EA9" w:rsidRPr="00D9152B">
        <w:rPr>
          <w:rFonts w:ascii="Calibri" w:hAnsi="Calibri" w:cs="Calibri"/>
          <w:sz w:val="22"/>
          <w:szCs w:val="22"/>
        </w:rPr>
        <w:t xml:space="preserve"> the OCP </w:t>
      </w:r>
      <w:r w:rsidRPr="00D9152B">
        <w:rPr>
          <w:rFonts w:ascii="Calibri" w:hAnsi="Calibri" w:cs="Calibri"/>
          <w:sz w:val="22"/>
          <w:szCs w:val="22"/>
        </w:rPr>
        <w:t>drew to a close</w:t>
      </w:r>
      <w:r w:rsidR="00A80EA9" w:rsidRPr="00D9152B">
        <w:rPr>
          <w:rFonts w:ascii="Calibri" w:hAnsi="Calibri" w:cs="Calibri"/>
          <w:sz w:val="22"/>
          <w:szCs w:val="22"/>
        </w:rPr>
        <w:t xml:space="preserve">, Bank staff deemed </w:t>
      </w:r>
      <w:r w:rsidR="00A541B2">
        <w:rPr>
          <w:rFonts w:ascii="Calibri" w:hAnsi="Calibri" w:cs="Calibri"/>
          <w:sz w:val="22"/>
          <w:szCs w:val="22"/>
        </w:rPr>
        <w:t>its</w:t>
      </w:r>
      <w:r w:rsidR="00A80EA9" w:rsidRPr="00D9152B">
        <w:rPr>
          <w:rFonts w:ascii="Calibri" w:hAnsi="Calibri" w:cs="Calibri"/>
          <w:sz w:val="22"/>
          <w:szCs w:val="22"/>
        </w:rPr>
        <w:t xml:space="preserve"> delivery of ivermectin</w:t>
      </w:r>
      <w:r w:rsidR="00A541B2">
        <w:rPr>
          <w:rFonts w:ascii="Calibri" w:hAnsi="Calibri" w:cs="Calibri"/>
          <w:sz w:val="22"/>
          <w:szCs w:val="22"/>
        </w:rPr>
        <w:t xml:space="preserve"> to be</w:t>
      </w:r>
      <w:r w:rsidR="00A80EA9" w:rsidRPr="00D9152B">
        <w:rPr>
          <w:rFonts w:ascii="Calibri" w:hAnsi="Calibri" w:cs="Calibri"/>
          <w:sz w:val="22"/>
          <w:szCs w:val="22"/>
        </w:rPr>
        <w:t xml:space="preserve"> a success, both in its own right and as a model for </w:t>
      </w:r>
      <w:r w:rsidR="00085A98" w:rsidRPr="00D9152B">
        <w:rPr>
          <w:rFonts w:ascii="Calibri" w:hAnsi="Calibri" w:cs="Calibri"/>
          <w:sz w:val="22"/>
          <w:szCs w:val="22"/>
        </w:rPr>
        <w:t>the transition of</w:t>
      </w:r>
      <w:r w:rsidR="00A80EA9" w:rsidRPr="00D9152B">
        <w:rPr>
          <w:rFonts w:ascii="Calibri" w:hAnsi="Calibri" w:cs="Calibri"/>
          <w:sz w:val="22"/>
          <w:szCs w:val="22"/>
        </w:rPr>
        <w:t xml:space="preserve"> infectious disease control programmes into </w:t>
      </w:r>
      <w:r w:rsidR="00085A98" w:rsidRPr="00D9152B">
        <w:rPr>
          <w:rFonts w:ascii="Calibri" w:hAnsi="Calibri" w:cs="Calibri"/>
          <w:sz w:val="22"/>
          <w:szCs w:val="22"/>
        </w:rPr>
        <w:t xml:space="preserve">primary health care (PHC) </w:t>
      </w:r>
      <w:r w:rsidR="00A80EA9" w:rsidRPr="00D9152B">
        <w:rPr>
          <w:rFonts w:ascii="Calibri" w:hAnsi="Calibri" w:cs="Calibri"/>
          <w:sz w:val="22"/>
          <w:szCs w:val="22"/>
        </w:rPr>
        <w:t xml:space="preserve">supporting programmes. </w:t>
      </w:r>
      <w:r w:rsidR="00C657AA" w:rsidRPr="00D9152B">
        <w:rPr>
          <w:rFonts w:ascii="Calibri" w:hAnsi="Calibri" w:cs="Calibri"/>
          <w:sz w:val="22"/>
          <w:szCs w:val="22"/>
        </w:rPr>
        <w:t>As a group of Bank staff wrote</w:t>
      </w:r>
      <w:r w:rsidR="00A80EA9" w:rsidRPr="00D9152B">
        <w:rPr>
          <w:rFonts w:ascii="Calibri" w:hAnsi="Calibri" w:cs="Calibri"/>
          <w:sz w:val="22"/>
          <w:szCs w:val="22"/>
        </w:rPr>
        <w:t xml:space="preserve"> in 2002</w:t>
      </w:r>
      <w:r w:rsidR="00C657AA" w:rsidRPr="00D9152B">
        <w:rPr>
          <w:rFonts w:ascii="Calibri" w:hAnsi="Calibri" w:cs="Calibri"/>
          <w:sz w:val="22"/>
          <w:szCs w:val="22"/>
        </w:rPr>
        <w:t xml:space="preserve">, </w:t>
      </w:r>
    </w:p>
    <w:p w14:paraId="4BAD9C5D" w14:textId="0C3E3F9F" w:rsidR="00472F39" w:rsidRPr="00D9152B" w:rsidRDefault="00C657AA" w:rsidP="00C657AA">
      <w:pPr>
        <w:pStyle w:val="Quote"/>
        <w:ind w:left="862" w:right="862"/>
        <w:rPr>
          <w:rFonts w:cs="Calibri"/>
          <w:i/>
          <w:sz w:val="22"/>
          <w:szCs w:val="22"/>
        </w:rPr>
      </w:pPr>
      <w:r w:rsidRPr="00D9152B">
        <w:rPr>
          <w:rFonts w:cs="Calibri"/>
          <w:i/>
          <w:sz w:val="22"/>
          <w:szCs w:val="22"/>
        </w:rPr>
        <w:t xml:space="preserve"> </w:t>
      </w:r>
      <w:r w:rsidR="00472F39" w:rsidRPr="00D9152B">
        <w:rPr>
          <w:rFonts w:cs="Calibri"/>
          <w:i/>
          <w:sz w:val="22"/>
          <w:szCs w:val="22"/>
        </w:rPr>
        <w:t>‘At the nexus of health and development, river blindness served as a rallying point for many previously distant groups. What began as a top-down, vertical, disease-control programme has evolved into a bottom-up, integrated approach that couples strong regional coordination with the empowerment of local communities to address not only onchocerciasis but, potentially many other health problems…</w:t>
      </w:r>
      <w:r w:rsidR="00A541B2">
        <w:rPr>
          <w:rFonts w:cs="Calibri"/>
          <w:i/>
          <w:sz w:val="22"/>
          <w:szCs w:val="22"/>
        </w:rPr>
        <w:t xml:space="preserve"> </w:t>
      </w:r>
      <w:r w:rsidR="00472F39" w:rsidRPr="00D9152B">
        <w:rPr>
          <w:rFonts w:cs="Calibri"/>
          <w:i/>
          <w:sz w:val="22"/>
          <w:szCs w:val="22"/>
        </w:rPr>
        <w:t>APOC has extended this success with the help of Mectizan to include local communities not as passive beneficiaries but as powerful agents impacting some of their own health outcomes. This grassroots involvement, if</w:t>
      </w:r>
      <w:r w:rsidR="00A541B2">
        <w:rPr>
          <w:rFonts w:cs="Calibri"/>
          <w:i/>
          <w:sz w:val="22"/>
          <w:szCs w:val="22"/>
        </w:rPr>
        <w:t xml:space="preserve"> </w:t>
      </w:r>
      <w:r w:rsidR="00472F39" w:rsidRPr="00D9152B">
        <w:rPr>
          <w:rFonts w:cs="Calibri"/>
          <w:i/>
          <w:sz w:val="22"/>
          <w:szCs w:val="22"/>
        </w:rPr>
        <w:t>fully strengthened, would complete OCP’s transformation from an external programme to a fully African-owned and managed regionwide health system</w:t>
      </w:r>
      <w:r w:rsidR="00E20B5F" w:rsidRPr="00D9152B">
        <w:rPr>
          <w:rFonts w:cs="Calibri"/>
          <w:i/>
          <w:sz w:val="22"/>
          <w:szCs w:val="22"/>
        </w:rPr>
        <w:t xml:space="preserve"> </w:t>
      </w:r>
      <w:r w:rsidR="00472F39" w:rsidRPr="00D9152B">
        <w:rPr>
          <w:rFonts w:cs="Calibri"/>
          <w:i/>
          <w:sz w:val="22"/>
          <w:szCs w:val="22"/>
        </w:rPr>
        <w:t>…’</w:t>
      </w:r>
      <w:r w:rsidR="00472F39" w:rsidRPr="00D9152B">
        <w:rPr>
          <w:rStyle w:val="FootnoteReference"/>
          <w:rFonts w:ascii="Calibri" w:hAnsi="Calibri" w:cs="Calibri"/>
          <w:i/>
          <w:iCs w:val="0"/>
          <w:color w:val="000000"/>
          <w:sz w:val="22"/>
          <w:szCs w:val="22"/>
          <w:lang w:eastAsia="en-GB"/>
        </w:rPr>
        <w:footnoteReference w:id="781"/>
      </w:r>
    </w:p>
    <w:p w14:paraId="19C136D8" w14:textId="2FAFB665" w:rsidR="00472F39" w:rsidRPr="00D9152B" w:rsidRDefault="00DF13FD" w:rsidP="00A12E2E">
      <w:pPr>
        <w:spacing w:before="100" w:beforeAutospacing="1" w:after="100" w:afterAutospacing="1" w:line="360" w:lineRule="auto"/>
        <w:rPr>
          <w:rFonts w:ascii="Calibri" w:hAnsi="Calibri" w:cs="Calibri"/>
          <w:sz w:val="22"/>
          <w:szCs w:val="22"/>
        </w:rPr>
      </w:pPr>
      <w:r w:rsidRPr="00D9152B">
        <w:rPr>
          <w:rFonts w:ascii="Calibri" w:hAnsi="Calibri" w:cs="Calibri"/>
          <w:color w:val="000000"/>
          <w:sz w:val="22"/>
          <w:szCs w:val="22"/>
          <w:lang w:eastAsia="en-GB"/>
        </w:rPr>
        <w:t>This point – that vertical health programmes like the OCP can become horizontal or grassroots health programmes, under the right conditions – has been put forward persistently by the Bank and WHO. For instance, in 2002, a Bank publication wrote that the Mectizan Donation Programme is a ‘</w:t>
      </w:r>
      <w:r w:rsidR="00A80EA9" w:rsidRPr="00D9152B">
        <w:rPr>
          <w:rFonts w:ascii="Calibri" w:hAnsi="Calibri" w:cs="Calibri"/>
          <w:color w:val="000000"/>
          <w:sz w:val="22"/>
          <w:szCs w:val="22"/>
          <w:lang w:eastAsia="en-GB"/>
        </w:rPr>
        <w:t>successful</w:t>
      </w:r>
      <w:r w:rsidRPr="00D9152B">
        <w:rPr>
          <w:rFonts w:ascii="Calibri" w:hAnsi="Calibri" w:cs="Calibri"/>
          <w:color w:val="000000"/>
          <w:sz w:val="22"/>
          <w:szCs w:val="22"/>
          <w:lang w:eastAsia="en-GB"/>
        </w:rPr>
        <w:t xml:space="preserve"> paradigm for pharmaceutical programmes’ because of its ‘creation of a grass-roots, community-based, demand-driven “system” that forms the rudimentary basis for a functioning health care system’.</w:t>
      </w:r>
      <w:r w:rsidRPr="00D9152B">
        <w:rPr>
          <w:rStyle w:val="FootnoteReference"/>
          <w:rFonts w:ascii="Calibri" w:hAnsi="Calibri" w:cs="Calibri"/>
          <w:sz w:val="22"/>
          <w:szCs w:val="22"/>
        </w:rPr>
        <w:footnoteReference w:id="782"/>
      </w:r>
      <w:r w:rsidRPr="00D9152B">
        <w:rPr>
          <w:rFonts w:ascii="Calibri" w:hAnsi="Calibri" w:cs="Calibri"/>
          <w:color w:val="000000"/>
          <w:sz w:val="22"/>
          <w:szCs w:val="22"/>
          <w:lang w:eastAsia="en-GB"/>
        </w:rPr>
        <w:t xml:space="preserve"> The next year,</w:t>
      </w:r>
      <w:r w:rsidR="00472F39" w:rsidRPr="00D9152B">
        <w:rPr>
          <w:rFonts w:ascii="Calibri" w:hAnsi="Calibri" w:cs="Calibri"/>
          <w:sz w:val="22"/>
          <w:szCs w:val="22"/>
        </w:rPr>
        <w:t xml:space="preserve"> the WHO agreed that the OCP ‘leaves behind a health infrastructure with strengthened capacity for vector control and epidemiology, and national surveillance systems on the alert for new outbreaks’</w:t>
      </w:r>
      <w:r w:rsidR="00472F39" w:rsidRPr="00D9152B">
        <w:rPr>
          <w:rFonts w:ascii="Calibri" w:hAnsi="Calibri" w:cs="Calibri"/>
          <w:color w:val="000000"/>
          <w:sz w:val="22"/>
          <w:szCs w:val="22"/>
          <w:lang w:eastAsia="en-GB"/>
        </w:rPr>
        <w:t>.</w:t>
      </w:r>
      <w:r w:rsidR="00472F39" w:rsidRPr="00D9152B">
        <w:rPr>
          <w:rStyle w:val="FootnoteReference"/>
          <w:rFonts w:ascii="Calibri" w:hAnsi="Calibri" w:cs="Calibri"/>
          <w:color w:val="000000"/>
          <w:sz w:val="22"/>
          <w:szCs w:val="22"/>
          <w:lang w:eastAsia="en-GB"/>
        </w:rPr>
        <w:footnoteReference w:id="783"/>
      </w:r>
      <w:r w:rsidR="00472F39" w:rsidRPr="00D9152B">
        <w:rPr>
          <w:rFonts w:ascii="Calibri" w:hAnsi="Calibri" w:cs="Calibri"/>
          <w:color w:val="000000"/>
          <w:sz w:val="22"/>
          <w:szCs w:val="22"/>
          <w:lang w:eastAsia="en-GB"/>
        </w:rPr>
        <w:t xml:space="preserve"> </w:t>
      </w:r>
    </w:p>
    <w:p w14:paraId="7D1686F4" w14:textId="1CFD8B89" w:rsidR="00D922B6" w:rsidRPr="00D9152B" w:rsidRDefault="00472F39" w:rsidP="00A12E2E">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lastRenderedPageBreak/>
        <w:tab/>
      </w:r>
      <w:r w:rsidR="00A80EA9" w:rsidRPr="00D9152B">
        <w:rPr>
          <w:rFonts w:ascii="Calibri" w:hAnsi="Calibri" w:cs="Calibri"/>
          <w:sz w:val="22"/>
          <w:szCs w:val="22"/>
        </w:rPr>
        <w:t>Did</w:t>
      </w:r>
      <w:r w:rsidR="00DF13FD" w:rsidRPr="00D9152B">
        <w:rPr>
          <w:rFonts w:ascii="Calibri" w:hAnsi="Calibri" w:cs="Calibri"/>
          <w:sz w:val="22"/>
          <w:szCs w:val="22"/>
        </w:rPr>
        <w:t xml:space="preserve"> the OCP </w:t>
      </w:r>
      <w:r w:rsidR="009B0C41" w:rsidRPr="00D9152B">
        <w:rPr>
          <w:rFonts w:ascii="Calibri" w:hAnsi="Calibri" w:cs="Calibri"/>
          <w:sz w:val="22"/>
          <w:szCs w:val="22"/>
        </w:rPr>
        <w:t>actually</w:t>
      </w:r>
      <w:r w:rsidR="00DF13FD" w:rsidRPr="00D9152B">
        <w:rPr>
          <w:rFonts w:ascii="Calibri" w:hAnsi="Calibri" w:cs="Calibri"/>
          <w:sz w:val="22"/>
          <w:szCs w:val="22"/>
        </w:rPr>
        <w:t xml:space="preserve"> transition from a vertical to a horizontal disease control programme, and does it provide a model for how</w:t>
      </w:r>
      <w:r w:rsidR="00A80EA9" w:rsidRPr="00D9152B">
        <w:rPr>
          <w:rFonts w:ascii="Calibri" w:hAnsi="Calibri" w:cs="Calibri"/>
          <w:sz w:val="22"/>
          <w:szCs w:val="22"/>
        </w:rPr>
        <w:t xml:space="preserve"> similar </w:t>
      </w:r>
      <w:r w:rsidR="00484471" w:rsidRPr="00D9152B">
        <w:rPr>
          <w:rFonts w:ascii="Calibri" w:hAnsi="Calibri" w:cs="Calibri"/>
          <w:sz w:val="22"/>
          <w:szCs w:val="22"/>
        </w:rPr>
        <w:t xml:space="preserve">health </w:t>
      </w:r>
      <w:r w:rsidR="00A80EA9" w:rsidRPr="00D9152B">
        <w:rPr>
          <w:rFonts w:ascii="Calibri" w:hAnsi="Calibri" w:cs="Calibri"/>
          <w:sz w:val="22"/>
          <w:szCs w:val="22"/>
        </w:rPr>
        <w:t>programmes could</w:t>
      </w:r>
      <w:r w:rsidR="00DF13FD" w:rsidRPr="00D9152B">
        <w:rPr>
          <w:rFonts w:ascii="Calibri" w:hAnsi="Calibri" w:cs="Calibri"/>
          <w:sz w:val="22"/>
          <w:szCs w:val="22"/>
        </w:rPr>
        <w:t xml:space="preserve"> do so? </w:t>
      </w:r>
      <w:r w:rsidR="00186437" w:rsidRPr="00D9152B">
        <w:rPr>
          <w:rFonts w:ascii="Calibri" w:hAnsi="Calibri" w:cs="Calibri"/>
          <w:sz w:val="22"/>
          <w:szCs w:val="22"/>
        </w:rPr>
        <w:t xml:space="preserve">This chapter considers </w:t>
      </w:r>
      <w:r w:rsidR="00F857E3" w:rsidRPr="00D9152B">
        <w:rPr>
          <w:rFonts w:ascii="Calibri" w:hAnsi="Calibri" w:cs="Calibri"/>
          <w:sz w:val="22"/>
          <w:szCs w:val="22"/>
        </w:rPr>
        <w:t xml:space="preserve">how the OCP approached ‘devolution’, or planned for disease control and surveillance activities to be transferred to participating countries. In doing so, it explains how OCP stakeholders and Merck developed delivery techniques for ivermectin, and how the OCP envisioned </w:t>
      </w:r>
      <w:r w:rsidR="001F7E9D" w:rsidRPr="00D9152B">
        <w:rPr>
          <w:rFonts w:ascii="Calibri" w:hAnsi="Calibri" w:cs="Calibri"/>
          <w:sz w:val="22"/>
          <w:szCs w:val="22"/>
        </w:rPr>
        <w:t>that the programme would relate</w:t>
      </w:r>
      <w:r w:rsidR="00F857E3" w:rsidRPr="00D9152B">
        <w:rPr>
          <w:rFonts w:ascii="Calibri" w:hAnsi="Calibri" w:cs="Calibri"/>
          <w:sz w:val="22"/>
          <w:szCs w:val="22"/>
        </w:rPr>
        <w:t xml:space="preserve"> to wider PHC delivery.</w:t>
      </w:r>
    </w:p>
    <w:p w14:paraId="328C4F9E" w14:textId="50243EC0" w:rsidR="00D922B6" w:rsidRPr="00D9152B" w:rsidRDefault="00076FC2" w:rsidP="00656BE2">
      <w:pPr>
        <w:pStyle w:val="Heading2"/>
        <w:rPr>
          <w:rFonts w:ascii="Calibri" w:hAnsi="Calibri" w:cs="Calibri"/>
          <w:b/>
          <w:color w:val="000000" w:themeColor="text1"/>
          <w:sz w:val="26"/>
          <w:szCs w:val="26"/>
          <w:lang w:val="en-US"/>
        </w:rPr>
      </w:pPr>
      <w:bookmarkStart w:id="138" w:name="_Toc41505696"/>
      <w:r w:rsidRPr="00D9152B">
        <w:rPr>
          <w:rFonts w:ascii="Calibri" w:hAnsi="Calibri" w:cs="Calibri"/>
          <w:b/>
          <w:color w:val="000000" w:themeColor="text1"/>
          <w:sz w:val="26"/>
          <w:szCs w:val="26"/>
          <w:lang w:val="en-US"/>
        </w:rPr>
        <w:t>8</w:t>
      </w:r>
      <w:r w:rsidR="00D922B6" w:rsidRPr="00D9152B">
        <w:rPr>
          <w:rFonts w:ascii="Calibri" w:hAnsi="Calibri" w:cs="Calibri"/>
          <w:b/>
          <w:color w:val="000000" w:themeColor="text1"/>
          <w:sz w:val="26"/>
          <w:szCs w:val="26"/>
          <w:lang w:val="en-US"/>
        </w:rPr>
        <w:t>.</w:t>
      </w:r>
      <w:r w:rsidR="00677774" w:rsidRPr="00D9152B">
        <w:rPr>
          <w:rFonts w:ascii="Calibri" w:hAnsi="Calibri" w:cs="Calibri"/>
          <w:b/>
          <w:color w:val="000000" w:themeColor="text1"/>
          <w:sz w:val="26"/>
          <w:szCs w:val="26"/>
          <w:lang w:val="en-US"/>
        </w:rPr>
        <w:t>2</w:t>
      </w:r>
      <w:r w:rsidR="00D922B6" w:rsidRPr="00D9152B">
        <w:rPr>
          <w:rFonts w:ascii="Calibri" w:hAnsi="Calibri" w:cs="Calibri"/>
          <w:b/>
          <w:color w:val="000000" w:themeColor="text1"/>
          <w:sz w:val="26"/>
          <w:szCs w:val="26"/>
          <w:lang w:val="en-US"/>
        </w:rPr>
        <w:t xml:space="preserve">. </w:t>
      </w:r>
      <w:r w:rsidR="00D02B22" w:rsidRPr="00D9152B">
        <w:rPr>
          <w:rFonts w:ascii="Calibri" w:hAnsi="Calibri" w:cs="Calibri"/>
          <w:b/>
          <w:color w:val="000000" w:themeColor="text1"/>
          <w:sz w:val="26"/>
          <w:szCs w:val="26"/>
          <w:lang w:val="en-US"/>
        </w:rPr>
        <w:t>A vertical programme, in an inconvenient context</w:t>
      </w:r>
      <w:bookmarkEnd w:id="138"/>
    </w:p>
    <w:p w14:paraId="38F3B76D" w14:textId="53BEDA6F" w:rsidR="00DF13FD" w:rsidRPr="00D9152B" w:rsidRDefault="00DF13FD" w:rsidP="00A12E2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 OCP began as the epitome of a vertical health programme. As</w:t>
      </w:r>
      <w:r w:rsidR="00A80EA9" w:rsidRPr="00D9152B">
        <w:rPr>
          <w:rFonts w:ascii="Calibri" w:hAnsi="Calibri" w:cs="Calibri"/>
          <w:sz w:val="22"/>
          <w:szCs w:val="22"/>
        </w:rPr>
        <w:t xml:space="preserve"> described in Chapter</w:t>
      </w:r>
      <w:r w:rsidR="009B0C41" w:rsidRPr="00D9152B">
        <w:rPr>
          <w:rFonts w:ascii="Calibri" w:hAnsi="Calibri" w:cs="Calibri"/>
          <w:sz w:val="22"/>
          <w:szCs w:val="22"/>
        </w:rPr>
        <w:t>s</w:t>
      </w:r>
      <w:r w:rsidR="00A80EA9" w:rsidRPr="00D9152B">
        <w:rPr>
          <w:rFonts w:ascii="Calibri" w:hAnsi="Calibri" w:cs="Calibri"/>
          <w:sz w:val="22"/>
          <w:szCs w:val="22"/>
        </w:rPr>
        <w:t xml:space="preserve"> 1</w:t>
      </w:r>
      <w:r w:rsidR="009B0C41" w:rsidRPr="00D9152B">
        <w:rPr>
          <w:rFonts w:ascii="Calibri" w:hAnsi="Calibri" w:cs="Calibri"/>
          <w:sz w:val="22"/>
          <w:szCs w:val="22"/>
        </w:rPr>
        <w:t xml:space="preserve"> and 4</w:t>
      </w:r>
      <w:r w:rsidR="00A80EA9" w:rsidRPr="00D9152B">
        <w:rPr>
          <w:rFonts w:ascii="Calibri" w:hAnsi="Calibri" w:cs="Calibri"/>
          <w:sz w:val="22"/>
          <w:szCs w:val="22"/>
        </w:rPr>
        <w:t xml:space="preserve">, </w:t>
      </w:r>
      <w:r w:rsidR="009B0C41" w:rsidRPr="00D9152B">
        <w:rPr>
          <w:rFonts w:ascii="Calibri" w:hAnsi="Calibri" w:cs="Calibri"/>
          <w:sz w:val="22"/>
          <w:szCs w:val="22"/>
        </w:rPr>
        <w:t>it was initiated more</w:t>
      </w:r>
      <w:r w:rsidR="00A80EA9" w:rsidRPr="00D9152B">
        <w:rPr>
          <w:rFonts w:ascii="Calibri" w:hAnsi="Calibri" w:cs="Calibri"/>
          <w:sz w:val="22"/>
          <w:szCs w:val="22"/>
        </w:rPr>
        <w:t xml:space="preserve"> on the</w:t>
      </w:r>
      <w:r w:rsidRPr="00D9152B">
        <w:rPr>
          <w:rFonts w:ascii="Calibri" w:hAnsi="Calibri" w:cs="Calibri"/>
          <w:sz w:val="22"/>
          <w:szCs w:val="22"/>
        </w:rPr>
        <w:t xml:space="preserve"> interest of influential, Western leaders of major multilateral institutions, than the priority that West African ministries of health attached to river blindness. The OCP’s first director was French, it contracted a</w:t>
      </w:r>
      <w:r w:rsidR="00B27586" w:rsidRPr="00D9152B">
        <w:rPr>
          <w:rFonts w:ascii="Calibri" w:hAnsi="Calibri" w:cs="Calibri"/>
          <w:sz w:val="22"/>
          <w:szCs w:val="22"/>
        </w:rPr>
        <w:t>n</w:t>
      </w:r>
      <w:r w:rsidRPr="00D9152B">
        <w:rPr>
          <w:rFonts w:ascii="Calibri" w:hAnsi="Calibri" w:cs="Calibri"/>
          <w:sz w:val="22"/>
          <w:szCs w:val="22"/>
        </w:rPr>
        <w:t xml:space="preserve"> </w:t>
      </w:r>
      <w:r w:rsidR="00B27586" w:rsidRPr="00D9152B">
        <w:rPr>
          <w:rFonts w:ascii="Calibri" w:hAnsi="Calibri" w:cs="Calibri"/>
          <w:sz w:val="22"/>
          <w:szCs w:val="22"/>
        </w:rPr>
        <w:t>American</w:t>
      </w:r>
      <w:r w:rsidR="00C54B0C" w:rsidRPr="00D9152B">
        <w:rPr>
          <w:rFonts w:ascii="Calibri" w:hAnsi="Calibri" w:cs="Calibri"/>
          <w:sz w:val="22"/>
          <w:szCs w:val="22"/>
        </w:rPr>
        <w:t xml:space="preserve"> and then Canadian</w:t>
      </w:r>
      <w:r w:rsidRPr="00D9152B">
        <w:rPr>
          <w:rFonts w:ascii="Calibri" w:hAnsi="Calibri" w:cs="Calibri"/>
          <w:sz w:val="22"/>
          <w:szCs w:val="22"/>
        </w:rPr>
        <w:t xml:space="preserve"> helicopter company to spray insecticides (mostly purchased from United States companies) that were targeted at the vectors for a single disease, its powerful Steering Committee was initially led by men from North America and Europe, and its first vector control and epidemiological technical units were headed by scientists with previous colonial ties.</w:t>
      </w:r>
      <w:r w:rsidRPr="00D9152B">
        <w:rPr>
          <w:rStyle w:val="FootnoteReference"/>
          <w:rFonts w:ascii="Calibri" w:hAnsi="Calibri" w:cs="Calibri"/>
          <w:sz w:val="22"/>
          <w:szCs w:val="22"/>
        </w:rPr>
        <w:footnoteReference w:id="784"/>
      </w:r>
      <w:r w:rsidRPr="00D9152B">
        <w:rPr>
          <w:rFonts w:ascii="Calibri" w:hAnsi="Calibri" w:cs="Calibri"/>
          <w:sz w:val="22"/>
          <w:szCs w:val="22"/>
        </w:rPr>
        <w:t xml:space="preserve"> </w:t>
      </w:r>
    </w:p>
    <w:p w14:paraId="1B58B925" w14:textId="090D9C63" w:rsidR="00AC7848" w:rsidRPr="00D9152B" w:rsidRDefault="00AC7848" w:rsidP="00A12E2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These features made the OCP a contentious programme within the global health climate of the 1970s. Insecticide-based vector control programmes rose in the early 1940s,</w:t>
      </w:r>
      <w:r w:rsidRPr="00D9152B">
        <w:rPr>
          <w:rStyle w:val="FootnoteReference"/>
          <w:rFonts w:ascii="Calibri" w:hAnsi="Calibri" w:cs="Calibri"/>
          <w:sz w:val="22"/>
          <w:szCs w:val="22"/>
        </w:rPr>
        <w:footnoteReference w:id="785"/>
      </w:r>
      <w:r w:rsidRPr="00D9152B">
        <w:rPr>
          <w:rFonts w:ascii="Calibri" w:hAnsi="Calibri" w:cs="Calibri"/>
          <w:sz w:val="22"/>
          <w:szCs w:val="22"/>
        </w:rPr>
        <w:t xml:space="preserve"> and led to </w:t>
      </w:r>
      <w:r w:rsidR="00FB38C0" w:rsidRPr="00D9152B">
        <w:rPr>
          <w:rFonts w:ascii="Calibri" w:hAnsi="Calibri" w:cs="Calibri"/>
          <w:sz w:val="22"/>
          <w:szCs w:val="22"/>
        </w:rPr>
        <w:t xml:space="preserve">well-financed </w:t>
      </w:r>
      <w:r w:rsidR="009623F3" w:rsidRPr="00D9152B">
        <w:rPr>
          <w:rFonts w:ascii="Calibri" w:hAnsi="Calibri" w:cs="Calibri"/>
          <w:sz w:val="22"/>
          <w:szCs w:val="22"/>
        </w:rPr>
        <w:t>international</w:t>
      </w:r>
      <w:r w:rsidRPr="00D9152B">
        <w:rPr>
          <w:rFonts w:ascii="Calibri" w:hAnsi="Calibri" w:cs="Calibri"/>
          <w:sz w:val="22"/>
          <w:szCs w:val="22"/>
        </w:rPr>
        <w:t xml:space="preserve"> disease control programmes, including the Global Malaria Eradicati</w:t>
      </w:r>
      <w:r w:rsidR="00A80EA9" w:rsidRPr="00D9152B">
        <w:rPr>
          <w:rFonts w:ascii="Calibri" w:hAnsi="Calibri" w:cs="Calibri"/>
          <w:sz w:val="22"/>
          <w:szCs w:val="22"/>
        </w:rPr>
        <w:t>on Programme</w:t>
      </w:r>
      <w:r w:rsidRPr="00D9152B">
        <w:rPr>
          <w:rFonts w:ascii="Calibri" w:hAnsi="Calibri" w:cs="Calibri"/>
          <w:sz w:val="22"/>
          <w:szCs w:val="22"/>
        </w:rPr>
        <w:t xml:space="preserve"> </w:t>
      </w:r>
      <w:r w:rsidR="00A80EA9" w:rsidRPr="00D9152B">
        <w:rPr>
          <w:rFonts w:ascii="Calibri" w:hAnsi="Calibri" w:cs="Calibri"/>
          <w:sz w:val="22"/>
          <w:szCs w:val="22"/>
        </w:rPr>
        <w:t>(</w:t>
      </w:r>
      <w:r w:rsidRPr="00D9152B">
        <w:rPr>
          <w:rFonts w:ascii="Calibri" w:hAnsi="Calibri" w:cs="Calibri"/>
          <w:sz w:val="22"/>
          <w:szCs w:val="22"/>
        </w:rPr>
        <w:t>launched in 1955</w:t>
      </w:r>
      <w:r w:rsidR="00A80EA9" w:rsidRPr="00D9152B">
        <w:rPr>
          <w:rFonts w:ascii="Calibri" w:hAnsi="Calibri" w:cs="Calibri"/>
          <w:sz w:val="22"/>
          <w:szCs w:val="22"/>
        </w:rPr>
        <w:t>)</w:t>
      </w:r>
      <w:r w:rsidRPr="00D9152B">
        <w:rPr>
          <w:rFonts w:ascii="Calibri" w:hAnsi="Calibri" w:cs="Calibri"/>
          <w:sz w:val="22"/>
          <w:szCs w:val="22"/>
        </w:rPr>
        <w:t xml:space="preserve">. However, as Brown et al., Cueto, and Packard have argued, by the late 1960s the </w:t>
      </w:r>
      <w:r w:rsidR="004D2BA2" w:rsidRPr="00D9152B">
        <w:rPr>
          <w:rFonts w:ascii="Calibri" w:hAnsi="Calibri" w:cs="Calibri"/>
          <w:sz w:val="22"/>
          <w:szCs w:val="22"/>
        </w:rPr>
        <w:t xml:space="preserve">World Health Organization </w:t>
      </w:r>
      <w:r w:rsidR="009C05EE">
        <w:rPr>
          <w:rFonts w:ascii="Calibri" w:hAnsi="Calibri" w:cs="Calibri"/>
          <w:sz w:val="22"/>
          <w:szCs w:val="22"/>
        </w:rPr>
        <w:t>(</w:t>
      </w:r>
      <w:r w:rsidR="004D2BA2" w:rsidRPr="00D9152B">
        <w:rPr>
          <w:rFonts w:ascii="Calibri" w:hAnsi="Calibri" w:cs="Calibri"/>
          <w:sz w:val="22"/>
          <w:szCs w:val="22"/>
        </w:rPr>
        <w:t>WHO)</w:t>
      </w:r>
      <w:r w:rsidRPr="00D9152B">
        <w:rPr>
          <w:rFonts w:ascii="Calibri" w:hAnsi="Calibri" w:cs="Calibri"/>
          <w:sz w:val="22"/>
          <w:szCs w:val="22"/>
        </w:rPr>
        <w:t xml:space="preserve"> </w:t>
      </w:r>
      <w:r w:rsidRPr="00D9152B">
        <w:rPr>
          <w:rFonts w:ascii="Calibri" w:hAnsi="Calibri" w:cs="Calibri"/>
          <w:sz w:val="22"/>
          <w:szCs w:val="22"/>
        </w:rPr>
        <w:lastRenderedPageBreak/>
        <w:t>admitted that the malaria programme was fail</w:t>
      </w:r>
      <w:r w:rsidR="00A80EA9" w:rsidRPr="00D9152B">
        <w:rPr>
          <w:rFonts w:ascii="Calibri" w:hAnsi="Calibri" w:cs="Calibri"/>
          <w:sz w:val="22"/>
          <w:szCs w:val="22"/>
        </w:rPr>
        <w:t xml:space="preserve">ing. Major factors cited for this failure included </w:t>
      </w:r>
      <w:r w:rsidRPr="00D9152B">
        <w:rPr>
          <w:rFonts w:ascii="Calibri" w:hAnsi="Calibri" w:cs="Calibri"/>
          <w:sz w:val="22"/>
          <w:szCs w:val="22"/>
        </w:rPr>
        <w:t>the programme’s expatriate leadership, insecticide resistance, and a paucity of community involvement.</w:t>
      </w:r>
      <w:r w:rsidRPr="00D9152B">
        <w:rPr>
          <w:rStyle w:val="FootnoteReference"/>
          <w:rFonts w:ascii="Calibri" w:hAnsi="Calibri" w:cs="Calibri"/>
          <w:sz w:val="22"/>
          <w:szCs w:val="22"/>
        </w:rPr>
        <w:footnoteReference w:id="786"/>
      </w:r>
      <w:r w:rsidRPr="00D9152B">
        <w:rPr>
          <w:rFonts w:ascii="Calibri" w:hAnsi="Calibri" w:cs="Calibri"/>
          <w:sz w:val="22"/>
          <w:szCs w:val="22"/>
        </w:rPr>
        <w:t xml:space="preserve"> Cueto states that these ‘colossal and embarrassing failures’ caused the World Health Assembly to emphasize the need to develop rural health systems that integrated diseases</w:t>
      </w:r>
      <w:r w:rsidR="009623F3" w:rsidRPr="00D9152B">
        <w:rPr>
          <w:rFonts w:ascii="Calibri" w:hAnsi="Calibri" w:cs="Calibri"/>
          <w:sz w:val="22"/>
          <w:szCs w:val="22"/>
        </w:rPr>
        <w:t xml:space="preserve"> </w:t>
      </w:r>
      <w:r w:rsidRPr="00D9152B">
        <w:rPr>
          <w:rFonts w:ascii="Calibri" w:hAnsi="Calibri" w:cs="Calibri"/>
          <w:sz w:val="22"/>
          <w:szCs w:val="22"/>
        </w:rPr>
        <w:t>– rather than technology-heavy, top-down, disease-specific programmes – in 1969.</w:t>
      </w:r>
      <w:r w:rsidRPr="00D9152B">
        <w:rPr>
          <w:rStyle w:val="FootnoteReference"/>
          <w:rFonts w:ascii="Calibri" w:hAnsi="Calibri" w:cs="Calibri"/>
          <w:sz w:val="22"/>
          <w:szCs w:val="22"/>
        </w:rPr>
        <w:footnoteReference w:id="787"/>
      </w:r>
      <w:r w:rsidRPr="00D9152B">
        <w:rPr>
          <w:rFonts w:ascii="Calibri" w:hAnsi="Calibri" w:cs="Calibri"/>
          <w:sz w:val="22"/>
          <w:szCs w:val="22"/>
        </w:rPr>
        <w:t xml:space="preserve"> </w:t>
      </w:r>
    </w:p>
    <w:p w14:paraId="35C38FDE" w14:textId="1B17EF6A" w:rsidR="00AC7848" w:rsidRPr="00D9152B" w:rsidRDefault="00AC7848" w:rsidP="00A12E2E">
      <w:pPr>
        <w:spacing w:before="100" w:beforeAutospacing="1" w:after="100" w:afterAutospacing="1" w:line="360" w:lineRule="auto"/>
        <w:ind w:firstLine="720"/>
        <w:rPr>
          <w:rFonts w:ascii="Calibri" w:hAnsi="Calibri" w:cs="Calibri"/>
          <w:sz w:val="22"/>
          <w:szCs w:val="22"/>
        </w:rPr>
        <w:sectPr w:rsidR="00AC7848" w:rsidRPr="00D9152B" w:rsidSect="00E418AF">
          <w:footnotePr>
            <w:numRestart w:val="eachSect"/>
          </w:footnotePr>
          <w:pgSz w:w="11906" w:h="16838"/>
          <w:pgMar w:top="1134" w:right="1558" w:bottom="2268" w:left="2268" w:header="708" w:footer="708" w:gutter="0"/>
          <w:cols w:space="708"/>
          <w:docGrid w:linePitch="360"/>
        </w:sectPr>
      </w:pPr>
      <w:r w:rsidRPr="00D9152B">
        <w:rPr>
          <w:rFonts w:ascii="Calibri" w:hAnsi="Calibri" w:cs="Calibri"/>
          <w:sz w:val="22"/>
          <w:szCs w:val="22"/>
        </w:rPr>
        <w:t>While influential actors like the United States and Soviet Union remained interested in vertical interventio</w:t>
      </w:r>
      <w:r w:rsidR="00375950" w:rsidRPr="00D9152B">
        <w:rPr>
          <w:rFonts w:ascii="Calibri" w:hAnsi="Calibri" w:cs="Calibri"/>
          <w:sz w:val="22"/>
          <w:szCs w:val="22"/>
        </w:rPr>
        <w:t>ns in the late 1960s and 1970s (</w:t>
      </w:r>
      <w:r w:rsidR="00A80EA9" w:rsidRPr="00D9152B">
        <w:rPr>
          <w:rFonts w:ascii="Calibri" w:hAnsi="Calibri" w:cs="Calibri"/>
          <w:sz w:val="22"/>
          <w:szCs w:val="22"/>
        </w:rPr>
        <w:t>particularly</w:t>
      </w:r>
      <w:r w:rsidRPr="00D9152B">
        <w:rPr>
          <w:rFonts w:ascii="Calibri" w:hAnsi="Calibri" w:cs="Calibri"/>
          <w:sz w:val="22"/>
          <w:szCs w:val="22"/>
        </w:rPr>
        <w:t xml:space="preserve"> </w:t>
      </w:r>
      <w:r w:rsidR="009623F3" w:rsidRPr="00D9152B">
        <w:rPr>
          <w:rFonts w:ascii="Calibri" w:hAnsi="Calibri" w:cs="Calibri"/>
          <w:sz w:val="22"/>
          <w:szCs w:val="22"/>
        </w:rPr>
        <w:t>smallpox vaccination</w:t>
      </w:r>
      <w:r w:rsidR="00375950" w:rsidRPr="00D9152B">
        <w:rPr>
          <w:rFonts w:ascii="Calibri" w:hAnsi="Calibri" w:cs="Calibri"/>
          <w:sz w:val="22"/>
          <w:szCs w:val="22"/>
        </w:rPr>
        <w:t>)</w:t>
      </w:r>
      <w:r w:rsidRPr="00D9152B">
        <w:rPr>
          <w:rFonts w:ascii="Calibri" w:hAnsi="Calibri" w:cs="Calibri"/>
          <w:sz w:val="22"/>
          <w:szCs w:val="22"/>
        </w:rPr>
        <w:t xml:space="preserve">, WHO and </w:t>
      </w:r>
      <w:r w:rsidR="004D2BA2" w:rsidRPr="00D9152B">
        <w:rPr>
          <w:rFonts w:ascii="Calibri" w:hAnsi="Calibri" w:cs="Calibri"/>
          <w:sz w:val="22"/>
          <w:szCs w:val="22"/>
        </w:rPr>
        <w:t>United Nations Children’s Fund (</w:t>
      </w:r>
      <w:r w:rsidRPr="00D9152B">
        <w:rPr>
          <w:rFonts w:ascii="Calibri" w:hAnsi="Calibri" w:cs="Calibri"/>
          <w:sz w:val="22"/>
          <w:szCs w:val="22"/>
        </w:rPr>
        <w:t>UNICEF</w:t>
      </w:r>
      <w:r w:rsidR="004D2BA2" w:rsidRPr="00D9152B">
        <w:rPr>
          <w:rFonts w:ascii="Calibri" w:hAnsi="Calibri" w:cs="Calibri"/>
          <w:sz w:val="22"/>
          <w:szCs w:val="22"/>
        </w:rPr>
        <w:t>)</w:t>
      </w:r>
      <w:r w:rsidRPr="00D9152B">
        <w:rPr>
          <w:rFonts w:ascii="Calibri" w:hAnsi="Calibri" w:cs="Calibri"/>
          <w:sz w:val="22"/>
          <w:szCs w:val="22"/>
        </w:rPr>
        <w:t xml:space="preserve"> leadership increasingly prioritized the idea of social reform for health system strengthening in rural areas. Figure </w:t>
      </w:r>
      <w:r w:rsidR="00A541B2">
        <w:rPr>
          <w:rFonts w:ascii="Calibri" w:hAnsi="Calibri" w:cs="Calibri"/>
          <w:sz w:val="22"/>
          <w:szCs w:val="22"/>
        </w:rPr>
        <w:t>8.</w:t>
      </w:r>
      <w:r w:rsidRPr="00D9152B">
        <w:rPr>
          <w:rFonts w:ascii="Calibri" w:hAnsi="Calibri" w:cs="Calibri"/>
          <w:sz w:val="22"/>
          <w:szCs w:val="22"/>
        </w:rPr>
        <w:t xml:space="preserve">1 chronicles some of the major events that led to the </w:t>
      </w:r>
      <w:r w:rsidR="004D2BA2" w:rsidRPr="00D9152B">
        <w:rPr>
          <w:rFonts w:ascii="Calibri" w:hAnsi="Calibri" w:cs="Calibri"/>
          <w:sz w:val="22"/>
          <w:szCs w:val="22"/>
        </w:rPr>
        <w:t>PHC</w:t>
      </w:r>
      <w:r w:rsidRPr="00D9152B">
        <w:rPr>
          <w:rFonts w:ascii="Calibri" w:hAnsi="Calibri" w:cs="Calibri"/>
          <w:sz w:val="22"/>
          <w:szCs w:val="22"/>
        </w:rPr>
        <w:t xml:space="preserve"> agenda</w:t>
      </w:r>
      <w:r w:rsidR="009623F3" w:rsidRPr="00D9152B">
        <w:rPr>
          <w:rFonts w:ascii="Calibri" w:hAnsi="Calibri" w:cs="Calibri"/>
          <w:sz w:val="22"/>
          <w:szCs w:val="22"/>
        </w:rPr>
        <w:t xml:space="preserve"> in the 1970s</w:t>
      </w:r>
      <w:r w:rsidRPr="00D9152B">
        <w:rPr>
          <w:rFonts w:ascii="Calibri" w:hAnsi="Calibri" w:cs="Calibri"/>
          <w:sz w:val="22"/>
          <w:szCs w:val="22"/>
        </w:rPr>
        <w:t>. Interestingly, WHO Director General Halfdan Mahler’s embrace of the concept of ‘Health for All by the Year 2000’ occurred in 1975 – the same year that the OCP’s major insecticide spraying began. The Health for All initiative,</w:t>
      </w:r>
      <w:r w:rsidR="00E12758">
        <w:rPr>
          <w:rFonts w:ascii="Calibri" w:hAnsi="Calibri" w:cs="Calibri"/>
          <w:sz w:val="22"/>
          <w:szCs w:val="22"/>
        </w:rPr>
        <w:t xml:space="preserve"> espoused at the 1976 World Health Assembly and</w:t>
      </w:r>
      <w:r w:rsidRPr="00D9152B">
        <w:rPr>
          <w:rFonts w:ascii="Calibri" w:hAnsi="Calibri" w:cs="Calibri"/>
          <w:sz w:val="22"/>
          <w:szCs w:val="22"/>
        </w:rPr>
        <w:t xml:space="preserve"> formally put forward at the 1978 Alma-Ata convention, emphasized the socially-grounded disparities that were often neglected (or exacerbated) by vertical initiatives. It was centred on the idea of a multipurpose community health worker, who could emphasize disease prevention and collaborate with lay healers.</w:t>
      </w:r>
      <w:r w:rsidRPr="00D9152B">
        <w:rPr>
          <w:rStyle w:val="FootnoteReference"/>
          <w:rFonts w:ascii="Calibri" w:hAnsi="Calibri" w:cs="Calibri"/>
          <w:sz w:val="22"/>
          <w:szCs w:val="22"/>
        </w:rPr>
        <w:footnoteReference w:id="788"/>
      </w:r>
      <w:r w:rsidRPr="00D9152B">
        <w:rPr>
          <w:rFonts w:ascii="Calibri" w:hAnsi="Calibri" w:cs="Calibri"/>
          <w:sz w:val="22"/>
          <w:szCs w:val="22"/>
        </w:rPr>
        <w:t xml:space="preserve"> </w:t>
      </w:r>
      <w:r w:rsidRPr="00D9152B">
        <w:rPr>
          <w:rFonts w:ascii="Calibri" w:hAnsi="Calibri" w:cs="Calibri"/>
          <w:sz w:val="22"/>
          <w:szCs w:val="22"/>
        </w:rPr>
        <w:br w:type="page"/>
      </w:r>
    </w:p>
    <w:p w14:paraId="4BCDF1A3" w14:textId="150F2E8E" w:rsidR="009623F3" w:rsidRPr="00D9152B" w:rsidRDefault="002D3025" w:rsidP="00E3228C">
      <w:pPr>
        <w:jc w:val="both"/>
        <w:rPr>
          <w:rFonts w:ascii="Calibri" w:hAnsi="Calibri" w:cs="Calibri"/>
          <w:iCs/>
          <w:color w:val="808080" w:themeColor="background1" w:themeShade="80"/>
        </w:rPr>
      </w:pPr>
      <w:r w:rsidRPr="00D9152B">
        <w:rPr>
          <w:rFonts w:ascii="Calibri" w:hAnsi="Calibri" w:cs="Calibri"/>
          <w:noProof/>
          <w:lang w:eastAsia="en-GB"/>
        </w:rPr>
        <w:lastRenderedPageBreak/>
        <w:drawing>
          <wp:inline distT="0" distB="0" distL="0" distR="0" wp14:anchorId="58B25395" wp14:editId="117C57BC">
            <wp:extent cx="8820785" cy="4095590"/>
            <wp:effectExtent l="0" t="0" r="5715" b="0"/>
            <wp:docPr id="102" name="Chart 102" descr="Line chart that plots each project on the corresponding timeframe." title="Project Timeline"/>
            <wp:cNvGraphicFramePr/>
            <a:graphic xmlns:a="http://schemas.openxmlformats.org/drawingml/2006/main">
              <a:graphicData uri="http://schemas.openxmlformats.org/drawingml/2006/chart">
                <c:chart xmlns:c="http://schemas.openxmlformats.org/drawingml/2006/chart" xmlns:r="http://schemas.openxmlformats.org/officeDocument/2006/relationships" r:id="rId102"/>
              </a:graphicData>
            </a:graphic>
          </wp:inline>
        </w:drawing>
      </w:r>
    </w:p>
    <w:p w14:paraId="636BE53B" w14:textId="48373ED0" w:rsidR="00097746" w:rsidRPr="00D9152B" w:rsidRDefault="00AC7848" w:rsidP="00097746">
      <w:pPr>
        <w:jc w:val="both"/>
        <w:rPr>
          <w:rFonts w:ascii="Calibri" w:hAnsi="Calibri" w:cs="Calibri"/>
          <w:color w:val="7F7F7F" w:themeColor="text1" w:themeTint="80"/>
          <w:sz w:val="22"/>
          <w:szCs w:val="22"/>
        </w:rPr>
      </w:pPr>
      <w:r w:rsidRPr="00D9152B">
        <w:rPr>
          <w:rFonts w:ascii="Calibri" w:hAnsi="Calibri" w:cs="Calibri"/>
          <w:iCs/>
          <w:color w:val="808080" w:themeColor="background1" w:themeShade="80"/>
          <w:sz w:val="22"/>
          <w:szCs w:val="22"/>
        </w:rPr>
        <w:t xml:space="preserve">Figure </w:t>
      </w:r>
      <w:r w:rsidR="00A541B2">
        <w:rPr>
          <w:rFonts w:ascii="Calibri" w:hAnsi="Calibri" w:cs="Calibri"/>
          <w:iCs/>
          <w:color w:val="808080" w:themeColor="background1" w:themeShade="80"/>
          <w:sz w:val="22"/>
          <w:szCs w:val="22"/>
        </w:rPr>
        <w:t>8.</w:t>
      </w:r>
      <w:r w:rsidRPr="00D9152B">
        <w:rPr>
          <w:rFonts w:ascii="Calibri" w:hAnsi="Calibri" w:cs="Calibri"/>
          <w:iCs/>
          <w:color w:val="808080" w:themeColor="background1" w:themeShade="80"/>
          <w:sz w:val="22"/>
          <w:szCs w:val="22"/>
        </w:rPr>
        <w:t>1. K</w:t>
      </w:r>
      <w:r w:rsidR="00E3228C" w:rsidRPr="00D9152B">
        <w:rPr>
          <w:rFonts w:ascii="Calibri" w:hAnsi="Calibri" w:cs="Calibri"/>
          <w:iCs/>
          <w:color w:val="808080" w:themeColor="background1" w:themeShade="80"/>
          <w:sz w:val="22"/>
          <w:szCs w:val="22"/>
        </w:rPr>
        <w:t>ey events and contributors in</w:t>
      </w:r>
      <w:r w:rsidRPr="00D9152B">
        <w:rPr>
          <w:rFonts w:ascii="Calibri" w:hAnsi="Calibri" w:cs="Calibri"/>
          <w:iCs/>
          <w:color w:val="808080" w:themeColor="background1" w:themeShade="80"/>
          <w:sz w:val="22"/>
          <w:szCs w:val="22"/>
        </w:rPr>
        <w:t xml:space="preserve"> the de</w:t>
      </w:r>
      <w:r w:rsidR="00E558D2" w:rsidRPr="00D9152B">
        <w:rPr>
          <w:rFonts w:ascii="Calibri" w:hAnsi="Calibri" w:cs="Calibri"/>
          <w:iCs/>
          <w:color w:val="808080" w:themeColor="background1" w:themeShade="80"/>
          <w:sz w:val="22"/>
          <w:szCs w:val="22"/>
        </w:rPr>
        <w:t>velopment of the comprehensive</w:t>
      </w:r>
      <w:r w:rsidRPr="00D9152B">
        <w:rPr>
          <w:rFonts w:ascii="Calibri" w:hAnsi="Calibri" w:cs="Calibri"/>
          <w:iCs/>
          <w:color w:val="808080" w:themeColor="background1" w:themeShade="80"/>
          <w:sz w:val="22"/>
          <w:szCs w:val="22"/>
        </w:rPr>
        <w:t xml:space="preserve"> PHC and SPHC agenda</w:t>
      </w:r>
      <w:r w:rsidR="00B025D7" w:rsidRPr="00D9152B">
        <w:rPr>
          <w:rFonts w:ascii="Calibri" w:hAnsi="Calibri" w:cs="Calibri"/>
          <w:iCs/>
          <w:color w:val="808080" w:themeColor="background1" w:themeShade="80"/>
          <w:sz w:val="22"/>
          <w:szCs w:val="22"/>
        </w:rPr>
        <w:t>s.</w:t>
      </w:r>
      <w:r w:rsidR="00066932">
        <w:rPr>
          <w:rFonts w:ascii="Calibri" w:hAnsi="Calibri" w:cs="Calibri"/>
          <w:iCs/>
          <w:color w:val="808080" w:themeColor="background1" w:themeShade="80"/>
          <w:sz w:val="22"/>
          <w:szCs w:val="22"/>
        </w:rPr>
        <w:t xml:space="preserve"> This figure</w:t>
      </w:r>
      <w:r w:rsidR="00766A1F">
        <w:rPr>
          <w:rFonts w:ascii="Calibri" w:hAnsi="Calibri" w:cs="Calibri"/>
          <w:iCs/>
          <w:color w:val="808080" w:themeColor="background1" w:themeShade="80"/>
          <w:sz w:val="22"/>
          <w:szCs w:val="22"/>
        </w:rPr>
        <w:t xml:space="preserve"> primarily</w:t>
      </w:r>
      <w:r w:rsidR="00066932">
        <w:rPr>
          <w:rFonts w:ascii="Calibri" w:hAnsi="Calibri" w:cs="Calibri"/>
          <w:iCs/>
          <w:color w:val="808080" w:themeColor="background1" w:themeShade="80"/>
          <w:sz w:val="22"/>
          <w:szCs w:val="22"/>
        </w:rPr>
        <w:t xml:space="preserve"> focuses on </w:t>
      </w:r>
      <w:r w:rsidR="000B1DD5">
        <w:rPr>
          <w:rFonts w:ascii="Calibri" w:hAnsi="Calibri" w:cs="Calibri"/>
          <w:iCs/>
          <w:color w:val="808080" w:themeColor="background1" w:themeShade="80"/>
          <w:sz w:val="22"/>
          <w:szCs w:val="22"/>
        </w:rPr>
        <w:t>multilateral</w:t>
      </w:r>
      <w:r w:rsidR="00766A1F">
        <w:rPr>
          <w:rFonts w:ascii="Calibri" w:hAnsi="Calibri" w:cs="Calibri"/>
          <w:iCs/>
          <w:color w:val="808080" w:themeColor="background1" w:themeShade="80"/>
          <w:sz w:val="22"/>
          <w:szCs w:val="22"/>
        </w:rPr>
        <w:t>-initiated</w:t>
      </w:r>
      <w:r w:rsidR="000B1DD5">
        <w:rPr>
          <w:rFonts w:ascii="Calibri" w:hAnsi="Calibri" w:cs="Calibri"/>
          <w:iCs/>
          <w:color w:val="808080" w:themeColor="background1" w:themeShade="80"/>
          <w:sz w:val="22"/>
          <w:szCs w:val="22"/>
        </w:rPr>
        <w:t xml:space="preserve"> contributions to the agendas, and excludes some PHC innovations from the Global South, particularly Latin America, Asia, and China.</w:t>
      </w:r>
      <w:r w:rsidR="00803644" w:rsidRPr="00D9152B">
        <w:rPr>
          <w:rStyle w:val="FootnoteReference"/>
          <w:rFonts w:ascii="Calibri" w:hAnsi="Calibri" w:cs="Calibri"/>
          <w:iCs/>
          <w:color w:val="808080" w:themeColor="background1" w:themeShade="80"/>
        </w:rPr>
        <w:footnoteReference w:customMarkFollows="1" w:id="789"/>
        <w:t>9</w:t>
      </w:r>
      <w:r w:rsidR="00097746">
        <w:rPr>
          <w:rStyle w:val="FootnoteReference"/>
          <w:rFonts w:ascii="Calibri" w:hAnsi="Calibri" w:cs="Calibri"/>
          <w:iCs/>
          <w:color w:val="808080" w:themeColor="background1" w:themeShade="80"/>
        </w:rPr>
        <w:t xml:space="preserve"> </w:t>
      </w:r>
      <w:r w:rsidR="00097746" w:rsidRPr="00D9152B">
        <w:rPr>
          <w:rFonts w:ascii="Calibri" w:hAnsi="Calibri" w:cs="Calibri"/>
          <w:iCs/>
          <w:color w:val="7F7F7F" w:themeColor="text1" w:themeTint="80"/>
          <w:sz w:val="22"/>
          <w:szCs w:val="22"/>
        </w:rPr>
        <w:t xml:space="preserve">[WHA is the World Health Assembly; LMICs are low- and middle-income countries; GOBI-FFF is </w:t>
      </w:r>
      <w:r w:rsidR="00097746">
        <w:rPr>
          <w:rFonts w:ascii="Calibri" w:hAnsi="Calibri" w:cs="Calibri"/>
          <w:iCs/>
          <w:color w:val="7F7F7F" w:themeColor="text1" w:themeTint="80"/>
          <w:sz w:val="22"/>
          <w:szCs w:val="22"/>
        </w:rPr>
        <w:t>g</w:t>
      </w:r>
      <w:r w:rsidR="00097746" w:rsidRPr="00D9152B">
        <w:rPr>
          <w:rFonts w:ascii="Calibri" w:hAnsi="Calibri" w:cs="Calibri"/>
          <w:iCs/>
          <w:color w:val="7F7F7F" w:themeColor="text1" w:themeTint="80"/>
          <w:sz w:val="22"/>
          <w:szCs w:val="22"/>
        </w:rPr>
        <w:t>rowth monitoring, oral rehydration, breastfeeding, immunization</w:t>
      </w:r>
      <w:r w:rsidR="00097746">
        <w:rPr>
          <w:rFonts w:ascii="Calibri" w:hAnsi="Calibri" w:cs="Calibri"/>
          <w:iCs/>
          <w:color w:val="7F7F7F" w:themeColor="text1" w:themeTint="80"/>
          <w:sz w:val="22"/>
          <w:szCs w:val="22"/>
        </w:rPr>
        <w:t xml:space="preserve">, </w:t>
      </w:r>
      <w:r w:rsidR="00097746" w:rsidRPr="00D9152B">
        <w:rPr>
          <w:rFonts w:ascii="Calibri" w:hAnsi="Calibri" w:cs="Calibri"/>
          <w:iCs/>
          <w:color w:val="7F7F7F" w:themeColor="text1" w:themeTint="80"/>
          <w:sz w:val="22"/>
          <w:szCs w:val="22"/>
        </w:rPr>
        <w:t>female education, family spacing,</w:t>
      </w:r>
      <w:r w:rsidR="00097746">
        <w:rPr>
          <w:rFonts w:ascii="Calibri" w:hAnsi="Calibri" w:cs="Calibri"/>
          <w:iCs/>
          <w:color w:val="7F7F7F" w:themeColor="text1" w:themeTint="80"/>
          <w:sz w:val="22"/>
          <w:szCs w:val="22"/>
        </w:rPr>
        <w:t xml:space="preserve"> and</w:t>
      </w:r>
      <w:r w:rsidR="00097746" w:rsidRPr="00D9152B">
        <w:rPr>
          <w:rFonts w:ascii="Calibri" w:hAnsi="Calibri" w:cs="Calibri"/>
          <w:iCs/>
          <w:color w:val="7F7F7F" w:themeColor="text1" w:themeTint="80"/>
          <w:sz w:val="22"/>
          <w:szCs w:val="22"/>
        </w:rPr>
        <w:t xml:space="preserve"> food supplementation; SPHC is selective primary health care; and PAHO is the Pan American Health Organization.]</w:t>
      </w:r>
    </w:p>
    <w:p w14:paraId="361ECFE4" w14:textId="152DDA96" w:rsidR="00B025D7" w:rsidRPr="00D9152B" w:rsidRDefault="00B025D7" w:rsidP="00803644">
      <w:pPr>
        <w:ind w:right="-31"/>
        <w:jc w:val="both"/>
        <w:rPr>
          <w:rFonts w:ascii="Calibri" w:hAnsi="Calibri" w:cs="Calibri"/>
          <w:iCs/>
          <w:color w:val="808080" w:themeColor="background1" w:themeShade="80"/>
          <w:sz w:val="22"/>
          <w:szCs w:val="22"/>
        </w:rPr>
        <w:sectPr w:rsidR="00B025D7" w:rsidRPr="00D9152B" w:rsidSect="00B025D7">
          <w:headerReference w:type="default" r:id="rId103"/>
          <w:footerReference w:type="default" r:id="rId104"/>
          <w:footnotePr>
            <w:numRestart w:val="eachSect"/>
          </w:footnotePr>
          <w:type w:val="continuous"/>
          <w:pgSz w:w="16838" w:h="11906" w:orient="landscape"/>
          <w:pgMar w:top="1134" w:right="1387" w:bottom="2268" w:left="2268" w:header="709" w:footer="709" w:gutter="0"/>
          <w:cols w:space="708"/>
          <w:docGrid w:linePitch="360"/>
        </w:sectPr>
      </w:pPr>
    </w:p>
    <w:p w14:paraId="1E2855AB" w14:textId="6ABEFF3F" w:rsidR="00AC7848" w:rsidRPr="00D9152B" w:rsidRDefault="00AC7848" w:rsidP="00A12E2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lastRenderedPageBreak/>
        <w:t xml:space="preserve">Yet, as Figure </w:t>
      </w:r>
      <w:r w:rsidR="00A541B2">
        <w:rPr>
          <w:rFonts w:ascii="Calibri" w:hAnsi="Calibri" w:cs="Calibri"/>
          <w:sz w:val="22"/>
          <w:szCs w:val="22"/>
        </w:rPr>
        <w:t>8.</w:t>
      </w:r>
      <w:r w:rsidRPr="00D9152B">
        <w:rPr>
          <w:rFonts w:ascii="Calibri" w:hAnsi="Calibri" w:cs="Calibri"/>
          <w:sz w:val="22"/>
          <w:szCs w:val="22"/>
        </w:rPr>
        <w:t xml:space="preserve">1 further illustrates, the WHO was unable to sustain momentum behind comprehensive PHC in the 1980s. Just one year after the Alma-Ata convention, an initially subtle challenge arose to comprehensive PHC, from the Rockefeller Foundation, World Bank, </w:t>
      </w:r>
      <w:r w:rsidR="004D2BA2" w:rsidRPr="00D9152B">
        <w:rPr>
          <w:rFonts w:ascii="Calibri" w:hAnsi="Calibri" w:cs="Calibri"/>
          <w:sz w:val="22"/>
          <w:szCs w:val="22"/>
        </w:rPr>
        <w:t>United States Agency for International Development (USAID)</w:t>
      </w:r>
      <w:r w:rsidRPr="00D9152B">
        <w:rPr>
          <w:rFonts w:ascii="Calibri" w:hAnsi="Calibri" w:cs="Calibri"/>
          <w:sz w:val="22"/>
          <w:szCs w:val="22"/>
        </w:rPr>
        <w:t xml:space="preserve">, and new leadership of UNICEF. At the Rockefeller Foundation’s 1979 </w:t>
      </w:r>
      <w:r w:rsidR="0036015C" w:rsidRPr="00D9152B">
        <w:rPr>
          <w:rFonts w:ascii="Calibri" w:hAnsi="Calibri" w:cs="Calibri"/>
          <w:i/>
          <w:iCs/>
          <w:sz w:val="22"/>
          <w:szCs w:val="22"/>
        </w:rPr>
        <w:t>Health and population in d</w:t>
      </w:r>
      <w:r w:rsidRPr="00D9152B">
        <w:rPr>
          <w:rFonts w:ascii="Calibri" w:hAnsi="Calibri" w:cs="Calibri"/>
          <w:i/>
          <w:iCs/>
          <w:sz w:val="22"/>
          <w:szCs w:val="22"/>
        </w:rPr>
        <w:t xml:space="preserve">evelopment </w:t>
      </w:r>
      <w:r w:rsidRPr="00D9152B">
        <w:rPr>
          <w:rFonts w:ascii="Calibri" w:hAnsi="Calibri" w:cs="Calibri"/>
          <w:sz w:val="22"/>
          <w:szCs w:val="22"/>
        </w:rPr>
        <w:t>conference</w:t>
      </w:r>
      <w:r w:rsidR="00375950" w:rsidRPr="00D9152B">
        <w:rPr>
          <w:rFonts w:ascii="Calibri" w:hAnsi="Calibri" w:cs="Calibri"/>
          <w:sz w:val="22"/>
          <w:szCs w:val="22"/>
        </w:rPr>
        <w:t xml:space="preserve"> (which </w:t>
      </w:r>
      <w:r w:rsidR="004D2BA2" w:rsidRPr="00D9152B">
        <w:rPr>
          <w:rFonts w:ascii="Calibri" w:hAnsi="Calibri" w:cs="Calibri"/>
          <w:sz w:val="22"/>
          <w:szCs w:val="22"/>
        </w:rPr>
        <w:t xml:space="preserve">Bank President Robert </w:t>
      </w:r>
      <w:r w:rsidR="00375950" w:rsidRPr="00D9152B">
        <w:rPr>
          <w:rFonts w:ascii="Calibri" w:hAnsi="Calibri" w:cs="Calibri"/>
          <w:sz w:val="22"/>
          <w:szCs w:val="22"/>
        </w:rPr>
        <w:t>McNamara attended)</w:t>
      </w:r>
      <w:r w:rsidR="00097746">
        <w:rPr>
          <w:rFonts w:ascii="Calibri" w:hAnsi="Calibri" w:cs="Calibri"/>
          <w:sz w:val="22"/>
          <w:szCs w:val="22"/>
        </w:rPr>
        <w:t xml:space="preserve"> at the Bellagio </w:t>
      </w:r>
      <w:r w:rsidR="00766A1F">
        <w:rPr>
          <w:rFonts w:ascii="Calibri" w:hAnsi="Calibri" w:cs="Calibri"/>
          <w:sz w:val="22"/>
          <w:szCs w:val="22"/>
        </w:rPr>
        <w:t>Centre</w:t>
      </w:r>
      <w:r w:rsidRPr="00D9152B">
        <w:rPr>
          <w:rFonts w:ascii="Calibri" w:hAnsi="Calibri" w:cs="Calibri"/>
          <w:sz w:val="22"/>
          <w:szCs w:val="22"/>
        </w:rPr>
        <w:t xml:space="preserve">, Julia Walsh and Kenneth </w:t>
      </w:r>
      <w:r w:rsidR="00FB38C0" w:rsidRPr="00D9152B">
        <w:rPr>
          <w:rFonts w:ascii="Calibri" w:hAnsi="Calibri" w:cs="Calibri"/>
          <w:sz w:val="22"/>
          <w:szCs w:val="22"/>
        </w:rPr>
        <w:t>Warren put forward the idea of selective primary health care (SPHC), which emphasised</w:t>
      </w:r>
      <w:r w:rsidRPr="00D9152B">
        <w:rPr>
          <w:rFonts w:ascii="Calibri" w:hAnsi="Calibri" w:cs="Calibri"/>
          <w:sz w:val="22"/>
          <w:szCs w:val="22"/>
        </w:rPr>
        <w:t xml:space="preserve"> specific disease control activities to strengthen decentralized health systems. This strategy was presented as an interim way to address the shortfalls of comprehensive PHC, which lacked a clear funding, metrics, and prioritization scheme. </w:t>
      </w:r>
      <w:r w:rsidR="00097746">
        <w:rPr>
          <w:rFonts w:ascii="Calibri" w:hAnsi="Calibri" w:cs="Calibri"/>
          <w:sz w:val="22"/>
          <w:szCs w:val="22"/>
        </w:rPr>
        <w:t>Walsh, Warren, and various Bank actors had attempted to cost the Health for All agenda, and launched SPHC based on the conclusion that implementing more comprehensive PHC would be unaffordable.</w:t>
      </w:r>
      <w:r w:rsidR="00233532" w:rsidRPr="00D9152B">
        <w:rPr>
          <w:rStyle w:val="FootnoteReference"/>
          <w:rFonts w:ascii="Calibri" w:hAnsi="Calibri" w:cs="Calibri"/>
        </w:rPr>
        <w:footnoteReference w:customMarkFollows="1" w:id="790"/>
        <w:t>10</w:t>
      </w:r>
      <w:r w:rsidR="00097746">
        <w:rPr>
          <w:rFonts w:ascii="Calibri" w:hAnsi="Calibri" w:cs="Calibri"/>
          <w:sz w:val="22"/>
          <w:szCs w:val="22"/>
        </w:rPr>
        <w:t xml:space="preserve"> </w:t>
      </w:r>
      <w:r w:rsidRPr="00D9152B">
        <w:rPr>
          <w:rFonts w:ascii="Calibri" w:hAnsi="Calibri" w:cs="Calibri"/>
          <w:sz w:val="22"/>
          <w:szCs w:val="22"/>
        </w:rPr>
        <w:t>UNICEF’s new Executive Director, who began his post in 1979, was especially interested in the concept of SPHC, and three years later U</w:t>
      </w:r>
      <w:r w:rsidR="0036015C" w:rsidRPr="00D9152B">
        <w:rPr>
          <w:rFonts w:ascii="Calibri" w:hAnsi="Calibri" w:cs="Calibri"/>
          <w:sz w:val="22"/>
          <w:szCs w:val="22"/>
        </w:rPr>
        <w:t>NICEF launched its ‘Children’s r</w:t>
      </w:r>
      <w:r w:rsidRPr="00D9152B">
        <w:rPr>
          <w:rFonts w:ascii="Calibri" w:hAnsi="Calibri" w:cs="Calibri"/>
          <w:sz w:val="22"/>
          <w:szCs w:val="22"/>
        </w:rPr>
        <w:t xml:space="preserve">evolution’. This declaration presented SPHC as a package of low-cost interventions, which could be implemented with community ownership. With the rise of neoliberalism and structural adjustment (and the collapse of communism) during the 1980s, SPHC gained further </w:t>
      </w:r>
      <w:r w:rsidRPr="00681100">
        <w:rPr>
          <w:rFonts w:ascii="Calibri" w:hAnsi="Calibri" w:cs="Calibri"/>
          <w:sz w:val="22"/>
          <w:szCs w:val="22"/>
        </w:rPr>
        <w:t>traction.</w:t>
      </w:r>
      <w:r w:rsidR="00681100" w:rsidRPr="00CF189D">
        <w:rPr>
          <w:rStyle w:val="FootnoteReference"/>
          <w:rFonts w:ascii="Calibri" w:hAnsi="Calibri" w:cs="Calibri"/>
        </w:rPr>
        <w:footnoteReference w:customMarkFollows="1" w:id="791"/>
        <w:t>11</w:t>
      </w:r>
      <w:r w:rsidRPr="00681100">
        <w:rPr>
          <w:rFonts w:ascii="Calibri" w:hAnsi="Calibri" w:cs="Calibri"/>
          <w:sz w:val="22"/>
          <w:szCs w:val="22"/>
        </w:rPr>
        <w:t xml:space="preserve"> By</w:t>
      </w:r>
      <w:r w:rsidRPr="00D9152B">
        <w:rPr>
          <w:rFonts w:ascii="Calibri" w:hAnsi="Calibri" w:cs="Calibri"/>
          <w:sz w:val="22"/>
          <w:szCs w:val="22"/>
        </w:rPr>
        <w:t xml:space="preserve"> the late 1990s, the Pan American Health Organization (PAHO) admitted that PHC’s ‘Health for All’ goal would not be accomplished by 2000.</w:t>
      </w:r>
      <w:r w:rsidR="00803644" w:rsidRPr="00D9152B">
        <w:rPr>
          <w:rStyle w:val="FootnoteReference"/>
          <w:rFonts w:ascii="Calibri" w:hAnsi="Calibri" w:cs="Calibri"/>
        </w:rPr>
        <w:footnoteReference w:customMarkFollows="1" w:id="792"/>
        <w:t>12</w:t>
      </w:r>
    </w:p>
    <w:p w14:paraId="77E532A6" w14:textId="7DBC3828" w:rsidR="00AC7848" w:rsidRPr="00D9152B" w:rsidRDefault="00076FC2" w:rsidP="00656BE2">
      <w:pPr>
        <w:pStyle w:val="Heading2"/>
        <w:rPr>
          <w:rFonts w:ascii="Calibri" w:hAnsi="Calibri" w:cs="Calibri"/>
          <w:b/>
          <w:color w:val="000000" w:themeColor="text1"/>
          <w:sz w:val="26"/>
          <w:szCs w:val="26"/>
        </w:rPr>
      </w:pPr>
      <w:bookmarkStart w:id="139" w:name="_Toc41505697"/>
      <w:r w:rsidRPr="00D9152B">
        <w:rPr>
          <w:rFonts w:ascii="Calibri" w:hAnsi="Calibri" w:cs="Calibri"/>
          <w:b/>
          <w:color w:val="000000" w:themeColor="text1"/>
          <w:sz w:val="26"/>
          <w:szCs w:val="26"/>
        </w:rPr>
        <w:t>8</w:t>
      </w:r>
      <w:r w:rsidR="00D02B22" w:rsidRPr="00D9152B">
        <w:rPr>
          <w:rFonts w:ascii="Calibri" w:hAnsi="Calibri" w:cs="Calibri"/>
          <w:b/>
          <w:color w:val="000000" w:themeColor="text1"/>
          <w:sz w:val="26"/>
          <w:szCs w:val="26"/>
        </w:rPr>
        <w:t>.</w:t>
      </w:r>
      <w:r w:rsidR="00677774" w:rsidRPr="00D9152B">
        <w:rPr>
          <w:rFonts w:ascii="Calibri" w:hAnsi="Calibri" w:cs="Calibri"/>
          <w:b/>
          <w:color w:val="000000" w:themeColor="text1"/>
          <w:sz w:val="26"/>
          <w:szCs w:val="26"/>
        </w:rPr>
        <w:t>3</w:t>
      </w:r>
      <w:r w:rsidR="00D02B22" w:rsidRPr="00D9152B">
        <w:rPr>
          <w:rFonts w:ascii="Calibri" w:hAnsi="Calibri" w:cs="Calibri"/>
          <w:b/>
          <w:color w:val="000000" w:themeColor="text1"/>
          <w:sz w:val="26"/>
          <w:szCs w:val="26"/>
        </w:rPr>
        <w:t>. Broad confu</w:t>
      </w:r>
      <w:r w:rsidR="00646525" w:rsidRPr="00D9152B">
        <w:rPr>
          <w:rFonts w:ascii="Calibri" w:hAnsi="Calibri" w:cs="Calibri"/>
          <w:b/>
          <w:color w:val="000000" w:themeColor="text1"/>
          <w:sz w:val="26"/>
          <w:szCs w:val="26"/>
        </w:rPr>
        <w:t>sion over defining ‘devolution’</w:t>
      </w:r>
      <w:r w:rsidR="00D02B22" w:rsidRPr="00D9152B">
        <w:rPr>
          <w:rFonts w:ascii="Calibri" w:hAnsi="Calibri" w:cs="Calibri"/>
          <w:b/>
          <w:color w:val="000000" w:themeColor="text1"/>
          <w:sz w:val="26"/>
          <w:szCs w:val="26"/>
        </w:rPr>
        <w:t xml:space="preserve"> </w:t>
      </w:r>
      <w:r w:rsidR="00646525" w:rsidRPr="00D9152B">
        <w:rPr>
          <w:rFonts w:ascii="Calibri" w:hAnsi="Calibri" w:cs="Calibri"/>
          <w:b/>
          <w:color w:val="000000" w:themeColor="text1"/>
          <w:sz w:val="26"/>
          <w:szCs w:val="26"/>
        </w:rPr>
        <w:t xml:space="preserve">(c. </w:t>
      </w:r>
      <w:r w:rsidR="00D02B22" w:rsidRPr="00D9152B">
        <w:rPr>
          <w:rFonts w:ascii="Calibri" w:hAnsi="Calibri" w:cs="Calibri"/>
          <w:b/>
          <w:color w:val="000000" w:themeColor="text1"/>
          <w:sz w:val="26"/>
          <w:szCs w:val="26"/>
        </w:rPr>
        <w:t>197</w:t>
      </w:r>
      <w:r w:rsidR="00646525" w:rsidRPr="00D9152B">
        <w:rPr>
          <w:rFonts w:ascii="Calibri" w:hAnsi="Calibri" w:cs="Calibri"/>
          <w:b/>
          <w:color w:val="000000" w:themeColor="text1"/>
          <w:sz w:val="26"/>
          <w:szCs w:val="26"/>
        </w:rPr>
        <w:t>5</w:t>
      </w:r>
      <w:r w:rsidR="00D02B22" w:rsidRPr="00D9152B">
        <w:rPr>
          <w:rFonts w:ascii="Calibri" w:hAnsi="Calibri" w:cs="Calibri"/>
          <w:b/>
          <w:color w:val="000000" w:themeColor="text1"/>
          <w:sz w:val="26"/>
          <w:szCs w:val="26"/>
        </w:rPr>
        <w:t>-1981</w:t>
      </w:r>
      <w:r w:rsidR="00646525" w:rsidRPr="00D9152B">
        <w:rPr>
          <w:rFonts w:ascii="Calibri" w:hAnsi="Calibri" w:cs="Calibri"/>
          <w:b/>
          <w:color w:val="000000" w:themeColor="text1"/>
          <w:sz w:val="26"/>
          <w:szCs w:val="26"/>
        </w:rPr>
        <w:t>)</w:t>
      </w:r>
      <w:bookmarkEnd w:id="139"/>
    </w:p>
    <w:p w14:paraId="20CDCD13" w14:textId="369EAC57" w:rsidR="00AC7848" w:rsidRPr="00D9152B" w:rsidRDefault="00646525" w:rsidP="00A12E2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When the OCP was launched in 1975, its U</w:t>
      </w:r>
      <w:r w:rsidR="004D2BA2" w:rsidRPr="00D9152B">
        <w:rPr>
          <w:rFonts w:ascii="Calibri" w:hAnsi="Calibri" w:cs="Calibri"/>
          <w:sz w:val="22"/>
          <w:szCs w:val="22"/>
        </w:rPr>
        <w:t>nited Nations (UN)</w:t>
      </w:r>
      <w:r w:rsidRPr="00D9152B">
        <w:rPr>
          <w:rFonts w:ascii="Calibri" w:hAnsi="Calibri" w:cs="Calibri"/>
          <w:sz w:val="22"/>
          <w:szCs w:val="22"/>
        </w:rPr>
        <w:t xml:space="preserve"> sponsoring agencies and the Bank therefore agreed </w:t>
      </w:r>
      <w:r w:rsidR="00FB38C0" w:rsidRPr="00D9152B">
        <w:rPr>
          <w:rFonts w:ascii="Calibri" w:hAnsi="Calibri" w:cs="Calibri"/>
          <w:sz w:val="22"/>
          <w:szCs w:val="22"/>
        </w:rPr>
        <w:t xml:space="preserve">for political reasons </w:t>
      </w:r>
      <w:r w:rsidRPr="00D9152B">
        <w:rPr>
          <w:rFonts w:ascii="Calibri" w:hAnsi="Calibri" w:cs="Calibri"/>
          <w:sz w:val="22"/>
          <w:szCs w:val="22"/>
        </w:rPr>
        <w:t xml:space="preserve">that </w:t>
      </w:r>
      <w:r w:rsidR="00FB38C0" w:rsidRPr="00D9152B">
        <w:rPr>
          <w:rFonts w:ascii="Calibri" w:hAnsi="Calibri" w:cs="Calibri"/>
          <w:sz w:val="22"/>
          <w:szCs w:val="22"/>
        </w:rPr>
        <w:t>the programme’s</w:t>
      </w:r>
      <w:r w:rsidRPr="00D9152B">
        <w:rPr>
          <w:rFonts w:ascii="Calibri" w:hAnsi="Calibri" w:cs="Calibri"/>
          <w:sz w:val="22"/>
          <w:szCs w:val="22"/>
        </w:rPr>
        <w:t xml:space="preserve"> initial structure – which was likened to ‘</w:t>
      </w:r>
      <w:r w:rsidR="00AC7848" w:rsidRPr="00D9152B">
        <w:rPr>
          <w:rFonts w:ascii="Calibri" w:hAnsi="Calibri" w:cs="Calibri"/>
          <w:sz w:val="22"/>
          <w:szCs w:val="22"/>
        </w:rPr>
        <w:t xml:space="preserve">a military operation’ for </w:t>
      </w:r>
      <w:r w:rsidRPr="00D9152B">
        <w:rPr>
          <w:rFonts w:ascii="Calibri" w:hAnsi="Calibri" w:cs="Calibri"/>
          <w:sz w:val="22"/>
          <w:szCs w:val="22"/>
        </w:rPr>
        <w:t>aerial spraying of insecticides</w:t>
      </w:r>
      <w:r w:rsidR="00803644" w:rsidRPr="00D9152B">
        <w:rPr>
          <w:rStyle w:val="FootnoteReference"/>
          <w:rFonts w:ascii="Calibri" w:hAnsi="Calibri" w:cs="Calibri"/>
        </w:rPr>
        <w:footnoteReference w:customMarkFollows="1" w:id="793"/>
        <w:t>13</w:t>
      </w:r>
      <w:r w:rsidR="00AC7848" w:rsidRPr="00D9152B">
        <w:rPr>
          <w:rFonts w:ascii="Calibri" w:hAnsi="Calibri" w:cs="Calibri"/>
          <w:sz w:val="22"/>
          <w:szCs w:val="22"/>
        </w:rPr>
        <w:t xml:space="preserve"> </w:t>
      </w:r>
      <w:r w:rsidRPr="00D9152B">
        <w:rPr>
          <w:rFonts w:ascii="Calibri" w:hAnsi="Calibri" w:cs="Calibri"/>
          <w:sz w:val="22"/>
          <w:szCs w:val="22"/>
        </w:rPr>
        <w:t xml:space="preserve">– would be </w:t>
      </w:r>
      <w:r w:rsidRPr="00D9152B">
        <w:rPr>
          <w:rFonts w:ascii="Calibri" w:hAnsi="Calibri" w:cs="Calibri"/>
          <w:sz w:val="22"/>
          <w:szCs w:val="22"/>
        </w:rPr>
        <w:lastRenderedPageBreak/>
        <w:t xml:space="preserve">temporary. However, sponsoring agencies and donor countries </w:t>
      </w:r>
      <w:r w:rsidR="00AC7848" w:rsidRPr="00D9152B">
        <w:rPr>
          <w:rFonts w:ascii="Calibri" w:hAnsi="Calibri" w:cs="Calibri"/>
          <w:sz w:val="22"/>
          <w:szCs w:val="22"/>
        </w:rPr>
        <w:t xml:space="preserve">had different ideas about when the ‘military’ should be disbanded and what surveillance and control activities would have to be taken over by participating countries. For instance, a United Kingdom expert felt that the programme would have to rely heavily on expatriate staff for most technical posts, and favoured the OCP scheme </w:t>
      </w:r>
      <w:r w:rsidR="00AC7848" w:rsidRPr="00D9152B">
        <w:rPr>
          <w:rFonts w:ascii="Calibri" w:hAnsi="Calibri" w:cs="Calibri"/>
          <w:i/>
          <w:iCs/>
          <w:sz w:val="22"/>
          <w:szCs w:val="22"/>
        </w:rPr>
        <w:t xml:space="preserve">because </w:t>
      </w:r>
      <w:r w:rsidR="00AC7848" w:rsidRPr="00D9152B">
        <w:rPr>
          <w:rFonts w:ascii="Calibri" w:hAnsi="Calibri" w:cs="Calibri"/>
          <w:sz w:val="22"/>
          <w:szCs w:val="22"/>
        </w:rPr>
        <w:t xml:space="preserve">it would require limited local involvement in delivery. On the other hand, Canadian representatives </w:t>
      </w:r>
      <w:r w:rsidR="00375950" w:rsidRPr="00D9152B">
        <w:rPr>
          <w:rFonts w:ascii="Calibri" w:hAnsi="Calibri" w:cs="Calibri"/>
          <w:sz w:val="22"/>
          <w:szCs w:val="22"/>
        </w:rPr>
        <w:t>suggested</w:t>
      </w:r>
      <w:r w:rsidR="00AC7848" w:rsidRPr="00D9152B">
        <w:rPr>
          <w:rFonts w:ascii="Calibri" w:hAnsi="Calibri" w:cs="Calibri"/>
          <w:sz w:val="22"/>
          <w:szCs w:val="22"/>
        </w:rPr>
        <w:t xml:space="preserve"> </w:t>
      </w:r>
      <w:r w:rsidR="00375950" w:rsidRPr="00D9152B">
        <w:rPr>
          <w:rFonts w:ascii="Calibri" w:hAnsi="Calibri" w:cs="Calibri"/>
          <w:sz w:val="22"/>
          <w:szCs w:val="22"/>
        </w:rPr>
        <w:t>that</w:t>
      </w:r>
      <w:r w:rsidR="00AC7848" w:rsidRPr="00D9152B">
        <w:rPr>
          <w:rFonts w:ascii="Calibri" w:hAnsi="Calibri" w:cs="Calibri"/>
          <w:sz w:val="22"/>
          <w:szCs w:val="22"/>
        </w:rPr>
        <w:t xml:space="preserve"> African personnel </w:t>
      </w:r>
      <w:r w:rsidR="00375950" w:rsidRPr="00D9152B">
        <w:rPr>
          <w:rFonts w:ascii="Calibri" w:hAnsi="Calibri" w:cs="Calibri"/>
          <w:sz w:val="22"/>
          <w:szCs w:val="22"/>
        </w:rPr>
        <w:t xml:space="preserve">be trained </w:t>
      </w:r>
      <w:r w:rsidR="00AC7848" w:rsidRPr="00D9152B">
        <w:rPr>
          <w:rFonts w:ascii="Calibri" w:hAnsi="Calibri" w:cs="Calibri"/>
          <w:sz w:val="22"/>
          <w:szCs w:val="22"/>
        </w:rPr>
        <w:t>to take over programme responsibilities as soon as possible. Malian and Ghanaian ministry of health representatives agreed that the programme should begin training national manpower in vector control and administration immediately, with a view towards supporting wider health system strengthening.</w:t>
      </w:r>
      <w:r w:rsidR="00803644" w:rsidRPr="00D9152B">
        <w:rPr>
          <w:rStyle w:val="FootnoteReference"/>
          <w:rFonts w:ascii="Calibri" w:hAnsi="Calibri" w:cs="Calibri"/>
        </w:rPr>
        <w:footnoteReference w:customMarkFollows="1" w:id="794"/>
        <w:t>14</w:t>
      </w:r>
      <w:r w:rsidR="00AC7848" w:rsidRPr="00D9152B">
        <w:rPr>
          <w:rFonts w:ascii="Calibri" w:hAnsi="Calibri" w:cs="Calibri"/>
          <w:sz w:val="22"/>
          <w:szCs w:val="22"/>
        </w:rPr>
        <w:t xml:space="preserve"> And, the </w:t>
      </w:r>
      <w:r w:rsidR="00A541B2">
        <w:rPr>
          <w:rFonts w:ascii="Calibri" w:hAnsi="Calibri" w:cs="Calibri"/>
          <w:sz w:val="22"/>
          <w:szCs w:val="22"/>
        </w:rPr>
        <w:t>Food and Agriculture Organization (FAO)</w:t>
      </w:r>
      <w:r w:rsidR="00AC7848" w:rsidRPr="00D9152B">
        <w:rPr>
          <w:rFonts w:ascii="Calibri" w:hAnsi="Calibri" w:cs="Calibri"/>
          <w:sz w:val="22"/>
          <w:szCs w:val="22"/>
        </w:rPr>
        <w:t xml:space="preserve"> worried about both how the vertical nature of the programme would relate to the control of co-endemic diseases and how maintenance activities would be financed. It c</w:t>
      </w:r>
      <w:r w:rsidRPr="00D9152B">
        <w:rPr>
          <w:rFonts w:ascii="Calibri" w:hAnsi="Calibri" w:cs="Calibri"/>
          <w:sz w:val="22"/>
          <w:szCs w:val="22"/>
        </w:rPr>
        <w:t xml:space="preserve">autioned that approximately 70 percent </w:t>
      </w:r>
      <w:r w:rsidR="00AC7848" w:rsidRPr="00D9152B">
        <w:rPr>
          <w:rFonts w:ascii="Calibri" w:hAnsi="Calibri" w:cs="Calibri"/>
          <w:sz w:val="22"/>
          <w:szCs w:val="22"/>
        </w:rPr>
        <w:t>of the cattle in the OCP area were at risk for trypanosomiasis, and that,</w:t>
      </w:r>
    </w:p>
    <w:p w14:paraId="12411C9C" w14:textId="7E48DB99" w:rsidR="00AC7848" w:rsidRPr="00D9152B" w:rsidRDefault="00AC7848" w:rsidP="000F248B">
      <w:pPr>
        <w:pStyle w:val="Quote"/>
        <w:ind w:left="862" w:right="862"/>
        <w:rPr>
          <w:rFonts w:cs="Calibri"/>
          <w:i/>
          <w:sz w:val="22"/>
          <w:szCs w:val="22"/>
        </w:rPr>
      </w:pPr>
      <w:r w:rsidRPr="00D9152B">
        <w:rPr>
          <w:rFonts w:cs="Calibri"/>
          <w:i/>
          <w:sz w:val="22"/>
          <w:szCs w:val="22"/>
        </w:rPr>
        <w:t>‘This very vague attitude to one of the most important aspects of the whole project [integrating control of onchocerciasis with other endemic diseases] is disturbing. It is airily believed that the recipient countries, without knowing the cost will automatically agree to cover it and if it comes to more than they can afford the money will be found “from somewhere” no doubt the donor count</w:t>
      </w:r>
      <w:r w:rsidR="0036015C" w:rsidRPr="00D9152B">
        <w:rPr>
          <w:rFonts w:cs="Calibri"/>
          <w:i/>
          <w:sz w:val="22"/>
          <w:szCs w:val="22"/>
        </w:rPr>
        <w:t>ries and international agencies</w:t>
      </w:r>
      <w:r w:rsidRPr="00D9152B">
        <w:rPr>
          <w:rFonts w:cs="Calibri"/>
          <w:i/>
          <w:sz w:val="22"/>
          <w:szCs w:val="22"/>
        </w:rPr>
        <w:t>.</w:t>
      </w:r>
      <w:r w:rsidR="0036015C" w:rsidRPr="00D9152B">
        <w:rPr>
          <w:rFonts w:cs="Calibri"/>
          <w:i/>
          <w:sz w:val="22"/>
          <w:szCs w:val="22"/>
        </w:rPr>
        <w:t>’</w:t>
      </w:r>
      <w:r w:rsidR="00803644" w:rsidRPr="00D9152B">
        <w:rPr>
          <w:rStyle w:val="FootnoteReference"/>
          <w:rFonts w:ascii="Calibri" w:hAnsi="Calibri" w:cs="Calibri"/>
          <w:i/>
        </w:rPr>
        <w:footnoteReference w:customMarkFollows="1" w:id="795"/>
        <w:t>15</w:t>
      </w:r>
      <w:r w:rsidRPr="00D9152B">
        <w:rPr>
          <w:rFonts w:cs="Calibri"/>
          <w:i/>
          <w:sz w:val="22"/>
          <w:szCs w:val="22"/>
        </w:rPr>
        <w:t xml:space="preserve"> </w:t>
      </w:r>
    </w:p>
    <w:p w14:paraId="1D7D9D24" w14:textId="626FAEFF" w:rsidR="00AC7848" w:rsidRPr="00D9152B" w:rsidRDefault="00AC7848" w:rsidP="00A12E2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These </w:t>
      </w:r>
      <w:r w:rsidR="0036015C" w:rsidRPr="00D9152B">
        <w:rPr>
          <w:rFonts w:ascii="Calibri" w:hAnsi="Calibri" w:cs="Calibri"/>
          <w:sz w:val="22"/>
          <w:szCs w:val="22"/>
        </w:rPr>
        <w:t xml:space="preserve">differences in perspective </w:t>
      </w:r>
      <w:r w:rsidR="00375950" w:rsidRPr="00D9152B">
        <w:rPr>
          <w:rFonts w:ascii="Calibri" w:hAnsi="Calibri" w:cs="Calibri"/>
          <w:sz w:val="22"/>
          <w:szCs w:val="22"/>
        </w:rPr>
        <w:t xml:space="preserve">– and sponsoring agencies’ interest in quickly consolidating a </w:t>
      </w:r>
      <w:r w:rsidR="0036015C" w:rsidRPr="00D9152B">
        <w:rPr>
          <w:rFonts w:ascii="Calibri" w:hAnsi="Calibri" w:cs="Calibri"/>
          <w:sz w:val="22"/>
          <w:szCs w:val="22"/>
        </w:rPr>
        <w:t xml:space="preserve">donor coalition </w:t>
      </w:r>
      <w:r w:rsidR="00375950" w:rsidRPr="00D9152B">
        <w:rPr>
          <w:rFonts w:ascii="Calibri" w:hAnsi="Calibri" w:cs="Calibri"/>
          <w:sz w:val="22"/>
          <w:szCs w:val="22"/>
        </w:rPr>
        <w:t>– meant that ‘devolution’ was poorly defined during the first phase of the programme</w:t>
      </w:r>
      <w:r w:rsidRPr="00D9152B">
        <w:rPr>
          <w:rFonts w:ascii="Calibri" w:hAnsi="Calibri" w:cs="Calibri"/>
          <w:sz w:val="22"/>
          <w:szCs w:val="22"/>
        </w:rPr>
        <w:t>.</w:t>
      </w:r>
      <w:r w:rsidR="00803644" w:rsidRPr="00D9152B">
        <w:rPr>
          <w:rStyle w:val="FootnoteReference"/>
          <w:rFonts w:ascii="Calibri" w:hAnsi="Calibri" w:cs="Calibri"/>
        </w:rPr>
        <w:footnoteReference w:customMarkFollows="1" w:id="796"/>
        <w:t>16</w:t>
      </w:r>
      <w:r w:rsidRPr="00D9152B">
        <w:rPr>
          <w:rFonts w:ascii="Calibri" w:hAnsi="Calibri" w:cs="Calibri"/>
          <w:sz w:val="22"/>
          <w:szCs w:val="22"/>
        </w:rPr>
        <w:t xml:space="preserve"> While the</w:t>
      </w:r>
      <w:r w:rsidR="000F248B" w:rsidRPr="00D9152B">
        <w:rPr>
          <w:rFonts w:ascii="Calibri" w:hAnsi="Calibri" w:cs="Calibri"/>
          <w:sz w:val="22"/>
          <w:szCs w:val="22"/>
        </w:rPr>
        <w:t xml:space="preserve"> OCP</w:t>
      </w:r>
      <w:r w:rsidRPr="00D9152B">
        <w:rPr>
          <w:rFonts w:ascii="Calibri" w:hAnsi="Calibri" w:cs="Calibri"/>
          <w:sz w:val="22"/>
          <w:szCs w:val="22"/>
        </w:rPr>
        <w:t xml:space="preserve"> </w:t>
      </w:r>
      <w:r w:rsidR="00803644" w:rsidRPr="00D9152B">
        <w:rPr>
          <w:rFonts w:ascii="Calibri" w:hAnsi="Calibri" w:cs="Calibri"/>
          <w:sz w:val="22"/>
          <w:szCs w:val="22"/>
        </w:rPr>
        <w:t>P</w:t>
      </w:r>
      <w:r w:rsidRPr="00D9152B">
        <w:rPr>
          <w:rFonts w:ascii="Calibri" w:hAnsi="Calibri" w:cs="Calibri"/>
          <w:sz w:val="22"/>
          <w:szCs w:val="22"/>
        </w:rPr>
        <w:t xml:space="preserve">reparatory </w:t>
      </w:r>
      <w:r w:rsidR="00803644" w:rsidRPr="00D9152B">
        <w:rPr>
          <w:rFonts w:ascii="Calibri" w:hAnsi="Calibri" w:cs="Calibri"/>
          <w:sz w:val="22"/>
          <w:szCs w:val="22"/>
        </w:rPr>
        <w:t>M</w:t>
      </w:r>
      <w:r w:rsidRPr="00D9152B">
        <w:rPr>
          <w:rFonts w:ascii="Calibri" w:hAnsi="Calibri" w:cs="Calibri"/>
          <w:sz w:val="22"/>
          <w:szCs w:val="22"/>
        </w:rPr>
        <w:t>ission (PAG</w:t>
      </w:r>
      <w:r w:rsidR="000F248B" w:rsidRPr="00D9152B">
        <w:rPr>
          <w:rFonts w:ascii="Calibri" w:hAnsi="Calibri" w:cs="Calibri"/>
          <w:sz w:val="22"/>
          <w:szCs w:val="22"/>
        </w:rPr>
        <w:t xml:space="preserve"> report</w:t>
      </w:r>
      <w:r w:rsidRPr="00D9152B">
        <w:rPr>
          <w:rFonts w:ascii="Calibri" w:hAnsi="Calibri" w:cs="Calibri"/>
          <w:sz w:val="22"/>
          <w:szCs w:val="22"/>
        </w:rPr>
        <w:t>)</w:t>
      </w:r>
      <w:r w:rsidR="00803644" w:rsidRPr="00D9152B">
        <w:rPr>
          <w:rStyle w:val="FootnoteReference"/>
          <w:rFonts w:ascii="Calibri" w:hAnsi="Calibri" w:cs="Calibri"/>
        </w:rPr>
        <w:footnoteReference w:customMarkFollows="1" w:id="797"/>
        <w:t>17</w:t>
      </w:r>
      <w:r w:rsidRPr="00D9152B">
        <w:rPr>
          <w:rFonts w:ascii="Calibri" w:hAnsi="Calibri" w:cs="Calibri"/>
          <w:sz w:val="22"/>
          <w:szCs w:val="22"/>
        </w:rPr>
        <w:t xml:space="preserve"> pointed out that national staff would have to be trained to gradually take over responsibility for the programme, it did not provide a specific plan for </w:t>
      </w:r>
      <w:r w:rsidRPr="00D9152B">
        <w:rPr>
          <w:rFonts w:ascii="Calibri" w:hAnsi="Calibri" w:cs="Calibri"/>
          <w:i/>
          <w:sz w:val="22"/>
          <w:szCs w:val="22"/>
        </w:rPr>
        <w:t xml:space="preserve">what </w:t>
      </w:r>
      <w:r w:rsidR="000F248B" w:rsidRPr="00D9152B">
        <w:rPr>
          <w:rFonts w:ascii="Calibri" w:hAnsi="Calibri" w:cs="Calibri"/>
          <w:sz w:val="22"/>
          <w:szCs w:val="22"/>
        </w:rPr>
        <w:t>activities</w:t>
      </w:r>
      <w:r w:rsidRPr="00D9152B">
        <w:rPr>
          <w:rFonts w:ascii="Calibri" w:hAnsi="Calibri" w:cs="Calibri"/>
          <w:sz w:val="22"/>
          <w:szCs w:val="22"/>
        </w:rPr>
        <w:t xml:space="preserve"> would be transferred or </w:t>
      </w:r>
      <w:r w:rsidRPr="00D9152B">
        <w:rPr>
          <w:rFonts w:ascii="Calibri" w:hAnsi="Calibri" w:cs="Calibri"/>
          <w:i/>
          <w:iCs/>
          <w:sz w:val="22"/>
          <w:szCs w:val="22"/>
        </w:rPr>
        <w:t>how</w:t>
      </w:r>
      <w:r w:rsidRPr="00D9152B">
        <w:rPr>
          <w:rFonts w:ascii="Calibri" w:hAnsi="Calibri" w:cs="Calibri"/>
          <w:sz w:val="22"/>
          <w:szCs w:val="22"/>
        </w:rPr>
        <w:t xml:space="preserve"> this transfer would be accomplished.</w:t>
      </w:r>
      <w:r w:rsidR="00803644" w:rsidRPr="00D9152B">
        <w:rPr>
          <w:rStyle w:val="FootnoteReference"/>
          <w:rFonts w:ascii="Calibri" w:hAnsi="Calibri" w:cs="Calibri"/>
        </w:rPr>
        <w:footnoteReference w:customMarkFollows="1" w:id="798"/>
        <w:t>18</w:t>
      </w:r>
      <w:r w:rsidRPr="00D9152B">
        <w:rPr>
          <w:rFonts w:ascii="Calibri" w:hAnsi="Calibri" w:cs="Calibri"/>
          <w:sz w:val="22"/>
          <w:szCs w:val="22"/>
        </w:rPr>
        <w:t xml:space="preserve"> Six years later</w:t>
      </w:r>
      <w:r w:rsidR="000F248B" w:rsidRPr="00D9152B">
        <w:rPr>
          <w:rFonts w:ascii="Calibri" w:hAnsi="Calibri" w:cs="Calibri"/>
          <w:sz w:val="22"/>
          <w:szCs w:val="22"/>
        </w:rPr>
        <w:t>,</w:t>
      </w:r>
      <w:r w:rsidRPr="00D9152B">
        <w:rPr>
          <w:rFonts w:ascii="Calibri" w:hAnsi="Calibri" w:cs="Calibri"/>
          <w:sz w:val="22"/>
          <w:szCs w:val="22"/>
        </w:rPr>
        <w:t xml:space="preserve"> at the 1979 donor’s seminar, a </w:t>
      </w:r>
      <w:r w:rsidR="00646525" w:rsidRPr="00D9152B">
        <w:rPr>
          <w:rFonts w:ascii="Calibri" w:hAnsi="Calibri" w:cs="Calibri"/>
          <w:sz w:val="22"/>
          <w:szCs w:val="22"/>
        </w:rPr>
        <w:t>donor</w:t>
      </w:r>
      <w:r w:rsidRPr="00D9152B">
        <w:rPr>
          <w:rFonts w:ascii="Calibri" w:hAnsi="Calibri" w:cs="Calibri"/>
          <w:sz w:val="22"/>
          <w:szCs w:val="22"/>
        </w:rPr>
        <w:t xml:space="preserve"> asked whether African countries would eventually take over onchocerciasis control </w:t>
      </w:r>
      <w:r w:rsidRPr="00D9152B">
        <w:rPr>
          <w:rFonts w:ascii="Calibri" w:hAnsi="Calibri" w:cs="Calibri"/>
          <w:sz w:val="22"/>
          <w:szCs w:val="22"/>
        </w:rPr>
        <w:lastRenderedPageBreak/>
        <w:t>responsibilities. The WHO representative’s reply made it clear that the programme did not have a clear plan for devolving responsibilities, particularly in relation to the national health systems:</w:t>
      </w:r>
    </w:p>
    <w:p w14:paraId="77023D59" w14:textId="6F7D6754" w:rsidR="00AC7848" w:rsidRPr="00D9152B" w:rsidRDefault="00AC7848" w:rsidP="000F248B">
      <w:pPr>
        <w:pStyle w:val="Quote"/>
        <w:ind w:left="862" w:right="862"/>
        <w:rPr>
          <w:rFonts w:cs="Calibri"/>
          <w:i/>
          <w:sz w:val="22"/>
          <w:szCs w:val="22"/>
        </w:rPr>
      </w:pPr>
      <w:r w:rsidRPr="00D9152B">
        <w:rPr>
          <w:rFonts w:cs="Calibri"/>
          <w:i/>
          <w:sz w:val="22"/>
          <w:szCs w:val="22"/>
        </w:rPr>
        <w:t>‘In 10-15 years, the time at which a takeover would be realized, the level of onchocerciasis might be so low that each of the countries would not require a specific onchocerciasis program. Integration of a minimal national component into a health structure able to deal with diseases transmitted by any vector might perhaps be a better alternative. This, however is a national health policy issue that has to be reviewed in the light of the fact that health systems presently lack funds, manpower and equipment.’</w:t>
      </w:r>
      <w:r w:rsidR="00803644" w:rsidRPr="00D9152B">
        <w:rPr>
          <w:rStyle w:val="FootnoteReference"/>
          <w:rFonts w:ascii="Calibri" w:hAnsi="Calibri" w:cs="Calibri"/>
          <w:i/>
        </w:rPr>
        <w:footnoteReference w:customMarkFollows="1" w:id="799"/>
        <w:t>19</w:t>
      </w:r>
    </w:p>
    <w:p w14:paraId="4BAE8C02" w14:textId="77777777" w:rsidR="000F248B" w:rsidRPr="00D9152B" w:rsidRDefault="000F248B" w:rsidP="000F248B">
      <w:pPr>
        <w:pStyle w:val="Heading3"/>
        <w:rPr>
          <w:rFonts w:ascii="Calibri" w:hAnsi="Calibri" w:cs="Calibri"/>
          <w:b/>
        </w:rPr>
      </w:pPr>
      <w:bookmarkStart w:id="140" w:name="_Toc9026586"/>
    </w:p>
    <w:p w14:paraId="7ACDB5C5" w14:textId="77777777" w:rsidR="004C30A8" w:rsidRPr="00D9152B" w:rsidRDefault="00076FC2" w:rsidP="00656BE2">
      <w:pPr>
        <w:pStyle w:val="Heading2"/>
        <w:rPr>
          <w:rFonts w:ascii="Calibri" w:hAnsi="Calibri" w:cs="Calibri"/>
          <w:b/>
          <w:color w:val="000000" w:themeColor="text1"/>
          <w:sz w:val="26"/>
          <w:szCs w:val="26"/>
        </w:rPr>
      </w:pPr>
      <w:bookmarkStart w:id="141" w:name="_Toc41505698"/>
      <w:r w:rsidRPr="00D9152B">
        <w:rPr>
          <w:rFonts w:ascii="Calibri" w:hAnsi="Calibri" w:cs="Calibri"/>
          <w:b/>
          <w:color w:val="000000" w:themeColor="text1"/>
          <w:sz w:val="26"/>
          <w:szCs w:val="26"/>
        </w:rPr>
        <w:t>8</w:t>
      </w:r>
      <w:r w:rsidR="000F248B" w:rsidRPr="00D9152B">
        <w:rPr>
          <w:rFonts w:ascii="Calibri" w:hAnsi="Calibri" w:cs="Calibri"/>
          <w:b/>
          <w:color w:val="000000" w:themeColor="text1"/>
          <w:sz w:val="26"/>
          <w:szCs w:val="26"/>
        </w:rPr>
        <w:t>.</w:t>
      </w:r>
      <w:r w:rsidR="00677774" w:rsidRPr="00D9152B">
        <w:rPr>
          <w:rFonts w:ascii="Calibri" w:hAnsi="Calibri" w:cs="Calibri"/>
          <w:b/>
          <w:color w:val="000000" w:themeColor="text1"/>
          <w:sz w:val="26"/>
          <w:szCs w:val="26"/>
        </w:rPr>
        <w:t>4</w:t>
      </w:r>
      <w:r w:rsidR="000F248B" w:rsidRPr="00D9152B">
        <w:rPr>
          <w:rFonts w:ascii="Calibri" w:hAnsi="Calibri" w:cs="Calibri"/>
          <w:b/>
          <w:color w:val="000000" w:themeColor="text1"/>
          <w:sz w:val="26"/>
          <w:szCs w:val="26"/>
        </w:rPr>
        <w:t>.</w:t>
      </w:r>
      <w:r w:rsidR="00AC7848" w:rsidRPr="00D9152B">
        <w:rPr>
          <w:rFonts w:ascii="Calibri" w:hAnsi="Calibri" w:cs="Calibri"/>
          <w:b/>
          <w:color w:val="000000" w:themeColor="text1"/>
          <w:sz w:val="26"/>
          <w:szCs w:val="26"/>
        </w:rPr>
        <w:t xml:space="preserve"> </w:t>
      </w:r>
      <w:r w:rsidR="00663224" w:rsidRPr="00D9152B">
        <w:rPr>
          <w:rFonts w:ascii="Calibri" w:hAnsi="Calibri" w:cs="Calibri"/>
          <w:b/>
          <w:color w:val="000000" w:themeColor="text1"/>
          <w:sz w:val="26"/>
          <w:szCs w:val="26"/>
        </w:rPr>
        <w:t>D</w:t>
      </w:r>
      <w:r w:rsidR="00AC7848" w:rsidRPr="00D9152B">
        <w:rPr>
          <w:rFonts w:ascii="Calibri" w:hAnsi="Calibri" w:cs="Calibri"/>
          <w:b/>
          <w:color w:val="000000" w:themeColor="text1"/>
          <w:sz w:val="26"/>
          <w:szCs w:val="26"/>
        </w:rPr>
        <w:t xml:space="preserve">evolution as PHC support through </w:t>
      </w:r>
      <w:r w:rsidR="00663224" w:rsidRPr="00D9152B">
        <w:rPr>
          <w:rFonts w:ascii="Calibri" w:hAnsi="Calibri" w:cs="Calibri"/>
          <w:b/>
          <w:color w:val="000000" w:themeColor="text1"/>
          <w:sz w:val="26"/>
          <w:szCs w:val="26"/>
        </w:rPr>
        <w:t>human resource development</w:t>
      </w:r>
      <w:bookmarkEnd w:id="141"/>
      <w:r w:rsidR="00663224" w:rsidRPr="00D9152B">
        <w:rPr>
          <w:rFonts w:ascii="Calibri" w:hAnsi="Calibri" w:cs="Calibri"/>
          <w:b/>
          <w:color w:val="000000" w:themeColor="text1"/>
          <w:sz w:val="26"/>
          <w:szCs w:val="26"/>
        </w:rPr>
        <w:t xml:space="preserve"> </w:t>
      </w:r>
    </w:p>
    <w:p w14:paraId="784430E0" w14:textId="62E809D2" w:rsidR="00AC7848" w:rsidRPr="00D9152B" w:rsidRDefault="00663224" w:rsidP="00656BE2">
      <w:pPr>
        <w:pStyle w:val="Heading2"/>
        <w:rPr>
          <w:rFonts w:ascii="Calibri" w:hAnsi="Calibri" w:cs="Calibri"/>
          <w:b/>
          <w:color w:val="000000" w:themeColor="text1"/>
          <w:sz w:val="26"/>
          <w:szCs w:val="26"/>
        </w:rPr>
      </w:pPr>
      <w:bookmarkStart w:id="142" w:name="_Toc41505699"/>
      <w:r w:rsidRPr="00D9152B">
        <w:rPr>
          <w:rFonts w:ascii="Calibri" w:hAnsi="Calibri" w:cs="Calibri"/>
          <w:b/>
          <w:color w:val="000000" w:themeColor="text1"/>
          <w:sz w:val="26"/>
          <w:szCs w:val="26"/>
        </w:rPr>
        <w:t>(c.</w:t>
      </w:r>
      <w:r w:rsidR="00646525" w:rsidRPr="00D9152B">
        <w:rPr>
          <w:rFonts w:ascii="Calibri" w:hAnsi="Calibri" w:cs="Calibri"/>
          <w:b/>
          <w:color w:val="000000" w:themeColor="text1"/>
          <w:sz w:val="26"/>
          <w:szCs w:val="26"/>
        </w:rPr>
        <w:t xml:space="preserve"> </w:t>
      </w:r>
      <w:r w:rsidR="00AC7848" w:rsidRPr="00D9152B">
        <w:rPr>
          <w:rFonts w:ascii="Calibri" w:hAnsi="Calibri" w:cs="Calibri"/>
          <w:b/>
          <w:color w:val="000000" w:themeColor="text1"/>
          <w:sz w:val="26"/>
          <w:szCs w:val="26"/>
        </w:rPr>
        <w:t>1981-1984</w:t>
      </w:r>
      <w:bookmarkEnd w:id="140"/>
      <w:r w:rsidRPr="00D9152B">
        <w:rPr>
          <w:rFonts w:ascii="Calibri" w:hAnsi="Calibri" w:cs="Calibri"/>
          <w:b/>
          <w:color w:val="000000" w:themeColor="text1"/>
          <w:sz w:val="26"/>
          <w:szCs w:val="26"/>
        </w:rPr>
        <w:t>)</w:t>
      </w:r>
      <w:bookmarkEnd w:id="142"/>
    </w:p>
    <w:p w14:paraId="76B05D6A" w14:textId="29B55568" w:rsidR="00AC7848" w:rsidRPr="00D9152B" w:rsidRDefault="00AC7848" w:rsidP="00A12E2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In the early 1980s, the OCP more explicitly defined devolution and began to report on its in-country training activities.</w:t>
      </w:r>
      <w:r w:rsidR="00803644" w:rsidRPr="00D9152B">
        <w:rPr>
          <w:rStyle w:val="FootnoteReference"/>
          <w:rFonts w:ascii="Calibri" w:hAnsi="Calibri" w:cs="Calibri"/>
        </w:rPr>
        <w:footnoteReference w:customMarkFollows="1" w:id="800"/>
        <w:t>20</w:t>
      </w:r>
      <w:r w:rsidRPr="00D9152B">
        <w:rPr>
          <w:rFonts w:ascii="Calibri" w:hAnsi="Calibri" w:cs="Calibri"/>
          <w:sz w:val="22"/>
          <w:szCs w:val="22"/>
        </w:rPr>
        <w:t xml:space="preserve"> The </w:t>
      </w:r>
      <w:r w:rsidR="00646525" w:rsidRPr="00D9152B">
        <w:rPr>
          <w:rFonts w:ascii="Calibri" w:hAnsi="Calibri" w:cs="Calibri"/>
          <w:sz w:val="22"/>
          <w:szCs w:val="22"/>
        </w:rPr>
        <w:t xml:space="preserve">OCP </w:t>
      </w:r>
      <w:r w:rsidRPr="00D9152B">
        <w:rPr>
          <w:rFonts w:ascii="Calibri" w:hAnsi="Calibri" w:cs="Calibri"/>
          <w:sz w:val="22"/>
          <w:szCs w:val="22"/>
        </w:rPr>
        <w:t>Independent Commission (1981) defined devolution as a gradual evolution from an externally managed and financed programme to a regional programme, which would be governed, staffed, and financed by participating countries.</w:t>
      </w:r>
      <w:r w:rsidR="00803644" w:rsidRPr="00D9152B">
        <w:rPr>
          <w:rStyle w:val="FootnoteReference"/>
          <w:rFonts w:ascii="Calibri" w:hAnsi="Calibri" w:cs="Calibri"/>
        </w:rPr>
        <w:footnoteReference w:customMarkFollows="1" w:id="801"/>
        <w:t>21</w:t>
      </w:r>
      <w:r w:rsidRPr="00D9152B">
        <w:rPr>
          <w:rFonts w:ascii="Calibri" w:hAnsi="Calibri" w:cs="Calibri"/>
          <w:sz w:val="22"/>
          <w:szCs w:val="22"/>
        </w:rPr>
        <w:t xml:space="preserve"> However, some donor representatives still felt that this was a vague definition </w:t>
      </w:r>
      <w:r w:rsidR="000F248B" w:rsidRPr="00D9152B">
        <w:rPr>
          <w:rFonts w:ascii="Calibri" w:hAnsi="Calibri" w:cs="Calibri"/>
          <w:sz w:val="22"/>
          <w:szCs w:val="22"/>
        </w:rPr>
        <w:t>without</w:t>
      </w:r>
      <w:r w:rsidRPr="00D9152B">
        <w:rPr>
          <w:rFonts w:ascii="Calibri" w:hAnsi="Calibri" w:cs="Calibri"/>
          <w:sz w:val="22"/>
          <w:szCs w:val="22"/>
        </w:rPr>
        <w:t xml:space="preserve"> operational </w:t>
      </w:r>
      <w:r w:rsidR="000F248B" w:rsidRPr="00D9152B">
        <w:rPr>
          <w:rFonts w:ascii="Calibri" w:hAnsi="Calibri" w:cs="Calibri"/>
          <w:sz w:val="22"/>
          <w:szCs w:val="22"/>
        </w:rPr>
        <w:t>clarity</w:t>
      </w:r>
      <w:r w:rsidRPr="00D9152B">
        <w:rPr>
          <w:rFonts w:ascii="Calibri" w:hAnsi="Calibri" w:cs="Calibri"/>
          <w:sz w:val="22"/>
          <w:szCs w:val="22"/>
        </w:rPr>
        <w:t xml:space="preserve">. </w:t>
      </w:r>
      <w:r w:rsidR="00646525" w:rsidRPr="00D9152B">
        <w:rPr>
          <w:rFonts w:ascii="Calibri" w:hAnsi="Calibri" w:cs="Calibri"/>
          <w:sz w:val="22"/>
          <w:szCs w:val="22"/>
        </w:rPr>
        <w:t>For instance, a United Kingdom</w:t>
      </w:r>
      <w:r w:rsidRPr="00D9152B">
        <w:rPr>
          <w:rFonts w:ascii="Calibri" w:hAnsi="Calibri" w:cs="Calibri"/>
          <w:sz w:val="22"/>
          <w:szCs w:val="22"/>
        </w:rPr>
        <w:t xml:space="preserve"> expert wrote that he had  ‘grave doubts as to whether this is feasible in relation to the financial difficulties and the shortage of expert manpower available’, and pointed-out that OCP leaders were still uncertain about how the programme </w:t>
      </w:r>
      <w:r w:rsidR="000F248B" w:rsidRPr="00D9152B">
        <w:rPr>
          <w:rFonts w:ascii="Calibri" w:hAnsi="Calibri" w:cs="Calibri"/>
          <w:sz w:val="22"/>
          <w:szCs w:val="22"/>
        </w:rPr>
        <w:t>related</w:t>
      </w:r>
      <w:r w:rsidRPr="00D9152B">
        <w:rPr>
          <w:rFonts w:ascii="Calibri" w:hAnsi="Calibri" w:cs="Calibri"/>
          <w:sz w:val="22"/>
          <w:szCs w:val="22"/>
        </w:rPr>
        <w:t xml:space="preserve"> to existing national health systems.</w:t>
      </w:r>
      <w:r w:rsidR="00803644" w:rsidRPr="00D9152B">
        <w:rPr>
          <w:rStyle w:val="FootnoteReference"/>
          <w:rFonts w:ascii="Calibri" w:hAnsi="Calibri" w:cs="Calibri"/>
        </w:rPr>
        <w:footnoteReference w:customMarkFollows="1" w:id="802"/>
        <w:t>22</w:t>
      </w:r>
      <w:r w:rsidRPr="00D9152B">
        <w:rPr>
          <w:rFonts w:ascii="Calibri" w:hAnsi="Calibri" w:cs="Calibri"/>
          <w:sz w:val="22"/>
          <w:szCs w:val="22"/>
        </w:rPr>
        <w:t xml:space="preserve"> </w:t>
      </w:r>
    </w:p>
    <w:p w14:paraId="66FC9408" w14:textId="1ACBF22E" w:rsidR="00AC7848" w:rsidRPr="00D9152B" w:rsidRDefault="00AC7848" w:rsidP="00A12E2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Similarly, while some Bank staff believed that ‘the main development aspect of OCP might well ultimately turn out to be in PHC, rather than in settlement as originally thought’,</w:t>
      </w:r>
      <w:r w:rsidR="00803644" w:rsidRPr="00D9152B">
        <w:rPr>
          <w:rStyle w:val="FootnoteReference"/>
          <w:rFonts w:ascii="Calibri" w:hAnsi="Calibri" w:cs="Calibri"/>
        </w:rPr>
        <w:footnoteReference w:customMarkFollows="1" w:id="803"/>
        <w:t>23</w:t>
      </w:r>
      <w:r w:rsidRPr="00D9152B">
        <w:rPr>
          <w:rFonts w:ascii="Calibri" w:hAnsi="Calibri" w:cs="Calibri"/>
          <w:sz w:val="22"/>
          <w:szCs w:val="22"/>
        </w:rPr>
        <w:t xml:space="preserve"> they recognized that linking the OCP to PHC represented a catch-22 problem. National health systems needed to be strengthened to be able to take over OCP activities, but the OCP had been able to obtain donor financing</w:t>
      </w:r>
      <w:r w:rsidR="000F248B" w:rsidRPr="00D9152B">
        <w:rPr>
          <w:rFonts w:ascii="Calibri" w:hAnsi="Calibri" w:cs="Calibri"/>
          <w:sz w:val="22"/>
          <w:szCs w:val="22"/>
        </w:rPr>
        <w:t xml:space="preserve"> precisely</w:t>
      </w:r>
      <w:r w:rsidRPr="00D9152B">
        <w:rPr>
          <w:rFonts w:ascii="Calibri" w:hAnsi="Calibri" w:cs="Calibri"/>
          <w:sz w:val="22"/>
          <w:szCs w:val="22"/>
        </w:rPr>
        <w:t xml:space="preserve"> because major donors were </w:t>
      </w:r>
      <w:r w:rsidRPr="00D9152B">
        <w:rPr>
          <w:rFonts w:ascii="Calibri" w:hAnsi="Calibri" w:cs="Calibri"/>
          <w:sz w:val="22"/>
          <w:szCs w:val="22"/>
        </w:rPr>
        <w:lastRenderedPageBreak/>
        <w:t>eager to be involved in an international pr</w:t>
      </w:r>
      <w:r w:rsidR="000924E2" w:rsidRPr="00D9152B">
        <w:rPr>
          <w:rFonts w:ascii="Calibri" w:hAnsi="Calibri" w:cs="Calibri"/>
          <w:sz w:val="22"/>
          <w:szCs w:val="22"/>
        </w:rPr>
        <w:t xml:space="preserve">ogramme with clear, measurable </w:t>
      </w:r>
      <w:r w:rsidRPr="00D9152B">
        <w:rPr>
          <w:rFonts w:ascii="Calibri" w:hAnsi="Calibri" w:cs="Calibri"/>
          <w:sz w:val="22"/>
          <w:szCs w:val="22"/>
        </w:rPr>
        <w:t xml:space="preserve">priorities. </w:t>
      </w:r>
      <w:r w:rsidR="000F248B" w:rsidRPr="00D9152B">
        <w:rPr>
          <w:rFonts w:ascii="Calibri" w:hAnsi="Calibri" w:cs="Calibri"/>
          <w:sz w:val="22"/>
          <w:szCs w:val="22"/>
        </w:rPr>
        <w:t xml:space="preserve">Donors wanted to jump on the PHC bandwagon in theory, but wanted the practical metrics that came with disease-specific programming. </w:t>
      </w:r>
      <w:r w:rsidRPr="00D9152B">
        <w:rPr>
          <w:rFonts w:ascii="Calibri" w:hAnsi="Calibri" w:cs="Calibri"/>
          <w:sz w:val="22"/>
          <w:szCs w:val="22"/>
        </w:rPr>
        <w:t xml:space="preserve">As handwritten notes, possibly by John Evans [the Bank’s first </w:t>
      </w:r>
      <w:r w:rsidR="004C30A8" w:rsidRPr="00D9152B">
        <w:rPr>
          <w:rFonts w:ascii="Calibri" w:hAnsi="Calibri" w:cs="Calibri"/>
          <w:sz w:val="22"/>
          <w:szCs w:val="22"/>
        </w:rPr>
        <w:t>Population, Health and Nutrition</w:t>
      </w:r>
      <w:r w:rsidRPr="00D9152B">
        <w:rPr>
          <w:rFonts w:ascii="Calibri" w:hAnsi="Calibri" w:cs="Calibri"/>
          <w:sz w:val="22"/>
          <w:szCs w:val="22"/>
        </w:rPr>
        <w:t xml:space="preserve"> Director], described the issue, ‘the difficulty is to develop national capacity. Brings up national vs. international issues – PHC is a national program, but the OCP is international (aerial spraying). If we devolve to the national level, this ends vertical programs. What about other diseases: will the “donors get off the books”?’</w:t>
      </w:r>
      <w:r w:rsidR="00803644" w:rsidRPr="00D9152B">
        <w:rPr>
          <w:rStyle w:val="FootnoteReference"/>
          <w:rFonts w:ascii="Calibri" w:hAnsi="Calibri" w:cs="Calibri"/>
        </w:rPr>
        <w:footnoteReference w:customMarkFollows="1" w:id="804"/>
        <w:t>24</w:t>
      </w:r>
    </w:p>
    <w:p w14:paraId="02C7DFBC" w14:textId="3F8E7DFC" w:rsidR="00AC7848" w:rsidRPr="00D9152B" w:rsidRDefault="000F248B" w:rsidP="00A12E2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In the late 1970s and early 19</w:t>
      </w:r>
      <w:r w:rsidR="007B6C77" w:rsidRPr="00D9152B">
        <w:rPr>
          <w:rFonts w:ascii="Calibri" w:hAnsi="Calibri" w:cs="Calibri"/>
          <w:sz w:val="22"/>
          <w:szCs w:val="22"/>
        </w:rPr>
        <w:t>80s, as the WHO rolled-out its Health for All</w:t>
      </w:r>
      <w:r w:rsidRPr="00D9152B">
        <w:rPr>
          <w:rFonts w:ascii="Calibri" w:hAnsi="Calibri" w:cs="Calibri"/>
          <w:sz w:val="22"/>
          <w:szCs w:val="22"/>
        </w:rPr>
        <w:t xml:space="preserve"> agenda,</w:t>
      </w:r>
      <w:r w:rsidR="00AC7848" w:rsidRPr="00D9152B">
        <w:rPr>
          <w:rFonts w:ascii="Calibri" w:hAnsi="Calibri" w:cs="Calibri"/>
          <w:sz w:val="22"/>
          <w:szCs w:val="22"/>
        </w:rPr>
        <w:t xml:space="preserve"> </w:t>
      </w:r>
      <w:r w:rsidRPr="00D9152B">
        <w:rPr>
          <w:rFonts w:ascii="Calibri" w:hAnsi="Calibri" w:cs="Calibri"/>
          <w:sz w:val="22"/>
          <w:szCs w:val="22"/>
        </w:rPr>
        <w:t>OCP</w:t>
      </w:r>
      <w:r w:rsidR="00AC7848" w:rsidRPr="00D9152B">
        <w:rPr>
          <w:rFonts w:ascii="Calibri" w:hAnsi="Calibri" w:cs="Calibri"/>
          <w:sz w:val="22"/>
          <w:szCs w:val="22"/>
        </w:rPr>
        <w:t xml:space="preserve"> partners called for increased focus on ‘operationalizing’ devolution.</w:t>
      </w:r>
      <w:r w:rsidRPr="00D9152B">
        <w:rPr>
          <w:rFonts w:ascii="Calibri" w:hAnsi="Calibri" w:cs="Calibri"/>
          <w:sz w:val="22"/>
          <w:szCs w:val="22"/>
        </w:rPr>
        <w:t xml:space="preserve"> Given its regular contact with donors, the Bank was particularly concerned about having an answer </w:t>
      </w:r>
      <w:r w:rsidR="002C2D29" w:rsidRPr="00D9152B">
        <w:rPr>
          <w:rFonts w:ascii="Calibri" w:hAnsi="Calibri" w:cs="Calibri"/>
          <w:sz w:val="22"/>
          <w:szCs w:val="22"/>
        </w:rPr>
        <w:t>when queried abou</w:t>
      </w:r>
      <w:r w:rsidR="000924E2" w:rsidRPr="00D9152B">
        <w:rPr>
          <w:rFonts w:ascii="Calibri" w:hAnsi="Calibri" w:cs="Calibri"/>
          <w:sz w:val="22"/>
          <w:szCs w:val="22"/>
        </w:rPr>
        <w:t>t how and when the programme wou</w:t>
      </w:r>
      <w:r w:rsidR="002C2D29" w:rsidRPr="00D9152B">
        <w:rPr>
          <w:rFonts w:ascii="Calibri" w:hAnsi="Calibri" w:cs="Calibri"/>
          <w:sz w:val="22"/>
          <w:szCs w:val="22"/>
        </w:rPr>
        <w:t>ld end</w:t>
      </w:r>
      <w:r w:rsidRPr="00D9152B">
        <w:rPr>
          <w:rFonts w:ascii="Calibri" w:hAnsi="Calibri" w:cs="Calibri"/>
          <w:sz w:val="22"/>
          <w:szCs w:val="22"/>
        </w:rPr>
        <w:t>.</w:t>
      </w:r>
      <w:r w:rsidR="00AC7848" w:rsidRPr="00D9152B">
        <w:rPr>
          <w:rFonts w:ascii="Calibri" w:hAnsi="Calibri" w:cs="Calibri"/>
          <w:sz w:val="22"/>
          <w:szCs w:val="22"/>
        </w:rPr>
        <w:t xml:space="preserve"> For example</w:t>
      </w:r>
      <w:r w:rsidR="000924E2" w:rsidRPr="00D9152B">
        <w:rPr>
          <w:rFonts w:ascii="Calibri" w:hAnsi="Calibri" w:cs="Calibri"/>
          <w:sz w:val="22"/>
          <w:szCs w:val="22"/>
        </w:rPr>
        <w:t xml:space="preserve"> J.P. Dailly and Bernhard Liese wrote that:</w:t>
      </w:r>
      <w:r w:rsidR="00AC7848" w:rsidRPr="00D9152B">
        <w:rPr>
          <w:rFonts w:ascii="Calibri" w:hAnsi="Calibri" w:cs="Calibri"/>
          <w:sz w:val="22"/>
          <w:szCs w:val="22"/>
        </w:rPr>
        <w:t xml:space="preserve"> </w:t>
      </w:r>
    </w:p>
    <w:p w14:paraId="48DEE731" w14:textId="54FC77A3" w:rsidR="00AC7848" w:rsidRPr="00D9152B" w:rsidRDefault="00AC7848" w:rsidP="000F248B">
      <w:pPr>
        <w:pStyle w:val="Quote"/>
        <w:ind w:left="862" w:right="862"/>
        <w:rPr>
          <w:rFonts w:cs="Calibri"/>
          <w:i/>
          <w:sz w:val="22"/>
          <w:szCs w:val="22"/>
        </w:rPr>
      </w:pPr>
      <w:r w:rsidRPr="00D9152B">
        <w:rPr>
          <w:rFonts w:cs="Calibri"/>
          <w:i/>
          <w:sz w:val="22"/>
          <w:szCs w:val="22"/>
        </w:rPr>
        <w:t>‘We expressed our concern about the lack of progress regarding devolution particularly the absence of clear ideas about what could be devolved and to whom. The danger we see is that unrealistic expectations among participating countries and donors alike might be raised as to the role of devolution, if the concept is not operationalized soon.’</w:t>
      </w:r>
      <w:r w:rsidR="00803644" w:rsidRPr="00D9152B">
        <w:rPr>
          <w:rStyle w:val="FootnoteReference"/>
          <w:rFonts w:ascii="Calibri" w:hAnsi="Calibri" w:cs="Calibri"/>
          <w:i/>
        </w:rPr>
        <w:footnoteReference w:customMarkFollows="1" w:id="805"/>
        <w:t>25</w:t>
      </w:r>
    </w:p>
    <w:p w14:paraId="143546E4" w14:textId="52037FCA" w:rsidR="00AC7848" w:rsidRPr="00D9152B" w:rsidRDefault="00AC7848" w:rsidP="00A12E2E">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The WHO responded by establishing an OCP devolution working group in 1982-1983,</w:t>
      </w:r>
      <w:r w:rsidR="00803644" w:rsidRPr="00D9152B">
        <w:rPr>
          <w:rStyle w:val="FootnoteReference"/>
          <w:rFonts w:ascii="Calibri" w:hAnsi="Calibri" w:cs="Calibri"/>
        </w:rPr>
        <w:footnoteReference w:customMarkFollows="1" w:id="806"/>
        <w:t>26</w:t>
      </w:r>
      <w:r w:rsidRPr="00D9152B">
        <w:rPr>
          <w:rFonts w:ascii="Calibri" w:hAnsi="Calibri" w:cs="Calibri"/>
          <w:sz w:val="22"/>
          <w:szCs w:val="22"/>
        </w:rPr>
        <w:t xml:space="preserve"> which was tasked with creating objectives and timetables for handing-over programme responsibilities to participating countries.</w:t>
      </w:r>
      <w:r w:rsidR="00803644" w:rsidRPr="00D9152B">
        <w:rPr>
          <w:rStyle w:val="FootnoteReference"/>
          <w:rFonts w:ascii="Calibri" w:hAnsi="Calibri" w:cs="Calibri"/>
        </w:rPr>
        <w:footnoteReference w:customMarkFollows="1" w:id="807"/>
        <w:t>27</w:t>
      </w:r>
      <w:r w:rsidRPr="00D9152B">
        <w:rPr>
          <w:rFonts w:ascii="Calibri" w:hAnsi="Calibri" w:cs="Calibri"/>
          <w:sz w:val="22"/>
          <w:szCs w:val="22"/>
        </w:rPr>
        <w:t xml:space="preserve"> The working group organized a health systems appraisal mission to the seven original OCP countries, which concluded that ‘no participating country wants to create a vertical organization charged with oncho control…All, on the contrary, think of integrating it into the surveillance of a given group of parasitic diseases’.</w:t>
      </w:r>
      <w:r w:rsidR="00803644" w:rsidRPr="00D9152B">
        <w:rPr>
          <w:rStyle w:val="FootnoteReference"/>
          <w:rFonts w:ascii="Calibri" w:hAnsi="Calibri" w:cs="Calibri"/>
        </w:rPr>
        <w:footnoteReference w:customMarkFollows="1" w:id="808"/>
        <w:t>28</w:t>
      </w:r>
      <w:r w:rsidRPr="00D9152B">
        <w:rPr>
          <w:rFonts w:ascii="Calibri" w:hAnsi="Calibri" w:cs="Calibri"/>
          <w:sz w:val="22"/>
          <w:szCs w:val="22"/>
        </w:rPr>
        <w:t xml:space="preserve"> </w:t>
      </w:r>
    </w:p>
    <w:p w14:paraId="5AED4DBA" w14:textId="3D6399E1" w:rsidR="00AC7848" w:rsidRPr="00D9152B" w:rsidRDefault="00AC7848" w:rsidP="00A12E2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lastRenderedPageBreak/>
        <w:t>Yet, as they had with socio-econ</w:t>
      </w:r>
      <w:r w:rsidR="000924E2" w:rsidRPr="00D9152B">
        <w:rPr>
          <w:rFonts w:ascii="Calibri" w:hAnsi="Calibri" w:cs="Calibri"/>
          <w:sz w:val="22"/>
          <w:szCs w:val="22"/>
        </w:rPr>
        <w:t>omic development (</w:t>
      </w:r>
      <w:r w:rsidR="00A541B2">
        <w:rPr>
          <w:rFonts w:ascii="Calibri" w:hAnsi="Calibri" w:cs="Calibri"/>
          <w:sz w:val="22"/>
          <w:szCs w:val="22"/>
        </w:rPr>
        <w:t>see sections 4.3 and 4.4</w:t>
      </w:r>
      <w:r w:rsidR="000924E2" w:rsidRPr="00D9152B">
        <w:rPr>
          <w:rFonts w:ascii="Calibri" w:hAnsi="Calibri" w:cs="Calibri"/>
          <w:sz w:val="22"/>
          <w:szCs w:val="22"/>
        </w:rPr>
        <w:t>)</w:t>
      </w:r>
      <w:r w:rsidRPr="00D9152B">
        <w:rPr>
          <w:rFonts w:ascii="Calibri" w:hAnsi="Calibri" w:cs="Calibri"/>
          <w:sz w:val="22"/>
          <w:szCs w:val="22"/>
        </w:rPr>
        <w:t>, sponsoring agencies</w:t>
      </w:r>
      <w:r w:rsidR="002C2D29" w:rsidRPr="00D9152B">
        <w:rPr>
          <w:rFonts w:ascii="Calibri" w:hAnsi="Calibri" w:cs="Calibri"/>
          <w:sz w:val="22"/>
          <w:szCs w:val="22"/>
        </w:rPr>
        <w:t xml:space="preserve"> largely</w:t>
      </w:r>
      <w:r w:rsidRPr="00D9152B">
        <w:rPr>
          <w:rFonts w:ascii="Calibri" w:hAnsi="Calibri" w:cs="Calibri"/>
          <w:sz w:val="22"/>
          <w:szCs w:val="22"/>
        </w:rPr>
        <w:t xml:space="preserve"> presented health system strengthening as a national issue, and punted responsibility to the </w:t>
      </w:r>
      <w:r w:rsidR="00D140FF" w:rsidRPr="00D9152B">
        <w:rPr>
          <w:rFonts w:ascii="Calibri" w:hAnsi="Calibri" w:cs="Calibri"/>
          <w:sz w:val="22"/>
          <w:szCs w:val="22"/>
        </w:rPr>
        <w:t>National Onchocerciasis Committees</w:t>
      </w:r>
      <w:r w:rsidRPr="00D9152B">
        <w:rPr>
          <w:rFonts w:ascii="Calibri" w:hAnsi="Calibri" w:cs="Calibri"/>
          <w:sz w:val="22"/>
          <w:szCs w:val="22"/>
        </w:rPr>
        <w:t xml:space="preserve"> and participating countries. From 1982 onwards, the OCP asked participating countries to create their own bi-annual socio-economic development reports, which would include information on the status of health infrastructure in freed areas.</w:t>
      </w:r>
      <w:r w:rsidR="00803644" w:rsidRPr="00D9152B">
        <w:rPr>
          <w:rStyle w:val="FootnoteReference"/>
          <w:rFonts w:ascii="Calibri" w:hAnsi="Calibri" w:cs="Calibri"/>
        </w:rPr>
        <w:footnoteReference w:customMarkFollows="1" w:id="809"/>
        <w:t>29</w:t>
      </w:r>
      <w:r w:rsidRPr="00D9152B">
        <w:rPr>
          <w:rFonts w:ascii="Calibri" w:hAnsi="Calibri" w:cs="Calibri"/>
          <w:sz w:val="22"/>
          <w:szCs w:val="22"/>
        </w:rPr>
        <w:t xml:space="preserve"> </w:t>
      </w:r>
    </w:p>
    <w:p w14:paraId="5CCBBB8D" w14:textId="3C52F78B" w:rsidR="00AC7848" w:rsidRPr="00D9152B" w:rsidRDefault="00AC7848" w:rsidP="00803644">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poorly-funded </w:t>
      </w:r>
      <w:r w:rsidR="00D140FF" w:rsidRPr="00D9152B">
        <w:rPr>
          <w:rFonts w:ascii="Calibri" w:hAnsi="Calibri" w:cs="Calibri"/>
          <w:sz w:val="22"/>
          <w:szCs w:val="22"/>
        </w:rPr>
        <w:t>National Onchocerciasis Committees</w:t>
      </w:r>
      <w:r w:rsidRPr="00D9152B">
        <w:rPr>
          <w:rFonts w:ascii="Calibri" w:hAnsi="Calibri" w:cs="Calibri"/>
          <w:sz w:val="22"/>
          <w:szCs w:val="22"/>
        </w:rPr>
        <w:t xml:space="preserve">, in contrast, looked to OCP leadership for guidance and </w:t>
      </w:r>
      <w:r w:rsidR="007B6C77" w:rsidRPr="00D9152B">
        <w:rPr>
          <w:rFonts w:ascii="Calibri" w:hAnsi="Calibri" w:cs="Calibri"/>
          <w:sz w:val="22"/>
          <w:szCs w:val="22"/>
        </w:rPr>
        <w:t xml:space="preserve">additional </w:t>
      </w:r>
      <w:r w:rsidRPr="00D9152B">
        <w:rPr>
          <w:rFonts w:ascii="Calibri" w:hAnsi="Calibri" w:cs="Calibri"/>
          <w:sz w:val="22"/>
          <w:szCs w:val="22"/>
        </w:rPr>
        <w:t>financing to build disease surveillance and control capacity.</w:t>
      </w:r>
      <w:r w:rsidR="00803644" w:rsidRPr="00D9152B">
        <w:rPr>
          <w:rStyle w:val="FootnoteReference"/>
          <w:rFonts w:ascii="Calibri" w:hAnsi="Calibri" w:cs="Calibri"/>
        </w:rPr>
        <w:footnoteReference w:customMarkFollows="1" w:id="810"/>
        <w:t>30</w:t>
      </w:r>
      <w:r w:rsidRPr="00D9152B">
        <w:rPr>
          <w:rFonts w:ascii="Calibri" w:hAnsi="Calibri" w:cs="Calibri"/>
          <w:sz w:val="22"/>
          <w:szCs w:val="22"/>
        </w:rPr>
        <w:t xml:space="preserve"> A 1983 </w:t>
      </w:r>
      <w:r w:rsidR="00D140FF" w:rsidRPr="00D9152B">
        <w:rPr>
          <w:rFonts w:ascii="Calibri" w:hAnsi="Calibri" w:cs="Calibri"/>
          <w:sz w:val="22"/>
          <w:szCs w:val="22"/>
        </w:rPr>
        <w:t>National Onchocerciasis Committees</w:t>
      </w:r>
      <w:r w:rsidRPr="00D9152B">
        <w:rPr>
          <w:rFonts w:ascii="Calibri" w:hAnsi="Calibri" w:cs="Calibri"/>
          <w:sz w:val="22"/>
          <w:szCs w:val="22"/>
        </w:rPr>
        <w:t xml:space="preserve"> meeting focused on the wider conceptuali</w:t>
      </w:r>
      <w:r w:rsidR="002D31A3">
        <w:rPr>
          <w:rFonts w:ascii="Calibri" w:hAnsi="Calibri" w:cs="Calibri"/>
          <w:sz w:val="22"/>
          <w:szCs w:val="22"/>
        </w:rPr>
        <w:t>s</w:t>
      </w:r>
      <w:r w:rsidRPr="00D9152B">
        <w:rPr>
          <w:rFonts w:ascii="Calibri" w:hAnsi="Calibri" w:cs="Calibri"/>
          <w:sz w:val="22"/>
          <w:szCs w:val="22"/>
        </w:rPr>
        <w:t xml:space="preserve">ation of devolution. Participating countries highlighted that, in the short term, they could be trained to perform onchocerciasis-specific tasks, such as epidemiological evaluation for onchocerciasis in indicator villages and vector and aquatic monitoring. However, in the long-term, they would need the OCP or an inter-country agency and financial, technical, logistical, and institutional support to take the lead for activities like surveillance data processing. In other words, participating countries wanted the OCP to identify available resources and country needs for integrating onchocerciasis surveillance, to continue to research and develop more simple technologies (like diagnostics and chemotherapy), and to provide technical assistance for country devolution plans, which </w:t>
      </w:r>
      <w:r w:rsidR="000F248B" w:rsidRPr="00D9152B">
        <w:rPr>
          <w:rFonts w:ascii="Calibri" w:hAnsi="Calibri" w:cs="Calibri"/>
          <w:sz w:val="22"/>
          <w:szCs w:val="22"/>
        </w:rPr>
        <w:t>they</w:t>
      </w:r>
      <w:r w:rsidRPr="00D9152B">
        <w:rPr>
          <w:rFonts w:ascii="Calibri" w:hAnsi="Calibri" w:cs="Calibri"/>
          <w:sz w:val="22"/>
          <w:szCs w:val="22"/>
        </w:rPr>
        <w:t xml:space="preserve"> hoped would include other priority endemic diseases. Participating countries pointed out that they might even need assistance with revising the organization of their </w:t>
      </w:r>
      <w:r w:rsidR="00531180">
        <w:rPr>
          <w:rFonts w:ascii="Calibri" w:hAnsi="Calibri" w:cs="Calibri"/>
          <w:sz w:val="22"/>
          <w:szCs w:val="22"/>
        </w:rPr>
        <w:t>ministries</w:t>
      </w:r>
      <w:r w:rsidR="00531180" w:rsidRPr="00D9152B">
        <w:rPr>
          <w:rFonts w:ascii="Calibri" w:hAnsi="Calibri" w:cs="Calibri"/>
          <w:sz w:val="22"/>
          <w:szCs w:val="22"/>
        </w:rPr>
        <w:t xml:space="preserve"> </w:t>
      </w:r>
      <w:r w:rsidRPr="00D9152B">
        <w:rPr>
          <w:rFonts w:ascii="Calibri" w:hAnsi="Calibri" w:cs="Calibri"/>
          <w:sz w:val="22"/>
          <w:szCs w:val="22"/>
        </w:rPr>
        <w:t>of health, because diseases like malaria, trypanosomiasis, onchocerciasis, and schistosomiasis were often siloed in different</w:t>
      </w:r>
      <w:r w:rsidR="000F248B" w:rsidRPr="00D9152B">
        <w:rPr>
          <w:rFonts w:ascii="Calibri" w:hAnsi="Calibri" w:cs="Calibri"/>
          <w:sz w:val="22"/>
          <w:szCs w:val="22"/>
        </w:rPr>
        <w:t xml:space="preserve"> national</w:t>
      </w:r>
      <w:r w:rsidRPr="00D9152B">
        <w:rPr>
          <w:rFonts w:ascii="Calibri" w:hAnsi="Calibri" w:cs="Calibri"/>
          <w:sz w:val="22"/>
          <w:szCs w:val="22"/>
        </w:rPr>
        <w:t xml:space="preserve"> disease departments.</w:t>
      </w:r>
      <w:r w:rsidR="00803644" w:rsidRPr="00D9152B">
        <w:rPr>
          <w:rStyle w:val="FootnoteReference"/>
          <w:rFonts w:ascii="Calibri" w:hAnsi="Calibri" w:cs="Calibri"/>
        </w:rPr>
        <w:footnoteReference w:customMarkFollows="1" w:id="811"/>
        <w:t>31</w:t>
      </w:r>
      <w:r w:rsidRPr="00D9152B">
        <w:rPr>
          <w:rFonts w:ascii="Calibri" w:hAnsi="Calibri" w:cs="Calibri"/>
          <w:sz w:val="22"/>
          <w:szCs w:val="22"/>
        </w:rPr>
        <w:tab/>
      </w:r>
    </w:p>
    <w:p w14:paraId="0EE6E80B" w14:textId="4A27D7DA" w:rsidR="00AC7848" w:rsidRPr="00D9152B" w:rsidRDefault="00AC7848" w:rsidP="00A12E2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At the same time as sponsoring agencies and participating countries expressed different hopes for how the OCP would relate to in-country </w:t>
      </w:r>
      <w:r w:rsidR="000F248B" w:rsidRPr="00D9152B">
        <w:rPr>
          <w:rFonts w:ascii="Calibri" w:hAnsi="Calibri" w:cs="Calibri"/>
          <w:sz w:val="22"/>
          <w:szCs w:val="22"/>
        </w:rPr>
        <w:t>health system strengthening</w:t>
      </w:r>
      <w:r w:rsidRPr="00D9152B">
        <w:rPr>
          <w:rFonts w:ascii="Calibri" w:hAnsi="Calibri" w:cs="Calibri"/>
          <w:sz w:val="22"/>
          <w:szCs w:val="22"/>
        </w:rPr>
        <w:t xml:space="preserve">, it became clear that the OCP training program was not matching </w:t>
      </w:r>
      <w:r w:rsidR="002C2D29" w:rsidRPr="00D9152B">
        <w:rPr>
          <w:rFonts w:ascii="Calibri" w:hAnsi="Calibri" w:cs="Calibri"/>
          <w:sz w:val="22"/>
          <w:szCs w:val="22"/>
        </w:rPr>
        <w:t>many</w:t>
      </w:r>
      <w:r w:rsidRPr="00D9152B">
        <w:rPr>
          <w:rFonts w:ascii="Calibri" w:hAnsi="Calibri" w:cs="Calibri"/>
          <w:sz w:val="22"/>
          <w:szCs w:val="22"/>
        </w:rPr>
        <w:t xml:space="preserve"> PHC</w:t>
      </w:r>
      <w:r w:rsidR="001F371E" w:rsidRPr="00D9152B">
        <w:rPr>
          <w:rFonts w:ascii="Calibri" w:hAnsi="Calibri" w:cs="Calibri"/>
          <w:sz w:val="22"/>
          <w:szCs w:val="22"/>
        </w:rPr>
        <w:t xml:space="preserve"> strengthening</w:t>
      </w:r>
      <w:r w:rsidRPr="00D9152B">
        <w:rPr>
          <w:rFonts w:ascii="Calibri" w:hAnsi="Calibri" w:cs="Calibri"/>
          <w:sz w:val="22"/>
          <w:szCs w:val="22"/>
        </w:rPr>
        <w:t xml:space="preserve"> </w:t>
      </w:r>
      <w:r w:rsidR="001F371E" w:rsidRPr="00D9152B">
        <w:rPr>
          <w:rFonts w:ascii="Calibri" w:hAnsi="Calibri" w:cs="Calibri"/>
          <w:sz w:val="22"/>
          <w:szCs w:val="22"/>
        </w:rPr>
        <w:t>needs</w:t>
      </w:r>
      <w:r w:rsidRPr="00D9152B">
        <w:rPr>
          <w:rFonts w:ascii="Calibri" w:hAnsi="Calibri" w:cs="Calibri"/>
          <w:sz w:val="22"/>
          <w:szCs w:val="22"/>
        </w:rPr>
        <w:t xml:space="preserve">. By 1985, the </w:t>
      </w:r>
      <w:r w:rsidR="000F248B" w:rsidRPr="00D9152B">
        <w:rPr>
          <w:rFonts w:ascii="Calibri" w:hAnsi="Calibri" w:cs="Calibri"/>
          <w:sz w:val="22"/>
          <w:szCs w:val="22"/>
        </w:rPr>
        <w:t>OCP</w:t>
      </w:r>
      <w:r w:rsidRPr="00D9152B">
        <w:rPr>
          <w:rFonts w:ascii="Calibri" w:hAnsi="Calibri" w:cs="Calibri"/>
          <w:sz w:val="22"/>
          <w:szCs w:val="22"/>
        </w:rPr>
        <w:t xml:space="preserve"> had trained or retrained 169 professiona</w:t>
      </w:r>
      <w:r w:rsidR="002C2D29" w:rsidRPr="00D9152B">
        <w:rPr>
          <w:rFonts w:ascii="Calibri" w:hAnsi="Calibri" w:cs="Calibri"/>
          <w:sz w:val="22"/>
          <w:szCs w:val="22"/>
        </w:rPr>
        <w:t xml:space="preserve">ls and technicians, and </w:t>
      </w:r>
      <w:r w:rsidR="002C2D29" w:rsidRPr="00D9152B">
        <w:rPr>
          <w:rFonts w:ascii="Calibri" w:hAnsi="Calibri" w:cs="Calibri"/>
          <w:sz w:val="22"/>
          <w:szCs w:val="22"/>
        </w:rPr>
        <w:lastRenderedPageBreak/>
        <w:t>over 90 percent</w:t>
      </w:r>
      <w:r w:rsidRPr="00D9152B">
        <w:rPr>
          <w:rFonts w:ascii="Calibri" w:hAnsi="Calibri" w:cs="Calibri"/>
          <w:sz w:val="22"/>
          <w:szCs w:val="22"/>
        </w:rPr>
        <w:t xml:space="preserve"> of these trainees were from participating countries.</w:t>
      </w:r>
      <w:r w:rsidR="00803644" w:rsidRPr="00D9152B">
        <w:rPr>
          <w:rStyle w:val="FootnoteReference"/>
          <w:rFonts w:ascii="Calibri" w:hAnsi="Calibri" w:cs="Calibri"/>
        </w:rPr>
        <w:footnoteReference w:customMarkFollows="1" w:id="812"/>
        <w:t>32</w:t>
      </w:r>
      <w:r w:rsidRPr="00D9152B">
        <w:rPr>
          <w:rFonts w:ascii="Calibri" w:hAnsi="Calibri" w:cs="Calibri"/>
          <w:sz w:val="22"/>
          <w:szCs w:val="22"/>
        </w:rPr>
        <w:t xml:space="preserve"> Of these trainees, 64 had remained employed by the OCP, 66 were government employees of participating countries, 24 were employed in the OCP extension areas, and 15 performed onchocerciasis-related activities outside of the OCP area. However, as Figure </w:t>
      </w:r>
      <w:r w:rsidR="00A541B2">
        <w:rPr>
          <w:rFonts w:ascii="Calibri" w:hAnsi="Calibri" w:cs="Calibri"/>
          <w:sz w:val="22"/>
          <w:szCs w:val="22"/>
        </w:rPr>
        <w:t>8.</w:t>
      </w:r>
      <w:r w:rsidRPr="00D9152B">
        <w:rPr>
          <w:rFonts w:ascii="Calibri" w:hAnsi="Calibri" w:cs="Calibri"/>
          <w:sz w:val="22"/>
          <w:szCs w:val="22"/>
        </w:rPr>
        <w:t>2 illustrates, most were trained for vector control-related operations (</w:t>
      </w:r>
      <w:r w:rsidR="000F248B" w:rsidRPr="00D9152B">
        <w:rPr>
          <w:rFonts w:ascii="Calibri" w:hAnsi="Calibri" w:cs="Calibri"/>
          <w:sz w:val="22"/>
          <w:szCs w:val="22"/>
        </w:rPr>
        <w:t xml:space="preserve">i.e. </w:t>
      </w:r>
      <w:r w:rsidRPr="00D9152B">
        <w:rPr>
          <w:rFonts w:ascii="Calibri" w:hAnsi="Calibri" w:cs="Calibri"/>
          <w:sz w:val="22"/>
          <w:szCs w:val="22"/>
        </w:rPr>
        <w:t>entomology, parasitology, and hydrobiology). Very few were trained in epidemiological or surveillance capacities</w:t>
      </w:r>
      <w:r w:rsidR="000F248B" w:rsidRPr="00D9152B">
        <w:rPr>
          <w:rFonts w:ascii="Calibri" w:hAnsi="Calibri" w:cs="Calibri"/>
          <w:sz w:val="22"/>
          <w:szCs w:val="22"/>
        </w:rPr>
        <w:t>, which would be more helpful for wider PHC activities</w:t>
      </w:r>
      <w:r w:rsidR="002C2D29" w:rsidRPr="00D9152B">
        <w:rPr>
          <w:rFonts w:ascii="Calibri" w:hAnsi="Calibri" w:cs="Calibri"/>
          <w:sz w:val="22"/>
          <w:szCs w:val="22"/>
        </w:rPr>
        <w:t>, especially those relating to the control of other infectious diseases</w:t>
      </w:r>
      <w:r w:rsidRPr="00D9152B">
        <w:rPr>
          <w:rFonts w:ascii="Calibri" w:hAnsi="Calibri" w:cs="Calibri"/>
          <w:sz w:val="22"/>
          <w:szCs w:val="22"/>
        </w:rPr>
        <w:t>. Furthermore, the OCP struggled to fill some staff positions due to national quotas. Its small training budget for its third phase (about $400,000) raised questions about whether it would develop the specific capacity in participating countries that would be necessary for post-programme disease surveillance activities.</w:t>
      </w:r>
      <w:r w:rsidR="00803644" w:rsidRPr="00D9152B">
        <w:rPr>
          <w:rStyle w:val="FootnoteReference"/>
          <w:rFonts w:ascii="Calibri" w:hAnsi="Calibri" w:cs="Calibri"/>
        </w:rPr>
        <w:footnoteReference w:customMarkFollows="1" w:id="813"/>
        <w:t>33</w:t>
      </w:r>
    </w:p>
    <w:p w14:paraId="5472F863" w14:textId="77777777" w:rsidR="00AC7848" w:rsidRPr="00D9152B" w:rsidRDefault="00AC7848" w:rsidP="002C2D29">
      <w:pPr>
        <w:jc w:val="center"/>
        <w:rPr>
          <w:rFonts w:ascii="Calibri" w:hAnsi="Calibri" w:cs="Calibri"/>
          <w:i/>
        </w:rPr>
      </w:pPr>
      <w:r w:rsidRPr="00D9152B">
        <w:rPr>
          <w:rFonts w:ascii="Calibri" w:hAnsi="Calibri" w:cs="Calibri"/>
          <w:noProof/>
          <w:lang w:eastAsia="en-GB"/>
        </w:rPr>
        <w:drawing>
          <wp:inline distT="0" distB="0" distL="0" distR="0" wp14:anchorId="59059077" wp14:editId="27BC1429">
            <wp:extent cx="5309235" cy="4343400"/>
            <wp:effectExtent l="0" t="0" r="12065" b="12700"/>
            <wp:docPr id="148" name="Chart 14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5"/>
              </a:graphicData>
            </a:graphic>
          </wp:inline>
        </w:drawing>
      </w:r>
    </w:p>
    <w:p w14:paraId="010B8FF5" w14:textId="77777777" w:rsidR="002C2D29" w:rsidRPr="00D9152B" w:rsidRDefault="002C2D29" w:rsidP="002C2D29">
      <w:pPr>
        <w:jc w:val="both"/>
        <w:rPr>
          <w:rFonts w:ascii="Calibri" w:hAnsi="Calibri" w:cs="Calibri"/>
          <w:color w:val="7F7F7F" w:themeColor="text1" w:themeTint="80"/>
        </w:rPr>
      </w:pPr>
    </w:p>
    <w:p w14:paraId="59AFD870" w14:textId="46614193" w:rsidR="00AC7848" w:rsidRPr="00D9152B" w:rsidRDefault="00AC7848" w:rsidP="002C2D29">
      <w:pPr>
        <w:jc w:val="both"/>
        <w:rPr>
          <w:rFonts w:ascii="Calibri" w:hAnsi="Calibri" w:cs="Calibri"/>
          <w:color w:val="7F7F7F" w:themeColor="text1" w:themeTint="80"/>
          <w:sz w:val="22"/>
          <w:szCs w:val="22"/>
        </w:rPr>
      </w:pPr>
      <w:r w:rsidRPr="00D9152B">
        <w:rPr>
          <w:rFonts w:ascii="Calibri" w:hAnsi="Calibri" w:cs="Calibri"/>
          <w:color w:val="7F7F7F" w:themeColor="text1" w:themeTint="80"/>
          <w:sz w:val="22"/>
          <w:szCs w:val="22"/>
        </w:rPr>
        <w:lastRenderedPageBreak/>
        <w:t xml:space="preserve">Figure </w:t>
      </w:r>
      <w:r w:rsidR="00A541B2">
        <w:rPr>
          <w:rFonts w:ascii="Calibri" w:hAnsi="Calibri" w:cs="Calibri"/>
          <w:color w:val="7F7F7F" w:themeColor="text1" w:themeTint="80"/>
          <w:sz w:val="22"/>
          <w:szCs w:val="22"/>
        </w:rPr>
        <w:t>8.</w:t>
      </w:r>
      <w:r w:rsidRPr="00D9152B">
        <w:rPr>
          <w:rFonts w:ascii="Calibri" w:hAnsi="Calibri" w:cs="Calibri"/>
          <w:color w:val="7F7F7F" w:themeColor="text1" w:themeTint="80"/>
          <w:sz w:val="22"/>
          <w:szCs w:val="22"/>
        </w:rPr>
        <w:t>2.</w:t>
      </w:r>
      <w:r w:rsidR="002C2D29" w:rsidRPr="00D9152B">
        <w:rPr>
          <w:rFonts w:ascii="Calibri" w:hAnsi="Calibri" w:cs="Calibri"/>
          <w:color w:val="7F7F7F" w:themeColor="text1" w:themeTint="80"/>
          <w:sz w:val="22"/>
          <w:szCs w:val="22"/>
        </w:rPr>
        <w:t xml:space="preserve"> During its first ten years, the OCP primarily trained African scientists in OCP countries, but focused mostly on (onchocerciasis-specific) vector control activities.</w:t>
      </w:r>
      <w:r w:rsidR="00803644" w:rsidRPr="00D9152B">
        <w:rPr>
          <w:rStyle w:val="FootnoteReference"/>
          <w:rFonts w:ascii="Calibri" w:hAnsi="Calibri" w:cs="Calibri"/>
          <w:color w:val="7F7F7F" w:themeColor="text1" w:themeTint="80"/>
        </w:rPr>
        <w:footnoteReference w:customMarkFollows="1" w:id="814"/>
        <w:t>34</w:t>
      </w:r>
    </w:p>
    <w:p w14:paraId="411D5758" w14:textId="3A8D3CD8" w:rsidR="00AC7848" w:rsidRPr="00D9152B" w:rsidRDefault="00AC7848" w:rsidP="00A12E2E">
      <w:pPr>
        <w:spacing w:before="100" w:beforeAutospacing="1" w:after="100" w:afterAutospacing="1" w:line="360" w:lineRule="auto"/>
        <w:rPr>
          <w:rStyle w:val="FootnoteReference"/>
          <w:rFonts w:ascii="Calibri" w:hAnsi="Calibri" w:cs="Calibri"/>
          <w:sz w:val="22"/>
          <w:szCs w:val="22"/>
        </w:rPr>
      </w:pPr>
      <w:r w:rsidRPr="00D9152B">
        <w:rPr>
          <w:rFonts w:ascii="Calibri" w:hAnsi="Calibri" w:cs="Calibri"/>
          <w:sz w:val="22"/>
          <w:szCs w:val="22"/>
        </w:rPr>
        <w:t xml:space="preserve">The </w:t>
      </w:r>
      <w:r w:rsidR="00A541B2">
        <w:rPr>
          <w:rFonts w:ascii="Calibri" w:hAnsi="Calibri" w:cs="Calibri"/>
          <w:sz w:val="22"/>
          <w:szCs w:val="22"/>
        </w:rPr>
        <w:t xml:space="preserve">OCP’s </w:t>
      </w:r>
      <w:r w:rsidRPr="00D9152B">
        <w:rPr>
          <w:rFonts w:ascii="Calibri" w:hAnsi="Calibri" w:cs="Calibri"/>
          <w:sz w:val="22"/>
          <w:szCs w:val="22"/>
        </w:rPr>
        <w:t xml:space="preserve">Independent Commission </w:t>
      </w:r>
      <w:r w:rsidR="00472F39" w:rsidRPr="00D9152B">
        <w:rPr>
          <w:rFonts w:ascii="Calibri" w:hAnsi="Calibri" w:cs="Calibri"/>
          <w:sz w:val="22"/>
          <w:szCs w:val="22"/>
        </w:rPr>
        <w:t>highlighted</w:t>
      </w:r>
      <w:r w:rsidRPr="00D9152B">
        <w:rPr>
          <w:rFonts w:ascii="Calibri" w:hAnsi="Calibri" w:cs="Calibri"/>
          <w:sz w:val="22"/>
          <w:szCs w:val="22"/>
        </w:rPr>
        <w:t xml:space="preserve"> the incongruence of training activities with long-term PHC-focused devolution goals and recommended a special unit to design and execute a new training strategy. However, due to budgetary issues and the need for consistency in vector control operations, </w:t>
      </w:r>
      <w:r w:rsidR="00D140FF" w:rsidRPr="00D9152B">
        <w:rPr>
          <w:rFonts w:ascii="Calibri" w:hAnsi="Calibri" w:cs="Calibri"/>
          <w:sz w:val="22"/>
          <w:szCs w:val="22"/>
        </w:rPr>
        <w:t xml:space="preserve">the </w:t>
      </w:r>
      <w:r w:rsidRPr="00D9152B">
        <w:rPr>
          <w:rFonts w:ascii="Calibri" w:hAnsi="Calibri" w:cs="Calibri"/>
          <w:sz w:val="22"/>
          <w:szCs w:val="22"/>
        </w:rPr>
        <w:t xml:space="preserve">OCP did not act on this recommendation. As the USAID </w:t>
      </w:r>
      <w:r w:rsidR="002C2D29" w:rsidRPr="00D9152B">
        <w:rPr>
          <w:rFonts w:ascii="Calibri" w:hAnsi="Calibri" w:cs="Calibri"/>
          <w:sz w:val="22"/>
          <w:szCs w:val="22"/>
        </w:rPr>
        <w:t>external r</w:t>
      </w:r>
      <w:r w:rsidR="00E941D5" w:rsidRPr="00D9152B">
        <w:rPr>
          <w:rFonts w:ascii="Calibri" w:hAnsi="Calibri" w:cs="Calibri"/>
          <w:sz w:val="22"/>
          <w:szCs w:val="22"/>
        </w:rPr>
        <w:t>eview</w:t>
      </w:r>
      <w:r w:rsidRPr="00D9152B">
        <w:rPr>
          <w:rFonts w:ascii="Calibri" w:hAnsi="Calibri" w:cs="Calibri"/>
          <w:sz w:val="22"/>
          <w:szCs w:val="22"/>
        </w:rPr>
        <w:t xml:space="preserve"> stated in 1985, </w:t>
      </w:r>
    </w:p>
    <w:p w14:paraId="1DAC9FA4" w14:textId="124A0A9B" w:rsidR="00AC7848" w:rsidRPr="00D9152B" w:rsidRDefault="00AC7848" w:rsidP="00E941D5">
      <w:pPr>
        <w:pStyle w:val="Quote"/>
        <w:spacing w:before="100" w:beforeAutospacing="1" w:after="100" w:afterAutospacing="1"/>
        <w:ind w:left="862" w:right="862"/>
        <w:rPr>
          <w:rFonts w:cs="Calibri"/>
          <w:i/>
        </w:rPr>
      </w:pPr>
      <w:r w:rsidRPr="00D9152B">
        <w:rPr>
          <w:rFonts w:cs="Calibri"/>
          <w:i/>
          <w:sz w:val="22"/>
          <w:szCs w:val="22"/>
        </w:rPr>
        <w:t>‘If the manpower needs were confined to those required to interrupt the transmission of onchocerciasis, the training strategy would be right on target for both the present program area and the extension area. However, with the maintenance phase of the program comes a need for retraining to cope with the different requirements of this phase and the need for training in broad-gauged skills for combating communicable endemic and epidemic diseases. The type, level, subject area, and number of trainees will have to be adjusted to the requirements of the emerging primary health care policies.’</w:t>
      </w:r>
      <w:r w:rsidR="00803644" w:rsidRPr="00D9152B">
        <w:rPr>
          <w:rStyle w:val="FootnoteReference"/>
          <w:rFonts w:ascii="Calibri" w:hAnsi="Calibri" w:cs="Calibri"/>
          <w:i/>
        </w:rPr>
        <w:footnoteReference w:customMarkFollows="1" w:id="815"/>
        <w:t>35</w:t>
      </w:r>
    </w:p>
    <w:p w14:paraId="3D8599AD" w14:textId="77777777" w:rsidR="00803644" w:rsidRPr="00D9152B" w:rsidRDefault="00803644" w:rsidP="00803644">
      <w:pPr>
        <w:rPr>
          <w:rFonts w:ascii="Calibri" w:hAnsi="Calibri" w:cs="Calibri"/>
          <w:lang w:val="fr-CH"/>
        </w:rPr>
      </w:pPr>
    </w:p>
    <w:p w14:paraId="60853BF2" w14:textId="43F07948" w:rsidR="00AC7848" w:rsidRPr="00D9152B" w:rsidRDefault="00076FC2" w:rsidP="00656BE2">
      <w:pPr>
        <w:pStyle w:val="Heading2"/>
        <w:rPr>
          <w:rFonts w:ascii="Calibri" w:hAnsi="Calibri" w:cs="Calibri"/>
          <w:b/>
          <w:color w:val="000000" w:themeColor="text1"/>
          <w:sz w:val="26"/>
          <w:szCs w:val="26"/>
        </w:rPr>
      </w:pPr>
      <w:bookmarkStart w:id="143" w:name="_Toc9026587"/>
      <w:bookmarkStart w:id="144" w:name="_Toc41505700"/>
      <w:r w:rsidRPr="00D9152B">
        <w:rPr>
          <w:rFonts w:ascii="Calibri" w:hAnsi="Calibri" w:cs="Calibri"/>
          <w:b/>
          <w:color w:val="000000" w:themeColor="text1"/>
          <w:sz w:val="26"/>
          <w:szCs w:val="26"/>
        </w:rPr>
        <w:t>8</w:t>
      </w:r>
      <w:r w:rsidR="00E941D5" w:rsidRPr="00D9152B">
        <w:rPr>
          <w:rFonts w:ascii="Calibri" w:hAnsi="Calibri" w:cs="Calibri"/>
          <w:b/>
          <w:color w:val="000000" w:themeColor="text1"/>
          <w:sz w:val="26"/>
          <w:szCs w:val="26"/>
        </w:rPr>
        <w:t>.</w:t>
      </w:r>
      <w:r w:rsidR="00677774" w:rsidRPr="00D9152B">
        <w:rPr>
          <w:rFonts w:ascii="Calibri" w:hAnsi="Calibri" w:cs="Calibri"/>
          <w:b/>
          <w:color w:val="000000" w:themeColor="text1"/>
          <w:sz w:val="26"/>
          <w:szCs w:val="26"/>
        </w:rPr>
        <w:t>5.</w:t>
      </w:r>
      <w:r w:rsidR="00AC7848" w:rsidRPr="00D9152B">
        <w:rPr>
          <w:rFonts w:ascii="Calibri" w:hAnsi="Calibri" w:cs="Calibri"/>
          <w:b/>
          <w:color w:val="000000" w:themeColor="text1"/>
          <w:sz w:val="26"/>
          <w:szCs w:val="26"/>
        </w:rPr>
        <w:t xml:space="preserve"> Retreat from conceptuali</w:t>
      </w:r>
      <w:r w:rsidR="002D31A3">
        <w:rPr>
          <w:rFonts w:ascii="Calibri" w:hAnsi="Calibri" w:cs="Calibri"/>
          <w:b/>
          <w:color w:val="000000" w:themeColor="text1"/>
          <w:sz w:val="26"/>
          <w:szCs w:val="26"/>
        </w:rPr>
        <w:t>s</w:t>
      </w:r>
      <w:r w:rsidR="00AC7848" w:rsidRPr="00D9152B">
        <w:rPr>
          <w:rFonts w:ascii="Calibri" w:hAnsi="Calibri" w:cs="Calibri"/>
          <w:b/>
          <w:color w:val="000000" w:themeColor="text1"/>
          <w:sz w:val="26"/>
          <w:szCs w:val="26"/>
        </w:rPr>
        <w:t>ing devolution as broad PHC support (1985-1988)</w:t>
      </w:r>
      <w:bookmarkEnd w:id="143"/>
      <w:bookmarkEnd w:id="144"/>
    </w:p>
    <w:p w14:paraId="118864DD" w14:textId="2C0B49A6" w:rsidR="002F5C52" w:rsidRPr="00D9152B" w:rsidRDefault="007B6C77" w:rsidP="00A12E2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T</w:t>
      </w:r>
      <w:r w:rsidR="00AC7848" w:rsidRPr="00D9152B">
        <w:rPr>
          <w:rFonts w:ascii="Calibri" w:hAnsi="Calibri" w:cs="Calibri"/>
          <w:sz w:val="22"/>
          <w:szCs w:val="22"/>
        </w:rPr>
        <w:t xml:space="preserve">he devolution working group </w:t>
      </w:r>
      <w:r w:rsidR="002F5C52" w:rsidRPr="00D9152B">
        <w:rPr>
          <w:rFonts w:ascii="Calibri" w:hAnsi="Calibri" w:cs="Calibri"/>
          <w:sz w:val="22"/>
          <w:szCs w:val="22"/>
        </w:rPr>
        <w:t xml:space="preserve">had </w:t>
      </w:r>
      <w:r w:rsidR="00AC7848" w:rsidRPr="00D9152B">
        <w:rPr>
          <w:rFonts w:ascii="Calibri" w:hAnsi="Calibri" w:cs="Calibri"/>
          <w:sz w:val="22"/>
          <w:szCs w:val="22"/>
        </w:rPr>
        <w:t>solved neither the issue of how to make devolution beneficial to the overall development of</w:t>
      </w:r>
      <w:r w:rsidR="002B27D4" w:rsidRPr="00D9152B">
        <w:rPr>
          <w:rFonts w:ascii="Calibri" w:hAnsi="Calibri" w:cs="Calibri"/>
          <w:sz w:val="22"/>
          <w:szCs w:val="22"/>
        </w:rPr>
        <w:t xml:space="preserve"> capacity in</w:t>
      </w:r>
      <w:r w:rsidR="00AC7848" w:rsidRPr="00D9152B">
        <w:rPr>
          <w:rFonts w:ascii="Calibri" w:hAnsi="Calibri" w:cs="Calibri"/>
          <w:sz w:val="22"/>
          <w:szCs w:val="22"/>
        </w:rPr>
        <w:t xml:space="preserve"> the participating countries (rather than an ‘additional responsibility’) nor the related issue of how to finance it.</w:t>
      </w:r>
      <w:r w:rsidR="00803644" w:rsidRPr="00D9152B">
        <w:rPr>
          <w:rStyle w:val="FootnoteReference"/>
          <w:rFonts w:ascii="Calibri" w:hAnsi="Calibri" w:cs="Calibri"/>
        </w:rPr>
        <w:footnoteReference w:customMarkFollows="1" w:id="816"/>
        <w:t>36</w:t>
      </w:r>
      <w:r w:rsidR="00AC7848" w:rsidRPr="00D9152B">
        <w:rPr>
          <w:rFonts w:ascii="Calibri" w:hAnsi="Calibri" w:cs="Calibri"/>
          <w:sz w:val="22"/>
          <w:szCs w:val="22"/>
        </w:rPr>
        <w:t xml:space="preserve"> Who would absorb the responsibilities for onchocerciasis surveillance and control any reintroductions of disease</w:t>
      </w:r>
      <w:r w:rsidRPr="00D9152B">
        <w:rPr>
          <w:rFonts w:ascii="Calibri" w:hAnsi="Calibri" w:cs="Calibri"/>
          <w:sz w:val="22"/>
          <w:szCs w:val="22"/>
        </w:rPr>
        <w:t>, upon the OCP’s closure</w:t>
      </w:r>
      <w:r w:rsidR="00AC7848" w:rsidRPr="00D9152B">
        <w:rPr>
          <w:rFonts w:ascii="Calibri" w:hAnsi="Calibri" w:cs="Calibri"/>
          <w:sz w:val="22"/>
          <w:szCs w:val="22"/>
        </w:rPr>
        <w:t xml:space="preserve">? In 1986, </w:t>
      </w:r>
      <w:r w:rsidR="00D140FF" w:rsidRPr="00D9152B">
        <w:rPr>
          <w:rFonts w:ascii="Calibri" w:hAnsi="Calibri" w:cs="Calibri"/>
          <w:sz w:val="22"/>
          <w:szCs w:val="22"/>
        </w:rPr>
        <w:t xml:space="preserve">OCP Director E.M. </w:t>
      </w:r>
      <w:r w:rsidR="00AC7848" w:rsidRPr="00D9152B">
        <w:rPr>
          <w:rFonts w:ascii="Calibri" w:hAnsi="Calibri" w:cs="Calibri"/>
          <w:sz w:val="22"/>
          <w:szCs w:val="22"/>
        </w:rPr>
        <w:t>Samba noted that this question was critical but remained unanswered.</w:t>
      </w:r>
      <w:r w:rsidR="00803644" w:rsidRPr="00D9152B">
        <w:rPr>
          <w:rStyle w:val="FootnoteReference"/>
          <w:rFonts w:ascii="Calibri" w:hAnsi="Calibri" w:cs="Calibri"/>
        </w:rPr>
        <w:footnoteReference w:customMarkFollows="1" w:id="817"/>
        <w:t>37</w:t>
      </w:r>
      <w:r w:rsidR="00AC7848" w:rsidRPr="00D9152B">
        <w:rPr>
          <w:rFonts w:ascii="Calibri" w:hAnsi="Calibri" w:cs="Calibri"/>
          <w:sz w:val="22"/>
          <w:szCs w:val="22"/>
        </w:rPr>
        <w:t xml:space="preserve"> </w:t>
      </w:r>
    </w:p>
    <w:p w14:paraId="07A74964" w14:textId="115D3480" w:rsidR="00B70073" w:rsidRPr="00D9152B" w:rsidRDefault="00AC7848" w:rsidP="00A12E2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question became even </w:t>
      </w:r>
      <w:r w:rsidR="002B27D4" w:rsidRPr="00D9152B">
        <w:rPr>
          <w:rFonts w:ascii="Calibri" w:hAnsi="Calibri" w:cs="Calibri"/>
          <w:sz w:val="22"/>
          <w:szCs w:val="22"/>
        </w:rPr>
        <w:t>timelier</w:t>
      </w:r>
      <w:r w:rsidRPr="00D9152B">
        <w:rPr>
          <w:rFonts w:ascii="Calibri" w:hAnsi="Calibri" w:cs="Calibri"/>
          <w:sz w:val="22"/>
          <w:szCs w:val="22"/>
        </w:rPr>
        <w:t xml:space="preserve"> when </w:t>
      </w:r>
      <w:r w:rsidR="00D140FF" w:rsidRPr="00D9152B">
        <w:rPr>
          <w:rFonts w:ascii="Calibri" w:hAnsi="Calibri" w:cs="Calibri"/>
          <w:sz w:val="22"/>
          <w:szCs w:val="22"/>
        </w:rPr>
        <w:t>the WHO Regional Office for Africa (</w:t>
      </w:r>
      <w:r w:rsidRPr="00D9152B">
        <w:rPr>
          <w:rFonts w:ascii="Calibri" w:hAnsi="Calibri" w:cs="Calibri"/>
          <w:sz w:val="22"/>
          <w:szCs w:val="22"/>
        </w:rPr>
        <w:t>AFRO</w:t>
      </w:r>
      <w:r w:rsidR="00D140FF" w:rsidRPr="00D9152B">
        <w:rPr>
          <w:rFonts w:ascii="Calibri" w:hAnsi="Calibri" w:cs="Calibri"/>
          <w:sz w:val="22"/>
          <w:szCs w:val="22"/>
        </w:rPr>
        <w:t>)</w:t>
      </w:r>
      <w:r w:rsidRPr="00D9152B">
        <w:rPr>
          <w:rFonts w:ascii="Calibri" w:hAnsi="Calibri" w:cs="Calibri"/>
          <w:sz w:val="22"/>
          <w:szCs w:val="22"/>
        </w:rPr>
        <w:t xml:space="preserve"> adopted its ‘</w:t>
      </w:r>
      <w:r w:rsidR="00D140FF" w:rsidRPr="00D9152B">
        <w:rPr>
          <w:rFonts w:ascii="Calibri" w:hAnsi="Calibri" w:cs="Calibri"/>
          <w:sz w:val="22"/>
          <w:szCs w:val="22"/>
        </w:rPr>
        <w:t>t</w:t>
      </w:r>
      <w:r w:rsidRPr="00D9152B">
        <w:rPr>
          <w:rFonts w:ascii="Calibri" w:hAnsi="Calibri" w:cs="Calibri"/>
          <w:sz w:val="22"/>
          <w:szCs w:val="22"/>
        </w:rPr>
        <w:t>hree-</w:t>
      </w:r>
      <w:r w:rsidR="002B27D4" w:rsidRPr="00D9152B">
        <w:rPr>
          <w:rFonts w:ascii="Calibri" w:hAnsi="Calibri" w:cs="Calibri"/>
          <w:sz w:val="22"/>
          <w:szCs w:val="22"/>
        </w:rPr>
        <w:t>phase health d</w:t>
      </w:r>
      <w:r w:rsidRPr="00D9152B">
        <w:rPr>
          <w:rFonts w:ascii="Calibri" w:hAnsi="Calibri" w:cs="Calibri"/>
          <w:sz w:val="22"/>
          <w:szCs w:val="22"/>
        </w:rPr>
        <w:t xml:space="preserve">evelopment’ framework for </w:t>
      </w:r>
      <w:r w:rsidR="00D140FF" w:rsidRPr="00D9152B">
        <w:rPr>
          <w:rFonts w:ascii="Calibri" w:hAnsi="Calibri" w:cs="Calibri"/>
          <w:sz w:val="22"/>
          <w:szCs w:val="22"/>
        </w:rPr>
        <w:t>health system strengthening (HSS)</w:t>
      </w:r>
      <w:r w:rsidRPr="00D9152B">
        <w:rPr>
          <w:rFonts w:ascii="Calibri" w:hAnsi="Calibri" w:cs="Calibri"/>
          <w:sz w:val="22"/>
          <w:szCs w:val="22"/>
        </w:rPr>
        <w:t xml:space="preserve"> in 1985.</w:t>
      </w:r>
      <w:r w:rsidR="00803644" w:rsidRPr="00D9152B">
        <w:rPr>
          <w:rStyle w:val="FootnoteReference"/>
          <w:rFonts w:ascii="Calibri" w:hAnsi="Calibri" w:cs="Calibri"/>
        </w:rPr>
        <w:footnoteReference w:customMarkFollows="1" w:id="818"/>
        <w:t>38</w:t>
      </w:r>
      <w:r w:rsidRPr="00D9152B">
        <w:rPr>
          <w:rFonts w:ascii="Calibri" w:hAnsi="Calibri" w:cs="Calibri"/>
          <w:sz w:val="22"/>
          <w:szCs w:val="22"/>
        </w:rPr>
        <w:t xml:space="preserve"> Based on this framework, </w:t>
      </w:r>
      <w:r w:rsidR="00D140FF" w:rsidRPr="00D9152B">
        <w:rPr>
          <w:rFonts w:ascii="Calibri" w:hAnsi="Calibri" w:cs="Calibri"/>
          <w:sz w:val="22"/>
          <w:szCs w:val="22"/>
        </w:rPr>
        <w:t>National Onchocerciasis Committees</w:t>
      </w:r>
      <w:r w:rsidRPr="00D9152B">
        <w:rPr>
          <w:rFonts w:ascii="Calibri" w:hAnsi="Calibri" w:cs="Calibri"/>
          <w:sz w:val="22"/>
          <w:szCs w:val="22"/>
        </w:rPr>
        <w:t xml:space="preserve"> suggested that effective OCP devolution would have to develop capacity on </w:t>
      </w:r>
      <w:r w:rsidRPr="00D9152B">
        <w:rPr>
          <w:rFonts w:ascii="Calibri" w:hAnsi="Calibri" w:cs="Calibri"/>
          <w:sz w:val="22"/>
          <w:szCs w:val="22"/>
        </w:rPr>
        <w:lastRenderedPageBreak/>
        <w:t>three levels: village/communi</w:t>
      </w:r>
      <w:r w:rsidR="002F5C52" w:rsidRPr="00D9152B">
        <w:rPr>
          <w:rFonts w:ascii="Calibri" w:hAnsi="Calibri" w:cs="Calibri"/>
          <w:sz w:val="22"/>
          <w:szCs w:val="22"/>
        </w:rPr>
        <w:t>ty, district, and central</w:t>
      </w:r>
      <w:r w:rsidRPr="00D9152B">
        <w:rPr>
          <w:rFonts w:ascii="Calibri" w:hAnsi="Calibri" w:cs="Calibri"/>
          <w:sz w:val="22"/>
          <w:szCs w:val="22"/>
        </w:rPr>
        <w:t>. This concept of HSS would require the OCP to train village health workers in recognizing onchocerciasis; auxiliary health personnel (such as district-level nurse epidemiologists and microscopists) in data collection and epidemiological coordination; and supervisory medical staff (such as peripheral and central-level medical entomologists and epidemiologists) in management. Al</w:t>
      </w:r>
      <w:r w:rsidR="00B70073" w:rsidRPr="00D9152B">
        <w:rPr>
          <w:rFonts w:ascii="Calibri" w:hAnsi="Calibri" w:cs="Calibri"/>
          <w:sz w:val="22"/>
          <w:szCs w:val="22"/>
        </w:rPr>
        <w:t xml:space="preserve">l three levels would need to be </w:t>
      </w:r>
      <w:r w:rsidRPr="00D9152B">
        <w:rPr>
          <w:rFonts w:ascii="Calibri" w:hAnsi="Calibri" w:cs="Calibri"/>
          <w:sz w:val="22"/>
          <w:szCs w:val="22"/>
        </w:rPr>
        <w:t>provided with resources, such as laboratory reagents and transportation.</w:t>
      </w:r>
      <w:r w:rsidR="00803644" w:rsidRPr="00D9152B">
        <w:rPr>
          <w:rStyle w:val="FootnoteReference"/>
          <w:rFonts w:ascii="Calibri" w:hAnsi="Calibri" w:cs="Calibri"/>
        </w:rPr>
        <w:footnoteReference w:customMarkFollows="1" w:id="819"/>
        <w:t>39</w:t>
      </w:r>
      <w:r w:rsidR="00E358E8" w:rsidRPr="00D9152B">
        <w:rPr>
          <w:rFonts w:ascii="Calibri" w:hAnsi="Calibri" w:cs="Calibri"/>
          <w:sz w:val="22"/>
          <w:szCs w:val="22"/>
        </w:rPr>
        <w:t xml:space="preserve"> </w:t>
      </w:r>
    </w:p>
    <w:p w14:paraId="32CCFC78" w14:textId="6F733EB0" w:rsidR="00AC7848" w:rsidRPr="00D9152B" w:rsidRDefault="00AC7848" w:rsidP="00A12E2E">
      <w:pPr>
        <w:spacing w:before="100" w:beforeAutospacing="1" w:after="100" w:afterAutospacing="1" w:line="360" w:lineRule="auto"/>
        <w:ind w:firstLine="720"/>
        <w:rPr>
          <w:rFonts w:ascii="Calibri" w:hAnsi="Calibri" w:cs="Calibri"/>
          <w:color w:val="000000" w:themeColor="text1"/>
          <w:sz w:val="22"/>
          <w:szCs w:val="22"/>
        </w:rPr>
      </w:pPr>
      <w:r w:rsidRPr="00D9152B">
        <w:rPr>
          <w:rFonts w:ascii="Calibri" w:hAnsi="Calibri" w:cs="Calibri"/>
          <w:color w:val="000000" w:themeColor="text1"/>
          <w:sz w:val="22"/>
          <w:szCs w:val="22"/>
        </w:rPr>
        <w:t>The fragmented and poorly financed national health systems of participating countries also meant that devolved activities might have to be</w:t>
      </w:r>
      <w:r w:rsidR="00E358E8" w:rsidRPr="00D9152B">
        <w:rPr>
          <w:rFonts w:ascii="Calibri" w:hAnsi="Calibri" w:cs="Calibri"/>
          <w:color w:val="000000" w:themeColor="text1"/>
          <w:sz w:val="22"/>
          <w:szCs w:val="22"/>
        </w:rPr>
        <w:t xml:space="preserve"> externally</w:t>
      </w:r>
      <w:r w:rsidRPr="00D9152B">
        <w:rPr>
          <w:rFonts w:ascii="Calibri" w:hAnsi="Calibri" w:cs="Calibri"/>
          <w:color w:val="000000" w:themeColor="text1"/>
          <w:sz w:val="22"/>
          <w:szCs w:val="22"/>
        </w:rPr>
        <w:t xml:space="preserve"> financed well after the OCP ended. For instance, in 1984, Burkina Faso had an average life expectancy of 45 years, an infant mortality rate of about 167 per 1000 live births (one of the highest in the world), a child mortality rate of about 119 per 1000, a high rate of malnourishment, and a burden of infectious diseases that coll</w:t>
      </w:r>
      <w:r w:rsidR="00E358E8" w:rsidRPr="00D9152B">
        <w:rPr>
          <w:rFonts w:ascii="Calibri" w:hAnsi="Calibri" w:cs="Calibri"/>
          <w:color w:val="000000" w:themeColor="text1"/>
          <w:sz w:val="22"/>
          <w:szCs w:val="22"/>
        </w:rPr>
        <w:t>ectively accounted for about 70 percent</w:t>
      </w:r>
      <w:r w:rsidRPr="00D9152B">
        <w:rPr>
          <w:rFonts w:ascii="Calibri" w:hAnsi="Calibri" w:cs="Calibri"/>
          <w:color w:val="000000" w:themeColor="text1"/>
          <w:sz w:val="22"/>
          <w:szCs w:val="22"/>
        </w:rPr>
        <w:t xml:space="preserve"> of all deaths.</w:t>
      </w:r>
      <w:r w:rsidR="00803644" w:rsidRPr="00D9152B">
        <w:rPr>
          <w:rStyle w:val="FootnoteReference"/>
          <w:rFonts w:ascii="Calibri" w:hAnsi="Calibri" w:cs="Calibri"/>
          <w:color w:val="000000" w:themeColor="text1"/>
        </w:rPr>
        <w:footnoteReference w:customMarkFollows="1" w:id="820"/>
        <w:t>40</w:t>
      </w:r>
      <w:r w:rsidRPr="00D9152B">
        <w:rPr>
          <w:rFonts w:ascii="Calibri" w:hAnsi="Calibri" w:cs="Calibri"/>
          <w:color w:val="000000" w:themeColor="text1"/>
          <w:sz w:val="22"/>
          <w:szCs w:val="22"/>
        </w:rPr>
        <w:t xml:space="preserve"> These poor health outcomes were largely the product of manpower insufficiency within the country’s pyramidal health network</w:t>
      </w:r>
      <w:r w:rsidR="00D140FF" w:rsidRPr="00D9152B">
        <w:rPr>
          <w:rFonts w:ascii="Calibri" w:hAnsi="Calibri" w:cs="Calibri"/>
          <w:color w:val="000000" w:themeColor="text1"/>
          <w:sz w:val="22"/>
          <w:szCs w:val="22"/>
        </w:rPr>
        <w:t>, in which public health</w:t>
      </w:r>
      <w:r w:rsidRPr="00D9152B">
        <w:rPr>
          <w:rFonts w:ascii="Calibri" w:hAnsi="Calibri" w:cs="Calibri"/>
          <w:color w:val="000000" w:themeColor="text1"/>
          <w:sz w:val="22"/>
          <w:szCs w:val="22"/>
        </w:rPr>
        <w:t xml:space="preserve"> operations were decentralized at the provincial level</w:t>
      </w:r>
      <w:r w:rsidR="00D140FF" w:rsidRPr="00D9152B">
        <w:rPr>
          <w:rFonts w:ascii="Calibri" w:hAnsi="Calibri" w:cs="Calibri"/>
          <w:color w:val="000000" w:themeColor="text1"/>
          <w:sz w:val="22"/>
          <w:szCs w:val="22"/>
        </w:rPr>
        <w:t xml:space="preserve">. </w:t>
      </w:r>
      <w:r w:rsidRPr="00D9152B">
        <w:rPr>
          <w:rFonts w:ascii="Calibri" w:hAnsi="Calibri" w:cs="Calibri"/>
          <w:color w:val="000000" w:themeColor="text1"/>
          <w:sz w:val="22"/>
          <w:szCs w:val="22"/>
        </w:rPr>
        <w:t>This meant that</w:t>
      </w:r>
      <w:r w:rsidR="00E358E8" w:rsidRPr="00D9152B">
        <w:rPr>
          <w:rFonts w:ascii="Calibri" w:hAnsi="Calibri" w:cs="Calibri"/>
          <w:color w:val="000000" w:themeColor="text1"/>
          <w:sz w:val="22"/>
          <w:szCs w:val="22"/>
        </w:rPr>
        <w:t>, in 1985,</w:t>
      </w:r>
      <w:r w:rsidRPr="00D9152B">
        <w:rPr>
          <w:rFonts w:ascii="Calibri" w:hAnsi="Calibri" w:cs="Calibri"/>
          <w:color w:val="000000" w:themeColor="text1"/>
          <w:sz w:val="22"/>
          <w:szCs w:val="22"/>
        </w:rPr>
        <w:t xml:space="preserve"> only a little over half of the population was within 5</w:t>
      </w:r>
      <w:r w:rsidR="00D140FF" w:rsidRPr="00D9152B">
        <w:rPr>
          <w:rFonts w:ascii="Calibri" w:hAnsi="Calibri" w:cs="Calibri"/>
          <w:color w:val="000000" w:themeColor="text1"/>
          <w:sz w:val="22"/>
          <w:szCs w:val="22"/>
        </w:rPr>
        <w:t xml:space="preserve"> kilometres</w:t>
      </w:r>
      <w:r w:rsidR="00E358E8" w:rsidRPr="00D9152B">
        <w:rPr>
          <w:rFonts w:ascii="Calibri" w:hAnsi="Calibri" w:cs="Calibri"/>
          <w:color w:val="000000" w:themeColor="text1"/>
          <w:sz w:val="22"/>
          <w:szCs w:val="22"/>
        </w:rPr>
        <w:t xml:space="preserve"> of any health facility</w:t>
      </w:r>
      <w:r w:rsidRPr="00D9152B">
        <w:rPr>
          <w:rFonts w:ascii="Calibri" w:hAnsi="Calibri" w:cs="Calibri"/>
          <w:color w:val="000000" w:themeColor="text1"/>
          <w:sz w:val="22"/>
          <w:szCs w:val="22"/>
        </w:rPr>
        <w:t xml:space="preserve">, and facilities were skewed towards urban areas. </w:t>
      </w:r>
      <w:r w:rsidR="00E358E8" w:rsidRPr="00D9152B">
        <w:rPr>
          <w:rFonts w:ascii="Calibri" w:hAnsi="Calibri" w:cs="Calibri"/>
          <w:color w:val="000000" w:themeColor="text1"/>
          <w:sz w:val="22"/>
          <w:szCs w:val="22"/>
        </w:rPr>
        <w:t xml:space="preserve">The government’s commitment to Health for All centred upon a five-year plan (1986-1990), which was focused on maternal and child health, an essential immunization package, and a public awareness campaign for health education and sanitation – not the development of surveillance infrastructure for endemic diseases. </w:t>
      </w:r>
      <w:r w:rsidRPr="00D9152B">
        <w:rPr>
          <w:rFonts w:ascii="Calibri" w:hAnsi="Calibri" w:cs="Calibri"/>
          <w:color w:val="000000" w:themeColor="text1"/>
          <w:sz w:val="22"/>
          <w:szCs w:val="22"/>
        </w:rPr>
        <w:t>The government’s per capita national health budget was about $1.95 in 1</w:t>
      </w:r>
      <w:r w:rsidR="00E358E8" w:rsidRPr="00D9152B">
        <w:rPr>
          <w:rFonts w:ascii="Calibri" w:hAnsi="Calibri" w:cs="Calibri"/>
          <w:color w:val="000000" w:themeColor="text1"/>
          <w:sz w:val="22"/>
          <w:szCs w:val="22"/>
        </w:rPr>
        <w:t>987</w:t>
      </w:r>
      <w:r w:rsidR="00D140FF" w:rsidRPr="00D9152B">
        <w:rPr>
          <w:rFonts w:ascii="Calibri" w:hAnsi="Calibri" w:cs="Calibri"/>
          <w:color w:val="000000" w:themeColor="text1"/>
          <w:sz w:val="22"/>
          <w:szCs w:val="22"/>
        </w:rPr>
        <w:t xml:space="preserve">. Only </w:t>
      </w:r>
      <w:r w:rsidR="00E358E8" w:rsidRPr="00D9152B">
        <w:rPr>
          <w:rFonts w:ascii="Calibri" w:hAnsi="Calibri" w:cs="Calibri"/>
          <w:color w:val="000000" w:themeColor="text1"/>
          <w:sz w:val="22"/>
          <w:szCs w:val="22"/>
        </w:rPr>
        <w:t>about six percent</w:t>
      </w:r>
      <w:r w:rsidRPr="00D9152B">
        <w:rPr>
          <w:rFonts w:ascii="Calibri" w:hAnsi="Calibri" w:cs="Calibri"/>
          <w:color w:val="000000" w:themeColor="text1"/>
          <w:sz w:val="22"/>
          <w:szCs w:val="22"/>
        </w:rPr>
        <w:t xml:space="preserve"> of th</w:t>
      </w:r>
      <w:r w:rsidR="00D140FF" w:rsidRPr="00D9152B">
        <w:rPr>
          <w:rFonts w:ascii="Calibri" w:hAnsi="Calibri" w:cs="Calibri"/>
          <w:color w:val="000000" w:themeColor="text1"/>
          <w:sz w:val="22"/>
          <w:szCs w:val="22"/>
        </w:rPr>
        <w:t>is</w:t>
      </w:r>
      <w:r w:rsidRPr="00D9152B">
        <w:rPr>
          <w:rFonts w:ascii="Calibri" w:hAnsi="Calibri" w:cs="Calibri"/>
          <w:color w:val="000000" w:themeColor="text1"/>
          <w:sz w:val="22"/>
          <w:szCs w:val="22"/>
        </w:rPr>
        <w:t xml:space="preserve"> health budget was allocated to endemic disease control, and government allocations to drugs were particularly neglected (at only about $0.08 per capita). Furthermore, many of the OCP donors were already contributing to this five year infrastructure-supporting HSS plan.</w:t>
      </w:r>
      <w:r w:rsidR="00DF3A8B" w:rsidRPr="00D9152B">
        <w:rPr>
          <w:rStyle w:val="FootnoteReference"/>
          <w:rFonts w:ascii="Calibri" w:hAnsi="Calibri" w:cs="Calibri"/>
          <w:color w:val="000000" w:themeColor="text1"/>
        </w:rPr>
        <w:footnoteReference w:customMarkFollows="1" w:id="821"/>
        <w:t>41</w:t>
      </w:r>
      <w:r w:rsidRPr="00D9152B">
        <w:rPr>
          <w:rFonts w:ascii="Calibri" w:hAnsi="Calibri" w:cs="Calibri"/>
          <w:color w:val="000000" w:themeColor="text1"/>
          <w:sz w:val="22"/>
          <w:szCs w:val="22"/>
        </w:rPr>
        <w:t xml:space="preserve"> In short, the OCP could provide training to the government’s small endemic disease control program</w:t>
      </w:r>
      <w:r w:rsidR="008039C9">
        <w:rPr>
          <w:rFonts w:ascii="Calibri" w:hAnsi="Calibri" w:cs="Calibri"/>
          <w:color w:val="000000" w:themeColor="text1"/>
          <w:sz w:val="22"/>
          <w:szCs w:val="22"/>
        </w:rPr>
        <w:t>me</w:t>
      </w:r>
      <w:r w:rsidRPr="00D9152B">
        <w:rPr>
          <w:rFonts w:ascii="Calibri" w:hAnsi="Calibri" w:cs="Calibri"/>
          <w:color w:val="000000" w:themeColor="text1"/>
          <w:sz w:val="22"/>
          <w:szCs w:val="22"/>
        </w:rPr>
        <w:t>. However, this would require significa</w:t>
      </w:r>
      <w:r w:rsidR="002B27D4" w:rsidRPr="00D9152B">
        <w:rPr>
          <w:rFonts w:ascii="Calibri" w:hAnsi="Calibri" w:cs="Calibri"/>
          <w:color w:val="000000" w:themeColor="text1"/>
          <w:sz w:val="22"/>
          <w:szCs w:val="22"/>
        </w:rPr>
        <w:t>nt investments in manpower, and</w:t>
      </w:r>
      <w:r w:rsidRPr="00D9152B">
        <w:rPr>
          <w:rFonts w:ascii="Calibri" w:hAnsi="Calibri" w:cs="Calibri"/>
          <w:color w:val="000000" w:themeColor="text1"/>
          <w:sz w:val="22"/>
          <w:szCs w:val="22"/>
        </w:rPr>
        <w:t xml:space="preserve"> would risk hollowing-out donor support of other </w:t>
      </w:r>
      <w:r w:rsidRPr="00D9152B">
        <w:rPr>
          <w:rFonts w:ascii="Calibri" w:hAnsi="Calibri" w:cs="Calibri"/>
          <w:color w:val="000000" w:themeColor="text1"/>
          <w:sz w:val="22"/>
          <w:szCs w:val="22"/>
        </w:rPr>
        <w:lastRenderedPageBreak/>
        <w:t>activities across (and health workers’ ability to dedicate their over-stretched time to) the decentralized health system.</w:t>
      </w:r>
    </w:p>
    <w:p w14:paraId="793912FF" w14:textId="25E03ACC" w:rsidR="003F741F" w:rsidRPr="00D9152B" w:rsidRDefault="00AC7848" w:rsidP="00A12E2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Faced with the </w:t>
      </w:r>
      <w:r w:rsidR="00B70073" w:rsidRPr="00D9152B">
        <w:rPr>
          <w:rFonts w:ascii="Calibri" w:hAnsi="Calibri" w:cs="Calibri"/>
          <w:sz w:val="22"/>
          <w:szCs w:val="22"/>
        </w:rPr>
        <w:t>ten-year</w:t>
      </w:r>
      <w:r w:rsidRPr="00D9152B">
        <w:rPr>
          <w:rFonts w:ascii="Calibri" w:hAnsi="Calibri" w:cs="Calibri"/>
          <w:sz w:val="22"/>
          <w:szCs w:val="22"/>
        </w:rPr>
        <w:t xml:space="preserve"> programme anniversary and the fear that OCP devolution would become a never-ending drain on resources, donors demanded that the OCP operationalize a clear devolution strategy in the mid-1980s.</w:t>
      </w:r>
      <w:r w:rsidR="00DF3A8B" w:rsidRPr="00D9152B">
        <w:rPr>
          <w:rStyle w:val="FootnoteReference"/>
          <w:rFonts w:ascii="Calibri" w:hAnsi="Calibri" w:cs="Calibri"/>
        </w:rPr>
        <w:footnoteReference w:customMarkFollows="1" w:id="822"/>
        <w:t>42</w:t>
      </w:r>
      <w:r w:rsidRPr="00D9152B">
        <w:rPr>
          <w:rFonts w:ascii="Calibri" w:hAnsi="Calibri" w:cs="Calibri"/>
          <w:sz w:val="22"/>
          <w:szCs w:val="22"/>
        </w:rPr>
        <w:t xml:space="preserve"> The Bank, then itself one of the largest programme donors, began to worry that ‘the beneficiary countries tend to ask too much of the OCP’, which could turn the OCP into a comprehensive PHC ‘planning assistance’ agency.</w:t>
      </w:r>
      <w:r w:rsidR="00DF3A8B" w:rsidRPr="00D9152B">
        <w:rPr>
          <w:rStyle w:val="FootnoteReference"/>
          <w:rFonts w:ascii="Calibri" w:hAnsi="Calibri" w:cs="Calibri"/>
        </w:rPr>
        <w:footnoteReference w:customMarkFollows="1" w:id="823"/>
        <w:t>43</w:t>
      </w:r>
      <w:r w:rsidRPr="00D9152B">
        <w:rPr>
          <w:rFonts w:ascii="Calibri" w:hAnsi="Calibri" w:cs="Calibri"/>
          <w:sz w:val="22"/>
          <w:szCs w:val="22"/>
        </w:rPr>
        <w:t xml:space="preserve"> When the United States made its financial support for the OCP conditional on a devolution plan that was more than ‘conjecture’ in 1986,</w:t>
      </w:r>
      <w:r w:rsidR="00DF3A8B" w:rsidRPr="00D9152B">
        <w:rPr>
          <w:rStyle w:val="FootnoteReference"/>
          <w:rFonts w:ascii="Calibri" w:hAnsi="Calibri" w:cs="Calibri"/>
        </w:rPr>
        <w:footnoteReference w:customMarkFollows="1" w:id="824"/>
        <w:t>44</w:t>
      </w:r>
      <w:r w:rsidRPr="00D9152B">
        <w:rPr>
          <w:rFonts w:ascii="Calibri" w:hAnsi="Calibri" w:cs="Calibri"/>
          <w:sz w:val="22"/>
          <w:szCs w:val="22"/>
        </w:rPr>
        <w:t xml:space="preserve"> the Bank called a meeting on devolution. It decided to take more control over the devolution planning process, and to shift </w:t>
      </w:r>
      <w:r w:rsidR="00B70073" w:rsidRPr="00D9152B">
        <w:rPr>
          <w:rFonts w:ascii="Calibri" w:hAnsi="Calibri" w:cs="Calibri"/>
          <w:sz w:val="22"/>
          <w:szCs w:val="22"/>
        </w:rPr>
        <w:t>its goal back to</w:t>
      </w:r>
      <w:r w:rsidRPr="00D9152B">
        <w:rPr>
          <w:rFonts w:ascii="Calibri" w:hAnsi="Calibri" w:cs="Calibri"/>
          <w:sz w:val="22"/>
          <w:szCs w:val="22"/>
        </w:rPr>
        <w:t xml:space="preserve"> onchocerciasis (as opposed to multi-disease surveillance and control). </w:t>
      </w:r>
      <w:r w:rsidR="003F741F" w:rsidRPr="00D9152B">
        <w:rPr>
          <w:rFonts w:ascii="Calibri" w:hAnsi="Calibri" w:cs="Calibri"/>
          <w:sz w:val="22"/>
          <w:szCs w:val="22"/>
        </w:rPr>
        <w:t xml:space="preserve">As a Senior Advisor for </w:t>
      </w:r>
      <w:r w:rsidR="00A2292A">
        <w:rPr>
          <w:rFonts w:ascii="Calibri" w:hAnsi="Calibri" w:cs="Calibri"/>
          <w:sz w:val="22"/>
          <w:szCs w:val="22"/>
        </w:rPr>
        <w:t>Sub-Saharan</w:t>
      </w:r>
      <w:r w:rsidR="003F741F" w:rsidRPr="00D9152B">
        <w:rPr>
          <w:rFonts w:ascii="Calibri" w:hAnsi="Calibri" w:cs="Calibri"/>
          <w:sz w:val="22"/>
          <w:szCs w:val="22"/>
        </w:rPr>
        <w:t xml:space="preserve"> Africa at the Bank later explained, </w:t>
      </w:r>
    </w:p>
    <w:p w14:paraId="1D9AAA83" w14:textId="15116444" w:rsidR="003F741F" w:rsidRPr="00D9152B" w:rsidRDefault="003F741F" w:rsidP="003F741F">
      <w:pPr>
        <w:pStyle w:val="Quote"/>
        <w:ind w:left="862" w:right="862"/>
        <w:rPr>
          <w:rFonts w:cs="Calibri"/>
          <w:i/>
          <w:sz w:val="22"/>
          <w:szCs w:val="22"/>
        </w:rPr>
      </w:pPr>
      <w:r w:rsidRPr="00D9152B">
        <w:rPr>
          <w:rFonts w:cs="Calibri"/>
          <w:i/>
          <w:sz w:val="22"/>
          <w:szCs w:val="22"/>
        </w:rPr>
        <w:t>‘…surely Africa is full of historic events which show</w:t>
      </w:r>
      <w:r w:rsidR="00291F70" w:rsidRPr="00D9152B">
        <w:rPr>
          <w:rFonts w:cs="Calibri"/>
          <w:i/>
          <w:sz w:val="22"/>
          <w:szCs w:val="22"/>
        </w:rPr>
        <w:t>s</w:t>
      </w:r>
      <w:r w:rsidRPr="00D9152B">
        <w:rPr>
          <w:rFonts w:cs="Calibri"/>
          <w:i/>
          <w:sz w:val="22"/>
          <w:szCs w:val="22"/>
        </w:rPr>
        <w:t xml:space="preserve"> you that this [onchocerciasis control] was not a priority in terms of [participating] governments… I guess that they would have to concern themselves with the idea that in the long term this would have to be run on an international basis and not a national basis and financed through the Bank whether they get bilateral or multilateral finance. I don’t think it would work just to run some sort of loose cooperative effort by the countries. First of all, I don’t think a lot of them have the technical know-how to deal with it anyway, and secondly if it</w:t>
      </w:r>
      <w:r w:rsidR="00291F70" w:rsidRPr="00D9152B">
        <w:rPr>
          <w:rFonts w:cs="Calibri"/>
          <w:i/>
          <w:sz w:val="22"/>
          <w:szCs w:val="22"/>
        </w:rPr>
        <w:t>’s</w:t>
      </w:r>
      <w:r w:rsidRPr="00D9152B">
        <w:rPr>
          <w:rFonts w:cs="Calibri"/>
          <w:i/>
          <w:sz w:val="22"/>
          <w:szCs w:val="22"/>
        </w:rPr>
        <w:t xml:space="preserve"> let slip, it only takes a very short time to come back.’</w:t>
      </w:r>
      <w:r w:rsidR="00DF3A8B" w:rsidRPr="00D9152B">
        <w:rPr>
          <w:rStyle w:val="FootnoteReference"/>
          <w:rFonts w:ascii="Calibri" w:hAnsi="Calibri" w:cs="Calibri"/>
          <w:i/>
        </w:rPr>
        <w:footnoteReference w:customMarkFollows="1" w:id="825"/>
        <w:t>45</w:t>
      </w:r>
    </w:p>
    <w:p w14:paraId="14DDED29" w14:textId="21AE7601" w:rsidR="00AC7848" w:rsidRPr="00D9152B" w:rsidRDefault="00AC7848" w:rsidP="00A12E2E">
      <w:pPr>
        <w:spacing w:before="100" w:beforeAutospacing="1" w:after="100" w:afterAutospacing="1" w:line="360" w:lineRule="auto"/>
        <w:ind w:firstLine="720"/>
        <w:rPr>
          <w:rFonts w:ascii="Calibri" w:hAnsi="Calibri" w:cs="Calibri"/>
          <w:color w:val="000000" w:themeColor="text1"/>
          <w:sz w:val="22"/>
          <w:szCs w:val="22"/>
        </w:rPr>
      </w:pPr>
      <w:r w:rsidRPr="00D9152B">
        <w:rPr>
          <w:rFonts w:ascii="Calibri" w:hAnsi="Calibri" w:cs="Calibri"/>
          <w:sz w:val="22"/>
          <w:szCs w:val="22"/>
        </w:rPr>
        <w:t>To spearhead the devolution process, the Joint Programme Committee (JPC) and Committee of Sponsoring Agencies (CSA) recommended the establishment of a dedicated OCP devolution unit.</w:t>
      </w:r>
      <w:r w:rsidR="00DF3A8B" w:rsidRPr="00D9152B">
        <w:rPr>
          <w:rStyle w:val="FootnoteReference"/>
          <w:rFonts w:ascii="Calibri" w:hAnsi="Calibri" w:cs="Calibri"/>
        </w:rPr>
        <w:footnoteReference w:customMarkFollows="1" w:id="826"/>
        <w:t>46</w:t>
      </w:r>
      <w:r w:rsidRPr="00D9152B">
        <w:rPr>
          <w:rFonts w:ascii="Calibri" w:hAnsi="Calibri" w:cs="Calibri"/>
          <w:sz w:val="22"/>
          <w:szCs w:val="22"/>
        </w:rPr>
        <w:t xml:space="preserve"> This unit could help participating countries develop feasible devolution plans, and the </w:t>
      </w:r>
      <w:r w:rsidR="002A0F22" w:rsidRPr="00D9152B">
        <w:rPr>
          <w:rFonts w:ascii="Calibri" w:hAnsi="Calibri" w:cs="Calibri"/>
          <w:sz w:val="22"/>
          <w:szCs w:val="22"/>
        </w:rPr>
        <w:t>Joint Programme Committee</w:t>
      </w:r>
      <w:r w:rsidRPr="00D9152B">
        <w:rPr>
          <w:rFonts w:ascii="Calibri" w:hAnsi="Calibri" w:cs="Calibri"/>
          <w:sz w:val="22"/>
          <w:szCs w:val="22"/>
        </w:rPr>
        <w:t xml:space="preserve"> hoped that the Bank would provide </w:t>
      </w:r>
      <w:r w:rsidRPr="00D9152B">
        <w:rPr>
          <w:rFonts w:ascii="Calibri" w:hAnsi="Calibri" w:cs="Calibri"/>
          <w:sz w:val="22"/>
          <w:szCs w:val="22"/>
        </w:rPr>
        <w:lastRenderedPageBreak/>
        <w:t xml:space="preserve">separate loans to finance </w:t>
      </w:r>
      <w:r w:rsidR="002A0F22" w:rsidRPr="00D9152B">
        <w:rPr>
          <w:rFonts w:ascii="Calibri" w:hAnsi="Calibri" w:cs="Calibri"/>
          <w:sz w:val="22"/>
          <w:szCs w:val="22"/>
        </w:rPr>
        <w:t>HSS</w:t>
      </w:r>
      <w:r w:rsidRPr="00D9152B">
        <w:rPr>
          <w:rFonts w:ascii="Calibri" w:hAnsi="Calibri" w:cs="Calibri"/>
          <w:sz w:val="22"/>
          <w:szCs w:val="22"/>
        </w:rPr>
        <w:t xml:space="preserve"> components of these plans.</w:t>
      </w:r>
      <w:r w:rsidR="00DF3A8B" w:rsidRPr="00D9152B">
        <w:rPr>
          <w:rStyle w:val="FootnoteReference"/>
          <w:rFonts w:ascii="Calibri" w:hAnsi="Calibri" w:cs="Calibri"/>
        </w:rPr>
        <w:footnoteReference w:customMarkFollows="1" w:id="827"/>
        <w:t>47</w:t>
      </w:r>
      <w:r w:rsidRPr="00D9152B">
        <w:rPr>
          <w:rStyle w:val="FootnoteReference"/>
          <w:rFonts w:ascii="Calibri" w:hAnsi="Calibri" w:cs="Calibri"/>
          <w:sz w:val="22"/>
          <w:szCs w:val="22"/>
        </w:rPr>
        <w:t xml:space="preserve"> </w:t>
      </w:r>
      <w:r w:rsidRPr="00D9152B">
        <w:rPr>
          <w:rFonts w:ascii="Calibri" w:hAnsi="Calibri" w:cs="Calibri"/>
          <w:sz w:val="22"/>
          <w:szCs w:val="22"/>
        </w:rPr>
        <w:t xml:space="preserve">This strategy would allow the programme to retain its vertical objective, while indirectly supporting extra-OCP </w:t>
      </w:r>
      <w:r w:rsidR="002A0F22" w:rsidRPr="00D9152B">
        <w:rPr>
          <w:rFonts w:ascii="Calibri" w:hAnsi="Calibri" w:cs="Calibri"/>
          <w:sz w:val="22"/>
          <w:szCs w:val="22"/>
        </w:rPr>
        <w:t xml:space="preserve">HSS </w:t>
      </w:r>
      <w:r w:rsidR="009B2F19" w:rsidRPr="00D9152B">
        <w:rPr>
          <w:rFonts w:ascii="Calibri" w:hAnsi="Calibri" w:cs="Calibri"/>
          <w:sz w:val="22"/>
          <w:szCs w:val="22"/>
        </w:rPr>
        <w:t>for onchocerciasis control activities</w:t>
      </w:r>
      <w:r w:rsidRPr="00D9152B">
        <w:rPr>
          <w:rFonts w:ascii="Calibri" w:hAnsi="Calibri" w:cs="Calibri"/>
          <w:sz w:val="22"/>
          <w:szCs w:val="22"/>
        </w:rPr>
        <w:t xml:space="preserve">. </w:t>
      </w:r>
      <w:r w:rsidRPr="00D9152B">
        <w:rPr>
          <w:rFonts w:ascii="Calibri" w:hAnsi="Calibri" w:cs="Calibri"/>
          <w:color w:val="000000" w:themeColor="text1"/>
          <w:sz w:val="22"/>
          <w:szCs w:val="22"/>
        </w:rPr>
        <w:t xml:space="preserve">In 1987, the </w:t>
      </w:r>
      <w:r w:rsidR="002A0F22" w:rsidRPr="00D9152B">
        <w:rPr>
          <w:rFonts w:ascii="Calibri" w:hAnsi="Calibri" w:cs="Calibri"/>
          <w:color w:val="000000" w:themeColor="text1"/>
          <w:sz w:val="22"/>
          <w:szCs w:val="22"/>
        </w:rPr>
        <w:t>Joint Programme Committee</w:t>
      </w:r>
      <w:r w:rsidRPr="00D9152B">
        <w:rPr>
          <w:rFonts w:ascii="Calibri" w:hAnsi="Calibri" w:cs="Calibri"/>
          <w:color w:val="000000" w:themeColor="text1"/>
          <w:sz w:val="22"/>
          <w:szCs w:val="22"/>
        </w:rPr>
        <w:t xml:space="preserve"> further recommended that the OCP create a more specific manual for devolution, including information on best practices for </w:t>
      </w:r>
      <w:r w:rsidR="009B2F19" w:rsidRPr="00D9152B">
        <w:rPr>
          <w:rFonts w:ascii="Calibri" w:hAnsi="Calibri" w:cs="Calibri"/>
          <w:color w:val="000000" w:themeColor="text1"/>
          <w:sz w:val="22"/>
          <w:szCs w:val="22"/>
        </w:rPr>
        <w:t xml:space="preserve">onchocerciasis </w:t>
      </w:r>
      <w:r w:rsidRPr="00D9152B">
        <w:rPr>
          <w:rFonts w:ascii="Calibri" w:hAnsi="Calibri" w:cs="Calibri"/>
          <w:color w:val="000000" w:themeColor="text1"/>
          <w:sz w:val="22"/>
          <w:szCs w:val="22"/>
        </w:rPr>
        <w:t>surveillance and treatment, and that the Bank take the lead in strengthening health facilities, deciding upon training needs</w:t>
      </w:r>
      <w:r w:rsidR="003F741F" w:rsidRPr="00D9152B">
        <w:rPr>
          <w:rFonts w:ascii="Calibri" w:hAnsi="Calibri" w:cs="Calibri"/>
          <w:color w:val="000000" w:themeColor="text1"/>
          <w:sz w:val="22"/>
          <w:szCs w:val="22"/>
        </w:rPr>
        <w:t>,</w:t>
      </w:r>
      <w:r w:rsidRPr="00D9152B">
        <w:rPr>
          <w:rFonts w:ascii="Calibri" w:hAnsi="Calibri" w:cs="Calibri"/>
          <w:color w:val="000000" w:themeColor="text1"/>
          <w:sz w:val="22"/>
          <w:szCs w:val="22"/>
        </w:rPr>
        <w:t xml:space="preserve"> and securing financing for devolution.</w:t>
      </w:r>
      <w:r w:rsidR="00DF3A8B" w:rsidRPr="00D9152B">
        <w:rPr>
          <w:rStyle w:val="FootnoteReference"/>
          <w:rFonts w:ascii="Calibri" w:hAnsi="Calibri" w:cs="Calibri"/>
          <w:color w:val="000000" w:themeColor="text1"/>
        </w:rPr>
        <w:footnoteReference w:customMarkFollows="1" w:id="828"/>
        <w:t>48</w:t>
      </w:r>
      <w:r w:rsidRPr="00D9152B">
        <w:rPr>
          <w:rFonts w:ascii="Calibri" w:hAnsi="Calibri" w:cs="Calibri"/>
          <w:color w:val="000000" w:themeColor="text1"/>
          <w:sz w:val="22"/>
          <w:szCs w:val="22"/>
        </w:rPr>
        <w:t xml:space="preserve"> Because between 25 and 90 percent of medical care in most of the OCP countries was provided through NGOs, the Bank decided to hire consultants to assess the health system development requirements for successful devolution (as the devolution working group had done a few years before).</w:t>
      </w:r>
      <w:r w:rsidR="00DF3A8B" w:rsidRPr="00D9152B">
        <w:rPr>
          <w:rStyle w:val="FootnoteReference"/>
          <w:rFonts w:ascii="Calibri" w:hAnsi="Calibri" w:cs="Calibri"/>
          <w:color w:val="000000" w:themeColor="text1"/>
        </w:rPr>
        <w:footnoteReference w:customMarkFollows="1" w:id="829"/>
        <w:t>49</w:t>
      </w:r>
      <w:r w:rsidRPr="00D9152B">
        <w:rPr>
          <w:rFonts w:ascii="Calibri" w:hAnsi="Calibri" w:cs="Calibri"/>
          <w:color w:val="000000" w:themeColor="text1"/>
          <w:sz w:val="22"/>
          <w:szCs w:val="22"/>
        </w:rPr>
        <w:t xml:space="preserve"> </w:t>
      </w:r>
    </w:p>
    <w:p w14:paraId="20E00993" w14:textId="1C4BF1CC" w:rsidR="00AC7848" w:rsidRPr="00D9152B" w:rsidRDefault="00AC7848" w:rsidP="00A12E2E">
      <w:pPr>
        <w:spacing w:before="100" w:beforeAutospacing="1" w:after="100" w:afterAutospacing="1" w:line="360" w:lineRule="auto"/>
        <w:ind w:firstLine="720"/>
        <w:rPr>
          <w:rFonts w:ascii="Calibri" w:hAnsi="Calibri" w:cs="Calibri"/>
          <w:color w:val="000000" w:themeColor="text1"/>
          <w:sz w:val="22"/>
          <w:szCs w:val="22"/>
        </w:rPr>
      </w:pPr>
      <w:r w:rsidRPr="00D9152B">
        <w:rPr>
          <w:rFonts w:ascii="Calibri" w:hAnsi="Calibri" w:cs="Calibri"/>
          <w:color w:val="000000" w:themeColor="text1"/>
          <w:sz w:val="22"/>
          <w:szCs w:val="22"/>
        </w:rPr>
        <w:t>Bank staff saw it as essential to tread lightly with devolution; there was ‘pressure’ from some donors and beneficiary countries to ‘transform OCP into a regional primary care coordination-cum-implementation agency’, which the Bank felt would make the programme lose its mandate.</w:t>
      </w:r>
      <w:r w:rsidR="00DF3A8B" w:rsidRPr="00D9152B">
        <w:rPr>
          <w:rStyle w:val="FootnoteReference"/>
          <w:rFonts w:ascii="Calibri" w:hAnsi="Calibri" w:cs="Calibri"/>
          <w:color w:val="000000" w:themeColor="text1"/>
        </w:rPr>
        <w:footnoteReference w:customMarkFollows="1" w:id="830"/>
        <w:t>50</w:t>
      </w:r>
      <w:r w:rsidRPr="00D9152B">
        <w:rPr>
          <w:rFonts w:ascii="Calibri" w:hAnsi="Calibri" w:cs="Calibri"/>
          <w:color w:val="000000" w:themeColor="text1"/>
          <w:sz w:val="22"/>
          <w:szCs w:val="22"/>
        </w:rPr>
        <w:t xml:space="preserve"> In 1987, for i</w:t>
      </w:r>
      <w:r w:rsidR="003F741F" w:rsidRPr="00D9152B">
        <w:rPr>
          <w:rFonts w:ascii="Calibri" w:hAnsi="Calibri" w:cs="Calibri"/>
          <w:color w:val="000000" w:themeColor="text1"/>
          <w:sz w:val="22"/>
          <w:szCs w:val="22"/>
        </w:rPr>
        <w:t>nstance, Samba sent letters to ministries of h</w:t>
      </w:r>
      <w:r w:rsidRPr="00D9152B">
        <w:rPr>
          <w:rFonts w:ascii="Calibri" w:hAnsi="Calibri" w:cs="Calibri"/>
          <w:color w:val="000000" w:themeColor="text1"/>
          <w:sz w:val="22"/>
          <w:szCs w:val="22"/>
        </w:rPr>
        <w:t>ealth in participating countries, asking them to nominate national medical staff to participate in ivermectin distribution, with the goal of eventually integrating distribution into existing primary care networks. A handwritten comment from Benton indicat</w:t>
      </w:r>
      <w:r w:rsidR="008D1E81" w:rsidRPr="00D9152B">
        <w:rPr>
          <w:rFonts w:ascii="Calibri" w:hAnsi="Calibri" w:cs="Calibri"/>
          <w:color w:val="000000" w:themeColor="text1"/>
          <w:sz w:val="22"/>
          <w:szCs w:val="22"/>
        </w:rPr>
        <w:t>ed</w:t>
      </w:r>
      <w:r w:rsidRPr="00D9152B">
        <w:rPr>
          <w:rFonts w:ascii="Calibri" w:hAnsi="Calibri" w:cs="Calibri"/>
          <w:color w:val="000000" w:themeColor="text1"/>
          <w:sz w:val="22"/>
          <w:szCs w:val="22"/>
        </w:rPr>
        <w:t xml:space="preserve"> his opinion that this request ‘hardly seems to have been thought through’.</w:t>
      </w:r>
      <w:r w:rsidR="00DF3A8B" w:rsidRPr="00D9152B">
        <w:rPr>
          <w:rStyle w:val="FootnoteReference"/>
          <w:rFonts w:ascii="Calibri" w:hAnsi="Calibri" w:cs="Calibri"/>
          <w:color w:val="000000" w:themeColor="text1"/>
        </w:rPr>
        <w:footnoteReference w:customMarkFollows="1" w:id="831"/>
        <w:t>51</w:t>
      </w:r>
      <w:r w:rsidRPr="00D9152B">
        <w:rPr>
          <w:rFonts w:ascii="Calibri" w:hAnsi="Calibri" w:cs="Calibri"/>
          <w:color w:val="000000" w:themeColor="text1"/>
          <w:sz w:val="22"/>
          <w:szCs w:val="22"/>
        </w:rPr>
        <w:t xml:space="preserve"> If the OCP could not afford to </w:t>
      </w:r>
      <w:r w:rsidR="008A3887" w:rsidRPr="00D9152B">
        <w:rPr>
          <w:rFonts w:ascii="Calibri" w:hAnsi="Calibri" w:cs="Calibri"/>
          <w:color w:val="000000" w:themeColor="text1"/>
          <w:sz w:val="22"/>
          <w:szCs w:val="22"/>
        </w:rPr>
        <w:t>remunerate</w:t>
      </w:r>
      <w:r w:rsidRPr="00D9152B">
        <w:rPr>
          <w:rFonts w:ascii="Calibri" w:hAnsi="Calibri" w:cs="Calibri"/>
          <w:color w:val="000000" w:themeColor="text1"/>
          <w:sz w:val="22"/>
          <w:szCs w:val="22"/>
        </w:rPr>
        <w:t xml:space="preserve"> these </w:t>
      </w:r>
      <w:r w:rsidR="005E79BB" w:rsidRPr="00D9152B">
        <w:rPr>
          <w:rFonts w:ascii="Calibri" w:hAnsi="Calibri" w:cs="Calibri"/>
          <w:color w:val="000000" w:themeColor="text1"/>
          <w:sz w:val="22"/>
          <w:szCs w:val="22"/>
        </w:rPr>
        <w:t>health workers</w:t>
      </w:r>
      <w:r w:rsidRPr="00D9152B">
        <w:rPr>
          <w:rFonts w:ascii="Calibri" w:hAnsi="Calibri" w:cs="Calibri"/>
          <w:color w:val="000000" w:themeColor="text1"/>
          <w:sz w:val="22"/>
          <w:szCs w:val="22"/>
        </w:rPr>
        <w:t xml:space="preserve">, how could </w:t>
      </w:r>
      <w:r w:rsidR="005E79BB" w:rsidRPr="00D9152B">
        <w:rPr>
          <w:rFonts w:ascii="Calibri" w:hAnsi="Calibri" w:cs="Calibri"/>
          <w:color w:val="000000" w:themeColor="text1"/>
          <w:sz w:val="22"/>
          <w:szCs w:val="22"/>
        </w:rPr>
        <w:t>the workers</w:t>
      </w:r>
      <w:r w:rsidRPr="00D9152B">
        <w:rPr>
          <w:rFonts w:ascii="Calibri" w:hAnsi="Calibri" w:cs="Calibri"/>
          <w:color w:val="000000" w:themeColor="text1"/>
          <w:sz w:val="22"/>
          <w:szCs w:val="22"/>
        </w:rPr>
        <w:t xml:space="preserve"> </w:t>
      </w:r>
      <w:r w:rsidR="003F741F" w:rsidRPr="00D9152B">
        <w:rPr>
          <w:rFonts w:ascii="Calibri" w:hAnsi="Calibri" w:cs="Calibri"/>
          <w:color w:val="000000" w:themeColor="text1"/>
          <w:sz w:val="22"/>
          <w:szCs w:val="22"/>
        </w:rPr>
        <w:t xml:space="preserve">voluntarily </w:t>
      </w:r>
      <w:r w:rsidRPr="00D9152B">
        <w:rPr>
          <w:rFonts w:ascii="Calibri" w:hAnsi="Calibri" w:cs="Calibri"/>
          <w:color w:val="000000" w:themeColor="text1"/>
          <w:sz w:val="22"/>
          <w:szCs w:val="22"/>
        </w:rPr>
        <w:t xml:space="preserve">take on the additional task of ivermectin distribution, given that </w:t>
      </w:r>
      <w:r w:rsidR="005E79BB" w:rsidRPr="00D9152B">
        <w:rPr>
          <w:rFonts w:ascii="Calibri" w:hAnsi="Calibri" w:cs="Calibri"/>
          <w:color w:val="000000" w:themeColor="text1"/>
          <w:sz w:val="22"/>
          <w:szCs w:val="22"/>
        </w:rPr>
        <w:t>they</w:t>
      </w:r>
      <w:r w:rsidRPr="00D9152B">
        <w:rPr>
          <w:rFonts w:ascii="Calibri" w:hAnsi="Calibri" w:cs="Calibri"/>
          <w:color w:val="000000" w:themeColor="text1"/>
          <w:sz w:val="22"/>
          <w:szCs w:val="22"/>
        </w:rPr>
        <w:t xml:space="preserve"> were already overextended?</w:t>
      </w:r>
    </w:p>
    <w:p w14:paraId="5EA53111" w14:textId="58444251" w:rsidR="003F741F" w:rsidRPr="00D9152B" w:rsidRDefault="008D1E81" w:rsidP="00A12E2E">
      <w:pPr>
        <w:spacing w:before="100" w:beforeAutospacing="1" w:after="100" w:afterAutospacing="1" w:line="360" w:lineRule="auto"/>
        <w:ind w:firstLine="720"/>
        <w:rPr>
          <w:rFonts w:ascii="Calibri" w:hAnsi="Calibri" w:cs="Calibri"/>
          <w:color w:val="000000" w:themeColor="text1"/>
          <w:sz w:val="22"/>
          <w:szCs w:val="22"/>
        </w:rPr>
      </w:pPr>
      <w:r w:rsidRPr="00D9152B">
        <w:rPr>
          <w:rFonts w:ascii="Calibri" w:hAnsi="Calibri" w:cs="Calibri"/>
          <w:color w:val="000000" w:themeColor="text1"/>
          <w:sz w:val="22"/>
          <w:szCs w:val="22"/>
        </w:rPr>
        <w:t>The Bank’s</w:t>
      </w:r>
      <w:r w:rsidR="00AC7848" w:rsidRPr="00D9152B">
        <w:rPr>
          <w:rFonts w:ascii="Calibri" w:hAnsi="Calibri" w:cs="Calibri"/>
          <w:color w:val="000000" w:themeColor="text1"/>
          <w:sz w:val="22"/>
          <w:szCs w:val="22"/>
        </w:rPr>
        <w:t xml:space="preserve"> efforts were rewarded in 1988 with a new definition</w:t>
      </w:r>
      <w:r w:rsidR="003F741F" w:rsidRPr="00D9152B">
        <w:rPr>
          <w:rFonts w:ascii="Calibri" w:hAnsi="Calibri" w:cs="Calibri"/>
          <w:color w:val="000000" w:themeColor="text1"/>
          <w:sz w:val="22"/>
          <w:szCs w:val="22"/>
        </w:rPr>
        <w:t xml:space="preserve"> of devolution</w:t>
      </w:r>
      <w:r w:rsidR="00AC7848" w:rsidRPr="00D9152B">
        <w:rPr>
          <w:rFonts w:ascii="Calibri" w:hAnsi="Calibri" w:cs="Calibri"/>
          <w:color w:val="000000" w:themeColor="text1"/>
          <w:sz w:val="22"/>
          <w:szCs w:val="22"/>
        </w:rPr>
        <w:t xml:space="preserve">, focused squarely on onchocerciasis control: ‘Devolution, redefined, amounts to a simple epidemiological and entomological surveillance and ivermectin treatment integrated into </w:t>
      </w:r>
      <w:r w:rsidR="00AC7848" w:rsidRPr="00D9152B">
        <w:rPr>
          <w:rFonts w:ascii="Calibri" w:hAnsi="Calibri" w:cs="Calibri"/>
          <w:color w:val="000000" w:themeColor="text1"/>
          <w:sz w:val="22"/>
          <w:szCs w:val="22"/>
        </w:rPr>
        <w:lastRenderedPageBreak/>
        <w:t>the national health systems of the Participating Countries to prevent any recrudescence of onchocerciasis’.</w:t>
      </w:r>
      <w:r w:rsidR="00DF3A8B" w:rsidRPr="00D9152B">
        <w:rPr>
          <w:rStyle w:val="FootnoteReference"/>
          <w:rFonts w:ascii="Calibri" w:hAnsi="Calibri" w:cs="Calibri"/>
          <w:color w:val="000000" w:themeColor="text1"/>
        </w:rPr>
        <w:footnoteReference w:customMarkFollows="1" w:id="832"/>
        <w:t>52</w:t>
      </w:r>
      <w:r w:rsidR="00AC7848" w:rsidRPr="00D9152B">
        <w:rPr>
          <w:rFonts w:ascii="Calibri" w:hAnsi="Calibri" w:cs="Calibri"/>
          <w:color w:val="000000" w:themeColor="text1"/>
          <w:sz w:val="22"/>
          <w:szCs w:val="22"/>
        </w:rPr>
        <w:t xml:space="preserve"> </w:t>
      </w:r>
    </w:p>
    <w:p w14:paraId="63B3030E" w14:textId="20CCB2B6" w:rsidR="004205AB" w:rsidRPr="00D9152B" w:rsidRDefault="00076FC2" w:rsidP="00656BE2">
      <w:pPr>
        <w:pStyle w:val="Heading2"/>
        <w:rPr>
          <w:rFonts w:ascii="Calibri" w:hAnsi="Calibri" w:cs="Calibri"/>
          <w:b/>
          <w:sz w:val="26"/>
          <w:szCs w:val="26"/>
        </w:rPr>
      </w:pPr>
      <w:bookmarkStart w:id="145" w:name="_Toc9026588"/>
      <w:bookmarkStart w:id="146" w:name="_Toc41505701"/>
      <w:r w:rsidRPr="00D9152B">
        <w:rPr>
          <w:rFonts w:ascii="Calibri" w:hAnsi="Calibri" w:cs="Calibri"/>
          <w:b/>
          <w:sz w:val="26"/>
          <w:szCs w:val="26"/>
        </w:rPr>
        <w:t>8</w:t>
      </w:r>
      <w:r w:rsidR="00E941D5" w:rsidRPr="00D9152B">
        <w:rPr>
          <w:rFonts w:ascii="Calibri" w:hAnsi="Calibri" w:cs="Calibri"/>
          <w:b/>
          <w:sz w:val="26"/>
          <w:szCs w:val="26"/>
        </w:rPr>
        <w:t>.</w:t>
      </w:r>
      <w:r w:rsidR="00677774" w:rsidRPr="00D9152B">
        <w:rPr>
          <w:rFonts w:ascii="Calibri" w:hAnsi="Calibri" w:cs="Calibri"/>
          <w:b/>
          <w:sz w:val="26"/>
          <w:szCs w:val="26"/>
        </w:rPr>
        <w:t>6</w:t>
      </w:r>
      <w:r w:rsidR="00E941D5" w:rsidRPr="00D9152B">
        <w:rPr>
          <w:rFonts w:ascii="Calibri" w:hAnsi="Calibri" w:cs="Calibri"/>
          <w:b/>
          <w:sz w:val="26"/>
          <w:szCs w:val="26"/>
        </w:rPr>
        <w:t xml:space="preserve">. </w:t>
      </w:r>
      <w:r w:rsidR="00AC7848" w:rsidRPr="00D9152B">
        <w:rPr>
          <w:rFonts w:ascii="Calibri" w:hAnsi="Calibri" w:cs="Calibri"/>
          <w:b/>
          <w:sz w:val="26"/>
          <w:szCs w:val="26"/>
        </w:rPr>
        <w:t>Ivermectin and recasting devolution as public accountability (1989-1993)</w:t>
      </w:r>
      <w:bookmarkEnd w:id="145"/>
      <w:bookmarkEnd w:id="146"/>
    </w:p>
    <w:p w14:paraId="6FDEFB1A" w14:textId="557FC645" w:rsidR="00F00850" w:rsidRPr="00D9152B" w:rsidRDefault="00F00850" w:rsidP="00F00850">
      <w:pPr>
        <w:pStyle w:val="Heading4"/>
        <w:rPr>
          <w:rFonts w:ascii="Calibri" w:hAnsi="Calibri" w:cs="Calibri"/>
          <w:b/>
        </w:rPr>
      </w:pPr>
    </w:p>
    <w:p w14:paraId="21E63024" w14:textId="4D579F06" w:rsidR="00F00850" w:rsidRPr="00D9152B" w:rsidRDefault="00F00850" w:rsidP="00A12E2E">
      <w:pPr>
        <w:spacing w:line="360" w:lineRule="auto"/>
        <w:ind w:firstLine="720"/>
        <w:rPr>
          <w:rFonts w:ascii="Calibri" w:hAnsi="Calibri" w:cs="Calibri"/>
          <w:sz w:val="22"/>
          <w:szCs w:val="22"/>
        </w:rPr>
      </w:pPr>
      <w:r w:rsidRPr="00D9152B">
        <w:rPr>
          <w:rFonts w:ascii="Calibri" w:hAnsi="Calibri" w:cs="Calibri"/>
          <w:color w:val="000000" w:themeColor="text1"/>
          <w:sz w:val="22"/>
          <w:szCs w:val="22"/>
        </w:rPr>
        <w:t xml:space="preserve">With ivermectin’s donation, three key questions </w:t>
      </w:r>
      <w:r w:rsidR="008D1E81" w:rsidRPr="00D9152B">
        <w:rPr>
          <w:rFonts w:ascii="Calibri" w:hAnsi="Calibri" w:cs="Calibri"/>
          <w:color w:val="000000" w:themeColor="text1"/>
          <w:sz w:val="22"/>
          <w:szCs w:val="22"/>
        </w:rPr>
        <w:t>rose to the fore:</w:t>
      </w:r>
      <w:r w:rsidRPr="00D9152B">
        <w:rPr>
          <w:rFonts w:ascii="Calibri" w:hAnsi="Calibri" w:cs="Calibri"/>
          <w:color w:val="000000" w:themeColor="text1"/>
          <w:sz w:val="22"/>
          <w:szCs w:val="22"/>
        </w:rPr>
        <w:t xml:space="preserve"> how, precisely, would national health workers be involved in ivermectin distribution, who would finance this distribution, and how would it relate to wider disease surveillance needs? Merck wanted to make sure that adverse drug effects were reported, and that the drug remained off the black market (especially for its veterinary uses). At the same time, the OCP worried about public fallout if it restricted acces</w:t>
      </w:r>
      <w:r w:rsidR="005E79BB" w:rsidRPr="00D9152B">
        <w:rPr>
          <w:rFonts w:ascii="Calibri" w:hAnsi="Calibri" w:cs="Calibri"/>
          <w:color w:val="000000" w:themeColor="text1"/>
          <w:sz w:val="22"/>
          <w:szCs w:val="22"/>
        </w:rPr>
        <w:t xml:space="preserve">s to a highly efficacious drug. Yet, </w:t>
      </w:r>
      <w:r w:rsidR="008D1E81" w:rsidRPr="00D9152B">
        <w:rPr>
          <w:rFonts w:ascii="Calibri" w:hAnsi="Calibri" w:cs="Calibri"/>
          <w:color w:val="000000" w:themeColor="text1"/>
          <w:sz w:val="22"/>
          <w:szCs w:val="22"/>
        </w:rPr>
        <w:t>it</w:t>
      </w:r>
      <w:r w:rsidRPr="00D9152B">
        <w:rPr>
          <w:rFonts w:ascii="Calibri" w:hAnsi="Calibri" w:cs="Calibri"/>
          <w:color w:val="000000" w:themeColor="text1"/>
          <w:sz w:val="22"/>
          <w:szCs w:val="22"/>
        </w:rPr>
        <w:t xml:space="preserve"> did not have a clear plan for how to plan, evaluate, and control distribution</w:t>
      </w:r>
      <w:r w:rsidRPr="00D9152B">
        <w:rPr>
          <w:rFonts w:ascii="Calibri" w:hAnsi="Calibri" w:cs="Calibri"/>
          <w:sz w:val="22"/>
          <w:szCs w:val="22"/>
        </w:rPr>
        <w:t>.</w:t>
      </w:r>
      <w:r w:rsidR="00DF3A8B" w:rsidRPr="00D9152B">
        <w:rPr>
          <w:rStyle w:val="FootnoteReference"/>
          <w:rFonts w:ascii="Calibri" w:hAnsi="Calibri" w:cs="Calibri"/>
        </w:rPr>
        <w:footnoteReference w:customMarkFollows="1" w:id="833"/>
        <w:t>53</w:t>
      </w:r>
    </w:p>
    <w:p w14:paraId="472B3897" w14:textId="6026C1AF" w:rsidR="00A13333" w:rsidRPr="00D9152B" w:rsidRDefault="00A13333" w:rsidP="00A12E2E">
      <w:pPr>
        <w:spacing w:line="360" w:lineRule="auto"/>
        <w:ind w:firstLine="720"/>
        <w:rPr>
          <w:rFonts w:ascii="Calibri" w:hAnsi="Calibri" w:cs="Calibri"/>
          <w:sz w:val="22"/>
          <w:szCs w:val="22"/>
        </w:rPr>
      </w:pPr>
    </w:p>
    <w:p w14:paraId="49E145B1" w14:textId="453F6A69" w:rsidR="00A13333" w:rsidRPr="00D9152B" w:rsidRDefault="00076FC2" w:rsidP="00656BE2">
      <w:pPr>
        <w:pStyle w:val="Heading3"/>
        <w:rPr>
          <w:rFonts w:ascii="Calibri" w:hAnsi="Calibri" w:cs="Calibri"/>
          <w:b/>
          <w:i/>
          <w:color w:val="000000" w:themeColor="text1"/>
          <w:sz w:val="22"/>
          <w:szCs w:val="22"/>
        </w:rPr>
      </w:pPr>
      <w:bookmarkStart w:id="147" w:name="_Toc41505702"/>
      <w:r w:rsidRPr="00D9152B">
        <w:rPr>
          <w:rFonts w:ascii="Calibri" w:hAnsi="Calibri" w:cs="Calibri"/>
          <w:b/>
          <w:i/>
          <w:color w:val="000000" w:themeColor="text1"/>
          <w:sz w:val="22"/>
          <w:szCs w:val="22"/>
        </w:rPr>
        <w:t>8</w:t>
      </w:r>
      <w:r w:rsidR="00A13333" w:rsidRPr="00D9152B">
        <w:rPr>
          <w:rFonts w:ascii="Calibri" w:hAnsi="Calibri" w:cs="Calibri"/>
          <w:b/>
          <w:i/>
          <w:color w:val="000000" w:themeColor="text1"/>
          <w:sz w:val="22"/>
          <w:szCs w:val="22"/>
        </w:rPr>
        <w:t>.</w:t>
      </w:r>
      <w:r w:rsidR="00677774" w:rsidRPr="00D9152B">
        <w:rPr>
          <w:rFonts w:ascii="Calibri" w:hAnsi="Calibri" w:cs="Calibri"/>
          <w:b/>
          <w:i/>
          <w:color w:val="000000" w:themeColor="text1"/>
          <w:sz w:val="22"/>
          <w:szCs w:val="22"/>
        </w:rPr>
        <w:t>6</w:t>
      </w:r>
      <w:r w:rsidR="00A13333" w:rsidRPr="00D9152B">
        <w:rPr>
          <w:rFonts w:ascii="Calibri" w:hAnsi="Calibri" w:cs="Calibri"/>
          <w:b/>
          <w:i/>
          <w:color w:val="000000" w:themeColor="text1"/>
          <w:sz w:val="22"/>
          <w:szCs w:val="22"/>
        </w:rPr>
        <w:t>.A. Failure of early devolution plans</w:t>
      </w:r>
      <w:bookmarkEnd w:id="147"/>
    </w:p>
    <w:p w14:paraId="42F35A2F" w14:textId="263C6EE4" w:rsidR="00A13333" w:rsidRPr="00D9152B" w:rsidRDefault="00A13333" w:rsidP="00A12E2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In the early 1980s, John Evans argued that transitioning from a vertical to a horizontal health programme was more complicated than it may seem at face value. According to Evans, if a vertical programme relies on expensive technology or requires significant regional collaboration, it may be very challenging (if not impossible) to transfer it to local partners or expand it to include other diseases. Evans further wrote that the ‘biggest obstacle’ to healthcare delivery was global resource development, or the paucity of simple, safe, and inexpensive technology to treat common diseases, such as malaria, schistosomiasis, and onchocerciasis. Like Bill Gates would do two decades later, he recommended that, ‘as part of the program to develop PHC, the bank should give high priority to research aimed at producing simple, effective, inexpensive technology for disease control’. This idea that ‘improvements in health status may be accelerated through basic health care delivery that controls the commonly occurring diseases’</w:t>
      </w:r>
      <w:r w:rsidR="00DF3A8B" w:rsidRPr="00D9152B">
        <w:rPr>
          <w:rStyle w:val="FootnoteReference"/>
          <w:rFonts w:ascii="Calibri" w:hAnsi="Calibri" w:cs="Calibri"/>
        </w:rPr>
        <w:footnoteReference w:customMarkFollows="1" w:id="834"/>
        <w:t>54</w:t>
      </w:r>
      <w:r w:rsidRPr="00D9152B">
        <w:rPr>
          <w:rFonts w:ascii="Calibri" w:hAnsi="Calibri" w:cs="Calibri"/>
          <w:sz w:val="22"/>
          <w:szCs w:val="22"/>
        </w:rPr>
        <w:t xml:space="preserve"> was essentially full-fledged support of SPHC. When ivermectin was registered in 1987 (see </w:t>
      </w:r>
      <w:r w:rsidR="00A541B2">
        <w:rPr>
          <w:rFonts w:ascii="Calibri" w:hAnsi="Calibri" w:cs="Calibri"/>
          <w:sz w:val="22"/>
          <w:szCs w:val="22"/>
        </w:rPr>
        <w:t>section 7.5</w:t>
      </w:r>
      <w:r w:rsidRPr="00D9152B">
        <w:rPr>
          <w:rFonts w:ascii="Calibri" w:hAnsi="Calibri" w:cs="Calibri"/>
          <w:sz w:val="22"/>
          <w:szCs w:val="22"/>
        </w:rPr>
        <w:t xml:space="preserve">), the OCP obtained </w:t>
      </w:r>
      <w:r w:rsidR="00EB4914">
        <w:rPr>
          <w:rFonts w:ascii="Calibri" w:hAnsi="Calibri" w:cs="Calibri"/>
          <w:sz w:val="22"/>
          <w:szCs w:val="22"/>
        </w:rPr>
        <w:t>the</w:t>
      </w:r>
      <w:r w:rsidR="00EB4914" w:rsidRPr="00D9152B">
        <w:rPr>
          <w:rFonts w:ascii="Calibri" w:hAnsi="Calibri" w:cs="Calibri"/>
          <w:sz w:val="22"/>
          <w:szCs w:val="22"/>
        </w:rPr>
        <w:t xml:space="preserve"> </w:t>
      </w:r>
      <w:r w:rsidRPr="00D9152B">
        <w:rPr>
          <w:rFonts w:ascii="Calibri" w:hAnsi="Calibri" w:cs="Calibri"/>
          <w:sz w:val="22"/>
          <w:szCs w:val="22"/>
        </w:rPr>
        <w:t xml:space="preserve">elusive technology. Yet, as Evans had foreshadowed, it was still </w:t>
      </w:r>
      <w:r w:rsidRPr="00D9152B">
        <w:rPr>
          <w:rFonts w:ascii="Calibri" w:hAnsi="Calibri" w:cs="Calibri"/>
          <w:sz w:val="22"/>
          <w:szCs w:val="22"/>
        </w:rPr>
        <w:lastRenderedPageBreak/>
        <w:t xml:space="preserve">challenging to plan for how to transition a </w:t>
      </w:r>
      <w:r w:rsidRPr="00D9152B">
        <w:rPr>
          <w:rFonts w:ascii="Calibri" w:hAnsi="Calibri" w:cs="Calibri"/>
          <w:i/>
          <w:sz w:val="22"/>
          <w:szCs w:val="22"/>
        </w:rPr>
        <w:t xml:space="preserve">regional </w:t>
      </w:r>
      <w:r w:rsidRPr="00D9152B">
        <w:rPr>
          <w:rFonts w:ascii="Calibri" w:hAnsi="Calibri" w:cs="Calibri"/>
          <w:sz w:val="22"/>
          <w:szCs w:val="22"/>
        </w:rPr>
        <w:t>program</w:t>
      </w:r>
      <w:r w:rsidR="008039C9">
        <w:rPr>
          <w:rFonts w:ascii="Calibri" w:hAnsi="Calibri" w:cs="Calibri"/>
          <w:sz w:val="22"/>
          <w:szCs w:val="22"/>
        </w:rPr>
        <w:t>me</w:t>
      </w:r>
      <w:r w:rsidRPr="00D9152B">
        <w:rPr>
          <w:rFonts w:ascii="Calibri" w:hAnsi="Calibri" w:cs="Calibri"/>
          <w:sz w:val="22"/>
          <w:szCs w:val="22"/>
        </w:rPr>
        <w:t xml:space="preserve"> into </w:t>
      </w:r>
      <w:r w:rsidRPr="00D9152B">
        <w:rPr>
          <w:rFonts w:ascii="Calibri" w:hAnsi="Calibri" w:cs="Calibri"/>
          <w:i/>
          <w:sz w:val="22"/>
          <w:szCs w:val="22"/>
        </w:rPr>
        <w:t>national</w:t>
      </w:r>
      <w:r w:rsidRPr="00D9152B">
        <w:rPr>
          <w:rFonts w:ascii="Calibri" w:hAnsi="Calibri" w:cs="Calibri"/>
          <w:sz w:val="22"/>
          <w:szCs w:val="22"/>
        </w:rPr>
        <w:t xml:space="preserve"> capacity for delivery.</w:t>
      </w:r>
    </w:p>
    <w:p w14:paraId="362C047A" w14:textId="64B0D604" w:rsidR="008D1E81" w:rsidRPr="00D9152B" w:rsidRDefault="00A13333" w:rsidP="00A12E2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Later that year, the OCP sent a devolution plan outline to all participating countries. Plans were to contain information on onchocerciasis prevalence, existing national health system infrastructure, the onchocerciasis control and surveillance strategy (centred on screening for disease and mass-distribution with ivermectin), and the organization of the country’s devolution efforts (including projected costs).</w:t>
      </w:r>
      <w:r w:rsidR="00DF3A8B" w:rsidRPr="00D9152B">
        <w:rPr>
          <w:rStyle w:val="FootnoteReference"/>
          <w:rFonts w:ascii="Calibri" w:hAnsi="Calibri" w:cs="Calibri"/>
        </w:rPr>
        <w:footnoteReference w:customMarkFollows="1" w:id="835"/>
        <w:t>55</w:t>
      </w:r>
      <w:r w:rsidRPr="00D9152B">
        <w:rPr>
          <w:rFonts w:ascii="Calibri" w:hAnsi="Calibri" w:cs="Calibri"/>
          <w:sz w:val="22"/>
          <w:szCs w:val="22"/>
        </w:rPr>
        <w:t xml:space="preserve"> While plans focused on building national capacity to distribute ivermectin, no countries wanted to focus on ivermectin delivery in isolation. By the end of the year, all seven original participating countries shared their plans, which focused on onchocerciasis and sometimes other chemotherapy-controllable endemic diseases (lymphatic filariasis, trypanosomiasis, and/or yaws).</w:t>
      </w:r>
      <w:r w:rsidR="00DF3A8B" w:rsidRPr="00D9152B">
        <w:rPr>
          <w:rStyle w:val="FootnoteReference"/>
          <w:rFonts w:ascii="Calibri" w:hAnsi="Calibri" w:cs="Calibri"/>
        </w:rPr>
        <w:footnoteReference w:customMarkFollows="1" w:id="836"/>
        <w:t>56</w:t>
      </w:r>
    </w:p>
    <w:p w14:paraId="0CD7957E" w14:textId="32797D42" w:rsidR="00A13333" w:rsidRPr="00D9152B" w:rsidRDefault="00A13333" w:rsidP="00A12E2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Burkina Faso, for example, planned to distribute ivermectin vertically at the health department level, and suggested that province-based mobile teams, field department health facilities, and volunteer PHC posts would participate in disease surveillance activities.</w:t>
      </w:r>
      <w:r w:rsidR="00DF3A8B" w:rsidRPr="00D9152B">
        <w:rPr>
          <w:rStyle w:val="FootnoteReference"/>
          <w:rFonts w:ascii="Calibri" w:hAnsi="Calibri" w:cs="Calibri"/>
        </w:rPr>
        <w:footnoteReference w:customMarkFollows="1" w:id="837"/>
        <w:t>57</w:t>
      </w:r>
      <w:r w:rsidRPr="00D9152B">
        <w:rPr>
          <w:rFonts w:ascii="Calibri" w:hAnsi="Calibri" w:cs="Calibri"/>
          <w:sz w:val="22"/>
          <w:szCs w:val="22"/>
        </w:rPr>
        <w:t xml:space="preserve"> It planned to establish four new mobile teams for active surveillance of both onchocerciasis and trypanosomiasis, which could also provide focal treatment with ivermectin as necessary. This would require streng</w:t>
      </w:r>
      <w:r w:rsidR="005E79BB" w:rsidRPr="00D9152B">
        <w:rPr>
          <w:rFonts w:ascii="Calibri" w:hAnsi="Calibri" w:cs="Calibri"/>
          <w:sz w:val="22"/>
          <w:szCs w:val="22"/>
        </w:rPr>
        <w:t>thening the country’s existing entomological surveillance di</w:t>
      </w:r>
      <w:r w:rsidRPr="00D9152B">
        <w:rPr>
          <w:rFonts w:ascii="Calibri" w:hAnsi="Calibri" w:cs="Calibri"/>
          <w:sz w:val="22"/>
          <w:szCs w:val="22"/>
        </w:rPr>
        <w:t xml:space="preserve">vision, which had a very small staff (a physician-entomologist, pharmacist-entomologist, and nurse), limited laboratory equipment, no transport, and the country-wide mandate of carrying out vector-borne disease surveillance and field control activities. The devolution plan asked for more staff and equipment for the </w:t>
      </w:r>
      <w:r w:rsidR="008D1E81" w:rsidRPr="00D9152B">
        <w:rPr>
          <w:rFonts w:ascii="Calibri" w:hAnsi="Calibri" w:cs="Calibri"/>
          <w:sz w:val="22"/>
          <w:szCs w:val="22"/>
        </w:rPr>
        <w:t>d</w:t>
      </w:r>
      <w:r w:rsidRPr="00D9152B">
        <w:rPr>
          <w:rFonts w:ascii="Calibri" w:hAnsi="Calibri" w:cs="Calibri"/>
          <w:sz w:val="22"/>
          <w:szCs w:val="22"/>
        </w:rPr>
        <w:t>ivision, and for funds to hire two epidemiologists. It estimated that Burkina Faso would need $1.9 million in external support over 5 years for these activities.</w:t>
      </w:r>
      <w:r w:rsidR="00DF3A8B" w:rsidRPr="00D9152B">
        <w:rPr>
          <w:rStyle w:val="FootnoteReference"/>
          <w:rFonts w:ascii="Calibri" w:hAnsi="Calibri" w:cs="Calibri"/>
        </w:rPr>
        <w:footnoteReference w:customMarkFollows="1" w:id="838"/>
        <w:t>58</w:t>
      </w:r>
    </w:p>
    <w:p w14:paraId="458EC323" w14:textId="698B6C8B" w:rsidR="00A13333" w:rsidRPr="00D9152B" w:rsidRDefault="00A13333" w:rsidP="0097472F">
      <w:pPr>
        <w:spacing w:line="360" w:lineRule="auto"/>
        <w:ind w:firstLine="720"/>
        <w:rPr>
          <w:rFonts w:ascii="Calibri" w:hAnsi="Calibri" w:cs="Calibri"/>
        </w:rPr>
      </w:pPr>
      <w:r w:rsidRPr="00D9152B">
        <w:rPr>
          <w:rFonts w:ascii="Calibri" w:hAnsi="Calibri" w:cs="Calibri"/>
          <w:sz w:val="22"/>
          <w:szCs w:val="22"/>
        </w:rPr>
        <w:t xml:space="preserve">Although </w:t>
      </w:r>
      <w:r w:rsidR="008D1E81" w:rsidRPr="00D9152B">
        <w:rPr>
          <w:rFonts w:ascii="Calibri" w:hAnsi="Calibri" w:cs="Calibri"/>
          <w:sz w:val="22"/>
          <w:szCs w:val="22"/>
        </w:rPr>
        <w:t>the OCP accepted devolution plans for all countries by 1991,</w:t>
      </w:r>
      <w:r w:rsidR="00DF3A8B" w:rsidRPr="00D9152B">
        <w:rPr>
          <w:rStyle w:val="FootnoteReference"/>
          <w:rFonts w:ascii="Calibri" w:hAnsi="Calibri" w:cs="Calibri"/>
        </w:rPr>
        <w:footnoteReference w:customMarkFollows="1" w:id="839"/>
        <w:t>59</w:t>
      </w:r>
      <w:r w:rsidRPr="00D9152B">
        <w:rPr>
          <w:rFonts w:ascii="Calibri" w:hAnsi="Calibri" w:cs="Calibri"/>
          <w:sz w:val="22"/>
          <w:szCs w:val="22"/>
        </w:rPr>
        <w:t xml:space="preserve"> neither programmatic nor bilateral financing was forthcoming. In 1989, the Bank pledged to meet </w:t>
      </w:r>
      <w:r w:rsidRPr="00D9152B">
        <w:rPr>
          <w:rFonts w:ascii="Calibri" w:hAnsi="Calibri" w:cs="Calibri"/>
          <w:sz w:val="22"/>
          <w:szCs w:val="22"/>
        </w:rPr>
        <w:lastRenderedPageBreak/>
        <w:t>financing gaps for devolution plans.</w:t>
      </w:r>
      <w:r w:rsidR="00DF3A8B" w:rsidRPr="00D9152B">
        <w:rPr>
          <w:rStyle w:val="FootnoteReference"/>
          <w:rFonts w:ascii="Calibri" w:hAnsi="Calibri" w:cs="Calibri"/>
        </w:rPr>
        <w:footnoteReference w:customMarkFollows="1" w:id="840"/>
        <w:t>60</w:t>
      </w:r>
      <w:r w:rsidRPr="00D9152B">
        <w:rPr>
          <w:rFonts w:ascii="Calibri" w:hAnsi="Calibri" w:cs="Calibri"/>
          <w:sz w:val="22"/>
          <w:szCs w:val="22"/>
        </w:rPr>
        <w:t xml:space="preserve"> However, Samba backtracked from his request to the Bank to finance Burkina Faso’s plan later that year, when he realized that Bank financing would be on loan (rather than grant) terms.</w:t>
      </w:r>
      <w:r w:rsidR="00DF3A8B" w:rsidRPr="00D9152B">
        <w:rPr>
          <w:rStyle w:val="FootnoteReference"/>
          <w:rFonts w:ascii="Calibri" w:hAnsi="Calibri" w:cs="Calibri"/>
        </w:rPr>
        <w:footnoteReference w:customMarkFollows="1" w:id="841"/>
        <w:t>61</w:t>
      </w:r>
      <w:r w:rsidRPr="00D9152B">
        <w:rPr>
          <w:rFonts w:ascii="Calibri" w:hAnsi="Calibri" w:cs="Calibri"/>
          <w:sz w:val="22"/>
          <w:szCs w:val="22"/>
        </w:rPr>
        <w:t xml:space="preserve"> </w:t>
      </w:r>
      <w:r w:rsidR="00A541B2">
        <w:rPr>
          <w:rFonts w:ascii="Calibri" w:hAnsi="Calibri" w:cs="Calibri"/>
          <w:sz w:val="22"/>
          <w:szCs w:val="22"/>
        </w:rPr>
        <w:t>The WHO Africa Region (AFRO)</w:t>
      </w:r>
      <w:r w:rsidRPr="00D9152B">
        <w:rPr>
          <w:rFonts w:ascii="Calibri" w:hAnsi="Calibri" w:cs="Calibri"/>
          <w:sz w:val="22"/>
          <w:szCs w:val="22"/>
        </w:rPr>
        <w:t xml:space="preserve"> encouraged countries to earmark some of their dedicated AFRO resources for onchocerciasis devolution, and planned to hold bi-annual meetings to bring together nationals, WHO representatives, and OCP regional staff, to better address how to implement and finance devolution activities.</w:t>
      </w:r>
      <w:r w:rsidR="00DF3A8B" w:rsidRPr="00D9152B">
        <w:rPr>
          <w:rStyle w:val="FootnoteReference"/>
          <w:rFonts w:ascii="Calibri" w:hAnsi="Calibri" w:cs="Calibri"/>
        </w:rPr>
        <w:footnoteReference w:customMarkFollows="1" w:id="842"/>
        <w:t>62</w:t>
      </w:r>
      <w:r w:rsidRPr="00D9152B">
        <w:rPr>
          <w:rFonts w:ascii="Calibri" w:hAnsi="Calibri" w:cs="Calibri"/>
          <w:sz w:val="22"/>
          <w:szCs w:val="22"/>
        </w:rPr>
        <w:t xml:space="preserve"> The Bank’s </w:t>
      </w:r>
      <w:r w:rsidR="0097472F" w:rsidRPr="00D9152B">
        <w:rPr>
          <w:rFonts w:ascii="Calibri" w:hAnsi="Calibri" w:cs="Calibri"/>
          <w:sz w:val="22"/>
          <w:szCs w:val="22"/>
        </w:rPr>
        <w:t>Health, Nutrition, and Population</w:t>
      </w:r>
      <w:r w:rsidRPr="00D9152B">
        <w:rPr>
          <w:rFonts w:ascii="Calibri" w:hAnsi="Calibri" w:cs="Calibri"/>
          <w:sz w:val="22"/>
          <w:szCs w:val="22"/>
        </w:rPr>
        <w:t xml:space="preserve"> department </w:t>
      </w:r>
      <w:r w:rsidR="0097472F" w:rsidRPr="00D9152B">
        <w:rPr>
          <w:rFonts w:ascii="Calibri" w:hAnsi="Calibri" w:cs="Calibri"/>
          <w:sz w:val="22"/>
          <w:szCs w:val="22"/>
        </w:rPr>
        <w:t xml:space="preserve">(HNP, the predecessor to the Population, Health and Nutrition department) </w:t>
      </w:r>
      <w:r w:rsidRPr="00D9152B">
        <w:rPr>
          <w:rFonts w:ascii="Calibri" w:hAnsi="Calibri" w:cs="Calibri"/>
          <w:sz w:val="22"/>
          <w:szCs w:val="22"/>
        </w:rPr>
        <w:t>also reviewed devolution plans and considered how they might fit within the Bank’s lending portfolio in 1991.</w:t>
      </w:r>
      <w:r w:rsidR="00DF3A8B" w:rsidRPr="00D9152B">
        <w:rPr>
          <w:rStyle w:val="FootnoteReference"/>
          <w:rFonts w:ascii="Calibri" w:hAnsi="Calibri" w:cs="Calibri"/>
        </w:rPr>
        <w:footnoteReference w:customMarkFollows="1" w:id="843"/>
        <w:t>63</w:t>
      </w:r>
      <w:r w:rsidRPr="00D9152B">
        <w:rPr>
          <w:rFonts w:ascii="Calibri" w:hAnsi="Calibri" w:cs="Calibri"/>
          <w:sz w:val="22"/>
          <w:szCs w:val="22"/>
        </w:rPr>
        <w:t xml:space="preserve"> And, the OCP devolution unit was launched to help bring</w:t>
      </w:r>
      <w:r w:rsidR="005E79BB" w:rsidRPr="00D9152B">
        <w:rPr>
          <w:rFonts w:ascii="Calibri" w:hAnsi="Calibri" w:cs="Calibri"/>
          <w:sz w:val="22"/>
          <w:szCs w:val="22"/>
        </w:rPr>
        <w:t xml:space="preserve"> </w:t>
      </w:r>
      <w:r w:rsidRPr="00D9152B">
        <w:rPr>
          <w:rFonts w:ascii="Calibri" w:hAnsi="Calibri" w:cs="Calibri"/>
          <w:sz w:val="22"/>
          <w:szCs w:val="22"/>
        </w:rPr>
        <w:t xml:space="preserve">together regional stakeholders (including AFRO and </w:t>
      </w:r>
      <w:r w:rsidR="0097472F" w:rsidRPr="00D9152B">
        <w:rPr>
          <w:rFonts w:ascii="Calibri" w:hAnsi="Calibri" w:cs="Calibri"/>
          <w:sz w:val="22"/>
          <w:szCs w:val="22"/>
        </w:rPr>
        <w:t>th</w:t>
      </w:r>
      <w:r w:rsidR="0097472F" w:rsidRPr="00D9152B">
        <w:rPr>
          <w:rFonts w:ascii="Calibri" w:hAnsi="Calibri" w:cs="Calibri"/>
          <w:color w:val="000000" w:themeColor="text1"/>
          <w:sz w:val="22"/>
          <w:szCs w:val="22"/>
        </w:rPr>
        <w:t xml:space="preserve">e </w:t>
      </w:r>
      <w:r w:rsidR="0097472F" w:rsidRPr="00D9152B">
        <w:rPr>
          <w:rFonts w:ascii="Calibri" w:hAnsi="Calibri" w:cs="Calibri"/>
          <w:color w:val="000000" w:themeColor="text1"/>
          <w:sz w:val="21"/>
          <w:szCs w:val="21"/>
          <w:shd w:val="clear" w:color="auto" w:fill="FFFFFF"/>
        </w:rPr>
        <w:t xml:space="preserve">Organization for Coordination and Cooperation in the Fight against Major Endemic Diseases </w:t>
      </w:r>
      <w:r w:rsidR="0097472F" w:rsidRPr="00D9152B">
        <w:rPr>
          <w:rFonts w:ascii="Calibri" w:hAnsi="Calibri" w:cs="Calibri"/>
          <w:color w:val="545454"/>
          <w:sz w:val="21"/>
          <w:szCs w:val="21"/>
          <w:shd w:val="clear" w:color="auto" w:fill="FFFFFF"/>
        </w:rPr>
        <w:t>[</w:t>
      </w:r>
      <w:r w:rsidRPr="00D9152B">
        <w:rPr>
          <w:rFonts w:ascii="Calibri" w:hAnsi="Calibri" w:cs="Calibri"/>
          <w:sz w:val="22"/>
          <w:szCs w:val="22"/>
        </w:rPr>
        <w:t>OCCGE</w:t>
      </w:r>
      <w:r w:rsidR="0097472F" w:rsidRPr="00D9152B">
        <w:rPr>
          <w:rFonts w:ascii="Calibri" w:hAnsi="Calibri" w:cs="Calibri"/>
          <w:sz w:val="22"/>
          <w:szCs w:val="22"/>
        </w:rPr>
        <w:t>]</w:t>
      </w:r>
      <w:r w:rsidRPr="00D9152B">
        <w:rPr>
          <w:rFonts w:ascii="Calibri" w:hAnsi="Calibri" w:cs="Calibri"/>
          <w:sz w:val="22"/>
          <w:szCs w:val="22"/>
        </w:rPr>
        <w:t>), and link feasible devolution plans with training and financing.</w:t>
      </w:r>
      <w:r w:rsidR="00DF3A8B" w:rsidRPr="00D9152B">
        <w:rPr>
          <w:rStyle w:val="FootnoteReference"/>
          <w:rFonts w:ascii="Calibri" w:hAnsi="Calibri" w:cs="Calibri"/>
        </w:rPr>
        <w:footnoteReference w:customMarkFollows="1" w:id="844"/>
        <w:t>64</w:t>
      </w:r>
      <w:r w:rsidR="00DF3A8B" w:rsidRPr="00D9152B">
        <w:rPr>
          <w:rStyle w:val="FootnoteReference"/>
          <w:rFonts w:ascii="Calibri" w:hAnsi="Calibri" w:cs="Calibri"/>
          <w:sz w:val="22"/>
          <w:szCs w:val="22"/>
        </w:rPr>
        <w:t xml:space="preserve"> </w:t>
      </w:r>
      <w:r w:rsidRPr="00D9152B">
        <w:rPr>
          <w:rFonts w:ascii="Calibri" w:hAnsi="Calibri" w:cs="Calibri"/>
          <w:sz w:val="22"/>
          <w:szCs w:val="22"/>
        </w:rPr>
        <w:t>In spite of these steps, efforts to secure bilateral aid for PHC-strengthening devolution activities were largely unsuccessful in all participating countries by 1993. Most devolution activities remained unimplemented.</w:t>
      </w:r>
      <w:r w:rsidR="00DF3A8B" w:rsidRPr="00D9152B">
        <w:rPr>
          <w:rStyle w:val="FootnoteReference"/>
          <w:rFonts w:ascii="Calibri" w:hAnsi="Calibri" w:cs="Calibri"/>
        </w:rPr>
        <w:footnoteReference w:customMarkFollows="1" w:id="845"/>
        <w:t>65</w:t>
      </w:r>
      <w:r w:rsidRPr="00D9152B">
        <w:rPr>
          <w:rFonts w:ascii="Calibri" w:hAnsi="Calibri" w:cs="Calibri"/>
          <w:sz w:val="22"/>
          <w:szCs w:val="22"/>
        </w:rPr>
        <w:t xml:space="preserve"> For instance, </w:t>
      </w:r>
      <w:r w:rsidR="008D1E81" w:rsidRPr="00D9152B">
        <w:rPr>
          <w:rFonts w:ascii="Calibri" w:hAnsi="Calibri" w:cs="Calibri"/>
          <w:sz w:val="22"/>
          <w:szCs w:val="22"/>
        </w:rPr>
        <w:t xml:space="preserve">in the case of Burkina Faso, </w:t>
      </w:r>
      <w:r w:rsidRPr="00D9152B">
        <w:rPr>
          <w:rFonts w:ascii="Calibri" w:hAnsi="Calibri" w:cs="Calibri"/>
          <w:sz w:val="22"/>
          <w:szCs w:val="22"/>
        </w:rPr>
        <w:t xml:space="preserve">the OCP did fund the training of 195 nationals in epidemiological surveillance and drug distribution, but </w:t>
      </w:r>
      <w:r w:rsidR="008D1E81" w:rsidRPr="00D9152B">
        <w:rPr>
          <w:rFonts w:ascii="Calibri" w:hAnsi="Calibri" w:cs="Calibri"/>
          <w:sz w:val="22"/>
          <w:szCs w:val="22"/>
        </w:rPr>
        <w:t>the country’s</w:t>
      </w:r>
      <w:r w:rsidRPr="00D9152B">
        <w:rPr>
          <w:rFonts w:ascii="Calibri" w:hAnsi="Calibri" w:cs="Calibri"/>
          <w:sz w:val="22"/>
          <w:szCs w:val="22"/>
        </w:rPr>
        <w:t xml:space="preserve"> formal devolution plan did not receive requisite funding.</w:t>
      </w:r>
      <w:r w:rsidR="00DF3A8B" w:rsidRPr="00D9152B">
        <w:rPr>
          <w:rStyle w:val="FootnoteReference"/>
          <w:rFonts w:ascii="Calibri" w:hAnsi="Calibri" w:cs="Calibri"/>
        </w:rPr>
        <w:footnoteReference w:customMarkFollows="1" w:id="846"/>
        <w:t>66</w:t>
      </w:r>
      <w:r w:rsidRPr="00D9152B">
        <w:rPr>
          <w:rFonts w:ascii="Calibri" w:hAnsi="Calibri" w:cs="Calibri"/>
          <w:sz w:val="22"/>
          <w:szCs w:val="22"/>
        </w:rPr>
        <w:t xml:space="preserve"> </w:t>
      </w:r>
    </w:p>
    <w:p w14:paraId="10E0F0AE" w14:textId="741F9096" w:rsidR="00A13333" w:rsidRPr="00D9152B" w:rsidRDefault="00A13333" w:rsidP="00A12E2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The Bank’s structural adjustment policies compounded these issues in financing devolution. In the late 1980s and early 1990s, negative effects of structural adjustment policies were seen in some West African health </w:t>
      </w:r>
      <w:r w:rsidRPr="000045FB">
        <w:rPr>
          <w:rFonts w:ascii="Calibri" w:hAnsi="Calibri" w:cs="Calibri"/>
          <w:sz w:val="22"/>
          <w:szCs w:val="22"/>
        </w:rPr>
        <w:t>systems.</w:t>
      </w:r>
      <w:r w:rsidR="000045FB" w:rsidRPr="00CF189D">
        <w:rPr>
          <w:rStyle w:val="FootnoteReference"/>
          <w:rFonts w:ascii="Calibri" w:hAnsi="Calibri" w:cs="Calibri"/>
        </w:rPr>
        <w:footnoteReference w:customMarkFollows="1" w:id="847"/>
        <w:t>67</w:t>
      </w:r>
      <w:r w:rsidRPr="00D9152B">
        <w:rPr>
          <w:rFonts w:ascii="Calibri" w:hAnsi="Calibri" w:cs="Calibri"/>
          <w:sz w:val="22"/>
          <w:szCs w:val="22"/>
        </w:rPr>
        <w:t xml:space="preserve"> As the 1993 </w:t>
      </w:r>
      <w:r w:rsidR="008D1E81" w:rsidRPr="00D9152B">
        <w:rPr>
          <w:rFonts w:ascii="Calibri" w:hAnsi="Calibri" w:cs="Calibri"/>
          <w:sz w:val="22"/>
          <w:szCs w:val="22"/>
        </w:rPr>
        <w:t xml:space="preserve">OCP </w:t>
      </w:r>
      <w:r w:rsidRPr="00D9152B">
        <w:rPr>
          <w:rFonts w:ascii="Calibri" w:hAnsi="Calibri" w:cs="Calibri"/>
          <w:sz w:val="22"/>
          <w:szCs w:val="22"/>
        </w:rPr>
        <w:t xml:space="preserve">external review highlighted, ‘social services and reforms in the Alma Ata spirit have been abortive’, as </w:t>
      </w:r>
      <w:r w:rsidRPr="00D9152B">
        <w:rPr>
          <w:rFonts w:ascii="Calibri" w:hAnsi="Calibri" w:cs="Calibri"/>
          <w:sz w:val="22"/>
          <w:szCs w:val="22"/>
        </w:rPr>
        <w:lastRenderedPageBreak/>
        <w:t>economies deteriorated in the 1980s due to rapid rises in import prices, stagnations in export prices, high loan interest, and shifts in foreign investments. Structural adjustment-related financial cutbacks were especially damaging to health and social services in terms of manpower. This meant that, in most OCP countries, ‘there is growing unemployment of doctors and other health professionals’, as a lack of pay made trained public sector health professionals seek other employment and poorly-equipped health facilities were abandoned. The OCP Expert Advisory Committee also highlighted a growing urban-rural gap in</w:t>
      </w:r>
      <w:r w:rsidR="005A35F8" w:rsidRPr="00D9152B">
        <w:rPr>
          <w:rFonts w:ascii="Calibri" w:hAnsi="Calibri" w:cs="Calibri"/>
          <w:sz w:val="22"/>
          <w:szCs w:val="22"/>
        </w:rPr>
        <w:t xml:space="preserve"> health services in West Africa;</w:t>
      </w:r>
      <w:r w:rsidRPr="00D9152B">
        <w:rPr>
          <w:rFonts w:ascii="Calibri" w:hAnsi="Calibri" w:cs="Calibri"/>
          <w:sz w:val="22"/>
          <w:szCs w:val="22"/>
        </w:rPr>
        <w:t xml:space="preserve"> ‘in spite of a push towards decentralization from the mid-1970s’, an </w:t>
      </w:r>
      <w:r w:rsidR="0097472F" w:rsidRPr="00D9152B">
        <w:rPr>
          <w:rFonts w:ascii="Calibri" w:hAnsi="Calibri" w:cs="Calibri"/>
          <w:sz w:val="22"/>
          <w:szCs w:val="22"/>
        </w:rPr>
        <w:t>Organization for Economic Cooperation and Development (OECD)</w:t>
      </w:r>
      <w:r w:rsidRPr="00D9152B">
        <w:rPr>
          <w:rFonts w:ascii="Calibri" w:hAnsi="Calibri" w:cs="Calibri"/>
          <w:sz w:val="22"/>
          <w:szCs w:val="22"/>
        </w:rPr>
        <w:t xml:space="preserve"> Development Assistance Committee</w:t>
      </w:r>
      <w:r w:rsidR="0097472F" w:rsidRPr="00D9152B">
        <w:rPr>
          <w:rFonts w:ascii="Calibri" w:hAnsi="Calibri" w:cs="Calibri"/>
          <w:sz w:val="22"/>
          <w:szCs w:val="22"/>
        </w:rPr>
        <w:t xml:space="preserve"> (DAC)</w:t>
      </w:r>
      <w:r w:rsidRPr="00D9152B">
        <w:rPr>
          <w:rFonts w:ascii="Calibri" w:hAnsi="Calibri" w:cs="Calibri"/>
          <w:sz w:val="22"/>
          <w:szCs w:val="22"/>
        </w:rPr>
        <w:t xml:space="preserve"> study indicated that health resource allocation had ‘not been oriented to PHC and community involvement was often merely a “window dressing”</w:t>
      </w:r>
      <w:r w:rsidRPr="000045FB">
        <w:rPr>
          <w:rFonts w:ascii="Calibri" w:hAnsi="Calibri" w:cs="Calibri"/>
          <w:sz w:val="22"/>
          <w:szCs w:val="22"/>
        </w:rPr>
        <w:t>’</w:t>
      </w:r>
      <w:r w:rsidR="000045FB" w:rsidRPr="000045FB">
        <w:rPr>
          <w:rFonts w:ascii="Calibri" w:hAnsi="Calibri" w:cs="Calibri"/>
          <w:sz w:val="22"/>
          <w:szCs w:val="22"/>
        </w:rPr>
        <w:t>.</w:t>
      </w:r>
      <w:r w:rsidR="000045FB" w:rsidRPr="00CF189D">
        <w:rPr>
          <w:rStyle w:val="FootnoteReference"/>
          <w:rFonts w:ascii="Calibri" w:hAnsi="Calibri" w:cs="Calibri"/>
        </w:rPr>
        <w:footnoteReference w:customMarkFollows="1" w:id="848"/>
        <w:t>68</w:t>
      </w:r>
      <w:r w:rsidRPr="000045FB">
        <w:rPr>
          <w:rFonts w:ascii="Calibri" w:hAnsi="Calibri" w:cs="Calibri"/>
          <w:sz w:val="22"/>
          <w:szCs w:val="22"/>
        </w:rPr>
        <w:t xml:space="preserve"> The</w:t>
      </w:r>
      <w:r w:rsidRPr="00D9152B">
        <w:rPr>
          <w:rFonts w:ascii="Calibri" w:hAnsi="Calibri" w:cs="Calibri"/>
          <w:sz w:val="22"/>
          <w:szCs w:val="22"/>
        </w:rPr>
        <w:t xml:space="preserve"> poor status of rural PHC systems meant that, more than ever, participating countries turned to the OCP to determine what onchocerciasis-related activities they could absorb and sustain, and to help them secure financing for this task.</w:t>
      </w:r>
      <w:r w:rsidR="000045FB" w:rsidRPr="00CF189D">
        <w:rPr>
          <w:rStyle w:val="FootnoteReference"/>
          <w:rFonts w:ascii="Calibri" w:hAnsi="Calibri" w:cs="Calibri"/>
        </w:rPr>
        <w:footnoteReference w:customMarkFollows="1" w:id="849"/>
        <w:t>69</w:t>
      </w:r>
      <w:r w:rsidRPr="00D9152B">
        <w:rPr>
          <w:rFonts w:ascii="Calibri" w:hAnsi="Calibri" w:cs="Calibri"/>
          <w:sz w:val="22"/>
          <w:szCs w:val="22"/>
        </w:rPr>
        <w:t xml:space="preserve"> It also made the Bank and some donors more concerned that </w:t>
      </w:r>
      <w:r w:rsidR="005A35F8" w:rsidRPr="00D9152B">
        <w:rPr>
          <w:rFonts w:ascii="Calibri" w:hAnsi="Calibri" w:cs="Calibri"/>
          <w:sz w:val="22"/>
          <w:szCs w:val="22"/>
        </w:rPr>
        <w:t>onchocerciasis</w:t>
      </w:r>
      <w:r w:rsidRPr="00D9152B">
        <w:rPr>
          <w:rFonts w:ascii="Calibri" w:hAnsi="Calibri" w:cs="Calibri"/>
          <w:sz w:val="22"/>
          <w:szCs w:val="22"/>
        </w:rPr>
        <w:t xml:space="preserve"> control efforts would be obscured by the expensive and widespread PHC needs across the OCP region.</w:t>
      </w:r>
    </w:p>
    <w:p w14:paraId="207E0A52" w14:textId="25BA7AED" w:rsidR="00A13333" w:rsidRPr="00D9152B" w:rsidRDefault="00A13333" w:rsidP="00A12E2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Progress </w:t>
      </w:r>
      <w:r w:rsidR="008D1E81" w:rsidRPr="00D9152B">
        <w:rPr>
          <w:rFonts w:ascii="Calibri" w:hAnsi="Calibri" w:cs="Calibri"/>
          <w:sz w:val="22"/>
          <w:szCs w:val="22"/>
        </w:rPr>
        <w:t>had been</w:t>
      </w:r>
      <w:r w:rsidRPr="00D9152B">
        <w:rPr>
          <w:rFonts w:ascii="Calibri" w:hAnsi="Calibri" w:cs="Calibri"/>
          <w:sz w:val="22"/>
          <w:szCs w:val="22"/>
        </w:rPr>
        <w:t xml:space="preserve"> made with</w:t>
      </w:r>
      <w:r w:rsidR="005A35F8" w:rsidRPr="00D9152B">
        <w:rPr>
          <w:rFonts w:ascii="Calibri" w:hAnsi="Calibri" w:cs="Calibri"/>
          <w:sz w:val="22"/>
          <w:szCs w:val="22"/>
        </w:rPr>
        <w:t xml:space="preserve"> OCP</w:t>
      </w:r>
      <w:r w:rsidRPr="00D9152B">
        <w:rPr>
          <w:rFonts w:ascii="Calibri" w:hAnsi="Calibri" w:cs="Calibri"/>
          <w:sz w:val="22"/>
          <w:szCs w:val="22"/>
        </w:rPr>
        <w:t xml:space="preserve"> training. For instance, from 1974-1994, 430 nationals (including 29 women) were given OCP fellowships, and </w:t>
      </w:r>
      <w:r w:rsidR="005A35F8" w:rsidRPr="00D9152B">
        <w:rPr>
          <w:rFonts w:ascii="Calibri" w:hAnsi="Calibri" w:cs="Calibri"/>
          <w:sz w:val="22"/>
          <w:szCs w:val="22"/>
        </w:rPr>
        <w:t>the OCP estimated that about 50 percent</w:t>
      </w:r>
      <w:r w:rsidRPr="00D9152B">
        <w:rPr>
          <w:rFonts w:ascii="Calibri" w:hAnsi="Calibri" w:cs="Calibri"/>
          <w:sz w:val="22"/>
          <w:szCs w:val="22"/>
        </w:rPr>
        <w:t xml:space="preserve"> of these trainees r</w:t>
      </w:r>
      <w:r w:rsidR="00C339F0" w:rsidRPr="00D9152B">
        <w:rPr>
          <w:rFonts w:ascii="Calibri" w:hAnsi="Calibri" w:cs="Calibri"/>
          <w:sz w:val="22"/>
          <w:szCs w:val="22"/>
        </w:rPr>
        <w:t>emained working for the OCP, 30 percent</w:t>
      </w:r>
      <w:r w:rsidRPr="00D9152B">
        <w:rPr>
          <w:rFonts w:ascii="Calibri" w:hAnsi="Calibri" w:cs="Calibri"/>
          <w:sz w:val="22"/>
          <w:szCs w:val="22"/>
        </w:rPr>
        <w:t xml:space="preserve"> worked for min</w:t>
      </w:r>
      <w:r w:rsidR="00C339F0" w:rsidRPr="00D9152B">
        <w:rPr>
          <w:rFonts w:ascii="Calibri" w:hAnsi="Calibri" w:cs="Calibri"/>
          <w:sz w:val="22"/>
          <w:szCs w:val="22"/>
        </w:rPr>
        <w:t>istries of health, and 10 percent</w:t>
      </w:r>
      <w:r w:rsidRPr="00D9152B">
        <w:rPr>
          <w:rFonts w:ascii="Calibri" w:hAnsi="Calibri" w:cs="Calibri"/>
          <w:sz w:val="22"/>
          <w:szCs w:val="22"/>
        </w:rPr>
        <w:t xml:space="preserve"> held other governmental or non-governmental roles. Very few of the trainees had be</w:t>
      </w:r>
      <w:r w:rsidR="00330DB6" w:rsidRPr="00D9152B">
        <w:rPr>
          <w:rFonts w:ascii="Calibri" w:hAnsi="Calibri" w:cs="Calibri"/>
          <w:sz w:val="22"/>
          <w:szCs w:val="22"/>
        </w:rPr>
        <w:t>en totally lost to follow-up (two</w:t>
      </w:r>
      <w:r w:rsidR="00C339F0" w:rsidRPr="00D9152B">
        <w:rPr>
          <w:rFonts w:ascii="Calibri" w:hAnsi="Calibri" w:cs="Calibri"/>
          <w:sz w:val="22"/>
          <w:szCs w:val="22"/>
        </w:rPr>
        <w:t xml:space="preserve"> percent</w:t>
      </w:r>
      <w:r w:rsidRPr="00D9152B">
        <w:rPr>
          <w:rFonts w:ascii="Calibri" w:hAnsi="Calibri" w:cs="Calibri"/>
          <w:sz w:val="22"/>
          <w:szCs w:val="22"/>
        </w:rPr>
        <w:t>), but the fellowships were still not supporting the epidemio</w:t>
      </w:r>
      <w:r w:rsidR="00330DB6" w:rsidRPr="00D9152B">
        <w:rPr>
          <w:rFonts w:ascii="Calibri" w:hAnsi="Calibri" w:cs="Calibri"/>
          <w:sz w:val="22"/>
          <w:szCs w:val="22"/>
        </w:rPr>
        <w:t>logical training (only about 10 percent</w:t>
      </w:r>
      <w:r w:rsidRPr="00D9152B">
        <w:rPr>
          <w:rFonts w:ascii="Calibri" w:hAnsi="Calibri" w:cs="Calibri"/>
          <w:sz w:val="22"/>
          <w:szCs w:val="22"/>
        </w:rPr>
        <w:t xml:space="preserve">) that would be required to operationalize devolution plans and an inter-country facility. By 1992, comprehensively, about 1,000 African citizens worked for the </w:t>
      </w:r>
      <w:r w:rsidRPr="00581494">
        <w:rPr>
          <w:rFonts w:ascii="Calibri" w:hAnsi="Calibri" w:cs="Calibri"/>
          <w:sz w:val="22"/>
          <w:szCs w:val="22"/>
        </w:rPr>
        <w:t>OCP.</w:t>
      </w:r>
      <w:r w:rsidR="00581494" w:rsidRPr="00CF189D">
        <w:rPr>
          <w:rStyle w:val="FootnoteReference"/>
          <w:rFonts w:ascii="Calibri" w:hAnsi="Calibri" w:cs="Calibri"/>
        </w:rPr>
        <w:footnoteReference w:customMarkFollows="1" w:id="850"/>
        <w:t>70</w:t>
      </w:r>
      <w:r w:rsidRPr="00581494">
        <w:rPr>
          <w:rFonts w:ascii="Calibri" w:hAnsi="Calibri" w:cs="Calibri"/>
          <w:sz w:val="22"/>
          <w:szCs w:val="22"/>
        </w:rPr>
        <w:t xml:space="preserve"> However</w:t>
      </w:r>
      <w:r w:rsidRPr="00D9152B">
        <w:rPr>
          <w:rFonts w:ascii="Calibri" w:hAnsi="Calibri" w:cs="Calibri"/>
          <w:sz w:val="22"/>
          <w:szCs w:val="22"/>
        </w:rPr>
        <w:t xml:space="preserve">, it was still unclear how some of these African staff would be able to transition to national salaries, and the </w:t>
      </w:r>
      <w:r w:rsidR="0097472F" w:rsidRPr="00D9152B">
        <w:rPr>
          <w:rFonts w:ascii="Calibri" w:hAnsi="Calibri" w:cs="Calibri"/>
          <w:sz w:val="22"/>
          <w:szCs w:val="22"/>
        </w:rPr>
        <w:t>Joint Programme Committee</w:t>
      </w:r>
      <w:r w:rsidRPr="00D9152B">
        <w:rPr>
          <w:rFonts w:ascii="Calibri" w:hAnsi="Calibri" w:cs="Calibri"/>
          <w:sz w:val="22"/>
          <w:szCs w:val="22"/>
        </w:rPr>
        <w:t xml:space="preserve"> voiced concerns in the early 1990s about the management, epidemiological expertise, and paltry budget of the OCP devolution unit.</w:t>
      </w:r>
      <w:r w:rsidR="00581494" w:rsidRPr="00CF189D">
        <w:rPr>
          <w:rStyle w:val="FootnoteReference"/>
          <w:rFonts w:ascii="Calibri" w:hAnsi="Calibri" w:cs="Calibri"/>
        </w:rPr>
        <w:footnoteReference w:customMarkFollows="1" w:id="851"/>
        <w:t>71</w:t>
      </w:r>
      <w:r w:rsidRPr="00581494">
        <w:rPr>
          <w:rFonts w:ascii="Calibri" w:hAnsi="Calibri" w:cs="Calibri"/>
          <w:sz w:val="22"/>
          <w:szCs w:val="22"/>
        </w:rPr>
        <w:t xml:space="preserve"> </w:t>
      </w:r>
    </w:p>
    <w:p w14:paraId="04868884" w14:textId="76B3C7C1" w:rsidR="00F00850" w:rsidRPr="00D9152B" w:rsidRDefault="00076FC2" w:rsidP="00656BE2">
      <w:pPr>
        <w:pStyle w:val="Heading3"/>
        <w:rPr>
          <w:rFonts w:ascii="Calibri" w:hAnsi="Calibri" w:cs="Calibri"/>
          <w:b/>
          <w:i/>
          <w:color w:val="000000" w:themeColor="text1"/>
          <w:sz w:val="22"/>
          <w:szCs w:val="22"/>
        </w:rPr>
      </w:pPr>
      <w:bookmarkStart w:id="148" w:name="_Toc41505703"/>
      <w:r w:rsidRPr="00D9152B">
        <w:rPr>
          <w:rFonts w:ascii="Calibri" w:hAnsi="Calibri" w:cs="Calibri"/>
          <w:b/>
          <w:i/>
          <w:color w:val="000000" w:themeColor="text1"/>
          <w:sz w:val="22"/>
          <w:szCs w:val="22"/>
        </w:rPr>
        <w:lastRenderedPageBreak/>
        <w:t>8</w:t>
      </w:r>
      <w:r w:rsidR="00F00850" w:rsidRPr="00D9152B">
        <w:rPr>
          <w:rFonts w:ascii="Calibri" w:hAnsi="Calibri" w:cs="Calibri"/>
          <w:b/>
          <w:i/>
          <w:color w:val="000000" w:themeColor="text1"/>
          <w:sz w:val="22"/>
          <w:szCs w:val="22"/>
        </w:rPr>
        <w:t>.</w:t>
      </w:r>
      <w:r w:rsidR="00677774" w:rsidRPr="00D9152B">
        <w:rPr>
          <w:rFonts w:ascii="Calibri" w:hAnsi="Calibri" w:cs="Calibri"/>
          <w:b/>
          <w:i/>
          <w:color w:val="000000" w:themeColor="text1"/>
          <w:sz w:val="22"/>
          <w:szCs w:val="22"/>
        </w:rPr>
        <w:t>6</w:t>
      </w:r>
      <w:r w:rsidR="00F00850" w:rsidRPr="00D9152B">
        <w:rPr>
          <w:rFonts w:ascii="Calibri" w:hAnsi="Calibri" w:cs="Calibri"/>
          <w:b/>
          <w:i/>
          <w:color w:val="000000" w:themeColor="text1"/>
          <w:sz w:val="22"/>
          <w:szCs w:val="22"/>
        </w:rPr>
        <w:t>.</w:t>
      </w:r>
      <w:r w:rsidR="00330DB6" w:rsidRPr="00D9152B">
        <w:rPr>
          <w:rFonts w:ascii="Calibri" w:hAnsi="Calibri" w:cs="Calibri"/>
          <w:b/>
          <w:i/>
          <w:color w:val="000000" w:themeColor="text1"/>
          <w:sz w:val="22"/>
          <w:szCs w:val="22"/>
        </w:rPr>
        <w:t xml:space="preserve">B. Developing community </w:t>
      </w:r>
      <w:r w:rsidR="00A13333" w:rsidRPr="00D9152B">
        <w:rPr>
          <w:rFonts w:ascii="Calibri" w:hAnsi="Calibri" w:cs="Calibri"/>
          <w:b/>
          <w:i/>
          <w:color w:val="000000" w:themeColor="text1"/>
          <w:sz w:val="22"/>
          <w:szCs w:val="22"/>
        </w:rPr>
        <w:t>mechanisms for ivermectin</w:t>
      </w:r>
      <w:r w:rsidR="00F00850" w:rsidRPr="00D9152B">
        <w:rPr>
          <w:rFonts w:ascii="Calibri" w:hAnsi="Calibri" w:cs="Calibri"/>
          <w:b/>
          <w:i/>
          <w:color w:val="000000" w:themeColor="text1"/>
          <w:sz w:val="22"/>
          <w:szCs w:val="22"/>
        </w:rPr>
        <w:t xml:space="preserve"> </w:t>
      </w:r>
      <w:r w:rsidR="00330DB6" w:rsidRPr="00D9152B">
        <w:rPr>
          <w:rFonts w:ascii="Calibri" w:hAnsi="Calibri" w:cs="Calibri"/>
          <w:b/>
          <w:i/>
          <w:color w:val="000000" w:themeColor="text1"/>
          <w:sz w:val="22"/>
          <w:szCs w:val="22"/>
        </w:rPr>
        <w:t>delivery</w:t>
      </w:r>
      <w:bookmarkEnd w:id="148"/>
    </w:p>
    <w:p w14:paraId="72AC8A99" w14:textId="79856D72" w:rsidR="00F00850" w:rsidRPr="00D9152B" w:rsidRDefault="00A13333" w:rsidP="00A12E2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Focusing on ivermectin delivery allowed the OCP to </w:t>
      </w:r>
      <w:r w:rsidR="003615B7" w:rsidRPr="00D9152B">
        <w:rPr>
          <w:rFonts w:ascii="Calibri" w:hAnsi="Calibri" w:cs="Calibri"/>
          <w:sz w:val="22"/>
          <w:szCs w:val="22"/>
        </w:rPr>
        <w:t>side step</w:t>
      </w:r>
      <w:r w:rsidRPr="00D9152B">
        <w:rPr>
          <w:rFonts w:ascii="Calibri" w:hAnsi="Calibri" w:cs="Calibri"/>
          <w:sz w:val="22"/>
          <w:szCs w:val="22"/>
        </w:rPr>
        <w:t xml:space="preserve"> </w:t>
      </w:r>
      <w:r w:rsidR="003615B7" w:rsidRPr="00D9152B">
        <w:rPr>
          <w:rFonts w:ascii="Calibri" w:hAnsi="Calibri" w:cs="Calibri"/>
          <w:sz w:val="22"/>
          <w:szCs w:val="22"/>
        </w:rPr>
        <w:t>this</w:t>
      </w:r>
      <w:r w:rsidRPr="00D9152B">
        <w:rPr>
          <w:rFonts w:ascii="Calibri" w:hAnsi="Calibri" w:cs="Calibri"/>
          <w:sz w:val="22"/>
          <w:szCs w:val="22"/>
        </w:rPr>
        <w:t xml:space="preserve"> continuing issue of how to engage with decentralized primary care networks and finance regional surveillance activities. </w:t>
      </w:r>
      <w:r w:rsidR="00F00850" w:rsidRPr="00D9152B">
        <w:rPr>
          <w:rFonts w:ascii="Calibri" w:hAnsi="Calibri" w:cs="Calibri"/>
          <w:sz w:val="22"/>
          <w:szCs w:val="22"/>
        </w:rPr>
        <w:t xml:space="preserve">In 1988, Merck </w:t>
      </w:r>
      <w:r w:rsidRPr="00D9152B">
        <w:rPr>
          <w:rFonts w:ascii="Calibri" w:hAnsi="Calibri" w:cs="Calibri"/>
          <w:sz w:val="22"/>
          <w:szCs w:val="22"/>
        </w:rPr>
        <w:t>established its own</w:t>
      </w:r>
      <w:r w:rsidR="00F00850" w:rsidRPr="00D9152B">
        <w:rPr>
          <w:rFonts w:ascii="Calibri" w:hAnsi="Calibri" w:cs="Calibri"/>
          <w:sz w:val="22"/>
          <w:szCs w:val="22"/>
        </w:rPr>
        <w:t xml:space="preserve"> organisation to approve ivermectin distribution,</w:t>
      </w:r>
      <w:r w:rsidR="004205AB" w:rsidRPr="00D9152B">
        <w:rPr>
          <w:rFonts w:ascii="Calibri" w:hAnsi="Calibri" w:cs="Calibri"/>
          <w:sz w:val="22"/>
          <w:szCs w:val="22"/>
        </w:rPr>
        <w:t xml:space="preserve"> the Mectizan Expert Committee (MEC), </w:t>
      </w:r>
      <w:r w:rsidR="00F00850" w:rsidRPr="00D9152B">
        <w:rPr>
          <w:rFonts w:ascii="Calibri" w:hAnsi="Calibri" w:cs="Calibri"/>
          <w:sz w:val="22"/>
          <w:szCs w:val="22"/>
        </w:rPr>
        <w:t xml:space="preserve">which was based </w:t>
      </w:r>
      <w:r w:rsidR="004205AB" w:rsidRPr="00D9152B">
        <w:rPr>
          <w:rFonts w:ascii="Calibri" w:hAnsi="Calibri" w:cs="Calibri"/>
          <w:sz w:val="22"/>
          <w:szCs w:val="22"/>
        </w:rPr>
        <w:t>at the Carter Center’s Task Force for Child S</w:t>
      </w:r>
      <w:r w:rsidR="00F00850" w:rsidRPr="00D9152B">
        <w:rPr>
          <w:rFonts w:ascii="Calibri" w:hAnsi="Calibri" w:cs="Calibri"/>
          <w:sz w:val="22"/>
          <w:szCs w:val="22"/>
        </w:rPr>
        <w:t>urvival and Development</w:t>
      </w:r>
      <w:r w:rsidR="004205AB" w:rsidRPr="00D9152B">
        <w:rPr>
          <w:rFonts w:ascii="Calibri" w:hAnsi="Calibri" w:cs="Calibri"/>
          <w:sz w:val="22"/>
          <w:szCs w:val="22"/>
        </w:rPr>
        <w:t xml:space="preserve">. The </w:t>
      </w:r>
      <w:r w:rsidR="0097472F" w:rsidRPr="00D9152B">
        <w:rPr>
          <w:rFonts w:ascii="Calibri" w:hAnsi="Calibri" w:cs="Calibri"/>
          <w:sz w:val="22"/>
          <w:szCs w:val="22"/>
        </w:rPr>
        <w:t>Mectizan Expert Committee</w:t>
      </w:r>
      <w:r w:rsidR="004205AB" w:rsidRPr="00D9152B">
        <w:rPr>
          <w:rFonts w:ascii="Calibri" w:hAnsi="Calibri" w:cs="Calibri"/>
          <w:sz w:val="22"/>
          <w:szCs w:val="22"/>
        </w:rPr>
        <w:t xml:space="preserve"> develop</w:t>
      </w:r>
      <w:r w:rsidRPr="00D9152B">
        <w:rPr>
          <w:rFonts w:ascii="Calibri" w:hAnsi="Calibri" w:cs="Calibri"/>
          <w:sz w:val="22"/>
          <w:szCs w:val="22"/>
        </w:rPr>
        <w:t>ed</w:t>
      </w:r>
      <w:r w:rsidR="004205AB" w:rsidRPr="00D9152B">
        <w:rPr>
          <w:rFonts w:ascii="Calibri" w:hAnsi="Calibri" w:cs="Calibri"/>
          <w:sz w:val="22"/>
          <w:szCs w:val="22"/>
        </w:rPr>
        <w:t xml:space="preserve"> guidelines for </w:t>
      </w:r>
      <w:r w:rsidR="00F00850" w:rsidRPr="00D9152B">
        <w:rPr>
          <w:rFonts w:ascii="Calibri" w:hAnsi="Calibri" w:cs="Calibri"/>
          <w:sz w:val="22"/>
          <w:szCs w:val="22"/>
        </w:rPr>
        <w:t>treatment</w:t>
      </w:r>
      <w:r w:rsidR="00993AFE" w:rsidRPr="00D9152B">
        <w:rPr>
          <w:rFonts w:ascii="Calibri" w:hAnsi="Calibri" w:cs="Calibri"/>
          <w:sz w:val="22"/>
          <w:szCs w:val="22"/>
        </w:rPr>
        <w:t xml:space="preserve">, reviewed </w:t>
      </w:r>
      <w:r w:rsidR="004205AB" w:rsidRPr="00D9152B">
        <w:rPr>
          <w:rFonts w:ascii="Calibri" w:hAnsi="Calibri" w:cs="Calibri"/>
          <w:sz w:val="22"/>
          <w:szCs w:val="22"/>
        </w:rPr>
        <w:t>applications from endemic countries</w:t>
      </w:r>
      <w:r w:rsidR="00993AFE" w:rsidRPr="00D9152B">
        <w:rPr>
          <w:rFonts w:ascii="Calibri" w:hAnsi="Calibri" w:cs="Calibri"/>
          <w:sz w:val="22"/>
          <w:szCs w:val="22"/>
        </w:rPr>
        <w:t xml:space="preserve">, </w:t>
      </w:r>
      <w:r w:rsidR="004205AB" w:rsidRPr="00D9152B">
        <w:rPr>
          <w:rFonts w:ascii="Calibri" w:hAnsi="Calibri" w:cs="Calibri"/>
          <w:sz w:val="22"/>
          <w:szCs w:val="22"/>
        </w:rPr>
        <w:t>advise</w:t>
      </w:r>
      <w:r w:rsidR="00993AFE" w:rsidRPr="00D9152B">
        <w:rPr>
          <w:rFonts w:ascii="Calibri" w:hAnsi="Calibri" w:cs="Calibri"/>
          <w:sz w:val="22"/>
          <w:szCs w:val="22"/>
        </w:rPr>
        <w:t>d</w:t>
      </w:r>
      <w:r w:rsidR="004205AB" w:rsidRPr="00D9152B">
        <w:rPr>
          <w:rFonts w:ascii="Calibri" w:hAnsi="Calibri" w:cs="Calibri"/>
          <w:sz w:val="22"/>
          <w:szCs w:val="22"/>
        </w:rPr>
        <w:t xml:space="preserve"> applicants on implementation, and monitor</w:t>
      </w:r>
      <w:r w:rsidR="00993AFE" w:rsidRPr="00D9152B">
        <w:rPr>
          <w:rFonts w:ascii="Calibri" w:hAnsi="Calibri" w:cs="Calibri"/>
          <w:sz w:val="22"/>
          <w:szCs w:val="22"/>
        </w:rPr>
        <w:t>ed</w:t>
      </w:r>
      <w:r w:rsidR="004205AB" w:rsidRPr="00D9152B">
        <w:rPr>
          <w:rFonts w:ascii="Calibri" w:hAnsi="Calibri" w:cs="Calibri"/>
          <w:sz w:val="22"/>
          <w:szCs w:val="22"/>
        </w:rPr>
        <w:t xml:space="preserve"> pr</w:t>
      </w:r>
      <w:r w:rsidR="00993AFE" w:rsidRPr="00D9152B">
        <w:rPr>
          <w:rFonts w:ascii="Calibri" w:hAnsi="Calibri" w:cs="Calibri"/>
          <w:sz w:val="22"/>
          <w:szCs w:val="22"/>
        </w:rPr>
        <w:t>ogress (</w:t>
      </w:r>
      <w:r w:rsidR="004205AB" w:rsidRPr="00D9152B">
        <w:rPr>
          <w:rFonts w:ascii="Calibri" w:hAnsi="Calibri" w:cs="Calibri"/>
          <w:sz w:val="22"/>
          <w:szCs w:val="22"/>
        </w:rPr>
        <w:t xml:space="preserve">using representatives of Merck, WHO, and the </w:t>
      </w:r>
      <w:r w:rsidR="007D5A6C">
        <w:rPr>
          <w:rFonts w:ascii="Calibri" w:hAnsi="Calibri" w:cs="Calibri"/>
          <w:sz w:val="22"/>
          <w:szCs w:val="22"/>
        </w:rPr>
        <w:t>U.S. Centers for Disease Control [CDC]</w:t>
      </w:r>
      <w:r w:rsidR="004205AB" w:rsidRPr="00D9152B">
        <w:rPr>
          <w:rFonts w:ascii="Calibri" w:hAnsi="Calibri" w:cs="Calibri"/>
          <w:sz w:val="22"/>
          <w:szCs w:val="22"/>
        </w:rPr>
        <w:t xml:space="preserve"> as technical advisors</w:t>
      </w:r>
      <w:r w:rsidR="00993AFE" w:rsidRPr="00D9152B">
        <w:rPr>
          <w:rFonts w:ascii="Calibri" w:hAnsi="Calibri" w:cs="Calibri"/>
          <w:sz w:val="22"/>
          <w:szCs w:val="22"/>
        </w:rPr>
        <w:t>)</w:t>
      </w:r>
      <w:r w:rsidR="004205AB" w:rsidRPr="00D9152B">
        <w:rPr>
          <w:rFonts w:ascii="Calibri" w:hAnsi="Calibri" w:cs="Calibri"/>
          <w:sz w:val="22"/>
          <w:szCs w:val="22"/>
        </w:rPr>
        <w:t>.</w:t>
      </w:r>
      <w:r w:rsidR="00E259AA" w:rsidRPr="00CF189D">
        <w:rPr>
          <w:rStyle w:val="FootnoteReference"/>
          <w:rFonts w:ascii="Calibri" w:hAnsi="Calibri" w:cs="Calibri"/>
        </w:rPr>
        <w:footnoteReference w:customMarkFollows="1" w:id="852"/>
        <w:t>72</w:t>
      </w:r>
      <w:r w:rsidR="00F00850" w:rsidRPr="00E259AA">
        <w:rPr>
          <w:rFonts w:ascii="Calibri" w:hAnsi="Calibri" w:cs="Calibri"/>
          <w:sz w:val="22"/>
          <w:szCs w:val="22"/>
        </w:rPr>
        <w:t xml:space="preserve"> </w:t>
      </w:r>
      <w:r w:rsidR="00603146" w:rsidRPr="00D9152B">
        <w:rPr>
          <w:rFonts w:ascii="Calibri" w:hAnsi="Calibri" w:cs="Calibri"/>
          <w:sz w:val="22"/>
          <w:szCs w:val="22"/>
        </w:rPr>
        <w:t xml:space="preserve">When initial trial results with ivermectin were positive (see </w:t>
      </w:r>
      <w:r w:rsidR="007D5A6C">
        <w:rPr>
          <w:rFonts w:ascii="Calibri" w:hAnsi="Calibri" w:cs="Calibri"/>
          <w:sz w:val="22"/>
          <w:szCs w:val="22"/>
        </w:rPr>
        <w:t>section 7.5</w:t>
      </w:r>
      <w:r w:rsidR="00603146" w:rsidRPr="00D9152B">
        <w:rPr>
          <w:rFonts w:ascii="Calibri" w:hAnsi="Calibri" w:cs="Calibri"/>
          <w:sz w:val="22"/>
          <w:szCs w:val="22"/>
        </w:rPr>
        <w:t xml:space="preserve">), the OCP decided that it would be unethical to wait for remaining trial results before planning large-scale </w:t>
      </w:r>
      <w:r w:rsidR="00603146" w:rsidRPr="00E259AA">
        <w:rPr>
          <w:rFonts w:ascii="Calibri" w:hAnsi="Calibri" w:cs="Calibri"/>
          <w:sz w:val="22"/>
          <w:szCs w:val="22"/>
        </w:rPr>
        <w:t>delivery.</w:t>
      </w:r>
      <w:r w:rsidR="00E259AA" w:rsidRPr="00CF189D">
        <w:rPr>
          <w:rStyle w:val="FootnoteReference"/>
          <w:rFonts w:ascii="Calibri" w:hAnsi="Calibri" w:cs="Calibri"/>
        </w:rPr>
        <w:footnoteReference w:customMarkFollows="1" w:id="853"/>
        <w:t>73</w:t>
      </w:r>
      <w:r w:rsidR="00603146" w:rsidRPr="00D9152B">
        <w:rPr>
          <w:rFonts w:ascii="Calibri" w:hAnsi="Calibri" w:cs="Calibri"/>
          <w:sz w:val="22"/>
          <w:szCs w:val="22"/>
        </w:rPr>
        <w:t xml:space="preserve"> </w:t>
      </w:r>
      <w:r w:rsidR="004205AB" w:rsidRPr="00D9152B">
        <w:rPr>
          <w:rFonts w:ascii="Calibri" w:hAnsi="Calibri" w:cs="Calibri"/>
          <w:sz w:val="22"/>
          <w:szCs w:val="22"/>
        </w:rPr>
        <w:t xml:space="preserve">From 1989 to 1997, the OCP collaborated with the </w:t>
      </w:r>
      <w:r w:rsidR="0097472F" w:rsidRPr="00D9152B">
        <w:rPr>
          <w:rFonts w:ascii="Calibri" w:hAnsi="Calibri" w:cs="Calibri"/>
          <w:sz w:val="22"/>
          <w:szCs w:val="22"/>
        </w:rPr>
        <w:t>Metizan Expert Committee</w:t>
      </w:r>
      <w:r w:rsidR="004205AB" w:rsidRPr="00D9152B">
        <w:rPr>
          <w:rFonts w:ascii="Calibri" w:hAnsi="Calibri" w:cs="Calibri"/>
          <w:sz w:val="22"/>
          <w:szCs w:val="22"/>
        </w:rPr>
        <w:t xml:space="preserve">, </w:t>
      </w:r>
      <w:r w:rsidR="0097472F" w:rsidRPr="00D9152B">
        <w:rPr>
          <w:rFonts w:ascii="Calibri" w:hAnsi="Calibri" w:cs="Calibri"/>
          <w:sz w:val="22"/>
          <w:szCs w:val="22"/>
        </w:rPr>
        <w:t>the Special Programme for Research and Training in Tropical Diseases (</w:t>
      </w:r>
      <w:r w:rsidR="004205AB" w:rsidRPr="00D9152B">
        <w:rPr>
          <w:rFonts w:ascii="Calibri" w:hAnsi="Calibri" w:cs="Calibri"/>
          <w:sz w:val="22"/>
          <w:szCs w:val="22"/>
        </w:rPr>
        <w:t>TDR</w:t>
      </w:r>
      <w:r w:rsidR="0097472F" w:rsidRPr="00D9152B">
        <w:rPr>
          <w:rFonts w:ascii="Calibri" w:hAnsi="Calibri" w:cs="Calibri"/>
          <w:sz w:val="22"/>
          <w:szCs w:val="22"/>
        </w:rPr>
        <w:t>)</w:t>
      </w:r>
      <w:r w:rsidR="004205AB" w:rsidRPr="00D9152B">
        <w:rPr>
          <w:rFonts w:ascii="Calibri" w:hAnsi="Calibri" w:cs="Calibri"/>
          <w:sz w:val="22"/>
          <w:szCs w:val="22"/>
        </w:rPr>
        <w:t xml:space="preserve">, </w:t>
      </w:r>
      <w:r w:rsidR="0097472F" w:rsidRPr="00D9152B">
        <w:rPr>
          <w:rFonts w:ascii="Calibri" w:hAnsi="Calibri" w:cs="Calibri"/>
          <w:sz w:val="22"/>
          <w:szCs w:val="22"/>
        </w:rPr>
        <w:t>non-governmental organizations (NGOs)</w:t>
      </w:r>
      <w:r w:rsidR="004205AB" w:rsidRPr="00D9152B">
        <w:rPr>
          <w:rFonts w:ascii="Calibri" w:hAnsi="Calibri" w:cs="Calibri"/>
          <w:sz w:val="22"/>
          <w:szCs w:val="22"/>
        </w:rPr>
        <w:t>, and other partners to optimize delivery of ivermectin</w:t>
      </w:r>
      <w:r w:rsidR="006056A8" w:rsidRPr="00D9152B">
        <w:rPr>
          <w:rFonts w:ascii="Calibri" w:hAnsi="Calibri" w:cs="Calibri"/>
          <w:sz w:val="22"/>
          <w:szCs w:val="22"/>
        </w:rPr>
        <w:t>, donated through the Mectizan Donation Programme</w:t>
      </w:r>
      <w:r w:rsidR="004205AB" w:rsidRPr="00D9152B">
        <w:rPr>
          <w:rFonts w:ascii="Calibri" w:hAnsi="Calibri" w:cs="Calibri"/>
          <w:sz w:val="22"/>
          <w:szCs w:val="22"/>
        </w:rPr>
        <w:t xml:space="preserve">. </w:t>
      </w:r>
    </w:p>
    <w:p w14:paraId="24FD8199" w14:textId="0EC49F56" w:rsidR="004205AB" w:rsidRPr="00D9152B" w:rsidRDefault="004205AB" w:rsidP="00A12E2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Major events in the transition from mobile teams to community-directed treatment with ivermectin have been covered elsewhere,</w:t>
      </w:r>
      <w:r w:rsidR="00E259AA" w:rsidRPr="00CF189D">
        <w:rPr>
          <w:rStyle w:val="FootnoteReference"/>
          <w:rFonts w:ascii="Calibri" w:hAnsi="Calibri" w:cs="Calibri"/>
        </w:rPr>
        <w:footnoteReference w:customMarkFollows="1" w:id="854"/>
        <w:t>74</w:t>
      </w:r>
      <w:r w:rsidRPr="00E259AA">
        <w:rPr>
          <w:rFonts w:ascii="Calibri" w:hAnsi="Calibri" w:cs="Calibri"/>
          <w:sz w:val="22"/>
          <w:szCs w:val="22"/>
        </w:rPr>
        <w:t xml:space="preserve"> so</w:t>
      </w:r>
      <w:r w:rsidRPr="00D9152B">
        <w:rPr>
          <w:rFonts w:ascii="Calibri" w:hAnsi="Calibri" w:cs="Calibri"/>
          <w:sz w:val="22"/>
          <w:szCs w:val="22"/>
        </w:rPr>
        <w:t xml:space="preserve"> this section focuses on the </w:t>
      </w:r>
      <w:r w:rsidRPr="00D9152B">
        <w:rPr>
          <w:rFonts w:ascii="Calibri" w:hAnsi="Calibri" w:cs="Calibri"/>
          <w:i/>
          <w:sz w:val="22"/>
          <w:szCs w:val="22"/>
        </w:rPr>
        <w:t>OCP’s</w:t>
      </w:r>
      <w:r w:rsidR="006056A8" w:rsidRPr="00D9152B">
        <w:rPr>
          <w:rFonts w:ascii="Calibri" w:hAnsi="Calibri" w:cs="Calibri"/>
          <w:i/>
          <w:sz w:val="22"/>
          <w:szCs w:val="22"/>
        </w:rPr>
        <w:t xml:space="preserve"> </w:t>
      </w:r>
      <w:r w:rsidR="006056A8" w:rsidRPr="00D9152B">
        <w:rPr>
          <w:rFonts w:ascii="Calibri" w:hAnsi="Calibri" w:cs="Calibri"/>
          <w:sz w:val="22"/>
          <w:szCs w:val="22"/>
        </w:rPr>
        <w:t>broad</w:t>
      </w:r>
      <w:r w:rsidRPr="00D9152B">
        <w:rPr>
          <w:rFonts w:ascii="Calibri" w:hAnsi="Calibri" w:cs="Calibri"/>
          <w:i/>
          <w:sz w:val="22"/>
          <w:szCs w:val="22"/>
        </w:rPr>
        <w:t xml:space="preserve"> </w:t>
      </w:r>
      <w:r w:rsidRPr="00D9152B">
        <w:rPr>
          <w:rFonts w:ascii="Calibri" w:hAnsi="Calibri" w:cs="Calibri"/>
          <w:sz w:val="22"/>
          <w:szCs w:val="22"/>
        </w:rPr>
        <w:t xml:space="preserve">role in the transition. This took four steps: using OCP-funded mobile teams to deliver the drug to priority areas, working with NGOs to support delivery through national teams, working with NGOs to train existing community health workers to deliver the drug, and, finally, operating outside of the </w:t>
      </w:r>
      <w:r w:rsidR="0097472F" w:rsidRPr="00D9152B">
        <w:rPr>
          <w:rFonts w:ascii="Calibri" w:hAnsi="Calibri" w:cs="Calibri"/>
          <w:sz w:val="22"/>
          <w:szCs w:val="22"/>
        </w:rPr>
        <w:t xml:space="preserve">formal </w:t>
      </w:r>
      <w:r w:rsidRPr="00D9152B">
        <w:rPr>
          <w:rFonts w:ascii="Calibri" w:hAnsi="Calibri" w:cs="Calibri"/>
          <w:sz w:val="22"/>
          <w:szCs w:val="22"/>
        </w:rPr>
        <w:t xml:space="preserve">health system by relying on community volunteers for </w:t>
      </w:r>
      <w:r w:rsidR="00993AFE" w:rsidRPr="00D9152B">
        <w:rPr>
          <w:rFonts w:ascii="Calibri" w:hAnsi="Calibri" w:cs="Calibri"/>
          <w:sz w:val="22"/>
          <w:szCs w:val="22"/>
        </w:rPr>
        <w:t>drug delivery. Each step increasingly promoted concepts of efficiency and cost-effectiveness.</w:t>
      </w:r>
    </w:p>
    <w:p w14:paraId="2C618BFF" w14:textId="6A209536" w:rsidR="004205AB" w:rsidRPr="00D9152B" w:rsidRDefault="004205AB" w:rsidP="00A12E2E">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ab/>
      </w:r>
      <w:r w:rsidR="00994440" w:rsidRPr="00D9152B">
        <w:rPr>
          <w:rFonts w:ascii="Calibri" w:hAnsi="Calibri" w:cs="Calibri"/>
          <w:sz w:val="22"/>
          <w:szCs w:val="22"/>
        </w:rPr>
        <w:t>M</w:t>
      </w:r>
      <w:r w:rsidRPr="00D9152B">
        <w:rPr>
          <w:rFonts w:ascii="Calibri" w:hAnsi="Calibri" w:cs="Calibri"/>
          <w:sz w:val="22"/>
          <w:szCs w:val="22"/>
        </w:rPr>
        <w:t xml:space="preserve">obile medical units had been used to deliver </w:t>
      </w:r>
      <w:r w:rsidR="00F00850" w:rsidRPr="00D9152B">
        <w:rPr>
          <w:rFonts w:ascii="Calibri" w:hAnsi="Calibri" w:cs="Calibri"/>
          <w:sz w:val="22"/>
          <w:szCs w:val="22"/>
        </w:rPr>
        <w:t xml:space="preserve">the drugs </w:t>
      </w:r>
      <w:r w:rsidR="0097472F" w:rsidRPr="00D9152B">
        <w:rPr>
          <w:rFonts w:ascii="Calibri" w:hAnsi="Calibri" w:cs="Calibri"/>
          <w:sz w:val="22"/>
          <w:szCs w:val="22"/>
        </w:rPr>
        <w:t>diethylcarbamazine (DEC)</w:t>
      </w:r>
      <w:r w:rsidRPr="00D9152B">
        <w:rPr>
          <w:rFonts w:ascii="Calibri" w:hAnsi="Calibri" w:cs="Calibri"/>
          <w:sz w:val="22"/>
          <w:szCs w:val="22"/>
        </w:rPr>
        <w:t xml:space="preserve"> and suramin during the late colonial and early independence eras in Upper Volta, Cote </w:t>
      </w:r>
      <w:r w:rsidRPr="00D9152B">
        <w:rPr>
          <w:rFonts w:ascii="Calibri" w:hAnsi="Calibri" w:cs="Calibri"/>
          <w:sz w:val="22"/>
          <w:szCs w:val="22"/>
        </w:rPr>
        <w:lastRenderedPageBreak/>
        <w:t xml:space="preserve">d’Ivoire, Mali, and </w:t>
      </w:r>
      <w:r w:rsidRPr="00E259AA">
        <w:rPr>
          <w:rFonts w:ascii="Calibri" w:hAnsi="Calibri" w:cs="Calibri"/>
          <w:sz w:val="22"/>
          <w:szCs w:val="22"/>
        </w:rPr>
        <w:t>Ghana.</w:t>
      </w:r>
      <w:r w:rsidR="00E259AA" w:rsidRPr="00CF189D">
        <w:rPr>
          <w:rStyle w:val="FootnoteReference"/>
          <w:rFonts w:ascii="Calibri" w:hAnsi="Calibri" w:cs="Calibri"/>
        </w:rPr>
        <w:footnoteReference w:customMarkFollows="1" w:id="855"/>
        <w:t>75</w:t>
      </w:r>
      <w:r w:rsidRPr="00D9152B">
        <w:rPr>
          <w:rFonts w:ascii="Calibri" w:hAnsi="Calibri" w:cs="Calibri"/>
          <w:sz w:val="22"/>
          <w:szCs w:val="22"/>
        </w:rPr>
        <w:t xml:space="preserve"> From 1987-1989, the OCP used a similar distribution strategy for a ‘clinical trial unprecedented in tropical medicine’, which delivered thousands </w:t>
      </w:r>
      <w:r w:rsidR="00F00850" w:rsidRPr="00D9152B">
        <w:rPr>
          <w:rFonts w:ascii="Calibri" w:hAnsi="Calibri" w:cs="Calibri"/>
          <w:sz w:val="22"/>
          <w:szCs w:val="22"/>
        </w:rPr>
        <w:t>of doses of ivermectin through eight</w:t>
      </w:r>
      <w:r w:rsidRPr="00D9152B">
        <w:rPr>
          <w:rFonts w:ascii="Calibri" w:hAnsi="Calibri" w:cs="Calibri"/>
          <w:sz w:val="22"/>
          <w:szCs w:val="22"/>
        </w:rPr>
        <w:t xml:space="preserve"> community trials in the OCP region</w:t>
      </w:r>
      <w:r w:rsidRPr="00E259AA">
        <w:rPr>
          <w:rFonts w:ascii="Calibri" w:hAnsi="Calibri" w:cs="Calibri"/>
          <w:sz w:val="22"/>
          <w:szCs w:val="22"/>
        </w:rPr>
        <w:t>.</w:t>
      </w:r>
      <w:r w:rsidR="00E259AA" w:rsidRPr="00CF189D">
        <w:rPr>
          <w:rStyle w:val="FootnoteReference"/>
          <w:rFonts w:ascii="Calibri" w:hAnsi="Calibri" w:cs="Calibri"/>
        </w:rPr>
        <w:footnoteReference w:customMarkFollows="1" w:id="856"/>
        <w:t>76</w:t>
      </w:r>
      <w:r w:rsidRPr="00D9152B">
        <w:rPr>
          <w:rFonts w:ascii="Calibri" w:hAnsi="Calibri" w:cs="Calibri"/>
          <w:sz w:val="22"/>
          <w:szCs w:val="22"/>
        </w:rPr>
        <w:t xml:space="preserve"> </w:t>
      </w:r>
      <w:r w:rsidR="00603146" w:rsidRPr="00D9152B">
        <w:rPr>
          <w:rFonts w:ascii="Calibri" w:hAnsi="Calibri" w:cs="Calibri"/>
          <w:sz w:val="22"/>
          <w:szCs w:val="22"/>
        </w:rPr>
        <w:t>However,</w:t>
      </w:r>
      <w:r w:rsidRPr="00D9152B">
        <w:rPr>
          <w:rFonts w:ascii="Calibri" w:hAnsi="Calibri" w:cs="Calibri"/>
          <w:sz w:val="22"/>
          <w:szCs w:val="22"/>
        </w:rPr>
        <w:t xml:space="preserve"> mobile delivery was too expensive to apply across the OCP using its existing budget. For instance, from 1988-1989, about 500,000 </w:t>
      </w:r>
      <w:r w:rsidR="00F00850" w:rsidRPr="00D9152B">
        <w:rPr>
          <w:rFonts w:ascii="Calibri" w:hAnsi="Calibri" w:cs="Calibri"/>
          <w:sz w:val="22"/>
          <w:szCs w:val="22"/>
        </w:rPr>
        <w:t>r</w:t>
      </w:r>
      <w:r w:rsidRPr="00D9152B">
        <w:rPr>
          <w:rFonts w:ascii="Calibri" w:hAnsi="Calibri" w:cs="Calibri"/>
          <w:sz w:val="22"/>
          <w:szCs w:val="22"/>
        </w:rPr>
        <w:t xml:space="preserve">esidents </w:t>
      </w:r>
      <w:r w:rsidR="00F00850" w:rsidRPr="00D9152B">
        <w:rPr>
          <w:rFonts w:ascii="Calibri" w:hAnsi="Calibri" w:cs="Calibri"/>
          <w:sz w:val="22"/>
          <w:szCs w:val="22"/>
        </w:rPr>
        <w:t>of the OCP area were treated by mobile teams.</w:t>
      </w:r>
      <w:r w:rsidRPr="00D9152B">
        <w:rPr>
          <w:rFonts w:ascii="Calibri" w:hAnsi="Calibri" w:cs="Calibri"/>
          <w:sz w:val="22"/>
          <w:szCs w:val="22"/>
        </w:rPr>
        <w:t xml:space="preserve"> </w:t>
      </w:r>
      <w:r w:rsidR="00F00850" w:rsidRPr="00D9152B">
        <w:rPr>
          <w:rFonts w:ascii="Calibri" w:hAnsi="Calibri" w:cs="Calibri"/>
          <w:sz w:val="22"/>
          <w:szCs w:val="22"/>
        </w:rPr>
        <w:t>These mobile teams</w:t>
      </w:r>
      <w:r w:rsidRPr="00D9152B">
        <w:rPr>
          <w:rFonts w:ascii="Calibri" w:hAnsi="Calibri" w:cs="Calibri"/>
          <w:sz w:val="22"/>
          <w:szCs w:val="22"/>
        </w:rPr>
        <w:t xml:space="preserve"> consisted of over 200 national technicians, supported by about 50 OCP technicians, all of whom received OCP per diems.</w:t>
      </w:r>
      <w:r w:rsidR="000533D7" w:rsidRPr="00D9152B">
        <w:rPr>
          <w:rStyle w:val="FootnoteReference"/>
          <w:rFonts w:ascii="Calibri" w:hAnsi="Calibri" w:cs="Calibri"/>
        </w:rPr>
        <w:footnoteReference w:customMarkFollows="1" w:id="857"/>
        <w:t>77</w:t>
      </w:r>
      <w:r w:rsidR="00603146" w:rsidRPr="00D9152B">
        <w:rPr>
          <w:rFonts w:ascii="Calibri" w:hAnsi="Calibri" w:cs="Calibri"/>
          <w:sz w:val="22"/>
          <w:szCs w:val="22"/>
        </w:rPr>
        <w:t xml:space="preserve"> Mobile teams were linked to the PHC network. For instance, teams typically consisted of a nurse, census clerk, and assistant (to deliver the drugs), were supervised by a medical officer (who typically worked with two or more teams), and placed nurses in charge of monitoring adverse events.</w:t>
      </w:r>
      <w:r w:rsidRPr="00D9152B">
        <w:rPr>
          <w:rFonts w:ascii="Calibri" w:hAnsi="Calibri" w:cs="Calibri"/>
          <w:sz w:val="22"/>
          <w:szCs w:val="22"/>
        </w:rPr>
        <w:t xml:space="preserve"> However, </w:t>
      </w:r>
      <w:r w:rsidR="00F00850" w:rsidRPr="00D9152B">
        <w:rPr>
          <w:rFonts w:ascii="Calibri" w:hAnsi="Calibri" w:cs="Calibri"/>
          <w:sz w:val="22"/>
          <w:szCs w:val="22"/>
        </w:rPr>
        <w:t xml:space="preserve">such active ivermectin </w:t>
      </w:r>
      <w:r w:rsidRPr="00D9152B">
        <w:rPr>
          <w:rFonts w:ascii="Calibri" w:hAnsi="Calibri" w:cs="Calibri"/>
          <w:sz w:val="22"/>
          <w:szCs w:val="22"/>
        </w:rPr>
        <w:t>delivery was only reaching a fraction of the total OCP population of about 30 million, even if some medical centres also carried out passive distribution.</w:t>
      </w:r>
      <w:r w:rsidR="000533D7" w:rsidRPr="00D9152B">
        <w:rPr>
          <w:rStyle w:val="FootnoteReference"/>
          <w:rFonts w:ascii="Calibri" w:hAnsi="Calibri" w:cs="Calibri"/>
        </w:rPr>
        <w:footnoteReference w:customMarkFollows="1" w:id="858"/>
        <w:t>78</w:t>
      </w:r>
      <w:r w:rsidRPr="00D9152B">
        <w:rPr>
          <w:rFonts w:ascii="Calibri" w:hAnsi="Calibri" w:cs="Calibri"/>
          <w:sz w:val="22"/>
          <w:szCs w:val="22"/>
        </w:rPr>
        <w:t xml:space="preserve"> </w:t>
      </w:r>
      <w:r w:rsidR="00603146" w:rsidRPr="00D9152B">
        <w:rPr>
          <w:rFonts w:ascii="Calibri" w:hAnsi="Calibri" w:cs="Calibri"/>
          <w:sz w:val="22"/>
          <w:szCs w:val="22"/>
        </w:rPr>
        <w:t>And, forming and training the medical staff involved in the teams could be problematic; in 1988, only three teams were operational in the Western extensions of Guinea, Mali, and Senegal.</w:t>
      </w:r>
      <w:r w:rsidR="000533D7" w:rsidRPr="00D9152B">
        <w:rPr>
          <w:rStyle w:val="FootnoteReference"/>
          <w:rFonts w:ascii="Calibri" w:hAnsi="Calibri" w:cs="Calibri"/>
        </w:rPr>
        <w:footnoteReference w:customMarkFollows="1" w:id="859"/>
        <w:t>79</w:t>
      </w:r>
      <w:r w:rsidR="00603146" w:rsidRPr="00D9152B">
        <w:rPr>
          <w:rFonts w:ascii="Calibri" w:hAnsi="Calibri" w:cs="Calibri"/>
          <w:sz w:val="22"/>
          <w:szCs w:val="22"/>
        </w:rPr>
        <w:t xml:space="preserve"> During</w:t>
      </w:r>
      <w:r w:rsidRPr="00D9152B">
        <w:rPr>
          <w:rFonts w:ascii="Calibri" w:hAnsi="Calibri" w:cs="Calibri"/>
          <w:sz w:val="22"/>
          <w:szCs w:val="22"/>
        </w:rPr>
        <w:t xml:space="preserve"> 1990, about 250,000 additional people were treated in 1702 villages</w:t>
      </w:r>
      <w:r w:rsidR="00993AFE" w:rsidRPr="00D9152B">
        <w:rPr>
          <w:rFonts w:ascii="Calibri" w:hAnsi="Calibri" w:cs="Calibri"/>
          <w:sz w:val="22"/>
          <w:szCs w:val="22"/>
        </w:rPr>
        <w:t xml:space="preserve"> in the OCP area</w:t>
      </w:r>
      <w:r w:rsidRPr="00D9152B">
        <w:rPr>
          <w:rFonts w:ascii="Calibri" w:hAnsi="Calibri" w:cs="Calibri"/>
          <w:sz w:val="22"/>
          <w:szCs w:val="22"/>
        </w:rPr>
        <w:t xml:space="preserve">, but the average coverage per </w:t>
      </w:r>
      <w:r w:rsidR="00993AFE" w:rsidRPr="00D9152B">
        <w:rPr>
          <w:rFonts w:ascii="Calibri" w:hAnsi="Calibri" w:cs="Calibri"/>
          <w:sz w:val="22"/>
          <w:szCs w:val="22"/>
        </w:rPr>
        <w:t xml:space="preserve">treated </w:t>
      </w:r>
      <w:r w:rsidRPr="00D9152B">
        <w:rPr>
          <w:rFonts w:ascii="Calibri" w:hAnsi="Calibri" w:cs="Calibri"/>
          <w:sz w:val="22"/>
          <w:szCs w:val="22"/>
        </w:rPr>
        <w:t>vill</w:t>
      </w:r>
      <w:r w:rsidR="009C4D65" w:rsidRPr="00D9152B">
        <w:rPr>
          <w:rFonts w:ascii="Calibri" w:hAnsi="Calibri" w:cs="Calibri"/>
          <w:sz w:val="22"/>
          <w:szCs w:val="22"/>
        </w:rPr>
        <w:t>age was considered lower (64 percent of the occupants</w:t>
      </w:r>
      <w:r w:rsidRPr="00D9152B">
        <w:rPr>
          <w:rFonts w:ascii="Calibri" w:hAnsi="Calibri" w:cs="Calibri"/>
          <w:sz w:val="22"/>
          <w:szCs w:val="22"/>
        </w:rPr>
        <w:t>) than what would be required to interrupt transmission.</w:t>
      </w:r>
      <w:r w:rsidR="000533D7" w:rsidRPr="00D9152B">
        <w:rPr>
          <w:rStyle w:val="FootnoteReference"/>
          <w:rFonts w:ascii="Calibri" w:hAnsi="Calibri" w:cs="Calibri"/>
        </w:rPr>
        <w:footnoteReference w:customMarkFollows="1" w:id="860"/>
        <w:t>80</w:t>
      </w:r>
      <w:r w:rsidR="00994440" w:rsidRPr="00D9152B">
        <w:rPr>
          <w:rFonts w:ascii="Calibri" w:hAnsi="Calibri" w:cs="Calibri"/>
          <w:sz w:val="22"/>
          <w:szCs w:val="22"/>
        </w:rPr>
        <w:t xml:space="preserve"> Costs of OCP-mediated delivery were high. In 1989, for instance, per capita cost for treatment averaged six dollars,</w:t>
      </w:r>
      <w:r w:rsidR="000533D7" w:rsidRPr="00D9152B">
        <w:rPr>
          <w:rStyle w:val="FootnoteReference"/>
          <w:rFonts w:ascii="Calibri" w:hAnsi="Calibri" w:cs="Calibri"/>
        </w:rPr>
        <w:footnoteReference w:customMarkFollows="1" w:id="861"/>
        <w:t>81</w:t>
      </w:r>
      <w:r w:rsidR="00994440" w:rsidRPr="00D9152B">
        <w:rPr>
          <w:rFonts w:ascii="Calibri" w:hAnsi="Calibri" w:cs="Calibri"/>
          <w:sz w:val="22"/>
          <w:szCs w:val="22"/>
        </w:rPr>
        <w:t xml:space="preserve"> although with scale</w:t>
      </w:r>
      <w:r w:rsidR="0097472F" w:rsidRPr="00D9152B">
        <w:rPr>
          <w:rFonts w:ascii="Calibri" w:hAnsi="Calibri" w:cs="Calibri"/>
          <w:sz w:val="22"/>
          <w:szCs w:val="22"/>
        </w:rPr>
        <w:t>-</w:t>
      </w:r>
      <w:r w:rsidR="00994440" w:rsidRPr="00D9152B">
        <w:rPr>
          <w:rFonts w:ascii="Calibri" w:hAnsi="Calibri" w:cs="Calibri"/>
          <w:sz w:val="22"/>
          <w:szCs w:val="22"/>
        </w:rPr>
        <w:t xml:space="preserve">up of distribution, this cost was reduced to about </w:t>
      </w:r>
      <w:r w:rsidR="0097472F" w:rsidRPr="00D9152B">
        <w:rPr>
          <w:rFonts w:ascii="Calibri" w:hAnsi="Calibri" w:cs="Calibri"/>
          <w:sz w:val="22"/>
          <w:szCs w:val="22"/>
        </w:rPr>
        <w:t>two dollars</w:t>
      </w:r>
      <w:r w:rsidR="00994440" w:rsidRPr="00D9152B">
        <w:rPr>
          <w:rFonts w:ascii="Calibri" w:hAnsi="Calibri" w:cs="Calibri"/>
          <w:sz w:val="22"/>
          <w:szCs w:val="22"/>
        </w:rPr>
        <w:t>.</w:t>
      </w:r>
      <w:r w:rsidR="000533D7" w:rsidRPr="00D9152B">
        <w:rPr>
          <w:rStyle w:val="FootnoteReference"/>
          <w:rFonts w:ascii="Calibri" w:hAnsi="Calibri" w:cs="Calibri"/>
        </w:rPr>
        <w:footnoteReference w:customMarkFollows="1" w:id="862"/>
        <w:t>82</w:t>
      </w:r>
      <w:r w:rsidR="00994440" w:rsidRPr="00D9152B">
        <w:rPr>
          <w:rFonts w:ascii="Calibri" w:hAnsi="Calibri" w:cs="Calibri"/>
          <w:sz w:val="22"/>
          <w:szCs w:val="22"/>
        </w:rPr>
        <w:t xml:space="preserve"> This placed mobile team delivery costs well beyond the </w:t>
      </w:r>
      <w:r w:rsidR="0097472F" w:rsidRPr="00D9152B">
        <w:rPr>
          <w:rFonts w:ascii="Calibri" w:hAnsi="Calibri" w:cs="Calibri"/>
          <w:sz w:val="22"/>
          <w:szCs w:val="22"/>
        </w:rPr>
        <w:t>fifty cent</w:t>
      </w:r>
      <w:r w:rsidR="00994440" w:rsidRPr="00D9152B">
        <w:rPr>
          <w:rFonts w:ascii="Calibri" w:hAnsi="Calibri" w:cs="Calibri"/>
          <w:sz w:val="22"/>
          <w:szCs w:val="22"/>
        </w:rPr>
        <w:t xml:space="preserve"> maximum that the OCP had given to Merck before the company decided to donate ivermectin</w:t>
      </w:r>
      <w:r w:rsidR="007D5A6C">
        <w:rPr>
          <w:rFonts w:ascii="Calibri" w:hAnsi="Calibri" w:cs="Calibri"/>
          <w:sz w:val="22"/>
          <w:szCs w:val="22"/>
        </w:rPr>
        <w:t xml:space="preserve"> (see section 7.5)</w:t>
      </w:r>
      <w:r w:rsidR="00994440" w:rsidRPr="00D9152B">
        <w:rPr>
          <w:rFonts w:ascii="Calibri" w:hAnsi="Calibri" w:cs="Calibri"/>
          <w:sz w:val="22"/>
          <w:szCs w:val="22"/>
        </w:rPr>
        <w:t>.</w:t>
      </w:r>
    </w:p>
    <w:p w14:paraId="422FB40A" w14:textId="1B127023" w:rsidR="00603146" w:rsidRPr="00D9152B" w:rsidRDefault="004205AB" w:rsidP="00A12E2E">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ab/>
        <w:t xml:space="preserve">Because NGOs already played a major role in aspects of PHC delivery in decentralized West African countries, they independently began to work with the </w:t>
      </w:r>
      <w:r w:rsidR="0097472F" w:rsidRPr="00D9152B">
        <w:rPr>
          <w:rFonts w:ascii="Calibri" w:hAnsi="Calibri" w:cs="Calibri"/>
          <w:sz w:val="22"/>
          <w:szCs w:val="22"/>
        </w:rPr>
        <w:t xml:space="preserve">Mectizan </w:t>
      </w:r>
      <w:r w:rsidR="0097472F" w:rsidRPr="00D9152B">
        <w:rPr>
          <w:rFonts w:ascii="Calibri" w:hAnsi="Calibri" w:cs="Calibri"/>
          <w:sz w:val="22"/>
          <w:szCs w:val="22"/>
        </w:rPr>
        <w:lastRenderedPageBreak/>
        <w:t>Expert Committee</w:t>
      </w:r>
      <w:r w:rsidRPr="00D9152B">
        <w:rPr>
          <w:rFonts w:ascii="Calibri" w:hAnsi="Calibri" w:cs="Calibri"/>
          <w:sz w:val="22"/>
          <w:szCs w:val="22"/>
        </w:rPr>
        <w:t xml:space="preserve"> to deliver ivermectin, initially in Mali and Nigeria.</w:t>
      </w:r>
      <w:r w:rsidR="000533D7" w:rsidRPr="00D9152B">
        <w:rPr>
          <w:rStyle w:val="FootnoteReference"/>
          <w:rFonts w:ascii="Calibri" w:hAnsi="Calibri" w:cs="Calibri"/>
        </w:rPr>
        <w:footnoteReference w:customMarkFollows="1" w:id="863"/>
        <w:t>83</w:t>
      </w:r>
      <w:r w:rsidRPr="00D9152B">
        <w:rPr>
          <w:rFonts w:ascii="Calibri" w:hAnsi="Calibri" w:cs="Calibri"/>
          <w:sz w:val="22"/>
          <w:szCs w:val="22"/>
        </w:rPr>
        <w:t xml:space="preserve"> </w:t>
      </w:r>
      <w:r w:rsidR="00994440" w:rsidRPr="00D9152B">
        <w:rPr>
          <w:rFonts w:ascii="Calibri" w:hAnsi="Calibri" w:cs="Calibri"/>
          <w:sz w:val="22"/>
          <w:szCs w:val="22"/>
        </w:rPr>
        <w:t>However, working with NGOs was</w:t>
      </w:r>
      <w:r w:rsidR="00C15A52" w:rsidRPr="00D9152B">
        <w:rPr>
          <w:rFonts w:ascii="Calibri" w:hAnsi="Calibri" w:cs="Calibri"/>
          <w:sz w:val="22"/>
          <w:szCs w:val="22"/>
        </w:rPr>
        <w:t xml:space="preserve"> complicated by the fact that most NGOs were </w:t>
      </w:r>
      <w:r w:rsidR="00994440" w:rsidRPr="00D9152B">
        <w:rPr>
          <w:rFonts w:ascii="Calibri" w:hAnsi="Calibri" w:cs="Calibri"/>
          <w:sz w:val="22"/>
          <w:szCs w:val="22"/>
        </w:rPr>
        <w:t>only based in particular OCP locales</w:t>
      </w:r>
      <w:r w:rsidR="00C15A52" w:rsidRPr="00D9152B">
        <w:rPr>
          <w:rFonts w:ascii="Calibri" w:hAnsi="Calibri" w:cs="Calibri"/>
          <w:sz w:val="22"/>
          <w:szCs w:val="22"/>
        </w:rPr>
        <w:t xml:space="preserve">, and </w:t>
      </w:r>
      <w:r w:rsidR="00FA09F7" w:rsidRPr="00D9152B">
        <w:rPr>
          <w:rFonts w:ascii="Calibri" w:hAnsi="Calibri" w:cs="Calibri"/>
          <w:sz w:val="22"/>
          <w:szCs w:val="22"/>
        </w:rPr>
        <w:t xml:space="preserve">were </w:t>
      </w:r>
      <w:r w:rsidR="00994440" w:rsidRPr="00D9152B">
        <w:rPr>
          <w:rFonts w:ascii="Calibri" w:hAnsi="Calibri" w:cs="Calibri"/>
          <w:sz w:val="22"/>
          <w:szCs w:val="22"/>
        </w:rPr>
        <w:t xml:space="preserve">often </w:t>
      </w:r>
      <w:r w:rsidR="00FA09F7" w:rsidRPr="00D9152B">
        <w:rPr>
          <w:rFonts w:ascii="Calibri" w:hAnsi="Calibri" w:cs="Calibri"/>
          <w:sz w:val="22"/>
          <w:szCs w:val="22"/>
        </w:rPr>
        <w:t xml:space="preserve">keen to advance their own interests. </w:t>
      </w:r>
      <w:r w:rsidR="00994440" w:rsidRPr="00D9152B">
        <w:rPr>
          <w:rFonts w:ascii="Calibri" w:hAnsi="Calibri" w:cs="Calibri"/>
          <w:sz w:val="22"/>
          <w:szCs w:val="22"/>
        </w:rPr>
        <w:t xml:space="preserve">The Bank was </w:t>
      </w:r>
      <w:r w:rsidR="007D5A6C">
        <w:rPr>
          <w:rFonts w:ascii="Calibri" w:hAnsi="Calibri" w:cs="Calibri"/>
          <w:sz w:val="22"/>
          <w:szCs w:val="22"/>
        </w:rPr>
        <w:t>especially</w:t>
      </w:r>
      <w:r w:rsidR="00994440" w:rsidRPr="00D9152B">
        <w:rPr>
          <w:rFonts w:ascii="Calibri" w:hAnsi="Calibri" w:cs="Calibri"/>
          <w:sz w:val="22"/>
          <w:szCs w:val="22"/>
        </w:rPr>
        <w:t xml:space="preserve"> concerned that NGOs would duplicate OCP activities, or establish parallel funding mechanisms that would weaken support of the Onchocerciasis Fund.</w:t>
      </w:r>
      <w:r w:rsidR="000533D7" w:rsidRPr="00D9152B">
        <w:rPr>
          <w:rStyle w:val="FootnoteReference"/>
          <w:rFonts w:ascii="Calibri" w:hAnsi="Calibri" w:cs="Calibri"/>
        </w:rPr>
        <w:footnoteReference w:customMarkFollows="1" w:id="864"/>
        <w:t>84</w:t>
      </w:r>
      <w:r w:rsidR="00994440" w:rsidRPr="00D9152B">
        <w:rPr>
          <w:rFonts w:ascii="Calibri" w:hAnsi="Calibri" w:cs="Calibri"/>
          <w:sz w:val="22"/>
          <w:szCs w:val="22"/>
        </w:rPr>
        <w:t xml:space="preserve"> </w:t>
      </w:r>
      <w:r w:rsidR="00FA09F7" w:rsidRPr="00D9152B">
        <w:rPr>
          <w:rFonts w:ascii="Calibri" w:hAnsi="Calibri" w:cs="Calibri"/>
          <w:sz w:val="22"/>
          <w:szCs w:val="22"/>
        </w:rPr>
        <w:t>In 1990, for instance, Africare, the International Eye Foundation, and Helen Keller Internati</w:t>
      </w:r>
      <w:r w:rsidR="00B067CC" w:rsidRPr="00D9152B">
        <w:rPr>
          <w:rFonts w:ascii="Calibri" w:hAnsi="Calibri" w:cs="Calibri"/>
          <w:sz w:val="22"/>
          <w:szCs w:val="22"/>
        </w:rPr>
        <w:t>onal held a meeting at</w:t>
      </w:r>
      <w:r w:rsidR="00FA09F7" w:rsidRPr="00D9152B">
        <w:rPr>
          <w:rFonts w:ascii="Calibri" w:hAnsi="Calibri" w:cs="Calibri"/>
          <w:sz w:val="22"/>
          <w:szCs w:val="22"/>
        </w:rPr>
        <w:t xml:space="preserve"> InterAction, during which the NGOs decided to develop their own program</w:t>
      </w:r>
      <w:r w:rsidR="008039C9">
        <w:rPr>
          <w:rFonts w:ascii="Calibri" w:hAnsi="Calibri" w:cs="Calibri"/>
          <w:sz w:val="22"/>
          <w:szCs w:val="22"/>
        </w:rPr>
        <w:t>me</w:t>
      </w:r>
      <w:r w:rsidR="00FA09F7" w:rsidRPr="00D9152B">
        <w:rPr>
          <w:rFonts w:ascii="Calibri" w:hAnsi="Calibri" w:cs="Calibri"/>
          <w:sz w:val="22"/>
          <w:szCs w:val="22"/>
        </w:rPr>
        <w:t xml:space="preserve"> for ivermectin distribution</w:t>
      </w:r>
      <w:r w:rsidR="00B067CC" w:rsidRPr="00D9152B">
        <w:rPr>
          <w:rFonts w:ascii="Calibri" w:hAnsi="Calibri" w:cs="Calibri"/>
          <w:sz w:val="22"/>
          <w:szCs w:val="22"/>
        </w:rPr>
        <w:t xml:space="preserve"> and national plan development</w:t>
      </w:r>
      <w:r w:rsidR="00FA09F7" w:rsidRPr="00D9152B">
        <w:rPr>
          <w:rFonts w:ascii="Calibri" w:hAnsi="Calibri" w:cs="Calibri"/>
          <w:sz w:val="22"/>
          <w:szCs w:val="22"/>
        </w:rPr>
        <w:t xml:space="preserve"> in Africa through American NGOs, and </w:t>
      </w:r>
      <w:r w:rsidR="00B067CC" w:rsidRPr="00D9152B">
        <w:rPr>
          <w:rFonts w:ascii="Calibri" w:hAnsi="Calibri" w:cs="Calibri"/>
          <w:sz w:val="22"/>
          <w:szCs w:val="22"/>
        </w:rPr>
        <w:t>seek funding</w:t>
      </w:r>
      <w:r w:rsidR="00FA09F7" w:rsidRPr="00D9152B">
        <w:rPr>
          <w:rFonts w:ascii="Calibri" w:hAnsi="Calibri" w:cs="Calibri"/>
          <w:sz w:val="22"/>
          <w:szCs w:val="22"/>
        </w:rPr>
        <w:t xml:space="preserve"> from the United States </w:t>
      </w:r>
      <w:r w:rsidR="00B067CC" w:rsidRPr="00D9152B">
        <w:rPr>
          <w:rFonts w:ascii="Calibri" w:hAnsi="Calibri" w:cs="Calibri"/>
          <w:sz w:val="22"/>
          <w:szCs w:val="22"/>
        </w:rPr>
        <w:t>government</w:t>
      </w:r>
      <w:r w:rsidR="00FA09F7" w:rsidRPr="00D9152B">
        <w:rPr>
          <w:rFonts w:ascii="Calibri" w:hAnsi="Calibri" w:cs="Calibri"/>
          <w:sz w:val="22"/>
          <w:szCs w:val="22"/>
        </w:rPr>
        <w:t xml:space="preserve"> to this effect.</w:t>
      </w:r>
      <w:r w:rsidR="000533D7" w:rsidRPr="00D9152B">
        <w:rPr>
          <w:rStyle w:val="FootnoteReference"/>
          <w:rFonts w:ascii="Calibri" w:hAnsi="Calibri" w:cs="Calibri"/>
        </w:rPr>
        <w:footnoteReference w:customMarkFollows="1" w:id="865"/>
        <w:t>85</w:t>
      </w:r>
      <w:r w:rsidR="00C15A52" w:rsidRPr="00D9152B">
        <w:rPr>
          <w:rFonts w:ascii="Calibri" w:hAnsi="Calibri" w:cs="Calibri"/>
          <w:sz w:val="22"/>
          <w:szCs w:val="22"/>
        </w:rPr>
        <w:t xml:space="preserve"> </w:t>
      </w:r>
      <w:r w:rsidR="00FA09F7" w:rsidRPr="00D9152B">
        <w:rPr>
          <w:rFonts w:ascii="Calibri" w:hAnsi="Calibri" w:cs="Calibri"/>
          <w:sz w:val="22"/>
          <w:szCs w:val="22"/>
        </w:rPr>
        <w:t xml:space="preserve">In a meeting to which the OCP was not invited, the River Blindness Foundation </w:t>
      </w:r>
      <w:r w:rsidR="00B067CC" w:rsidRPr="00D9152B">
        <w:rPr>
          <w:rFonts w:ascii="Calibri" w:hAnsi="Calibri" w:cs="Calibri"/>
          <w:sz w:val="22"/>
          <w:szCs w:val="22"/>
        </w:rPr>
        <w:t xml:space="preserve">also </w:t>
      </w:r>
      <w:r w:rsidR="00FA09F7" w:rsidRPr="00D9152B">
        <w:rPr>
          <w:rFonts w:ascii="Calibri" w:hAnsi="Calibri" w:cs="Calibri"/>
          <w:sz w:val="22"/>
          <w:szCs w:val="22"/>
        </w:rPr>
        <w:t>met with NGOs about ivermectin delivery, and agreed to serve as a clearinghouse for information on onchocerciasis.</w:t>
      </w:r>
      <w:r w:rsidR="000533D7" w:rsidRPr="00D9152B">
        <w:rPr>
          <w:rStyle w:val="FootnoteReference"/>
          <w:rFonts w:ascii="Calibri" w:hAnsi="Calibri" w:cs="Calibri"/>
        </w:rPr>
        <w:footnoteReference w:customMarkFollows="1" w:id="866"/>
        <w:t>86</w:t>
      </w:r>
      <w:r w:rsidR="00FA09F7" w:rsidRPr="00D9152B">
        <w:rPr>
          <w:rFonts w:ascii="Calibri" w:hAnsi="Calibri" w:cs="Calibri"/>
          <w:sz w:val="22"/>
          <w:szCs w:val="22"/>
        </w:rPr>
        <w:t xml:space="preserve"> </w:t>
      </w:r>
      <w:r w:rsidR="00E24588" w:rsidRPr="00D9152B">
        <w:rPr>
          <w:rFonts w:ascii="Calibri" w:hAnsi="Calibri" w:cs="Calibri"/>
          <w:sz w:val="22"/>
          <w:szCs w:val="22"/>
        </w:rPr>
        <w:t xml:space="preserve">When Benton brought this meeting to Samba’s attention, the OCP Director reacted with concern. In </w:t>
      </w:r>
      <w:r w:rsidR="00B067CC" w:rsidRPr="00D9152B">
        <w:rPr>
          <w:rFonts w:ascii="Calibri" w:hAnsi="Calibri" w:cs="Calibri"/>
          <w:sz w:val="22"/>
          <w:szCs w:val="22"/>
        </w:rPr>
        <w:t>a</w:t>
      </w:r>
      <w:r w:rsidR="00E24588" w:rsidRPr="00D9152B">
        <w:rPr>
          <w:rFonts w:ascii="Calibri" w:hAnsi="Calibri" w:cs="Calibri"/>
          <w:sz w:val="22"/>
          <w:szCs w:val="22"/>
        </w:rPr>
        <w:t xml:space="preserve"> letter to the InterAction organisers, he wrote that:</w:t>
      </w:r>
    </w:p>
    <w:p w14:paraId="66E4F8AE" w14:textId="4E46411D" w:rsidR="00E24588" w:rsidRPr="00D9152B" w:rsidRDefault="00E24588" w:rsidP="00E24588">
      <w:pPr>
        <w:pStyle w:val="Quote"/>
        <w:ind w:left="862" w:right="862"/>
        <w:rPr>
          <w:rFonts w:cs="Calibri"/>
          <w:i/>
          <w:sz w:val="22"/>
          <w:szCs w:val="22"/>
        </w:rPr>
      </w:pPr>
      <w:r w:rsidRPr="00D9152B">
        <w:rPr>
          <w:rFonts w:cs="Calibri"/>
          <w:i/>
          <w:sz w:val="22"/>
          <w:szCs w:val="22"/>
        </w:rPr>
        <w:t xml:space="preserve">‘It will be very sad if we compete, and worst still, if some of us start running the others down. According to USAID Evaluation OCP costs less than US $ 1 per benefited person per year. This does not include the liberated land, the Africans trained, the new knowledge generated by OCP, etc. But for OCP very few people would have heard of onchocerciasis let alone do anything about it. Please, please, please, let us work together. There is room for all of us. If </w:t>
      </w:r>
      <w:r w:rsidRPr="00D9152B">
        <w:rPr>
          <w:rFonts w:cs="Calibri"/>
          <w:i/>
          <w:sz w:val="22"/>
          <w:szCs w:val="22"/>
          <w:u w:val="single"/>
        </w:rPr>
        <w:t>together</w:t>
      </w:r>
      <w:r w:rsidRPr="00D9152B">
        <w:rPr>
          <w:rFonts w:cs="Calibri"/>
          <w:i/>
          <w:sz w:val="22"/>
          <w:szCs w:val="22"/>
        </w:rPr>
        <w:t xml:space="preserve"> we can develop a mechanism to solve river blindness we can develop the same mechanism to tackle many other problems.’</w:t>
      </w:r>
      <w:r w:rsidR="000533D7" w:rsidRPr="00D9152B">
        <w:rPr>
          <w:rStyle w:val="FootnoteReference"/>
          <w:rFonts w:ascii="Calibri" w:hAnsi="Calibri" w:cs="Calibri"/>
          <w:i/>
        </w:rPr>
        <w:footnoteReference w:customMarkFollows="1" w:id="867"/>
        <w:t>87</w:t>
      </w:r>
      <w:r w:rsidRPr="00D9152B">
        <w:rPr>
          <w:rFonts w:cs="Calibri"/>
          <w:i/>
          <w:sz w:val="22"/>
          <w:szCs w:val="22"/>
        </w:rPr>
        <w:t xml:space="preserve"> </w:t>
      </w:r>
    </w:p>
    <w:p w14:paraId="35447F11" w14:textId="6C221352" w:rsidR="004205AB" w:rsidRPr="00D9152B" w:rsidRDefault="009C4D65" w:rsidP="00A12E2E">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T</w:t>
      </w:r>
      <w:r w:rsidR="004205AB" w:rsidRPr="00D9152B">
        <w:rPr>
          <w:rFonts w:ascii="Calibri" w:hAnsi="Calibri" w:cs="Calibri"/>
          <w:sz w:val="22"/>
          <w:szCs w:val="22"/>
        </w:rPr>
        <w:t xml:space="preserve">he OCP continued to support national team delivery of ivermectin until around 1993, </w:t>
      </w:r>
      <w:r w:rsidRPr="00D9152B">
        <w:rPr>
          <w:rFonts w:ascii="Calibri" w:hAnsi="Calibri" w:cs="Calibri"/>
          <w:sz w:val="22"/>
          <w:szCs w:val="22"/>
        </w:rPr>
        <w:t xml:space="preserve">and </w:t>
      </w:r>
      <w:r w:rsidR="004205AB" w:rsidRPr="00D9152B">
        <w:rPr>
          <w:rFonts w:ascii="Calibri" w:hAnsi="Calibri" w:cs="Calibri"/>
          <w:sz w:val="22"/>
          <w:szCs w:val="22"/>
        </w:rPr>
        <w:t>Samba encouraged NG</w:t>
      </w:r>
      <w:r w:rsidRPr="00D9152B">
        <w:rPr>
          <w:rFonts w:ascii="Calibri" w:hAnsi="Calibri" w:cs="Calibri"/>
          <w:sz w:val="22"/>
          <w:szCs w:val="22"/>
        </w:rPr>
        <w:t>O experimentation with delivery</w:t>
      </w:r>
      <w:r w:rsidR="004205AB" w:rsidRPr="00D9152B">
        <w:rPr>
          <w:rFonts w:ascii="Calibri" w:hAnsi="Calibri" w:cs="Calibri"/>
          <w:sz w:val="22"/>
          <w:szCs w:val="22"/>
        </w:rPr>
        <w:t xml:space="preserve"> and accepted NGO financial support to national teams in Guinea, Mali, and Sierra Leone.</w:t>
      </w:r>
      <w:r w:rsidR="000533D7" w:rsidRPr="00D9152B">
        <w:rPr>
          <w:rStyle w:val="FootnoteReference"/>
          <w:rFonts w:ascii="Calibri" w:hAnsi="Calibri" w:cs="Calibri"/>
        </w:rPr>
        <w:footnoteReference w:customMarkFollows="1" w:id="868"/>
        <w:t>88</w:t>
      </w:r>
      <w:r w:rsidR="004205AB" w:rsidRPr="00D9152B">
        <w:rPr>
          <w:rFonts w:ascii="Calibri" w:hAnsi="Calibri" w:cs="Calibri"/>
          <w:sz w:val="22"/>
          <w:szCs w:val="22"/>
        </w:rPr>
        <w:t xml:space="preserve"> NGOs created a </w:t>
      </w:r>
      <w:r w:rsidR="000533D7" w:rsidRPr="00D9152B">
        <w:rPr>
          <w:rFonts w:ascii="Calibri" w:hAnsi="Calibri" w:cs="Calibri"/>
          <w:sz w:val="22"/>
          <w:szCs w:val="22"/>
        </w:rPr>
        <w:t>n</w:t>
      </w:r>
      <w:r w:rsidR="0097472F" w:rsidRPr="00D9152B">
        <w:rPr>
          <w:rFonts w:ascii="Calibri" w:hAnsi="Calibri" w:cs="Calibri"/>
          <w:sz w:val="22"/>
          <w:szCs w:val="22"/>
        </w:rPr>
        <w:t>on-governmental development organization (NGDO)</w:t>
      </w:r>
      <w:r w:rsidR="004205AB" w:rsidRPr="00D9152B">
        <w:rPr>
          <w:rFonts w:ascii="Calibri" w:hAnsi="Calibri" w:cs="Calibri"/>
          <w:sz w:val="22"/>
          <w:szCs w:val="22"/>
        </w:rPr>
        <w:t xml:space="preserve"> Coordinating Group for Onchocerciasis Control in 1991,</w:t>
      </w:r>
      <w:r w:rsidR="000533D7" w:rsidRPr="00D9152B">
        <w:rPr>
          <w:rStyle w:val="FootnoteReference"/>
          <w:rFonts w:ascii="Calibri" w:hAnsi="Calibri" w:cs="Calibri"/>
        </w:rPr>
        <w:footnoteReference w:customMarkFollows="1" w:id="869"/>
        <w:t>89</w:t>
      </w:r>
      <w:r w:rsidR="004205AB" w:rsidRPr="00D9152B">
        <w:rPr>
          <w:rFonts w:ascii="Calibri" w:hAnsi="Calibri" w:cs="Calibri"/>
          <w:sz w:val="22"/>
          <w:szCs w:val="22"/>
        </w:rPr>
        <w:t xml:space="preserve"> and Merck and 10 NGOs es</w:t>
      </w:r>
      <w:r w:rsidRPr="00D9152B">
        <w:rPr>
          <w:rFonts w:ascii="Calibri" w:hAnsi="Calibri" w:cs="Calibri"/>
          <w:sz w:val="22"/>
          <w:szCs w:val="22"/>
        </w:rPr>
        <w:t>tablished a secretariat at WHO h</w:t>
      </w:r>
      <w:r w:rsidR="004205AB" w:rsidRPr="00D9152B">
        <w:rPr>
          <w:rFonts w:ascii="Calibri" w:hAnsi="Calibri" w:cs="Calibri"/>
          <w:sz w:val="22"/>
          <w:szCs w:val="22"/>
        </w:rPr>
        <w:t>eadquarters in 1992.</w:t>
      </w:r>
      <w:r w:rsidR="000533D7" w:rsidRPr="00D9152B">
        <w:rPr>
          <w:rStyle w:val="FootnoteReference"/>
          <w:rFonts w:ascii="Calibri" w:hAnsi="Calibri" w:cs="Calibri"/>
        </w:rPr>
        <w:footnoteReference w:customMarkFollows="1" w:id="870"/>
        <w:t>90</w:t>
      </w:r>
    </w:p>
    <w:p w14:paraId="1801DD53" w14:textId="414164B2" w:rsidR="006056A8" w:rsidRPr="00D9152B" w:rsidRDefault="004205AB" w:rsidP="00A12E2E">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lastRenderedPageBreak/>
        <w:tab/>
        <w:t xml:space="preserve">In spite of NGO support, the OCP struggled with </w:t>
      </w:r>
      <w:r w:rsidR="009C4D65" w:rsidRPr="00D9152B">
        <w:rPr>
          <w:rFonts w:ascii="Calibri" w:hAnsi="Calibri" w:cs="Calibri"/>
          <w:sz w:val="22"/>
          <w:szCs w:val="22"/>
        </w:rPr>
        <w:t>scaling-up</w:t>
      </w:r>
      <w:r w:rsidRPr="00D9152B">
        <w:rPr>
          <w:rFonts w:ascii="Calibri" w:hAnsi="Calibri" w:cs="Calibri"/>
          <w:sz w:val="22"/>
          <w:szCs w:val="22"/>
        </w:rPr>
        <w:t xml:space="preserve"> mobile team delivery </w:t>
      </w:r>
      <w:r w:rsidR="00E72B6E" w:rsidRPr="00D9152B">
        <w:rPr>
          <w:rFonts w:ascii="Calibri" w:hAnsi="Calibri" w:cs="Calibri"/>
          <w:sz w:val="22"/>
          <w:szCs w:val="22"/>
        </w:rPr>
        <w:t>due to</w:t>
      </w:r>
      <w:r w:rsidRPr="00D9152B">
        <w:rPr>
          <w:rFonts w:ascii="Calibri" w:hAnsi="Calibri" w:cs="Calibri"/>
          <w:sz w:val="22"/>
          <w:szCs w:val="22"/>
        </w:rPr>
        <w:t xml:space="preserve"> its high costs, especially </w:t>
      </w:r>
      <w:r w:rsidR="009C4D65" w:rsidRPr="00D9152B">
        <w:rPr>
          <w:rFonts w:ascii="Calibri" w:hAnsi="Calibri" w:cs="Calibri"/>
          <w:sz w:val="22"/>
          <w:szCs w:val="22"/>
        </w:rPr>
        <w:t>because the programme</w:t>
      </w:r>
      <w:r w:rsidRPr="00D9152B">
        <w:rPr>
          <w:rFonts w:ascii="Calibri" w:hAnsi="Calibri" w:cs="Calibri"/>
          <w:sz w:val="22"/>
          <w:szCs w:val="22"/>
        </w:rPr>
        <w:t xml:space="preserve"> was still investing in vector control</w:t>
      </w:r>
      <w:r w:rsidR="00A13333" w:rsidRPr="00D9152B">
        <w:rPr>
          <w:rFonts w:ascii="Calibri" w:hAnsi="Calibri" w:cs="Calibri"/>
          <w:sz w:val="22"/>
          <w:szCs w:val="22"/>
        </w:rPr>
        <w:t xml:space="preserve"> activities</w:t>
      </w:r>
      <w:r w:rsidRPr="00D9152B">
        <w:rPr>
          <w:rFonts w:ascii="Calibri" w:hAnsi="Calibri" w:cs="Calibri"/>
          <w:sz w:val="22"/>
          <w:szCs w:val="22"/>
        </w:rPr>
        <w:t>. The Bank and other partners considered applying cost-recovery measures – which were put forward as an answer to dwindling national health budgets in the</w:t>
      </w:r>
      <w:r w:rsidR="00E24588" w:rsidRPr="00D9152B">
        <w:rPr>
          <w:rFonts w:ascii="Calibri" w:hAnsi="Calibri" w:cs="Calibri"/>
          <w:sz w:val="22"/>
          <w:szCs w:val="22"/>
        </w:rPr>
        <w:t xml:space="preserve"> 1993</w:t>
      </w:r>
      <w:r w:rsidRPr="00D9152B">
        <w:rPr>
          <w:rFonts w:ascii="Calibri" w:hAnsi="Calibri" w:cs="Calibri"/>
          <w:sz w:val="22"/>
          <w:szCs w:val="22"/>
        </w:rPr>
        <w:t xml:space="preserve"> </w:t>
      </w:r>
      <w:r w:rsidR="00E24588" w:rsidRPr="00D9152B">
        <w:rPr>
          <w:rFonts w:ascii="Calibri" w:hAnsi="Calibri" w:cs="Calibri"/>
          <w:i/>
          <w:sz w:val="22"/>
          <w:szCs w:val="22"/>
        </w:rPr>
        <w:t>World development report</w:t>
      </w:r>
      <w:r w:rsidR="000533D7" w:rsidRPr="00D9152B">
        <w:rPr>
          <w:rStyle w:val="FootnoteReference"/>
          <w:rFonts w:ascii="Calibri" w:hAnsi="Calibri" w:cs="Calibri"/>
        </w:rPr>
        <w:footnoteReference w:customMarkFollows="1" w:id="871"/>
        <w:t>91</w:t>
      </w:r>
      <w:r w:rsidRPr="00D9152B">
        <w:rPr>
          <w:rFonts w:ascii="Calibri" w:hAnsi="Calibri" w:cs="Calibri"/>
          <w:sz w:val="22"/>
          <w:szCs w:val="22"/>
        </w:rPr>
        <w:t xml:space="preserve"> – but they decided that the ivermectin was not a good candidate for consumer user fees. The ‘preventative nature of the programme, the possibility of resistance to ivermectin…and the concentration of the programme in the poorest part of the region’ all meant that residents would be unlikely to purchase the drug, even at a marginal cost.</w:t>
      </w:r>
      <w:r w:rsidR="000533D7" w:rsidRPr="00D9152B">
        <w:rPr>
          <w:rStyle w:val="FootnoteReference"/>
          <w:rFonts w:ascii="Calibri" w:hAnsi="Calibri" w:cs="Calibri"/>
        </w:rPr>
        <w:footnoteReference w:customMarkFollows="1" w:id="872"/>
        <w:t>92</w:t>
      </w:r>
      <w:r w:rsidRPr="00D9152B">
        <w:rPr>
          <w:rFonts w:ascii="Calibri" w:hAnsi="Calibri" w:cs="Calibri"/>
          <w:sz w:val="22"/>
          <w:szCs w:val="22"/>
        </w:rPr>
        <w:t xml:space="preserve"> </w:t>
      </w:r>
    </w:p>
    <w:p w14:paraId="0974080B" w14:textId="3EDB9926" w:rsidR="0012535B" w:rsidRDefault="007E10F6" w:rsidP="00DF065D">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Figure </w:t>
      </w:r>
      <w:r w:rsidR="007D5A6C">
        <w:rPr>
          <w:rFonts w:ascii="Calibri" w:hAnsi="Calibri" w:cs="Calibri"/>
          <w:sz w:val="22"/>
          <w:szCs w:val="22"/>
        </w:rPr>
        <w:t>8.</w:t>
      </w:r>
      <w:r w:rsidRPr="00D9152B">
        <w:rPr>
          <w:rFonts w:ascii="Calibri" w:hAnsi="Calibri" w:cs="Calibri"/>
          <w:sz w:val="22"/>
          <w:szCs w:val="22"/>
        </w:rPr>
        <w:t xml:space="preserve">3 depicts the transition of delivery from mobile teams to community-directed treatment during the OCP, from 1988-1995. </w:t>
      </w:r>
      <w:r w:rsidR="00DF065D">
        <w:rPr>
          <w:rFonts w:ascii="Calibri" w:hAnsi="Calibri" w:cs="Calibri"/>
          <w:sz w:val="22"/>
          <w:szCs w:val="22"/>
        </w:rPr>
        <w:t xml:space="preserve">In Mali, for </w:t>
      </w:r>
      <w:r w:rsidR="0012535B">
        <w:rPr>
          <w:rFonts w:ascii="Calibri" w:hAnsi="Calibri" w:cs="Calibri"/>
          <w:sz w:val="22"/>
          <w:szCs w:val="22"/>
        </w:rPr>
        <w:t>example</w:t>
      </w:r>
      <w:r w:rsidR="00DF065D">
        <w:rPr>
          <w:rFonts w:ascii="Calibri" w:hAnsi="Calibri" w:cs="Calibri"/>
          <w:sz w:val="22"/>
          <w:szCs w:val="22"/>
        </w:rPr>
        <w:t xml:space="preserve">, </w:t>
      </w:r>
      <w:r w:rsidR="00AE4BD4">
        <w:rPr>
          <w:rFonts w:ascii="Calibri" w:hAnsi="Calibri" w:cs="Calibri"/>
          <w:sz w:val="22"/>
          <w:szCs w:val="22"/>
        </w:rPr>
        <w:t xml:space="preserve">the </w:t>
      </w:r>
      <w:r w:rsidR="00DF065D">
        <w:rPr>
          <w:rFonts w:ascii="Calibri" w:hAnsi="Calibri" w:cs="Calibri"/>
          <w:sz w:val="22"/>
          <w:szCs w:val="22"/>
        </w:rPr>
        <w:t xml:space="preserve">OCP headquarters initially determined the timing of drug distribution and provided an Epidemiology Evaluation Unit (EPI) mobile team from Ouagadougou, as well as the drugs and </w:t>
      </w:r>
      <w:r w:rsidR="00DF065D" w:rsidRPr="00E259AA">
        <w:rPr>
          <w:rFonts w:ascii="Calibri" w:hAnsi="Calibri" w:cs="Calibri"/>
          <w:sz w:val="22"/>
          <w:szCs w:val="22"/>
        </w:rPr>
        <w:t>vehicles.</w:t>
      </w:r>
      <w:r w:rsidR="00E259AA" w:rsidRPr="00CF189D">
        <w:rPr>
          <w:rStyle w:val="FootnoteReference"/>
          <w:rFonts w:ascii="Calibri" w:hAnsi="Calibri" w:cs="Calibri"/>
        </w:rPr>
        <w:footnoteReference w:customMarkFollows="1" w:id="873"/>
        <w:t>93</w:t>
      </w:r>
      <w:r w:rsidR="00DF065D" w:rsidRPr="00E259AA">
        <w:rPr>
          <w:rFonts w:ascii="Calibri" w:hAnsi="Calibri" w:cs="Calibri"/>
          <w:sz w:val="22"/>
          <w:szCs w:val="22"/>
        </w:rPr>
        <w:t xml:space="preserve"> In</w:t>
      </w:r>
      <w:r w:rsidR="00DF065D" w:rsidRPr="00A32897">
        <w:rPr>
          <w:rFonts w:ascii="Calibri" w:hAnsi="Calibri" w:cs="Calibri"/>
          <w:sz w:val="22"/>
          <w:szCs w:val="22"/>
        </w:rPr>
        <w:t xml:space="preserve"> 1991, </w:t>
      </w:r>
      <w:r w:rsidR="00DF065D">
        <w:rPr>
          <w:rFonts w:ascii="Calibri" w:hAnsi="Calibri" w:cs="Calibri"/>
          <w:sz w:val="22"/>
          <w:szCs w:val="22"/>
        </w:rPr>
        <w:t xml:space="preserve">the NGO </w:t>
      </w:r>
      <w:r w:rsidR="00DF065D" w:rsidRPr="00A32897">
        <w:rPr>
          <w:rFonts w:ascii="Calibri" w:hAnsi="Calibri" w:cs="Calibri"/>
          <w:sz w:val="22"/>
          <w:szCs w:val="22"/>
        </w:rPr>
        <w:t>Sightsavers pioneered community-based distribution (CBD) in a sub-district of southern Mali, in collaboration with official health system representatives, including the District Medical Officer</w:t>
      </w:r>
      <w:r w:rsidR="00DF065D">
        <w:rPr>
          <w:rFonts w:ascii="Calibri" w:hAnsi="Calibri" w:cs="Calibri"/>
          <w:sz w:val="22"/>
          <w:szCs w:val="22"/>
        </w:rPr>
        <w:t xml:space="preserve"> </w:t>
      </w:r>
      <w:r w:rsidR="00DF065D" w:rsidRPr="00A32897">
        <w:rPr>
          <w:rFonts w:ascii="Calibri" w:hAnsi="Calibri" w:cs="Calibri"/>
          <w:sz w:val="22"/>
          <w:szCs w:val="22"/>
        </w:rPr>
        <w:t xml:space="preserve">and sub-district health staff. </w:t>
      </w:r>
      <w:r w:rsidR="0012535B">
        <w:rPr>
          <w:rFonts w:ascii="Calibri" w:hAnsi="Calibri" w:cs="Calibri"/>
          <w:sz w:val="22"/>
          <w:szCs w:val="22"/>
        </w:rPr>
        <w:t>These community</w:t>
      </w:r>
      <w:r w:rsidR="00DF065D" w:rsidRPr="00A32897">
        <w:rPr>
          <w:rFonts w:ascii="Calibri" w:hAnsi="Calibri" w:cs="Calibri"/>
          <w:sz w:val="22"/>
          <w:szCs w:val="22"/>
        </w:rPr>
        <w:t xml:space="preserve"> health workers would go to a village, explain the programme, agree on a best time for distribution, and be assisted by community members on the day of distribution. Given the overly-stretched health systems in most OCP countries, community-based treatment evolved into community-directed treatment, which bypassed the </w:t>
      </w:r>
      <w:r w:rsidR="00DF065D">
        <w:rPr>
          <w:rFonts w:ascii="Calibri" w:hAnsi="Calibri" w:cs="Calibri"/>
          <w:sz w:val="22"/>
          <w:szCs w:val="22"/>
        </w:rPr>
        <w:t>community health workers</w:t>
      </w:r>
      <w:r w:rsidR="00DF065D" w:rsidRPr="00A32897">
        <w:rPr>
          <w:rFonts w:ascii="Calibri" w:hAnsi="Calibri" w:cs="Calibri"/>
          <w:sz w:val="22"/>
          <w:szCs w:val="22"/>
        </w:rPr>
        <w:t xml:space="preserve"> themselves. Initially, this method of community participation ‘met with some resistance’ from some members of the Mectizan Expert Committee and OCP staff, who worried about volunteers’ ability to safely deliver the drug and record data for evaluation. OCP Di</w:t>
      </w:r>
      <w:r w:rsidR="00DF065D">
        <w:rPr>
          <w:rFonts w:ascii="Calibri" w:hAnsi="Calibri" w:cs="Calibri"/>
          <w:sz w:val="22"/>
          <w:szCs w:val="22"/>
        </w:rPr>
        <w:t>r</w:t>
      </w:r>
      <w:r w:rsidR="00DF065D" w:rsidRPr="00A32897">
        <w:rPr>
          <w:rFonts w:ascii="Calibri" w:hAnsi="Calibri" w:cs="Calibri"/>
          <w:sz w:val="22"/>
          <w:szCs w:val="22"/>
        </w:rPr>
        <w:t>ector E.M. Samba’s links to the ministries of health helped overcome this resistance in both Mali and other OCP countries.</w:t>
      </w:r>
      <w:r w:rsidR="00E259AA" w:rsidRPr="00CF189D">
        <w:rPr>
          <w:rStyle w:val="FootnoteReference"/>
          <w:rFonts w:ascii="Calibri" w:hAnsi="Calibri" w:cs="Calibri"/>
        </w:rPr>
        <w:footnoteReference w:customMarkFollows="1" w:id="874"/>
        <w:t>94</w:t>
      </w:r>
      <w:r w:rsidR="00DF065D" w:rsidRPr="00E259AA">
        <w:rPr>
          <w:rFonts w:ascii="Calibri" w:hAnsi="Calibri" w:cs="Calibri"/>
          <w:sz w:val="22"/>
          <w:szCs w:val="22"/>
        </w:rPr>
        <w:t xml:space="preserve"> </w:t>
      </w:r>
    </w:p>
    <w:p w14:paraId="34170460" w14:textId="098F1615" w:rsidR="0012535B" w:rsidRPr="00D9152B" w:rsidRDefault="0012535B" w:rsidP="0012535B">
      <w:pPr>
        <w:jc w:val="both"/>
        <w:rPr>
          <w:rFonts w:ascii="Calibri" w:hAnsi="Calibri" w:cs="Calibri"/>
          <w:color w:val="7F7F7F" w:themeColor="text1" w:themeTint="80"/>
        </w:rPr>
      </w:pPr>
      <w:r w:rsidRPr="00D9152B">
        <w:rPr>
          <w:rFonts w:ascii="Calibri" w:hAnsi="Calibri" w:cs="Calibri"/>
          <w:noProof/>
          <w:color w:val="FF9900"/>
          <w:lang w:eastAsia="en-GB"/>
        </w:rPr>
        <w:lastRenderedPageBreak/>
        <w:drawing>
          <wp:inline distT="0" distB="0" distL="0" distR="0" wp14:anchorId="5C774B1F" wp14:editId="6789C032">
            <wp:extent cx="5073650" cy="1990725"/>
            <wp:effectExtent l="0" t="12700" r="31750" b="625475"/>
            <wp:docPr id="1053" name="Diagram 105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6" r:lo="rId107" r:qs="rId108" r:cs="rId109"/>
              </a:graphicData>
            </a:graphic>
          </wp:inline>
        </w:drawing>
      </w:r>
    </w:p>
    <w:p w14:paraId="63BF5AA1" w14:textId="514EDDD9" w:rsidR="0012535B" w:rsidRDefault="0012535B" w:rsidP="00CF189D">
      <w:pPr>
        <w:spacing w:before="100" w:beforeAutospacing="1" w:after="100" w:afterAutospacing="1"/>
        <w:jc w:val="both"/>
        <w:rPr>
          <w:rFonts w:ascii="Calibri" w:hAnsi="Calibri" w:cs="Calibri"/>
          <w:sz w:val="22"/>
          <w:szCs w:val="22"/>
        </w:rPr>
      </w:pPr>
      <w:r w:rsidRPr="00D9152B">
        <w:rPr>
          <w:rFonts w:ascii="Calibri" w:hAnsi="Calibri" w:cs="Calibri"/>
          <w:color w:val="7F7F7F" w:themeColor="text1" w:themeTint="80"/>
          <w:sz w:val="22"/>
          <w:szCs w:val="22"/>
        </w:rPr>
        <w:t xml:space="preserve">Figure </w:t>
      </w:r>
      <w:r>
        <w:rPr>
          <w:rFonts w:ascii="Calibri" w:hAnsi="Calibri" w:cs="Calibri"/>
          <w:color w:val="7F7F7F" w:themeColor="text1" w:themeTint="80"/>
          <w:sz w:val="22"/>
          <w:szCs w:val="22"/>
        </w:rPr>
        <w:t>8.</w:t>
      </w:r>
      <w:r w:rsidRPr="00D9152B">
        <w:rPr>
          <w:rFonts w:ascii="Calibri" w:hAnsi="Calibri" w:cs="Calibri"/>
          <w:color w:val="7F7F7F" w:themeColor="text1" w:themeTint="80"/>
          <w:sz w:val="22"/>
          <w:szCs w:val="22"/>
        </w:rPr>
        <w:t>3. The step-wise transition from mobile teams to community-directed treatment during the OCP (c. 1988-1995). [IVM is ivermectin, CHW is community health worker, CBD is community-based distributor, CDD is community-directed distributor.]</w:t>
      </w:r>
      <w:r w:rsidR="00E259AA" w:rsidRPr="00CF189D">
        <w:rPr>
          <w:rStyle w:val="FootnoteReference"/>
          <w:rFonts w:ascii="Calibri" w:hAnsi="Calibri" w:cs="Calibri"/>
        </w:rPr>
        <w:footnoteReference w:customMarkFollows="1" w:id="875"/>
        <w:t>95</w:t>
      </w:r>
    </w:p>
    <w:p w14:paraId="28B705A8" w14:textId="620447A5" w:rsidR="0012535B" w:rsidRPr="00DE5E29" w:rsidRDefault="0012535B" w:rsidP="00CF189D">
      <w:pPr>
        <w:spacing w:before="240" w:after="240" w:line="360" w:lineRule="auto"/>
        <w:ind w:firstLine="720"/>
        <w:rPr>
          <w:rFonts w:ascii="Calibri" w:hAnsi="Calibri" w:cs="Calibri"/>
          <w:sz w:val="22"/>
          <w:szCs w:val="22"/>
        </w:rPr>
      </w:pPr>
      <w:r>
        <w:rPr>
          <w:rFonts w:ascii="Calibri" w:hAnsi="Calibri" w:cs="Calibri"/>
          <w:sz w:val="22"/>
          <w:szCs w:val="22"/>
        </w:rPr>
        <w:t>T</w:t>
      </w:r>
      <w:r w:rsidRPr="00D9152B">
        <w:rPr>
          <w:rFonts w:ascii="Calibri" w:hAnsi="Calibri" w:cs="Calibri"/>
          <w:sz w:val="22"/>
          <w:szCs w:val="22"/>
        </w:rPr>
        <w:t>he OCP decided to embrace community-based treatment, when a TDR report showed that the NGO’s model of community health worker-based distribution</w:t>
      </w:r>
      <w:r w:rsidR="00E259AA" w:rsidRPr="00CF189D">
        <w:rPr>
          <w:rStyle w:val="FootnoteReference"/>
          <w:rFonts w:ascii="Calibri" w:hAnsi="Calibri" w:cs="Calibri"/>
        </w:rPr>
        <w:footnoteReference w:customMarkFollows="1" w:id="876"/>
        <w:t>96</w:t>
      </w:r>
      <w:r w:rsidRPr="00D9152B">
        <w:rPr>
          <w:rFonts w:ascii="Calibri" w:hAnsi="Calibri" w:cs="Calibri"/>
          <w:sz w:val="22"/>
          <w:szCs w:val="22"/>
        </w:rPr>
        <w:t xml:space="preserve"> could increase coverage per village (up to 75 percent) at a lower </w:t>
      </w:r>
      <w:r w:rsidRPr="00E259AA">
        <w:rPr>
          <w:rFonts w:ascii="Calibri" w:hAnsi="Calibri" w:cs="Calibri"/>
          <w:sz w:val="22"/>
          <w:szCs w:val="22"/>
        </w:rPr>
        <w:t>cost.</w:t>
      </w:r>
      <w:r w:rsidR="00E259AA" w:rsidRPr="00CF189D">
        <w:rPr>
          <w:rStyle w:val="FootnoteReference"/>
          <w:rFonts w:ascii="Calibri" w:hAnsi="Calibri" w:cs="Calibri"/>
        </w:rPr>
        <w:footnoteReference w:customMarkFollows="1" w:id="877"/>
        <w:t>97</w:t>
      </w:r>
      <w:r w:rsidRPr="00D9152B">
        <w:rPr>
          <w:rFonts w:ascii="Calibri" w:hAnsi="Calibri" w:cs="Calibri"/>
          <w:sz w:val="22"/>
          <w:szCs w:val="22"/>
        </w:rPr>
        <w:t xml:space="preserve"> As Benton describes, the initial use of community health workers to deliver ivermectin was ‘because we were looking for…the best way to deliver – the most cost-effective way of getting the drug delivered to the highest proportion of the population’. Communities also appeared to trust local distributors more than mobile </w:t>
      </w:r>
      <w:r w:rsidRPr="00DE5E29">
        <w:rPr>
          <w:rFonts w:ascii="Calibri" w:hAnsi="Calibri" w:cs="Calibri"/>
          <w:sz w:val="22"/>
          <w:szCs w:val="22"/>
        </w:rPr>
        <w:t>teams.</w:t>
      </w:r>
      <w:r w:rsidR="00DE5E29" w:rsidRPr="00CF189D">
        <w:rPr>
          <w:rStyle w:val="FootnoteReference"/>
          <w:rFonts w:ascii="Calibri" w:hAnsi="Calibri" w:cs="Calibri"/>
        </w:rPr>
        <w:footnoteReference w:customMarkFollows="1" w:id="878"/>
        <w:t>98</w:t>
      </w:r>
      <w:r w:rsidRPr="00DE5E29">
        <w:rPr>
          <w:rFonts w:ascii="Calibri" w:hAnsi="Calibri" w:cs="Calibri"/>
          <w:sz w:val="22"/>
          <w:szCs w:val="22"/>
        </w:rPr>
        <w:t xml:space="preserve"> CDTI</w:t>
      </w:r>
      <w:r>
        <w:rPr>
          <w:rFonts w:ascii="Calibri" w:hAnsi="Calibri" w:cs="Calibri"/>
          <w:sz w:val="22"/>
          <w:szCs w:val="22"/>
        </w:rPr>
        <w:t xml:space="preserve"> </w:t>
      </w:r>
      <w:r w:rsidR="00DF065D" w:rsidRPr="00A32897">
        <w:rPr>
          <w:rFonts w:ascii="Calibri" w:hAnsi="Calibri" w:cs="Calibri"/>
          <w:sz w:val="22"/>
          <w:szCs w:val="22"/>
        </w:rPr>
        <w:t xml:space="preserve">‘really started’ in 1994, when the multi-country study funded by OCP, TDR, and the new African Programme for Onchocerciasis Control showed its efficiency (in terms of population </w:t>
      </w:r>
      <w:r w:rsidR="00DF065D" w:rsidRPr="00DE5E29">
        <w:rPr>
          <w:rFonts w:ascii="Calibri" w:hAnsi="Calibri" w:cs="Calibri"/>
          <w:sz w:val="22"/>
          <w:szCs w:val="22"/>
        </w:rPr>
        <w:t>coverage) and cost-effectiveness.</w:t>
      </w:r>
      <w:r w:rsidR="00DE5E29" w:rsidRPr="00CF189D">
        <w:rPr>
          <w:rStyle w:val="FootnoteReference"/>
          <w:rFonts w:ascii="Calibri" w:hAnsi="Calibri" w:cs="Calibri"/>
        </w:rPr>
        <w:footnoteReference w:customMarkFollows="1" w:id="879"/>
        <w:t>99</w:t>
      </w:r>
    </w:p>
    <w:p w14:paraId="1D38A0F0" w14:textId="45D7B310" w:rsidR="00AD1DE9" w:rsidRPr="00D9152B" w:rsidRDefault="00DF065D" w:rsidP="00CF189D">
      <w:pPr>
        <w:spacing w:before="240" w:after="240" w:line="360" w:lineRule="auto"/>
        <w:ind w:firstLine="720"/>
        <w:rPr>
          <w:rFonts w:ascii="Calibri" w:hAnsi="Calibri" w:cs="Calibri"/>
          <w:sz w:val="22"/>
          <w:szCs w:val="22"/>
        </w:rPr>
      </w:pPr>
      <w:r w:rsidRPr="00DE5E29">
        <w:rPr>
          <w:rFonts w:ascii="Calibri" w:hAnsi="Calibri" w:cs="Calibri"/>
          <w:sz w:val="22"/>
          <w:szCs w:val="22"/>
        </w:rPr>
        <w:t xml:space="preserve">Such </w:t>
      </w:r>
      <w:r w:rsidR="00AD1DE9" w:rsidRPr="00DE5E29">
        <w:rPr>
          <w:rFonts w:ascii="Calibri" w:hAnsi="Calibri" w:cs="Calibri"/>
          <w:sz w:val="22"/>
          <w:szCs w:val="22"/>
        </w:rPr>
        <w:t>community-based distribution changed ‘the content of devolution to “progressive national participation”’ of participating countries’.</w:t>
      </w:r>
      <w:r w:rsidR="00DE5E29" w:rsidRPr="00CF189D">
        <w:rPr>
          <w:rStyle w:val="FootnoteReference"/>
          <w:rFonts w:ascii="Calibri" w:hAnsi="Calibri" w:cs="Calibri"/>
        </w:rPr>
        <w:footnoteReference w:customMarkFollows="1" w:id="880"/>
        <w:t>100</w:t>
      </w:r>
      <w:r w:rsidR="00AD1DE9" w:rsidRPr="00DE5E29">
        <w:rPr>
          <w:rFonts w:ascii="Calibri" w:hAnsi="Calibri" w:cs="Calibri"/>
          <w:sz w:val="22"/>
          <w:szCs w:val="22"/>
        </w:rPr>
        <w:t xml:space="preserve"> As</w:t>
      </w:r>
      <w:r w:rsidR="00AD1DE9" w:rsidRPr="00D9152B">
        <w:rPr>
          <w:rFonts w:ascii="Calibri" w:hAnsi="Calibri" w:cs="Calibri"/>
          <w:sz w:val="22"/>
          <w:szCs w:val="22"/>
        </w:rPr>
        <w:t xml:space="preserve"> Evans’ highly-desired ‘simple technology’, ivermectin allowed sponsoring agencies and donors to bypass the poor </w:t>
      </w:r>
      <w:r w:rsidR="00AD1DE9" w:rsidRPr="00D9152B">
        <w:rPr>
          <w:rFonts w:ascii="Calibri" w:hAnsi="Calibri" w:cs="Calibri"/>
          <w:sz w:val="22"/>
          <w:szCs w:val="22"/>
        </w:rPr>
        <w:lastRenderedPageBreak/>
        <w:t xml:space="preserve">health systems themselves, and avoid more contentious (and expensive) wider health investments in country-based health worker manpower and primary health centre resources. The OCP could release data on the number of nationals trained in surveillance or entomology, or the number of distributors and number of ivermectin pills distributed, without following-up on the actual long-term uptake of these trainees by the strained national healthcare systems. The concept of ‘political will’ placed the impetus for nominating volunteers and financing subsequent activities of trainees on the participating countries themselves. Participating countries would be politically responsible for making onchocerciasis a national priority, revitalizing their </w:t>
      </w:r>
      <w:r w:rsidR="00E72B6E" w:rsidRPr="00D9152B">
        <w:rPr>
          <w:rFonts w:ascii="Calibri" w:hAnsi="Calibri" w:cs="Calibri"/>
          <w:sz w:val="22"/>
          <w:szCs w:val="22"/>
        </w:rPr>
        <w:t>National Onchocerciasis Committees</w:t>
      </w:r>
      <w:r w:rsidR="00AD1DE9" w:rsidRPr="00D9152B">
        <w:rPr>
          <w:rFonts w:ascii="Calibri" w:hAnsi="Calibri" w:cs="Calibri"/>
          <w:sz w:val="22"/>
          <w:szCs w:val="22"/>
        </w:rPr>
        <w:t>, and ensuring local buy-in to ivermectin delivery.</w:t>
      </w:r>
      <w:r w:rsidR="00DE5E29" w:rsidRPr="00CF189D">
        <w:rPr>
          <w:rStyle w:val="FootnoteReference"/>
          <w:rFonts w:ascii="Calibri" w:hAnsi="Calibri" w:cs="Calibri"/>
        </w:rPr>
        <w:footnoteReference w:customMarkFollows="1" w:id="881"/>
        <w:t>101</w:t>
      </w:r>
    </w:p>
    <w:p w14:paraId="0BB1445D" w14:textId="15C78EB2" w:rsidR="00AC7848" w:rsidRPr="00D9152B" w:rsidRDefault="00076FC2" w:rsidP="00656BE2">
      <w:pPr>
        <w:pStyle w:val="Heading3"/>
        <w:rPr>
          <w:rFonts w:ascii="Calibri" w:hAnsi="Calibri" w:cs="Calibri"/>
          <w:b/>
          <w:i/>
          <w:color w:val="000000" w:themeColor="text1"/>
          <w:sz w:val="22"/>
          <w:szCs w:val="22"/>
        </w:rPr>
      </w:pPr>
      <w:bookmarkStart w:id="149" w:name="_Toc41505704"/>
      <w:r w:rsidRPr="00D9152B">
        <w:rPr>
          <w:rFonts w:ascii="Calibri" w:hAnsi="Calibri" w:cs="Calibri"/>
          <w:b/>
          <w:i/>
          <w:color w:val="000000" w:themeColor="text1"/>
          <w:sz w:val="22"/>
          <w:szCs w:val="22"/>
        </w:rPr>
        <w:t>8</w:t>
      </w:r>
      <w:r w:rsidR="00A13333" w:rsidRPr="00D9152B">
        <w:rPr>
          <w:rFonts w:ascii="Calibri" w:hAnsi="Calibri" w:cs="Calibri"/>
          <w:b/>
          <w:i/>
          <w:color w:val="000000" w:themeColor="text1"/>
          <w:sz w:val="22"/>
          <w:szCs w:val="22"/>
        </w:rPr>
        <w:t>.</w:t>
      </w:r>
      <w:r w:rsidR="00677774" w:rsidRPr="00D9152B">
        <w:rPr>
          <w:rFonts w:ascii="Calibri" w:hAnsi="Calibri" w:cs="Calibri"/>
          <w:b/>
          <w:i/>
          <w:color w:val="000000" w:themeColor="text1"/>
          <w:sz w:val="22"/>
          <w:szCs w:val="22"/>
        </w:rPr>
        <w:t>6</w:t>
      </w:r>
      <w:r w:rsidR="00A13333" w:rsidRPr="00D9152B">
        <w:rPr>
          <w:rFonts w:ascii="Calibri" w:hAnsi="Calibri" w:cs="Calibri"/>
          <w:b/>
          <w:i/>
          <w:color w:val="000000" w:themeColor="text1"/>
          <w:sz w:val="22"/>
          <w:szCs w:val="22"/>
        </w:rPr>
        <w:t xml:space="preserve">.C. </w:t>
      </w:r>
      <w:r w:rsidR="008A3932" w:rsidRPr="00D9152B">
        <w:rPr>
          <w:rFonts w:ascii="Calibri" w:hAnsi="Calibri" w:cs="Calibri"/>
          <w:b/>
          <w:i/>
          <w:color w:val="000000" w:themeColor="text1"/>
          <w:sz w:val="22"/>
          <w:szCs w:val="22"/>
        </w:rPr>
        <w:t>Introducing devolution ‘sensu stricto’, to focus on onchocerciasis and ivermectin</w:t>
      </w:r>
      <w:bookmarkEnd w:id="149"/>
    </w:p>
    <w:p w14:paraId="14B623B0" w14:textId="7EFD4214" w:rsidR="00AC7848" w:rsidRPr="00D9152B" w:rsidRDefault="00A13333" w:rsidP="00A12E2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While, by the early 1990s, sponsoring agencies felt that </w:t>
      </w:r>
      <w:r w:rsidR="001448E0" w:rsidRPr="00D9152B">
        <w:rPr>
          <w:rFonts w:ascii="Calibri" w:hAnsi="Calibri" w:cs="Calibri"/>
          <w:sz w:val="22"/>
          <w:szCs w:val="22"/>
        </w:rPr>
        <w:t>community-directed treatment with ivermectin (CDTI)</w:t>
      </w:r>
      <w:r w:rsidR="00177DC2" w:rsidRPr="00D9152B">
        <w:rPr>
          <w:rFonts w:ascii="Calibri" w:hAnsi="Calibri" w:cs="Calibri"/>
          <w:sz w:val="22"/>
          <w:szCs w:val="22"/>
        </w:rPr>
        <w:t xml:space="preserve"> </w:t>
      </w:r>
      <w:r w:rsidRPr="00D9152B">
        <w:rPr>
          <w:rFonts w:ascii="Calibri" w:hAnsi="Calibri" w:cs="Calibri"/>
          <w:sz w:val="22"/>
          <w:szCs w:val="22"/>
        </w:rPr>
        <w:t xml:space="preserve">had led to cost-efficiencies in </w:t>
      </w:r>
      <w:r w:rsidR="008A3932" w:rsidRPr="00D9152B">
        <w:rPr>
          <w:rFonts w:ascii="Calibri" w:hAnsi="Calibri" w:cs="Calibri"/>
          <w:sz w:val="22"/>
          <w:szCs w:val="22"/>
        </w:rPr>
        <w:t>onchocerciasis drug</w:t>
      </w:r>
      <w:r w:rsidRPr="00D9152B">
        <w:rPr>
          <w:rFonts w:ascii="Calibri" w:hAnsi="Calibri" w:cs="Calibri"/>
          <w:sz w:val="22"/>
          <w:szCs w:val="22"/>
        </w:rPr>
        <w:t xml:space="preserve"> distribution, </w:t>
      </w:r>
      <w:r w:rsidR="00F167D7" w:rsidRPr="00D9152B">
        <w:rPr>
          <w:rFonts w:ascii="Calibri" w:hAnsi="Calibri" w:cs="Calibri"/>
          <w:sz w:val="22"/>
          <w:szCs w:val="22"/>
        </w:rPr>
        <w:t>these activities did not significantly improve</w:t>
      </w:r>
      <w:r w:rsidR="008A3932" w:rsidRPr="00D9152B">
        <w:rPr>
          <w:rFonts w:ascii="Calibri" w:hAnsi="Calibri" w:cs="Calibri"/>
          <w:sz w:val="22"/>
          <w:szCs w:val="22"/>
        </w:rPr>
        <w:t xml:space="preserve"> inter-country surveillance activities. </w:t>
      </w:r>
      <w:r w:rsidR="00AC7848" w:rsidRPr="00D9152B">
        <w:rPr>
          <w:rFonts w:ascii="Calibri" w:hAnsi="Calibri" w:cs="Calibri"/>
          <w:sz w:val="22"/>
          <w:szCs w:val="22"/>
        </w:rPr>
        <w:t xml:space="preserve">Sponsoring agencies conceded that </w:t>
      </w:r>
      <w:r w:rsidR="008A3932" w:rsidRPr="00D9152B">
        <w:rPr>
          <w:rFonts w:ascii="Calibri" w:hAnsi="Calibri" w:cs="Calibri"/>
          <w:sz w:val="22"/>
          <w:szCs w:val="22"/>
        </w:rPr>
        <w:t>this</w:t>
      </w:r>
      <w:r w:rsidR="00AC7848" w:rsidRPr="00D9152B">
        <w:rPr>
          <w:rFonts w:ascii="Calibri" w:hAnsi="Calibri" w:cs="Calibri"/>
          <w:sz w:val="22"/>
          <w:szCs w:val="22"/>
        </w:rPr>
        <w:t xml:space="preserve"> aspect of devolution would go beyond participating countries’ </w:t>
      </w:r>
      <w:r w:rsidR="008A3932" w:rsidRPr="00D9152B">
        <w:rPr>
          <w:rFonts w:ascii="Calibri" w:hAnsi="Calibri" w:cs="Calibri"/>
          <w:sz w:val="22"/>
          <w:szCs w:val="22"/>
        </w:rPr>
        <w:t xml:space="preserve">manpower and financial </w:t>
      </w:r>
      <w:r w:rsidR="001448E0" w:rsidRPr="00D9152B">
        <w:rPr>
          <w:rFonts w:ascii="Calibri" w:hAnsi="Calibri" w:cs="Calibri"/>
          <w:sz w:val="22"/>
          <w:szCs w:val="22"/>
        </w:rPr>
        <w:t>capabilities</w:t>
      </w:r>
      <w:r w:rsidR="00AC7848" w:rsidRPr="00D9152B">
        <w:rPr>
          <w:rFonts w:ascii="Calibri" w:hAnsi="Calibri" w:cs="Calibri"/>
          <w:sz w:val="22"/>
          <w:szCs w:val="22"/>
        </w:rPr>
        <w:t xml:space="preserve">, even with appropriate political </w:t>
      </w:r>
      <w:r w:rsidR="00AC7848" w:rsidRPr="00DE5E29">
        <w:rPr>
          <w:rFonts w:ascii="Calibri" w:hAnsi="Calibri" w:cs="Calibri"/>
          <w:sz w:val="22"/>
          <w:szCs w:val="22"/>
        </w:rPr>
        <w:t>will.</w:t>
      </w:r>
      <w:r w:rsidR="00DE5E29" w:rsidRPr="00CF189D">
        <w:rPr>
          <w:rStyle w:val="FootnoteReference"/>
          <w:rFonts w:ascii="Calibri" w:hAnsi="Calibri" w:cs="Calibri"/>
        </w:rPr>
        <w:footnoteReference w:customMarkFollows="1" w:id="882"/>
        <w:t>102</w:t>
      </w:r>
      <w:r w:rsidR="00AC7848" w:rsidRPr="00D9152B">
        <w:rPr>
          <w:rFonts w:ascii="Calibri" w:hAnsi="Calibri" w:cs="Calibri"/>
          <w:sz w:val="22"/>
          <w:szCs w:val="22"/>
        </w:rPr>
        <w:t xml:space="preserve"> As the </w:t>
      </w:r>
      <w:r w:rsidR="008A3932" w:rsidRPr="00D9152B">
        <w:rPr>
          <w:rFonts w:ascii="Calibri" w:hAnsi="Calibri" w:cs="Calibri"/>
          <w:sz w:val="22"/>
          <w:szCs w:val="22"/>
        </w:rPr>
        <w:t>Expert Advisory Committee</w:t>
      </w:r>
      <w:r w:rsidR="00AC7848" w:rsidRPr="00D9152B">
        <w:rPr>
          <w:rFonts w:ascii="Calibri" w:hAnsi="Calibri" w:cs="Calibri"/>
          <w:sz w:val="22"/>
          <w:szCs w:val="22"/>
        </w:rPr>
        <w:t xml:space="preserve"> put it in 1993, </w:t>
      </w:r>
    </w:p>
    <w:p w14:paraId="2A83DAE6" w14:textId="3AAC15BD" w:rsidR="00AC7848" w:rsidRPr="00D9152B" w:rsidRDefault="00AC7848" w:rsidP="00E941D5">
      <w:pPr>
        <w:pStyle w:val="Quote"/>
        <w:ind w:left="862" w:right="862"/>
        <w:rPr>
          <w:rFonts w:cs="Calibri"/>
          <w:i/>
          <w:sz w:val="22"/>
          <w:szCs w:val="22"/>
        </w:rPr>
      </w:pPr>
      <w:r w:rsidRPr="00D9152B">
        <w:rPr>
          <w:rFonts w:cs="Calibri"/>
          <w:i/>
          <w:sz w:val="22"/>
          <w:szCs w:val="22"/>
        </w:rPr>
        <w:t>‘The problem of onchocerciasis, never a recognized priority concern at the central level of national health administrations, would be even less so when the disease had virtually disappeared. The only way to ensure that appropriate attention be given to the possibility of its recrudescence, its detection and its control, would therefore be to situate onchocerciasis among other public health problems amenable to multidisease surveillance and control</w:t>
      </w:r>
      <w:r w:rsidR="00DE5E29">
        <w:rPr>
          <w:rFonts w:cs="Calibri"/>
          <w:i/>
          <w:sz w:val="22"/>
          <w:szCs w:val="22"/>
        </w:rPr>
        <w:t>.</w:t>
      </w:r>
      <w:r w:rsidR="00DE5E29" w:rsidRPr="00CF189D">
        <w:rPr>
          <w:rStyle w:val="FootnoteReference"/>
          <w:rFonts w:ascii="Calibri" w:hAnsi="Calibri" w:cs="Calibri"/>
          <w:iCs w:val="0"/>
        </w:rPr>
        <w:footnoteReference w:customMarkFollows="1" w:id="883"/>
        <w:t>103</w:t>
      </w:r>
    </w:p>
    <w:p w14:paraId="041DC8D4" w14:textId="1D296099" w:rsidR="00AC7848" w:rsidRPr="00D9152B" w:rsidRDefault="00AC7848" w:rsidP="00A12E2E">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 xml:space="preserve">Yet, </w:t>
      </w:r>
      <w:r w:rsidR="008A3932" w:rsidRPr="00D9152B">
        <w:rPr>
          <w:rFonts w:ascii="Calibri" w:hAnsi="Calibri" w:cs="Calibri"/>
          <w:sz w:val="22"/>
          <w:szCs w:val="22"/>
        </w:rPr>
        <w:t>they conceded that</w:t>
      </w:r>
      <w:r w:rsidRPr="00D9152B">
        <w:rPr>
          <w:rFonts w:ascii="Calibri" w:hAnsi="Calibri" w:cs="Calibri"/>
          <w:sz w:val="22"/>
          <w:szCs w:val="22"/>
        </w:rPr>
        <w:t xml:space="preserve"> ‘in terms of structure, the existing options are few’. The issue was that, ‘Presently, no UN organizations or intercountry technical cooperation agencies could be expected to provide the same quality and capability for oncho control as the OCP’</w:t>
      </w:r>
      <w:r w:rsidRPr="00DE5E29">
        <w:rPr>
          <w:rFonts w:ascii="Calibri" w:hAnsi="Calibri" w:cs="Calibri"/>
          <w:sz w:val="22"/>
          <w:szCs w:val="22"/>
        </w:rPr>
        <w:t>.</w:t>
      </w:r>
      <w:r w:rsidR="00DE5E29" w:rsidRPr="00DE5E29" w:rsidDel="00DE5E29">
        <w:rPr>
          <w:rStyle w:val="FootnoteReference"/>
          <w:rFonts w:ascii="Calibri" w:hAnsi="Calibri" w:cs="Calibri"/>
        </w:rPr>
        <w:t xml:space="preserve"> </w:t>
      </w:r>
      <w:r w:rsidR="00DE5E29" w:rsidRPr="00CF189D">
        <w:rPr>
          <w:rStyle w:val="FootnoteReference"/>
          <w:rFonts w:ascii="Calibri" w:hAnsi="Calibri" w:cs="Calibri"/>
        </w:rPr>
        <w:footnoteReference w:customMarkFollows="1" w:id="884"/>
        <w:t>104</w:t>
      </w:r>
      <w:r w:rsidR="00F167D7" w:rsidRPr="00D9152B">
        <w:rPr>
          <w:rFonts w:ascii="Calibri" w:hAnsi="Calibri" w:cs="Calibri"/>
          <w:sz w:val="22"/>
          <w:szCs w:val="22"/>
        </w:rPr>
        <w:t xml:space="preserve"> </w:t>
      </w:r>
      <w:r w:rsidRPr="00D9152B">
        <w:rPr>
          <w:rFonts w:ascii="Calibri" w:hAnsi="Calibri" w:cs="Calibri"/>
          <w:sz w:val="22"/>
          <w:szCs w:val="22"/>
        </w:rPr>
        <w:t xml:space="preserve">As a Bank consultant reflected in 1993, ‘All [participating countries] express the intention to incorporate long-term control of oncho within the PHC system. But, no governments have </w:t>
      </w:r>
      <w:r w:rsidRPr="00D9152B">
        <w:rPr>
          <w:rFonts w:ascii="Calibri" w:hAnsi="Calibri" w:cs="Calibri"/>
          <w:sz w:val="22"/>
          <w:szCs w:val="22"/>
        </w:rPr>
        <w:lastRenderedPageBreak/>
        <w:t xml:space="preserve">an adequately resourced, effective PHC </w:t>
      </w:r>
      <w:r w:rsidRPr="00DE5E29">
        <w:rPr>
          <w:rFonts w:ascii="Calibri" w:hAnsi="Calibri" w:cs="Calibri"/>
          <w:sz w:val="22"/>
          <w:szCs w:val="22"/>
        </w:rPr>
        <w:t>system’.</w:t>
      </w:r>
      <w:r w:rsidR="00DE5E29" w:rsidRPr="00CF189D">
        <w:rPr>
          <w:rStyle w:val="FootnoteReference"/>
          <w:rFonts w:ascii="Calibri" w:hAnsi="Calibri" w:cs="Calibri"/>
        </w:rPr>
        <w:footnoteReference w:customMarkFollows="1" w:id="885"/>
        <w:t>105</w:t>
      </w:r>
      <w:r w:rsidRPr="00DE5E29">
        <w:rPr>
          <w:rFonts w:ascii="Calibri" w:hAnsi="Calibri" w:cs="Calibri"/>
          <w:sz w:val="22"/>
          <w:szCs w:val="22"/>
        </w:rPr>
        <w:t xml:space="preserve"> The</w:t>
      </w:r>
      <w:r w:rsidRPr="00D9152B">
        <w:rPr>
          <w:rFonts w:ascii="Calibri" w:hAnsi="Calibri" w:cs="Calibri"/>
          <w:sz w:val="22"/>
          <w:szCs w:val="22"/>
        </w:rPr>
        <w:t xml:space="preserve"> catch-22 situation remained, as did donor concern about when the vertical OCP programme would end. The 1993 </w:t>
      </w:r>
      <w:r w:rsidR="008A3932" w:rsidRPr="00D9152B">
        <w:rPr>
          <w:rFonts w:ascii="Calibri" w:hAnsi="Calibri" w:cs="Calibri"/>
          <w:sz w:val="22"/>
          <w:szCs w:val="22"/>
        </w:rPr>
        <w:t>OCP external</w:t>
      </w:r>
      <w:r w:rsidRPr="00D9152B">
        <w:rPr>
          <w:rFonts w:ascii="Calibri" w:hAnsi="Calibri" w:cs="Calibri"/>
          <w:sz w:val="22"/>
          <w:szCs w:val="22"/>
        </w:rPr>
        <w:t xml:space="preserve"> review noted, ‘The high degree of optimism shown in documents on devolution seems to be based on the programme’s achievements in vertical operations rather than on a sound assessment of what is required for the new role assigned to it [ivermectin distribution </w:t>
      </w:r>
      <w:r w:rsidR="00F167D7" w:rsidRPr="00D9152B">
        <w:rPr>
          <w:rFonts w:ascii="Calibri" w:hAnsi="Calibri" w:cs="Calibri"/>
          <w:sz w:val="22"/>
          <w:szCs w:val="22"/>
        </w:rPr>
        <w:t>and multi-country disease</w:t>
      </w:r>
      <w:r w:rsidRPr="00D9152B">
        <w:rPr>
          <w:rFonts w:ascii="Calibri" w:hAnsi="Calibri" w:cs="Calibri"/>
          <w:sz w:val="22"/>
          <w:szCs w:val="22"/>
        </w:rPr>
        <w:t xml:space="preserve"> surveillance]</w:t>
      </w:r>
      <w:r w:rsidRPr="00BD6EE4">
        <w:rPr>
          <w:rFonts w:ascii="Calibri" w:hAnsi="Calibri" w:cs="Calibri"/>
          <w:sz w:val="22"/>
          <w:szCs w:val="22"/>
        </w:rPr>
        <w:t>’.</w:t>
      </w:r>
      <w:r w:rsidR="00BD6EE4" w:rsidRPr="00CF189D">
        <w:rPr>
          <w:rStyle w:val="FootnoteReference"/>
          <w:rFonts w:ascii="Calibri" w:hAnsi="Calibri" w:cs="Calibri"/>
        </w:rPr>
        <w:footnoteReference w:customMarkFollows="1" w:id="886"/>
        <w:t>106</w:t>
      </w:r>
    </w:p>
    <w:p w14:paraId="2CD43AA6" w14:textId="7A2FCAA2" w:rsidR="00177DC2" w:rsidRPr="00D9152B" w:rsidRDefault="008A3932" w:rsidP="000B595A">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On the eve of the major 1994 </w:t>
      </w:r>
      <w:r w:rsidR="001448E0" w:rsidRPr="00D9152B">
        <w:rPr>
          <w:rFonts w:ascii="Calibri" w:hAnsi="Calibri" w:cs="Calibri"/>
          <w:sz w:val="22"/>
          <w:szCs w:val="22"/>
        </w:rPr>
        <w:t>Joint Programme Committee</w:t>
      </w:r>
      <w:r w:rsidRPr="00D9152B">
        <w:rPr>
          <w:rFonts w:ascii="Calibri" w:hAnsi="Calibri" w:cs="Calibri"/>
          <w:sz w:val="22"/>
          <w:szCs w:val="22"/>
        </w:rPr>
        <w:t xml:space="preserve"> </w:t>
      </w:r>
      <w:r w:rsidR="007D5A6C">
        <w:rPr>
          <w:rFonts w:ascii="Calibri" w:hAnsi="Calibri" w:cs="Calibri"/>
          <w:sz w:val="22"/>
          <w:szCs w:val="22"/>
        </w:rPr>
        <w:t xml:space="preserve">(JPC) meeting </w:t>
      </w:r>
      <w:r w:rsidR="00F167D7" w:rsidRPr="00D9152B">
        <w:rPr>
          <w:rFonts w:ascii="Calibri" w:hAnsi="Calibri" w:cs="Calibri"/>
          <w:sz w:val="22"/>
          <w:szCs w:val="22"/>
        </w:rPr>
        <w:t>and donor’s</w:t>
      </w:r>
      <w:r w:rsidR="001448E0" w:rsidRPr="00D9152B">
        <w:rPr>
          <w:rFonts w:ascii="Calibri" w:hAnsi="Calibri" w:cs="Calibri"/>
          <w:sz w:val="22"/>
          <w:szCs w:val="22"/>
        </w:rPr>
        <w:t xml:space="preserve"> conference</w:t>
      </w:r>
      <w:r w:rsidRPr="00D9152B">
        <w:rPr>
          <w:rFonts w:ascii="Calibri" w:hAnsi="Calibri" w:cs="Calibri"/>
          <w:sz w:val="22"/>
          <w:szCs w:val="22"/>
        </w:rPr>
        <w:t xml:space="preserve">, the </w:t>
      </w:r>
      <w:r w:rsidRPr="00471293">
        <w:rPr>
          <w:rFonts w:ascii="Calibri" w:hAnsi="Calibri" w:cs="Calibri"/>
          <w:sz w:val="22"/>
          <w:szCs w:val="22"/>
        </w:rPr>
        <w:t>Bank focused on shoring-up support for the final phase of the programme and ‘breaking through the conceptual impasse on devolution’.</w:t>
      </w:r>
      <w:r w:rsidR="00471293" w:rsidRPr="00CF189D">
        <w:rPr>
          <w:rStyle w:val="FootnoteReference"/>
          <w:rFonts w:ascii="Calibri" w:hAnsi="Calibri" w:cs="Calibri"/>
        </w:rPr>
        <w:footnoteReference w:customMarkFollows="1" w:id="887"/>
        <w:t>107</w:t>
      </w:r>
      <w:r w:rsidRPr="00471293">
        <w:rPr>
          <w:rFonts w:ascii="Calibri" w:hAnsi="Calibri" w:cs="Calibri"/>
          <w:sz w:val="22"/>
          <w:szCs w:val="22"/>
        </w:rPr>
        <w:t xml:space="preserve"> It acknowledged that, while OCP control operations were proceeding very well, there were potential ‘pitfalls’ at the meeting. One of these pitfalls was devolution, which ‘we don’t yet have a good handle on’ and ‘comes across as a bit of a </w:t>
      </w:r>
      <w:r w:rsidRPr="00CF189D">
        <w:rPr>
          <w:rFonts w:ascii="Calibri" w:hAnsi="Calibri" w:cs="Calibri"/>
          <w:i/>
          <w:iCs/>
          <w:sz w:val="22"/>
          <w:szCs w:val="22"/>
        </w:rPr>
        <w:t>whitewash’</w:t>
      </w:r>
      <w:r w:rsidR="00471293" w:rsidRPr="00CF189D">
        <w:rPr>
          <w:rFonts w:ascii="Calibri" w:hAnsi="Calibri" w:cs="Calibri"/>
          <w:sz w:val="22"/>
          <w:szCs w:val="22"/>
        </w:rPr>
        <w:t>.</w:t>
      </w:r>
      <w:r w:rsidR="00471293" w:rsidRPr="00CF189D">
        <w:rPr>
          <w:rStyle w:val="FootnoteReference"/>
          <w:rFonts w:ascii="Calibri" w:hAnsi="Calibri" w:cs="Calibri"/>
        </w:rPr>
        <w:footnoteReference w:customMarkFollows="1" w:id="888"/>
        <w:t>108</w:t>
      </w:r>
      <w:r w:rsidRPr="00471293">
        <w:rPr>
          <w:rFonts w:ascii="Calibri" w:hAnsi="Calibri" w:cs="Calibri"/>
          <w:sz w:val="22"/>
          <w:szCs w:val="22"/>
        </w:rPr>
        <w:t xml:space="preserve"> </w:t>
      </w:r>
      <w:r w:rsidR="00AC7848" w:rsidRPr="00471293">
        <w:rPr>
          <w:rFonts w:ascii="Calibri" w:hAnsi="Calibri" w:cs="Calibri"/>
          <w:sz w:val="22"/>
          <w:szCs w:val="22"/>
        </w:rPr>
        <w:t>As the Bank predicted, key donors were eager to discuss devolution at the 1994 donor’s conference (</w:t>
      </w:r>
      <w:r w:rsidR="001448E0" w:rsidRPr="00471293">
        <w:rPr>
          <w:rFonts w:ascii="Calibri" w:hAnsi="Calibri" w:cs="Calibri"/>
          <w:sz w:val="22"/>
          <w:szCs w:val="22"/>
        </w:rPr>
        <w:t xml:space="preserve">see </w:t>
      </w:r>
      <w:r w:rsidR="00AC7848" w:rsidRPr="00471293">
        <w:rPr>
          <w:rFonts w:ascii="Calibri" w:hAnsi="Calibri" w:cs="Calibri"/>
          <w:sz w:val="22"/>
          <w:szCs w:val="22"/>
        </w:rPr>
        <w:t xml:space="preserve">Figure </w:t>
      </w:r>
      <w:r w:rsidR="007D5A6C" w:rsidRPr="00471293">
        <w:rPr>
          <w:rFonts w:ascii="Calibri" w:hAnsi="Calibri" w:cs="Calibri"/>
          <w:sz w:val="22"/>
          <w:szCs w:val="22"/>
        </w:rPr>
        <w:t>8.</w:t>
      </w:r>
      <w:r w:rsidR="00402E5E" w:rsidRPr="00471293">
        <w:rPr>
          <w:rFonts w:ascii="Calibri" w:hAnsi="Calibri" w:cs="Calibri"/>
          <w:sz w:val="22"/>
          <w:szCs w:val="22"/>
        </w:rPr>
        <w:t>4</w:t>
      </w:r>
      <w:r w:rsidR="00AC7848" w:rsidRPr="008E1EA6">
        <w:rPr>
          <w:rFonts w:ascii="Calibri" w:hAnsi="Calibri" w:cs="Calibri"/>
          <w:sz w:val="22"/>
          <w:szCs w:val="22"/>
        </w:rPr>
        <w:t>)</w:t>
      </w:r>
      <w:r w:rsidR="000533D7" w:rsidRPr="008E1EA6">
        <w:rPr>
          <w:rFonts w:ascii="Calibri" w:hAnsi="Calibri" w:cs="Calibri"/>
          <w:sz w:val="22"/>
          <w:szCs w:val="22"/>
        </w:rPr>
        <w:t>.</w:t>
      </w:r>
      <w:r w:rsidR="00471293" w:rsidRPr="00CF189D">
        <w:rPr>
          <w:rStyle w:val="FootnoteReference"/>
          <w:rFonts w:ascii="Calibri" w:hAnsi="Calibri" w:cs="Calibri"/>
        </w:rPr>
        <w:footnoteReference w:customMarkFollows="1" w:id="889"/>
        <w:t>109</w:t>
      </w:r>
      <w:r w:rsidR="00AC7848" w:rsidRPr="00471293">
        <w:rPr>
          <w:rFonts w:ascii="Calibri" w:hAnsi="Calibri" w:cs="Calibri"/>
          <w:sz w:val="22"/>
          <w:szCs w:val="22"/>
        </w:rPr>
        <w:t xml:space="preserve"> The Bank developed a plan to placate donors at the conference, and in doing so to secure the Phase IV</w:t>
      </w:r>
      <w:r w:rsidR="00AC7848" w:rsidRPr="00D9152B">
        <w:rPr>
          <w:rFonts w:ascii="Calibri" w:hAnsi="Calibri" w:cs="Calibri"/>
          <w:sz w:val="22"/>
          <w:szCs w:val="22"/>
        </w:rPr>
        <w:t xml:space="preserve"> and </w:t>
      </w:r>
      <w:r w:rsidR="001448E0" w:rsidRPr="00D9152B">
        <w:rPr>
          <w:rFonts w:ascii="Calibri" w:hAnsi="Calibri" w:cs="Calibri"/>
          <w:sz w:val="22"/>
          <w:szCs w:val="22"/>
        </w:rPr>
        <w:t>African Programme for Onchocerciasis Control (APOC)</w:t>
      </w:r>
      <w:r w:rsidR="00AC7848" w:rsidRPr="00D9152B">
        <w:rPr>
          <w:rFonts w:ascii="Calibri" w:hAnsi="Calibri" w:cs="Calibri"/>
          <w:sz w:val="22"/>
          <w:szCs w:val="22"/>
        </w:rPr>
        <w:t xml:space="preserve"> funding required in 1994-1995. This plan ‘sought to return to a more restrictive definition of devolution’</w:t>
      </w:r>
      <w:r w:rsidR="00AC7848" w:rsidRPr="00471293">
        <w:rPr>
          <w:rFonts w:ascii="Calibri" w:hAnsi="Calibri" w:cs="Calibri"/>
          <w:sz w:val="22"/>
          <w:szCs w:val="22"/>
        </w:rPr>
        <w:t>,</w:t>
      </w:r>
      <w:r w:rsidR="00471293" w:rsidRPr="00CF189D">
        <w:rPr>
          <w:rStyle w:val="FootnoteReference"/>
          <w:rFonts w:ascii="Calibri" w:hAnsi="Calibri" w:cs="Calibri"/>
        </w:rPr>
        <w:footnoteReference w:customMarkFollows="1" w:id="890"/>
        <w:t>110</w:t>
      </w:r>
      <w:r w:rsidR="00AC7848" w:rsidRPr="00471293">
        <w:rPr>
          <w:rFonts w:ascii="Calibri" w:hAnsi="Calibri" w:cs="Calibri"/>
          <w:sz w:val="22"/>
          <w:szCs w:val="22"/>
        </w:rPr>
        <w:t xml:space="preserve"> and divided</w:t>
      </w:r>
      <w:r w:rsidR="00AC7848" w:rsidRPr="00D9152B">
        <w:rPr>
          <w:rFonts w:ascii="Calibri" w:hAnsi="Calibri" w:cs="Calibri"/>
          <w:sz w:val="22"/>
          <w:szCs w:val="22"/>
        </w:rPr>
        <w:t xml:space="preserve"> it into ‘devolution sensu stricto and multi-disease surveillance and control’, which could be accomplished separately. The Bank felt that the plan met with success; ‘Initial rancor between donors and beneficiary countries over the financing of devolution plans gradually </w:t>
      </w:r>
      <w:r w:rsidR="00F167D7" w:rsidRPr="00D9152B">
        <w:rPr>
          <w:rFonts w:ascii="Calibri" w:hAnsi="Calibri" w:cs="Calibri"/>
          <w:sz w:val="22"/>
          <w:szCs w:val="22"/>
        </w:rPr>
        <w:t>dissipated</w:t>
      </w:r>
      <w:r w:rsidR="00AC7848" w:rsidRPr="00D9152B">
        <w:rPr>
          <w:rFonts w:ascii="Calibri" w:hAnsi="Calibri" w:cs="Calibri"/>
          <w:sz w:val="22"/>
          <w:szCs w:val="22"/>
        </w:rPr>
        <w:t xml:space="preserve"> as the two concepts…became clearer in everyone’s mind and an approach was agreed upon for discussing the two concepts separately at next year’s JPC’.</w:t>
      </w:r>
      <w:r w:rsidR="00471293" w:rsidRPr="00CF189D">
        <w:rPr>
          <w:rStyle w:val="FootnoteReference"/>
          <w:rFonts w:ascii="Calibri" w:hAnsi="Calibri" w:cs="Calibri"/>
        </w:rPr>
        <w:footnoteReference w:customMarkFollows="1" w:id="891"/>
        <w:t>111</w:t>
      </w:r>
      <w:r w:rsidR="00AC7848" w:rsidRPr="00471293">
        <w:rPr>
          <w:rFonts w:ascii="Calibri" w:hAnsi="Calibri" w:cs="Calibri"/>
          <w:sz w:val="22"/>
          <w:szCs w:val="22"/>
        </w:rPr>
        <w:t xml:space="preserve"> </w:t>
      </w:r>
    </w:p>
    <w:p w14:paraId="26B38498" w14:textId="6E8F486C" w:rsidR="001448E0" w:rsidRPr="00D9152B" w:rsidRDefault="00306196" w:rsidP="001448E0">
      <w:pPr>
        <w:spacing w:before="120"/>
        <w:jc w:val="center"/>
        <w:rPr>
          <w:rFonts w:ascii="Calibri" w:hAnsi="Calibri" w:cs="Calibri"/>
        </w:rPr>
      </w:pPr>
      <w:r w:rsidRPr="00D9152B">
        <w:rPr>
          <w:rFonts w:ascii="Calibri" w:hAnsi="Calibri" w:cs="Calibri"/>
          <w:noProof/>
          <w:lang w:eastAsia="en-GB"/>
        </w:rPr>
        <w:lastRenderedPageBreak/>
        <w:drawing>
          <wp:inline distT="0" distB="0" distL="0" distR="0" wp14:anchorId="3216DF2B" wp14:editId="39972C7D">
            <wp:extent cx="4765805" cy="391160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1"/>
                    <a:srcRect t="2985" r="3598" b="13492"/>
                    <a:stretch/>
                  </pic:blipFill>
                  <pic:spPr bwMode="auto">
                    <a:xfrm>
                      <a:off x="0" y="0"/>
                      <a:ext cx="4806023" cy="3944610"/>
                    </a:xfrm>
                    <a:prstGeom prst="rect">
                      <a:avLst/>
                    </a:prstGeom>
                    <a:ln>
                      <a:noFill/>
                    </a:ln>
                    <a:extLst>
                      <a:ext uri="{53640926-AAD7-44D8-BBD7-CCE9431645EC}">
                        <a14:shadowObscured xmlns:a14="http://schemas.microsoft.com/office/drawing/2010/main"/>
                      </a:ext>
                    </a:extLst>
                  </pic:spPr>
                </pic:pic>
              </a:graphicData>
            </a:graphic>
          </wp:inline>
        </w:drawing>
      </w:r>
    </w:p>
    <w:p w14:paraId="16FFD29C" w14:textId="77777777" w:rsidR="009D5C0D" w:rsidRPr="00D9152B" w:rsidRDefault="00306196" w:rsidP="009D5C0D">
      <w:pPr>
        <w:spacing w:before="120"/>
        <w:jc w:val="center"/>
        <w:rPr>
          <w:rFonts w:ascii="Calibri" w:hAnsi="Calibri" w:cs="Calibri"/>
          <w:noProof/>
        </w:rPr>
      </w:pPr>
      <w:r w:rsidRPr="00D9152B">
        <w:rPr>
          <w:rFonts w:ascii="Calibri" w:hAnsi="Calibri" w:cs="Calibri"/>
          <w:noProof/>
          <w:lang w:eastAsia="en-GB"/>
        </w:rPr>
        <w:drawing>
          <wp:inline distT="0" distB="0" distL="0" distR="0" wp14:anchorId="64A46481" wp14:editId="2CC4A901">
            <wp:extent cx="4727575" cy="3352164"/>
            <wp:effectExtent l="0" t="0" r="0" b="127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2"/>
                    <a:srcRect t="6378"/>
                    <a:stretch/>
                  </pic:blipFill>
                  <pic:spPr bwMode="auto">
                    <a:xfrm>
                      <a:off x="0" y="0"/>
                      <a:ext cx="4839497" cy="3431524"/>
                    </a:xfrm>
                    <a:prstGeom prst="rect">
                      <a:avLst/>
                    </a:prstGeom>
                    <a:ln>
                      <a:noFill/>
                    </a:ln>
                    <a:extLst>
                      <a:ext uri="{53640926-AAD7-44D8-BBD7-CCE9431645EC}">
                        <a14:shadowObscured xmlns:a14="http://schemas.microsoft.com/office/drawing/2010/main"/>
                      </a:ext>
                    </a:extLst>
                  </pic:spPr>
                </pic:pic>
              </a:graphicData>
            </a:graphic>
          </wp:inline>
        </w:drawing>
      </w:r>
    </w:p>
    <w:p w14:paraId="7ADAAC74" w14:textId="167D93ED" w:rsidR="00306196" w:rsidRPr="00D9152B" w:rsidRDefault="00402E5E" w:rsidP="007D5A6C">
      <w:pPr>
        <w:spacing w:before="120"/>
        <w:jc w:val="both"/>
        <w:rPr>
          <w:rFonts w:ascii="Calibri" w:hAnsi="Calibri" w:cs="Calibri"/>
          <w:noProof/>
        </w:rPr>
      </w:pPr>
      <w:r w:rsidRPr="00D9152B">
        <w:rPr>
          <w:rFonts w:ascii="Calibri" w:hAnsi="Calibri" w:cs="Calibri"/>
          <w:noProof/>
          <w:color w:val="7F7F7F" w:themeColor="text1" w:themeTint="80"/>
          <w:sz w:val="22"/>
          <w:szCs w:val="22"/>
        </w:rPr>
        <w:t xml:space="preserve">Figure </w:t>
      </w:r>
      <w:r w:rsidR="007D5A6C">
        <w:rPr>
          <w:rFonts w:ascii="Calibri" w:hAnsi="Calibri" w:cs="Calibri"/>
          <w:noProof/>
          <w:color w:val="7F7F7F" w:themeColor="text1" w:themeTint="80"/>
          <w:sz w:val="22"/>
          <w:szCs w:val="22"/>
        </w:rPr>
        <w:t>8.</w:t>
      </w:r>
      <w:r w:rsidRPr="00D9152B">
        <w:rPr>
          <w:rFonts w:ascii="Calibri" w:hAnsi="Calibri" w:cs="Calibri"/>
          <w:noProof/>
          <w:color w:val="7F7F7F" w:themeColor="text1" w:themeTint="80"/>
          <w:sz w:val="22"/>
          <w:szCs w:val="22"/>
        </w:rPr>
        <w:t>4</w:t>
      </w:r>
      <w:r w:rsidR="00306196" w:rsidRPr="00D9152B">
        <w:rPr>
          <w:rFonts w:ascii="Calibri" w:hAnsi="Calibri" w:cs="Calibri"/>
          <w:noProof/>
          <w:color w:val="7F7F7F" w:themeColor="text1" w:themeTint="80"/>
          <w:sz w:val="22"/>
          <w:szCs w:val="22"/>
        </w:rPr>
        <w:t xml:space="preserve">. </w:t>
      </w:r>
      <w:r w:rsidR="00F167D7" w:rsidRPr="00D9152B">
        <w:rPr>
          <w:rFonts w:ascii="Calibri" w:hAnsi="Calibri" w:cs="Calibri"/>
          <w:noProof/>
          <w:color w:val="7F7F7F" w:themeColor="text1" w:themeTint="80"/>
          <w:sz w:val="22"/>
          <w:szCs w:val="22"/>
        </w:rPr>
        <w:t>As handwritten notes from the 1994 donor’s conference show, many</w:t>
      </w:r>
      <w:r w:rsidR="00306196" w:rsidRPr="00D9152B">
        <w:rPr>
          <w:rFonts w:ascii="Calibri" w:hAnsi="Calibri" w:cs="Calibri"/>
          <w:noProof/>
          <w:color w:val="7F7F7F" w:themeColor="text1" w:themeTint="80"/>
          <w:sz w:val="22"/>
          <w:szCs w:val="22"/>
        </w:rPr>
        <w:t xml:space="preserve"> donors were concerned about building surveillance capacity</w:t>
      </w:r>
      <w:r w:rsidR="00F167D7" w:rsidRPr="00D9152B">
        <w:rPr>
          <w:rFonts w:ascii="Calibri" w:hAnsi="Calibri" w:cs="Calibri"/>
          <w:noProof/>
          <w:color w:val="7F7F7F" w:themeColor="text1" w:themeTint="80"/>
          <w:sz w:val="22"/>
          <w:szCs w:val="22"/>
        </w:rPr>
        <w:t xml:space="preserve"> (through training) for onchocerciasis</w:t>
      </w:r>
      <w:r w:rsidR="00306196" w:rsidRPr="00D9152B">
        <w:rPr>
          <w:rFonts w:ascii="Calibri" w:hAnsi="Calibri" w:cs="Calibri"/>
          <w:noProof/>
          <w:color w:val="7F7F7F" w:themeColor="text1" w:themeTint="80"/>
          <w:sz w:val="22"/>
          <w:szCs w:val="22"/>
        </w:rPr>
        <w:t xml:space="preserve"> in the early 1990s, even after community-directed delivery of ivermectin was </w:t>
      </w:r>
      <w:r w:rsidR="00306196" w:rsidRPr="008E1EA6">
        <w:rPr>
          <w:rFonts w:ascii="Calibri" w:hAnsi="Calibri" w:cs="Calibri"/>
          <w:noProof/>
          <w:color w:val="7F7F7F" w:themeColor="text1" w:themeTint="80"/>
          <w:sz w:val="22"/>
          <w:szCs w:val="22"/>
        </w:rPr>
        <w:t>operationalized.</w:t>
      </w:r>
      <w:r w:rsidR="008E1EA6" w:rsidRPr="00CF189D">
        <w:rPr>
          <w:rStyle w:val="FootnoteReference"/>
          <w:rFonts w:ascii="Calibri" w:hAnsi="Calibri" w:cs="Calibri"/>
          <w:noProof/>
        </w:rPr>
        <w:footnoteReference w:customMarkFollows="1" w:id="892"/>
        <w:t>112</w:t>
      </w:r>
    </w:p>
    <w:p w14:paraId="5ED658C1" w14:textId="6AA0B44D" w:rsidR="008A3932" w:rsidRPr="00D9152B" w:rsidRDefault="00AC7848" w:rsidP="000B595A">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lastRenderedPageBreak/>
        <w:t>By simultaneously dividing devolution into onchocerciasis-specific tasks and multi</w:t>
      </w:r>
      <w:r w:rsidR="001448E0" w:rsidRPr="00D9152B">
        <w:rPr>
          <w:rFonts w:ascii="Calibri" w:hAnsi="Calibri" w:cs="Calibri"/>
          <w:sz w:val="22"/>
          <w:szCs w:val="22"/>
        </w:rPr>
        <w:t>-</w:t>
      </w:r>
      <w:r w:rsidRPr="00D9152B">
        <w:rPr>
          <w:rFonts w:ascii="Calibri" w:hAnsi="Calibri" w:cs="Calibri"/>
          <w:sz w:val="22"/>
          <w:szCs w:val="22"/>
        </w:rPr>
        <w:t>disease surveillance, and reassuring donors and participating countries that financing these tasks was possible (even if this was through Bank loans), the Bank enabled the OCP to prioritize a narrow concept of devolution. This narrow view emphasized progressive national participation in local onchocerciasis surveillance and ivermectin treatment (and a ‘political will’ to employ volunteers for the</w:t>
      </w:r>
      <w:r w:rsidR="008A3932" w:rsidRPr="00D9152B">
        <w:rPr>
          <w:rFonts w:ascii="Calibri" w:hAnsi="Calibri" w:cs="Calibri"/>
          <w:sz w:val="22"/>
          <w:szCs w:val="22"/>
        </w:rPr>
        <w:t>se tasks). The issue of multi-</w:t>
      </w:r>
      <w:r w:rsidRPr="00D9152B">
        <w:rPr>
          <w:rFonts w:ascii="Calibri" w:hAnsi="Calibri" w:cs="Calibri"/>
          <w:sz w:val="22"/>
          <w:szCs w:val="22"/>
        </w:rPr>
        <w:t xml:space="preserve">disease surveillance was delayed, as a consensus emerged that ‘it would be premature to launch into any detailed </w:t>
      </w:r>
      <w:r w:rsidRPr="008E1EA6">
        <w:rPr>
          <w:rFonts w:ascii="Calibri" w:hAnsi="Calibri" w:cs="Calibri"/>
          <w:sz w:val="22"/>
          <w:szCs w:val="22"/>
        </w:rPr>
        <w:t>discussion, at this point, on possible post-OCP inter-country collaborative mechanisms’.</w:t>
      </w:r>
      <w:r w:rsidR="008E1EA6" w:rsidRPr="00CF189D">
        <w:rPr>
          <w:rStyle w:val="FootnoteReference"/>
          <w:rFonts w:ascii="Calibri" w:hAnsi="Calibri" w:cs="Calibri"/>
        </w:rPr>
        <w:footnoteReference w:customMarkFollows="1" w:id="893"/>
        <w:t>113</w:t>
      </w:r>
    </w:p>
    <w:p w14:paraId="71469CB8" w14:textId="33241239" w:rsidR="00AC7848" w:rsidRPr="00D9152B" w:rsidRDefault="00076FC2" w:rsidP="00656BE2">
      <w:pPr>
        <w:pStyle w:val="Heading2"/>
        <w:rPr>
          <w:rFonts w:ascii="Calibri" w:hAnsi="Calibri" w:cs="Calibri"/>
          <w:b/>
          <w:sz w:val="26"/>
          <w:szCs w:val="26"/>
        </w:rPr>
      </w:pPr>
      <w:bookmarkStart w:id="150" w:name="_Toc9026589"/>
      <w:bookmarkStart w:id="151" w:name="_Toc41505705"/>
      <w:r w:rsidRPr="00D9152B">
        <w:rPr>
          <w:rFonts w:ascii="Calibri" w:hAnsi="Calibri" w:cs="Calibri"/>
          <w:b/>
          <w:sz w:val="26"/>
          <w:szCs w:val="26"/>
        </w:rPr>
        <w:t>8</w:t>
      </w:r>
      <w:r w:rsidR="00E941D5" w:rsidRPr="00D9152B">
        <w:rPr>
          <w:rFonts w:ascii="Calibri" w:hAnsi="Calibri" w:cs="Calibri"/>
          <w:b/>
          <w:sz w:val="26"/>
          <w:szCs w:val="26"/>
        </w:rPr>
        <w:t>.</w:t>
      </w:r>
      <w:r w:rsidR="00677774" w:rsidRPr="00D9152B">
        <w:rPr>
          <w:rFonts w:ascii="Calibri" w:hAnsi="Calibri" w:cs="Calibri"/>
          <w:b/>
          <w:sz w:val="26"/>
          <w:szCs w:val="26"/>
        </w:rPr>
        <w:t>7</w:t>
      </w:r>
      <w:r w:rsidR="00E941D5" w:rsidRPr="00D9152B">
        <w:rPr>
          <w:rFonts w:ascii="Calibri" w:hAnsi="Calibri" w:cs="Calibri"/>
          <w:b/>
          <w:sz w:val="26"/>
          <w:szCs w:val="26"/>
        </w:rPr>
        <w:t>.</w:t>
      </w:r>
      <w:r w:rsidR="00663224" w:rsidRPr="00D9152B">
        <w:rPr>
          <w:rFonts w:ascii="Calibri" w:hAnsi="Calibri" w:cs="Calibri"/>
          <w:b/>
          <w:sz w:val="26"/>
          <w:szCs w:val="26"/>
        </w:rPr>
        <w:t xml:space="preserve"> D</w:t>
      </w:r>
      <w:r w:rsidR="00AC7848" w:rsidRPr="00D9152B">
        <w:rPr>
          <w:rFonts w:ascii="Calibri" w:hAnsi="Calibri" w:cs="Calibri"/>
          <w:b/>
          <w:sz w:val="26"/>
          <w:szCs w:val="26"/>
        </w:rPr>
        <w:t>evolution</w:t>
      </w:r>
      <w:r w:rsidR="00663224" w:rsidRPr="00D9152B">
        <w:rPr>
          <w:rFonts w:ascii="Calibri" w:hAnsi="Calibri" w:cs="Calibri"/>
          <w:b/>
          <w:sz w:val="26"/>
          <w:szCs w:val="26"/>
        </w:rPr>
        <w:t xml:space="preserve"> </w:t>
      </w:r>
      <w:r w:rsidR="00C576D7" w:rsidRPr="00D9152B">
        <w:rPr>
          <w:rFonts w:ascii="Calibri" w:hAnsi="Calibri" w:cs="Calibri"/>
          <w:b/>
          <w:sz w:val="26"/>
          <w:szCs w:val="26"/>
        </w:rPr>
        <w:t>as a ‘Trojan h</w:t>
      </w:r>
      <w:r w:rsidR="00AC7848" w:rsidRPr="00D9152B">
        <w:rPr>
          <w:rFonts w:ascii="Calibri" w:hAnsi="Calibri" w:cs="Calibri"/>
          <w:b/>
          <w:sz w:val="26"/>
          <w:szCs w:val="26"/>
        </w:rPr>
        <w:t xml:space="preserve">orse’ for </w:t>
      </w:r>
      <w:r w:rsidR="00663224" w:rsidRPr="00D9152B">
        <w:rPr>
          <w:rFonts w:ascii="Calibri" w:hAnsi="Calibri" w:cs="Calibri"/>
          <w:b/>
          <w:sz w:val="26"/>
          <w:szCs w:val="26"/>
        </w:rPr>
        <w:t>health system strengthening</w:t>
      </w:r>
      <w:r w:rsidR="00AC7848" w:rsidRPr="00D9152B">
        <w:rPr>
          <w:rFonts w:ascii="Calibri" w:hAnsi="Calibri" w:cs="Calibri"/>
          <w:b/>
          <w:sz w:val="26"/>
          <w:szCs w:val="26"/>
        </w:rPr>
        <w:t xml:space="preserve"> (c.1994)</w:t>
      </w:r>
      <w:bookmarkEnd w:id="150"/>
      <w:bookmarkEnd w:id="151"/>
    </w:p>
    <w:p w14:paraId="73ECE485" w14:textId="4FB02749" w:rsidR="00AC7848" w:rsidRPr="00D9152B" w:rsidRDefault="00AC7848" w:rsidP="00A12E2E">
      <w:pPr>
        <w:spacing w:before="100" w:beforeAutospacing="1" w:after="100" w:afterAutospacing="1" w:line="360" w:lineRule="auto"/>
        <w:rPr>
          <w:rFonts w:ascii="Calibri" w:hAnsi="Calibri" w:cs="Calibri"/>
          <w:sz w:val="22"/>
          <w:szCs w:val="22"/>
        </w:rPr>
      </w:pPr>
      <w:r w:rsidRPr="00D9152B">
        <w:rPr>
          <w:rFonts w:ascii="Calibri" w:hAnsi="Calibri" w:cs="Calibri"/>
        </w:rPr>
        <w:tab/>
      </w:r>
      <w:r w:rsidRPr="00D9152B">
        <w:rPr>
          <w:rFonts w:ascii="Calibri" w:hAnsi="Calibri" w:cs="Calibri"/>
          <w:sz w:val="22"/>
          <w:szCs w:val="22"/>
        </w:rPr>
        <w:t>Thus, by 1994, devolution was cast as a way to prevent onchocerciasis recrudescence after the OCP ended, by providing disease-specific training to national health workers, scientists, and</w:t>
      </w:r>
      <w:r w:rsidR="00756A9E" w:rsidRPr="00D9152B">
        <w:rPr>
          <w:rFonts w:ascii="Calibri" w:hAnsi="Calibri" w:cs="Calibri"/>
          <w:sz w:val="22"/>
          <w:szCs w:val="22"/>
        </w:rPr>
        <w:t xml:space="preserve"> (increasingly)</w:t>
      </w:r>
      <w:r w:rsidRPr="00D9152B">
        <w:rPr>
          <w:rFonts w:ascii="Calibri" w:hAnsi="Calibri" w:cs="Calibri"/>
          <w:sz w:val="22"/>
          <w:szCs w:val="22"/>
        </w:rPr>
        <w:t xml:space="preserve"> community volunteers, and encouraging national governments to take over the financing (or seek bilateral financing) and management of these trained workers. </w:t>
      </w:r>
      <w:r w:rsidR="007629B2" w:rsidRPr="00D9152B">
        <w:rPr>
          <w:rFonts w:ascii="Calibri" w:hAnsi="Calibri" w:cs="Calibri"/>
          <w:sz w:val="22"/>
          <w:szCs w:val="22"/>
        </w:rPr>
        <w:t>The</w:t>
      </w:r>
      <w:r w:rsidRPr="00D9152B">
        <w:rPr>
          <w:rFonts w:ascii="Calibri" w:hAnsi="Calibri" w:cs="Calibri"/>
          <w:sz w:val="22"/>
          <w:szCs w:val="22"/>
        </w:rPr>
        <w:t xml:space="preserve"> community-d</w:t>
      </w:r>
      <w:r w:rsidR="007629B2" w:rsidRPr="00D9152B">
        <w:rPr>
          <w:rFonts w:ascii="Calibri" w:hAnsi="Calibri" w:cs="Calibri"/>
          <w:sz w:val="22"/>
          <w:szCs w:val="22"/>
        </w:rPr>
        <w:t>irected distribution mechanism was designed to maintain OCP transmission control gains by bypassing</w:t>
      </w:r>
      <w:r w:rsidRPr="00D9152B">
        <w:rPr>
          <w:rFonts w:ascii="Calibri" w:hAnsi="Calibri" w:cs="Calibri"/>
          <w:i/>
          <w:sz w:val="22"/>
          <w:szCs w:val="22"/>
        </w:rPr>
        <w:t xml:space="preserve"> </w:t>
      </w:r>
      <w:r w:rsidRPr="00D9152B">
        <w:rPr>
          <w:rFonts w:ascii="Calibri" w:hAnsi="Calibri" w:cs="Calibri"/>
          <w:sz w:val="22"/>
          <w:szCs w:val="22"/>
        </w:rPr>
        <w:t xml:space="preserve">fragmented PHC systems. </w:t>
      </w:r>
      <w:r w:rsidR="007629B2" w:rsidRPr="00D9152B">
        <w:rPr>
          <w:rFonts w:ascii="Calibri" w:hAnsi="Calibri" w:cs="Calibri"/>
          <w:sz w:val="22"/>
          <w:szCs w:val="22"/>
        </w:rPr>
        <w:t>Until the mid-1990s, d</w:t>
      </w:r>
      <w:r w:rsidRPr="00D9152B">
        <w:rPr>
          <w:rFonts w:ascii="Calibri" w:hAnsi="Calibri" w:cs="Calibri"/>
          <w:sz w:val="22"/>
          <w:szCs w:val="22"/>
        </w:rPr>
        <w:t xml:space="preserve">evolution was linked with PHC strengthening efforts because participating country governments showed little interest in investing resources in independent onchocerciasis control efforts, </w:t>
      </w:r>
      <w:r w:rsidRPr="00D9152B">
        <w:rPr>
          <w:rFonts w:ascii="Calibri" w:hAnsi="Calibri" w:cs="Calibri"/>
          <w:i/>
          <w:sz w:val="22"/>
          <w:szCs w:val="22"/>
        </w:rPr>
        <w:t xml:space="preserve">not </w:t>
      </w:r>
      <w:r w:rsidRPr="00D9152B">
        <w:rPr>
          <w:rFonts w:ascii="Calibri" w:hAnsi="Calibri" w:cs="Calibri"/>
          <w:sz w:val="22"/>
          <w:szCs w:val="22"/>
        </w:rPr>
        <w:t xml:space="preserve">because donor or sponsoring agencies had developed a </w:t>
      </w:r>
      <w:r w:rsidR="007629B2" w:rsidRPr="00D9152B">
        <w:rPr>
          <w:rFonts w:ascii="Calibri" w:hAnsi="Calibri" w:cs="Calibri"/>
          <w:sz w:val="22"/>
          <w:szCs w:val="22"/>
        </w:rPr>
        <w:t>mechanism</w:t>
      </w:r>
      <w:r w:rsidRPr="00D9152B">
        <w:rPr>
          <w:rFonts w:ascii="Calibri" w:hAnsi="Calibri" w:cs="Calibri"/>
          <w:sz w:val="22"/>
          <w:szCs w:val="22"/>
        </w:rPr>
        <w:t xml:space="preserve"> for linking program</w:t>
      </w:r>
      <w:r w:rsidR="001448E0" w:rsidRPr="00D9152B">
        <w:rPr>
          <w:rFonts w:ascii="Calibri" w:hAnsi="Calibri" w:cs="Calibri"/>
          <w:sz w:val="22"/>
          <w:szCs w:val="22"/>
        </w:rPr>
        <w:t>me</w:t>
      </w:r>
      <w:r w:rsidRPr="00D9152B">
        <w:rPr>
          <w:rFonts w:ascii="Calibri" w:hAnsi="Calibri" w:cs="Calibri"/>
          <w:sz w:val="22"/>
          <w:szCs w:val="22"/>
        </w:rPr>
        <w:t xml:space="preserve"> gains </w:t>
      </w:r>
      <w:r w:rsidR="00306196" w:rsidRPr="00D9152B">
        <w:rPr>
          <w:rFonts w:ascii="Calibri" w:hAnsi="Calibri" w:cs="Calibri"/>
          <w:sz w:val="22"/>
          <w:szCs w:val="22"/>
        </w:rPr>
        <w:t>to</w:t>
      </w:r>
      <w:r w:rsidRPr="00D9152B">
        <w:rPr>
          <w:rFonts w:ascii="Calibri" w:hAnsi="Calibri" w:cs="Calibri"/>
          <w:sz w:val="22"/>
          <w:szCs w:val="22"/>
        </w:rPr>
        <w:t xml:space="preserve"> </w:t>
      </w:r>
      <w:r w:rsidR="001448E0" w:rsidRPr="00D9152B">
        <w:rPr>
          <w:rFonts w:ascii="Calibri" w:hAnsi="Calibri" w:cs="Calibri"/>
          <w:sz w:val="22"/>
          <w:szCs w:val="22"/>
        </w:rPr>
        <w:t>HSS</w:t>
      </w:r>
      <w:r w:rsidR="00306196" w:rsidRPr="00D9152B">
        <w:rPr>
          <w:rFonts w:ascii="Calibri" w:hAnsi="Calibri" w:cs="Calibri"/>
          <w:sz w:val="22"/>
          <w:szCs w:val="22"/>
        </w:rPr>
        <w:t xml:space="preserve"> indicators</w:t>
      </w:r>
      <w:r w:rsidRPr="00D9152B">
        <w:rPr>
          <w:rFonts w:ascii="Calibri" w:hAnsi="Calibri" w:cs="Calibri"/>
          <w:sz w:val="22"/>
          <w:szCs w:val="22"/>
        </w:rPr>
        <w:t xml:space="preserve">. </w:t>
      </w:r>
    </w:p>
    <w:p w14:paraId="6207BE3F" w14:textId="3D748996" w:rsidR="00AC7848" w:rsidRPr="00D9152B" w:rsidRDefault="00AC7848" w:rsidP="00A12E2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Yet, at the same time that the Bank internally conceded that devolution had been a</w:t>
      </w:r>
      <w:r w:rsidR="007629B2" w:rsidRPr="00D9152B">
        <w:rPr>
          <w:rFonts w:ascii="Calibri" w:hAnsi="Calibri" w:cs="Calibri"/>
          <w:sz w:val="22"/>
          <w:szCs w:val="22"/>
        </w:rPr>
        <w:t xml:space="preserve"> ‘whitewash’ to-date, staff </w:t>
      </w:r>
      <w:r w:rsidRPr="00D9152B">
        <w:rPr>
          <w:rFonts w:ascii="Calibri" w:hAnsi="Calibri" w:cs="Calibri"/>
          <w:sz w:val="22"/>
          <w:szCs w:val="22"/>
        </w:rPr>
        <w:t>publicly pointed to the number of African nationals trained as evidence of devo</w:t>
      </w:r>
      <w:r w:rsidR="007629B2" w:rsidRPr="00D9152B">
        <w:rPr>
          <w:rFonts w:ascii="Calibri" w:hAnsi="Calibri" w:cs="Calibri"/>
          <w:sz w:val="22"/>
          <w:szCs w:val="22"/>
        </w:rPr>
        <w:t xml:space="preserve">lution’s </w:t>
      </w:r>
      <w:r w:rsidR="007629B2" w:rsidRPr="008E1EA6">
        <w:rPr>
          <w:rFonts w:ascii="Calibri" w:hAnsi="Calibri" w:cs="Calibri"/>
          <w:sz w:val="22"/>
          <w:szCs w:val="22"/>
        </w:rPr>
        <w:t>successes</w:t>
      </w:r>
      <w:r w:rsidRPr="008E1EA6">
        <w:rPr>
          <w:rFonts w:ascii="Calibri" w:hAnsi="Calibri" w:cs="Calibri"/>
          <w:sz w:val="22"/>
          <w:szCs w:val="22"/>
        </w:rPr>
        <w:t>.</w:t>
      </w:r>
      <w:r w:rsidR="008E1EA6" w:rsidRPr="00CF189D">
        <w:rPr>
          <w:rStyle w:val="FootnoteReference"/>
          <w:rFonts w:ascii="Calibri" w:hAnsi="Calibri" w:cs="Calibri"/>
        </w:rPr>
        <w:footnoteReference w:customMarkFollows="1" w:id="894"/>
        <w:t>114</w:t>
      </w:r>
      <w:r w:rsidRPr="008E1EA6">
        <w:rPr>
          <w:rFonts w:ascii="Calibri" w:hAnsi="Calibri" w:cs="Calibri"/>
          <w:sz w:val="22"/>
          <w:szCs w:val="22"/>
        </w:rPr>
        <w:t xml:space="preserve"> Beginning</w:t>
      </w:r>
      <w:r w:rsidRPr="00D9152B">
        <w:rPr>
          <w:rFonts w:ascii="Calibri" w:hAnsi="Calibri" w:cs="Calibri"/>
          <w:sz w:val="22"/>
          <w:szCs w:val="22"/>
        </w:rPr>
        <w:t xml:space="preserve"> around 1994</w:t>
      </w:r>
      <w:r w:rsidR="007629B2" w:rsidRPr="00D9152B">
        <w:rPr>
          <w:rFonts w:ascii="Calibri" w:hAnsi="Calibri" w:cs="Calibri"/>
          <w:sz w:val="22"/>
          <w:szCs w:val="22"/>
        </w:rPr>
        <w:t>,</w:t>
      </w:r>
      <w:r w:rsidRPr="00D9152B">
        <w:rPr>
          <w:rFonts w:ascii="Calibri" w:hAnsi="Calibri" w:cs="Calibri"/>
          <w:sz w:val="22"/>
          <w:szCs w:val="22"/>
        </w:rPr>
        <w:t xml:space="preserve"> the Bank embraced a new argument: that this training and the </w:t>
      </w:r>
      <w:r w:rsidR="007D5A6C">
        <w:rPr>
          <w:rFonts w:ascii="Calibri" w:hAnsi="Calibri" w:cs="Calibri"/>
          <w:sz w:val="22"/>
          <w:szCs w:val="22"/>
        </w:rPr>
        <w:t>community-directed treatment with ivermectin (CDTI)</w:t>
      </w:r>
      <w:r w:rsidR="001448E0" w:rsidRPr="00D9152B">
        <w:rPr>
          <w:rFonts w:ascii="Calibri" w:hAnsi="Calibri" w:cs="Calibri"/>
          <w:sz w:val="22"/>
          <w:szCs w:val="22"/>
        </w:rPr>
        <w:t xml:space="preserve"> </w:t>
      </w:r>
      <w:r w:rsidRPr="00D9152B">
        <w:rPr>
          <w:rFonts w:ascii="Calibri" w:hAnsi="Calibri" w:cs="Calibri"/>
          <w:sz w:val="22"/>
          <w:szCs w:val="22"/>
        </w:rPr>
        <w:t>mechanism provided</w:t>
      </w:r>
      <w:r w:rsidRPr="00D9152B">
        <w:rPr>
          <w:rFonts w:ascii="Calibri" w:hAnsi="Calibri" w:cs="Calibri"/>
          <w:i/>
          <w:sz w:val="22"/>
          <w:szCs w:val="22"/>
        </w:rPr>
        <w:t xml:space="preserve"> </w:t>
      </w:r>
      <w:r w:rsidRPr="00D9152B">
        <w:rPr>
          <w:rFonts w:ascii="Calibri" w:hAnsi="Calibri" w:cs="Calibri"/>
          <w:sz w:val="22"/>
          <w:szCs w:val="22"/>
        </w:rPr>
        <w:t>PHC strengthening in and of itself. The Bank began to present CDTI-based devolution as a unique mechanism to strengthen</w:t>
      </w:r>
      <w:r w:rsidRPr="00D9152B">
        <w:rPr>
          <w:rFonts w:ascii="Calibri" w:hAnsi="Calibri" w:cs="Calibri"/>
          <w:i/>
          <w:sz w:val="22"/>
          <w:szCs w:val="22"/>
        </w:rPr>
        <w:t xml:space="preserve"> </w:t>
      </w:r>
      <w:r w:rsidRPr="00D9152B">
        <w:rPr>
          <w:rFonts w:ascii="Calibri" w:hAnsi="Calibri" w:cs="Calibri"/>
          <w:sz w:val="22"/>
          <w:szCs w:val="22"/>
        </w:rPr>
        <w:t xml:space="preserve">health systems, especially in rural regions, for surveillance and integrated disease control. Two of the first references to this argument are in the Bank’s handwritten notes from the 1994 donor’s conference (Figure </w:t>
      </w:r>
      <w:r w:rsidR="007D5A6C">
        <w:rPr>
          <w:rFonts w:ascii="Calibri" w:hAnsi="Calibri" w:cs="Calibri"/>
          <w:sz w:val="22"/>
          <w:szCs w:val="22"/>
        </w:rPr>
        <w:lastRenderedPageBreak/>
        <w:t>8.</w:t>
      </w:r>
      <w:r w:rsidR="00402E5E" w:rsidRPr="00D9152B">
        <w:rPr>
          <w:rFonts w:ascii="Calibri" w:hAnsi="Calibri" w:cs="Calibri"/>
          <w:sz w:val="22"/>
          <w:szCs w:val="22"/>
        </w:rPr>
        <w:t>5</w:t>
      </w:r>
      <w:r w:rsidRPr="00D9152B">
        <w:rPr>
          <w:rFonts w:ascii="Calibri" w:hAnsi="Calibri" w:cs="Calibri"/>
          <w:sz w:val="22"/>
          <w:szCs w:val="22"/>
        </w:rPr>
        <w:t xml:space="preserve">). In a drawing, the note taker (most likely Benton) indicates the connection between the OCP and village health worker development. Similar handwritten notes provided a justification for investment in the </w:t>
      </w:r>
      <w:r w:rsidR="001448E0" w:rsidRPr="00D9152B">
        <w:rPr>
          <w:rFonts w:ascii="Calibri" w:hAnsi="Calibri" w:cs="Calibri"/>
          <w:sz w:val="22"/>
          <w:szCs w:val="22"/>
        </w:rPr>
        <w:t>African Programme for Onchocerciasis Control</w:t>
      </w:r>
      <w:r w:rsidRPr="00D9152B">
        <w:rPr>
          <w:rFonts w:ascii="Calibri" w:hAnsi="Calibri" w:cs="Calibri"/>
          <w:sz w:val="22"/>
          <w:szCs w:val="22"/>
        </w:rPr>
        <w:t xml:space="preserve">, including </w:t>
      </w:r>
      <w:r w:rsidR="00DC0ADA" w:rsidRPr="00D9152B">
        <w:rPr>
          <w:rFonts w:ascii="Calibri" w:hAnsi="Calibri" w:cs="Calibri"/>
          <w:sz w:val="22"/>
          <w:szCs w:val="22"/>
        </w:rPr>
        <w:t>seeing</w:t>
      </w:r>
      <w:r w:rsidRPr="00D9152B">
        <w:rPr>
          <w:rFonts w:ascii="Calibri" w:hAnsi="Calibri" w:cs="Calibri"/>
          <w:sz w:val="22"/>
          <w:szCs w:val="22"/>
        </w:rPr>
        <w:t xml:space="preserve">, ‘IVM [ivermectin] as trojan horse for other primary health </w:t>
      </w:r>
      <w:r w:rsidRPr="008E1EA6">
        <w:rPr>
          <w:rFonts w:ascii="Calibri" w:hAnsi="Calibri" w:cs="Calibri"/>
          <w:sz w:val="22"/>
          <w:szCs w:val="22"/>
        </w:rPr>
        <w:t>care’.</w:t>
      </w:r>
      <w:r w:rsidR="008E1EA6" w:rsidRPr="00CF189D">
        <w:rPr>
          <w:rStyle w:val="FootnoteReference"/>
          <w:rFonts w:ascii="Calibri" w:hAnsi="Calibri" w:cs="Calibri"/>
        </w:rPr>
        <w:footnoteReference w:customMarkFollows="1" w:id="895"/>
        <w:t>115</w:t>
      </w:r>
      <w:r w:rsidRPr="008E1EA6">
        <w:rPr>
          <w:rFonts w:ascii="Calibri" w:hAnsi="Calibri" w:cs="Calibri"/>
          <w:sz w:val="22"/>
          <w:szCs w:val="22"/>
        </w:rPr>
        <w:t xml:space="preserve"> According</w:t>
      </w:r>
      <w:r w:rsidRPr="00D9152B">
        <w:rPr>
          <w:rFonts w:ascii="Calibri" w:hAnsi="Calibri" w:cs="Calibri"/>
          <w:sz w:val="22"/>
          <w:szCs w:val="22"/>
        </w:rPr>
        <w:t xml:space="preserve"> to this reasoning, health care systems would be strengthened through a community volunteer network, rather than building health delivery infrastructure or hiring more formal healthcare workers. </w:t>
      </w:r>
    </w:p>
    <w:p w14:paraId="0EC54688" w14:textId="0A20190B" w:rsidR="00306196" w:rsidRPr="00D9152B" w:rsidRDefault="00306196" w:rsidP="001448E0">
      <w:pPr>
        <w:spacing w:after="120"/>
        <w:jc w:val="center"/>
        <w:rPr>
          <w:rFonts w:ascii="Calibri" w:hAnsi="Calibri" w:cs="Calibri"/>
        </w:rPr>
      </w:pPr>
      <w:r w:rsidRPr="00D9152B">
        <w:rPr>
          <w:rFonts w:ascii="Calibri" w:hAnsi="Calibri" w:cs="Calibri"/>
          <w:noProof/>
          <w:lang w:eastAsia="en-GB"/>
        </w:rPr>
        <w:drawing>
          <wp:inline distT="0" distB="0" distL="0" distR="0" wp14:anchorId="6D5EC5C1" wp14:editId="4EA71BEF">
            <wp:extent cx="3656965" cy="2152073"/>
            <wp:effectExtent l="0" t="0" r="635"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3"/>
                    <a:srcRect t="3392" b="8803"/>
                    <a:stretch/>
                  </pic:blipFill>
                  <pic:spPr bwMode="auto">
                    <a:xfrm>
                      <a:off x="0" y="0"/>
                      <a:ext cx="3717415" cy="2187647"/>
                    </a:xfrm>
                    <a:prstGeom prst="rect">
                      <a:avLst/>
                    </a:prstGeom>
                    <a:ln>
                      <a:noFill/>
                    </a:ln>
                    <a:extLst>
                      <a:ext uri="{53640926-AAD7-44D8-BBD7-CCE9431645EC}">
                        <a14:shadowObscured xmlns:a14="http://schemas.microsoft.com/office/drawing/2010/main"/>
                      </a:ext>
                    </a:extLst>
                  </pic:spPr>
                </pic:pic>
              </a:graphicData>
            </a:graphic>
          </wp:inline>
        </w:drawing>
      </w:r>
    </w:p>
    <w:p w14:paraId="4BD3D674" w14:textId="4BA8BF3C" w:rsidR="00C576D7" w:rsidRPr="00D9152B" w:rsidRDefault="009D5C0D" w:rsidP="001448E0">
      <w:pPr>
        <w:jc w:val="center"/>
        <w:rPr>
          <w:rFonts w:ascii="Calibri" w:hAnsi="Calibri" w:cs="Calibri"/>
        </w:rPr>
      </w:pPr>
      <w:r w:rsidRPr="00D9152B">
        <w:rPr>
          <w:rFonts w:ascii="Calibri" w:hAnsi="Calibri" w:cs="Calibri"/>
          <w:noProof/>
          <w:lang w:eastAsia="en-GB"/>
        </w:rPr>
        <mc:AlternateContent>
          <mc:Choice Requires="wps">
            <w:drawing>
              <wp:anchor distT="0" distB="0" distL="114300" distR="114300" simplePos="0" relativeHeight="251683840" behindDoc="0" locked="0" layoutInCell="1" allowOverlap="1" wp14:anchorId="23BD37CA" wp14:editId="44DB9C99">
                <wp:simplePos x="0" y="0"/>
                <wp:positionH relativeFrom="column">
                  <wp:posOffset>1395384</wp:posOffset>
                </wp:positionH>
                <wp:positionV relativeFrom="paragraph">
                  <wp:posOffset>1963882</wp:posOffset>
                </wp:positionV>
                <wp:extent cx="3823854" cy="622300"/>
                <wp:effectExtent l="0" t="0" r="12065" b="12700"/>
                <wp:wrapNone/>
                <wp:docPr id="181" name="Rounded Rectangle 181"/>
                <wp:cNvGraphicFramePr/>
                <a:graphic xmlns:a="http://schemas.openxmlformats.org/drawingml/2006/main">
                  <a:graphicData uri="http://schemas.microsoft.com/office/word/2010/wordprocessingShape">
                    <wps:wsp>
                      <wps:cNvSpPr/>
                      <wps:spPr>
                        <a:xfrm>
                          <a:off x="0" y="0"/>
                          <a:ext cx="3823854" cy="622300"/>
                        </a:xfrm>
                        <a:prstGeom prst="roundRect">
                          <a:avLst/>
                        </a:prstGeom>
                        <a:no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02936901" id="Rounded Rectangle 181" o:spid="_x0000_s1026" style="position:absolute;margin-left:109.85pt;margin-top:154.65pt;width:301.1pt;height:4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" filled="f" strokecolor="#c00000" strokeweight="1pt">
                <v:stroke joinstyle="miter"/>
              </v:roundrect>
            </w:pict>
          </mc:Fallback>
        </mc:AlternateContent>
      </w:r>
      <w:r w:rsidR="00306196" w:rsidRPr="00D9152B">
        <w:rPr>
          <w:rFonts w:ascii="Calibri" w:hAnsi="Calibri" w:cs="Calibri"/>
          <w:noProof/>
          <w:lang w:eastAsia="en-GB"/>
        </w:rPr>
        <w:drawing>
          <wp:inline distT="0" distB="0" distL="0" distR="0" wp14:anchorId="6FF79FF5" wp14:editId="1B889C6F">
            <wp:extent cx="5302781" cy="2854037"/>
            <wp:effectExtent l="0" t="0" r="0" b="381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4"/>
                    <a:srcRect l="21570" t="30348" r="4082" b="87"/>
                    <a:stretch/>
                  </pic:blipFill>
                  <pic:spPr bwMode="auto">
                    <a:xfrm>
                      <a:off x="0" y="0"/>
                      <a:ext cx="5436824" cy="2926181"/>
                    </a:xfrm>
                    <a:prstGeom prst="rect">
                      <a:avLst/>
                    </a:prstGeom>
                    <a:ln>
                      <a:noFill/>
                    </a:ln>
                    <a:extLst>
                      <a:ext uri="{53640926-AAD7-44D8-BBD7-CCE9431645EC}">
                        <a14:shadowObscured xmlns:a14="http://schemas.microsoft.com/office/drawing/2010/main"/>
                      </a:ext>
                    </a:extLst>
                  </pic:spPr>
                </pic:pic>
              </a:graphicData>
            </a:graphic>
          </wp:inline>
        </w:drawing>
      </w:r>
    </w:p>
    <w:p w14:paraId="082CCD94" w14:textId="3ACF0746" w:rsidR="00306196" w:rsidRPr="00D9152B" w:rsidRDefault="00402E5E" w:rsidP="009D5C0D">
      <w:pPr>
        <w:jc w:val="both"/>
        <w:rPr>
          <w:rFonts w:ascii="Calibri" w:hAnsi="Calibri" w:cs="Calibri"/>
          <w:color w:val="7F7F7F" w:themeColor="text1" w:themeTint="80"/>
          <w:sz w:val="22"/>
          <w:szCs w:val="22"/>
        </w:rPr>
      </w:pPr>
      <w:r w:rsidRPr="00D9152B">
        <w:rPr>
          <w:rFonts w:ascii="Calibri" w:hAnsi="Calibri" w:cs="Calibri"/>
          <w:color w:val="7F7F7F" w:themeColor="text1" w:themeTint="80"/>
          <w:sz w:val="22"/>
          <w:szCs w:val="22"/>
        </w:rPr>
        <w:t xml:space="preserve">Figure </w:t>
      </w:r>
      <w:r w:rsidR="007D5A6C">
        <w:rPr>
          <w:rFonts w:ascii="Calibri" w:hAnsi="Calibri" w:cs="Calibri"/>
          <w:color w:val="7F7F7F" w:themeColor="text1" w:themeTint="80"/>
          <w:sz w:val="22"/>
          <w:szCs w:val="22"/>
        </w:rPr>
        <w:t>8.</w:t>
      </w:r>
      <w:r w:rsidRPr="00D9152B">
        <w:rPr>
          <w:rFonts w:ascii="Calibri" w:hAnsi="Calibri" w:cs="Calibri"/>
          <w:color w:val="7F7F7F" w:themeColor="text1" w:themeTint="80"/>
          <w:sz w:val="22"/>
          <w:szCs w:val="22"/>
        </w:rPr>
        <w:t>5</w:t>
      </w:r>
      <w:r w:rsidR="00306196" w:rsidRPr="00D9152B">
        <w:rPr>
          <w:rFonts w:ascii="Calibri" w:hAnsi="Calibri" w:cs="Calibri"/>
          <w:color w:val="7F7F7F" w:themeColor="text1" w:themeTint="80"/>
          <w:sz w:val="22"/>
          <w:szCs w:val="22"/>
        </w:rPr>
        <w:t>. Bank staff member notes from the 1994 donor’s conference, which included references to community empowerment through health worker training and well-coordinated ivermectin delivery</w:t>
      </w:r>
      <w:r w:rsidR="009D5C0D" w:rsidRPr="00D9152B">
        <w:rPr>
          <w:rFonts w:ascii="Calibri" w:hAnsi="Calibri" w:cs="Calibri"/>
          <w:color w:val="7F7F7F" w:themeColor="text1" w:themeTint="80"/>
          <w:sz w:val="22"/>
          <w:szCs w:val="22"/>
        </w:rPr>
        <w:t>, and the description of ivermectin as a ‘trojan horse for other primary health care’</w:t>
      </w:r>
      <w:r w:rsidR="00306196" w:rsidRPr="00D9152B">
        <w:rPr>
          <w:rFonts w:ascii="Calibri" w:hAnsi="Calibri" w:cs="Calibri"/>
          <w:color w:val="7F7F7F" w:themeColor="text1" w:themeTint="80"/>
          <w:sz w:val="22"/>
          <w:szCs w:val="22"/>
        </w:rPr>
        <w:t>.</w:t>
      </w:r>
      <w:r w:rsidR="008E1EA6" w:rsidRPr="00CF189D">
        <w:rPr>
          <w:rStyle w:val="FootnoteReference"/>
          <w:rFonts w:ascii="Calibri" w:hAnsi="Calibri" w:cs="Calibri"/>
          <w:color w:val="7F7F7F" w:themeColor="text1" w:themeTint="80"/>
        </w:rPr>
        <w:footnoteReference w:customMarkFollows="1" w:id="896"/>
        <w:t>116</w:t>
      </w:r>
    </w:p>
    <w:p w14:paraId="49E59066" w14:textId="0A3AA166" w:rsidR="001820A5" w:rsidRPr="00D9152B" w:rsidRDefault="00AC7848" w:rsidP="000B595A">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lastRenderedPageBreak/>
        <w:t xml:space="preserve">Around the same time, the Bank’s OCP financing plan provided a similar argument: ‘it can be expected that the devolution process by its very nature will contribute to and catalyse the development of public health systems in the Participating Countries with the support of all parties </w:t>
      </w:r>
      <w:r w:rsidRPr="00A8048A">
        <w:rPr>
          <w:rFonts w:ascii="Calibri" w:hAnsi="Calibri" w:cs="Calibri"/>
          <w:sz w:val="22"/>
          <w:szCs w:val="22"/>
        </w:rPr>
        <w:t>involved’.</w:t>
      </w:r>
      <w:r w:rsidR="00A8048A" w:rsidRPr="00CF189D">
        <w:rPr>
          <w:rStyle w:val="FootnoteReference"/>
          <w:rFonts w:ascii="Calibri" w:hAnsi="Calibri" w:cs="Calibri"/>
        </w:rPr>
        <w:footnoteReference w:customMarkFollows="1" w:id="897"/>
        <w:t>117</w:t>
      </w:r>
      <w:r w:rsidRPr="00D9152B">
        <w:rPr>
          <w:rFonts w:ascii="Calibri" w:hAnsi="Calibri" w:cs="Calibri"/>
          <w:sz w:val="22"/>
          <w:szCs w:val="22"/>
        </w:rPr>
        <w:t xml:space="preserve"> The Bank used the number of programme trainees and community distributors of ivermectin to argue that the programme had transitioned from a vertical to a horizontal, community owned health </w:t>
      </w:r>
      <w:r w:rsidRPr="00A8048A">
        <w:rPr>
          <w:rFonts w:ascii="Calibri" w:hAnsi="Calibri" w:cs="Calibri"/>
          <w:sz w:val="22"/>
          <w:szCs w:val="22"/>
        </w:rPr>
        <w:t>programme.</w:t>
      </w:r>
      <w:r w:rsidR="00A8048A" w:rsidRPr="00CF189D">
        <w:rPr>
          <w:rStyle w:val="FootnoteReference"/>
          <w:rFonts w:ascii="Calibri" w:hAnsi="Calibri" w:cs="Calibri"/>
        </w:rPr>
        <w:footnoteReference w:customMarkFollows="1" w:id="898"/>
        <w:t>118</w:t>
      </w:r>
      <w:r w:rsidRPr="00A8048A">
        <w:rPr>
          <w:rFonts w:ascii="Calibri" w:hAnsi="Calibri" w:cs="Calibri"/>
          <w:sz w:val="22"/>
          <w:szCs w:val="22"/>
        </w:rPr>
        <w:t xml:space="preserve"> According</w:t>
      </w:r>
      <w:r w:rsidRPr="00D9152B">
        <w:rPr>
          <w:rFonts w:ascii="Calibri" w:hAnsi="Calibri" w:cs="Calibri"/>
          <w:sz w:val="22"/>
          <w:szCs w:val="22"/>
        </w:rPr>
        <w:t xml:space="preserve"> to this</w:t>
      </w:r>
      <w:r w:rsidR="00064190" w:rsidRPr="00D9152B">
        <w:rPr>
          <w:rFonts w:ascii="Calibri" w:hAnsi="Calibri" w:cs="Calibri"/>
          <w:sz w:val="22"/>
          <w:szCs w:val="22"/>
        </w:rPr>
        <w:t xml:space="preserve"> (public)</w:t>
      </w:r>
      <w:r w:rsidRPr="00D9152B">
        <w:rPr>
          <w:rFonts w:ascii="Calibri" w:hAnsi="Calibri" w:cs="Calibri"/>
          <w:sz w:val="22"/>
          <w:szCs w:val="22"/>
        </w:rPr>
        <w:t xml:space="preserve"> view, the catch-22 scenario had been overcome, through a specific type of public accountability, which focused on community ownership of drug delivery.</w:t>
      </w:r>
      <w:r w:rsidR="00064190" w:rsidRPr="00D9152B">
        <w:rPr>
          <w:rFonts w:ascii="Calibri" w:hAnsi="Calibri" w:cs="Calibri"/>
          <w:sz w:val="22"/>
          <w:szCs w:val="22"/>
        </w:rPr>
        <w:t xml:space="preserve"> Privately, some staff at the Bank questioned some of the claims linking CDTI and onchocerciasis-specific training to PHC development. Figure </w:t>
      </w:r>
      <w:r w:rsidR="007D5A6C">
        <w:rPr>
          <w:rFonts w:ascii="Calibri" w:hAnsi="Calibri" w:cs="Calibri"/>
          <w:sz w:val="22"/>
          <w:szCs w:val="22"/>
        </w:rPr>
        <w:t>8.</w:t>
      </w:r>
      <w:r w:rsidR="00402E5E" w:rsidRPr="00D9152B">
        <w:rPr>
          <w:rFonts w:ascii="Calibri" w:hAnsi="Calibri" w:cs="Calibri"/>
          <w:sz w:val="22"/>
          <w:szCs w:val="22"/>
        </w:rPr>
        <w:t>6</w:t>
      </w:r>
      <w:r w:rsidR="00064190" w:rsidRPr="00D9152B">
        <w:rPr>
          <w:rFonts w:ascii="Calibri" w:hAnsi="Calibri" w:cs="Calibri"/>
          <w:sz w:val="22"/>
          <w:szCs w:val="22"/>
        </w:rPr>
        <w:t xml:space="preserve"> shows excerpts from a draft proposal for a Bank trust fund for the future A</w:t>
      </w:r>
      <w:r w:rsidR="001820A5" w:rsidRPr="00D9152B">
        <w:rPr>
          <w:rFonts w:ascii="Calibri" w:hAnsi="Calibri" w:cs="Calibri"/>
          <w:sz w:val="22"/>
          <w:szCs w:val="22"/>
        </w:rPr>
        <w:t xml:space="preserve">frican Programme for Onchocerciasis Control </w:t>
      </w:r>
      <w:r w:rsidR="00064190" w:rsidRPr="00D9152B">
        <w:rPr>
          <w:rFonts w:ascii="Calibri" w:hAnsi="Calibri" w:cs="Calibri"/>
          <w:sz w:val="22"/>
          <w:szCs w:val="22"/>
        </w:rPr>
        <w:t>(c. 1994). For instance, a Bank staff member questioned whether it was true that extra-OCP ivermectin distribution will ‘enhance the effectiveness and sustainability of primary health care systems by requiring linkages between them and Mectiza</w:t>
      </w:r>
      <w:r w:rsidR="000B595A" w:rsidRPr="00D9152B">
        <w:rPr>
          <w:rFonts w:ascii="Calibri" w:hAnsi="Calibri" w:cs="Calibri"/>
          <w:sz w:val="22"/>
          <w:szCs w:val="22"/>
        </w:rPr>
        <w:t>n</w:t>
      </w:r>
      <w:r w:rsidR="00064190" w:rsidRPr="00D9152B">
        <w:rPr>
          <w:rFonts w:ascii="Calibri" w:hAnsi="Calibri" w:cs="Calibri"/>
          <w:sz w:val="22"/>
          <w:szCs w:val="22"/>
        </w:rPr>
        <w:t xml:space="preserve">® delivery programs in endemic areas’. This staff member also expressed doubt that the ‘components for a successful, coordinated campaign against onchocerciasis are now in place’, which the exception of funding. And, </w:t>
      </w:r>
      <w:r w:rsidR="007D3A7B" w:rsidRPr="00D9152B">
        <w:rPr>
          <w:rFonts w:ascii="Calibri" w:hAnsi="Calibri" w:cs="Calibri"/>
          <w:sz w:val="22"/>
          <w:szCs w:val="22"/>
        </w:rPr>
        <w:t>the staff member questioned whether ivermectin delivery program</w:t>
      </w:r>
      <w:r w:rsidR="008039C9">
        <w:rPr>
          <w:rFonts w:ascii="Calibri" w:hAnsi="Calibri" w:cs="Calibri"/>
          <w:sz w:val="22"/>
          <w:szCs w:val="22"/>
        </w:rPr>
        <w:t>me</w:t>
      </w:r>
      <w:r w:rsidR="007D3A7B" w:rsidRPr="00D9152B">
        <w:rPr>
          <w:rFonts w:ascii="Calibri" w:hAnsi="Calibri" w:cs="Calibri"/>
          <w:sz w:val="22"/>
          <w:szCs w:val="22"/>
        </w:rPr>
        <w:t>s were inexpensive, relative to vector control (supposedly due to the costs of delivery</w:t>
      </w:r>
      <w:r w:rsidR="007D3A7B" w:rsidRPr="00A8048A">
        <w:rPr>
          <w:rFonts w:ascii="Calibri" w:hAnsi="Calibri" w:cs="Calibri"/>
          <w:sz w:val="22"/>
          <w:szCs w:val="22"/>
        </w:rPr>
        <w:t>).</w:t>
      </w:r>
      <w:r w:rsidR="00A8048A" w:rsidRPr="00CF189D">
        <w:rPr>
          <w:rStyle w:val="FootnoteReference"/>
          <w:rFonts w:ascii="Calibri" w:hAnsi="Calibri" w:cs="Calibri"/>
        </w:rPr>
        <w:footnoteReference w:customMarkFollows="1" w:id="899"/>
        <w:t>119</w:t>
      </w:r>
    </w:p>
    <w:p w14:paraId="2BA31B59" w14:textId="2B5CF5CE" w:rsidR="000B595A" w:rsidRPr="00D9152B" w:rsidRDefault="000B595A" w:rsidP="000B595A">
      <w:pPr>
        <w:spacing w:before="100" w:beforeAutospacing="1" w:after="100" w:afterAutospacing="1" w:line="360" w:lineRule="auto"/>
        <w:ind w:firstLine="720"/>
        <w:rPr>
          <w:rFonts w:ascii="Calibri" w:hAnsi="Calibri" w:cs="Calibri"/>
          <w:sz w:val="22"/>
          <w:szCs w:val="22"/>
        </w:rPr>
      </w:pPr>
    </w:p>
    <w:p w14:paraId="284EBCD3" w14:textId="6FAEAE16" w:rsidR="000B595A" w:rsidRPr="00D9152B" w:rsidRDefault="000B595A" w:rsidP="000B595A">
      <w:pPr>
        <w:spacing w:before="100" w:beforeAutospacing="1" w:after="100" w:afterAutospacing="1" w:line="360" w:lineRule="auto"/>
        <w:ind w:firstLine="720"/>
        <w:rPr>
          <w:rFonts w:ascii="Calibri" w:hAnsi="Calibri" w:cs="Calibri"/>
          <w:sz w:val="22"/>
          <w:szCs w:val="22"/>
        </w:rPr>
      </w:pPr>
    </w:p>
    <w:p w14:paraId="1B596E1E" w14:textId="50E22C92" w:rsidR="000B595A" w:rsidRPr="00D9152B" w:rsidRDefault="000B595A" w:rsidP="000B595A">
      <w:pPr>
        <w:spacing w:before="100" w:beforeAutospacing="1" w:after="100" w:afterAutospacing="1" w:line="360" w:lineRule="auto"/>
        <w:ind w:firstLine="720"/>
        <w:rPr>
          <w:rFonts w:ascii="Calibri" w:hAnsi="Calibri" w:cs="Calibri"/>
          <w:sz w:val="22"/>
          <w:szCs w:val="22"/>
        </w:rPr>
      </w:pPr>
    </w:p>
    <w:p w14:paraId="0FD4B54F" w14:textId="6E3C4A20" w:rsidR="000B595A" w:rsidRPr="00D9152B" w:rsidRDefault="000B595A" w:rsidP="000B595A">
      <w:pPr>
        <w:spacing w:before="100" w:beforeAutospacing="1" w:after="100" w:afterAutospacing="1" w:line="360" w:lineRule="auto"/>
        <w:ind w:firstLine="720"/>
        <w:rPr>
          <w:rFonts w:ascii="Calibri" w:hAnsi="Calibri" w:cs="Calibri"/>
          <w:sz w:val="22"/>
          <w:szCs w:val="22"/>
        </w:rPr>
      </w:pPr>
    </w:p>
    <w:p w14:paraId="19F490D5" w14:textId="633FAA53" w:rsidR="000B595A" w:rsidRDefault="000B595A" w:rsidP="000B595A">
      <w:pPr>
        <w:spacing w:before="100" w:beforeAutospacing="1" w:after="100" w:afterAutospacing="1" w:line="360" w:lineRule="auto"/>
        <w:ind w:firstLine="720"/>
        <w:rPr>
          <w:rFonts w:ascii="Calibri" w:hAnsi="Calibri" w:cs="Calibri"/>
          <w:sz w:val="22"/>
          <w:szCs w:val="22"/>
        </w:rPr>
      </w:pPr>
    </w:p>
    <w:p w14:paraId="1C761DD4" w14:textId="77777777" w:rsidR="00AA0BAF" w:rsidRPr="00D9152B" w:rsidRDefault="00AA0BAF" w:rsidP="000B595A">
      <w:pPr>
        <w:spacing w:before="100" w:beforeAutospacing="1" w:after="100" w:afterAutospacing="1" w:line="360" w:lineRule="auto"/>
        <w:ind w:firstLine="720"/>
        <w:rPr>
          <w:rFonts w:ascii="Calibri" w:hAnsi="Calibri" w:cs="Calibri"/>
          <w:sz w:val="22"/>
          <w:szCs w:val="22"/>
        </w:rPr>
      </w:pPr>
    </w:p>
    <w:p w14:paraId="6AA30411" w14:textId="59F857E6" w:rsidR="007D3A7B" w:rsidRPr="00D9152B" w:rsidRDefault="00064190" w:rsidP="007D3A7B">
      <w:pPr>
        <w:spacing w:before="120"/>
        <w:jc w:val="center"/>
        <w:rPr>
          <w:rFonts w:ascii="Calibri" w:hAnsi="Calibri" w:cs="Calibri"/>
        </w:rPr>
      </w:pPr>
      <w:r w:rsidRPr="00D9152B">
        <w:rPr>
          <w:rFonts w:ascii="Calibri" w:hAnsi="Calibri" w:cs="Calibri"/>
          <w:noProof/>
          <w:lang w:eastAsia="en-GB"/>
        </w:rPr>
        <w:drawing>
          <wp:inline distT="0" distB="0" distL="0" distR="0" wp14:anchorId="71BBB89E" wp14:editId="5C2E4236">
            <wp:extent cx="5509386" cy="1625600"/>
            <wp:effectExtent l="0" t="0" r="254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5"/>
                    <a:srcRect l="3185" t="60968"/>
                    <a:stretch/>
                  </pic:blipFill>
                  <pic:spPr bwMode="auto">
                    <a:xfrm>
                      <a:off x="0" y="0"/>
                      <a:ext cx="5554616" cy="1638946"/>
                    </a:xfrm>
                    <a:prstGeom prst="rect">
                      <a:avLst/>
                    </a:prstGeom>
                    <a:ln>
                      <a:noFill/>
                    </a:ln>
                    <a:extLst>
                      <a:ext uri="{53640926-AAD7-44D8-BBD7-CCE9431645EC}">
                        <a14:shadowObscured xmlns:a14="http://schemas.microsoft.com/office/drawing/2010/main"/>
                      </a:ext>
                    </a:extLst>
                  </pic:spPr>
                </pic:pic>
              </a:graphicData>
            </a:graphic>
          </wp:inline>
        </w:drawing>
      </w:r>
    </w:p>
    <w:p w14:paraId="371FA62F" w14:textId="4F1DC82C" w:rsidR="001820A5" w:rsidRPr="00D9152B" w:rsidRDefault="00064190" w:rsidP="001820A5">
      <w:pPr>
        <w:spacing w:before="120"/>
        <w:jc w:val="center"/>
        <w:rPr>
          <w:rFonts w:ascii="Calibri" w:hAnsi="Calibri" w:cs="Calibri"/>
        </w:rPr>
      </w:pPr>
      <w:r w:rsidRPr="00D9152B">
        <w:rPr>
          <w:rFonts w:ascii="Calibri" w:hAnsi="Calibri" w:cs="Calibri"/>
          <w:noProof/>
          <w:lang w:eastAsia="en-GB"/>
        </w:rPr>
        <w:drawing>
          <wp:inline distT="0" distB="0" distL="0" distR="0" wp14:anchorId="55326305" wp14:editId="240CDE95">
            <wp:extent cx="5509260" cy="965835"/>
            <wp:effectExtent l="0" t="0" r="254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6"/>
                    <a:srcRect t="80434" r="5625" b="2523"/>
                    <a:stretch/>
                  </pic:blipFill>
                  <pic:spPr bwMode="auto">
                    <a:xfrm>
                      <a:off x="0" y="0"/>
                      <a:ext cx="5577670" cy="977828"/>
                    </a:xfrm>
                    <a:prstGeom prst="rect">
                      <a:avLst/>
                    </a:prstGeom>
                    <a:ln>
                      <a:noFill/>
                    </a:ln>
                    <a:extLst>
                      <a:ext uri="{53640926-AAD7-44D8-BBD7-CCE9431645EC}">
                        <a14:shadowObscured xmlns:a14="http://schemas.microsoft.com/office/drawing/2010/main"/>
                      </a:ext>
                    </a:extLst>
                  </pic:spPr>
                </pic:pic>
              </a:graphicData>
            </a:graphic>
          </wp:inline>
        </w:drawing>
      </w:r>
    </w:p>
    <w:p w14:paraId="22A8AE72" w14:textId="602A4F82" w:rsidR="007D3A7B" w:rsidRPr="00D9152B" w:rsidRDefault="007D3A7B" w:rsidP="001820A5">
      <w:pPr>
        <w:spacing w:before="120"/>
        <w:rPr>
          <w:rFonts w:ascii="Calibri" w:hAnsi="Calibri" w:cs="Calibri"/>
        </w:rPr>
      </w:pPr>
      <w:r w:rsidRPr="00D9152B">
        <w:rPr>
          <w:rFonts w:ascii="Calibri" w:hAnsi="Calibri" w:cs="Calibri"/>
          <w:noProof/>
          <w:lang w:eastAsia="en-GB"/>
        </w:rPr>
        <w:drawing>
          <wp:inline distT="0" distB="0" distL="0" distR="0" wp14:anchorId="0F60C181" wp14:editId="5EEEF59E">
            <wp:extent cx="5518898" cy="1584960"/>
            <wp:effectExtent l="0" t="0" r="5715" b="254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7"/>
                    <a:srcRect l="3580" t="3670" b="49530"/>
                    <a:stretch/>
                  </pic:blipFill>
                  <pic:spPr bwMode="auto">
                    <a:xfrm>
                      <a:off x="0" y="0"/>
                      <a:ext cx="5601648" cy="1608725"/>
                    </a:xfrm>
                    <a:prstGeom prst="rect">
                      <a:avLst/>
                    </a:prstGeom>
                    <a:ln>
                      <a:noFill/>
                    </a:ln>
                    <a:extLst>
                      <a:ext uri="{53640926-AAD7-44D8-BBD7-CCE9431645EC}">
                        <a14:shadowObscured xmlns:a14="http://schemas.microsoft.com/office/drawing/2010/main"/>
                      </a:ext>
                    </a:extLst>
                  </pic:spPr>
                </pic:pic>
              </a:graphicData>
            </a:graphic>
          </wp:inline>
        </w:drawing>
      </w:r>
    </w:p>
    <w:p w14:paraId="52391B19" w14:textId="77777777" w:rsidR="00177DC2" w:rsidRPr="00D9152B" w:rsidRDefault="00177DC2" w:rsidP="00177DC2">
      <w:pPr>
        <w:rPr>
          <w:rFonts w:ascii="Calibri" w:hAnsi="Calibri" w:cs="Calibri"/>
        </w:rPr>
      </w:pPr>
    </w:p>
    <w:p w14:paraId="39276C0A" w14:textId="064E702B" w:rsidR="007D3A7B" w:rsidRPr="00D9152B" w:rsidRDefault="00402E5E" w:rsidP="001820A5">
      <w:pPr>
        <w:jc w:val="both"/>
        <w:rPr>
          <w:rFonts w:ascii="Calibri" w:hAnsi="Calibri" w:cs="Calibri"/>
          <w:sz w:val="22"/>
          <w:szCs w:val="22"/>
        </w:rPr>
      </w:pPr>
      <w:r w:rsidRPr="00D9152B">
        <w:rPr>
          <w:rFonts w:ascii="Calibri" w:hAnsi="Calibri" w:cs="Calibri"/>
          <w:color w:val="767171" w:themeColor="background2" w:themeShade="80"/>
          <w:sz w:val="22"/>
          <w:szCs w:val="22"/>
        </w:rPr>
        <w:t xml:space="preserve">Figure </w:t>
      </w:r>
      <w:r w:rsidR="007D5A6C">
        <w:rPr>
          <w:rFonts w:ascii="Calibri" w:hAnsi="Calibri" w:cs="Calibri"/>
          <w:color w:val="767171" w:themeColor="background2" w:themeShade="80"/>
          <w:sz w:val="22"/>
          <w:szCs w:val="22"/>
        </w:rPr>
        <w:t>8.</w:t>
      </w:r>
      <w:r w:rsidRPr="00D9152B">
        <w:rPr>
          <w:rFonts w:ascii="Calibri" w:hAnsi="Calibri" w:cs="Calibri"/>
          <w:color w:val="767171" w:themeColor="background2" w:themeShade="80"/>
          <w:sz w:val="22"/>
          <w:szCs w:val="22"/>
        </w:rPr>
        <w:t>6</w:t>
      </w:r>
      <w:r w:rsidR="007D3A7B" w:rsidRPr="00D9152B">
        <w:rPr>
          <w:rFonts w:ascii="Calibri" w:hAnsi="Calibri" w:cs="Calibri"/>
          <w:color w:val="767171" w:themeColor="background2" w:themeShade="80"/>
          <w:sz w:val="22"/>
          <w:szCs w:val="22"/>
        </w:rPr>
        <w:t xml:space="preserve">. An unknown Bank staff member expressed reservations about sustainability and PHC claims of the OCP, in its proposal to replicate CDTI through an </w:t>
      </w:r>
      <w:r w:rsidR="007D5A6C">
        <w:rPr>
          <w:rFonts w:ascii="Calibri" w:hAnsi="Calibri" w:cs="Calibri"/>
          <w:color w:val="767171" w:themeColor="background2" w:themeShade="80"/>
          <w:sz w:val="22"/>
          <w:szCs w:val="22"/>
        </w:rPr>
        <w:t>African Programme for Onchocerciasis Control</w:t>
      </w:r>
      <w:r w:rsidR="007D3A7B" w:rsidRPr="00D9152B">
        <w:rPr>
          <w:rFonts w:ascii="Calibri" w:hAnsi="Calibri" w:cs="Calibri"/>
          <w:color w:val="767171" w:themeColor="background2" w:themeShade="80"/>
          <w:sz w:val="22"/>
          <w:szCs w:val="22"/>
        </w:rPr>
        <w:t xml:space="preserve"> trust </w:t>
      </w:r>
      <w:r w:rsidR="007D3A7B" w:rsidRPr="00A8048A">
        <w:rPr>
          <w:rFonts w:ascii="Calibri" w:hAnsi="Calibri" w:cs="Calibri"/>
          <w:color w:val="767171" w:themeColor="background2" w:themeShade="80"/>
          <w:sz w:val="22"/>
          <w:szCs w:val="22"/>
        </w:rPr>
        <w:t>fund.</w:t>
      </w:r>
      <w:r w:rsidR="00A8048A" w:rsidRPr="00CF189D">
        <w:rPr>
          <w:rStyle w:val="FootnoteReference"/>
          <w:rFonts w:ascii="Calibri" w:hAnsi="Calibri" w:cs="Calibri"/>
          <w:color w:val="767171" w:themeColor="background2" w:themeShade="80"/>
        </w:rPr>
        <w:footnoteReference w:customMarkFollows="1" w:id="900"/>
        <w:t>120</w:t>
      </w:r>
    </w:p>
    <w:p w14:paraId="1A7DF939" w14:textId="3541AC53" w:rsidR="00AC7848" w:rsidRPr="00D9152B" w:rsidRDefault="00064190" w:rsidP="00A12E2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In particular, depictions of PHC success </w:t>
      </w:r>
      <w:r w:rsidR="00AC7848" w:rsidRPr="00D9152B">
        <w:rPr>
          <w:rFonts w:ascii="Calibri" w:hAnsi="Calibri" w:cs="Calibri"/>
          <w:sz w:val="22"/>
          <w:szCs w:val="22"/>
        </w:rPr>
        <w:t>glossed over a major roadblock that had challenged devolution operationalization since the 1970s</w:t>
      </w:r>
      <w:r w:rsidR="00C602DC" w:rsidRPr="00D9152B">
        <w:rPr>
          <w:rFonts w:ascii="Calibri" w:hAnsi="Calibri" w:cs="Calibri"/>
          <w:sz w:val="22"/>
          <w:szCs w:val="22"/>
        </w:rPr>
        <w:t>:</w:t>
      </w:r>
      <w:r w:rsidR="00AC7848" w:rsidRPr="00D9152B">
        <w:rPr>
          <w:rFonts w:ascii="Calibri" w:hAnsi="Calibri" w:cs="Calibri"/>
          <w:sz w:val="22"/>
          <w:szCs w:val="22"/>
        </w:rPr>
        <w:t xml:space="preserve"> devolution </w:t>
      </w:r>
      <w:r w:rsidR="00C602DC" w:rsidRPr="00D9152B">
        <w:rPr>
          <w:rFonts w:ascii="Calibri" w:hAnsi="Calibri" w:cs="Calibri"/>
          <w:sz w:val="22"/>
          <w:szCs w:val="22"/>
        </w:rPr>
        <w:t>required more than</w:t>
      </w:r>
      <w:r w:rsidR="00AC7848" w:rsidRPr="00D9152B">
        <w:rPr>
          <w:rFonts w:ascii="Calibri" w:hAnsi="Calibri" w:cs="Calibri"/>
          <w:sz w:val="22"/>
          <w:szCs w:val="22"/>
        </w:rPr>
        <w:t xml:space="preserve"> just training staff to work for national governments</w:t>
      </w:r>
      <w:r w:rsidR="00C602DC" w:rsidRPr="00D9152B">
        <w:rPr>
          <w:rFonts w:ascii="Calibri" w:hAnsi="Calibri" w:cs="Calibri"/>
          <w:sz w:val="22"/>
          <w:szCs w:val="22"/>
        </w:rPr>
        <w:t xml:space="preserve"> or as volunteer distributors</w:t>
      </w:r>
      <w:r w:rsidR="00AC7848" w:rsidRPr="00D9152B">
        <w:rPr>
          <w:rFonts w:ascii="Calibri" w:hAnsi="Calibri" w:cs="Calibri"/>
          <w:sz w:val="22"/>
          <w:szCs w:val="22"/>
        </w:rPr>
        <w:t xml:space="preserve">. </w:t>
      </w:r>
      <w:r w:rsidR="00C602DC" w:rsidRPr="00D9152B">
        <w:rPr>
          <w:rFonts w:ascii="Calibri" w:hAnsi="Calibri" w:cs="Calibri"/>
          <w:sz w:val="22"/>
          <w:szCs w:val="22"/>
        </w:rPr>
        <w:t>For instance, how</w:t>
      </w:r>
      <w:r w:rsidR="00AC7848" w:rsidRPr="00D9152B">
        <w:rPr>
          <w:rFonts w:ascii="Calibri" w:hAnsi="Calibri" w:cs="Calibri"/>
          <w:sz w:val="22"/>
          <w:szCs w:val="22"/>
        </w:rPr>
        <w:t xml:space="preserve"> would the salaries of trainees be covered, if they were eventually subsumed into a PHC system under adjustment? Because OCP staff salaries were typically higher than national salaries, would trainees be willing to put their s</w:t>
      </w:r>
      <w:r w:rsidR="00306196" w:rsidRPr="00D9152B">
        <w:rPr>
          <w:rFonts w:ascii="Calibri" w:hAnsi="Calibri" w:cs="Calibri"/>
          <w:sz w:val="22"/>
          <w:szCs w:val="22"/>
        </w:rPr>
        <w:t>k</w:t>
      </w:r>
      <w:r w:rsidR="00AC7848" w:rsidRPr="00D9152B">
        <w:rPr>
          <w:rFonts w:ascii="Calibri" w:hAnsi="Calibri" w:cs="Calibri"/>
          <w:sz w:val="22"/>
          <w:szCs w:val="22"/>
        </w:rPr>
        <w:t xml:space="preserve">ills to work in national positions over the long-term? </w:t>
      </w:r>
      <w:r w:rsidR="00C602DC" w:rsidRPr="00D9152B">
        <w:rPr>
          <w:rFonts w:ascii="Calibri" w:hAnsi="Calibri" w:cs="Calibri"/>
          <w:sz w:val="22"/>
          <w:szCs w:val="22"/>
        </w:rPr>
        <w:t xml:space="preserve">Would ivermectin community distributors really be able to ‘piggy-back’ other disease control activities, and was it ethical to ask them to invest more of their time in unpaid PHC-supporting activities? </w:t>
      </w:r>
      <w:r w:rsidR="00AC7848" w:rsidRPr="00D9152B">
        <w:rPr>
          <w:rFonts w:ascii="Calibri" w:hAnsi="Calibri" w:cs="Calibri"/>
          <w:sz w:val="22"/>
          <w:szCs w:val="22"/>
        </w:rPr>
        <w:t>As an interim measure</w:t>
      </w:r>
      <w:r w:rsidR="00C602DC" w:rsidRPr="00D9152B">
        <w:rPr>
          <w:rFonts w:ascii="Calibri" w:hAnsi="Calibri" w:cs="Calibri"/>
          <w:sz w:val="22"/>
          <w:szCs w:val="22"/>
        </w:rPr>
        <w:t xml:space="preserve"> to address these concerns</w:t>
      </w:r>
      <w:r w:rsidR="00AC7848" w:rsidRPr="00D9152B">
        <w:rPr>
          <w:rFonts w:ascii="Calibri" w:hAnsi="Calibri" w:cs="Calibri"/>
          <w:sz w:val="22"/>
          <w:szCs w:val="22"/>
        </w:rPr>
        <w:t xml:space="preserve">, the </w:t>
      </w:r>
      <w:r w:rsidR="00AC7848" w:rsidRPr="00D9152B">
        <w:rPr>
          <w:rFonts w:ascii="Calibri" w:hAnsi="Calibri" w:cs="Calibri"/>
          <w:sz w:val="22"/>
          <w:szCs w:val="22"/>
        </w:rPr>
        <w:lastRenderedPageBreak/>
        <w:t xml:space="preserve">OCP began negotiations with national governments to </w:t>
      </w:r>
      <w:r w:rsidR="007D5A6C">
        <w:rPr>
          <w:rFonts w:ascii="Calibri" w:hAnsi="Calibri" w:cs="Calibri"/>
          <w:sz w:val="22"/>
          <w:szCs w:val="22"/>
        </w:rPr>
        <w:t>convert</w:t>
      </w:r>
      <w:r w:rsidR="00AC7848" w:rsidRPr="00D9152B">
        <w:rPr>
          <w:rFonts w:ascii="Calibri" w:hAnsi="Calibri" w:cs="Calibri"/>
          <w:sz w:val="22"/>
          <w:szCs w:val="22"/>
        </w:rPr>
        <w:t xml:space="preserve"> some OCP staff to government employees, with the OCP continuing to cover their salaries. </w:t>
      </w:r>
      <w:r w:rsidRPr="00D9152B">
        <w:rPr>
          <w:rFonts w:ascii="Calibri" w:hAnsi="Calibri" w:cs="Calibri"/>
          <w:sz w:val="22"/>
          <w:szCs w:val="22"/>
        </w:rPr>
        <w:t>Yet</w:t>
      </w:r>
      <w:r w:rsidR="00AC7848" w:rsidRPr="00D9152B">
        <w:rPr>
          <w:rFonts w:ascii="Calibri" w:hAnsi="Calibri" w:cs="Calibri"/>
          <w:sz w:val="22"/>
          <w:szCs w:val="22"/>
        </w:rPr>
        <w:t>, this policy would not be sustainable in the long term, and was met with some frustration by staff whose salaries were reduced. A 1994 meeting on devolution concluded that</w:t>
      </w:r>
      <w:r w:rsidR="00C602DC" w:rsidRPr="00D9152B">
        <w:rPr>
          <w:rFonts w:ascii="Calibri" w:hAnsi="Calibri" w:cs="Calibri"/>
          <w:sz w:val="22"/>
          <w:szCs w:val="22"/>
        </w:rPr>
        <w:t xml:space="preserve"> continued donations would be required to keep devolution on task in terms of </w:t>
      </w:r>
      <w:r w:rsidR="00C602DC" w:rsidRPr="000E614B">
        <w:rPr>
          <w:rFonts w:ascii="Calibri" w:hAnsi="Calibri" w:cs="Calibri"/>
          <w:sz w:val="22"/>
          <w:szCs w:val="22"/>
        </w:rPr>
        <w:t>personnel.</w:t>
      </w:r>
      <w:r w:rsidR="000E614B" w:rsidRPr="00CF189D">
        <w:rPr>
          <w:rStyle w:val="FootnoteReference"/>
          <w:rFonts w:ascii="Calibri" w:hAnsi="Calibri" w:cs="Calibri"/>
        </w:rPr>
        <w:footnoteReference w:customMarkFollows="1" w:id="901"/>
        <w:t>121</w:t>
      </w:r>
    </w:p>
    <w:p w14:paraId="3E8A6A1A" w14:textId="76C19337" w:rsidR="009D11D4" w:rsidRPr="00D9152B" w:rsidRDefault="00AC7848" w:rsidP="00A12E2E">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ab/>
      </w:r>
      <w:r w:rsidR="009D11D4" w:rsidRPr="00D9152B">
        <w:rPr>
          <w:rFonts w:ascii="Calibri" w:hAnsi="Calibri" w:cs="Calibri"/>
          <w:sz w:val="22"/>
          <w:szCs w:val="22"/>
        </w:rPr>
        <w:t xml:space="preserve">The OCP decided to disengage with its active support of ivermectin distribution (leaving this to participating countries and NGOs, with OCP oversight) in </w:t>
      </w:r>
      <w:r w:rsidR="009D11D4" w:rsidRPr="000E614B">
        <w:rPr>
          <w:rFonts w:ascii="Calibri" w:hAnsi="Calibri" w:cs="Calibri"/>
          <w:sz w:val="22"/>
          <w:szCs w:val="22"/>
        </w:rPr>
        <w:t>1997.</w:t>
      </w:r>
      <w:r w:rsidR="000E614B" w:rsidRPr="00CF189D">
        <w:rPr>
          <w:rStyle w:val="FootnoteReference"/>
          <w:rFonts w:ascii="Calibri" w:hAnsi="Calibri" w:cs="Calibri"/>
        </w:rPr>
        <w:footnoteReference w:customMarkFollows="1" w:id="902"/>
        <w:t>122</w:t>
      </w:r>
      <w:r w:rsidR="009D11D4" w:rsidRPr="000E614B">
        <w:rPr>
          <w:rFonts w:ascii="Calibri" w:hAnsi="Calibri" w:cs="Calibri"/>
          <w:sz w:val="22"/>
          <w:szCs w:val="22"/>
        </w:rPr>
        <w:t xml:space="preserve"> By</w:t>
      </w:r>
      <w:r w:rsidR="009D11D4" w:rsidRPr="00D9152B">
        <w:rPr>
          <w:rFonts w:ascii="Calibri" w:hAnsi="Calibri" w:cs="Calibri"/>
          <w:sz w:val="22"/>
          <w:szCs w:val="22"/>
        </w:rPr>
        <w:t xml:space="preserve"> the close of the programme in 2002, over 1.56 million people in the programme area were receiving annual treatment, and NGOs were discussing how to use the CDTI volunteer network to deliver additional vertic</w:t>
      </w:r>
      <w:r w:rsidR="003F753F" w:rsidRPr="00D9152B">
        <w:rPr>
          <w:rFonts w:ascii="Calibri" w:hAnsi="Calibri" w:cs="Calibri"/>
          <w:sz w:val="22"/>
          <w:szCs w:val="22"/>
        </w:rPr>
        <w:t xml:space="preserve">al </w:t>
      </w:r>
      <w:r w:rsidR="003F753F" w:rsidRPr="000E614B">
        <w:rPr>
          <w:rFonts w:ascii="Calibri" w:hAnsi="Calibri" w:cs="Calibri"/>
          <w:sz w:val="22"/>
          <w:szCs w:val="22"/>
        </w:rPr>
        <w:t>interventions</w:t>
      </w:r>
      <w:r w:rsidR="009D11D4" w:rsidRPr="000E614B">
        <w:rPr>
          <w:rFonts w:ascii="Calibri" w:hAnsi="Calibri" w:cs="Calibri"/>
          <w:sz w:val="22"/>
          <w:szCs w:val="22"/>
        </w:rPr>
        <w:t>.</w:t>
      </w:r>
      <w:r w:rsidR="000E614B" w:rsidRPr="00CF189D">
        <w:rPr>
          <w:rStyle w:val="FootnoteReference"/>
          <w:rFonts w:ascii="Calibri" w:hAnsi="Calibri" w:cs="Calibri"/>
        </w:rPr>
        <w:footnoteReference w:customMarkFollows="1" w:id="903"/>
        <w:t>123</w:t>
      </w:r>
      <w:r w:rsidR="000B595A" w:rsidRPr="000E614B">
        <w:rPr>
          <w:rFonts w:ascii="Calibri" w:hAnsi="Calibri" w:cs="Calibri"/>
          <w:sz w:val="22"/>
          <w:szCs w:val="22"/>
        </w:rPr>
        <w:t xml:space="preserve"> </w:t>
      </w:r>
      <w:r w:rsidR="009D11D4" w:rsidRPr="000E614B">
        <w:rPr>
          <w:rFonts w:ascii="Calibri" w:hAnsi="Calibri" w:cs="Calibri"/>
          <w:sz w:val="22"/>
          <w:szCs w:val="22"/>
        </w:rPr>
        <w:t>As</w:t>
      </w:r>
      <w:r w:rsidR="009D11D4" w:rsidRPr="00D9152B">
        <w:rPr>
          <w:rFonts w:ascii="Calibri" w:hAnsi="Calibri" w:cs="Calibri"/>
          <w:sz w:val="22"/>
          <w:szCs w:val="22"/>
        </w:rPr>
        <w:t xml:space="preserve"> Benton has reflected, the </w:t>
      </w:r>
      <w:r w:rsidR="001820A5" w:rsidRPr="00D9152B">
        <w:rPr>
          <w:rFonts w:ascii="Calibri" w:hAnsi="Calibri" w:cs="Calibri"/>
          <w:sz w:val="22"/>
          <w:szCs w:val="22"/>
        </w:rPr>
        <w:t>neglected tropical disease</w:t>
      </w:r>
      <w:r w:rsidR="009D11D4" w:rsidRPr="00D9152B">
        <w:rPr>
          <w:rFonts w:ascii="Calibri" w:hAnsi="Calibri" w:cs="Calibri"/>
          <w:sz w:val="22"/>
          <w:szCs w:val="22"/>
        </w:rPr>
        <w:t xml:space="preserve"> control community reached a widespread consensus that ‘they’re filling a manpower gap that wouldn’t be filled if it depended upon trained people in their field…by handing over the responsibility to the communities themselves, you are, in effect…empowering the communities, because you’re giving them a resource, and the resource is the drug plus training, </w:t>
      </w:r>
      <w:r w:rsidR="009D11D4" w:rsidRPr="000E614B">
        <w:rPr>
          <w:rFonts w:ascii="Calibri" w:hAnsi="Calibri" w:cs="Calibri"/>
          <w:sz w:val="22"/>
          <w:szCs w:val="22"/>
        </w:rPr>
        <w:t>knowledge…’</w:t>
      </w:r>
      <w:r w:rsidR="000E614B" w:rsidRPr="00CF189D">
        <w:rPr>
          <w:rStyle w:val="FootnoteReference"/>
          <w:rFonts w:ascii="Calibri" w:hAnsi="Calibri" w:cs="Calibri"/>
        </w:rPr>
        <w:footnoteReference w:customMarkFollows="1" w:id="904"/>
        <w:t>124</w:t>
      </w:r>
      <w:r w:rsidR="009D11D4" w:rsidRPr="00D9152B">
        <w:rPr>
          <w:rFonts w:ascii="Calibri" w:hAnsi="Calibri" w:cs="Calibri"/>
          <w:sz w:val="22"/>
          <w:szCs w:val="22"/>
        </w:rPr>
        <w:t xml:space="preserve"> </w:t>
      </w:r>
    </w:p>
    <w:p w14:paraId="4879F282" w14:textId="6EDBBE4D" w:rsidR="00433981" w:rsidRPr="00D9152B" w:rsidRDefault="009D11D4" w:rsidP="00A12E2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Yet, most of the questions about sustainability remained unsolved.</w:t>
      </w:r>
      <w:r w:rsidR="00AC7848" w:rsidRPr="00D9152B">
        <w:rPr>
          <w:rFonts w:ascii="Calibri" w:hAnsi="Calibri" w:cs="Calibri"/>
          <w:sz w:val="22"/>
          <w:szCs w:val="22"/>
        </w:rPr>
        <w:t xml:space="preserve"> Devolution plans remained largely unfunded</w:t>
      </w:r>
      <w:r w:rsidR="00803E91" w:rsidRPr="00D9152B">
        <w:rPr>
          <w:rFonts w:ascii="Calibri" w:hAnsi="Calibri" w:cs="Calibri"/>
          <w:sz w:val="22"/>
          <w:szCs w:val="22"/>
        </w:rPr>
        <w:t xml:space="preserve"> and t</w:t>
      </w:r>
      <w:r w:rsidR="00AC7848" w:rsidRPr="00D9152B">
        <w:rPr>
          <w:rFonts w:ascii="Calibri" w:hAnsi="Calibri" w:cs="Calibri"/>
          <w:sz w:val="22"/>
          <w:szCs w:val="22"/>
        </w:rPr>
        <w:t xml:space="preserve">he second of the divided devolution goals – the multi-disease surveillance facility proposed in the early 1980s – was not put in place </w:t>
      </w:r>
      <w:r w:rsidR="003A2354">
        <w:rPr>
          <w:rFonts w:ascii="Calibri" w:hAnsi="Calibri" w:cs="Calibri"/>
          <w:sz w:val="22"/>
          <w:szCs w:val="22"/>
        </w:rPr>
        <w:t xml:space="preserve">at a significant scale </w:t>
      </w:r>
      <w:r w:rsidR="00AC7848" w:rsidRPr="00D9152B">
        <w:rPr>
          <w:rFonts w:ascii="Calibri" w:hAnsi="Calibri" w:cs="Calibri"/>
          <w:sz w:val="22"/>
          <w:szCs w:val="22"/>
        </w:rPr>
        <w:t>during or immediately after</w:t>
      </w:r>
      <w:r w:rsidR="003F753F" w:rsidRPr="00D9152B">
        <w:rPr>
          <w:rFonts w:ascii="Calibri" w:hAnsi="Calibri" w:cs="Calibri"/>
          <w:sz w:val="22"/>
          <w:szCs w:val="22"/>
        </w:rPr>
        <w:t xml:space="preserve"> the OCP. This reflected a continued</w:t>
      </w:r>
      <w:r w:rsidR="00AC7848" w:rsidRPr="00D9152B">
        <w:rPr>
          <w:rFonts w:ascii="Calibri" w:hAnsi="Calibri" w:cs="Calibri"/>
          <w:sz w:val="22"/>
          <w:szCs w:val="22"/>
        </w:rPr>
        <w:t xml:space="preserve"> donor disinterest in financing extra-OCP health PHC activities.</w:t>
      </w:r>
      <w:r w:rsidRPr="00D9152B">
        <w:rPr>
          <w:rFonts w:ascii="Calibri" w:hAnsi="Calibri" w:cs="Calibri"/>
          <w:sz w:val="22"/>
          <w:szCs w:val="22"/>
        </w:rPr>
        <w:t xml:space="preserve"> </w:t>
      </w:r>
      <w:r w:rsidR="00A43887" w:rsidRPr="00D9152B">
        <w:rPr>
          <w:rFonts w:ascii="Calibri" w:hAnsi="Calibri" w:cs="Calibri"/>
          <w:sz w:val="22"/>
          <w:szCs w:val="22"/>
        </w:rPr>
        <w:t>By 2006, four years after the OCP ended, a Multi</w:t>
      </w:r>
      <w:r w:rsidR="007F0337" w:rsidRPr="00D9152B">
        <w:rPr>
          <w:rFonts w:ascii="Calibri" w:hAnsi="Calibri" w:cs="Calibri"/>
          <w:sz w:val="22"/>
          <w:szCs w:val="22"/>
        </w:rPr>
        <w:t>-</w:t>
      </w:r>
      <w:r w:rsidR="00A43887" w:rsidRPr="00D9152B">
        <w:rPr>
          <w:rFonts w:ascii="Calibri" w:hAnsi="Calibri" w:cs="Calibri"/>
          <w:sz w:val="22"/>
          <w:szCs w:val="22"/>
        </w:rPr>
        <w:t>disease Surveillance Cent</w:t>
      </w:r>
      <w:r w:rsidR="007F0337" w:rsidRPr="00D9152B">
        <w:rPr>
          <w:rFonts w:ascii="Calibri" w:hAnsi="Calibri" w:cs="Calibri"/>
          <w:sz w:val="22"/>
          <w:szCs w:val="22"/>
        </w:rPr>
        <w:t>re</w:t>
      </w:r>
      <w:r w:rsidR="00A43887" w:rsidRPr="00D9152B">
        <w:rPr>
          <w:rFonts w:ascii="Calibri" w:hAnsi="Calibri" w:cs="Calibri"/>
          <w:sz w:val="22"/>
          <w:szCs w:val="22"/>
        </w:rPr>
        <w:t>, was ‘crimping along’. It was designed to apply OCP facilities and trained staff to the regional control of onchocerciasis, cerebral meningitis, malaria, and HIV/AIDS</w:t>
      </w:r>
      <w:r w:rsidR="007F0337" w:rsidRPr="00D9152B">
        <w:rPr>
          <w:rFonts w:ascii="Calibri" w:hAnsi="Calibri" w:cs="Calibri"/>
          <w:sz w:val="22"/>
          <w:szCs w:val="22"/>
        </w:rPr>
        <w:t xml:space="preserve">. This Centre </w:t>
      </w:r>
      <w:r w:rsidR="00A43887" w:rsidRPr="00D9152B">
        <w:rPr>
          <w:rFonts w:ascii="Calibri" w:hAnsi="Calibri" w:cs="Calibri"/>
          <w:sz w:val="22"/>
          <w:szCs w:val="22"/>
        </w:rPr>
        <w:t xml:space="preserve">was underfunded (with a one-year </w:t>
      </w:r>
      <w:r w:rsidR="007F0337" w:rsidRPr="00D9152B">
        <w:rPr>
          <w:rFonts w:ascii="Calibri" w:hAnsi="Calibri" w:cs="Calibri"/>
          <w:sz w:val="22"/>
          <w:szCs w:val="22"/>
        </w:rPr>
        <w:t xml:space="preserve">Bank grant of 400,000), and paying salaries was an </w:t>
      </w:r>
      <w:r w:rsidR="007F0337" w:rsidRPr="000E614B">
        <w:rPr>
          <w:rFonts w:ascii="Calibri" w:hAnsi="Calibri" w:cs="Calibri"/>
          <w:sz w:val="22"/>
          <w:szCs w:val="22"/>
        </w:rPr>
        <w:t>issue.</w:t>
      </w:r>
      <w:r w:rsidR="000E614B" w:rsidRPr="00CF189D">
        <w:rPr>
          <w:rStyle w:val="FootnoteReference"/>
          <w:rFonts w:ascii="Calibri" w:hAnsi="Calibri" w:cs="Calibri"/>
        </w:rPr>
        <w:footnoteReference w:customMarkFollows="1" w:id="905"/>
        <w:t>125</w:t>
      </w:r>
      <w:r w:rsidR="007F0337" w:rsidRPr="000E614B">
        <w:rPr>
          <w:rFonts w:ascii="Calibri" w:hAnsi="Calibri" w:cs="Calibri"/>
          <w:sz w:val="22"/>
          <w:szCs w:val="22"/>
        </w:rPr>
        <w:t xml:space="preserve"> In</w:t>
      </w:r>
      <w:r w:rsidR="007F0337" w:rsidRPr="00D9152B">
        <w:rPr>
          <w:rFonts w:ascii="Calibri" w:hAnsi="Calibri" w:cs="Calibri"/>
          <w:sz w:val="22"/>
          <w:szCs w:val="22"/>
        </w:rPr>
        <w:t xml:space="preserve"> 2015, the onchocerciasis secretariat’s facilities were closed, and there is not currently an operational surveillance centre.</w:t>
      </w:r>
    </w:p>
    <w:p w14:paraId="6020BDB9" w14:textId="515ED071" w:rsidR="005D35AC" w:rsidRPr="00D9152B" w:rsidRDefault="00076FC2" w:rsidP="00656BE2">
      <w:pPr>
        <w:pStyle w:val="Heading2"/>
        <w:rPr>
          <w:rFonts w:ascii="Calibri" w:hAnsi="Calibri" w:cs="Calibri"/>
          <w:b/>
          <w:sz w:val="26"/>
          <w:szCs w:val="26"/>
        </w:rPr>
      </w:pPr>
      <w:bookmarkStart w:id="152" w:name="_Toc41505706"/>
      <w:r w:rsidRPr="00D9152B">
        <w:rPr>
          <w:rFonts w:ascii="Calibri" w:hAnsi="Calibri" w:cs="Calibri"/>
          <w:b/>
          <w:sz w:val="26"/>
          <w:szCs w:val="26"/>
        </w:rPr>
        <w:lastRenderedPageBreak/>
        <w:t>8.</w:t>
      </w:r>
      <w:r w:rsidR="00677774" w:rsidRPr="00D9152B">
        <w:rPr>
          <w:rFonts w:ascii="Calibri" w:hAnsi="Calibri" w:cs="Calibri"/>
          <w:b/>
          <w:sz w:val="26"/>
          <w:szCs w:val="26"/>
        </w:rPr>
        <w:t>8</w:t>
      </w:r>
      <w:r w:rsidR="00DE245C" w:rsidRPr="00D9152B">
        <w:rPr>
          <w:rFonts w:ascii="Calibri" w:hAnsi="Calibri" w:cs="Calibri"/>
          <w:b/>
          <w:sz w:val="26"/>
          <w:szCs w:val="26"/>
        </w:rPr>
        <w:t>. Conclusion</w:t>
      </w:r>
      <w:bookmarkEnd w:id="152"/>
    </w:p>
    <w:p w14:paraId="03F854C0" w14:textId="77777777" w:rsidR="002757F7" w:rsidRPr="00D9152B" w:rsidRDefault="00550745" w:rsidP="00A12E2E">
      <w:pPr>
        <w:spacing w:before="100" w:beforeAutospacing="1" w:after="100" w:afterAutospacing="1" w:line="360" w:lineRule="auto"/>
        <w:rPr>
          <w:rFonts w:ascii="Calibri" w:hAnsi="Calibri" w:cs="Calibri"/>
          <w:sz w:val="22"/>
          <w:szCs w:val="22"/>
        </w:rPr>
      </w:pPr>
      <w:r w:rsidRPr="00D9152B">
        <w:rPr>
          <w:rFonts w:ascii="Calibri" w:hAnsi="Calibri" w:cs="Calibri"/>
        </w:rPr>
        <w:tab/>
      </w:r>
      <w:r w:rsidR="00D50C1C" w:rsidRPr="00D9152B">
        <w:rPr>
          <w:rFonts w:ascii="Calibri" w:hAnsi="Calibri" w:cs="Calibri"/>
          <w:sz w:val="22"/>
          <w:szCs w:val="22"/>
        </w:rPr>
        <w:t>This devolution narrative underscores how discussi</w:t>
      </w:r>
      <w:r w:rsidR="005D35AC" w:rsidRPr="00D9152B">
        <w:rPr>
          <w:rFonts w:ascii="Calibri" w:hAnsi="Calibri" w:cs="Calibri"/>
          <w:sz w:val="22"/>
          <w:szCs w:val="22"/>
        </w:rPr>
        <w:t xml:space="preserve">ons of the success of </w:t>
      </w:r>
      <w:r w:rsidR="00D50C1C" w:rsidRPr="00D9152B">
        <w:rPr>
          <w:rFonts w:ascii="Calibri" w:hAnsi="Calibri" w:cs="Calibri"/>
          <w:sz w:val="22"/>
          <w:szCs w:val="22"/>
        </w:rPr>
        <w:t xml:space="preserve">‘vertical’ to ‘horizontal’ transitions depend entirely on how these terms are defined. Ivermectin’s donation in the late 1980s dramatically changed the OCP devolution strategy, which </w:t>
      </w:r>
      <w:r w:rsidR="00D36BBA" w:rsidRPr="00D9152B">
        <w:rPr>
          <w:rFonts w:ascii="Calibri" w:hAnsi="Calibri" w:cs="Calibri"/>
          <w:sz w:val="22"/>
          <w:szCs w:val="22"/>
        </w:rPr>
        <w:t>most</w:t>
      </w:r>
      <w:r w:rsidR="00D50C1C" w:rsidRPr="00D9152B">
        <w:rPr>
          <w:rFonts w:ascii="Calibri" w:hAnsi="Calibri" w:cs="Calibri"/>
          <w:sz w:val="22"/>
          <w:szCs w:val="22"/>
        </w:rPr>
        <w:t xml:space="preserve"> stakeholders would have described as unsuccessful</w:t>
      </w:r>
      <w:r w:rsidR="00D36BBA" w:rsidRPr="00D9152B">
        <w:rPr>
          <w:rFonts w:ascii="Calibri" w:hAnsi="Calibri" w:cs="Calibri"/>
          <w:sz w:val="22"/>
          <w:szCs w:val="22"/>
        </w:rPr>
        <w:t xml:space="preserve"> at the time</w:t>
      </w:r>
      <w:r w:rsidR="00D50C1C" w:rsidRPr="00D9152B">
        <w:rPr>
          <w:rFonts w:ascii="Calibri" w:hAnsi="Calibri" w:cs="Calibri"/>
          <w:sz w:val="22"/>
          <w:szCs w:val="22"/>
        </w:rPr>
        <w:t xml:space="preserve">. </w:t>
      </w:r>
      <w:r w:rsidR="005D35AC" w:rsidRPr="00D9152B">
        <w:rPr>
          <w:rFonts w:ascii="Calibri" w:hAnsi="Calibri" w:cs="Calibri"/>
          <w:sz w:val="22"/>
          <w:szCs w:val="22"/>
        </w:rPr>
        <w:t>Yet, the drug’s availability</w:t>
      </w:r>
      <w:r w:rsidR="007B2085" w:rsidRPr="00D9152B">
        <w:rPr>
          <w:rFonts w:ascii="Calibri" w:hAnsi="Calibri" w:cs="Calibri"/>
          <w:sz w:val="22"/>
          <w:szCs w:val="22"/>
        </w:rPr>
        <w:t xml:space="preserve"> did not solve the issue</w:t>
      </w:r>
      <w:r w:rsidR="00D50C1C" w:rsidRPr="00D9152B">
        <w:rPr>
          <w:rFonts w:ascii="Calibri" w:hAnsi="Calibri" w:cs="Calibri"/>
          <w:sz w:val="22"/>
          <w:szCs w:val="22"/>
        </w:rPr>
        <w:t xml:space="preserve"> of </w:t>
      </w:r>
      <w:r w:rsidR="001820A5" w:rsidRPr="00D9152B">
        <w:rPr>
          <w:rFonts w:ascii="Calibri" w:hAnsi="Calibri" w:cs="Calibri"/>
          <w:sz w:val="22"/>
          <w:szCs w:val="22"/>
        </w:rPr>
        <w:t>slim</w:t>
      </w:r>
      <w:r w:rsidR="00D50C1C" w:rsidRPr="00D9152B">
        <w:rPr>
          <w:rFonts w:ascii="Calibri" w:hAnsi="Calibri" w:cs="Calibri"/>
          <w:sz w:val="22"/>
          <w:szCs w:val="22"/>
        </w:rPr>
        <w:t xml:space="preserve"> donor interest in financing devolution plans, </w:t>
      </w:r>
      <w:r w:rsidR="007B2085" w:rsidRPr="00D9152B">
        <w:rPr>
          <w:rFonts w:ascii="Calibri" w:hAnsi="Calibri" w:cs="Calibri"/>
          <w:sz w:val="22"/>
          <w:szCs w:val="22"/>
        </w:rPr>
        <w:t>if they</w:t>
      </w:r>
      <w:r w:rsidR="00D50C1C" w:rsidRPr="00D9152B">
        <w:rPr>
          <w:rFonts w:ascii="Calibri" w:hAnsi="Calibri" w:cs="Calibri"/>
          <w:sz w:val="22"/>
          <w:szCs w:val="22"/>
        </w:rPr>
        <w:t xml:space="preserve"> were linked directly with formal country health system strengthening (i.e. would require systematic training in surveillance for multiple endemic diseases). Instead, the CDTI framework allowed the Bank to declare success through a ‘Trojan Horse’ mechanism. </w:t>
      </w:r>
    </w:p>
    <w:p w14:paraId="339F1ED5" w14:textId="48E80B29" w:rsidR="007B2085" w:rsidRPr="00D9152B" w:rsidRDefault="003B1BD2" w:rsidP="002757F7">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Such an</w:t>
      </w:r>
      <w:r w:rsidR="00D36BBA" w:rsidRPr="00D9152B">
        <w:rPr>
          <w:rFonts w:ascii="Calibri" w:hAnsi="Calibri" w:cs="Calibri"/>
          <w:sz w:val="22"/>
          <w:szCs w:val="22"/>
        </w:rPr>
        <w:t xml:space="preserve"> argument required</w:t>
      </w:r>
      <w:r w:rsidR="005D35AC" w:rsidRPr="00D9152B">
        <w:rPr>
          <w:rFonts w:ascii="Calibri" w:hAnsi="Calibri" w:cs="Calibri"/>
          <w:sz w:val="22"/>
          <w:szCs w:val="22"/>
        </w:rPr>
        <w:t xml:space="preserve"> shifting the definition of </w:t>
      </w:r>
      <w:r w:rsidR="00D36BBA" w:rsidRPr="00D9152B">
        <w:rPr>
          <w:rFonts w:ascii="Calibri" w:hAnsi="Calibri" w:cs="Calibri"/>
          <w:sz w:val="22"/>
          <w:szCs w:val="22"/>
        </w:rPr>
        <w:t xml:space="preserve">health system strengthening toward a narrow definition more in line with the SPHC movement than the justice and health worker-centred ‘Health for All’ movement. </w:t>
      </w:r>
      <w:r w:rsidR="00D50C1C" w:rsidRPr="00D9152B">
        <w:rPr>
          <w:rFonts w:ascii="Calibri" w:hAnsi="Calibri" w:cs="Calibri"/>
          <w:sz w:val="22"/>
          <w:szCs w:val="22"/>
        </w:rPr>
        <w:t xml:space="preserve">By training a system of community volunteers, rather than community health workers (as anticipated at Alma-Ata), donors could avoid interacting directly with poor primary health care networks in decentralized, rural areas. </w:t>
      </w:r>
      <w:r w:rsidR="00306A13" w:rsidRPr="00D9152B">
        <w:rPr>
          <w:rFonts w:ascii="Calibri" w:hAnsi="Calibri" w:cs="Calibri"/>
          <w:sz w:val="22"/>
          <w:szCs w:val="22"/>
        </w:rPr>
        <w:t xml:space="preserve">At the same time, through this parallel system, donors could continue receive the tight metrics (like number of </w:t>
      </w:r>
      <w:r w:rsidR="00E2492F" w:rsidRPr="00D9152B">
        <w:rPr>
          <w:rFonts w:ascii="Calibri" w:hAnsi="Calibri" w:cs="Calibri"/>
          <w:sz w:val="22"/>
          <w:szCs w:val="22"/>
        </w:rPr>
        <w:t>community-directed distributers</w:t>
      </w:r>
      <w:r w:rsidR="00306A13" w:rsidRPr="00D9152B">
        <w:rPr>
          <w:rFonts w:ascii="Calibri" w:hAnsi="Calibri" w:cs="Calibri"/>
          <w:sz w:val="22"/>
          <w:szCs w:val="22"/>
        </w:rPr>
        <w:t xml:space="preserve"> trained and cost-efficiency of drug treatments) which were so attractive for defending their investments. </w:t>
      </w:r>
      <w:r w:rsidR="00A82CF4" w:rsidRPr="00D9152B">
        <w:rPr>
          <w:rFonts w:ascii="Calibri" w:hAnsi="Calibri" w:cs="Calibri"/>
          <w:sz w:val="22"/>
          <w:szCs w:val="22"/>
        </w:rPr>
        <w:t>These metrics were particularly useful in the Bank’s structural adjustment era, as the Bank’s own structural adjustment policies imposed constrictions on West African governments’ health workforce size and payrolls in the late 1980s and early 1990s.</w:t>
      </w:r>
      <w:r w:rsidR="000E614B" w:rsidRPr="00CF189D">
        <w:rPr>
          <w:rStyle w:val="FootnoteReference"/>
          <w:rFonts w:ascii="Calibri" w:hAnsi="Calibri" w:cs="Calibri"/>
        </w:rPr>
        <w:footnoteReference w:customMarkFollows="1" w:id="906"/>
        <w:t>126</w:t>
      </w:r>
    </w:p>
    <w:p w14:paraId="11518BFF" w14:textId="7F207499" w:rsidR="00BB69BE" w:rsidRPr="004A437E" w:rsidRDefault="003B1BD2" w:rsidP="00BB69B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However, </w:t>
      </w:r>
      <w:r w:rsidR="006A0A07" w:rsidRPr="00D9152B">
        <w:rPr>
          <w:rFonts w:ascii="Calibri" w:hAnsi="Calibri" w:cs="Calibri"/>
          <w:sz w:val="22"/>
          <w:szCs w:val="22"/>
        </w:rPr>
        <w:t>do these metrics really measure capacity building within a health system?  They do not address how many of the epidemiologists and health workers trained by the OCP were ultimately retained in their countries, and whether they were paid an adequate living wage. They</w:t>
      </w:r>
      <w:r w:rsidR="009A779E" w:rsidRPr="00D9152B">
        <w:rPr>
          <w:rFonts w:ascii="Calibri" w:hAnsi="Calibri" w:cs="Calibri"/>
          <w:sz w:val="22"/>
          <w:szCs w:val="22"/>
        </w:rPr>
        <w:t xml:space="preserve"> also </w:t>
      </w:r>
      <w:r w:rsidR="006A0A07" w:rsidRPr="00D9152B">
        <w:rPr>
          <w:rFonts w:ascii="Calibri" w:hAnsi="Calibri" w:cs="Calibri"/>
          <w:sz w:val="22"/>
          <w:szCs w:val="22"/>
        </w:rPr>
        <w:t xml:space="preserve">do not relate to downstream outcome measures required to maintain OCP gains (like the number of districts in which endemic disease surveillance is performed). </w:t>
      </w:r>
      <w:r w:rsidR="00BB69BE" w:rsidRPr="00D9152B">
        <w:rPr>
          <w:rFonts w:ascii="Calibri" w:hAnsi="Calibri" w:cs="Calibri"/>
          <w:sz w:val="22"/>
          <w:szCs w:val="22"/>
        </w:rPr>
        <w:t xml:space="preserve">Yet, the Bank has argued that neglected tropical diseases are so closely linked </w:t>
      </w:r>
      <w:r w:rsidR="00BB69BE" w:rsidRPr="00D9152B">
        <w:rPr>
          <w:rFonts w:ascii="Calibri" w:hAnsi="Calibri" w:cs="Calibri"/>
          <w:sz w:val="22"/>
          <w:szCs w:val="22"/>
        </w:rPr>
        <w:lastRenderedPageBreak/>
        <w:t xml:space="preserve">with poverty that </w:t>
      </w:r>
      <w:r w:rsidR="00F01897" w:rsidRPr="00D9152B">
        <w:rPr>
          <w:rFonts w:ascii="Calibri" w:hAnsi="Calibri" w:cs="Calibri"/>
          <w:sz w:val="22"/>
          <w:szCs w:val="22"/>
        </w:rPr>
        <w:t>such disease</w:t>
      </w:r>
      <w:r w:rsidR="00BB69BE" w:rsidRPr="00D9152B">
        <w:rPr>
          <w:rFonts w:ascii="Calibri" w:hAnsi="Calibri" w:cs="Calibri"/>
          <w:sz w:val="22"/>
          <w:szCs w:val="22"/>
        </w:rPr>
        <w:t xml:space="preserve"> programmes</w:t>
      </w:r>
      <w:r w:rsidR="00BB69BE" w:rsidRPr="004A437E">
        <w:rPr>
          <w:rFonts w:ascii="Calibri" w:hAnsi="Calibri" w:cs="Calibri"/>
          <w:sz w:val="22"/>
          <w:szCs w:val="22"/>
        </w:rPr>
        <w:t xml:space="preserve"> can be used as ‘effective indicators to gauge the success of health systems in terms of equity’.</w:t>
      </w:r>
      <w:r w:rsidR="000E614B" w:rsidRPr="00CF189D">
        <w:rPr>
          <w:rStyle w:val="FootnoteReference"/>
          <w:rFonts w:ascii="Calibri" w:hAnsi="Calibri" w:cs="Calibri"/>
        </w:rPr>
        <w:footnoteReference w:customMarkFollows="1" w:id="907"/>
        <w:t>127</w:t>
      </w:r>
      <w:r w:rsidR="00BB69BE" w:rsidRPr="004A437E">
        <w:rPr>
          <w:rFonts w:ascii="Calibri" w:hAnsi="Calibri" w:cs="Calibri"/>
          <w:sz w:val="22"/>
          <w:szCs w:val="22"/>
        </w:rPr>
        <w:t xml:space="preserve"> </w:t>
      </w:r>
    </w:p>
    <w:p w14:paraId="3FB00FC8" w14:textId="1E34A164" w:rsidR="0068626F" w:rsidRPr="004A437E" w:rsidRDefault="00BB69BE" w:rsidP="00BB69BE">
      <w:pPr>
        <w:spacing w:before="100" w:beforeAutospacing="1" w:after="100" w:afterAutospacing="1" w:line="360" w:lineRule="auto"/>
        <w:ind w:firstLine="720"/>
        <w:rPr>
          <w:rFonts w:ascii="Calibri" w:hAnsi="Calibri" w:cs="Calibri"/>
          <w:sz w:val="22"/>
          <w:szCs w:val="22"/>
        </w:rPr>
      </w:pPr>
      <w:r w:rsidRPr="004A437E">
        <w:rPr>
          <w:rFonts w:ascii="Calibri" w:hAnsi="Calibri" w:cs="Calibri"/>
          <w:sz w:val="22"/>
          <w:szCs w:val="22"/>
        </w:rPr>
        <w:t xml:space="preserve">Studies on the impact of community-based distribution on health systems reveal </w:t>
      </w:r>
      <w:r w:rsidR="003A2354" w:rsidRPr="004A437E">
        <w:rPr>
          <w:rFonts w:ascii="Calibri" w:hAnsi="Calibri" w:cs="Calibri"/>
          <w:sz w:val="22"/>
          <w:szCs w:val="22"/>
        </w:rPr>
        <w:t xml:space="preserve">some </w:t>
      </w:r>
      <w:r w:rsidR="00F01897" w:rsidRPr="004A437E">
        <w:rPr>
          <w:rFonts w:ascii="Calibri" w:hAnsi="Calibri" w:cs="Calibri"/>
          <w:sz w:val="22"/>
          <w:szCs w:val="22"/>
        </w:rPr>
        <w:t>complications in viewing CDTI (as piloted by the OCP and later African Programme for Onchocerciasis Control) as a ‘T</w:t>
      </w:r>
      <w:r w:rsidR="00F01897" w:rsidRPr="000552DB">
        <w:rPr>
          <w:rFonts w:ascii="Calibri" w:hAnsi="Calibri" w:cs="Calibri"/>
          <w:sz w:val="22"/>
          <w:szCs w:val="22"/>
        </w:rPr>
        <w:t>rojan Horse’ for strengthening primary health care network.</w:t>
      </w:r>
      <w:r w:rsidRPr="000552DB">
        <w:rPr>
          <w:rFonts w:ascii="Calibri" w:hAnsi="Calibri" w:cs="Calibri"/>
          <w:sz w:val="22"/>
          <w:szCs w:val="22"/>
        </w:rPr>
        <w:t xml:space="preserve"> </w:t>
      </w:r>
      <w:r w:rsidR="005F388F" w:rsidRPr="000552DB">
        <w:rPr>
          <w:rFonts w:ascii="Calibri" w:hAnsi="Calibri" w:cs="Calibri"/>
          <w:sz w:val="22"/>
          <w:szCs w:val="22"/>
        </w:rPr>
        <w:t>For instance, r</w:t>
      </w:r>
      <w:r w:rsidRPr="000552DB">
        <w:rPr>
          <w:rFonts w:ascii="Calibri" w:hAnsi="Calibri" w:cs="Calibri"/>
          <w:sz w:val="22"/>
          <w:szCs w:val="22"/>
        </w:rPr>
        <w:t xml:space="preserve">esearch has shown that </w:t>
      </w:r>
      <w:r w:rsidRPr="000552DB">
        <w:rPr>
          <w:rFonts w:ascii="Calibri" w:hAnsi="Calibri" w:cs="Calibri"/>
          <w:i/>
          <w:sz w:val="22"/>
          <w:szCs w:val="22"/>
        </w:rPr>
        <w:t>volunteer</w:t>
      </w:r>
      <w:r w:rsidRPr="000552DB">
        <w:rPr>
          <w:rFonts w:ascii="Calibri" w:hAnsi="Calibri" w:cs="Calibri"/>
          <w:sz w:val="22"/>
          <w:szCs w:val="22"/>
        </w:rPr>
        <w:t xml:space="preserve"> community drug distributors can have both positive and negative implications on local empowerment and sustainability. </w:t>
      </w:r>
      <w:r w:rsidR="005F388F" w:rsidRPr="000552DB">
        <w:rPr>
          <w:rFonts w:ascii="Calibri" w:hAnsi="Calibri" w:cs="Calibri"/>
          <w:sz w:val="22"/>
          <w:szCs w:val="22"/>
        </w:rPr>
        <w:t>There</w:t>
      </w:r>
      <w:r w:rsidRPr="000552DB">
        <w:rPr>
          <w:rFonts w:ascii="Calibri" w:hAnsi="Calibri" w:cs="Calibri"/>
          <w:sz w:val="22"/>
          <w:szCs w:val="22"/>
        </w:rPr>
        <w:t xml:space="preserve"> may be ethical implications fo</w:t>
      </w:r>
      <w:r w:rsidRPr="00970E06">
        <w:rPr>
          <w:rFonts w:ascii="Calibri" w:hAnsi="Calibri" w:cs="Calibri"/>
          <w:sz w:val="22"/>
          <w:szCs w:val="22"/>
        </w:rPr>
        <w:t xml:space="preserve">r asking community volunteers, who may be underemployed, to deliver multiple drugs </w:t>
      </w:r>
      <w:r w:rsidRPr="004A437E">
        <w:rPr>
          <w:rFonts w:ascii="Calibri" w:hAnsi="Calibri" w:cs="Calibri"/>
          <w:sz w:val="22"/>
          <w:szCs w:val="22"/>
        </w:rPr>
        <w:t xml:space="preserve">or interventions (for integrated control of </w:t>
      </w:r>
      <w:r w:rsidR="00F01897" w:rsidRPr="004A437E">
        <w:rPr>
          <w:rFonts w:ascii="Calibri" w:hAnsi="Calibri" w:cs="Calibri"/>
          <w:sz w:val="22"/>
          <w:szCs w:val="22"/>
        </w:rPr>
        <w:t>neglected tropical diseases</w:t>
      </w:r>
      <w:r w:rsidRPr="004A437E">
        <w:rPr>
          <w:rFonts w:ascii="Calibri" w:hAnsi="Calibri" w:cs="Calibri"/>
          <w:sz w:val="22"/>
          <w:szCs w:val="22"/>
        </w:rPr>
        <w:t>) without pay.</w:t>
      </w:r>
      <w:r w:rsidR="000E614B" w:rsidRPr="00CF189D">
        <w:rPr>
          <w:rStyle w:val="FootnoteReference"/>
          <w:rFonts w:ascii="Calibri" w:hAnsi="Calibri" w:cs="Calibri"/>
        </w:rPr>
        <w:footnoteReference w:customMarkFollows="1" w:id="908"/>
        <w:t>128</w:t>
      </w:r>
      <w:r w:rsidRPr="004A437E">
        <w:rPr>
          <w:rFonts w:ascii="Calibri" w:hAnsi="Calibri" w:cs="Calibri"/>
          <w:sz w:val="22"/>
          <w:szCs w:val="22"/>
        </w:rPr>
        <w:t xml:space="preserve"> When financial incentives are offered to volunteers for other health interventions, CDTI programmes may also face issues with sustaining programmes in the long term.</w:t>
      </w:r>
      <w:r w:rsidR="004A437E" w:rsidRPr="00CF189D">
        <w:rPr>
          <w:rStyle w:val="FootnoteReference"/>
          <w:rFonts w:ascii="Calibri" w:hAnsi="Calibri" w:cs="Calibri"/>
        </w:rPr>
        <w:footnoteReference w:customMarkFollows="1" w:id="909"/>
        <w:t>129</w:t>
      </w:r>
      <w:r w:rsidRPr="004A437E">
        <w:rPr>
          <w:rFonts w:ascii="Calibri" w:hAnsi="Calibri" w:cs="Calibri"/>
          <w:sz w:val="22"/>
          <w:szCs w:val="22"/>
        </w:rPr>
        <w:t xml:space="preserve"> </w:t>
      </w:r>
    </w:p>
    <w:p w14:paraId="0CDAF1DF" w14:textId="46C5167E" w:rsidR="00BB69BE" w:rsidRPr="00970E06" w:rsidRDefault="005F388F" w:rsidP="00BB69BE">
      <w:pPr>
        <w:spacing w:before="100" w:beforeAutospacing="1" w:after="100" w:afterAutospacing="1" w:line="360" w:lineRule="auto"/>
        <w:ind w:firstLine="720"/>
        <w:rPr>
          <w:rFonts w:ascii="Calibri" w:hAnsi="Calibri" w:cs="Calibri"/>
          <w:sz w:val="22"/>
          <w:szCs w:val="22"/>
        </w:rPr>
      </w:pPr>
      <w:r w:rsidRPr="004A437E">
        <w:rPr>
          <w:rFonts w:ascii="Calibri" w:hAnsi="Calibri" w:cs="Calibri"/>
          <w:sz w:val="22"/>
          <w:szCs w:val="22"/>
        </w:rPr>
        <w:t>Additionally</w:t>
      </w:r>
      <w:r w:rsidR="00BB69BE" w:rsidRPr="004A437E">
        <w:rPr>
          <w:rFonts w:ascii="Calibri" w:hAnsi="Calibri" w:cs="Calibri"/>
          <w:sz w:val="22"/>
          <w:szCs w:val="22"/>
        </w:rPr>
        <w:t>, by installing a parallel system of sele</w:t>
      </w:r>
      <w:r w:rsidR="00BB69BE" w:rsidRPr="000552DB">
        <w:rPr>
          <w:rFonts w:ascii="Calibri" w:hAnsi="Calibri" w:cs="Calibri"/>
          <w:sz w:val="22"/>
          <w:szCs w:val="22"/>
        </w:rPr>
        <w:t>ctive health interventions, CDTI campaigns may run the risk of undermining overstretched primary health systems.</w:t>
      </w:r>
      <w:r w:rsidR="004A437E" w:rsidRPr="00CF189D">
        <w:rPr>
          <w:rStyle w:val="FootnoteReference"/>
          <w:rFonts w:ascii="Calibri" w:hAnsi="Calibri" w:cs="Calibri"/>
        </w:rPr>
        <w:footnoteReference w:customMarkFollows="1" w:id="910"/>
        <w:t>130</w:t>
      </w:r>
      <w:r w:rsidR="00BB69BE" w:rsidRPr="004A437E">
        <w:rPr>
          <w:rFonts w:ascii="Calibri" w:hAnsi="Calibri" w:cs="Calibri"/>
          <w:sz w:val="22"/>
          <w:szCs w:val="22"/>
        </w:rPr>
        <w:t xml:space="preserve"> For instance, a study in Mali showed disruption of access to general healthcare during</w:t>
      </w:r>
      <w:r w:rsidR="00BB69BE" w:rsidRPr="000552DB">
        <w:rPr>
          <w:rFonts w:ascii="Calibri" w:hAnsi="Calibri" w:cs="Calibri"/>
          <w:sz w:val="22"/>
          <w:szCs w:val="22"/>
        </w:rPr>
        <w:t xml:space="preserve"> integrated mass</w:t>
      </w:r>
      <w:r w:rsidR="00F01897" w:rsidRPr="000552DB">
        <w:rPr>
          <w:rFonts w:ascii="Calibri" w:hAnsi="Calibri" w:cs="Calibri"/>
          <w:sz w:val="22"/>
          <w:szCs w:val="22"/>
        </w:rPr>
        <w:t xml:space="preserve"> d</w:t>
      </w:r>
      <w:r w:rsidR="00BB69BE" w:rsidRPr="000552DB">
        <w:rPr>
          <w:rFonts w:ascii="Calibri" w:hAnsi="Calibri" w:cs="Calibri"/>
          <w:sz w:val="22"/>
          <w:szCs w:val="22"/>
        </w:rPr>
        <w:t>rug administration.</w:t>
      </w:r>
      <w:r w:rsidR="004A437E" w:rsidRPr="00CF189D">
        <w:rPr>
          <w:rStyle w:val="FootnoteReference"/>
          <w:rFonts w:ascii="Calibri" w:hAnsi="Calibri" w:cs="Calibri"/>
        </w:rPr>
        <w:footnoteReference w:customMarkFollows="1" w:id="911"/>
        <w:t>131</w:t>
      </w:r>
      <w:r w:rsidR="00BB69BE" w:rsidRPr="004A437E">
        <w:rPr>
          <w:rFonts w:ascii="Calibri" w:hAnsi="Calibri" w:cs="Calibri"/>
          <w:sz w:val="22"/>
          <w:szCs w:val="22"/>
        </w:rPr>
        <w:t xml:space="preserve"> Studies have</w:t>
      </w:r>
      <w:r w:rsidR="00F01897" w:rsidRPr="000552DB">
        <w:rPr>
          <w:rFonts w:ascii="Calibri" w:hAnsi="Calibri" w:cs="Calibri"/>
          <w:sz w:val="22"/>
          <w:szCs w:val="22"/>
        </w:rPr>
        <w:t xml:space="preserve"> further</w:t>
      </w:r>
      <w:r w:rsidR="00BB69BE" w:rsidRPr="000552DB">
        <w:rPr>
          <w:rFonts w:ascii="Calibri" w:hAnsi="Calibri" w:cs="Calibri"/>
          <w:sz w:val="22"/>
          <w:szCs w:val="22"/>
        </w:rPr>
        <w:t xml:space="preserve"> shown that community-directed programmes rarely evolve into programmes with strong linkages to existing health systems.</w:t>
      </w:r>
      <w:r w:rsidR="004A437E" w:rsidRPr="00CF189D">
        <w:rPr>
          <w:rStyle w:val="FootnoteReference"/>
          <w:rFonts w:ascii="Calibri" w:hAnsi="Calibri" w:cs="Calibri"/>
        </w:rPr>
        <w:footnoteReference w:customMarkFollows="1" w:id="912"/>
        <w:t>132</w:t>
      </w:r>
      <w:r w:rsidR="00BB69BE" w:rsidRPr="004A437E">
        <w:rPr>
          <w:rFonts w:ascii="Calibri" w:hAnsi="Calibri" w:cs="Calibri"/>
          <w:sz w:val="22"/>
          <w:szCs w:val="22"/>
        </w:rPr>
        <w:t xml:space="preserve"> In spite</w:t>
      </w:r>
      <w:r w:rsidR="00BB69BE" w:rsidRPr="00D9152B">
        <w:rPr>
          <w:rFonts w:ascii="Calibri" w:hAnsi="Calibri" w:cs="Calibri"/>
          <w:sz w:val="22"/>
          <w:szCs w:val="22"/>
        </w:rPr>
        <w:t xml:space="preserve"> of the OCP’s epidemiological gains, for example, West Africa had a severe lack of capacity for eye and blindness care in primary and secondary health systems, </w:t>
      </w:r>
      <w:r w:rsidR="00BB69BE" w:rsidRPr="00D9152B">
        <w:rPr>
          <w:rFonts w:ascii="Calibri" w:hAnsi="Calibri" w:cs="Calibri"/>
          <w:sz w:val="22"/>
          <w:szCs w:val="22"/>
        </w:rPr>
        <w:lastRenderedPageBreak/>
        <w:t xml:space="preserve">particularly a shortage of adequately trained </w:t>
      </w:r>
      <w:r w:rsidR="00BB69BE" w:rsidRPr="000552DB">
        <w:rPr>
          <w:rFonts w:ascii="Calibri" w:hAnsi="Calibri" w:cs="Calibri"/>
          <w:sz w:val="22"/>
          <w:szCs w:val="22"/>
        </w:rPr>
        <w:t>ophthalmologists.</w:t>
      </w:r>
      <w:r w:rsidR="000552DB" w:rsidRPr="00CF189D">
        <w:rPr>
          <w:rStyle w:val="FootnoteReference"/>
          <w:rFonts w:ascii="Calibri" w:hAnsi="Calibri" w:cs="Calibri"/>
        </w:rPr>
        <w:footnoteReference w:customMarkFollows="1" w:id="913"/>
        <w:t>133</w:t>
      </w:r>
      <w:r w:rsidR="00BB69BE" w:rsidRPr="000552DB">
        <w:rPr>
          <w:rFonts w:ascii="Calibri" w:hAnsi="Calibri" w:cs="Calibri"/>
          <w:sz w:val="22"/>
          <w:szCs w:val="22"/>
        </w:rPr>
        <w:t xml:space="preserve"> A 2015 United Kingdom Department for International Development (DFID) review of the African Programme for Onchocerciasis Control also noted that participating country staff did not have high-level decision-making </w:t>
      </w:r>
      <w:r w:rsidR="00531180" w:rsidRPr="000552DB">
        <w:rPr>
          <w:rFonts w:ascii="Calibri" w:hAnsi="Calibri" w:cs="Calibri"/>
          <w:sz w:val="22"/>
          <w:szCs w:val="22"/>
        </w:rPr>
        <w:t xml:space="preserve">in </w:t>
      </w:r>
      <w:r w:rsidR="00BB69BE" w:rsidRPr="000552DB">
        <w:rPr>
          <w:rFonts w:ascii="Calibri" w:hAnsi="Calibri" w:cs="Calibri"/>
          <w:sz w:val="22"/>
          <w:szCs w:val="22"/>
        </w:rPr>
        <w:t>the programme, and that the programme became more top-down over time.</w:t>
      </w:r>
      <w:r w:rsidR="000552DB" w:rsidRPr="00CF189D">
        <w:rPr>
          <w:rStyle w:val="FootnoteReference"/>
          <w:rFonts w:ascii="Calibri" w:hAnsi="Calibri" w:cs="Calibri"/>
        </w:rPr>
        <w:footnoteReference w:customMarkFollows="1" w:id="914"/>
        <w:t>134</w:t>
      </w:r>
      <w:r w:rsidR="00BB69BE" w:rsidRPr="000552DB">
        <w:rPr>
          <w:rFonts w:ascii="Calibri" w:hAnsi="Calibri" w:cs="Calibri"/>
          <w:sz w:val="22"/>
          <w:szCs w:val="22"/>
        </w:rPr>
        <w:t xml:space="preserve"> </w:t>
      </w:r>
      <w:r w:rsidR="003A2354" w:rsidRPr="000552DB">
        <w:rPr>
          <w:rFonts w:ascii="Calibri" w:hAnsi="Calibri" w:cs="Calibri"/>
          <w:sz w:val="22"/>
          <w:szCs w:val="22"/>
        </w:rPr>
        <w:t>Another study</w:t>
      </w:r>
      <w:r w:rsidR="00BB69BE" w:rsidRPr="000552DB">
        <w:rPr>
          <w:rFonts w:ascii="Calibri" w:hAnsi="Calibri" w:cs="Calibri"/>
          <w:sz w:val="22"/>
          <w:szCs w:val="22"/>
        </w:rPr>
        <w:t xml:space="preserve"> found that the actual consumption of distributed drugs in mass drug administration programmes in Uganda and Tanzania was significantly lower than reported.</w:t>
      </w:r>
      <w:r w:rsidR="000552DB" w:rsidRPr="00CF189D">
        <w:rPr>
          <w:rStyle w:val="FootnoteReference"/>
          <w:rFonts w:ascii="Calibri" w:hAnsi="Calibri" w:cs="Calibri"/>
        </w:rPr>
        <w:footnoteReference w:customMarkFollows="1" w:id="915"/>
        <w:t>135</w:t>
      </w:r>
      <w:r w:rsidR="00BB69BE" w:rsidRPr="000552DB">
        <w:rPr>
          <w:rFonts w:ascii="Calibri" w:hAnsi="Calibri" w:cs="Calibri"/>
          <w:sz w:val="22"/>
          <w:szCs w:val="22"/>
        </w:rPr>
        <w:t xml:space="preserve"> This reflects a widespread tendency for disease control programmes to focus on collecting </w:t>
      </w:r>
      <w:r w:rsidR="00BB69BE" w:rsidRPr="00970E06">
        <w:rPr>
          <w:rFonts w:ascii="Calibri" w:hAnsi="Calibri" w:cs="Calibri"/>
          <w:sz w:val="22"/>
          <w:szCs w:val="22"/>
        </w:rPr>
        <w:t>data on outputs instead of impact. Outputs</w:t>
      </w:r>
      <w:r w:rsidR="00F01897" w:rsidRPr="00970E06">
        <w:rPr>
          <w:rFonts w:ascii="Calibri" w:hAnsi="Calibri" w:cs="Calibri"/>
          <w:sz w:val="22"/>
          <w:szCs w:val="22"/>
        </w:rPr>
        <w:t xml:space="preserve"> l</w:t>
      </w:r>
      <w:r w:rsidR="00BB69BE" w:rsidRPr="00970E06">
        <w:rPr>
          <w:rFonts w:ascii="Calibri" w:hAnsi="Calibri" w:cs="Calibri"/>
          <w:sz w:val="22"/>
          <w:szCs w:val="22"/>
        </w:rPr>
        <w:t>ike the number of trained programme staff</w:t>
      </w:r>
      <w:r w:rsidR="00F01897" w:rsidRPr="00970E06">
        <w:rPr>
          <w:rFonts w:ascii="Calibri" w:hAnsi="Calibri" w:cs="Calibri"/>
          <w:sz w:val="22"/>
          <w:szCs w:val="22"/>
        </w:rPr>
        <w:t xml:space="preserve"> </w:t>
      </w:r>
      <w:r w:rsidR="003A2354" w:rsidRPr="00970E06">
        <w:rPr>
          <w:rFonts w:ascii="Calibri" w:hAnsi="Calibri" w:cs="Calibri"/>
          <w:sz w:val="22"/>
          <w:szCs w:val="22"/>
        </w:rPr>
        <w:t>may</w:t>
      </w:r>
      <w:r w:rsidR="00BB69BE" w:rsidRPr="00970E06">
        <w:rPr>
          <w:rFonts w:ascii="Calibri" w:hAnsi="Calibri" w:cs="Calibri"/>
          <w:sz w:val="22"/>
          <w:szCs w:val="22"/>
        </w:rPr>
        <w:t xml:space="preserve"> not capture essential information about capacity-building and sustainability, such as continued supervision and functional system support.</w:t>
      </w:r>
      <w:r w:rsidR="000552DB" w:rsidRPr="00CF189D">
        <w:rPr>
          <w:rStyle w:val="FootnoteReference"/>
          <w:rFonts w:ascii="Calibri" w:hAnsi="Calibri" w:cs="Calibri"/>
        </w:rPr>
        <w:footnoteReference w:customMarkFollows="1" w:id="916"/>
        <w:t>136</w:t>
      </w:r>
      <w:r w:rsidR="00BB69BE" w:rsidRPr="00970E06">
        <w:rPr>
          <w:rFonts w:ascii="Calibri" w:hAnsi="Calibri" w:cs="Calibri"/>
          <w:sz w:val="22"/>
          <w:szCs w:val="22"/>
        </w:rPr>
        <w:t xml:space="preserve"> </w:t>
      </w:r>
    </w:p>
    <w:p w14:paraId="7822C900" w14:textId="11FCC42E" w:rsidR="0068626F" w:rsidRPr="00970E06" w:rsidRDefault="006771D5" w:rsidP="0068626F">
      <w:pPr>
        <w:spacing w:before="100" w:beforeAutospacing="1" w:after="100" w:afterAutospacing="1" w:line="360" w:lineRule="auto"/>
        <w:ind w:firstLine="720"/>
        <w:rPr>
          <w:rFonts w:ascii="Calibri" w:hAnsi="Calibri" w:cs="Calibri"/>
          <w:sz w:val="22"/>
          <w:szCs w:val="22"/>
        </w:rPr>
      </w:pPr>
      <w:r w:rsidRPr="00970E06">
        <w:rPr>
          <w:rFonts w:ascii="Calibri" w:hAnsi="Calibri" w:cs="Calibri"/>
          <w:sz w:val="22"/>
          <w:szCs w:val="22"/>
        </w:rPr>
        <w:t>In short, the</w:t>
      </w:r>
      <w:r w:rsidR="00F01897" w:rsidRPr="00970E06">
        <w:rPr>
          <w:rFonts w:ascii="Calibri" w:hAnsi="Calibri" w:cs="Calibri"/>
          <w:sz w:val="22"/>
          <w:szCs w:val="22"/>
        </w:rPr>
        <w:t xml:space="preserve"> OCP</w:t>
      </w:r>
      <w:r w:rsidR="009A779E" w:rsidRPr="00970E06">
        <w:rPr>
          <w:rFonts w:ascii="Calibri" w:hAnsi="Calibri" w:cs="Calibri"/>
          <w:sz w:val="22"/>
          <w:szCs w:val="22"/>
        </w:rPr>
        <w:t xml:space="preserve"> devolution narrative</w:t>
      </w:r>
      <w:r w:rsidR="007B2085" w:rsidRPr="00970E06">
        <w:rPr>
          <w:rFonts w:ascii="Calibri" w:hAnsi="Calibri" w:cs="Calibri"/>
          <w:sz w:val="22"/>
          <w:szCs w:val="22"/>
        </w:rPr>
        <w:t xml:space="preserve"> reinforces how delegating drug </w:t>
      </w:r>
      <w:r w:rsidR="009A779E" w:rsidRPr="00970E06">
        <w:rPr>
          <w:rFonts w:ascii="Calibri" w:hAnsi="Calibri" w:cs="Calibri"/>
          <w:sz w:val="22"/>
          <w:szCs w:val="22"/>
        </w:rPr>
        <w:t>distribution tasks to communities works more efficientl</w:t>
      </w:r>
      <w:r w:rsidR="007B2085" w:rsidRPr="00970E06">
        <w:rPr>
          <w:rFonts w:ascii="Calibri" w:hAnsi="Calibri" w:cs="Calibri"/>
          <w:sz w:val="22"/>
          <w:szCs w:val="22"/>
        </w:rPr>
        <w:t>y than</w:t>
      </w:r>
      <w:r w:rsidR="00F01897" w:rsidRPr="00970E06">
        <w:rPr>
          <w:rFonts w:ascii="Calibri" w:hAnsi="Calibri" w:cs="Calibri"/>
          <w:sz w:val="22"/>
          <w:szCs w:val="22"/>
        </w:rPr>
        <w:t xml:space="preserve"> delegating</w:t>
      </w:r>
      <w:r w:rsidR="007B2085" w:rsidRPr="00970E06">
        <w:rPr>
          <w:rFonts w:ascii="Calibri" w:hAnsi="Calibri" w:cs="Calibri"/>
          <w:sz w:val="22"/>
          <w:szCs w:val="22"/>
        </w:rPr>
        <w:t xml:space="preserve"> surveillance activities – but also </w:t>
      </w:r>
      <w:r w:rsidR="009A779E" w:rsidRPr="00970E06">
        <w:rPr>
          <w:rFonts w:ascii="Calibri" w:hAnsi="Calibri" w:cs="Calibri"/>
          <w:sz w:val="22"/>
          <w:szCs w:val="22"/>
        </w:rPr>
        <w:t xml:space="preserve">limits the ability of the OCP to serve as a model for the </w:t>
      </w:r>
      <w:r w:rsidR="007B2085" w:rsidRPr="00970E06">
        <w:rPr>
          <w:rFonts w:ascii="Calibri" w:hAnsi="Calibri" w:cs="Calibri"/>
          <w:sz w:val="22"/>
          <w:szCs w:val="22"/>
        </w:rPr>
        <w:t>‘</w:t>
      </w:r>
      <w:r w:rsidR="009A779E" w:rsidRPr="00970E06">
        <w:rPr>
          <w:rFonts w:ascii="Calibri" w:hAnsi="Calibri" w:cs="Calibri"/>
          <w:sz w:val="22"/>
          <w:szCs w:val="22"/>
        </w:rPr>
        <w:t>horizontal transition</w:t>
      </w:r>
      <w:r w:rsidR="007B2085" w:rsidRPr="00970E06">
        <w:rPr>
          <w:rFonts w:ascii="Calibri" w:hAnsi="Calibri" w:cs="Calibri"/>
          <w:sz w:val="22"/>
          <w:szCs w:val="22"/>
        </w:rPr>
        <w:t>’</w:t>
      </w:r>
      <w:r w:rsidR="009A779E" w:rsidRPr="00970E06">
        <w:rPr>
          <w:rFonts w:ascii="Calibri" w:hAnsi="Calibri" w:cs="Calibri"/>
          <w:sz w:val="22"/>
          <w:szCs w:val="22"/>
        </w:rPr>
        <w:t xml:space="preserve">. </w:t>
      </w:r>
      <w:r w:rsidR="00F01897" w:rsidRPr="00970E06">
        <w:rPr>
          <w:rFonts w:ascii="Calibri" w:hAnsi="Calibri" w:cs="Calibri"/>
          <w:sz w:val="22"/>
          <w:szCs w:val="22"/>
        </w:rPr>
        <w:t>A good example of this limitation is a</w:t>
      </w:r>
      <w:r w:rsidR="009A779E" w:rsidRPr="00970E06">
        <w:rPr>
          <w:rFonts w:ascii="Calibri" w:hAnsi="Calibri" w:cs="Calibri"/>
          <w:sz w:val="22"/>
          <w:szCs w:val="22"/>
        </w:rPr>
        <w:t xml:space="preserve"> 2007 </w:t>
      </w:r>
      <w:r w:rsidR="00E2492F" w:rsidRPr="00970E06">
        <w:rPr>
          <w:rFonts w:ascii="Calibri" w:hAnsi="Calibri" w:cs="Calibri"/>
          <w:sz w:val="22"/>
          <w:szCs w:val="22"/>
        </w:rPr>
        <w:t>African Programme for Onchocerciasis Control</w:t>
      </w:r>
      <w:r w:rsidR="009A779E" w:rsidRPr="00970E06">
        <w:rPr>
          <w:rFonts w:ascii="Calibri" w:hAnsi="Calibri" w:cs="Calibri"/>
          <w:sz w:val="22"/>
          <w:szCs w:val="22"/>
        </w:rPr>
        <w:t xml:space="preserve"> review</w:t>
      </w:r>
      <w:r w:rsidR="00F01897" w:rsidRPr="00970E06">
        <w:rPr>
          <w:rFonts w:ascii="Calibri" w:hAnsi="Calibri" w:cs="Calibri"/>
          <w:sz w:val="22"/>
          <w:szCs w:val="22"/>
        </w:rPr>
        <w:t xml:space="preserve">. The review </w:t>
      </w:r>
      <w:r w:rsidR="009A779E" w:rsidRPr="00970E06">
        <w:rPr>
          <w:rFonts w:ascii="Calibri" w:hAnsi="Calibri" w:cs="Calibri"/>
          <w:sz w:val="22"/>
          <w:szCs w:val="22"/>
        </w:rPr>
        <w:t xml:space="preserve">stated that the programme ‘should develop an exit strategy that includes effective long-term support mechanisms for countries to provide the limited support to CDTI and onchocerciasis surveillance necessary after the programme has come to an end’, and that this strategy ‘should include the costing of core regional functions that will be necessary post-APOC, together with an overview of which partners and actors may be able to take on these functions and the necessary resource requirements’. It encouraged countries to develop devolution plans, and </w:t>
      </w:r>
      <w:r w:rsidR="007B2085" w:rsidRPr="00970E06">
        <w:rPr>
          <w:rFonts w:ascii="Calibri" w:hAnsi="Calibri" w:cs="Calibri"/>
          <w:sz w:val="22"/>
          <w:szCs w:val="22"/>
        </w:rPr>
        <w:t>to scope the</w:t>
      </w:r>
      <w:r w:rsidR="009A779E" w:rsidRPr="00970E06">
        <w:rPr>
          <w:rFonts w:ascii="Calibri" w:hAnsi="Calibri" w:cs="Calibri"/>
          <w:sz w:val="22"/>
          <w:szCs w:val="22"/>
        </w:rPr>
        <w:t xml:space="preserve"> in-country institutions could support surveillance activities. </w:t>
      </w:r>
      <w:r w:rsidR="00F01897" w:rsidRPr="00970E06">
        <w:rPr>
          <w:rFonts w:ascii="Calibri" w:hAnsi="Calibri" w:cs="Calibri"/>
          <w:sz w:val="22"/>
          <w:szCs w:val="22"/>
        </w:rPr>
        <w:t>Essentially,</w:t>
      </w:r>
      <w:r w:rsidR="009A779E" w:rsidRPr="00970E06">
        <w:rPr>
          <w:rFonts w:ascii="Calibri" w:hAnsi="Calibri" w:cs="Calibri"/>
          <w:sz w:val="22"/>
          <w:szCs w:val="22"/>
        </w:rPr>
        <w:t xml:space="preserve"> ten years into the OCP’s follow-up programme, </w:t>
      </w:r>
      <w:r w:rsidR="0068626F" w:rsidRPr="00970E06">
        <w:rPr>
          <w:rFonts w:ascii="Calibri" w:hAnsi="Calibri" w:cs="Calibri"/>
          <w:sz w:val="22"/>
          <w:szCs w:val="22"/>
        </w:rPr>
        <w:t xml:space="preserve">it </w:t>
      </w:r>
      <w:r w:rsidR="009A779E" w:rsidRPr="00970E06">
        <w:rPr>
          <w:rFonts w:ascii="Calibri" w:hAnsi="Calibri" w:cs="Calibri"/>
          <w:sz w:val="22"/>
          <w:szCs w:val="22"/>
        </w:rPr>
        <w:t xml:space="preserve">faced a similar catch-22 situation to the OCP. As the </w:t>
      </w:r>
      <w:r w:rsidR="007B2085" w:rsidRPr="00970E06">
        <w:rPr>
          <w:rFonts w:ascii="Calibri" w:hAnsi="Calibri" w:cs="Calibri"/>
          <w:sz w:val="22"/>
          <w:szCs w:val="22"/>
        </w:rPr>
        <w:t xml:space="preserve">review’s </w:t>
      </w:r>
      <w:r w:rsidR="009A779E" w:rsidRPr="00970E06">
        <w:rPr>
          <w:rFonts w:ascii="Calibri" w:hAnsi="Calibri" w:cs="Calibri"/>
          <w:sz w:val="22"/>
          <w:szCs w:val="22"/>
        </w:rPr>
        <w:t xml:space="preserve">authors wrote, ‘The challenge is to translate the country commitment as expressed in the Yaoundé Ministerial Declaration </w:t>
      </w:r>
      <w:r w:rsidR="009A779E" w:rsidRPr="00970E06">
        <w:rPr>
          <w:rFonts w:ascii="Calibri" w:hAnsi="Calibri" w:cs="Calibri"/>
          <w:sz w:val="22"/>
          <w:szCs w:val="22"/>
        </w:rPr>
        <w:lastRenderedPageBreak/>
        <w:t>towards a sustainable and integrated approach for surveillance and control within strengthened health systems’.</w:t>
      </w:r>
      <w:r w:rsidR="000552DB" w:rsidRPr="00CF189D">
        <w:rPr>
          <w:rStyle w:val="FootnoteReference"/>
          <w:rFonts w:ascii="Calibri" w:hAnsi="Calibri" w:cs="Calibri"/>
        </w:rPr>
        <w:footnoteReference w:customMarkFollows="1" w:id="917"/>
        <w:t>137</w:t>
      </w:r>
      <w:r w:rsidR="00A82CF4" w:rsidRPr="00970E06">
        <w:rPr>
          <w:rFonts w:ascii="Calibri" w:hAnsi="Calibri" w:cs="Calibri"/>
          <w:sz w:val="22"/>
          <w:szCs w:val="22"/>
        </w:rPr>
        <w:t xml:space="preserve"> </w:t>
      </w:r>
    </w:p>
    <w:p w14:paraId="717BA793" w14:textId="28FEDB79" w:rsidR="00E2492F" w:rsidRPr="00970E06" w:rsidRDefault="00BB69BE" w:rsidP="0068626F">
      <w:pPr>
        <w:spacing w:before="100" w:beforeAutospacing="1" w:after="100" w:afterAutospacing="1" w:line="360" w:lineRule="auto"/>
        <w:ind w:firstLine="720"/>
        <w:rPr>
          <w:rFonts w:ascii="Calibri" w:hAnsi="Calibri" w:cs="Calibri"/>
          <w:sz w:val="22"/>
          <w:szCs w:val="22"/>
        </w:rPr>
        <w:sectPr w:rsidR="00E2492F" w:rsidRPr="00970E06" w:rsidSect="00413CE4">
          <w:footnotePr>
            <w:numRestart w:val="eachSect"/>
          </w:footnotePr>
          <w:pgSz w:w="11906" w:h="16838"/>
          <w:pgMar w:top="1134" w:right="1418" w:bottom="2268" w:left="2268" w:header="708" w:footer="708" w:gutter="0"/>
          <w:cols w:space="708"/>
          <w:docGrid w:linePitch="360"/>
        </w:sectPr>
      </w:pPr>
      <w:r w:rsidRPr="00970E06">
        <w:rPr>
          <w:rFonts w:ascii="Calibri" w:hAnsi="Calibri" w:cs="Calibri"/>
          <w:sz w:val="22"/>
          <w:szCs w:val="22"/>
        </w:rPr>
        <w:t>As Allen and Parker argue in their call for a deeper ‘biosocial’ monitoring approach to mass drug administration, ‘competition from multimillion-dollar grants is closing off debate and restricting critical analysis of what is occurring on the ground’, as</w:t>
      </w:r>
      <w:r w:rsidR="0068626F" w:rsidRPr="00970E06">
        <w:rPr>
          <w:rFonts w:ascii="Calibri" w:hAnsi="Calibri" w:cs="Calibri"/>
          <w:sz w:val="22"/>
          <w:szCs w:val="22"/>
        </w:rPr>
        <w:t xml:space="preserve"> NGOs </w:t>
      </w:r>
      <w:r w:rsidRPr="00970E06">
        <w:rPr>
          <w:rFonts w:ascii="Calibri" w:hAnsi="Calibri" w:cs="Calibri"/>
          <w:sz w:val="22"/>
          <w:szCs w:val="22"/>
        </w:rPr>
        <w:t xml:space="preserve">and other delivery institutions face ‘intense pressures’ to set overly optimistic targets and timelines. In other words, </w:t>
      </w:r>
      <w:r w:rsidR="00F01897" w:rsidRPr="00970E06">
        <w:rPr>
          <w:rFonts w:ascii="Calibri" w:hAnsi="Calibri" w:cs="Calibri"/>
          <w:sz w:val="22"/>
          <w:szCs w:val="22"/>
        </w:rPr>
        <w:t xml:space="preserve">the </w:t>
      </w:r>
      <w:r w:rsidRPr="00970E06">
        <w:rPr>
          <w:rFonts w:ascii="Calibri" w:hAnsi="Calibri" w:cs="Calibri"/>
          <w:sz w:val="22"/>
          <w:szCs w:val="22"/>
        </w:rPr>
        <w:t xml:space="preserve">‘broad assertions’ of mass drug administration and CDTI programmes based on tight indicators – like </w:t>
      </w:r>
      <w:r w:rsidR="0068626F" w:rsidRPr="00970E06">
        <w:rPr>
          <w:rFonts w:ascii="Calibri" w:hAnsi="Calibri" w:cs="Calibri"/>
          <w:sz w:val="22"/>
          <w:szCs w:val="22"/>
        </w:rPr>
        <w:t>those of the</w:t>
      </w:r>
      <w:r w:rsidRPr="00970E06">
        <w:rPr>
          <w:rFonts w:ascii="Calibri" w:hAnsi="Calibri" w:cs="Calibri"/>
          <w:sz w:val="22"/>
          <w:szCs w:val="22"/>
        </w:rPr>
        <w:t xml:space="preserve"> OCP – may be best viewed as ‘advocacy statements’, rather than firm demonstrations of </w:t>
      </w:r>
      <w:r w:rsidR="0068626F" w:rsidRPr="00970E06">
        <w:rPr>
          <w:rFonts w:ascii="Calibri" w:hAnsi="Calibri" w:cs="Calibri"/>
          <w:sz w:val="22"/>
          <w:szCs w:val="22"/>
        </w:rPr>
        <w:t>a</w:t>
      </w:r>
      <w:r w:rsidRPr="00970E06">
        <w:rPr>
          <w:rFonts w:ascii="Calibri" w:hAnsi="Calibri" w:cs="Calibri"/>
          <w:sz w:val="22"/>
          <w:szCs w:val="22"/>
        </w:rPr>
        <w:t xml:space="preserve"> programme’s link to health system strengthening.</w:t>
      </w:r>
      <w:r w:rsidR="000552DB" w:rsidRPr="00CF189D">
        <w:rPr>
          <w:rStyle w:val="FootnoteReference"/>
          <w:rFonts w:ascii="Calibri" w:hAnsi="Calibri" w:cs="Calibri"/>
        </w:rPr>
        <w:footnoteReference w:customMarkFollows="1" w:id="918"/>
        <w:t>138</w:t>
      </w:r>
    </w:p>
    <w:bookmarkEnd w:id="99"/>
    <w:bookmarkEnd w:id="100"/>
    <w:bookmarkEnd w:id="101"/>
    <w:bookmarkEnd w:id="102"/>
    <w:bookmarkEnd w:id="103"/>
    <w:bookmarkEnd w:id="104"/>
    <w:bookmarkEnd w:id="105"/>
    <w:bookmarkEnd w:id="106"/>
    <w:p w14:paraId="4AE6B7E0" w14:textId="77777777" w:rsidR="00047CA8" w:rsidRDefault="00047CA8">
      <w:pPr>
        <w:spacing w:line="360" w:lineRule="auto"/>
        <w:rPr>
          <w:rFonts w:ascii="Calibri" w:eastAsiaTheme="majorEastAsia" w:hAnsi="Calibri" w:cs="Calibri"/>
          <w:b/>
          <w:color w:val="2E74B5" w:themeColor="accent1" w:themeShade="BF"/>
          <w:sz w:val="36"/>
          <w:szCs w:val="36"/>
        </w:rPr>
      </w:pPr>
      <w:r>
        <w:rPr>
          <w:rFonts w:ascii="Calibri" w:hAnsi="Calibri" w:cs="Calibri"/>
          <w:b/>
          <w:sz w:val="36"/>
          <w:szCs w:val="36"/>
        </w:rPr>
        <w:lastRenderedPageBreak/>
        <w:br w:type="page"/>
      </w:r>
    </w:p>
    <w:p w14:paraId="676AED11" w14:textId="69F3D95D" w:rsidR="00404D3A" w:rsidRPr="00D9152B" w:rsidRDefault="00791103" w:rsidP="00791103">
      <w:pPr>
        <w:pStyle w:val="Heading1"/>
        <w:rPr>
          <w:rFonts w:ascii="Calibri" w:hAnsi="Calibri" w:cs="Calibri"/>
          <w:b/>
          <w:sz w:val="36"/>
          <w:szCs w:val="36"/>
        </w:rPr>
      </w:pPr>
      <w:bookmarkStart w:id="153" w:name="_Toc41505707"/>
      <w:r w:rsidRPr="00D9152B">
        <w:rPr>
          <w:rFonts w:ascii="Calibri" w:hAnsi="Calibri" w:cs="Calibri"/>
          <w:b/>
          <w:sz w:val="36"/>
          <w:szCs w:val="36"/>
        </w:rPr>
        <w:lastRenderedPageBreak/>
        <w:t xml:space="preserve">Chapter </w:t>
      </w:r>
      <w:r w:rsidR="00BD1901">
        <w:rPr>
          <w:rFonts w:ascii="Calibri" w:hAnsi="Calibri" w:cs="Calibri"/>
          <w:b/>
          <w:sz w:val="36"/>
          <w:szCs w:val="36"/>
        </w:rPr>
        <w:t>9</w:t>
      </w:r>
      <w:r w:rsidRPr="00D9152B">
        <w:rPr>
          <w:rFonts w:ascii="Calibri" w:hAnsi="Calibri" w:cs="Calibri"/>
          <w:b/>
          <w:sz w:val="36"/>
          <w:szCs w:val="36"/>
        </w:rPr>
        <w:t>.</w:t>
      </w:r>
      <w:bookmarkEnd w:id="153"/>
      <w:r w:rsidRPr="00D9152B">
        <w:rPr>
          <w:rFonts w:ascii="Calibri" w:hAnsi="Calibri" w:cs="Calibri"/>
          <w:b/>
          <w:sz w:val="36"/>
          <w:szCs w:val="36"/>
        </w:rPr>
        <w:t xml:space="preserve"> </w:t>
      </w:r>
    </w:p>
    <w:p w14:paraId="58B74C79" w14:textId="16478416" w:rsidR="00791103" w:rsidRDefault="00791103" w:rsidP="00791103">
      <w:pPr>
        <w:pStyle w:val="Heading1"/>
        <w:rPr>
          <w:rFonts w:ascii="Calibri" w:hAnsi="Calibri" w:cs="Calibri"/>
          <w:b/>
          <w:sz w:val="36"/>
          <w:szCs w:val="36"/>
        </w:rPr>
      </w:pPr>
      <w:bookmarkStart w:id="154" w:name="_Toc41505708"/>
      <w:r w:rsidRPr="00D9152B">
        <w:rPr>
          <w:rFonts w:ascii="Calibri" w:hAnsi="Calibri" w:cs="Calibri"/>
          <w:b/>
          <w:sz w:val="36"/>
          <w:szCs w:val="36"/>
        </w:rPr>
        <w:t>Conclusion: Constructing Success</w:t>
      </w:r>
      <w:bookmarkEnd w:id="154"/>
    </w:p>
    <w:p w14:paraId="7C7BCE96" w14:textId="77777777" w:rsidR="00F833E3" w:rsidRDefault="00F833E3" w:rsidP="00F833E3">
      <w:pPr>
        <w:pStyle w:val="Heading2"/>
        <w:rPr>
          <w:rFonts w:ascii="Calibri" w:hAnsi="Calibri" w:cs="Calibri"/>
          <w:b/>
          <w:sz w:val="26"/>
          <w:szCs w:val="26"/>
        </w:rPr>
      </w:pPr>
    </w:p>
    <w:p w14:paraId="08A2A0AA" w14:textId="5A6116CC" w:rsidR="00791103" w:rsidRPr="006771D5" w:rsidRDefault="001C78C8" w:rsidP="006771D5">
      <w:pPr>
        <w:pStyle w:val="Heading2"/>
        <w:rPr>
          <w:rFonts w:ascii="Calibri" w:hAnsi="Calibri" w:cs="Calibri"/>
          <w:b/>
          <w:sz w:val="26"/>
          <w:szCs w:val="26"/>
        </w:rPr>
      </w:pPr>
      <w:bookmarkStart w:id="155" w:name="_Toc41505709"/>
      <w:r>
        <w:rPr>
          <w:rFonts w:ascii="Calibri" w:hAnsi="Calibri" w:cs="Calibri"/>
          <w:b/>
          <w:sz w:val="26"/>
          <w:szCs w:val="26"/>
        </w:rPr>
        <w:t>9.</w:t>
      </w:r>
      <w:r w:rsidR="00F833E3">
        <w:rPr>
          <w:rFonts w:ascii="Calibri" w:hAnsi="Calibri" w:cs="Calibri"/>
          <w:b/>
          <w:sz w:val="26"/>
          <w:szCs w:val="26"/>
        </w:rPr>
        <w:t xml:space="preserve">1. </w:t>
      </w:r>
      <w:r w:rsidR="006C049A">
        <w:rPr>
          <w:rFonts w:ascii="Calibri" w:hAnsi="Calibri" w:cs="Calibri"/>
          <w:b/>
          <w:sz w:val="26"/>
          <w:szCs w:val="26"/>
        </w:rPr>
        <w:t>The OCP and the economic gaze</w:t>
      </w:r>
      <w:bookmarkEnd w:id="155"/>
    </w:p>
    <w:p w14:paraId="64FB17A4" w14:textId="3954C72F" w:rsidR="001D67B9" w:rsidRPr="00D9152B" w:rsidRDefault="001D67B9" w:rsidP="006771D5">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By the end of the OCP in 2002, nearly half of the population of </w:t>
      </w:r>
      <w:r w:rsidR="00A2292A">
        <w:rPr>
          <w:rFonts w:ascii="Calibri" w:hAnsi="Calibri" w:cs="Calibri"/>
          <w:sz w:val="22"/>
          <w:szCs w:val="22"/>
        </w:rPr>
        <w:t>Sub-Saharan</w:t>
      </w:r>
      <w:r w:rsidRPr="00D9152B">
        <w:rPr>
          <w:rFonts w:ascii="Calibri" w:hAnsi="Calibri" w:cs="Calibri"/>
          <w:sz w:val="22"/>
          <w:szCs w:val="22"/>
        </w:rPr>
        <w:t xml:space="preserve"> Africa lived in extreme poverty, and per capita </w:t>
      </w:r>
      <w:r w:rsidR="00AB050E">
        <w:rPr>
          <w:rFonts w:ascii="Calibri" w:hAnsi="Calibri" w:cs="Calibri"/>
          <w:sz w:val="22"/>
          <w:szCs w:val="22"/>
        </w:rPr>
        <w:t xml:space="preserve">development </w:t>
      </w:r>
      <w:r w:rsidRPr="00D9152B">
        <w:rPr>
          <w:rFonts w:ascii="Calibri" w:hAnsi="Calibri" w:cs="Calibri"/>
          <w:sz w:val="22"/>
          <w:szCs w:val="22"/>
        </w:rPr>
        <w:t xml:space="preserve">assistance had </w:t>
      </w:r>
      <w:r w:rsidRPr="00D9152B">
        <w:rPr>
          <w:rFonts w:ascii="Calibri" w:hAnsi="Calibri" w:cs="Calibri"/>
          <w:i/>
          <w:sz w:val="22"/>
          <w:szCs w:val="22"/>
        </w:rPr>
        <w:t xml:space="preserve">dropped </w:t>
      </w:r>
      <w:r w:rsidRPr="00D9152B">
        <w:rPr>
          <w:rFonts w:ascii="Calibri" w:hAnsi="Calibri" w:cs="Calibri"/>
          <w:sz w:val="22"/>
          <w:szCs w:val="22"/>
        </w:rPr>
        <w:t>forty percent, compared to 1990.</w:t>
      </w:r>
      <w:r w:rsidRPr="00D9152B">
        <w:rPr>
          <w:rStyle w:val="FootnoteReference"/>
          <w:rFonts w:ascii="Calibri" w:hAnsi="Calibri" w:cs="Calibri"/>
          <w:sz w:val="22"/>
          <w:szCs w:val="22"/>
        </w:rPr>
        <w:footnoteReference w:id="919"/>
      </w:r>
      <w:r w:rsidRPr="00D9152B">
        <w:rPr>
          <w:rFonts w:ascii="Calibri" w:hAnsi="Calibri" w:cs="Calibri"/>
          <w:sz w:val="22"/>
          <w:szCs w:val="22"/>
        </w:rPr>
        <w:t xml:space="preserve"> In terms of poverty alleviation and Health for All, one could </w:t>
      </w:r>
      <w:r w:rsidR="0068626F">
        <w:rPr>
          <w:rFonts w:ascii="Calibri" w:hAnsi="Calibri" w:cs="Calibri"/>
          <w:sz w:val="22"/>
          <w:szCs w:val="22"/>
        </w:rPr>
        <w:t xml:space="preserve">broadly </w:t>
      </w:r>
      <w:r w:rsidRPr="00D9152B">
        <w:rPr>
          <w:rFonts w:ascii="Calibri" w:hAnsi="Calibri" w:cs="Calibri"/>
          <w:sz w:val="22"/>
          <w:szCs w:val="22"/>
        </w:rPr>
        <w:t xml:space="preserve">argue that the World Bank and other multilateral agencies had failed in their </w:t>
      </w:r>
      <w:r>
        <w:rPr>
          <w:rFonts w:ascii="Calibri" w:hAnsi="Calibri" w:cs="Calibri"/>
          <w:sz w:val="22"/>
          <w:szCs w:val="22"/>
        </w:rPr>
        <w:t>mandates or pledges</w:t>
      </w:r>
      <w:r w:rsidRPr="00D9152B">
        <w:rPr>
          <w:rFonts w:ascii="Calibri" w:hAnsi="Calibri" w:cs="Calibri"/>
          <w:sz w:val="22"/>
          <w:szCs w:val="22"/>
        </w:rPr>
        <w:t xml:space="preserve">. </w:t>
      </w:r>
      <w:r w:rsidR="00A2292A">
        <w:rPr>
          <w:rFonts w:ascii="Calibri" w:hAnsi="Calibri" w:cs="Calibri"/>
          <w:sz w:val="22"/>
          <w:szCs w:val="22"/>
        </w:rPr>
        <w:t>Sub-Saharan</w:t>
      </w:r>
      <w:r w:rsidRPr="00D9152B">
        <w:rPr>
          <w:rFonts w:ascii="Calibri" w:hAnsi="Calibri" w:cs="Calibri"/>
          <w:sz w:val="22"/>
          <w:szCs w:val="22"/>
        </w:rPr>
        <w:t xml:space="preserve"> Africa became one of the major regional targets of</w:t>
      </w:r>
      <w:r>
        <w:rPr>
          <w:rFonts w:ascii="Calibri" w:hAnsi="Calibri" w:cs="Calibri"/>
          <w:sz w:val="22"/>
          <w:szCs w:val="22"/>
        </w:rPr>
        <w:t xml:space="preserve"> former</w:t>
      </w:r>
      <w:r w:rsidRPr="00D9152B">
        <w:rPr>
          <w:rFonts w:ascii="Calibri" w:hAnsi="Calibri" w:cs="Calibri"/>
          <w:sz w:val="22"/>
          <w:szCs w:val="22"/>
        </w:rPr>
        <w:t xml:space="preserve"> Bank President Jim Kim’s poverty alleviation agenda, precisely because of this acknowledged failure. The OCP </w:t>
      </w:r>
      <w:r w:rsidR="00AB050E">
        <w:rPr>
          <w:rFonts w:ascii="Calibri" w:hAnsi="Calibri" w:cs="Calibri"/>
          <w:sz w:val="22"/>
          <w:szCs w:val="22"/>
        </w:rPr>
        <w:t>has become</w:t>
      </w:r>
      <w:r w:rsidRPr="00D9152B">
        <w:rPr>
          <w:rFonts w:ascii="Calibri" w:hAnsi="Calibri" w:cs="Calibri"/>
          <w:sz w:val="22"/>
          <w:szCs w:val="22"/>
        </w:rPr>
        <w:t xml:space="preserve"> a show piece for how the Bank </w:t>
      </w:r>
      <w:r w:rsidR="00AB050E">
        <w:rPr>
          <w:rFonts w:ascii="Calibri" w:hAnsi="Calibri" w:cs="Calibri"/>
          <w:sz w:val="22"/>
          <w:szCs w:val="22"/>
        </w:rPr>
        <w:t>can</w:t>
      </w:r>
      <w:r w:rsidRPr="00D9152B">
        <w:rPr>
          <w:rFonts w:ascii="Calibri" w:hAnsi="Calibri" w:cs="Calibri"/>
          <w:sz w:val="22"/>
          <w:szCs w:val="22"/>
        </w:rPr>
        <w:t xml:space="preserve"> </w:t>
      </w:r>
      <w:r w:rsidRPr="00D9152B">
        <w:rPr>
          <w:rFonts w:ascii="Calibri" w:hAnsi="Calibri" w:cs="Calibri"/>
          <w:i/>
          <w:sz w:val="22"/>
          <w:szCs w:val="22"/>
        </w:rPr>
        <w:t xml:space="preserve">cost-effectively </w:t>
      </w:r>
      <w:r w:rsidRPr="00D9152B">
        <w:rPr>
          <w:rFonts w:ascii="Calibri" w:hAnsi="Calibri" w:cs="Calibri"/>
          <w:sz w:val="22"/>
          <w:szCs w:val="22"/>
        </w:rPr>
        <w:t>reduce poverty. In Kim’s words, the river blindness partnerships demonstrate that ‘investing in health is not just the right thing to do morally, we know that it’s the smart thing to do in terms of spurring economic growth’.</w:t>
      </w:r>
      <w:r w:rsidRPr="00D9152B">
        <w:rPr>
          <w:rStyle w:val="FootnoteReference"/>
          <w:rFonts w:ascii="Calibri" w:hAnsi="Calibri" w:cs="Calibri"/>
          <w:sz w:val="22"/>
          <w:szCs w:val="22"/>
        </w:rPr>
        <w:footnoteReference w:id="920"/>
      </w:r>
    </w:p>
    <w:p w14:paraId="3640CFF6" w14:textId="281160C0" w:rsidR="00E01C8F" w:rsidRDefault="001D67B9" w:rsidP="006771D5">
      <w:pPr>
        <w:spacing w:before="100" w:beforeAutospacing="1" w:after="100" w:afterAutospacing="1" w:line="360" w:lineRule="auto"/>
        <w:ind w:firstLine="720"/>
        <w:rPr>
          <w:rFonts w:ascii="Calibri" w:hAnsi="Calibri" w:cs="Calibri"/>
          <w:sz w:val="22"/>
          <w:szCs w:val="22"/>
        </w:rPr>
      </w:pPr>
      <w:r>
        <w:rPr>
          <w:rFonts w:ascii="Calibri" w:hAnsi="Calibri" w:cs="Calibri"/>
          <w:sz w:val="22"/>
          <w:szCs w:val="22"/>
        </w:rPr>
        <w:t xml:space="preserve">Indeed, </w:t>
      </w:r>
      <w:r w:rsidR="00AB050E">
        <w:rPr>
          <w:rFonts w:ascii="Calibri" w:hAnsi="Calibri" w:cs="Calibri"/>
          <w:sz w:val="22"/>
          <w:szCs w:val="22"/>
        </w:rPr>
        <w:t>the Bank’s</w:t>
      </w:r>
      <w:r w:rsidR="00A25ADE">
        <w:rPr>
          <w:rFonts w:ascii="Calibri" w:hAnsi="Calibri" w:cs="Calibri"/>
          <w:sz w:val="22"/>
          <w:szCs w:val="22"/>
        </w:rPr>
        <w:t xml:space="preserve"> ‘economic gaze’ and ‘investing in health’ ideolog</w:t>
      </w:r>
      <w:r w:rsidR="00A710B9">
        <w:rPr>
          <w:rFonts w:ascii="Calibri" w:hAnsi="Calibri" w:cs="Calibri"/>
          <w:sz w:val="22"/>
          <w:szCs w:val="22"/>
        </w:rPr>
        <w:t>ies</w:t>
      </w:r>
      <w:r w:rsidR="00106501">
        <w:rPr>
          <w:rStyle w:val="FootnoteReference"/>
          <w:rFonts w:cs="Calibri"/>
        </w:rPr>
        <w:footnoteReference w:id="921"/>
      </w:r>
      <w:r w:rsidR="00AB050E">
        <w:rPr>
          <w:rFonts w:ascii="Calibri" w:hAnsi="Calibri" w:cs="Calibri"/>
          <w:sz w:val="22"/>
          <w:szCs w:val="22"/>
        </w:rPr>
        <w:t xml:space="preserve"> </w:t>
      </w:r>
      <w:r>
        <w:rPr>
          <w:rFonts w:ascii="Calibri" w:hAnsi="Calibri" w:cs="Calibri"/>
          <w:sz w:val="22"/>
          <w:szCs w:val="22"/>
        </w:rPr>
        <w:t>have</w:t>
      </w:r>
      <w:r w:rsidR="00A25ADE">
        <w:rPr>
          <w:rFonts w:ascii="Calibri" w:hAnsi="Calibri" w:cs="Calibri"/>
          <w:sz w:val="22"/>
          <w:szCs w:val="22"/>
        </w:rPr>
        <w:t xml:space="preserve"> become more engrained</w:t>
      </w:r>
      <w:r>
        <w:rPr>
          <w:rFonts w:ascii="Calibri" w:hAnsi="Calibri" w:cs="Calibri"/>
          <w:sz w:val="22"/>
          <w:szCs w:val="22"/>
        </w:rPr>
        <w:t xml:space="preserve"> in global health over the last seventeen years</w:t>
      </w:r>
      <w:r w:rsidR="00A710B9">
        <w:rPr>
          <w:rFonts w:ascii="Calibri" w:hAnsi="Calibri" w:cs="Calibri"/>
          <w:sz w:val="22"/>
          <w:szCs w:val="22"/>
        </w:rPr>
        <w:t>, since the closure of the OCP</w:t>
      </w:r>
      <w:r w:rsidR="00A25ADE">
        <w:rPr>
          <w:rFonts w:ascii="Calibri" w:hAnsi="Calibri" w:cs="Calibri"/>
          <w:sz w:val="22"/>
          <w:szCs w:val="22"/>
        </w:rPr>
        <w:t xml:space="preserve">. </w:t>
      </w:r>
      <w:r>
        <w:rPr>
          <w:rFonts w:ascii="Calibri" w:hAnsi="Calibri" w:cs="Calibri"/>
          <w:sz w:val="22"/>
          <w:szCs w:val="22"/>
        </w:rPr>
        <w:t>For example, t</w:t>
      </w:r>
      <w:r w:rsidR="00A25ADE">
        <w:rPr>
          <w:rFonts w:ascii="Calibri" w:hAnsi="Calibri" w:cs="Calibri"/>
          <w:sz w:val="22"/>
          <w:szCs w:val="22"/>
        </w:rPr>
        <w:t xml:space="preserve">he Bank’s 2007 Health, Nutrition and Population strategy </w:t>
      </w:r>
      <w:r w:rsidR="00A5006F">
        <w:rPr>
          <w:rFonts w:ascii="Calibri" w:hAnsi="Calibri" w:cs="Calibri"/>
          <w:sz w:val="22"/>
          <w:szCs w:val="22"/>
        </w:rPr>
        <w:t xml:space="preserve">paper </w:t>
      </w:r>
      <w:r w:rsidR="00A25ADE">
        <w:rPr>
          <w:rFonts w:ascii="Calibri" w:hAnsi="Calibri" w:cs="Calibri"/>
          <w:sz w:val="22"/>
          <w:szCs w:val="22"/>
        </w:rPr>
        <w:t xml:space="preserve">described </w:t>
      </w:r>
      <w:r w:rsidR="00A25ADE" w:rsidRPr="000B595A">
        <w:rPr>
          <w:rFonts w:ascii="Calibri" w:hAnsi="Calibri" w:cs="Calibri"/>
          <w:sz w:val="22"/>
          <w:szCs w:val="22"/>
        </w:rPr>
        <w:t>the ‘improved synergy’ and ‘efficiency gains’ that could be accomplished by fusing multiple disease-specific programmes</w:t>
      </w:r>
      <w:r w:rsidR="00A25ADE">
        <w:rPr>
          <w:rFonts w:ascii="Calibri" w:hAnsi="Calibri" w:cs="Calibri"/>
          <w:sz w:val="22"/>
          <w:szCs w:val="22"/>
        </w:rPr>
        <w:t>,</w:t>
      </w:r>
      <w:r w:rsidR="00A25ADE" w:rsidRPr="000B595A">
        <w:rPr>
          <w:rStyle w:val="FootnoteReference"/>
          <w:rFonts w:ascii="Calibri" w:hAnsi="Calibri" w:cs="Calibri"/>
          <w:sz w:val="22"/>
          <w:szCs w:val="22"/>
        </w:rPr>
        <w:footnoteReference w:id="922"/>
      </w:r>
      <w:r w:rsidR="00A25ADE">
        <w:rPr>
          <w:rFonts w:ascii="Calibri" w:hAnsi="Calibri" w:cs="Calibri"/>
          <w:sz w:val="22"/>
          <w:szCs w:val="22"/>
        </w:rPr>
        <w:t xml:space="preserve"> and the Bank was involved in the 2013 Lancet Commission (</w:t>
      </w:r>
      <w:r w:rsidR="00A25ADE">
        <w:rPr>
          <w:rFonts w:ascii="Calibri" w:hAnsi="Calibri" w:cs="Calibri"/>
          <w:i/>
          <w:sz w:val="22"/>
          <w:szCs w:val="22"/>
        </w:rPr>
        <w:t>Investing in health</w:t>
      </w:r>
      <w:r w:rsidR="00A25ADE">
        <w:rPr>
          <w:rFonts w:ascii="Calibri" w:hAnsi="Calibri" w:cs="Calibri"/>
          <w:sz w:val="22"/>
          <w:szCs w:val="22"/>
        </w:rPr>
        <w:t xml:space="preserve">), which called the elimination of high-burden neglected tropical diseases </w:t>
      </w:r>
      <w:r w:rsidR="00A25ADE" w:rsidRPr="000B595A">
        <w:rPr>
          <w:rFonts w:ascii="Calibri" w:hAnsi="Calibri" w:cs="Calibri"/>
          <w:sz w:val="22"/>
          <w:szCs w:val="22"/>
        </w:rPr>
        <w:t>‘a very good value for money’</w:t>
      </w:r>
      <w:r w:rsidR="00A25ADE">
        <w:rPr>
          <w:rFonts w:ascii="Calibri" w:hAnsi="Calibri" w:cs="Calibri"/>
          <w:sz w:val="22"/>
          <w:szCs w:val="22"/>
        </w:rPr>
        <w:t>.</w:t>
      </w:r>
      <w:r w:rsidR="00A25ADE" w:rsidRPr="000B595A">
        <w:rPr>
          <w:rStyle w:val="FootnoteReference"/>
          <w:rFonts w:ascii="Calibri" w:hAnsi="Calibri" w:cs="Calibri"/>
          <w:sz w:val="22"/>
          <w:szCs w:val="22"/>
        </w:rPr>
        <w:footnoteReference w:id="923"/>
      </w:r>
      <w:r w:rsidR="00A25ADE" w:rsidRPr="000B595A">
        <w:rPr>
          <w:rFonts w:ascii="Calibri" w:hAnsi="Calibri" w:cs="Calibri"/>
          <w:sz w:val="22"/>
          <w:szCs w:val="22"/>
        </w:rPr>
        <w:t xml:space="preserve"> </w:t>
      </w:r>
      <w:r w:rsidR="00A25ADE">
        <w:rPr>
          <w:rFonts w:ascii="Calibri" w:hAnsi="Calibri" w:cs="Calibri"/>
          <w:sz w:val="22"/>
          <w:szCs w:val="22"/>
        </w:rPr>
        <w:t xml:space="preserve">In 2007, Bank President Jim Kim introduced the Human Capital Index, </w:t>
      </w:r>
      <w:r w:rsidR="001F5548">
        <w:rPr>
          <w:rFonts w:ascii="Calibri" w:hAnsi="Calibri" w:cs="Calibri"/>
          <w:sz w:val="22"/>
          <w:szCs w:val="22"/>
        </w:rPr>
        <w:t>as a tool to</w:t>
      </w:r>
      <w:r w:rsidR="00A25ADE">
        <w:rPr>
          <w:rFonts w:ascii="Calibri" w:hAnsi="Calibri" w:cs="Calibri"/>
          <w:sz w:val="22"/>
          <w:szCs w:val="22"/>
        </w:rPr>
        <w:t xml:space="preserve"> </w:t>
      </w:r>
      <w:r w:rsidR="007537FC" w:rsidRPr="000B595A">
        <w:rPr>
          <w:rFonts w:ascii="Calibri" w:hAnsi="Calibri" w:cs="Calibri"/>
          <w:sz w:val="22"/>
          <w:szCs w:val="22"/>
        </w:rPr>
        <w:t xml:space="preserve">‘measure countries’ investments in the education and health of their own citizenry’, </w:t>
      </w:r>
      <w:r w:rsidR="001F5548">
        <w:rPr>
          <w:rFonts w:ascii="Calibri" w:hAnsi="Calibri" w:cs="Calibri"/>
          <w:sz w:val="22"/>
          <w:szCs w:val="22"/>
        </w:rPr>
        <w:t>based on</w:t>
      </w:r>
      <w:r w:rsidR="007537FC" w:rsidRPr="000B595A">
        <w:rPr>
          <w:rFonts w:ascii="Calibri" w:hAnsi="Calibri" w:cs="Calibri"/>
          <w:sz w:val="22"/>
          <w:szCs w:val="22"/>
        </w:rPr>
        <w:t xml:space="preserve"> the assumption that dollars spent on </w:t>
      </w:r>
      <w:r w:rsidR="007537FC" w:rsidRPr="000B595A">
        <w:rPr>
          <w:rFonts w:ascii="Calibri" w:hAnsi="Calibri" w:cs="Calibri"/>
          <w:sz w:val="22"/>
          <w:szCs w:val="22"/>
        </w:rPr>
        <w:lastRenderedPageBreak/>
        <w:t>health services are investments in a country’s economies.</w:t>
      </w:r>
      <w:r w:rsidR="007537FC" w:rsidRPr="000B595A">
        <w:rPr>
          <w:rStyle w:val="FootnoteReference"/>
          <w:rFonts w:ascii="Calibri" w:hAnsi="Calibri" w:cs="Calibri"/>
          <w:sz w:val="22"/>
          <w:szCs w:val="22"/>
        </w:rPr>
        <w:footnoteReference w:id="924"/>
      </w:r>
      <w:r w:rsidR="00A25ADE">
        <w:rPr>
          <w:rFonts w:ascii="Calibri" w:hAnsi="Calibri" w:cs="Calibri"/>
          <w:sz w:val="22"/>
          <w:szCs w:val="22"/>
        </w:rPr>
        <w:t xml:space="preserve"> Most recently, through a 2019 joint statement with Gavi, the Global Fund, the Organisation for Economic Cooperation and Development (OECD), and the World Health Organization (WHO), the Bank announced that it </w:t>
      </w:r>
      <w:r w:rsidR="00E01C8F" w:rsidRPr="000B595A">
        <w:rPr>
          <w:rFonts w:ascii="Calibri" w:hAnsi="Calibri" w:cs="Calibri"/>
          <w:sz w:val="22"/>
          <w:szCs w:val="22"/>
        </w:rPr>
        <w:t xml:space="preserve">would invest in ‘high performing’ </w:t>
      </w:r>
      <w:r w:rsidR="00A25ADE">
        <w:rPr>
          <w:rFonts w:ascii="Calibri" w:hAnsi="Calibri" w:cs="Calibri"/>
          <w:sz w:val="22"/>
          <w:szCs w:val="22"/>
        </w:rPr>
        <w:t>primary health care</w:t>
      </w:r>
      <w:r w:rsidR="00E01C8F" w:rsidRPr="000B595A">
        <w:rPr>
          <w:rFonts w:ascii="Calibri" w:hAnsi="Calibri" w:cs="Calibri"/>
          <w:sz w:val="22"/>
          <w:szCs w:val="22"/>
        </w:rPr>
        <w:t xml:space="preserve"> systems because they are ‘best buys’ for achieving</w:t>
      </w:r>
      <w:r w:rsidR="00A25ADE">
        <w:rPr>
          <w:rFonts w:ascii="Calibri" w:hAnsi="Calibri" w:cs="Calibri"/>
          <w:sz w:val="22"/>
          <w:szCs w:val="22"/>
        </w:rPr>
        <w:t xml:space="preserve"> these</w:t>
      </w:r>
      <w:r w:rsidR="00E01C8F" w:rsidRPr="000B595A">
        <w:rPr>
          <w:rFonts w:ascii="Calibri" w:hAnsi="Calibri" w:cs="Calibri"/>
          <w:sz w:val="22"/>
          <w:szCs w:val="22"/>
        </w:rPr>
        <w:t xml:space="preserve"> </w:t>
      </w:r>
      <w:r w:rsidR="00E01C8F" w:rsidRPr="00A25ADE">
        <w:rPr>
          <w:rFonts w:ascii="Calibri" w:hAnsi="Calibri" w:cs="Calibri"/>
          <w:sz w:val="22"/>
          <w:szCs w:val="22"/>
        </w:rPr>
        <w:t>human capital</w:t>
      </w:r>
      <w:r w:rsidR="00E01C8F" w:rsidRPr="000B595A">
        <w:rPr>
          <w:rFonts w:ascii="Calibri" w:hAnsi="Calibri" w:cs="Calibri"/>
          <w:i/>
          <w:sz w:val="22"/>
          <w:szCs w:val="22"/>
        </w:rPr>
        <w:t xml:space="preserve"> </w:t>
      </w:r>
      <w:r w:rsidR="00E01C8F" w:rsidRPr="000B595A">
        <w:rPr>
          <w:rFonts w:ascii="Calibri" w:hAnsi="Calibri" w:cs="Calibri"/>
          <w:sz w:val="22"/>
          <w:szCs w:val="22"/>
        </w:rPr>
        <w:t>outcomes.</w:t>
      </w:r>
      <w:r w:rsidR="00E01C8F" w:rsidRPr="000B595A">
        <w:rPr>
          <w:rStyle w:val="FootnoteReference"/>
          <w:rFonts w:ascii="Calibri" w:hAnsi="Calibri" w:cs="Calibri"/>
          <w:sz w:val="22"/>
          <w:szCs w:val="22"/>
        </w:rPr>
        <w:footnoteReference w:id="925"/>
      </w:r>
      <w:r w:rsidR="00E01C8F" w:rsidRPr="000B595A">
        <w:rPr>
          <w:rFonts w:ascii="Calibri" w:hAnsi="Calibri" w:cs="Calibri"/>
          <w:sz w:val="22"/>
          <w:szCs w:val="22"/>
        </w:rPr>
        <w:t xml:space="preserve"> </w:t>
      </w:r>
    </w:p>
    <w:p w14:paraId="3E3036A6" w14:textId="69B512DA" w:rsidR="00992A29" w:rsidRPr="00D9152B" w:rsidRDefault="00AB050E" w:rsidP="006771D5">
      <w:pPr>
        <w:spacing w:before="100" w:beforeAutospacing="1" w:after="100" w:afterAutospacing="1" w:line="360" w:lineRule="auto"/>
        <w:ind w:firstLine="720"/>
        <w:rPr>
          <w:rFonts w:ascii="Calibri" w:hAnsi="Calibri" w:cs="Calibri"/>
          <w:sz w:val="22"/>
          <w:szCs w:val="22"/>
        </w:rPr>
      </w:pPr>
      <w:r>
        <w:rPr>
          <w:rFonts w:ascii="Calibri" w:hAnsi="Calibri" w:cs="Calibri"/>
          <w:sz w:val="22"/>
          <w:szCs w:val="22"/>
        </w:rPr>
        <w:t xml:space="preserve">Seen in this context, how do the OCP dominant and alternative narratives relate to the impact-based, marketing, and constructivist frameworks of success? This </w:t>
      </w:r>
      <w:r w:rsidR="00F607F5">
        <w:rPr>
          <w:rFonts w:ascii="Calibri" w:hAnsi="Calibri" w:cs="Calibri"/>
          <w:sz w:val="22"/>
          <w:szCs w:val="22"/>
        </w:rPr>
        <w:t xml:space="preserve">chapter concludes </w:t>
      </w:r>
      <w:r w:rsidR="009342A1">
        <w:rPr>
          <w:rFonts w:ascii="Calibri" w:hAnsi="Calibri" w:cs="Calibri"/>
          <w:sz w:val="22"/>
          <w:szCs w:val="22"/>
        </w:rPr>
        <w:t xml:space="preserve">that </w:t>
      </w:r>
      <w:r>
        <w:rPr>
          <w:rFonts w:ascii="Calibri" w:hAnsi="Calibri" w:cs="Calibri"/>
          <w:sz w:val="22"/>
          <w:szCs w:val="22"/>
        </w:rPr>
        <w:t xml:space="preserve">the OCP has become a part of the global health ‘success cartel’, because </w:t>
      </w:r>
      <w:r w:rsidR="009342A1">
        <w:rPr>
          <w:rFonts w:ascii="Calibri" w:hAnsi="Calibri" w:cs="Calibri"/>
          <w:sz w:val="22"/>
          <w:szCs w:val="22"/>
        </w:rPr>
        <w:t xml:space="preserve">it </w:t>
      </w:r>
      <w:r>
        <w:rPr>
          <w:rFonts w:ascii="Calibri" w:hAnsi="Calibri" w:cs="Calibri"/>
          <w:sz w:val="22"/>
          <w:szCs w:val="22"/>
        </w:rPr>
        <w:t xml:space="preserve">can be marshalled in support of the Bank’s institutional ethos – and that the Bank has actively </w:t>
      </w:r>
      <w:r>
        <w:rPr>
          <w:rFonts w:ascii="Calibri" w:hAnsi="Calibri" w:cs="Calibri"/>
          <w:i/>
          <w:sz w:val="22"/>
          <w:szCs w:val="22"/>
        </w:rPr>
        <w:t xml:space="preserve">constructed </w:t>
      </w:r>
      <w:r>
        <w:rPr>
          <w:rFonts w:ascii="Calibri" w:hAnsi="Calibri" w:cs="Calibri"/>
          <w:sz w:val="22"/>
          <w:szCs w:val="22"/>
        </w:rPr>
        <w:t xml:space="preserve">its success narrative. Specifically, the chapter first summarises the ways in which the Bank’s dominant OCP narrative reflects </w:t>
      </w:r>
      <w:r w:rsidR="00C537E8">
        <w:rPr>
          <w:rFonts w:ascii="Calibri" w:hAnsi="Calibri" w:cs="Calibri"/>
          <w:sz w:val="22"/>
          <w:szCs w:val="22"/>
        </w:rPr>
        <w:t xml:space="preserve">components of </w:t>
      </w:r>
      <w:r>
        <w:rPr>
          <w:rFonts w:ascii="Calibri" w:hAnsi="Calibri" w:cs="Calibri"/>
          <w:sz w:val="22"/>
          <w:szCs w:val="22"/>
        </w:rPr>
        <w:t>the World Ban</w:t>
      </w:r>
      <w:r w:rsidR="00392560">
        <w:rPr>
          <w:rFonts w:ascii="Calibri" w:hAnsi="Calibri" w:cs="Calibri"/>
          <w:sz w:val="22"/>
          <w:szCs w:val="22"/>
        </w:rPr>
        <w:t xml:space="preserve">k’s </w:t>
      </w:r>
      <w:r w:rsidR="00C537E8">
        <w:rPr>
          <w:rFonts w:ascii="Calibri" w:hAnsi="Calibri" w:cs="Calibri"/>
          <w:sz w:val="22"/>
          <w:szCs w:val="22"/>
        </w:rPr>
        <w:t>conceptual framework</w:t>
      </w:r>
      <w:r>
        <w:rPr>
          <w:rFonts w:ascii="Calibri" w:hAnsi="Calibri" w:cs="Calibri"/>
          <w:sz w:val="22"/>
          <w:szCs w:val="22"/>
        </w:rPr>
        <w:t xml:space="preserve"> </w:t>
      </w:r>
      <w:r w:rsidR="00C537E8">
        <w:rPr>
          <w:rFonts w:ascii="Calibri" w:hAnsi="Calibri" w:cs="Calibri"/>
          <w:sz w:val="22"/>
          <w:szCs w:val="22"/>
        </w:rPr>
        <w:t xml:space="preserve">for health </w:t>
      </w:r>
      <w:r>
        <w:rPr>
          <w:rFonts w:ascii="Calibri" w:hAnsi="Calibri" w:cs="Calibri"/>
          <w:sz w:val="22"/>
          <w:szCs w:val="22"/>
        </w:rPr>
        <w:t xml:space="preserve">since 2000. </w:t>
      </w:r>
      <w:r w:rsidR="00A710B9">
        <w:rPr>
          <w:rFonts w:ascii="Calibri" w:hAnsi="Calibri" w:cs="Calibri"/>
          <w:sz w:val="22"/>
          <w:szCs w:val="22"/>
        </w:rPr>
        <w:t>Next</w:t>
      </w:r>
      <w:r>
        <w:rPr>
          <w:rFonts w:ascii="Calibri" w:hAnsi="Calibri" w:cs="Calibri"/>
          <w:sz w:val="22"/>
          <w:szCs w:val="22"/>
        </w:rPr>
        <w:t xml:space="preserve">, </w:t>
      </w:r>
      <w:r w:rsidR="009342A1">
        <w:rPr>
          <w:rFonts w:ascii="Calibri" w:hAnsi="Calibri" w:cs="Calibri"/>
          <w:sz w:val="22"/>
          <w:szCs w:val="22"/>
        </w:rPr>
        <w:t>it showcases the selective nature of success stories, by summarising</w:t>
      </w:r>
      <w:r w:rsidR="00A710B9">
        <w:rPr>
          <w:rFonts w:ascii="Calibri" w:hAnsi="Calibri" w:cs="Calibri"/>
          <w:sz w:val="22"/>
          <w:szCs w:val="22"/>
        </w:rPr>
        <w:t xml:space="preserve"> ‘alternative’ lessons – and potential research questions that they pose – from the underlying narrative. </w:t>
      </w:r>
      <w:r>
        <w:rPr>
          <w:rFonts w:ascii="Calibri" w:hAnsi="Calibri" w:cs="Calibri"/>
          <w:sz w:val="22"/>
          <w:szCs w:val="22"/>
        </w:rPr>
        <w:t xml:space="preserve"> </w:t>
      </w:r>
      <w:r w:rsidR="00A710B9">
        <w:rPr>
          <w:rFonts w:ascii="Calibri" w:hAnsi="Calibri" w:cs="Calibri"/>
          <w:sz w:val="22"/>
          <w:szCs w:val="22"/>
        </w:rPr>
        <w:t>The chapter then</w:t>
      </w:r>
      <w:r>
        <w:rPr>
          <w:rFonts w:ascii="Calibri" w:hAnsi="Calibri" w:cs="Calibri"/>
          <w:sz w:val="22"/>
          <w:szCs w:val="22"/>
        </w:rPr>
        <w:t xml:space="preserve"> describes </w:t>
      </w:r>
      <w:r w:rsidR="009342A1">
        <w:rPr>
          <w:rFonts w:ascii="Calibri" w:hAnsi="Calibri" w:cs="Calibri"/>
          <w:sz w:val="22"/>
          <w:szCs w:val="22"/>
        </w:rPr>
        <w:t>shortcomings of</w:t>
      </w:r>
      <w:r>
        <w:rPr>
          <w:rFonts w:ascii="Calibri" w:hAnsi="Calibri" w:cs="Calibri"/>
          <w:sz w:val="22"/>
          <w:szCs w:val="22"/>
        </w:rPr>
        <w:t xml:space="preserve"> the pervasive impact model of success, and uses the example of the </w:t>
      </w:r>
      <w:r w:rsidR="009342A1">
        <w:rPr>
          <w:rFonts w:ascii="Calibri" w:hAnsi="Calibri" w:cs="Calibri"/>
          <w:sz w:val="22"/>
          <w:szCs w:val="22"/>
        </w:rPr>
        <w:t>‘</w:t>
      </w:r>
      <w:r>
        <w:rPr>
          <w:rFonts w:ascii="Calibri" w:hAnsi="Calibri" w:cs="Calibri"/>
          <w:sz w:val="22"/>
          <w:szCs w:val="22"/>
        </w:rPr>
        <w:t>onchocerciasis image</w:t>
      </w:r>
      <w:r w:rsidR="009342A1">
        <w:rPr>
          <w:rFonts w:ascii="Calibri" w:hAnsi="Calibri" w:cs="Calibri"/>
          <w:sz w:val="22"/>
          <w:szCs w:val="22"/>
        </w:rPr>
        <w:t>’</w:t>
      </w:r>
      <w:r>
        <w:rPr>
          <w:rFonts w:ascii="Calibri" w:hAnsi="Calibri" w:cs="Calibri"/>
          <w:sz w:val="22"/>
          <w:szCs w:val="22"/>
        </w:rPr>
        <w:t xml:space="preserve"> to show how success</w:t>
      </w:r>
      <w:r w:rsidR="00C537E8">
        <w:rPr>
          <w:rFonts w:ascii="Calibri" w:hAnsi="Calibri" w:cs="Calibri"/>
          <w:sz w:val="22"/>
          <w:szCs w:val="22"/>
        </w:rPr>
        <w:t xml:space="preserve"> stories</w:t>
      </w:r>
      <w:r>
        <w:rPr>
          <w:rFonts w:ascii="Calibri" w:hAnsi="Calibri" w:cs="Calibri"/>
          <w:sz w:val="22"/>
          <w:szCs w:val="22"/>
        </w:rPr>
        <w:t xml:space="preserve"> can be</w:t>
      </w:r>
      <w:r w:rsidR="009342A1">
        <w:rPr>
          <w:rFonts w:ascii="Calibri" w:hAnsi="Calibri" w:cs="Calibri"/>
          <w:sz w:val="22"/>
          <w:szCs w:val="22"/>
        </w:rPr>
        <w:t xml:space="preserve"> (and have been)</w:t>
      </w:r>
      <w:r>
        <w:rPr>
          <w:rFonts w:ascii="Calibri" w:hAnsi="Calibri" w:cs="Calibri"/>
          <w:sz w:val="22"/>
          <w:szCs w:val="22"/>
        </w:rPr>
        <w:t xml:space="preserve"> constructed. </w:t>
      </w:r>
      <w:r w:rsidR="00A710B9">
        <w:rPr>
          <w:rFonts w:ascii="Calibri" w:hAnsi="Calibri" w:cs="Calibri"/>
          <w:sz w:val="22"/>
          <w:szCs w:val="22"/>
        </w:rPr>
        <w:t>Finally</w:t>
      </w:r>
      <w:r>
        <w:rPr>
          <w:rFonts w:ascii="Calibri" w:hAnsi="Calibri" w:cs="Calibri"/>
          <w:sz w:val="22"/>
          <w:szCs w:val="22"/>
        </w:rPr>
        <w:t xml:space="preserve">, it </w:t>
      </w:r>
      <w:r w:rsidR="007E6758">
        <w:rPr>
          <w:rFonts w:ascii="Calibri" w:hAnsi="Calibri" w:cs="Calibri"/>
          <w:sz w:val="22"/>
          <w:szCs w:val="22"/>
        </w:rPr>
        <w:t>explains how</w:t>
      </w:r>
      <w:r>
        <w:rPr>
          <w:rFonts w:ascii="Calibri" w:hAnsi="Calibri" w:cs="Calibri"/>
          <w:sz w:val="22"/>
          <w:szCs w:val="22"/>
        </w:rPr>
        <w:t xml:space="preserve"> marketing was a mechanism for institutionalizing success stories during the OCP, and </w:t>
      </w:r>
      <w:r w:rsidR="006A3D20">
        <w:rPr>
          <w:rFonts w:ascii="Calibri" w:hAnsi="Calibri" w:cs="Calibri"/>
          <w:sz w:val="22"/>
          <w:szCs w:val="22"/>
        </w:rPr>
        <w:t>how the</w:t>
      </w:r>
      <w:r>
        <w:rPr>
          <w:rFonts w:ascii="Calibri" w:hAnsi="Calibri" w:cs="Calibri"/>
          <w:sz w:val="22"/>
          <w:szCs w:val="22"/>
        </w:rPr>
        <w:t xml:space="preserve"> Bank is uniquely positioned to market stories</w:t>
      </w:r>
      <w:r w:rsidR="009342A1">
        <w:rPr>
          <w:rFonts w:ascii="Calibri" w:hAnsi="Calibri" w:cs="Calibri"/>
          <w:sz w:val="22"/>
          <w:szCs w:val="22"/>
        </w:rPr>
        <w:t xml:space="preserve"> – and the metrics that underpin them –</w:t>
      </w:r>
      <w:r>
        <w:rPr>
          <w:rFonts w:ascii="Calibri" w:hAnsi="Calibri" w:cs="Calibri"/>
          <w:sz w:val="22"/>
          <w:szCs w:val="22"/>
        </w:rPr>
        <w:t xml:space="preserve"> effectively. </w:t>
      </w:r>
      <w:r w:rsidR="007E6758">
        <w:rPr>
          <w:rFonts w:ascii="Calibri" w:hAnsi="Calibri" w:cs="Calibri"/>
          <w:sz w:val="22"/>
          <w:szCs w:val="22"/>
        </w:rPr>
        <w:t xml:space="preserve">Ultimately, </w:t>
      </w:r>
      <w:r w:rsidR="00A1514F">
        <w:rPr>
          <w:rFonts w:ascii="Calibri" w:hAnsi="Calibri" w:cs="Calibri"/>
          <w:sz w:val="22"/>
          <w:szCs w:val="22"/>
        </w:rPr>
        <w:t xml:space="preserve">I argue that </w:t>
      </w:r>
      <w:r w:rsidR="006A3D20">
        <w:rPr>
          <w:rFonts w:ascii="Calibri" w:hAnsi="Calibri" w:cs="Calibri"/>
          <w:sz w:val="22"/>
          <w:szCs w:val="22"/>
        </w:rPr>
        <w:t xml:space="preserve">the </w:t>
      </w:r>
      <w:r w:rsidR="00A1514F">
        <w:rPr>
          <w:rFonts w:ascii="Calibri" w:hAnsi="Calibri" w:cs="Calibri"/>
          <w:sz w:val="22"/>
          <w:szCs w:val="22"/>
        </w:rPr>
        <w:t xml:space="preserve">Bank has taken on a role beyond the </w:t>
      </w:r>
      <w:r w:rsidR="00A1514F">
        <w:rPr>
          <w:rFonts w:ascii="Calibri" w:hAnsi="Calibri" w:cs="Calibri"/>
          <w:i/>
          <w:sz w:val="22"/>
          <w:szCs w:val="22"/>
        </w:rPr>
        <w:t>Godfather of the OCP</w:t>
      </w:r>
      <w:r w:rsidR="00C537E8">
        <w:rPr>
          <w:rFonts w:ascii="Calibri" w:hAnsi="Calibri" w:cs="Calibri"/>
          <w:i/>
          <w:sz w:val="22"/>
          <w:szCs w:val="22"/>
        </w:rPr>
        <w:t xml:space="preserve">; </w:t>
      </w:r>
      <w:r w:rsidR="00A1514F">
        <w:rPr>
          <w:rFonts w:ascii="Calibri" w:hAnsi="Calibri" w:cs="Calibri"/>
          <w:sz w:val="22"/>
          <w:szCs w:val="22"/>
        </w:rPr>
        <w:t xml:space="preserve">it has become </w:t>
      </w:r>
      <w:r w:rsidR="00A710B9">
        <w:rPr>
          <w:rFonts w:ascii="Calibri" w:hAnsi="Calibri" w:cs="Calibri"/>
          <w:sz w:val="22"/>
          <w:szCs w:val="22"/>
        </w:rPr>
        <w:t>the</w:t>
      </w:r>
      <w:r w:rsidR="00A1514F">
        <w:rPr>
          <w:rFonts w:ascii="Calibri" w:hAnsi="Calibri" w:cs="Calibri"/>
          <w:sz w:val="22"/>
          <w:szCs w:val="22"/>
        </w:rPr>
        <w:t xml:space="preserve"> </w:t>
      </w:r>
      <w:r w:rsidR="00C537E8">
        <w:rPr>
          <w:rFonts w:ascii="Calibri" w:hAnsi="Calibri" w:cs="Calibri"/>
          <w:sz w:val="22"/>
          <w:szCs w:val="22"/>
        </w:rPr>
        <w:t xml:space="preserve">de facto </w:t>
      </w:r>
      <w:r w:rsidR="00A1514F">
        <w:rPr>
          <w:rFonts w:ascii="Calibri" w:hAnsi="Calibri" w:cs="Calibri"/>
          <w:i/>
          <w:sz w:val="22"/>
          <w:szCs w:val="22"/>
        </w:rPr>
        <w:t>Godfather of Global Health.</w:t>
      </w:r>
      <w:r w:rsidR="00A1514F">
        <w:rPr>
          <w:rFonts w:ascii="Calibri" w:hAnsi="Calibri" w:cs="Calibri"/>
          <w:sz w:val="22"/>
          <w:szCs w:val="22"/>
        </w:rPr>
        <w:t xml:space="preserve"> The dissertation concludes with a reflection on the</w:t>
      </w:r>
      <w:r>
        <w:rPr>
          <w:rFonts w:ascii="Calibri" w:hAnsi="Calibri" w:cs="Calibri"/>
          <w:sz w:val="22"/>
          <w:szCs w:val="22"/>
        </w:rPr>
        <w:t xml:space="preserve"> reproducibility of success stories, and suggestions for countering</w:t>
      </w:r>
      <w:r w:rsidR="00C537E8">
        <w:rPr>
          <w:rFonts w:ascii="Calibri" w:hAnsi="Calibri" w:cs="Calibri"/>
          <w:sz w:val="22"/>
          <w:szCs w:val="22"/>
        </w:rPr>
        <w:t xml:space="preserve"> </w:t>
      </w:r>
      <w:r>
        <w:rPr>
          <w:rFonts w:ascii="Calibri" w:hAnsi="Calibri" w:cs="Calibri"/>
          <w:sz w:val="22"/>
          <w:szCs w:val="22"/>
        </w:rPr>
        <w:t>the global health success cartel.</w:t>
      </w:r>
    </w:p>
    <w:p w14:paraId="61201318" w14:textId="633A267A" w:rsidR="00CC6589" w:rsidRPr="00D9600A" w:rsidRDefault="00BD1901" w:rsidP="00D9600A">
      <w:pPr>
        <w:pStyle w:val="Heading2"/>
        <w:rPr>
          <w:rFonts w:ascii="Calibri" w:hAnsi="Calibri" w:cs="Calibri"/>
          <w:b/>
          <w:sz w:val="26"/>
          <w:szCs w:val="26"/>
        </w:rPr>
      </w:pPr>
      <w:bookmarkStart w:id="156" w:name="_Toc41505710"/>
      <w:r>
        <w:rPr>
          <w:rFonts w:ascii="Calibri" w:hAnsi="Calibri" w:cs="Calibri"/>
          <w:b/>
          <w:sz w:val="26"/>
          <w:szCs w:val="26"/>
        </w:rPr>
        <w:t>9.</w:t>
      </w:r>
      <w:r w:rsidR="009342A1">
        <w:rPr>
          <w:rFonts w:ascii="Calibri" w:hAnsi="Calibri" w:cs="Calibri"/>
          <w:b/>
          <w:sz w:val="26"/>
          <w:szCs w:val="26"/>
        </w:rPr>
        <w:t>2</w:t>
      </w:r>
      <w:r>
        <w:rPr>
          <w:rFonts w:ascii="Calibri" w:hAnsi="Calibri" w:cs="Calibri"/>
          <w:b/>
          <w:sz w:val="26"/>
          <w:szCs w:val="26"/>
        </w:rPr>
        <w:t xml:space="preserve">. </w:t>
      </w:r>
      <w:r w:rsidR="0018752B">
        <w:rPr>
          <w:rFonts w:ascii="Calibri" w:hAnsi="Calibri" w:cs="Calibri"/>
          <w:b/>
          <w:sz w:val="26"/>
          <w:szCs w:val="26"/>
        </w:rPr>
        <w:t>The dominant narrative &amp;</w:t>
      </w:r>
      <w:r>
        <w:rPr>
          <w:rFonts w:ascii="Calibri" w:hAnsi="Calibri" w:cs="Calibri"/>
          <w:b/>
          <w:sz w:val="26"/>
          <w:szCs w:val="26"/>
        </w:rPr>
        <w:t xml:space="preserve"> evolving global health ethos at the World Bank</w:t>
      </w:r>
      <w:bookmarkEnd w:id="156"/>
    </w:p>
    <w:p w14:paraId="1BE52969" w14:textId="7C04D9F0" w:rsidR="00A710B9" w:rsidRDefault="009342A1" w:rsidP="00A710B9">
      <w:pPr>
        <w:spacing w:before="100" w:beforeAutospacing="1" w:after="100" w:afterAutospacing="1" w:line="360" w:lineRule="auto"/>
        <w:ind w:firstLine="720"/>
        <w:rPr>
          <w:rFonts w:ascii="Calibri" w:hAnsi="Calibri" w:cs="Calibri"/>
          <w:sz w:val="22"/>
          <w:szCs w:val="22"/>
        </w:rPr>
      </w:pPr>
      <w:r>
        <w:rPr>
          <w:rFonts w:ascii="Calibri" w:hAnsi="Calibri" w:cs="Calibri"/>
          <w:sz w:val="22"/>
          <w:szCs w:val="22"/>
        </w:rPr>
        <w:t xml:space="preserve">During the </w:t>
      </w:r>
      <w:r w:rsidRPr="006771D5">
        <w:rPr>
          <w:rFonts w:ascii="Calibri" w:hAnsi="Calibri" w:cs="Calibri"/>
          <w:sz w:val="22"/>
          <w:szCs w:val="22"/>
        </w:rPr>
        <w:t xml:space="preserve">OCP and </w:t>
      </w:r>
      <w:r w:rsidR="00C537E8" w:rsidRPr="006771D5">
        <w:rPr>
          <w:rFonts w:ascii="Calibri" w:hAnsi="Calibri" w:cs="Calibri"/>
          <w:sz w:val="22"/>
          <w:szCs w:val="22"/>
        </w:rPr>
        <w:t>since</w:t>
      </w:r>
      <w:r w:rsidRPr="006771D5">
        <w:rPr>
          <w:rFonts w:ascii="Calibri" w:hAnsi="Calibri" w:cs="Calibri"/>
          <w:sz w:val="22"/>
          <w:szCs w:val="22"/>
        </w:rPr>
        <w:t xml:space="preserve"> its closure, the Bank’s internal OCP success narrative </w:t>
      </w:r>
      <w:r w:rsidR="00C537E8" w:rsidRPr="006771D5">
        <w:rPr>
          <w:rFonts w:ascii="Calibri" w:hAnsi="Calibri" w:cs="Calibri"/>
          <w:sz w:val="22"/>
          <w:szCs w:val="22"/>
        </w:rPr>
        <w:t xml:space="preserve">has </w:t>
      </w:r>
      <w:r w:rsidRPr="006771D5">
        <w:rPr>
          <w:rFonts w:ascii="Calibri" w:hAnsi="Calibri" w:cs="Calibri"/>
          <w:sz w:val="22"/>
          <w:szCs w:val="22"/>
        </w:rPr>
        <w:t xml:space="preserve">evolved. </w:t>
      </w:r>
      <w:r w:rsidR="00D9600A" w:rsidRPr="006771D5">
        <w:rPr>
          <w:rFonts w:ascii="Calibri" w:hAnsi="Calibri" w:cs="Calibri"/>
          <w:sz w:val="22"/>
          <w:szCs w:val="22"/>
        </w:rPr>
        <w:t>As</w:t>
      </w:r>
      <w:r w:rsidR="00A27207" w:rsidRPr="006771D5">
        <w:rPr>
          <w:rFonts w:ascii="Calibri" w:hAnsi="Calibri" w:cs="Calibri"/>
          <w:sz w:val="22"/>
          <w:szCs w:val="22"/>
        </w:rPr>
        <w:t xml:space="preserve"> </w:t>
      </w:r>
      <w:r w:rsidR="00A710B9">
        <w:rPr>
          <w:rFonts w:ascii="Calibri" w:hAnsi="Calibri" w:cs="Calibri"/>
          <w:sz w:val="22"/>
          <w:szCs w:val="22"/>
        </w:rPr>
        <w:t>section 3.4</w:t>
      </w:r>
      <w:r w:rsidR="00A27207" w:rsidRPr="006771D5">
        <w:rPr>
          <w:rFonts w:ascii="Calibri" w:hAnsi="Calibri" w:cs="Calibri"/>
          <w:sz w:val="22"/>
          <w:szCs w:val="22"/>
        </w:rPr>
        <w:t xml:space="preserve"> showed – and </w:t>
      </w:r>
      <w:r w:rsidR="000E3C68">
        <w:rPr>
          <w:rFonts w:ascii="Calibri" w:hAnsi="Calibri" w:cs="Calibri"/>
          <w:sz w:val="22"/>
          <w:szCs w:val="22"/>
        </w:rPr>
        <w:t xml:space="preserve">Chapters 4-8 show </w:t>
      </w:r>
      <w:r w:rsidR="00A27207" w:rsidRPr="006771D5">
        <w:rPr>
          <w:rFonts w:ascii="Calibri" w:hAnsi="Calibri" w:cs="Calibri"/>
          <w:sz w:val="22"/>
          <w:szCs w:val="22"/>
        </w:rPr>
        <w:t>–</w:t>
      </w:r>
      <w:r w:rsidR="00D9600A" w:rsidRPr="006771D5">
        <w:rPr>
          <w:rFonts w:ascii="Calibri" w:hAnsi="Calibri" w:cs="Calibri"/>
          <w:sz w:val="22"/>
          <w:szCs w:val="22"/>
        </w:rPr>
        <w:t xml:space="preserve"> </w:t>
      </w:r>
      <w:r w:rsidRPr="006771D5">
        <w:rPr>
          <w:rFonts w:ascii="Calibri" w:hAnsi="Calibri" w:cs="Calibri"/>
          <w:sz w:val="22"/>
          <w:szCs w:val="22"/>
        </w:rPr>
        <w:t>this narrative developed</w:t>
      </w:r>
      <w:r>
        <w:rPr>
          <w:rFonts w:ascii="Calibri" w:hAnsi="Calibri" w:cs="Calibri"/>
          <w:sz w:val="22"/>
          <w:szCs w:val="22"/>
        </w:rPr>
        <w:t xml:space="preserve"> in roughly five phases. </w:t>
      </w:r>
      <w:r w:rsidR="00CF432C" w:rsidRPr="00543A9F">
        <w:rPr>
          <w:rFonts w:ascii="Calibri" w:hAnsi="Calibri" w:cs="Calibri"/>
          <w:sz w:val="22"/>
          <w:szCs w:val="22"/>
        </w:rPr>
        <w:t xml:space="preserve">First, </w:t>
      </w:r>
      <w:r w:rsidR="00F678CC">
        <w:rPr>
          <w:rFonts w:ascii="Calibri" w:hAnsi="Calibri" w:cs="Calibri"/>
          <w:sz w:val="22"/>
          <w:szCs w:val="22"/>
        </w:rPr>
        <w:t>Bank staff expressed the</w:t>
      </w:r>
      <w:r w:rsidR="00CF432C" w:rsidRPr="00543A9F">
        <w:rPr>
          <w:rFonts w:ascii="Calibri" w:hAnsi="Calibri" w:cs="Calibri"/>
          <w:sz w:val="22"/>
          <w:szCs w:val="22"/>
        </w:rPr>
        <w:t xml:space="preserve"> OCP’s success in qualified and relative </w:t>
      </w:r>
      <w:r w:rsidR="00CF432C" w:rsidRPr="00543A9F">
        <w:rPr>
          <w:rFonts w:ascii="Calibri" w:hAnsi="Calibri" w:cs="Calibri"/>
          <w:sz w:val="22"/>
          <w:szCs w:val="22"/>
        </w:rPr>
        <w:lastRenderedPageBreak/>
        <w:t xml:space="preserve">terms, from 1978-1984. Second, during the structural adjustment era and before the ‘Investing in Health’ </w:t>
      </w:r>
      <w:r w:rsidR="00CF432C" w:rsidRPr="00543A9F">
        <w:rPr>
          <w:rFonts w:ascii="Calibri" w:hAnsi="Calibri" w:cs="Calibri"/>
          <w:i/>
          <w:sz w:val="22"/>
          <w:szCs w:val="22"/>
        </w:rPr>
        <w:t xml:space="preserve">World </w:t>
      </w:r>
      <w:r w:rsidR="00CF432C">
        <w:rPr>
          <w:rFonts w:ascii="Calibri" w:hAnsi="Calibri" w:cs="Calibri"/>
          <w:i/>
          <w:sz w:val="22"/>
          <w:szCs w:val="22"/>
        </w:rPr>
        <w:t>d</w:t>
      </w:r>
      <w:r w:rsidR="00CF432C" w:rsidRPr="00543A9F">
        <w:rPr>
          <w:rFonts w:ascii="Calibri" w:hAnsi="Calibri" w:cs="Calibri"/>
          <w:i/>
          <w:sz w:val="22"/>
          <w:szCs w:val="22"/>
        </w:rPr>
        <w:t xml:space="preserve">evelopment </w:t>
      </w:r>
      <w:r w:rsidR="00CF432C">
        <w:rPr>
          <w:rFonts w:ascii="Calibri" w:hAnsi="Calibri" w:cs="Calibri"/>
          <w:i/>
          <w:sz w:val="22"/>
          <w:szCs w:val="22"/>
        </w:rPr>
        <w:t>r</w:t>
      </w:r>
      <w:r w:rsidR="00CF432C" w:rsidRPr="00543A9F">
        <w:rPr>
          <w:rFonts w:ascii="Calibri" w:hAnsi="Calibri" w:cs="Calibri"/>
          <w:i/>
          <w:sz w:val="22"/>
          <w:szCs w:val="22"/>
        </w:rPr>
        <w:t>eport</w:t>
      </w:r>
      <w:r w:rsidR="00CF432C" w:rsidRPr="00543A9F">
        <w:rPr>
          <w:rFonts w:ascii="Calibri" w:hAnsi="Calibri" w:cs="Calibri"/>
          <w:sz w:val="22"/>
          <w:szCs w:val="22"/>
        </w:rPr>
        <w:t xml:space="preserve"> (c. 1985-1993), a more comprehensive success story crystallised, based on specific public health and socioeconomic metrics. Third, the programme’s success was increasingly marshalled as proof of the use of cost-effectiveness </w:t>
      </w:r>
      <w:r w:rsidR="00F678CC">
        <w:rPr>
          <w:rFonts w:ascii="Calibri" w:hAnsi="Calibri" w:cs="Calibri"/>
          <w:sz w:val="22"/>
          <w:szCs w:val="22"/>
        </w:rPr>
        <w:t>for</w:t>
      </w:r>
      <w:r w:rsidR="00CF432C" w:rsidRPr="00543A9F">
        <w:rPr>
          <w:rFonts w:ascii="Calibri" w:hAnsi="Calibri" w:cs="Calibri"/>
          <w:sz w:val="22"/>
          <w:szCs w:val="22"/>
        </w:rPr>
        <w:t xml:space="preserve"> global health priority setting (c. 1994-1995). Fourth, the Bank pointed to the programme as a clear example of the benefits of multilateral partnerships</w:t>
      </w:r>
      <w:r w:rsidR="000F6391">
        <w:rPr>
          <w:rFonts w:ascii="Calibri" w:hAnsi="Calibri" w:cs="Calibri"/>
          <w:sz w:val="22"/>
          <w:szCs w:val="22"/>
        </w:rPr>
        <w:t xml:space="preserve">, </w:t>
      </w:r>
      <w:r w:rsidR="00CF432C" w:rsidRPr="00543A9F">
        <w:rPr>
          <w:rFonts w:ascii="Calibri" w:hAnsi="Calibri" w:cs="Calibri"/>
          <w:sz w:val="22"/>
          <w:szCs w:val="22"/>
        </w:rPr>
        <w:t>particularly between the Bank and the U</w:t>
      </w:r>
      <w:r>
        <w:rPr>
          <w:rFonts w:ascii="Calibri" w:hAnsi="Calibri" w:cs="Calibri"/>
          <w:sz w:val="22"/>
          <w:szCs w:val="22"/>
        </w:rPr>
        <w:t>nited Nations (UN)</w:t>
      </w:r>
      <w:r w:rsidR="00CF432C" w:rsidRPr="00543A9F">
        <w:rPr>
          <w:rFonts w:ascii="Calibri" w:hAnsi="Calibri" w:cs="Calibri"/>
          <w:sz w:val="22"/>
          <w:szCs w:val="22"/>
        </w:rPr>
        <w:t xml:space="preserve"> system, the Bank and communities</w:t>
      </w:r>
      <w:r w:rsidR="000F6391">
        <w:rPr>
          <w:rFonts w:ascii="Calibri" w:hAnsi="Calibri" w:cs="Calibri"/>
          <w:sz w:val="22"/>
          <w:szCs w:val="22"/>
        </w:rPr>
        <w:t xml:space="preserve">, </w:t>
      </w:r>
      <w:r w:rsidR="00CF432C" w:rsidRPr="00543A9F">
        <w:rPr>
          <w:rFonts w:ascii="Calibri" w:hAnsi="Calibri" w:cs="Calibri"/>
          <w:sz w:val="22"/>
          <w:szCs w:val="22"/>
        </w:rPr>
        <w:t xml:space="preserve">and the Bank and research associations (c. 1996-2009). And, finally, the Bank has presented the OCP as a success in terms of a specific type of partnership – partnerships with the private sector (public-private partnerships, PPPs) – for a specific type of activity – distributing drugs for the ‘integrated control’ of </w:t>
      </w:r>
      <w:r>
        <w:rPr>
          <w:rFonts w:ascii="Calibri" w:hAnsi="Calibri" w:cs="Calibri"/>
          <w:sz w:val="22"/>
          <w:szCs w:val="22"/>
        </w:rPr>
        <w:t>neglected tropical diseases</w:t>
      </w:r>
      <w:r w:rsidR="00CF432C" w:rsidRPr="00543A9F">
        <w:rPr>
          <w:rFonts w:ascii="Calibri" w:hAnsi="Calibri" w:cs="Calibri"/>
          <w:sz w:val="22"/>
          <w:szCs w:val="22"/>
        </w:rPr>
        <w:t xml:space="preserve"> (</w:t>
      </w:r>
      <w:r>
        <w:rPr>
          <w:rFonts w:ascii="Calibri" w:hAnsi="Calibri" w:cs="Calibri"/>
          <w:sz w:val="22"/>
          <w:szCs w:val="22"/>
        </w:rPr>
        <w:t xml:space="preserve">NTDs, </w:t>
      </w:r>
      <w:r w:rsidR="00CF432C" w:rsidRPr="00543A9F">
        <w:rPr>
          <w:rFonts w:ascii="Calibri" w:hAnsi="Calibri" w:cs="Calibri"/>
          <w:sz w:val="22"/>
          <w:szCs w:val="22"/>
        </w:rPr>
        <w:t>c. 2009-present).</w:t>
      </w:r>
      <w:r w:rsidR="00A710B9">
        <w:rPr>
          <w:rFonts w:ascii="Calibri" w:hAnsi="Calibri" w:cs="Calibri"/>
          <w:sz w:val="22"/>
          <w:szCs w:val="22"/>
        </w:rPr>
        <w:t xml:space="preserve"> </w:t>
      </w:r>
      <w:r w:rsidR="00E20371">
        <w:rPr>
          <w:rFonts w:ascii="Calibri" w:hAnsi="Calibri" w:cs="Calibri"/>
          <w:sz w:val="22"/>
          <w:szCs w:val="22"/>
        </w:rPr>
        <w:t>Th</w:t>
      </w:r>
      <w:r w:rsidR="00C27E6E">
        <w:rPr>
          <w:rFonts w:ascii="Calibri" w:hAnsi="Calibri" w:cs="Calibri"/>
          <w:sz w:val="22"/>
          <w:szCs w:val="22"/>
        </w:rPr>
        <w:t>is evolution of the Bank</w:t>
      </w:r>
      <w:r w:rsidR="00724FF4">
        <w:rPr>
          <w:rFonts w:ascii="Calibri" w:hAnsi="Calibri" w:cs="Calibri"/>
          <w:sz w:val="22"/>
          <w:szCs w:val="22"/>
        </w:rPr>
        <w:t>’s</w:t>
      </w:r>
      <w:r w:rsidR="00C27E6E">
        <w:rPr>
          <w:rFonts w:ascii="Calibri" w:hAnsi="Calibri" w:cs="Calibri"/>
          <w:sz w:val="22"/>
          <w:szCs w:val="22"/>
        </w:rPr>
        <w:t xml:space="preserve"> success narrative shares many features with the evolution of </w:t>
      </w:r>
      <w:r w:rsidR="00724FF4">
        <w:rPr>
          <w:rFonts w:ascii="Calibri" w:hAnsi="Calibri" w:cs="Calibri"/>
          <w:sz w:val="22"/>
          <w:szCs w:val="22"/>
        </w:rPr>
        <w:t>its</w:t>
      </w:r>
      <w:r w:rsidR="00C27E6E">
        <w:rPr>
          <w:rFonts w:ascii="Calibri" w:hAnsi="Calibri" w:cs="Calibri"/>
          <w:sz w:val="22"/>
          <w:szCs w:val="22"/>
        </w:rPr>
        <w:t xml:space="preserve"> health portfolio</w:t>
      </w:r>
      <w:r w:rsidR="00724FF4">
        <w:rPr>
          <w:rFonts w:ascii="Calibri" w:hAnsi="Calibri" w:cs="Calibri"/>
          <w:sz w:val="22"/>
          <w:szCs w:val="22"/>
        </w:rPr>
        <w:t xml:space="preserve"> prio</w:t>
      </w:r>
      <w:r w:rsidR="000E3C68">
        <w:rPr>
          <w:rFonts w:ascii="Calibri" w:hAnsi="Calibri" w:cs="Calibri"/>
          <w:sz w:val="22"/>
          <w:szCs w:val="22"/>
        </w:rPr>
        <w:t>r</w:t>
      </w:r>
      <w:r w:rsidR="00724FF4">
        <w:rPr>
          <w:rFonts w:ascii="Calibri" w:hAnsi="Calibri" w:cs="Calibri"/>
          <w:sz w:val="22"/>
          <w:szCs w:val="22"/>
        </w:rPr>
        <w:t>ities and strategies</w:t>
      </w:r>
      <w:r w:rsidR="00C27E6E">
        <w:rPr>
          <w:rFonts w:ascii="Calibri" w:hAnsi="Calibri" w:cs="Calibri"/>
          <w:sz w:val="22"/>
          <w:szCs w:val="22"/>
        </w:rPr>
        <w:t xml:space="preserve">. </w:t>
      </w:r>
    </w:p>
    <w:p w14:paraId="5DA0B74A" w14:textId="46CBD516" w:rsidR="000F6391" w:rsidRDefault="004C7E21" w:rsidP="00A710B9">
      <w:pPr>
        <w:spacing w:before="100" w:beforeAutospacing="1" w:after="100" w:afterAutospacing="1" w:line="360" w:lineRule="auto"/>
        <w:ind w:firstLine="720"/>
        <w:rPr>
          <w:rFonts w:ascii="Calibri" w:hAnsi="Calibri" w:cs="Calibri"/>
          <w:sz w:val="22"/>
          <w:szCs w:val="22"/>
        </w:rPr>
      </w:pPr>
      <w:r>
        <w:rPr>
          <w:rFonts w:ascii="Calibri" w:hAnsi="Calibri" w:cs="Calibri"/>
          <w:sz w:val="22"/>
          <w:szCs w:val="22"/>
        </w:rPr>
        <w:t xml:space="preserve">In their summary of the ‘limited’ and ‘broadly positivist’ literature on the development of health system metrics during the twentieth century, Gorsky and Sirrs identify three major types of stakeholders involved in creating and disseminating </w:t>
      </w:r>
      <w:r w:rsidR="000F6391">
        <w:rPr>
          <w:rFonts w:ascii="Calibri" w:hAnsi="Calibri" w:cs="Calibri"/>
          <w:sz w:val="22"/>
          <w:szCs w:val="22"/>
        </w:rPr>
        <w:t>statistics</w:t>
      </w:r>
      <w:r>
        <w:rPr>
          <w:rFonts w:ascii="Calibri" w:hAnsi="Calibri" w:cs="Calibri"/>
          <w:sz w:val="22"/>
          <w:szCs w:val="22"/>
        </w:rPr>
        <w:t xml:space="preserve">. These include </w:t>
      </w:r>
      <w:r w:rsidRPr="000B595A">
        <w:rPr>
          <w:rFonts w:ascii="Calibri" w:hAnsi="Calibri" w:cs="Calibri"/>
          <w:sz w:val="22"/>
          <w:szCs w:val="22"/>
        </w:rPr>
        <w:t>the individuals and institutions who commission or publicise indicators (‘promulgators’); create and maintain the supply of indicators (‘providers’, often subject-matter experts); and serve as subjects of measurement or funders who react to the metrics (‘users’).</w:t>
      </w:r>
      <w:r w:rsidRPr="000B595A">
        <w:rPr>
          <w:rStyle w:val="FootnoteReference"/>
          <w:rFonts w:ascii="Calibri" w:hAnsi="Calibri" w:cs="Calibri"/>
          <w:sz w:val="22"/>
          <w:szCs w:val="22"/>
        </w:rPr>
        <w:footnoteReference w:id="926"/>
      </w:r>
      <w:r w:rsidR="00B948DC">
        <w:rPr>
          <w:rFonts w:ascii="Calibri" w:hAnsi="Calibri" w:cs="Calibri"/>
          <w:sz w:val="22"/>
          <w:szCs w:val="22"/>
        </w:rPr>
        <w:t xml:space="preserve"> </w:t>
      </w:r>
    </w:p>
    <w:p w14:paraId="79AC7EEB" w14:textId="6DAE6243" w:rsidR="00C33B8F" w:rsidRDefault="00724FF4" w:rsidP="00724FF4">
      <w:pPr>
        <w:spacing w:before="100" w:beforeAutospacing="1" w:after="100" w:afterAutospacing="1" w:line="360" w:lineRule="auto"/>
        <w:ind w:firstLine="720"/>
        <w:rPr>
          <w:rFonts w:ascii="Calibri" w:hAnsi="Calibri" w:cs="Calibri"/>
          <w:sz w:val="22"/>
          <w:szCs w:val="22"/>
        </w:rPr>
      </w:pPr>
      <w:r>
        <w:rPr>
          <w:rFonts w:ascii="Calibri" w:hAnsi="Calibri" w:cs="Calibri"/>
          <w:sz w:val="22"/>
          <w:szCs w:val="22"/>
        </w:rPr>
        <w:t xml:space="preserve">The Bank’s success narrative reflects its growing role as both a provider and promulgator of economically-grounded health metrics. </w:t>
      </w:r>
      <w:r w:rsidR="00295B11" w:rsidRPr="00295B11">
        <w:rPr>
          <w:rFonts w:ascii="Calibri" w:hAnsi="Calibri" w:cs="Calibri"/>
          <w:sz w:val="22"/>
          <w:szCs w:val="22"/>
        </w:rPr>
        <w:t xml:space="preserve">For instance, </w:t>
      </w:r>
      <w:r w:rsidR="00B948DC" w:rsidRPr="00295B11">
        <w:rPr>
          <w:rFonts w:ascii="Calibri" w:hAnsi="Calibri" w:cs="Calibri"/>
          <w:sz w:val="22"/>
          <w:szCs w:val="22"/>
        </w:rPr>
        <w:t xml:space="preserve">Chapter 4 showed how the Bank </w:t>
      </w:r>
      <w:r w:rsidR="00295B11" w:rsidRPr="00295B11">
        <w:rPr>
          <w:rFonts w:ascii="Calibri" w:hAnsi="Calibri" w:cs="Calibri"/>
          <w:sz w:val="22"/>
          <w:szCs w:val="22"/>
        </w:rPr>
        <w:t xml:space="preserve">has gained finesse as a provider of </w:t>
      </w:r>
      <w:r w:rsidR="00295B11">
        <w:rPr>
          <w:rFonts w:ascii="Calibri" w:hAnsi="Calibri" w:cs="Calibri"/>
          <w:sz w:val="22"/>
          <w:szCs w:val="22"/>
        </w:rPr>
        <w:t>economically-grounded</w:t>
      </w:r>
      <w:r w:rsidR="006771D5">
        <w:rPr>
          <w:rFonts w:ascii="Calibri" w:hAnsi="Calibri" w:cs="Calibri"/>
          <w:sz w:val="22"/>
          <w:szCs w:val="22"/>
        </w:rPr>
        <w:t xml:space="preserve"> metrics</w:t>
      </w:r>
      <w:r w:rsidR="00295B11">
        <w:rPr>
          <w:rFonts w:ascii="Calibri" w:hAnsi="Calibri" w:cs="Calibri"/>
          <w:sz w:val="22"/>
          <w:szCs w:val="22"/>
        </w:rPr>
        <w:t>.</w:t>
      </w:r>
      <w:r w:rsidR="006771D5">
        <w:rPr>
          <w:rFonts w:ascii="Calibri" w:hAnsi="Calibri" w:cs="Calibri"/>
          <w:sz w:val="22"/>
          <w:szCs w:val="22"/>
        </w:rPr>
        <w:t xml:space="preserve"> </w:t>
      </w:r>
      <w:r w:rsidR="00295B11">
        <w:rPr>
          <w:rFonts w:ascii="Calibri" w:hAnsi="Calibri" w:cs="Calibri"/>
          <w:sz w:val="22"/>
          <w:szCs w:val="22"/>
        </w:rPr>
        <w:t xml:space="preserve">These include </w:t>
      </w:r>
      <w:r w:rsidR="00295B11" w:rsidRPr="00295B11">
        <w:rPr>
          <w:rFonts w:ascii="Calibri" w:hAnsi="Calibri" w:cs="Calibri"/>
          <w:sz w:val="22"/>
          <w:szCs w:val="22"/>
        </w:rPr>
        <w:t>rates of return based on land and labour</w:t>
      </w:r>
      <w:r w:rsidR="00295B11">
        <w:rPr>
          <w:rFonts w:ascii="Calibri" w:hAnsi="Calibri" w:cs="Calibri"/>
          <w:sz w:val="22"/>
          <w:szCs w:val="22"/>
        </w:rPr>
        <w:t xml:space="preserve"> value</w:t>
      </w:r>
      <w:r w:rsidR="00295B11" w:rsidRPr="00295B11">
        <w:rPr>
          <w:rFonts w:ascii="Calibri" w:hAnsi="Calibri" w:cs="Calibri"/>
          <w:sz w:val="22"/>
          <w:szCs w:val="22"/>
        </w:rPr>
        <w:t xml:space="preserve">, and metrics of cost effectiveness, like  </w:t>
      </w:r>
      <w:r w:rsidR="006A3D20">
        <w:rPr>
          <w:rFonts w:ascii="Calibri" w:hAnsi="Calibri" w:cs="Calibri"/>
          <w:sz w:val="22"/>
          <w:szCs w:val="22"/>
        </w:rPr>
        <w:t>disability-adjusted life years (DALYs)</w:t>
      </w:r>
      <w:r w:rsidR="00295B11" w:rsidRPr="00295B11">
        <w:rPr>
          <w:rFonts w:ascii="Calibri" w:hAnsi="Calibri" w:cs="Calibri"/>
          <w:sz w:val="22"/>
          <w:szCs w:val="22"/>
        </w:rPr>
        <w:t xml:space="preserve">. </w:t>
      </w:r>
      <w:r w:rsidR="00B814E5">
        <w:rPr>
          <w:rFonts w:ascii="Calibri" w:hAnsi="Calibri" w:cs="Calibri"/>
          <w:sz w:val="22"/>
          <w:szCs w:val="22"/>
        </w:rPr>
        <w:t>Using</w:t>
      </w:r>
      <w:r w:rsidR="00295B11">
        <w:rPr>
          <w:rFonts w:ascii="Calibri" w:hAnsi="Calibri" w:cs="Calibri"/>
          <w:sz w:val="22"/>
          <w:szCs w:val="22"/>
        </w:rPr>
        <w:t xml:space="preserve"> these metrics, the</w:t>
      </w:r>
      <w:r w:rsidR="00295B11" w:rsidRPr="00295B11">
        <w:rPr>
          <w:rFonts w:ascii="Calibri" w:hAnsi="Calibri" w:cs="Calibri"/>
          <w:sz w:val="22"/>
          <w:szCs w:val="22"/>
        </w:rPr>
        <w:t xml:space="preserve"> OCP </w:t>
      </w:r>
      <w:r w:rsidR="00295B11">
        <w:rPr>
          <w:rFonts w:ascii="Calibri" w:hAnsi="Calibri" w:cs="Calibri"/>
          <w:sz w:val="22"/>
          <w:szCs w:val="22"/>
        </w:rPr>
        <w:t>was</w:t>
      </w:r>
      <w:r w:rsidR="00295B11" w:rsidRPr="00295B11">
        <w:rPr>
          <w:rFonts w:ascii="Calibri" w:hAnsi="Calibri" w:cs="Calibri"/>
          <w:sz w:val="22"/>
          <w:szCs w:val="22"/>
        </w:rPr>
        <w:t xml:space="preserve"> showcase</w:t>
      </w:r>
      <w:r w:rsidR="00295B11">
        <w:rPr>
          <w:rFonts w:ascii="Calibri" w:hAnsi="Calibri" w:cs="Calibri"/>
          <w:sz w:val="22"/>
          <w:szCs w:val="22"/>
        </w:rPr>
        <w:t>d</w:t>
      </w:r>
      <w:r w:rsidR="00295B11" w:rsidRPr="00295B11">
        <w:rPr>
          <w:rFonts w:ascii="Calibri" w:hAnsi="Calibri" w:cs="Calibri"/>
          <w:sz w:val="22"/>
          <w:szCs w:val="22"/>
        </w:rPr>
        <w:t xml:space="preserve"> in the 1993 </w:t>
      </w:r>
      <w:r w:rsidR="00295B11" w:rsidRPr="00295B11">
        <w:rPr>
          <w:rFonts w:ascii="Calibri" w:hAnsi="Calibri" w:cs="Calibri"/>
          <w:i/>
          <w:sz w:val="22"/>
          <w:szCs w:val="22"/>
        </w:rPr>
        <w:t xml:space="preserve">World development report </w:t>
      </w:r>
      <w:r w:rsidR="00295B11">
        <w:rPr>
          <w:rFonts w:ascii="Calibri" w:hAnsi="Calibri" w:cs="Calibri"/>
          <w:sz w:val="22"/>
          <w:szCs w:val="22"/>
        </w:rPr>
        <w:t>to prove</w:t>
      </w:r>
      <w:r w:rsidR="00295B11" w:rsidRPr="00295B11">
        <w:rPr>
          <w:rFonts w:ascii="Calibri" w:hAnsi="Calibri" w:cs="Calibri"/>
          <w:sz w:val="22"/>
          <w:szCs w:val="22"/>
        </w:rPr>
        <w:t xml:space="preserve"> how combining DALYs and cost-effectiveness could help prioritize diseases associated with poverty.</w:t>
      </w:r>
      <w:r w:rsidR="00295B11" w:rsidRPr="000B595A">
        <w:rPr>
          <w:rStyle w:val="FootnoteReference"/>
          <w:rFonts w:ascii="Calibri" w:hAnsi="Calibri" w:cs="Calibri"/>
          <w:sz w:val="22"/>
          <w:szCs w:val="22"/>
        </w:rPr>
        <w:footnoteReference w:id="927"/>
      </w:r>
      <w:r w:rsidR="00295B11" w:rsidRPr="00295B11">
        <w:rPr>
          <w:rFonts w:ascii="Calibri" w:hAnsi="Calibri" w:cs="Calibri"/>
          <w:sz w:val="22"/>
          <w:szCs w:val="22"/>
        </w:rPr>
        <w:t xml:space="preserve"> </w:t>
      </w:r>
      <w:r w:rsidR="00295B11">
        <w:rPr>
          <w:rFonts w:ascii="Calibri" w:hAnsi="Calibri" w:cs="Calibri"/>
          <w:sz w:val="22"/>
          <w:szCs w:val="22"/>
        </w:rPr>
        <w:t>In recent years, the econometrics provided by the Bank have been used for</w:t>
      </w:r>
      <w:r w:rsidR="00295B11" w:rsidRPr="00295B11">
        <w:rPr>
          <w:rFonts w:ascii="Calibri" w:hAnsi="Calibri" w:cs="Calibri"/>
          <w:sz w:val="22"/>
          <w:szCs w:val="22"/>
        </w:rPr>
        <w:t xml:space="preserve"> ‘</w:t>
      </w:r>
      <w:r w:rsidR="00A44EB4">
        <w:rPr>
          <w:rFonts w:ascii="Calibri" w:hAnsi="Calibri" w:cs="Calibri"/>
          <w:sz w:val="22"/>
          <w:szCs w:val="22"/>
        </w:rPr>
        <w:t>i</w:t>
      </w:r>
      <w:r w:rsidR="00295B11" w:rsidRPr="00295B11">
        <w:rPr>
          <w:rFonts w:ascii="Calibri" w:hAnsi="Calibri" w:cs="Calibri"/>
          <w:sz w:val="22"/>
          <w:szCs w:val="22"/>
        </w:rPr>
        <w:t xml:space="preserve">nvestment cases’ for NTDs by development </w:t>
      </w:r>
      <w:r w:rsidR="00295B11" w:rsidRPr="00295B11">
        <w:rPr>
          <w:rFonts w:ascii="Calibri" w:hAnsi="Calibri" w:cs="Calibri"/>
          <w:sz w:val="22"/>
          <w:szCs w:val="22"/>
        </w:rPr>
        <w:lastRenderedPageBreak/>
        <w:t>agencies</w:t>
      </w:r>
      <w:r w:rsidR="00295B11">
        <w:rPr>
          <w:rFonts w:ascii="Calibri" w:hAnsi="Calibri" w:cs="Calibri"/>
          <w:sz w:val="22"/>
          <w:szCs w:val="22"/>
        </w:rPr>
        <w:t>;</w:t>
      </w:r>
      <w:r w:rsidR="00295B11" w:rsidRPr="000B595A">
        <w:rPr>
          <w:rStyle w:val="FootnoteReference"/>
          <w:rFonts w:ascii="Calibri" w:hAnsi="Calibri" w:cs="Calibri"/>
          <w:sz w:val="22"/>
          <w:szCs w:val="22"/>
        </w:rPr>
        <w:footnoteReference w:id="928"/>
      </w:r>
      <w:r w:rsidR="00295B11" w:rsidRPr="00295B11">
        <w:rPr>
          <w:rFonts w:ascii="Calibri" w:hAnsi="Calibri" w:cs="Calibri"/>
          <w:sz w:val="22"/>
          <w:szCs w:val="22"/>
        </w:rPr>
        <w:t xml:space="preserve"> Harvard University has called NTDs ‘Big Bang for the Development Buck’</w:t>
      </w:r>
      <w:r w:rsidR="00295B11">
        <w:rPr>
          <w:rFonts w:ascii="Calibri" w:hAnsi="Calibri" w:cs="Calibri"/>
          <w:sz w:val="22"/>
          <w:szCs w:val="22"/>
        </w:rPr>
        <w:t>;</w:t>
      </w:r>
      <w:r w:rsidR="00295B11" w:rsidRPr="000B595A">
        <w:rPr>
          <w:rStyle w:val="FootnoteReference"/>
          <w:rFonts w:ascii="Calibri" w:hAnsi="Calibri" w:cs="Calibri"/>
          <w:sz w:val="22"/>
          <w:szCs w:val="22"/>
        </w:rPr>
        <w:footnoteReference w:id="929"/>
      </w:r>
      <w:r w:rsidR="00295B11" w:rsidRPr="00295B11">
        <w:rPr>
          <w:rFonts w:ascii="Calibri" w:hAnsi="Calibri" w:cs="Calibri"/>
          <w:sz w:val="22"/>
          <w:szCs w:val="22"/>
        </w:rPr>
        <w:t xml:space="preserve"> and the Bank has deemed NTDs ‘one of the best buys in public health’.</w:t>
      </w:r>
      <w:r w:rsidR="00295B11" w:rsidRPr="000B595A">
        <w:rPr>
          <w:rStyle w:val="FootnoteReference"/>
          <w:rFonts w:ascii="Calibri" w:hAnsi="Calibri" w:cs="Calibri"/>
          <w:sz w:val="22"/>
          <w:szCs w:val="22"/>
        </w:rPr>
        <w:footnoteReference w:id="930"/>
      </w:r>
      <w:r w:rsidR="00295B11" w:rsidRPr="00295B11">
        <w:rPr>
          <w:rFonts w:ascii="Calibri" w:hAnsi="Calibri" w:cs="Calibri"/>
          <w:sz w:val="22"/>
          <w:szCs w:val="22"/>
        </w:rPr>
        <w:t xml:space="preserve"> </w:t>
      </w:r>
      <w:r w:rsidR="00254F20" w:rsidRPr="00B814E5">
        <w:rPr>
          <w:rFonts w:ascii="Calibri" w:hAnsi="Calibri" w:cs="Calibri"/>
          <w:sz w:val="22"/>
          <w:szCs w:val="22"/>
        </w:rPr>
        <w:t xml:space="preserve">In putting forward the </w:t>
      </w:r>
      <w:r w:rsidR="00254F20">
        <w:rPr>
          <w:rFonts w:ascii="Calibri" w:hAnsi="Calibri" w:cs="Calibri"/>
          <w:sz w:val="22"/>
          <w:szCs w:val="22"/>
        </w:rPr>
        <w:t>Human Capital Index</w:t>
      </w:r>
      <w:r w:rsidR="00254F20" w:rsidRPr="00B814E5">
        <w:rPr>
          <w:rFonts w:ascii="Calibri" w:hAnsi="Calibri" w:cs="Calibri"/>
          <w:sz w:val="22"/>
          <w:szCs w:val="22"/>
        </w:rPr>
        <w:t>, the Bank has</w:t>
      </w:r>
      <w:r w:rsidR="00254F20">
        <w:rPr>
          <w:rFonts w:ascii="Calibri" w:hAnsi="Calibri" w:cs="Calibri"/>
          <w:sz w:val="22"/>
          <w:szCs w:val="22"/>
        </w:rPr>
        <w:t xml:space="preserve"> also</w:t>
      </w:r>
      <w:r w:rsidR="00254F20" w:rsidRPr="00B814E5">
        <w:rPr>
          <w:rFonts w:ascii="Calibri" w:hAnsi="Calibri" w:cs="Calibri"/>
          <w:sz w:val="22"/>
          <w:szCs w:val="22"/>
        </w:rPr>
        <w:t xml:space="preserve"> sought to continue what it began during the OCP</w:t>
      </w:r>
      <w:r w:rsidR="00254F20">
        <w:rPr>
          <w:rFonts w:ascii="Calibri" w:hAnsi="Calibri" w:cs="Calibri"/>
          <w:sz w:val="22"/>
          <w:szCs w:val="22"/>
        </w:rPr>
        <w:t>; it continues to</w:t>
      </w:r>
      <w:r w:rsidR="00254F20" w:rsidRPr="00B814E5">
        <w:rPr>
          <w:rFonts w:ascii="Calibri" w:hAnsi="Calibri" w:cs="Calibri"/>
          <w:sz w:val="22"/>
          <w:szCs w:val="22"/>
        </w:rPr>
        <w:t xml:space="preserve"> </w:t>
      </w:r>
      <w:r w:rsidR="00254F20">
        <w:rPr>
          <w:rFonts w:ascii="Calibri" w:hAnsi="Calibri" w:cs="Calibri"/>
          <w:sz w:val="22"/>
          <w:szCs w:val="22"/>
        </w:rPr>
        <w:t>conceptuali</w:t>
      </w:r>
      <w:r w:rsidR="002D31A3">
        <w:rPr>
          <w:rFonts w:ascii="Calibri" w:hAnsi="Calibri" w:cs="Calibri"/>
          <w:sz w:val="22"/>
          <w:szCs w:val="22"/>
        </w:rPr>
        <w:t>s</w:t>
      </w:r>
      <w:r w:rsidR="00254F20">
        <w:rPr>
          <w:rFonts w:ascii="Calibri" w:hAnsi="Calibri" w:cs="Calibri"/>
          <w:sz w:val="22"/>
          <w:szCs w:val="22"/>
        </w:rPr>
        <w:t>e</w:t>
      </w:r>
      <w:r w:rsidR="00254F20" w:rsidRPr="00B814E5">
        <w:rPr>
          <w:rFonts w:ascii="Calibri" w:hAnsi="Calibri" w:cs="Calibri"/>
          <w:sz w:val="22"/>
          <w:szCs w:val="22"/>
        </w:rPr>
        <w:t xml:space="preserve"> individuals’ worth in terms of monetary value</w:t>
      </w:r>
      <w:r w:rsidR="00254F20">
        <w:rPr>
          <w:rFonts w:ascii="Calibri" w:hAnsi="Calibri" w:cs="Calibri"/>
          <w:sz w:val="22"/>
          <w:szCs w:val="22"/>
        </w:rPr>
        <w:t xml:space="preserve"> and future economic growth.</w:t>
      </w:r>
      <w:r w:rsidR="00254F20" w:rsidRPr="000B595A">
        <w:rPr>
          <w:rStyle w:val="FootnoteReference"/>
          <w:rFonts w:ascii="Calibri" w:hAnsi="Calibri" w:cs="Calibri"/>
          <w:sz w:val="22"/>
          <w:szCs w:val="22"/>
        </w:rPr>
        <w:footnoteReference w:id="931"/>
      </w:r>
      <w:r w:rsidR="00254F20">
        <w:rPr>
          <w:rFonts w:ascii="Calibri" w:hAnsi="Calibri" w:cs="Calibri"/>
          <w:sz w:val="22"/>
          <w:szCs w:val="22"/>
        </w:rPr>
        <w:t xml:space="preserve"> </w:t>
      </w:r>
      <w:r w:rsidR="00B814E5">
        <w:rPr>
          <w:rFonts w:ascii="Calibri" w:hAnsi="Calibri" w:cs="Calibri"/>
          <w:sz w:val="22"/>
          <w:szCs w:val="22"/>
        </w:rPr>
        <w:t xml:space="preserve">Using such </w:t>
      </w:r>
      <w:r w:rsidR="00A10F56">
        <w:rPr>
          <w:rFonts w:ascii="Calibri" w:hAnsi="Calibri" w:cs="Calibri"/>
          <w:sz w:val="22"/>
          <w:szCs w:val="22"/>
        </w:rPr>
        <w:t>economic</w:t>
      </w:r>
      <w:r w:rsidR="000F6391">
        <w:rPr>
          <w:rFonts w:ascii="Calibri" w:hAnsi="Calibri" w:cs="Calibri"/>
          <w:sz w:val="22"/>
          <w:szCs w:val="22"/>
        </w:rPr>
        <w:t>ally-grounded</w:t>
      </w:r>
      <w:r w:rsidR="00A10F56">
        <w:rPr>
          <w:rFonts w:ascii="Calibri" w:hAnsi="Calibri" w:cs="Calibri"/>
          <w:sz w:val="22"/>
          <w:szCs w:val="22"/>
        </w:rPr>
        <w:t xml:space="preserve"> metrics</w:t>
      </w:r>
      <w:r w:rsidR="00B814E5">
        <w:rPr>
          <w:rFonts w:ascii="Calibri" w:hAnsi="Calibri" w:cs="Calibri"/>
          <w:sz w:val="22"/>
          <w:szCs w:val="22"/>
        </w:rPr>
        <w:t xml:space="preserve"> to display programmatic success</w:t>
      </w:r>
      <w:r w:rsidR="00295B11" w:rsidRPr="00295B11">
        <w:rPr>
          <w:rFonts w:ascii="Calibri" w:hAnsi="Calibri" w:cs="Calibri"/>
          <w:sz w:val="22"/>
          <w:szCs w:val="22"/>
        </w:rPr>
        <w:t xml:space="preserve"> </w:t>
      </w:r>
      <w:r w:rsidR="00B814E5">
        <w:rPr>
          <w:rFonts w:ascii="Calibri" w:hAnsi="Calibri" w:cs="Calibri"/>
          <w:sz w:val="22"/>
          <w:szCs w:val="22"/>
        </w:rPr>
        <w:t xml:space="preserve">often has an advantage for the Bank, compared to measuring performance on specific programme objectives. </w:t>
      </w:r>
      <w:r w:rsidR="00295B11" w:rsidRPr="00295B11">
        <w:rPr>
          <w:rFonts w:ascii="Calibri" w:hAnsi="Calibri" w:cs="Calibri"/>
          <w:sz w:val="22"/>
          <w:szCs w:val="22"/>
        </w:rPr>
        <w:t xml:space="preserve">For </w:t>
      </w:r>
      <w:r w:rsidR="00B814E5">
        <w:rPr>
          <w:rFonts w:ascii="Calibri" w:hAnsi="Calibri" w:cs="Calibri"/>
          <w:sz w:val="22"/>
          <w:szCs w:val="22"/>
        </w:rPr>
        <w:t>example,</w:t>
      </w:r>
      <w:r w:rsidR="00295B11" w:rsidRPr="00295B11">
        <w:rPr>
          <w:rFonts w:ascii="Calibri" w:hAnsi="Calibri" w:cs="Calibri"/>
          <w:sz w:val="22"/>
          <w:szCs w:val="22"/>
        </w:rPr>
        <w:t xml:space="preserve"> a</w:t>
      </w:r>
      <w:r w:rsidR="00B814E5">
        <w:rPr>
          <w:rFonts w:ascii="Calibri" w:hAnsi="Calibri" w:cs="Calibri"/>
          <w:sz w:val="22"/>
          <w:szCs w:val="22"/>
        </w:rPr>
        <w:t xml:space="preserve"> Bank Independent Evaluation Group </w:t>
      </w:r>
      <w:r w:rsidR="00295B11" w:rsidRPr="00295B11">
        <w:rPr>
          <w:rFonts w:ascii="Calibri" w:hAnsi="Calibri" w:cs="Calibri"/>
          <w:sz w:val="22"/>
          <w:szCs w:val="22"/>
        </w:rPr>
        <w:t>report showed that only thirty percent of the Bank’s communicable disease projects in Africa from 1997-2006 were rated in the satisfactory range</w:t>
      </w:r>
      <w:r w:rsidR="000F6391">
        <w:rPr>
          <w:rFonts w:ascii="Calibri" w:hAnsi="Calibri" w:cs="Calibri"/>
          <w:sz w:val="22"/>
          <w:szCs w:val="22"/>
        </w:rPr>
        <w:t xml:space="preserve"> (based traditional monitoring and evaluation indicators)</w:t>
      </w:r>
      <w:r w:rsidR="00295B11" w:rsidRPr="00295B11">
        <w:rPr>
          <w:rFonts w:ascii="Calibri" w:hAnsi="Calibri" w:cs="Calibri"/>
          <w:sz w:val="22"/>
          <w:szCs w:val="22"/>
        </w:rPr>
        <w:t>.</w:t>
      </w:r>
      <w:r w:rsidR="00295B11" w:rsidRPr="000B595A">
        <w:rPr>
          <w:rStyle w:val="FootnoteReference"/>
          <w:rFonts w:ascii="Calibri" w:hAnsi="Calibri" w:cs="Calibri"/>
          <w:sz w:val="22"/>
          <w:szCs w:val="22"/>
        </w:rPr>
        <w:footnoteReference w:id="932"/>
      </w:r>
      <w:r w:rsidR="00B814E5">
        <w:rPr>
          <w:rFonts w:ascii="Calibri" w:hAnsi="Calibri" w:cs="Calibri"/>
          <w:sz w:val="22"/>
          <w:szCs w:val="22"/>
        </w:rPr>
        <w:t xml:space="preserve"> </w:t>
      </w:r>
    </w:p>
    <w:p w14:paraId="0EE26982" w14:textId="55FC98A1" w:rsidR="0036112A" w:rsidRDefault="00A10F56" w:rsidP="0036112A">
      <w:pPr>
        <w:spacing w:before="100" w:beforeAutospacing="1" w:after="100" w:afterAutospacing="1" w:line="360" w:lineRule="auto"/>
        <w:ind w:firstLine="720"/>
        <w:rPr>
          <w:rFonts w:ascii="Calibri" w:hAnsi="Calibri" w:cs="Calibri"/>
          <w:sz w:val="22"/>
          <w:szCs w:val="22"/>
        </w:rPr>
      </w:pPr>
      <w:r>
        <w:rPr>
          <w:rFonts w:ascii="Calibri" w:hAnsi="Calibri" w:cs="Calibri"/>
          <w:sz w:val="22"/>
          <w:szCs w:val="22"/>
        </w:rPr>
        <w:t>In addition to this role as a provider</w:t>
      </w:r>
      <w:r w:rsidR="00724FF4">
        <w:rPr>
          <w:rFonts w:ascii="Calibri" w:hAnsi="Calibri" w:cs="Calibri"/>
          <w:sz w:val="22"/>
          <w:szCs w:val="22"/>
        </w:rPr>
        <w:t xml:space="preserve"> of metrics (what is often referred to internally as its role as a ‘knowledge Bank’),</w:t>
      </w:r>
      <w:r>
        <w:rPr>
          <w:rFonts w:ascii="Calibri" w:hAnsi="Calibri" w:cs="Calibri"/>
          <w:sz w:val="22"/>
          <w:szCs w:val="22"/>
        </w:rPr>
        <w:t xml:space="preserve"> </w:t>
      </w:r>
      <w:r w:rsidR="00665907">
        <w:rPr>
          <w:rFonts w:ascii="Calibri" w:hAnsi="Calibri" w:cs="Calibri"/>
          <w:sz w:val="22"/>
          <w:szCs w:val="22"/>
        </w:rPr>
        <w:t xml:space="preserve">the OCP </w:t>
      </w:r>
      <w:r>
        <w:rPr>
          <w:rFonts w:ascii="Calibri" w:hAnsi="Calibri" w:cs="Calibri"/>
          <w:sz w:val="22"/>
          <w:szCs w:val="22"/>
        </w:rPr>
        <w:t xml:space="preserve">dominant narrative reflects the Bank’s evolution as a promulgator of </w:t>
      </w:r>
      <w:r w:rsidR="0036112A">
        <w:rPr>
          <w:rFonts w:ascii="Calibri" w:hAnsi="Calibri" w:cs="Calibri"/>
          <w:sz w:val="22"/>
          <w:szCs w:val="22"/>
        </w:rPr>
        <w:t>metrics</w:t>
      </w:r>
      <w:r w:rsidR="00A308E0">
        <w:rPr>
          <w:rFonts w:ascii="Calibri" w:hAnsi="Calibri" w:cs="Calibri"/>
          <w:sz w:val="22"/>
          <w:szCs w:val="22"/>
        </w:rPr>
        <w:t>.</w:t>
      </w:r>
      <w:r>
        <w:rPr>
          <w:rFonts w:ascii="Calibri" w:hAnsi="Calibri" w:cs="Calibri"/>
          <w:sz w:val="22"/>
          <w:szCs w:val="22"/>
        </w:rPr>
        <w:t xml:space="preserve"> </w:t>
      </w:r>
      <w:r w:rsidR="00665907" w:rsidRPr="000B595A">
        <w:rPr>
          <w:rFonts w:ascii="Calibri" w:hAnsi="Calibri" w:cs="Calibri"/>
          <w:sz w:val="22"/>
          <w:szCs w:val="22"/>
        </w:rPr>
        <w:t xml:space="preserve">The OCP served as a prototype for a particular type of investment at the Bank: trust funds capturing extra-budgetary aid, which are financially managed by the Bank and tasked with supporting regional or globally-focused health programmes. </w:t>
      </w:r>
      <w:r w:rsidR="00150CC3">
        <w:rPr>
          <w:rFonts w:ascii="Calibri" w:hAnsi="Calibri" w:cs="Calibri"/>
          <w:sz w:val="22"/>
          <w:szCs w:val="22"/>
        </w:rPr>
        <w:t xml:space="preserve">The Bank’s trust fund and partnership platforms have increasingly allowed it to mainstream ideas of efficiency and productivity over time. </w:t>
      </w:r>
      <w:r w:rsidR="00665907" w:rsidRPr="000B595A">
        <w:rPr>
          <w:rFonts w:ascii="Calibri" w:hAnsi="Calibri" w:cs="Calibri"/>
          <w:sz w:val="22"/>
          <w:szCs w:val="22"/>
        </w:rPr>
        <w:t xml:space="preserve">As Chapter 5 described, </w:t>
      </w:r>
      <w:r w:rsidR="00F46041">
        <w:rPr>
          <w:rFonts w:ascii="Calibri" w:hAnsi="Calibri" w:cs="Calibri"/>
          <w:sz w:val="22"/>
          <w:szCs w:val="22"/>
        </w:rPr>
        <w:t>the Consultative Group on International Agricultural Research (CGIAR)</w:t>
      </w:r>
      <w:r w:rsidR="00665907" w:rsidRPr="000B595A">
        <w:rPr>
          <w:rFonts w:ascii="Calibri" w:hAnsi="Calibri" w:cs="Calibri"/>
          <w:sz w:val="22"/>
          <w:szCs w:val="22"/>
        </w:rPr>
        <w:t xml:space="preserve">, </w:t>
      </w:r>
      <w:r w:rsidR="00F46041">
        <w:rPr>
          <w:rFonts w:ascii="Calibri" w:hAnsi="Calibri" w:cs="Calibri"/>
          <w:sz w:val="22"/>
          <w:szCs w:val="22"/>
        </w:rPr>
        <w:t>Special Programme for Research and Training in Tropical Diseases (TDR)</w:t>
      </w:r>
      <w:r w:rsidR="00665907" w:rsidRPr="000B595A">
        <w:rPr>
          <w:rFonts w:ascii="Calibri" w:hAnsi="Calibri" w:cs="Calibri"/>
          <w:sz w:val="22"/>
          <w:szCs w:val="22"/>
        </w:rPr>
        <w:t xml:space="preserve">, and the OCP were </w:t>
      </w:r>
      <w:r w:rsidR="00D67583">
        <w:rPr>
          <w:rFonts w:ascii="Calibri" w:hAnsi="Calibri" w:cs="Calibri"/>
          <w:sz w:val="22"/>
          <w:szCs w:val="22"/>
        </w:rPr>
        <w:t xml:space="preserve">financed by </w:t>
      </w:r>
      <w:r w:rsidR="00665907" w:rsidRPr="000B595A">
        <w:rPr>
          <w:rFonts w:ascii="Calibri" w:hAnsi="Calibri" w:cs="Calibri"/>
          <w:sz w:val="22"/>
          <w:szCs w:val="22"/>
        </w:rPr>
        <w:t>the first trust funds at the Bank. These funds pooled voluntary contributions to support ‘soft’ (agricultural research and health sector) programmes, particularly on the African continent. Trust funds rose slowly in the 1980s and grew dramatically in the 1990s</w:t>
      </w:r>
      <w:r w:rsidR="009E2C2B">
        <w:rPr>
          <w:rFonts w:ascii="Calibri" w:hAnsi="Calibri" w:cs="Calibri"/>
          <w:sz w:val="22"/>
          <w:szCs w:val="22"/>
        </w:rPr>
        <w:t xml:space="preserve"> (see Appendix XI)</w:t>
      </w:r>
      <w:r w:rsidR="00665907" w:rsidRPr="000B595A">
        <w:rPr>
          <w:rFonts w:ascii="Calibri" w:hAnsi="Calibri" w:cs="Calibri"/>
          <w:sz w:val="22"/>
          <w:szCs w:val="22"/>
        </w:rPr>
        <w:t>. From 1989-1996, the number of grant-funded health programmes rose from 6 to 22 (or $9.5 to $20 million).</w:t>
      </w:r>
      <w:r w:rsidR="00665907" w:rsidRPr="000B595A">
        <w:rPr>
          <w:rStyle w:val="FootnoteReference"/>
          <w:rFonts w:ascii="Calibri" w:hAnsi="Calibri" w:cs="Calibri"/>
          <w:sz w:val="22"/>
          <w:szCs w:val="22"/>
        </w:rPr>
        <w:footnoteReference w:id="933"/>
      </w:r>
      <w:r w:rsidR="00665907" w:rsidRPr="000B595A">
        <w:rPr>
          <w:rFonts w:ascii="Calibri" w:hAnsi="Calibri" w:cs="Calibri"/>
          <w:sz w:val="22"/>
          <w:szCs w:val="22"/>
        </w:rPr>
        <w:t xml:space="preserve"> These health programmes – housed in the </w:t>
      </w:r>
      <w:r w:rsidR="00150CC3">
        <w:rPr>
          <w:rFonts w:ascii="Calibri" w:hAnsi="Calibri" w:cs="Calibri"/>
          <w:sz w:val="22"/>
          <w:szCs w:val="22"/>
        </w:rPr>
        <w:t xml:space="preserve">Bank’s </w:t>
      </w:r>
      <w:r w:rsidR="00665907" w:rsidRPr="000B595A">
        <w:rPr>
          <w:rFonts w:ascii="Calibri" w:hAnsi="Calibri" w:cs="Calibri"/>
          <w:sz w:val="22"/>
          <w:szCs w:val="22"/>
        </w:rPr>
        <w:t xml:space="preserve">Special Grant </w:t>
      </w:r>
      <w:r w:rsidR="00665907" w:rsidRPr="000B595A">
        <w:rPr>
          <w:rFonts w:ascii="Calibri" w:hAnsi="Calibri" w:cs="Calibri"/>
          <w:sz w:val="22"/>
          <w:szCs w:val="22"/>
        </w:rPr>
        <w:lastRenderedPageBreak/>
        <w:t xml:space="preserve">Programme (SGP) and later Development Grant Facility (DGF) – shared many features with </w:t>
      </w:r>
      <w:r w:rsidR="00150CC3">
        <w:rPr>
          <w:rFonts w:ascii="Calibri" w:hAnsi="Calibri" w:cs="Calibri"/>
          <w:sz w:val="22"/>
          <w:szCs w:val="22"/>
        </w:rPr>
        <w:t xml:space="preserve">the </w:t>
      </w:r>
      <w:r w:rsidR="00665907" w:rsidRPr="000B595A">
        <w:rPr>
          <w:rFonts w:ascii="Calibri" w:hAnsi="Calibri" w:cs="Calibri"/>
          <w:sz w:val="22"/>
          <w:szCs w:val="22"/>
        </w:rPr>
        <w:t>OCP and TDR. They were usually financed by trust funds, received ‘catalytic’ funding from the Bank (typically representing about 10-15 percent of total funds), and were either executed by or received technical input from the W</w:t>
      </w:r>
      <w:r w:rsidR="00122620">
        <w:rPr>
          <w:rFonts w:ascii="Calibri" w:hAnsi="Calibri" w:cs="Calibri"/>
          <w:sz w:val="22"/>
          <w:szCs w:val="22"/>
        </w:rPr>
        <w:t xml:space="preserve">orld Health Organization (WHO). </w:t>
      </w:r>
      <w:r w:rsidR="00665907" w:rsidRPr="000B595A">
        <w:rPr>
          <w:rFonts w:ascii="Calibri" w:hAnsi="Calibri" w:cs="Calibri"/>
          <w:sz w:val="22"/>
          <w:szCs w:val="22"/>
        </w:rPr>
        <w:t xml:space="preserve"> </w:t>
      </w:r>
    </w:p>
    <w:p w14:paraId="23561386" w14:textId="56782EBB" w:rsidR="00DC5BE3" w:rsidRDefault="00122620" w:rsidP="0036112A">
      <w:pPr>
        <w:spacing w:before="100" w:beforeAutospacing="1" w:after="100" w:afterAutospacing="1" w:line="360" w:lineRule="auto"/>
        <w:ind w:firstLine="720"/>
        <w:rPr>
          <w:rFonts w:ascii="Calibri" w:hAnsi="Calibri" w:cs="Calibri"/>
          <w:sz w:val="22"/>
          <w:szCs w:val="22"/>
        </w:rPr>
      </w:pPr>
      <w:r>
        <w:rPr>
          <w:rFonts w:ascii="Calibri" w:hAnsi="Calibri" w:cs="Calibri"/>
          <w:sz w:val="22"/>
          <w:szCs w:val="22"/>
        </w:rPr>
        <w:t>B</w:t>
      </w:r>
      <w:r w:rsidRPr="000B595A">
        <w:rPr>
          <w:rFonts w:ascii="Calibri" w:hAnsi="Calibri" w:cs="Calibri"/>
          <w:sz w:val="22"/>
          <w:szCs w:val="22"/>
        </w:rPr>
        <w:t xml:space="preserve">y putting forward relatively small donations </w:t>
      </w:r>
      <w:r w:rsidR="00895A88">
        <w:rPr>
          <w:rFonts w:ascii="Calibri" w:hAnsi="Calibri" w:cs="Calibri"/>
          <w:sz w:val="22"/>
          <w:szCs w:val="22"/>
        </w:rPr>
        <w:t>into such</w:t>
      </w:r>
      <w:r w:rsidRPr="000B595A">
        <w:rPr>
          <w:rFonts w:ascii="Calibri" w:hAnsi="Calibri" w:cs="Calibri"/>
          <w:sz w:val="22"/>
          <w:szCs w:val="22"/>
        </w:rPr>
        <w:t xml:space="preserve"> global and regional health-focused </w:t>
      </w:r>
      <w:r w:rsidR="0019219F">
        <w:rPr>
          <w:rFonts w:ascii="Calibri" w:hAnsi="Calibri" w:cs="Calibri"/>
          <w:sz w:val="22"/>
          <w:szCs w:val="22"/>
        </w:rPr>
        <w:t>Special Grant Programmes</w:t>
      </w:r>
      <w:r w:rsidRPr="000B595A">
        <w:rPr>
          <w:rFonts w:ascii="Calibri" w:hAnsi="Calibri" w:cs="Calibri"/>
          <w:sz w:val="22"/>
          <w:szCs w:val="22"/>
        </w:rPr>
        <w:t xml:space="preserve"> and financial intermediary funds</w:t>
      </w:r>
      <w:r w:rsidR="00895A88">
        <w:rPr>
          <w:rFonts w:ascii="Calibri" w:hAnsi="Calibri" w:cs="Calibri"/>
          <w:sz w:val="22"/>
          <w:szCs w:val="22"/>
        </w:rPr>
        <w:t xml:space="preserve">, </w:t>
      </w:r>
      <w:r w:rsidRPr="000B595A">
        <w:rPr>
          <w:rFonts w:ascii="Calibri" w:hAnsi="Calibri" w:cs="Calibri"/>
          <w:sz w:val="22"/>
          <w:szCs w:val="22"/>
        </w:rPr>
        <w:t xml:space="preserve">the Bank has gained influence disproportionate to its direct financial investments. With the exception of the Gates Foundation </w:t>
      </w:r>
      <w:r w:rsidR="0019219F">
        <w:rPr>
          <w:rFonts w:ascii="Calibri" w:hAnsi="Calibri" w:cs="Calibri"/>
          <w:sz w:val="22"/>
          <w:szCs w:val="22"/>
        </w:rPr>
        <w:t xml:space="preserve">– </w:t>
      </w:r>
      <w:r w:rsidRPr="000B595A">
        <w:rPr>
          <w:rFonts w:ascii="Calibri" w:hAnsi="Calibri" w:cs="Calibri"/>
          <w:sz w:val="22"/>
          <w:szCs w:val="22"/>
        </w:rPr>
        <w:t>which opened its doors when the OCP’s closed</w:t>
      </w:r>
      <w:r w:rsidR="0019219F">
        <w:rPr>
          <w:rFonts w:ascii="Calibri" w:hAnsi="Calibri" w:cs="Calibri"/>
          <w:sz w:val="22"/>
          <w:szCs w:val="22"/>
        </w:rPr>
        <w:t xml:space="preserve"> –</w:t>
      </w:r>
      <w:r w:rsidRPr="000B595A">
        <w:rPr>
          <w:rFonts w:ascii="Calibri" w:hAnsi="Calibri" w:cs="Calibri"/>
          <w:sz w:val="22"/>
          <w:szCs w:val="22"/>
        </w:rPr>
        <w:t xml:space="preserve"> donors to trust funds continue to be many of ‘the usual suspects’ encountered during the OCP</w:t>
      </w:r>
      <w:r w:rsidR="009E2C2B">
        <w:rPr>
          <w:rFonts w:ascii="Calibri" w:hAnsi="Calibri" w:cs="Calibri"/>
          <w:sz w:val="22"/>
          <w:szCs w:val="22"/>
        </w:rPr>
        <w:t xml:space="preserve"> (</w:t>
      </w:r>
      <w:r w:rsidR="00724FF4">
        <w:rPr>
          <w:rFonts w:ascii="Calibri" w:hAnsi="Calibri" w:cs="Calibri"/>
          <w:sz w:val="22"/>
          <w:szCs w:val="22"/>
        </w:rPr>
        <w:t xml:space="preserve">see </w:t>
      </w:r>
      <w:r w:rsidR="009E2C2B">
        <w:rPr>
          <w:rFonts w:ascii="Calibri" w:hAnsi="Calibri" w:cs="Calibri"/>
          <w:sz w:val="22"/>
          <w:szCs w:val="22"/>
        </w:rPr>
        <w:t xml:space="preserve">Appendix </w:t>
      </w:r>
      <w:r w:rsidR="00DD4818">
        <w:rPr>
          <w:rFonts w:ascii="Calibri" w:hAnsi="Calibri" w:cs="Calibri"/>
          <w:sz w:val="22"/>
          <w:szCs w:val="22"/>
        </w:rPr>
        <w:t>XI</w:t>
      </w:r>
      <w:r w:rsidR="009E2C2B">
        <w:rPr>
          <w:rFonts w:ascii="Calibri" w:hAnsi="Calibri" w:cs="Calibri"/>
          <w:sz w:val="22"/>
          <w:szCs w:val="22"/>
        </w:rPr>
        <w:t>)</w:t>
      </w:r>
      <w:r w:rsidRPr="000B595A">
        <w:rPr>
          <w:rFonts w:ascii="Calibri" w:hAnsi="Calibri" w:cs="Calibri"/>
          <w:sz w:val="22"/>
          <w:szCs w:val="22"/>
        </w:rPr>
        <w:t xml:space="preserve">. </w:t>
      </w:r>
      <w:r w:rsidR="00453565">
        <w:rPr>
          <w:rFonts w:ascii="Calibri" w:hAnsi="Calibri" w:cs="Calibri"/>
          <w:sz w:val="22"/>
          <w:szCs w:val="22"/>
        </w:rPr>
        <w:t>Through trust funded partnerships,</w:t>
      </w:r>
      <w:r w:rsidRPr="000B595A">
        <w:rPr>
          <w:rFonts w:ascii="Calibri" w:hAnsi="Calibri" w:cs="Calibri"/>
          <w:sz w:val="22"/>
          <w:szCs w:val="22"/>
        </w:rPr>
        <w:t xml:space="preserve"> as it did on the OCP’s </w:t>
      </w:r>
      <w:r>
        <w:rPr>
          <w:rFonts w:ascii="Calibri" w:hAnsi="Calibri" w:cs="Calibri"/>
          <w:sz w:val="22"/>
          <w:szCs w:val="22"/>
        </w:rPr>
        <w:t>Joint Programme Committee</w:t>
      </w:r>
      <w:r w:rsidRPr="000B595A">
        <w:rPr>
          <w:rFonts w:ascii="Calibri" w:hAnsi="Calibri" w:cs="Calibri"/>
          <w:sz w:val="22"/>
          <w:szCs w:val="22"/>
        </w:rPr>
        <w:t xml:space="preserve">, the Bank can keep a relatively low profile in global health, while quietly pushing its economically-grounded metrics beyond its (relatively small) core </w:t>
      </w:r>
      <w:r w:rsidR="00EE0FDE">
        <w:rPr>
          <w:rFonts w:ascii="Calibri" w:hAnsi="Calibri" w:cs="Calibri"/>
          <w:sz w:val="22"/>
          <w:szCs w:val="22"/>
        </w:rPr>
        <w:t>Health, Nutrition and Population</w:t>
      </w:r>
      <w:r w:rsidRPr="000B595A">
        <w:rPr>
          <w:rFonts w:ascii="Calibri" w:hAnsi="Calibri" w:cs="Calibri"/>
          <w:sz w:val="22"/>
          <w:szCs w:val="22"/>
        </w:rPr>
        <w:t xml:space="preserve"> portfolio. </w:t>
      </w:r>
      <w:r w:rsidR="00EE0FDE">
        <w:rPr>
          <w:rFonts w:ascii="Calibri" w:hAnsi="Calibri" w:cs="Calibri"/>
          <w:sz w:val="22"/>
          <w:szCs w:val="22"/>
        </w:rPr>
        <w:t>Indeed, an</w:t>
      </w:r>
      <w:r w:rsidR="00DC5BE3" w:rsidRPr="000B595A">
        <w:rPr>
          <w:rFonts w:ascii="Calibri" w:hAnsi="Calibri" w:cs="Calibri"/>
          <w:sz w:val="22"/>
          <w:szCs w:val="22"/>
        </w:rPr>
        <w:t xml:space="preserve"> I</w:t>
      </w:r>
      <w:r w:rsidR="00EE0FDE">
        <w:rPr>
          <w:rFonts w:ascii="Calibri" w:hAnsi="Calibri" w:cs="Calibri"/>
          <w:sz w:val="22"/>
          <w:szCs w:val="22"/>
        </w:rPr>
        <w:t>ndependent Evaluation Group study</w:t>
      </w:r>
      <w:r w:rsidR="00DC5BE3" w:rsidRPr="000B595A">
        <w:rPr>
          <w:rFonts w:ascii="Calibri" w:hAnsi="Calibri" w:cs="Calibri"/>
          <w:sz w:val="22"/>
          <w:szCs w:val="22"/>
        </w:rPr>
        <w:t xml:space="preserve"> reflected that, from 1997 to 2006, the Bank’s role as a financier was the most cited rationale for its involvement in communicable disease projects. Its role ‘as a catalyst able to leverage funds from other sources’ was also ‘increasingly cited in recent years’.</w:t>
      </w:r>
      <w:r w:rsidR="00DC5BE3" w:rsidRPr="000B595A">
        <w:rPr>
          <w:rStyle w:val="FootnoteReference"/>
          <w:rFonts w:ascii="Calibri" w:hAnsi="Calibri" w:cs="Calibri"/>
          <w:sz w:val="22"/>
          <w:szCs w:val="22"/>
        </w:rPr>
        <w:footnoteReference w:id="934"/>
      </w:r>
      <w:r w:rsidR="00DC5BE3" w:rsidRPr="000B595A">
        <w:rPr>
          <w:rFonts w:ascii="Calibri" w:hAnsi="Calibri" w:cs="Calibri"/>
          <w:sz w:val="22"/>
          <w:szCs w:val="22"/>
        </w:rPr>
        <w:t xml:space="preserve"> In this context, catalysis is not so much about increasing overall </w:t>
      </w:r>
      <w:r w:rsidR="00EE0FDE">
        <w:rPr>
          <w:rFonts w:ascii="Calibri" w:hAnsi="Calibri" w:cs="Calibri"/>
          <w:sz w:val="22"/>
          <w:szCs w:val="22"/>
        </w:rPr>
        <w:t>development assistance for health</w:t>
      </w:r>
      <w:r w:rsidR="00DC5BE3" w:rsidRPr="000B595A">
        <w:rPr>
          <w:rFonts w:ascii="Calibri" w:hAnsi="Calibri" w:cs="Calibri"/>
          <w:sz w:val="22"/>
          <w:szCs w:val="22"/>
        </w:rPr>
        <w:t xml:space="preserve"> in absolute terms, but about encouraging donations from the private sector, and encouraging bilateral donors to change the relative distributions of their aid portfolio. </w:t>
      </w:r>
    </w:p>
    <w:p w14:paraId="530A6202" w14:textId="1D1ABB28" w:rsidR="00E63F90" w:rsidRDefault="002726F5" w:rsidP="00E63F90">
      <w:pPr>
        <w:spacing w:before="100" w:beforeAutospacing="1" w:after="100" w:afterAutospacing="1" w:line="360" w:lineRule="auto"/>
        <w:ind w:firstLine="720"/>
        <w:rPr>
          <w:rFonts w:ascii="Calibri" w:hAnsi="Calibri" w:cs="Calibri"/>
          <w:sz w:val="22"/>
          <w:szCs w:val="22"/>
        </w:rPr>
      </w:pPr>
      <w:r>
        <w:rPr>
          <w:rFonts w:ascii="Calibri" w:hAnsi="Calibri" w:cs="Calibri"/>
          <w:sz w:val="22"/>
          <w:szCs w:val="22"/>
        </w:rPr>
        <w:t>Crucially</w:t>
      </w:r>
      <w:r w:rsidR="000E3C68">
        <w:rPr>
          <w:rFonts w:ascii="Calibri" w:hAnsi="Calibri" w:cs="Calibri"/>
          <w:sz w:val="22"/>
          <w:szCs w:val="22"/>
        </w:rPr>
        <w:t xml:space="preserve">, the Bank has harnessed these economically-grounded metrics to </w:t>
      </w:r>
      <w:r>
        <w:rPr>
          <w:rFonts w:ascii="Calibri" w:hAnsi="Calibri" w:cs="Calibri"/>
          <w:sz w:val="22"/>
          <w:szCs w:val="22"/>
        </w:rPr>
        <w:t>support programming grounded in selective primary health care (SPHC) concepts of efficiency</w:t>
      </w:r>
      <w:r w:rsidR="00FF4A53">
        <w:rPr>
          <w:rFonts w:ascii="Calibri" w:hAnsi="Calibri" w:cs="Calibri"/>
          <w:sz w:val="22"/>
          <w:szCs w:val="22"/>
        </w:rPr>
        <w:t xml:space="preserve">. </w:t>
      </w:r>
      <w:r w:rsidR="00047EC9">
        <w:rPr>
          <w:rFonts w:ascii="Calibri" w:hAnsi="Calibri" w:cs="Calibri"/>
          <w:sz w:val="22"/>
          <w:szCs w:val="22"/>
        </w:rPr>
        <w:t xml:space="preserve">As shown in Chapter 8, </w:t>
      </w:r>
      <w:r w:rsidR="000E3C68" w:rsidRPr="00A32897">
        <w:rPr>
          <w:rFonts w:ascii="Calibri" w:hAnsi="Calibri" w:cs="Calibri"/>
          <w:sz w:val="22"/>
          <w:szCs w:val="22"/>
        </w:rPr>
        <w:t xml:space="preserve">the Bank, Rockefeller Foundation, and United Nations Children’s Fund (UNICEF) </w:t>
      </w:r>
      <w:r>
        <w:rPr>
          <w:rFonts w:ascii="Calibri" w:hAnsi="Calibri" w:cs="Calibri"/>
          <w:sz w:val="22"/>
          <w:szCs w:val="22"/>
        </w:rPr>
        <w:t xml:space="preserve">replaced PHC’s </w:t>
      </w:r>
      <w:r w:rsidR="000E3C68" w:rsidRPr="00A32897">
        <w:rPr>
          <w:rFonts w:ascii="Calibri" w:hAnsi="Calibri" w:cs="Calibri"/>
          <w:sz w:val="22"/>
          <w:szCs w:val="22"/>
        </w:rPr>
        <w:t>village health worker concept with a package of low-cost, technical interventions to tackle the major disease problems of poor countries. Like the OCP, SPHC interventions were designed to be easy to monitor and evaluate, with clear targets.</w:t>
      </w:r>
      <w:r w:rsidR="000E3C68" w:rsidRPr="00A32897">
        <w:rPr>
          <w:rStyle w:val="FootnoteReference"/>
          <w:rFonts w:ascii="Calibri" w:hAnsi="Calibri" w:cs="Calibri"/>
          <w:sz w:val="22"/>
          <w:szCs w:val="22"/>
        </w:rPr>
        <w:footnoteReference w:id="935"/>
      </w:r>
      <w:r w:rsidR="000E3C68" w:rsidRPr="00A32897">
        <w:rPr>
          <w:rFonts w:ascii="Calibri" w:hAnsi="Calibri" w:cs="Calibri"/>
          <w:sz w:val="22"/>
          <w:szCs w:val="22"/>
        </w:rPr>
        <w:t xml:space="preserve"> As</w:t>
      </w:r>
      <w:r w:rsidR="00047EC9">
        <w:rPr>
          <w:rFonts w:ascii="Calibri" w:hAnsi="Calibri" w:cs="Calibri"/>
          <w:sz w:val="22"/>
          <w:szCs w:val="22"/>
        </w:rPr>
        <w:t xml:space="preserve"> Bernhard</w:t>
      </w:r>
      <w:r w:rsidR="000E3C68" w:rsidRPr="00A32897">
        <w:rPr>
          <w:rFonts w:ascii="Calibri" w:hAnsi="Calibri" w:cs="Calibri"/>
          <w:sz w:val="22"/>
          <w:szCs w:val="22"/>
        </w:rPr>
        <w:t xml:space="preserve"> Liese has described, in the 1980s the Bank ‘made the case very clearly that the major contribution of the Bank in PHC would be…institutional knowledge, how one could operationalize PHC in terms of institutional actors, management processes, quality controls, </w:t>
      </w:r>
      <w:r w:rsidR="000E3C68" w:rsidRPr="00A32897">
        <w:rPr>
          <w:rFonts w:ascii="Calibri" w:hAnsi="Calibri" w:cs="Calibri"/>
          <w:sz w:val="22"/>
          <w:szCs w:val="22"/>
        </w:rPr>
        <w:lastRenderedPageBreak/>
        <w:t>supervision, etc. – what you call public administration’.</w:t>
      </w:r>
      <w:r w:rsidR="000E3C68" w:rsidRPr="00A32897">
        <w:rPr>
          <w:rStyle w:val="FootnoteReference"/>
          <w:rFonts w:ascii="Calibri" w:hAnsi="Calibri" w:cs="Calibri"/>
          <w:sz w:val="22"/>
          <w:szCs w:val="22"/>
        </w:rPr>
        <w:footnoteReference w:id="936"/>
      </w:r>
      <w:r w:rsidR="000E3C68" w:rsidRPr="00A32897">
        <w:rPr>
          <w:rFonts w:ascii="Calibri" w:hAnsi="Calibri" w:cs="Calibri"/>
          <w:sz w:val="22"/>
          <w:szCs w:val="22"/>
        </w:rPr>
        <w:t xml:space="preserve"> With the Bank’s turn toward a particular form of public administration (structural adjustment), PHC’s foundations in social justice eroded. As Halfdan Mahler described decades later, comprehensive PHC ‘came to an abrupt reversal’ with the IMF and Bank’s emphasis on ‘all kinds of privatization’.</w:t>
      </w:r>
      <w:r w:rsidR="000E3C68" w:rsidRPr="00A32897">
        <w:rPr>
          <w:rStyle w:val="FootnoteReference"/>
          <w:rFonts w:ascii="Calibri" w:hAnsi="Calibri" w:cs="Calibri"/>
          <w:sz w:val="22"/>
          <w:szCs w:val="22"/>
        </w:rPr>
        <w:footnoteReference w:id="937"/>
      </w:r>
      <w:r w:rsidR="000E3C68" w:rsidRPr="00A32897">
        <w:rPr>
          <w:rFonts w:ascii="Calibri" w:hAnsi="Calibri" w:cs="Calibri"/>
          <w:sz w:val="22"/>
          <w:szCs w:val="22"/>
        </w:rPr>
        <w:t xml:space="preserve"> SPHC took Mahler’s idea that health should be an instrument of development,</w:t>
      </w:r>
      <w:r w:rsidR="000E3C68" w:rsidRPr="00A32897">
        <w:rPr>
          <w:rStyle w:val="FootnoteReference"/>
          <w:rFonts w:ascii="Calibri" w:hAnsi="Calibri" w:cs="Calibri"/>
          <w:sz w:val="22"/>
          <w:szCs w:val="22"/>
        </w:rPr>
        <w:footnoteReference w:id="938"/>
      </w:r>
      <w:r w:rsidR="000E3C68" w:rsidRPr="00A32897">
        <w:rPr>
          <w:rFonts w:ascii="Calibri" w:hAnsi="Calibri" w:cs="Calibri"/>
          <w:sz w:val="22"/>
          <w:szCs w:val="22"/>
        </w:rPr>
        <w:t xml:space="preserve"> but adopted a tight version of ‘development’, which was grounded in terms of economic growth and </w:t>
      </w:r>
      <w:r w:rsidR="00854589">
        <w:rPr>
          <w:rFonts w:ascii="Calibri" w:hAnsi="Calibri" w:cs="Calibri"/>
          <w:sz w:val="22"/>
          <w:szCs w:val="22"/>
        </w:rPr>
        <w:t xml:space="preserve">market </w:t>
      </w:r>
      <w:r w:rsidR="000E3C68" w:rsidRPr="00A32897">
        <w:rPr>
          <w:rFonts w:ascii="Calibri" w:hAnsi="Calibri" w:cs="Calibri"/>
          <w:sz w:val="22"/>
          <w:szCs w:val="22"/>
        </w:rPr>
        <w:t>efficiency.</w:t>
      </w:r>
      <w:r w:rsidR="00E63F90">
        <w:rPr>
          <w:rFonts w:ascii="Calibri" w:hAnsi="Calibri" w:cs="Calibri"/>
          <w:sz w:val="22"/>
          <w:szCs w:val="22"/>
        </w:rPr>
        <w:t xml:space="preserve"> </w:t>
      </w:r>
    </w:p>
    <w:p w14:paraId="61DB9591" w14:textId="674E3B73" w:rsidR="000E3C68" w:rsidRPr="000B595A" w:rsidRDefault="00E63F90">
      <w:pPr>
        <w:spacing w:before="100" w:beforeAutospacing="1" w:after="100" w:afterAutospacing="1" w:line="360" w:lineRule="auto"/>
        <w:ind w:firstLine="720"/>
        <w:rPr>
          <w:rFonts w:ascii="Calibri" w:hAnsi="Calibri" w:cs="Calibri"/>
          <w:sz w:val="22"/>
          <w:szCs w:val="22"/>
        </w:rPr>
      </w:pPr>
      <w:r>
        <w:rPr>
          <w:rFonts w:ascii="Calibri" w:hAnsi="Calibri" w:cs="Calibri"/>
          <w:sz w:val="22"/>
          <w:szCs w:val="22"/>
        </w:rPr>
        <w:t>By 2000, the idea that comprehensive PHC was unaffordable was embraced at the WHO</w:t>
      </w:r>
      <w:r w:rsidR="002726F5">
        <w:rPr>
          <w:rFonts w:ascii="Calibri" w:hAnsi="Calibri" w:cs="Calibri"/>
          <w:sz w:val="22"/>
          <w:szCs w:val="22"/>
        </w:rPr>
        <w:t>, when</w:t>
      </w:r>
      <w:r>
        <w:rPr>
          <w:rFonts w:ascii="Calibri" w:hAnsi="Calibri" w:cs="Calibri"/>
          <w:sz w:val="22"/>
          <w:szCs w:val="22"/>
        </w:rPr>
        <w:t xml:space="preserve"> </w:t>
      </w:r>
      <w:r w:rsidR="000E3C68" w:rsidRPr="00A32897">
        <w:rPr>
          <w:rFonts w:ascii="Calibri" w:hAnsi="Calibri" w:cs="Calibri"/>
          <w:sz w:val="22"/>
          <w:szCs w:val="22"/>
        </w:rPr>
        <w:t xml:space="preserve">Gro Harlem Brundtland launched the </w:t>
      </w:r>
      <w:r w:rsidR="000E3C68" w:rsidRPr="00A32897">
        <w:rPr>
          <w:rFonts w:ascii="Calibri" w:hAnsi="Calibri" w:cs="Calibri"/>
          <w:i/>
          <w:sz w:val="22"/>
          <w:szCs w:val="22"/>
        </w:rPr>
        <w:t>Commission on macroeconomics and health</w:t>
      </w:r>
      <w:r w:rsidR="002726F5">
        <w:rPr>
          <w:rFonts w:ascii="Calibri" w:hAnsi="Calibri" w:cs="Calibri"/>
          <w:sz w:val="22"/>
          <w:szCs w:val="22"/>
        </w:rPr>
        <w:t xml:space="preserve">. This commission was </w:t>
      </w:r>
      <w:r w:rsidR="000E3C68" w:rsidRPr="00A32897">
        <w:rPr>
          <w:rFonts w:ascii="Calibri" w:hAnsi="Calibri" w:cs="Calibri"/>
          <w:sz w:val="22"/>
          <w:szCs w:val="22"/>
        </w:rPr>
        <w:t>chaired by Harvard economist Jeffrey Sachs</w:t>
      </w:r>
      <w:r w:rsidR="002726F5">
        <w:rPr>
          <w:rFonts w:ascii="Calibri" w:hAnsi="Calibri" w:cs="Calibri"/>
          <w:sz w:val="22"/>
          <w:szCs w:val="22"/>
        </w:rPr>
        <w:t xml:space="preserve"> (</w:t>
      </w:r>
      <w:r w:rsidR="00854589">
        <w:rPr>
          <w:rFonts w:ascii="Calibri" w:hAnsi="Calibri" w:cs="Calibri"/>
          <w:sz w:val="22"/>
          <w:szCs w:val="22"/>
        </w:rPr>
        <w:t>a</w:t>
      </w:r>
      <w:r w:rsidR="002726F5">
        <w:rPr>
          <w:rFonts w:ascii="Calibri" w:hAnsi="Calibri" w:cs="Calibri"/>
          <w:sz w:val="22"/>
          <w:szCs w:val="22"/>
        </w:rPr>
        <w:t xml:space="preserve"> father of ‘armchair regression analyses’)</w:t>
      </w:r>
      <w:r w:rsidR="000E3C68" w:rsidRPr="00A32897">
        <w:rPr>
          <w:rFonts w:ascii="Calibri" w:hAnsi="Calibri" w:cs="Calibri"/>
          <w:sz w:val="22"/>
          <w:szCs w:val="22"/>
        </w:rPr>
        <w:t>, and included former ministers of finance and officers from the Bank, International Monetary Fund, World Trade Organization, and United Nations Development Programme (UNDP).</w:t>
      </w:r>
      <w:r w:rsidR="000E3C68" w:rsidRPr="00A32897">
        <w:rPr>
          <w:rStyle w:val="FootnoteReference"/>
          <w:rFonts w:ascii="Calibri" w:hAnsi="Calibri" w:cs="Calibri"/>
          <w:sz w:val="22"/>
          <w:szCs w:val="22"/>
        </w:rPr>
        <w:footnoteReference w:id="939"/>
      </w:r>
      <w:r w:rsidR="000E3C68" w:rsidRPr="00A32897">
        <w:rPr>
          <w:rFonts w:ascii="Calibri" w:hAnsi="Calibri" w:cs="Calibri"/>
          <w:sz w:val="22"/>
          <w:szCs w:val="22"/>
        </w:rPr>
        <w:t xml:space="preserve"> The Commission focused on taking essential interventions to scale and making them available worldwide, and embraced many of the cost-effectiveness arguments from the Bank’s 1993 </w:t>
      </w:r>
      <w:r w:rsidR="000E3C68" w:rsidRPr="00A32897">
        <w:rPr>
          <w:rFonts w:ascii="Calibri" w:hAnsi="Calibri" w:cs="Calibri"/>
          <w:i/>
          <w:sz w:val="22"/>
          <w:szCs w:val="22"/>
        </w:rPr>
        <w:t>World development report.</w:t>
      </w:r>
      <w:r w:rsidR="000E3C68" w:rsidRPr="00A32897">
        <w:rPr>
          <w:rStyle w:val="FootnoteReference"/>
          <w:rFonts w:ascii="Calibri" w:hAnsi="Calibri" w:cs="Calibri"/>
          <w:sz w:val="22"/>
          <w:szCs w:val="22"/>
        </w:rPr>
        <w:footnoteReference w:id="940"/>
      </w:r>
      <w:r w:rsidR="000E3C68" w:rsidRPr="00A32897">
        <w:rPr>
          <w:rFonts w:ascii="Calibri" w:hAnsi="Calibri" w:cs="Calibri"/>
          <w:i/>
          <w:sz w:val="22"/>
          <w:szCs w:val="22"/>
        </w:rPr>
        <w:t xml:space="preserve"> </w:t>
      </w:r>
      <w:r w:rsidR="000E3C68" w:rsidRPr="00A32897">
        <w:rPr>
          <w:rFonts w:ascii="Calibri" w:hAnsi="Calibri" w:cs="Calibri"/>
          <w:sz w:val="22"/>
          <w:szCs w:val="22"/>
        </w:rPr>
        <w:t>Storeng has reflected that</w:t>
      </w:r>
      <w:r>
        <w:rPr>
          <w:rFonts w:ascii="Calibri" w:hAnsi="Calibri" w:cs="Calibri"/>
          <w:sz w:val="22"/>
          <w:szCs w:val="22"/>
        </w:rPr>
        <w:t>, today,</w:t>
      </w:r>
      <w:r w:rsidR="000E3C68" w:rsidRPr="00A32897">
        <w:rPr>
          <w:rFonts w:ascii="Calibri" w:hAnsi="Calibri" w:cs="Calibri"/>
          <w:sz w:val="22"/>
          <w:szCs w:val="22"/>
        </w:rPr>
        <w:t xml:space="preserve"> ‘HSS is presented as a technical solution and is articulated within an internally foolproof logic of cost-effectiveness and “saving lives” that is politically appealing and difficult to challenge’</w:t>
      </w:r>
      <w:r w:rsidR="002726F5">
        <w:rPr>
          <w:rFonts w:ascii="Calibri" w:hAnsi="Calibri" w:cs="Calibri"/>
          <w:sz w:val="22"/>
          <w:szCs w:val="22"/>
        </w:rPr>
        <w:t xml:space="preserve">, by major PPPs like the GAVI Alliance (which is financed </w:t>
      </w:r>
      <w:r w:rsidR="00854589">
        <w:rPr>
          <w:rFonts w:ascii="Calibri" w:hAnsi="Calibri" w:cs="Calibri"/>
          <w:sz w:val="22"/>
          <w:szCs w:val="22"/>
        </w:rPr>
        <w:t>through</w:t>
      </w:r>
      <w:r w:rsidR="002726F5">
        <w:rPr>
          <w:rFonts w:ascii="Calibri" w:hAnsi="Calibri" w:cs="Calibri"/>
          <w:sz w:val="22"/>
          <w:szCs w:val="22"/>
        </w:rPr>
        <w:t xml:space="preserve"> a Bank trust fund). </w:t>
      </w:r>
      <w:r w:rsidR="000E3C68" w:rsidRPr="00A32897">
        <w:rPr>
          <w:rFonts w:ascii="Calibri" w:hAnsi="Calibri" w:cs="Calibri"/>
          <w:sz w:val="22"/>
          <w:szCs w:val="22"/>
        </w:rPr>
        <w:t>In such a way, Liese, has argued that the traditional ‘vertical-horizontal’ debate has actually been more about SPHC versus broad health system strengthening at the Bank, and during ‘the past forty years, the pendulum moved towards selective primary health care</w:t>
      </w:r>
      <w:r w:rsidR="002726F5">
        <w:rPr>
          <w:rFonts w:ascii="Calibri" w:hAnsi="Calibri" w:cs="Calibri"/>
          <w:sz w:val="22"/>
          <w:szCs w:val="22"/>
        </w:rPr>
        <w:t>’</w:t>
      </w:r>
      <w:r w:rsidR="000E3C68" w:rsidRPr="00A32897">
        <w:rPr>
          <w:rFonts w:ascii="Calibri" w:hAnsi="Calibri" w:cs="Calibri"/>
          <w:sz w:val="22"/>
          <w:szCs w:val="22"/>
        </w:rPr>
        <w:t>.</w:t>
      </w:r>
      <w:r w:rsidR="000E3C68" w:rsidRPr="00A32897">
        <w:rPr>
          <w:rStyle w:val="FootnoteReference"/>
          <w:rFonts w:ascii="Calibri" w:hAnsi="Calibri" w:cs="Calibri"/>
          <w:sz w:val="22"/>
          <w:szCs w:val="22"/>
        </w:rPr>
        <w:footnoteReference w:id="941"/>
      </w:r>
      <w:r w:rsidR="000E3C68" w:rsidRPr="00A32897">
        <w:rPr>
          <w:rFonts w:ascii="Calibri" w:hAnsi="Calibri" w:cs="Calibri"/>
          <w:sz w:val="22"/>
          <w:szCs w:val="22"/>
        </w:rPr>
        <w:t xml:space="preserve"> </w:t>
      </w:r>
    </w:p>
    <w:p w14:paraId="184B65B4" w14:textId="5BA59865" w:rsidR="00D31B2A" w:rsidRPr="00392560" w:rsidRDefault="00150CC3">
      <w:pPr>
        <w:spacing w:before="100" w:beforeAutospacing="1" w:after="100" w:afterAutospacing="1" w:line="360" w:lineRule="auto"/>
        <w:ind w:firstLine="720"/>
        <w:rPr>
          <w:rFonts w:ascii="Calibri" w:hAnsi="Calibri" w:cs="Calibri"/>
          <w:sz w:val="22"/>
          <w:szCs w:val="22"/>
        </w:rPr>
      </w:pPr>
      <w:r w:rsidRPr="000B595A">
        <w:rPr>
          <w:rFonts w:ascii="Calibri" w:hAnsi="Calibri" w:cs="Calibri"/>
          <w:sz w:val="22"/>
          <w:szCs w:val="22"/>
        </w:rPr>
        <w:t xml:space="preserve">Chapter 5 </w:t>
      </w:r>
      <w:r w:rsidR="00453565">
        <w:rPr>
          <w:rFonts w:ascii="Calibri" w:hAnsi="Calibri" w:cs="Calibri"/>
          <w:sz w:val="22"/>
          <w:szCs w:val="22"/>
        </w:rPr>
        <w:t>described the Bank’s self-titled</w:t>
      </w:r>
      <w:r w:rsidRPr="000B595A">
        <w:rPr>
          <w:rFonts w:ascii="Calibri" w:hAnsi="Calibri" w:cs="Calibri"/>
          <w:sz w:val="22"/>
          <w:szCs w:val="22"/>
        </w:rPr>
        <w:t xml:space="preserve"> role </w:t>
      </w:r>
      <w:r w:rsidR="00453565">
        <w:rPr>
          <w:rFonts w:ascii="Calibri" w:hAnsi="Calibri" w:cs="Calibri"/>
          <w:sz w:val="22"/>
          <w:szCs w:val="22"/>
        </w:rPr>
        <w:t>as</w:t>
      </w:r>
      <w:r w:rsidRPr="000B595A">
        <w:rPr>
          <w:rFonts w:ascii="Calibri" w:hAnsi="Calibri" w:cs="Calibri"/>
          <w:sz w:val="22"/>
          <w:szCs w:val="22"/>
        </w:rPr>
        <w:t xml:space="preserve"> </w:t>
      </w:r>
      <w:r w:rsidRPr="000B595A">
        <w:rPr>
          <w:rFonts w:ascii="Calibri" w:hAnsi="Calibri" w:cs="Calibri"/>
          <w:i/>
          <w:sz w:val="22"/>
          <w:szCs w:val="22"/>
        </w:rPr>
        <w:t>Godfather of the OCP</w:t>
      </w:r>
      <w:r w:rsidRPr="000B595A">
        <w:rPr>
          <w:rFonts w:ascii="Calibri" w:hAnsi="Calibri" w:cs="Calibri"/>
          <w:sz w:val="22"/>
          <w:szCs w:val="22"/>
        </w:rPr>
        <w:t xml:space="preserve">. </w:t>
      </w:r>
      <w:r w:rsidR="00453565">
        <w:rPr>
          <w:rFonts w:ascii="Calibri" w:hAnsi="Calibri" w:cs="Calibri"/>
          <w:sz w:val="22"/>
          <w:szCs w:val="22"/>
        </w:rPr>
        <w:t xml:space="preserve">I </w:t>
      </w:r>
      <w:r w:rsidRPr="000B595A">
        <w:rPr>
          <w:rFonts w:ascii="Calibri" w:hAnsi="Calibri" w:cs="Calibri"/>
          <w:sz w:val="22"/>
          <w:szCs w:val="22"/>
        </w:rPr>
        <w:t>take this argument further</w:t>
      </w:r>
      <w:r w:rsidR="000F00FB">
        <w:rPr>
          <w:rFonts w:ascii="Calibri" w:hAnsi="Calibri" w:cs="Calibri"/>
          <w:sz w:val="22"/>
          <w:szCs w:val="22"/>
        </w:rPr>
        <w:t>;</w:t>
      </w:r>
      <w:r w:rsidRPr="000B595A">
        <w:rPr>
          <w:rFonts w:ascii="Calibri" w:hAnsi="Calibri" w:cs="Calibri"/>
          <w:sz w:val="22"/>
          <w:szCs w:val="22"/>
        </w:rPr>
        <w:t xml:space="preserve"> </w:t>
      </w:r>
      <w:r w:rsidR="00453565">
        <w:rPr>
          <w:rFonts w:ascii="Calibri" w:hAnsi="Calibri" w:cs="Calibri"/>
          <w:sz w:val="22"/>
          <w:szCs w:val="22"/>
        </w:rPr>
        <w:t>I argue that the</w:t>
      </w:r>
      <w:r w:rsidRPr="000B595A">
        <w:rPr>
          <w:rFonts w:ascii="Calibri" w:hAnsi="Calibri" w:cs="Calibri"/>
          <w:sz w:val="22"/>
          <w:szCs w:val="22"/>
        </w:rPr>
        <w:t xml:space="preserve"> Bank has become the </w:t>
      </w:r>
      <w:r w:rsidRPr="000B595A">
        <w:rPr>
          <w:rFonts w:ascii="Calibri" w:hAnsi="Calibri" w:cs="Calibri"/>
          <w:i/>
          <w:sz w:val="22"/>
          <w:szCs w:val="22"/>
        </w:rPr>
        <w:t xml:space="preserve">Godfather of </w:t>
      </w:r>
      <w:r w:rsidR="000F00FB">
        <w:rPr>
          <w:rFonts w:ascii="Calibri" w:hAnsi="Calibri" w:cs="Calibri"/>
          <w:i/>
          <w:sz w:val="22"/>
          <w:szCs w:val="22"/>
        </w:rPr>
        <w:t>G</w:t>
      </w:r>
      <w:r w:rsidRPr="000B595A">
        <w:rPr>
          <w:rFonts w:ascii="Calibri" w:hAnsi="Calibri" w:cs="Calibri"/>
          <w:i/>
          <w:sz w:val="22"/>
          <w:szCs w:val="22"/>
        </w:rPr>
        <w:t xml:space="preserve">lobal </w:t>
      </w:r>
      <w:r w:rsidR="000F00FB">
        <w:rPr>
          <w:rFonts w:ascii="Calibri" w:hAnsi="Calibri" w:cs="Calibri"/>
          <w:i/>
          <w:sz w:val="22"/>
          <w:szCs w:val="22"/>
        </w:rPr>
        <w:t>H</w:t>
      </w:r>
      <w:r w:rsidRPr="000B595A">
        <w:rPr>
          <w:rFonts w:ascii="Calibri" w:hAnsi="Calibri" w:cs="Calibri"/>
          <w:i/>
          <w:sz w:val="22"/>
          <w:szCs w:val="22"/>
        </w:rPr>
        <w:t xml:space="preserve">ealth </w:t>
      </w:r>
      <w:r w:rsidRPr="000B595A">
        <w:rPr>
          <w:rFonts w:ascii="Calibri" w:hAnsi="Calibri" w:cs="Calibri"/>
          <w:sz w:val="22"/>
          <w:szCs w:val="22"/>
        </w:rPr>
        <w:t xml:space="preserve">since </w:t>
      </w:r>
      <w:r w:rsidRPr="000B595A">
        <w:rPr>
          <w:rFonts w:ascii="Calibri" w:hAnsi="Calibri" w:cs="Calibri"/>
          <w:sz w:val="22"/>
          <w:szCs w:val="22"/>
        </w:rPr>
        <w:lastRenderedPageBreak/>
        <w:t xml:space="preserve">the mid-1990s. </w:t>
      </w:r>
      <w:r w:rsidR="00932BBA">
        <w:rPr>
          <w:rFonts w:ascii="Calibri" w:hAnsi="Calibri" w:cs="Calibri"/>
          <w:sz w:val="22"/>
          <w:szCs w:val="22"/>
        </w:rPr>
        <w:t>It uses what Sridhar has called its ‘ideas with teeth’, by combining its metrics with connections to ministries of finance,</w:t>
      </w:r>
      <w:r w:rsidR="00932BBA">
        <w:rPr>
          <w:rStyle w:val="FootnoteReference"/>
          <w:rFonts w:cs="Calibri"/>
        </w:rPr>
        <w:footnoteReference w:id="942"/>
      </w:r>
      <w:r w:rsidR="00932BBA">
        <w:rPr>
          <w:rFonts w:ascii="Calibri" w:hAnsi="Calibri" w:cs="Calibri"/>
          <w:sz w:val="22"/>
          <w:szCs w:val="22"/>
        </w:rPr>
        <w:t xml:space="preserve"> to gain influence on public-private partnerships, including the boards of powerful ‘new multilaterals’ like the Global Fund and Gavi.</w:t>
      </w:r>
      <w:r w:rsidR="00932BBA">
        <w:rPr>
          <w:rStyle w:val="FootnoteReference"/>
          <w:rFonts w:cs="Calibri"/>
        </w:rPr>
        <w:footnoteReference w:id="943"/>
      </w:r>
      <w:r w:rsidR="00932BBA">
        <w:rPr>
          <w:rFonts w:ascii="Calibri" w:hAnsi="Calibri" w:cs="Calibri"/>
          <w:sz w:val="22"/>
          <w:szCs w:val="22"/>
        </w:rPr>
        <w:t xml:space="preserve"> </w:t>
      </w:r>
      <w:r w:rsidR="00FF4A53">
        <w:rPr>
          <w:rFonts w:ascii="Calibri" w:hAnsi="Calibri" w:cs="Calibri"/>
          <w:sz w:val="22"/>
          <w:szCs w:val="22"/>
        </w:rPr>
        <w:t>Its production of tight metrics has allowed it to quietly promote a version of</w:t>
      </w:r>
      <w:r w:rsidR="0031388B">
        <w:rPr>
          <w:rFonts w:ascii="Calibri" w:hAnsi="Calibri" w:cs="Calibri"/>
          <w:sz w:val="22"/>
          <w:szCs w:val="22"/>
        </w:rPr>
        <w:t xml:space="preserve"> selective primary health care (SPHC)</w:t>
      </w:r>
      <w:r w:rsidR="00FF4A53">
        <w:rPr>
          <w:rFonts w:ascii="Calibri" w:hAnsi="Calibri" w:cs="Calibri"/>
          <w:sz w:val="22"/>
          <w:szCs w:val="22"/>
        </w:rPr>
        <w:t xml:space="preserve">, accompanied by dialogue about health system strengthening and community involvement. </w:t>
      </w:r>
      <w:r w:rsidR="0031388B">
        <w:rPr>
          <w:rFonts w:ascii="Calibri" w:hAnsi="Calibri" w:cs="Calibri"/>
          <w:sz w:val="22"/>
          <w:szCs w:val="22"/>
        </w:rPr>
        <w:t xml:space="preserve"> </w:t>
      </w:r>
      <w:r w:rsidR="00932BBA">
        <w:rPr>
          <w:rFonts w:ascii="Calibri" w:hAnsi="Calibri" w:cs="Calibri"/>
          <w:sz w:val="22"/>
          <w:szCs w:val="22"/>
        </w:rPr>
        <w:t xml:space="preserve">As Harman has reflected in the context of HIV/AIDS, the Bank no longer needs to rely on direct financing of health, as </w:t>
      </w:r>
      <w:r w:rsidR="000F00FB">
        <w:rPr>
          <w:rFonts w:ascii="Calibri" w:hAnsi="Calibri" w:cs="Calibri"/>
          <w:sz w:val="22"/>
          <w:szCs w:val="22"/>
        </w:rPr>
        <w:t>these promulgation techniques provides it with significant, under the radar</w:t>
      </w:r>
      <w:r w:rsidR="00932BBA">
        <w:rPr>
          <w:rFonts w:ascii="Calibri" w:hAnsi="Calibri" w:cs="Calibri"/>
          <w:sz w:val="22"/>
          <w:szCs w:val="22"/>
        </w:rPr>
        <w:t xml:space="preserve"> soft power.</w:t>
      </w:r>
      <w:r w:rsidR="00932BBA">
        <w:rPr>
          <w:rStyle w:val="FootnoteReference"/>
          <w:rFonts w:cs="Calibri"/>
        </w:rPr>
        <w:footnoteReference w:id="944"/>
      </w:r>
      <w:r w:rsidR="007E5B28">
        <w:rPr>
          <w:rFonts w:ascii="Calibri" w:hAnsi="Calibri" w:cs="Calibri"/>
          <w:sz w:val="22"/>
          <w:szCs w:val="22"/>
        </w:rPr>
        <w:t xml:space="preserve"> </w:t>
      </w:r>
    </w:p>
    <w:p w14:paraId="6ED88F9B" w14:textId="19A0F6BD" w:rsidR="002A0E6F" w:rsidRPr="00E01C8F" w:rsidRDefault="00BD1901" w:rsidP="00392560">
      <w:pPr>
        <w:pStyle w:val="Heading2"/>
        <w:spacing w:before="100" w:beforeAutospacing="1" w:after="100" w:afterAutospacing="1" w:line="360" w:lineRule="auto"/>
        <w:rPr>
          <w:rFonts w:ascii="Calibri" w:hAnsi="Calibri" w:cs="Calibri"/>
          <w:b/>
          <w:sz w:val="26"/>
          <w:szCs w:val="26"/>
        </w:rPr>
      </w:pPr>
      <w:bookmarkStart w:id="157" w:name="_Toc41505711"/>
      <w:r>
        <w:rPr>
          <w:rFonts w:ascii="Calibri" w:hAnsi="Calibri" w:cs="Calibri"/>
          <w:b/>
          <w:sz w:val="26"/>
          <w:szCs w:val="26"/>
        </w:rPr>
        <w:t>9</w:t>
      </w:r>
      <w:r w:rsidR="002A0E6F" w:rsidRPr="00D9152B">
        <w:rPr>
          <w:rFonts w:ascii="Calibri" w:hAnsi="Calibri" w:cs="Calibri"/>
          <w:b/>
          <w:sz w:val="26"/>
          <w:szCs w:val="26"/>
        </w:rPr>
        <w:t>.</w:t>
      </w:r>
      <w:r>
        <w:rPr>
          <w:rFonts w:ascii="Calibri" w:hAnsi="Calibri" w:cs="Calibri"/>
          <w:b/>
          <w:sz w:val="26"/>
          <w:szCs w:val="26"/>
        </w:rPr>
        <w:t>3</w:t>
      </w:r>
      <w:r w:rsidR="002A0E6F" w:rsidRPr="00D9152B">
        <w:rPr>
          <w:rFonts w:ascii="Calibri" w:hAnsi="Calibri" w:cs="Calibri"/>
          <w:b/>
          <w:sz w:val="26"/>
          <w:szCs w:val="26"/>
        </w:rPr>
        <w:t>. The</w:t>
      </w:r>
      <w:r>
        <w:rPr>
          <w:rFonts w:ascii="Calibri" w:hAnsi="Calibri" w:cs="Calibri"/>
          <w:b/>
          <w:sz w:val="26"/>
          <w:szCs w:val="26"/>
        </w:rPr>
        <w:t xml:space="preserve"> OCP and the</w:t>
      </w:r>
      <w:r w:rsidR="00723AD1" w:rsidRPr="00D9152B">
        <w:rPr>
          <w:rFonts w:ascii="Calibri" w:hAnsi="Calibri" w:cs="Calibri"/>
          <w:b/>
          <w:sz w:val="26"/>
          <w:szCs w:val="26"/>
        </w:rPr>
        <w:t xml:space="preserve"> </w:t>
      </w:r>
      <w:r w:rsidR="001C78C8">
        <w:rPr>
          <w:rFonts w:ascii="Calibri" w:hAnsi="Calibri" w:cs="Calibri"/>
          <w:b/>
          <w:sz w:val="26"/>
          <w:szCs w:val="26"/>
        </w:rPr>
        <w:t xml:space="preserve">Bank’s </w:t>
      </w:r>
      <w:r w:rsidR="002A0E6F" w:rsidRPr="00D9152B">
        <w:rPr>
          <w:rFonts w:ascii="Calibri" w:hAnsi="Calibri" w:cs="Calibri"/>
          <w:b/>
          <w:sz w:val="26"/>
          <w:szCs w:val="26"/>
        </w:rPr>
        <w:t>impact model of success</w:t>
      </w:r>
      <w:bookmarkEnd w:id="157"/>
    </w:p>
    <w:p w14:paraId="14695886" w14:textId="16783773" w:rsidR="0036112A" w:rsidRPr="00932BBA" w:rsidRDefault="0036112A" w:rsidP="00392560">
      <w:pPr>
        <w:spacing w:before="100" w:beforeAutospacing="1" w:after="100" w:afterAutospacing="1" w:line="360" w:lineRule="auto"/>
        <w:ind w:firstLine="720"/>
        <w:rPr>
          <w:rFonts w:ascii="Calibri" w:hAnsi="Calibri" w:cs="Calibri"/>
          <w:sz w:val="22"/>
          <w:szCs w:val="22"/>
        </w:rPr>
      </w:pPr>
      <w:r>
        <w:rPr>
          <w:rFonts w:ascii="Calibri" w:hAnsi="Calibri" w:cs="Calibri"/>
          <w:sz w:val="22"/>
          <w:szCs w:val="22"/>
        </w:rPr>
        <w:t xml:space="preserve">This </w:t>
      </w:r>
      <w:r w:rsidR="009E2C2B">
        <w:rPr>
          <w:rFonts w:ascii="Calibri" w:hAnsi="Calibri" w:cs="Calibri"/>
          <w:sz w:val="22"/>
          <w:szCs w:val="22"/>
        </w:rPr>
        <w:t>correlation</w:t>
      </w:r>
      <w:r>
        <w:rPr>
          <w:rFonts w:ascii="Calibri" w:hAnsi="Calibri" w:cs="Calibri"/>
          <w:sz w:val="22"/>
          <w:szCs w:val="22"/>
        </w:rPr>
        <w:t xml:space="preserve"> of </w:t>
      </w:r>
      <w:r w:rsidR="009E2C2B">
        <w:rPr>
          <w:rFonts w:ascii="Calibri" w:hAnsi="Calibri" w:cs="Calibri"/>
          <w:sz w:val="22"/>
          <w:szCs w:val="22"/>
        </w:rPr>
        <w:t xml:space="preserve">the Bank’s OCP </w:t>
      </w:r>
      <w:r>
        <w:rPr>
          <w:rFonts w:ascii="Calibri" w:hAnsi="Calibri" w:cs="Calibri"/>
          <w:sz w:val="22"/>
          <w:szCs w:val="22"/>
        </w:rPr>
        <w:t>success narrative</w:t>
      </w:r>
      <w:r w:rsidR="009E2C2B">
        <w:rPr>
          <w:rFonts w:ascii="Calibri" w:hAnsi="Calibri" w:cs="Calibri"/>
          <w:sz w:val="22"/>
          <w:szCs w:val="22"/>
        </w:rPr>
        <w:t xml:space="preserve"> with its embrace of econometrics, public private partnerships, and trust fund mechanism</w:t>
      </w:r>
      <w:r w:rsidR="00392560">
        <w:rPr>
          <w:rFonts w:ascii="Calibri" w:hAnsi="Calibri" w:cs="Calibri"/>
          <w:sz w:val="22"/>
          <w:szCs w:val="22"/>
        </w:rPr>
        <w:t>s</w:t>
      </w:r>
      <w:r w:rsidR="009E2C2B">
        <w:rPr>
          <w:rFonts w:ascii="Calibri" w:hAnsi="Calibri" w:cs="Calibri"/>
          <w:sz w:val="22"/>
          <w:szCs w:val="22"/>
        </w:rPr>
        <w:t xml:space="preserve"> is not accidental. D</w:t>
      </w:r>
      <w:r>
        <w:rPr>
          <w:rFonts w:ascii="Calibri" w:hAnsi="Calibri" w:cs="Calibri"/>
          <w:sz w:val="22"/>
          <w:szCs w:val="22"/>
        </w:rPr>
        <w:t xml:space="preserve">uring the late 1980s, </w:t>
      </w:r>
      <w:r w:rsidR="009E2C2B">
        <w:rPr>
          <w:rFonts w:ascii="Calibri" w:hAnsi="Calibri" w:cs="Calibri"/>
          <w:sz w:val="22"/>
          <w:szCs w:val="22"/>
        </w:rPr>
        <w:t xml:space="preserve">for example, </w:t>
      </w:r>
      <w:r>
        <w:rPr>
          <w:rFonts w:ascii="Calibri" w:hAnsi="Calibri" w:cs="Calibri"/>
          <w:sz w:val="22"/>
          <w:szCs w:val="22"/>
        </w:rPr>
        <w:t>t</w:t>
      </w:r>
      <w:r w:rsidRPr="00A32897">
        <w:rPr>
          <w:rFonts w:ascii="Calibri" w:hAnsi="Calibri" w:cs="Calibri"/>
          <w:sz w:val="22"/>
          <w:szCs w:val="22"/>
        </w:rPr>
        <w:t>he Bank</w:t>
      </w:r>
      <w:r>
        <w:rPr>
          <w:rFonts w:ascii="Calibri" w:hAnsi="Calibri" w:cs="Calibri"/>
          <w:sz w:val="22"/>
          <w:szCs w:val="22"/>
        </w:rPr>
        <w:t>’s</w:t>
      </w:r>
      <w:r w:rsidRPr="00A32897">
        <w:rPr>
          <w:rFonts w:ascii="Calibri" w:hAnsi="Calibri" w:cs="Calibri"/>
          <w:sz w:val="22"/>
          <w:szCs w:val="22"/>
        </w:rPr>
        <w:t xml:space="preserve"> Information and Public Affairs department was looking for Bank success stories</w:t>
      </w:r>
      <w:r w:rsidR="009E2C2B">
        <w:rPr>
          <w:rFonts w:ascii="Calibri" w:hAnsi="Calibri" w:cs="Calibri"/>
          <w:sz w:val="22"/>
          <w:szCs w:val="22"/>
        </w:rPr>
        <w:t>,</w:t>
      </w:r>
      <w:r w:rsidRPr="00A32897">
        <w:rPr>
          <w:rStyle w:val="FootnoteReference"/>
          <w:rFonts w:ascii="Calibri" w:hAnsi="Calibri" w:cs="Calibri"/>
          <w:sz w:val="22"/>
          <w:szCs w:val="22"/>
        </w:rPr>
        <w:footnoteReference w:id="945"/>
      </w:r>
      <w:r w:rsidRPr="00A32897">
        <w:rPr>
          <w:rFonts w:ascii="Calibri" w:hAnsi="Calibri" w:cs="Calibri"/>
          <w:sz w:val="22"/>
          <w:szCs w:val="22"/>
        </w:rPr>
        <w:t xml:space="preserve"> and </w:t>
      </w:r>
      <w:r w:rsidRPr="00A32897">
        <w:rPr>
          <w:rFonts w:ascii="Calibri" w:hAnsi="Calibri" w:cs="Calibri"/>
          <w:i/>
          <w:sz w:val="22"/>
          <w:szCs w:val="22"/>
        </w:rPr>
        <w:t>Reader’s Digest</w:t>
      </w:r>
      <w:r w:rsidRPr="00A32897">
        <w:rPr>
          <w:rFonts w:ascii="Calibri" w:hAnsi="Calibri" w:cs="Calibri"/>
          <w:sz w:val="22"/>
          <w:szCs w:val="22"/>
        </w:rPr>
        <w:t xml:space="preserve"> contacted the Bank with a similar request for the health sector.</w:t>
      </w:r>
      <w:r w:rsidRPr="00A32897">
        <w:rPr>
          <w:rStyle w:val="FootnoteReference"/>
          <w:rFonts w:ascii="Calibri" w:hAnsi="Calibri" w:cs="Calibri"/>
          <w:sz w:val="22"/>
          <w:szCs w:val="22"/>
        </w:rPr>
        <w:footnoteReference w:id="946"/>
      </w:r>
      <w:r w:rsidRPr="00A32897">
        <w:rPr>
          <w:rFonts w:ascii="Calibri" w:hAnsi="Calibri" w:cs="Calibri"/>
          <w:sz w:val="22"/>
          <w:szCs w:val="22"/>
        </w:rPr>
        <w:t xml:space="preserve"> Although </w:t>
      </w:r>
      <w:r>
        <w:rPr>
          <w:rFonts w:ascii="Calibri" w:hAnsi="Calibri" w:cs="Calibri"/>
          <w:sz w:val="22"/>
          <w:szCs w:val="22"/>
        </w:rPr>
        <w:t xml:space="preserve">the Bank’s onchocerciasis coordinator, Bruce </w:t>
      </w:r>
      <w:r w:rsidRPr="00A32897">
        <w:rPr>
          <w:rFonts w:ascii="Calibri" w:hAnsi="Calibri" w:cs="Calibri"/>
          <w:sz w:val="22"/>
          <w:szCs w:val="22"/>
        </w:rPr>
        <w:t>Benton</w:t>
      </w:r>
      <w:r w:rsidR="00392560">
        <w:rPr>
          <w:rFonts w:ascii="Calibri" w:hAnsi="Calibri" w:cs="Calibri"/>
          <w:sz w:val="22"/>
          <w:szCs w:val="22"/>
        </w:rPr>
        <w:t>,</w:t>
      </w:r>
      <w:r w:rsidRPr="00A32897">
        <w:rPr>
          <w:rFonts w:ascii="Calibri" w:hAnsi="Calibri" w:cs="Calibri"/>
          <w:sz w:val="22"/>
          <w:szCs w:val="22"/>
        </w:rPr>
        <w:t xml:space="preserve"> admitted that he was ‘doubtful whether OCP provides a framework for generalizing about Bank effectiveness or current development concerns’, he suggested that the OCP success story could well demonstrate the ‘payoffs of long-term donor commitment and well-coordinated aid’. He also pitched the OCP as a ‘useful counterweight to the Bank’s sometimes “hard guy” image’.</w:t>
      </w:r>
      <w:r w:rsidRPr="00A32897">
        <w:rPr>
          <w:rStyle w:val="FootnoteReference"/>
          <w:rFonts w:ascii="Calibri" w:hAnsi="Calibri" w:cs="Calibri"/>
          <w:sz w:val="22"/>
          <w:szCs w:val="22"/>
        </w:rPr>
        <w:footnoteReference w:id="947"/>
      </w:r>
      <w:r>
        <w:rPr>
          <w:rFonts w:ascii="Calibri" w:hAnsi="Calibri" w:cs="Calibri"/>
          <w:sz w:val="22"/>
          <w:szCs w:val="22"/>
        </w:rPr>
        <w:t xml:space="preserve"> Around the same time, t</w:t>
      </w:r>
      <w:r w:rsidRPr="00A32897">
        <w:rPr>
          <w:rFonts w:ascii="Calibri" w:hAnsi="Calibri" w:cs="Calibri"/>
          <w:sz w:val="22"/>
          <w:szCs w:val="22"/>
        </w:rPr>
        <w:t>he OCP chapter in</w:t>
      </w:r>
      <w:r>
        <w:rPr>
          <w:rFonts w:ascii="Calibri" w:hAnsi="Calibri" w:cs="Calibri"/>
          <w:sz w:val="22"/>
          <w:szCs w:val="22"/>
        </w:rPr>
        <w:t xml:space="preserve"> the Bank’s edited vo</w:t>
      </w:r>
      <w:r w:rsidR="009E2C2B">
        <w:rPr>
          <w:rFonts w:ascii="Calibri" w:hAnsi="Calibri" w:cs="Calibri"/>
          <w:sz w:val="22"/>
          <w:szCs w:val="22"/>
        </w:rPr>
        <w:t>l</w:t>
      </w:r>
      <w:r>
        <w:rPr>
          <w:rFonts w:ascii="Calibri" w:hAnsi="Calibri" w:cs="Calibri"/>
          <w:sz w:val="22"/>
          <w:szCs w:val="22"/>
        </w:rPr>
        <w:t>ume,</w:t>
      </w:r>
      <w:r w:rsidRPr="00A32897">
        <w:rPr>
          <w:rFonts w:ascii="Calibri" w:hAnsi="Calibri" w:cs="Calibri"/>
          <w:sz w:val="22"/>
          <w:szCs w:val="22"/>
        </w:rPr>
        <w:t xml:space="preserve"> </w:t>
      </w:r>
      <w:r w:rsidRPr="00A32897">
        <w:rPr>
          <w:rFonts w:ascii="Calibri" w:hAnsi="Calibri" w:cs="Calibri"/>
          <w:i/>
          <w:sz w:val="22"/>
          <w:szCs w:val="22"/>
        </w:rPr>
        <w:t>Successful development in Africa</w:t>
      </w:r>
      <w:r>
        <w:rPr>
          <w:rFonts w:ascii="Calibri" w:hAnsi="Calibri" w:cs="Calibri"/>
          <w:sz w:val="22"/>
          <w:szCs w:val="22"/>
        </w:rPr>
        <w:t xml:space="preserve">, </w:t>
      </w:r>
      <w:r w:rsidRPr="00A32897">
        <w:rPr>
          <w:rFonts w:ascii="Calibri" w:hAnsi="Calibri" w:cs="Calibri"/>
          <w:sz w:val="22"/>
          <w:szCs w:val="22"/>
        </w:rPr>
        <w:t>also made a critical recognition: that ‘the OCP’s actual success has helped: success breeds success’.</w:t>
      </w:r>
      <w:r w:rsidRPr="00A32897">
        <w:rPr>
          <w:rStyle w:val="FootnoteReference"/>
          <w:rFonts w:ascii="Calibri" w:hAnsi="Calibri" w:cs="Calibri"/>
          <w:sz w:val="22"/>
          <w:szCs w:val="22"/>
        </w:rPr>
        <w:footnoteReference w:id="948"/>
      </w:r>
      <w:r w:rsidRPr="00A32897">
        <w:rPr>
          <w:rFonts w:ascii="Calibri" w:hAnsi="Calibri" w:cs="Calibri"/>
          <w:sz w:val="22"/>
          <w:szCs w:val="22"/>
        </w:rPr>
        <w:t xml:space="preserve"> This recognition – that the </w:t>
      </w:r>
      <w:r w:rsidRPr="00A32897">
        <w:rPr>
          <w:rFonts w:ascii="Calibri" w:hAnsi="Calibri" w:cs="Calibri"/>
          <w:sz w:val="22"/>
          <w:szCs w:val="22"/>
        </w:rPr>
        <w:lastRenderedPageBreak/>
        <w:t>prestige of declaring a program</w:t>
      </w:r>
      <w:r w:rsidR="008039C9">
        <w:rPr>
          <w:rFonts w:ascii="Calibri" w:hAnsi="Calibri" w:cs="Calibri"/>
          <w:sz w:val="22"/>
          <w:szCs w:val="22"/>
        </w:rPr>
        <w:t>me</w:t>
      </w:r>
      <w:r w:rsidRPr="00A32897">
        <w:rPr>
          <w:rFonts w:ascii="Calibri" w:hAnsi="Calibri" w:cs="Calibri"/>
          <w:sz w:val="22"/>
          <w:szCs w:val="22"/>
        </w:rPr>
        <w:t xml:space="preserve"> a success makes it easier to fundraise and work towards program</w:t>
      </w:r>
      <w:r w:rsidR="009C05EE">
        <w:rPr>
          <w:rFonts w:ascii="Calibri" w:hAnsi="Calibri" w:cs="Calibri"/>
          <w:sz w:val="22"/>
          <w:szCs w:val="22"/>
        </w:rPr>
        <w:t>me</w:t>
      </w:r>
      <w:r w:rsidRPr="00A32897">
        <w:rPr>
          <w:rFonts w:ascii="Calibri" w:hAnsi="Calibri" w:cs="Calibri"/>
          <w:sz w:val="22"/>
          <w:szCs w:val="22"/>
        </w:rPr>
        <w:t xml:space="preserve"> objectives –</w:t>
      </w:r>
      <w:r>
        <w:rPr>
          <w:rFonts w:ascii="Calibri" w:hAnsi="Calibri" w:cs="Calibri"/>
          <w:sz w:val="22"/>
          <w:szCs w:val="22"/>
        </w:rPr>
        <w:t xml:space="preserve"> </w:t>
      </w:r>
      <w:r w:rsidRPr="00A32897">
        <w:rPr>
          <w:rFonts w:ascii="Calibri" w:hAnsi="Calibri" w:cs="Calibri"/>
          <w:sz w:val="22"/>
          <w:szCs w:val="22"/>
        </w:rPr>
        <w:t>shape</w:t>
      </w:r>
      <w:r>
        <w:rPr>
          <w:rFonts w:ascii="Calibri" w:hAnsi="Calibri" w:cs="Calibri"/>
          <w:sz w:val="22"/>
          <w:szCs w:val="22"/>
        </w:rPr>
        <w:t>d</w:t>
      </w:r>
      <w:r w:rsidRPr="00A32897">
        <w:rPr>
          <w:rFonts w:ascii="Calibri" w:hAnsi="Calibri" w:cs="Calibri"/>
          <w:sz w:val="22"/>
          <w:szCs w:val="22"/>
        </w:rPr>
        <w:t xml:space="preserve"> the Bank’s </w:t>
      </w:r>
      <w:r w:rsidR="009E2C2B">
        <w:rPr>
          <w:rFonts w:ascii="Calibri" w:hAnsi="Calibri" w:cs="Calibri"/>
          <w:sz w:val="22"/>
          <w:szCs w:val="22"/>
        </w:rPr>
        <w:t>dissemination of OCP successes in the 1990s.</w:t>
      </w:r>
      <w:r w:rsidR="009E2C2B">
        <w:rPr>
          <w:rStyle w:val="FootnoteReference"/>
          <w:rFonts w:cs="Calibri"/>
        </w:rPr>
        <w:footnoteReference w:id="949"/>
      </w:r>
      <w:r w:rsidR="009E2C2B">
        <w:rPr>
          <w:rFonts w:ascii="Calibri" w:hAnsi="Calibri" w:cs="Calibri"/>
          <w:sz w:val="22"/>
          <w:szCs w:val="22"/>
        </w:rPr>
        <w:t xml:space="preserve"> </w:t>
      </w:r>
    </w:p>
    <w:p w14:paraId="2BCA5E20" w14:textId="2729D1BF" w:rsidR="002A0E6F" w:rsidRPr="00D9152B" w:rsidRDefault="00F50625" w:rsidP="00392560">
      <w:pPr>
        <w:spacing w:before="240" w:after="240" w:line="360" w:lineRule="auto"/>
        <w:ind w:firstLine="720"/>
        <w:rPr>
          <w:rFonts w:ascii="Calibri" w:hAnsi="Calibri" w:cs="Calibri"/>
          <w:sz w:val="22"/>
          <w:szCs w:val="22"/>
        </w:rPr>
      </w:pPr>
      <w:r>
        <w:rPr>
          <w:rFonts w:ascii="Calibri" w:hAnsi="Calibri" w:cs="Calibri"/>
          <w:sz w:val="22"/>
          <w:szCs w:val="22"/>
        </w:rPr>
        <w:t>In such a way, the</w:t>
      </w:r>
      <w:r w:rsidR="004602A0" w:rsidRPr="00D9152B">
        <w:rPr>
          <w:rFonts w:ascii="Calibri" w:hAnsi="Calibri" w:cs="Calibri"/>
          <w:sz w:val="22"/>
          <w:szCs w:val="22"/>
        </w:rPr>
        <w:t xml:space="preserve"> Bank </w:t>
      </w:r>
      <w:r>
        <w:rPr>
          <w:rFonts w:ascii="Calibri" w:hAnsi="Calibri" w:cs="Calibri"/>
          <w:sz w:val="22"/>
          <w:szCs w:val="22"/>
        </w:rPr>
        <w:t xml:space="preserve">has consistently </w:t>
      </w:r>
      <w:r w:rsidR="00392560">
        <w:rPr>
          <w:rFonts w:ascii="Calibri" w:hAnsi="Calibri" w:cs="Calibri"/>
          <w:sz w:val="22"/>
          <w:szCs w:val="22"/>
        </w:rPr>
        <w:t>conceptualised</w:t>
      </w:r>
      <w:r w:rsidR="004602A0" w:rsidRPr="00D9152B">
        <w:rPr>
          <w:rFonts w:ascii="Calibri" w:hAnsi="Calibri" w:cs="Calibri"/>
          <w:sz w:val="22"/>
          <w:szCs w:val="22"/>
        </w:rPr>
        <w:t xml:space="preserve"> the OCP’s success </w:t>
      </w:r>
      <w:r w:rsidR="00392560">
        <w:rPr>
          <w:rFonts w:ascii="Calibri" w:hAnsi="Calibri" w:cs="Calibri"/>
          <w:sz w:val="22"/>
          <w:szCs w:val="22"/>
        </w:rPr>
        <w:t>using the impact framework</w:t>
      </w:r>
      <w:r>
        <w:rPr>
          <w:rFonts w:ascii="Calibri" w:hAnsi="Calibri" w:cs="Calibri"/>
          <w:sz w:val="22"/>
          <w:szCs w:val="22"/>
        </w:rPr>
        <w:t xml:space="preserve">. Since at least the mid-1990s, </w:t>
      </w:r>
      <w:r w:rsidR="00392560">
        <w:rPr>
          <w:rFonts w:ascii="Calibri" w:hAnsi="Calibri" w:cs="Calibri"/>
          <w:sz w:val="22"/>
          <w:szCs w:val="22"/>
        </w:rPr>
        <w:t>it has depicted the</w:t>
      </w:r>
      <w:r>
        <w:rPr>
          <w:rFonts w:ascii="Calibri" w:hAnsi="Calibri" w:cs="Calibri"/>
          <w:sz w:val="22"/>
          <w:szCs w:val="22"/>
        </w:rPr>
        <w:t xml:space="preserve"> programme’s success as</w:t>
      </w:r>
      <w:r w:rsidR="004602A0" w:rsidRPr="00D9152B">
        <w:rPr>
          <w:rFonts w:ascii="Calibri" w:hAnsi="Calibri" w:cs="Calibri"/>
          <w:sz w:val="22"/>
          <w:szCs w:val="22"/>
        </w:rPr>
        <w:t xml:space="preserve"> finite</w:t>
      </w:r>
      <w:r w:rsidR="00392560">
        <w:rPr>
          <w:rFonts w:ascii="Calibri" w:hAnsi="Calibri" w:cs="Calibri"/>
          <w:sz w:val="22"/>
          <w:szCs w:val="22"/>
        </w:rPr>
        <w:t xml:space="preserve"> and </w:t>
      </w:r>
      <w:r w:rsidR="004602A0" w:rsidRPr="00D9152B">
        <w:rPr>
          <w:rFonts w:ascii="Calibri" w:hAnsi="Calibri" w:cs="Calibri"/>
          <w:sz w:val="22"/>
          <w:szCs w:val="22"/>
        </w:rPr>
        <w:t xml:space="preserve">incontestable. Clear, simple metrics – like hectares of land ‘saved’, the number of community distributors trained, and the cases of blindness prevented – are </w:t>
      </w:r>
      <w:r>
        <w:rPr>
          <w:rFonts w:ascii="Calibri" w:hAnsi="Calibri" w:cs="Calibri"/>
          <w:sz w:val="22"/>
          <w:szCs w:val="22"/>
        </w:rPr>
        <w:t>portrayed</w:t>
      </w:r>
      <w:r w:rsidR="004602A0" w:rsidRPr="00D9152B">
        <w:rPr>
          <w:rFonts w:ascii="Calibri" w:hAnsi="Calibri" w:cs="Calibri"/>
          <w:sz w:val="22"/>
          <w:szCs w:val="22"/>
        </w:rPr>
        <w:t xml:space="preserve"> as unbiased, standalone, empirical evidence of this success.</w:t>
      </w:r>
      <w:r w:rsidR="004602A0" w:rsidRPr="00D9152B">
        <w:rPr>
          <w:rStyle w:val="FootnoteReference"/>
          <w:rFonts w:ascii="Calibri" w:hAnsi="Calibri" w:cs="Calibri"/>
          <w:sz w:val="22"/>
          <w:szCs w:val="22"/>
        </w:rPr>
        <w:footnoteReference w:id="950"/>
      </w:r>
      <w:r w:rsidR="004602A0" w:rsidRPr="00D9152B">
        <w:rPr>
          <w:rFonts w:ascii="Calibri" w:hAnsi="Calibri" w:cs="Calibri"/>
          <w:sz w:val="22"/>
          <w:szCs w:val="22"/>
        </w:rPr>
        <w:t xml:space="preserve"> Such success</w:t>
      </w:r>
      <w:r w:rsidR="003575AC" w:rsidRPr="00D9152B">
        <w:rPr>
          <w:rFonts w:ascii="Calibri" w:hAnsi="Calibri" w:cs="Calibri"/>
          <w:sz w:val="22"/>
          <w:szCs w:val="22"/>
        </w:rPr>
        <w:t xml:space="preserve"> can be replicated </w:t>
      </w:r>
      <w:r w:rsidR="004602A0" w:rsidRPr="00D9152B">
        <w:rPr>
          <w:rFonts w:ascii="Calibri" w:hAnsi="Calibri" w:cs="Calibri"/>
          <w:sz w:val="22"/>
          <w:szCs w:val="22"/>
        </w:rPr>
        <w:t xml:space="preserve">through a particular formula for global health: </w:t>
      </w:r>
      <w:r w:rsidR="003575AC" w:rsidRPr="00D9152B">
        <w:rPr>
          <w:rFonts w:ascii="Calibri" w:hAnsi="Calibri" w:cs="Calibri"/>
          <w:sz w:val="22"/>
          <w:szCs w:val="22"/>
        </w:rPr>
        <w:t>public-private partnership</w:t>
      </w:r>
      <w:r w:rsidR="004602A0" w:rsidRPr="00D9152B">
        <w:rPr>
          <w:rFonts w:ascii="Calibri" w:hAnsi="Calibri" w:cs="Calibri"/>
          <w:sz w:val="22"/>
          <w:szCs w:val="22"/>
        </w:rPr>
        <w:t>s</w:t>
      </w:r>
      <w:r w:rsidR="003575AC" w:rsidRPr="00D9152B">
        <w:rPr>
          <w:rFonts w:ascii="Calibri" w:hAnsi="Calibri" w:cs="Calibri"/>
          <w:sz w:val="22"/>
          <w:szCs w:val="22"/>
        </w:rPr>
        <w:t xml:space="preserve">, </w:t>
      </w:r>
      <w:r w:rsidR="004602A0" w:rsidRPr="00D9152B">
        <w:rPr>
          <w:rFonts w:ascii="Calibri" w:hAnsi="Calibri" w:cs="Calibri"/>
          <w:sz w:val="22"/>
          <w:szCs w:val="22"/>
        </w:rPr>
        <w:t xml:space="preserve">with </w:t>
      </w:r>
      <w:r w:rsidR="003575AC" w:rsidRPr="00D9152B">
        <w:rPr>
          <w:rFonts w:ascii="Calibri" w:hAnsi="Calibri" w:cs="Calibri"/>
          <w:sz w:val="22"/>
          <w:szCs w:val="22"/>
        </w:rPr>
        <w:t xml:space="preserve">clear financing mechanism (the World Bank’s trust fund model), appropriate technology, and community </w:t>
      </w:r>
      <w:r w:rsidR="004602A0" w:rsidRPr="00D9152B">
        <w:rPr>
          <w:rFonts w:ascii="Calibri" w:hAnsi="Calibri" w:cs="Calibri"/>
          <w:sz w:val="22"/>
          <w:szCs w:val="22"/>
        </w:rPr>
        <w:t>involvement</w:t>
      </w:r>
      <w:r w:rsidR="003575AC" w:rsidRPr="00D9152B">
        <w:rPr>
          <w:rFonts w:ascii="Calibri" w:hAnsi="Calibri" w:cs="Calibri"/>
          <w:sz w:val="22"/>
          <w:szCs w:val="22"/>
        </w:rPr>
        <w:t>.</w:t>
      </w:r>
      <w:r w:rsidR="003575AC" w:rsidRPr="00D9152B">
        <w:rPr>
          <w:rStyle w:val="FootnoteReference"/>
          <w:rFonts w:ascii="Calibri" w:hAnsi="Calibri" w:cs="Calibri"/>
          <w:sz w:val="22"/>
          <w:szCs w:val="22"/>
        </w:rPr>
        <w:footnoteReference w:id="951"/>
      </w:r>
      <w:r w:rsidR="003575AC" w:rsidRPr="00D9152B">
        <w:rPr>
          <w:rFonts w:ascii="Calibri" w:hAnsi="Calibri" w:cs="Calibri"/>
          <w:sz w:val="22"/>
          <w:szCs w:val="22"/>
        </w:rPr>
        <w:t xml:space="preserve"> In the words of former OCP and </w:t>
      </w:r>
      <w:r w:rsidR="001D2C0A">
        <w:rPr>
          <w:rFonts w:ascii="Calibri" w:hAnsi="Calibri" w:cs="Calibri"/>
          <w:sz w:val="22"/>
          <w:szCs w:val="22"/>
        </w:rPr>
        <w:t>African Programme for Onchocerciasis Control</w:t>
      </w:r>
      <w:r w:rsidR="003575AC" w:rsidRPr="00D9152B">
        <w:rPr>
          <w:rFonts w:ascii="Calibri" w:hAnsi="Calibri" w:cs="Calibri"/>
          <w:sz w:val="22"/>
          <w:szCs w:val="22"/>
        </w:rPr>
        <w:t xml:space="preserve"> </w:t>
      </w:r>
      <w:r w:rsidR="004602A0" w:rsidRPr="00D9152B">
        <w:rPr>
          <w:rFonts w:ascii="Calibri" w:hAnsi="Calibri" w:cs="Calibri"/>
          <w:sz w:val="22"/>
          <w:szCs w:val="22"/>
        </w:rPr>
        <w:t>d</w:t>
      </w:r>
      <w:r w:rsidR="003575AC" w:rsidRPr="00D9152B">
        <w:rPr>
          <w:rFonts w:ascii="Calibri" w:hAnsi="Calibri" w:cs="Calibri"/>
          <w:sz w:val="22"/>
          <w:szCs w:val="22"/>
        </w:rPr>
        <w:t xml:space="preserve">irectors, the </w:t>
      </w:r>
      <w:r w:rsidR="000E3FDA" w:rsidRPr="00D9152B">
        <w:rPr>
          <w:rFonts w:ascii="Calibri" w:hAnsi="Calibri" w:cs="Calibri"/>
          <w:sz w:val="22"/>
          <w:szCs w:val="22"/>
        </w:rPr>
        <w:t>OCP</w:t>
      </w:r>
      <w:r w:rsidR="003575AC" w:rsidRPr="00D9152B">
        <w:rPr>
          <w:rFonts w:ascii="Calibri" w:hAnsi="Calibri" w:cs="Calibri"/>
          <w:sz w:val="22"/>
          <w:szCs w:val="22"/>
        </w:rPr>
        <w:t xml:space="preserve"> shows that, in the wider global health landscape, ‘the political platform provided by the World Health assembly resolutions coupled with drug donations by pharma companies and financial support from the international community sets the scene for success’.</w:t>
      </w:r>
      <w:r w:rsidR="003575AC" w:rsidRPr="00D9152B">
        <w:rPr>
          <w:rStyle w:val="FootnoteReference"/>
          <w:rFonts w:ascii="Calibri" w:hAnsi="Calibri" w:cs="Calibri"/>
          <w:sz w:val="22"/>
          <w:szCs w:val="22"/>
        </w:rPr>
        <w:footnoteReference w:id="952"/>
      </w:r>
      <w:r w:rsidR="000E3FDA" w:rsidRPr="00D9152B">
        <w:rPr>
          <w:rFonts w:ascii="Calibri" w:hAnsi="Calibri" w:cs="Calibri"/>
          <w:sz w:val="22"/>
          <w:szCs w:val="22"/>
        </w:rPr>
        <w:t xml:space="preserve"> </w:t>
      </w:r>
    </w:p>
    <w:p w14:paraId="66B0852D" w14:textId="65B21DF8" w:rsidR="003575AC" w:rsidRPr="00D9152B" w:rsidRDefault="003575AC" w:rsidP="001D67B9">
      <w:pPr>
        <w:spacing w:before="240" w:after="240" w:line="360" w:lineRule="auto"/>
        <w:ind w:firstLine="720"/>
        <w:rPr>
          <w:rFonts w:ascii="Calibri" w:hAnsi="Calibri" w:cs="Calibri"/>
          <w:sz w:val="22"/>
          <w:szCs w:val="22"/>
        </w:rPr>
      </w:pPr>
      <w:r w:rsidRPr="00D9152B">
        <w:rPr>
          <w:rFonts w:ascii="Calibri" w:hAnsi="Calibri" w:cs="Calibri"/>
          <w:sz w:val="22"/>
          <w:szCs w:val="22"/>
        </w:rPr>
        <w:t xml:space="preserve">The success story is so </w:t>
      </w:r>
      <w:r w:rsidR="000E3FDA" w:rsidRPr="00D9152B">
        <w:rPr>
          <w:rFonts w:ascii="Calibri" w:hAnsi="Calibri" w:cs="Calibri"/>
          <w:sz w:val="22"/>
          <w:szCs w:val="22"/>
        </w:rPr>
        <w:t>‘</w:t>
      </w:r>
      <w:r w:rsidRPr="00D9152B">
        <w:rPr>
          <w:rFonts w:ascii="Calibri" w:hAnsi="Calibri" w:cs="Calibri"/>
          <w:sz w:val="22"/>
          <w:szCs w:val="22"/>
        </w:rPr>
        <w:t>undeniable</w:t>
      </w:r>
      <w:r w:rsidR="000E3FDA" w:rsidRPr="00D9152B">
        <w:rPr>
          <w:rFonts w:ascii="Calibri" w:hAnsi="Calibri" w:cs="Calibri"/>
          <w:sz w:val="22"/>
          <w:szCs w:val="22"/>
        </w:rPr>
        <w:t>’</w:t>
      </w:r>
      <w:r w:rsidR="000E3FDA" w:rsidRPr="00D9152B">
        <w:rPr>
          <w:rStyle w:val="FootnoteReference"/>
          <w:rFonts w:ascii="Calibri" w:hAnsi="Calibri" w:cs="Calibri"/>
          <w:sz w:val="22"/>
          <w:szCs w:val="22"/>
        </w:rPr>
        <w:footnoteReference w:id="953"/>
      </w:r>
      <w:r w:rsidRPr="00D9152B">
        <w:rPr>
          <w:rFonts w:ascii="Calibri" w:hAnsi="Calibri" w:cs="Calibri"/>
          <w:sz w:val="22"/>
          <w:szCs w:val="22"/>
        </w:rPr>
        <w:t xml:space="preserve"> that it </w:t>
      </w:r>
      <w:r w:rsidR="000E3FDA" w:rsidRPr="00D9152B">
        <w:rPr>
          <w:rFonts w:ascii="Calibri" w:hAnsi="Calibri" w:cs="Calibri"/>
          <w:sz w:val="22"/>
          <w:szCs w:val="22"/>
        </w:rPr>
        <w:t>is now leveraged to</w:t>
      </w:r>
      <w:r w:rsidRPr="00D9152B">
        <w:rPr>
          <w:rFonts w:ascii="Calibri" w:hAnsi="Calibri" w:cs="Calibri"/>
          <w:sz w:val="22"/>
          <w:szCs w:val="22"/>
        </w:rPr>
        <w:t xml:space="preserve"> support ‘a more ambitious goal: the elimination of </w:t>
      </w:r>
      <w:r w:rsidR="000E3FDA" w:rsidRPr="00D9152B">
        <w:rPr>
          <w:rFonts w:ascii="Calibri" w:hAnsi="Calibri" w:cs="Calibri"/>
          <w:sz w:val="22"/>
          <w:szCs w:val="22"/>
        </w:rPr>
        <w:t>onchocerciasis</w:t>
      </w:r>
      <w:r w:rsidRPr="00D9152B">
        <w:rPr>
          <w:rFonts w:ascii="Calibri" w:hAnsi="Calibri" w:cs="Calibri"/>
          <w:sz w:val="22"/>
          <w:szCs w:val="22"/>
        </w:rPr>
        <w:t xml:space="preserve"> </w:t>
      </w:r>
      <w:r w:rsidR="000E3FDA" w:rsidRPr="00D9152B">
        <w:rPr>
          <w:rFonts w:ascii="Calibri" w:hAnsi="Calibri" w:cs="Calibri"/>
          <w:i/>
          <w:sz w:val="22"/>
          <w:szCs w:val="22"/>
        </w:rPr>
        <w:t>and</w:t>
      </w:r>
      <w:r w:rsidRPr="00D9152B">
        <w:rPr>
          <w:rFonts w:ascii="Calibri" w:hAnsi="Calibri" w:cs="Calibri"/>
          <w:sz w:val="22"/>
          <w:szCs w:val="22"/>
        </w:rPr>
        <w:t xml:space="preserve"> other preventable neglected tropical diseases from Africa’.</w:t>
      </w:r>
      <w:r w:rsidRPr="00D9152B">
        <w:rPr>
          <w:rStyle w:val="FootnoteReference"/>
          <w:rFonts w:ascii="Calibri" w:hAnsi="Calibri" w:cs="Calibri"/>
          <w:sz w:val="22"/>
          <w:szCs w:val="22"/>
        </w:rPr>
        <w:footnoteReference w:id="954"/>
      </w:r>
      <w:r w:rsidRPr="00D9152B">
        <w:rPr>
          <w:rFonts w:ascii="Calibri" w:hAnsi="Calibri" w:cs="Calibri"/>
          <w:sz w:val="22"/>
          <w:szCs w:val="22"/>
        </w:rPr>
        <w:t xml:space="preserve"> A river blindness summit held at the World Bank in 2014, in collaboration with the NGO Sightsavers, advanced precisely this agenda. The public summit operated on the assumption that the OCP’s success story could be replicated for other NTDs, in a similarly country-owned and community-driven, public-private partnership. Like </w:t>
      </w:r>
      <w:r w:rsidR="000E3FDA" w:rsidRPr="00D9152B">
        <w:rPr>
          <w:rFonts w:ascii="Calibri" w:hAnsi="Calibri" w:cs="Calibri"/>
          <w:sz w:val="22"/>
          <w:szCs w:val="22"/>
        </w:rPr>
        <w:t>forty</w:t>
      </w:r>
      <w:r w:rsidRPr="00D9152B">
        <w:rPr>
          <w:rFonts w:ascii="Calibri" w:hAnsi="Calibri" w:cs="Calibri"/>
          <w:sz w:val="22"/>
          <w:szCs w:val="22"/>
        </w:rPr>
        <w:t xml:space="preserve"> years before, a video was created to showcase successes. To commemorate the success story and attest to its relevance to poverty reduction today, </w:t>
      </w:r>
      <w:r w:rsidR="00724FF4">
        <w:rPr>
          <w:rFonts w:ascii="Calibri" w:hAnsi="Calibri" w:cs="Calibri"/>
          <w:sz w:val="22"/>
          <w:szCs w:val="22"/>
        </w:rPr>
        <w:t xml:space="preserve">Bank </w:t>
      </w:r>
      <w:r w:rsidR="000E3FDA" w:rsidRPr="00D9152B">
        <w:rPr>
          <w:rFonts w:ascii="Calibri" w:hAnsi="Calibri" w:cs="Calibri"/>
          <w:sz w:val="22"/>
          <w:szCs w:val="22"/>
        </w:rPr>
        <w:t>President</w:t>
      </w:r>
      <w:r w:rsidR="001D2C0A">
        <w:rPr>
          <w:rFonts w:ascii="Calibri" w:hAnsi="Calibri" w:cs="Calibri"/>
          <w:sz w:val="22"/>
          <w:szCs w:val="22"/>
        </w:rPr>
        <w:t xml:space="preserve"> Jim</w:t>
      </w:r>
      <w:r w:rsidR="000E3FDA" w:rsidRPr="00D9152B">
        <w:rPr>
          <w:rFonts w:ascii="Calibri" w:hAnsi="Calibri" w:cs="Calibri"/>
          <w:sz w:val="22"/>
          <w:szCs w:val="22"/>
        </w:rPr>
        <w:t xml:space="preserve"> </w:t>
      </w:r>
      <w:r w:rsidRPr="00D9152B">
        <w:rPr>
          <w:rFonts w:ascii="Calibri" w:hAnsi="Calibri" w:cs="Calibri"/>
          <w:sz w:val="22"/>
          <w:szCs w:val="22"/>
        </w:rPr>
        <w:t>Kim and leaders of Sightsavers took photos by the onchocerciasis statue</w:t>
      </w:r>
      <w:r w:rsidR="004602A0" w:rsidRPr="00D9152B">
        <w:rPr>
          <w:rFonts w:ascii="Calibri" w:hAnsi="Calibri" w:cs="Calibri"/>
          <w:sz w:val="22"/>
          <w:szCs w:val="22"/>
        </w:rPr>
        <w:t>.</w:t>
      </w:r>
      <w:r w:rsidR="004602A0" w:rsidRPr="00D9152B">
        <w:rPr>
          <w:rStyle w:val="FootnoteReference"/>
          <w:rFonts w:ascii="Calibri" w:hAnsi="Calibri" w:cs="Calibri"/>
          <w:sz w:val="22"/>
          <w:szCs w:val="22"/>
        </w:rPr>
        <w:footnoteReference w:id="955"/>
      </w:r>
    </w:p>
    <w:p w14:paraId="782380B5" w14:textId="501EA07D" w:rsidR="00392560" w:rsidRDefault="002A0E6F" w:rsidP="00392560">
      <w:pPr>
        <w:spacing w:before="240" w:after="240" w:line="360" w:lineRule="auto"/>
        <w:ind w:firstLine="720"/>
        <w:rPr>
          <w:rFonts w:ascii="Calibri" w:hAnsi="Calibri" w:cs="Calibri"/>
          <w:sz w:val="22"/>
          <w:szCs w:val="22"/>
        </w:rPr>
      </w:pPr>
      <w:r w:rsidRPr="00D9152B">
        <w:rPr>
          <w:rFonts w:ascii="Calibri" w:hAnsi="Calibri" w:cs="Calibri"/>
          <w:sz w:val="22"/>
          <w:szCs w:val="22"/>
        </w:rPr>
        <w:lastRenderedPageBreak/>
        <w:t>In each of these phases,</w:t>
      </w:r>
      <w:r w:rsidR="0024029A">
        <w:rPr>
          <w:rFonts w:ascii="Calibri" w:hAnsi="Calibri" w:cs="Calibri"/>
          <w:sz w:val="22"/>
          <w:szCs w:val="22"/>
        </w:rPr>
        <w:t xml:space="preserve"> there were public health metrics that </w:t>
      </w:r>
      <w:r w:rsidR="0024029A">
        <w:rPr>
          <w:rFonts w:ascii="Calibri" w:hAnsi="Calibri" w:cs="Calibri"/>
          <w:i/>
          <w:iCs/>
          <w:sz w:val="22"/>
          <w:szCs w:val="22"/>
        </w:rPr>
        <w:t xml:space="preserve">did </w:t>
      </w:r>
      <w:r w:rsidR="0024029A">
        <w:rPr>
          <w:rFonts w:ascii="Calibri" w:hAnsi="Calibri" w:cs="Calibri"/>
          <w:sz w:val="22"/>
          <w:szCs w:val="22"/>
        </w:rPr>
        <w:t xml:space="preserve">support the programme’s effectiveness, in terms of </w:t>
      </w:r>
      <w:r w:rsidR="00B66BF7">
        <w:rPr>
          <w:rFonts w:ascii="Calibri" w:hAnsi="Calibri" w:cs="Calibri"/>
          <w:sz w:val="22"/>
          <w:szCs w:val="22"/>
        </w:rPr>
        <w:t>halted disease transmission and</w:t>
      </w:r>
      <w:r w:rsidR="000F0D3C">
        <w:rPr>
          <w:rFonts w:ascii="Calibri" w:hAnsi="Calibri" w:cs="Calibri"/>
          <w:sz w:val="22"/>
          <w:szCs w:val="22"/>
        </w:rPr>
        <w:t xml:space="preserve"> intensity of infection. These metrics were not constructed, and reflected an in-depth surveillance system implemented by the OCP, primarily through the technical guidance of the WHO. However,</w:t>
      </w:r>
      <w:r w:rsidRPr="00D9152B">
        <w:rPr>
          <w:rFonts w:ascii="Calibri" w:hAnsi="Calibri" w:cs="Calibri"/>
          <w:sz w:val="22"/>
          <w:szCs w:val="22"/>
        </w:rPr>
        <w:t xml:space="preserve"> </w:t>
      </w:r>
      <w:r w:rsidR="00707AB3">
        <w:rPr>
          <w:rFonts w:ascii="Calibri" w:hAnsi="Calibri" w:cs="Calibri"/>
          <w:sz w:val="22"/>
          <w:szCs w:val="22"/>
        </w:rPr>
        <w:t xml:space="preserve">many </w:t>
      </w:r>
      <w:r w:rsidR="002308D7" w:rsidRPr="00D9152B">
        <w:rPr>
          <w:rFonts w:ascii="Calibri" w:hAnsi="Calibri" w:cs="Calibri"/>
          <w:sz w:val="22"/>
          <w:szCs w:val="22"/>
        </w:rPr>
        <w:t>programme details that d</w:t>
      </w:r>
      <w:r w:rsidR="00DC0496" w:rsidRPr="00D9152B">
        <w:rPr>
          <w:rFonts w:ascii="Calibri" w:hAnsi="Calibri" w:cs="Calibri"/>
          <w:sz w:val="22"/>
          <w:szCs w:val="22"/>
        </w:rPr>
        <w:t>id</w:t>
      </w:r>
      <w:r w:rsidR="002308D7" w:rsidRPr="00D9152B">
        <w:rPr>
          <w:rFonts w:ascii="Calibri" w:hAnsi="Calibri" w:cs="Calibri"/>
          <w:sz w:val="22"/>
          <w:szCs w:val="22"/>
        </w:rPr>
        <w:t xml:space="preserve"> not match with the prevailing Bank ethos</w:t>
      </w:r>
      <w:r w:rsidR="00DC0496" w:rsidRPr="00D9152B">
        <w:rPr>
          <w:rFonts w:ascii="Calibri" w:hAnsi="Calibri" w:cs="Calibri"/>
          <w:sz w:val="22"/>
          <w:szCs w:val="22"/>
        </w:rPr>
        <w:t>, such as</w:t>
      </w:r>
      <w:r w:rsidR="002308D7" w:rsidRPr="00D9152B">
        <w:rPr>
          <w:rFonts w:ascii="Calibri" w:hAnsi="Calibri" w:cs="Calibri"/>
          <w:sz w:val="22"/>
          <w:szCs w:val="22"/>
        </w:rPr>
        <w:t xml:space="preserve"> </w:t>
      </w:r>
      <w:r w:rsidR="00392560">
        <w:rPr>
          <w:rFonts w:ascii="Calibri" w:hAnsi="Calibri" w:cs="Calibri"/>
          <w:sz w:val="22"/>
          <w:szCs w:val="22"/>
        </w:rPr>
        <w:t xml:space="preserve">the major assumptions </w:t>
      </w:r>
      <w:r w:rsidR="002308D7" w:rsidRPr="00D9152B">
        <w:rPr>
          <w:rFonts w:ascii="Calibri" w:hAnsi="Calibri" w:cs="Calibri"/>
          <w:sz w:val="22"/>
          <w:szCs w:val="22"/>
        </w:rPr>
        <w:t>underlying socio-economic metrics</w:t>
      </w:r>
      <w:r w:rsidR="00DC0496" w:rsidRPr="00D9152B">
        <w:rPr>
          <w:rFonts w:ascii="Calibri" w:hAnsi="Calibri" w:cs="Calibri"/>
          <w:sz w:val="22"/>
          <w:szCs w:val="22"/>
        </w:rPr>
        <w:t>;</w:t>
      </w:r>
      <w:r w:rsidR="002308D7" w:rsidRPr="00D9152B">
        <w:rPr>
          <w:rFonts w:ascii="Calibri" w:hAnsi="Calibri" w:cs="Calibri"/>
          <w:sz w:val="22"/>
          <w:szCs w:val="22"/>
        </w:rPr>
        <w:t xml:space="preserve"> potential capacity erosion of the WHO through extrabudgetary financing mechanisms</w:t>
      </w:r>
      <w:r w:rsidR="00DC0496" w:rsidRPr="00D9152B">
        <w:rPr>
          <w:rFonts w:ascii="Calibri" w:hAnsi="Calibri" w:cs="Calibri"/>
          <w:sz w:val="22"/>
          <w:szCs w:val="22"/>
        </w:rPr>
        <w:t>;</w:t>
      </w:r>
      <w:r w:rsidR="002308D7" w:rsidRPr="00D9152B">
        <w:rPr>
          <w:rFonts w:ascii="Calibri" w:hAnsi="Calibri" w:cs="Calibri"/>
          <w:sz w:val="22"/>
          <w:szCs w:val="22"/>
        </w:rPr>
        <w:t xml:space="preserve"> the lack of the </w:t>
      </w:r>
      <w:r w:rsidR="00DC0496" w:rsidRPr="00D9152B">
        <w:rPr>
          <w:rFonts w:ascii="Calibri" w:hAnsi="Calibri" w:cs="Calibri"/>
          <w:sz w:val="22"/>
          <w:szCs w:val="22"/>
        </w:rPr>
        <w:t>Onchocerciasis</w:t>
      </w:r>
      <w:r w:rsidR="002308D7" w:rsidRPr="00D9152B">
        <w:rPr>
          <w:rFonts w:ascii="Calibri" w:hAnsi="Calibri" w:cs="Calibri"/>
          <w:sz w:val="22"/>
          <w:szCs w:val="22"/>
        </w:rPr>
        <w:t xml:space="preserve"> Fund to attract ‘innovative’ financiers</w:t>
      </w:r>
      <w:r w:rsidR="00DC0496" w:rsidRPr="00D9152B">
        <w:rPr>
          <w:rFonts w:ascii="Calibri" w:hAnsi="Calibri" w:cs="Calibri"/>
          <w:sz w:val="22"/>
          <w:szCs w:val="22"/>
        </w:rPr>
        <w:t xml:space="preserve">; </w:t>
      </w:r>
      <w:r w:rsidR="002308D7" w:rsidRPr="00D9152B">
        <w:rPr>
          <w:rFonts w:ascii="Calibri" w:hAnsi="Calibri" w:cs="Calibri"/>
          <w:sz w:val="22"/>
          <w:szCs w:val="22"/>
        </w:rPr>
        <w:t>the vulnerability</w:t>
      </w:r>
      <w:r w:rsidR="00724FF4">
        <w:rPr>
          <w:rFonts w:ascii="Calibri" w:hAnsi="Calibri" w:cs="Calibri"/>
          <w:sz w:val="22"/>
          <w:szCs w:val="22"/>
        </w:rPr>
        <w:t xml:space="preserve"> (but perhaps inevitability)</w:t>
      </w:r>
      <w:r w:rsidR="002308D7" w:rsidRPr="00D9152B">
        <w:rPr>
          <w:rFonts w:ascii="Calibri" w:hAnsi="Calibri" w:cs="Calibri"/>
          <w:sz w:val="22"/>
          <w:szCs w:val="22"/>
        </w:rPr>
        <w:t xml:space="preserve"> associated with reliance on ‘good faith’ agreements with pharmaceutical companies</w:t>
      </w:r>
      <w:r w:rsidR="00DC0496" w:rsidRPr="00D9152B">
        <w:rPr>
          <w:rFonts w:ascii="Calibri" w:hAnsi="Calibri" w:cs="Calibri"/>
          <w:sz w:val="22"/>
          <w:szCs w:val="22"/>
        </w:rPr>
        <w:t>;</w:t>
      </w:r>
      <w:r w:rsidR="002308D7" w:rsidRPr="00D9152B">
        <w:rPr>
          <w:rFonts w:ascii="Calibri" w:hAnsi="Calibri" w:cs="Calibri"/>
          <w:sz w:val="22"/>
          <w:szCs w:val="22"/>
        </w:rPr>
        <w:t xml:space="preserve"> and the potential for </w:t>
      </w:r>
      <w:r w:rsidR="00F50625">
        <w:rPr>
          <w:rFonts w:ascii="Calibri" w:hAnsi="Calibri" w:cs="Calibri"/>
          <w:sz w:val="22"/>
          <w:szCs w:val="22"/>
        </w:rPr>
        <w:t>community directed treatment with ivermectin (CDTI)</w:t>
      </w:r>
      <w:r w:rsidR="002308D7" w:rsidRPr="00D9152B">
        <w:rPr>
          <w:rFonts w:ascii="Calibri" w:hAnsi="Calibri" w:cs="Calibri"/>
          <w:sz w:val="22"/>
          <w:szCs w:val="22"/>
        </w:rPr>
        <w:t xml:space="preserve"> to undermine some</w:t>
      </w:r>
      <w:r w:rsidR="00724FF4">
        <w:rPr>
          <w:rFonts w:ascii="Calibri" w:hAnsi="Calibri" w:cs="Calibri"/>
          <w:sz w:val="22"/>
          <w:szCs w:val="22"/>
        </w:rPr>
        <w:t xml:space="preserve"> critical aspects of</w:t>
      </w:r>
      <w:r w:rsidR="002308D7" w:rsidRPr="00D9152B">
        <w:rPr>
          <w:rFonts w:ascii="Calibri" w:hAnsi="Calibri" w:cs="Calibri"/>
          <w:sz w:val="22"/>
          <w:szCs w:val="22"/>
        </w:rPr>
        <w:t xml:space="preserve"> PHC systems</w:t>
      </w:r>
      <w:r w:rsidR="00DC0496" w:rsidRPr="00D9152B">
        <w:rPr>
          <w:rFonts w:ascii="Calibri" w:hAnsi="Calibri" w:cs="Calibri"/>
          <w:sz w:val="22"/>
          <w:szCs w:val="22"/>
        </w:rPr>
        <w:t>,</w:t>
      </w:r>
      <w:r w:rsidR="002308D7" w:rsidRPr="00D9152B">
        <w:rPr>
          <w:rFonts w:ascii="Calibri" w:hAnsi="Calibri" w:cs="Calibri"/>
          <w:sz w:val="22"/>
          <w:szCs w:val="22"/>
        </w:rPr>
        <w:t xml:space="preserve"> have been largely discounted in the dominant narrative. </w:t>
      </w:r>
      <w:r w:rsidR="00942230">
        <w:rPr>
          <w:rFonts w:ascii="Calibri" w:hAnsi="Calibri" w:cs="Calibri"/>
          <w:sz w:val="22"/>
          <w:szCs w:val="22"/>
        </w:rPr>
        <w:t>Table</w:t>
      </w:r>
      <w:r w:rsidR="001D2C0A">
        <w:rPr>
          <w:rFonts w:ascii="Calibri" w:hAnsi="Calibri" w:cs="Calibri"/>
          <w:sz w:val="22"/>
          <w:szCs w:val="22"/>
        </w:rPr>
        <w:t xml:space="preserve"> </w:t>
      </w:r>
      <w:r w:rsidR="00724FF4">
        <w:rPr>
          <w:rFonts w:ascii="Calibri" w:hAnsi="Calibri" w:cs="Calibri"/>
          <w:sz w:val="22"/>
          <w:szCs w:val="22"/>
        </w:rPr>
        <w:t>9.</w:t>
      </w:r>
      <w:r w:rsidR="00F50625">
        <w:rPr>
          <w:rFonts w:ascii="Calibri" w:hAnsi="Calibri" w:cs="Calibri"/>
          <w:sz w:val="22"/>
          <w:szCs w:val="22"/>
        </w:rPr>
        <w:t xml:space="preserve">1 </w:t>
      </w:r>
      <w:r w:rsidR="001D2C0A">
        <w:rPr>
          <w:rFonts w:ascii="Calibri" w:hAnsi="Calibri" w:cs="Calibri"/>
          <w:sz w:val="22"/>
          <w:szCs w:val="22"/>
        </w:rPr>
        <w:t xml:space="preserve">provides examples of </w:t>
      </w:r>
      <w:r w:rsidR="0024673B">
        <w:rPr>
          <w:rFonts w:ascii="Calibri" w:hAnsi="Calibri" w:cs="Calibri"/>
          <w:sz w:val="22"/>
          <w:szCs w:val="22"/>
        </w:rPr>
        <w:t xml:space="preserve">some </w:t>
      </w:r>
      <w:r w:rsidR="001D2C0A">
        <w:rPr>
          <w:rFonts w:ascii="Calibri" w:hAnsi="Calibri" w:cs="Calibri"/>
          <w:sz w:val="22"/>
          <w:szCs w:val="22"/>
        </w:rPr>
        <w:t xml:space="preserve">lessons </w:t>
      </w:r>
      <w:r w:rsidR="00392560">
        <w:rPr>
          <w:rFonts w:ascii="Calibri" w:hAnsi="Calibri" w:cs="Calibri"/>
          <w:sz w:val="22"/>
          <w:szCs w:val="22"/>
        </w:rPr>
        <w:t>–</w:t>
      </w:r>
      <w:r w:rsidR="001D2C0A">
        <w:rPr>
          <w:rFonts w:ascii="Calibri" w:hAnsi="Calibri" w:cs="Calibri"/>
          <w:sz w:val="22"/>
          <w:szCs w:val="22"/>
        </w:rPr>
        <w:t xml:space="preserve"> based on Chapters 4-8’s </w:t>
      </w:r>
      <w:r w:rsidR="00724FF4">
        <w:rPr>
          <w:rFonts w:ascii="Calibri" w:hAnsi="Calibri" w:cs="Calibri"/>
          <w:sz w:val="22"/>
          <w:szCs w:val="22"/>
        </w:rPr>
        <w:t>underlying</w:t>
      </w:r>
      <w:r w:rsidR="001D2C0A">
        <w:rPr>
          <w:rFonts w:ascii="Calibri" w:hAnsi="Calibri" w:cs="Calibri"/>
          <w:sz w:val="22"/>
          <w:szCs w:val="22"/>
        </w:rPr>
        <w:t xml:space="preserve"> narrative</w:t>
      </w:r>
      <w:r w:rsidR="00392560">
        <w:rPr>
          <w:rFonts w:ascii="Calibri" w:hAnsi="Calibri" w:cs="Calibri"/>
          <w:sz w:val="22"/>
          <w:szCs w:val="22"/>
        </w:rPr>
        <w:t xml:space="preserve"> – </w:t>
      </w:r>
      <w:r w:rsidR="001D2C0A">
        <w:rPr>
          <w:rFonts w:ascii="Calibri" w:hAnsi="Calibri" w:cs="Calibri"/>
          <w:sz w:val="22"/>
          <w:szCs w:val="22"/>
        </w:rPr>
        <w:t>that are overlooked in this impact model of success.</w:t>
      </w:r>
    </w:p>
    <w:p w14:paraId="131258E5" w14:textId="77777777" w:rsidR="00854589" w:rsidRDefault="00854589" w:rsidP="00392560">
      <w:pPr>
        <w:spacing w:before="240" w:after="240" w:line="360" w:lineRule="auto"/>
        <w:ind w:firstLine="720"/>
        <w:rPr>
          <w:rFonts w:ascii="Calibri" w:hAnsi="Calibri" w:cs="Calibri"/>
          <w:sz w:val="22"/>
          <w:szCs w:val="22"/>
        </w:rPr>
      </w:pPr>
    </w:p>
    <w:tbl>
      <w:tblPr>
        <w:tblStyle w:val="PlainTable3"/>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394"/>
      </w:tblGrid>
      <w:tr w:rsidR="001D2C0A" w:rsidRPr="00B64798" w14:paraId="41127AF4" w14:textId="77777777" w:rsidTr="0024673B">
        <w:trPr>
          <w:cnfStyle w:val="100000000000" w:firstRow="1" w:lastRow="0" w:firstColumn="0" w:lastColumn="0" w:oddVBand="0" w:evenVBand="0" w:oddHBand="0" w:evenHBand="0" w:firstRowFirstColumn="0" w:firstRowLastColumn="0" w:lastRowFirstColumn="0" w:lastRowLastColumn="0"/>
          <w:trHeight w:val="686"/>
        </w:trPr>
        <w:tc>
          <w:tcPr>
            <w:cnfStyle w:val="001000000100" w:firstRow="0" w:lastRow="0" w:firstColumn="1" w:lastColumn="0" w:oddVBand="0" w:evenVBand="0" w:oddHBand="0" w:evenHBand="0" w:firstRowFirstColumn="1" w:firstRowLastColumn="0" w:lastRowFirstColumn="0" w:lastRowLastColumn="0"/>
            <w:tcW w:w="4248" w:type="dxa"/>
            <w:tcBorders>
              <w:bottom w:val="none" w:sz="0" w:space="0" w:color="auto"/>
              <w:right w:val="none" w:sz="0" w:space="0" w:color="auto"/>
            </w:tcBorders>
          </w:tcPr>
          <w:p w14:paraId="64009818" w14:textId="77777777" w:rsidR="001D2C0A" w:rsidRPr="00CB0AAB" w:rsidRDefault="001D2C0A" w:rsidP="008D7C9D">
            <w:pPr>
              <w:jc w:val="center"/>
              <w:rPr>
                <w:rFonts w:ascii="Calibri" w:hAnsi="Calibri" w:cs="Calibri"/>
                <w:i/>
                <w:caps w:val="0"/>
                <w:sz w:val="22"/>
                <w:szCs w:val="22"/>
              </w:rPr>
            </w:pPr>
            <w:r w:rsidRPr="00CB0AAB">
              <w:rPr>
                <w:rFonts w:ascii="Calibri" w:hAnsi="Calibri" w:cs="Calibri"/>
                <w:i/>
                <w:caps w:val="0"/>
                <w:sz w:val="22"/>
                <w:szCs w:val="22"/>
              </w:rPr>
              <w:t>Alternative lessons raised by the OCP</w:t>
            </w:r>
          </w:p>
        </w:tc>
        <w:tc>
          <w:tcPr>
            <w:tcW w:w="4394" w:type="dxa"/>
            <w:tcBorders>
              <w:bottom w:val="none" w:sz="0" w:space="0" w:color="auto"/>
            </w:tcBorders>
          </w:tcPr>
          <w:p w14:paraId="05D7C0F7" w14:textId="77777777" w:rsidR="001D2C0A" w:rsidRPr="00CB0AAB" w:rsidRDefault="001D2C0A" w:rsidP="008D7C9D">
            <w:pPr>
              <w:jc w:val="center"/>
              <w:cnfStyle w:val="100000000000" w:firstRow="1" w:lastRow="0" w:firstColumn="0" w:lastColumn="0" w:oddVBand="0" w:evenVBand="0" w:oddHBand="0" w:evenHBand="0" w:firstRowFirstColumn="0" w:firstRowLastColumn="0" w:lastRowFirstColumn="0" w:lastRowLastColumn="0"/>
              <w:rPr>
                <w:rFonts w:ascii="Calibri" w:hAnsi="Calibri" w:cs="Calibri"/>
                <w:i/>
                <w:caps w:val="0"/>
                <w:sz w:val="22"/>
                <w:szCs w:val="22"/>
              </w:rPr>
            </w:pPr>
            <w:r w:rsidRPr="00CB0AAB">
              <w:rPr>
                <w:rFonts w:ascii="Calibri" w:hAnsi="Calibri" w:cs="Calibri"/>
                <w:i/>
                <w:caps w:val="0"/>
                <w:sz w:val="22"/>
                <w:szCs w:val="22"/>
              </w:rPr>
              <w:t>Suggested research questions to analyse other global health ‘successes’</w:t>
            </w:r>
          </w:p>
        </w:tc>
      </w:tr>
      <w:tr w:rsidR="001D2C0A" w:rsidRPr="00B64798" w14:paraId="72EAE449" w14:textId="77777777" w:rsidTr="0024673B">
        <w:trPr>
          <w:cnfStyle w:val="000000100000" w:firstRow="0" w:lastRow="0" w:firstColumn="0" w:lastColumn="0" w:oddVBand="0" w:evenVBand="0" w:oddHBand="1" w:evenHBand="0" w:firstRowFirstColumn="0" w:firstRowLastColumn="0" w:lastRowFirstColumn="0" w:lastRowLastColumn="0"/>
          <w:trHeight w:val="653"/>
        </w:trPr>
        <w:tc>
          <w:tcPr>
            <w:cnfStyle w:val="001000000000" w:firstRow="0" w:lastRow="0" w:firstColumn="1" w:lastColumn="0" w:oddVBand="0" w:evenVBand="0" w:oddHBand="0" w:evenHBand="0" w:firstRowFirstColumn="0" w:firstRowLastColumn="0" w:lastRowFirstColumn="0" w:lastRowLastColumn="0"/>
            <w:tcW w:w="4248" w:type="dxa"/>
            <w:tcBorders>
              <w:right w:val="none" w:sz="0" w:space="0" w:color="auto"/>
            </w:tcBorders>
          </w:tcPr>
          <w:p w14:paraId="7D03B775" w14:textId="77777777" w:rsidR="001D2C0A" w:rsidRDefault="001D2C0A" w:rsidP="008D7C9D">
            <w:pPr>
              <w:jc w:val="both"/>
              <w:rPr>
                <w:rFonts w:ascii="Calibri" w:hAnsi="Calibri" w:cs="Calibri"/>
                <w:bCs w:val="0"/>
                <w:sz w:val="18"/>
                <w:szCs w:val="18"/>
              </w:rPr>
            </w:pPr>
            <w:r w:rsidRPr="00B64798">
              <w:rPr>
                <w:rFonts w:ascii="Calibri" w:hAnsi="Calibri" w:cs="Calibri"/>
                <w:b w:val="0"/>
                <w:caps w:val="0"/>
                <w:sz w:val="18"/>
                <w:szCs w:val="18"/>
              </w:rPr>
              <w:t xml:space="preserve">Programme objectives often change over time, and the </w:t>
            </w:r>
            <w:r>
              <w:rPr>
                <w:rFonts w:ascii="Calibri" w:hAnsi="Calibri" w:cs="Calibri"/>
                <w:b w:val="0"/>
                <w:caps w:val="0"/>
                <w:sz w:val="18"/>
                <w:szCs w:val="18"/>
              </w:rPr>
              <w:t xml:space="preserve">depicted </w:t>
            </w:r>
            <w:r w:rsidRPr="00B64798">
              <w:rPr>
                <w:rFonts w:ascii="Calibri" w:hAnsi="Calibri" w:cs="Calibri"/>
                <w:b w:val="0"/>
                <w:caps w:val="0"/>
                <w:sz w:val="18"/>
                <w:szCs w:val="18"/>
              </w:rPr>
              <w:t>success or failure of the programme depends on which objectives are used (as benchmarks</w:t>
            </w:r>
            <w:r>
              <w:rPr>
                <w:rFonts w:ascii="Calibri" w:hAnsi="Calibri" w:cs="Calibri"/>
                <w:b w:val="0"/>
                <w:caps w:val="0"/>
                <w:sz w:val="18"/>
                <w:szCs w:val="18"/>
              </w:rPr>
              <w:t xml:space="preserve"> for evaluation</w:t>
            </w:r>
            <w:r w:rsidRPr="00B64798">
              <w:rPr>
                <w:rFonts w:ascii="Calibri" w:hAnsi="Calibri" w:cs="Calibri"/>
                <w:b w:val="0"/>
                <w:caps w:val="0"/>
                <w:sz w:val="18"/>
                <w:szCs w:val="18"/>
              </w:rPr>
              <w:t>).</w:t>
            </w:r>
          </w:p>
          <w:p w14:paraId="12A1F506" w14:textId="77777777" w:rsidR="001D2C0A" w:rsidRPr="00B64798" w:rsidRDefault="001D2C0A" w:rsidP="008D7C9D">
            <w:pPr>
              <w:jc w:val="both"/>
              <w:rPr>
                <w:rFonts w:ascii="Calibri" w:hAnsi="Calibri" w:cs="Calibri"/>
                <w:b w:val="0"/>
                <w:caps w:val="0"/>
                <w:sz w:val="18"/>
                <w:szCs w:val="18"/>
              </w:rPr>
            </w:pPr>
          </w:p>
        </w:tc>
        <w:tc>
          <w:tcPr>
            <w:tcW w:w="4394" w:type="dxa"/>
          </w:tcPr>
          <w:p w14:paraId="6A41A1D9" w14:textId="77777777" w:rsidR="001D2C0A" w:rsidRPr="00B64798" w:rsidRDefault="001D2C0A" w:rsidP="008D7C9D">
            <w:pPr>
              <w:jc w:val="both"/>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B64798">
              <w:rPr>
                <w:rFonts w:ascii="Calibri" w:hAnsi="Calibri" w:cs="Calibri"/>
                <w:sz w:val="18"/>
                <w:szCs w:val="18"/>
              </w:rPr>
              <w:t>How have a programme’s objectives evolved over time, and in what ways are different objectives linked to the programme’s evaluations?</w:t>
            </w:r>
          </w:p>
        </w:tc>
      </w:tr>
      <w:tr w:rsidR="001D2C0A" w:rsidRPr="00B64798" w14:paraId="3E4001AF" w14:textId="77777777" w:rsidTr="0024673B">
        <w:trPr>
          <w:trHeight w:val="653"/>
        </w:trPr>
        <w:tc>
          <w:tcPr>
            <w:cnfStyle w:val="001000000000" w:firstRow="0" w:lastRow="0" w:firstColumn="1" w:lastColumn="0" w:oddVBand="0" w:evenVBand="0" w:oddHBand="0" w:evenHBand="0" w:firstRowFirstColumn="0" w:firstRowLastColumn="0" w:lastRowFirstColumn="0" w:lastRowLastColumn="0"/>
            <w:tcW w:w="4248" w:type="dxa"/>
            <w:tcBorders>
              <w:right w:val="none" w:sz="0" w:space="0" w:color="auto"/>
            </w:tcBorders>
          </w:tcPr>
          <w:p w14:paraId="3844B849" w14:textId="77777777" w:rsidR="001D2C0A" w:rsidRDefault="001D2C0A" w:rsidP="008D7C9D">
            <w:pPr>
              <w:jc w:val="both"/>
              <w:rPr>
                <w:rFonts w:ascii="Calibri" w:hAnsi="Calibri" w:cs="Calibri"/>
                <w:bCs w:val="0"/>
                <w:sz w:val="18"/>
                <w:szCs w:val="18"/>
              </w:rPr>
            </w:pPr>
            <w:r w:rsidRPr="00B64798">
              <w:rPr>
                <w:rFonts w:ascii="Calibri" w:hAnsi="Calibri" w:cs="Calibri"/>
                <w:b w:val="0"/>
                <w:caps w:val="0"/>
                <w:sz w:val="18"/>
                <w:szCs w:val="18"/>
              </w:rPr>
              <w:t xml:space="preserve">The metrics most cited for success are frequently imprecise, and their values may vary dramatically based on the models used (and </w:t>
            </w:r>
            <w:r>
              <w:rPr>
                <w:rFonts w:ascii="Calibri" w:hAnsi="Calibri" w:cs="Calibri"/>
                <w:b w:val="0"/>
                <w:caps w:val="0"/>
                <w:sz w:val="18"/>
                <w:szCs w:val="18"/>
              </w:rPr>
              <w:t>the model’s</w:t>
            </w:r>
            <w:r w:rsidRPr="00B64798">
              <w:rPr>
                <w:rFonts w:ascii="Calibri" w:hAnsi="Calibri" w:cs="Calibri"/>
                <w:b w:val="0"/>
                <w:caps w:val="0"/>
                <w:sz w:val="18"/>
                <w:szCs w:val="18"/>
              </w:rPr>
              <w:t xml:space="preserve"> assumptions).</w:t>
            </w:r>
          </w:p>
          <w:p w14:paraId="3F5E946C" w14:textId="77777777" w:rsidR="001D2C0A" w:rsidRPr="00B64798" w:rsidRDefault="001D2C0A" w:rsidP="008D7C9D">
            <w:pPr>
              <w:jc w:val="both"/>
              <w:rPr>
                <w:rFonts w:ascii="Calibri" w:hAnsi="Calibri" w:cs="Calibri"/>
                <w:b w:val="0"/>
                <w:caps w:val="0"/>
                <w:sz w:val="18"/>
                <w:szCs w:val="18"/>
              </w:rPr>
            </w:pPr>
          </w:p>
        </w:tc>
        <w:tc>
          <w:tcPr>
            <w:tcW w:w="4394" w:type="dxa"/>
          </w:tcPr>
          <w:p w14:paraId="2A70CD26" w14:textId="77777777" w:rsidR="001D2C0A" w:rsidRDefault="001D2C0A" w:rsidP="008D7C9D">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B64798">
              <w:rPr>
                <w:rFonts w:ascii="Calibri" w:hAnsi="Calibri" w:cs="Calibri"/>
                <w:sz w:val="18"/>
                <w:szCs w:val="18"/>
              </w:rPr>
              <w:t>What variables are used (time period and maintenance costs, discount rate, etc.) to calculate economic metrics, such as rates of return and net present value</w:t>
            </w:r>
            <w:r>
              <w:rPr>
                <w:rFonts w:ascii="Calibri" w:hAnsi="Calibri" w:cs="Calibri"/>
                <w:sz w:val="18"/>
                <w:szCs w:val="18"/>
              </w:rPr>
              <w:t>, and how were these variables decided upon</w:t>
            </w:r>
            <w:r w:rsidRPr="00B64798">
              <w:rPr>
                <w:rFonts w:ascii="Calibri" w:hAnsi="Calibri" w:cs="Calibri"/>
                <w:sz w:val="18"/>
                <w:szCs w:val="18"/>
              </w:rPr>
              <w:t>?</w:t>
            </w:r>
          </w:p>
          <w:p w14:paraId="447B0372" w14:textId="77777777" w:rsidR="001D2C0A" w:rsidRPr="00B64798" w:rsidRDefault="001D2C0A" w:rsidP="008D7C9D">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tc>
      </w:tr>
      <w:tr w:rsidR="001D2C0A" w:rsidRPr="00B64798" w14:paraId="04098A0B" w14:textId="77777777" w:rsidTr="0024673B">
        <w:trPr>
          <w:cnfStyle w:val="000000100000" w:firstRow="0" w:lastRow="0" w:firstColumn="0" w:lastColumn="0" w:oddVBand="0" w:evenVBand="0" w:oddHBand="1" w:evenHBand="0" w:firstRowFirstColumn="0" w:firstRowLastColumn="0" w:lastRowFirstColumn="0" w:lastRowLastColumn="0"/>
          <w:trHeight w:val="653"/>
        </w:trPr>
        <w:tc>
          <w:tcPr>
            <w:cnfStyle w:val="001000000000" w:firstRow="0" w:lastRow="0" w:firstColumn="1" w:lastColumn="0" w:oddVBand="0" w:evenVBand="0" w:oddHBand="0" w:evenHBand="0" w:firstRowFirstColumn="0" w:firstRowLastColumn="0" w:lastRowFirstColumn="0" w:lastRowLastColumn="0"/>
            <w:tcW w:w="4248" w:type="dxa"/>
            <w:tcBorders>
              <w:right w:val="none" w:sz="0" w:space="0" w:color="auto"/>
            </w:tcBorders>
          </w:tcPr>
          <w:p w14:paraId="388D652D" w14:textId="77777777" w:rsidR="001D2C0A" w:rsidRDefault="001D2C0A" w:rsidP="008D7C9D">
            <w:pPr>
              <w:jc w:val="both"/>
              <w:rPr>
                <w:rFonts w:ascii="Calibri" w:hAnsi="Calibri" w:cs="Calibri"/>
                <w:bCs w:val="0"/>
                <w:sz w:val="18"/>
                <w:szCs w:val="18"/>
              </w:rPr>
            </w:pPr>
            <w:r w:rsidRPr="00B64798">
              <w:rPr>
                <w:rFonts w:ascii="Calibri" w:hAnsi="Calibri" w:cs="Calibri"/>
                <w:b w:val="0"/>
                <w:caps w:val="0"/>
                <w:sz w:val="18"/>
                <w:szCs w:val="18"/>
              </w:rPr>
              <w:t xml:space="preserve">Language like ‘catalytic aid’ and ‘innovative financing’ may mask wider issues with trust funds, including multilateral capacity erosion (weakened statutory responsibilities) and poor participating country buy-in. </w:t>
            </w:r>
          </w:p>
          <w:p w14:paraId="236F3795" w14:textId="77777777" w:rsidR="001D2C0A" w:rsidRPr="00B64798" w:rsidRDefault="001D2C0A" w:rsidP="008D7C9D">
            <w:pPr>
              <w:jc w:val="both"/>
              <w:rPr>
                <w:rFonts w:ascii="Calibri" w:hAnsi="Calibri" w:cs="Calibri"/>
                <w:b w:val="0"/>
                <w:caps w:val="0"/>
                <w:sz w:val="18"/>
                <w:szCs w:val="18"/>
              </w:rPr>
            </w:pPr>
          </w:p>
        </w:tc>
        <w:tc>
          <w:tcPr>
            <w:tcW w:w="4394" w:type="dxa"/>
          </w:tcPr>
          <w:p w14:paraId="7CB4067F" w14:textId="2B565F34" w:rsidR="001D2C0A" w:rsidRDefault="001D2C0A" w:rsidP="008D7C9D">
            <w:pPr>
              <w:jc w:val="both"/>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Is data on a trust funded programme’s expenditures available? If so, how was money allocated to each programme area; what did sponsoring agencies contribute relative to participating countries; and were major donors to ‘usual’ OECD donors?</w:t>
            </w:r>
            <w:r w:rsidR="00724FF4">
              <w:rPr>
                <w:rFonts w:ascii="Calibri" w:hAnsi="Calibri" w:cs="Calibri"/>
                <w:sz w:val="18"/>
                <w:szCs w:val="18"/>
              </w:rPr>
              <w:t xml:space="preserve"> What data is available on multilateral cost recovery/fees charged for trust funds?</w:t>
            </w:r>
          </w:p>
          <w:p w14:paraId="216A3F42" w14:textId="77777777" w:rsidR="001D2C0A" w:rsidRPr="00B64798" w:rsidRDefault="001D2C0A" w:rsidP="008D7C9D">
            <w:pPr>
              <w:jc w:val="both"/>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p>
        </w:tc>
      </w:tr>
      <w:tr w:rsidR="001D2C0A" w:rsidRPr="00B64798" w14:paraId="0787D007" w14:textId="77777777" w:rsidTr="0024673B">
        <w:trPr>
          <w:trHeight w:val="653"/>
        </w:trPr>
        <w:tc>
          <w:tcPr>
            <w:cnfStyle w:val="001000000000" w:firstRow="0" w:lastRow="0" w:firstColumn="1" w:lastColumn="0" w:oddVBand="0" w:evenVBand="0" w:oddHBand="0" w:evenHBand="0" w:firstRowFirstColumn="0" w:firstRowLastColumn="0" w:lastRowFirstColumn="0" w:lastRowLastColumn="0"/>
            <w:tcW w:w="4248" w:type="dxa"/>
            <w:tcBorders>
              <w:right w:val="none" w:sz="0" w:space="0" w:color="auto"/>
            </w:tcBorders>
          </w:tcPr>
          <w:p w14:paraId="7D016AE9" w14:textId="77777777" w:rsidR="001D2C0A" w:rsidRDefault="001D2C0A" w:rsidP="008D7C9D">
            <w:pPr>
              <w:jc w:val="both"/>
              <w:rPr>
                <w:rFonts w:ascii="Calibri" w:hAnsi="Calibri" w:cs="Calibri"/>
                <w:bCs w:val="0"/>
                <w:sz w:val="18"/>
                <w:szCs w:val="18"/>
              </w:rPr>
            </w:pPr>
            <w:r w:rsidRPr="00B64798">
              <w:rPr>
                <w:rFonts w:ascii="Calibri" w:hAnsi="Calibri" w:cs="Calibri"/>
                <w:b w:val="0"/>
                <w:caps w:val="0"/>
                <w:sz w:val="18"/>
                <w:szCs w:val="18"/>
              </w:rPr>
              <w:t>The Bank’s strength as a fundraiser, in conjunction with frequent donor contact and flexible pledging mechanisms, can lead to long-term donor commitment to global public goods.</w:t>
            </w:r>
          </w:p>
          <w:p w14:paraId="3A6F5F36" w14:textId="77777777" w:rsidR="001D2C0A" w:rsidRPr="00B64798" w:rsidRDefault="001D2C0A" w:rsidP="008D7C9D">
            <w:pPr>
              <w:jc w:val="both"/>
              <w:rPr>
                <w:rFonts w:ascii="Calibri" w:hAnsi="Calibri" w:cs="Calibri"/>
                <w:b w:val="0"/>
                <w:caps w:val="0"/>
                <w:sz w:val="18"/>
                <w:szCs w:val="18"/>
              </w:rPr>
            </w:pPr>
          </w:p>
        </w:tc>
        <w:tc>
          <w:tcPr>
            <w:tcW w:w="4394" w:type="dxa"/>
          </w:tcPr>
          <w:p w14:paraId="5DA46A1D" w14:textId="60756D95" w:rsidR="001D2C0A" w:rsidRPr="00B64798" w:rsidRDefault="001D2C0A" w:rsidP="008D7C9D">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 xml:space="preserve">What actions did sponsoring agencies take </w:t>
            </w:r>
            <w:r w:rsidR="00FB152D">
              <w:rPr>
                <w:rFonts w:ascii="Calibri" w:hAnsi="Calibri" w:cs="Calibri"/>
                <w:sz w:val="18"/>
                <w:szCs w:val="18"/>
              </w:rPr>
              <w:t>for</w:t>
            </w:r>
            <w:r>
              <w:rPr>
                <w:rFonts w:ascii="Calibri" w:hAnsi="Calibri" w:cs="Calibri"/>
                <w:sz w:val="18"/>
                <w:szCs w:val="18"/>
              </w:rPr>
              <w:t xml:space="preserve"> fundraising, and what contact points did they utilize (i.e. ministers of finance, ministers of health, philanthropists, etc.)?</w:t>
            </w:r>
          </w:p>
        </w:tc>
      </w:tr>
      <w:tr w:rsidR="001D2C0A" w:rsidRPr="00B64798" w14:paraId="2987AE9F" w14:textId="77777777" w:rsidTr="0024673B">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4248" w:type="dxa"/>
            <w:tcBorders>
              <w:right w:val="none" w:sz="0" w:space="0" w:color="auto"/>
            </w:tcBorders>
          </w:tcPr>
          <w:p w14:paraId="004448D4" w14:textId="7AD43A12" w:rsidR="001D2C0A" w:rsidRDefault="001D2C0A" w:rsidP="008D7C9D">
            <w:pPr>
              <w:jc w:val="both"/>
              <w:rPr>
                <w:rFonts w:ascii="Calibri" w:hAnsi="Calibri" w:cs="Calibri"/>
                <w:bCs w:val="0"/>
                <w:sz w:val="18"/>
                <w:szCs w:val="18"/>
              </w:rPr>
            </w:pPr>
            <w:r w:rsidRPr="00B64798">
              <w:rPr>
                <w:rFonts w:ascii="Calibri" w:hAnsi="Calibri" w:cs="Calibri"/>
                <w:b w:val="0"/>
                <w:caps w:val="0"/>
                <w:sz w:val="18"/>
                <w:szCs w:val="18"/>
              </w:rPr>
              <w:lastRenderedPageBreak/>
              <w:t>Multilateral institutions often face trade-offs between centralizing programmatic decision</w:t>
            </w:r>
            <w:r w:rsidR="00531180">
              <w:rPr>
                <w:rFonts w:ascii="Calibri" w:hAnsi="Calibri" w:cs="Calibri"/>
                <w:b w:val="0"/>
                <w:caps w:val="0"/>
                <w:sz w:val="18"/>
                <w:szCs w:val="18"/>
              </w:rPr>
              <w:t>-</w:t>
            </w:r>
            <w:r w:rsidRPr="00B64798">
              <w:rPr>
                <w:rFonts w:ascii="Calibri" w:hAnsi="Calibri" w:cs="Calibri"/>
                <w:b w:val="0"/>
                <w:caps w:val="0"/>
                <w:sz w:val="18"/>
                <w:szCs w:val="18"/>
              </w:rPr>
              <w:t xml:space="preserve">making authority and promoting ownership at the local level, and the OCP tended towards quiet </w:t>
            </w:r>
            <w:r w:rsidR="00FB152D">
              <w:rPr>
                <w:rFonts w:ascii="Calibri" w:hAnsi="Calibri" w:cs="Calibri"/>
                <w:b w:val="0"/>
                <w:caps w:val="0"/>
                <w:sz w:val="18"/>
                <w:szCs w:val="18"/>
              </w:rPr>
              <w:t xml:space="preserve">sponsoring agency </w:t>
            </w:r>
            <w:r w:rsidRPr="00B64798">
              <w:rPr>
                <w:rFonts w:ascii="Calibri" w:hAnsi="Calibri" w:cs="Calibri"/>
                <w:b w:val="0"/>
                <w:caps w:val="0"/>
                <w:sz w:val="18"/>
                <w:szCs w:val="18"/>
              </w:rPr>
              <w:t>power accumulation and public rhetoric of grassroots participation.</w:t>
            </w:r>
          </w:p>
          <w:p w14:paraId="56AAADE7" w14:textId="77777777" w:rsidR="001D2C0A" w:rsidRPr="00B64798" w:rsidRDefault="001D2C0A" w:rsidP="008D7C9D">
            <w:pPr>
              <w:jc w:val="both"/>
              <w:rPr>
                <w:rFonts w:ascii="Calibri" w:hAnsi="Calibri" w:cs="Calibri"/>
                <w:b w:val="0"/>
                <w:caps w:val="0"/>
                <w:sz w:val="18"/>
                <w:szCs w:val="18"/>
              </w:rPr>
            </w:pPr>
          </w:p>
        </w:tc>
        <w:tc>
          <w:tcPr>
            <w:tcW w:w="4394" w:type="dxa"/>
          </w:tcPr>
          <w:p w14:paraId="6CDE5C4C" w14:textId="77777777" w:rsidR="001D2C0A" w:rsidRPr="00B64798" w:rsidRDefault="001D2C0A" w:rsidP="008D7C9D">
            <w:pPr>
              <w:jc w:val="both"/>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In a programme’s governance structure, where was formal and effective power held (i.e. in which committees, chaired by representatives of which organizations/countries)?</w:t>
            </w:r>
          </w:p>
        </w:tc>
      </w:tr>
      <w:tr w:rsidR="001D2C0A" w:rsidRPr="00B64798" w14:paraId="532130E2" w14:textId="77777777" w:rsidTr="0024673B">
        <w:trPr>
          <w:trHeight w:val="653"/>
        </w:trPr>
        <w:tc>
          <w:tcPr>
            <w:cnfStyle w:val="001000000000" w:firstRow="0" w:lastRow="0" w:firstColumn="1" w:lastColumn="0" w:oddVBand="0" w:evenVBand="0" w:oddHBand="0" w:evenHBand="0" w:firstRowFirstColumn="0" w:firstRowLastColumn="0" w:lastRowFirstColumn="0" w:lastRowLastColumn="0"/>
            <w:tcW w:w="4248" w:type="dxa"/>
            <w:tcBorders>
              <w:right w:val="none" w:sz="0" w:space="0" w:color="auto"/>
            </w:tcBorders>
          </w:tcPr>
          <w:p w14:paraId="5542C986" w14:textId="77777777" w:rsidR="001D2C0A" w:rsidRDefault="001D2C0A" w:rsidP="008D7C9D">
            <w:pPr>
              <w:jc w:val="both"/>
              <w:rPr>
                <w:rFonts w:ascii="Calibri" w:hAnsi="Calibri" w:cs="Calibri"/>
                <w:bCs w:val="0"/>
                <w:sz w:val="18"/>
                <w:szCs w:val="18"/>
              </w:rPr>
            </w:pPr>
            <w:r w:rsidRPr="00B64798">
              <w:rPr>
                <w:rFonts w:ascii="Calibri" w:hAnsi="Calibri" w:cs="Calibri"/>
                <w:b w:val="0"/>
                <w:caps w:val="0"/>
                <w:sz w:val="18"/>
                <w:szCs w:val="18"/>
              </w:rPr>
              <w:t>Pointing to a programme’s ‘autonomy’ and the comparative advantages or economies of scale of its sponsoring agencies can be deceiving, without contextualization.</w:t>
            </w:r>
          </w:p>
          <w:p w14:paraId="7E3A099E" w14:textId="77777777" w:rsidR="001D2C0A" w:rsidRPr="00B64798" w:rsidRDefault="001D2C0A" w:rsidP="008D7C9D">
            <w:pPr>
              <w:jc w:val="both"/>
              <w:rPr>
                <w:rFonts w:ascii="Calibri" w:hAnsi="Calibri" w:cs="Calibri"/>
                <w:bCs w:val="0"/>
                <w:sz w:val="18"/>
                <w:szCs w:val="18"/>
              </w:rPr>
            </w:pPr>
          </w:p>
        </w:tc>
        <w:tc>
          <w:tcPr>
            <w:tcW w:w="4394" w:type="dxa"/>
          </w:tcPr>
          <w:p w14:paraId="139000D7" w14:textId="7B64582A" w:rsidR="001D2C0A" w:rsidRDefault="001D2C0A" w:rsidP="008D7C9D">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Is the impetus behind trust funds – promoting programme autonomy – a reaction to specific perceived weaknesses of major global health statutory actors, like the WHO and its regional offices?</w:t>
            </w:r>
            <w:r w:rsidR="00724FF4">
              <w:rPr>
                <w:rFonts w:ascii="Calibri" w:hAnsi="Calibri" w:cs="Calibri"/>
                <w:sz w:val="18"/>
                <w:szCs w:val="18"/>
              </w:rPr>
              <w:t xml:space="preserve"> What are these perceived areas of strength/weaknesses (and who is pointing to them)?</w:t>
            </w:r>
          </w:p>
          <w:p w14:paraId="167CF71F" w14:textId="77777777" w:rsidR="001D2C0A" w:rsidRPr="00B64798" w:rsidRDefault="001D2C0A" w:rsidP="008D7C9D">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tc>
      </w:tr>
      <w:tr w:rsidR="001D2C0A" w:rsidRPr="00B64798" w14:paraId="0853C8AA" w14:textId="77777777" w:rsidTr="0024673B">
        <w:trPr>
          <w:cnfStyle w:val="000000100000" w:firstRow="0" w:lastRow="0" w:firstColumn="0" w:lastColumn="0" w:oddVBand="0" w:evenVBand="0" w:oddHBand="1" w:evenHBand="0" w:firstRowFirstColumn="0" w:firstRowLastColumn="0" w:lastRowFirstColumn="0" w:lastRowLastColumn="0"/>
          <w:trHeight w:val="653"/>
        </w:trPr>
        <w:tc>
          <w:tcPr>
            <w:cnfStyle w:val="001000000000" w:firstRow="0" w:lastRow="0" w:firstColumn="1" w:lastColumn="0" w:oddVBand="0" w:evenVBand="0" w:oddHBand="0" w:evenHBand="0" w:firstRowFirstColumn="0" w:firstRowLastColumn="0" w:lastRowFirstColumn="0" w:lastRowLastColumn="0"/>
            <w:tcW w:w="4248" w:type="dxa"/>
            <w:tcBorders>
              <w:right w:val="none" w:sz="0" w:space="0" w:color="auto"/>
            </w:tcBorders>
          </w:tcPr>
          <w:p w14:paraId="3B5D3906" w14:textId="77777777" w:rsidR="001D2C0A" w:rsidRDefault="001D2C0A" w:rsidP="008D7C9D">
            <w:pPr>
              <w:jc w:val="both"/>
              <w:rPr>
                <w:rFonts w:ascii="Calibri" w:hAnsi="Calibri" w:cs="Calibri"/>
                <w:bCs w:val="0"/>
                <w:sz w:val="18"/>
                <w:szCs w:val="18"/>
              </w:rPr>
            </w:pPr>
            <w:r w:rsidRPr="00B64798">
              <w:rPr>
                <w:rFonts w:ascii="Calibri" w:hAnsi="Calibri" w:cs="Calibri"/>
                <w:b w:val="0"/>
                <w:caps w:val="0"/>
                <w:sz w:val="18"/>
                <w:szCs w:val="18"/>
              </w:rPr>
              <w:t xml:space="preserve">Supporting research and development activities for neglected tropical diseases may allow a programme to overcome disincentives for pharmaceutical companies, but </w:t>
            </w:r>
            <w:r>
              <w:rPr>
                <w:rFonts w:ascii="Calibri" w:hAnsi="Calibri" w:cs="Calibri"/>
                <w:b w:val="0"/>
                <w:caps w:val="0"/>
                <w:sz w:val="18"/>
                <w:szCs w:val="18"/>
              </w:rPr>
              <w:t xml:space="preserve">does </w:t>
            </w:r>
            <w:r w:rsidRPr="00B64798">
              <w:rPr>
                <w:rFonts w:ascii="Calibri" w:hAnsi="Calibri" w:cs="Calibri"/>
                <w:b w:val="0"/>
                <w:caps w:val="0"/>
                <w:sz w:val="18"/>
                <w:szCs w:val="18"/>
              </w:rPr>
              <w:t>not</w:t>
            </w:r>
            <w:r>
              <w:rPr>
                <w:rFonts w:ascii="Calibri" w:hAnsi="Calibri" w:cs="Calibri"/>
                <w:b w:val="0"/>
                <w:caps w:val="0"/>
                <w:sz w:val="18"/>
                <w:szCs w:val="18"/>
              </w:rPr>
              <w:t xml:space="preserve"> provide</w:t>
            </w:r>
            <w:r w:rsidRPr="00B64798">
              <w:rPr>
                <w:rFonts w:ascii="Calibri" w:hAnsi="Calibri" w:cs="Calibri"/>
                <w:b w:val="0"/>
                <w:caps w:val="0"/>
                <w:sz w:val="18"/>
                <w:szCs w:val="18"/>
              </w:rPr>
              <w:t xml:space="preserve"> a formula for economic profits.</w:t>
            </w:r>
          </w:p>
          <w:p w14:paraId="02617CBE" w14:textId="77777777" w:rsidR="001D2C0A" w:rsidRPr="00B64798" w:rsidRDefault="001D2C0A" w:rsidP="008D7C9D">
            <w:pPr>
              <w:jc w:val="both"/>
              <w:rPr>
                <w:rFonts w:ascii="Calibri" w:hAnsi="Calibri" w:cs="Calibri"/>
                <w:b w:val="0"/>
                <w:caps w:val="0"/>
                <w:sz w:val="18"/>
                <w:szCs w:val="18"/>
              </w:rPr>
            </w:pPr>
          </w:p>
        </w:tc>
        <w:tc>
          <w:tcPr>
            <w:tcW w:w="4394" w:type="dxa"/>
          </w:tcPr>
          <w:p w14:paraId="70FB252A" w14:textId="1053089A" w:rsidR="001D2C0A" w:rsidRDefault="001D2C0A" w:rsidP="008D7C9D">
            <w:pPr>
              <w:jc w:val="both"/>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Have other global health research and development incentive programmes been able to document pharmaceutical companies making profits off of drugs developed through these collaborations? Are there specific disincentives to overcome – like upfront toxicology testing – that create the most frequent bottlenecks</w:t>
            </w:r>
            <w:r w:rsidR="00724FF4">
              <w:rPr>
                <w:rFonts w:ascii="Calibri" w:hAnsi="Calibri" w:cs="Calibri"/>
                <w:sz w:val="18"/>
                <w:szCs w:val="18"/>
              </w:rPr>
              <w:t xml:space="preserve"> for different classes of drugs?</w:t>
            </w:r>
          </w:p>
          <w:p w14:paraId="6DCDB98A" w14:textId="77777777" w:rsidR="001D2C0A" w:rsidRPr="00B64798" w:rsidRDefault="001D2C0A" w:rsidP="008D7C9D">
            <w:pPr>
              <w:jc w:val="both"/>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p>
        </w:tc>
      </w:tr>
      <w:tr w:rsidR="001D2C0A" w:rsidRPr="00B64798" w14:paraId="1EA952C0" w14:textId="77777777" w:rsidTr="0024673B">
        <w:trPr>
          <w:trHeight w:val="653"/>
        </w:trPr>
        <w:tc>
          <w:tcPr>
            <w:cnfStyle w:val="001000000000" w:firstRow="0" w:lastRow="0" w:firstColumn="1" w:lastColumn="0" w:oddVBand="0" w:evenVBand="0" w:oddHBand="0" w:evenHBand="0" w:firstRowFirstColumn="0" w:firstRowLastColumn="0" w:lastRowFirstColumn="0" w:lastRowLastColumn="0"/>
            <w:tcW w:w="4248" w:type="dxa"/>
            <w:tcBorders>
              <w:right w:val="none" w:sz="0" w:space="0" w:color="auto"/>
            </w:tcBorders>
          </w:tcPr>
          <w:p w14:paraId="1145DA08" w14:textId="77777777" w:rsidR="001D2C0A" w:rsidRDefault="001D2C0A" w:rsidP="008D7C9D">
            <w:pPr>
              <w:jc w:val="both"/>
              <w:rPr>
                <w:rFonts w:ascii="Calibri" w:hAnsi="Calibri" w:cs="Calibri"/>
                <w:bCs w:val="0"/>
                <w:sz w:val="18"/>
                <w:szCs w:val="18"/>
              </w:rPr>
            </w:pPr>
            <w:r w:rsidRPr="00B64798">
              <w:rPr>
                <w:rFonts w:ascii="Calibri" w:hAnsi="Calibri" w:cs="Calibri"/>
                <w:b w:val="0"/>
                <w:caps w:val="0"/>
                <w:sz w:val="18"/>
                <w:szCs w:val="18"/>
              </w:rPr>
              <w:t>Programmes like the OCP offer drug development companies two major benefits: a direct link to patients in community settings and potential positive public relations if they donate a drug.</w:t>
            </w:r>
          </w:p>
          <w:p w14:paraId="3FCA2831" w14:textId="77777777" w:rsidR="001D2C0A" w:rsidRPr="00B64798" w:rsidRDefault="001D2C0A" w:rsidP="008D7C9D">
            <w:pPr>
              <w:jc w:val="both"/>
              <w:rPr>
                <w:rFonts w:ascii="Calibri" w:hAnsi="Calibri" w:cs="Calibri"/>
                <w:b w:val="0"/>
                <w:caps w:val="0"/>
                <w:sz w:val="18"/>
                <w:szCs w:val="18"/>
              </w:rPr>
            </w:pPr>
          </w:p>
        </w:tc>
        <w:tc>
          <w:tcPr>
            <w:tcW w:w="4394" w:type="dxa"/>
          </w:tcPr>
          <w:p w14:paraId="4974BDFC" w14:textId="77777777" w:rsidR="001D2C0A" w:rsidRPr="00B64798" w:rsidRDefault="001D2C0A" w:rsidP="008D7C9D">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To what extent has public relations value or tax write-offs served as independent (not programme-linked) incentives for pharmaceutical companies to donate drugs for mass-drug administration?</w:t>
            </w:r>
          </w:p>
        </w:tc>
      </w:tr>
      <w:tr w:rsidR="001D2C0A" w:rsidRPr="00B64798" w14:paraId="33F5F239" w14:textId="77777777" w:rsidTr="0024673B">
        <w:trPr>
          <w:cnfStyle w:val="000000100000" w:firstRow="0" w:lastRow="0" w:firstColumn="0" w:lastColumn="0" w:oddVBand="0" w:evenVBand="0" w:oddHBand="1" w:evenHBand="0" w:firstRowFirstColumn="0" w:firstRowLastColumn="0" w:lastRowFirstColumn="0" w:lastRowLastColumn="0"/>
          <w:trHeight w:val="653"/>
        </w:trPr>
        <w:tc>
          <w:tcPr>
            <w:cnfStyle w:val="001000000000" w:firstRow="0" w:lastRow="0" w:firstColumn="1" w:lastColumn="0" w:oddVBand="0" w:evenVBand="0" w:oddHBand="0" w:evenHBand="0" w:firstRowFirstColumn="0" w:firstRowLastColumn="0" w:lastRowFirstColumn="0" w:lastRowLastColumn="0"/>
            <w:tcW w:w="4248" w:type="dxa"/>
            <w:tcBorders>
              <w:right w:val="none" w:sz="0" w:space="0" w:color="auto"/>
            </w:tcBorders>
          </w:tcPr>
          <w:p w14:paraId="60D8604C" w14:textId="77777777" w:rsidR="001D2C0A" w:rsidRDefault="001D2C0A" w:rsidP="008D7C9D">
            <w:pPr>
              <w:jc w:val="both"/>
              <w:rPr>
                <w:rFonts w:ascii="Calibri" w:hAnsi="Calibri" w:cs="Calibri"/>
                <w:bCs w:val="0"/>
                <w:sz w:val="18"/>
                <w:szCs w:val="18"/>
              </w:rPr>
            </w:pPr>
            <w:r w:rsidRPr="00B64798">
              <w:rPr>
                <w:rFonts w:ascii="Calibri" w:hAnsi="Calibri" w:cs="Calibri"/>
                <w:b w:val="0"/>
                <w:caps w:val="0"/>
                <w:sz w:val="18"/>
                <w:szCs w:val="18"/>
              </w:rPr>
              <w:t>Success in terms of health system strengthening varies depending on how this is defined, and declarations of success are often based on metrics related to programme outputs – not impact or capacity development.</w:t>
            </w:r>
          </w:p>
          <w:p w14:paraId="67F32790" w14:textId="77777777" w:rsidR="001D2C0A" w:rsidRPr="00B64798" w:rsidRDefault="001D2C0A" w:rsidP="008D7C9D">
            <w:pPr>
              <w:jc w:val="both"/>
              <w:rPr>
                <w:rFonts w:ascii="Calibri" w:hAnsi="Calibri" w:cs="Calibri"/>
                <w:b w:val="0"/>
                <w:caps w:val="0"/>
                <w:sz w:val="18"/>
                <w:szCs w:val="18"/>
              </w:rPr>
            </w:pPr>
          </w:p>
        </w:tc>
        <w:tc>
          <w:tcPr>
            <w:tcW w:w="4394" w:type="dxa"/>
          </w:tcPr>
          <w:p w14:paraId="7641A4FD" w14:textId="77777777" w:rsidR="001D2C0A" w:rsidRDefault="001D2C0A" w:rsidP="008D7C9D">
            <w:pPr>
              <w:jc w:val="both"/>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How has a programme defined health system strengthening or primary health care, if it points to a horizontal transition or grassroots participation? What metrics are used, and are they appropriate to measure an intervention’s impact on health systems or sustainability?</w:t>
            </w:r>
          </w:p>
          <w:p w14:paraId="4F636A68" w14:textId="77777777" w:rsidR="001D2C0A" w:rsidRPr="00B64798" w:rsidRDefault="001D2C0A" w:rsidP="008D7C9D">
            <w:pPr>
              <w:jc w:val="both"/>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p>
        </w:tc>
      </w:tr>
      <w:tr w:rsidR="001D2C0A" w:rsidRPr="00B64798" w14:paraId="20BF2555" w14:textId="77777777" w:rsidTr="0024673B">
        <w:trPr>
          <w:trHeight w:val="653"/>
        </w:trPr>
        <w:tc>
          <w:tcPr>
            <w:cnfStyle w:val="001000000000" w:firstRow="0" w:lastRow="0" w:firstColumn="1" w:lastColumn="0" w:oddVBand="0" w:evenVBand="0" w:oddHBand="0" w:evenHBand="0" w:firstRowFirstColumn="0" w:firstRowLastColumn="0" w:lastRowFirstColumn="0" w:lastRowLastColumn="0"/>
            <w:tcW w:w="4248" w:type="dxa"/>
            <w:tcBorders>
              <w:right w:val="none" w:sz="0" w:space="0" w:color="auto"/>
            </w:tcBorders>
          </w:tcPr>
          <w:p w14:paraId="7D5A3165" w14:textId="77777777" w:rsidR="001D2C0A" w:rsidRPr="00B64798" w:rsidRDefault="001D2C0A" w:rsidP="008D7C9D">
            <w:pPr>
              <w:jc w:val="both"/>
              <w:rPr>
                <w:rFonts w:ascii="Calibri" w:hAnsi="Calibri" w:cs="Calibri"/>
                <w:b w:val="0"/>
                <w:caps w:val="0"/>
                <w:sz w:val="18"/>
                <w:szCs w:val="18"/>
              </w:rPr>
            </w:pPr>
            <w:r w:rsidRPr="00B64798">
              <w:rPr>
                <w:rFonts w:ascii="Calibri" w:hAnsi="Calibri" w:cs="Calibri"/>
                <w:b w:val="0"/>
                <w:caps w:val="0"/>
                <w:sz w:val="18"/>
                <w:szCs w:val="18"/>
              </w:rPr>
              <w:t>The community distribution mechanism for neglected tropical disease drugs allows donors to receive tight metrics to defend their investments, while linking their investments to health system strengthening – which often reflects selective primary health care ideologies.</w:t>
            </w:r>
          </w:p>
        </w:tc>
        <w:tc>
          <w:tcPr>
            <w:tcW w:w="4394" w:type="dxa"/>
          </w:tcPr>
          <w:p w14:paraId="0825F4D8" w14:textId="77777777" w:rsidR="001D2C0A" w:rsidRDefault="001D2C0A" w:rsidP="008D7C9D">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 xml:space="preserve">Is a programme’s definition of health system strengthening in line with a particular ideology, such as the WHO’s building blocks framework? Has the programme mentioned how it will address potential risks of the community directed approach, like overstretching primary health care networks and overburdening volunteers? </w:t>
            </w:r>
          </w:p>
          <w:p w14:paraId="332EAD67" w14:textId="77777777" w:rsidR="001D2C0A" w:rsidRPr="00B64798" w:rsidRDefault="001D2C0A" w:rsidP="008D7C9D">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tc>
      </w:tr>
    </w:tbl>
    <w:p w14:paraId="117C2E15" w14:textId="5D5ACCEC" w:rsidR="001D2C0A" w:rsidRPr="0024673B" w:rsidRDefault="00942230" w:rsidP="0024673B">
      <w:pPr>
        <w:spacing w:before="240" w:after="240"/>
        <w:jc w:val="both"/>
        <w:rPr>
          <w:rFonts w:ascii="Calibri" w:hAnsi="Calibri" w:cs="Calibri"/>
          <w:color w:val="808080" w:themeColor="background1" w:themeShade="80"/>
          <w:sz w:val="22"/>
          <w:szCs w:val="22"/>
        </w:rPr>
      </w:pPr>
      <w:r>
        <w:rPr>
          <w:rFonts w:ascii="Calibri" w:hAnsi="Calibri" w:cs="Calibri"/>
          <w:color w:val="808080" w:themeColor="background1" w:themeShade="80"/>
          <w:sz w:val="22"/>
          <w:szCs w:val="22"/>
        </w:rPr>
        <w:t>Table</w:t>
      </w:r>
      <w:r w:rsidR="0024673B">
        <w:rPr>
          <w:rFonts w:ascii="Calibri" w:hAnsi="Calibri" w:cs="Calibri"/>
          <w:color w:val="808080" w:themeColor="background1" w:themeShade="80"/>
          <w:sz w:val="22"/>
          <w:szCs w:val="22"/>
        </w:rPr>
        <w:t xml:space="preserve"> </w:t>
      </w:r>
      <w:r w:rsidR="00724FF4">
        <w:rPr>
          <w:rFonts w:ascii="Calibri" w:hAnsi="Calibri" w:cs="Calibri"/>
          <w:color w:val="808080" w:themeColor="background1" w:themeShade="80"/>
          <w:sz w:val="22"/>
          <w:szCs w:val="22"/>
        </w:rPr>
        <w:t>9.</w:t>
      </w:r>
      <w:r w:rsidR="0024673B">
        <w:rPr>
          <w:rFonts w:ascii="Calibri" w:hAnsi="Calibri" w:cs="Calibri"/>
          <w:color w:val="808080" w:themeColor="background1" w:themeShade="80"/>
          <w:sz w:val="22"/>
          <w:szCs w:val="22"/>
        </w:rPr>
        <w:t>1. Examples of OCP lessons identified in the underlying narrative, which are overlooked by the Bank’s dominant narrative, and proposed research questions.</w:t>
      </w:r>
    </w:p>
    <w:p w14:paraId="08442C35" w14:textId="43504D10" w:rsidR="001B3D6E" w:rsidRDefault="00A44EB4" w:rsidP="001B3D6E">
      <w:pPr>
        <w:spacing w:before="240" w:after="240" w:line="360" w:lineRule="auto"/>
        <w:ind w:firstLine="720"/>
        <w:rPr>
          <w:rFonts w:ascii="Calibri" w:hAnsi="Calibri" w:cs="Calibri"/>
          <w:sz w:val="22"/>
          <w:szCs w:val="22"/>
        </w:rPr>
      </w:pPr>
      <w:r>
        <w:rPr>
          <w:rFonts w:ascii="Calibri" w:hAnsi="Calibri" w:cs="Calibri"/>
          <w:sz w:val="22"/>
          <w:szCs w:val="22"/>
        </w:rPr>
        <w:t>The</w:t>
      </w:r>
      <w:r w:rsidR="002308D7" w:rsidRPr="00D9152B">
        <w:rPr>
          <w:rFonts w:ascii="Calibri" w:hAnsi="Calibri" w:cs="Calibri"/>
          <w:sz w:val="22"/>
          <w:szCs w:val="22"/>
        </w:rPr>
        <w:t xml:space="preserve"> OCP’s success is</w:t>
      </w:r>
      <w:r>
        <w:rPr>
          <w:rFonts w:ascii="Calibri" w:hAnsi="Calibri" w:cs="Calibri"/>
          <w:sz w:val="22"/>
          <w:szCs w:val="22"/>
        </w:rPr>
        <w:t>, ultimately,</w:t>
      </w:r>
      <w:r w:rsidR="002308D7" w:rsidRPr="00D9152B">
        <w:rPr>
          <w:rFonts w:ascii="Calibri" w:hAnsi="Calibri" w:cs="Calibri"/>
          <w:sz w:val="22"/>
          <w:szCs w:val="22"/>
        </w:rPr>
        <w:t xml:space="preserve"> best understood through a constructivist </w:t>
      </w:r>
      <w:r w:rsidR="0024673B">
        <w:rPr>
          <w:rFonts w:ascii="Calibri" w:hAnsi="Calibri" w:cs="Calibri"/>
          <w:sz w:val="22"/>
          <w:szCs w:val="22"/>
        </w:rPr>
        <w:t>framework</w:t>
      </w:r>
      <w:r w:rsidR="00942230">
        <w:rPr>
          <w:rFonts w:ascii="Calibri" w:hAnsi="Calibri" w:cs="Calibri"/>
          <w:sz w:val="22"/>
          <w:szCs w:val="22"/>
        </w:rPr>
        <w:t>;</w:t>
      </w:r>
      <w:r w:rsidR="002308D7" w:rsidRPr="00D9152B">
        <w:rPr>
          <w:rFonts w:ascii="Calibri" w:hAnsi="Calibri" w:cs="Calibri"/>
          <w:sz w:val="22"/>
          <w:szCs w:val="22"/>
        </w:rPr>
        <w:t xml:space="preserve"> </w:t>
      </w:r>
      <w:r w:rsidR="00942230">
        <w:rPr>
          <w:rFonts w:ascii="Calibri" w:hAnsi="Calibri" w:cs="Calibri"/>
          <w:sz w:val="22"/>
          <w:szCs w:val="22"/>
        </w:rPr>
        <w:t>s</w:t>
      </w:r>
      <w:r w:rsidR="002308D7" w:rsidRPr="00D9152B">
        <w:rPr>
          <w:rFonts w:ascii="Calibri" w:hAnsi="Calibri" w:cs="Calibri"/>
          <w:sz w:val="22"/>
          <w:szCs w:val="22"/>
        </w:rPr>
        <w:t>uccess is inseparable from the ideolog</w:t>
      </w:r>
      <w:r w:rsidR="00DC0496" w:rsidRPr="00D9152B">
        <w:rPr>
          <w:rFonts w:ascii="Calibri" w:hAnsi="Calibri" w:cs="Calibri"/>
          <w:sz w:val="22"/>
          <w:szCs w:val="22"/>
        </w:rPr>
        <w:t>y of an influential</w:t>
      </w:r>
      <w:r w:rsidR="002308D7" w:rsidRPr="00D9152B">
        <w:rPr>
          <w:rFonts w:ascii="Calibri" w:hAnsi="Calibri" w:cs="Calibri"/>
          <w:sz w:val="22"/>
          <w:szCs w:val="22"/>
        </w:rPr>
        <w:t xml:space="preserve"> institution</w:t>
      </w:r>
      <w:r w:rsidR="00DC0496" w:rsidRPr="00D9152B">
        <w:rPr>
          <w:rFonts w:ascii="Calibri" w:hAnsi="Calibri" w:cs="Calibri"/>
          <w:sz w:val="22"/>
          <w:szCs w:val="22"/>
        </w:rPr>
        <w:t xml:space="preserve"> (</w:t>
      </w:r>
      <w:r w:rsidR="002308D7" w:rsidRPr="00D9152B">
        <w:rPr>
          <w:rFonts w:ascii="Calibri" w:hAnsi="Calibri" w:cs="Calibri"/>
          <w:sz w:val="22"/>
          <w:szCs w:val="22"/>
        </w:rPr>
        <w:t xml:space="preserve">the Bank), is non-absolute, and can be contested. </w:t>
      </w:r>
      <w:r w:rsidR="00723AD1" w:rsidRPr="00D9152B">
        <w:rPr>
          <w:rFonts w:ascii="Calibri" w:hAnsi="Calibri" w:cs="Calibri"/>
          <w:sz w:val="22"/>
          <w:szCs w:val="22"/>
        </w:rPr>
        <w:t xml:space="preserve">This explains some of the peaks in citations of the OCP’s </w:t>
      </w:r>
      <w:r w:rsidR="00723AD1" w:rsidRPr="004C582E">
        <w:rPr>
          <w:rFonts w:ascii="Calibri" w:hAnsi="Calibri" w:cs="Calibri"/>
          <w:sz w:val="22"/>
          <w:szCs w:val="22"/>
        </w:rPr>
        <w:t xml:space="preserve">success (see </w:t>
      </w:r>
      <w:r w:rsidR="00724FF4">
        <w:rPr>
          <w:rFonts w:ascii="Calibri" w:hAnsi="Calibri" w:cs="Calibri"/>
          <w:sz w:val="22"/>
          <w:szCs w:val="22"/>
        </w:rPr>
        <w:t>Figures 3.6 and 3.7</w:t>
      </w:r>
      <w:r w:rsidR="00723AD1" w:rsidRPr="004C582E">
        <w:rPr>
          <w:rFonts w:ascii="Calibri" w:hAnsi="Calibri" w:cs="Calibri"/>
          <w:sz w:val="22"/>
          <w:szCs w:val="22"/>
        </w:rPr>
        <w:t>). References</w:t>
      </w:r>
      <w:r w:rsidR="00723AD1" w:rsidRPr="00D9152B">
        <w:rPr>
          <w:rFonts w:ascii="Calibri" w:hAnsi="Calibri" w:cs="Calibri"/>
          <w:sz w:val="22"/>
          <w:szCs w:val="22"/>
        </w:rPr>
        <w:t xml:space="preserve"> to programme success did </w:t>
      </w:r>
      <w:r w:rsidR="00723AD1" w:rsidRPr="00D9152B">
        <w:rPr>
          <w:rFonts w:ascii="Calibri" w:hAnsi="Calibri" w:cs="Calibri"/>
          <w:i/>
          <w:sz w:val="22"/>
          <w:szCs w:val="22"/>
        </w:rPr>
        <w:t xml:space="preserve">not </w:t>
      </w:r>
      <w:r w:rsidR="00723AD1" w:rsidRPr="00D9152B">
        <w:rPr>
          <w:rFonts w:ascii="Calibri" w:hAnsi="Calibri" w:cs="Calibri"/>
          <w:sz w:val="22"/>
          <w:szCs w:val="22"/>
        </w:rPr>
        <w:t>peak when the programme saw positive epidemiological indicators in the mid-1</w:t>
      </w:r>
      <w:r w:rsidR="00DC0496" w:rsidRPr="00D9152B">
        <w:rPr>
          <w:rFonts w:ascii="Calibri" w:hAnsi="Calibri" w:cs="Calibri"/>
          <w:sz w:val="22"/>
          <w:szCs w:val="22"/>
        </w:rPr>
        <w:t>9</w:t>
      </w:r>
      <w:r w:rsidR="00723AD1" w:rsidRPr="00D9152B">
        <w:rPr>
          <w:rFonts w:ascii="Calibri" w:hAnsi="Calibri" w:cs="Calibri"/>
          <w:sz w:val="22"/>
          <w:szCs w:val="22"/>
        </w:rPr>
        <w:t xml:space="preserve">80s or when the 25 million hectares figure </w:t>
      </w:r>
      <w:r w:rsidR="00942230">
        <w:rPr>
          <w:rFonts w:ascii="Calibri" w:hAnsi="Calibri" w:cs="Calibri"/>
          <w:sz w:val="22"/>
          <w:szCs w:val="22"/>
        </w:rPr>
        <w:t>was released</w:t>
      </w:r>
      <w:r w:rsidR="00723AD1" w:rsidRPr="00D9152B">
        <w:rPr>
          <w:rFonts w:ascii="Calibri" w:hAnsi="Calibri" w:cs="Calibri"/>
          <w:sz w:val="22"/>
          <w:szCs w:val="22"/>
        </w:rPr>
        <w:t xml:space="preserve"> in the late 1980s. </w:t>
      </w:r>
      <w:r w:rsidR="00942230">
        <w:rPr>
          <w:rFonts w:ascii="Calibri" w:hAnsi="Calibri" w:cs="Calibri"/>
          <w:sz w:val="22"/>
          <w:szCs w:val="22"/>
        </w:rPr>
        <w:t>Instead, references</w:t>
      </w:r>
      <w:r w:rsidR="00723AD1" w:rsidRPr="00D9152B">
        <w:rPr>
          <w:rFonts w:ascii="Calibri" w:hAnsi="Calibri" w:cs="Calibri"/>
          <w:sz w:val="22"/>
          <w:szCs w:val="22"/>
        </w:rPr>
        <w:t xml:space="preserve"> first peaked in the years directly after the </w:t>
      </w:r>
      <w:r w:rsidR="0024673B">
        <w:rPr>
          <w:rFonts w:ascii="Calibri" w:hAnsi="Calibri" w:cs="Calibri"/>
          <w:i/>
          <w:sz w:val="22"/>
          <w:szCs w:val="22"/>
        </w:rPr>
        <w:t>World development report</w:t>
      </w:r>
      <w:r w:rsidR="00723AD1" w:rsidRPr="00D9152B">
        <w:rPr>
          <w:rFonts w:ascii="Calibri" w:hAnsi="Calibri" w:cs="Calibri"/>
          <w:sz w:val="22"/>
          <w:szCs w:val="22"/>
        </w:rPr>
        <w:t xml:space="preserve"> (1994-1995), which also corresponded to fundraising for the OCP and new </w:t>
      </w:r>
      <w:r w:rsidR="0024673B">
        <w:rPr>
          <w:rFonts w:ascii="Calibri" w:hAnsi="Calibri" w:cs="Calibri"/>
          <w:sz w:val="22"/>
          <w:szCs w:val="22"/>
        </w:rPr>
        <w:t xml:space="preserve">African Programme for Onchocerciasis </w:t>
      </w:r>
      <w:r w:rsidR="0024673B">
        <w:rPr>
          <w:rFonts w:ascii="Calibri" w:hAnsi="Calibri" w:cs="Calibri"/>
          <w:sz w:val="22"/>
          <w:szCs w:val="22"/>
        </w:rPr>
        <w:lastRenderedPageBreak/>
        <w:t>Control</w:t>
      </w:r>
      <w:r w:rsidR="00723AD1" w:rsidRPr="00D9152B">
        <w:rPr>
          <w:rFonts w:ascii="Calibri" w:hAnsi="Calibri" w:cs="Calibri"/>
          <w:sz w:val="22"/>
          <w:szCs w:val="22"/>
        </w:rPr>
        <w:t xml:space="preserve">. They rose again around 2004, just after the programme’s end and again during a key </w:t>
      </w:r>
      <w:r w:rsidR="0024673B">
        <w:rPr>
          <w:rFonts w:ascii="Calibri" w:hAnsi="Calibri" w:cs="Calibri"/>
          <w:sz w:val="22"/>
          <w:szCs w:val="22"/>
        </w:rPr>
        <w:t xml:space="preserve">African Programme for Onchocerciasis Control </w:t>
      </w:r>
      <w:r w:rsidR="00723AD1" w:rsidRPr="00D9152B">
        <w:rPr>
          <w:rFonts w:ascii="Calibri" w:hAnsi="Calibri" w:cs="Calibri"/>
          <w:sz w:val="22"/>
          <w:szCs w:val="22"/>
        </w:rPr>
        <w:t xml:space="preserve">fundraising </w:t>
      </w:r>
      <w:r w:rsidR="00942230">
        <w:rPr>
          <w:rFonts w:ascii="Calibri" w:hAnsi="Calibri" w:cs="Calibri"/>
          <w:sz w:val="22"/>
          <w:szCs w:val="22"/>
        </w:rPr>
        <w:t>time</w:t>
      </w:r>
      <w:r w:rsidR="00723AD1" w:rsidRPr="00D9152B">
        <w:rPr>
          <w:rFonts w:ascii="Calibri" w:hAnsi="Calibri" w:cs="Calibri"/>
          <w:sz w:val="22"/>
          <w:szCs w:val="22"/>
        </w:rPr>
        <w:t xml:space="preserve">. And, around 2012, references to success peaked again, as partners sought momentum around the London Declaration. </w:t>
      </w:r>
    </w:p>
    <w:p w14:paraId="0B2E058D" w14:textId="04EB2DE7" w:rsidR="00D90C13" w:rsidRPr="00942230" w:rsidRDefault="0024673B" w:rsidP="00942230">
      <w:pPr>
        <w:spacing w:before="240" w:after="240" w:line="360" w:lineRule="auto"/>
        <w:ind w:firstLine="720"/>
        <w:rPr>
          <w:rFonts w:ascii="Calibri" w:hAnsi="Calibri" w:cs="Calibri"/>
          <w:sz w:val="22"/>
          <w:szCs w:val="22"/>
        </w:rPr>
      </w:pPr>
      <w:r>
        <w:rPr>
          <w:rFonts w:ascii="Calibri" w:hAnsi="Calibri" w:cs="Calibri"/>
          <w:sz w:val="22"/>
          <w:szCs w:val="22"/>
        </w:rPr>
        <w:t xml:space="preserve">A poignant depiction of the constructability of success is present in the onchocerciasis image itself. </w:t>
      </w:r>
      <w:r w:rsidR="00D90C13" w:rsidRPr="00D9152B">
        <w:rPr>
          <w:rFonts w:ascii="Calibri" w:hAnsi="Calibri" w:cs="Calibri"/>
          <w:sz w:val="22"/>
          <w:szCs w:val="22"/>
        </w:rPr>
        <w:t xml:space="preserve">As </w:t>
      </w:r>
      <w:r w:rsidR="00D90C13" w:rsidRPr="004C582E">
        <w:rPr>
          <w:rFonts w:ascii="Calibri" w:hAnsi="Calibri" w:cs="Calibri"/>
          <w:sz w:val="22"/>
          <w:szCs w:val="22"/>
        </w:rPr>
        <w:t xml:space="preserve">Chapters </w:t>
      </w:r>
      <w:r w:rsidRPr="004C582E">
        <w:rPr>
          <w:rFonts w:ascii="Calibri" w:hAnsi="Calibri" w:cs="Calibri"/>
          <w:sz w:val="22"/>
          <w:szCs w:val="22"/>
        </w:rPr>
        <w:t xml:space="preserve">1 and 5 </w:t>
      </w:r>
      <w:r w:rsidR="00942230" w:rsidRPr="004C582E">
        <w:rPr>
          <w:rFonts w:ascii="Calibri" w:hAnsi="Calibri" w:cs="Calibri"/>
          <w:sz w:val="22"/>
          <w:szCs w:val="22"/>
        </w:rPr>
        <w:t>described</w:t>
      </w:r>
      <w:r w:rsidRPr="004C582E">
        <w:rPr>
          <w:rFonts w:ascii="Calibri" w:hAnsi="Calibri" w:cs="Calibri"/>
          <w:sz w:val="22"/>
          <w:szCs w:val="22"/>
        </w:rPr>
        <w:t>,</w:t>
      </w:r>
      <w:r>
        <w:rPr>
          <w:rFonts w:ascii="Calibri" w:hAnsi="Calibri" w:cs="Calibri"/>
          <w:sz w:val="22"/>
          <w:szCs w:val="22"/>
        </w:rPr>
        <w:t xml:space="preserve"> </w:t>
      </w:r>
      <w:r w:rsidR="00D90C13" w:rsidRPr="00D9152B">
        <w:rPr>
          <w:rFonts w:ascii="Calibri" w:hAnsi="Calibri" w:cs="Calibri"/>
          <w:sz w:val="22"/>
          <w:szCs w:val="22"/>
        </w:rPr>
        <w:t>Bank leaders have long stated the importance of the onchocerciasis image to initiating and maintaining support from the donor community. Bruce Benton, the coordinator of the Bank’s onchocerciasis unit for nearly 20 years, has explained that, ‘it’s easy to see someone who’s blind, and it’s easy – especially if they’re being led around by a child…it’s so obvious…you don’t have to look any further to know that there’s a real problem there’.</w:t>
      </w:r>
      <w:r w:rsidR="00D90C13" w:rsidRPr="00D9152B">
        <w:rPr>
          <w:rStyle w:val="FootnoteReference"/>
          <w:rFonts w:ascii="Calibri" w:hAnsi="Calibri" w:cs="Calibri"/>
          <w:sz w:val="22"/>
          <w:szCs w:val="22"/>
        </w:rPr>
        <w:footnoteReference w:id="956"/>
      </w:r>
      <w:r w:rsidR="00D90C13" w:rsidRPr="00D9152B">
        <w:rPr>
          <w:rFonts w:ascii="Calibri" w:hAnsi="Calibri" w:cs="Calibri"/>
          <w:sz w:val="22"/>
          <w:szCs w:val="22"/>
        </w:rPr>
        <w:t xml:space="preserve">  Yet, according to a file within the WHO archives, the most famous onchocerciasis </w:t>
      </w:r>
      <w:r w:rsidR="00D90C13" w:rsidRPr="004C582E">
        <w:rPr>
          <w:rFonts w:ascii="Calibri" w:hAnsi="Calibri" w:cs="Calibri"/>
          <w:sz w:val="22"/>
          <w:szCs w:val="22"/>
        </w:rPr>
        <w:t>image</w:t>
      </w:r>
      <w:r w:rsidRPr="004C582E">
        <w:rPr>
          <w:rFonts w:ascii="Calibri" w:hAnsi="Calibri" w:cs="Calibri"/>
          <w:sz w:val="22"/>
          <w:szCs w:val="22"/>
        </w:rPr>
        <w:t xml:space="preserve"> (see </w:t>
      </w:r>
      <w:r w:rsidR="006E0296">
        <w:rPr>
          <w:rFonts w:ascii="Calibri" w:hAnsi="Calibri" w:cs="Calibri"/>
          <w:sz w:val="22"/>
          <w:szCs w:val="22"/>
        </w:rPr>
        <w:t>Figure 1.1</w:t>
      </w:r>
      <w:r w:rsidRPr="004C582E">
        <w:rPr>
          <w:rFonts w:ascii="Calibri" w:hAnsi="Calibri" w:cs="Calibri"/>
          <w:sz w:val="22"/>
          <w:szCs w:val="22"/>
        </w:rPr>
        <w:t>)</w:t>
      </w:r>
      <w:r w:rsidR="00D90C13" w:rsidRPr="00D9152B">
        <w:rPr>
          <w:rFonts w:ascii="Calibri" w:hAnsi="Calibri" w:cs="Calibri"/>
          <w:sz w:val="22"/>
          <w:szCs w:val="22"/>
        </w:rPr>
        <w:t xml:space="preserve"> – which was placed on the front of the OCP’s major preparatory report [the PAG report] in 1972 and used by Merck to announce its 1987 donation of the drug ivermectin – may have been staged by a photographer in the late 1960s, </w:t>
      </w:r>
      <w:r w:rsidR="006E0296">
        <w:rPr>
          <w:rFonts w:ascii="Calibri" w:hAnsi="Calibri" w:cs="Calibri"/>
          <w:sz w:val="22"/>
          <w:szCs w:val="22"/>
        </w:rPr>
        <w:t xml:space="preserve">a few </w:t>
      </w:r>
      <w:r w:rsidR="00D90C13" w:rsidRPr="00D9152B">
        <w:rPr>
          <w:rFonts w:ascii="Calibri" w:hAnsi="Calibri" w:cs="Calibri"/>
          <w:sz w:val="22"/>
          <w:szCs w:val="22"/>
        </w:rPr>
        <w:t>years before the OCP was launched, in a region outside of the future OCP control zone.</w:t>
      </w:r>
      <w:r w:rsidR="00D90C13" w:rsidRPr="00D9152B">
        <w:rPr>
          <w:rStyle w:val="FootnoteReference"/>
          <w:rFonts w:ascii="Calibri" w:hAnsi="Calibri" w:cs="Calibri"/>
          <w:sz w:val="22"/>
          <w:szCs w:val="22"/>
        </w:rPr>
        <w:footnoteReference w:id="957"/>
      </w:r>
      <w:r w:rsidR="00D90C13" w:rsidRPr="00D9152B">
        <w:rPr>
          <w:rFonts w:ascii="Calibri" w:hAnsi="Calibri" w:cs="Calibri"/>
          <w:sz w:val="22"/>
          <w:szCs w:val="22"/>
        </w:rPr>
        <w:t xml:space="preserve"> Even powerful images that resonate deeply with donors and the global health community at large can be constructed and applied to different contexts.</w:t>
      </w:r>
    </w:p>
    <w:p w14:paraId="7302D538" w14:textId="3F9ECC09" w:rsidR="00942230" w:rsidRDefault="00D90C13" w:rsidP="00942230">
      <w:pPr>
        <w:jc w:val="center"/>
        <w:rPr>
          <w:rFonts w:ascii="Calibri" w:hAnsi="Calibri" w:cs="Calibri"/>
        </w:rPr>
      </w:pPr>
      <w:r w:rsidRPr="00D9152B">
        <w:rPr>
          <w:rFonts w:ascii="Calibri" w:hAnsi="Calibri" w:cs="Calibri"/>
          <w:noProof/>
          <w:lang w:eastAsia="en-GB"/>
        </w:rPr>
        <w:lastRenderedPageBreak/>
        <w:drawing>
          <wp:inline distT="0" distB="0" distL="0" distR="0" wp14:anchorId="5543D8D5" wp14:editId="3CF5AE22">
            <wp:extent cx="5245579" cy="5421745"/>
            <wp:effectExtent l="0" t="0" r="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8">
                      <a:extLst>
                        <a:ext uri="{28A0092B-C50C-407E-A947-70E740481C1C}">
                          <a14:useLocalDpi xmlns:a14="http://schemas.microsoft.com/office/drawing/2010/main" val="0"/>
                        </a:ext>
                      </a:extLst>
                    </a:blip>
                    <a:srcRect l="1737" t="410" r="1861" b="21627"/>
                    <a:stretch/>
                  </pic:blipFill>
                  <pic:spPr bwMode="auto">
                    <a:xfrm>
                      <a:off x="0" y="0"/>
                      <a:ext cx="5265089" cy="5441911"/>
                    </a:xfrm>
                    <a:prstGeom prst="rect">
                      <a:avLst/>
                    </a:prstGeom>
                    <a:noFill/>
                    <a:ln>
                      <a:noFill/>
                    </a:ln>
                    <a:extLst>
                      <a:ext uri="{53640926-AAD7-44D8-BBD7-CCE9431645EC}">
                        <a14:shadowObscured xmlns:a14="http://schemas.microsoft.com/office/drawing/2010/main"/>
                      </a:ext>
                    </a:extLst>
                  </pic:spPr>
                </pic:pic>
              </a:graphicData>
            </a:graphic>
          </wp:inline>
        </w:drawing>
      </w:r>
    </w:p>
    <w:p w14:paraId="4A063B54" w14:textId="77777777" w:rsidR="00942230" w:rsidRPr="00D9152B" w:rsidRDefault="00942230" w:rsidP="00942230">
      <w:pPr>
        <w:jc w:val="center"/>
        <w:rPr>
          <w:rFonts w:ascii="Calibri" w:hAnsi="Calibri" w:cs="Calibri"/>
        </w:rPr>
      </w:pPr>
    </w:p>
    <w:p w14:paraId="6A7ECBF6" w14:textId="1A7D20EA" w:rsidR="00D90C13" w:rsidRPr="001C78C8" w:rsidRDefault="00D90C13" w:rsidP="001C78C8">
      <w:pPr>
        <w:jc w:val="both"/>
        <w:rPr>
          <w:rFonts w:ascii="Calibri" w:hAnsi="Calibri" w:cs="Calibri"/>
          <w:color w:val="808080" w:themeColor="background1" w:themeShade="80"/>
          <w:sz w:val="22"/>
          <w:szCs w:val="22"/>
        </w:rPr>
      </w:pPr>
      <w:r w:rsidRPr="00D9152B">
        <w:rPr>
          <w:rFonts w:ascii="Calibri" w:hAnsi="Calibri" w:cs="Calibri"/>
          <w:color w:val="808080" w:themeColor="background1" w:themeShade="80"/>
          <w:sz w:val="22"/>
          <w:szCs w:val="22"/>
        </w:rPr>
        <w:t xml:space="preserve">Figure </w:t>
      </w:r>
      <w:r w:rsidR="006E0296">
        <w:rPr>
          <w:rFonts w:ascii="Calibri" w:hAnsi="Calibri" w:cs="Calibri"/>
          <w:color w:val="808080" w:themeColor="background1" w:themeShade="80"/>
          <w:sz w:val="22"/>
          <w:szCs w:val="22"/>
        </w:rPr>
        <w:t>9.</w:t>
      </w:r>
      <w:r w:rsidR="003503A9">
        <w:rPr>
          <w:rFonts w:ascii="Calibri" w:hAnsi="Calibri" w:cs="Calibri"/>
          <w:color w:val="808080" w:themeColor="background1" w:themeShade="80"/>
          <w:sz w:val="22"/>
          <w:szCs w:val="22"/>
        </w:rPr>
        <w:t>1</w:t>
      </w:r>
      <w:r w:rsidRPr="00D9152B">
        <w:rPr>
          <w:rFonts w:ascii="Calibri" w:hAnsi="Calibri" w:cs="Calibri"/>
          <w:color w:val="808080" w:themeColor="background1" w:themeShade="80"/>
          <w:sz w:val="22"/>
          <w:szCs w:val="22"/>
        </w:rPr>
        <w:t>. One of the earliest ‘onchocerciasis images’, which has appeared in numerous OCP and external publications (see Appendix I</w:t>
      </w:r>
      <w:r w:rsidR="007E5B28">
        <w:rPr>
          <w:rFonts w:ascii="Calibri" w:hAnsi="Calibri" w:cs="Calibri"/>
          <w:color w:val="808080" w:themeColor="background1" w:themeShade="80"/>
          <w:sz w:val="22"/>
          <w:szCs w:val="22"/>
        </w:rPr>
        <w:t>I</w:t>
      </w:r>
      <w:r w:rsidRPr="00D9152B">
        <w:rPr>
          <w:rFonts w:ascii="Calibri" w:hAnsi="Calibri" w:cs="Calibri"/>
          <w:color w:val="808080" w:themeColor="background1" w:themeShade="80"/>
          <w:sz w:val="22"/>
          <w:szCs w:val="22"/>
        </w:rPr>
        <w:t>), was most likely staged. In the WHO Photo Library, the image is tagged as being taken in Chad, a country that was not included in the OCP, in the 1960s.</w:t>
      </w:r>
      <w:r w:rsidR="006E0296">
        <w:rPr>
          <w:rFonts w:ascii="Calibri" w:hAnsi="Calibri" w:cs="Calibri"/>
          <w:color w:val="808080" w:themeColor="background1" w:themeShade="80"/>
          <w:sz w:val="22"/>
          <w:szCs w:val="22"/>
        </w:rPr>
        <w:t xml:space="preserve"> [See shaded oncho image underneath carbon copy.]</w:t>
      </w:r>
      <w:r w:rsidRPr="00D9152B">
        <w:rPr>
          <w:rStyle w:val="FootnoteReference"/>
          <w:rFonts w:ascii="Calibri" w:hAnsi="Calibri" w:cs="Calibri"/>
          <w:color w:val="808080" w:themeColor="background1" w:themeShade="80"/>
          <w:sz w:val="22"/>
          <w:szCs w:val="22"/>
        </w:rPr>
        <w:footnoteReference w:id="958"/>
      </w:r>
    </w:p>
    <w:p w14:paraId="23D333F7" w14:textId="513E1073" w:rsidR="002308D7" w:rsidRPr="00D9152B" w:rsidRDefault="00BD1901" w:rsidP="001B3D6E">
      <w:pPr>
        <w:pStyle w:val="Heading2"/>
        <w:spacing w:before="240" w:after="240" w:line="360" w:lineRule="auto"/>
        <w:rPr>
          <w:rFonts w:ascii="Calibri" w:hAnsi="Calibri" w:cs="Calibri"/>
          <w:b/>
          <w:sz w:val="26"/>
          <w:szCs w:val="26"/>
        </w:rPr>
      </w:pPr>
      <w:bookmarkStart w:id="158" w:name="_Toc41505712"/>
      <w:r>
        <w:rPr>
          <w:rFonts w:ascii="Calibri" w:hAnsi="Calibri" w:cs="Calibri"/>
          <w:b/>
          <w:sz w:val="26"/>
          <w:szCs w:val="26"/>
        </w:rPr>
        <w:t>9.</w:t>
      </w:r>
      <w:r w:rsidR="00E01C8F">
        <w:rPr>
          <w:rFonts w:ascii="Calibri" w:hAnsi="Calibri" w:cs="Calibri"/>
          <w:b/>
          <w:sz w:val="26"/>
          <w:szCs w:val="26"/>
        </w:rPr>
        <w:t>4</w:t>
      </w:r>
      <w:r w:rsidR="00723AD1" w:rsidRPr="00D9152B">
        <w:rPr>
          <w:rFonts w:ascii="Calibri" w:hAnsi="Calibri" w:cs="Calibri"/>
          <w:b/>
          <w:sz w:val="26"/>
          <w:szCs w:val="26"/>
        </w:rPr>
        <w:t xml:space="preserve">. </w:t>
      </w:r>
      <w:r w:rsidR="00C205D4">
        <w:rPr>
          <w:rFonts w:ascii="Calibri" w:hAnsi="Calibri" w:cs="Calibri"/>
          <w:b/>
          <w:sz w:val="26"/>
          <w:szCs w:val="26"/>
        </w:rPr>
        <w:t>Marketing as a mechanism to construct success narratives</w:t>
      </w:r>
      <w:bookmarkEnd w:id="158"/>
    </w:p>
    <w:p w14:paraId="0D42FD9E" w14:textId="23272FEA" w:rsidR="0010256F" w:rsidRPr="00D9152B" w:rsidRDefault="00410A1A" w:rsidP="001B3D6E">
      <w:pPr>
        <w:pStyle w:val="ListParagraph"/>
        <w:spacing w:before="240" w:after="240" w:line="360" w:lineRule="auto"/>
        <w:ind w:left="0" w:firstLine="720"/>
        <w:contextualSpacing w:val="0"/>
        <w:rPr>
          <w:rFonts w:ascii="Calibri" w:hAnsi="Calibri" w:cs="Calibri"/>
          <w:sz w:val="22"/>
          <w:szCs w:val="22"/>
        </w:rPr>
      </w:pPr>
      <w:r w:rsidRPr="00D9152B">
        <w:rPr>
          <w:rFonts w:ascii="Calibri" w:hAnsi="Calibri" w:cs="Calibri"/>
          <w:sz w:val="22"/>
          <w:szCs w:val="22"/>
        </w:rPr>
        <w:t xml:space="preserve">Chapter 5 provided a window into </w:t>
      </w:r>
      <w:r w:rsidRPr="00D9152B">
        <w:rPr>
          <w:rFonts w:ascii="Calibri" w:hAnsi="Calibri" w:cs="Calibri"/>
          <w:i/>
          <w:sz w:val="22"/>
          <w:szCs w:val="22"/>
        </w:rPr>
        <w:t>how</w:t>
      </w:r>
      <w:r w:rsidRPr="00D9152B">
        <w:rPr>
          <w:rFonts w:ascii="Calibri" w:hAnsi="Calibri" w:cs="Calibri"/>
          <w:sz w:val="22"/>
          <w:szCs w:val="22"/>
        </w:rPr>
        <w:t xml:space="preserve"> the Bank spread its success narrative: through its connections to media </w:t>
      </w:r>
      <w:r w:rsidR="0071120F" w:rsidRPr="00D9152B">
        <w:rPr>
          <w:rFonts w:ascii="Calibri" w:hAnsi="Calibri" w:cs="Calibri"/>
          <w:sz w:val="22"/>
          <w:szCs w:val="22"/>
        </w:rPr>
        <w:t>outlets and</w:t>
      </w:r>
      <w:r w:rsidRPr="00D9152B">
        <w:rPr>
          <w:rFonts w:ascii="Calibri" w:hAnsi="Calibri" w:cs="Calibri"/>
          <w:sz w:val="22"/>
          <w:szCs w:val="22"/>
        </w:rPr>
        <w:t xml:space="preserve"> public</w:t>
      </w:r>
      <w:r w:rsidR="0071120F" w:rsidRPr="00D9152B">
        <w:rPr>
          <w:rFonts w:ascii="Calibri" w:hAnsi="Calibri" w:cs="Calibri"/>
          <w:sz w:val="22"/>
          <w:szCs w:val="22"/>
        </w:rPr>
        <w:t>ation of its own photos, videos, and press releases.</w:t>
      </w:r>
      <w:r w:rsidR="00F40622" w:rsidRPr="00D9152B">
        <w:rPr>
          <w:rFonts w:ascii="Calibri" w:hAnsi="Calibri" w:cs="Calibri"/>
          <w:sz w:val="22"/>
          <w:szCs w:val="22"/>
        </w:rPr>
        <w:t xml:space="preserve"> This use of mass media to depict global health successes is not new. </w:t>
      </w:r>
      <w:r w:rsidR="00942230">
        <w:rPr>
          <w:rFonts w:ascii="Calibri" w:hAnsi="Calibri" w:cs="Calibri"/>
          <w:sz w:val="22"/>
          <w:szCs w:val="22"/>
        </w:rPr>
        <w:t>Yet</w:t>
      </w:r>
      <w:r w:rsidR="00F40622" w:rsidRPr="00D9152B">
        <w:rPr>
          <w:rFonts w:ascii="Calibri" w:hAnsi="Calibri" w:cs="Calibri"/>
          <w:sz w:val="22"/>
          <w:szCs w:val="22"/>
        </w:rPr>
        <w:t xml:space="preserve">, through its contact points (including with ministries of finance) and combination of visual </w:t>
      </w:r>
      <w:r w:rsidR="00F40622" w:rsidRPr="00D9152B">
        <w:rPr>
          <w:rFonts w:ascii="Calibri" w:hAnsi="Calibri" w:cs="Calibri"/>
          <w:sz w:val="22"/>
          <w:szCs w:val="22"/>
        </w:rPr>
        <w:lastRenderedPageBreak/>
        <w:t xml:space="preserve">politics and tight metrics, the Bank </w:t>
      </w:r>
      <w:r w:rsidR="00942230">
        <w:rPr>
          <w:rFonts w:ascii="Calibri" w:hAnsi="Calibri" w:cs="Calibri"/>
          <w:sz w:val="22"/>
          <w:szCs w:val="22"/>
        </w:rPr>
        <w:t xml:space="preserve">has been able to </w:t>
      </w:r>
      <w:r w:rsidR="00A44EB4">
        <w:rPr>
          <w:rFonts w:ascii="Calibri" w:hAnsi="Calibri" w:cs="Calibri"/>
          <w:sz w:val="22"/>
          <w:szCs w:val="22"/>
        </w:rPr>
        <w:t xml:space="preserve">uniquely </w:t>
      </w:r>
      <w:r w:rsidR="00942230">
        <w:rPr>
          <w:rFonts w:ascii="Calibri" w:hAnsi="Calibri" w:cs="Calibri"/>
          <w:sz w:val="22"/>
          <w:szCs w:val="22"/>
        </w:rPr>
        <w:t>institutionalize successes like</w:t>
      </w:r>
      <w:r w:rsidR="00F40622" w:rsidRPr="00D9152B">
        <w:rPr>
          <w:rFonts w:ascii="Calibri" w:hAnsi="Calibri" w:cs="Calibri"/>
          <w:sz w:val="22"/>
          <w:szCs w:val="22"/>
        </w:rPr>
        <w:t xml:space="preserve"> the OCP narrative on an unprecedented scale. </w:t>
      </w:r>
    </w:p>
    <w:p w14:paraId="64CF6259" w14:textId="3AC4CD82" w:rsidR="00DA7784" w:rsidRPr="00D9152B" w:rsidRDefault="00F40622" w:rsidP="00CC7372">
      <w:pPr>
        <w:pStyle w:val="ListParagraph"/>
        <w:spacing w:before="240" w:after="240" w:line="360" w:lineRule="auto"/>
        <w:ind w:left="0" w:firstLine="720"/>
        <w:contextualSpacing w:val="0"/>
        <w:rPr>
          <w:rFonts w:ascii="Calibri" w:hAnsi="Calibri" w:cs="Calibri"/>
          <w:sz w:val="22"/>
          <w:szCs w:val="22"/>
        </w:rPr>
      </w:pPr>
      <w:r w:rsidRPr="00D9152B">
        <w:rPr>
          <w:rFonts w:ascii="Calibri" w:hAnsi="Calibri" w:cs="Calibri"/>
          <w:sz w:val="22"/>
          <w:szCs w:val="22"/>
        </w:rPr>
        <w:t xml:space="preserve">Rodogno and David </w:t>
      </w:r>
      <w:r w:rsidR="00942230">
        <w:rPr>
          <w:rFonts w:ascii="Calibri" w:hAnsi="Calibri" w:cs="Calibri"/>
          <w:sz w:val="22"/>
          <w:szCs w:val="22"/>
        </w:rPr>
        <w:t xml:space="preserve">have </w:t>
      </w:r>
      <w:r w:rsidRPr="00D9152B">
        <w:rPr>
          <w:rFonts w:ascii="Calibri" w:hAnsi="Calibri" w:cs="Calibri"/>
          <w:sz w:val="22"/>
          <w:szCs w:val="22"/>
        </w:rPr>
        <w:t>analysed the WHO’s visual politics</w:t>
      </w:r>
      <w:r w:rsidR="00EA0C30" w:rsidRPr="00D9152B">
        <w:rPr>
          <w:rFonts w:ascii="Calibri" w:hAnsi="Calibri" w:cs="Calibri"/>
          <w:sz w:val="22"/>
          <w:szCs w:val="22"/>
        </w:rPr>
        <w:t xml:space="preserve"> from the 1940s through the 1970s, to better understand how</w:t>
      </w:r>
      <w:r w:rsidRPr="00D9152B">
        <w:rPr>
          <w:rFonts w:ascii="Calibri" w:hAnsi="Calibri" w:cs="Calibri"/>
          <w:sz w:val="22"/>
          <w:szCs w:val="22"/>
        </w:rPr>
        <w:t xml:space="preserve"> technical assistance </w:t>
      </w:r>
      <w:r w:rsidR="00EA0C30" w:rsidRPr="00D9152B">
        <w:rPr>
          <w:rFonts w:ascii="Calibri" w:hAnsi="Calibri" w:cs="Calibri"/>
          <w:sz w:val="22"/>
          <w:szCs w:val="22"/>
        </w:rPr>
        <w:t>is</w:t>
      </w:r>
      <w:r w:rsidRPr="00D9152B">
        <w:rPr>
          <w:rFonts w:ascii="Calibri" w:hAnsi="Calibri" w:cs="Calibri"/>
          <w:sz w:val="22"/>
          <w:szCs w:val="22"/>
        </w:rPr>
        <w:t xml:space="preserve"> </w:t>
      </w:r>
      <w:r w:rsidR="00531180">
        <w:rPr>
          <w:rFonts w:ascii="Calibri" w:hAnsi="Calibri" w:cs="Calibri"/>
          <w:sz w:val="22"/>
          <w:szCs w:val="22"/>
        </w:rPr>
        <w:t>woven</w:t>
      </w:r>
      <w:r w:rsidR="00531180" w:rsidRPr="00D9152B">
        <w:rPr>
          <w:rFonts w:ascii="Calibri" w:hAnsi="Calibri" w:cs="Calibri"/>
          <w:sz w:val="22"/>
          <w:szCs w:val="22"/>
        </w:rPr>
        <w:t xml:space="preserve"> </w:t>
      </w:r>
      <w:r w:rsidRPr="00D9152B">
        <w:rPr>
          <w:rFonts w:ascii="Calibri" w:hAnsi="Calibri" w:cs="Calibri"/>
          <w:sz w:val="22"/>
          <w:szCs w:val="22"/>
        </w:rPr>
        <w:t xml:space="preserve">with humanitarian photography to help an institution (in </w:t>
      </w:r>
      <w:r w:rsidR="006E0296">
        <w:rPr>
          <w:rFonts w:ascii="Calibri" w:hAnsi="Calibri" w:cs="Calibri"/>
          <w:sz w:val="22"/>
          <w:szCs w:val="22"/>
        </w:rPr>
        <w:t>their</w:t>
      </w:r>
      <w:r w:rsidRPr="00D9152B">
        <w:rPr>
          <w:rFonts w:ascii="Calibri" w:hAnsi="Calibri" w:cs="Calibri"/>
          <w:sz w:val="22"/>
          <w:szCs w:val="22"/>
        </w:rPr>
        <w:t xml:space="preserve"> case the WHO) increase its legitimacy. </w:t>
      </w:r>
      <w:r w:rsidR="00EA0C30" w:rsidRPr="00D9152B">
        <w:rPr>
          <w:rFonts w:ascii="Calibri" w:hAnsi="Calibri" w:cs="Calibri"/>
          <w:sz w:val="22"/>
          <w:szCs w:val="22"/>
        </w:rPr>
        <w:t xml:space="preserve">They argue that, beginning in the 1950s, three ‘tropes’ emerged for humanitarian narratives at the WHO: the ‘hapless victim’, the villain (like a mosquito or insalubrious environment), and the saviour (the international expert, technical expert, or, later, </w:t>
      </w:r>
      <w:r w:rsidR="00DA7784" w:rsidRPr="00D9152B">
        <w:rPr>
          <w:rFonts w:ascii="Calibri" w:hAnsi="Calibri" w:cs="Calibri"/>
          <w:sz w:val="22"/>
          <w:szCs w:val="22"/>
        </w:rPr>
        <w:t xml:space="preserve">educated community members). Expensive photographers from Magnum were hired to put a ‘human dimension’ to the ‘dry’ narratives of technical assistance. The product of these efforts were ‘alleged success stories’, which were ‘dramatically narrated and visually staged’ in </w:t>
      </w:r>
      <w:r w:rsidR="00DA7784" w:rsidRPr="00D9152B">
        <w:rPr>
          <w:rFonts w:ascii="Calibri" w:hAnsi="Calibri" w:cs="Calibri"/>
          <w:i/>
          <w:sz w:val="22"/>
          <w:szCs w:val="22"/>
        </w:rPr>
        <w:t xml:space="preserve">World Health </w:t>
      </w:r>
      <w:r w:rsidR="00DA7784" w:rsidRPr="00D9152B">
        <w:rPr>
          <w:rFonts w:ascii="Calibri" w:hAnsi="Calibri" w:cs="Calibri"/>
          <w:sz w:val="22"/>
          <w:szCs w:val="22"/>
        </w:rPr>
        <w:t>magazine. Rodogno and David further reflect that many of these early photographs have often lost sight of their origins</w:t>
      </w:r>
      <w:r w:rsidR="00942230">
        <w:rPr>
          <w:rFonts w:ascii="Calibri" w:hAnsi="Calibri" w:cs="Calibri"/>
          <w:sz w:val="22"/>
          <w:szCs w:val="22"/>
        </w:rPr>
        <w:t>:</w:t>
      </w:r>
      <w:r w:rsidR="00DA7784" w:rsidRPr="00D9152B">
        <w:rPr>
          <w:rFonts w:ascii="Calibri" w:hAnsi="Calibri" w:cs="Calibri"/>
          <w:sz w:val="22"/>
          <w:szCs w:val="22"/>
        </w:rPr>
        <w:t xml:space="preserve"> </w:t>
      </w:r>
    </w:p>
    <w:p w14:paraId="3C1C6D8B" w14:textId="27246DED" w:rsidR="00F40622" w:rsidRPr="00D9152B" w:rsidRDefault="00DA7784" w:rsidP="00DA7784">
      <w:pPr>
        <w:pStyle w:val="Quote"/>
        <w:rPr>
          <w:rFonts w:cs="Calibri"/>
          <w:i/>
          <w:sz w:val="22"/>
          <w:szCs w:val="22"/>
        </w:rPr>
      </w:pPr>
      <w:r w:rsidRPr="00D9152B">
        <w:rPr>
          <w:rFonts w:cs="Calibri"/>
          <w:i/>
          <w:sz w:val="22"/>
          <w:szCs w:val="22"/>
        </w:rPr>
        <w:t>‘If humanitarian narratives faded away over time, photographs remained the preferred means and expression of the official magazine of the WHO. Photos allegedly told the truth; they gave incontrovertible evidence of progress made…</w:t>
      </w:r>
      <w:r w:rsidR="006E0296">
        <w:rPr>
          <w:rFonts w:cs="Calibri"/>
          <w:i/>
          <w:sz w:val="22"/>
          <w:szCs w:val="22"/>
        </w:rPr>
        <w:t xml:space="preserve"> </w:t>
      </w:r>
      <w:r w:rsidRPr="00D9152B">
        <w:rPr>
          <w:rFonts w:cs="Calibri"/>
          <w:i/>
          <w:sz w:val="22"/>
          <w:szCs w:val="22"/>
        </w:rPr>
        <w:t>a single shot could capture the dream of humanity achieving the utopian objective of better health for everybody, everywhere</w:t>
      </w:r>
      <w:r w:rsidR="00AE4BD4">
        <w:rPr>
          <w:rFonts w:cs="Calibri"/>
          <w:i/>
          <w:sz w:val="22"/>
          <w:szCs w:val="22"/>
        </w:rPr>
        <w:t>.</w:t>
      </w:r>
      <w:r w:rsidRPr="00D9152B">
        <w:rPr>
          <w:rFonts w:cs="Calibri"/>
          <w:i/>
          <w:sz w:val="22"/>
          <w:szCs w:val="22"/>
        </w:rPr>
        <w:t>’</w:t>
      </w:r>
      <w:r w:rsidRPr="00D9152B">
        <w:rPr>
          <w:rStyle w:val="FootnoteReference"/>
          <w:rFonts w:ascii="Calibri" w:hAnsi="Calibri" w:cs="Calibri"/>
          <w:i/>
          <w:sz w:val="22"/>
          <w:szCs w:val="22"/>
        </w:rPr>
        <w:footnoteReference w:id="959"/>
      </w:r>
    </w:p>
    <w:p w14:paraId="77B5496D" w14:textId="77777777" w:rsidR="0011013C" w:rsidRPr="00D9152B" w:rsidRDefault="0011013C" w:rsidP="0071664D">
      <w:pPr>
        <w:rPr>
          <w:rFonts w:ascii="Calibri" w:hAnsi="Calibri" w:cs="Calibri"/>
          <w:lang w:val="fr-CH"/>
        </w:rPr>
      </w:pPr>
    </w:p>
    <w:p w14:paraId="421FC06B" w14:textId="2B0CCF91" w:rsidR="008D7C9D" w:rsidRDefault="00DA7784" w:rsidP="0041223F">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 xml:space="preserve">The </w:t>
      </w:r>
      <w:r w:rsidR="009C05EE">
        <w:rPr>
          <w:rFonts w:ascii="Calibri" w:hAnsi="Calibri" w:cs="Calibri"/>
          <w:sz w:val="22"/>
          <w:szCs w:val="22"/>
        </w:rPr>
        <w:t>o</w:t>
      </w:r>
      <w:r w:rsidRPr="00D9152B">
        <w:rPr>
          <w:rFonts w:ascii="Calibri" w:hAnsi="Calibri" w:cs="Calibri"/>
          <w:sz w:val="22"/>
          <w:szCs w:val="22"/>
        </w:rPr>
        <w:t>nchocerciasis image was itself one of these images</w:t>
      </w:r>
      <w:r w:rsidR="00DC0496" w:rsidRPr="00D9152B">
        <w:rPr>
          <w:rFonts w:ascii="Calibri" w:hAnsi="Calibri" w:cs="Calibri"/>
          <w:sz w:val="22"/>
          <w:szCs w:val="22"/>
        </w:rPr>
        <w:t xml:space="preserve">; it features not one but six hapless victims, was </w:t>
      </w:r>
      <w:r w:rsidRPr="00D9152B">
        <w:rPr>
          <w:rFonts w:ascii="Calibri" w:hAnsi="Calibri" w:cs="Calibri"/>
          <w:sz w:val="22"/>
          <w:szCs w:val="22"/>
        </w:rPr>
        <w:t xml:space="preserve">captured by a professional photographer for the WHO, and first </w:t>
      </w:r>
      <w:r w:rsidR="00942230">
        <w:rPr>
          <w:rFonts w:ascii="Calibri" w:hAnsi="Calibri" w:cs="Calibri"/>
          <w:sz w:val="22"/>
          <w:szCs w:val="22"/>
        </w:rPr>
        <w:t>appeared</w:t>
      </w:r>
      <w:r w:rsidRPr="00D9152B">
        <w:rPr>
          <w:rFonts w:ascii="Calibri" w:hAnsi="Calibri" w:cs="Calibri"/>
          <w:sz w:val="22"/>
          <w:szCs w:val="22"/>
        </w:rPr>
        <w:t xml:space="preserve"> in the 1965 version of </w:t>
      </w:r>
      <w:r w:rsidRPr="00D9152B">
        <w:rPr>
          <w:rFonts w:ascii="Calibri" w:hAnsi="Calibri" w:cs="Calibri"/>
          <w:i/>
          <w:sz w:val="22"/>
          <w:szCs w:val="22"/>
        </w:rPr>
        <w:t>World Health</w:t>
      </w:r>
      <w:r w:rsidRPr="00D9152B">
        <w:rPr>
          <w:rFonts w:ascii="Calibri" w:hAnsi="Calibri" w:cs="Calibri"/>
          <w:sz w:val="22"/>
          <w:szCs w:val="22"/>
        </w:rPr>
        <w:t xml:space="preserve">. </w:t>
      </w:r>
      <w:r w:rsidR="008D7C9D">
        <w:rPr>
          <w:rFonts w:ascii="Calibri" w:hAnsi="Calibri" w:cs="Calibri"/>
          <w:sz w:val="22"/>
          <w:szCs w:val="22"/>
        </w:rPr>
        <w:t xml:space="preserve">As shown in Figure </w:t>
      </w:r>
      <w:r w:rsidR="006E0296">
        <w:rPr>
          <w:rFonts w:ascii="Calibri" w:hAnsi="Calibri" w:cs="Calibri"/>
          <w:sz w:val="22"/>
          <w:szCs w:val="22"/>
        </w:rPr>
        <w:t>9.</w:t>
      </w:r>
      <w:r w:rsidR="003503A9">
        <w:rPr>
          <w:rFonts w:ascii="Calibri" w:hAnsi="Calibri" w:cs="Calibri"/>
          <w:sz w:val="22"/>
          <w:szCs w:val="22"/>
        </w:rPr>
        <w:t>1</w:t>
      </w:r>
      <w:r w:rsidR="008D7C9D">
        <w:rPr>
          <w:rFonts w:ascii="Calibri" w:hAnsi="Calibri" w:cs="Calibri"/>
          <w:sz w:val="22"/>
          <w:szCs w:val="22"/>
        </w:rPr>
        <w:t>, t</w:t>
      </w:r>
      <w:r w:rsidRPr="00D9152B">
        <w:rPr>
          <w:rFonts w:ascii="Calibri" w:hAnsi="Calibri" w:cs="Calibri"/>
          <w:sz w:val="22"/>
          <w:szCs w:val="22"/>
        </w:rPr>
        <w:t xml:space="preserve">he photograph’s origins became ambiguous, and the image was re-appropriated to showcase the </w:t>
      </w:r>
      <w:r w:rsidRPr="00D9152B">
        <w:rPr>
          <w:rFonts w:ascii="Calibri" w:hAnsi="Calibri" w:cs="Calibri"/>
          <w:i/>
          <w:sz w:val="22"/>
          <w:szCs w:val="22"/>
        </w:rPr>
        <w:t xml:space="preserve">OCP’s </w:t>
      </w:r>
      <w:r w:rsidRPr="00D9152B">
        <w:rPr>
          <w:rFonts w:ascii="Calibri" w:hAnsi="Calibri" w:cs="Calibri"/>
          <w:sz w:val="22"/>
          <w:szCs w:val="22"/>
        </w:rPr>
        <w:t>success</w:t>
      </w:r>
      <w:r w:rsidR="0071664D" w:rsidRPr="00D9152B">
        <w:rPr>
          <w:rFonts w:ascii="Calibri" w:hAnsi="Calibri" w:cs="Calibri"/>
          <w:sz w:val="22"/>
          <w:szCs w:val="22"/>
        </w:rPr>
        <w:t xml:space="preserve">, </w:t>
      </w:r>
      <w:r w:rsidR="00DC0496" w:rsidRPr="00D9152B">
        <w:rPr>
          <w:rFonts w:ascii="Calibri" w:hAnsi="Calibri" w:cs="Calibri"/>
          <w:sz w:val="22"/>
          <w:szCs w:val="22"/>
        </w:rPr>
        <w:t>particularly</w:t>
      </w:r>
      <w:r w:rsidR="0071664D" w:rsidRPr="00D9152B">
        <w:rPr>
          <w:rFonts w:ascii="Calibri" w:hAnsi="Calibri" w:cs="Calibri"/>
          <w:sz w:val="22"/>
          <w:szCs w:val="22"/>
        </w:rPr>
        <w:t xml:space="preserve"> in the 1990s and 2000s. </w:t>
      </w:r>
    </w:p>
    <w:p w14:paraId="42435A44" w14:textId="3A2C5CEB" w:rsidR="0071664D" w:rsidRPr="00D9152B" w:rsidRDefault="0071664D" w:rsidP="0041223F">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In his recent analysis of the WHO’s public information systems, Medcalf agrees that the WHO has sometimes persisted with particular images, in spite of inaccuracies, when they were ‘thought to capture the public imagination’. As Medcalf reflects, ‘A good picture was perennially useful’, but the ‘photographer was less a witness and more a storyteller’.</w:t>
      </w:r>
      <w:r w:rsidRPr="00D9152B">
        <w:rPr>
          <w:rStyle w:val="FootnoteReference"/>
          <w:rFonts w:ascii="Calibri" w:hAnsi="Calibri" w:cs="Calibri"/>
        </w:rPr>
        <w:footnoteReference w:id="960"/>
      </w:r>
      <w:r w:rsidR="001B3D6E" w:rsidRPr="00D9152B">
        <w:rPr>
          <w:rFonts w:ascii="Calibri" w:hAnsi="Calibri" w:cs="Calibri"/>
          <w:sz w:val="22"/>
          <w:szCs w:val="22"/>
        </w:rPr>
        <w:t xml:space="preserve"> </w:t>
      </w:r>
      <w:r w:rsidRPr="00D9152B">
        <w:rPr>
          <w:rFonts w:ascii="Calibri" w:hAnsi="Calibri" w:cs="Calibri"/>
          <w:sz w:val="22"/>
          <w:szCs w:val="22"/>
        </w:rPr>
        <w:lastRenderedPageBreak/>
        <w:t xml:space="preserve">In the case of the OCP, the Bank and WHO readily involved the onchocerciasis image in its success narratives, including in dozens of feature stories in </w:t>
      </w:r>
      <w:r w:rsidRPr="00D9152B">
        <w:rPr>
          <w:rFonts w:ascii="Calibri" w:hAnsi="Calibri" w:cs="Calibri"/>
          <w:i/>
          <w:sz w:val="22"/>
          <w:szCs w:val="22"/>
        </w:rPr>
        <w:t xml:space="preserve">World Health </w:t>
      </w:r>
      <w:r w:rsidRPr="00D9152B">
        <w:rPr>
          <w:rFonts w:ascii="Calibri" w:hAnsi="Calibri" w:cs="Calibri"/>
          <w:sz w:val="22"/>
          <w:szCs w:val="22"/>
        </w:rPr>
        <w:t>(see Chapter 5</w:t>
      </w:r>
      <w:r w:rsidR="006E0296">
        <w:rPr>
          <w:rFonts w:ascii="Calibri" w:hAnsi="Calibri" w:cs="Calibri"/>
          <w:sz w:val="22"/>
          <w:szCs w:val="22"/>
        </w:rPr>
        <w:t xml:space="preserve"> and Appendix II</w:t>
      </w:r>
      <w:r w:rsidRPr="00D9152B">
        <w:rPr>
          <w:rFonts w:ascii="Calibri" w:hAnsi="Calibri" w:cs="Calibri"/>
          <w:sz w:val="22"/>
          <w:szCs w:val="22"/>
        </w:rPr>
        <w:t>)</w:t>
      </w:r>
      <w:r w:rsidR="00DC0496" w:rsidRPr="00D9152B">
        <w:rPr>
          <w:rFonts w:ascii="Calibri" w:hAnsi="Calibri" w:cs="Calibri"/>
          <w:sz w:val="22"/>
          <w:szCs w:val="22"/>
        </w:rPr>
        <w:t>, as self-evident proof of the programme’s merits</w:t>
      </w:r>
      <w:r w:rsidRPr="00D9152B">
        <w:rPr>
          <w:rFonts w:ascii="Calibri" w:hAnsi="Calibri" w:cs="Calibri"/>
          <w:sz w:val="22"/>
          <w:szCs w:val="22"/>
        </w:rPr>
        <w:t>.</w:t>
      </w:r>
    </w:p>
    <w:p w14:paraId="4E0122D9" w14:textId="77C58BA8" w:rsidR="008D7C9D" w:rsidRDefault="0071664D" w:rsidP="001B3D6E">
      <w:pPr>
        <w:spacing w:before="240" w:after="240" w:line="360" w:lineRule="auto"/>
        <w:rPr>
          <w:rFonts w:ascii="Calibri" w:hAnsi="Calibri" w:cs="Calibri"/>
          <w:sz w:val="22"/>
          <w:szCs w:val="22"/>
        </w:rPr>
      </w:pPr>
      <w:r w:rsidRPr="00D9152B">
        <w:rPr>
          <w:rFonts w:ascii="Calibri" w:hAnsi="Calibri" w:cs="Calibri"/>
          <w:sz w:val="22"/>
          <w:szCs w:val="22"/>
        </w:rPr>
        <w:tab/>
        <w:t xml:space="preserve">The Bank’s active role in promoting the OCP is part of its wider increased media profile in Africa. A study of Africa’s depiction in the </w:t>
      </w:r>
      <w:r w:rsidRPr="00D9152B">
        <w:rPr>
          <w:rFonts w:ascii="Calibri" w:hAnsi="Calibri" w:cs="Calibri"/>
          <w:i/>
          <w:sz w:val="22"/>
          <w:szCs w:val="22"/>
        </w:rPr>
        <w:t>New York Times</w:t>
      </w:r>
      <w:r w:rsidRPr="00D9152B">
        <w:rPr>
          <w:rFonts w:ascii="Calibri" w:hAnsi="Calibri" w:cs="Calibri"/>
          <w:sz w:val="22"/>
          <w:szCs w:val="22"/>
        </w:rPr>
        <w:t>, for instance, found that 73 percent of all articles had a negative image of African politics and society from 1955-1995 – and that the Bank was featured in about a fifth of all reporting devoted to foreign actors</w:t>
      </w:r>
      <w:r w:rsidR="008D7C9D">
        <w:rPr>
          <w:rFonts w:ascii="Calibri" w:hAnsi="Calibri" w:cs="Calibri"/>
          <w:sz w:val="22"/>
          <w:szCs w:val="22"/>
        </w:rPr>
        <w:t xml:space="preserve"> in Africa</w:t>
      </w:r>
      <w:r w:rsidRPr="00D9152B">
        <w:rPr>
          <w:rFonts w:ascii="Calibri" w:hAnsi="Calibri" w:cs="Calibri"/>
          <w:sz w:val="22"/>
          <w:szCs w:val="22"/>
        </w:rPr>
        <w:t xml:space="preserve"> by 1995.</w:t>
      </w:r>
      <w:r w:rsidRPr="00D9152B">
        <w:rPr>
          <w:rStyle w:val="FootnoteReference"/>
          <w:rFonts w:ascii="Calibri" w:hAnsi="Calibri" w:cs="Calibri"/>
        </w:rPr>
        <w:footnoteReference w:id="961"/>
      </w:r>
      <w:r w:rsidR="0011013C" w:rsidRPr="00D9152B">
        <w:rPr>
          <w:rFonts w:ascii="Calibri" w:hAnsi="Calibri" w:cs="Calibri"/>
          <w:sz w:val="22"/>
          <w:szCs w:val="22"/>
        </w:rPr>
        <w:t xml:space="preserve"> Seen in such a light, the OCP provided a vehicle for increasing the positive image of the Bank, particularly when it faced </w:t>
      </w:r>
      <w:r w:rsidR="006E0296">
        <w:rPr>
          <w:rFonts w:ascii="Calibri" w:hAnsi="Calibri" w:cs="Calibri"/>
          <w:sz w:val="22"/>
          <w:szCs w:val="22"/>
        </w:rPr>
        <w:t xml:space="preserve">structural </w:t>
      </w:r>
      <w:r w:rsidR="0011013C" w:rsidRPr="00D9152B">
        <w:rPr>
          <w:rFonts w:ascii="Calibri" w:hAnsi="Calibri" w:cs="Calibri"/>
          <w:sz w:val="22"/>
          <w:szCs w:val="22"/>
        </w:rPr>
        <w:t xml:space="preserve">adjustment-related criticisms in the 1980s. The Bank used press releases to spread the success narrative and solicit programme funding, </w:t>
      </w:r>
      <w:r w:rsidR="0011013C" w:rsidRPr="00D9152B">
        <w:rPr>
          <w:rStyle w:val="FootnoteReference"/>
          <w:rFonts w:ascii="Calibri" w:hAnsi="Calibri" w:cs="Calibri"/>
        </w:rPr>
        <w:footnoteReference w:id="962"/>
      </w:r>
      <w:r w:rsidR="0011013C" w:rsidRPr="00D9152B">
        <w:rPr>
          <w:rFonts w:ascii="Calibri" w:hAnsi="Calibri" w:cs="Calibri"/>
          <w:sz w:val="22"/>
          <w:szCs w:val="22"/>
        </w:rPr>
        <w:t xml:space="preserve"> and engaged ‘heavyweight’ newspapers like the </w:t>
      </w:r>
      <w:r w:rsidR="0011013C" w:rsidRPr="00D9152B">
        <w:rPr>
          <w:rFonts w:ascii="Calibri" w:hAnsi="Calibri" w:cs="Calibri"/>
          <w:i/>
          <w:sz w:val="22"/>
          <w:szCs w:val="22"/>
        </w:rPr>
        <w:t>New York Times</w:t>
      </w:r>
      <w:r w:rsidR="0011013C" w:rsidRPr="00D9152B">
        <w:rPr>
          <w:rFonts w:ascii="Calibri" w:hAnsi="Calibri" w:cs="Calibri"/>
          <w:sz w:val="22"/>
          <w:szCs w:val="22"/>
        </w:rPr>
        <w:t xml:space="preserve">, </w:t>
      </w:r>
      <w:r w:rsidR="0011013C" w:rsidRPr="00D9152B">
        <w:rPr>
          <w:rFonts w:ascii="Calibri" w:hAnsi="Calibri" w:cs="Calibri"/>
          <w:i/>
          <w:sz w:val="22"/>
          <w:szCs w:val="22"/>
        </w:rPr>
        <w:t xml:space="preserve">Financial Times, Guardian, </w:t>
      </w:r>
      <w:r w:rsidR="0011013C" w:rsidRPr="00D9152B">
        <w:rPr>
          <w:rFonts w:ascii="Calibri" w:hAnsi="Calibri" w:cs="Calibri"/>
          <w:sz w:val="22"/>
          <w:szCs w:val="22"/>
        </w:rPr>
        <w:t xml:space="preserve">and </w:t>
      </w:r>
      <w:r w:rsidR="0011013C" w:rsidRPr="00D9152B">
        <w:rPr>
          <w:rFonts w:ascii="Calibri" w:hAnsi="Calibri" w:cs="Calibri"/>
          <w:i/>
          <w:sz w:val="22"/>
          <w:szCs w:val="22"/>
        </w:rPr>
        <w:t xml:space="preserve">Los Angeles Times </w:t>
      </w:r>
      <w:r w:rsidR="0011013C" w:rsidRPr="00D9152B">
        <w:rPr>
          <w:rFonts w:ascii="Calibri" w:hAnsi="Calibri" w:cs="Calibri"/>
          <w:sz w:val="22"/>
          <w:szCs w:val="22"/>
        </w:rPr>
        <w:t xml:space="preserve">in major donor countries. When coupled with Merck’s public relations savviness, this meant that ivermectin trials were immediately picked up on major press outlets </w:t>
      </w:r>
      <w:r w:rsidR="0011013C" w:rsidRPr="008D7C9D">
        <w:rPr>
          <w:rFonts w:ascii="Calibri" w:hAnsi="Calibri" w:cs="Calibri"/>
          <w:sz w:val="22"/>
          <w:szCs w:val="22"/>
        </w:rPr>
        <w:t xml:space="preserve">(see </w:t>
      </w:r>
      <w:r w:rsidR="006E0296">
        <w:rPr>
          <w:rFonts w:ascii="Calibri" w:hAnsi="Calibri" w:cs="Calibri"/>
          <w:sz w:val="22"/>
          <w:szCs w:val="22"/>
        </w:rPr>
        <w:t>section 7.1</w:t>
      </w:r>
      <w:r w:rsidR="0011013C" w:rsidRPr="008D7C9D">
        <w:rPr>
          <w:rFonts w:ascii="Calibri" w:hAnsi="Calibri" w:cs="Calibri"/>
          <w:sz w:val="22"/>
          <w:szCs w:val="22"/>
        </w:rPr>
        <w:t>).</w:t>
      </w:r>
      <w:r w:rsidR="0011013C" w:rsidRPr="00D9152B">
        <w:rPr>
          <w:rFonts w:ascii="Calibri" w:hAnsi="Calibri" w:cs="Calibri"/>
          <w:sz w:val="22"/>
          <w:szCs w:val="22"/>
        </w:rPr>
        <w:t xml:space="preserve"> As Kakonga has argued, ‘few externally funded programmes have continued to enjoy the media cover that the OCP receives even today’.</w:t>
      </w:r>
      <w:r w:rsidR="00C62CB7" w:rsidRPr="00D9152B">
        <w:rPr>
          <w:rStyle w:val="FootnoteReference"/>
          <w:rFonts w:ascii="Calibri" w:hAnsi="Calibri" w:cs="Calibri"/>
          <w:sz w:val="22"/>
          <w:szCs w:val="22"/>
        </w:rPr>
        <w:footnoteReference w:id="963"/>
      </w:r>
      <w:r w:rsidR="0011013C" w:rsidRPr="00D9152B">
        <w:rPr>
          <w:rFonts w:ascii="Calibri" w:hAnsi="Calibri" w:cs="Calibri"/>
          <w:sz w:val="22"/>
          <w:szCs w:val="22"/>
        </w:rPr>
        <w:t xml:space="preserve"> Films</w:t>
      </w:r>
      <w:r w:rsidR="0011013C" w:rsidRPr="00D9152B">
        <w:rPr>
          <w:rStyle w:val="FootnoteReference"/>
          <w:rFonts w:ascii="Calibri" w:hAnsi="Calibri" w:cs="Calibri"/>
          <w:sz w:val="22"/>
          <w:szCs w:val="22"/>
        </w:rPr>
        <w:footnoteReference w:id="964"/>
      </w:r>
      <w:r w:rsidR="0011013C" w:rsidRPr="00D9152B">
        <w:rPr>
          <w:rFonts w:ascii="Calibri" w:hAnsi="Calibri" w:cs="Calibri"/>
          <w:sz w:val="22"/>
          <w:szCs w:val="22"/>
        </w:rPr>
        <w:t xml:space="preserve"> and public relations summits</w:t>
      </w:r>
      <w:r w:rsidR="0011013C" w:rsidRPr="00D9152B">
        <w:rPr>
          <w:rStyle w:val="FootnoteReference"/>
          <w:rFonts w:ascii="Calibri" w:hAnsi="Calibri" w:cs="Calibri"/>
          <w:sz w:val="22"/>
          <w:szCs w:val="22"/>
        </w:rPr>
        <w:footnoteReference w:id="965"/>
      </w:r>
      <w:r w:rsidR="0011013C" w:rsidRPr="00D9152B">
        <w:rPr>
          <w:rFonts w:ascii="Calibri" w:hAnsi="Calibri" w:cs="Calibri"/>
          <w:sz w:val="22"/>
          <w:szCs w:val="22"/>
        </w:rPr>
        <w:t xml:space="preserve"> further linked the success narrative to Bank lending and public-private partnerships. </w:t>
      </w:r>
    </w:p>
    <w:p w14:paraId="6748FB20" w14:textId="2583B143" w:rsidR="0071664D" w:rsidRPr="00D9152B" w:rsidRDefault="0011013C" w:rsidP="009F4FEC">
      <w:pPr>
        <w:spacing w:before="240" w:after="240" w:line="360" w:lineRule="auto"/>
        <w:ind w:firstLine="720"/>
        <w:rPr>
          <w:rFonts w:ascii="Calibri" w:hAnsi="Calibri" w:cs="Calibri"/>
          <w:sz w:val="22"/>
          <w:szCs w:val="22"/>
        </w:rPr>
      </w:pPr>
      <w:r w:rsidRPr="00D9152B">
        <w:rPr>
          <w:rFonts w:ascii="Calibri" w:hAnsi="Calibri" w:cs="Calibri"/>
          <w:sz w:val="22"/>
          <w:szCs w:val="22"/>
        </w:rPr>
        <w:t xml:space="preserve">A </w:t>
      </w:r>
      <w:r w:rsidR="008D7C9D">
        <w:rPr>
          <w:rFonts w:ascii="Calibri" w:hAnsi="Calibri" w:cs="Calibri"/>
          <w:sz w:val="22"/>
          <w:szCs w:val="22"/>
        </w:rPr>
        <w:t xml:space="preserve">videotaped </w:t>
      </w:r>
      <w:r w:rsidRPr="00D9152B">
        <w:rPr>
          <w:rFonts w:ascii="Calibri" w:hAnsi="Calibri" w:cs="Calibri"/>
          <w:sz w:val="22"/>
          <w:szCs w:val="22"/>
        </w:rPr>
        <w:t xml:space="preserve">press interview with an aging Robert McNamara (c. </w:t>
      </w:r>
      <w:r w:rsidR="00916D05" w:rsidRPr="00D9152B">
        <w:rPr>
          <w:rFonts w:ascii="Calibri" w:hAnsi="Calibri" w:cs="Calibri"/>
          <w:sz w:val="22"/>
          <w:szCs w:val="22"/>
        </w:rPr>
        <w:t>mid-</w:t>
      </w:r>
      <w:r w:rsidRPr="00D9152B">
        <w:rPr>
          <w:rFonts w:ascii="Calibri" w:hAnsi="Calibri" w:cs="Calibri"/>
          <w:sz w:val="22"/>
          <w:szCs w:val="22"/>
        </w:rPr>
        <w:t xml:space="preserve">1990s) shows the </w:t>
      </w:r>
      <w:r w:rsidR="00916D05" w:rsidRPr="00D9152B">
        <w:rPr>
          <w:rFonts w:ascii="Calibri" w:hAnsi="Calibri" w:cs="Calibri"/>
          <w:sz w:val="22"/>
          <w:szCs w:val="22"/>
        </w:rPr>
        <w:t>Bank’s formula for disseminating success well. McNamara describes the link between the OCP and economic growth (including the 25 million hectares figure), and is seated next to a replica of the onchocerciasis statue. The media fully buys-in to the onchocerciasis image, like they did at the WHO in the 1950s; they ask McNamara to repeat his description of the programme’s success, so that they can re-shoot it with the statue visible in the background.</w:t>
      </w:r>
      <w:r w:rsidR="00DC0496" w:rsidRPr="00D9152B">
        <w:rPr>
          <w:rFonts w:ascii="Calibri" w:hAnsi="Calibri" w:cs="Calibri"/>
          <w:sz w:val="22"/>
          <w:szCs w:val="22"/>
        </w:rPr>
        <w:t xml:space="preserve"> This 1990s news footage features a victim (the </w:t>
      </w:r>
      <w:r w:rsidR="006E0296">
        <w:rPr>
          <w:rFonts w:ascii="Calibri" w:hAnsi="Calibri" w:cs="Calibri"/>
          <w:sz w:val="22"/>
          <w:szCs w:val="22"/>
        </w:rPr>
        <w:t xml:space="preserve">blind </w:t>
      </w:r>
      <w:r w:rsidR="00DC0496" w:rsidRPr="00D9152B">
        <w:rPr>
          <w:rFonts w:ascii="Calibri" w:hAnsi="Calibri" w:cs="Calibri"/>
          <w:sz w:val="22"/>
          <w:szCs w:val="22"/>
        </w:rPr>
        <w:t xml:space="preserve">man in the statue), a </w:t>
      </w:r>
      <w:r w:rsidR="00DC0496" w:rsidRPr="00D9152B">
        <w:rPr>
          <w:rFonts w:ascii="Calibri" w:hAnsi="Calibri" w:cs="Calibri"/>
          <w:sz w:val="22"/>
          <w:szCs w:val="22"/>
        </w:rPr>
        <w:lastRenderedPageBreak/>
        <w:t>villain (the flies and poverty in general), and familiar saviours (McNamara, sponsoring agencies, and the boy in the statue, who represents community partnership).</w:t>
      </w:r>
    </w:p>
    <w:p w14:paraId="5150807C" w14:textId="37942ED7" w:rsidR="0071664D" w:rsidRPr="00D9152B" w:rsidRDefault="00BD1901" w:rsidP="001B3D6E">
      <w:pPr>
        <w:pStyle w:val="Heading2"/>
        <w:rPr>
          <w:rFonts w:ascii="Calibri" w:hAnsi="Calibri" w:cs="Calibri"/>
          <w:b/>
          <w:sz w:val="26"/>
          <w:szCs w:val="26"/>
        </w:rPr>
      </w:pPr>
      <w:bookmarkStart w:id="159" w:name="_Toc41505713"/>
      <w:r>
        <w:rPr>
          <w:rFonts w:ascii="Calibri" w:hAnsi="Calibri" w:cs="Calibri"/>
          <w:b/>
          <w:sz w:val="26"/>
          <w:szCs w:val="26"/>
        </w:rPr>
        <w:t>9.</w:t>
      </w:r>
      <w:r w:rsidR="00C205D4">
        <w:rPr>
          <w:rFonts w:ascii="Calibri" w:hAnsi="Calibri" w:cs="Calibri"/>
          <w:b/>
          <w:sz w:val="26"/>
          <w:szCs w:val="26"/>
        </w:rPr>
        <w:t>5</w:t>
      </w:r>
      <w:r w:rsidR="001B3D6E" w:rsidRPr="00D9152B">
        <w:rPr>
          <w:rFonts w:ascii="Calibri" w:hAnsi="Calibri" w:cs="Calibri"/>
          <w:b/>
          <w:sz w:val="26"/>
          <w:szCs w:val="26"/>
        </w:rPr>
        <w:t xml:space="preserve">. </w:t>
      </w:r>
      <w:r w:rsidR="00922365" w:rsidRPr="00D9152B">
        <w:rPr>
          <w:rFonts w:ascii="Calibri" w:hAnsi="Calibri" w:cs="Calibri"/>
          <w:b/>
          <w:sz w:val="26"/>
          <w:szCs w:val="26"/>
        </w:rPr>
        <w:t>Reproducing the miracle of sight?</w:t>
      </w:r>
      <w:bookmarkEnd w:id="159"/>
    </w:p>
    <w:p w14:paraId="3047EE82" w14:textId="5295B077" w:rsidR="00EA6937" w:rsidRPr="00D9152B" w:rsidRDefault="00EA6937" w:rsidP="00EA6937">
      <w:pPr>
        <w:rPr>
          <w:rFonts w:ascii="Calibri" w:hAnsi="Calibri" w:cs="Calibri"/>
        </w:rPr>
      </w:pPr>
    </w:p>
    <w:p w14:paraId="02BA1C7D" w14:textId="7F3B068D" w:rsidR="00BB5D73" w:rsidRPr="00D9152B" w:rsidRDefault="00EA6937" w:rsidP="0041223F">
      <w:pPr>
        <w:spacing w:before="100" w:beforeAutospacing="1" w:after="100" w:afterAutospacing="1" w:line="360" w:lineRule="auto"/>
        <w:rPr>
          <w:rFonts w:ascii="Calibri" w:hAnsi="Calibri" w:cs="Calibri"/>
          <w:sz w:val="22"/>
          <w:szCs w:val="22"/>
        </w:rPr>
      </w:pPr>
      <w:r w:rsidRPr="00D9152B">
        <w:rPr>
          <w:rFonts w:ascii="Calibri" w:hAnsi="Calibri" w:cs="Calibri"/>
          <w:sz w:val="22"/>
          <w:szCs w:val="22"/>
        </w:rPr>
        <w:tab/>
      </w:r>
      <w:r w:rsidR="00E80287" w:rsidRPr="00D9152B">
        <w:rPr>
          <w:rFonts w:ascii="Calibri" w:hAnsi="Calibri" w:cs="Calibri"/>
          <w:sz w:val="22"/>
          <w:szCs w:val="22"/>
        </w:rPr>
        <w:t>While success narratives may be valuable to sponsoring agencies by helping to attract financing, what value do they serve to the global health community? The impact framework suggests that a ‘what works’ or ‘lessons learned’ approach can help identify reproducible aspects of global health successes, which can be applied to new contexts.</w:t>
      </w:r>
      <w:r w:rsidR="0016190F" w:rsidRPr="00D9152B">
        <w:rPr>
          <w:rFonts w:ascii="Calibri" w:hAnsi="Calibri" w:cs="Calibri"/>
          <w:sz w:val="22"/>
          <w:szCs w:val="22"/>
        </w:rPr>
        <w:t xml:space="preserve"> Former OCP coordinator at the Bank J.P. Dailly agrees that reproducibility may be the most important feature of global health success.</w:t>
      </w:r>
      <w:r w:rsidR="0016190F" w:rsidRPr="00D9152B">
        <w:rPr>
          <w:rStyle w:val="FootnoteReference"/>
          <w:rFonts w:ascii="Calibri" w:hAnsi="Calibri" w:cs="Calibri"/>
          <w:sz w:val="22"/>
          <w:szCs w:val="22"/>
        </w:rPr>
        <w:footnoteReference w:id="966"/>
      </w:r>
      <w:r w:rsidR="00E80287" w:rsidRPr="00D9152B">
        <w:rPr>
          <w:rFonts w:ascii="Calibri" w:hAnsi="Calibri" w:cs="Calibri"/>
          <w:sz w:val="22"/>
          <w:szCs w:val="22"/>
        </w:rPr>
        <w:t xml:space="preserve"> </w:t>
      </w:r>
      <w:r w:rsidR="00BB5D73" w:rsidRPr="00D9152B">
        <w:rPr>
          <w:rFonts w:ascii="Calibri" w:hAnsi="Calibri" w:cs="Calibri"/>
          <w:sz w:val="22"/>
          <w:szCs w:val="22"/>
        </w:rPr>
        <w:t>Yet, i</w:t>
      </w:r>
      <w:r w:rsidR="0016190F" w:rsidRPr="00D9152B">
        <w:rPr>
          <w:rFonts w:ascii="Calibri" w:hAnsi="Calibri" w:cs="Calibri"/>
          <w:sz w:val="22"/>
          <w:szCs w:val="22"/>
        </w:rPr>
        <w:t>n the context of the OCP</w:t>
      </w:r>
      <w:r w:rsidR="00BB5D73" w:rsidRPr="00D9152B">
        <w:rPr>
          <w:rFonts w:ascii="Calibri" w:hAnsi="Calibri" w:cs="Calibri"/>
          <w:sz w:val="22"/>
          <w:szCs w:val="22"/>
        </w:rPr>
        <w:t>,</w:t>
      </w:r>
      <w:r w:rsidR="0016190F" w:rsidRPr="00D9152B">
        <w:rPr>
          <w:rFonts w:ascii="Calibri" w:hAnsi="Calibri" w:cs="Calibri"/>
          <w:sz w:val="22"/>
          <w:szCs w:val="22"/>
        </w:rPr>
        <w:t xml:space="preserve"> even if one accepts that </w:t>
      </w:r>
      <w:r w:rsidR="00BB5D73" w:rsidRPr="00D9152B">
        <w:rPr>
          <w:rFonts w:ascii="Calibri" w:hAnsi="Calibri" w:cs="Calibri"/>
          <w:sz w:val="22"/>
          <w:szCs w:val="22"/>
        </w:rPr>
        <w:t>most programme features – including</w:t>
      </w:r>
      <w:r w:rsidR="0016190F" w:rsidRPr="00D9152B">
        <w:rPr>
          <w:rFonts w:ascii="Calibri" w:hAnsi="Calibri" w:cs="Calibri"/>
          <w:sz w:val="22"/>
          <w:szCs w:val="22"/>
        </w:rPr>
        <w:t xml:space="preserve"> metrics, financing strateg</w:t>
      </w:r>
      <w:r w:rsidR="008D7C9D">
        <w:rPr>
          <w:rFonts w:ascii="Calibri" w:hAnsi="Calibri" w:cs="Calibri"/>
          <w:sz w:val="22"/>
          <w:szCs w:val="22"/>
        </w:rPr>
        <w:t>ies</w:t>
      </w:r>
      <w:r w:rsidR="0016190F" w:rsidRPr="00D9152B">
        <w:rPr>
          <w:rFonts w:ascii="Calibri" w:hAnsi="Calibri" w:cs="Calibri"/>
          <w:sz w:val="22"/>
          <w:szCs w:val="22"/>
        </w:rPr>
        <w:t xml:space="preserve">, sponsoring agency partnership, research partnership, and delivery </w:t>
      </w:r>
      <w:r w:rsidR="00BB5D73" w:rsidRPr="00D9152B">
        <w:rPr>
          <w:rFonts w:ascii="Calibri" w:hAnsi="Calibri" w:cs="Calibri"/>
          <w:sz w:val="22"/>
          <w:szCs w:val="22"/>
        </w:rPr>
        <w:t xml:space="preserve">– </w:t>
      </w:r>
      <w:r w:rsidR="0016190F" w:rsidRPr="00D9152B">
        <w:rPr>
          <w:rFonts w:ascii="Calibri" w:hAnsi="Calibri" w:cs="Calibri"/>
          <w:sz w:val="22"/>
          <w:szCs w:val="22"/>
        </w:rPr>
        <w:t xml:space="preserve">were effective (which Chapters 4-8 show was not unilaterally the case), many of these features are not reproducible. </w:t>
      </w:r>
    </w:p>
    <w:p w14:paraId="698034C6" w14:textId="138CEFE9" w:rsidR="007A4404" w:rsidRPr="00D9152B" w:rsidRDefault="00BB5D73" w:rsidP="006A605E">
      <w:pPr>
        <w:spacing w:before="100" w:beforeAutospacing="1" w:after="100" w:afterAutospacing="1" w:line="360" w:lineRule="auto"/>
        <w:ind w:firstLine="720"/>
        <w:rPr>
          <w:rFonts w:ascii="Calibri" w:hAnsi="Calibri" w:cs="Calibri"/>
          <w:sz w:val="22"/>
          <w:szCs w:val="22"/>
        </w:rPr>
      </w:pPr>
      <w:r w:rsidRPr="00D9152B">
        <w:rPr>
          <w:rFonts w:ascii="Calibri" w:hAnsi="Calibri" w:cs="Calibri"/>
          <w:sz w:val="22"/>
          <w:szCs w:val="22"/>
        </w:rPr>
        <w:t xml:space="preserve">For instance, the OCP had unique buy-in from an impressive range of </w:t>
      </w:r>
      <w:r w:rsidR="007A4404" w:rsidRPr="00D9152B">
        <w:rPr>
          <w:rFonts w:ascii="Calibri" w:hAnsi="Calibri" w:cs="Calibri"/>
          <w:sz w:val="22"/>
          <w:szCs w:val="22"/>
        </w:rPr>
        <w:t>highly-placed stakeholders</w:t>
      </w:r>
      <w:r w:rsidRPr="00D9152B">
        <w:rPr>
          <w:rFonts w:ascii="Calibri" w:hAnsi="Calibri" w:cs="Calibri"/>
          <w:sz w:val="22"/>
          <w:szCs w:val="22"/>
        </w:rPr>
        <w:t xml:space="preserve">, which is unlikely to be reproduced. </w:t>
      </w:r>
      <w:r w:rsidR="007A4404" w:rsidRPr="00D9152B">
        <w:rPr>
          <w:rFonts w:ascii="Calibri" w:hAnsi="Calibri" w:cs="Calibri"/>
          <w:sz w:val="22"/>
          <w:szCs w:val="22"/>
        </w:rPr>
        <w:t xml:space="preserve">In addition to sparking the interest of Bank Presidents </w:t>
      </w:r>
      <w:r w:rsidR="008D7C9D">
        <w:rPr>
          <w:rFonts w:ascii="Calibri" w:hAnsi="Calibri" w:cs="Calibri"/>
          <w:sz w:val="22"/>
          <w:szCs w:val="22"/>
        </w:rPr>
        <w:t xml:space="preserve">Robert </w:t>
      </w:r>
      <w:r w:rsidR="007A4404" w:rsidRPr="00D9152B">
        <w:rPr>
          <w:rFonts w:ascii="Calibri" w:hAnsi="Calibri" w:cs="Calibri"/>
          <w:sz w:val="22"/>
          <w:szCs w:val="22"/>
        </w:rPr>
        <w:t xml:space="preserve">McNamara and </w:t>
      </w:r>
      <w:r w:rsidR="008D7C9D">
        <w:rPr>
          <w:rFonts w:ascii="Calibri" w:hAnsi="Calibri" w:cs="Calibri"/>
          <w:sz w:val="22"/>
          <w:szCs w:val="22"/>
        </w:rPr>
        <w:t xml:space="preserve">James </w:t>
      </w:r>
      <w:r w:rsidR="007A4404" w:rsidRPr="00D9152B">
        <w:rPr>
          <w:rFonts w:ascii="Calibri" w:hAnsi="Calibri" w:cs="Calibri"/>
          <w:sz w:val="22"/>
          <w:szCs w:val="22"/>
        </w:rPr>
        <w:t xml:space="preserve">Wolfensohn, the OCP benefitted from the public relations efforts of United States President </w:t>
      </w:r>
      <w:r w:rsidR="008D7C9D">
        <w:rPr>
          <w:rFonts w:ascii="Calibri" w:hAnsi="Calibri" w:cs="Calibri"/>
          <w:sz w:val="22"/>
          <w:szCs w:val="22"/>
        </w:rPr>
        <w:t xml:space="preserve">Jimmy </w:t>
      </w:r>
      <w:r w:rsidR="007A4404" w:rsidRPr="00D9152B">
        <w:rPr>
          <w:rFonts w:ascii="Calibri" w:hAnsi="Calibri" w:cs="Calibri"/>
          <w:sz w:val="22"/>
          <w:szCs w:val="22"/>
        </w:rPr>
        <w:t>Carter, Merck CEO Roy Vagelos, WHO Director General Hiroshi Nakajima, and many other influential dignitaries.</w:t>
      </w:r>
      <w:r w:rsidR="007A4404" w:rsidRPr="00D9152B">
        <w:rPr>
          <w:rStyle w:val="FootnoteReference"/>
          <w:rFonts w:ascii="Calibri" w:hAnsi="Calibri" w:cs="Calibri"/>
          <w:sz w:val="22"/>
          <w:szCs w:val="22"/>
        </w:rPr>
        <w:footnoteReference w:id="967"/>
      </w:r>
      <w:r w:rsidR="007A4404" w:rsidRPr="00D9152B">
        <w:rPr>
          <w:rFonts w:ascii="Calibri" w:hAnsi="Calibri" w:cs="Calibri"/>
          <w:sz w:val="22"/>
          <w:szCs w:val="22"/>
        </w:rPr>
        <w:t xml:space="preserve"> In a note posted by Bill Gates, </w:t>
      </w:r>
      <w:r w:rsidR="008D7C9D">
        <w:rPr>
          <w:rFonts w:ascii="Calibri" w:hAnsi="Calibri" w:cs="Calibri"/>
          <w:sz w:val="22"/>
          <w:szCs w:val="22"/>
        </w:rPr>
        <w:t xml:space="preserve">former Carter Center Director (and smallpox eradication </w:t>
      </w:r>
      <w:r w:rsidR="006E0296">
        <w:rPr>
          <w:rFonts w:ascii="Calibri" w:hAnsi="Calibri" w:cs="Calibri"/>
          <w:sz w:val="22"/>
          <w:szCs w:val="22"/>
        </w:rPr>
        <w:t>champion</w:t>
      </w:r>
      <w:r w:rsidR="008D7C9D">
        <w:rPr>
          <w:rFonts w:ascii="Calibri" w:hAnsi="Calibri" w:cs="Calibri"/>
          <w:sz w:val="22"/>
          <w:szCs w:val="22"/>
        </w:rPr>
        <w:t>) William (</w:t>
      </w:r>
      <w:r w:rsidR="007A4404" w:rsidRPr="00D9152B">
        <w:rPr>
          <w:rFonts w:ascii="Calibri" w:hAnsi="Calibri" w:cs="Calibri"/>
          <w:sz w:val="22"/>
          <w:szCs w:val="22"/>
        </w:rPr>
        <w:t>Bill</w:t>
      </w:r>
      <w:r w:rsidR="008D7C9D">
        <w:rPr>
          <w:rFonts w:ascii="Calibri" w:hAnsi="Calibri" w:cs="Calibri"/>
          <w:sz w:val="22"/>
          <w:szCs w:val="22"/>
        </w:rPr>
        <w:t>)</w:t>
      </w:r>
      <w:r w:rsidR="007A4404" w:rsidRPr="00D9152B">
        <w:rPr>
          <w:rFonts w:ascii="Calibri" w:hAnsi="Calibri" w:cs="Calibri"/>
          <w:sz w:val="22"/>
          <w:szCs w:val="22"/>
        </w:rPr>
        <w:t xml:space="preserve"> Foege explained that:</w:t>
      </w:r>
    </w:p>
    <w:p w14:paraId="3ED4B85B" w14:textId="15326371" w:rsidR="007A4404" w:rsidRPr="00D9152B" w:rsidRDefault="007A4404" w:rsidP="007A4404">
      <w:pPr>
        <w:pStyle w:val="Quote"/>
        <w:rPr>
          <w:rFonts w:cs="Calibri"/>
          <w:i/>
          <w:sz w:val="22"/>
          <w:szCs w:val="22"/>
        </w:rPr>
      </w:pPr>
      <w:r w:rsidRPr="00D9152B">
        <w:rPr>
          <w:rFonts w:cs="Calibri"/>
          <w:i/>
          <w:sz w:val="22"/>
          <w:szCs w:val="22"/>
        </w:rPr>
        <w:t>‘This is a global story. We saw a magical coalition for Mectizan…so the gift, in turn, was amplified by a coalition of global organizations, ministries of health, foundations, mission groups, community organizations, and volunteers all held together by a shared goal rather than a true organizational structure…then there is the miracle of Mectizan delivery…when President Carter got involved, the distribution increased rapidly. He would talk to Heads of State in Africa and they would find an interest in the disease. If they were interested one could depend on their Ministers of Health to become interested.’</w:t>
      </w:r>
      <w:r w:rsidRPr="00D9152B">
        <w:rPr>
          <w:rStyle w:val="FootnoteReference"/>
          <w:rFonts w:ascii="Calibri" w:hAnsi="Calibri" w:cs="Calibri"/>
          <w:i/>
          <w:sz w:val="22"/>
          <w:szCs w:val="22"/>
        </w:rPr>
        <w:footnoteReference w:id="968"/>
      </w:r>
    </w:p>
    <w:p w14:paraId="653DDC2C" w14:textId="77777777" w:rsidR="0071664D" w:rsidRPr="00D9152B" w:rsidRDefault="0071664D" w:rsidP="0066282B">
      <w:pPr>
        <w:spacing w:line="360" w:lineRule="auto"/>
        <w:rPr>
          <w:rFonts w:ascii="Calibri" w:hAnsi="Calibri" w:cs="Calibri"/>
          <w:sz w:val="22"/>
          <w:szCs w:val="22"/>
        </w:rPr>
      </w:pPr>
    </w:p>
    <w:p w14:paraId="4C306530" w14:textId="6188017B" w:rsidR="00680E06" w:rsidRPr="00D9152B" w:rsidRDefault="009069B1" w:rsidP="00C21C18">
      <w:pPr>
        <w:spacing w:line="360" w:lineRule="auto"/>
        <w:ind w:firstLine="720"/>
        <w:rPr>
          <w:rFonts w:ascii="Calibri" w:hAnsi="Calibri" w:cs="Calibri"/>
          <w:sz w:val="22"/>
          <w:szCs w:val="22"/>
        </w:rPr>
      </w:pPr>
      <w:r w:rsidRPr="00D9152B">
        <w:rPr>
          <w:rFonts w:ascii="Calibri" w:hAnsi="Calibri" w:cs="Calibri"/>
          <w:sz w:val="22"/>
          <w:szCs w:val="22"/>
        </w:rPr>
        <w:lastRenderedPageBreak/>
        <w:t>Foege’s reference to the magic of the OCP coalition reflects the common depiction of the OCP as ‘miraculous’. Indeed,</w:t>
      </w:r>
      <w:r w:rsidR="00680E06" w:rsidRPr="00D9152B">
        <w:rPr>
          <w:rFonts w:ascii="Calibri" w:hAnsi="Calibri" w:cs="Calibri"/>
          <w:sz w:val="22"/>
          <w:szCs w:val="22"/>
        </w:rPr>
        <w:t xml:space="preserve"> the OCP also had a unique connection to the miracle of sight, which dramatically increased its marketing appeal. </w:t>
      </w:r>
      <w:r w:rsidRPr="00D9152B">
        <w:rPr>
          <w:rFonts w:ascii="Calibri" w:hAnsi="Calibri" w:cs="Calibri"/>
          <w:sz w:val="22"/>
          <w:szCs w:val="22"/>
        </w:rPr>
        <w:t>A 1983 publication</w:t>
      </w:r>
      <w:r w:rsidR="00680E06" w:rsidRPr="00D9152B">
        <w:rPr>
          <w:rFonts w:ascii="Calibri" w:hAnsi="Calibri" w:cs="Calibri"/>
          <w:sz w:val="22"/>
          <w:szCs w:val="22"/>
        </w:rPr>
        <w:t xml:space="preserve"> on the OCP explains that that the original onchocerciasis image may actually be a ‘frightening replica’ of Pieter Breughel the Elder’s 1568 painting, ‘The Blind leading the blind’ (Figure </w:t>
      </w:r>
      <w:r w:rsidR="006E0296">
        <w:rPr>
          <w:rFonts w:ascii="Calibri" w:hAnsi="Calibri" w:cs="Calibri"/>
          <w:sz w:val="22"/>
          <w:szCs w:val="22"/>
        </w:rPr>
        <w:t>9.</w:t>
      </w:r>
      <w:r w:rsidR="003503A9">
        <w:rPr>
          <w:rFonts w:ascii="Calibri" w:hAnsi="Calibri" w:cs="Calibri"/>
          <w:sz w:val="22"/>
          <w:szCs w:val="22"/>
        </w:rPr>
        <w:t>2</w:t>
      </w:r>
      <w:r w:rsidR="00680E06" w:rsidRPr="00D9152B">
        <w:rPr>
          <w:rFonts w:ascii="Calibri" w:hAnsi="Calibri" w:cs="Calibri"/>
          <w:sz w:val="22"/>
          <w:szCs w:val="22"/>
        </w:rPr>
        <w:t>).</w:t>
      </w:r>
      <w:r w:rsidR="00922365" w:rsidRPr="00D9152B">
        <w:rPr>
          <w:rStyle w:val="FootnoteReference"/>
          <w:rFonts w:ascii="Calibri" w:hAnsi="Calibri" w:cs="Calibri"/>
          <w:sz w:val="22"/>
          <w:szCs w:val="22"/>
        </w:rPr>
        <w:footnoteReference w:id="969"/>
      </w:r>
      <w:r w:rsidR="00922365" w:rsidRPr="00D9152B">
        <w:rPr>
          <w:rFonts w:ascii="Calibri" w:hAnsi="Calibri" w:cs="Calibri"/>
          <w:sz w:val="22"/>
          <w:szCs w:val="22"/>
        </w:rPr>
        <w:t xml:space="preserve"> This painting is linked to the </w:t>
      </w:r>
      <w:r w:rsidR="00C21C18">
        <w:rPr>
          <w:rFonts w:ascii="Calibri" w:hAnsi="Calibri" w:cs="Calibri"/>
          <w:sz w:val="22"/>
          <w:szCs w:val="22"/>
        </w:rPr>
        <w:t>B</w:t>
      </w:r>
      <w:r w:rsidR="00922365" w:rsidRPr="00D9152B">
        <w:rPr>
          <w:rFonts w:ascii="Calibri" w:hAnsi="Calibri" w:cs="Calibri"/>
          <w:sz w:val="22"/>
          <w:szCs w:val="22"/>
        </w:rPr>
        <w:t>ible’s Gospel of Matthew (15:14), which describes how, ‘If the blind lead the blind, both shall fall into the ditch’.</w:t>
      </w:r>
      <w:r w:rsidR="00922365" w:rsidRPr="00D9152B">
        <w:rPr>
          <w:rStyle w:val="FootnoteReference"/>
          <w:rFonts w:ascii="Calibri" w:hAnsi="Calibri" w:cs="Calibri"/>
          <w:sz w:val="22"/>
          <w:szCs w:val="22"/>
        </w:rPr>
        <w:footnoteReference w:id="970"/>
      </w:r>
      <w:r w:rsidR="00922365" w:rsidRPr="00D9152B">
        <w:rPr>
          <w:rFonts w:ascii="Calibri" w:hAnsi="Calibri" w:cs="Calibri"/>
          <w:sz w:val="22"/>
          <w:szCs w:val="22"/>
        </w:rPr>
        <w:t xml:space="preserve"> In the case of the OCP, the implication is that the six figures being led by sticks could fall into the ditch (of poverty). However, through international development – the ‘magical coalition’ of the OCP and preventing the boys leading them from succumbing to onchocerciasis – they may escape this fate. The OCP statues at Merck and the Bank, consecrated first as the ‘Gift of Sight’ and later as ‘Sightless Among Miracles’ refer directly to this metaphor.</w:t>
      </w:r>
      <w:r w:rsidR="00922365" w:rsidRPr="00D9152B">
        <w:rPr>
          <w:rStyle w:val="FootnoteReference"/>
          <w:rFonts w:ascii="Calibri" w:hAnsi="Calibri" w:cs="Calibri"/>
          <w:sz w:val="22"/>
          <w:szCs w:val="22"/>
        </w:rPr>
        <w:footnoteReference w:id="971"/>
      </w:r>
      <w:r w:rsidR="00922365" w:rsidRPr="00D9152B">
        <w:rPr>
          <w:rFonts w:ascii="Calibri" w:hAnsi="Calibri" w:cs="Calibri"/>
          <w:sz w:val="22"/>
          <w:szCs w:val="22"/>
        </w:rPr>
        <w:t xml:space="preserve"> Few images, especially of </w:t>
      </w:r>
      <w:r w:rsidR="006A605E">
        <w:rPr>
          <w:rFonts w:ascii="Calibri" w:hAnsi="Calibri" w:cs="Calibri"/>
          <w:sz w:val="22"/>
          <w:szCs w:val="22"/>
        </w:rPr>
        <w:t>neglected tropical diseases</w:t>
      </w:r>
      <w:r w:rsidR="00922365" w:rsidRPr="00D9152B">
        <w:rPr>
          <w:rFonts w:ascii="Calibri" w:hAnsi="Calibri" w:cs="Calibri"/>
          <w:sz w:val="22"/>
          <w:szCs w:val="22"/>
        </w:rPr>
        <w:t xml:space="preserve">, could be as ‘perennially useful’ in attracting support as that of </w:t>
      </w:r>
      <w:r w:rsidR="00C21C18">
        <w:rPr>
          <w:rFonts w:ascii="Calibri" w:hAnsi="Calibri" w:cs="Calibri"/>
          <w:sz w:val="22"/>
          <w:szCs w:val="22"/>
        </w:rPr>
        <w:t>river blindness</w:t>
      </w:r>
      <w:r w:rsidR="00922365" w:rsidRPr="00D9152B">
        <w:rPr>
          <w:rFonts w:ascii="Calibri" w:hAnsi="Calibri" w:cs="Calibri"/>
          <w:sz w:val="22"/>
          <w:szCs w:val="22"/>
        </w:rPr>
        <w:t>.</w:t>
      </w:r>
    </w:p>
    <w:p w14:paraId="7886AE66" w14:textId="6E2F2C7E" w:rsidR="009069B1" w:rsidRPr="00D9152B" w:rsidRDefault="00680E06" w:rsidP="00680E06">
      <w:pPr>
        <w:jc w:val="center"/>
        <w:rPr>
          <w:rFonts w:ascii="Calibri" w:hAnsi="Calibri" w:cs="Calibri"/>
          <w:sz w:val="22"/>
          <w:szCs w:val="22"/>
        </w:rPr>
      </w:pPr>
      <w:r w:rsidRPr="00D9152B">
        <w:rPr>
          <w:rFonts w:ascii="Calibri" w:hAnsi="Calibri" w:cs="Calibri"/>
          <w:noProof/>
          <w:sz w:val="22"/>
          <w:szCs w:val="22"/>
          <w:lang w:eastAsia="en-GB"/>
        </w:rPr>
        <w:drawing>
          <wp:inline distT="0" distB="0" distL="0" distR="0" wp14:anchorId="5A360E4D" wp14:editId="065A4B8C">
            <wp:extent cx="4602555" cy="2839362"/>
            <wp:effectExtent l="114300" t="101600" r="121920" b="132715"/>
            <wp:docPr id="1026" name="Picture 2" descr="The Blind Leading the Bl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The Blind Leading the Blind"/>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4619655" cy="284991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2CAE0AD" w14:textId="57DBBE85" w:rsidR="00680E06" w:rsidRPr="00D9152B" w:rsidRDefault="00680E06" w:rsidP="00680E06">
      <w:pPr>
        <w:jc w:val="both"/>
        <w:rPr>
          <w:rFonts w:ascii="Calibri" w:hAnsi="Calibri" w:cs="Calibri"/>
          <w:color w:val="595959" w:themeColor="text1" w:themeTint="A6"/>
          <w:sz w:val="22"/>
          <w:szCs w:val="22"/>
        </w:rPr>
      </w:pPr>
      <w:r w:rsidRPr="00D9152B">
        <w:rPr>
          <w:rFonts w:ascii="Calibri" w:hAnsi="Calibri" w:cs="Calibri"/>
          <w:color w:val="595959" w:themeColor="text1" w:themeTint="A6"/>
          <w:sz w:val="22"/>
          <w:szCs w:val="22"/>
        </w:rPr>
        <w:t xml:space="preserve">Figure </w:t>
      </w:r>
      <w:r w:rsidR="006E0296">
        <w:rPr>
          <w:rFonts w:ascii="Calibri" w:hAnsi="Calibri" w:cs="Calibri"/>
          <w:color w:val="595959" w:themeColor="text1" w:themeTint="A6"/>
          <w:sz w:val="22"/>
          <w:szCs w:val="22"/>
        </w:rPr>
        <w:t>9.</w:t>
      </w:r>
      <w:r w:rsidR="003503A9">
        <w:rPr>
          <w:rFonts w:ascii="Calibri" w:hAnsi="Calibri" w:cs="Calibri"/>
          <w:color w:val="595959" w:themeColor="text1" w:themeTint="A6"/>
          <w:sz w:val="22"/>
          <w:szCs w:val="22"/>
        </w:rPr>
        <w:t>2</w:t>
      </w:r>
      <w:r w:rsidRPr="00D9152B">
        <w:rPr>
          <w:rFonts w:ascii="Calibri" w:hAnsi="Calibri" w:cs="Calibri"/>
          <w:color w:val="595959" w:themeColor="text1" w:themeTint="A6"/>
          <w:sz w:val="22"/>
          <w:szCs w:val="22"/>
        </w:rPr>
        <w:t>. The famous onchocerciasis image may be a reproduction of Pieter Brueghel’s ‘The blind leading the blind’, which has biblical links.</w:t>
      </w:r>
      <w:r w:rsidR="00922365" w:rsidRPr="00CF189D">
        <w:rPr>
          <w:rStyle w:val="FootnoteReference"/>
          <w:rFonts w:ascii="Calibri" w:hAnsi="Calibri" w:cs="Calibri"/>
          <w:color w:val="595959" w:themeColor="text1" w:themeTint="A6"/>
        </w:rPr>
        <w:footnoteReference w:id="972"/>
      </w:r>
    </w:p>
    <w:p w14:paraId="24D94603" w14:textId="3F451F58" w:rsidR="00680E06" w:rsidRPr="00D9152B" w:rsidRDefault="00680E06" w:rsidP="00680E06">
      <w:pPr>
        <w:jc w:val="both"/>
        <w:rPr>
          <w:rFonts w:ascii="Calibri" w:hAnsi="Calibri" w:cs="Calibri"/>
          <w:i/>
          <w:sz w:val="22"/>
          <w:szCs w:val="22"/>
        </w:rPr>
      </w:pPr>
    </w:p>
    <w:p w14:paraId="59D04BD5" w14:textId="77777777" w:rsidR="00922365" w:rsidRPr="00D9152B" w:rsidRDefault="00922365" w:rsidP="00922365">
      <w:pPr>
        <w:pStyle w:val="Heading2"/>
        <w:rPr>
          <w:rFonts w:ascii="Calibri" w:hAnsi="Calibri" w:cs="Calibri"/>
          <w:b/>
          <w:sz w:val="26"/>
          <w:szCs w:val="26"/>
        </w:rPr>
      </w:pPr>
    </w:p>
    <w:p w14:paraId="084865A9" w14:textId="7FCC3AA5" w:rsidR="009069B1" w:rsidRPr="00D9152B" w:rsidRDefault="00BD1901" w:rsidP="00922365">
      <w:pPr>
        <w:pStyle w:val="Heading2"/>
        <w:rPr>
          <w:rFonts w:ascii="Calibri" w:hAnsi="Calibri" w:cs="Calibri"/>
          <w:b/>
          <w:sz w:val="26"/>
          <w:szCs w:val="26"/>
        </w:rPr>
      </w:pPr>
      <w:bookmarkStart w:id="160" w:name="_Toc41505714"/>
      <w:r>
        <w:rPr>
          <w:rFonts w:ascii="Calibri" w:hAnsi="Calibri" w:cs="Calibri"/>
          <w:b/>
          <w:sz w:val="26"/>
          <w:szCs w:val="26"/>
        </w:rPr>
        <w:t>9.</w:t>
      </w:r>
      <w:r w:rsidR="00C205D4">
        <w:rPr>
          <w:rFonts w:ascii="Calibri" w:hAnsi="Calibri" w:cs="Calibri"/>
          <w:b/>
          <w:sz w:val="26"/>
          <w:szCs w:val="26"/>
        </w:rPr>
        <w:t>6</w:t>
      </w:r>
      <w:r w:rsidR="00922365" w:rsidRPr="00D9152B">
        <w:rPr>
          <w:rFonts w:ascii="Calibri" w:hAnsi="Calibri" w:cs="Calibri"/>
          <w:b/>
          <w:sz w:val="26"/>
          <w:szCs w:val="26"/>
        </w:rPr>
        <w:t xml:space="preserve">. </w:t>
      </w:r>
      <w:r w:rsidR="00CF75E8" w:rsidRPr="00D9152B">
        <w:rPr>
          <w:rFonts w:ascii="Calibri" w:hAnsi="Calibri" w:cs="Calibri"/>
          <w:b/>
          <w:sz w:val="26"/>
          <w:szCs w:val="26"/>
        </w:rPr>
        <w:t>Countering</w:t>
      </w:r>
      <w:r w:rsidR="000F1373" w:rsidRPr="00D9152B">
        <w:rPr>
          <w:rFonts w:ascii="Calibri" w:hAnsi="Calibri" w:cs="Calibri"/>
          <w:b/>
          <w:sz w:val="26"/>
          <w:szCs w:val="26"/>
        </w:rPr>
        <w:t xml:space="preserve"> the </w:t>
      </w:r>
      <w:r w:rsidR="00922365" w:rsidRPr="00D9152B">
        <w:rPr>
          <w:rFonts w:ascii="Calibri" w:hAnsi="Calibri" w:cs="Calibri"/>
          <w:b/>
          <w:sz w:val="26"/>
          <w:szCs w:val="26"/>
        </w:rPr>
        <w:t>success cartel</w:t>
      </w:r>
      <w:bookmarkEnd w:id="160"/>
    </w:p>
    <w:p w14:paraId="46917D3D" w14:textId="567E6D84" w:rsidR="00922365" w:rsidRPr="00D9152B" w:rsidRDefault="00922365" w:rsidP="00922365">
      <w:pPr>
        <w:rPr>
          <w:rFonts w:ascii="Calibri" w:hAnsi="Calibri" w:cs="Calibri"/>
        </w:rPr>
      </w:pPr>
    </w:p>
    <w:p w14:paraId="4B3C516C" w14:textId="015AE762" w:rsidR="00922365" w:rsidRPr="00D9152B" w:rsidRDefault="006F65EC" w:rsidP="00C46E81">
      <w:pPr>
        <w:spacing w:line="360" w:lineRule="auto"/>
        <w:rPr>
          <w:rFonts w:ascii="Calibri" w:hAnsi="Calibri" w:cs="Calibri"/>
          <w:sz w:val="22"/>
          <w:szCs w:val="22"/>
        </w:rPr>
      </w:pPr>
      <w:r w:rsidRPr="00D9152B">
        <w:rPr>
          <w:rFonts w:ascii="Calibri" w:hAnsi="Calibri" w:cs="Calibri"/>
        </w:rPr>
        <w:tab/>
      </w:r>
      <w:r w:rsidRPr="00D9152B">
        <w:rPr>
          <w:rFonts w:ascii="Calibri" w:hAnsi="Calibri" w:cs="Calibri"/>
          <w:sz w:val="22"/>
          <w:szCs w:val="22"/>
        </w:rPr>
        <w:t>In the case of the OCP, the reflection that ‘success has many parents, and failure only one’</w:t>
      </w:r>
      <w:r w:rsidRPr="00D9152B">
        <w:rPr>
          <w:rStyle w:val="FootnoteReference"/>
          <w:rFonts w:ascii="Calibri" w:hAnsi="Calibri" w:cs="Calibri"/>
          <w:sz w:val="22"/>
          <w:szCs w:val="22"/>
        </w:rPr>
        <w:footnoteReference w:id="973"/>
      </w:r>
      <w:r w:rsidRPr="00D9152B">
        <w:rPr>
          <w:rFonts w:ascii="Calibri" w:hAnsi="Calibri" w:cs="Calibri"/>
          <w:sz w:val="22"/>
          <w:szCs w:val="22"/>
        </w:rPr>
        <w:t xml:space="preserve"> has more veracity than the African proverb, ‘only failures make news’.</w:t>
      </w:r>
      <w:r w:rsidRPr="00D9152B">
        <w:rPr>
          <w:rStyle w:val="FootnoteReference"/>
          <w:rFonts w:ascii="Calibri" w:hAnsi="Calibri" w:cs="Calibri"/>
          <w:sz w:val="22"/>
          <w:szCs w:val="22"/>
        </w:rPr>
        <w:footnoteReference w:id="974"/>
      </w:r>
      <w:r w:rsidRPr="00D9152B">
        <w:rPr>
          <w:rFonts w:ascii="Calibri" w:hAnsi="Calibri" w:cs="Calibri"/>
          <w:sz w:val="22"/>
          <w:szCs w:val="22"/>
        </w:rPr>
        <w:t xml:space="preserve"> </w:t>
      </w:r>
      <w:r w:rsidR="009F4FEC">
        <w:rPr>
          <w:rFonts w:ascii="Calibri" w:hAnsi="Calibri" w:cs="Calibri"/>
          <w:sz w:val="22"/>
          <w:szCs w:val="22"/>
        </w:rPr>
        <w:t xml:space="preserve">The </w:t>
      </w:r>
      <w:r w:rsidR="000E1B2A" w:rsidRPr="00D9152B">
        <w:rPr>
          <w:rFonts w:ascii="Calibri" w:hAnsi="Calibri" w:cs="Calibri"/>
          <w:sz w:val="22"/>
          <w:szCs w:val="22"/>
        </w:rPr>
        <w:t xml:space="preserve">recognition that </w:t>
      </w:r>
      <w:r w:rsidR="000F1373" w:rsidRPr="00D9152B">
        <w:rPr>
          <w:rFonts w:ascii="Calibri" w:hAnsi="Calibri" w:cs="Calibri"/>
          <w:sz w:val="22"/>
          <w:szCs w:val="22"/>
        </w:rPr>
        <w:t>‘success breeds success’</w:t>
      </w:r>
      <w:r w:rsidR="000F1373" w:rsidRPr="00D9152B">
        <w:rPr>
          <w:rStyle w:val="FootnoteReference"/>
          <w:rFonts w:ascii="Calibri" w:hAnsi="Calibri" w:cs="Calibri"/>
          <w:sz w:val="22"/>
          <w:szCs w:val="22"/>
        </w:rPr>
        <w:footnoteReference w:id="975"/>
      </w:r>
      <w:r w:rsidR="000E1B2A" w:rsidRPr="00D9152B">
        <w:rPr>
          <w:rFonts w:ascii="Calibri" w:hAnsi="Calibri" w:cs="Calibri"/>
          <w:sz w:val="22"/>
          <w:szCs w:val="22"/>
        </w:rPr>
        <w:t xml:space="preserve"> – that marketing a programme as a success can make the programme and the ideologies underpinning it more attractive to funders and policymakers – </w:t>
      </w:r>
      <w:r w:rsidR="00C46E81" w:rsidRPr="00D9152B">
        <w:rPr>
          <w:rFonts w:ascii="Calibri" w:hAnsi="Calibri" w:cs="Calibri"/>
          <w:sz w:val="22"/>
          <w:szCs w:val="22"/>
        </w:rPr>
        <w:t>has not been</w:t>
      </w:r>
      <w:r w:rsidR="000E1B2A" w:rsidRPr="00D9152B">
        <w:rPr>
          <w:rFonts w:ascii="Calibri" w:hAnsi="Calibri" w:cs="Calibri"/>
          <w:sz w:val="22"/>
          <w:szCs w:val="22"/>
        </w:rPr>
        <w:t xml:space="preserve"> limited to the Bank. Harman has documented how the ‘Bill Chill’ has allowed charismatic authority to stifle in-depth programme analyses and criticisms, and Rajkot</w:t>
      </w:r>
      <w:r w:rsidR="00FF5A8F">
        <w:rPr>
          <w:rFonts w:ascii="Calibri" w:hAnsi="Calibri" w:cs="Calibri"/>
          <w:sz w:val="22"/>
          <w:szCs w:val="22"/>
        </w:rPr>
        <w:t>i</w:t>
      </w:r>
      <w:r w:rsidR="000E1B2A" w:rsidRPr="00D9152B">
        <w:rPr>
          <w:rFonts w:ascii="Calibri" w:hAnsi="Calibri" w:cs="Calibri"/>
          <w:sz w:val="22"/>
          <w:szCs w:val="22"/>
        </w:rPr>
        <w:t xml:space="preserve">a recently described how competition for limited </w:t>
      </w:r>
      <w:r w:rsidR="00C433E6">
        <w:rPr>
          <w:rFonts w:ascii="Calibri" w:hAnsi="Calibri" w:cs="Calibri"/>
          <w:sz w:val="22"/>
          <w:szCs w:val="22"/>
        </w:rPr>
        <w:t>development assistance for health</w:t>
      </w:r>
      <w:r w:rsidR="000E1B2A" w:rsidRPr="00D9152B">
        <w:rPr>
          <w:rFonts w:ascii="Calibri" w:hAnsi="Calibri" w:cs="Calibri"/>
          <w:sz w:val="22"/>
          <w:szCs w:val="22"/>
        </w:rPr>
        <w:t xml:space="preserve"> has led to a ‘success cartel’ within global health governance</w:t>
      </w:r>
      <w:r w:rsidR="00282E20" w:rsidRPr="00D9152B">
        <w:rPr>
          <w:rFonts w:ascii="Calibri" w:hAnsi="Calibri" w:cs="Calibri"/>
          <w:sz w:val="22"/>
          <w:szCs w:val="22"/>
        </w:rPr>
        <w:t xml:space="preserve">, </w:t>
      </w:r>
      <w:r w:rsidR="00C46E81" w:rsidRPr="00D9152B">
        <w:rPr>
          <w:rFonts w:ascii="Calibri" w:hAnsi="Calibri" w:cs="Calibri"/>
          <w:sz w:val="22"/>
          <w:szCs w:val="22"/>
        </w:rPr>
        <w:t xml:space="preserve">which </w:t>
      </w:r>
      <w:r w:rsidR="00282E20" w:rsidRPr="00D9152B">
        <w:rPr>
          <w:rFonts w:ascii="Calibri" w:hAnsi="Calibri" w:cs="Calibri"/>
          <w:sz w:val="22"/>
          <w:szCs w:val="22"/>
        </w:rPr>
        <w:t>incentivizes embellishing positive aspects of programmes and glossing over negatives</w:t>
      </w:r>
      <w:r w:rsidR="000E1B2A" w:rsidRPr="00D9152B">
        <w:rPr>
          <w:rFonts w:ascii="Calibri" w:hAnsi="Calibri" w:cs="Calibri"/>
          <w:sz w:val="22"/>
          <w:szCs w:val="22"/>
        </w:rPr>
        <w:t>.</w:t>
      </w:r>
      <w:r w:rsidR="000E1B2A" w:rsidRPr="00D9152B">
        <w:rPr>
          <w:rStyle w:val="FootnoteReference"/>
          <w:rFonts w:ascii="Calibri" w:hAnsi="Calibri" w:cs="Calibri"/>
          <w:sz w:val="22"/>
          <w:szCs w:val="22"/>
        </w:rPr>
        <w:footnoteReference w:id="976"/>
      </w:r>
    </w:p>
    <w:p w14:paraId="2CE3CB0E" w14:textId="1CABF078" w:rsidR="00932BBA" w:rsidRDefault="000E1B2A" w:rsidP="00C46E81">
      <w:pPr>
        <w:spacing w:after="160" w:line="360" w:lineRule="auto"/>
        <w:rPr>
          <w:rFonts w:ascii="Calibri" w:hAnsi="Calibri" w:cs="Calibri"/>
          <w:sz w:val="22"/>
          <w:szCs w:val="22"/>
        </w:rPr>
      </w:pPr>
      <w:r w:rsidRPr="00D9152B">
        <w:rPr>
          <w:rFonts w:ascii="Calibri" w:hAnsi="Calibri" w:cs="Calibri"/>
          <w:sz w:val="22"/>
          <w:szCs w:val="22"/>
        </w:rPr>
        <w:tab/>
        <w:t xml:space="preserve">Rather than looking </w:t>
      </w:r>
      <w:r w:rsidR="00C46E81" w:rsidRPr="00D9152B">
        <w:rPr>
          <w:rFonts w:ascii="Calibri" w:hAnsi="Calibri" w:cs="Calibri"/>
          <w:sz w:val="22"/>
          <w:szCs w:val="22"/>
        </w:rPr>
        <w:t xml:space="preserve">for </w:t>
      </w:r>
      <w:r w:rsidRPr="00D9152B">
        <w:rPr>
          <w:rFonts w:ascii="Calibri" w:hAnsi="Calibri" w:cs="Calibri"/>
          <w:sz w:val="22"/>
          <w:szCs w:val="22"/>
        </w:rPr>
        <w:t xml:space="preserve">broad-sweeping ‘lessons learned’, </w:t>
      </w:r>
      <w:r w:rsidR="00C46E81" w:rsidRPr="00D9152B">
        <w:rPr>
          <w:rFonts w:ascii="Calibri" w:hAnsi="Calibri" w:cs="Calibri"/>
          <w:sz w:val="22"/>
          <w:szCs w:val="22"/>
        </w:rPr>
        <w:t xml:space="preserve">I argue that </w:t>
      </w:r>
      <w:r w:rsidR="00B20323" w:rsidRPr="00D9152B">
        <w:rPr>
          <w:rFonts w:ascii="Calibri" w:hAnsi="Calibri" w:cs="Calibri"/>
          <w:sz w:val="22"/>
          <w:szCs w:val="22"/>
        </w:rPr>
        <w:t xml:space="preserve">researchers </w:t>
      </w:r>
      <w:r w:rsidR="00C46E81" w:rsidRPr="00D9152B">
        <w:rPr>
          <w:rFonts w:ascii="Calibri" w:hAnsi="Calibri" w:cs="Calibri"/>
          <w:sz w:val="22"/>
          <w:szCs w:val="22"/>
        </w:rPr>
        <w:t>should</w:t>
      </w:r>
      <w:r w:rsidR="00B20323" w:rsidRPr="00D9152B">
        <w:rPr>
          <w:rFonts w:ascii="Calibri" w:hAnsi="Calibri" w:cs="Calibri"/>
          <w:sz w:val="22"/>
          <w:szCs w:val="22"/>
        </w:rPr>
        <w:t xml:space="preserve"> </w:t>
      </w:r>
      <w:r w:rsidR="00CF75E8" w:rsidRPr="00D9152B">
        <w:rPr>
          <w:rFonts w:ascii="Calibri" w:hAnsi="Calibri" w:cs="Calibri"/>
          <w:sz w:val="22"/>
          <w:szCs w:val="22"/>
        </w:rPr>
        <w:t xml:space="preserve">ask specific questions about what worked (and did not work) during </w:t>
      </w:r>
      <w:r w:rsidR="00C46E81" w:rsidRPr="00D9152B">
        <w:rPr>
          <w:rFonts w:ascii="Calibri" w:hAnsi="Calibri" w:cs="Calibri"/>
          <w:sz w:val="22"/>
          <w:szCs w:val="22"/>
        </w:rPr>
        <w:t xml:space="preserve">particular global health </w:t>
      </w:r>
      <w:r w:rsidR="00CF75E8" w:rsidRPr="00D9152B">
        <w:rPr>
          <w:rFonts w:ascii="Calibri" w:hAnsi="Calibri" w:cs="Calibri"/>
          <w:sz w:val="22"/>
          <w:szCs w:val="22"/>
        </w:rPr>
        <w:t>programme</w:t>
      </w:r>
      <w:r w:rsidR="00C46E81" w:rsidRPr="00D9152B">
        <w:rPr>
          <w:rFonts w:ascii="Calibri" w:hAnsi="Calibri" w:cs="Calibri"/>
          <w:sz w:val="22"/>
          <w:szCs w:val="22"/>
        </w:rPr>
        <w:t>s</w:t>
      </w:r>
      <w:r w:rsidR="00CF75E8" w:rsidRPr="00D9152B">
        <w:rPr>
          <w:rFonts w:ascii="Calibri" w:hAnsi="Calibri" w:cs="Calibri"/>
          <w:sz w:val="22"/>
          <w:szCs w:val="22"/>
        </w:rPr>
        <w:t xml:space="preserve">. </w:t>
      </w:r>
      <w:r w:rsidR="00C46E81" w:rsidRPr="00C433E6">
        <w:rPr>
          <w:rFonts w:ascii="Calibri" w:hAnsi="Calibri" w:cs="Calibri"/>
          <w:sz w:val="22"/>
          <w:szCs w:val="22"/>
        </w:rPr>
        <w:t>These</w:t>
      </w:r>
      <w:r w:rsidR="00AD6CD0" w:rsidRPr="00C433E6">
        <w:rPr>
          <w:rFonts w:ascii="Calibri" w:hAnsi="Calibri" w:cs="Calibri"/>
          <w:sz w:val="22"/>
          <w:szCs w:val="22"/>
        </w:rPr>
        <w:t xml:space="preserve"> </w:t>
      </w:r>
      <w:r w:rsidR="006E0296">
        <w:rPr>
          <w:rFonts w:ascii="Calibri" w:hAnsi="Calibri" w:cs="Calibri"/>
          <w:sz w:val="22"/>
          <w:szCs w:val="22"/>
        </w:rPr>
        <w:t>‘</w:t>
      </w:r>
      <w:r w:rsidR="00C46E81" w:rsidRPr="00C433E6">
        <w:rPr>
          <w:rFonts w:ascii="Calibri" w:hAnsi="Calibri" w:cs="Calibri"/>
          <w:sz w:val="22"/>
          <w:szCs w:val="22"/>
        </w:rPr>
        <w:t>alternative</w:t>
      </w:r>
      <w:r w:rsidR="006E0296">
        <w:rPr>
          <w:rFonts w:ascii="Calibri" w:hAnsi="Calibri" w:cs="Calibri"/>
          <w:sz w:val="22"/>
          <w:szCs w:val="22"/>
        </w:rPr>
        <w:t>’</w:t>
      </w:r>
      <w:r w:rsidR="00C46E81" w:rsidRPr="00C433E6">
        <w:rPr>
          <w:rFonts w:ascii="Calibri" w:hAnsi="Calibri" w:cs="Calibri"/>
          <w:sz w:val="22"/>
          <w:szCs w:val="22"/>
        </w:rPr>
        <w:t xml:space="preserve"> </w:t>
      </w:r>
      <w:r w:rsidR="00AD6CD0" w:rsidRPr="00C433E6">
        <w:rPr>
          <w:rFonts w:ascii="Calibri" w:hAnsi="Calibri" w:cs="Calibri"/>
          <w:sz w:val="22"/>
          <w:szCs w:val="22"/>
        </w:rPr>
        <w:t>questions</w:t>
      </w:r>
      <w:r w:rsidR="00C46E81" w:rsidRPr="00C433E6">
        <w:rPr>
          <w:rFonts w:ascii="Calibri" w:hAnsi="Calibri" w:cs="Calibri"/>
          <w:sz w:val="22"/>
          <w:szCs w:val="22"/>
        </w:rPr>
        <w:t xml:space="preserve">, </w:t>
      </w:r>
      <w:r w:rsidR="00C433E6" w:rsidRPr="00C433E6">
        <w:rPr>
          <w:rFonts w:ascii="Calibri" w:hAnsi="Calibri" w:cs="Calibri"/>
          <w:sz w:val="22"/>
          <w:szCs w:val="22"/>
        </w:rPr>
        <w:t xml:space="preserve">like those posed in Table </w:t>
      </w:r>
      <w:r w:rsidR="006E0296">
        <w:rPr>
          <w:rFonts w:ascii="Calibri" w:hAnsi="Calibri" w:cs="Calibri"/>
          <w:sz w:val="22"/>
          <w:szCs w:val="22"/>
        </w:rPr>
        <w:t>9.</w:t>
      </w:r>
      <w:r w:rsidR="00C433E6" w:rsidRPr="00C433E6">
        <w:rPr>
          <w:rFonts w:ascii="Calibri" w:hAnsi="Calibri" w:cs="Calibri"/>
          <w:sz w:val="22"/>
          <w:szCs w:val="22"/>
        </w:rPr>
        <w:t>1</w:t>
      </w:r>
      <w:r w:rsidR="00C46E81" w:rsidRPr="00C433E6">
        <w:rPr>
          <w:rFonts w:ascii="Calibri" w:hAnsi="Calibri" w:cs="Calibri"/>
          <w:sz w:val="22"/>
          <w:szCs w:val="22"/>
        </w:rPr>
        <w:t>,</w:t>
      </w:r>
      <w:r w:rsidR="00AD6CD0" w:rsidRPr="00C433E6">
        <w:rPr>
          <w:rFonts w:ascii="Calibri" w:hAnsi="Calibri" w:cs="Calibri"/>
          <w:sz w:val="22"/>
          <w:szCs w:val="22"/>
        </w:rPr>
        <w:t xml:space="preserve"> </w:t>
      </w:r>
      <w:r w:rsidR="00C46E81" w:rsidRPr="00C433E6">
        <w:rPr>
          <w:rFonts w:ascii="Calibri" w:hAnsi="Calibri" w:cs="Calibri"/>
          <w:sz w:val="22"/>
          <w:szCs w:val="22"/>
        </w:rPr>
        <w:t>should</w:t>
      </w:r>
      <w:r w:rsidR="00C46E81" w:rsidRPr="00D9152B">
        <w:rPr>
          <w:rFonts w:ascii="Calibri" w:hAnsi="Calibri" w:cs="Calibri"/>
          <w:sz w:val="22"/>
          <w:szCs w:val="22"/>
        </w:rPr>
        <w:t xml:space="preserve"> be</w:t>
      </w:r>
      <w:r w:rsidR="00AD6CD0" w:rsidRPr="00D9152B">
        <w:rPr>
          <w:rFonts w:ascii="Calibri" w:hAnsi="Calibri" w:cs="Calibri"/>
          <w:sz w:val="22"/>
          <w:szCs w:val="22"/>
        </w:rPr>
        <w:t xml:space="preserve"> targeted and operational</w:t>
      </w:r>
      <w:r w:rsidR="00C46E81" w:rsidRPr="00D9152B">
        <w:rPr>
          <w:rFonts w:ascii="Calibri" w:hAnsi="Calibri" w:cs="Calibri"/>
          <w:sz w:val="22"/>
          <w:szCs w:val="22"/>
        </w:rPr>
        <w:t xml:space="preserve">ly-minded. </w:t>
      </w:r>
      <w:r w:rsidR="00605845">
        <w:rPr>
          <w:rFonts w:ascii="Calibri" w:hAnsi="Calibri" w:cs="Calibri"/>
          <w:sz w:val="22"/>
          <w:szCs w:val="22"/>
        </w:rPr>
        <w:t xml:space="preserve">For instance, the </w:t>
      </w:r>
      <w:r w:rsidR="006E0296">
        <w:rPr>
          <w:rFonts w:ascii="Calibri" w:hAnsi="Calibri" w:cs="Calibri"/>
          <w:sz w:val="22"/>
          <w:szCs w:val="22"/>
        </w:rPr>
        <w:t>underlying</w:t>
      </w:r>
      <w:r w:rsidR="00605845">
        <w:rPr>
          <w:rFonts w:ascii="Calibri" w:hAnsi="Calibri" w:cs="Calibri"/>
          <w:sz w:val="22"/>
          <w:szCs w:val="22"/>
        </w:rPr>
        <w:t xml:space="preserve"> OCP narrative showcases Tichenor and Sridhar’s argument that,</w:t>
      </w:r>
      <w:r w:rsidR="00605845" w:rsidRPr="00605845">
        <w:rPr>
          <w:rFonts w:ascii="Calibri" w:hAnsi="Calibri" w:cs="Calibri"/>
          <w:sz w:val="22"/>
          <w:szCs w:val="22"/>
        </w:rPr>
        <w:t xml:space="preserve"> ‘When numbers are called on to “speak for” the health needs and priorities of populations in the Global South, we must also ask the question of who produces these numbers, their apparent apolitical neutrality, and the broader governance structures that allow them to hold the power they do’.</w:t>
      </w:r>
      <w:r w:rsidR="00605845" w:rsidRPr="000B595A">
        <w:rPr>
          <w:rStyle w:val="FootnoteReference"/>
          <w:rFonts w:ascii="Calibri" w:hAnsi="Calibri" w:cs="Calibri"/>
          <w:sz w:val="22"/>
          <w:szCs w:val="22"/>
        </w:rPr>
        <w:footnoteReference w:id="977"/>
      </w:r>
      <w:r w:rsidR="00605845" w:rsidRPr="00605845">
        <w:rPr>
          <w:rFonts w:ascii="Calibri" w:hAnsi="Calibri" w:cs="Calibri"/>
          <w:sz w:val="22"/>
          <w:szCs w:val="22"/>
        </w:rPr>
        <w:t xml:space="preserve"> </w:t>
      </w:r>
      <w:r w:rsidR="00E01C8F">
        <w:rPr>
          <w:rFonts w:ascii="Calibri" w:hAnsi="Calibri" w:cs="Calibri"/>
          <w:sz w:val="22"/>
          <w:szCs w:val="22"/>
        </w:rPr>
        <w:t xml:space="preserve">By </w:t>
      </w:r>
      <w:r w:rsidR="00C46E81" w:rsidRPr="00D9152B">
        <w:rPr>
          <w:rFonts w:ascii="Calibri" w:hAnsi="Calibri" w:cs="Calibri"/>
          <w:sz w:val="22"/>
          <w:szCs w:val="22"/>
        </w:rPr>
        <w:t xml:space="preserve">asking such questions, historically-grounded case studies of ‘successful’ programmes like the OCP can challenge the dominant narratives that </w:t>
      </w:r>
      <w:r w:rsidR="006A605E">
        <w:rPr>
          <w:rFonts w:ascii="Calibri" w:hAnsi="Calibri" w:cs="Calibri"/>
          <w:sz w:val="22"/>
          <w:szCs w:val="22"/>
        </w:rPr>
        <w:t xml:space="preserve">fuel </w:t>
      </w:r>
      <w:r w:rsidR="00C46E81" w:rsidRPr="00D9152B">
        <w:rPr>
          <w:rFonts w:ascii="Calibri" w:hAnsi="Calibri" w:cs="Calibri"/>
          <w:sz w:val="22"/>
          <w:szCs w:val="22"/>
        </w:rPr>
        <w:t>the</w:t>
      </w:r>
      <w:r w:rsidR="006E0296">
        <w:rPr>
          <w:rFonts w:ascii="Calibri" w:hAnsi="Calibri" w:cs="Calibri"/>
          <w:sz w:val="22"/>
          <w:szCs w:val="22"/>
        </w:rPr>
        <w:t xml:space="preserve"> impact-focused</w:t>
      </w:r>
      <w:r w:rsidR="00C46E81" w:rsidRPr="00D9152B">
        <w:rPr>
          <w:rFonts w:ascii="Calibri" w:hAnsi="Calibri" w:cs="Calibri"/>
          <w:sz w:val="22"/>
          <w:szCs w:val="22"/>
        </w:rPr>
        <w:t xml:space="preserve"> global health success cartel.</w:t>
      </w:r>
      <w:r w:rsidR="00C46E81" w:rsidRPr="00D9152B">
        <w:rPr>
          <w:rStyle w:val="FootnoteReference"/>
          <w:rFonts w:ascii="Calibri" w:hAnsi="Calibri" w:cs="Calibri"/>
          <w:sz w:val="22"/>
          <w:szCs w:val="22"/>
        </w:rPr>
        <w:footnoteReference w:id="978"/>
      </w:r>
      <w:r w:rsidR="00D76BD9" w:rsidRPr="00D9152B">
        <w:rPr>
          <w:rFonts w:ascii="Calibri" w:hAnsi="Calibri" w:cs="Calibri"/>
          <w:sz w:val="22"/>
          <w:szCs w:val="22"/>
        </w:rPr>
        <w:t xml:space="preserve"> </w:t>
      </w:r>
    </w:p>
    <w:p w14:paraId="6F9B8F8D" w14:textId="77777777" w:rsidR="00931CC1" w:rsidRDefault="00931CC1" w:rsidP="00C46E81">
      <w:pPr>
        <w:spacing w:after="160" w:line="360" w:lineRule="auto"/>
        <w:rPr>
          <w:rFonts w:ascii="Calibri" w:hAnsi="Calibri" w:cs="Calibri"/>
          <w:sz w:val="22"/>
          <w:szCs w:val="22"/>
        </w:rPr>
      </w:pPr>
    </w:p>
    <w:p w14:paraId="173D3259" w14:textId="77777777" w:rsidR="00442620" w:rsidRDefault="00442620" w:rsidP="00C46E81">
      <w:pPr>
        <w:spacing w:after="160" w:line="360" w:lineRule="auto"/>
        <w:rPr>
          <w:rFonts w:ascii="Calibri" w:hAnsi="Calibri" w:cs="Calibri"/>
          <w:sz w:val="22"/>
          <w:szCs w:val="22"/>
        </w:rPr>
        <w:sectPr w:rsidR="00442620" w:rsidSect="00413CE4">
          <w:footnotePr>
            <w:numRestart w:val="eachSect"/>
          </w:footnotePr>
          <w:pgSz w:w="11906" w:h="16838"/>
          <w:pgMar w:top="1134" w:right="1418" w:bottom="2268" w:left="2268" w:header="708" w:footer="708" w:gutter="0"/>
          <w:cols w:space="708"/>
          <w:docGrid w:linePitch="360"/>
        </w:sectPr>
      </w:pPr>
    </w:p>
    <w:p w14:paraId="0C149DA8" w14:textId="77777777" w:rsidR="00047CA8" w:rsidRDefault="00047CA8">
      <w:pPr>
        <w:spacing w:line="360" w:lineRule="auto"/>
        <w:rPr>
          <w:rFonts w:ascii="Calibri" w:eastAsiaTheme="majorEastAsia" w:hAnsi="Calibri" w:cs="Calibri"/>
          <w:b/>
          <w:color w:val="2E74B5" w:themeColor="accent1" w:themeShade="BF"/>
          <w:sz w:val="36"/>
          <w:szCs w:val="36"/>
        </w:rPr>
      </w:pPr>
      <w:r>
        <w:rPr>
          <w:rFonts w:ascii="Calibri" w:hAnsi="Calibri" w:cs="Calibri"/>
          <w:b/>
          <w:sz w:val="36"/>
          <w:szCs w:val="36"/>
        </w:rPr>
        <w:lastRenderedPageBreak/>
        <w:br w:type="page"/>
      </w:r>
    </w:p>
    <w:p w14:paraId="5385322C" w14:textId="48342B09" w:rsidR="00442620" w:rsidRPr="00380D9B" w:rsidRDefault="009C05EE" w:rsidP="00442620">
      <w:pPr>
        <w:pStyle w:val="Heading1"/>
        <w:rPr>
          <w:rFonts w:ascii="Calibri" w:hAnsi="Calibri" w:cs="Calibri"/>
          <w:b/>
          <w:sz w:val="36"/>
          <w:szCs w:val="36"/>
        </w:rPr>
      </w:pPr>
      <w:bookmarkStart w:id="161" w:name="_Toc41505715"/>
      <w:r>
        <w:rPr>
          <w:rFonts w:ascii="Calibri" w:hAnsi="Calibri" w:cs="Calibri"/>
          <w:b/>
          <w:sz w:val="36"/>
          <w:szCs w:val="36"/>
        </w:rPr>
        <w:lastRenderedPageBreak/>
        <w:t>Bibliography</w:t>
      </w:r>
      <w:bookmarkEnd w:id="161"/>
    </w:p>
    <w:p w14:paraId="37E297C7" w14:textId="77777777" w:rsidR="00442620" w:rsidRPr="00454AD2" w:rsidRDefault="00442620" w:rsidP="00442620">
      <w:pPr>
        <w:pStyle w:val="FootnoteText"/>
        <w:rPr>
          <w:rFonts w:ascii="Calibri" w:hAnsi="Calibri" w:cs="Calibri"/>
          <w:color w:val="000000" w:themeColor="text1"/>
          <w:sz w:val="22"/>
          <w:szCs w:val="22"/>
        </w:rPr>
      </w:pPr>
    </w:p>
    <w:p w14:paraId="0AE58650" w14:textId="77777777" w:rsidR="00442620" w:rsidRPr="00454AD2" w:rsidRDefault="00442620" w:rsidP="00442620">
      <w:pPr>
        <w:pStyle w:val="FootnoteText"/>
        <w:rPr>
          <w:rFonts w:ascii="Calibri" w:hAnsi="Calibri" w:cs="Calibri"/>
          <w:color w:val="000000" w:themeColor="text1"/>
          <w:sz w:val="22"/>
          <w:szCs w:val="22"/>
          <w:shd w:val="clear" w:color="auto" w:fill="FFFFFF"/>
        </w:rPr>
      </w:pPr>
    </w:p>
    <w:p w14:paraId="225E5673"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Abbasi K, ‘The World Bank and world health: changing sides’, </w:t>
      </w:r>
      <w:r w:rsidRPr="00454AD2">
        <w:rPr>
          <w:rFonts w:ascii="Calibri" w:hAnsi="Calibri" w:cs="Calibri"/>
          <w:i/>
          <w:color w:val="000000" w:themeColor="text1"/>
          <w:sz w:val="22"/>
          <w:szCs w:val="22"/>
        </w:rPr>
        <w:t xml:space="preserve">BMJ </w:t>
      </w:r>
      <w:r w:rsidRPr="00454AD2">
        <w:rPr>
          <w:rFonts w:ascii="Calibri" w:hAnsi="Calibri" w:cs="Calibri"/>
          <w:color w:val="000000" w:themeColor="text1"/>
          <w:sz w:val="22"/>
          <w:szCs w:val="22"/>
        </w:rPr>
        <w:t>318:7187 (1999), 865-869.</w:t>
      </w:r>
    </w:p>
    <w:p w14:paraId="182733C6" w14:textId="77777777" w:rsidR="00442620" w:rsidRPr="00454AD2" w:rsidRDefault="00442620" w:rsidP="00442620">
      <w:pPr>
        <w:pStyle w:val="FootnoteText"/>
        <w:rPr>
          <w:rFonts w:ascii="Calibri" w:hAnsi="Calibri" w:cs="Calibri"/>
          <w:color w:val="000000" w:themeColor="text1"/>
          <w:sz w:val="22"/>
          <w:szCs w:val="22"/>
        </w:rPr>
      </w:pPr>
    </w:p>
    <w:p w14:paraId="32F9FD09"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Abbasi K, ‘Under fire’, </w:t>
      </w:r>
      <w:r w:rsidRPr="00454AD2">
        <w:rPr>
          <w:rFonts w:ascii="Calibri" w:hAnsi="Calibri" w:cs="Calibri"/>
          <w:i/>
          <w:color w:val="000000" w:themeColor="text1"/>
          <w:sz w:val="22"/>
          <w:szCs w:val="22"/>
        </w:rPr>
        <w:t xml:space="preserve">BMJ </w:t>
      </w:r>
      <w:r w:rsidRPr="00454AD2">
        <w:rPr>
          <w:rFonts w:ascii="Calibri" w:hAnsi="Calibri" w:cs="Calibri"/>
          <w:color w:val="000000" w:themeColor="text1"/>
          <w:sz w:val="22"/>
          <w:szCs w:val="22"/>
        </w:rPr>
        <w:t xml:space="preserve">318:7189 (1999), 1003-1006. </w:t>
      </w:r>
    </w:p>
    <w:p w14:paraId="3CCE98DE" w14:textId="77777777" w:rsidR="00442620" w:rsidRPr="00454AD2" w:rsidRDefault="00442620" w:rsidP="00442620">
      <w:pPr>
        <w:pStyle w:val="FootnoteText"/>
        <w:rPr>
          <w:rFonts w:ascii="Calibri" w:hAnsi="Calibri" w:cs="Calibri"/>
          <w:color w:val="000000" w:themeColor="text1"/>
          <w:sz w:val="22"/>
          <w:szCs w:val="22"/>
        </w:rPr>
      </w:pPr>
    </w:p>
    <w:p w14:paraId="5CCB530A" w14:textId="0EA9C52C"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Aerts </w:t>
      </w:r>
      <w:r w:rsidR="0077473E">
        <w:rPr>
          <w:rFonts w:ascii="Calibri" w:hAnsi="Calibri" w:cs="Calibri"/>
          <w:color w:val="000000" w:themeColor="text1"/>
          <w:sz w:val="22"/>
          <w:szCs w:val="22"/>
        </w:rPr>
        <w:t>G, Grage T, Dooms M and Haezendonck E</w:t>
      </w:r>
      <w:r w:rsidRPr="00454AD2">
        <w:rPr>
          <w:rFonts w:ascii="Calibri" w:hAnsi="Calibri" w:cs="Calibri"/>
          <w:color w:val="000000" w:themeColor="text1"/>
          <w:sz w:val="22"/>
          <w:szCs w:val="22"/>
        </w:rPr>
        <w:t xml:space="preserve">, ‘Are public-private partnerships the solution to tackle neglected tropical diseases? A systematic review of the literature’, </w:t>
      </w:r>
      <w:r w:rsidRPr="00454AD2">
        <w:rPr>
          <w:rFonts w:ascii="Calibri" w:hAnsi="Calibri" w:cs="Calibri"/>
          <w:i/>
          <w:color w:val="000000" w:themeColor="text1"/>
          <w:sz w:val="22"/>
          <w:szCs w:val="22"/>
        </w:rPr>
        <w:t xml:space="preserve">Health Policy </w:t>
      </w:r>
      <w:r w:rsidRPr="00454AD2">
        <w:rPr>
          <w:rFonts w:ascii="Calibri" w:hAnsi="Calibri" w:cs="Calibri"/>
          <w:color w:val="000000" w:themeColor="text1"/>
          <w:sz w:val="22"/>
          <w:szCs w:val="22"/>
        </w:rPr>
        <w:t>121 (2017), 745-754.</w:t>
      </w:r>
    </w:p>
    <w:p w14:paraId="7F3D9107" w14:textId="77777777" w:rsidR="00442620" w:rsidRPr="00454AD2" w:rsidRDefault="00442620" w:rsidP="00442620">
      <w:pPr>
        <w:pStyle w:val="FootnoteText"/>
        <w:rPr>
          <w:rFonts w:ascii="Calibri" w:hAnsi="Calibri" w:cs="Calibri"/>
          <w:color w:val="000000" w:themeColor="text1"/>
          <w:sz w:val="22"/>
          <w:szCs w:val="22"/>
        </w:rPr>
      </w:pPr>
    </w:p>
    <w:p w14:paraId="77F1B70B"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African Programme for Onchocerciasis Control, </w:t>
      </w:r>
      <w:r w:rsidRPr="00454AD2">
        <w:rPr>
          <w:rFonts w:ascii="Calibri" w:hAnsi="Calibri" w:cs="Calibri"/>
          <w:i/>
          <w:color w:val="000000" w:themeColor="text1"/>
          <w:sz w:val="22"/>
          <w:szCs w:val="22"/>
        </w:rPr>
        <w:t>Curriculum and training module on the Community-Directed Intervention (CDI) strategy for faculties of medicine and health sciences</w:t>
      </w:r>
      <w:r w:rsidRPr="00454AD2">
        <w:rPr>
          <w:rFonts w:ascii="Calibri" w:hAnsi="Calibri" w:cs="Calibri"/>
          <w:color w:val="000000" w:themeColor="text1"/>
          <w:sz w:val="22"/>
          <w:szCs w:val="22"/>
        </w:rPr>
        <w:t>, 2</w:t>
      </w:r>
      <w:r w:rsidRPr="00454AD2">
        <w:rPr>
          <w:rFonts w:ascii="Calibri" w:hAnsi="Calibri" w:cs="Calibri"/>
          <w:color w:val="000000" w:themeColor="text1"/>
          <w:sz w:val="22"/>
          <w:szCs w:val="22"/>
          <w:vertAlign w:val="superscript"/>
        </w:rPr>
        <w:t>nd</w:t>
      </w:r>
      <w:r w:rsidRPr="00454AD2">
        <w:rPr>
          <w:rFonts w:ascii="Calibri" w:hAnsi="Calibri" w:cs="Calibri"/>
          <w:color w:val="000000" w:themeColor="text1"/>
          <w:sz w:val="22"/>
          <w:szCs w:val="22"/>
        </w:rPr>
        <w:t xml:space="preserve"> ed (Geneva: WHO, 2012).</w:t>
      </w:r>
    </w:p>
    <w:p w14:paraId="0F082ACB" w14:textId="77777777" w:rsidR="00442620" w:rsidRPr="00454AD2" w:rsidRDefault="00442620" w:rsidP="00442620">
      <w:pPr>
        <w:pStyle w:val="FootnoteText"/>
        <w:rPr>
          <w:rFonts w:ascii="Calibri" w:hAnsi="Calibri" w:cs="Calibri"/>
          <w:color w:val="000000" w:themeColor="text1"/>
          <w:sz w:val="22"/>
          <w:szCs w:val="22"/>
        </w:rPr>
      </w:pPr>
    </w:p>
    <w:p w14:paraId="475E62B8"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Aidflows, ‘Donor/Financier view’ (online), &lt;http://www.aidflows.org&gt;, [accessed 10 March 2017].</w:t>
      </w:r>
    </w:p>
    <w:p w14:paraId="0AFE16CC" w14:textId="77777777" w:rsidR="00442620" w:rsidRPr="00454AD2" w:rsidRDefault="00442620" w:rsidP="00442620">
      <w:pPr>
        <w:pStyle w:val="FootnoteText"/>
        <w:rPr>
          <w:rFonts w:ascii="Calibri" w:hAnsi="Calibri" w:cs="Calibri"/>
          <w:color w:val="000000" w:themeColor="text1"/>
          <w:sz w:val="22"/>
          <w:szCs w:val="22"/>
        </w:rPr>
      </w:pPr>
    </w:p>
    <w:p w14:paraId="50BD3D71"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Alger CF, ‘The United States and the United Nations’, </w:t>
      </w:r>
      <w:r w:rsidRPr="00454AD2">
        <w:rPr>
          <w:rFonts w:ascii="Calibri" w:hAnsi="Calibri" w:cs="Calibri"/>
          <w:i/>
          <w:color w:val="000000" w:themeColor="text1"/>
          <w:sz w:val="22"/>
          <w:szCs w:val="22"/>
        </w:rPr>
        <w:t xml:space="preserve">International Organization </w:t>
      </w:r>
      <w:r w:rsidRPr="00454AD2">
        <w:rPr>
          <w:rFonts w:ascii="Calibri" w:hAnsi="Calibri" w:cs="Calibri"/>
          <w:color w:val="000000" w:themeColor="text1"/>
          <w:sz w:val="22"/>
          <w:szCs w:val="22"/>
        </w:rPr>
        <w:t>27:1 (1973), 1-23.</w:t>
      </w:r>
    </w:p>
    <w:p w14:paraId="06EAEDC6" w14:textId="77777777" w:rsidR="00442620" w:rsidRPr="00454AD2" w:rsidRDefault="00442620" w:rsidP="00442620">
      <w:pPr>
        <w:pStyle w:val="FootnoteText"/>
        <w:rPr>
          <w:rFonts w:ascii="Calibri" w:hAnsi="Calibri" w:cs="Calibri"/>
          <w:color w:val="000000" w:themeColor="text1"/>
          <w:sz w:val="22"/>
          <w:szCs w:val="22"/>
        </w:rPr>
      </w:pPr>
    </w:p>
    <w:p w14:paraId="7DB0709C"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Allen T and Parker M, ‘Will increased funding for neglected tropical diseases really make poverty history?’, </w:t>
      </w:r>
      <w:r w:rsidRPr="00454AD2">
        <w:rPr>
          <w:rFonts w:ascii="Calibri" w:hAnsi="Calibri" w:cs="Calibri"/>
          <w:i/>
          <w:color w:val="000000" w:themeColor="text1"/>
          <w:sz w:val="22"/>
          <w:szCs w:val="22"/>
        </w:rPr>
        <w:t xml:space="preserve">Lancet </w:t>
      </w:r>
      <w:r w:rsidRPr="00454AD2">
        <w:rPr>
          <w:rFonts w:ascii="Calibri" w:hAnsi="Calibri" w:cs="Calibri"/>
          <w:color w:val="000000" w:themeColor="text1"/>
          <w:sz w:val="22"/>
          <w:szCs w:val="22"/>
        </w:rPr>
        <w:t>379 (2012), 1097-1098.</w:t>
      </w:r>
    </w:p>
    <w:p w14:paraId="74DD0CE6" w14:textId="77777777" w:rsidR="00442620" w:rsidRPr="00454AD2" w:rsidRDefault="00442620" w:rsidP="00442620">
      <w:pPr>
        <w:pStyle w:val="FootnoteText"/>
        <w:rPr>
          <w:rFonts w:ascii="Calibri" w:hAnsi="Calibri" w:cs="Calibri"/>
          <w:color w:val="000000" w:themeColor="text1"/>
          <w:sz w:val="22"/>
          <w:szCs w:val="22"/>
        </w:rPr>
      </w:pPr>
    </w:p>
    <w:p w14:paraId="5F44DA0D"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Alvarez JE, ‘United Nations financial veto’, </w:t>
      </w:r>
      <w:r w:rsidRPr="00454AD2">
        <w:rPr>
          <w:rFonts w:ascii="Calibri" w:hAnsi="Calibri" w:cs="Calibri"/>
          <w:i/>
          <w:color w:val="000000" w:themeColor="text1"/>
          <w:sz w:val="22"/>
          <w:szCs w:val="22"/>
        </w:rPr>
        <w:t xml:space="preserve">American Society of International Law Proceedings </w:t>
      </w:r>
      <w:r w:rsidRPr="00454AD2">
        <w:rPr>
          <w:rFonts w:ascii="Calibri" w:hAnsi="Calibri" w:cs="Calibri"/>
          <w:color w:val="000000" w:themeColor="text1"/>
          <w:sz w:val="22"/>
          <w:szCs w:val="22"/>
        </w:rPr>
        <w:t>90 (1996), 319-324.</w:t>
      </w:r>
    </w:p>
    <w:p w14:paraId="6F6E005B" w14:textId="77777777" w:rsidR="00442620" w:rsidRPr="00454AD2" w:rsidRDefault="00442620" w:rsidP="00442620">
      <w:pPr>
        <w:pStyle w:val="FootnoteText"/>
        <w:rPr>
          <w:rFonts w:ascii="Calibri" w:hAnsi="Calibri" w:cs="Calibri"/>
          <w:color w:val="000000" w:themeColor="text1"/>
          <w:sz w:val="22"/>
          <w:szCs w:val="22"/>
        </w:rPr>
      </w:pPr>
    </w:p>
    <w:p w14:paraId="6A10A8E1"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Amazigo U, ‘The challenges of community-directed treatment with ivermectin (CDTI) within the African Programme for Onchocerciasis Control (APOC)’, </w:t>
      </w:r>
      <w:r w:rsidRPr="00454AD2">
        <w:rPr>
          <w:rFonts w:ascii="Calibri" w:hAnsi="Calibri" w:cs="Calibri"/>
          <w:i/>
          <w:color w:val="000000" w:themeColor="text1"/>
          <w:sz w:val="22"/>
          <w:szCs w:val="22"/>
        </w:rPr>
        <w:t xml:space="preserve">Annals of Tropical Medicine and Parasitology </w:t>
      </w:r>
      <w:r w:rsidRPr="00454AD2">
        <w:rPr>
          <w:rFonts w:ascii="Calibri" w:hAnsi="Calibri" w:cs="Calibri"/>
          <w:color w:val="000000" w:themeColor="text1"/>
          <w:sz w:val="22"/>
          <w:szCs w:val="22"/>
        </w:rPr>
        <w:t>96 (2002), S41-58.</w:t>
      </w:r>
    </w:p>
    <w:p w14:paraId="1C2BA977" w14:textId="77777777" w:rsidR="00442620" w:rsidRPr="00454AD2" w:rsidRDefault="00442620" w:rsidP="00442620">
      <w:pPr>
        <w:pStyle w:val="FootnoteText"/>
        <w:rPr>
          <w:rFonts w:ascii="Calibri" w:hAnsi="Calibri" w:cs="Calibri"/>
          <w:i/>
          <w:color w:val="000000" w:themeColor="text1"/>
          <w:sz w:val="22"/>
          <w:szCs w:val="22"/>
        </w:rPr>
      </w:pPr>
    </w:p>
    <w:p w14:paraId="5210F905" w14:textId="77777777" w:rsidR="00442620" w:rsidRPr="00454AD2" w:rsidRDefault="00442620" w:rsidP="00442620">
      <w:pPr>
        <w:pStyle w:val="FootnoteText"/>
        <w:rPr>
          <w:rFonts w:ascii="Calibri" w:hAnsi="Calibri" w:cs="Calibri"/>
          <w:color w:val="000000" w:themeColor="text1"/>
          <w:sz w:val="22"/>
          <w:szCs w:val="22"/>
          <w:shd w:val="clear" w:color="auto" w:fill="FFFFFF"/>
        </w:rPr>
      </w:pPr>
      <w:r w:rsidRPr="00454AD2">
        <w:rPr>
          <w:rFonts w:ascii="Calibri" w:hAnsi="Calibri" w:cs="Calibri"/>
          <w:color w:val="000000" w:themeColor="text1"/>
          <w:sz w:val="22"/>
          <w:szCs w:val="22"/>
          <w:shd w:val="clear" w:color="auto" w:fill="FFFFFF"/>
        </w:rPr>
        <w:t xml:space="preserve">Anand S and Sen A, ‘Human development and economic sustainability’, </w:t>
      </w:r>
      <w:r w:rsidRPr="00454AD2">
        <w:rPr>
          <w:rFonts w:ascii="Calibri" w:hAnsi="Calibri" w:cs="Calibri"/>
          <w:i/>
          <w:color w:val="000000" w:themeColor="text1"/>
          <w:sz w:val="22"/>
          <w:szCs w:val="22"/>
          <w:shd w:val="clear" w:color="auto" w:fill="FFFFFF"/>
        </w:rPr>
        <w:t>World Development</w:t>
      </w:r>
      <w:r w:rsidRPr="00454AD2">
        <w:rPr>
          <w:rFonts w:ascii="Calibri" w:hAnsi="Calibri" w:cs="Calibri"/>
          <w:color w:val="000000" w:themeColor="text1"/>
          <w:sz w:val="22"/>
          <w:szCs w:val="22"/>
          <w:shd w:val="clear" w:color="auto" w:fill="FFFFFF"/>
        </w:rPr>
        <w:t xml:space="preserve"> 1:28 (2000), 2029-49.</w:t>
      </w:r>
    </w:p>
    <w:p w14:paraId="702E16E5" w14:textId="77777777" w:rsidR="00442620" w:rsidRPr="00454AD2" w:rsidRDefault="00442620" w:rsidP="00442620">
      <w:pPr>
        <w:pStyle w:val="FootnoteText"/>
        <w:rPr>
          <w:rFonts w:ascii="Calibri" w:hAnsi="Calibri" w:cs="Calibri"/>
          <w:color w:val="000000" w:themeColor="text1"/>
          <w:sz w:val="22"/>
          <w:szCs w:val="22"/>
          <w:shd w:val="clear" w:color="auto" w:fill="FFFFFF"/>
        </w:rPr>
      </w:pPr>
    </w:p>
    <w:p w14:paraId="3331467A"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Australian Broadcasting Corporation, ‘River blindness – a good news stories’, </w:t>
      </w:r>
      <w:r w:rsidRPr="00454AD2">
        <w:rPr>
          <w:rFonts w:ascii="Calibri" w:hAnsi="Calibri" w:cs="Calibri"/>
          <w:i/>
          <w:color w:val="000000" w:themeColor="text1"/>
          <w:sz w:val="22"/>
          <w:szCs w:val="22"/>
        </w:rPr>
        <w:t xml:space="preserve">Ockham’s Razor, ABC Radio National </w:t>
      </w:r>
      <w:r w:rsidRPr="00454AD2">
        <w:rPr>
          <w:rFonts w:ascii="Calibri" w:hAnsi="Calibri" w:cs="Calibri"/>
          <w:color w:val="000000" w:themeColor="text1"/>
          <w:sz w:val="22"/>
          <w:szCs w:val="22"/>
        </w:rPr>
        <w:t>(21 July 2002).</w:t>
      </w:r>
    </w:p>
    <w:p w14:paraId="046996C2" w14:textId="77777777" w:rsidR="00442620" w:rsidRPr="00454AD2" w:rsidRDefault="00442620" w:rsidP="00442620">
      <w:pPr>
        <w:pStyle w:val="FootnoteText"/>
        <w:rPr>
          <w:rFonts w:ascii="Calibri" w:hAnsi="Calibri" w:cs="Calibri"/>
          <w:color w:val="000000" w:themeColor="text1"/>
          <w:sz w:val="22"/>
          <w:szCs w:val="22"/>
        </w:rPr>
      </w:pPr>
    </w:p>
    <w:p w14:paraId="61C93B2F"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Bardosh K, ‘Global aspirations, local realities: the role of social science research in controlling neglected tropical diseases’, </w:t>
      </w:r>
      <w:r w:rsidRPr="00454AD2">
        <w:rPr>
          <w:rFonts w:ascii="Calibri" w:hAnsi="Calibri" w:cs="Calibri"/>
          <w:i/>
          <w:color w:val="000000" w:themeColor="text1"/>
          <w:sz w:val="22"/>
          <w:szCs w:val="22"/>
        </w:rPr>
        <w:t xml:space="preserve">Infectious Diseases of Poverty </w:t>
      </w:r>
      <w:r w:rsidRPr="00454AD2">
        <w:rPr>
          <w:rFonts w:ascii="Calibri" w:hAnsi="Calibri" w:cs="Calibri"/>
          <w:color w:val="000000" w:themeColor="text1"/>
          <w:sz w:val="22"/>
          <w:szCs w:val="22"/>
        </w:rPr>
        <w:t>3:35 (2014), 1-15.</w:t>
      </w:r>
    </w:p>
    <w:p w14:paraId="7FF06871" w14:textId="77777777" w:rsidR="00442620" w:rsidRPr="00454AD2" w:rsidRDefault="00442620" w:rsidP="00442620">
      <w:pPr>
        <w:pStyle w:val="FootnoteText"/>
        <w:rPr>
          <w:rFonts w:ascii="Calibri" w:hAnsi="Calibri" w:cs="Calibri"/>
          <w:color w:val="000000" w:themeColor="text1"/>
          <w:sz w:val="22"/>
          <w:szCs w:val="22"/>
        </w:rPr>
      </w:pPr>
    </w:p>
    <w:p w14:paraId="44E3A63F"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Barr D, ‘A research protocol to evaluate the effectiveness of public-private partnerships as a means to improve health and welfare systems worldwide’, </w:t>
      </w:r>
      <w:r w:rsidRPr="00454AD2">
        <w:rPr>
          <w:rFonts w:ascii="Calibri" w:hAnsi="Calibri" w:cs="Calibri"/>
          <w:i/>
          <w:color w:val="000000" w:themeColor="text1"/>
          <w:sz w:val="22"/>
          <w:szCs w:val="22"/>
        </w:rPr>
        <w:t xml:space="preserve">American Journal of Public Health </w:t>
      </w:r>
      <w:r w:rsidRPr="00454AD2">
        <w:rPr>
          <w:rFonts w:ascii="Calibri" w:hAnsi="Calibri" w:cs="Calibri"/>
          <w:color w:val="000000" w:themeColor="text1"/>
          <w:sz w:val="22"/>
          <w:szCs w:val="22"/>
        </w:rPr>
        <w:t>97:1 (2007), 19-25.</w:t>
      </w:r>
    </w:p>
    <w:p w14:paraId="6C6D87A4" w14:textId="77777777" w:rsidR="00442620" w:rsidRPr="00454AD2" w:rsidRDefault="00442620" w:rsidP="00442620">
      <w:pPr>
        <w:pStyle w:val="FootnoteText"/>
        <w:rPr>
          <w:rFonts w:ascii="Calibri" w:hAnsi="Calibri" w:cs="Calibri"/>
          <w:color w:val="000000" w:themeColor="text1"/>
          <w:sz w:val="22"/>
          <w:szCs w:val="22"/>
        </w:rPr>
      </w:pPr>
    </w:p>
    <w:p w14:paraId="40F986BB" w14:textId="080503AF" w:rsidR="00442620" w:rsidRPr="00454AD2" w:rsidRDefault="00442620" w:rsidP="00442620">
      <w:pPr>
        <w:pStyle w:val="FootnoteText"/>
        <w:rPr>
          <w:rFonts w:ascii="Calibri" w:hAnsi="Calibri" w:cs="Calibri"/>
          <w:color w:val="000000" w:themeColor="text1"/>
          <w:sz w:val="22"/>
          <w:szCs w:val="22"/>
          <w:shd w:val="clear" w:color="auto" w:fill="FFFFFF"/>
        </w:rPr>
      </w:pPr>
      <w:r w:rsidRPr="00454AD2">
        <w:rPr>
          <w:rFonts w:ascii="Calibri" w:hAnsi="Calibri" w:cs="Calibri"/>
          <w:color w:val="000000" w:themeColor="text1"/>
          <w:sz w:val="22"/>
          <w:szCs w:val="22"/>
          <w:shd w:val="clear" w:color="auto" w:fill="FFFFFF"/>
        </w:rPr>
        <w:t xml:space="preserve">Basáñez </w:t>
      </w:r>
      <w:r w:rsidR="0077473E">
        <w:rPr>
          <w:rFonts w:ascii="Calibri" w:hAnsi="Calibri" w:cs="Calibri"/>
          <w:color w:val="000000" w:themeColor="text1"/>
          <w:sz w:val="22"/>
          <w:szCs w:val="22"/>
          <w:shd w:val="clear" w:color="auto" w:fill="FFFFFF"/>
        </w:rPr>
        <w:t>MG, Pion SDS, Churcher TS, Breitling LP, Little MP</w:t>
      </w:r>
      <w:r w:rsidR="0096478C">
        <w:rPr>
          <w:rFonts w:ascii="Calibri" w:hAnsi="Calibri" w:cs="Calibri"/>
          <w:color w:val="000000" w:themeColor="text1"/>
          <w:sz w:val="22"/>
          <w:szCs w:val="22"/>
          <w:shd w:val="clear" w:color="auto" w:fill="FFFFFF"/>
        </w:rPr>
        <w:t xml:space="preserve"> and </w:t>
      </w:r>
      <w:r w:rsidR="0077473E">
        <w:rPr>
          <w:rFonts w:ascii="Calibri" w:hAnsi="Calibri" w:cs="Calibri"/>
          <w:color w:val="000000" w:themeColor="text1"/>
          <w:sz w:val="22"/>
          <w:szCs w:val="22"/>
          <w:shd w:val="clear" w:color="auto" w:fill="FFFFFF"/>
        </w:rPr>
        <w:t>Bou</w:t>
      </w:r>
      <w:r w:rsidR="0096478C">
        <w:rPr>
          <w:rFonts w:ascii="Calibri" w:hAnsi="Calibri" w:cs="Calibri"/>
          <w:color w:val="000000" w:themeColor="text1"/>
          <w:sz w:val="22"/>
          <w:szCs w:val="22"/>
          <w:shd w:val="clear" w:color="auto" w:fill="FFFFFF"/>
        </w:rPr>
        <w:t>ssinesq M</w:t>
      </w:r>
      <w:r w:rsidRPr="00454AD2">
        <w:rPr>
          <w:rFonts w:ascii="Calibri" w:hAnsi="Calibri" w:cs="Calibri"/>
          <w:color w:val="000000" w:themeColor="text1"/>
          <w:sz w:val="22"/>
          <w:szCs w:val="22"/>
          <w:shd w:val="clear" w:color="auto" w:fill="FFFFFF"/>
        </w:rPr>
        <w:t xml:space="preserve">, ‘River blindness: a success story under threat?’, </w:t>
      </w:r>
      <w:r w:rsidRPr="00454AD2">
        <w:rPr>
          <w:rFonts w:ascii="Calibri" w:hAnsi="Calibri" w:cs="Calibri"/>
          <w:i/>
          <w:color w:val="000000" w:themeColor="text1"/>
          <w:sz w:val="22"/>
          <w:szCs w:val="22"/>
          <w:shd w:val="clear" w:color="auto" w:fill="FFFFFF"/>
        </w:rPr>
        <w:t xml:space="preserve">PLoS Medicine </w:t>
      </w:r>
      <w:r w:rsidRPr="00454AD2">
        <w:rPr>
          <w:rFonts w:ascii="Calibri" w:hAnsi="Calibri" w:cs="Calibri"/>
          <w:color w:val="000000" w:themeColor="text1"/>
          <w:sz w:val="22"/>
          <w:szCs w:val="22"/>
          <w:shd w:val="clear" w:color="auto" w:fill="FFFFFF"/>
        </w:rPr>
        <w:t>3:9 (2006), e371.</w:t>
      </w:r>
    </w:p>
    <w:p w14:paraId="3FB279FE" w14:textId="77777777" w:rsidR="00442620" w:rsidRPr="00454AD2" w:rsidRDefault="00442620" w:rsidP="00442620">
      <w:pPr>
        <w:pStyle w:val="FootnoteText"/>
        <w:rPr>
          <w:rFonts w:ascii="Calibri" w:hAnsi="Calibri" w:cs="Calibri"/>
          <w:color w:val="000000" w:themeColor="text1"/>
          <w:sz w:val="22"/>
          <w:szCs w:val="22"/>
        </w:rPr>
      </w:pPr>
    </w:p>
    <w:p w14:paraId="4E069DEE" w14:textId="77777777" w:rsidR="00442620" w:rsidRPr="00454AD2" w:rsidRDefault="00442620" w:rsidP="00442620">
      <w:pPr>
        <w:pStyle w:val="FootnoteText"/>
        <w:rPr>
          <w:rFonts w:ascii="Calibri" w:hAnsi="Calibri" w:cs="Calibri"/>
          <w:color w:val="000000" w:themeColor="text1"/>
          <w:sz w:val="22"/>
          <w:szCs w:val="22"/>
        </w:rPr>
      </w:pPr>
    </w:p>
    <w:p w14:paraId="6EE59E02" w14:textId="77777777"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t>Benton B, The onchocerciasis (riverblindness) programs: visionary partnerships (Washington DC: World Bank, 2001).</w:t>
      </w:r>
    </w:p>
    <w:p w14:paraId="79EB97CD" w14:textId="77777777" w:rsidR="00442620" w:rsidRPr="00CF189D" w:rsidRDefault="00442620" w:rsidP="00DD4818">
      <w:pPr>
        <w:pStyle w:val="Footnotes"/>
        <w:rPr>
          <w:rFonts w:ascii="Calibri" w:hAnsi="Calibri" w:cs="Calibri"/>
          <w:sz w:val="22"/>
          <w:szCs w:val="22"/>
        </w:rPr>
      </w:pPr>
    </w:p>
    <w:p w14:paraId="5E2B9506" w14:textId="3F5DE6AD" w:rsidR="00442620" w:rsidRPr="00B56CEC" w:rsidRDefault="00442620" w:rsidP="00442620">
      <w:r w:rsidRPr="00952408">
        <w:rPr>
          <w:rFonts w:ascii="Calibri" w:hAnsi="Calibri" w:cs="Calibri"/>
          <w:color w:val="000000" w:themeColor="text1"/>
          <w:sz w:val="22"/>
          <w:szCs w:val="22"/>
          <w:lang w:eastAsia="en-GB"/>
        </w:rPr>
        <w:t xml:space="preserve">Benton </w:t>
      </w:r>
      <w:r w:rsidR="00B56CEC" w:rsidRPr="00952408">
        <w:rPr>
          <w:rFonts w:ascii="Calibri" w:hAnsi="Calibri" w:cs="Calibri"/>
          <w:color w:val="000000" w:themeColor="text1"/>
          <w:sz w:val="22"/>
          <w:szCs w:val="22"/>
          <w:lang w:eastAsia="en-GB"/>
        </w:rPr>
        <w:t xml:space="preserve">B, Bump J, </w:t>
      </w:r>
      <w:r w:rsidR="00B56CEC" w:rsidRPr="00952408">
        <w:rPr>
          <w:rFonts w:ascii="Calibri" w:hAnsi="Calibri" w:cs="Calibri"/>
          <w:color w:val="000000" w:themeColor="text1"/>
          <w:sz w:val="22"/>
          <w:szCs w:val="22"/>
          <w:lang w:val="en-US"/>
        </w:rPr>
        <w:t xml:space="preserve">Sékételi </w:t>
      </w:r>
      <w:r w:rsidR="00B56CEC" w:rsidRPr="00952408">
        <w:rPr>
          <w:rFonts w:ascii="Calibri" w:hAnsi="Calibri" w:cs="Calibri"/>
          <w:color w:val="000000" w:themeColor="text1"/>
          <w:sz w:val="22"/>
          <w:szCs w:val="22"/>
          <w:lang w:eastAsia="en-GB"/>
        </w:rPr>
        <w:t>A and Liese B,</w:t>
      </w:r>
      <w:r w:rsidR="00B56CEC" w:rsidRPr="00CF189D">
        <w:rPr>
          <w:rFonts w:ascii="Calibri" w:hAnsi="Calibri" w:cs="Calibri"/>
          <w:sz w:val="22"/>
          <w:szCs w:val="22"/>
        </w:rPr>
        <w:t xml:space="preserve"> </w:t>
      </w:r>
      <w:r w:rsidR="00B56CEC" w:rsidRPr="00952408">
        <w:rPr>
          <w:rFonts w:ascii="Calibri" w:hAnsi="Calibri" w:cs="Calibri"/>
          <w:color w:val="000000" w:themeColor="text1"/>
          <w:sz w:val="22"/>
          <w:szCs w:val="22"/>
          <w:lang w:eastAsia="en-GB"/>
        </w:rPr>
        <w:t>‘</w:t>
      </w:r>
      <w:r w:rsidRPr="00952408">
        <w:rPr>
          <w:rFonts w:ascii="Calibri" w:hAnsi="Calibri" w:cs="Calibri"/>
          <w:color w:val="000000" w:themeColor="text1"/>
          <w:sz w:val="22"/>
          <w:szCs w:val="22"/>
          <w:lang w:eastAsia="en-GB"/>
        </w:rPr>
        <w:t>Partnership and promise: evolution of the African river-blindness campaigns</w:t>
      </w:r>
      <w:r w:rsidR="00B56CEC" w:rsidRPr="007569A0">
        <w:rPr>
          <w:rFonts w:ascii="Calibri" w:hAnsi="Calibri" w:cs="Calibri"/>
          <w:color w:val="000000" w:themeColor="text1"/>
          <w:sz w:val="22"/>
          <w:szCs w:val="22"/>
          <w:lang w:eastAsia="en-GB"/>
        </w:rPr>
        <w:t>’</w:t>
      </w:r>
      <w:r w:rsidRPr="00454AD2">
        <w:rPr>
          <w:rFonts w:ascii="Calibri" w:hAnsi="Calibri" w:cs="Calibri"/>
          <w:color w:val="000000" w:themeColor="text1"/>
          <w:sz w:val="22"/>
          <w:szCs w:val="22"/>
          <w:lang w:eastAsia="en-GB"/>
        </w:rPr>
        <w:t xml:space="preserve">, </w:t>
      </w:r>
      <w:r w:rsidRPr="00454AD2">
        <w:rPr>
          <w:rFonts w:ascii="Calibri" w:hAnsi="Calibri" w:cs="Calibri"/>
          <w:i/>
          <w:iCs/>
          <w:color w:val="000000" w:themeColor="text1"/>
          <w:sz w:val="22"/>
          <w:szCs w:val="22"/>
          <w:lang w:eastAsia="en-GB"/>
        </w:rPr>
        <w:t>Annals of Tropical Medicine and Parasitology</w:t>
      </w:r>
      <w:r w:rsidRPr="00454AD2">
        <w:rPr>
          <w:rFonts w:ascii="Calibri" w:hAnsi="Calibri" w:cs="Calibri"/>
          <w:color w:val="000000" w:themeColor="text1"/>
          <w:sz w:val="22"/>
          <w:szCs w:val="22"/>
          <w:lang w:eastAsia="en-GB"/>
        </w:rPr>
        <w:t>, 96 (2002), 5-14.</w:t>
      </w:r>
    </w:p>
    <w:p w14:paraId="768E43D9" w14:textId="77777777" w:rsidR="00442620" w:rsidRPr="00454AD2" w:rsidRDefault="00442620" w:rsidP="00442620">
      <w:pPr>
        <w:pStyle w:val="FootnoteText"/>
        <w:rPr>
          <w:rFonts w:ascii="Calibri" w:hAnsi="Calibri" w:cs="Calibri"/>
          <w:color w:val="000000" w:themeColor="text1"/>
          <w:sz w:val="22"/>
          <w:szCs w:val="22"/>
        </w:rPr>
      </w:pPr>
    </w:p>
    <w:p w14:paraId="4ACDC9D4" w14:textId="34B03D24"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Bhatnagar</w:t>
      </w:r>
      <w:r w:rsidR="00B56CEC">
        <w:rPr>
          <w:rFonts w:ascii="Calibri" w:hAnsi="Calibri" w:cs="Calibri"/>
          <w:color w:val="000000" w:themeColor="text1"/>
          <w:sz w:val="22"/>
          <w:szCs w:val="22"/>
        </w:rPr>
        <w:t xml:space="preserve"> B, Ali IA, Modhukuru P, Dad AJ, Zhang Y and Wood AM</w:t>
      </w:r>
      <w:r w:rsidRPr="00454AD2">
        <w:rPr>
          <w:rFonts w:ascii="Calibri" w:hAnsi="Calibri" w:cs="Calibri"/>
          <w:color w:val="000000" w:themeColor="text1"/>
          <w:sz w:val="22"/>
          <w:szCs w:val="22"/>
        </w:rPr>
        <w:t xml:space="preserve">, </w:t>
      </w:r>
      <w:r w:rsidRPr="00454AD2">
        <w:rPr>
          <w:rFonts w:ascii="Calibri" w:hAnsi="Calibri" w:cs="Calibri"/>
          <w:i/>
          <w:color w:val="000000" w:themeColor="text1"/>
          <w:sz w:val="22"/>
          <w:szCs w:val="22"/>
        </w:rPr>
        <w:t xml:space="preserve">2017 trust fund annual report </w:t>
      </w:r>
      <w:r w:rsidRPr="00454AD2">
        <w:rPr>
          <w:rFonts w:ascii="Calibri" w:hAnsi="Calibri" w:cs="Calibri"/>
          <w:color w:val="000000" w:themeColor="text1"/>
          <w:sz w:val="22"/>
          <w:szCs w:val="22"/>
        </w:rPr>
        <w:t>(Washington DC: World Bank, 2018).</w:t>
      </w:r>
    </w:p>
    <w:p w14:paraId="6B53A243" w14:textId="77777777" w:rsidR="00B56CEC" w:rsidRPr="00454AD2" w:rsidRDefault="00B56CEC" w:rsidP="00442620">
      <w:pPr>
        <w:pStyle w:val="FootnoteText"/>
        <w:rPr>
          <w:rFonts w:ascii="Calibri" w:hAnsi="Calibri" w:cs="Calibri"/>
          <w:color w:val="000000" w:themeColor="text1"/>
          <w:sz w:val="22"/>
          <w:szCs w:val="22"/>
        </w:rPr>
      </w:pPr>
    </w:p>
    <w:p w14:paraId="37C97183"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Bhattacharya S, ‘Reflections on the eradication of smallpox’, </w:t>
      </w:r>
      <w:r w:rsidRPr="00454AD2">
        <w:rPr>
          <w:rFonts w:ascii="Calibri" w:hAnsi="Calibri" w:cs="Calibri"/>
          <w:i/>
          <w:color w:val="000000" w:themeColor="text1"/>
          <w:sz w:val="22"/>
          <w:szCs w:val="22"/>
        </w:rPr>
        <w:t xml:space="preserve">Lancet </w:t>
      </w:r>
      <w:r w:rsidRPr="00454AD2">
        <w:rPr>
          <w:rFonts w:ascii="Calibri" w:hAnsi="Calibri" w:cs="Calibri"/>
          <w:color w:val="000000" w:themeColor="text1"/>
          <w:sz w:val="22"/>
          <w:szCs w:val="22"/>
        </w:rPr>
        <w:t>375:9726 (2010), 1602-1603.</w:t>
      </w:r>
    </w:p>
    <w:p w14:paraId="46146E81" w14:textId="77777777" w:rsidR="00442620" w:rsidRPr="00454AD2" w:rsidRDefault="00442620" w:rsidP="00442620">
      <w:pPr>
        <w:pStyle w:val="FootnoteText"/>
        <w:rPr>
          <w:rFonts w:ascii="Calibri" w:hAnsi="Calibri" w:cs="Calibri"/>
          <w:color w:val="000000" w:themeColor="text1"/>
          <w:sz w:val="22"/>
          <w:szCs w:val="22"/>
        </w:rPr>
      </w:pPr>
    </w:p>
    <w:p w14:paraId="18E02262" w14:textId="49CBF614" w:rsidR="00442620" w:rsidRPr="00454AD2" w:rsidRDefault="00442620" w:rsidP="00442620">
      <w:pPr>
        <w:pStyle w:val="FootnoteText"/>
        <w:rPr>
          <w:rFonts w:ascii="Calibri" w:hAnsi="Calibri" w:cs="Calibri"/>
          <w:color w:val="000000" w:themeColor="text1"/>
          <w:sz w:val="22"/>
          <w:szCs w:val="22"/>
          <w:shd w:val="clear" w:color="auto" w:fill="FFFFFF"/>
        </w:rPr>
      </w:pPr>
      <w:r w:rsidRPr="00454AD2">
        <w:rPr>
          <w:rFonts w:ascii="Calibri" w:hAnsi="Calibri" w:cs="Calibri"/>
          <w:color w:val="000000" w:themeColor="text1"/>
          <w:sz w:val="22"/>
          <w:szCs w:val="22"/>
          <w:shd w:val="clear" w:color="auto" w:fill="FFFFFF"/>
        </w:rPr>
        <w:t>Bhattacharya S, ‘The World Health Organization and global smallpox eradication</w:t>
      </w:r>
      <w:r w:rsidR="00B56CEC">
        <w:rPr>
          <w:rFonts w:ascii="Calibri" w:hAnsi="Calibri" w:cs="Calibri"/>
          <w:color w:val="000000" w:themeColor="text1"/>
          <w:sz w:val="22"/>
          <w:szCs w:val="22"/>
          <w:shd w:val="clear" w:color="auto" w:fill="FFFFFF"/>
        </w:rPr>
        <w:t>’</w:t>
      </w:r>
      <w:r w:rsidRPr="00454AD2">
        <w:rPr>
          <w:rFonts w:ascii="Calibri" w:hAnsi="Calibri" w:cs="Calibri"/>
          <w:color w:val="000000" w:themeColor="text1"/>
          <w:sz w:val="22"/>
          <w:szCs w:val="22"/>
          <w:shd w:val="clear" w:color="auto" w:fill="FFFFFF"/>
        </w:rPr>
        <w:t xml:space="preserve">, </w:t>
      </w:r>
      <w:r w:rsidRPr="00454AD2">
        <w:rPr>
          <w:rFonts w:ascii="Calibri" w:hAnsi="Calibri" w:cs="Calibri"/>
          <w:i/>
          <w:iCs/>
          <w:color w:val="000000" w:themeColor="text1"/>
          <w:sz w:val="22"/>
          <w:szCs w:val="22"/>
          <w:shd w:val="clear" w:color="auto" w:fill="FFFFFF"/>
        </w:rPr>
        <w:t>Journal of Epidemiology &amp; Community Health</w:t>
      </w:r>
      <w:r w:rsidRPr="00454AD2">
        <w:rPr>
          <w:rFonts w:ascii="Calibri" w:hAnsi="Calibri" w:cs="Calibri"/>
          <w:color w:val="000000" w:themeColor="text1"/>
          <w:sz w:val="22"/>
          <w:szCs w:val="22"/>
          <w:shd w:val="clear" w:color="auto" w:fill="FFFFFF"/>
        </w:rPr>
        <w:t>, </w:t>
      </w:r>
      <w:r w:rsidRPr="00454AD2">
        <w:rPr>
          <w:rFonts w:ascii="Calibri" w:hAnsi="Calibri" w:cs="Calibri"/>
          <w:iCs/>
          <w:color w:val="000000" w:themeColor="text1"/>
          <w:sz w:val="22"/>
          <w:szCs w:val="22"/>
          <w:shd w:val="clear" w:color="auto" w:fill="FFFFFF"/>
        </w:rPr>
        <w:t>62</w:t>
      </w:r>
      <w:r w:rsidRPr="00454AD2">
        <w:rPr>
          <w:rFonts w:ascii="Calibri" w:hAnsi="Calibri" w:cs="Calibri"/>
          <w:color w:val="000000" w:themeColor="text1"/>
          <w:sz w:val="22"/>
          <w:szCs w:val="22"/>
          <w:shd w:val="clear" w:color="auto" w:fill="FFFFFF"/>
        </w:rPr>
        <w:t>:10 (2008), 909-912.</w:t>
      </w:r>
    </w:p>
    <w:p w14:paraId="6993C312" w14:textId="77777777" w:rsidR="00442620" w:rsidRPr="00454AD2" w:rsidRDefault="00442620" w:rsidP="00442620">
      <w:pPr>
        <w:pStyle w:val="FootnoteText"/>
        <w:rPr>
          <w:rFonts w:ascii="Calibri" w:hAnsi="Calibri" w:cs="Calibri"/>
          <w:color w:val="000000" w:themeColor="text1"/>
          <w:sz w:val="22"/>
          <w:szCs w:val="22"/>
          <w:shd w:val="clear" w:color="auto" w:fill="FFFFFF"/>
        </w:rPr>
      </w:pPr>
    </w:p>
    <w:p w14:paraId="64AF6F97" w14:textId="30AC2E90" w:rsidR="00442620" w:rsidRPr="00454AD2" w:rsidRDefault="00442620" w:rsidP="00442620">
      <w:pPr>
        <w:pStyle w:val="FootnoteText"/>
        <w:rPr>
          <w:rFonts w:ascii="Calibri" w:hAnsi="Calibri" w:cs="Calibri"/>
          <w:color w:val="000000" w:themeColor="text1"/>
          <w:sz w:val="22"/>
          <w:szCs w:val="22"/>
          <w:shd w:val="clear" w:color="auto" w:fill="FFFFFF"/>
        </w:rPr>
      </w:pPr>
      <w:r w:rsidRPr="00454AD2">
        <w:rPr>
          <w:rFonts w:ascii="Calibri" w:hAnsi="Calibri" w:cs="Calibri"/>
          <w:color w:val="000000" w:themeColor="text1"/>
          <w:sz w:val="22"/>
          <w:szCs w:val="22"/>
          <w:shd w:val="clear" w:color="auto" w:fill="FFFFFF"/>
        </w:rPr>
        <w:t>Bhattacharya S, ‘Uncertain advances: a review of the final phases of the smallpox eradication program in India, 1960–1980’, </w:t>
      </w:r>
      <w:r w:rsidRPr="00454AD2">
        <w:rPr>
          <w:rFonts w:ascii="Calibri" w:hAnsi="Calibri" w:cs="Calibri"/>
          <w:i/>
          <w:iCs/>
          <w:color w:val="000000" w:themeColor="text1"/>
          <w:sz w:val="22"/>
          <w:szCs w:val="22"/>
          <w:shd w:val="clear" w:color="auto" w:fill="FFFFFF"/>
        </w:rPr>
        <w:t>American Journal of Public Health</w:t>
      </w:r>
      <w:r w:rsidRPr="00454AD2">
        <w:rPr>
          <w:rFonts w:ascii="Calibri" w:hAnsi="Calibri" w:cs="Calibri"/>
          <w:color w:val="000000" w:themeColor="text1"/>
          <w:sz w:val="22"/>
          <w:szCs w:val="22"/>
          <w:shd w:val="clear" w:color="auto" w:fill="FFFFFF"/>
        </w:rPr>
        <w:t> </w:t>
      </w:r>
      <w:r w:rsidRPr="00454AD2">
        <w:rPr>
          <w:rFonts w:ascii="Calibri" w:hAnsi="Calibri" w:cs="Calibri"/>
          <w:iCs/>
          <w:color w:val="000000" w:themeColor="text1"/>
          <w:sz w:val="22"/>
          <w:szCs w:val="22"/>
          <w:shd w:val="clear" w:color="auto" w:fill="FFFFFF"/>
        </w:rPr>
        <w:t>94</w:t>
      </w:r>
      <w:r w:rsidRPr="00454AD2">
        <w:rPr>
          <w:rFonts w:ascii="Calibri" w:hAnsi="Calibri" w:cs="Calibri"/>
          <w:color w:val="000000" w:themeColor="text1"/>
          <w:sz w:val="22"/>
          <w:szCs w:val="22"/>
          <w:shd w:val="clear" w:color="auto" w:fill="FFFFFF"/>
        </w:rPr>
        <w:t>:11 (2004), 1875-1883.</w:t>
      </w:r>
    </w:p>
    <w:p w14:paraId="3958DCD5" w14:textId="77777777" w:rsidR="00442620" w:rsidRPr="00454AD2" w:rsidRDefault="00442620" w:rsidP="00442620">
      <w:pPr>
        <w:pStyle w:val="FootnoteText"/>
        <w:rPr>
          <w:rFonts w:ascii="Calibri" w:hAnsi="Calibri" w:cs="Calibri"/>
          <w:color w:val="000000" w:themeColor="text1"/>
          <w:sz w:val="22"/>
          <w:szCs w:val="22"/>
        </w:rPr>
      </w:pPr>
    </w:p>
    <w:p w14:paraId="211C9D37" w14:textId="6997018F"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Bill &amp; Melinda Gates Foundation, ‘Press room: Campaign to highlight success of U.S. global health investments’</w:t>
      </w:r>
      <w:r w:rsidR="0096478C">
        <w:rPr>
          <w:rFonts w:ascii="Calibri" w:hAnsi="Calibri" w:cs="Calibri"/>
          <w:color w:val="000000" w:themeColor="text1"/>
          <w:sz w:val="22"/>
          <w:szCs w:val="22"/>
        </w:rPr>
        <w:t xml:space="preserve">, </w:t>
      </w:r>
      <w:r w:rsidRPr="00454AD2">
        <w:rPr>
          <w:rFonts w:ascii="Calibri" w:hAnsi="Calibri" w:cs="Calibri"/>
          <w:color w:val="000000" w:themeColor="text1"/>
          <w:sz w:val="22"/>
          <w:szCs w:val="22"/>
        </w:rPr>
        <w:t>2009</w:t>
      </w:r>
      <w:r w:rsidR="0096478C">
        <w:rPr>
          <w:rFonts w:ascii="Calibri" w:hAnsi="Calibri" w:cs="Calibri"/>
          <w:color w:val="000000" w:themeColor="text1"/>
          <w:sz w:val="22"/>
          <w:szCs w:val="22"/>
        </w:rPr>
        <w:t xml:space="preserve"> (</w:t>
      </w:r>
      <w:r w:rsidRPr="00454AD2">
        <w:rPr>
          <w:rFonts w:ascii="Calibri" w:hAnsi="Calibri" w:cs="Calibri"/>
          <w:color w:val="000000" w:themeColor="text1"/>
          <w:sz w:val="22"/>
          <w:szCs w:val="22"/>
        </w:rPr>
        <w:t>online), &lt;</w:t>
      </w:r>
      <w:hyperlink r:id="rId120" w:history="1">
        <w:r w:rsidRPr="00CF189D">
          <w:rPr>
            <w:rStyle w:val="Hyperlink"/>
            <w:rFonts w:ascii="Calibri" w:hAnsi="Calibri" w:cs="Calibri"/>
            <w:color w:val="000000" w:themeColor="text1"/>
            <w:sz w:val="22"/>
            <w:szCs w:val="22"/>
            <w:u w:val="none"/>
          </w:rPr>
          <w:t>https://www.gatesfoundatio.org/media-center/press-releases/2009/09/campaign-to-highlight-success-of-US-global-health-investments</w:t>
        </w:r>
      </w:hyperlink>
      <w:r w:rsidRPr="009C05EE">
        <w:rPr>
          <w:rFonts w:ascii="Calibri" w:hAnsi="Calibri" w:cs="Calibri"/>
          <w:color w:val="000000" w:themeColor="text1"/>
          <w:sz w:val="22"/>
          <w:szCs w:val="22"/>
        </w:rPr>
        <w:t xml:space="preserve">&gt; </w:t>
      </w:r>
      <w:r w:rsidRPr="00454AD2">
        <w:rPr>
          <w:rFonts w:ascii="Calibri" w:hAnsi="Calibri" w:cs="Calibri"/>
          <w:color w:val="000000" w:themeColor="text1"/>
          <w:sz w:val="22"/>
          <w:szCs w:val="22"/>
        </w:rPr>
        <w:t xml:space="preserve">[accessed 18 June 2019]. </w:t>
      </w:r>
    </w:p>
    <w:p w14:paraId="61C8058B" w14:textId="77777777" w:rsidR="00442620" w:rsidRPr="00454AD2" w:rsidRDefault="00442620" w:rsidP="00442620">
      <w:pPr>
        <w:pStyle w:val="FootnoteText"/>
        <w:rPr>
          <w:rFonts w:ascii="Calibri" w:hAnsi="Calibri" w:cs="Calibri"/>
          <w:color w:val="000000" w:themeColor="text1"/>
          <w:sz w:val="22"/>
          <w:szCs w:val="22"/>
        </w:rPr>
      </w:pPr>
    </w:p>
    <w:p w14:paraId="51899909"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Bill &amp; Melinda Gates Foundation, </w:t>
      </w:r>
      <w:r w:rsidRPr="00454AD2">
        <w:rPr>
          <w:rFonts w:ascii="Calibri" w:hAnsi="Calibri" w:cs="Calibri"/>
          <w:i/>
          <w:color w:val="000000" w:themeColor="text1"/>
          <w:sz w:val="22"/>
          <w:szCs w:val="22"/>
        </w:rPr>
        <w:t xml:space="preserve">Goalkeepers: the stories behind the data </w:t>
      </w:r>
      <w:r w:rsidRPr="00454AD2">
        <w:rPr>
          <w:rFonts w:ascii="Calibri" w:hAnsi="Calibri" w:cs="Calibri"/>
          <w:color w:val="000000" w:themeColor="text1"/>
          <w:sz w:val="22"/>
          <w:szCs w:val="22"/>
        </w:rPr>
        <w:t>(Seattle: Gates Foundation, 2018).</w:t>
      </w:r>
    </w:p>
    <w:p w14:paraId="40795DD4" w14:textId="77777777" w:rsidR="00442620" w:rsidRPr="00454AD2" w:rsidRDefault="00442620" w:rsidP="00442620">
      <w:pPr>
        <w:pStyle w:val="FootnoteText"/>
        <w:rPr>
          <w:rFonts w:ascii="Calibri" w:hAnsi="Calibri" w:cs="Calibri"/>
          <w:color w:val="000000" w:themeColor="text1"/>
          <w:sz w:val="22"/>
          <w:szCs w:val="22"/>
          <w:lang w:eastAsia="en-GB"/>
        </w:rPr>
      </w:pPr>
    </w:p>
    <w:p w14:paraId="0B116D7A"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Birn AE, ‘Small(pox) success?’, </w:t>
      </w:r>
      <w:r w:rsidRPr="00454AD2">
        <w:rPr>
          <w:rFonts w:ascii="Calibri" w:hAnsi="Calibri" w:cs="Calibri"/>
          <w:i/>
          <w:color w:val="000000" w:themeColor="text1"/>
          <w:sz w:val="22"/>
          <w:szCs w:val="22"/>
        </w:rPr>
        <w:t xml:space="preserve">SciELO Public Health </w:t>
      </w:r>
      <w:r w:rsidRPr="00454AD2">
        <w:rPr>
          <w:rFonts w:ascii="Calibri" w:hAnsi="Calibri" w:cs="Calibri"/>
          <w:color w:val="000000" w:themeColor="text1"/>
          <w:sz w:val="22"/>
          <w:szCs w:val="22"/>
        </w:rPr>
        <w:t>(2011), 591-596.</w:t>
      </w:r>
    </w:p>
    <w:p w14:paraId="36A1A488" w14:textId="77777777" w:rsidR="00442620" w:rsidRPr="00454AD2" w:rsidRDefault="00442620" w:rsidP="00442620">
      <w:pPr>
        <w:pStyle w:val="FootnoteText"/>
        <w:rPr>
          <w:rFonts w:ascii="Calibri" w:hAnsi="Calibri" w:cs="Calibri"/>
          <w:color w:val="000000" w:themeColor="text1"/>
          <w:sz w:val="22"/>
          <w:szCs w:val="22"/>
        </w:rPr>
      </w:pPr>
    </w:p>
    <w:p w14:paraId="7231CC9F"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Birn AE, ‘The stages of international (global) health: histories of success or successes of history?’, </w:t>
      </w:r>
      <w:r w:rsidRPr="00454AD2">
        <w:rPr>
          <w:rFonts w:ascii="Calibri" w:hAnsi="Calibri" w:cs="Calibri"/>
          <w:i/>
          <w:color w:val="000000" w:themeColor="text1"/>
          <w:sz w:val="22"/>
          <w:szCs w:val="22"/>
        </w:rPr>
        <w:t xml:space="preserve">Global Public Health </w:t>
      </w:r>
      <w:r w:rsidRPr="00454AD2">
        <w:rPr>
          <w:rFonts w:ascii="Calibri" w:hAnsi="Calibri" w:cs="Calibri"/>
          <w:color w:val="000000" w:themeColor="text1"/>
          <w:sz w:val="22"/>
          <w:szCs w:val="22"/>
        </w:rPr>
        <w:t>4:1 (2009), 50-68.</w:t>
      </w:r>
    </w:p>
    <w:p w14:paraId="7B83DA15" w14:textId="77777777" w:rsidR="00442620" w:rsidRPr="00454AD2" w:rsidRDefault="00442620" w:rsidP="00442620">
      <w:pPr>
        <w:pStyle w:val="FootnoteText"/>
        <w:rPr>
          <w:rFonts w:ascii="Calibri" w:hAnsi="Calibri" w:cs="Calibri"/>
          <w:color w:val="000000" w:themeColor="text1"/>
          <w:sz w:val="22"/>
          <w:szCs w:val="22"/>
        </w:rPr>
      </w:pPr>
    </w:p>
    <w:p w14:paraId="0C524E3E"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shd w:val="clear" w:color="auto" w:fill="FFFFFF"/>
        </w:rPr>
        <w:t xml:space="preserve">Blinkhorn TA, </w:t>
      </w:r>
      <w:r w:rsidRPr="00454AD2">
        <w:rPr>
          <w:rFonts w:ascii="Calibri" w:hAnsi="Calibri" w:cs="Calibri"/>
          <w:i/>
          <w:color w:val="000000" w:themeColor="text1"/>
          <w:sz w:val="22"/>
          <w:szCs w:val="22"/>
          <w:shd w:val="clear" w:color="auto" w:fill="FFFFFF"/>
        </w:rPr>
        <w:t xml:space="preserve">Rivers of disease </w:t>
      </w:r>
      <w:r w:rsidRPr="00454AD2">
        <w:rPr>
          <w:rFonts w:ascii="Calibri" w:hAnsi="Calibri" w:cs="Calibri"/>
          <w:color w:val="000000" w:themeColor="text1"/>
          <w:sz w:val="22"/>
          <w:szCs w:val="22"/>
          <w:shd w:val="clear" w:color="auto" w:fill="FFFFFF"/>
        </w:rPr>
        <w:t>(</w:t>
      </w:r>
      <w:r w:rsidRPr="00454AD2">
        <w:rPr>
          <w:rFonts w:ascii="Calibri" w:hAnsi="Calibri" w:cs="Calibri"/>
          <w:color w:val="000000" w:themeColor="text1"/>
          <w:sz w:val="22"/>
          <w:szCs w:val="22"/>
        </w:rPr>
        <w:t>Washington DC: World Bank</w:t>
      </w:r>
      <w:r w:rsidRPr="00454AD2">
        <w:rPr>
          <w:rFonts w:ascii="Calibri" w:hAnsi="Calibri" w:cs="Calibri"/>
          <w:color w:val="000000" w:themeColor="text1"/>
          <w:sz w:val="22"/>
          <w:szCs w:val="22"/>
          <w:shd w:val="clear" w:color="auto" w:fill="FFFFFF"/>
        </w:rPr>
        <w:t>, 1982)</w:t>
      </w:r>
      <w:r w:rsidRPr="00454AD2">
        <w:rPr>
          <w:rFonts w:ascii="Calibri" w:hAnsi="Calibri" w:cs="Calibri"/>
          <w:color w:val="000000" w:themeColor="text1"/>
          <w:sz w:val="22"/>
          <w:szCs w:val="22"/>
        </w:rPr>
        <w:t>.</w:t>
      </w:r>
    </w:p>
    <w:p w14:paraId="4C9068AE" w14:textId="77777777" w:rsidR="00442620" w:rsidRPr="00454AD2" w:rsidRDefault="00442620" w:rsidP="00442620">
      <w:pPr>
        <w:pStyle w:val="FootnoteText"/>
        <w:rPr>
          <w:rFonts w:ascii="Calibri" w:hAnsi="Calibri" w:cs="Calibri"/>
          <w:color w:val="000000" w:themeColor="text1"/>
          <w:sz w:val="22"/>
          <w:szCs w:val="22"/>
        </w:rPr>
      </w:pPr>
    </w:p>
    <w:p w14:paraId="5B0CB1FA" w14:textId="6123B39F"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Bloom DE and Canning D, ‘Population health and economic growth’, in M Spence and M Lewis (Eds</w:t>
      </w:r>
      <w:r w:rsidR="0096478C">
        <w:rPr>
          <w:rFonts w:ascii="Calibri" w:hAnsi="Calibri" w:cs="Calibri"/>
          <w:color w:val="000000" w:themeColor="text1"/>
          <w:sz w:val="22"/>
          <w:szCs w:val="22"/>
        </w:rPr>
        <w:t>.</w:t>
      </w:r>
      <w:r w:rsidRPr="00454AD2">
        <w:rPr>
          <w:rFonts w:ascii="Calibri" w:hAnsi="Calibri" w:cs="Calibri"/>
          <w:color w:val="000000" w:themeColor="text1"/>
          <w:sz w:val="22"/>
          <w:szCs w:val="22"/>
        </w:rPr>
        <w:t xml:space="preserve">), </w:t>
      </w:r>
      <w:r w:rsidRPr="00454AD2">
        <w:rPr>
          <w:rFonts w:ascii="Calibri" w:hAnsi="Calibri" w:cs="Calibri"/>
          <w:i/>
          <w:color w:val="000000" w:themeColor="text1"/>
          <w:sz w:val="22"/>
          <w:szCs w:val="22"/>
        </w:rPr>
        <w:t xml:space="preserve">Health and growth </w:t>
      </w:r>
      <w:r w:rsidRPr="00454AD2">
        <w:rPr>
          <w:rFonts w:ascii="Calibri" w:hAnsi="Calibri" w:cs="Calibri"/>
          <w:color w:val="000000" w:themeColor="text1"/>
          <w:sz w:val="22"/>
          <w:szCs w:val="22"/>
        </w:rPr>
        <w:t>(Washington DC: World Bank, 2009), 53-75.</w:t>
      </w:r>
    </w:p>
    <w:p w14:paraId="1114AAB3" w14:textId="77777777" w:rsidR="00442620" w:rsidRPr="00454AD2" w:rsidRDefault="00442620" w:rsidP="00442620">
      <w:pPr>
        <w:pStyle w:val="FootnoteText"/>
        <w:rPr>
          <w:rFonts w:ascii="Calibri" w:hAnsi="Calibri" w:cs="Calibri"/>
          <w:color w:val="000000" w:themeColor="text1"/>
          <w:sz w:val="22"/>
          <w:szCs w:val="22"/>
        </w:rPr>
      </w:pPr>
    </w:p>
    <w:p w14:paraId="60E55790"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Boatin BA and Amazigo U, ‘Onchocerciasis’, in </w:t>
      </w:r>
      <w:r w:rsidRPr="00454AD2">
        <w:rPr>
          <w:rFonts w:ascii="Calibri" w:hAnsi="Calibri" w:cs="Calibri"/>
          <w:i/>
          <w:color w:val="000000" w:themeColor="text1"/>
          <w:sz w:val="22"/>
          <w:szCs w:val="22"/>
        </w:rPr>
        <w:t xml:space="preserve">Neglected tropical diseases in Sub-Saharan Africa </w:t>
      </w:r>
      <w:r w:rsidRPr="00454AD2">
        <w:rPr>
          <w:rFonts w:ascii="Calibri" w:hAnsi="Calibri" w:cs="Calibri"/>
          <w:color w:val="000000" w:themeColor="text1"/>
          <w:sz w:val="22"/>
          <w:szCs w:val="22"/>
        </w:rPr>
        <w:t xml:space="preserve">(New York: Springer, 2016), 187-230. </w:t>
      </w:r>
    </w:p>
    <w:p w14:paraId="595D148A" w14:textId="77777777" w:rsidR="00442620" w:rsidRPr="00454AD2" w:rsidRDefault="00442620" w:rsidP="00442620">
      <w:pPr>
        <w:pStyle w:val="FootnoteText"/>
        <w:rPr>
          <w:rFonts w:ascii="Calibri" w:hAnsi="Calibri" w:cs="Calibri"/>
          <w:color w:val="000000" w:themeColor="text1"/>
          <w:sz w:val="22"/>
          <w:szCs w:val="22"/>
        </w:rPr>
      </w:pPr>
    </w:p>
    <w:p w14:paraId="62E9DB2E" w14:textId="1EDEAF75" w:rsidR="00442620"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Brady </w:t>
      </w:r>
      <w:r w:rsidR="00431C43">
        <w:rPr>
          <w:rFonts w:ascii="Calibri" w:hAnsi="Calibri" w:cs="Calibri"/>
          <w:color w:val="000000" w:themeColor="text1"/>
          <w:sz w:val="22"/>
          <w:szCs w:val="22"/>
        </w:rPr>
        <w:t>MA, Hooper PJ and Ottensen EA</w:t>
      </w:r>
      <w:r w:rsidRPr="00454AD2">
        <w:rPr>
          <w:rFonts w:ascii="Calibri" w:hAnsi="Calibri" w:cs="Calibri"/>
          <w:color w:val="000000" w:themeColor="text1"/>
          <w:sz w:val="22"/>
          <w:szCs w:val="22"/>
        </w:rPr>
        <w:t xml:space="preserve">, ‘Projected benefits from integrating NTD programs in </w:t>
      </w:r>
      <w:r w:rsidR="00A2292A">
        <w:rPr>
          <w:rFonts w:ascii="Calibri" w:hAnsi="Calibri" w:cs="Calibri"/>
          <w:color w:val="000000" w:themeColor="text1"/>
          <w:sz w:val="22"/>
          <w:szCs w:val="22"/>
        </w:rPr>
        <w:t>S</w:t>
      </w:r>
      <w:r w:rsidRPr="00454AD2">
        <w:rPr>
          <w:rFonts w:ascii="Calibri" w:hAnsi="Calibri" w:cs="Calibri"/>
          <w:color w:val="000000" w:themeColor="text1"/>
          <w:sz w:val="22"/>
          <w:szCs w:val="22"/>
        </w:rPr>
        <w:t xml:space="preserve">ub-Saharan Africa’, </w:t>
      </w:r>
      <w:r w:rsidRPr="00454AD2">
        <w:rPr>
          <w:rFonts w:ascii="Calibri" w:hAnsi="Calibri" w:cs="Calibri"/>
          <w:i/>
          <w:color w:val="000000" w:themeColor="text1"/>
          <w:sz w:val="22"/>
          <w:szCs w:val="22"/>
        </w:rPr>
        <w:t xml:space="preserve">Trends in Parasitology </w:t>
      </w:r>
      <w:r w:rsidRPr="00454AD2">
        <w:rPr>
          <w:rFonts w:ascii="Calibri" w:hAnsi="Calibri" w:cs="Calibri"/>
          <w:color w:val="000000" w:themeColor="text1"/>
          <w:sz w:val="22"/>
          <w:szCs w:val="22"/>
        </w:rPr>
        <w:t>22:7 (2006), 285-291.</w:t>
      </w:r>
    </w:p>
    <w:p w14:paraId="69433C8A" w14:textId="53766641" w:rsidR="00952408" w:rsidRDefault="00952408" w:rsidP="00442620">
      <w:pPr>
        <w:pStyle w:val="FootnoteText"/>
        <w:rPr>
          <w:rFonts w:ascii="Calibri" w:hAnsi="Calibri" w:cs="Calibri"/>
          <w:color w:val="000000" w:themeColor="text1"/>
          <w:sz w:val="22"/>
          <w:szCs w:val="22"/>
        </w:rPr>
      </w:pPr>
    </w:p>
    <w:p w14:paraId="700ED8F0" w14:textId="70582A19" w:rsidR="00952408" w:rsidRPr="00CF189D" w:rsidRDefault="00952408" w:rsidP="00952408">
      <w:pPr>
        <w:rPr>
          <w:rFonts w:ascii="Calibri" w:hAnsi="Calibri" w:cs="Calibri"/>
          <w:sz w:val="22"/>
          <w:szCs w:val="22"/>
        </w:rPr>
      </w:pPr>
      <w:r w:rsidRPr="00CF189D">
        <w:rPr>
          <w:rFonts w:ascii="Calibri" w:hAnsi="Calibri" w:cs="Calibri"/>
          <w:sz w:val="22"/>
          <w:szCs w:val="22"/>
        </w:rPr>
        <w:t xml:space="preserve">Breman A and Shelton C, ‘Structural adjustment and health: a literature review of the debate, its role-players and presented empirical evidence’, </w:t>
      </w:r>
      <w:r w:rsidRPr="00CF189D">
        <w:rPr>
          <w:rFonts w:ascii="Calibri" w:hAnsi="Calibri" w:cs="Calibri"/>
          <w:i/>
          <w:iCs/>
          <w:sz w:val="22"/>
          <w:szCs w:val="22"/>
        </w:rPr>
        <w:t xml:space="preserve">CMH Working Paper Series, No. WG6:6 </w:t>
      </w:r>
      <w:r w:rsidRPr="00CF189D">
        <w:rPr>
          <w:rFonts w:ascii="Calibri" w:hAnsi="Calibri" w:cs="Calibri"/>
          <w:sz w:val="22"/>
          <w:szCs w:val="22"/>
        </w:rPr>
        <w:t>(Geneva: Commission on Macroeconomics and Health, 2001).</w:t>
      </w:r>
    </w:p>
    <w:p w14:paraId="003DA994" w14:textId="77777777" w:rsidR="00952408" w:rsidRPr="00454AD2" w:rsidRDefault="00952408" w:rsidP="00442620">
      <w:pPr>
        <w:pStyle w:val="FootnoteText"/>
        <w:rPr>
          <w:rFonts w:ascii="Calibri" w:hAnsi="Calibri" w:cs="Calibri"/>
          <w:color w:val="000000" w:themeColor="text1"/>
          <w:sz w:val="22"/>
          <w:szCs w:val="22"/>
        </w:rPr>
      </w:pPr>
    </w:p>
    <w:p w14:paraId="408A66E0" w14:textId="77777777" w:rsidR="00442620" w:rsidRPr="00454AD2" w:rsidRDefault="00442620" w:rsidP="00442620">
      <w:pPr>
        <w:pStyle w:val="FootnoteText"/>
        <w:rPr>
          <w:rFonts w:ascii="Calibri" w:hAnsi="Calibri" w:cs="Calibri"/>
          <w:color w:val="000000" w:themeColor="text1"/>
          <w:sz w:val="22"/>
          <w:szCs w:val="22"/>
        </w:rPr>
      </w:pPr>
    </w:p>
    <w:p w14:paraId="1899802F"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lastRenderedPageBreak/>
        <w:t xml:space="preserve">Brennan K, ‘Review of </w:t>
      </w:r>
      <w:r w:rsidRPr="00454AD2">
        <w:rPr>
          <w:rFonts w:ascii="Calibri" w:hAnsi="Calibri" w:cs="Calibri"/>
          <w:i/>
          <w:color w:val="000000" w:themeColor="text1"/>
          <w:sz w:val="22"/>
          <w:szCs w:val="22"/>
        </w:rPr>
        <w:t xml:space="preserve">The World Bank and HIV/AIDS: setting a global agenda </w:t>
      </w:r>
      <w:r w:rsidRPr="00454AD2">
        <w:rPr>
          <w:rFonts w:ascii="Calibri" w:hAnsi="Calibri" w:cs="Calibri"/>
          <w:color w:val="000000" w:themeColor="text1"/>
          <w:sz w:val="22"/>
          <w:szCs w:val="22"/>
        </w:rPr>
        <w:t xml:space="preserve">by Sophie Harman’, </w:t>
      </w:r>
      <w:r w:rsidRPr="00454AD2">
        <w:rPr>
          <w:rFonts w:ascii="Calibri" w:hAnsi="Calibri" w:cs="Calibri"/>
          <w:i/>
          <w:color w:val="000000" w:themeColor="text1"/>
          <w:sz w:val="22"/>
          <w:szCs w:val="22"/>
        </w:rPr>
        <w:t xml:space="preserve">Journal of Modern African Studies </w:t>
      </w:r>
      <w:r w:rsidRPr="00454AD2">
        <w:rPr>
          <w:rFonts w:ascii="Calibri" w:hAnsi="Calibri" w:cs="Calibri"/>
          <w:color w:val="000000" w:themeColor="text1"/>
          <w:sz w:val="22"/>
          <w:szCs w:val="22"/>
        </w:rPr>
        <w:t>49:2 (2011), 340-341.</w:t>
      </w:r>
    </w:p>
    <w:p w14:paraId="53D758A0" w14:textId="0B5286D8" w:rsidR="00442620" w:rsidRDefault="00442620" w:rsidP="00442620">
      <w:pPr>
        <w:pStyle w:val="FootnoteText"/>
        <w:rPr>
          <w:rFonts w:ascii="Calibri" w:hAnsi="Calibri" w:cs="Calibri"/>
          <w:color w:val="000000" w:themeColor="text1"/>
          <w:sz w:val="22"/>
          <w:szCs w:val="22"/>
        </w:rPr>
      </w:pPr>
    </w:p>
    <w:p w14:paraId="760BE15E" w14:textId="77777777" w:rsidR="00952408" w:rsidRPr="00CF189D" w:rsidRDefault="00952408" w:rsidP="00952408">
      <w:pPr>
        <w:rPr>
          <w:rFonts w:ascii="Calibri" w:hAnsi="Calibri" w:cs="Calibri"/>
          <w:sz w:val="22"/>
          <w:szCs w:val="22"/>
        </w:rPr>
      </w:pPr>
      <w:r w:rsidRPr="00CF189D">
        <w:rPr>
          <w:rFonts w:ascii="Calibri" w:hAnsi="Calibri" w:cs="Calibri"/>
          <w:color w:val="000000" w:themeColor="text1"/>
          <w:sz w:val="22"/>
          <w:szCs w:val="22"/>
        </w:rPr>
        <w:t>Bretton Woods Project, ‘IMF and World Bank decision-making and governance’ (online), 31 March 2016, &lt;</w:t>
      </w:r>
      <w:r w:rsidRPr="00CF189D">
        <w:rPr>
          <w:rFonts w:ascii="Calibri" w:hAnsi="Calibri" w:cs="Calibri"/>
          <w:sz w:val="22"/>
          <w:szCs w:val="22"/>
        </w:rPr>
        <w:t>https://www.brettonwoodsproject.org/2016/03/imf-world-bank-decision-making-and-governance-existing-structures-and-reform-processes/&gt; [accessed 20 September 2016].</w:t>
      </w:r>
    </w:p>
    <w:p w14:paraId="780BC184" w14:textId="77777777" w:rsidR="00952408" w:rsidRPr="00454AD2" w:rsidRDefault="00952408" w:rsidP="00442620">
      <w:pPr>
        <w:pStyle w:val="FootnoteText"/>
        <w:rPr>
          <w:rFonts w:ascii="Calibri" w:hAnsi="Calibri" w:cs="Calibri"/>
          <w:color w:val="000000" w:themeColor="text1"/>
          <w:sz w:val="22"/>
          <w:szCs w:val="22"/>
        </w:rPr>
      </w:pPr>
    </w:p>
    <w:p w14:paraId="076FCBE5"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Brooke J, ‘Ancient scourge loses ground in West Africa’, </w:t>
      </w:r>
      <w:r w:rsidRPr="00454AD2">
        <w:rPr>
          <w:rFonts w:ascii="Calibri" w:hAnsi="Calibri" w:cs="Calibri"/>
          <w:i/>
          <w:color w:val="000000" w:themeColor="text1"/>
          <w:sz w:val="22"/>
          <w:szCs w:val="22"/>
        </w:rPr>
        <w:t xml:space="preserve">Special to the New York Times </w:t>
      </w:r>
      <w:r w:rsidRPr="00454AD2">
        <w:rPr>
          <w:rFonts w:ascii="Calibri" w:hAnsi="Calibri" w:cs="Calibri"/>
          <w:color w:val="000000" w:themeColor="text1"/>
          <w:sz w:val="22"/>
          <w:szCs w:val="22"/>
        </w:rPr>
        <w:t>(3 September 1987).</w:t>
      </w:r>
    </w:p>
    <w:p w14:paraId="66EDB488" w14:textId="77777777" w:rsidR="00442620" w:rsidRPr="00CF189D" w:rsidRDefault="00442620" w:rsidP="00DD4818">
      <w:pPr>
        <w:pStyle w:val="Footnotes"/>
        <w:rPr>
          <w:rFonts w:ascii="Calibri" w:hAnsi="Calibri" w:cs="Calibri"/>
          <w:sz w:val="22"/>
          <w:szCs w:val="22"/>
        </w:rPr>
      </w:pPr>
    </w:p>
    <w:p w14:paraId="4833A2EB" w14:textId="47CEA5C5"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t xml:space="preserve">Brown </w:t>
      </w:r>
      <w:r w:rsidR="00B56CEC" w:rsidRPr="00CF189D">
        <w:rPr>
          <w:rFonts w:ascii="Calibri" w:hAnsi="Calibri" w:cs="Calibri"/>
          <w:sz w:val="22"/>
          <w:szCs w:val="22"/>
        </w:rPr>
        <w:t>TM, Cueto M and Fe</w:t>
      </w:r>
      <w:r w:rsidR="002849CC" w:rsidRPr="00CF189D">
        <w:rPr>
          <w:rFonts w:ascii="Calibri" w:hAnsi="Calibri" w:cs="Calibri"/>
          <w:sz w:val="22"/>
          <w:szCs w:val="22"/>
        </w:rPr>
        <w:t>e</w:t>
      </w:r>
      <w:r w:rsidR="00B56CEC" w:rsidRPr="00CF189D">
        <w:rPr>
          <w:rFonts w:ascii="Calibri" w:hAnsi="Calibri" w:cs="Calibri"/>
          <w:sz w:val="22"/>
          <w:szCs w:val="22"/>
        </w:rPr>
        <w:t xml:space="preserve"> </w:t>
      </w:r>
      <w:r w:rsidR="002849CC" w:rsidRPr="00CF189D">
        <w:rPr>
          <w:rFonts w:ascii="Calibri" w:hAnsi="Calibri" w:cs="Calibri"/>
          <w:sz w:val="22"/>
          <w:szCs w:val="22"/>
        </w:rPr>
        <w:t>E</w:t>
      </w:r>
      <w:r w:rsidRPr="00CF189D">
        <w:rPr>
          <w:rFonts w:ascii="Calibri" w:hAnsi="Calibri" w:cs="Calibri"/>
          <w:sz w:val="22"/>
          <w:szCs w:val="22"/>
        </w:rPr>
        <w:t xml:space="preserve">, ‘The World Health Organization and the transition From “international” to “global” public health’, </w:t>
      </w:r>
      <w:r w:rsidRPr="00CF189D">
        <w:rPr>
          <w:rFonts w:ascii="Calibri" w:hAnsi="Calibri" w:cs="Calibri"/>
          <w:i/>
          <w:sz w:val="22"/>
          <w:szCs w:val="22"/>
        </w:rPr>
        <w:t>American Journal of Public Health</w:t>
      </w:r>
      <w:r w:rsidRPr="00CF189D">
        <w:rPr>
          <w:rFonts w:ascii="Calibri" w:hAnsi="Calibri" w:cs="Calibri"/>
          <w:sz w:val="22"/>
          <w:szCs w:val="22"/>
        </w:rPr>
        <w:t xml:space="preserve"> 96:1 (2006), 62-72.</w:t>
      </w:r>
    </w:p>
    <w:p w14:paraId="7FFDDF38" w14:textId="77777777" w:rsidR="00442620" w:rsidRPr="00952408" w:rsidRDefault="00442620" w:rsidP="00442620">
      <w:pPr>
        <w:pStyle w:val="FootnoteText"/>
        <w:rPr>
          <w:rFonts w:ascii="Calibri" w:hAnsi="Calibri" w:cs="Calibri"/>
          <w:color w:val="000000" w:themeColor="text1"/>
          <w:sz w:val="22"/>
          <w:szCs w:val="22"/>
        </w:rPr>
      </w:pPr>
    </w:p>
    <w:p w14:paraId="49695CFB" w14:textId="77777777" w:rsidR="00442620" w:rsidRPr="00B040F0" w:rsidRDefault="00442620" w:rsidP="00442620">
      <w:pPr>
        <w:pStyle w:val="FootnoteText"/>
        <w:rPr>
          <w:rFonts w:ascii="Calibri" w:hAnsi="Calibri" w:cs="Calibri"/>
          <w:i/>
          <w:color w:val="000000" w:themeColor="text1"/>
          <w:sz w:val="22"/>
          <w:szCs w:val="22"/>
        </w:rPr>
      </w:pPr>
      <w:r w:rsidRPr="00952408">
        <w:rPr>
          <w:rFonts w:ascii="Calibri" w:hAnsi="Calibri" w:cs="Calibri"/>
          <w:color w:val="000000" w:themeColor="text1"/>
          <w:sz w:val="22"/>
          <w:szCs w:val="22"/>
        </w:rPr>
        <w:t xml:space="preserve">Bryant JH and Richmond JB, ‘Alma-Ata and primary health care: an </w:t>
      </w:r>
      <w:r w:rsidRPr="007569A0">
        <w:rPr>
          <w:rFonts w:ascii="Calibri" w:hAnsi="Calibri" w:cs="Calibri"/>
          <w:color w:val="000000" w:themeColor="text1"/>
          <w:sz w:val="22"/>
          <w:szCs w:val="22"/>
        </w:rPr>
        <w:t>evolving story’ (2008), 152-174.</w:t>
      </w:r>
    </w:p>
    <w:p w14:paraId="6A20E9EA" w14:textId="77777777" w:rsidR="00442620" w:rsidRPr="00454AD2" w:rsidRDefault="00442620" w:rsidP="00442620">
      <w:pPr>
        <w:pStyle w:val="FootnoteText"/>
        <w:rPr>
          <w:rFonts w:ascii="Calibri" w:hAnsi="Calibri" w:cs="Calibri"/>
          <w:color w:val="000000" w:themeColor="text1"/>
          <w:sz w:val="22"/>
          <w:szCs w:val="22"/>
        </w:rPr>
      </w:pPr>
    </w:p>
    <w:p w14:paraId="0BBAA2F5"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Budden FH, ‘A standard of blindness for primitive people’, </w:t>
      </w:r>
      <w:r w:rsidRPr="00454AD2">
        <w:rPr>
          <w:rFonts w:ascii="Calibri" w:hAnsi="Calibri" w:cs="Calibri"/>
          <w:i/>
          <w:color w:val="000000" w:themeColor="text1"/>
          <w:sz w:val="22"/>
          <w:szCs w:val="22"/>
        </w:rPr>
        <w:t xml:space="preserve">Transactions of the Royal Society for Tropical Medicine and Hygiene </w:t>
      </w:r>
      <w:r w:rsidRPr="00454AD2">
        <w:rPr>
          <w:rFonts w:ascii="Calibri" w:hAnsi="Calibri" w:cs="Calibri"/>
          <w:color w:val="000000" w:themeColor="text1"/>
          <w:sz w:val="22"/>
          <w:szCs w:val="22"/>
        </w:rPr>
        <w:t xml:space="preserve">50:3 (1956), 243-245. </w:t>
      </w:r>
    </w:p>
    <w:p w14:paraId="120A4887" w14:textId="77777777" w:rsidR="00442620" w:rsidRPr="00454AD2" w:rsidRDefault="00442620" w:rsidP="00442620">
      <w:pPr>
        <w:pStyle w:val="FootnoteText"/>
        <w:rPr>
          <w:rFonts w:ascii="Calibri" w:hAnsi="Calibri" w:cs="Calibri"/>
          <w:color w:val="000000" w:themeColor="text1"/>
          <w:sz w:val="22"/>
          <w:szCs w:val="22"/>
        </w:rPr>
      </w:pPr>
    </w:p>
    <w:p w14:paraId="2F8D2D60" w14:textId="1BA1F193"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Bump </w:t>
      </w:r>
      <w:r w:rsidR="00574127">
        <w:rPr>
          <w:rFonts w:ascii="Calibri" w:hAnsi="Calibri" w:cs="Calibri"/>
          <w:color w:val="000000" w:themeColor="text1"/>
          <w:sz w:val="22"/>
          <w:szCs w:val="22"/>
        </w:rPr>
        <w:t>JB, Benton B, Sékétéli A, Liese BH and Novinsky C</w:t>
      </w:r>
      <w:r w:rsidRPr="00454AD2">
        <w:rPr>
          <w:rFonts w:ascii="Calibri" w:hAnsi="Calibri" w:cs="Calibri"/>
          <w:color w:val="000000" w:themeColor="text1"/>
          <w:sz w:val="22"/>
          <w:szCs w:val="22"/>
        </w:rPr>
        <w:t xml:space="preserve">, ‘Defeating riverblindness: </w:t>
      </w:r>
      <w:r w:rsidR="00574127">
        <w:rPr>
          <w:rFonts w:ascii="Calibri" w:hAnsi="Calibri" w:cs="Calibri"/>
          <w:color w:val="000000" w:themeColor="text1"/>
          <w:sz w:val="22"/>
          <w:szCs w:val="22"/>
        </w:rPr>
        <w:t>t</w:t>
      </w:r>
      <w:r w:rsidRPr="00454AD2">
        <w:rPr>
          <w:rFonts w:ascii="Calibri" w:hAnsi="Calibri" w:cs="Calibri"/>
          <w:color w:val="000000" w:themeColor="text1"/>
          <w:sz w:val="22"/>
          <w:szCs w:val="22"/>
        </w:rPr>
        <w:t>hirty years of success in Africa’, in</w:t>
      </w:r>
      <w:r w:rsidR="00574127">
        <w:rPr>
          <w:rFonts w:ascii="Calibri" w:hAnsi="Calibri" w:cs="Calibri"/>
          <w:color w:val="000000" w:themeColor="text1"/>
          <w:sz w:val="22"/>
          <w:szCs w:val="22"/>
        </w:rPr>
        <w:t xml:space="preserve"> </w:t>
      </w:r>
      <w:r w:rsidR="002849CC">
        <w:rPr>
          <w:rFonts w:ascii="Calibri" w:hAnsi="Calibri" w:cs="Calibri"/>
          <w:color w:val="000000" w:themeColor="text1"/>
          <w:sz w:val="22"/>
          <w:szCs w:val="22"/>
        </w:rPr>
        <w:t xml:space="preserve">ML </w:t>
      </w:r>
      <w:r w:rsidR="00574127">
        <w:rPr>
          <w:rFonts w:ascii="Calibri" w:hAnsi="Calibri" w:cs="Calibri"/>
          <w:color w:val="000000" w:themeColor="text1"/>
          <w:sz w:val="22"/>
          <w:szCs w:val="22"/>
        </w:rPr>
        <w:t xml:space="preserve">Fox and </w:t>
      </w:r>
      <w:r w:rsidR="002849CC">
        <w:rPr>
          <w:rFonts w:ascii="Calibri" w:hAnsi="Calibri" w:cs="Calibri"/>
          <w:color w:val="000000" w:themeColor="text1"/>
          <w:sz w:val="22"/>
          <w:szCs w:val="22"/>
        </w:rPr>
        <w:t xml:space="preserve">R </w:t>
      </w:r>
      <w:r w:rsidR="00574127">
        <w:rPr>
          <w:rFonts w:ascii="Calibri" w:hAnsi="Calibri" w:cs="Calibri"/>
          <w:color w:val="000000" w:themeColor="text1"/>
          <w:sz w:val="22"/>
          <w:szCs w:val="22"/>
        </w:rPr>
        <w:t>Liebenthal (Eds.),</w:t>
      </w:r>
      <w:r w:rsidRPr="00454AD2">
        <w:rPr>
          <w:rFonts w:ascii="Calibri" w:hAnsi="Calibri" w:cs="Calibri"/>
          <w:color w:val="000000" w:themeColor="text1"/>
          <w:sz w:val="22"/>
          <w:szCs w:val="22"/>
        </w:rPr>
        <w:t xml:space="preserve"> </w:t>
      </w:r>
      <w:r w:rsidRPr="00454AD2">
        <w:rPr>
          <w:rFonts w:ascii="Calibri" w:hAnsi="Calibri" w:cs="Calibri"/>
          <w:i/>
          <w:color w:val="000000" w:themeColor="text1"/>
          <w:sz w:val="22"/>
          <w:szCs w:val="22"/>
        </w:rPr>
        <w:t>Attacking Africa’s poverty: experience from the ground</w:t>
      </w:r>
      <w:r w:rsidR="00574127">
        <w:rPr>
          <w:rFonts w:ascii="Calibri" w:hAnsi="Calibri" w:cs="Calibri"/>
          <w:color w:val="000000" w:themeColor="text1"/>
          <w:sz w:val="22"/>
          <w:szCs w:val="22"/>
        </w:rPr>
        <w:t xml:space="preserve"> </w:t>
      </w:r>
      <w:r w:rsidRPr="00454AD2">
        <w:rPr>
          <w:rFonts w:ascii="Calibri" w:hAnsi="Calibri" w:cs="Calibri"/>
          <w:color w:val="000000" w:themeColor="text1"/>
          <w:sz w:val="22"/>
          <w:szCs w:val="22"/>
        </w:rPr>
        <w:t xml:space="preserve">(Washington DC: World Bank, 2006), 285-318. </w:t>
      </w:r>
    </w:p>
    <w:p w14:paraId="5612768B" w14:textId="77777777" w:rsidR="00442620" w:rsidRPr="00454AD2" w:rsidRDefault="00442620" w:rsidP="00442620">
      <w:pPr>
        <w:pStyle w:val="FootnoteText"/>
        <w:rPr>
          <w:rFonts w:ascii="Calibri" w:hAnsi="Calibri" w:cs="Calibri"/>
          <w:color w:val="000000" w:themeColor="text1"/>
          <w:sz w:val="22"/>
          <w:szCs w:val="22"/>
        </w:rPr>
      </w:pPr>
    </w:p>
    <w:p w14:paraId="6793C5A6" w14:textId="6AD1B751" w:rsidR="00574127" w:rsidRPr="008D6B84" w:rsidRDefault="00442620" w:rsidP="00442620">
      <w:pPr>
        <w:pStyle w:val="FootnoteText"/>
        <w:rPr>
          <w:rFonts w:ascii="Calibri" w:hAnsi="Calibri" w:cs="Calibri"/>
          <w:color w:val="000000" w:themeColor="text1"/>
          <w:sz w:val="22"/>
          <w:szCs w:val="22"/>
        </w:rPr>
      </w:pPr>
      <w:r w:rsidRPr="008D6B84">
        <w:rPr>
          <w:rFonts w:ascii="Calibri" w:hAnsi="Calibri" w:cs="Calibri"/>
          <w:color w:val="000000" w:themeColor="text1"/>
          <w:sz w:val="22"/>
          <w:szCs w:val="22"/>
        </w:rPr>
        <w:t xml:space="preserve">Bump </w:t>
      </w:r>
      <w:r w:rsidR="00574127" w:rsidRPr="008D6B84">
        <w:rPr>
          <w:rFonts w:ascii="Calibri" w:hAnsi="Calibri" w:cs="Calibri"/>
          <w:color w:val="000000" w:themeColor="text1"/>
          <w:sz w:val="22"/>
          <w:szCs w:val="22"/>
        </w:rPr>
        <w:t>JB, Benton B, Sékétéli A and Liese BH</w:t>
      </w:r>
      <w:r w:rsidRPr="008D6B84">
        <w:rPr>
          <w:rFonts w:ascii="Calibri" w:hAnsi="Calibri" w:cs="Calibri"/>
          <w:color w:val="000000" w:themeColor="text1"/>
          <w:sz w:val="22"/>
          <w:szCs w:val="22"/>
        </w:rPr>
        <w:t xml:space="preserve">, </w:t>
      </w:r>
      <w:r w:rsidR="008D6B84" w:rsidRPr="008D6B84">
        <w:rPr>
          <w:rFonts w:ascii="Calibri" w:hAnsi="Calibri" w:cs="Calibri"/>
          <w:color w:val="000000" w:themeColor="text1"/>
          <w:sz w:val="22"/>
          <w:szCs w:val="22"/>
        </w:rPr>
        <w:t xml:space="preserve">‘West Africa: defeating riverblindness – success in scaling up and lessons learned’, in </w:t>
      </w:r>
      <w:r w:rsidR="008D6B84" w:rsidRPr="008D6B84">
        <w:rPr>
          <w:rFonts w:ascii="Calibri" w:hAnsi="Calibri" w:cs="Calibri"/>
          <w:i/>
          <w:color w:val="000000" w:themeColor="text1"/>
          <w:sz w:val="22"/>
          <w:szCs w:val="22"/>
        </w:rPr>
        <w:t xml:space="preserve">Reducing poverty, sustaining growth – what works, what doesn’t, and why: a global exchange for scaling up success </w:t>
      </w:r>
      <w:r w:rsidR="008D6B84" w:rsidRPr="008D6B84">
        <w:rPr>
          <w:rFonts w:ascii="Calibri" w:hAnsi="Calibri" w:cs="Calibri"/>
          <w:color w:val="000000" w:themeColor="text1"/>
          <w:sz w:val="22"/>
          <w:szCs w:val="22"/>
        </w:rPr>
        <w:t>(Washington DC: World Bank, 2004).</w:t>
      </w:r>
    </w:p>
    <w:p w14:paraId="3711220B" w14:textId="77777777" w:rsidR="00442620" w:rsidRPr="00454AD2" w:rsidRDefault="00442620" w:rsidP="00442620">
      <w:pPr>
        <w:pStyle w:val="FootnoteText"/>
        <w:rPr>
          <w:rFonts w:ascii="Calibri" w:hAnsi="Calibri" w:cs="Calibri"/>
          <w:color w:val="000000" w:themeColor="text1"/>
          <w:sz w:val="22"/>
          <w:szCs w:val="22"/>
        </w:rPr>
      </w:pPr>
    </w:p>
    <w:p w14:paraId="2753CBD3" w14:textId="612C9500"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Bump JB, </w:t>
      </w:r>
      <w:r w:rsidRPr="00454AD2">
        <w:rPr>
          <w:rFonts w:ascii="Calibri" w:hAnsi="Calibri" w:cs="Calibri"/>
          <w:i/>
          <w:color w:val="000000" w:themeColor="text1"/>
          <w:sz w:val="22"/>
          <w:szCs w:val="22"/>
        </w:rPr>
        <w:t xml:space="preserve">The </w:t>
      </w:r>
      <w:r w:rsidR="00965FE3">
        <w:rPr>
          <w:rFonts w:ascii="Calibri" w:hAnsi="Calibri" w:cs="Calibri"/>
          <w:i/>
          <w:color w:val="000000" w:themeColor="text1"/>
          <w:sz w:val="22"/>
          <w:szCs w:val="22"/>
        </w:rPr>
        <w:t>l</w:t>
      </w:r>
      <w:r w:rsidRPr="00454AD2">
        <w:rPr>
          <w:rFonts w:ascii="Calibri" w:hAnsi="Calibri" w:cs="Calibri"/>
          <w:i/>
          <w:color w:val="000000" w:themeColor="text1"/>
          <w:sz w:val="22"/>
          <w:szCs w:val="22"/>
        </w:rPr>
        <w:t xml:space="preserve">ion’s </w:t>
      </w:r>
      <w:r w:rsidR="00965FE3">
        <w:rPr>
          <w:rFonts w:ascii="Calibri" w:hAnsi="Calibri" w:cs="Calibri"/>
          <w:i/>
          <w:color w:val="000000" w:themeColor="text1"/>
          <w:sz w:val="22"/>
          <w:szCs w:val="22"/>
        </w:rPr>
        <w:t>g</w:t>
      </w:r>
      <w:r w:rsidRPr="00454AD2">
        <w:rPr>
          <w:rFonts w:ascii="Calibri" w:hAnsi="Calibri" w:cs="Calibri"/>
          <w:i/>
          <w:color w:val="000000" w:themeColor="text1"/>
          <w:sz w:val="22"/>
          <w:szCs w:val="22"/>
        </w:rPr>
        <w:t xml:space="preserve">aze: African river blindness from tropical curiosity to international development </w:t>
      </w:r>
      <w:r w:rsidRPr="00454AD2">
        <w:rPr>
          <w:rFonts w:ascii="Calibri" w:hAnsi="Calibri" w:cs="Calibri"/>
          <w:color w:val="000000" w:themeColor="text1"/>
          <w:sz w:val="22"/>
          <w:szCs w:val="22"/>
        </w:rPr>
        <w:t>(PhD dissertation, Baltimore: Johns Hopkins University, 2004).</w:t>
      </w:r>
    </w:p>
    <w:p w14:paraId="54BF3099" w14:textId="77777777" w:rsidR="00442620" w:rsidRPr="00454AD2" w:rsidRDefault="00442620" w:rsidP="00442620">
      <w:pPr>
        <w:rPr>
          <w:rFonts w:ascii="Calibri" w:hAnsi="Calibri" w:cs="Calibri"/>
          <w:color w:val="000000" w:themeColor="text1"/>
          <w:sz w:val="22"/>
          <w:szCs w:val="22"/>
        </w:rPr>
      </w:pPr>
    </w:p>
    <w:p w14:paraId="45B83A58" w14:textId="77777777" w:rsidR="00442620" w:rsidRPr="00454AD2" w:rsidRDefault="00442620" w:rsidP="00442620">
      <w:pPr>
        <w:rPr>
          <w:rFonts w:ascii="Calibri" w:hAnsi="Calibri" w:cs="Calibri"/>
          <w:color w:val="000000" w:themeColor="text1"/>
          <w:sz w:val="22"/>
          <w:szCs w:val="22"/>
        </w:rPr>
      </w:pPr>
      <w:r w:rsidRPr="00454AD2">
        <w:rPr>
          <w:rFonts w:ascii="Calibri" w:hAnsi="Calibri" w:cs="Calibri"/>
          <w:color w:val="000000" w:themeColor="text1"/>
          <w:sz w:val="22"/>
          <w:szCs w:val="22"/>
        </w:rPr>
        <w:t xml:space="preserve">Bundy D, ‘Neglected diseases of neglected people: the case for investing in neglected tropical diseases’, </w:t>
      </w:r>
      <w:r w:rsidRPr="00454AD2">
        <w:rPr>
          <w:rFonts w:ascii="Calibri" w:hAnsi="Calibri" w:cs="Calibri"/>
          <w:i/>
          <w:color w:val="000000" w:themeColor="text1"/>
          <w:sz w:val="22"/>
          <w:szCs w:val="22"/>
        </w:rPr>
        <w:t xml:space="preserve">World Bank Blogs </w:t>
      </w:r>
      <w:r w:rsidRPr="00454AD2">
        <w:rPr>
          <w:rFonts w:ascii="Calibri" w:hAnsi="Calibri" w:cs="Calibri"/>
          <w:color w:val="000000" w:themeColor="text1"/>
          <w:sz w:val="22"/>
          <w:szCs w:val="22"/>
        </w:rPr>
        <w:t>(14 February 2013).</w:t>
      </w:r>
    </w:p>
    <w:p w14:paraId="47A316DD" w14:textId="77777777" w:rsidR="00442620" w:rsidRPr="00454AD2" w:rsidRDefault="00442620" w:rsidP="00442620">
      <w:pPr>
        <w:pStyle w:val="FootnoteText"/>
        <w:rPr>
          <w:rFonts w:ascii="Calibri" w:hAnsi="Calibri" w:cs="Calibri"/>
          <w:color w:val="000000" w:themeColor="text1"/>
          <w:sz w:val="22"/>
          <w:szCs w:val="22"/>
        </w:rPr>
      </w:pPr>
    </w:p>
    <w:p w14:paraId="56B0EE68" w14:textId="3090DD68"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Bundy </w:t>
      </w:r>
      <w:r w:rsidR="00815B8D">
        <w:rPr>
          <w:rFonts w:ascii="Calibri" w:hAnsi="Calibri" w:cs="Calibri"/>
          <w:color w:val="000000" w:themeColor="text1"/>
          <w:sz w:val="22"/>
          <w:szCs w:val="22"/>
        </w:rPr>
        <w:t>DAP, Dhomun B, Daney X, Schultz LB and Tembon A</w:t>
      </w:r>
      <w:r w:rsidRPr="00454AD2">
        <w:rPr>
          <w:rFonts w:ascii="Calibri" w:hAnsi="Calibri" w:cs="Calibri"/>
          <w:color w:val="000000" w:themeColor="text1"/>
          <w:sz w:val="22"/>
          <w:szCs w:val="22"/>
        </w:rPr>
        <w:t xml:space="preserve">, ‘Investing in onchocerciasis control: financial management of the African Programme for Onchocerciasis Control (APOC)’, </w:t>
      </w:r>
      <w:r w:rsidRPr="00454AD2">
        <w:rPr>
          <w:rFonts w:ascii="Calibri" w:hAnsi="Calibri" w:cs="Calibri"/>
          <w:i/>
          <w:color w:val="000000" w:themeColor="text1"/>
          <w:sz w:val="22"/>
          <w:szCs w:val="22"/>
        </w:rPr>
        <w:t xml:space="preserve">PLoS Neglected Tropical Diseases </w:t>
      </w:r>
      <w:r w:rsidRPr="00454AD2">
        <w:rPr>
          <w:rFonts w:ascii="Calibri" w:hAnsi="Calibri" w:cs="Calibri"/>
          <w:color w:val="000000" w:themeColor="text1"/>
          <w:sz w:val="22"/>
          <w:szCs w:val="22"/>
        </w:rPr>
        <w:t>9:5 (2015), e003508.</w:t>
      </w:r>
    </w:p>
    <w:p w14:paraId="5CB6E89E" w14:textId="77777777" w:rsidR="00442620" w:rsidRPr="00454AD2" w:rsidRDefault="00442620" w:rsidP="00442620">
      <w:pPr>
        <w:pStyle w:val="FootnoteText"/>
        <w:rPr>
          <w:rFonts w:ascii="Calibri" w:hAnsi="Calibri" w:cs="Calibri"/>
          <w:color w:val="000000" w:themeColor="text1"/>
          <w:sz w:val="22"/>
          <w:szCs w:val="22"/>
        </w:rPr>
      </w:pPr>
    </w:p>
    <w:p w14:paraId="7006D142"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Buse and Walt, ‘Global public-private partnerships: part I – a new development in health?’, </w:t>
      </w:r>
      <w:r w:rsidRPr="00454AD2">
        <w:rPr>
          <w:rFonts w:ascii="Calibri" w:hAnsi="Calibri" w:cs="Calibri"/>
          <w:i/>
          <w:color w:val="000000" w:themeColor="text1"/>
          <w:sz w:val="22"/>
          <w:szCs w:val="22"/>
        </w:rPr>
        <w:t xml:space="preserve">Bulletin of the WHO </w:t>
      </w:r>
      <w:r w:rsidRPr="00454AD2">
        <w:rPr>
          <w:rFonts w:ascii="Calibri" w:hAnsi="Calibri" w:cs="Calibri"/>
          <w:color w:val="000000" w:themeColor="text1"/>
          <w:sz w:val="22"/>
          <w:szCs w:val="22"/>
        </w:rPr>
        <w:t>78 (2000), 549-561.</w:t>
      </w:r>
    </w:p>
    <w:p w14:paraId="5096C557" w14:textId="77777777" w:rsidR="00442620" w:rsidRPr="00454AD2" w:rsidRDefault="00442620" w:rsidP="00442620">
      <w:pPr>
        <w:pStyle w:val="FootnoteText"/>
        <w:rPr>
          <w:rFonts w:ascii="Calibri" w:hAnsi="Calibri" w:cs="Calibri"/>
          <w:color w:val="000000" w:themeColor="text1"/>
          <w:sz w:val="22"/>
          <w:szCs w:val="22"/>
        </w:rPr>
      </w:pPr>
    </w:p>
    <w:p w14:paraId="431D77E4"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Buse K and Gwin C, ‘The World Bank and global co-operation in health: the case of Bangladesh’, </w:t>
      </w:r>
      <w:r w:rsidRPr="00454AD2">
        <w:rPr>
          <w:rFonts w:ascii="Calibri" w:hAnsi="Calibri" w:cs="Calibri"/>
          <w:i/>
          <w:color w:val="000000" w:themeColor="text1"/>
          <w:sz w:val="22"/>
          <w:szCs w:val="22"/>
        </w:rPr>
        <w:t xml:space="preserve">Lancet </w:t>
      </w:r>
      <w:r w:rsidRPr="00454AD2">
        <w:rPr>
          <w:rFonts w:ascii="Calibri" w:hAnsi="Calibri" w:cs="Calibri"/>
          <w:color w:val="000000" w:themeColor="text1"/>
          <w:sz w:val="22"/>
          <w:szCs w:val="22"/>
        </w:rPr>
        <w:t>351:9103 (1998), 665-669.</w:t>
      </w:r>
    </w:p>
    <w:p w14:paraId="6A1AFB38" w14:textId="77777777" w:rsidR="00442620" w:rsidRPr="00454AD2" w:rsidRDefault="00442620" w:rsidP="00442620">
      <w:pPr>
        <w:pStyle w:val="FootnoteText"/>
        <w:rPr>
          <w:rFonts w:ascii="Calibri" w:hAnsi="Calibri" w:cs="Calibri"/>
          <w:color w:val="000000" w:themeColor="text1"/>
          <w:sz w:val="22"/>
          <w:szCs w:val="22"/>
        </w:rPr>
      </w:pPr>
    </w:p>
    <w:p w14:paraId="28247AD2"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Buse K, ‘Spotlight on international organisations: the World Bank’, </w:t>
      </w:r>
      <w:r w:rsidRPr="00454AD2">
        <w:rPr>
          <w:rFonts w:ascii="Calibri" w:hAnsi="Calibri" w:cs="Calibri"/>
          <w:i/>
          <w:color w:val="000000" w:themeColor="text1"/>
          <w:sz w:val="22"/>
          <w:szCs w:val="22"/>
        </w:rPr>
        <w:t>Health Policy and Planning</w:t>
      </w:r>
      <w:r w:rsidRPr="00454AD2">
        <w:rPr>
          <w:rFonts w:ascii="Calibri" w:hAnsi="Calibri" w:cs="Calibri"/>
          <w:color w:val="000000" w:themeColor="text1"/>
          <w:sz w:val="22"/>
          <w:szCs w:val="22"/>
        </w:rPr>
        <w:t xml:space="preserve"> 9:1 (1994), 95-99.</w:t>
      </w:r>
    </w:p>
    <w:p w14:paraId="1A889E36" w14:textId="77777777" w:rsidR="00442620" w:rsidRPr="00454AD2" w:rsidRDefault="00442620" w:rsidP="00442620">
      <w:pPr>
        <w:pStyle w:val="FootnoteText"/>
        <w:rPr>
          <w:rFonts w:ascii="Calibri" w:hAnsi="Calibri" w:cs="Calibri"/>
          <w:color w:val="000000" w:themeColor="text1"/>
          <w:sz w:val="22"/>
          <w:szCs w:val="22"/>
        </w:rPr>
      </w:pPr>
    </w:p>
    <w:p w14:paraId="062A41E1" w14:textId="27FC3209" w:rsidR="00442620" w:rsidRPr="00454AD2" w:rsidRDefault="00442620" w:rsidP="00442620">
      <w:pPr>
        <w:rPr>
          <w:rFonts w:ascii="Calibri" w:hAnsi="Calibri" w:cs="Calibri"/>
          <w:color w:val="000000" w:themeColor="text1"/>
          <w:sz w:val="22"/>
          <w:szCs w:val="22"/>
        </w:rPr>
      </w:pPr>
      <w:r w:rsidRPr="00454AD2">
        <w:rPr>
          <w:rFonts w:ascii="Calibri" w:hAnsi="Calibri" w:cs="Calibri"/>
          <w:color w:val="000000" w:themeColor="text1"/>
          <w:sz w:val="22"/>
          <w:szCs w:val="22"/>
        </w:rPr>
        <w:lastRenderedPageBreak/>
        <w:t xml:space="preserve">Cavalli </w:t>
      </w:r>
      <w:r w:rsidR="002849CC">
        <w:rPr>
          <w:rFonts w:ascii="Calibri" w:hAnsi="Calibri" w:cs="Calibri"/>
          <w:color w:val="000000" w:themeColor="text1"/>
          <w:sz w:val="22"/>
          <w:szCs w:val="22"/>
        </w:rPr>
        <w:t>A, Bamba SI, Traore MN, Boelaert M, Coulibaly Y, Polman K, Pirard M and Van Dormael M</w:t>
      </w:r>
      <w:r w:rsidRPr="00454AD2">
        <w:rPr>
          <w:rFonts w:ascii="Calibri" w:hAnsi="Calibri" w:cs="Calibri"/>
          <w:color w:val="000000" w:themeColor="text1"/>
          <w:sz w:val="22"/>
          <w:szCs w:val="22"/>
        </w:rPr>
        <w:t xml:space="preserve">, ‘Interactions between global health initiatives and country health systems: the case of a neglected tropical diseases control program in Mali’, </w:t>
      </w:r>
      <w:r w:rsidRPr="00454AD2">
        <w:rPr>
          <w:rFonts w:ascii="Calibri" w:hAnsi="Calibri" w:cs="Calibri"/>
          <w:i/>
          <w:color w:val="000000" w:themeColor="text1"/>
          <w:sz w:val="22"/>
          <w:szCs w:val="22"/>
        </w:rPr>
        <w:t xml:space="preserve">PLoS Neglected Tropical Diseases </w:t>
      </w:r>
      <w:r w:rsidRPr="00454AD2">
        <w:rPr>
          <w:rFonts w:ascii="Calibri" w:hAnsi="Calibri" w:cs="Calibri"/>
          <w:color w:val="000000" w:themeColor="text1"/>
          <w:sz w:val="22"/>
          <w:szCs w:val="22"/>
        </w:rPr>
        <w:t>4 (2010), e798.</w:t>
      </w:r>
    </w:p>
    <w:p w14:paraId="1E2E1A6D" w14:textId="77777777" w:rsidR="00442620" w:rsidRPr="00454AD2" w:rsidRDefault="00442620" w:rsidP="00442620">
      <w:pPr>
        <w:rPr>
          <w:rFonts w:ascii="Calibri" w:hAnsi="Calibri" w:cs="Calibri"/>
          <w:color w:val="000000" w:themeColor="text1"/>
          <w:sz w:val="22"/>
          <w:szCs w:val="22"/>
        </w:rPr>
      </w:pPr>
    </w:p>
    <w:p w14:paraId="69B87839"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Center for Global Development ‘Millions saved’ (online), &lt;http://www.millionssaved.cgd.org&gt; [accessed 18 June 2019].</w:t>
      </w:r>
    </w:p>
    <w:p w14:paraId="64E91E7D" w14:textId="77777777" w:rsidR="00442620" w:rsidRPr="00454AD2" w:rsidRDefault="00442620" w:rsidP="00442620">
      <w:pPr>
        <w:pStyle w:val="FootnoteText"/>
        <w:rPr>
          <w:rFonts w:ascii="Calibri" w:hAnsi="Calibri" w:cs="Calibri"/>
          <w:color w:val="000000" w:themeColor="text1"/>
          <w:sz w:val="22"/>
          <w:szCs w:val="22"/>
        </w:rPr>
      </w:pPr>
    </w:p>
    <w:p w14:paraId="5E437DF2"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Center for Global Development, ‘About: the What Works Working Group’ (online), &lt;</w:t>
      </w:r>
      <w:hyperlink r:id="rId121" w:history="1">
        <w:r w:rsidRPr="00CF189D">
          <w:rPr>
            <w:rStyle w:val="Hyperlink"/>
            <w:rFonts w:ascii="Calibri" w:hAnsi="Calibri" w:cs="Calibri"/>
            <w:color w:val="000000" w:themeColor="text1"/>
            <w:sz w:val="22"/>
            <w:szCs w:val="22"/>
            <w:u w:val="none"/>
          </w:rPr>
          <w:t>https://www.cgdev.org/page/about-0</w:t>
        </w:r>
      </w:hyperlink>
      <w:r w:rsidRPr="00454AD2">
        <w:rPr>
          <w:rFonts w:ascii="Calibri" w:hAnsi="Calibri" w:cs="Calibri"/>
          <w:color w:val="000000" w:themeColor="text1"/>
          <w:sz w:val="22"/>
          <w:szCs w:val="22"/>
        </w:rPr>
        <w:t>&gt; [accessed 18 June 2019].</w:t>
      </w:r>
    </w:p>
    <w:p w14:paraId="5E439344" w14:textId="77777777" w:rsidR="00442620" w:rsidRPr="00454AD2" w:rsidRDefault="00442620" w:rsidP="00442620">
      <w:pPr>
        <w:pStyle w:val="FootnoteText"/>
        <w:rPr>
          <w:rFonts w:ascii="Calibri" w:hAnsi="Calibri" w:cs="Calibri"/>
          <w:color w:val="000000" w:themeColor="text1"/>
          <w:sz w:val="22"/>
          <w:szCs w:val="22"/>
        </w:rPr>
      </w:pPr>
    </w:p>
    <w:p w14:paraId="61757630"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Center for Global Development, ‘Impacts and influence: millions saved’ (online), &lt;</w:t>
      </w:r>
      <w:hyperlink r:id="rId122" w:history="1">
        <w:r w:rsidRPr="00CF189D">
          <w:rPr>
            <w:rStyle w:val="Hyperlink"/>
            <w:rFonts w:ascii="Calibri" w:hAnsi="Calibri" w:cs="Calibri"/>
            <w:color w:val="000000" w:themeColor="text1"/>
            <w:sz w:val="22"/>
            <w:szCs w:val="22"/>
            <w:u w:val="none"/>
          </w:rPr>
          <w:t>https://www.cgdev.org/impacts-and-influence/millions-saved</w:t>
        </w:r>
      </w:hyperlink>
      <w:r w:rsidRPr="00454AD2">
        <w:rPr>
          <w:rFonts w:ascii="Calibri" w:hAnsi="Calibri" w:cs="Calibri"/>
          <w:color w:val="000000" w:themeColor="text1"/>
          <w:sz w:val="22"/>
          <w:szCs w:val="22"/>
        </w:rPr>
        <w:t>&gt; [accessed 18 June 2019].</w:t>
      </w:r>
    </w:p>
    <w:p w14:paraId="7243EB26" w14:textId="77777777" w:rsidR="00442620" w:rsidRPr="00454AD2" w:rsidRDefault="00442620" w:rsidP="00442620">
      <w:pPr>
        <w:pStyle w:val="FootnoteText"/>
        <w:rPr>
          <w:rFonts w:ascii="Calibri" w:hAnsi="Calibri" w:cs="Calibri"/>
          <w:color w:val="000000" w:themeColor="text1"/>
          <w:sz w:val="22"/>
          <w:szCs w:val="22"/>
        </w:rPr>
      </w:pPr>
    </w:p>
    <w:p w14:paraId="32A0F73C" w14:textId="072C5095"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Center for Global Development, </w:t>
      </w:r>
      <w:r w:rsidRPr="00454AD2">
        <w:rPr>
          <w:rFonts w:ascii="Calibri" w:hAnsi="Calibri" w:cs="Calibri"/>
          <w:i/>
          <w:color w:val="000000" w:themeColor="text1"/>
          <w:sz w:val="22"/>
          <w:szCs w:val="22"/>
        </w:rPr>
        <w:t xml:space="preserve">CGD brief - millions saved: proven successes in global health </w:t>
      </w:r>
      <w:r w:rsidRPr="00454AD2">
        <w:rPr>
          <w:rFonts w:ascii="Calibri" w:hAnsi="Calibri" w:cs="Calibri"/>
          <w:color w:val="000000" w:themeColor="text1"/>
          <w:sz w:val="22"/>
          <w:szCs w:val="22"/>
        </w:rPr>
        <w:t>(</w:t>
      </w:r>
      <w:r w:rsidR="00443D8D">
        <w:rPr>
          <w:rFonts w:ascii="Calibri" w:hAnsi="Calibri" w:cs="Calibri"/>
          <w:color w:val="000000" w:themeColor="text1"/>
          <w:sz w:val="22"/>
          <w:szCs w:val="22"/>
        </w:rPr>
        <w:t xml:space="preserve">Washington DC: CGD, </w:t>
      </w:r>
      <w:r w:rsidRPr="00454AD2">
        <w:rPr>
          <w:rFonts w:ascii="Calibri" w:hAnsi="Calibri" w:cs="Calibri"/>
          <w:color w:val="000000" w:themeColor="text1"/>
          <w:sz w:val="22"/>
          <w:szCs w:val="22"/>
        </w:rPr>
        <w:t>March 2007).</w:t>
      </w:r>
    </w:p>
    <w:p w14:paraId="643977F6" w14:textId="77777777" w:rsidR="00442620" w:rsidRPr="00454AD2" w:rsidRDefault="00442620" w:rsidP="00442620">
      <w:pPr>
        <w:pStyle w:val="FootnoteText"/>
        <w:rPr>
          <w:rFonts w:ascii="Calibri" w:hAnsi="Calibri" w:cs="Calibri"/>
          <w:color w:val="000000" w:themeColor="text1"/>
          <w:sz w:val="22"/>
          <w:szCs w:val="22"/>
        </w:rPr>
      </w:pPr>
    </w:p>
    <w:p w14:paraId="0BBBF6EE" w14:textId="5419D062"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Center for Global Development, </w:t>
      </w:r>
      <w:r w:rsidRPr="00454AD2">
        <w:rPr>
          <w:rFonts w:ascii="Calibri" w:hAnsi="Calibri" w:cs="Calibri"/>
          <w:i/>
          <w:color w:val="000000" w:themeColor="text1"/>
          <w:sz w:val="22"/>
          <w:szCs w:val="22"/>
        </w:rPr>
        <w:t>Instructor guide – Millions saved: proven successes in global health</w:t>
      </w:r>
      <w:r w:rsidR="00443D8D">
        <w:rPr>
          <w:rFonts w:ascii="Calibri" w:hAnsi="Calibri" w:cs="Calibri"/>
          <w:i/>
          <w:color w:val="000000" w:themeColor="text1"/>
          <w:sz w:val="22"/>
          <w:szCs w:val="22"/>
        </w:rPr>
        <w:t xml:space="preserve"> (</w:t>
      </w:r>
      <w:r w:rsidR="00443D8D">
        <w:rPr>
          <w:rFonts w:ascii="Calibri" w:hAnsi="Calibri" w:cs="Calibri"/>
          <w:color w:val="000000" w:themeColor="text1"/>
          <w:sz w:val="22"/>
          <w:szCs w:val="22"/>
        </w:rPr>
        <w:t xml:space="preserve">Washington DC: CGD, </w:t>
      </w:r>
      <w:r w:rsidRPr="00454AD2">
        <w:rPr>
          <w:rFonts w:ascii="Calibri" w:hAnsi="Calibri" w:cs="Calibri"/>
          <w:color w:val="000000" w:themeColor="text1"/>
          <w:sz w:val="22"/>
          <w:szCs w:val="22"/>
        </w:rPr>
        <w:t>s.d.</w:t>
      </w:r>
      <w:r w:rsidR="00443D8D">
        <w:rPr>
          <w:rFonts w:ascii="Calibri" w:hAnsi="Calibri" w:cs="Calibri"/>
          <w:color w:val="000000" w:themeColor="text1"/>
          <w:sz w:val="22"/>
          <w:szCs w:val="22"/>
        </w:rPr>
        <w:t>)</w:t>
      </w:r>
    </w:p>
    <w:p w14:paraId="44FCC4C7" w14:textId="77777777" w:rsidR="00442620" w:rsidRPr="00454AD2" w:rsidRDefault="00442620" w:rsidP="00442620">
      <w:pPr>
        <w:pStyle w:val="FootnoteText"/>
        <w:rPr>
          <w:rFonts w:ascii="Calibri" w:hAnsi="Calibri" w:cs="Calibri"/>
          <w:color w:val="000000" w:themeColor="text1"/>
          <w:sz w:val="22"/>
          <w:szCs w:val="22"/>
        </w:rPr>
      </w:pPr>
    </w:p>
    <w:p w14:paraId="3015E89A" w14:textId="26BBE26B" w:rsidR="00442620" w:rsidRPr="00B040F0"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Chi Tembon A and Brooke Schultz L, ‘Ending suffering from neglected tropical diseases: mission </w:t>
      </w:r>
      <w:r w:rsidRPr="00952408">
        <w:rPr>
          <w:rFonts w:ascii="Calibri" w:hAnsi="Calibri" w:cs="Calibri"/>
          <w:color w:val="000000" w:themeColor="text1"/>
          <w:sz w:val="22"/>
          <w:szCs w:val="22"/>
        </w:rPr>
        <w:t xml:space="preserve">possible’, </w:t>
      </w:r>
      <w:r w:rsidRPr="007569A0">
        <w:rPr>
          <w:rFonts w:ascii="Calibri" w:hAnsi="Calibri" w:cs="Calibri"/>
          <w:i/>
          <w:color w:val="000000" w:themeColor="text1"/>
          <w:sz w:val="22"/>
          <w:szCs w:val="22"/>
        </w:rPr>
        <w:t xml:space="preserve">World Bank Blogs </w:t>
      </w:r>
      <w:r w:rsidRPr="00B040F0">
        <w:rPr>
          <w:rFonts w:ascii="Calibri" w:hAnsi="Calibri" w:cs="Calibri"/>
          <w:color w:val="000000" w:themeColor="text1"/>
          <w:sz w:val="22"/>
          <w:szCs w:val="22"/>
        </w:rPr>
        <w:t>(2 February 2017).</w:t>
      </w:r>
    </w:p>
    <w:p w14:paraId="10E9DB98" w14:textId="769A1CF3" w:rsidR="00952408" w:rsidRPr="00B040F0" w:rsidRDefault="00952408" w:rsidP="00442620">
      <w:pPr>
        <w:pStyle w:val="FootnoteText"/>
        <w:rPr>
          <w:rFonts w:ascii="Calibri" w:hAnsi="Calibri" w:cs="Calibri"/>
          <w:color w:val="000000" w:themeColor="text1"/>
          <w:sz w:val="22"/>
          <w:szCs w:val="22"/>
        </w:rPr>
      </w:pPr>
    </w:p>
    <w:p w14:paraId="1155821A" w14:textId="60AE59B1" w:rsidR="00952408" w:rsidRPr="00952408" w:rsidRDefault="00952408" w:rsidP="00442620">
      <w:pPr>
        <w:pStyle w:val="FootnoteText"/>
        <w:rPr>
          <w:rFonts w:ascii="Calibri" w:hAnsi="Calibri" w:cs="Calibri"/>
          <w:color w:val="000000" w:themeColor="text1"/>
          <w:sz w:val="22"/>
          <w:szCs w:val="22"/>
        </w:rPr>
      </w:pPr>
      <w:r w:rsidRPr="00CF189D">
        <w:rPr>
          <w:rFonts w:ascii="Calibri" w:hAnsi="Calibri" w:cs="Calibri"/>
          <w:color w:val="000000" w:themeColor="text1"/>
          <w:sz w:val="22"/>
          <w:szCs w:val="22"/>
        </w:rPr>
        <w:t xml:space="preserve">Clark W, ‘Robert McNamara at the World Bank’, </w:t>
      </w:r>
      <w:r w:rsidRPr="00CF189D">
        <w:rPr>
          <w:rFonts w:ascii="Calibri" w:hAnsi="Calibri" w:cs="Calibri"/>
          <w:i/>
          <w:color w:val="000000" w:themeColor="text1"/>
          <w:sz w:val="22"/>
          <w:szCs w:val="22"/>
        </w:rPr>
        <w:t xml:space="preserve">Foreign Affairs </w:t>
      </w:r>
      <w:r w:rsidRPr="00CF189D">
        <w:rPr>
          <w:rFonts w:ascii="Calibri" w:hAnsi="Calibri" w:cs="Calibri"/>
          <w:color w:val="000000" w:themeColor="text1"/>
          <w:sz w:val="22"/>
          <w:szCs w:val="22"/>
        </w:rPr>
        <w:t>60:1 (1981), 167-184.</w:t>
      </w:r>
    </w:p>
    <w:p w14:paraId="53891B69" w14:textId="77777777" w:rsidR="00442620" w:rsidRPr="007569A0" w:rsidRDefault="00442620" w:rsidP="00442620">
      <w:pPr>
        <w:pStyle w:val="FootnoteText"/>
        <w:rPr>
          <w:rFonts w:ascii="Calibri" w:hAnsi="Calibri" w:cs="Calibri"/>
          <w:color w:val="000000" w:themeColor="text1"/>
          <w:sz w:val="22"/>
          <w:szCs w:val="22"/>
        </w:rPr>
      </w:pPr>
    </w:p>
    <w:p w14:paraId="4DED5F37" w14:textId="77777777"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t>Clift C, ‘The role of the World Health Organization in the international system’</w:t>
      </w:r>
      <w:r w:rsidRPr="00CF189D">
        <w:rPr>
          <w:rFonts w:ascii="Calibri" w:hAnsi="Calibri" w:cs="Calibri"/>
          <w:i/>
          <w:sz w:val="22"/>
          <w:szCs w:val="22"/>
        </w:rPr>
        <w:t xml:space="preserve">, Chatham House Centre on Global Health Security Working Group Papers, Working Group on Governance </w:t>
      </w:r>
      <w:r w:rsidRPr="00CF189D">
        <w:rPr>
          <w:rFonts w:ascii="Calibri" w:hAnsi="Calibri" w:cs="Calibri"/>
          <w:sz w:val="22"/>
          <w:szCs w:val="22"/>
        </w:rPr>
        <w:t>(London: Chatham House, 2013).</w:t>
      </w:r>
    </w:p>
    <w:p w14:paraId="266A932E" w14:textId="77777777" w:rsidR="00442620" w:rsidRPr="00454AD2" w:rsidRDefault="00442620" w:rsidP="00DD4818">
      <w:pPr>
        <w:pStyle w:val="Footnotes"/>
      </w:pPr>
    </w:p>
    <w:p w14:paraId="619D0927"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Clinton C and Sridhar D, ‘Who pays for cooperation in global health? A comparative analysis of WHO, the World Bank, the Global Fund to Fight HIV/AIDS, Tuberculosis and Malaria, and Gavi, the Vaccine Alliance’, </w:t>
      </w:r>
      <w:r w:rsidRPr="00454AD2">
        <w:rPr>
          <w:rFonts w:ascii="Calibri" w:hAnsi="Calibri" w:cs="Calibri"/>
          <w:i/>
          <w:color w:val="000000" w:themeColor="text1"/>
          <w:sz w:val="22"/>
          <w:szCs w:val="22"/>
        </w:rPr>
        <w:t xml:space="preserve">Lancet </w:t>
      </w:r>
      <w:r w:rsidRPr="00454AD2">
        <w:rPr>
          <w:rFonts w:ascii="Calibri" w:hAnsi="Calibri" w:cs="Calibri"/>
          <w:color w:val="000000" w:themeColor="text1"/>
          <w:sz w:val="22"/>
          <w:szCs w:val="22"/>
        </w:rPr>
        <w:t>390:11091 (2017), 324-332.</w:t>
      </w:r>
    </w:p>
    <w:p w14:paraId="6074F4E8" w14:textId="77777777" w:rsidR="00442620" w:rsidRPr="00454AD2" w:rsidRDefault="00442620" w:rsidP="00442620">
      <w:pPr>
        <w:pStyle w:val="FootnoteText"/>
        <w:rPr>
          <w:rFonts w:ascii="Calibri" w:hAnsi="Calibri" w:cs="Calibri"/>
          <w:color w:val="000000" w:themeColor="text1"/>
          <w:sz w:val="22"/>
          <w:szCs w:val="22"/>
        </w:rPr>
      </w:pPr>
    </w:p>
    <w:p w14:paraId="01E45D06" w14:textId="4AA11E6C"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Clinton C and Sridhar D, </w:t>
      </w:r>
      <w:r w:rsidRPr="00454AD2">
        <w:rPr>
          <w:rFonts w:ascii="Calibri" w:hAnsi="Calibri" w:cs="Calibri"/>
          <w:i/>
          <w:color w:val="000000" w:themeColor="text1"/>
          <w:sz w:val="22"/>
          <w:szCs w:val="22"/>
        </w:rPr>
        <w:t xml:space="preserve">Governing global health </w:t>
      </w:r>
      <w:r w:rsidRPr="00454AD2">
        <w:rPr>
          <w:rFonts w:ascii="Calibri" w:hAnsi="Calibri" w:cs="Calibri"/>
          <w:color w:val="000000" w:themeColor="text1"/>
          <w:sz w:val="22"/>
          <w:szCs w:val="22"/>
        </w:rPr>
        <w:t>(Oxford: Oxford University Press, 2017)</w:t>
      </w:r>
      <w:r w:rsidR="00443D8D">
        <w:rPr>
          <w:rFonts w:ascii="Calibri" w:hAnsi="Calibri" w:cs="Calibri"/>
          <w:color w:val="000000" w:themeColor="text1"/>
          <w:sz w:val="22"/>
          <w:szCs w:val="22"/>
        </w:rPr>
        <w:t>.</w:t>
      </w:r>
    </w:p>
    <w:p w14:paraId="30D16282" w14:textId="77777777" w:rsidR="00442620" w:rsidRPr="00454AD2" w:rsidRDefault="00442620" w:rsidP="00442620">
      <w:pPr>
        <w:pStyle w:val="FootnoteText"/>
        <w:rPr>
          <w:rFonts w:ascii="Calibri" w:hAnsi="Calibri" w:cs="Calibri"/>
          <w:color w:val="000000" w:themeColor="text1"/>
          <w:sz w:val="22"/>
          <w:szCs w:val="22"/>
        </w:rPr>
      </w:pPr>
    </w:p>
    <w:p w14:paraId="6BBCD8F6"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Cobb C, ‘Elimination of river blindness “possible within ten years”’, </w:t>
      </w:r>
      <w:r w:rsidRPr="00454AD2">
        <w:rPr>
          <w:rFonts w:ascii="Calibri" w:hAnsi="Calibri" w:cs="Calibri"/>
          <w:i/>
          <w:color w:val="000000" w:themeColor="text1"/>
          <w:sz w:val="22"/>
          <w:szCs w:val="22"/>
        </w:rPr>
        <w:t xml:space="preserve">All Africa Global Media </w:t>
      </w:r>
      <w:r w:rsidRPr="00454AD2">
        <w:rPr>
          <w:rFonts w:ascii="Calibri" w:hAnsi="Calibri" w:cs="Calibri"/>
          <w:color w:val="000000" w:themeColor="text1"/>
          <w:sz w:val="22"/>
          <w:szCs w:val="22"/>
        </w:rPr>
        <w:t>(15 December 2001).</w:t>
      </w:r>
    </w:p>
    <w:p w14:paraId="46DC4E00" w14:textId="77777777" w:rsidR="00442620" w:rsidRPr="00454AD2" w:rsidRDefault="00442620" w:rsidP="00442620">
      <w:pPr>
        <w:pStyle w:val="FootnoteText"/>
        <w:rPr>
          <w:rFonts w:ascii="Calibri" w:hAnsi="Calibri" w:cs="Calibri"/>
          <w:color w:val="000000" w:themeColor="text1"/>
          <w:sz w:val="22"/>
          <w:szCs w:val="22"/>
        </w:rPr>
      </w:pPr>
    </w:p>
    <w:p w14:paraId="0CA940ED"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Cockburn W and Assaad F, ‘Some observations on the communicable diseases as public health problems’, </w:t>
      </w:r>
      <w:r w:rsidRPr="00454AD2">
        <w:rPr>
          <w:rFonts w:ascii="Calibri" w:hAnsi="Calibri" w:cs="Calibri"/>
          <w:i/>
          <w:color w:val="000000" w:themeColor="text1"/>
          <w:sz w:val="22"/>
          <w:szCs w:val="22"/>
        </w:rPr>
        <w:t xml:space="preserve">Bulletin of the WHO </w:t>
      </w:r>
      <w:r w:rsidRPr="00454AD2">
        <w:rPr>
          <w:rFonts w:ascii="Calibri" w:hAnsi="Calibri" w:cs="Calibri"/>
          <w:color w:val="000000" w:themeColor="text1"/>
          <w:sz w:val="22"/>
          <w:szCs w:val="22"/>
        </w:rPr>
        <w:t>49:1</w:t>
      </w:r>
      <w:r w:rsidRPr="00454AD2">
        <w:rPr>
          <w:rFonts w:ascii="Calibri" w:hAnsi="Calibri" w:cs="Calibri"/>
          <w:i/>
          <w:color w:val="000000" w:themeColor="text1"/>
          <w:sz w:val="22"/>
          <w:szCs w:val="22"/>
        </w:rPr>
        <w:t xml:space="preserve"> </w:t>
      </w:r>
      <w:r w:rsidRPr="00454AD2">
        <w:rPr>
          <w:rFonts w:ascii="Calibri" w:hAnsi="Calibri" w:cs="Calibri"/>
          <w:color w:val="000000" w:themeColor="text1"/>
          <w:sz w:val="22"/>
          <w:szCs w:val="22"/>
        </w:rPr>
        <w:t>(1973), 1-12, Annex 2.</w:t>
      </w:r>
    </w:p>
    <w:p w14:paraId="542C7F4A" w14:textId="77777777" w:rsidR="00442620" w:rsidRPr="00454AD2" w:rsidRDefault="00442620" w:rsidP="00442620">
      <w:pPr>
        <w:pStyle w:val="FootnoteText"/>
        <w:rPr>
          <w:rFonts w:ascii="Calibri" w:hAnsi="Calibri" w:cs="Calibri"/>
          <w:color w:val="000000" w:themeColor="text1"/>
          <w:sz w:val="22"/>
          <w:szCs w:val="22"/>
        </w:rPr>
      </w:pPr>
    </w:p>
    <w:p w14:paraId="4A1C26C1" w14:textId="2EFEDAF3" w:rsidR="00442620" w:rsidRPr="00B61A03" w:rsidRDefault="00442620" w:rsidP="00B61A03">
      <w:r w:rsidRPr="00454AD2">
        <w:rPr>
          <w:rFonts w:ascii="Calibri" w:hAnsi="Calibri" w:cs="Calibri"/>
          <w:color w:val="000000" w:themeColor="text1"/>
          <w:sz w:val="22"/>
          <w:szCs w:val="22"/>
        </w:rPr>
        <w:t xml:space="preserve">Coffeng </w:t>
      </w:r>
      <w:r w:rsidR="00B61A03">
        <w:rPr>
          <w:rFonts w:ascii="Calibri" w:hAnsi="Calibri" w:cs="Calibri"/>
          <w:color w:val="000000" w:themeColor="text1"/>
          <w:sz w:val="22"/>
          <w:szCs w:val="22"/>
        </w:rPr>
        <w:t>LE, Pion SDS, O’Hanlon S, Cousens S, Abiose AO, Fischer PU, Remme JHF, Dadzie KY, Murdoch ME, de Vlas SJ</w:t>
      </w:r>
      <w:r w:rsidR="00B61A03" w:rsidRPr="00B61A03">
        <w:rPr>
          <w:rFonts w:ascii="Calibri" w:hAnsi="Calibri" w:cs="Calibri"/>
          <w:color w:val="000000" w:themeColor="text1"/>
          <w:sz w:val="22"/>
          <w:szCs w:val="22"/>
        </w:rPr>
        <w:t xml:space="preserve">, </w:t>
      </w:r>
      <w:r w:rsidR="00B61A03" w:rsidRPr="00B61A03">
        <w:rPr>
          <w:rFonts w:ascii="Calibri" w:hAnsi="Calibri" w:cs="Calibri"/>
          <w:sz w:val="22"/>
          <w:szCs w:val="22"/>
        </w:rPr>
        <w:t>Basáñez</w:t>
      </w:r>
      <w:r w:rsidR="00B61A03">
        <w:t xml:space="preserve"> </w:t>
      </w:r>
      <w:r w:rsidR="00B61A03">
        <w:rPr>
          <w:rFonts w:ascii="Calibri" w:hAnsi="Calibri" w:cs="Calibri"/>
          <w:color w:val="000000" w:themeColor="text1"/>
          <w:sz w:val="22"/>
          <w:szCs w:val="22"/>
        </w:rPr>
        <w:t>MG, Stolk WA and Boussinesq M</w:t>
      </w:r>
      <w:r w:rsidRPr="00454AD2">
        <w:rPr>
          <w:rFonts w:ascii="Calibri" w:hAnsi="Calibri" w:cs="Calibri"/>
          <w:color w:val="000000" w:themeColor="text1"/>
          <w:sz w:val="22"/>
          <w:szCs w:val="22"/>
        </w:rPr>
        <w:t>,</w:t>
      </w:r>
      <w:r w:rsidR="00B61A03">
        <w:rPr>
          <w:rFonts w:ascii="Calibri" w:hAnsi="Calibri" w:cs="Calibri"/>
          <w:color w:val="000000" w:themeColor="text1"/>
          <w:sz w:val="22"/>
          <w:szCs w:val="22"/>
        </w:rPr>
        <w:t xml:space="preserve"> </w:t>
      </w:r>
      <w:r w:rsidRPr="00454AD2">
        <w:rPr>
          <w:rFonts w:ascii="Calibri" w:hAnsi="Calibri" w:cs="Calibri"/>
          <w:color w:val="000000" w:themeColor="text1"/>
          <w:sz w:val="22"/>
          <w:szCs w:val="22"/>
        </w:rPr>
        <w:t xml:space="preserve">‘Onchocerciasis: the pre-control associated between prevalence of palpable nodules and skin microfilariae’, </w:t>
      </w:r>
      <w:r w:rsidRPr="00454AD2">
        <w:rPr>
          <w:rFonts w:ascii="Calibri" w:hAnsi="Calibri" w:cs="Calibri"/>
          <w:i/>
          <w:color w:val="000000" w:themeColor="text1"/>
          <w:sz w:val="22"/>
          <w:szCs w:val="22"/>
        </w:rPr>
        <w:t xml:space="preserve">PLoS Neglected Tropical Diseases </w:t>
      </w:r>
      <w:r w:rsidRPr="00454AD2">
        <w:rPr>
          <w:rFonts w:ascii="Calibri" w:hAnsi="Calibri" w:cs="Calibri"/>
          <w:color w:val="000000" w:themeColor="text1"/>
          <w:sz w:val="22"/>
          <w:szCs w:val="22"/>
        </w:rPr>
        <w:t>7:4 (2013): e2168.</w:t>
      </w:r>
    </w:p>
    <w:p w14:paraId="35079108" w14:textId="77777777" w:rsidR="00442620" w:rsidRPr="00454AD2" w:rsidRDefault="00442620" w:rsidP="00442620">
      <w:pPr>
        <w:pStyle w:val="FootnoteText"/>
        <w:rPr>
          <w:rFonts w:ascii="Calibri" w:hAnsi="Calibri" w:cs="Calibri"/>
          <w:color w:val="000000" w:themeColor="text1"/>
          <w:sz w:val="22"/>
          <w:szCs w:val="22"/>
        </w:rPr>
      </w:pPr>
    </w:p>
    <w:p w14:paraId="0426576E" w14:textId="645B9FA3" w:rsidR="002849CC" w:rsidRPr="00454AD2" w:rsidRDefault="00442620" w:rsidP="00442620">
      <w:pPr>
        <w:rPr>
          <w:rFonts w:ascii="Calibri" w:hAnsi="Calibri" w:cs="Calibri"/>
          <w:color w:val="000000" w:themeColor="text1"/>
          <w:sz w:val="22"/>
          <w:szCs w:val="22"/>
        </w:rPr>
      </w:pPr>
      <w:r w:rsidRPr="00454AD2">
        <w:rPr>
          <w:rFonts w:ascii="Calibri" w:hAnsi="Calibri" w:cs="Calibri"/>
          <w:color w:val="000000" w:themeColor="text1"/>
          <w:sz w:val="22"/>
          <w:szCs w:val="22"/>
        </w:rPr>
        <w:t xml:space="preserve">Coulibaly </w:t>
      </w:r>
      <w:r w:rsidR="002849CC">
        <w:rPr>
          <w:rFonts w:ascii="Calibri" w:hAnsi="Calibri" w:cs="Calibri"/>
          <w:color w:val="000000" w:themeColor="text1"/>
          <w:sz w:val="22"/>
          <w:szCs w:val="22"/>
        </w:rPr>
        <w:t>Y, Cavalli A, Van Dormael M, Polman K and Kegels G</w:t>
      </w:r>
      <w:r w:rsidRPr="00454AD2">
        <w:rPr>
          <w:rFonts w:ascii="Calibri" w:hAnsi="Calibri" w:cs="Calibri"/>
          <w:color w:val="000000" w:themeColor="text1"/>
          <w:sz w:val="22"/>
          <w:szCs w:val="22"/>
        </w:rPr>
        <w:t xml:space="preserve">, ‘Programme activities: a major burden for district health systems?’, </w:t>
      </w:r>
      <w:r w:rsidRPr="00454AD2">
        <w:rPr>
          <w:rFonts w:ascii="Calibri" w:hAnsi="Calibri" w:cs="Calibri"/>
          <w:i/>
          <w:color w:val="000000" w:themeColor="text1"/>
          <w:sz w:val="22"/>
          <w:szCs w:val="22"/>
        </w:rPr>
        <w:t xml:space="preserve">Tropical Medicine and International Health </w:t>
      </w:r>
      <w:r w:rsidRPr="00454AD2">
        <w:rPr>
          <w:rFonts w:ascii="Calibri" w:hAnsi="Calibri" w:cs="Calibri"/>
          <w:color w:val="000000" w:themeColor="text1"/>
          <w:sz w:val="22"/>
          <w:szCs w:val="22"/>
        </w:rPr>
        <w:t>13 (2008), 1430-1432.</w:t>
      </w:r>
    </w:p>
    <w:p w14:paraId="6B54B9B7" w14:textId="77777777" w:rsidR="00442620" w:rsidRPr="00454AD2" w:rsidRDefault="00442620" w:rsidP="00442620">
      <w:pPr>
        <w:rPr>
          <w:rFonts w:ascii="Calibri" w:hAnsi="Calibri" w:cs="Calibri"/>
          <w:color w:val="000000" w:themeColor="text1"/>
          <w:sz w:val="22"/>
          <w:szCs w:val="22"/>
        </w:rPr>
      </w:pPr>
    </w:p>
    <w:p w14:paraId="2C65879C" w14:textId="77777777" w:rsidR="00442620" w:rsidRPr="00454AD2" w:rsidRDefault="00442620" w:rsidP="00442620">
      <w:pPr>
        <w:rPr>
          <w:rFonts w:ascii="Calibri" w:hAnsi="Calibri" w:cs="Calibri"/>
          <w:color w:val="000000" w:themeColor="text1"/>
          <w:sz w:val="22"/>
          <w:szCs w:val="22"/>
          <w:lang w:eastAsia="en-GB"/>
        </w:rPr>
      </w:pPr>
      <w:r w:rsidRPr="00454AD2">
        <w:rPr>
          <w:rFonts w:ascii="Calibri" w:hAnsi="Calibri" w:cs="Calibri"/>
          <w:color w:val="000000" w:themeColor="text1"/>
          <w:sz w:val="22"/>
          <w:szCs w:val="22"/>
          <w:lang w:eastAsia="en-GB"/>
        </w:rPr>
        <w:t xml:space="preserve">Coyne PEB and Berk DW, </w:t>
      </w:r>
      <w:r w:rsidRPr="00454AD2">
        <w:rPr>
          <w:rFonts w:ascii="Calibri" w:hAnsi="Calibri" w:cs="Calibri"/>
          <w:i/>
          <w:iCs/>
          <w:color w:val="000000" w:themeColor="text1"/>
          <w:sz w:val="22"/>
          <w:szCs w:val="22"/>
          <w:lang w:eastAsia="en-GB"/>
        </w:rPr>
        <w:t>The Mectizan (ivermectin) Donation Program for riverblindness as a paradigm for pharmaceutical industry donation programs</w:t>
      </w:r>
      <w:r w:rsidRPr="00454AD2">
        <w:rPr>
          <w:rFonts w:ascii="Calibri" w:hAnsi="Calibri" w:cs="Calibri"/>
          <w:color w:val="000000" w:themeColor="text1"/>
          <w:sz w:val="22"/>
          <w:szCs w:val="22"/>
          <w:lang w:eastAsia="en-GB"/>
        </w:rPr>
        <w:t xml:space="preserve"> (Washington DC: World Bank, 2002).</w:t>
      </w:r>
    </w:p>
    <w:p w14:paraId="4E103553" w14:textId="77777777" w:rsidR="00442620" w:rsidRPr="00454AD2" w:rsidRDefault="00442620" w:rsidP="00442620">
      <w:pPr>
        <w:rPr>
          <w:rFonts w:ascii="Calibri" w:hAnsi="Calibri" w:cs="Calibri"/>
          <w:color w:val="000000" w:themeColor="text1"/>
          <w:sz w:val="22"/>
          <w:szCs w:val="22"/>
          <w:lang w:eastAsia="en-GB"/>
        </w:rPr>
      </w:pPr>
    </w:p>
    <w:p w14:paraId="5EDAA032"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Croft SL, ‘Public-private partnerships: from there to here’, </w:t>
      </w:r>
      <w:r w:rsidRPr="00454AD2">
        <w:rPr>
          <w:rFonts w:ascii="Calibri" w:hAnsi="Calibri" w:cs="Calibri"/>
          <w:i/>
          <w:color w:val="000000" w:themeColor="text1"/>
          <w:sz w:val="22"/>
          <w:szCs w:val="22"/>
        </w:rPr>
        <w:t xml:space="preserve">Transactions of the Royal Society of Tropical Medicine &amp; Hygiene </w:t>
      </w:r>
      <w:r w:rsidRPr="00454AD2">
        <w:rPr>
          <w:rFonts w:ascii="Calibri" w:hAnsi="Calibri" w:cs="Calibri"/>
          <w:color w:val="000000" w:themeColor="text1"/>
          <w:sz w:val="22"/>
          <w:szCs w:val="22"/>
        </w:rPr>
        <w:t>99 (2005), S9-S14.</w:t>
      </w:r>
    </w:p>
    <w:p w14:paraId="2B7120AD" w14:textId="77777777" w:rsidR="00442620" w:rsidRPr="00454AD2" w:rsidRDefault="00442620" w:rsidP="00442620">
      <w:pPr>
        <w:pStyle w:val="FootnoteText"/>
        <w:rPr>
          <w:rFonts w:ascii="Calibri" w:hAnsi="Calibri" w:cs="Calibri"/>
          <w:color w:val="000000" w:themeColor="text1"/>
          <w:sz w:val="22"/>
          <w:szCs w:val="22"/>
          <w:shd w:val="clear" w:color="auto" w:fill="FFFFFF"/>
        </w:rPr>
      </w:pPr>
    </w:p>
    <w:p w14:paraId="2DFF66C4" w14:textId="4F72457D" w:rsidR="00442620" w:rsidRPr="00454AD2" w:rsidRDefault="00442620" w:rsidP="00442620">
      <w:pPr>
        <w:pStyle w:val="FootnoteText"/>
        <w:rPr>
          <w:rFonts w:ascii="Calibri" w:hAnsi="Calibri" w:cs="Calibri"/>
          <w:color w:val="000000" w:themeColor="text1"/>
          <w:sz w:val="22"/>
          <w:szCs w:val="22"/>
          <w:shd w:val="clear" w:color="auto" w:fill="FFFFFF"/>
        </w:rPr>
      </w:pPr>
      <w:r w:rsidRPr="00454AD2">
        <w:rPr>
          <w:rFonts w:ascii="Calibri" w:hAnsi="Calibri" w:cs="Calibri"/>
          <w:color w:val="000000" w:themeColor="text1"/>
          <w:sz w:val="22"/>
          <w:szCs w:val="22"/>
          <w:shd w:val="clear" w:color="auto" w:fill="FFFFFF"/>
        </w:rPr>
        <w:t>Cueto M, ‘The history of international health: medicine, politics, and two socio-medical perspectives, 1851 to 2000’ (draft), in</w:t>
      </w:r>
      <w:r w:rsidR="002849CC">
        <w:rPr>
          <w:rFonts w:ascii="Calibri" w:hAnsi="Calibri" w:cs="Calibri"/>
          <w:color w:val="000000" w:themeColor="text1"/>
          <w:sz w:val="22"/>
          <w:szCs w:val="22"/>
          <w:shd w:val="clear" w:color="auto" w:fill="FFFFFF"/>
        </w:rPr>
        <w:t xml:space="preserve"> C McInnes, K Lee and J Youde (Eds.),</w:t>
      </w:r>
      <w:r w:rsidRPr="00454AD2">
        <w:rPr>
          <w:rFonts w:ascii="Calibri" w:hAnsi="Calibri" w:cs="Calibri"/>
          <w:color w:val="000000" w:themeColor="text1"/>
          <w:sz w:val="22"/>
          <w:szCs w:val="22"/>
          <w:shd w:val="clear" w:color="auto" w:fill="FFFFFF"/>
        </w:rPr>
        <w:t xml:space="preserve"> </w:t>
      </w:r>
      <w:r w:rsidRPr="00454AD2">
        <w:rPr>
          <w:rFonts w:ascii="Calibri" w:hAnsi="Calibri" w:cs="Calibri"/>
          <w:i/>
          <w:color w:val="000000" w:themeColor="text1"/>
          <w:sz w:val="22"/>
          <w:szCs w:val="22"/>
          <w:shd w:val="clear" w:color="auto" w:fill="FFFFFF"/>
        </w:rPr>
        <w:t>The Oxford Handbook of Global Health Politics</w:t>
      </w:r>
      <w:r w:rsidRPr="00454AD2">
        <w:rPr>
          <w:rFonts w:ascii="Calibri" w:hAnsi="Calibri" w:cs="Calibri"/>
          <w:color w:val="000000" w:themeColor="text1"/>
          <w:sz w:val="22"/>
          <w:szCs w:val="22"/>
          <w:shd w:val="clear" w:color="auto" w:fill="FFFFFF"/>
        </w:rPr>
        <w:t xml:space="preserve"> (Oxford: Oxford University Press, 2018).</w:t>
      </w:r>
    </w:p>
    <w:p w14:paraId="3A162AFB" w14:textId="77777777" w:rsidR="00442620" w:rsidRPr="00454AD2" w:rsidRDefault="00442620" w:rsidP="00442620">
      <w:pPr>
        <w:pStyle w:val="FootnoteText"/>
        <w:rPr>
          <w:rFonts w:ascii="Calibri" w:hAnsi="Calibri" w:cs="Calibri"/>
          <w:color w:val="000000" w:themeColor="text1"/>
          <w:sz w:val="22"/>
          <w:szCs w:val="22"/>
          <w:shd w:val="clear" w:color="auto" w:fill="FFFFFF"/>
        </w:rPr>
      </w:pPr>
    </w:p>
    <w:p w14:paraId="7F7BC319" w14:textId="77777777" w:rsidR="00442620" w:rsidRPr="00454AD2" w:rsidRDefault="00442620" w:rsidP="00442620">
      <w:pPr>
        <w:pStyle w:val="FootnoteText"/>
        <w:rPr>
          <w:rFonts w:ascii="Calibri" w:hAnsi="Calibri" w:cs="Calibri"/>
          <w:color w:val="000000" w:themeColor="text1"/>
          <w:sz w:val="22"/>
          <w:szCs w:val="22"/>
          <w:shd w:val="clear" w:color="auto" w:fill="FFFFFF"/>
        </w:rPr>
      </w:pPr>
      <w:r w:rsidRPr="00454AD2">
        <w:rPr>
          <w:rFonts w:ascii="Calibri" w:hAnsi="Calibri" w:cs="Calibri"/>
          <w:color w:val="000000" w:themeColor="text1"/>
          <w:sz w:val="22"/>
          <w:szCs w:val="22"/>
          <w:shd w:val="clear" w:color="auto" w:fill="FFFFFF"/>
        </w:rPr>
        <w:t>Cueto M, ‘The origins of primary health care and selective primary health care’, </w:t>
      </w:r>
      <w:r w:rsidRPr="00454AD2">
        <w:rPr>
          <w:rFonts w:ascii="Calibri" w:hAnsi="Calibri" w:cs="Calibri"/>
          <w:i/>
          <w:iCs/>
          <w:color w:val="000000" w:themeColor="text1"/>
          <w:sz w:val="22"/>
          <w:szCs w:val="22"/>
          <w:shd w:val="clear" w:color="auto" w:fill="FFFFFF"/>
        </w:rPr>
        <w:t>American Journal of Public Health</w:t>
      </w:r>
      <w:r w:rsidRPr="00454AD2">
        <w:rPr>
          <w:rFonts w:ascii="Calibri" w:hAnsi="Calibri" w:cs="Calibri"/>
          <w:color w:val="000000" w:themeColor="text1"/>
          <w:sz w:val="22"/>
          <w:szCs w:val="22"/>
          <w:shd w:val="clear" w:color="auto" w:fill="FFFFFF"/>
        </w:rPr>
        <w:t>, </w:t>
      </w:r>
      <w:r w:rsidRPr="00454AD2">
        <w:rPr>
          <w:rFonts w:ascii="Calibri" w:hAnsi="Calibri" w:cs="Calibri"/>
          <w:iCs/>
          <w:color w:val="000000" w:themeColor="text1"/>
          <w:sz w:val="22"/>
          <w:szCs w:val="22"/>
          <w:shd w:val="clear" w:color="auto" w:fill="FFFFFF"/>
        </w:rPr>
        <w:t>94</w:t>
      </w:r>
      <w:r w:rsidRPr="00454AD2">
        <w:rPr>
          <w:rFonts w:ascii="Calibri" w:hAnsi="Calibri" w:cs="Calibri"/>
          <w:color w:val="000000" w:themeColor="text1"/>
          <w:sz w:val="22"/>
          <w:szCs w:val="22"/>
          <w:shd w:val="clear" w:color="auto" w:fill="FFFFFF"/>
        </w:rPr>
        <w:t>:11 (2004), 1864-1874.</w:t>
      </w:r>
    </w:p>
    <w:p w14:paraId="49F88B6B" w14:textId="77777777" w:rsidR="00442620" w:rsidRPr="00454AD2" w:rsidRDefault="00442620" w:rsidP="00442620">
      <w:pPr>
        <w:pStyle w:val="FootnoteText"/>
        <w:rPr>
          <w:rFonts w:ascii="Calibri" w:hAnsi="Calibri" w:cs="Calibri"/>
          <w:color w:val="000000" w:themeColor="text1"/>
          <w:sz w:val="22"/>
          <w:szCs w:val="22"/>
        </w:rPr>
      </w:pPr>
    </w:p>
    <w:p w14:paraId="5F097318" w14:textId="6DE0A798"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Cueto M, ‘The WHO and primary health care during the 1980s’, in </w:t>
      </w:r>
      <w:r w:rsidR="00B61A03">
        <w:rPr>
          <w:rFonts w:ascii="Calibri" w:hAnsi="Calibri" w:cs="Calibri"/>
          <w:color w:val="000000" w:themeColor="text1"/>
          <w:sz w:val="22"/>
          <w:szCs w:val="22"/>
        </w:rPr>
        <w:t>A Medcalf, S Bhattacharya, H Momen, M Saavedra and M Jones</w:t>
      </w:r>
      <w:r w:rsidRPr="00454AD2">
        <w:rPr>
          <w:rFonts w:ascii="Calibri" w:hAnsi="Calibri" w:cs="Calibri"/>
          <w:color w:val="000000" w:themeColor="text1"/>
          <w:sz w:val="22"/>
          <w:szCs w:val="22"/>
        </w:rPr>
        <w:t xml:space="preserve"> (Eds</w:t>
      </w:r>
      <w:r w:rsidR="002849CC">
        <w:rPr>
          <w:rFonts w:ascii="Calibri" w:hAnsi="Calibri" w:cs="Calibri"/>
          <w:color w:val="000000" w:themeColor="text1"/>
          <w:sz w:val="22"/>
          <w:szCs w:val="22"/>
        </w:rPr>
        <w:t>.</w:t>
      </w:r>
      <w:r w:rsidRPr="00454AD2">
        <w:rPr>
          <w:rFonts w:ascii="Calibri" w:hAnsi="Calibri" w:cs="Calibri"/>
          <w:color w:val="000000" w:themeColor="text1"/>
          <w:sz w:val="22"/>
          <w:szCs w:val="22"/>
        </w:rPr>
        <w:t xml:space="preserve">), </w:t>
      </w:r>
      <w:r w:rsidRPr="00454AD2">
        <w:rPr>
          <w:rFonts w:ascii="Calibri" w:hAnsi="Calibri" w:cs="Calibri"/>
          <w:i/>
          <w:color w:val="000000" w:themeColor="text1"/>
          <w:sz w:val="22"/>
          <w:szCs w:val="22"/>
        </w:rPr>
        <w:t xml:space="preserve">Health for all: the journey of universal health coverage </w:t>
      </w:r>
      <w:r w:rsidRPr="00454AD2">
        <w:rPr>
          <w:rFonts w:ascii="Calibri" w:hAnsi="Calibri" w:cs="Calibri"/>
          <w:color w:val="000000" w:themeColor="text1"/>
          <w:sz w:val="22"/>
          <w:szCs w:val="22"/>
        </w:rPr>
        <w:t>(Hyderabad: Orient Blackswan, 2015).</w:t>
      </w:r>
    </w:p>
    <w:p w14:paraId="089136CA" w14:textId="77777777" w:rsidR="00442620" w:rsidRPr="00454AD2" w:rsidRDefault="00442620" w:rsidP="00442620">
      <w:pPr>
        <w:pStyle w:val="FootnoteText"/>
        <w:rPr>
          <w:rFonts w:ascii="Calibri" w:hAnsi="Calibri" w:cs="Calibri"/>
          <w:color w:val="000000" w:themeColor="text1"/>
          <w:sz w:val="22"/>
          <w:szCs w:val="22"/>
        </w:rPr>
      </w:pPr>
    </w:p>
    <w:p w14:paraId="45EF9968" w14:textId="13B2BA2C" w:rsidR="00442620" w:rsidRDefault="00442620" w:rsidP="00442620">
      <w:pPr>
        <w:rPr>
          <w:rFonts w:ascii="Calibri" w:hAnsi="Calibri" w:cs="Calibri"/>
          <w:color w:val="000000" w:themeColor="text1"/>
          <w:sz w:val="22"/>
          <w:szCs w:val="22"/>
          <w:lang w:val="en-US"/>
        </w:rPr>
      </w:pPr>
      <w:r w:rsidRPr="00454AD2">
        <w:rPr>
          <w:rFonts w:ascii="Calibri" w:hAnsi="Calibri" w:cs="Calibri"/>
          <w:color w:val="000000" w:themeColor="text1"/>
          <w:sz w:val="22"/>
          <w:szCs w:val="22"/>
        </w:rPr>
        <w:t xml:space="preserve">Davies JB, ‘Sixty years of onchocerciasis vector control: a chronological summary with comments on eradication, reinvasion, and insecticide resistance’, </w:t>
      </w:r>
      <w:r w:rsidRPr="00454AD2">
        <w:rPr>
          <w:rFonts w:ascii="Calibri" w:hAnsi="Calibri" w:cs="Calibri"/>
          <w:i/>
          <w:color w:val="000000" w:themeColor="text1"/>
          <w:sz w:val="22"/>
          <w:szCs w:val="22"/>
        </w:rPr>
        <w:t xml:space="preserve">Annual Review of Entomology </w:t>
      </w:r>
      <w:r w:rsidRPr="00454AD2">
        <w:rPr>
          <w:rFonts w:ascii="Calibri" w:hAnsi="Calibri" w:cs="Calibri"/>
          <w:color w:val="000000" w:themeColor="text1"/>
          <w:sz w:val="22"/>
          <w:szCs w:val="22"/>
        </w:rPr>
        <w:t>39 (1994), 23-45</w:t>
      </w:r>
      <w:r w:rsidRPr="00454AD2">
        <w:rPr>
          <w:rFonts w:ascii="Calibri" w:hAnsi="Calibri" w:cs="Calibri"/>
          <w:color w:val="000000" w:themeColor="text1"/>
          <w:sz w:val="22"/>
          <w:szCs w:val="22"/>
          <w:lang w:val="en-US"/>
        </w:rPr>
        <w:t>.</w:t>
      </w:r>
    </w:p>
    <w:p w14:paraId="4A9CD36B" w14:textId="7D679ADE" w:rsidR="00B61A03" w:rsidRDefault="00B61A03" w:rsidP="00442620">
      <w:pPr>
        <w:rPr>
          <w:rFonts w:ascii="Calibri" w:hAnsi="Calibri" w:cs="Calibri"/>
          <w:color w:val="000000" w:themeColor="text1"/>
          <w:sz w:val="22"/>
          <w:szCs w:val="22"/>
          <w:lang w:val="en-US"/>
        </w:rPr>
      </w:pPr>
    </w:p>
    <w:p w14:paraId="2E91C3CF" w14:textId="671D9E08" w:rsidR="00B61A03" w:rsidRPr="00454AD2" w:rsidRDefault="00B61A03" w:rsidP="00B61A03">
      <w:pPr>
        <w:pStyle w:val="FootnoteText"/>
        <w:rPr>
          <w:rFonts w:ascii="Calibri" w:hAnsi="Calibri" w:cs="Calibri"/>
          <w:color w:val="000000" w:themeColor="text1"/>
          <w:sz w:val="22"/>
          <w:szCs w:val="22"/>
        </w:rPr>
      </w:pPr>
      <w:r>
        <w:rPr>
          <w:rFonts w:ascii="Calibri" w:hAnsi="Calibri" w:cs="Calibri"/>
          <w:color w:val="000000" w:themeColor="text1"/>
          <w:sz w:val="22"/>
          <w:szCs w:val="22"/>
        </w:rPr>
        <w:t>Department for International Development</w:t>
      </w:r>
      <w:r w:rsidRPr="00454AD2">
        <w:rPr>
          <w:rFonts w:ascii="Calibri" w:hAnsi="Calibri" w:cs="Calibri"/>
          <w:color w:val="000000" w:themeColor="text1"/>
          <w:sz w:val="22"/>
          <w:szCs w:val="22"/>
        </w:rPr>
        <w:t xml:space="preserve">, </w:t>
      </w:r>
      <w:r w:rsidRPr="00454AD2">
        <w:rPr>
          <w:rFonts w:ascii="Calibri" w:hAnsi="Calibri" w:cs="Calibri"/>
          <w:i/>
          <w:color w:val="000000" w:themeColor="text1"/>
          <w:sz w:val="22"/>
          <w:szCs w:val="22"/>
        </w:rPr>
        <w:t xml:space="preserve">Annual review – summary sheet, support for onchocerciasis elimination work in Africa </w:t>
      </w:r>
      <w:r w:rsidRPr="00454AD2">
        <w:rPr>
          <w:rFonts w:ascii="Calibri" w:hAnsi="Calibri" w:cs="Calibri"/>
          <w:color w:val="000000" w:themeColor="text1"/>
          <w:sz w:val="22"/>
          <w:szCs w:val="22"/>
        </w:rPr>
        <w:t>(London: United Kingdom, November 2016).</w:t>
      </w:r>
    </w:p>
    <w:p w14:paraId="2911BA76" w14:textId="77777777" w:rsidR="00B61A03" w:rsidRPr="00454AD2" w:rsidRDefault="00B61A03" w:rsidP="00B61A03">
      <w:pPr>
        <w:pStyle w:val="FootnoteText"/>
        <w:rPr>
          <w:rFonts w:ascii="Calibri" w:hAnsi="Calibri" w:cs="Calibri"/>
          <w:color w:val="000000" w:themeColor="text1"/>
          <w:sz w:val="22"/>
          <w:szCs w:val="22"/>
        </w:rPr>
      </w:pPr>
    </w:p>
    <w:p w14:paraId="0AAD1F2D" w14:textId="1696E3C7" w:rsidR="00B61A03" w:rsidRPr="00B61A03" w:rsidRDefault="00B61A03" w:rsidP="00B61A03">
      <w:pPr>
        <w:pStyle w:val="FootnoteText"/>
        <w:rPr>
          <w:rFonts w:ascii="Calibri" w:hAnsi="Calibri" w:cs="Calibri"/>
          <w:color w:val="000000" w:themeColor="text1"/>
          <w:sz w:val="22"/>
          <w:szCs w:val="22"/>
        </w:rPr>
      </w:pPr>
      <w:r>
        <w:rPr>
          <w:rFonts w:ascii="Calibri" w:hAnsi="Calibri" w:cs="Calibri"/>
          <w:color w:val="000000" w:themeColor="text1"/>
          <w:sz w:val="22"/>
          <w:szCs w:val="22"/>
        </w:rPr>
        <w:t>Department for International Development</w:t>
      </w:r>
      <w:r w:rsidRPr="00454AD2">
        <w:rPr>
          <w:rFonts w:ascii="Calibri" w:hAnsi="Calibri" w:cs="Calibri"/>
          <w:color w:val="000000" w:themeColor="text1"/>
          <w:sz w:val="22"/>
          <w:szCs w:val="22"/>
        </w:rPr>
        <w:t xml:space="preserve">, </w:t>
      </w:r>
      <w:r w:rsidRPr="00454AD2">
        <w:rPr>
          <w:rFonts w:ascii="Calibri" w:hAnsi="Calibri" w:cs="Calibri"/>
          <w:i/>
          <w:color w:val="000000" w:themeColor="text1"/>
          <w:sz w:val="22"/>
          <w:szCs w:val="22"/>
        </w:rPr>
        <w:t xml:space="preserve">Business case summary sheet: onchocerciasis elimination work in Africa </w:t>
      </w:r>
      <w:r w:rsidRPr="00454AD2">
        <w:rPr>
          <w:rFonts w:ascii="Calibri" w:hAnsi="Calibri" w:cs="Calibri"/>
          <w:color w:val="000000" w:themeColor="text1"/>
          <w:sz w:val="22"/>
          <w:szCs w:val="22"/>
        </w:rPr>
        <w:t>(London: DFID, 2014).</w:t>
      </w:r>
    </w:p>
    <w:p w14:paraId="13DD0333" w14:textId="77777777" w:rsidR="00442620" w:rsidRPr="00454AD2" w:rsidRDefault="00442620" w:rsidP="00442620">
      <w:pPr>
        <w:rPr>
          <w:rFonts w:ascii="Calibri" w:hAnsi="Calibri" w:cs="Calibri"/>
          <w:color w:val="000000" w:themeColor="text1"/>
          <w:sz w:val="22"/>
          <w:szCs w:val="22"/>
          <w:lang w:val="en-US"/>
        </w:rPr>
      </w:pPr>
    </w:p>
    <w:p w14:paraId="20D07BE5" w14:textId="232C8648"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De Pinho Campos</w:t>
      </w:r>
      <w:r w:rsidR="00B61A03">
        <w:rPr>
          <w:rFonts w:ascii="Calibri" w:hAnsi="Calibri" w:cs="Calibri"/>
          <w:color w:val="000000" w:themeColor="text1"/>
          <w:sz w:val="22"/>
          <w:szCs w:val="22"/>
        </w:rPr>
        <w:t xml:space="preserve"> K, Norman CD and Jadad AR</w:t>
      </w:r>
      <w:r w:rsidRPr="00454AD2">
        <w:rPr>
          <w:rFonts w:ascii="Calibri" w:hAnsi="Calibri" w:cs="Calibri"/>
          <w:color w:val="000000" w:themeColor="text1"/>
          <w:sz w:val="22"/>
          <w:szCs w:val="22"/>
        </w:rPr>
        <w:t xml:space="preserve">, ‘Product development public-private partnerships for public health: a systematic review using qualitative data’, </w:t>
      </w:r>
      <w:r w:rsidRPr="00454AD2">
        <w:rPr>
          <w:rFonts w:ascii="Calibri" w:hAnsi="Calibri" w:cs="Calibri"/>
          <w:i/>
          <w:color w:val="000000" w:themeColor="text1"/>
          <w:sz w:val="22"/>
          <w:szCs w:val="22"/>
        </w:rPr>
        <w:t xml:space="preserve">Social Science &amp; Medicine </w:t>
      </w:r>
      <w:r w:rsidRPr="00454AD2">
        <w:rPr>
          <w:rFonts w:ascii="Calibri" w:hAnsi="Calibri" w:cs="Calibri"/>
          <w:color w:val="000000" w:themeColor="text1"/>
          <w:sz w:val="22"/>
          <w:szCs w:val="22"/>
        </w:rPr>
        <w:t>73 (2011), 986-994.</w:t>
      </w:r>
    </w:p>
    <w:p w14:paraId="792DB4CA" w14:textId="77777777" w:rsidR="00442620" w:rsidRPr="00454AD2" w:rsidRDefault="00442620" w:rsidP="00442620">
      <w:pPr>
        <w:pStyle w:val="FootnoteText"/>
        <w:rPr>
          <w:rFonts w:ascii="Calibri" w:hAnsi="Calibri" w:cs="Calibri"/>
          <w:color w:val="000000" w:themeColor="text1"/>
          <w:sz w:val="22"/>
          <w:szCs w:val="22"/>
        </w:rPr>
      </w:pPr>
    </w:p>
    <w:p w14:paraId="697D96DA" w14:textId="45039751"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De Sole </w:t>
      </w:r>
      <w:r w:rsidR="002B1256">
        <w:rPr>
          <w:rFonts w:ascii="Calibri" w:hAnsi="Calibri" w:cs="Calibri"/>
          <w:color w:val="000000" w:themeColor="text1"/>
          <w:sz w:val="22"/>
          <w:szCs w:val="22"/>
        </w:rPr>
        <w:t>G, Baker R, Dadzie KY, Giese J, Guillet P, Keita FM and Remme J</w:t>
      </w:r>
      <w:r w:rsidRPr="00454AD2">
        <w:rPr>
          <w:rFonts w:ascii="Calibri" w:hAnsi="Calibri" w:cs="Calibri"/>
          <w:color w:val="000000" w:themeColor="text1"/>
          <w:sz w:val="22"/>
          <w:szCs w:val="22"/>
        </w:rPr>
        <w:t xml:space="preserve">, ‘Onchocerciasis distribution and severity in five West African countries’, </w:t>
      </w:r>
      <w:r w:rsidRPr="00454AD2">
        <w:rPr>
          <w:rFonts w:ascii="Calibri" w:hAnsi="Calibri" w:cs="Calibri"/>
          <w:i/>
          <w:color w:val="000000" w:themeColor="text1"/>
          <w:sz w:val="22"/>
          <w:szCs w:val="22"/>
        </w:rPr>
        <w:t xml:space="preserve">Bulletin of the WHO </w:t>
      </w:r>
      <w:r w:rsidRPr="00454AD2">
        <w:rPr>
          <w:rFonts w:ascii="Calibri" w:hAnsi="Calibri" w:cs="Calibri"/>
          <w:color w:val="000000" w:themeColor="text1"/>
          <w:sz w:val="22"/>
          <w:szCs w:val="22"/>
        </w:rPr>
        <w:t>69:6 (1991), 689-698.</w:t>
      </w:r>
    </w:p>
    <w:p w14:paraId="475A4217" w14:textId="77777777" w:rsidR="00442620" w:rsidRPr="00454AD2" w:rsidRDefault="00442620" w:rsidP="00442620">
      <w:pPr>
        <w:pStyle w:val="FootnoteText"/>
        <w:rPr>
          <w:rFonts w:ascii="Calibri" w:hAnsi="Calibri" w:cs="Calibri"/>
          <w:color w:val="000000" w:themeColor="text1"/>
          <w:sz w:val="22"/>
          <w:szCs w:val="22"/>
        </w:rPr>
      </w:pPr>
    </w:p>
    <w:p w14:paraId="6CA63F39" w14:textId="20893B63"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Dodgson </w:t>
      </w:r>
      <w:r w:rsidR="002B1256">
        <w:rPr>
          <w:rFonts w:ascii="Calibri" w:hAnsi="Calibri" w:cs="Calibri"/>
          <w:color w:val="000000" w:themeColor="text1"/>
          <w:sz w:val="22"/>
          <w:szCs w:val="22"/>
        </w:rPr>
        <w:t>R, Lee K and Drager N</w:t>
      </w:r>
      <w:r w:rsidRPr="00454AD2">
        <w:rPr>
          <w:rFonts w:ascii="Calibri" w:hAnsi="Calibri" w:cs="Calibri"/>
          <w:color w:val="000000" w:themeColor="text1"/>
          <w:sz w:val="22"/>
          <w:szCs w:val="22"/>
        </w:rPr>
        <w:t xml:space="preserve">, </w:t>
      </w:r>
      <w:r w:rsidRPr="00454AD2">
        <w:rPr>
          <w:rFonts w:ascii="Calibri" w:hAnsi="Calibri" w:cs="Calibri"/>
          <w:i/>
          <w:color w:val="000000" w:themeColor="text1"/>
          <w:sz w:val="22"/>
          <w:szCs w:val="22"/>
        </w:rPr>
        <w:t xml:space="preserve">Global health governance: a conceptual review </w:t>
      </w:r>
      <w:r w:rsidRPr="00454AD2">
        <w:rPr>
          <w:rFonts w:ascii="Calibri" w:hAnsi="Calibri" w:cs="Calibri"/>
          <w:color w:val="000000" w:themeColor="text1"/>
          <w:sz w:val="22"/>
          <w:szCs w:val="22"/>
        </w:rPr>
        <w:t>(Geneva: WHO, 2002), 14-17.</w:t>
      </w:r>
    </w:p>
    <w:p w14:paraId="40D469DD" w14:textId="77777777" w:rsidR="00442620" w:rsidRPr="00454AD2" w:rsidRDefault="00442620" w:rsidP="00442620">
      <w:pPr>
        <w:pStyle w:val="FootnoteText"/>
        <w:rPr>
          <w:rFonts w:ascii="Calibri" w:hAnsi="Calibri" w:cs="Calibri"/>
          <w:color w:val="000000" w:themeColor="text1"/>
          <w:sz w:val="22"/>
          <w:szCs w:val="22"/>
        </w:rPr>
      </w:pPr>
    </w:p>
    <w:p w14:paraId="2FEE1C60"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Duff-Brown B, ‘Taming the lion’s look: World health agency trying to stop river blindness’, </w:t>
      </w:r>
      <w:r w:rsidRPr="00454AD2">
        <w:rPr>
          <w:rFonts w:ascii="Calibri" w:hAnsi="Calibri" w:cs="Calibri"/>
          <w:i/>
          <w:color w:val="000000" w:themeColor="text1"/>
          <w:sz w:val="22"/>
          <w:szCs w:val="22"/>
        </w:rPr>
        <w:t xml:space="preserve">Associated Press </w:t>
      </w:r>
      <w:r w:rsidRPr="00454AD2">
        <w:rPr>
          <w:rFonts w:ascii="Calibri" w:hAnsi="Calibri" w:cs="Calibri"/>
          <w:color w:val="000000" w:themeColor="text1"/>
          <w:sz w:val="22"/>
          <w:szCs w:val="22"/>
        </w:rPr>
        <w:t>(22 October 1995).</w:t>
      </w:r>
    </w:p>
    <w:p w14:paraId="5CC36797" w14:textId="77777777" w:rsidR="00442620" w:rsidRPr="00454AD2" w:rsidRDefault="00442620" w:rsidP="00442620">
      <w:pPr>
        <w:pStyle w:val="FootnoteText"/>
        <w:rPr>
          <w:rFonts w:ascii="Calibri" w:hAnsi="Calibri" w:cs="Calibri"/>
          <w:color w:val="000000" w:themeColor="text1"/>
          <w:sz w:val="22"/>
          <w:szCs w:val="22"/>
        </w:rPr>
      </w:pPr>
    </w:p>
    <w:p w14:paraId="4F69E817"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Duke BOL and Anderson J, ‘Onchocerciasis and its treatment’, </w:t>
      </w:r>
      <w:r w:rsidRPr="00454AD2">
        <w:rPr>
          <w:rFonts w:ascii="Calibri" w:hAnsi="Calibri" w:cs="Calibri"/>
          <w:i/>
          <w:color w:val="000000" w:themeColor="text1"/>
          <w:sz w:val="22"/>
          <w:szCs w:val="22"/>
        </w:rPr>
        <w:t xml:space="preserve">Tropical Doctor </w:t>
      </w:r>
      <w:r w:rsidRPr="00454AD2">
        <w:rPr>
          <w:rFonts w:ascii="Calibri" w:hAnsi="Calibri" w:cs="Calibri"/>
          <w:color w:val="000000" w:themeColor="text1"/>
          <w:sz w:val="22"/>
          <w:szCs w:val="22"/>
        </w:rPr>
        <w:t>2:3 (1972), 107-114.</w:t>
      </w:r>
    </w:p>
    <w:p w14:paraId="2CF9AB33" w14:textId="77777777" w:rsidR="00442620" w:rsidRPr="00454AD2" w:rsidRDefault="00442620" w:rsidP="00442620">
      <w:pPr>
        <w:pStyle w:val="FootnoteText"/>
        <w:rPr>
          <w:rFonts w:ascii="Calibri" w:hAnsi="Calibri" w:cs="Calibri"/>
          <w:color w:val="000000" w:themeColor="text1"/>
          <w:sz w:val="22"/>
          <w:szCs w:val="22"/>
        </w:rPr>
      </w:pPr>
    </w:p>
    <w:p w14:paraId="01298C23"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Eckholm E, ‘River blindness: conquering an ancient scourge’, </w:t>
      </w:r>
      <w:r w:rsidRPr="00454AD2">
        <w:rPr>
          <w:rFonts w:ascii="Calibri" w:hAnsi="Calibri" w:cs="Calibri"/>
          <w:i/>
          <w:color w:val="000000" w:themeColor="text1"/>
          <w:sz w:val="22"/>
          <w:szCs w:val="22"/>
        </w:rPr>
        <w:t xml:space="preserve">New York Times </w:t>
      </w:r>
      <w:r w:rsidRPr="00454AD2">
        <w:rPr>
          <w:rFonts w:ascii="Calibri" w:hAnsi="Calibri" w:cs="Calibri"/>
          <w:color w:val="000000" w:themeColor="text1"/>
          <w:sz w:val="22"/>
          <w:szCs w:val="22"/>
        </w:rPr>
        <w:t xml:space="preserve">(8 January 1989). </w:t>
      </w:r>
    </w:p>
    <w:p w14:paraId="31F1CE91" w14:textId="77777777" w:rsidR="00442620" w:rsidRPr="00454AD2" w:rsidRDefault="00442620" w:rsidP="00442620">
      <w:pPr>
        <w:pStyle w:val="FootnoteText"/>
        <w:rPr>
          <w:rFonts w:ascii="Calibri" w:hAnsi="Calibri" w:cs="Calibri"/>
          <w:color w:val="000000" w:themeColor="text1"/>
          <w:sz w:val="22"/>
          <w:szCs w:val="22"/>
        </w:rPr>
      </w:pPr>
    </w:p>
    <w:p w14:paraId="248E5ED4"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lastRenderedPageBreak/>
        <w:t xml:space="preserve">Economic and Social Council, </w:t>
      </w:r>
      <w:r w:rsidRPr="00454AD2">
        <w:rPr>
          <w:rFonts w:ascii="Calibri" w:hAnsi="Calibri" w:cs="Calibri"/>
          <w:i/>
          <w:color w:val="000000" w:themeColor="text1"/>
          <w:sz w:val="22"/>
          <w:szCs w:val="22"/>
        </w:rPr>
        <w:t>Analysis of funding for operational activities for development of the United Nations system for 2009: report of the secretary-general</w:t>
      </w:r>
      <w:r w:rsidRPr="00454AD2">
        <w:rPr>
          <w:rFonts w:ascii="Calibri" w:hAnsi="Calibri" w:cs="Calibri"/>
          <w:color w:val="000000" w:themeColor="text1"/>
          <w:sz w:val="22"/>
          <w:szCs w:val="22"/>
        </w:rPr>
        <w:t xml:space="preserve"> (Geneva: UN General Assembly, 2011).</w:t>
      </w:r>
    </w:p>
    <w:p w14:paraId="04D8BB4E" w14:textId="77777777" w:rsidR="00442620" w:rsidRPr="00454AD2" w:rsidRDefault="00442620" w:rsidP="00442620">
      <w:pPr>
        <w:pStyle w:val="FootnoteText"/>
        <w:rPr>
          <w:rFonts w:ascii="Calibri" w:hAnsi="Calibri" w:cs="Calibri"/>
          <w:i/>
          <w:color w:val="000000" w:themeColor="text1"/>
          <w:sz w:val="22"/>
          <w:szCs w:val="22"/>
        </w:rPr>
      </w:pPr>
    </w:p>
    <w:p w14:paraId="099657B9"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Eichenauer VZ and Reinsberg B, ‘What determines earmarked funding to international development organizations? Evidence from the new multi-bi aid data’, </w:t>
      </w:r>
      <w:r w:rsidRPr="00454AD2">
        <w:rPr>
          <w:rFonts w:ascii="Calibri" w:hAnsi="Calibri" w:cs="Calibri"/>
          <w:i/>
          <w:color w:val="000000" w:themeColor="text1"/>
          <w:sz w:val="22"/>
          <w:szCs w:val="22"/>
        </w:rPr>
        <w:t xml:space="preserve">Review of International Organizations </w:t>
      </w:r>
      <w:r w:rsidRPr="00454AD2">
        <w:rPr>
          <w:rFonts w:ascii="Calibri" w:hAnsi="Calibri" w:cs="Calibri"/>
          <w:color w:val="000000" w:themeColor="text1"/>
          <w:sz w:val="22"/>
          <w:szCs w:val="22"/>
        </w:rPr>
        <w:t>12:2 (2017), 171-197.</w:t>
      </w:r>
    </w:p>
    <w:p w14:paraId="67B00EC3" w14:textId="77777777" w:rsidR="00442620" w:rsidRPr="00454AD2" w:rsidRDefault="00442620" w:rsidP="00442620">
      <w:pPr>
        <w:pStyle w:val="FootnoteText"/>
        <w:rPr>
          <w:rFonts w:ascii="Calibri" w:hAnsi="Calibri" w:cs="Calibri"/>
          <w:color w:val="000000" w:themeColor="text1"/>
          <w:sz w:val="22"/>
          <w:szCs w:val="22"/>
        </w:rPr>
      </w:pPr>
    </w:p>
    <w:p w14:paraId="68333A06" w14:textId="35675644"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Ekwempu </w:t>
      </w:r>
      <w:r w:rsidR="002B1256">
        <w:rPr>
          <w:rFonts w:ascii="Calibri" w:hAnsi="Calibri" w:cs="Calibri"/>
          <w:color w:val="000000" w:themeColor="text1"/>
          <w:sz w:val="22"/>
          <w:szCs w:val="22"/>
        </w:rPr>
        <w:t>CC, Maine D, Olorukoba MB, Essien ES and Kisseka MN</w:t>
      </w:r>
      <w:r w:rsidRPr="00454AD2">
        <w:rPr>
          <w:rFonts w:ascii="Calibri" w:hAnsi="Calibri" w:cs="Calibri"/>
          <w:color w:val="000000" w:themeColor="text1"/>
          <w:sz w:val="22"/>
          <w:szCs w:val="22"/>
        </w:rPr>
        <w:t xml:space="preserve">, ‘Structural adjustment and health in Africa’, </w:t>
      </w:r>
      <w:r w:rsidRPr="00454AD2">
        <w:rPr>
          <w:rFonts w:ascii="Calibri" w:hAnsi="Calibri" w:cs="Calibri"/>
          <w:i/>
          <w:color w:val="000000" w:themeColor="text1"/>
          <w:sz w:val="22"/>
          <w:szCs w:val="22"/>
        </w:rPr>
        <w:t xml:space="preserve">Lancet </w:t>
      </w:r>
      <w:r w:rsidRPr="00454AD2">
        <w:rPr>
          <w:rFonts w:ascii="Calibri" w:hAnsi="Calibri" w:cs="Calibri"/>
          <w:color w:val="000000" w:themeColor="text1"/>
          <w:sz w:val="22"/>
          <w:szCs w:val="22"/>
        </w:rPr>
        <w:t>336:8703 (1990), 56-57.</w:t>
      </w:r>
    </w:p>
    <w:p w14:paraId="1045DEFC" w14:textId="77777777" w:rsidR="00442620" w:rsidRPr="00454AD2" w:rsidRDefault="00442620" w:rsidP="00442620">
      <w:pPr>
        <w:pStyle w:val="FootnoteText"/>
        <w:rPr>
          <w:rFonts w:ascii="Calibri" w:hAnsi="Calibri" w:cs="Calibri"/>
          <w:color w:val="000000" w:themeColor="text1"/>
          <w:sz w:val="22"/>
          <w:szCs w:val="22"/>
        </w:rPr>
      </w:pPr>
    </w:p>
    <w:p w14:paraId="6388251D" w14:textId="3FBD0EB6" w:rsidR="00442620" w:rsidRPr="00454AD2" w:rsidRDefault="00706349" w:rsidP="00442620">
      <w:pPr>
        <w:pStyle w:val="FootnoteText"/>
        <w:rPr>
          <w:rFonts w:ascii="Calibri" w:hAnsi="Calibri" w:cs="Calibri"/>
          <w:color w:val="000000" w:themeColor="text1"/>
          <w:sz w:val="22"/>
          <w:szCs w:val="22"/>
        </w:rPr>
      </w:pPr>
      <w:r>
        <w:rPr>
          <w:rFonts w:ascii="Calibri" w:hAnsi="Calibri" w:cs="Calibri"/>
          <w:color w:val="000000" w:themeColor="text1"/>
          <w:sz w:val="22"/>
          <w:szCs w:val="22"/>
        </w:rPr>
        <w:t>Expanded Special Project for the Elimination of Neglected Tropical Diseases</w:t>
      </w:r>
      <w:r w:rsidR="00442620" w:rsidRPr="00454AD2">
        <w:rPr>
          <w:rFonts w:ascii="Calibri" w:hAnsi="Calibri" w:cs="Calibri"/>
          <w:color w:val="000000" w:themeColor="text1"/>
          <w:sz w:val="22"/>
          <w:szCs w:val="22"/>
        </w:rPr>
        <w:t xml:space="preserve">, </w:t>
      </w:r>
      <w:r w:rsidR="00442620" w:rsidRPr="00454AD2">
        <w:rPr>
          <w:rFonts w:ascii="Calibri" w:hAnsi="Calibri" w:cs="Calibri"/>
          <w:i/>
          <w:color w:val="000000" w:themeColor="text1"/>
          <w:sz w:val="22"/>
          <w:szCs w:val="22"/>
        </w:rPr>
        <w:t xml:space="preserve">2017 annual report </w:t>
      </w:r>
      <w:r w:rsidR="00442620" w:rsidRPr="00454AD2">
        <w:rPr>
          <w:rFonts w:ascii="Calibri" w:hAnsi="Calibri" w:cs="Calibri"/>
          <w:color w:val="000000" w:themeColor="text1"/>
          <w:sz w:val="22"/>
          <w:szCs w:val="22"/>
        </w:rPr>
        <w:t>(Brazzaville: WHO AFRO, 2018).</w:t>
      </w:r>
    </w:p>
    <w:p w14:paraId="7904B2E2" w14:textId="77777777" w:rsidR="00442620" w:rsidRPr="00454AD2" w:rsidRDefault="00442620" w:rsidP="00442620">
      <w:pPr>
        <w:pStyle w:val="FootnoteText"/>
        <w:rPr>
          <w:rFonts w:ascii="Calibri" w:hAnsi="Calibri" w:cs="Calibri"/>
          <w:color w:val="000000" w:themeColor="text1"/>
          <w:sz w:val="22"/>
          <w:szCs w:val="22"/>
        </w:rPr>
      </w:pPr>
    </w:p>
    <w:p w14:paraId="444F70C7" w14:textId="39396474" w:rsidR="00442620" w:rsidRPr="00687239" w:rsidRDefault="00442620" w:rsidP="00687239">
      <w:r w:rsidRPr="00454AD2">
        <w:rPr>
          <w:rFonts w:ascii="Calibri" w:hAnsi="Calibri" w:cs="Calibri"/>
          <w:color w:val="000000" w:themeColor="text1"/>
          <w:sz w:val="22"/>
          <w:szCs w:val="22"/>
        </w:rPr>
        <w:t xml:space="preserve">Evans T, ‘Eliminating river blindness: clear and </w:t>
      </w:r>
      <w:r w:rsidRPr="00687239">
        <w:rPr>
          <w:rFonts w:ascii="Calibri" w:hAnsi="Calibri" w:cs="Calibri"/>
          <w:color w:val="000000" w:themeColor="text1"/>
          <w:sz w:val="22"/>
          <w:szCs w:val="22"/>
        </w:rPr>
        <w:t xml:space="preserve">bold vision required’, </w:t>
      </w:r>
      <w:r w:rsidRPr="00687239">
        <w:rPr>
          <w:rFonts w:ascii="Calibri" w:hAnsi="Calibri" w:cs="Calibri"/>
          <w:i/>
          <w:color w:val="000000" w:themeColor="text1"/>
          <w:sz w:val="22"/>
          <w:szCs w:val="22"/>
        </w:rPr>
        <w:t xml:space="preserve">World Bank </w:t>
      </w:r>
      <w:r w:rsidR="002B1256" w:rsidRPr="00687239">
        <w:rPr>
          <w:rFonts w:ascii="Calibri" w:hAnsi="Calibri" w:cs="Calibri"/>
          <w:i/>
          <w:color w:val="000000" w:themeColor="text1"/>
          <w:sz w:val="22"/>
          <w:szCs w:val="22"/>
        </w:rPr>
        <w:t>B</w:t>
      </w:r>
      <w:r w:rsidRPr="00687239">
        <w:rPr>
          <w:rFonts w:ascii="Calibri" w:hAnsi="Calibri" w:cs="Calibri"/>
          <w:i/>
          <w:color w:val="000000" w:themeColor="text1"/>
          <w:sz w:val="22"/>
          <w:szCs w:val="22"/>
        </w:rPr>
        <w:t xml:space="preserve">logs </w:t>
      </w:r>
      <w:r w:rsidR="00687239" w:rsidRPr="00687239">
        <w:rPr>
          <w:rFonts w:ascii="Calibri" w:hAnsi="Calibri" w:cs="Calibri"/>
          <w:color w:val="000000" w:themeColor="text1"/>
          <w:sz w:val="22"/>
          <w:szCs w:val="22"/>
        </w:rPr>
        <w:t xml:space="preserve">(online), </w:t>
      </w:r>
      <w:r w:rsidRPr="00687239">
        <w:rPr>
          <w:rFonts w:ascii="Calibri" w:hAnsi="Calibri" w:cs="Calibri"/>
          <w:color w:val="000000" w:themeColor="text1"/>
          <w:sz w:val="22"/>
          <w:szCs w:val="22"/>
        </w:rPr>
        <w:t>23 June 2014</w:t>
      </w:r>
      <w:r w:rsidR="00687239" w:rsidRPr="00687239">
        <w:rPr>
          <w:rFonts w:ascii="Calibri" w:hAnsi="Calibri" w:cs="Calibri"/>
          <w:color w:val="000000" w:themeColor="text1"/>
          <w:sz w:val="22"/>
          <w:szCs w:val="22"/>
        </w:rPr>
        <w:t>, &lt;</w:t>
      </w:r>
      <w:r w:rsidR="00687239" w:rsidRPr="00687239">
        <w:rPr>
          <w:rFonts w:ascii="Calibri" w:hAnsi="Calibri" w:cs="Calibri"/>
          <w:sz w:val="22"/>
          <w:szCs w:val="22"/>
        </w:rPr>
        <w:t>http://blogs.worldbank.org/health/eliminating-river-blindness-clear-and-bold-vision-required</w:t>
      </w:r>
      <w:r w:rsidR="00687239" w:rsidRPr="00687239">
        <w:rPr>
          <w:rFonts w:ascii="Calibri" w:hAnsi="Calibri" w:cs="Calibri"/>
          <w:color w:val="000000" w:themeColor="text1"/>
          <w:sz w:val="22"/>
          <w:szCs w:val="22"/>
        </w:rPr>
        <w:t>&gt; [accessed 10 May 2018]</w:t>
      </w:r>
      <w:r w:rsidRPr="00687239">
        <w:rPr>
          <w:rFonts w:ascii="Calibri" w:hAnsi="Calibri" w:cs="Calibri"/>
          <w:color w:val="000000" w:themeColor="text1"/>
          <w:sz w:val="22"/>
          <w:szCs w:val="22"/>
        </w:rPr>
        <w:t>.</w:t>
      </w:r>
    </w:p>
    <w:p w14:paraId="312DDF59" w14:textId="77777777" w:rsidR="00442620" w:rsidRPr="00454AD2" w:rsidRDefault="00442620" w:rsidP="00442620">
      <w:pPr>
        <w:rPr>
          <w:rFonts w:ascii="Calibri" w:hAnsi="Calibri" w:cs="Calibri"/>
          <w:color w:val="000000" w:themeColor="text1"/>
          <w:sz w:val="22"/>
          <w:szCs w:val="22"/>
        </w:rPr>
      </w:pPr>
    </w:p>
    <w:p w14:paraId="47DE1EB7"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Evans TG, ‘Socioeconomic consequences of blinding onchocerciasis in West Africa’, </w:t>
      </w:r>
      <w:r w:rsidRPr="00454AD2">
        <w:rPr>
          <w:rFonts w:ascii="Calibri" w:hAnsi="Calibri" w:cs="Calibri"/>
          <w:i/>
          <w:color w:val="000000" w:themeColor="text1"/>
          <w:sz w:val="22"/>
          <w:szCs w:val="22"/>
        </w:rPr>
        <w:t>Bulletin of the WHO</w:t>
      </w:r>
      <w:r w:rsidRPr="00454AD2">
        <w:rPr>
          <w:rFonts w:ascii="Calibri" w:hAnsi="Calibri" w:cs="Calibri"/>
          <w:color w:val="000000" w:themeColor="text1"/>
          <w:sz w:val="22"/>
          <w:szCs w:val="22"/>
        </w:rPr>
        <w:t xml:space="preserve"> 73:4 (1995), 495-506.</w:t>
      </w:r>
    </w:p>
    <w:p w14:paraId="2F4D33F7" w14:textId="77777777" w:rsidR="00442620" w:rsidRPr="00454AD2" w:rsidRDefault="00442620" w:rsidP="00442620">
      <w:pPr>
        <w:pStyle w:val="FootnoteText"/>
        <w:rPr>
          <w:rFonts w:ascii="Calibri" w:hAnsi="Calibri" w:cs="Calibri"/>
          <w:color w:val="000000" w:themeColor="text1"/>
          <w:sz w:val="22"/>
          <w:szCs w:val="22"/>
        </w:rPr>
      </w:pPr>
    </w:p>
    <w:p w14:paraId="3FCF4A45" w14:textId="5C788D7A" w:rsidR="00442620"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Fair M, </w:t>
      </w:r>
      <w:r w:rsidRPr="00454AD2">
        <w:rPr>
          <w:rFonts w:ascii="Calibri" w:hAnsi="Calibri" w:cs="Calibri"/>
          <w:i/>
          <w:color w:val="000000" w:themeColor="text1"/>
          <w:sz w:val="22"/>
          <w:szCs w:val="22"/>
        </w:rPr>
        <w:t xml:space="preserve">From population lending to HNP results: the evolution of the World Bank’s strategies in health, nutrition and population </w:t>
      </w:r>
      <w:r w:rsidRPr="00454AD2">
        <w:rPr>
          <w:rFonts w:ascii="Calibri" w:hAnsi="Calibri" w:cs="Calibri"/>
          <w:color w:val="000000" w:themeColor="text1"/>
          <w:sz w:val="22"/>
          <w:szCs w:val="22"/>
        </w:rPr>
        <w:t>(Washington DC: World Bank, 2008).</w:t>
      </w:r>
    </w:p>
    <w:p w14:paraId="46C80D00" w14:textId="77777777" w:rsidR="00442620" w:rsidRPr="00CF189D" w:rsidRDefault="00442620" w:rsidP="00CF189D">
      <w:pPr>
        <w:pStyle w:val="Footnotes"/>
        <w:rPr>
          <w:rFonts w:ascii="Calibri" w:hAnsi="Calibri" w:cs="Calibri"/>
          <w:sz w:val="22"/>
          <w:szCs w:val="22"/>
        </w:rPr>
      </w:pPr>
    </w:p>
    <w:p w14:paraId="03A7879B" w14:textId="5FCEBB8C"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Feldstein </w:t>
      </w:r>
      <w:r w:rsidR="002B1256" w:rsidRPr="00E12758">
        <w:rPr>
          <w:rFonts w:ascii="Calibri" w:hAnsi="Calibri" w:cs="Calibri"/>
          <w:color w:val="000000" w:themeColor="text1"/>
          <w:sz w:val="22"/>
          <w:szCs w:val="22"/>
        </w:rPr>
        <w:t>MS, Piot MA and Sunda</w:t>
      </w:r>
      <w:r w:rsidR="002B1256" w:rsidRPr="00766A1F">
        <w:rPr>
          <w:rFonts w:ascii="Calibri" w:hAnsi="Calibri" w:cs="Calibri"/>
          <w:color w:val="000000" w:themeColor="text1"/>
          <w:sz w:val="22"/>
          <w:szCs w:val="22"/>
        </w:rPr>
        <w:t>resan TK</w:t>
      </w:r>
      <w:r w:rsidRPr="00766A1F">
        <w:rPr>
          <w:rFonts w:ascii="Calibri" w:hAnsi="Calibri" w:cs="Calibri"/>
          <w:color w:val="000000" w:themeColor="text1"/>
          <w:sz w:val="22"/>
          <w:szCs w:val="22"/>
        </w:rPr>
        <w:t xml:space="preserve">, ‘Resource allocation model for public health planning’, </w:t>
      </w:r>
      <w:r w:rsidRPr="007A123B">
        <w:rPr>
          <w:rFonts w:ascii="Calibri" w:hAnsi="Calibri" w:cs="Calibri"/>
          <w:i/>
          <w:color w:val="000000" w:themeColor="text1"/>
          <w:sz w:val="22"/>
          <w:szCs w:val="22"/>
        </w:rPr>
        <w:t xml:space="preserve">Bulletin of the WHO </w:t>
      </w:r>
      <w:r w:rsidRPr="007A123B">
        <w:rPr>
          <w:rFonts w:ascii="Calibri" w:hAnsi="Calibri" w:cs="Calibri"/>
          <w:color w:val="000000" w:themeColor="text1"/>
          <w:sz w:val="22"/>
          <w:szCs w:val="22"/>
        </w:rPr>
        <w:t>48 (1973), 5.</w:t>
      </w:r>
    </w:p>
    <w:p w14:paraId="4D09E72D" w14:textId="77777777" w:rsidR="00442620" w:rsidRPr="00233532" w:rsidRDefault="00442620" w:rsidP="00442620">
      <w:pPr>
        <w:pStyle w:val="FootnoteText"/>
        <w:rPr>
          <w:rFonts w:ascii="Calibri" w:hAnsi="Calibri" w:cs="Calibri"/>
          <w:color w:val="000000" w:themeColor="text1"/>
          <w:sz w:val="22"/>
          <w:szCs w:val="22"/>
        </w:rPr>
      </w:pPr>
    </w:p>
    <w:p w14:paraId="0FF68716" w14:textId="21783D9F" w:rsidR="00442620" w:rsidRPr="00CF189D" w:rsidRDefault="00442620" w:rsidP="00DD4818">
      <w:pPr>
        <w:pStyle w:val="Footnotes"/>
        <w:rPr>
          <w:rFonts w:ascii="Calibri" w:hAnsi="Calibri" w:cs="Calibri"/>
          <w:sz w:val="22"/>
          <w:szCs w:val="22"/>
          <w:lang w:val="en-GB" w:eastAsia="en-GB"/>
        </w:rPr>
      </w:pPr>
      <w:r w:rsidRPr="00CF189D">
        <w:rPr>
          <w:rFonts w:ascii="Calibri" w:hAnsi="Calibri" w:cs="Calibri"/>
          <w:sz w:val="22"/>
          <w:szCs w:val="22"/>
        </w:rPr>
        <w:t xml:space="preserve">Fenwick </w:t>
      </w:r>
      <w:r w:rsidR="002B1256" w:rsidRPr="00CF189D">
        <w:rPr>
          <w:rFonts w:ascii="Calibri" w:hAnsi="Calibri" w:cs="Calibri"/>
          <w:sz w:val="22"/>
          <w:szCs w:val="22"/>
        </w:rPr>
        <w:t>A, Francesco Gabrielli A, French M and Savioli L</w:t>
      </w:r>
      <w:r w:rsidRPr="00CF189D">
        <w:rPr>
          <w:rFonts w:ascii="Calibri" w:hAnsi="Calibri" w:cs="Calibri"/>
          <w:sz w:val="22"/>
          <w:szCs w:val="22"/>
        </w:rPr>
        <w:t xml:space="preserve">, ‘Waterborne infectious diseases, approaches to control’, in </w:t>
      </w:r>
      <w:r w:rsidR="002B1256" w:rsidRPr="00CF189D">
        <w:rPr>
          <w:rFonts w:ascii="Calibri" w:hAnsi="Calibri" w:cs="Calibri"/>
          <w:sz w:val="22"/>
          <w:szCs w:val="22"/>
        </w:rPr>
        <w:t xml:space="preserve">P </w:t>
      </w:r>
      <w:r w:rsidRPr="00CF189D">
        <w:rPr>
          <w:rFonts w:ascii="Calibri" w:hAnsi="Calibri" w:cs="Calibri"/>
          <w:sz w:val="22"/>
          <w:szCs w:val="22"/>
        </w:rPr>
        <w:t>Kanki</w:t>
      </w:r>
      <w:r w:rsidR="002B1256" w:rsidRPr="00CF189D">
        <w:rPr>
          <w:rFonts w:ascii="Calibri" w:hAnsi="Calibri" w:cs="Calibri"/>
          <w:sz w:val="22"/>
          <w:szCs w:val="22"/>
        </w:rPr>
        <w:t xml:space="preserve"> </w:t>
      </w:r>
      <w:r w:rsidRPr="00CF189D">
        <w:rPr>
          <w:rFonts w:ascii="Calibri" w:hAnsi="Calibri" w:cs="Calibri"/>
          <w:sz w:val="22"/>
          <w:szCs w:val="22"/>
        </w:rPr>
        <w:t xml:space="preserve">and </w:t>
      </w:r>
      <w:r w:rsidR="002B1256" w:rsidRPr="00CF189D">
        <w:rPr>
          <w:rFonts w:ascii="Calibri" w:hAnsi="Calibri" w:cs="Calibri"/>
          <w:sz w:val="22"/>
          <w:szCs w:val="22"/>
        </w:rPr>
        <w:t xml:space="preserve">DJ </w:t>
      </w:r>
      <w:r w:rsidRPr="00CF189D">
        <w:rPr>
          <w:rFonts w:ascii="Calibri" w:hAnsi="Calibri" w:cs="Calibri"/>
          <w:sz w:val="22"/>
          <w:szCs w:val="22"/>
        </w:rPr>
        <w:t>Grimes (Eds</w:t>
      </w:r>
      <w:r w:rsidR="002B1256" w:rsidRPr="00CF189D">
        <w:rPr>
          <w:rFonts w:ascii="Calibri" w:hAnsi="Calibri" w:cs="Calibri"/>
          <w:sz w:val="22"/>
          <w:szCs w:val="22"/>
        </w:rPr>
        <w:t>.</w:t>
      </w:r>
      <w:r w:rsidRPr="00CF189D">
        <w:rPr>
          <w:rFonts w:ascii="Calibri" w:hAnsi="Calibri" w:cs="Calibri"/>
          <w:sz w:val="22"/>
          <w:szCs w:val="22"/>
        </w:rPr>
        <w:t xml:space="preserve">), </w:t>
      </w:r>
      <w:r w:rsidRPr="00CF189D">
        <w:rPr>
          <w:rFonts w:ascii="Calibri" w:hAnsi="Calibri" w:cs="Calibri"/>
          <w:i/>
          <w:iCs/>
          <w:sz w:val="22"/>
          <w:szCs w:val="22"/>
          <w:lang w:val="en-GB" w:eastAsia="en-GB"/>
        </w:rPr>
        <w:t>Infectious diseases: selected entries from the encyclopedia of sustainability science and technology</w:t>
      </w:r>
      <w:r w:rsidRPr="00CF189D">
        <w:rPr>
          <w:rFonts w:ascii="Calibri" w:hAnsi="Calibri" w:cs="Calibri"/>
          <w:sz w:val="22"/>
          <w:szCs w:val="22"/>
          <w:lang w:val="en-GB" w:eastAsia="en-GB"/>
        </w:rPr>
        <w:t xml:space="preserve"> (New York: Springer, 2012), 399-430.</w:t>
      </w:r>
    </w:p>
    <w:p w14:paraId="7FA91361" w14:textId="77777777" w:rsidR="00442620" w:rsidRPr="00CF189D" w:rsidRDefault="00442620" w:rsidP="00DD4818">
      <w:pPr>
        <w:pStyle w:val="Footnotes"/>
        <w:rPr>
          <w:rFonts w:ascii="Calibri" w:hAnsi="Calibri" w:cs="Calibri"/>
          <w:sz w:val="22"/>
          <w:szCs w:val="22"/>
          <w:lang w:eastAsia="en-GB"/>
        </w:rPr>
      </w:pPr>
    </w:p>
    <w:p w14:paraId="14597FE1" w14:textId="1E78BD43" w:rsidR="00442620" w:rsidRDefault="00442620" w:rsidP="00DD4818">
      <w:pPr>
        <w:pStyle w:val="Footnotes"/>
        <w:rPr>
          <w:rFonts w:ascii="Calibri" w:hAnsi="Calibri" w:cs="Calibri"/>
          <w:sz w:val="22"/>
          <w:szCs w:val="22"/>
          <w:lang w:eastAsia="en-GB"/>
        </w:rPr>
      </w:pPr>
      <w:r w:rsidRPr="00CF189D">
        <w:rPr>
          <w:rFonts w:ascii="Calibri" w:hAnsi="Calibri" w:cs="Calibri"/>
          <w:sz w:val="22"/>
          <w:szCs w:val="22"/>
          <w:lang w:eastAsia="en-GB"/>
        </w:rPr>
        <w:t>Ferroni M, Reforming foreign aid: the role of international public goods (Washington DC: World Bank, 2000).</w:t>
      </w:r>
    </w:p>
    <w:p w14:paraId="5F465CE3" w14:textId="77777777" w:rsidR="007569A0" w:rsidRDefault="007569A0" w:rsidP="007569A0">
      <w:pPr>
        <w:pStyle w:val="FootnoteText"/>
        <w:rPr>
          <w:rFonts w:ascii="Calibri" w:hAnsi="Calibri" w:cs="Calibri"/>
          <w:color w:val="000000" w:themeColor="text1"/>
          <w:sz w:val="22"/>
          <w:szCs w:val="22"/>
        </w:rPr>
      </w:pPr>
    </w:p>
    <w:p w14:paraId="29664B48" w14:textId="77777777" w:rsidR="007569A0" w:rsidRPr="007569A0" w:rsidRDefault="007569A0" w:rsidP="007569A0">
      <w:pPr>
        <w:pStyle w:val="FootnoteText"/>
        <w:rPr>
          <w:rFonts w:ascii="Calibri" w:hAnsi="Calibri" w:cs="Calibri"/>
          <w:color w:val="000000" w:themeColor="text1"/>
          <w:sz w:val="22"/>
          <w:szCs w:val="22"/>
        </w:rPr>
      </w:pPr>
      <w:r w:rsidRPr="003A4BF2">
        <w:rPr>
          <w:rFonts w:ascii="Calibri" w:hAnsi="Calibri" w:cs="Calibri"/>
          <w:color w:val="000000" w:themeColor="text1"/>
          <w:sz w:val="22"/>
          <w:szCs w:val="22"/>
        </w:rPr>
        <w:t xml:space="preserve">Finnemore M, ‘Redefining Development at the World Bank’, in F Cooper and R Packard (Eds.), </w:t>
      </w:r>
      <w:r w:rsidRPr="003A4BF2">
        <w:rPr>
          <w:rFonts w:ascii="Calibri" w:hAnsi="Calibri" w:cs="Calibri"/>
          <w:i/>
          <w:color w:val="000000" w:themeColor="text1"/>
          <w:sz w:val="22"/>
          <w:szCs w:val="22"/>
        </w:rPr>
        <w:t xml:space="preserve">International development and the social sciences: essays on the history and politics of knowledge </w:t>
      </w:r>
      <w:r w:rsidRPr="003A4BF2">
        <w:rPr>
          <w:rFonts w:ascii="Calibri" w:hAnsi="Calibri" w:cs="Calibri"/>
          <w:color w:val="000000" w:themeColor="text1"/>
          <w:sz w:val="22"/>
          <w:szCs w:val="22"/>
        </w:rPr>
        <w:t>(Berkeley: University of California Press, 1997), 203-227</w:t>
      </w:r>
      <w:r>
        <w:rPr>
          <w:rFonts w:ascii="Calibri" w:hAnsi="Calibri" w:cs="Calibri"/>
          <w:color w:val="000000" w:themeColor="text1"/>
          <w:sz w:val="22"/>
          <w:szCs w:val="22"/>
        </w:rPr>
        <w:t>.</w:t>
      </w:r>
    </w:p>
    <w:p w14:paraId="44B4985F" w14:textId="77777777" w:rsidR="007569A0" w:rsidRDefault="007569A0" w:rsidP="00DD4818">
      <w:pPr>
        <w:pStyle w:val="Footnotes"/>
        <w:rPr>
          <w:rFonts w:ascii="Calibri" w:hAnsi="Calibri" w:cs="Calibri"/>
          <w:sz w:val="22"/>
          <w:szCs w:val="22"/>
          <w:lang w:eastAsia="en-GB"/>
        </w:rPr>
      </w:pPr>
    </w:p>
    <w:p w14:paraId="5C2B7747" w14:textId="77777777" w:rsidR="007569A0" w:rsidRPr="00454AD2" w:rsidRDefault="007569A0" w:rsidP="007569A0">
      <w:pPr>
        <w:pStyle w:val="FootnoteText"/>
        <w:rPr>
          <w:rFonts w:ascii="Calibri" w:hAnsi="Calibri" w:cs="Calibri"/>
          <w:i/>
          <w:color w:val="000000" w:themeColor="text1"/>
          <w:sz w:val="22"/>
          <w:szCs w:val="22"/>
        </w:rPr>
      </w:pPr>
    </w:p>
    <w:p w14:paraId="0A8BB9E9" w14:textId="77777777" w:rsidR="007569A0" w:rsidRPr="00233532" w:rsidRDefault="007569A0" w:rsidP="007569A0">
      <w:pPr>
        <w:pStyle w:val="FootnoteText"/>
        <w:rPr>
          <w:rFonts w:ascii="Calibri" w:hAnsi="Calibri" w:cs="Calibri"/>
          <w:b/>
          <w:i/>
          <w:color w:val="000000" w:themeColor="text1"/>
          <w:sz w:val="22"/>
          <w:szCs w:val="22"/>
        </w:rPr>
      </w:pPr>
      <w:r w:rsidRPr="00233532">
        <w:rPr>
          <w:rFonts w:ascii="Calibri" w:hAnsi="Calibri" w:cs="Calibri"/>
          <w:b/>
          <w:i/>
          <w:color w:val="000000" w:themeColor="text1"/>
          <w:sz w:val="22"/>
          <w:szCs w:val="22"/>
        </w:rPr>
        <w:t>Food and Agricultural Organization Archives</w:t>
      </w:r>
    </w:p>
    <w:p w14:paraId="2D67CE54" w14:textId="77777777" w:rsidR="007569A0" w:rsidRPr="00E12758" w:rsidRDefault="007569A0" w:rsidP="007569A0">
      <w:pPr>
        <w:pStyle w:val="FootnoteText"/>
        <w:rPr>
          <w:rFonts w:ascii="Calibri" w:hAnsi="Calibri" w:cs="Calibri"/>
          <w:color w:val="000000" w:themeColor="text1"/>
          <w:sz w:val="22"/>
          <w:szCs w:val="22"/>
        </w:rPr>
      </w:pPr>
    </w:p>
    <w:p w14:paraId="02632637" w14:textId="77777777" w:rsidR="007569A0" w:rsidRPr="00233532" w:rsidRDefault="007569A0" w:rsidP="007569A0">
      <w:pPr>
        <w:pStyle w:val="FootnoteText"/>
        <w:ind w:left="426" w:hanging="426"/>
        <w:rPr>
          <w:rFonts w:ascii="Calibri" w:hAnsi="Calibri" w:cs="Calibri"/>
          <w:color w:val="000000" w:themeColor="text1"/>
          <w:sz w:val="22"/>
          <w:szCs w:val="22"/>
        </w:rPr>
      </w:pPr>
      <w:r w:rsidRPr="00766A1F">
        <w:rPr>
          <w:rFonts w:ascii="Calibri" w:hAnsi="Calibri" w:cs="Calibri"/>
          <w:color w:val="000000" w:themeColor="text1"/>
          <w:sz w:val="22"/>
          <w:szCs w:val="22"/>
        </w:rPr>
        <w:t>------10-AGD-405, Sept</w:t>
      </w:r>
      <w:r w:rsidRPr="007A123B">
        <w:rPr>
          <w:rFonts w:ascii="Calibri" w:hAnsi="Calibri" w:cs="Calibri"/>
          <w:color w:val="000000" w:themeColor="text1"/>
          <w:sz w:val="22"/>
          <w:szCs w:val="22"/>
        </w:rPr>
        <w:t>ember 1976-November 1984, ‘Committee</w:t>
      </w:r>
      <w:r w:rsidRPr="00233532">
        <w:rPr>
          <w:rFonts w:ascii="Calibri" w:hAnsi="Calibri" w:cs="Calibri"/>
          <w:color w:val="000000" w:themeColor="text1"/>
          <w:sz w:val="22"/>
          <w:szCs w:val="22"/>
        </w:rPr>
        <w:t xml:space="preserve"> of Sponsoring Agencies report of the nineteenth meeting, Geneva, 25-27 June 1984, Draft’, 1984.</w:t>
      </w:r>
    </w:p>
    <w:p w14:paraId="30BDBA36" w14:textId="77777777" w:rsidR="007569A0" w:rsidRPr="00233532" w:rsidRDefault="007569A0" w:rsidP="007569A0">
      <w:pPr>
        <w:pStyle w:val="FootnoteText"/>
        <w:ind w:left="426" w:hanging="426"/>
        <w:rPr>
          <w:rFonts w:ascii="Calibri" w:hAnsi="Calibri" w:cs="Calibri"/>
          <w:color w:val="000000" w:themeColor="text1"/>
          <w:sz w:val="22"/>
          <w:szCs w:val="22"/>
        </w:rPr>
      </w:pPr>
    </w:p>
    <w:p w14:paraId="799D863A" w14:textId="77777777" w:rsidR="007569A0" w:rsidRPr="003A4BF2" w:rsidRDefault="007569A0" w:rsidP="007569A0">
      <w:pPr>
        <w:pStyle w:val="Footnotes"/>
        <w:rPr>
          <w:rFonts w:ascii="Calibri" w:hAnsi="Calibri" w:cs="Calibri"/>
          <w:sz w:val="22"/>
          <w:szCs w:val="22"/>
        </w:rPr>
      </w:pPr>
      <w:r w:rsidRPr="003A4BF2">
        <w:rPr>
          <w:rFonts w:ascii="Calibri" w:hAnsi="Calibri" w:cs="Calibri"/>
          <w:sz w:val="22"/>
          <w:szCs w:val="22"/>
        </w:rPr>
        <w:t>------ 10-AGD-405, September 1976-November 1984, ‘Committee of Sponsoring Agencies report of the nineteenth meeting, Geneva, 25-27 June 1984 [draft with handwritten changes]’, 1984.</w:t>
      </w:r>
    </w:p>
    <w:p w14:paraId="2B336365" w14:textId="77777777" w:rsidR="007569A0" w:rsidRPr="003A4BF2" w:rsidRDefault="007569A0" w:rsidP="007569A0">
      <w:pPr>
        <w:pStyle w:val="Footnotes"/>
        <w:rPr>
          <w:rFonts w:ascii="Calibri" w:hAnsi="Calibri" w:cs="Calibri"/>
          <w:sz w:val="22"/>
          <w:szCs w:val="22"/>
        </w:rPr>
      </w:pPr>
    </w:p>
    <w:p w14:paraId="6D78EB23" w14:textId="77777777" w:rsidR="007569A0" w:rsidRPr="007A123B" w:rsidRDefault="007569A0" w:rsidP="007569A0">
      <w:pPr>
        <w:pStyle w:val="FootnoteText"/>
        <w:ind w:left="426" w:hanging="426"/>
        <w:rPr>
          <w:rFonts w:ascii="Calibri" w:hAnsi="Calibri" w:cs="Calibri"/>
          <w:color w:val="000000" w:themeColor="text1"/>
          <w:sz w:val="22"/>
          <w:szCs w:val="22"/>
        </w:rPr>
      </w:pPr>
      <w:r w:rsidRPr="00233532">
        <w:rPr>
          <w:rFonts w:ascii="Calibri" w:hAnsi="Calibri" w:cs="Calibri"/>
          <w:color w:val="000000" w:themeColor="text1"/>
          <w:sz w:val="22"/>
          <w:szCs w:val="22"/>
        </w:rPr>
        <w:lastRenderedPageBreak/>
        <w:t>------10-AGD-405, Septem</w:t>
      </w:r>
      <w:r w:rsidRPr="00E12758">
        <w:rPr>
          <w:rFonts w:ascii="Calibri" w:hAnsi="Calibri" w:cs="Calibri"/>
          <w:color w:val="000000" w:themeColor="text1"/>
          <w:sz w:val="22"/>
          <w:szCs w:val="22"/>
        </w:rPr>
        <w:t xml:space="preserve">ber 1976-November 1984, </w:t>
      </w:r>
      <w:r w:rsidRPr="00766A1F">
        <w:rPr>
          <w:rFonts w:ascii="Calibri" w:hAnsi="Calibri" w:cs="Calibri"/>
          <w:color w:val="000000" w:themeColor="text1"/>
          <w:sz w:val="22"/>
          <w:szCs w:val="22"/>
        </w:rPr>
        <w:t>C.G. Groom, ‘Reflexions of the Committee of Sponsoring Agencie</w:t>
      </w:r>
      <w:r w:rsidRPr="007A123B">
        <w:rPr>
          <w:rFonts w:ascii="Calibri" w:hAnsi="Calibri" w:cs="Calibri"/>
          <w:color w:val="000000" w:themeColor="text1"/>
          <w:sz w:val="22"/>
          <w:szCs w:val="22"/>
        </w:rPr>
        <w:t>s [handwritten comments]’, [November 1983].</w:t>
      </w:r>
    </w:p>
    <w:p w14:paraId="52E18890" w14:textId="77777777" w:rsidR="007569A0" w:rsidRPr="00233532" w:rsidRDefault="007569A0" w:rsidP="007569A0">
      <w:pPr>
        <w:pStyle w:val="FootnoteText"/>
        <w:ind w:left="426" w:hanging="426"/>
        <w:rPr>
          <w:rFonts w:ascii="Calibri" w:hAnsi="Calibri" w:cs="Calibri"/>
          <w:color w:val="000000" w:themeColor="text1"/>
          <w:sz w:val="22"/>
          <w:szCs w:val="22"/>
        </w:rPr>
      </w:pPr>
    </w:p>
    <w:p w14:paraId="3140D70D" w14:textId="77777777" w:rsidR="007569A0" w:rsidRPr="003A4BF2" w:rsidRDefault="007569A0" w:rsidP="007569A0">
      <w:pPr>
        <w:pStyle w:val="Footnotes"/>
        <w:rPr>
          <w:rFonts w:ascii="Calibri" w:hAnsi="Calibri" w:cs="Calibri"/>
          <w:sz w:val="22"/>
          <w:szCs w:val="22"/>
        </w:rPr>
      </w:pPr>
      <w:r w:rsidRPr="003A4BF2">
        <w:rPr>
          <w:rFonts w:ascii="Calibri" w:hAnsi="Calibri" w:cs="Calibri"/>
          <w:sz w:val="22"/>
          <w:szCs w:val="22"/>
        </w:rPr>
        <w:t>------10-AGD-405, September 1976-November 1984, ‘FAO’s role in connection with the Onchocerciasis Control Programme, draft’, November 1983.</w:t>
      </w:r>
    </w:p>
    <w:p w14:paraId="1F86E64A" w14:textId="77777777" w:rsidR="007569A0" w:rsidRPr="003A4BF2" w:rsidRDefault="007569A0" w:rsidP="007569A0">
      <w:pPr>
        <w:pStyle w:val="Footnotes"/>
        <w:rPr>
          <w:rFonts w:ascii="Calibri" w:hAnsi="Calibri" w:cs="Calibri"/>
          <w:sz w:val="22"/>
          <w:szCs w:val="22"/>
        </w:rPr>
      </w:pPr>
    </w:p>
    <w:p w14:paraId="153D7330" w14:textId="77777777" w:rsidR="007569A0" w:rsidRPr="00766A1F" w:rsidRDefault="007569A0" w:rsidP="007569A0">
      <w:pPr>
        <w:pStyle w:val="FootnoteText"/>
        <w:ind w:left="426" w:hanging="426"/>
        <w:rPr>
          <w:rFonts w:ascii="Calibri" w:hAnsi="Calibri" w:cs="Calibri"/>
          <w:color w:val="000000" w:themeColor="text1"/>
          <w:sz w:val="22"/>
          <w:szCs w:val="22"/>
        </w:rPr>
      </w:pPr>
      <w:r w:rsidRPr="00233532">
        <w:rPr>
          <w:rFonts w:ascii="Calibri" w:hAnsi="Calibri" w:cs="Calibri"/>
          <w:color w:val="000000" w:themeColor="text1"/>
          <w:sz w:val="22"/>
          <w:szCs w:val="22"/>
        </w:rPr>
        <w:t>------10-AGD-405, September 1976-November 1984, David Carney, ‘Develop</w:t>
      </w:r>
      <w:r w:rsidRPr="00E12758">
        <w:rPr>
          <w:rFonts w:ascii="Calibri" w:hAnsi="Calibri" w:cs="Calibri"/>
          <w:color w:val="000000" w:themeColor="text1"/>
          <w:sz w:val="22"/>
          <w:szCs w:val="22"/>
        </w:rPr>
        <w:t>ment or economic development of the oncho-freed zones of the Volta river basin – or o</w:t>
      </w:r>
      <w:r w:rsidRPr="00766A1F">
        <w:rPr>
          <w:rFonts w:ascii="Calibri" w:hAnsi="Calibri" w:cs="Calibri"/>
          <w:color w:val="000000" w:themeColor="text1"/>
          <w:sz w:val="22"/>
          <w:szCs w:val="22"/>
        </w:rPr>
        <w:t>ptions in-between’, 1976.</w:t>
      </w:r>
    </w:p>
    <w:p w14:paraId="7178A4CB" w14:textId="77777777" w:rsidR="007569A0" w:rsidRPr="007A123B" w:rsidRDefault="007569A0" w:rsidP="007569A0">
      <w:pPr>
        <w:pStyle w:val="FootnoteText"/>
        <w:ind w:left="426" w:hanging="426"/>
        <w:rPr>
          <w:rFonts w:ascii="Calibri" w:hAnsi="Calibri" w:cs="Calibri"/>
          <w:color w:val="000000" w:themeColor="text1"/>
          <w:sz w:val="22"/>
          <w:szCs w:val="22"/>
        </w:rPr>
      </w:pPr>
    </w:p>
    <w:p w14:paraId="3C56EDF7" w14:textId="77777777" w:rsidR="007569A0" w:rsidRPr="00233532" w:rsidRDefault="007569A0" w:rsidP="007569A0">
      <w:pPr>
        <w:pStyle w:val="FootnoteText"/>
        <w:ind w:left="426" w:hanging="426"/>
        <w:rPr>
          <w:rFonts w:ascii="Calibri" w:hAnsi="Calibri" w:cs="Calibri"/>
          <w:color w:val="000000" w:themeColor="text1"/>
          <w:sz w:val="22"/>
          <w:szCs w:val="22"/>
        </w:rPr>
      </w:pPr>
      <w:r w:rsidRPr="00233532">
        <w:rPr>
          <w:rFonts w:ascii="Calibri" w:hAnsi="Calibri" w:cs="Calibri"/>
          <w:color w:val="000000" w:themeColor="text1"/>
          <w:sz w:val="22"/>
          <w:szCs w:val="22"/>
        </w:rPr>
        <w:t>------10-AGD-405, T.S.E. Aribisala to Oncho Task Force Members, ‘Proposal to review/revise the PAG mission report in the light of progress and developments in the Onchocerciasis Control Programme’, 2 December 1977.</w:t>
      </w:r>
    </w:p>
    <w:p w14:paraId="6DF3FE0F" w14:textId="77777777" w:rsidR="007569A0" w:rsidRPr="003A4BF2" w:rsidRDefault="007569A0" w:rsidP="007569A0">
      <w:pPr>
        <w:pStyle w:val="Footnotes"/>
        <w:rPr>
          <w:rFonts w:ascii="Calibri" w:hAnsi="Calibri" w:cs="Calibri"/>
          <w:sz w:val="22"/>
          <w:szCs w:val="22"/>
        </w:rPr>
      </w:pPr>
    </w:p>
    <w:p w14:paraId="446683C7" w14:textId="77777777" w:rsidR="007569A0" w:rsidRPr="003A4BF2" w:rsidRDefault="007569A0" w:rsidP="007569A0">
      <w:pPr>
        <w:pStyle w:val="Footnotes"/>
        <w:rPr>
          <w:rFonts w:ascii="Calibri" w:hAnsi="Calibri" w:cs="Calibri"/>
          <w:sz w:val="22"/>
          <w:szCs w:val="22"/>
        </w:rPr>
      </w:pPr>
      <w:r w:rsidRPr="003A4BF2">
        <w:rPr>
          <w:rFonts w:ascii="Calibri" w:hAnsi="Calibri" w:cs="Calibri"/>
          <w:sz w:val="22"/>
          <w:szCs w:val="22"/>
        </w:rPr>
        <w:t>------10-AGS-239, February 1979-June 1979, T.S.B. Aribisala to D.F.R. Bommer, ‘Back-to-office report after attendance in Paris at the 5</w:t>
      </w:r>
      <w:r w:rsidRPr="003A4BF2">
        <w:rPr>
          <w:rFonts w:ascii="Calibri" w:hAnsi="Calibri" w:cs="Calibri"/>
          <w:sz w:val="22"/>
          <w:szCs w:val="22"/>
          <w:vertAlign w:val="superscript"/>
        </w:rPr>
        <w:t>th</w:t>
      </w:r>
      <w:r w:rsidRPr="003A4BF2">
        <w:rPr>
          <w:rFonts w:ascii="Calibri" w:hAnsi="Calibri" w:cs="Calibri"/>
          <w:sz w:val="22"/>
          <w:szCs w:val="22"/>
        </w:rPr>
        <w:t xml:space="preserve"> meeting of EDAP (11-13 September 1978) to review the draft of the evaluation report on the socio-economic development of the onchocerciasis areas in West Africa and the 23rd session of the Steering Committee (13-15 September 1978)’, 9 February 1979.</w:t>
      </w:r>
    </w:p>
    <w:p w14:paraId="2BDA4CB9" w14:textId="77777777" w:rsidR="007569A0" w:rsidRPr="003A4BF2" w:rsidRDefault="007569A0" w:rsidP="007569A0">
      <w:pPr>
        <w:pStyle w:val="Footnotes"/>
        <w:rPr>
          <w:rFonts w:ascii="Calibri" w:hAnsi="Calibri" w:cs="Calibri"/>
          <w:sz w:val="22"/>
          <w:szCs w:val="22"/>
        </w:rPr>
      </w:pPr>
    </w:p>
    <w:p w14:paraId="70BE3078" w14:textId="77777777" w:rsidR="007569A0" w:rsidRPr="00766A1F" w:rsidRDefault="007569A0" w:rsidP="007569A0">
      <w:pPr>
        <w:pStyle w:val="FootnoteText"/>
        <w:ind w:left="426" w:hanging="426"/>
        <w:rPr>
          <w:rFonts w:ascii="Calibri" w:hAnsi="Calibri" w:cs="Calibri"/>
          <w:color w:val="000000" w:themeColor="text1"/>
          <w:sz w:val="22"/>
          <w:szCs w:val="22"/>
        </w:rPr>
      </w:pPr>
      <w:r w:rsidRPr="00233532">
        <w:rPr>
          <w:rFonts w:ascii="Calibri" w:hAnsi="Calibri" w:cs="Calibri"/>
          <w:color w:val="000000" w:themeColor="text1"/>
          <w:sz w:val="22"/>
          <w:szCs w:val="22"/>
        </w:rPr>
        <w:t>------10-AGS-239, February-June 1979, Declan Walton</w:t>
      </w:r>
      <w:r w:rsidRPr="00E12758">
        <w:rPr>
          <w:rFonts w:ascii="Calibri" w:hAnsi="Calibri" w:cs="Calibri"/>
          <w:color w:val="000000" w:themeColor="text1"/>
          <w:sz w:val="22"/>
          <w:szCs w:val="22"/>
        </w:rPr>
        <w:t xml:space="preserve"> to S. Flache, 18 June 1979.</w:t>
      </w:r>
    </w:p>
    <w:p w14:paraId="4B564E93" w14:textId="77777777" w:rsidR="007569A0" w:rsidRPr="00766A1F" w:rsidRDefault="007569A0" w:rsidP="007569A0">
      <w:pPr>
        <w:pStyle w:val="FootnoteText"/>
        <w:ind w:left="426" w:hanging="426"/>
        <w:rPr>
          <w:rFonts w:ascii="Calibri" w:hAnsi="Calibri" w:cs="Calibri"/>
          <w:color w:val="000000" w:themeColor="text1"/>
          <w:sz w:val="22"/>
          <w:szCs w:val="22"/>
        </w:rPr>
      </w:pPr>
    </w:p>
    <w:p w14:paraId="4911354B" w14:textId="77777777" w:rsidR="007569A0" w:rsidRPr="00233532" w:rsidRDefault="007569A0" w:rsidP="007569A0">
      <w:pPr>
        <w:pStyle w:val="FootnoteText"/>
        <w:ind w:left="426" w:hanging="426"/>
        <w:rPr>
          <w:rFonts w:ascii="Calibri" w:hAnsi="Calibri" w:cs="Calibri"/>
          <w:color w:val="000000" w:themeColor="text1"/>
          <w:sz w:val="22"/>
          <w:szCs w:val="22"/>
        </w:rPr>
      </w:pPr>
      <w:r w:rsidRPr="007A123B">
        <w:rPr>
          <w:rFonts w:ascii="Calibri" w:hAnsi="Calibri" w:cs="Calibri"/>
          <w:color w:val="000000" w:themeColor="text1"/>
          <w:sz w:val="22"/>
          <w:szCs w:val="22"/>
        </w:rPr>
        <w:t xml:space="preserve">------10-AGS-239, February-June 1979, T.S.B. Aribisala </w:t>
      </w:r>
      <w:r w:rsidRPr="00233532">
        <w:rPr>
          <w:rFonts w:ascii="Calibri" w:hAnsi="Calibri" w:cs="Calibri"/>
          <w:color w:val="000000" w:themeColor="text1"/>
          <w:sz w:val="22"/>
          <w:szCs w:val="22"/>
        </w:rPr>
        <w:t>to Marc Bazin, 29 May 1979.</w:t>
      </w:r>
    </w:p>
    <w:p w14:paraId="34365A8F" w14:textId="77777777" w:rsidR="007569A0" w:rsidRPr="00233532" w:rsidRDefault="007569A0" w:rsidP="007569A0">
      <w:pPr>
        <w:pStyle w:val="FootnoteText"/>
        <w:ind w:left="426" w:hanging="426"/>
        <w:rPr>
          <w:rFonts w:ascii="Calibri" w:hAnsi="Calibri" w:cs="Calibri"/>
          <w:color w:val="000000" w:themeColor="text1"/>
          <w:sz w:val="22"/>
          <w:szCs w:val="22"/>
        </w:rPr>
      </w:pPr>
    </w:p>
    <w:p w14:paraId="243CF166" w14:textId="77777777" w:rsidR="007569A0" w:rsidRPr="00233532" w:rsidRDefault="007569A0" w:rsidP="007569A0">
      <w:pPr>
        <w:pStyle w:val="FootnoteText"/>
        <w:ind w:left="426" w:hanging="426"/>
        <w:rPr>
          <w:rFonts w:ascii="Calibri" w:hAnsi="Calibri" w:cs="Calibri"/>
          <w:color w:val="000000" w:themeColor="text1"/>
          <w:sz w:val="22"/>
          <w:szCs w:val="22"/>
        </w:rPr>
      </w:pPr>
      <w:r w:rsidRPr="00233532">
        <w:rPr>
          <w:rFonts w:ascii="Calibri" w:hAnsi="Calibri" w:cs="Calibri"/>
          <w:color w:val="000000" w:themeColor="text1"/>
          <w:sz w:val="22"/>
          <w:szCs w:val="22"/>
        </w:rPr>
        <w:t>------10-AGS-239, October 1979, ‘JCC 6</w:t>
      </w:r>
      <w:r w:rsidRPr="00233532">
        <w:rPr>
          <w:rFonts w:ascii="Calibri" w:hAnsi="Calibri" w:cs="Calibri"/>
          <w:color w:val="000000" w:themeColor="text1"/>
          <w:sz w:val="22"/>
          <w:szCs w:val="22"/>
          <w:vertAlign w:val="superscript"/>
        </w:rPr>
        <w:t>th</w:t>
      </w:r>
      <w:r w:rsidRPr="00233532">
        <w:rPr>
          <w:rFonts w:ascii="Calibri" w:hAnsi="Calibri" w:cs="Calibri"/>
          <w:color w:val="000000" w:themeColor="text1"/>
          <w:sz w:val="22"/>
          <w:szCs w:val="22"/>
        </w:rPr>
        <w:t xml:space="preserve"> session, provisional agenda item 7’, 25 October 1979.</w:t>
      </w:r>
    </w:p>
    <w:p w14:paraId="51059A8A" w14:textId="77777777" w:rsidR="007569A0" w:rsidRPr="003A4BF2" w:rsidRDefault="007569A0" w:rsidP="007569A0">
      <w:pPr>
        <w:pStyle w:val="Footnotes"/>
        <w:rPr>
          <w:rFonts w:ascii="Calibri" w:hAnsi="Calibri" w:cs="Calibri"/>
          <w:sz w:val="22"/>
          <w:szCs w:val="22"/>
        </w:rPr>
      </w:pPr>
    </w:p>
    <w:p w14:paraId="5F067AB8" w14:textId="77777777" w:rsidR="007569A0" w:rsidRPr="003A4BF2" w:rsidRDefault="007569A0" w:rsidP="007569A0">
      <w:pPr>
        <w:pStyle w:val="Footnotes"/>
        <w:rPr>
          <w:rFonts w:ascii="Calibri" w:hAnsi="Calibri" w:cs="Calibri"/>
          <w:sz w:val="22"/>
          <w:szCs w:val="22"/>
        </w:rPr>
      </w:pPr>
      <w:r w:rsidRPr="003A4BF2">
        <w:rPr>
          <w:rFonts w:ascii="Calibri" w:hAnsi="Calibri" w:cs="Calibri"/>
          <w:sz w:val="22"/>
          <w:szCs w:val="22"/>
        </w:rPr>
        <w:t>------10-AGS-239, July-August 1979, E.H. West through D.F.R. Bommer to C. Bonte-Friedheim, ‘FAO’s financial involvement in the Onchocerciasis Control Programme’, 24 July 1979.</w:t>
      </w:r>
    </w:p>
    <w:p w14:paraId="169ED5D7" w14:textId="77777777" w:rsidR="007569A0" w:rsidRPr="00233532" w:rsidRDefault="007569A0" w:rsidP="007569A0">
      <w:pPr>
        <w:pStyle w:val="FootnoteText"/>
        <w:ind w:left="426" w:hanging="426"/>
        <w:rPr>
          <w:rFonts w:ascii="Calibri" w:hAnsi="Calibri" w:cs="Calibri"/>
          <w:color w:val="000000" w:themeColor="text1"/>
          <w:sz w:val="22"/>
          <w:szCs w:val="22"/>
        </w:rPr>
      </w:pPr>
    </w:p>
    <w:p w14:paraId="667E4948" w14:textId="77777777" w:rsidR="007569A0" w:rsidRPr="00233532" w:rsidRDefault="007569A0" w:rsidP="007569A0">
      <w:pPr>
        <w:pStyle w:val="FootnoteText"/>
        <w:ind w:left="426" w:hanging="426"/>
        <w:rPr>
          <w:rFonts w:ascii="Calibri" w:hAnsi="Calibri" w:cs="Calibri"/>
          <w:color w:val="000000" w:themeColor="text1"/>
          <w:sz w:val="22"/>
          <w:szCs w:val="22"/>
        </w:rPr>
      </w:pPr>
      <w:r w:rsidRPr="00E12758">
        <w:rPr>
          <w:rFonts w:ascii="Calibri" w:hAnsi="Calibri" w:cs="Calibri"/>
          <w:color w:val="000000" w:themeColor="text1"/>
          <w:sz w:val="22"/>
          <w:szCs w:val="22"/>
        </w:rPr>
        <w:t>------10-AGS-239, November 1979-January 1980, ‘Back-to-office report, 28</w:t>
      </w:r>
      <w:r w:rsidRPr="00766A1F">
        <w:rPr>
          <w:rFonts w:ascii="Calibri" w:hAnsi="Calibri" w:cs="Calibri"/>
          <w:color w:val="000000" w:themeColor="text1"/>
          <w:sz w:val="22"/>
          <w:szCs w:val="22"/>
          <w:vertAlign w:val="superscript"/>
        </w:rPr>
        <w:t>th</w:t>
      </w:r>
      <w:r w:rsidRPr="00766A1F">
        <w:rPr>
          <w:rFonts w:ascii="Calibri" w:hAnsi="Calibri" w:cs="Calibri"/>
          <w:color w:val="000000" w:themeColor="text1"/>
          <w:sz w:val="22"/>
          <w:szCs w:val="22"/>
        </w:rPr>
        <w:t xml:space="preserve"> Steering Commit</w:t>
      </w:r>
      <w:r w:rsidRPr="007A123B">
        <w:rPr>
          <w:rFonts w:ascii="Calibri" w:hAnsi="Calibri" w:cs="Calibri"/>
          <w:color w:val="000000" w:themeColor="text1"/>
          <w:sz w:val="22"/>
          <w:szCs w:val="22"/>
        </w:rPr>
        <w:t>tee, 6</w:t>
      </w:r>
      <w:r w:rsidRPr="007A123B">
        <w:rPr>
          <w:rFonts w:ascii="Calibri" w:hAnsi="Calibri" w:cs="Calibri"/>
          <w:color w:val="000000" w:themeColor="text1"/>
          <w:sz w:val="22"/>
          <w:szCs w:val="22"/>
          <w:vertAlign w:val="superscript"/>
        </w:rPr>
        <w:t>th</w:t>
      </w:r>
      <w:r w:rsidRPr="00233532">
        <w:rPr>
          <w:rFonts w:ascii="Calibri" w:hAnsi="Calibri" w:cs="Calibri"/>
          <w:color w:val="000000" w:themeColor="text1"/>
          <w:sz w:val="22"/>
          <w:szCs w:val="22"/>
        </w:rPr>
        <w:t xml:space="preserve"> JCC’, 1980. </w:t>
      </w:r>
    </w:p>
    <w:p w14:paraId="15CE477E" w14:textId="77777777" w:rsidR="007569A0" w:rsidRPr="003A4BF2" w:rsidRDefault="007569A0" w:rsidP="007569A0">
      <w:pPr>
        <w:pStyle w:val="Footnotes"/>
        <w:rPr>
          <w:rFonts w:ascii="Calibri" w:hAnsi="Calibri" w:cs="Calibri"/>
          <w:sz w:val="22"/>
          <w:szCs w:val="22"/>
        </w:rPr>
      </w:pPr>
    </w:p>
    <w:p w14:paraId="25997BAD" w14:textId="77777777" w:rsidR="007569A0" w:rsidRPr="003A4BF2" w:rsidRDefault="007569A0" w:rsidP="007569A0">
      <w:pPr>
        <w:pStyle w:val="Footnotes"/>
        <w:rPr>
          <w:rFonts w:ascii="Calibri" w:hAnsi="Calibri" w:cs="Calibri"/>
          <w:sz w:val="22"/>
          <w:szCs w:val="22"/>
        </w:rPr>
      </w:pPr>
      <w:r w:rsidRPr="003A4BF2">
        <w:rPr>
          <w:rFonts w:ascii="Calibri" w:hAnsi="Calibri" w:cs="Calibri"/>
          <w:sz w:val="22"/>
          <w:szCs w:val="22"/>
        </w:rPr>
        <w:t>------10-AGS-239, September 1979, ‘Steering Committee for Onchocerciasis Control in the Volta River basin area, report of its twenty-seventh session, Geneva’, 10-11 September 1979.</w:t>
      </w:r>
    </w:p>
    <w:p w14:paraId="0C2A5998" w14:textId="77777777" w:rsidR="007569A0" w:rsidRPr="003A4BF2" w:rsidRDefault="007569A0" w:rsidP="007569A0">
      <w:pPr>
        <w:pStyle w:val="Footnotes"/>
        <w:rPr>
          <w:rFonts w:ascii="Calibri" w:hAnsi="Calibri" w:cs="Calibri"/>
          <w:sz w:val="22"/>
          <w:szCs w:val="22"/>
        </w:rPr>
      </w:pPr>
    </w:p>
    <w:p w14:paraId="4FBBC31B" w14:textId="77777777" w:rsidR="007569A0" w:rsidRPr="003A4BF2" w:rsidRDefault="007569A0" w:rsidP="007569A0">
      <w:pPr>
        <w:pStyle w:val="Footnotes"/>
        <w:rPr>
          <w:rFonts w:ascii="Calibri" w:hAnsi="Calibri" w:cs="Calibri"/>
          <w:sz w:val="22"/>
          <w:szCs w:val="22"/>
        </w:rPr>
      </w:pPr>
      <w:r w:rsidRPr="003A4BF2">
        <w:rPr>
          <w:rFonts w:ascii="Calibri" w:hAnsi="Calibri" w:cs="Calibri"/>
          <w:sz w:val="22"/>
          <w:szCs w:val="22"/>
        </w:rPr>
        <w:t>------10-AGS-239, September 1979, C. Bonte-Friedheim and C.G. Groom, ‘Comments on the draft WHO annual report (1979) on the progress of the Onchocerciasis Control Programme’, 20 September 1979.</w:t>
      </w:r>
    </w:p>
    <w:p w14:paraId="7138C70F" w14:textId="77777777" w:rsidR="007569A0" w:rsidRPr="003A4BF2" w:rsidRDefault="007569A0" w:rsidP="007569A0">
      <w:pPr>
        <w:pStyle w:val="Footnotes"/>
        <w:rPr>
          <w:rFonts w:ascii="Calibri" w:hAnsi="Calibri" w:cs="Calibri"/>
          <w:sz w:val="22"/>
          <w:szCs w:val="22"/>
        </w:rPr>
      </w:pPr>
    </w:p>
    <w:p w14:paraId="2A398C00" w14:textId="77777777" w:rsidR="007569A0" w:rsidRPr="003A4BF2" w:rsidRDefault="007569A0" w:rsidP="007569A0">
      <w:pPr>
        <w:pStyle w:val="Footnotes"/>
        <w:rPr>
          <w:rFonts w:ascii="Calibri" w:hAnsi="Calibri" w:cs="Calibri"/>
          <w:sz w:val="22"/>
          <w:szCs w:val="22"/>
        </w:rPr>
      </w:pPr>
      <w:r w:rsidRPr="003A4BF2">
        <w:rPr>
          <w:rFonts w:ascii="Calibri" w:hAnsi="Calibri" w:cs="Calibri"/>
          <w:sz w:val="22"/>
          <w:szCs w:val="22"/>
        </w:rPr>
        <w:t>------10-AGS-239, September 1979, C.G. Groom, ‘Working copy, OCP/PR/79.4, draft, progress report of the World Health Organization for 1979’, [September 1979].</w:t>
      </w:r>
    </w:p>
    <w:p w14:paraId="7CBCB815" w14:textId="77777777" w:rsidR="007569A0" w:rsidRPr="003A4BF2" w:rsidRDefault="007569A0" w:rsidP="007569A0">
      <w:pPr>
        <w:pStyle w:val="Footnotes"/>
        <w:rPr>
          <w:rFonts w:ascii="Calibri" w:hAnsi="Calibri" w:cs="Calibri"/>
          <w:sz w:val="22"/>
          <w:szCs w:val="22"/>
        </w:rPr>
      </w:pPr>
    </w:p>
    <w:p w14:paraId="6EEF06E5" w14:textId="77777777" w:rsidR="007569A0" w:rsidRPr="007A123B" w:rsidRDefault="007569A0" w:rsidP="007569A0">
      <w:pPr>
        <w:pStyle w:val="FootnoteText"/>
        <w:ind w:left="426" w:hanging="426"/>
        <w:rPr>
          <w:rFonts w:ascii="Calibri" w:hAnsi="Calibri" w:cs="Calibri"/>
          <w:color w:val="000000" w:themeColor="text1"/>
          <w:sz w:val="22"/>
          <w:szCs w:val="22"/>
        </w:rPr>
      </w:pPr>
      <w:r w:rsidRPr="00233532">
        <w:rPr>
          <w:rFonts w:ascii="Calibri" w:hAnsi="Calibri" w:cs="Calibri"/>
          <w:color w:val="000000" w:themeColor="text1"/>
          <w:sz w:val="22"/>
          <w:szCs w:val="22"/>
        </w:rPr>
        <w:t>------10-AGS-240, February-June 1979, Marie Randriamamojy t</w:t>
      </w:r>
      <w:r w:rsidRPr="00E12758">
        <w:rPr>
          <w:rFonts w:ascii="Calibri" w:hAnsi="Calibri" w:cs="Calibri"/>
          <w:color w:val="000000" w:themeColor="text1"/>
          <w:sz w:val="22"/>
          <w:szCs w:val="22"/>
        </w:rPr>
        <w:t xml:space="preserve">o Ludmilla A </w:t>
      </w:r>
      <w:r w:rsidRPr="00766A1F">
        <w:rPr>
          <w:rFonts w:ascii="Calibri" w:hAnsi="Calibri" w:cs="Calibri"/>
          <w:color w:val="000000" w:themeColor="text1"/>
          <w:sz w:val="22"/>
          <w:szCs w:val="22"/>
        </w:rPr>
        <w:t>Marin, ‘Proposals for the follow-up of Mrs. Bisilliat’s recommendations concerning women promotion in Onchocerciasis Control Programme a</w:t>
      </w:r>
      <w:r w:rsidRPr="007A123B">
        <w:rPr>
          <w:rFonts w:ascii="Calibri" w:hAnsi="Calibri" w:cs="Calibri"/>
          <w:color w:val="000000" w:themeColor="text1"/>
          <w:sz w:val="22"/>
          <w:szCs w:val="22"/>
        </w:rPr>
        <w:t>rea’, 18 April 1979.</w:t>
      </w:r>
    </w:p>
    <w:p w14:paraId="62E87667" w14:textId="77777777" w:rsidR="007569A0" w:rsidRPr="00233532" w:rsidRDefault="007569A0" w:rsidP="007569A0">
      <w:pPr>
        <w:pStyle w:val="FootnoteText"/>
        <w:ind w:left="426" w:hanging="426"/>
        <w:rPr>
          <w:rFonts w:ascii="Calibri" w:hAnsi="Calibri" w:cs="Calibri"/>
          <w:color w:val="000000" w:themeColor="text1"/>
          <w:sz w:val="22"/>
          <w:szCs w:val="22"/>
        </w:rPr>
      </w:pPr>
    </w:p>
    <w:p w14:paraId="0B1326F6" w14:textId="77777777" w:rsidR="007569A0" w:rsidRPr="00233532" w:rsidRDefault="007569A0" w:rsidP="007569A0">
      <w:pPr>
        <w:pStyle w:val="FootnoteText"/>
        <w:ind w:left="426" w:hanging="426"/>
        <w:rPr>
          <w:rFonts w:ascii="Calibri" w:hAnsi="Calibri" w:cs="Calibri"/>
          <w:color w:val="000000" w:themeColor="text1"/>
          <w:sz w:val="22"/>
          <w:szCs w:val="22"/>
        </w:rPr>
      </w:pPr>
      <w:r w:rsidRPr="00233532">
        <w:rPr>
          <w:rFonts w:ascii="Calibri" w:hAnsi="Calibri" w:cs="Calibri"/>
          <w:color w:val="000000" w:themeColor="text1"/>
          <w:sz w:val="22"/>
          <w:szCs w:val="22"/>
        </w:rPr>
        <w:lastRenderedPageBreak/>
        <w:t>------10-AGS-240, July-October 1980, ‘Back-to-office report, 28</w:t>
      </w:r>
      <w:r w:rsidRPr="00233532">
        <w:rPr>
          <w:rFonts w:ascii="Calibri" w:hAnsi="Calibri" w:cs="Calibri"/>
          <w:color w:val="000000" w:themeColor="text1"/>
          <w:sz w:val="22"/>
          <w:szCs w:val="22"/>
          <w:vertAlign w:val="superscript"/>
        </w:rPr>
        <w:t>th</w:t>
      </w:r>
      <w:r w:rsidRPr="00233532">
        <w:rPr>
          <w:rFonts w:ascii="Calibri" w:hAnsi="Calibri" w:cs="Calibri"/>
          <w:color w:val="000000" w:themeColor="text1"/>
          <w:sz w:val="22"/>
          <w:szCs w:val="22"/>
        </w:rPr>
        <w:t xml:space="preserve"> Steering Committee, 6</w:t>
      </w:r>
      <w:r w:rsidRPr="00233532">
        <w:rPr>
          <w:rFonts w:ascii="Calibri" w:hAnsi="Calibri" w:cs="Calibri"/>
          <w:color w:val="000000" w:themeColor="text1"/>
          <w:sz w:val="22"/>
          <w:szCs w:val="22"/>
          <w:vertAlign w:val="superscript"/>
        </w:rPr>
        <w:t>th</w:t>
      </w:r>
      <w:r w:rsidRPr="00233532">
        <w:rPr>
          <w:rFonts w:ascii="Calibri" w:hAnsi="Calibri" w:cs="Calibri"/>
          <w:color w:val="000000" w:themeColor="text1"/>
          <w:sz w:val="22"/>
          <w:szCs w:val="22"/>
        </w:rPr>
        <w:t xml:space="preserve"> JCC’, 1980, Annex I.</w:t>
      </w:r>
    </w:p>
    <w:p w14:paraId="78CA612A" w14:textId="77777777" w:rsidR="007569A0" w:rsidRPr="003A4BF2" w:rsidRDefault="007569A0" w:rsidP="007569A0">
      <w:pPr>
        <w:pStyle w:val="Footnotes"/>
        <w:rPr>
          <w:rFonts w:ascii="Calibri" w:hAnsi="Calibri" w:cs="Calibri"/>
          <w:sz w:val="22"/>
          <w:szCs w:val="22"/>
        </w:rPr>
      </w:pPr>
    </w:p>
    <w:p w14:paraId="06FE7223" w14:textId="77777777" w:rsidR="007569A0" w:rsidRPr="003A4BF2" w:rsidRDefault="007569A0" w:rsidP="007569A0">
      <w:pPr>
        <w:pStyle w:val="Footnotes"/>
        <w:rPr>
          <w:rFonts w:ascii="Calibri" w:hAnsi="Calibri" w:cs="Calibri"/>
          <w:sz w:val="22"/>
          <w:szCs w:val="22"/>
        </w:rPr>
      </w:pPr>
      <w:r w:rsidRPr="003A4BF2">
        <w:rPr>
          <w:rFonts w:ascii="Calibri" w:hAnsi="Calibri" w:cs="Calibri"/>
          <w:sz w:val="22"/>
          <w:szCs w:val="22"/>
        </w:rPr>
        <w:t>------10-AGS-240, November 1979-January 1980, ‘Speech by Bonte-Friedham, JCC 6</w:t>
      </w:r>
      <w:r w:rsidRPr="003A4BF2">
        <w:rPr>
          <w:rFonts w:ascii="Calibri" w:hAnsi="Calibri" w:cs="Calibri"/>
          <w:sz w:val="22"/>
          <w:szCs w:val="22"/>
          <w:vertAlign w:val="superscript"/>
        </w:rPr>
        <w:t>th</w:t>
      </w:r>
      <w:r w:rsidRPr="003A4BF2">
        <w:rPr>
          <w:rFonts w:ascii="Calibri" w:hAnsi="Calibri" w:cs="Calibri"/>
          <w:sz w:val="22"/>
          <w:szCs w:val="22"/>
        </w:rPr>
        <w:t xml:space="preserve"> session, FAO’S past, present and future role’, [1980].</w:t>
      </w:r>
    </w:p>
    <w:p w14:paraId="6A6D4F27" w14:textId="77777777" w:rsidR="007569A0" w:rsidRPr="003A4BF2" w:rsidRDefault="007569A0" w:rsidP="007569A0">
      <w:pPr>
        <w:pStyle w:val="Footnotes"/>
        <w:rPr>
          <w:rFonts w:ascii="Calibri" w:hAnsi="Calibri" w:cs="Calibri"/>
          <w:sz w:val="22"/>
          <w:szCs w:val="22"/>
        </w:rPr>
      </w:pPr>
    </w:p>
    <w:p w14:paraId="7E826BF9" w14:textId="77777777" w:rsidR="007569A0" w:rsidRPr="003A4BF2" w:rsidRDefault="007569A0" w:rsidP="007569A0">
      <w:pPr>
        <w:pStyle w:val="Footnotes"/>
        <w:rPr>
          <w:rFonts w:ascii="Calibri" w:hAnsi="Calibri" w:cs="Calibri"/>
          <w:sz w:val="22"/>
          <w:szCs w:val="22"/>
        </w:rPr>
      </w:pPr>
      <w:r w:rsidRPr="003A4BF2">
        <w:rPr>
          <w:rFonts w:ascii="Calibri" w:hAnsi="Calibri" w:cs="Calibri"/>
          <w:sz w:val="22"/>
          <w:szCs w:val="22"/>
        </w:rPr>
        <w:t xml:space="preserve">------10-AGS-240, November 1979-January 1980, ‘Steering Committee for Onchocerciasis Control in the Volta River basin area, report of its twenty-sixth session, New York’, 28-29 June 1979. </w:t>
      </w:r>
    </w:p>
    <w:p w14:paraId="6C75235E" w14:textId="77777777" w:rsidR="007569A0" w:rsidRPr="00233532" w:rsidRDefault="007569A0" w:rsidP="007569A0">
      <w:pPr>
        <w:pStyle w:val="FootnoteText"/>
        <w:ind w:left="426" w:hanging="426"/>
        <w:rPr>
          <w:rFonts w:ascii="Calibri" w:hAnsi="Calibri" w:cs="Calibri"/>
          <w:color w:val="000000" w:themeColor="text1"/>
          <w:sz w:val="22"/>
          <w:szCs w:val="22"/>
        </w:rPr>
      </w:pPr>
    </w:p>
    <w:p w14:paraId="64DACD59" w14:textId="77777777" w:rsidR="007569A0" w:rsidRPr="007A123B" w:rsidRDefault="007569A0" w:rsidP="007569A0">
      <w:pPr>
        <w:pStyle w:val="FootnoteText"/>
        <w:ind w:left="426" w:hanging="426"/>
        <w:rPr>
          <w:rFonts w:ascii="Calibri" w:hAnsi="Calibri" w:cs="Calibri"/>
          <w:color w:val="000000" w:themeColor="text1"/>
          <w:sz w:val="22"/>
          <w:szCs w:val="22"/>
        </w:rPr>
      </w:pPr>
      <w:r w:rsidRPr="00E12758">
        <w:rPr>
          <w:rFonts w:ascii="Calibri" w:hAnsi="Calibri" w:cs="Calibri"/>
          <w:color w:val="000000" w:themeColor="text1"/>
          <w:sz w:val="22"/>
          <w:szCs w:val="22"/>
        </w:rPr>
        <w:t xml:space="preserve">------10-AGS-240, November 1979-January 1980, C.H. </w:t>
      </w:r>
      <w:r w:rsidRPr="00766A1F">
        <w:rPr>
          <w:rFonts w:ascii="Calibri" w:hAnsi="Calibri" w:cs="Calibri"/>
          <w:color w:val="000000" w:themeColor="text1"/>
          <w:sz w:val="22"/>
          <w:szCs w:val="22"/>
        </w:rPr>
        <w:t>Bonte-Friedheim to Noise Mensah, ‘Oncho-programme – West Africa’, 11 January 1980.</w:t>
      </w:r>
    </w:p>
    <w:p w14:paraId="3904C771" w14:textId="77777777" w:rsidR="007569A0" w:rsidRPr="00233532" w:rsidRDefault="007569A0" w:rsidP="007569A0">
      <w:pPr>
        <w:pStyle w:val="FootnoteText"/>
        <w:ind w:left="426" w:hanging="426"/>
        <w:rPr>
          <w:rFonts w:ascii="Calibri" w:hAnsi="Calibri" w:cs="Calibri"/>
          <w:color w:val="000000" w:themeColor="text1"/>
          <w:sz w:val="22"/>
          <w:szCs w:val="22"/>
        </w:rPr>
      </w:pPr>
    </w:p>
    <w:p w14:paraId="07641A6A" w14:textId="77777777" w:rsidR="007569A0" w:rsidRPr="00233532" w:rsidRDefault="007569A0" w:rsidP="007569A0">
      <w:pPr>
        <w:pStyle w:val="FootnoteText"/>
        <w:ind w:left="426" w:hanging="426"/>
        <w:rPr>
          <w:rFonts w:ascii="Calibri" w:hAnsi="Calibri" w:cs="Calibri"/>
          <w:color w:val="000000" w:themeColor="text1"/>
          <w:sz w:val="22"/>
          <w:szCs w:val="22"/>
        </w:rPr>
      </w:pPr>
      <w:r w:rsidRPr="00233532">
        <w:rPr>
          <w:rFonts w:ascii="Calibri" w:hAnsi="Calibri" w:cs="Calibri"/>
          <w:color w:val="000000" w:themeColor="text1"/>
          <w:sz w:val="22"/>
          <w:szCs w:val="22"/>
        </w:rPr>
        <w:t>------10-AGS-240, November 1980-February 1981, ‘Joint Programme Commission, 1</w:t>
      </w:r>
      <w:r w:rsidRPr="00233532">
        <w:rPr>
          <w:rFonts w:ascii="Calibri" w:hAnsi="Calibri" w:cs="Calibri"/>
          <w:color w:val="000000" w:themeColor="text1"/>
          <w:sz w:val="22"/>
          <w:szCs w:val="22"/>
          <w:vertAlign w:val="superscript"/>
        </w:rPr>
        <w:t>st</w:t>
      </w:r>
      <w:r w:rsidRPr="00233532">
        <w:rPr>
          <w:rFonts w:ascii="Calibri" w:hAnsi="Calibri" w:cs="Calibri"/>
          <w:color w:val="000000" w:themeColor="text1"/>
          <w:sz w:val="22"/>
          <w:szCs w:val="22"/>
        </w:rPr>
        <w:t xml:space="preserve"> Session, Yamoussoukro, Ivory Coast, 25-27 November 1980, Draft Report’, 1980. </w:t>
      </w:r>
    </w:p>
    <w:p w14:paraId="2655F840" w14:textId="77777777" w:rsidR="007569A0" w:rsidRPr="00233532" w:rsidRDefault="007569A0" w:rsidP="007569A0">
      <w:pPr>
        <w:pStyle w:val="FootnoteText"/>
        <w:ind w:left="426" w:hanging="426"/>
        <w:rPr>
          <w:rFonts w:ascii="Calibri" w:hAnsi="Calibri" w:cs="Calibri"/>
          <w:color w:val="000000" w:themeColor="text1"/>
          <w:sz w:val="22"/>
          <w:szCs w:val="22"/>
        </w:rPr>
      </w:pPr>
    </w:p>
    <w:p w14:paraId="4B217B60" w14:textId="77777777" w:rsidR="007569A0" w:rsidRPr="00233532" w:rsidRDefault="007569A0" w:rsidP="007569A0">
      <w:pPr>
        <w:pStyle w:val="FootnoteText"/>
        <w:ind w:left="426" w:hanging="426"/>
        <w:rPr>
          <w:rFonts w:ascii="Calibri" w:hAnsi="Calibri" w:cs="Calibri"/>
          <w:color w:val="000000" w:themeColor="text1"/>
          <w:sz w:val="22"/>
          <w:szCs w:val="22"/>
        </w:rPr>
      </w:pPr>
      <w:r w:rsidRPr="00233532">
        <w:rPr>
          <w:rFonts w:ascii="Calibri" w:hAnsi="Calibri" w:cs="Calibri"/>
          <w:color w:val="000000" w:themeColor="text1"/>
          <w:sz w:val="22"/>
          <w:szCs w:val="22"/>
        </w:rPr>
        <w:t>------10-AGS-240, November 1980-February 1981, J.D.M. Marr to Files, ‘Joint discussions CSA/EAC, Yamoussoukro, 29 November’, 5 December 1980.</w:t>
      </w:r>
    </w:p>
    <w:p w14:paraId="5E8700B1" w14:textId="77777777" w:rsidR="007569A0" w:rsidRPr="00233532" w:rsidRDefault="007569A0" w:rsidP="007569A0">
      <w:pPr>
        <w:pStyle w:val="FootnoteText"/>
        <w:ind w:left="426" w:hanging="426"/>
        <w:rPr>
          <w:rFonts w:ascii="Calibri" w:hAnsi="Calibri" w:cs="Calibri"/>
          <w:color w:val="000000" w:themeColor="text1"/>
          <w:sz w:val="22"/>
          <w:szCs w:val="22"/>
        </w:rPr>
      </w:pPr>
    </w:p>
    <w:p w14:paraId="7C3278F0" w14:textId="77777777" w:rsidR="007569A0" w:rsidRPr="00233532" w:rsidRDefault="007569A0" w:rsidP="007569A0">
      <w:pPr>
        <w:pStyle w:val="FootnoteText"/>
        <w:ind w:left="426" w:hanging="426"/>
        <w:rPr>
          <w:rFonts w:ascii="Calibri" w:hAnsi="Calibri" w:cs="Calibri"/>
          <w:color w:val="000000" w:themeColor="text1"/>
          <w:sz w:val="22"/>
          <w:szCs w:val="22"/>
        </w:rPr>
      </w:pPr>
      <w:r w:rsidRPr="00233532">
        <w:rPr>
          <w:rFonts w:ascii="Calibri" w:hAnsi="Calibri" w:cs="Calibri"/>
          <w:color w:val="000000" w:themeColor="text1"/>
          <w:sz w:val="22"/>
          <w:szCs w:val="22"/>
        </w:rPr>
        <w:t>------10-AGS-240, November 1980-February 1981, Leon Segal to Stephen Denning, 9 February 1981.</w:t>
      </w:r>
    </w:p>
    <w:p w14:paraId="37568BF2" w14:textId="77777777" w:rsidR="007569A0" w:rsidRPr="003A4BF2" w:rsidRDefault="007569A0" w:rsidP="007569A0">
      <w:pPr>
        <w:pStyle w:val="Footnotes"/>
        <w:rPr>
          <w:rFonts w:ascii="Calibri" w:hAnsi="Calibri" w:cs="Calibri"/>
          <w:sz w:val="22"/>
          <w:szCs w:val="22"/>
        </w:rPr>
      </w:pPr>
    </w:p>
    <w:p w14:paraId="0E438707" w14:textId="77777777" w:rsidR="007569A0" w:rsidRPr="003A4BF2" w:rsidRDefault="007569A0" w:rsidP="007569A0">
      <w:pPr>
        <w:pStyle w:val="Footnotes"/>
        <w:rPr>
          <w:rFonts w:ascii="Calibri" w:hAnsi="Calibri" w:cs="Calibri"/>
          <w:sz w:val="22"/>
          <w:szCs w:val="22"/>
        </w:rPr>
      </w:pPr>
      <w:r w:rsidRPr="003A4BF2">
        <w:rPr>
          <w:rFonts w:ascii="Calibri" w:hAnsi="Calibri" w:cs="Calibri"/>
          <w:sz w:val="22"/>
          <w:szCs w:val="22"/>
        </w:rPr>
        <w:t>------10-AGS-241, April 1982-August 1982, ‘Committee of Sponsoring Agencies report of eighth meeting, Accra, 1-4 June’, June 1982.</w:t>
      </w:r>
    </w:p>
    <w:p w14:paraId="4F9FCF4A" w14:textId="77777777" w:rsidR="007569A0" w:rsidRPr="003A4BF2" w:rsidRDefault="007569A0" w:rsidP="007569A0">
      <w:pPr>
        <w:pStyle w:val="Footnotes"/>
        <w:rPr>
          <w:rFonts w:ascii="Calibri" w:hAnsi="Calibri" w:cs="Calibri"/>
          <w:sz w:val="22"/>
          <w:szCs w:val="22"/>
        </w:rPr>
      </w:pPr>
    </w:p>
    <w:p w14:paraId="40E0291E" w14:textId="77777777" w:rsidR="007569A0" w:rsidRPr="003A4BF2" w:rsidRDefault="007569A0" w:rsidP="007569A0">
      <w:pPr>
        <w:pStyle w:val="Footnotes"/>
        <w:rPr>
          <w:rFonts w:ascii="Calibri" w:hAnsi="Calibri" w:cs="Calibri"/>
          <w:sz w:val="22"/>
          <w:szCs w:val="22"/>
        </w:rPr>
      </w:pPr>
      <w:r w:rsidRPr="003A4BF2">
        <w:rPr>
          <w:rFonts w:ascii="Calibri" w:hAnsi="Calibri" w:cs="Calibri"/>
          <w:sz w:val="22"/>
          <w:szCs w:val="22"/>
        </w:rPr>
        <w:t>------10-AGS-241, April-August 1982, ‘Joint meeting of Committee of Sponsoring Agencies (CSA) of OCP and the Standing Committee of TDR, OCP chemotherapy project’, 1982.</w:t>
      </w:r>
    </w:p>
    <w:p w14:paraId="72963891" w14:textId="77777777" w:rsidR="007569A0" w:rsidRPr="00233532" w:rsidRDefault="007569A0" w:rsidP="007569A0">
      <w:pPr>
        <w:pStyle w:val="FootnoteText"/>
        <w:ind w:left="426" w:hanging="426"/>
        <w:rPr>
          <w:rFonts w:ascii="Calibri" w:hAnsi="Calibri" w:cs="Calibri"/>
          <w:color w:val="000000" w:themeColor="text1"/>
          <w:sz w:val="22"/>
          <w:szCs w:val="22"/>
        </w:rPr>
      </w:pPr>
    </w:p>
    <w:p w14:paraId="0804F642" w14:textId="77777777" w:rsidR="007569A0" w:rsidRPr="00233532" w:rsidRDefault="007569A0" w:rsidP="007569A0">
      <w:pPr>
        <w:pStyle w:val="FootnoteText"/>
        <w:ind w:left="426" w:hanging="426"/>
        <w:rPr>
          <w:rFonts w:ascii="Calibri" w:hAnsi="Calibri" w:cs="Calibri"/>
          <w:color w:val="000000" w:themeColor="text1"/>
          <w:sz w:val="22"/>
          <w:szCs w:val="22"/>
        </w:rPr>
      </w:pPr>
      <w:r w:rsidRPr="00E12758">
        <w:rPr>
          <w:rFonts w:ascii="Calibri" w:hAnsi="Calibri" w:cs="Calibri"/>
          <w:color w:val="000000" w:themeColor="text1"/>
          <w:sz w:val="22"/>
          <w:szCs w:val="22"/>
        </w:rPr>
        <w:t xml:space="preserve">------10-AGS-241, </w:t>
      </w:r>
      <w:r w:rsidRPr="00766A1F">
        <w:rPr>
          <w:rFonts w:ascii="Calibri" w:hAnsi="Calibri" w:cs="Calibri"/>
          <w:color w:val="000000" w:themeColor="text1"/>
          <w:sz w:val="22"/>
          <w:szCs w:val="22"/>
        </w:rPr>
        <w:t>April-August 1982, C.G. Groom to M.S.O. Nicholas, ‘Duty travel to Geneva 28-30 June 1</w:t>
      </w:r>
      <w:r w:rsidRPr="007A123B">
        <w:rPr>
          <w:rFonts w:ascii="Calibri" w:hAnsi="Calibri" w:cs="Calibri"/>
          <w:color w:val="000000" w:themeColor="text1"/>
          <w:sz w:val="22"/>
          <w:szCs w:val="22"/>
        </w:rPr>
        <w:t xml:space="preserve">982 – back-to-office report’, 30 June 1982. </w:t>
      </w:r>
    </w:p>
    <w:p w14:paraId="416804E3" w14:textId="77777777" w:rsidR="007569A0" w:rsidRPr="003A4BF2" w:rsidRDefault="007569A0" w:rsidP="007569A0">
      <w:pPr>
        <w:pStyle w:val="Footnotes"/>
        <w:rPr>
          <w:rFonts w:ascii="Calibri" w:hAnsi="Calibri" w:cs="Calibri"/>
          <w:sz w:val="22"/>
          <w:szCs w:val="22"/>
        </w:rPr>
      </w:pPr>
    </w:p>
    <w:p w14:paraId="4E905A2C" w14:textId="77777777" w:rsidR="007569A0" w:rsidRPr="003A4BF2" w:rsidRDefault="007569A0" w:rsidP="007569A0">
      <w:pPr>
        <w:pStyle w:val="Footnotes"/>
        <w:rPr>
          <w:rFonts w:ascii="Calibri" w:hAnsi="Calibri" w:cs="Calibri"/>
          <w:sz w:val="22"/>
          <w:szCs w:val="22"/>
        </w:rPr>
      </w:pPr>
      <w:r w:rsidRPr="003A4BF2">
        <w:rPr>
          <w:rFonts w:ascii="Calibri" w:hAnsi="Calibri" w:cs="Calibri"/>
          <w:sz w:val="22"/>
          <w:szCs w:val="22"/>
        </w:rPr>
        <w:t xml:space="preserve">------10-AGS-241, April-August 1982, Quentin Peel, ‘The impact of strong medicine on the fragile [with handwritten FAO staff notes]’, </w:t>
      </w:r>
      <w:r w:rsidRPr="003A4BF2">
        <w:rPr>
          <w:rFonts w:ascii="Calibri" w:hAnsi="Calibri" w:cs="Calibri"/>
          <w:i/>
          <w:iCs/>
          <w:sz w:val="22"/>
          <w:szCs w:val="22"/>
        </w:rPr>
        <w:t>Financial Times</w:t>
      </w:r>
      <w:r w:rsidRPr="003A4BF2">
        <w:rPr>
          <w:rFonts w:ascii="Calibri" w:hAnsi="Calibri" w:cs="Calibri"/>
          <w:iCs/>
          <w:sz w:val="22"/>
          <w:szCs w:val="22"/>
        </w:rPr>
        <w:t xml:space="preserve">, </w:t>
      </w:r>
      <w:r w:rsidRPr="003A4BF2">
        <w:rPr>
          <w:rFonts w:ascii="Calibri" w:hAnsi="Calibri" w:cs="Calibri"/>
          <w:sz w:val="22"/>
          <w:szCs w:val="22"/>
        </w:rPr>
        <w:t xml:space="preserve">9 August 1982. </w:t>
      </w:r>
    </w:p>
    <w:p w14:paraId="12E01E6E" w14:textId="77777777" w:rsidR="007569A0" w:rsidRPr="00233532" w:rsidRDefault="007569A0" w:rsidP="007569A0">
      <w:pPr>
        <w:pStyle w:val="FootnoteText"/>
        <w:ind w:left="426" w:hanging="426"/>
        <w:rPr>
          <w:rFonts w:ascii="Calibri" w:hAnsi="Calibri" w:cs="Calibri"/>
          <w:color w:val="000000" w:themeColor="text1"/>
          <w:sz w:val="22"/>
          <w:szCs w:val="22"/>
        </w:rPr>
      </w:pPr>
    </w:p>
    <w:p w14:paraId="3AFC30A3" w14:textId="77777777" w:rsidR="007569A0" w:rsidRPr="007A123B" w:rsidRDefault="007569A0" w:rsidP="007569A0">
      <w:pPr>
        <w:pStyle w:val="FootnoteText"/>
        <w:ind w:left="426" w:hanging="426"/>
        <w:rPr>
          <w:rFonts w:ascii="Calibri" w:hAnsi="Calibri" w:cs="Calibri"/>
          <w:color w:val="000000" w:themeColor="text1"/>
          <w:sz w:val="22"/>
          <w:szCs w:val="22"/>
        </w:rPr>
      </w:pPr>
      <w:r w:rsidRPr="00E12758">
        <w:rPr>
          <w:rFonts w:ascii="Calibri" w:hAnsi="Calibri" w:cs="Calibri"/>
          <w:color w:val="000000" w:themeColor="text1"/>
          <w:sz w:val="22"/>
          <w:szCs w:val="22"/>
        </w:rPr>
        <w:t>------10-AGS-241, June-September 1981, ‘Co</w:t>
      </w:r>
      <w:r w:rsidRPr="00766A1F">
        <w:rPr>
          <w:rFonts w:ascii="Calibri" w:hAnsi="Calibri" w:cs="Calibri"/>
          <w:color w:val="000000" w:themeColor="text1"/>
          <w:sz w:val="22"/>
          <w:szCs w:val="22"/>
        </w:rPr>
        <w:t>mmittee of Sponsoring Agencies, report of the fourth meeting, Niamey’, 9 June 1981.</w:t>
      </w:r>
    </w:p>
    <w:p w14:paraId="77E2AC69" w14:textId="77777777" w:rsidR="007569A0" w:rsidRPr="00233532" w:rsidRDefault="007569A0" w:rsidP="007569A0">
      <w:pPr>
        <w:pStyle w:val="FootnoteText"/>
        <w:ind w:left="426" w:hanging="426"/>
        <w:rPr>
          <w:rFonts w:ascii="Calibri" w:hAnsi="Calibri" w:cs="Calibri"/>
          <w:color w:val="000000" w:themeColor="text1"/>
          <w:sz w:val="22"/>
          <w:szCs w:val="22"/>
        </w:rPr>
      </w:pPr>
    </w:p>
    <w:p w14:paraId="4DFD381F" w14:textId="77777777" w:rsidR="007569A0" w:rsidRPr="003A4BF2" w:rsidRDefault="007569A0" w:rsidP="007569A0">
      <w:pPr>
        <w:pStyle w:val="Footnotes"/>
        <w:rPr>
          <w:rFonts w:ascii="Calibri" w:hAnsi="Calibri" w:cs="Calibri"/>
          <w:sz w:val="22"/>
          <w:szCs w:val="22"/>
        </w:rPr>
      </w:pPr>
      <w:r w:rsidRPr="003A4BF2">
        <w:rPr>
          <w:rFonts w:ascii="Calibri" w:hAnsi="Calibri" w:cs="Calibri"/>
          <w:sz w:val="22"/>
          <w:szCs w:val="22"/>
        </w:rPr>
        <w:t>------10-AGS-241, November 1981-March 1982, ‘Committee of Sponsoring Agencies, report of seventh meeting, Ouagadougou,’ 3-4 February 1982.</w:t>
      </w:r>
    </w:p>
    <w:p w14:paraId="065EE065" w14:textId="77777777" w:rsidR="007569A0" w:rsidRPr="003A4BF2" w:rsidRDefault="007569A0" w:rsidP="007569A0">
      <w:pPr>
        <w:pStyle w:val="Footnotes"/>
        <w:rPr>
          <w:rFonts w:ascii="Calibri" w:hAnsi="Calibri" w:cs="Calibri"/>
          <w:sz w:val="22"/>
          <w:szCs w:val="22"/>
        </w:rPr>
      </w:pPr>
    </w:p>
    <w:p w14:paraId="00D34216" w14:textId="77777777" w:rsidR="007569A0" w:rsidRPr="003A4BF2" w:rsidRDefault="007569A0" w:rsidP="007569A0">
      <w:pPr>
        <w:pStyle w:val="Footnotes"/>
        <w:rPr>
          <w:rFonts w:ascii="Calibri" w:hAnsi="Calibri" w:cs="Calibri"/>
          <w:sz w:val="22"/>
          <w:szCs w:val="22"/>
        </w:rPr>
      </w:pPr>
      <w:r w:rsidRPr="003A4BF2">
        <w:rPr>
          <w:rFonts w:ascii="Calibri" w:hAnsi="Calibri" w:cs="Calibri"/>
          <w:sz w:val="22"/>
          <w:szCs w:val="22"/>
        </w:rPr>
        <w:t>------10-AGS-241, November 1981-March 1982, ‘CSA: report of sixth meeting, Geneva, 29/30 November and 4 December’, December 1981.</w:t>
      </w:r>
    </w:p>
    <w:p w14:paraId="439AECBB" w14:textId="77777777" w:rsidR="007569A0" w:rsidRPr="003A4BF2" w:rsidRDefault="007569A0" w:rsidP="007569A0">
      <w:pPr>
        <w:pStyle w:val="Footnotes"/>
        <w:rPr>
          <w:rFonts w:ascii="Calibri" w:hAnsi="Calibri" w:cs="Calibri"/>
          <w:sz w:val="22"/>
          <w:szCs w:val="22"/>
        </w:rPr>
      </w:pPr>
    </w:p>
    <w:p w14:paraId="29789841" w14:textId="77777777" w:rsidR="007569A0" w:rsidRPr="003A4BF2" w:rsidRDefault="007569A0" w:rsidP="007569A0">
      <w:pPr>
        <w:pStyle w:val="Footnotes"/>
        <w:rPr>
          <w:rFonts w:ascii="Calibri" w:hAnsi="Calibri" w:cs="Calibri"/>
          <w:sz w:val="22"/>
          <w:szCs w:val="22"/>
        </w:rPr>
      </w:pPr>
      <w:r w:rsidRPr="003A4BF2">
        <w:rPr>
          <w:rFonts w:ascii="Calibri" w:hAnsi="Calibri" w:cs="Calibri"/>
          <w:sz w:val="22"/>
          <w:szCs w:val="22"/>
        </w:rPr>
        <w:t>------10-AGS-241, November 1981-March 1982, ‘Promoting research to develop and test a new drug for treatment of onchocerciasis’, [November 1981].</w:t>
      </w:r>
    </w:p>
    <w:p w14:paraId="1275BE26" w14:textId="77777777" w:rsidR="007569A0" w:rsidRPr="003A4BF2" w:rsidRDefault="007569A0" w:rsidP="007569A0">
      <w:pPr>
        <w:pStyle w:val="Footnotes"/>
        <w:rPr>
          <w:rFonts w:ascii="Calibri" w:hAnsi="Calibri" w:cs="Calibri"/>
          <w:sz w:val="22"/>
          <w:szCs w:val="22"/>
        </w:rPr>
      </w:pPr>
    </w:p>
    <w:p w14:paraId="4A0C64B0" w14:textId="77777777" w:rsidR="007569A0" w:rsidRPr="003A4BF2" w:rsidRDefault="007569A0" w:rsidP="007569A0">
      <w:pPr>
        <w:pStyle w:val="Footnotes"/>
        <w:rPr>
          <w:rFonts w:ascii="Calibri" w:hAnsi="Calibri" w:cs="Calibri"/>
          <w:sz w:val="22"/>
          <w:szCs w:val="22"/>
        </w:rPr>
      </w:pPr>
      <w:r w:rsidRPr="003A4BF2">
        <w:rPr>
          <w:rFonts w:ascii="Calibri" w:hAnsi="Calibri" w:cs="Calibri"/>
          <w:sz w:val="22"/>
          <w:szCs w:val="22"/>
        </w:rPr>
        <w:t>------10-AGS-241, November 1981-March 1982, C.E. Gordon Smith to Halfdan Mahler, 4 January 1982.</w:t>
      </w:r>
    </w:p>
    <w:p w14:paraId="587F8635" w14:textId="77777777" w:rsidR="007569A0" w:rsidRPr="003A4BF2" w:rsidRDefault="007569A0" w:rsidP="007569A0">
      <w:pPr>
        <w:pStyle w:val="Footnotes"/>
        <w:rPr>
          <w:rFonts w:ascii="Calibri" w:hAnsi="Calibri" w:cs="Calibri"/>
          <w:sz w:val="22"/>
          <w:szCs w:val="22"/>
        </w:rPr>
      </w:pPr>
    </w:p>
    <w:p w14:paraId="2F4C8A07" w14:textId="77777777" w:rsidR="007569A0" w:rsidRPr="003A4BF2" w:rsidRDefault="007569A0" w:rsidP="007569A0">
      <w:pPr>
        <w:pStyle w:val="Footnotes"/>
        <w:rPr>
          <w:rFonts w:ascii="Calibri" w:hAnsi="Calibri" w:cs="Calibri"/>
          <w:sz w:val="22"/>
          <w:szCs w:val="22"/>
        </w:rPr>
      </w:pPr>
      <w:r w:rsidRPr="003A4BF2">
        <w:rPr>
          <w:rFonts w:ascii="Calibri" w:hAnsi="Calibri" w:cs="Calibri"/>
          <w:sz w:val="22"/>
          <w:szCs w:val="22"/>
        </w:rPr>
        <w:lastRenderedPageBreak/>
        <w:t>------10-AGS-241, November 1981-March 1982, J.D.M. Marr to Mowbray Nicholas, 13 November 1981.</w:t>
      </w:r>
    </w:p>
    <w:p w14:paraId="2658022A" w14:textId="77777777" w:rsidR="007569A0" w:rsidRPr="00233532" w:rsidRDefault="007569A0" w:rsidP="007569A0">
      <w:pPr>
        <w:pStyle w:val="FootnoteText"/>
        <w:ind w:left="426" w:hanging="426"/>
        <w:rPr>
          <w:rFonts w:ascii="Calibri" w:hAnsi="Calibri" w:cs="Calibri"/>
          <w:color w:val="000000" w:themeColor="text1"/>
          <w:sz w:val="22"/>
          <w:szCs w:val="22"/>
        </w:rPr>
      </w:pPr>
    </w:p>
    <w:p w14:paraId="1957D403" w14:textId="77777777" w:rsidR="007569A0" w:rsidRPr="00233532" w:rsidRDefault="007569A0" w:rsidP="007569A0">
      <w:pPr>
        <w:pStyle w:val="FootnoteText"/>
        <w:ind w:left="426" w:hanging="426"/>
        <w:rPr>
          <w:rFonts w:ascii="Calibri" w:hAnsi="Calibri" w:cs="Calibri"/>
          <w:color w:val="000000" w:themeColor="text1"/>
          <w:sz w:val="22"/>
          <w:szCs w:val="22"/>
        </w:rPr>
      </w:pPr>
      <w:r w:rsidRPr="00E12758">
        <w:rPr>
          <w:rFonts w:ascii="Calibri" w:hAnsi="Calibri" w:cs="Calibri"/>
          <w:color w:val="000000" w:themeColor="text1"/>
          <w:sz w:val="22"/>
          <w:szCs w:val="22"/>
        </w:rPr>
        <w:t>------10-AGS-241, October 1981, C.G. Groom to M.S.O. Nicholas, ‘Back-to</w:t>
      </w:r>
      <w:r w:rsidRPr="00766A1F">
        <w:rPr>
          <w:rFonts w:ascii="Calibri" w:hAnsi="Calibri" w:cs="Calibri"/>
          <w:color w:val="000000" w:themeColor="text1"/>
          <w:sz w:val="22"/>
          <w:szCs w:val="22"/>
        </w:rPr>
        <w:t>-office report on duty trip to Geneva 12 to 16 June’</w:t>
      </w:r>
      <w:r w:rsidRPr="007A123B">
        <w:rPr>
          <w:rFonts w:ascii="Calibri" w:hAnsi="Calibri" w:cs="Calibri"/>
          <w:color w:val="000000" w:themeColor="text1"/>
          <w:sz w:val="22"/>
          <w:szCs w:val="22"/>
        </w:rPr>
        <w:t>, 19 October 1981.</w:t>
      </w:r>
    </w:p>
    <w:p w14:paraId="596D26E5" w14:textId="77777777" w:rsidR="007569A0" w:rsidRPr="003A4BF2" w:rsidRDefault="007569A0" w:rsidP="007569A0">
      <w:pPr>
        <w:pStyle w:val="Footnotes"/>
        <w:rPr>
          <w:rFonts w:ascii="Calibri" w:hAnsi="Calibri" w:cs="Calibri"/>
          <w:sz w:val="22"/>
          <w:szCs w:val="22"/>
        </w:rPr>
      </w:pPr>
    </w:p>
    <w:p w14:paraId="4B79F4AF" w14:textId="77777777" w:rsidR="007569A0" w:rsidRPr="003A4BF2" w:rsidRDefault="007569A0" w:rsidP="007569A0">
      <w:pPr>
        <w:pStyle w:val="Footnotes"/>
        <w:rPr>
          <w:rFonts w:ascii="Calibri" w:hAnsi="Calibri" w:cs="Calibri"/>
          <w:sz w:val="22"/>
          <w:szCs w:val="22"/>
        </w:rPr>
      </w:pPr>
      <w:r w:rsidRPr="003A4BF2">
        <w:rPr>
          <w:rFonts w:ascii="Calibri" w:hAnsi="Calibri" w:cs="Calibri"/>
          <w:sz w:val="22"/>
          <w:szCs w:val="22"/>
        </w:rPr>
        <w:t>------10-AGS-239, September 1979, C. Bonte-Friedheim to C.G. Groom, ‘Confidential, Onchocerciasis Control Programme 27</w:t>
      </w:r>
      <w:r w:rsidRPr="003A4BF2">
        <w:rPr>
          <w:rFonts w:ascii="Calibri" w:hAnsi="Calibri" w:cs="Calibri"/>
          <w:sz w:val="22"/>
          <w:szCs w:val="22"/>
          <w:vertAlign w:val="superscript"/>
        </w:rPr>
        <w:t>th</w:t>
      </w:r>
      <w:r w:rsidRPr="003A4BF2">
        <w:rPr>
          <w:rFonts w:ascii="Calibri" w:hAnsi="Calibri" w:cs="Calibri"/>
          <w:sz w:val="22"/>
          <w:szCs w:val="22"/>
        </w:rPr>
        <w:t xml:space="preserve"> session of the Steering Committee, Geneva, 10-12 September’, 1979.</w:t>
      </w:r>
    </w:p>
    <w:p w14:paraId="488B9628" w14:textId="77777777" w:rsidR="00442620" w:rsidRPr="00233532" w:rsidRDefault="00442620" w:rsidP="00442620">
      <w:pPr>
        <w:pStyle w:val="FootnoteText"/>
        <w:rPr>
          <w:rFonts w:ascii="Calibri" w:hAnsi="Calibri" w:cs="Calibri"/>
          <w:color w:val="000000" w:themeColor="text1"/>
          <w:sz w:val="22"/>
          <w:szCs w:val="22"/>
        </w:rPr>
      </w:pPr>
    </w:p>
    <w:p w14:paraId="2E0C57F2" w14:textId="77777777" w:rsidR="00442620" w:rsidRPr="00233532" w:rsidRDefault="00442620" w:rsidP="00442620">
      <w:pPr>
        <w:pStyle w:val="FootnoteText"/>
        <w:rPr>
          <w:rFonts w:ascii="Calibri" w:hAnsi="Calibri" w:cs="Calibri"/>
          <w:color w:val="000000" w:themeColor="text1"/>
          <w:sz w:val="22"/>
          <w:szCs w:val="22"/>
        </w:rPr>
      </w:pPr>
      <w:r w:rsidRPr="00E12758">
        <w:rPr>
          <w:rFonts w:ascii="Calibri" w:hAnsi="Calibri" w:cs="Calibri"/>
          <w:color w:val="000000" w:themeColor="text1"/>
          <w:sz w:val="22"/>
          <w:szCs w:val="22"/>
        </w:rPr>
        <w:t xml:space="preserve">Fordon A, ‘The </w:t>
      </w:r>
      <w:r w:rsidRPr="00766A1F">
        <w:rPr>
          <w:rFonts w:ascii="Calibri" w:hAnsi="Calibri" w:cs="Calibri"/>
          <w:color w:val="000000" w:themeColor="text1"/>
          <w:sz w:val="22"/>
          <w:szCs w:val="22"/>
        </w:rPr>
        <w:t xml:space="preserve">World Bank and partners celebrate 40 years of success in controlling river blindness’, </w:t>
      </w:r>
      <w:r w:rsidRPr="00766A1F">
        <w:rPr>
          <w:rFonts w:ascii="Calibri" w:hAnsi="Calibri" w:cs="Calibri"/>
          <w:i/>
          <w:color w:val="000000" w:themeColor="text1"/>
          <w:sz w:val="22"/>
          <w:szCs w:val="22"/>
        </w:rPr>
        <w:t>End the Negle</w:t>
      </w:r>
      <w:r w:rsidRPr="007A123B">
        <w:rPr>
          <w:rFonts w:ascii="Calibri" w:hAnsi="Calibri" w:cs="Calibri"/>
          <w:i/>
          <w:color w:val="000000" w:themeColor="text1"/>
          <w:sz w:val="22"/>
          <w:szCs w:val="22"/>
        </w:rPr>
        <w:t xml:space="preserve">ct Blog </w:t>
      </w:r>
      <w:r w:rsidRPr="007A123B">
        <w:rPr>
          <w:rFonts w:ascii="Calibri" w:hAnsi="Calibri" w:cs="Calibri"/>
          <w:color w:val="000000" w:themeColor="text1"/>
          <w:sz w:val="22"/>
          <w:szCs w:val="22"/>
        </w:rPr>
        <w:t>(online), 19 June 2014 [acc</w:t>
      </w:r>
      <w:r w:rsidRPr="00233532">
        <w:rPr>
          <w:rFonts w:ascii="Calibri" w:hAnsi="Calibri" w:cs="Calibri"/>
          <w:color w:val="000000" w:themeColor="text1"/>
          <w:sz w:val="22"/>
          <w:szCs w:val="22"/>
        </w:rPr>
        <w:t>essed 15 February 2018].</w:t>
      </w:r>
    </w:p>
    <w:p w14:paraId="2A96A978" w14:textId="77777777" w:rsidR="00442620" w:rsidRPr="00233532" w:rsidRDefault="00442620" w:rsidP="00442620">
      <w:pPr>
        <w:pStyle w:val="FootnoteText"/>
        <w:rPr>
          <w:rFonts w:ascii="Calibri" w:hAnsi="Calibri" w:cs="Calibri"/>
          <w:color w:val="000000" w:themeColor="text1"/>
          <w:sz w:val="22"/>
          <w:szCs w:val="22"/>
        </w:rPr>
      </w:pPr>
    </w:p>
    <w:p w14:paraId="70F0302A" w14:textId="77777777" w:rsidR="00442620" w:rsidRPr="00233532" w:rsidRDefault="00442620" w:rsidP="00442620">
      <w:pPr>
        <w:pStyle w:val="FootnoteText"/>
        <w:rPr>
          <w:rFonts w:ascii="Calibri" w:hAnsi="Calibri" w:cs="Calibri"/>
          <w:color w:val="000000" w:themeColor="text1"/>
          <w:sz w:val="22"/>
          <w:szCs w:val="22"/>
          <w:lang w:eastAsia="en-GB"/>
        </w:rPr>
      </w:pPr>
      <w:r w:rsidRPr="00233532">
        <w:rPr>
          <w:rFonts w:ascii="Calibri" w:hAnsi="Calibri" w:cs="Calibri"/>
          <w:color w:val="000000" w:themeColor="text1"/>
          <w:sz w:val="22"/>
          <w:szCs w:val="22"/>
          <w:lang w:eastAsia="en-GB"/>
        </w:rPr>
        <w:t xml:space="preserve">Forget G., 'Balancing the need for pesticides with the risk to human health', in </w:t>
      </w:r>
      <w:r w:rsidRPr="00233532">
        <w:rPr>
          <w:rFonts w:ascii="Calibri" w:hAnsi="Calibri" w:cs="Calibri"/>
          <w:i/>
          <w:iCs/>
          <w:color w:val="000000" w:themeColor="text1"/>
          <w:sz w:val="22"/>
          <w:szCs w:val="22"/>
          <w:lang w:eastAsia="en-GB"/>
        </w:rPr>
        <w:t>Impact of pesticide use on health in developing countries: proceedings of a symposium held in Ottawa, Canada, 17-20 Sept. 1990</w:t>
      </w:r>
      <w:r w:rsidRPr="00233532">
        <w:rPr>
          <w:rFonts w:ascii="Calibri" w:hAnsi="Calibri" w:cs="Calibri"/>
          <w:color w:val="000000" w:themeColor="text1"/>
          <w:sz w:val="22"/>
          <w:szCs w:val="22"/>
          <w:lang w:eastAsia="en-GB"/>
        </w:rPr>
        <w:t xml:space="preserve"> (Ottawa: International Development Research Centre, 1993). </w:t>
      </w:r>
    </w:p>
    <w:p w14:paraId="4974B7B7" w14:textId="77777777" w:rsidR="00442620" w:rsidRPr="00233532" w:rsidRDefault="00442620" w:rsidP="00442620">
      <w:pPr>
        <w:pStyle w:val="FootnoteText"/>
        <w:rPr>
          <w:rFonts w:ascii="Calibri" w:hAnsi="Calibri" w:cs="Calibri"/>
          <w:color w:val="000000" w:themeColor="text1"/>
          <w:sz w:val="22"/>
          <w:szCs w:val="22"/>
        </w:rPr>
      </w:pPr>
    </w:p>
    <w:p w14:paraId="1DB8B615"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Francioni F, ‘Multilateralism a la carte: the limits of unilateral withholdings of assessed contributions to the UN budget’, </w:t>
      </w:r>
      <w:r w:rsidRPr="00233532">
        <w:rPr>
          <w:rFonts w:ascii="Calibri" w:hAnsi="Calibri" w:cs="Calibri"/>
          <w:i/>
          <w:color w:val="000000" w:themeColor="text1"/>
          <w:sz w:val="22"/>
          <w:szCs w:val="22"/>
        </w:rPr>
        <w:t xml:space="preserve">European Journal of International Law </w:t>
      </w:r>
      <w:r w:rsidRPr="00233532">
        <w:rPr>
          <w:rFonts w:ascii="Calibri" w:hAnsi="Calibri" w:cs="Calibri"/>
          <w:color w:val="000000" w:themeColor="text1"/>
          <w:sz w:val="22"/>
          <w:szCs w:val="22"/>
        </w:rPr>
        <w:t>11:1 (2000), 43-59.</w:t>
      </w:r>
    </w:p>
    <w:p w14:paraId="01B013CA" w14:textId="77777777" w:rsidR="00442620" w:rsidRPr="00233532" w:rsidRDefault="00442620" w:rsidP="00442620">
      <w:pPr>
        <w:pStyle w:val="FootnoteText"/>
        <w:rPr>
          <w:rFonts w:ascii="Calibri" w:hAnsi="Calibri" w:cs="Calibri"/>
          <w:color w:val="000000" w:themeColor="text1"/>
          <w:sz w:val="22"/>
          <w:szCs w:val="22"/>
        </w:rPr>
      </w:pPr>
    </w:p>
    <w:p w14:paraId="5AF3EF4B"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Frenk J and Moon S, ‘Governance challenges in global health’, </w:t>
      </w:r>
      <w:r w:rsidRPr="00233532">
        <w:rPr>
          <w:rFonts w:ascii="Calibri" w:hAnsi="Calibri" w:cs="Calibri"/>
          <w:i/>
          <w:color w:val="000000" w:themeColor="text1"/>
          <w:sz w:val="22"/>
          <w:szCs w:val="22"/>
        </w:rPr>
        <w:t xml:space="preserve">New England Journal of Medicine </w:t>
      </w:r>
      <w:r w:rsidRPr="00233532">
        <w:rPr>
          <w:rFonts w:ascii="Calibri" w:hAnsi="Calibri" w:cs="Calibri"/>
          <w:color w:val="000000" w:themeColor="text1"/>
          <w:sz w:val="22"/>
          <w:szCs w:val="22"/>
        </w:rPr>
        <w:t>368:10 (2013), 936-942.</w:t>
      </w:r>
    </w:p>
    <w:p w14:paraId="5B2FF1F4" w14:textId="77777777" w:rsidR="00442620" w:rsidRPr="00233532" w:rsidRDefault="00442620" w:rsidP="00442620">
      <w:pPr>
        <w:pStyle w:val="FootnoteText"/>
        <w:rPr>
          <w:rFonts w:ascii="Calibri" w:hAnsi="Calibri" w:cs="Calibri"/>
          <w:color w:val="000000" w:themeColor="text1"/>
          <w:sz w:val="22"/>
          <w:szCs w:val="22"/>
        </w:rPr>
      </w:pPr>
    </w:p>
    <w:p w14:paraId="59620916" w14:textId="77777777" w:rsidR="00442620" w:rsidRPr="00233532" w:rsidRDefault="00442620" w:rsidP="00442620">
      <w:pPr>
        <w:pStyle w:val="FootnoteText"/>
        <w:rPr>
          <w:rStyle w:val="FootnotesChar"/>
          <w:rFonts w:ascii="Calibri" w:hAnsi="Calibri" w:cs="Calibri"/>
          <w:color w:val="000000" w:themeColor="text1"/>
          <w:sz w:val="22"/>
          <w:szCs w:val="22"/>
        </w:rPr>
      </w:pPr>
      <w:r w:rsidRPr="00233532">
        <w:rPr>
          <w:rStyle w:val="FootnotesChar"/>
          <w:rFonts w:ascii="Calibri" w:hAnsi="Calibri" w:cs="Calibri"/>
          <w:color w:val="000000" w:themeColor="text1"/>
          <w:sz w:val="22"/>
          <w:szCs w:val="22"/>
        </w:rPr>
        <w:t xml:space="preserve">Fujisaki T and Reich MR, </w:t>
      </w:r>
      <w:r w:rsidRPr="00233532">
        <w:rPr>
          <w:rStyle w:val="FootnotesChar"/>
          <w:rFonts w:ascii="Calibri" w:hAnsi="Calibri" w:cs="Calibri"/>
          <w:i/>
          <w:color w:val="000000" w:themeColor="text1"/>
          <w:sz w:val="22"/>
          <w:szCs w:val="22"/>
        </w:rPr>
        <w:t>Assessment of TDR’s contributions to product development for tropical diseases: the case of ivermectin for onchocerciasis</w:t>
      </w:r>
      <w:r w:rsidRPr="00233532">
        <w:rPr>
          <w:rStyle w:val="FootnotesChar"/>
          <w:rFonts w:ascii="Calibri" w:hAnsi="Calibri" w:cs="Calibri"/>
          <w:color w:val="000000" w:themeColor="text1"/>
          <w:sz w:val="22"/>
          <w:szCs w:val="22"/>
        </w:rPr>
        <w:t xml:space="preserve"> (Boston: TDR, 1997).</w:t>
      </w:r>
    </w:p>
    <w:p w14:paraId="21037CF7" w14:textId="77777777" w:rsidR="00442620" w:rsidRPr="00233532" w:rsidRDefault="00442620" w:rsidP="00442620">
      <w:pPr>
        <w:pStyle w:val="FootnoteText"/>
        <w:rPr>
          <w:rFonts w:ascii="Calibri" w:hAnsi="Calibri" w:cs="Calibri"/>
          <w:color w:val="000000" w:themeColor="text1"/>
          <w:sz w:val="22"/>
          <w:szCs w:val="22"/>
        </w:rPr>
      </w:pPr>
    </w:p>
    <w:p w14:paraId="1DDDDFC2" w14:textId="586D1CFF"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Galaydh AK, ‘Impact of organizational structure on program success’, in</w:t>
      </w:r>
      <w:r w:rsidR="002B1256" w:rsidRPr="00233532">
        <w:rPr>
          <w:rFonts w:ascii="Calibri" w:hAnsi="Calibri" w:cs="Calibri"/>
          <w:sz w:val="22"/>
          <w:szCs w:val="22"/>
        </w:rPr>
        <w:t xml:space="preserve"> Kelly J, Shiff CJ, Goodman HC, Dash L, Brown AB</w:t>
      </w:r>
      <w:r w:rsidR="002849CC" w:rsidRPr="00233532">
        <w:rPr>
          <w:rFonts w:ascii="Calibri" w:hAnsi="Calibri" w:cs="Calibri"/>
          <w:sz w:val="22"/>
          <w:szCs w:val="22"/>
        </w:rPr>
        <w:t xml:space="preserve"> and </w:t>
      </w:r>
      <w:r w:rsidR="002B1256" w:rsidRPr="00233532">
        <w:rPr>
          <w:rFonts w:ascii="Calibri" w:hAnsi="Calibri" w:cs="Calibri"/>
          <w:sz w:val="22"/>
          <w:szCs w:val="22"/>
        </w:rPr>
        <w:t xml:space="preserve">Galaydh AK, </w:t>
      </w:r>
      <w:r w:rsidR="002B1256" w:rsidRPr="00233532">
        <w:rPr>
          <w:rFonts w:ascii="Calibri" w:hAnsi="Calibri" w:cs="Calibri"/>
          <w:i/>
          <w:sz w:val="22"/>
          <w:szCs w:val="22"/>
        </w:rPr>
        <w:t xml:space="preserve">Impact review of the Onchocerciasis Control Program, Ouagadougou, August 1985 </w:t>
      </w:r>
      <w:r w:rsidRPr="00233532">
        <w:rPr>
          <w:rFonts w:ascii="Calibri" w:hAnsi="Calibri" w:cs="Calibri"/>
          <w:color w:val="000000" w:themeColor="text1"/>
          <w:sz w:val="22"/>
          <w:szCs w:val="22"/>
        </w:rPr>
        <w:t>(Ouagadougou: USAID, 1985), D1-20.</w:t>
      </w:r>
    </w:p>
    <w:p w14:paraId="63DDC8A7" w14:textId="77777777" w:rsidR="00442620" w:rsidRPr="00233532" w:rsidRDefault="00442620" w:rsidP="00442620">
      <w:pPr>
        <w:pStyle w:val="FootnoteText"/>
        <w:rPr>
          <w:rFonts w:ascii="Calibri" w:hAnsi="Calibri" w:cs="Calibri"/>
          <w:color w:val="000000" w:themeColor="text1"/>
          <w:spacing w:val="3"/>
          <w:sz w:val="22"/>
          <w:szCs w:val="22"/>
          <w:shd w:val="clear" w:color="auto" w:fill="FFFFFF"/>
        </w:rPr>
      </w:pPr>
    </w:p>
    <w:p w14:paraId="4E678AD4" w14:textId="77777777" w:rsidR="00442620" w:rsidRPr="00233532" w:rsidRDefault="00442620" w:rsidP="00442620">
      <w:pPr>
        <w:pStyle w:val="FootnoteText"/>
        <w:rPr>
          <w:rFonts w:ascii="Calibri" w:hAnsi="Calibri" w:cs="Calibri"/>
          <w:color w:val="000000" w:themeColor="text1"/>
          <w:spacing w:val="3"/>
          <w:sz w:val="22"/>
          <w:szCs w:val="22"/>
          <w:shd w:val="clear" w:color="auto" w:fill="FFFFFF"/>
        </w:rPr>
      </w:pPr>
      <w:r w:rsidRPr="00233532">
        <w:rPr>
          <w:rFonts w:ascii="Calibri" w:hAnsi="Calibri" w:cs="Calibri"/>
          <w:color w:val="000000" w:themeColor="text1"/>
          <w:spacing w:val="3"/>
          <w:sz w:val="22"/>
          <w:szCs w:val="22"/>
          <w:shd w:val="clear" w:color="auto" w:fill="FFFFFF"/>
        </w:rPr>
        <w:t xml:space="preserve">Gallup J and Sachs J, ‘The economic burden of malaria’, </w:t>
      </w:r>
      <w:r w:rsidRPr="00233532">
        <w:rPr>
          <w:rFonts w:ascii="Calibri" w:hAnsi="Calibri" w:cs="Calibri"/>
          <w:i/>
          <w:color w:val="000000" w:themeColor="text1"/>
          <w:spacing w:val="3"/>
          <w:sz w:val="22"/>
          <w:szCs w:val="22"/>
          <w:shd w:val="clear" w:color="auto" w:fill="FFFFFF"/>
        </w:rPr>
        <w:t xml:space="preserve">American Journal of Tropical Medicine and Hygiene </w:t>
      </w:r>
      <w:r w:rsidRPr="00233532">
        <w:rPr>
          <w:rFonts w:ascii="Calibri" w:hAnsi="Calibri" w:cs="Calibri"/>
          <w:color w:val="000000" w:themeColor="text1"/>
          <w:spacing w:val="3"/>
          <w:sz w:val="22"/>
          <w:szCs w:val="22"/>
          <w:shd w:val="clear" w:color="auto" w:fill="FFFFFF"/>
        </w:rPr>
        <w:t>64:1 (2001), 85-96.</w:t>
      </w:r>
    </w:p>
    <w:p w14:paraId="7545D0E3" w14:textId="77777777" w:rsidR="00442620" w:rsidRPr="00233532" w:rsidRDefault="00442620" w:rsidP="00442620">
      <w:pPr>
        <w:pStyle w:val="FootnoteText"/>
        <w:rPr>
          <w:rFonts w:ascii="Calibri" w:hAnsi="Calibri" w:cs="Calibri"/>
          <w:color w:val="000000" w:themeColor="text1"/>
          <w:sz w:val="22"/>
          <w:szCs w:val="22"/>
        </w:rPr>
      </w:pPr>
    </w:p>
    <w:p w14:paraId="126B878F"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Gates B, ‘A story from one of my heroes’, </w:t>
      </w:r>
      <w:r w:rsidRPr="00233532">
        <w:rPr>
          <w:rFonts w:ascii="Calibri" w:hAnsi="Calibri" w:cs="Calibri"/>
          <w:i/>
          <w:color w:val="000000" w:themeColor="text1"/>
          <w:sz w:val="22"/>
          <w:szCs w:val="22"/>
        </w:rPr>
        <w:t xml:space="preserve">Gates Notes </w:t>
      </w:r>
      <w:r w:rsidRPr="00233532">
        <w:rPr>
          <w:rFonts w:ascii="Calibri" w:hAnsi="Calibri" w:cs="Calibri"/>
          <w:color w:val="000000" w:themeColor="text1"/>
          <w:sz w:val="22"/>
          <w:szCs w:val="22"/>
        </w:rPr>
        <w:t>(16 May 2014).</w:t>
      </w:r>
    </w:p>
    <w:p w14:paraId="423C2C6D" w14:textId="77777777" w:rsidR="00442620" w:rsidRPr="00233532" w:rsidRDefault="00442620" w:rsidP="00442620">
      <w:pPr>
        <w:pStyle w:val="FootnoteText"/>
        <w:rPr>
          <w:rFonts w:ascii="Calibri" w:hAnsi="Calibri" w:cs="Calibri"/>
          <w:color w:val="000000" w:themeColor="text1"/>
          <w:sz w:val="22"/>
          <w:szCs w:val="22"/>
        </w:rPr>
      </w:pPr>
    </w:p>
    <w:p w14:paraId="19812346" w14:textId="6BC5DAB1" w:rsidR="00442620"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Gates Foundation, ‘Global partners are taking the “neglect” out of “neglected tropical diseases”’, </w:t>
      </w:r>
      <w:r w:rsidRPr="00233532">
        <w:rPr>
          <w:rFonts w:ascii="Calibri" w:hAnsi="Calibri" w:cs="Calibri"/>
          <w:i/>
          <w:color w:val="000000" w:themeColor="text1"/>
          <w:sz w:val="22"/>
          <w:szCs w:val="22"/>
        </w:rPr>
        <w:t xml:space="preserve">Bill </w:t>
      </w:r>
      <w:r w:rsidR="002849CC" w:rsidRPr="00233532">
        <w:rPr>
          <w:rFonts w:ascii="Calibri" w:hAnsi="Calibri" w:cs="Calibri"/>
          <w:i/>
          <w:color w:val="000000" w:themeColor="text1"/>
          <w:sz w:val="22"/>
          <w:szCs w:val="22"/>
        </w:rPr>
        <w:t>&amp;</w:t>
      </w:r>
      <w:r w:rsidRPr="00233532">
        <w:rPr>
          <w:rFonts w:ascii="Calibri" w:hAnsi="Calibri" w:cs="Calibri"/>
          <w:i/>
          <w:color w:val="000000" w:themeColor="text1"/>
          <w:sz w:val="22"/>
          <w:szCs w:val="22"/>
        </w:rPr>
        <w:t xml:space="preserve"> Melinda Gates Foundation Press Room </w:t>
      </w:r>
      <w:r w:rsidRPr="00233532">
        <w:rPr>
          <w:rFonts w:ascii="Calibri" w:hAnsi="Calibri" w:cs="Calibri"/>
          <w:color w:val="000000" w:themeColor="text1"/>
          <w:sz w:val="22"/>
          <w:szCs w:val="22"/>
        </w:rPr>
        <w:t>(2 April 2014).</w:t>
      </w:r>
    </w:p>
    <w:p w14:paraId="2063B1C3" w14:textId="2BA74A40" w:rsidR="007569A0" w:rsidRPr="007569A0" w:rsidRDefault="007569A0" w:rsidP="00442620">
      <w:pPr>
        <w:pStyle w:val="FootnoteText"/>
        <w:rPr>
          <w:rFonts w:ascii="Calibri" w:hAnsi="Calibri" w:cs="Calibri"/>
          <w:color w:val="000000" w:themeColor="text1"/>
          <w:sz w:val="22"/>
          <w:szCs w:val="22"/>
        </w:rPr>
      </w:pPr>
    </w:p>
    <w:p w14:paraId="4BD84CDF" w14:textId="7D03CC8D" w:rsidR="007569A0" w:rsidRPr="00CF189D" w:rsidRDefault="007569A0" w:rsidP="00CF189D">
      <w:pPr>
        <w:rPr>
          <w:rFonts w:ascii="Calibri" w:hAnsi="Calibri" w:cs="Calibri"/>
          <w:sz w:val="22"/>
          <w:szCs w:val="22"/>
        </w:rPr>
      </w:pPr>
      <w:r w:rsidRPr="00CF189D">
        <w:rPr>
          <w:rFonts w:ascii="Calibri" w:hAnsi="Calibri" w:cs="Calibri"/>
          <w:sz w:val="22"/>
          <w:szCs w:val="22"/>
        </w:rPr>
        <w:t>Gi</w:t>
      </w:r>
      <w:r w:rsidR="00080641">
        <w:rPr>
          <w:rFonts w:ascii="Calibri" w:hAnsi="Calibri" w:cs="Calibri"/>
          <w:sz w:val="22"/>
          <w:szCs w:val="22"/>
        </w:rPr>
        <w:t>l</w:t>
      </w:r>
      <w:r w:rsidRPr="00CF189D">
        <w:rPr>
          <w:rFonts w:ascii="Calibri" w:hAnsi="Calibri" w:cs="Calibri"/>
          <w:sz w:val="22"/>
          <w:szCs w:val="22"/>
        </w:rPr>
        <w:t xml:space="preserve">son L, ‘The lessons of user fee experience in Africa’, </w:t>
      </w:r>
      <w:r w:rsidRPr="00CF189D">
        <w:rPr>
          <w:rFonts w:ascii="Calibri" w:hAnsi="Calibri" w:cs="Calibri"/>
          <w:i/>
          <w:iCs/>
          <w:sz w:val="22"/>
          <w:szCs w:val="22"/>
        </w:rPr>
        <w:t xml:space="preserve">Health Policy and Planning </w:t>
      </w:r>
      <w:r w:rsidRPr="00CF189D">
        <w:rPr>
          <w:rFonts w:ascii="Calibri" w:hAnsi="Calibri" w:cs="Calibri"/>
          <w:sz w:val="22"/>
          <w:szCs w:val="22"/>
        </w:rPr>
        <w:t>12:4 (1997), 273-285.</w:t>
      </w:r>
    </w:p>
    <w:p w14:paraId="0A32E776" w14:textId="77777777" w:rsidR="00442620" w:rsidRPr="00233532" w:rsidRDefault="00442620" w:rsidP="00442620">
      <w:pPr>
        <w:pStyle w:val="FootnoteText"/>
        <w:rPr>
          <w:rFonts w:ascii="Calibri" w:hAnsi="Calibri" w:cs="Calibri"/>
          <w:color w:val="000000" w:themeColor="text1"/>
          <w:sz w:val="22"/>
          <w:szCs w:val="22"/>
        </w:rPr>
      </w:pPr>
    </w:p>
    <w:p w14:paraId="5DE641BA"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Glassman A and Temin M, </w:t>
      </w:r>
      <w:r w:rsidRPr="00454AD2">
        <w:rPr>
          <w:rFonts w:ascii="Calibri" w:hAnsi="Calibri" w:cs="Calibri"/>
          <w:i/>
          <w:color w:val="000000" w:themeColor="text1"/>
          <w:sz w:val="22"/>
          <w:szCs w:val="22"/>
        </w:rPr>
        <w:t xml:space="preserve">Millions saved: new cases of proven success in global health </w:t>
      </w:r>
      <w:r w:rsidRPr="00454AD2">
        <w:rPr>
          <w:rFonts w:ascii="Calibri" w:hAnsi="Calibri" w:cs="Calibri"/>
          <w:color w:val="000000" w:themeColor="text1"/>
          <w:sz w:val="22"/>
          <w:szCs w:val="22"/>
        </w:rPr>
        <w:t xml:space="preserve">(Washington DC: Center for Global Development, 2016). </w:t>
      </w:r>
    </w:p>
    <w:p w14:paraId="65746EAF" w14:textId="77777777" w:rsidR="00442620" w:rsidRPr="00454AD2" w:rsidRDefault="00442620" w:rsidP="00442620">
      <w:pPr>
        <w:pStyle w:val="FootnoteText"/>
        <w:rPr>
          <w:rFonts w:ascii="Calibri" w:hAnsi="Calibri" w:cs="Calibri"/>
          <w:color w:val="000000" w:themeColor="text1"/>
          <w:sz w:val="22"/>
          <w:szCs w:val="22"/>
        </w:rPr>
      </w:pPr>
    </w:p>
    <w:p w14:paraId="3EC721EA"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Global Health Security Agenda, </w:t>
      </w:r>
      <w:r w:rsidRPr="00454AD2">
        <w:rPr>
          <w:rFonts w:ascii="Calibri" w:hAnsi="Calibri" w:cs="Calibri"/>
          <w:i/>
          <w:color w:val="000000" w:themeColor="text1"/>
          <w:sz w:val="22"/>
          <w:szCs w:val="22"/>
        </w:rPr>
        <w:t xml:space="preserve">Success stories </w:t>
      </w:r>
      <w:r w:rsidRPr="00454AD2">
        <w:rPr>
          <w:rFonts w:ascii="Calibri" w:hAnsi="Calibri" w:cs="Calibri"/>
          <w:color w:val="000000" w:themeColor="text1"/>
          <w:sz w:val="22"/>
          <w:szCs w:val="22"/>
        </w:rPr>
        <w:t>(Kampala: U.S. Centers for Disease Control and Prevention, 2017).</w:t>
      </w:r>
    </w:p>
    <w:p w14:paraId="786CEEE3" w14:textId="77777777" w:rsidR="00442620" w:rsidRPr="00233532" w:rsidRDefault="00442620" w:rsidP="00442620">
      <w:pPr>
        <w:pStyle w:val="FootnoteText"/>
        <w:rPr>
          <w:rFonts w:ascii="Calibri" w:hAnsi="Calibri" w:cs="Calibri"/>
          <w:color w:val="000000" w:themeColor="text1"/>
          <w:sz w:val="22"/>
          <w:szCs w:val="22"/>
        </w:rPr>
      </w:pPr>
    </w:p>
    <w:p w14:paraId="0615755A" w14:textId="28DC3333"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lastRenderedPageBreak/>
        <w:t xml:space="preserve">Goldin </w:t>
      </w:r>
      <w:r w:rsidR="002B1256" w:rsidRPr="00CF189D">
        <w:rPr>
          <w:rFonts w:ascii="Calibri" w:hAnsi="Calibri" w:cs="Calibri"/>
          <w:sz w:val="22"/>
          <w:szCs w:val="22"/>
        </w:rPr>
        <w:t>I, Rogers H and Stern N</w:t>
      </w:r>
      <w:r w:rsidRPr="00CF189D">
        <w:rPr>
          <w:rFonts w:ascii="Calibri" w:hAnsi="Calibri" w:cs="Calibri"/>
          <w:sz w:val="22"/>
          <w:szCs w:val="22"/>
        </w:rPr>
        <w:t xml:space="preserve">, ‘The role and effectiveness of development assistance’, in </w:t>
      </w:r>
      <w:r w:rsidRPr="00CF189D">
        <w:rPr>
          <w:rFonts w:ascii="Calibri" w:hAnsi="Calibri" w:cs="Calibri"/>
          <w:i/>
          <w:sz w:val="22"/>
          <w:szCs w:val="22"/>
        </w:rPr>
        <w:t>A case for aid: building consensus for development assistance</w:t>
      </w:r>
      <w:r w:rsidRPr="00CF189D">
        <w:rPr>
          <w:rFonts w:ascii="Calibri" w:hAnsi="Calibri" w:cs="Calibri"/>
          <w:sz w:val="22"/>
          <w:szCs w:val="22"/>
        </w:rPr>
        <w:t xml:space="preserve"> (Washington DC: World Bank, 2002).</w:t>
      </w:r>
    </w:p>
    <w:p w14:paraId="0043ACFB" w14:textId="77777777" w:rsidR="00442620" w:rsidRPr="00CF189D" w:rsidRDefault="00442620" w:rsidP="00DD4818">
      <w:pPr>
        <w:pStyle w:val="Footnotes"/>
        <w:rPr>
          <w:rFonts w:ascii="Calibri" w:hAnsi="Calibri" w:cs="Calibri"/>
          <w:sz w:val="22"/>
          <w:szCs w:val="22"/>
        </w:rPr>
      </w:pPr>
    </w:p>
    <w:p w14:paraId="3F4FBDE6" w14:textId="2E783CEB" w:rsidR="00442620" w:rsidRDefault="00442620" w:rsidP="00DD4818">
      <w:pPr>
        <w:pStyle w:val="Footnotes"/>
        <w:rPr>
          <w:rFonts w:ascii="Calibri" w:hAnsi="Calibri" w:cs="Calibri"/>
          <w:sz w:val="22"/>
          <w:szCs w:val="22"/>
        </w:rPr>
      </w:pPr>
      <w:r w:rsidRPr="00CF189D">
        <w:rPr>
          <w:rFonts w:ascii="Calibri" w:hAnsi="Calibri" w:cs="Calibri"/>
          <w:sz w:val="22"/>
          <w:szCs w:val="22"/>
        </w:rPr>
        <w:t xml:space="preserve">Gordon DF and Parker JC, </w:t>
      </w:r>
      <w:r w:rsidRPr="00CF189D">
        <w:rPr>
          <w:rFonts w:ascii="Calibri" w:hAnsi="Calibri" w:cs="Calibri"/>
          <w:i/>
          <w:sz w:val="22"/>
          <w:szCs w:val="22"/>
        </w:rPr>
        <w:t xml:space="preserve">The World Bank and its critics: the case of </w:t>
      </w:r>
      <w:r w:rsidR="00A2292A">
        <w:rPr>
          <w:rFonts w:ascii="Calibri" w:hAnsi="Calibri" w:cs="Calibri"/>
          <w:i/>
          <w:sz w:val="22"/>
          <w:szCs w:val="22"/>
        </w:rPr>
        <w:t>S</w:t>
      </w:r>
      <w:r w:rsidRPr="00CF189D">
        <w:rPr>
          <w:rFonts w:ascii="Calibri" w:hAnsi="Calibri" w:cs="Calibri"/>
          <w:i/>
          <w:sz w:val="22"/>
          <w:szCs w:val="22"/>
        </w:rPr>
        <w:t xml:space="preserve">ub-Saharan Africa </w:t>
      </w:r>
      <w:r w:rsidRPr="00CF189D">
        <w:rPr>
          <w:rFonts w:ascii="Calibri" w:hAnsi="Calibri" w:cs="Calibri"/>
          <w:sz w:val="22"/>
          <w:szCs w:val="22"/>
        </w:rPr>
        <w:t xml:space="preserve">(Ann Arbor: Center for Research on Economic Development, University of Michigan, 1984). </w:t>
      </w:r>
    </w:p>
    <w:p w14:paraId="38BE06AD" w14:textId="6D12ECBE" w:rsidR="007569A0" w:rsidRPr="007569A0" w:rsidRDefault="007569A0" w:rsidP="00DD4818">
      <w:pPr>
        <w:pStyle w:val="Footnotes"/>
        <w:rPr>
          <w:rFonts w:ascii="Calibri" w:hAnsi="Calibri" w:cs="Calibri"/>
          <w:sz w:val="22"/>
          <w:szCs w:val="22"/>
        </w:rPr>
      </w:pPr>
    </w:p>
    <w:p w14:paraId="4AB81528" w14:textId="180C3A47" w:rsidR="007569A0" w:rsidRDefault="007569A0" w:rsidP="007569A0">
      <w:pPr>
        <w:pStyle w:val="FootnoteText"/>
        <w:rPr>
          <w:rFonts w:ascii="Calibri" w:hAnsi="Calibri" w:cs="Calibri"/>
          <w:sz w:val="22"/>
          <w:szCs w:val="22"/>
          <w:lang w:val="en-US"/>
        </w:rPr>
      </w:pPr>
      <w:r w:rsidRPr="00CF189D">
        <w:rPr>
          <w:rFonts w:ascii="Calibri" w:hAnsi="Calibri" w:cs="Calibri"/>
          <w:sz w:val="22"/>
          <w:szCs w:val="22"/>
          <w:lang w:val="en-US"/>
        </w:rPr>
        <w:t>Godlee</w:t>
      </w:r>
      <w:r>
        <w:rPr>
          <w:rFonts w:ascii="Calibri" w:hAnsi="Calibri" w:cs="Calibri"/>
          <w:sz w:val="22"/>
          <w:szCs w:val="22"/>
          <w:lang w:val="en-US"/>
        </w:rPr>
        <w:t xml:space="preserve"> F</w:t>
      </w:r>
      <w:r w:rsidRPr="00CF189D">
        <w:rPr>
          <w:rFonts w:ascii="Calibri" w:hAnsi="Calibri" w:cs="Calibri"/>
          <w:sz w:val="22"/>
          <w:szCs w:val="22"/>
          <w:lang w:val="en-US"/>
        </w:rPr>
        <w:t xml:space="preserve">, ‘The regions – too much power, too little effect’, </w:t>
      </w:r>
      <w:r w:rsidRPr="00CF189D">
        <w:rPr>
          <w:rFonts w:ascii="Calibri" w:hAnsi="Calibri" w:cs="Calibri"/>
          <w:i/>
          <w:iCs/>
          <w:sz w:val="22"/>
          <w:szCs w:val="22"/>
          <w:lang w:val="en-US"/>
        </w:rPr>
        <w:t xml:space="preserve">BMJ </w:t>
      </w:r>
      <w:r w:rsidRPr="00CF189D">
        <w:rPr>
          <w:rFonts w:ascii="Calibri" w:hAnsi="Calibri" w:cs="Calibri"/>
          <w:sz w:val="22"/>
          <w:szCs w:val="22"/>
          <w:lang w:val="en-US"/>
        </w:rPr>
        <w:t>309 (1994), 1566-1570</w:t>
      </w:r>
      <w:r>
        <w:rPr>
          <w:rFonts w:ascii="Calibri" w:hAnsi="Calibri" w:cs="Calibri"/>
          <w:sz w:val="22"/>
          <w:szCs w:val="22"/>
          <w:lang w:val="en-US"/>
        </w:rPr>
        <w:t>.</w:t>
      </w:r>
    </w:p>
    <w:p w14:paraId="7C4069D5" w14:textId="77777777" w:rsidR="007569A0" w:rsidRDefault="007569A0" w:rsidP="007569A0">
      <w:pPr>
        <w:pStyle w:val="FootnoteText"/>
        <w:rPr>
          <w:rFonts w:ascii="Calibri" w:hAnsi="Calibri" w:cs="Calibri"/>
          <w:sz w:val="22"/>
          <w:szCs w:val="22"/>
          <w:lang w:val="en-US"/>
        </w:rPr>
      </w:pPr>
    </w:p>
    <w:p w14:paraId="0A112352" w14:textId="16E1B982" w:rsidR="007569A0" w:rsidRPr="00CF189D" w:rsidRDefault="007569A0" w:rsidP="00CF189D">
      <w:pPr>
        <w:pStyle w:val="FootnoteText"/>
        <w:rPr>
          <w:rFonts w:ascii="Calibri" w:hAnsi="Calibri" w:cs="Calibri"/>
          <w:sz w:val="22"/>
          <w:szCs w:val="22"/>
        </w:rPr>
      </w:pPr>
      <w:r w:rsidRPr="00CF189D">
        <w:rPr>
          <w:rFonts w:ascii="Calibri" w:hAnsi="Calibri" w:cs="Calibri"/>
          <w:sz w:val="22"/>
          <w:szCs w:val="22"/>
          <w:lang w:val="en-US"/>
        </w:rPr>
        <w:t>Godlee</w:t>
      </w:r>
      <w:r>
        <w:rPr>
          <w:rFonts w:ascii="Calibri" w:hAnsi="Calibri" w:cs="Calibri"/>
          <w:sz w:val="22"/>
          <w:szCs w:val="22"/>
          <w:lang w:val="en-US"/>
        </w:rPr>
        <w:t xml:space="preserve"> F</w:t>
      </w:r>
      <w:r w:rsidRPr="00CF189D">
        <w:rPr>
          <w:rFonts w:ascii="Calibri" w:hAnsi="Calibri" w:cs="Calibri"/>
          <w:sz w:val="22"/>
          <w:szCs w:val="22"/>
          <w:lang w:val="en-US"/>
        </w:rPr>
        <w:t xml:space="preserve">, ‘The World Health Organisation in Africa’, </w:t>
      </w:r>
      <w:r w:rsidRPr="00CF189D">
        <w:rPr>
          <w:rFonts w:ascii="Calibri" w:hAnsi="Calibri" w:cs="Calibri"/>
          <w:i/>
          <w:iCs/>
          <w:sz w:val="22"/>
          <w:szCs w:val="22"/>
          <w:lang w:val="en-US"/>
        </w:rPr>
        <w:t xml:space="preserve">BMJ </w:t>
      </w:r>
      <w:r w:rsidRPr="00CF189D">
        <w:rPr>
          <w:rFonts w:ascii="Calibri" w:hAnsi="Calibri" w:cs="Calibri"/>
          <w:sz w:val="22"/>
          <w:szCs w:val="22"/>
          <w:lang w:val="en-US"/>
        </w:rPr>
        <w:t>309 (1994), 553-554.</w:t>
      </w:r>
    </w:p>
    <w:p w14:paraId="7134FA8B" w14:textId="77777777" w:rsidR="00442620" w:rsidRPr="00CF189D" w:rsidRDefault="00442620" w:rsidP="00DD4818">
      <w:pPr>
        <w:pStyle w:val="Footnotes"/>
        <w:rPr>
          <w:rFonts w:ascii="Calibri" w:hAnsi="Calibri" w:cs="Calibri"/>
        </w:rPr>
      </w:pPr>
    </w:p>
    <w:p w14:paraId="187C947E"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Gordon Smith CE, ‘The Onchocerciasis Control Programme: an interaction of politics, economics, science and health’, </w:t>
      </w:r>
      <w:r w:rsidRPr="00454AD2">
        <w:rPr>
          <w:rFonts w:ascii="Calibri" w:hAnsi="Calibri" w:cs="Calibri"/>
          <w:i/>
          <w:color w:val="000000" w:themeColor="text1"/>
          <w:sz w:val="22"/>
          <w:szCs w:val="22"/>
        </w:rPr>
        <w:t xml:space="preserve">Interdisciplinary Science Reviews </w:t>
      </w:r>
      <w:r w:rsidRPr="00454AD2">
        <w:rPr>
          <w:rFonts w:ascii="Calibri" w:hAnsi="Calibri" w:cs="Calibri"/>
          <w:color w:val="000000" w:themeColor="text1"/>
          <w:sz w:val="22"/>
          <w:szCs w:val="22"/>
        </w:rPr>
        <w:t>8:2 (1983), 168-178.</w:t>
      </w:r>
    </w:p>
    <w:p w14:paraId="7E59721F" w14:textId="77777777" w:rsidR="00442620" w:rsidRPr="00454AD2" w:rsidRDefault="00442620" w:rsidP="00442620">
      <w:pPr>
        <w:pStyle w:val="FootnoteText"/>
        <w:rPr>
          <w:rFonts w:ascii="Calibri" w:hAnsi="Calibri" w:cs="Calibri"/>
          <w:color w:val="000000" w:themeColor="text1"/>
          <w:sz w:val="22"/>
          <w:szCs w:val="22"/>
        </w:rPr>
      </w:pPr>
    </w:p>
    <w:p w14:paraId="487C12FC"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Gorsky M and Sirrs C, ‘World health by place: the politics of international health system metrics, 1924-c. 2010’, </w:t>
      </w:r>
      <w:r w:rsidRPr="00454AD2">
        <w:rPr>
          <w:rFonts w:ascii="Calibri" w:hAnsi="Calibri" w:cs="Calibri"/>
          <w:i/>
          <w:color w:val="000000" w:themeColor="text1"/>
          <w:sz w:val="22"/>
          <w:szCs w:val="22"/>
        </w:rPr>
        <w:t xml:space="preserve">Journal of Global History </w:t>
      </w:r>
      <w:r w:rsidRPr="00454AD2">
        <w:rPr>
          <w:rFonts w:ascii="Calibri" w:hAnsi="Calibri" w:cs="Calibri"/>
          <w:color w:val="000000" w:themeColor="text1"/>
          <w:sz w:val="22"/>
          <w:szCs w:val="22"/>
        </w:rPr>
        <w:t>12 (2017), 361-385.</w:t>
      </w:r>
    </w:p>
    <w:p w14:paraId="5AF133F9" w14:textId="77777777" w:rsidR="00442620" w:rsidRPr="00454AD2" w:rsidRDefault="00442620" w:rsidP="00442620">
      <w:pPr>
        <w:pStyle w:val="FootnoteText"/>
        <w:rPr>
          <w:rFonts w:ascii="Calibri" w:hAnsi="Calibri" w:cs="Calibri"/>
          <w:color w:val="000000" w:themeColor="text1"/>
          <w:sz w:val="22"/>
          <w:szCs w:val="22"/>
        </w:rPr>
      </w:pPr>
    </w:p>
    <w:p w14:paraId="7263BCE8"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Gorsky M, ‘The idea of a health system: international health organisations and the genesis of comparative health systems research, 1891-1969’, </w:t>
      </w:r>
      <w:r w:rsidRPr="00454AD2">
        <w:rPr>
          <w:rFonts w:ascii="Calibri" w:hAnsi="Calibri" w:cs="Calibri"/>
          <w:i/>
          <w:color w:val="000000" w:themeColor="text1"/>
          <w:sz w:val="22"/>
          <w:szCs w:val="22"/>
        </w:rPr>
        <w:t>China Journal of the Social History of Medicine and Health</w:t>
      </w:r>
      <w:r w:rsidRPr="00454AD2">
        <w:rPr>
          <w:rFonts w:ascii="Calibri" w:hAnsi="Calibri" w:cs="Calibri"/>
          <w:color w:val="000000" w:themeColor="text1"/>
          <w:sz w:val="22"/>
          <w:szCs w:val="22"/>
        </w:rPr>
        <w:t xml:space="preserve"> 1:1 (2016), 28-57. </w:t>
      </w:r>
    </w:p>
    <w:p w14:paraId="77530E3C" w14:textId="77777777" w:rsidR="00442620" w:rsidRPr="00454AD2" w:rsidRDefault="00442620" w:rsidP="00442620">
      <w:pPr>
        <w:pStyle w:val="FootnoteText"/>
        <w:rPr>
          <w:rFonts w:ascii="Calibri" w:hAnsi="Calibri" w:cs="Calibri"/>
          <w:color w:val="000000" w:themeColor="text1"/>
          <w:sz w:val="22"/>
          <w:szCs w:val="22"/>
        </w:rPr>
      </w:pPr>
    </w:p>
    <w:p w14:paraId="4855FAAC" w14:textId="64DFAF7E" w:rsidR="00442620"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Graham ER, ‘Money, power, and the United Nations: examining the causes and consequences of voluntary funding’, </w:t>
      </w:r>
      <w:r w:rsidRPr="00454AD2">
        <w:rPr>
          <w:rFonts w:ascii="Calibri" w:hAnsi="Calibri" w:cs="Calibri"/>
          <w:i/>
          <w:color w:val="000000" w:themeColor="text1"/>
          <w:sz w:val="22"/>
          <w:szCs w:val="22"/>
        </w:rPr>
        <w:t>Paper prepared for presentation at the International Relations Faculty Colloquium, Princeton University</w:t>
      </w:r>
      <w:r w:rsidRPr="00454AD2">
        <w:rPr>
          <w:rFonts w:ascii="Calibri" w:hAnsi="Calibri" w:cs="Calibri"/>
          <w:color w:val="000000" w:themeColor="text1"/>
          <w:sz w:val="22"/>
          <w:szCs w:val="22"/>
        </w:rPr>
        <w:t xml:space="preserve">, March 2012. </w:t>
      </w:r>
    </w:p>
    <w:p w14:paraId="745C7486" w14:textId="19EF2D45" w:rsidR="007569A0" w:rsidRDefault="007569A0" w:rsidP="00442620">
      <w:pPr>
        <w:pStyle w:val="FootnoteText"/>
        <w:rPr>
          <w:rFonts w:ascii="Calibri" w:hAnsi="Calibri" w:cs="Calibri"/>
          <w:color w:val="000000" w:themeColor="text1"/>
          <w:sz w:val="22"/>
          <w:szCs w:val="22"/>
        </w:rPr>
      </w:pPr>
    </w:p>
    <w:p w14:paraId="07A87BD3" w14:textId="18D47D57" w:rsidR="007569A0" w:rsidRPr="007569A0" w:rsidRDefault="007569A0" w:rsidP="00CF189D">
      <w:pPr>
        <w:rPr>
          <w:rFonts w:ascii="Calibri" w:hAnsi="Calibri" w:cs="Calibri"/>
          <w:bCs/>
          <w:color w:val="000000" w:themeColor="text1"/>
          <w:sz w:val="22"/>
          <w:szCs w:val="22"/>
        </w:rPr>
      </w:pPr>
      <w:r w:rsidRPr="00CF189D">
        <w:rPr>
          <w:rFonts w:ascii="Calibri" w:hAnsi="Calibri" w:cs="Calibri"/>
          <w:bCs/>
          <w:color w:val="000000" w:themeColor="text1"/>
          <w:sz w:val="22"/>
          <w:szCs w:val="22"/>
        </w:rPr>
        <w:t xml:space="preserve">Griffith Jones S, </w:t>
      </w:r>
      <w:r w:rsidRPr="00CF189D">
        <w:rPr>
          <w:rFonts w:ascii="Calibri" w:hAnsi="Calibri" w:cs="Calibri"/>
          <w:bCs/>
          <w:i/>
          <w:color w:val="000000" w:themeColor="text1"/>
          <w:sz w:val="22"/>
          <w:szCs w:val="22"/>
        </w:rPr>
        <w:t xml:space="preserve">Governance of the World Bank </w:t>
      </w:r>
      <w:r w:rsidRPr="00CF189D">
        <w:rPr>
          <w:rFonts w:ascii="Calibri" w:hAnsi="Calibri" w:cs="Calibri"/>
          <w:bCs/>
          <w:color w:val="000000" w:themeColor="text1"/>
          <w:sz w:val="22"/>
          <w:szCs w:val="22"/>
        </w:rPr>
        <w:t>(London: Department for International Development, 2002).</w:t>
      </w:r>
    </w:p>
    <w:p w14:paraId="257E8176" w14:textId="77777777" w:rsidR="00442620" w:rsidRPr="00454AD2" w:rsidRDefault="00442620" w:rsidP="00442620">
      <w:pPr>
        <w:pStyle w:val="FootnoteText"/>
        <w:rPr>
          <w:rFonts w:ascii="Calibri" w:hAnsi="Calibri" w:cs="Calibri"/>
          <w:color w:val="000000" w:themeColor="text1"/>
          <w:sz w:val="22"/>
          <w:szCs w:val="22"/>
        </w:rPr>
      </w:pPr>
    </w:p>
    <w:p w14:paraId="013951B4" w14:textId="4829CA14" w:rsidR="00442620" w:rsidRPr="00454AD2" w:rsidRDefault="00442620" w:rsidP="00442620">
      <w:pPr>
        <w:rPr>
          <w:rFonts w:ascii="Calibri" w:hAnsi="Calibri" w:cs="Calibri"/>
          <w:color w:val="000000" w:themeColor="text1"/>
          <w:sz w:val="22"/>
          <w:szCs w:val="22"/>
        </w:rPr>
      </w:pPr>
      <w:r w:rsidRPr="00454AD2">
        <w:rPr>
          <w:rFonts w:ascii="Calibri" w:hAnsi="Calibri" w:cs="Calibri"/>
          <w:color w:val="000000" w:themeColor="text1"/>
          <w:sz w:val="22"/>
          <w:szCs w:val="22"/>
        </w:rPr>
        <w:t xml:space="preserve">Gryseels </w:t>
      </w:r>
      <w:r w:rsidR="002B1256">
        <w:rPr>
          <w:rFonts w:ascii="Calibri" w:hAnsi="Calibri" w:cs="Calibri"/>
          <w:color w:val="000000" w:themeColor="text1"/>
          <w:sz w:val="22"/>
          <w:szCs w:val="22"/>
        </w:rPr>
        <w:t>B, Polman K, Clerinx J and Kestens L</w:t>
      </w:r>
      <w:r w:rsidRPr="00454AD2">
        <w:rPr>
          <w:rFonts w:ascii="Calibri" w:hAnsi="Calibri" w:cs="Calibri"/>
          <w:color w:val="000000" w:themeColor="text1"/>
          <w:sz w:val="22"/>
          <w:szCs w:val="22"/>
        </w:rPr>
        <w:t xml:space="preserve">, ‘Human schistosomiasis’, </w:t>
      </w:r>
      <w:r w:rsidRPr="00454AD2">
        <w:rPr>
          <w:rFonts w:ascii="Calibri" w:hAnsi="Calibri" w:cs="Calibri"/>
          <w:i/>
          <w:color w:val="000000" w:themeColor="text1"/>
          <w:sz w:val="22"/>
          <w:szCs w:val="22"/>
        </w:rPr>
        <w:t xml:space="preserve">Lancet </w:t>
      </w:r>
      <w:r w:rsidRPr="00454AD2">
        <w:rPr>
          <w:rFonts w:ascii="Calibri" w:hAnsi="Calibri" w:cs="Calibri"/>
          <w:color w:val="000000" w:themeColor="text1"/>
          <w:sz w:val="22"/>
          <w:szCs w:val="22"/>
        </w:rPr>
        <w:t>368 (2006), 1106-1118.</w:t>
      </w:r>
    </w:p>
    <w:p w14:paraId="0F0024F6" w14:textId="77777777" w:rsidR="00442620" w:rsidRPr="00454AD2" w:rsidRDefault="00442620" w:rsidP="00442620">
      <w:pPr>
        <w:rPr>
          <w:rFonts w:ascii="Calibri" w:hAnsi="Calibri" w:cs="Calibri"/>
          <w:color w:val="000000" w:themeColor="text1"/>
          <w:sz w:val="22"/>
          <w:szCs w:val="22"/>
        </w:rPr>
      </w:pPr>
    </w:p>
    <w:p w14:paraId="1396982F"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Guillory M, ‘In 40 years, WHO helps an ill world’, </w:t>
      </w:r>
      <w:r w:rsidRPr="00454AD2">
        <w:rPr>
          <w:rFonts w:ascii="Calibri" w:hAnsi="Calibri" w:cs="Calibri"/>
          <w:i/>
          <w:color w:val="000000" w:themeColor="text1"/>
          <w:sz w:val="22"/>
          <w:szCs w:val="22"/>
        </w:rPr>
        <w:t xml:space="preserve">USA Today </w:t>
      </w:r>
      <w:r w:rsidRPr="00454AD2">
        <w:rPr>
          <w:rFonts w:ascii="Calibri" w:hAnsi="Calibri" w:cs="Calibri"/>
          <w:color w:val="000000" w:themeColor="text1"/>
          <w:sz w:val="22"/>
          <w:szCs w:val="22"/>
        </w:rPr>
        <w:t>(26 Sept 1989).</w:t>
      </w:r>
    </w:p>
    <w:p w14:paraId="13590580" w14:textId="77777777" w:rsidR="00442620" w:rsidRPr="00454AD2" w:rsidRDefault="00442620" w:rsidP="00442620">
      <w:pPr>
        <w:pStyle w:val="FootnoteText"/>
        <w:rPr>
          <w:rFonts w:ascii="Calibri" w:hAnsi="Calibri" w:cs="Calibri"/>
          <w:color w:val="000000" w:themeColor="text1"/>
          <w:sz w:val="22"/>
          <w:szCs w:val="22"/>
        </w:rPr>
      </w:pPr>
    </w:p>
    <w:p w14:paraId="5934C718"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Guyatt HL and Evans D, ‘Economic considerations for helminth control’, </w:t>
      </w:r>
      <w:r w:rsidRPr="00454AD2">
        <w:rPr>
          <w:rFonts w:ascii="Calibri" w:hAnsi="Calibri" w:cs="Calibri"/>
          <w:i/>
          <w:color w:val="000000" w:themeColor="text1"/>
          <w:sz w:val="22"/>
          <w:szCs w:val="22"/>
        </w:rPr>
        <w:t xml:space="preserve">Parasitology Today </w:t>
      </w:r>
      <w:r w:rsidRPr="00454AD2">
        <w:rPr>
          <w:rFonts w:ascii="Calibri" w:hAnsi="Calibri" w:cs="Calibri"/>
          <w:color w:val="000000" w:themeColor="text1"/>
          <w:sz w:val="22"/>
          <w:szCs w:val="22"/>
        </w:rPr>
        <w:t>8:12 (1992), 397-402.</w:t>
      </w:r>
    </w:p>
    <w:p w14:paraId="58C6BFC4" w14:textId="77777777" w:rsidR="00442620" w:rsidRPr="00454AD2" w:rsidRDefault="00442620" w:rsidP="00442620">
      <w:pPr>
        <w:pStyle w:val="FootnoteText"/>
        <w:rPr>
          <w:rFonts w:ascii="Calibri" w:hAnsi="Calibri" w:cs="Calibri"/>
          <w:color w:val="000000" w:themeColor="text1"/>
          <w:sz w:val="22"/>
          <w:szCs w:val="22"/>
        </w:rPr>
      </w:pPr>
    </w:p>
    <w:p w14:paraId="5BB7B4D8"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Hall JJ and Taylor R, ‘Health for all beyond 2000: the demise of the Alma-Ata Declaration and primary health care in developing countries’, </w:t>
      </w:r>
      <w:r w:rsidRPr="00454AD2">
        <w:rPr>
          <w:rFonts w:ascii="Calibri" w:hAnsi="Calibri" w:cs="Calibri"/>
          <w:i/>
          <w:color w:val="000000" w:themeColor="text1"/>
          <w:sz w:val="22"/>
          <w:szCs w:val="22"/>
        </w:rPr>
        <w:t xml:space="preserve">MJA </w:t>
      </w:r>
      <w:r w:rsidRPr="00454AD2">
        <w:rPr>
          <w:rFonts w:ascii="Calibri" w:hAnsi="Calibri" w:cs="Calibri"/>
          <w:color w:val="000000" w:themeColor="text1"/>
          <w:sz w:val="22"/>
          <w:szCs w:val="22"/>
        </w:rPr>
        <w:t>178 (2003), 17-20.</w:t>
      </w:r>
    </w:p>
    <w:p w14:paraId="31A198DD" w14:textId="77777777" w:rsidR="00442620" w:rsidRPr="00454AD2" w:rsidRDefault="00442620" w:rsidP="00442620">
      <w:pPr>
        <w:pStyle w:val="FootnoteText"/>
        <w:rPr>
          <w:rFonts w:ascii="Calibri" w:hAnsi="Calibri" w:cs="Calibri"/>
          <w:color w:val="000000" w:themeColor="text1"/>
          <w:sz w:val="22"/>
          <w:szCs w:val="22"/>
        </w:rPr>
      </w:pPr>
    </w:p>
    <w:p w14:paraId="1F721A53" w14:textId="169FAC42" w:rsidR="00442620" w:rsidRPr="00454AD2" w:rsidRDefault="00442620" w:rsidP="00442620">
      <w:pPr>
        <w:pStyle w:val="FootnoteText"/>
        <w:rPr>
          <w:rFonts w:ascii="Calibri" w:hAnsi="Calibri" w:cs="Calibri"/>
          <w:color w:val="000000" w:themeColor="text1"/>
          <w:sz w:val="22"/>
          <w:szCs w:val="22"/>
          <w:shd w:val="clear" w:color="auto" w:fill="FFFFFF"/>
        </w:rPr>
      </w:pPr>
      <w:r w:rsidRPr="00454AD2">
        <w:rPr>
          <w:rFonts w:ascii="Calibri" w:hAnsi="Calibri" w:cs="Calibri"/>
          <w:color w:val="000000" w:themeColor="text1"/>
          <w:sz w:val="22"/>
          <w:szCs w:val="22"/>
          <w:shd w:val="clear" w:color="auto" w:fill="FFFFFF"/>
        </w:rPr>
        <w:t>Harman S, ‘The Bill and Melinda Gates Foundation and legitimacy in global health governance</w:t>
      </w:r>
      <w:r w:rsidR="002B1256">
        <w:rPr>
          <w:rFonts w:ascii="Calibri" w:hAnsi="Calibri" w:cs="Calibri"/>
          <w:color w:val="000000" w:themeColor="text1"/>
          <w:sz w:val="22"/>
          <w:szCs w:val="22"/>
          <w:shd w:val="clear" w:color="auto" w:fill="FFFFFF"/>
        </w:rPr>
        <w:t>’</w:t>
      </w:r>
      <w:r w:rsidRPr="00454AD2">
        <w:rPr>
          <w:rFonts w:ascii="Calibri" w:hAnsi="Calibri" w:cs="Calibri"/>
          <w:color w:val="000000" w:themeColor="text1"/>
          <w:sz w:val="22"/>
          <w:szCs w:val="22"/>
          <w:shd w:val="clear" w:color="auto" w:fill="FFFFFF"/>
        </w:rPr>
        <w:t>, </w:t>
      </w:r>
      <w:r w:rsidRPr="00454AD2">
        <w:rPr>
          <w:rFonts w:ascii="Calibri" w:hAnsi="Calibri" w:cs="Calibri"/>
          <w:i/>
          <w:iCs/>
          <w:color w:val="000000" w:themeColor="text1"/>
          <w:sz w:val="22"/>
          <w:szCs w:val="22"/>
          <w:shd w:val="clear" w:color="auto" w:fill="FFFFFF"/>
        </w:rPr>
        <w:t>Global Governance: A Review of Multilateralism and International Organizations</w:t>
      </w:r>
      <w:r w:rsidRPr="00454AD2">
        <w:rPr>
          <w:rFonts w:ascii="Calibri" w:hAnsi="Calibri" w:cs="Calibri"/>
          <w:color w:val="000000" w:themeColor="text1"/>
          <w:sz w:val="22"/>
          <w:szCs w:val="22"/>
          <w:shd w:val="clear" w:color="auto" w:fill="FFFFFF"/>
        </w:rPr>
        <w:t xml:space="preserve"> 22:3 (2016), 349-368.</w:t>
      </w:r>
    </w:p>
    <w:p w14:paraId="776892ED" w14:textId="77777777" w:rsidR="00442620" w:rsidRPr="00454AD2" w:rsidRDefault="00442620" w:rsidP="00442620">
      <w:pPr>
        <w:pStyle w:val="FootnoteText"/>
        <w:rPr>
          <w:rFonts w:ascii="Calibri" w:hAnsi="Calibri" w:cs="Calibri"/>
          <w:color w:val="000000" w:themeColor="text1"/>
          <w:sz w:val="22"/>
          <w:szCs w:val="22"/>
          <w:shd w:val="clear" w:color="auto" w:fill="FFFFFF"/>
        </w:rPr>
      </w:pPr>
    </w:p>
    <w:p w14:paraId="01D997D2" w14:textId="1DAADCF3"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Harman S, ‘The World Bank and health’</w:t>
      </w:r>
      <w:r w:rsidRPr="00454AD2">
        <w:rPr>
          <w:rFonts w:ascii="Calibri" w:hAnsi="Calibri" w:cs="Calibri"/>
          <w:i/>
          <w:color w:val="000000" w:themeColor="text1"/>
          <w:sz w:val="22"/>
          <w:szCs w:val="22"/>
        </w:rPr>
        <w:t xml:space="preserve">, </w:t>
      </w:r>
      <w:r w:rsidRPr="00454AD2">
        <w:rPr>
          <w:rFonts w:ascii="Calibri" w:hAnsi="Calibri" w:cs="Calibri"/>
          <w:color w:val="000000" w:themeColor="text1"/>
          <w:sz w:val="22"/>
          <w:szCs w:val="22"/>
        </w:rPr>
        <w:t>in</w:t>
      </w:r>
      <w:r w:rsidR="002B1256">
        <w:rPr>
          <w:rFonts w:ascii="Calibri" w:hAnsi="Calibri" w:cs="Calibri"/>
          <w:color w:val="000000" w:themeColor="text1"/>
          <w:sz w:val="22"/>
          <w:szCs w:val="22"/>
        </w:rPr>
        <w:t xml:space="preserve"> A Kay and OD Williams (Eds.),</w:t>
      </w:r>
      <w:r w:rsidRPr="00454AD2">
        <w:rPr>
          <w:rFonts w:ascii="Calibri" w:hAnsi="Calibri" w:cs="Calibri"/>
          <w:color w:val="000000" w:themeColor="text1"/>
          <w:sz w:val="22"/>
          <w:szCs w:val="22"/>
        </w:rPr>
        <w:t xml:space="preserve"> </w:t>
      </w:r>
      <w:r w:rsidRPr="00454AD2">
        <w:rPr>
          <w:rFonts w:ascii="Calibri" w:hAnsi="Calibri" w:cs="Calibri"/>
          <w:i/>
          <w:color w:val="000000" w:themeColor="text1"/>
          <w:sz w:val="22"/>
          <w:szCs w:val="22"/>
        </w:rPr>
        <w:t xml:space="preserve">Global </w:t>
      </w:r>
      <w:r w:rsidR="002B1256">
        <w:rPr>
          <w:rFonts w:ascii="Calibri" w:hAnsi="Calibri" w:cs="Calibri"/>
          <w:i/>
          <w:color w:val="000000" w:themeColor="text1"/>
          <w:sz w:val="22"/>
          <w:szCs w:val="22"/>
        </w:rPr>
        <w:t>h</w:t>
      </w:r>
      <w:r w:rsidRPr="00454AD2">
        <w:rPr>
          <w:rFonts w:ascii="Calibri" w:hAnsi="Calibri" w:cs="Calibri"/>
          <w:i/>
          <w:color w:val="000000" w:themeColor="text1"/>
          <w:sz w:val="22"/>
          <w:szCs w:val="22"/>
        </w:rPr>
        <w:t xml:space="preserve">ealth </w:t>
      </w:r>
      <w:r w:rsidR="002B1256">
        <w:rPr>
          <w:rFonts w:ascii="Calibri" w:hAnsi="Calibri" w:cs="Calibri"/>
          <w:i/>
          <w:color w:val="000000" w:themeColor="text1"/>
          <w:sz w:val="22"/>
          <w:szCs w:val="22"/>
        </w:rPr>
        <w:t>g</w:t>
      </w:r>
      <w:r w:rsidRPr="00454AD2">
        <w:rPr>
          <w:rFonts w:ascii="Calibri" w:hAnsi="Calibri" w:cs="Calibri"/>
          <w:i/>
          <w:color w:val="000000" w:themeColor="text1"/>
          <w:sz w:val="22"/>
          <w:szCs w:val="22"/>
        </w:rPr>
        <w:t>overnance</w:t>
      </w:r>
      <w:r w:rsidR="002B1256">
        <w:rPr>
          <w:rFonts w:ascii="Calibri" w:hAnsi="Calibri" w:cs="Calibri"/>
          <w:i/>
          <w:color w:val="000000" w:themeColor="text1"/>
          <w:sz w:val="22"/>
          <w:szCs w:val="22"/>
        </w:rPr>
        <w:t xml:space="preserve"> </w:t>
      </w:r>
      <w:r w:rsidRPr="00454AD2">
        <w:rPr>
          <w:rFonts w:ascii="Calibri" w:hAnsi="Calibri" w:cs="Calibri"/>
          <w:color w:val="000000" w:themeColor="text1"/>
          <w:sz w:val="22"/>
          <w:szCs w:val="22"/>
        </w:rPr>
        <w:t>(London: Palgrave Macmillan, 2009), 227-244.</w:t>
      </w:r>
    </w:p>
    <w:p w14:paraId="13A2015F" w14:textId="77777777" w:rsidR="00442620" w:rsidRPr="00454AD2" w:rsidRDefault="00442620" w:rsidP="00442620">
      <w:pPr>
        <w:pStyle w:val="FootnoteText"/>
        <w:rPr>
          <w:rFonts w:ascii="Calibri" w:hAnsi="Calibri" w:cs="Calibri"/>
          <w:color w:val="000000" w:themeColor="text1"/>
          <w:sz w:val="22"/>
          <w:szCs w:val="22"/>
        </w:rPr>
      </w:pPr>
    </w:p>
    <w:p w14:paraId="491B6830" w14:textId="4AC757D0"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Harman S, ‘The World Bank: </w:t>
      </w:r>
      <w:r w:rsidR="002849CC">
        <w:rPr>
          <w:rFonts w:ascii="Calibri" w:hAnsi="Calibri" w:cs="Calibri"/>
          <w:color w:val="000000" w:themeColor="text1"/>
          <w:sz w:val="22"/>
          <w:szCs w:val="22"/>
        </w:rPr>
        <w:t>f</w:t>
      </w:r>
      <w:r w:rsidRPr="00454AD2">
        <w:rPr>
          <w:rFonts w:ascii="Calibri" w:hAnsi="Calibri" w:cs="Calibri"/>
          <w:color w:val="000000" w:themeColor="text1"/>
          <w:sz w:val="22"/>
          <w:szCs w:val="22"/>
        </w:rPr>
        <w:t xml:space="preserve">ailing the </w:t>
      </w:r>
      <w:r w:rsidR="002849CC">
        <w:rPr>
          <w:rFonts w:ascii="Calibri" w:hAnsi="Calibri" w:cs="Calibri"/>
          <w:color w:val="000000" w:themeColor="text1"/>
          <w:sz w:val="22"/>
          <w:szCs w:val="22"/>
        </w:rPr>
        <w:t>m</w:t>
      </w:r>
      <w:r w:rsidRPr="00454AD2">
        <w:rPr>
          <w:rFonts w:ascii="Calibri" w:hAnsi="Calibri" w:cs="Calibri"/>
          <w:color w:val="000000" w:themeColor="text1"/>
          <w:sz w:val="22"/>
          <w:szCs w:val="22"/>
        </w:rPr>
        <w:t>ulti-</w:t>
      </w:r>
      <w:r w:rsidR="002849CC">
        <w:rPr>
          <w:rFonts w:ascii="Calibri" w:hAnsi="Calibri" w:cs="Calibri"/>
          <w:color w:val="000000" w:themeColor="text1"/>
          <w:sz w:val="22"/>
          <w:szCs w:val="22"/>
        </w:rPr>
        <w:t>c</w:t>
      </w:r>
      <w:r w:rsidRPr="00454AD2">
        <w:rPr>
          <w:rFonts w:ascii="Calibri" w:hAnsi="Calibri" w:cs="Calibri"/>
          <w:color w:val="000000" w:themeColor="text1"/>
          <w:sz w:val="22"/>
          <w:szCs w:val="22"/>
        </w:rPr>
        <w:t xml:space="preserve">ountry AIDS </w:t>
      </w:r>
      <w:r w:rsidR="002849CC">
        <w:rPr>
          <w:rFonts w:ascii="Calibri" w:hAnsi="Calibri" w:cs="Calibri"/>
          <w:color w:val="000000" w:themeColor="text1"/>
          <w:sz w:val="22"/>
          <w:szCs w:val="22"/>
        </w:rPr>
        <w:t>p</w:t>
      </w:r>
      <w:r w:rsidRPr="00454AD2">
        <w:rPr>
          <w:rFonts w:ascii="Calibri" w:hAnsi="Calibri" w:cs="Calibri"/>
          <w:color w:val="000000" w:themeColor="text1"/>
          <w:sz w:val="22"/>
          <w:szCs w:val="22"/>
        </w:rPr>
        <w:t xml:space="preserve">rogram, </w:t>
      </w:r>
      <w:r w:rsidR="002849CC">
        <w:rPr>
          <w:rFonts w:ascii="Calibri" w:hAnsi="Calibri" w:cs="Calibri"/>
          <w:color w:val="000000" w:themeColor="text1"/>
          <w:sz w:val="22"/>
          <w:szCs w:val="22"/>
        </w:rPr>
        <w:t>f</w:t>
      </w:r>
      <w:r w:rsidRPr="00454AD2">
        <w:rPr>
          <w:rFonts w:ascii="Calibri" w:hAnsi="Calibri" w:cs="Calibri"/>
          <w:color w:val="000000" w:themeColor="text1"/>
          <w:sz w:val="22"/>
          <w:szCs w:val="22"/>
        </w:rPr>
        <w:t xml:space="preserve">ailing HIV/AIDS’, </w:t>
      </w:r>
      <w:r w:rsidRPr="00454AD2">
        <w:rPr>
          <w:rFonts w:ascii="Calibri" w:hAnsi="Calibri" w:cs="Calibri"/>
          <w:i/>
          <w:color w:val="000000" w:themeColor="text1"/>
          <w:sz w:val="22"/>
          <w:szCs w:val="22"/>
        </w:rPr>
        <w:t xml:space="preserve">Global Governance </w:t>
      </w:r>
      <w:r w:rsidRPr="00454AD2">
        <w:rPr>
          <w:rFonts w:ascii="Calibri" w:hAnsi="Calibri" w:cs="Calibri"/>
          <w:color w:val="000000" w:themeColor="text1"/>
          <w:sz w:val="22"/>
          <w:szCs w:val="22"/>
        </w:rPr>
        <w:t>13 (2007), 485-492.</w:t>
      </w:r>
    </w:p>
    <w:p w14:paraId="3B78DFA4" w14:textId="77777777" w:rsidR="00442620" w:rsidRPr="00454AD2" w:rsidRDefault="00442620" w:rsidP="00442620">
      <w:pPr>
        <w:pStyle w:val="FootnoteText"/>
        <w:rPr>
          <w:rFonts w:ascii="Calibri" w:hAnsi="Calibri" w:cs="Calibri"/>
          <w:color w:val="000000" w:themeColor="text1"/>
          <w:sz w:val="22"/>
          <w:szCs w:val="22"/>
        </w:rPr>
      </w:pPr>
    </w:p>
    <w:p w14:paraId="27286721" w14:textId="77777777" w:rsidR="00442620" w:rsidRPr="00454AD2" w:rsidRDefault="00442620" w:rsidP="00442620">
      <w:pPr>
        <w:pStyle w:val="FootnoteText"/>
        <w:rPr>
          <w:rFonts w:ascii="Calibri" w:hAnsi="Calibri" w:cs="Calibri"/>
          <w:color w:val="000000" w:themeColor="text1"/>
          <w:sz w:val="22"/>
          <w:szCs w:val="22"/>
          <w:shd w:val="clear" w:color="auto" w:fill="FFFFFF"/>
        </w:rPr>
      </w:pPr>
      <w:r w:rsidRPr="00454AD2">
        <w:rPr>
          <w:rFonts w:ascii="Calibri" w:hAnsi="Calibri" w:cs="Calibri"/>
          <w:color w:val="000000" w:themeColor="text1"/>
          <w:sz w:val="22"/>
          <w:szCs w:val="22"/>
          <w:shd w:val="clear" w:color="auto" w:fill="FFFFFF"/>
        </w:rPr>
        <w:lastRenderedPageBreak/>
        <w:t>Harman S, </w:t>
      </w:r>
      <w:r w:rsidRPr="00454AD2">
        <w:rPr>
          <w:rFonts w:ascii="Calibri" w:hAnsi="Calibri" w:cs="Calibri"/>
          <w:i/>
          <w:iCs/>
          <w:color w:val="000000" w:themeColor="text1"/>
          <w:sz w:val="22"/>
          <w:szCs w:val="22"/>
          <w:shd w:val="clear" w:color="auto" w:fill="FFFFFF"/>
        </w:rPr>
        <w:t xml:space="preserve">Global health governance </w:t>
      </w:r>
      <w:r w:rsidRPr="00454AD2">
        <w:rPr>
          <w:rFonts w:ascii="Calibri" w:hAnsi="Calibri" w:cs="Calibri"/>
          <w:iCs/>
          <w:color w:val="000000" w:themeColor="text1"/>
          <w:sz w:val="22"/>
          <w:szCs w:val="22"/>
          <w:shd w:val="clear" w:color="auto" w:fill="FFFFFF"/>
        </w:rPr>
        <w:t>(New York:</w:t>
      </w:r>
      <w:r w:rsidRPr="00454AD2">
        <w:rPr>
          <w:rFonts w:ascii="Calibri" w:hAnsi="Calibri" w:cs="Calibri"/>
          <w:color w:val="000000" w:themeColor="text1"/>
          <w:sz w:val="22"/>
          <w:szCs w:val="22"/>
          <w:shd w:val="clear" w:color="auto" w:fill="FFFFFF"/>
        </w:rPr>
        <w:t xml:space="preserve"> Routledge, 2012).</w:t>
      </w:r>
    </w:p>
    <w:p w14:paraId="54091A94" w14:textId="77777777" w:rsidR="00442620" w:rsidRPr="00454AD2" w:rsidRDefault="00442620" w:rsidP="00442620">
      <w:pPr>
        <w:pStyle w:val="FootnoteText"/>
        <w:rPr>
          <w:rFonts w:ascii="Calibri" w:hAnsi="Calibri" w:cs="Calibri"/>
          <w:color w:val="000000" w:themeColor="text1"/>
          <w:sz w:val="22"/>
          <w:szCs w:val="22"/>
          <w:shd w:val="clear" w:color="auto" w:fill="FFFFFF"/>
        </w:rPr>
      </w:pPr>
    </w:p>
    <w:p w14:paraId="7C4D8571" w14:textId="77777777" w:rsidR="00442620" w:rsidRPr="00454AD2" w:rsidRDefault="00442620" w:rsidP="00442620">
      <w:pPr>
        <w:pStyle w:val="FootnoteText"/>
        <w:rPr>
          <w:rFonts w:ascii="Calibri" w:hAnsi="Calibri" w:cs="Calibri"/>
          <w:color w:val="000000" w:themeColor="text1"/>
          <w:sz w:val="22"/>
          <w:szCs w:val="22"/>
          <w:shd w:val="clear" w:color="auto" w:fill="FFFFFF"/>
        </w:rPr>
      </w:pPr>
      <w:r w:rsidRPr="00454AD2">
        <w:rPr>
          <w:rFonts w:ascii="Calibri" w:hAnsi="Calibri" w:cs="Calibri"/>
          <w:color w:val="000000" w:themeColor="text1"/>
          <w:sz w:val="22"/>
          <w:szCs w:val="22"/>
          <w:shd w:val="clear" w:color="auto" w:fill="FFFFFF"/>
        </w:rPr>
        <w:t xml:space="preserve">Harman S, </w:t>
      </w:r>
      <w:r w:rsidRPr="00454AD2">
        <w:rPr>
          <w:rFonts w:ascii="Calibri" w:hAnsi="Calibri" w:cs="Calibri"/>
          <w:i/>
          <w:iCs/>
          <w:color w:val="000000" w:themeColor="text1"/>
          <w:sz w:val="22"/>
          <w:szCs w:val="22"/>
          <w:shd w:val="clear" w:color="auto" w:fill="FFFFFF"/>
        </w:rPr>
        <w:t>The World Bank and HIV/AIDS: setting a global agenda</w:t>
      </w:r>
      <w:r w:rsidRPr="00454AD2">
        <w:rPr>
          <w:rFonts w:ascii="Calibri" w:hAnsi="Calibri" w:cs="Calibri"/>
          <w:color w:val="000000" w:themeColor="text1"/>
          <w:sz w:val="22"/>
          <w:szCs w:val="22"/>
          <w:shd w:val="clear" w:color="auto" w:fill="FFFFFF"/>
        </w:rPr>
        <w:t xml:space="preserve"> (New York: Routledge, 2010).</w:t>
      </w:r>
    </w:p>
    <w:p w14:paraId="45052C8C" w14:textId="77777777" w:rsidR="00442620" w:rsidRPr="00454AD2" w:rsidRDefault="00442620" w:rsidP="00442620">
      <w:pPr>
        <w:pStyle w:val="FootnoteText"/>
        <w:rPr>
          <w:rFonts w:ascii="Calibri" w:hAnsi="Calibri" w:cs="Calibri"/>
          <w:color w:val="000000" w:themeColor="text1"/>
          <w:sz w:val="22"/>
          <w:szCs w:val="22"/>
          <w:shd w:val="clear" w:color="auto" w:fill="FFFFFF"/>
        </w:rPr>
      </w:pPr>
    </w:p>
    <w:p w14:paraId="728AD14C" w14:textId="533177A2" w:rsidR="00442620" w:rsidRDefault="00442620" w:rsidP="00442620">
      <w:pPr>
        <w:rPr>
          <w:rFonts w:ascii="Calibri" w:hAnsi="Calibri" w:cs="Calibri"/>
          <w:color w:val="000000" w:themeColor="text1"/>
          <w:sz w:val="22"/>
          <w:szCs w:val="22"/>
        </w:rPr>
      </w:pPr>
      <w:r w:rsidRPr="00454AD2">
        <w:rPr>
          <w:rFonts w:ascii="Calibri" w:hAnsi="Calibri" w:cs="Calibri"/>
          <w:color w:val="000000" w:themeColor="text1"/>
          <w:sz w:val="22"/>
          <w:szCs w:val="22"/>
        </w:rPr>
        <w:t xml:space="preserve">Harvard University, ‘Neglected tropical diseases: progress and challenges for the post-2015 development era’, </w:t>
      </w:r>
      <w:r w:rsidRPr="00454AD2">
        <w:rPr>
          <w:rFonts w:ascii="Calibri" w:hAnsi="Calibri" w:cs="Calibri"/>
          <w:i/>
          <w:color w:val="000000" w:themeColor="text1"/>
          <w:sz w:val="22"/>
          <w:szCs w:val="22"/>
        </w:rPr>
        <w:t xml:space="preserve">Science in the News </w:t>
      </w:r>
      <w:r w:rsidRPr="00454AD2">
        <w:rPr>
          <w:rFonts w:ascii="Calibri" w:hAnsi="Calibri" w:cs="Calibri"/>
          <w:color w:val="000000" w:themeColor="text1"/>
          <w:sz w:val="22"/>
          <w:szCs w:val="22"/>
        </w:rPr>
        <w:t>(31 December 2014).</w:t>
      </w:r>
    </w:p>
    <w:p w14:paraId="2BC75E17" w14:textId="1A7162D6" w:rsidR="007569A0" w:rsidRDefault="007569A0" w:rsidP="00442620">
      <w:pPr>
        <w:rPr>
          <w:rFonts w:ascii="Calibri" w:hAnsi="Calibri" w:cs="Calibri"/>
          <w:color w:val="000000" w:themeColor="text1"/>
          <w:sz w:val="22"/>
          <w:szCs w:val="22"/>
        </w:rPr>
      </w:pPr>
    </w:p>
    <w:p w14:paraId="0AE9745A" w14:textId="7E57D178" w:rsidR="007569A0" w:rsidRPr="007569A0" w:rsidRDefault="007569A0" w:rsidP="00442620">
      <w:pPr>
        <w:rPr>
          <w:rFonts w:ascii="Calibri" w:hAnsi="Calibri" w:cs="Calibri"/>
          <w:color w:val="000000" w:themeColor="text1"/>
          <w:sz w:val="22"/>
          <w:szCs w:val="22"/>
        </w:rPr>
      </w:pPr>
      <w:r w:rsidRPr="00CF189D">
        <w:rPr>
          <w:rFonts w:ascii="Calibri" w:hAnsi="Calibri" w:cs="Calibri"/>
          <w:color w:val="000000" w:themeColor="text1"/>
          <w:sz w:val="22"/>
          <w:szCs w:val="22"/>
        </w:rPr>
        <w:t xml:space="preserve">Hazard JN, ‘Marxian socialism in Africa: the case of Mali’, </w:t>
      </w:r>
      <w:r w:rsidRPr="00CF189D">
        <w:rPr>
          <w:rFonts w:ascii="Calibri" w:hAnsi="Calibri" w:cs="Calibri"/>
          <w:i/>
          <w:color w:val="000000" w:themeColor="text1"/>
          <w:sz w:val="22"/>
          <w:szCs w:val="22"/>
        </w:rPr>
        <w:t xml:space="preserve">Comparative Politics </w:t>
      </w:r>
      <w:r w:rsidRPr="00CF189D">
        <w:rPr>
          <w:rFonts w:ascii="Calibri" w:hAnsi="Calibri" w:cs="Calibri"/>
          <w:color w:val="000000" w:themeColor="text1"/>
          <w:sz w:val="22"/>
          <w:szCs w:val="22"/>
        </w:rPr>
        <w:t>2:1 (1969), 1-15.</w:t>
      </w:r>
    </w:p>
    <w:p w14:paraId="528C33AA" w14:textId="60AD2083" w:rsidR="00442620" w:rsidRDefault="00442620" w:rsidP="00442620">
      <w:pPr>
        <w:rPr>
          <w:rFonts w:ascii="Calibri" w:hAnsi="Calibri" w:cs="Calibri"/>
          <w:color w:val="000000" w:themeColor="text1"/>
          <w:sz w:val="22"/>
          <w:szCs w:val="22"/>
        </w:rPr>
      </w:pPr>
    </w:p>
    <w:p w14:paraId="63521EC2" w14:textId="5E9102BF" w:rsidR="008A45BD" w:rsidRPr="008A45BD" w:rsidRDefault="008A45BD" w:rsidP="008A45BD">
      <w:pPr>
        <w:rPr>
          <w:rFonts w:ascii="Calibri" w:hAnsi="Calibri" w:cs="Calibri"/>
          <w:color w:val="000000" w:themeColor="text1"/>
          <w:sz w:val="22"/>
          <w:szCs w:val="22"/>
        </w:rPr>
      </w:pPr>
      <w:r w:rsidRPr="008A45BD">
        <w:rPr>
          <w:rFonts w:ascii="Calibri" w:hAnsi="Calibri" w:cs="Calibri"/>
          <w:color w:val="000000" w:themeColor="text1"/>
          <w:sz w:val="22"/>
          <w:szCs w:val="22"/>
        </w:rPr>
        <w:t xml:space="preserve">Hernando </w:t>
      </w:r>
      <w:r>
        <w:rPr>
          <w:rFonts w:ascii="Calibri" w:hAnsi="Calibri" w:cs="Calibri"/>
          <w:color w:val="000000" w:themeColor="text1"/>
          <w:sz w:val="22"/>
          <w:szCs w:val="22"/>
        </w:rPr>
        <w:t>Y, Colwell K and Wright BD</w:t>
      </w:r>
      <w:r w:rsidRPr="008A45BD">
        <w:rPr>
          <w:rFonts w:ascii="Calibri" w:hAnsi="Calibri" w:cs="Calibri"/>
          <w:color w:val="000000" w:themeColor="text1"/>
          <w:sz w:val="22"/>
          <w:szCs w:val="22"/>
        </w:rPr>
        <w:t xml:space="preserve">, ‘Doing well while fighting river blindness: the alignment of a corporate drug donation programme with responsibilities to shareholders’, </w:t>
      </w:r>
      <w:r w:rsidRPr="008A45BD">
        <w:rPr>
          <w:rFonts w:ascii="Calibri" w:hAnsi="Calibri" w:cs="Calibri"/>
          <w:i/>
          <w:color w:val="000000" w:themeColor="text1"/>
          <w:sz w:val="22"/>
          <w:szCs w:val="22"/>
        </w:rPr>
        <w:t xml:space="preserve">Tropical Medicine &amp; International Health </w:t>
      </w:r>
      <w:r w:rsidRPr="008A45BD">
        <w:rPr>
          <w:rFonts w:ascii="Calibri" w:hAnsi="Calibri" w:cs="Calibri"/>
          <w:color w:val="000000" w:themeColor="text1"/>
          <w:sz w:val="22"/>
          <w:szCs w:val="22"/>
        </w:rPr>
        <w:t>20:10 (2016), 1304-1310.</w:t>
      </w:r>
    </w:p>
    <w:p w14:paraId="6CC52CBC" w14:textId="77777777" w:rsidR="008A45BD" w:rsidRPr="00454AD2" w:rsidRDefault="008A45BD" w:rsidP="00442620">
      <w:pPr>
        <w:rPr>
          <w:rFonts w:ascii="Calibri" w:hAnsi="Calibri" w:cs="Calibri"/>
          <w:color w:val="000000" w:themeColor="text1"/>
          <w:sz w:val="22"/>
          <w:szCs w:val="22"/>
        </w:rPr>
      </w:pPr>
    </w:p>
    <w:p w14:paraId="67A6DFB1" w14:textId="795860AB"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Herouvet et al</w:t>
      </w:r>
      <w:r w:rsidR="002B1256">
        <w:rPr>
          <w:rFonts w:ascii="Calibri" w:hAnsi="Calibri" w:cs="Calibri"/>
          <w:color w:val="000000" w:themeColor="text1"/>
          <w:sz w:val="22"/>
          <w:szCs w:val="22"/>
        </w:rPr>
        <w:t>.</w:t>
      </w:r>
      <w:r w:rsidRPr="00454AD2">
        <w:rPr>
          <w:rFonts w:ascii="Calibri" w:hAnsi="Calibri" w:cs="Calibri"/>
          <w:color w:val="000000" w:themeColor="text1"/>
          <w:sz w:val="22"/>
          <w:szCs w:val="22"/>
        </w:rPr>
        <w:t xml:space="preserve">, </w:t>
      </w:r>
      <w:r w:rsidRPr="00454AD2">
        <w:rPr>
          <w:rFonts w:ascii="Calibri" w:hAnsi="Calibri" w:cs="Calibri"/>
          <w:i/>
          <w:color w:val="000000" w:themeColor="text1"/>
          <w:sz w:val="22"/>
          <w:szCs w:val="22"/>
        </w:rPr>
        <w:t>Peuplement des vallees proteges de l’onchocercose apres dix ans de lutte anti-vectorielle au Burkina Faso</w:t>
      </w:r>
      <w:r w:rsidRPr="00454AD2">
        <w:rPr>
          <w:rFonts w:ascii="Calibri" w:hAnsi="Calibri" w:cs="Calibri"/>
          <w:color w:val="000000" w:themeColor="text1"/>
          <w:sz w:val="22"/>
          <w:szCs w:val="22"/>
        </w:rPr>
        <w:t xml:space="preserve"> (Ouagadougou: OCP, 1984).</w:t>
      </w:r>
    </w:p>
    <w:p w14:paraId="07E06877" w14:textId="77777777" w:rsidR="00442620" w:rsidRPr="00454AD2" w:rsidRDefault="00442620" w:rsidP="00442620">
      <w:pPr>
        <w:pStyle w:val="FootnoteText"/>
        <w:rPr>
          <w:rFonts w:ascii="Calibri" w:hAnsi="Calibri" w:cs="Calibri"/>
          <w:color w:val="000000" w:themeColor="text1"/>
          <w:sz w:val="22"/>
          <w:szCs w:val="22"/>
        </w:rPr>
      </w:pPr>
    </w:p>
    <w:p w14:paraId="47144491" w14:textId="255EC1ED"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Hodgkin </w:t>
      </w:r>
      <w:r w:rsidR="002B1256">
        <w:rPr>
          <w:rFonts w:ascii="Calibri" w:hAnsi="Calibri" w:cs="Calibri"/>
          <w:color w:val="000000" w:themeColor="text1"/>
          <w:sz w:val="22"/>
          <w:szCs w:val="22"/>
        </w:rPr>
        <w:t>C, Molyneux DH, Abiose A, Philippon B, Reich MR, Remme JH, Thylefors B, Traore M and Grepin K</w:t>
      </w:r>
      <w:r w:rsidRPr="00454AD2">
        <w:rPr>
          <w:rFonts w:ascii="Calibri" w:hAnsi="Calibri" w:cs="Calibri"/>
          <w:color w:val="000000" w:themeColor="text1"/>
          <w:sz w:val="22"/>
          <w:szCs w:val="22"/>
        </w:rPr>
        <w:t xml:space="preserve">, ‘The future of onchocerciasis control in Africa’, </w:t>
      </w:r>
      <w:r w:rsidRPr="00454AD2">
        <w:rPr>
          <w:rFonts w:ascii="Calibri" w:hAnsi="Calibri" w:cs="Calibri"/>
          <w:i/>
          <w:color w:val="000000" w:themeColor="text1"/>
          <w:sz w:val="22"/>
          <w:szCs w:val="22"/>
        </w:rPr>
        <w:t xml:space="preserve">PLoS Neglected Tropical Diseases </w:t>
      </w:r>
      <w:r w:rsidRPr="00454AD2">
        <w:rPr>
          <w:rFonts w:ascii="Calibri" w:hAnsi="Calibri" w:cs="Calibri"/>
          <w:color w:val="000000" w:themeColor="text1"/>
          <w:sz w:val="22"/>
          <w:szCs w:val="22"/>
        </w:rPr>
        <w:t>1:1 (2007), e74.</w:t>
      </w:r>
    </w:p>
    <w:p w14:paraId="6F975660" w14:textId="77777777" w:rsidR="00442620" w:rsidRPr="00454AD2" w:rsidRDefault="00442620" w:rsidP="00442620">
      <w:pPr>
        <w:pStyle w:val="FootnoteText"/>
        <w:rPr>
          <w:rFonts w:ascii="Calibri" w:hAnsi="Calibri" w:cs="Calibri"/>
          <w:color w:val="000000" w:themeColor="text1"/>
          <w:sz w:val="22"/>
          <w:szCs w:val="22"/>
        </w:rPr>
      </w:pPr>
    </w:p>
    <w:p w14:paraId="1BD989B4" w14:textId="519DB95D" w:rsidR="00442620" w:rsidRPr="002B1256" w:rsidRDefault="00442620" w:rsidP="002B1256">
      <w:r w:rsidRPr="00454AD2">
        <w:rPr>
          <w:rFonts w:ascii="Calibri" w:hAnsi="Calibri" w:cs="Calibri"/>
          <w:color w:val="000000" w:themeColor="text1"/>
          <w:sz w:val="22"/>
          <w:szCs w:val="22"/>
        </w:rPr>
        <w:t xml:space="preserve">Hoffman </w:t>
      </w:r>
      <w:r w:rsidR="002B1256" w:rsidRPr="002B1256">
        <w:rPr>
          <w:rFonts w:ascii="Calibri" w:hAnsi="Calibri" w:cs="Calibri"/>
          <w:color w:val="000000" w:themeColor="text1"/>
          <w:sz w:val="22"/>
          <w:szCs w:val="22"/>
        </w:rPr>
        <w:t xml:space="preserve">SJ, </w:t>
      </w:r>
      <w:r w:rsidR="002B1256" w:rsidRPr="002B1256">
        <w:rPr>
          <w:rFonts w:ascii="Calibri" w:hAnsi="Calibri" w:cs="Calibri"/>
          <w:color w:val="000000" w:themeColor="text1"/>
          <w:sz w:val="22"/>
          <w:szCs w:val="22"/>
          <w:shd w:val="clear" w:color="auto" w:fill="FFFFFF"/>
        </w:rPr>
        <w:t>Røttingen</w:t>
      </w:r>
      <w:r w:rsidR="002B1256" w:rsidRPr="002B1256">
        <w:rPr>
          <w:rFonts w:ascii="Arial" w:hAnsi="Arial" w:cs="Arial"/>
          <w:color w:val="000000" w:themeColor="text1"/>
          <w:sz w:val="20"/>
          <w:szCs w:val="20"/>
          <w:shd w:val="clear" w:color="auto" w:fill="FFFFFF"/>
        </w:rPr>
        <w:t xml:space="preserve"> </w:t>
      </w:r>
      <w:r w:rsidR="002B1256">
        <w:rPr>
          <w:rFonts w:ascii="Calibri" w:hAnsi="Calibri" w:cs="Calibri"/>
          <w:color w:val="000000" w:themeColor="text1"/>
          <w:sz w:val="22"/>
          <w:szCs w:val="22"/>
        </w:rPr>
        <w:t>JA, Bennet S, Lavis JN, Edge JS and Frenk J</w:t>
      </w:r>
      <w:r w:rsidRPr="00454AD2">
        <w:rPr>
          <w:rFonts w:ascii="Calibri" w:hAnsi="Calibri" w:cs="Calibri"/>
          <w:color w:val="000000" w:themeColor="text1"/>
          <w:sz w:val="22"/>
          <w:szCs w:val="22"/>
        </w:rPr>
        <w:t xml:space="preserve">, </w:t>
      </w:r>
      <w:r w:rsidRPr="00454AD2">
        <w:rPr>
          <w:rFonts w:ascii="Calibri" w:hAnsi="Calibri" w:cs="Calibri"/>
          <w:i/>
          <w:color w:val="000000" w:themeColor="text1"/>
          <w:sz w:val="22"/>
          <w:szCs w:val="22"/>
        </w:rPr>
        <w:t xml:space="preserve">Background paper on conceptual issues related to health systems research to inform a WHO global strategy on health systems research </w:t>
      </w:r>
      <w:r w:rsidRPr="00454AD2">
        <w:rPr>
          <w:rFonts w:ascii="Calibri" w:hAnsi="Calibri" w:cs="Calibri"/>
          <w:color w:val="000000" w:themeColor="text1"/>
          <w:sz w:val="22"/>
          <w:szCs w:val="22"/>
        </w:rPr>
        <w:t>(Geneva: Health Systems Alliance, 2012).</w:t>
      </w:r>
    </w:p>
    <w:p w14:paraId="0384765E" w14:textId="77777777" w:rsidR="00442620" w:rsidRPr="00454AD2" w:rsidRDefault="00442620" w:rsidP="00442620">
      <w:pPr>
        <w:pStyle w:val="FootnoteText"/>
        <w:rPr>
          <w:rFonts w:ascii="Calibri" w:hAnsi="Calibri" w:cs="Calibri"/>
          <w:color w:val="000000" w:themeColor="text1"/>
          <w:sz w:val="22"/>
          <w:szCs w:val="22"/>
        </w:rPr>
      </w:pPr>
    </w:p>
    <w:p w14:paraId="0BBD9B90" w14:textId="77777777" w:rsidR="00442620" w:rsidRPr="00CF189D" w:rsidRDefault="00442620" w:rsidP="00DD4818">
      <w:pPr>
        <w:pStyle w:val="Footnotes"/>
        <w:rPr>
          <w:rFonts w:ascii="Calibri" w:hAnsi="Calibri" w:cs="Calibri"/>
          <w:sz w:val="22"/>
          <w:szCs w:val="22"/>
          <w:lang w:eastAsia="en-GB"/>
        </w:rPr>
      </w:pPr>
      <w:r w:rsidRPr="00CF189D">
        <w:rPr>
          <w:rFonts w:ascii="Calibri" w:hAnsi="Calibri" w:cs="Calibri"/>
          <w:sz w:val="22"/>
          <w:szCs w:val="22"/>
          <w:lang w:eastAsia="en-GB"/>
        </w:rPr>
        <w:t xml:space="preserve">Hopkins AD, ‘Ivermectin and onchocerciasis: is it all solved?’, </w:t>
      </w:r>
      <w:r w:rsidRPr="00CF189D">
        <w:rPr>
          <w:rFonts w:ascii="Calibri" w:hAnsi="Calibri" w:cs="Calibri"/>
          <w:i/>
          <w:sz w:val="22"/>
          <w:szCs w:val="22"/>
          <w:lang w:eastAsia="en-GB"/>
        </w:rPr>
        <w:t xml:space="preserve">Eye </w:t>
      </w:r>
      <w:r w:rsidRPr="00CF189D">
        <w:rPr>
          <w:rFonts w:ascii="Calibri" w:hAnsi="Calibri" w:cs="Calibri"/>
          <w:sz w:val="22"/>
          <w:szCs w:val="22"/>
          <w:lang w:eastAsia="en-GB"/>
        </w:rPr>
        <w:t xml:space="preserve">19:10 (2005), 1057-1066. </w:t>
      </w:r>
    </w:p>
    <w:p w14:paraId="0405AB9F" w14:textId="77777777" w:rsidR="00442620" w:rsidRPr="00454AD2" w:rsidRDefault="00442620" w:rsidP="00DD4818">
      <w:pPr>
        <w:pStyle w:val="Footnotes"/>
        <w:rPr>
          <w:lang w:eastAsia="en-GB"/>
        </w:rPr>
      </w:pPr>
    </w:p>
    <w:p w14:paraId="6895B11A" w14:textId="262C6AF9"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Hopkins </w:t>
      </w:r>
      <w:r w:rsidR="002B1256">
        <w:rPr>
          <w:rFonts w:ascii="Calibri" w:hAnsi="Calibri" w:cs="Calibri"/>
          <w:color w:val="000000" w:themeColor="text1"/>
          <w:sz w:val="22"/>
          <w:szCs w:val="22"/>
        </w:rPr>
        <w:t>DR, Richards FO and Katabarwa M</w:t>
      </w:r>
      <w:r w:rsidRPr="00454AD2">
        <w:rPr>
          <w:rFonts w:ascii="Calibri" w:hAnsi="Calibri" w:cs="Calibri"/>
          <w:color w:val="000000" w:themeColor="text1"/>
          <w:sz w:val="22"/>
          <w:szCs w:val="22"/>
        </w:rPr>
        <w:t xml:space="preserve">, ‘Editorial: whither onchocerciasis control in Africa?’, </w:t>
      </w:r>
      <w:r w:rsidRPr="00454AD2">
        <w:rPr>
          <w:rFonts w:ascii="Calibri" w:hAnsi="Calibri" w:cs="Calibri"/>
          <w:i/>
          <w:color w:val="000000" w:themeColor="text1"/>
          <w:sz w:val="22"/>
          <w:szCs w:val="22"/>
        </w:rPr>
        <w:t xml:space="preserve">American Journal of Tropical Medicine and Hygiene </w:t>
      </w:r>
      <w:r w:rsidRPr="00454AD2">
        <w:rPr>
          <w:rFonts w:ascii="Calibri" w:hAnsi="Calibri" w:cs="Calibri"/>
          <w:color w:val="000000" w:themeColor="text1"/>
          <w:sz w:val="22"/>
          <w:szCs w:val="22"/>
        </w:rPr>
        <w:t xml:space="preserve">72:1 (2005), 1-2. </w:t>
      </w:r>
    </w:p>
    <w:p w14:paraId="51B81114" w14:textId="77777777" w:rsidR="00442620" w:rsidRPr="00454AD2" w:rsidRDefault="00442620" w:rsidP="00442620">
      <w:pPr>
        <w:pStyle w:val="FootnoteText"/>
        <w:rPr>
          <w:rFonts w:ascii="Calibri" w:hAnsi="Calibri" w:cs="Calibri"/>
          <w:color w:val="000000" w:themeColor="text1"/>
          <w:sz w:val="22"/>
          <w:szCs w:val="22"/>
        </w:rPr>
      </w:pPr>
    </w:p>
    <w:p w14:paraId="1D7415EB"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Hotez P, ‘Enlarging the “audacious goal”: elimination of the world’s high prevalence neglected tropical diseases’, </w:t>
      </w:r>
      <w:r w:rsidRPr="00454AD2">
        <w:rPr>
          <w:rFonts w:ascii="Calibri" w:hAnsi="Calibri" w:cs="Calibri"/>
          <w:i/>
          <w:color w:val="000000" w:themeColor="text1"/>
          <w:sz w:val="22"/>
          <w:szCs w:val="22"/>
        </w:rPr>
        <w:t xml:space="preserve">Vaccine </w:t>
      </w:r>
      <w:r w:rsidRPr="00454AD2">
        <w:rPr>
          <w:rFonts w:ascii="Calibri" w:hAnsi="Calibri" w:cs="Calibri"/>
          <w:color w:val="000000" w:themeColor="text1"/>
          <w:sz w:val="22"/>
          <w:szCs w:val="22"/>
        </w:rPr>
        <w:t>29 (2011), D104-110.</w:t>
      </w:r>
    </w:p>
    <w:p w14:paraId="09799032" w14:textId="77777777" w:rsidR="00442620" w:rsidRPr="00454AD2" w:rsidRDefault="00442620" w:rsidP="00442620">
      <w:pPr>
        <w:pStyle w:val="FootnoteText"/>
        <w:rPr>
          <w:rFonts w:ascii="Calibri" w:hAnsi="Calibri" w:cs="Calibri"/>
          <w:color w:val="000000" w:themeColor="text1"/>
          <w:sz w:val="22"/>
          <w:szCs w:val="22"/>
        </w:rPr>
      </w:pPr>
    </w:p>
    <w:p w14:paraId="179D8E01" w14:textId="1C3C93D0"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t xml:space="preserve">Hunter </w:t>
      </w:r>
      <w:r w:rsidR="002B1256" w:rsidRPr="00CF189D">
        <w:rPr>
          <w:rFonts w:ascii="Calibri" w:hAnsi="Calibri" w:cs="Calibri"/>
          <w:sz w:val="22"/>
          <w:szCs w:val="22"/>
        </w:rPr>
        <w:t>JM, Rey LI, Chu KY, Adekolu-John EO and Mott KE</w:t>
      </w:r>
      <w:r w:rsidRPr="00CF189D">
        <w:rPr>
          <w:rFonts w:ascii="Calibri" w:hAnsi="Calibri" w:cs="Calibri"/>
          <w:sz w:val="22"/>
          <w:szCs w:val="22"/>
        </w:rPr>
        <w:t>, Parasitic diseases in water resource development: the need for intersectoral negotiation (Geneva: WHO, 1993).</w:t>
      </w:r>
    </w:p>
    <w:p w14:paraId="125D8CEA" w14:textId="77777777" w:rsidR="00442620" w:rsidRPr="00454AD2" w:rsidRDefault="00442620" w:rsidP="00DD4818">
      <w:pPr>
        <w:pStyle w:val="Footnotes"/>
      </w:pPr>
    </w:p>
    <w:p w14:paraId="29F3AA9A"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Hunter JM, ‘Progress and concerns in the World Health Organization onchocerciasis control program in West Africa’, </w:t>
      </w:r>
      <w:r w:rsidRPr="00454AD2">
        <w:rPr>
          <w:rFonts w:ascii="Calibri" w:hAnsi="Calibri" w:cs="Calibri"/>
          <w:i/>
          <w:color w:val="000000" w:themeColor="text1"/>
          <w:sz w:val="22"/>
          <w:szCs w:val="22"/>
        </w:rPr>
        <w:t xml:space="preserve">Social Science and Medicine </w:t>
      </w:r>
      <w:r w:rsidRPr="00454AD2">
        <w:rPr>
          <w:rFonts w:ascii="Calibri" w:hAnsi="Calibri" w:cs="Calibri"/>
          <w:color w:val="000000" w:themeColor="text1"/>
          <w:sz w:val="22"/>
          <w:szCs w:val="22"/>
        </w:rPr>
        <w:t>15:2 (1981), 261-275.</w:t>
      </w:r>
    </w:p>
    <w:p w14:paraId="50C28965" w14:textId="77777777" w:rsidR="00442620" w:rsidRPr="00454AD2" w:rsidRDefault="00442620" w:rsidP="00442620">
      <w:pPr>
        <w:pStyle w:val="FootnoteText"/>
        <w:rPr>
          <w:rFonts w:ascii="Calibri" w:hAnsi="Calibri" w:cs="Calibri"/>
          <w:color w:val="000000" w:themeColor="text1"/>
          <w:sz w:val="22"/>
          <w:szCs w:val="22"/>
        </w:rPr>
      </w:pPr>
    </w:p>
    <w:p w14:paraId="521DCAD2"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Independent Evaluation Group, </w:t>
      </w:r>
      <w:r w:rsidRPr="00454AD2">
        <w:rPr>
          <w:rFonts w:ascii="Calibri" w:hAnsi="Calibri" w:cs="Calibri"/>
          <w:i/>
          <w:color w:val="000000" w:themeColor="text1"/>
          <w:sz w:val="22"/>
          <w:szCs w:val="22"/>
        </w:rPr>
        <w:t xml:space="preserve">Public private partnerships in health: World Bank Group engagement in health PPPs, an IEG synthesis report </w:t>
      </w:r>
      <w:r w:rsidRPr="00454AD2">
        <w:rPr>
          <w:rFonts w:ascii="Calibri" w:hAnsi="Calibri" w:cs="Calibri"/>
          <w:color w:val="000000" w:themeColor="text1"/>
          <w:sz w:val="22"/>
          <w:szCs w:val="22"/>
        </w:rPr>
        <w:t>(Washington DC: World Bank, 2016).</w:t>
      </w:r>
    </w:p>
    <w:p w14:paraId="5BFAC00A" w14:textId="77777777" w:rsidR="00442620" w:rsidRPr="00454AD2" w:rsidRDefault="00442620" w:rsidP="00442620">
      <w:pPr>
        <w:pStyle w:val="FootnoteText"/>
        <w:rPr>
          <w:rFonts w:ascii="Calibri" w:hAnsi="Calibri" w:cs="Calibri"/>
          <w:color w:val="000000" w:themeColor="text1"/>
          <w:sz w:val="22"/>
          <w:szCs w:val="22"/>
        </w:rPr>
      </w:pPr>
    </w:p>
    <w:p w14:paraId="3DA63319" w14:textId="6893A0B2"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Independent Evaluation Group, </w:t>
      </w:r>
      <w:r w:rsidRPr="00454AD2">
        <w:rPr>
          <w:rFonts w:ascii="Calibri" w:hAnsi="Calibri" w:cs="Calibri"/>
          <w:i/>
          <w:color w:val="000000" w:themeColor="text1"/>
          <w:sz w:val="22"/>
          <w:szCs w:val="22"/>
        </w:rPr>
        <w:t xml:space="preserve">Results and </w:t>
      </w:r>
      <w:r w:rsidR="002B1256">
        <w:rPr>
          <w:rFonts w:ascii="Calibri" w:hAnsi="Calibri" w:cs="Calibri"/>
          <w:i/>
          <w:color w:val="000000" w:themeColor="text1"/>
          <w:sz w:val="22"/>
          <w:szCs w:val="22"/>
        </w:rPr>
        <w:t>p</w:t>
      </w:r>
      <w:r w:rsidRPr="00454AD2">
        <w:rPr>
          <w:rFonts w:ascii="Calibri" w:hAnsi="Calibri" w:cs="Calibri"/>
          <w:i/>
          <w:color w:val="000000" w:themeColor="text1"/>
          <w:sz w:val="22"/>
          <w:szCs w:val="22"/>
        </w:rPr>
        <w:t xml:space="preserve">erformance of the World Bank Group 2017: an independent evaluation </w:t>
      </w:r>
      <w:r w:rsidRPr="00454AD2">
        <w:rPr>
          <w:rFonts w:ascii="Calibri" w:hAnsi="Calibri" w:cs="Calibri"/>
          <w:color w:val="000000" w:themeColor="text1"/>
          <w:sz w:val="22"/>
          <w:szCs w:val="22"/>
        </w:rPr>
        <w:t>(Washington DC: World Bank, 2018).</w:t>
      </w:r>
    </w:p>
    <w:p w14:paraId="2C031C67" w14:textId="77777777" w:rsidR="00442620" w:rsidRPr="00454AD2" w:rsidRDefault="00442620" w:rsidP="00442620">
      <w:pPr>
        <w:pStyle w:val="FootnoteText"/>
        <w:rPr>
          <w:rFonts w:ascii="Calibri" w:hAnsi="Calibri" w:cs="Calibri"/>
          <w:color w:val="000000" w:themeColor="text1"/>
          <w:sz w:val="22"/>
          <w:szCs w:val="22"/>
        </w:rPr>
      </w:pPr>
    </w:p>
    <w:p w14:paraId="0E65587D"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Independent Evaluation Group, </w:t>
      </w:r>
      <w:r w:rsidRPr="00454AD2">
        <w:rPr>
          <w:rFonts w:ascii="Calibri" w:hAnsi="Calibri" w:cs="Calibri"/>
          <w:i/>
          <w:color w:val="000000" w:themeColor="text1"/>
          <w:sz w:val="22"/>
          <w:szCs w:val="22"/>
        </w:rPr>
        <w:t xml:space="preserve">Trust fund support for development: an evaluation of the World Bank’s trust fund portfolio </w:t>
      </w:r>
      <w:r w:rsidRPr="00454AD2">
        <w:rPr>
          <w:rFonts w:ascii="Calibri" w:hAnsi="Calibri" w:cs="Calibri"/>
          <w:color w:val="000000" w:themeColor="text1"/>
          <w:sz w:val="22"/>
          <w:szCs w:val="22"/>
        </w:rPr>
        <w:t>(Washington DC: World Bank, 2011).</w:t>
      </w:r>
    </w:p>
    <w:p w14:paraId="6100684F" w14:textId="77777777" w:rsidR="00442620" w:rsidRPr="00454AD2" w:rsidRDefault="00442620" w:rsidP="00442620">
      <w:pPr>
        <w:pStyle w:val="FootnoteText"/>
        <w:rPr>
          <w:rFonts w:ascii="Calibri" w:hAnsi="Calibri" w:cs="Calibri"/>
          <w:color w:val="000000" w:themeColor="text1"/>
          <w:sz w:val="22"/>
          <w:szCs w:val="22"/>
        </w:rPr>
      </w:pPr>
    </w:p>
    <w:p w14:paraId="67AE81AD" w14:textId="28AADFDE" w:rsidR="00442620"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lastRenderedPageBreak/>
        <w:t xml:space="preserve">Independent Evaluation Group, </w:t>
      </w:r>
      <w:r w:rsidRPr="00454AD2">
        <w:rPr>
          <w:rFonts w:ascii="Calibri" w:hAnsi="Calibri" w:cs="Calibri"/>
          <w:i/>
          <w:color w:val="000000" w:themeColor="text1"/>
          <w:sz w:val="22"/>
          <w:szCs w:val="22"/>
        </w:rPr>
        <w:t xml:space="preserve">World Bank Group support to health services: achievements and challenges: an independent evaluation </w:t>
      </w:r>
      <w:r w:rsidRPr="00454AD2">
        <w:rPr>
          <w:rFonts w:ascii="Calibri" w:hAnsi="Calibri" w:cs="Calibri"/>
          <w:color w:val="000000" w:themeColor="text1"/>
          <w:sz w:val="22"/>
          <w:szCs w:val="22"/>
        </w:rPr>
        <w:t>(Washington DC: World Bank, 2018).</w:t>
      </w:r>
    </w:p>
    <w:p w14:paraId="3E5B2310" w14:textId="495CE75E" w:rsidR="002B1256" w:rsidRDefault="002B1256" w:rsidP="00442620">
      <w:pPr>
        <w:pStyle w:val="FootnoteText"/>
        <w:rPr>
          <w:rFonts w:ascii="Calibri" w:hAnsi="Calibri" w:cs="Calibri"/>
          <w:color w:val="000000" w:themeColor="text1"/>
          <w:sz w:val="22"/>
          <w:szCs w:val="22"/>
        </w:rPr>
      </w:pPr>
    </w:p>
    <w:p w14:paraId="0C24D0BA" w14:textId="64859B7F" w:rsidR="002B1256" w:rsidRPr="002B1256" w:rsidRDefault="002B1256" w:rsidP="00442620">
      <w:pPr>
        <w:pStyle w:val="FootnoteText"/>
        <w:rPr>
          <w:rFonts w:ascii="Calibri" w:hAnsi="Calibri" w:cs="Calibri"/>
          <w:color w:val="000000" w:themeColor="text1"/>
          <w:sz w:val="22"/>
          <w:szCs w:val="22"/>
          <w:u w:val="single"/>
        </w:rPr>
      </w:pPr>
      <w:r w:rsidRPr="00454AD2">
        <w:rPr>
          <w:rFonts w:ascii="Calibri" w:hAnsi="Calibri" w:cs="Calibri"/>
          <w:color w:val="000000" w:themeColor="text1"/>
          <w:sz w:val="22"/>
          <w:szCs w:val="22"/>
        </w:rPr>
        <w:t>I</w:t>
      </w:r>
      <w:r>
        <w:rPr>
          <w:rFonts w:ascii="Calibri" w:hAnsi="Calibri" w:cs="Calibri"/>
          <w:color w:val="000000" w:themeColor="text1"/>
          <w:sz w:val="22"/>
          <w:szCs w:val="22"/>
        </w:rPr>
        <w:t>nstitute for Health Metrics and Evaluation</w:t>
      </w:r>
      <w:r w:rsidRPr="00454AD2">
        <w:rPr>
          <w:rFonts w:ascii="Calibri" w:hAnsi="Calibri" w:cs="Calibri"/>
          <w:color w:val="000000" w:themeColor="text1"/>
          <w:sz w:val="22"/>
          <w:szCs w:val="22"/>
        </w:rPr>
        <w:t>, ‘Development assistance for health database, 1990-2017’ (online), by channel of assistance, &lt;https://vizhub.healthdata.org/fgh/&gt; [accessed 1 September 2018].</w:t>
      </w:r>
      <w:r w:rsidRPr="00454AD2">
        <w:rPr>
          <w:rStyle w:val="Hyperlink"/>
          <w:rFonts w:ascii="Calibri" w:hAnsi="Calibri" w:cs="Calibri"/>
          <w:color w:val="000000" w:themeColor="text1"/>
          <w:sz w:val="22"/>
          <w:szCs w:val="22"/>
        </w:rPr>
        <w:t xml:space="preserve"> </w:t>
      </w:r>
    </w:p>
    <w:p w14:paraId="0EDD9F09" w14:textId="77777777" w:rsidR="00442620" w:rsidRPr="00454AD2" w:rsidRDefault="00442620" w:rsidP="00442620">
      <w:pPr>
        <w:pStyle w:val="FootnoteText"/>
        <w:rPr>
          <w:rFonts w:ascii="Calibri" w:hAnsi="Calibri" w:cs="Calibri"/>
          <w:color w:val="000000" w:themeColor="text1"/>
          <w:sz w:val="22"/>
          <w:szCs w:val="22"/>
        </w:rPr>
      </w:pPr>
    </w:p>
    <w:p w14:paraId="672AE061"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Johnston T and Stout S, </w:t>
      </w:r>
      <w:r w:rsidRPr="00454AD2">
        <w:rPr>
          <w:rFonts w:ascii="Calibri" w:hAnsi="Calibri" w:cs="Calibri"/>
          <w:i/>
          <w:color w:val="000000" w:themeColor="text1"/>
          <w:sz w:val="22"/>
          <w:szCs w:val="22"/>
        </w:rPr>
        <w:t xml:space="preserve">Investing in health: development effectiveness in the health, nutrition, and population sector </w:t>
      </w:r>
      <w:r w:rsidRPr="00454AD2">
        <w:rPr>
          <w:rFonts w:ascii="Calibri" w:hAnsi="Calibri" w:cs="Calibri"/>
          <w:color w:val="000000" w:themeColor="text1"/>
          <w:sz w:val="22"/>
          <w:szCs w:val="22"/>
        </w:rPr>
        <w:t>(Washington DC: World Bank, 1999).</w:t>
      </w:r>
    </w:p>
    <w:p w14:paraId="72EEC758" w14:textId="77777777" w:rsidR="00442620" w:rsidRPr="00454AD2" w:rsidRDefault="00442620" w:rsidP="00442620">
      <w:pPr>
        <w:pStyle w:val="FootnoteText"/>
        <w:rPr>
          <w:rFonts w:ascii="Calibri" w:hAnsi="Calibri" w:cs="Calibri"/>
          <w:color w:val="000000" w:themeColor="text1"/>
          <w:sz w:val="22"/>
          <w:szCs w:val="22"/>
        </w:rPr>
      </w:pPr>
    </w:p>
    <w:p w14:paraId="4D628091"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Jomo KS and Chowdhury A, ‘World Bank financializing development’, </w:t>
      </w:r>
      <w:r w:rsidRPr="00454AD2">
        <w:rPr>
          <w:rFonts w:ascii="Calibri" w:hAnsi="Calibri" w:cs="Calibri"/>
          <w:i/>
          <w:color w:val="000000" w:themeColor="text1"/>
          <w:sz w:val="22"/>
          <w:szCs w:val="22"/>
        </w:rPr>
        <w:t>Development</w:t>
      </w:r>
      <w:r w:rsidRPr="00454AD2">
        <w:rPr>
          <w:rFonts w:ascii="Calibri" w:hAnsi="Calibri" w:cs="Calibri"/>
          <w:color w:val="000000" w:themeColor="text1"/>
          <w:sz w:val="22"/>
          <w:szCs w:val="22"/>
        </w:rPr>
        <w:t xml:space="preserve"> (2019), 1-7.</w:t>
      </w:r>
    </w:p>
    <w:p w14:paraId="56EB0F6B" w14:textId="77777777" w:rsidR="00442620" w:rsidRPr="00454AD2" w:rsidRDefault="00442620" w:rsidP="00442620">
      <w:pPr>
        <w:pStyle w:val="FootnoteText"/>
        <w:rPr>
          <w:rFonts w:ascii="Calibri" w:hAnsi="Calibri" w:cs="Calibri"/>
          <w:color w:val="000000" w:themeColor="text1"/>
          <w:sz w:val="22"/>
          <w:szCs w:val="22"/>
        </w:rPr>
      </w:pPr>
    </w:p>
    <w:p w14:paraId="12BB666C" w14:textId="0C535C6B" w:rsidR="00442620"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Kakonga JO, ‘How mass media helped to defeat river blindness in West Africa’, </w:t>
      </w:r>
      <w:r w:rsidRPr="00454AD2">
        <w:rPr>
          <w:rFonts w:ascii="Calibri" w:hAnsi="Calibri" w:cs="Calibri"/>
          <w:i/>
          <w:color w:val="000000" w:themeColor="text1"/>
          <w:sz w:val="22"/>
          <w:szCs w:val="22"/>
        </w:rPr>
        <w:t xml:space="preserve">Global Policy Blog </w:t>
      </w:r>
      <w:r w:rsidRPr="00454AD2">
        <w:rPr>
          <w:rFonts w:ascii="Calibri" w:hAnsi="Calibri" w:cs="Calibri"/>
          <w:color w:val="000000" w:themeColor="text1"/>
          <w:sz w:val="22"/>
          <w:szCs w:val="22"/>
        </w:rPr>
        <w:t>(11 July 2012).</w:t>
      </w:r>
    </w:p>
    <w:p w14:paraId="750D195C" w14:textId="1292C9DF" w:rsidR="00B040F0" w:rsidRPr="00B040F0" w:rsidRDefault="00B040F0" w:rsidP="00442620">
      <w:pPr>
        <w:pStyle w:val="FootnoteText"/>
        <w:rPr>
          <w:rFonts w:ascii="Calibri" w:hAnsi="Calibri" w:cs="Calibri"/>
          <w:color w:val="000000" w:themeColor="text1"/>
          <w:sz w:val="22"/>
          <w:szCs w:val="22"/>
        </w:rPr>
      </w:pPr>
    </w:p>
    <w:p w14:paraId="40B6A487" w14:textId="122CD8C9" w:rsidR="00B040F0" w:rsidRPr="00CF189D" w:rsidRDefault="00B040F0" w:rsidP="00B040F0">
      <w:pPr>
        <w:pStyle w:val="FootnoteText"/>
        <w:rPr>
          <w:rFonts w:ascii="Calibri" w:hAnsi="Calibri" w:cs="Calibri"/>
          <w:color w:val="000000" w:themeColor="text1"/>
          <w:sz w:val="22"/>
          <w:szCs w:val="22"/>
        </w:rPr>
      </w:pPr>
      <w:r w:rsidRPr="00CF189D">
        <w:rPr>
          <w:rFonts w:ascii="Calibri" w:hAnsi="Calibri" w:cs="Calibri"/>
          <w:color w:val="000000" w:themeColor="text1"/>
          <w:sz w:val="22"/>
          <w:szCs w:val="22"/>
        </w:rPr>
        <w:t xml:space="preserve">Kanbur R and Vines D, ‘The World Bank and poverty reduction: past, present and future’, in CL Gilbert and D Vines (Eds.), </w:t>
      </w:r>
      <w:r w:rsidRPr="00CF189D">
        <w:rPr>
          <w:rFonts w:ascii="Calibri" w:hAnsi="Calibri" w:cs="Calibri"/>
          <w:i/>
          <w:color w:val="000000" w:themeColor="text1"/>
          <w:sz w:val="22"/>
          <w:szCs w:val="22"/>
        </w:rPr>
        <w:t xml:space="preserve">The World Bank: structure and policies </w:t>
      </w:r>
      <w:r w:rsidRPr="00CF189D">
        <w:rPr>
          <w:rFonts w:ascii="Calibri" w:hAnsi="Calibri" w:cs="Calibri"/>
          <w:color w:val="000000" w:themeColor="text1"/>
          <w:sz w:val="22"/>
          <w:szCs w:val="22"/>
        </w:rPr>
        <w:t>(Cambridge University Press: 2000), 87-107.</w:t>
      </w:r>
    </w:p>
    <w:p w14:paraId="3A54FBF3" w14:textId="77777777" w:rsidR="00442620" w:rsidRPr="00454AD2" w:rsidRDefault="00442620" w:rsidP="00442620">
      <w:pPr>
        <w:pStyle w:val="FootnoteText"/>
        <w:rPr>
          <w:rFonts w:ascii="Calibri" w:hAnsi="Calibri" w:cs="Calibri"/>
          <w:color w:val="000000" w:themeColor="text1"/>
          <w:sz w:val="22"/>
          <w:szCs w:val="22"/>
        </w:rPr>
      </w:pPr>
    </w:p>
    <w:p w14:paraId="69527463" w14:textId="4CCC3685"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Kapur </w:t>
      </w:r>
      <w:r w:rsidR="002B1256">
        <w:rPr>
          <w:rFonts w:ascii="Calibri" w:hAnsi="Calibri" w:cs="Calibri"/>
          <w:color w:val="000000" w:themeColor="text1"/>
          <w:sz w:val="22"/>
          <w:szCs w:val="22"/>
        </w:rPr>
        <w:t>D, Lewis JP and Webb RC</w:t>
      </w:r>
      <w:r w:rsidRPr="00454AD2">
        <w:rPr>
          <w:rFonts w:ascii="Calibri" w:hAnsi="Calibri" w:cs="Calibri"/>
          <w:color w:val="000000" w:themeColor="text1"/>
          <w:sz w:val="22"/>
          <w:szCs w:val="22"/>
        </w:rPr>
        <w:t xml:space="preserve">, </w:t>
      </w:r>
      <w:r w:rsidRPr="00454AD2">
        <w:rPr>
          <w:rFonts w:ascii="Calibri" w:hAnsi="Calibri" w:cs="Calibri"/>
          <w:i/>
          <w:color w:val="000000" w:themeColor="text1"/>
          <w:sz w:val="22"/>
          <w:szCs w:val="22"/>
        </w:rPr>
        <w:t xml:space="preserve">The World Bank: its first half century </w:t>
      </w:r>
      <w:r w:rsidRPr="00454AD2">
        <w:rPr>
          <w:rFonts w:ascii="Calibri" w:hAnsi="Calibri" w:cs="Calibri"/>
          <w:color w:val="000000" w:themeColor="text1"/>
          <w:sz w:val="22"/>
          <w:szCs w:val="22"/>
        </w:rPr>
        <w:t xml:space="preserve">(Washington DC: Brookings Institution Press, 1997). </w:t>
      </w:r>
    </w:p>
    <w:p w14:paraId="1B47F560" w14:textId="77777777" w:rsidR="00442620" w:rsidRPr="00454AD2" w:rsidRDefault="00442620" w:rsidP="00442620">
      <w:pPr>
        <w:pStyle w:val="FootnoteText"/>
        <w:rPr>
          <w:rFonts w:ascii="Calibri" w:hAnsi="Calibri" w:cs="Calibri"/>
          <w:color w:val="000000" w:themeColor="text1"/>
          <w:sz w:val="22"/>
          <w:szCs w:val="22"/>
        </w:rPr>
      </w:pPr>
    </w:p>
    <w:p w14:paraId="329D1D92" w14:textId="6D8B71EC"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Katabarawa </w:t>
      </w:r>
      <w:r w:rsidR="002B1256">
        <w:rPr>
          <w:rFonts w:ascii="Calibri" w:hAnsi="Calibri" w:cs="Calibri"/>
          <w:color w:val="000000" w:themeColor="text1"/>
          <w:sz w:val="22"/>
          <w:szCs w:val="22"/>
        </w:rPr>
        <w:t>NM, Mutabazi D and Richards FO</w:t>
      </w:r>
      <w:r w:rsidRPr="00454AD2">
        <w:rPr>
          <w:rFonts w:ascii="Calibri" w:hAnsi="Calibri" w:cs="Calibri"/>
          <w:color w:val="000000" w:themeColor="text1"/>
          <w:sz w:val="22"/>
          <w:szCs w:val="22"/>
        </w:rPr>
        <w:t xml:space="preserve">, ‘Controlling onchocerciasis by community-directed, ivermectin-treatment programmes in Uganda: why do some communities succeed and others fail?’, </w:t>
      </w:r>
      <w:r w:rsidRPr="00454AD2">
        <w:rPr>
          <w:rFonts w:ascii="Calibri" w:hAnsi="Calibri" w:cs="Calibri"/>
          <w:i/>
          <w:color w:val="000000" w:themeColor="text1"/>
          <w:sz w:val="22"/>
          <w:szCs w:val="22"/>
        </w:rPr>
        <w:t xml:space="preserve">Annals of Tropical Medicine and Parasitology </w:t>
      </w:r>
      <w:r w:rsidRPr="00454AD2">
        <w:rPr>
          <w:rFonts w:ascii="Calibri" w:hAnsi="Calibri" w:cs="Calibri"/>
          <w:color w:val="000000" w:themeColor="text1"/>
          <w:sz w:val="22"/>
          <w:szCs w:val="22"/>
        </w:rPr>
        <w:t>94 (2000), 343-352.</w:t>
      </w:r>
    </w:p>
    <w:p w14:paraId="50843EA2" w14:textId="77777777" w:rsidR="00442620" w:rsidRPr="00454AD2" w:rsidRDefault="00442620" w:rsidP="00442620">
      <w:pPr>
        <w:pStyle w:val="FootnoteText"/>
        <w:rPr>
          <w:rFonts w:ascii="Calibri" w:hAnsi="Calibri" w:cs="Calibri"/>
          <w:color w:val="000000" w:themeColor="text1"/>
          <w:sz w:val="22"/>
          <w:szCs w:val="22"/>
        </w:rPr>
      </w:pPr>
    </w:p>
    <w:p w14:paraId="7C63A976"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Katabarawa MN and Richards F, ‘Community-directed health (CDH) workers enhance the performance and sustainability of CDH programmes: experience from ivermectin distribution in Africa’, </w:t>
      </w:r>
      <w:r w:rsidRPr="00454AD2">
        <w:rPr>
          <w:rFonts w:ascii="Calibri" w:hAnsi="Calibri" w:cs="Calibri"/>
          <w:i/>
          <w:color w:val="000000" w:themeColor="text1"/>
          <w:sz w:val="22"/>
          <w:szCs w:val="22"/>
        </w:rPr>
        <w:t xml:space="preserve">Annals of Tropical Medicine and Parasitology </w:t>
      </w:r>
      <w:r w:rsidRPr="00454AD2">
        <w:rPr>
          <w:rFonts w:ascii="Calibri" w:hAnsi="Calibri" w:cs="Calibri"/>
          <w:color w:val="000000" w:themeColor="text1"/>
          <w:sz w:val="22"/>
          <w:szCs w:val="22"/>
        </w:rPr>
        <w:t>2001 (95), 275-286.</w:t>
      </w:r>
    </w:p>
    <w:p w14:paraId="16690131" w14:textId="77777777" w:rsidR="00442620" w:rsidRPr="00454AD2" w:rsidRDefault="00442620" w:rsidP="00442620">
      <w:pPr>
        <w:pStyle w:val="FootnoteText"/>
        <w:rPr>
          <w:rFonts w:ascii="Calibri" w:hAnsi="Calibri" w:cs="Calibri"/>
          <w:color w:val="000000" w:themeColor="text1"/>
          <w:sz w:val="22"/>
          <w:szCs w:val="22"/>
        </w:rPr>
      </w:pPr>
    </w:p>
    <w:p w14:paraId="555F68E0" w14:textId="1D9B3159"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Kaufmann </w:t>
      </w:r>
      <w:r w:rsidR="002B1256">
        <w:rPr>
          <w:rFonts w:ascii="Calibri" w:hAnsi="Calibri" w:cs="Calibri"/>
          <w:color w:val="000000" w:themeColor="text1"/>
          <w:sz w:val="22"/>
          <w:szCs w:val="22"/>
        </w:rPr>
        <w:t>D, Kraay A and Mastruzzi M</w:t>
      </w:r>
      <w:r w:rsidRPr="00454AD2">
        <w:rPr>
          <w:rFonts w:ascii="Calibri" w:hAnsi="Calibri" w:cs="Calibri"/>
          <w:color w:val="000000" w:themeColor="text1"/>
          <w:sz w:val="22"/>
          <w:szCs w:val="22"/>
        </w:rPr>
        <w:t xml:space="preserve">, </w:t>
      </w:r>
      <w:r w:rsidRPr="00454AD2">
        <w:rPr>
          <w:rFonts w:ascii="Calibri" w:hAnsi="Calibri" w:cs="Calibri"/>
          <w:i/>
          <w:color w:val="000000" w:themeColor="text1"/>
          <w:sz w:val="22"/>
          <w:szCs w:val="22"/>
        </w:rPr>
        <w:t xml:space="preserve">The worldwide governance indicators: methodology and analytical issues, draft policy research working paper </w:t>
      </w:r>
      <w:r w:rsidRPr="00454AD2">
        <w:rPr>
          <w:rFonts w:ascii="Calibri" w:hAnsi="Calibri" w:cs="Calibri"/>
          <w:color w:val="000000" w:themeColor="text1"/>
          <w:sz w:val="22"/>
          <w:szCs w:val="22"/>
        </w:rPr>
        <w:t>(Washington DC: World Bank and Brookings Institution, 2010).</w:t>
      </w:r>
    </w:p>
    <w:p w14:paraId="48473C6E" w14:textId="77777777" w:rsidR="00442620" w:rsidRPr="00454AD2" w:rsidRDefault="00442620" w:rsidP="00442620">
      <w:pPr>
        <w:pStyle w:val="FootnoteText"/>
        <w:rPr>
          <w:rFonts w:ascii="Calibri" w:hAnsi="Calibri" w:cs="Calibri"/>
          <w:color w:val="000000" w:themeColor="text1"/>
          <w:sz w:val="22"/>
          <w:szCs w:val="22"/>
        </w:rPr>
      </w:pPr>
    </w:p>
    <w:p w14:paraId="6B693E9B" w14:textId="77A4A648" w:rsidR="00442620" w:rsidRPr="00454AD2" w:rsidRDefault="002B1256" w:rsidP="00442620">
      <w:pPr>
        <w:pStyle w:val="FootnoteText"/>
        <w:rPr>
          <w:rFonts w:ascii="Calibri" w:hAnsi="Calibri" w:cs="Calibri"/>
          <w:color w:val="000000" w:themeColor="text1"/>
          <w:sz w:val="22"/>
          <w:szCs w:val="22"/>
        </w:rPr>
      </w:pPr>
      <w:r w:rsidRPr="00A32897">
        <w:rPr>
          <w:rFonts w:ascii="Calibri" w:hAnsi="Calibri" w:cs="Calibri"/>
          <w:sz w:val="22"/>
          <w:szCs w:val="22"/>
        </w:rPr>
        <w:t>Kelly J, Shiff CJ, Goodman HC, Dash L, Brown AB</w:t>
      </w:r>
      <w:r w:rsidR="002849CC">
        <w:rPr>
          <w:rFonts w:ascii="Calibri" w:hAnsi="Calibri" w:cs="Calibri"/>
          <w:sz w:val="22"/>
          <w:szCs w:val="22"/>
        </w:rPr>
        <w:t xml:space="preserve"> and</w:t>
      </w:r>
      <w:r w:rsidRPr="00A32897">
        <w:rPr>
          <w:rFonts w:ascii="Calibri" w:hAnsi="Calibri" w:cs="Calibri"/>
          <w:sz w:val="22"/>
          <w:szCs w:val="22"/>
        </w:rPr>
        <w:t xml:space="preserve"> Galaydh AK, </w:t>
      </w:r>
      <w:r w:rsidRPr="00A32897">
        <w:rPr>
          <w:rFonts w:ascii="Calibri" w:hAnsi="Calibri" w:cs="Calibri"/>
          <w:i/>
          <w:sz w:val="22"/>
          <w:szCs w:val="22"/>
        </w:rPr>
        <w:t>Impact review of the Onchocerciasis Control Program, Ouagadougou</w:t>
      </w:r>
      <w:r w:rsidR="002849CC">
        <w:rPr>
          <w:rFonts w:ascii="Calibri" w:hAnsi="Calibri" w:cs="Calibri"/>
          <w:i/>
          <w:sz w:val="22"/>
          <w:szCs w:val="22"/>
        </w:rPr>
        <w:t xml:space="preserve"> </w:t>
      </w:r>
      <w:r w:rsidRPr="00454AD2">
        <w:rPr>
          <w:rFonts w:ascii="Calibri" w:hAnsi="Calibri" w:cs="Calibri"/>
          <w:color w:val="000000" w:themeColor="text1"/>
          <w:sz w:val="22"/>
          <w:szCs w:val="22"/>
        </w:rPr>
        <w:t>(Ouagadougou: USAID, 198</w:t>
      </w:r>
      <w:r w:rsidR="002849CC">
        <w:rPr>
          <w:rFonts w:ascii="Calibri" w:hAnsi="Calibri" w:cs="Calibri"/>
          <w:color w:val="000000" w:themeColor="text1"/>
          <w:sz w:val="22"/>
          <w:szCs w:val="22"/>
        </w:rPr>
        <w:t>6</w:t>
      </w:r>
      <w:r w:rsidRPr="00454AD2">
        <w:rPr>
          <w:rFonts w:ascii="Calibri" w:hAnsi="Calibri" w:cs="Calibri"/>
          <w:color w:val="000000" w:themeColor="text1"/>
          <w:sz w:val="22"/>
          <w:szCs w:val="22"/>
        </w:rPr>
        <w:t>)</w:t>
      </w:r>
      <w:r>
        <w:rPr>
          <w:rFonts w:ascii="Calibri" w:hAnsi="Calibri" w:cs="Calibri"/>
          <w:color w:val="000000" w:themeColor="text1"/>
          <w:sz w:val="22"/>
          <w:szCs w:val="22"/>
        </w:rPr>
        <w:t>.</w:t>
      </w:r>
    </w:p>
    <w:p w14:paraId="4FE0C6B5" w14:textId="77777777" w:rsidR="002849CC" w:rsidRDefault="002849CC" w:rsidP="00442620">
      <w:pPr>
        <w:pStyle w:val="FootnoteText"/>
        <w:rPr>
          <w:rFonts w:ascii="Calibri" w:hAnsi="Calibri" w:cs="Calibri"/>
          <w:color w:val="000000" w:themeColor="text1"/>
          <w:sz w:val="22"/>
          <w:szCs w:val="22"/>
        </w:rPr>
      </w:pPr>
    </w:p>
    <w:p w14:paraId="3F93BC9D" w14:textId="5C80AFAF"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Kim A and Benton B, </w:t>
      </w:r>
      <w:r w:rsidRPr="00454AD2">
        <w:rPr>
          <w:rFonts w:ascii="Calibri" w:hAnsi="Calibri" w:cs="Calibri"/>
          <w:i/>
          <w:color w:val="000000" w:themeColor="text1"/>
          <w:sz w:val="22"/>
          <w:szCs w:val="22"/>
        </w:rPr>
        <w:t>Cost-benefit analysis of the Onchocerciasis Control Program (OCP)</w:t>
      </w:r>
      <w:r w:rsidRPr="00454AD2">
        <w:rPr>
          <w:rFonts w:ascii="Calibri" w:hAnsi="Calibri" w:cs="Calibri"/>
          <w:color w:val="000000" w:themeColor="text1"/>
          <w:sz w:val="22"/>
          <w:szCs w:val="22"/>
        </w:rPr>
        <w:t xml:space="preserve"> (Washington DC: World Bank, 1995). </w:t>
      </w:r>
    </w:p>
    <w:p w14:paraId="21B7BA10" w14:textId="77777777" w:rsidR="00442620" w:rsidRPr="00454AD2" w:rsidRDefault="00442620" w:rsidP="00442620">
      <w:pPr>
        <w:pStyle w:val="FootnoteText"/>
        <w:rPr>
          <w:rFonts w:ascii="Calibri" w:hAnsi="Calibri" w:cs="Calibri"/>
          <w:color w:val="000000" w:themeColor="text1"/>
          <w:sz w:val="22"/>
          <w:szCs w:val="22"/>
        </w:rPr>
      </w:pPr>
    </w:p>
    <w:p w14:paraId="2069C84A" w14:textId="3642DEFB"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Lawn </w:t>
      </w:r>
      <w:r w:rsidR="002B1256">
        <w:rPr>
          <w:rFonts w:ascii="Calibri" w:hAnsi="Calibri" w:cs="Calibri"/>
          <w:color w:val="000000" w:themeColor="text1"/>
          <w:sz w:val="22"/>
          <w:szCs w:val="22"/>
        </w:rPr>
        <w:t>JE, Rohde J, Rifkin S, Were M, Paul VK and Chopra M,</w:t>
      </w:r>
      <w:r w:rsidRPr="00454AD2">
        <w:rPr>
          <w:rFonts w:ascii="Calibri" w:hAnsi="Calibri" w:cs="Calibri"/>
          <w:color w:val="000000" w:themeColor="text1"/>
          <w:sz w:val="22"/>
          <w:szCs w:val="22"/>
        </w:rPr>
        <w:t xml:space="preserve"> ‘Alma-Ata 30 years on: revolutionary, relevant, and time to revitalise’, </w:t>
      </w:r>
      <w:r w:rsidRPr="00454AD2">
        <w:rPr>
          <w:rFonts w:ascii="Calibri" w:hAnsi="Calibri" w:cs="Calibri"/>
          <w:i/>
          <w:color w:val="000000" w:themeColor="text1"/>
          <w:sz w:val="22"/>
          <w:szCs w:val="22"/>
        </w:rPr>
        <w:t xml:space="preserve">Lancet </w:t>
      </w:r>
      <w:r w:rsidRPr="00454AD2">
        <w:rPr>
          <w:rFonts w:ascii="Calibri" w:hAnsi="Calibri" w:cs="Calibri"/>
          <w:color w:val="000000" w:themeColor="text1"/>
          <w:sz w:val="22"/>
          <w:szCs w:val="22"/>
        </w:rPr>
        <w:t>372 (2008), 917-927.</w:t>
      </w:r>
    </w:p>
    <w:p w14:paraId="15357582" w14:textId="77777777" w:rsidR="00442620" w:rsidRPr="00454AD2" w:rsidRDefault="00442620" w:rsidP="00442620">
      <w:pPr>
        <w:rPr>
          <w:rFonts w:ascii="Calibri" w:hAnsi="Calibri" w:cs="Calibri"/>
          <w:color w:val="000000" w:themeColor="text1"/>
          <w:sz w:val="22"/>
          <w:szCs w:val="22"/>
          <w:lang w:val="en-US"/>
        </w:rPr>
      </w:pPr>
    </w:p>
    <w:p w14:paraId="3EE9BFAA" w14:textId="2608FF31" w:rsidR="00442620" w:rsidRPr="00454AD2" w:rsidRDefault="00442620" w:rsidP="00442620">
      <w:pPr>
        <w:rPr>
          <w:rFonts w:ascii="Calibri" w:hAnsi="Calibri" w:cs="Calibri"/>
          <w:color w:val="000000" w:themeColor="text1"/>
          <w:sz w:val="22"/>
          <w:szCs w:val="22"/>
          <w:lang w:val="en-US"/>
        </w:rPr>
      </w:pPr>
      <w:r w:rsidRPr="00454AD2">
        <w:rPr>
          <w:rFonts w:ascii="Calibri" w:hAnsi="Calibri" w:cs="Calibri"/>
          <w:color w:val="000000" w:themeColor="text1"/>
          <w:sz w:val="22"/>
          <w:szCs w:val="22"/>
          <w:lang w:val="en-US"/>
        </w:rPr>
        <w:t xml:space="preserve">Le Berre </w:t>
      </w:r>
      <w:r w:rsidR="002B1256">
        <w:rPr>
          <w:rFonts w:ascii="Calibri" w:hAnsi="Calibri" w:cs="Calibri"/>
          <w:color w:val="000000" w:themeColor="text1"/>
          <w:sz w:val="22"/>
          <w:szCs w:val="22"/>
          <w:lang w:val="en-US"/>
        </w:rPr>
        <w:t>R, Walsh JF, Philippon B, Poudiougo P, Henderickx JE, Guillet P, Sékételi A, Quillevere D, Gruneald J and Cheke RA</w:t>
      </w:r>
      <w:r w:rsidRPr="00454AD2">
        <w:rPr>
          <w:rFonts w:ascii="Calibri" w:hAnsi="Calibri" w:cs="Calibri"/>
          <w:color w:val="000000" w:themeColor="text1"/>
          <w:sz w:val="22"/>
          <w:szCs w:val="22"/>
          <w:lang w:val="en-US"/>
        </w:rPr>
        <w:t xml:space="preserve">, ‘The WHO Onchocerciasis Control Programme: retrospect and prospects’, </w:t>
      </w:r>
      <w:r w:rsidRPr="00454AD2">
        <w:rPr>
          <w:rFonts w:ascii="Calibri" w:hAnsi="Calibri" w:cs="Calibri"/>
          <w:i/>
          <w:color w:val="000000" w:themeColor="text1"/>
          <w:sz w:val="22"/>
          <w:szCs w:val="22"/>
          <w:lang w:val="en-US"/>
        </w:rPr>
        <w:t xml:space="preserve">Philosophical Transactions of the Royal Society London </w:t>
      </w:r>
      <w:r w:rsidRPr="00454AD2">
        <w:rPr>
          <w:rFonts w:ascii="Calibri" w:hAnsi="Calibri" w:cs="Calibri"/>
          <w:color w:val="000000" w:themeColor="text1"/>
          <w:sz w:val="22"/>
          <w:szCs w:val="22"/>
          <w:lang w:val="en-US"/>
        </w:rPr>
        <w:t>238 (1990), 721-729.</w:t>
      </w:r>
    </w:p>
    <w:p w14:paraId="286AA285" w14:textId="77777777" w:rsidR="00442620" w:rsidRPr="00454AD2" w:rsidRDefault="00442620" w:rsidP="00442620">
      <w:pPr>
        <w:rPr>
          <w:rFonts w:ascii="Calibri" w:hAnsi="Calibri" w:cs="Calibri"/>
          <w:color w:val="000000" w:themeColor="text1"/>
          <w:sz w:val="22"/>
          <w:szCs w:val="22"/>
          <w:lang w:val="en-US"/>
        </w:rPr>
      </w:pPr>
    </w:p>
    <w:p w14:paraId="1DE97FEA" w14:textId="7539A7C2"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lastRenderedPageBreak/>
        <w:t xml:space="preserve">Lee </w:t>
      </w:r>
      <w:r w:rsidR="002B1256" w:rsidRPr="00CF189D">
        <w:rPr>
          <w:rFonts w:ascii="Calibri" w:hAnsi="Calibri" w:cs="Calibri"/>
          <w:sz w:val="22"/>
          <w:szCs w:val="22"/>
        </w:rPr>
        <w:t>K, Collinson S, Walt G and Gilson L,</w:t>
      </w:r>
      <w:r w:rsidRPr="00CF189D">
        <w:rPr>
          <w:rFonts w:ascii="Calibri" w:hAnsi="Calibri" w:cs="Calibri"/>
          <w:sz w:val="22"/>
          <w:szCs w:val="22"/>
        </w:rPr>
        <w:t xml:space="preserve"> ‘Who should be doing what in international health: a confusion of mandates in the United Nations?’, </w:t>
      </w:r>
      <w:r w:rsidRPr="00CF189D">
        <w:rPr>
          <w:rFonts w:ascii="Calibri" w:hAnsi="Calibri" w:cs="Calibri"/>
          <w:i/>
          <w:sz w:val="22"/>
          <w:szCs w:val="22"/>
        </w:rPr>
        <w:t xml:space="preserve">BMJ </w:t>
      </w:r>
      <w:r w:rsidRPr="00CF189D">
        <w:rPr>
          <w:rFonts w:ascii="Calibri" w:hAnsi="Calibri" w:cs="Calibri"/>
          <w:sz w:val="22"/>
          <w:szCs w:val="22"/>
        </w:rPr>
        <w:t>312:7026 (1996), 302-307.</w:t>
      </w:r>
    </w:p>
    <w:p w14:paraId="162979B8" w14:textId="77777777" w:rsidR="00442620" w:rsidRPr="00454AD2" w:rsidRDefault="00442620" w:rsidP="00442620">
      <w:pPr>
        <w:pStyle w:val="FootnoteText"/>
        <w:rPr>
          <w:rFonts w:ascii="Calibri" w:hAnsi="Calibri" w:cs="Calibri"/>
          <w:color w:val="000000" w:themeColor="text1"/>
          <w:sz w:val="22"/>
          <w:szCs w:val="22"/>
        </w:rPr>
      </w:pPr>
    </w:p>
    <w:p w14:paraId="502F51B9" w14:textId="3CC0941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Lee K and Kamradt-Scott A, ‘The multiple meanings of global health governance: a call for conceptual clarity’, </w:t>
      </w:r>
      <w:r w:rsidRPr="00454AD2">
        <w:rPr>
          <w:rFonts w:ascii="Calibri" w:hAnsi="Calibri" w:cs="Calibri"/>
          <w:i/>
          <w:color w:val="000000" w:themeColor="text1"/>
          <w:sz w:val="22"/>
          <w:szCs w:val="22"/>
        </w:rPr>
        <w:t xml:space="preserve">Globalization and </w:t>
      </w:r>
      <w:r w:rsidR="008A45BD">
        <w:rPr>
          <w:rFonts w:ascii="Calibri" w:hAnsi="Calibri" w:cs="Calibri"/>
          <w:i/>
          <w:color w:val="000000" w:themeColor="text1"/>
          <w:sz w:val="22"/>
          <w:szCs w:val="22"/>
        </w:rPr>
        <w:t>H</w:t>
      </w:r>
      <w:r w:rsidRPr="00454AD2">
        <w:rPr>
          <w:rFonts w:ascii="Calibri" w:hAnsi="Calibri" w:cs="Calibri"/>
          <w:i/>
          <w:color w:val="000000" w:themeColor="text1"/>
          <w:sz w:val="22"/>
          <w:szCs w:val="22"/>
        </w:rPr>
        <w:t xml:space="preserve">ealth </w:t>
      </w:r>
      <w:r w:rsidRPr="00454AD2">
        <w:rPr>
          <w:rFonts w:ascii="Calibri" w:hAnsi="Calibri" w:cs="Calibri"/>
          <w:color w:val="000000" w:themeColor="text1"/>
          <w:sz w:val="22"/>
          <w:szCs w:val="22"/>
        </w:rPr>
        <w:t>10:28 (2014), 1-10.</w:t>
      </w:r>
    </w:p>
    <w:p w14:paraId="425F03CB" w14:textId="77777777" w:rsidR="00442620" w:rsidRPr="00454AD2" w:rsidRDefault="00442620" w:rsidP="00442620">
      <w:pPr>
        <w:pStyle w:val="FootnoteText"/>
        <w:rPr>
          <w:rFonts w:ascii="Calibri" w:hAnsi="Calibri" w:cs="Calibri"/>
          <w:color w:val="000000" w:themeColor="text1"/>
          <w:sz w:val="22"/>
          <w:szCs w:val="22"/>
        </w:rPr>
      </w:pPr>
    </w:p>
    <w:p w14:paraId="52215790"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Levine R and the What Works Working Group, </w:t>
      </w:r>
      <w:r w:rsidRPr="00454AD2">
        <w:rPr>
          <w:rFonts w:ascii="Calibri" w:hAnsi="Calibri" w:cs="Calibri"/>
          <w:i/>
          <w:color w:val="000000" w:themeColor="text1"/>
          <w:sz w:val="22"/>
          <w:szCs w:val="22"/>
        </w:rPr>
        <w:t xml:space="preserve">Millions saved: proven successes in global health </w:t>
      </w:r>
      <w:r w:rsidRPr="00454AD2">
        <w:rPr>
          <w:rFonts w:ascii="Calibri" w:hAnsi="Calibri" w:cs="Calibri"/>
          <w:color w:val="000000" w:themeColor="text1"/>
          <w:sz w:val="22"/>
          <w:szCs w:val="22"/>
        </w:rPr>
        <w:t>(Washington DC: Center for Global Development, 2004).</w:t>
      </w:r>
    </w:p>
    <w:p w14:paraId="642920D4" w14:textId="77777777" w:rsidR="00442620" w:rsidRPr="00454AD2" w:rsidRDefault="00442620" w:rsidP="00442620">
      <w:pPr>
        <w:pStyle w:val="FootnoteText"/>
        <w:rPr>
          <w:rFonts w:ascii="Calibri" w:hAnsi="Calibri" w:cs="Calibri"/>
          <w:color w:val="000000" w:themeColor="text1"/>
          <w:sz w:val="22"/>
          <w:szCs w:val="22"/>
        </w:rPr>
      </w:pPr>
    </w:p>
    <w:p w14:paraId="18DD45FA"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Levine R, </w:t>
      </w:r>
      <w:r w:rsidRPr="00454AD2">
        <w:rPr>
          <w:rFonts w:ascii="Calibri" w:hAnsi="Calibri" w:cs="Calibri"/>
          <w:i/>
          <w:color w:val="000000" w:themeColor="text1"/>
          <w:sz w:val="22"/>
          <w:szCs w:val="22"/>
        </w:rPr>
        <w:t xml:space="preserve">Case studies in global health: millions saved </w:t>
      </w:r>
      <w:r w:rsidRPr="00454AD2">
        <w:rPr>
          <w:rFonts w:ascii="Calibri" w:hAnsi="Calibri" w:cs="Calibri"/>
          <w:color w:val="000000" w:themeColor="text1"/>
          <w:sz w:val="22"/>
          <w:szCs w:val="22"/>
        </w:rPr>
        <w:t>(Burlington: Jones and Barlett, 2007).</w:t>
      </w:r>
    </w:p>
    <w:p w14:paraId="7BD23CF1" w14:textId="77777777" w:rsidR="00442620" w:rsidRPr="00454AD2" w:rsidRDefault="00442620" w:rsidP="00442620">
      <w:pPr>
        <w:pStyle w:val="FootnoteText"/>
        <w:rPr>
          <w:rFonts w:ascii="Calibri" w:hAnsi="Calibri" w:cs="Calibri"/>
          <w:color w:val="000000" w:themeColor="text1"/>
          <w:sz w:val="22"/>
          <w:szCs w:val="22"/>
        </w:rPr>
      </w:pPr>
    </w:p>
    <w:p w14:paraId="4B78E170" w14:textId="685F360E"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Liese </w:t>
      </w:r>
      <w:r w:rsidR="002B1256">
        <w:rPr>
          <w:rFonts w:ascii="Calibri" w:hAnsi="Calibri" w:cs="Calibri"/>
          <w:color w:val="000000" w:themeColor="text1"/>
          <w:sz w:val="22"/>
          <w:szCs w:val="22"/>
        </w:rPr>
        <w:t>B, Rosenberg M and Schratz A</w:t>
      </w:r>
      <w:r w:rsidRPr="00454AD2">
        <w:rPr>
          <w:rFonts w:ascii="Calibri" w:hAnsi="Calibri" w:cs="Calibri"/>
          <w:color w:val="000000" w:themeColor="text1"/>
          <w:sz w:val="22"/>
          <w:szCs w:val="22"/>
        </w:rPr>
        <w:t xml:space="preserve">, ‘Programmes, partnerships, and governance for elimination and control of neglected tropical diseases’, </w:t>
      </w:r>
      <w:r w:rsidRPr="00454AD2">
        <w:rPr>
          <w:rFonts w:ascii="Calibri" w:hAnsi="Calibri" w:cs="Calibri"/>
          <w:i/>
          <w:color w:val="000000" w:themeColor="text1"/>
          <w:sz w:val="22"/>
          <w:szCs w:val="22"/>
        </w:rPr>
        <w:t xml:space="preserve">Lancet </w:t>
      </w:r>
      <w:r w:rsidRPr="00454AD2">
        <w:rPr>
          <w:rFonts w:ascii="Calibri" w:hAnsi="Calibri" w:cs="Calibri"/>
          <w:color w:val="000000" w:themeColor="text1"/>
          <w:sz w:val="22"/>
          <w:szCs w:val="22"/>
        </w:rPr>
        <w:t>375 (2010), 67-76.</w:t>
      </w:r>
    </w:p>
    <w:p w14:paraId="776D5123" w14:textId="77777777" w:rsidR="00442620" w:rsidRPr="00454AD2" w:rsidRDefault="00442620" w:rsidP="00442620">
      <w:pPr>
        <w:pStyle w:val="FootnoteText"/>
        <w:rPr>
          <w:rFonts w:ascii="Calibri" w:hAnsi="Calibri" w:cs="Calibri"/>
          <w:color w:val="000000" w:themeColor="text1"/>
          <w:sz w:val="22"/>
          <w:szCs w:val="22"/>
        </w:rPr>
      </w:pPr>
    </w:p>
    <w:p w14:paraId="37CEA88C" w14:textId="2A9E8F16"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Liese </w:t>
      </w:r>
      <w:r w:rsidR="002B1256">
        <w:rPr>
          <w:rFonts w:ascii="Calibri" w:hAnsi="Calibri" w:cs="Calibri"/>
          <w:color w:val="000000" w:themeColor="text1"/>
          <w:sz w:val="22"/>
          <w:szCs w:val="22"/>
        </w:rPr>
        <w:t>BH, Sachdeva PS and Cochrane DG</w:t>
      </w:r>
      <w:r w:rsidRPr="00454AD2">
        <w:rPr>
          <w:rFonts w:ascii="Calibri" w:hAnsi="Calibri" w:cs="Calibri"/>
          <w:color w:val="000000" w:themeColor="text1"/>
          <w:sz w:val="22"/>
          <w:szCs w:val="22"/>
        </w:rPr>
        <w:t xml:space="preserve">, </w:t>
      </w:r>
      <w:r w:rsidRPr="00454AD2">
        <w:rPr>
          <w:rFonts w:ascii="Calibri" w:hAnsi="Calibri" w:cs="Calibri"/>
          <w:i/>
          <w:color w:val="000000" w:themeColor="text1"/>
          <w:sz w:val="22"/>
          <w:szCs w:val="22"/>
        </w:rPr>
        <w:t xml:space="preserve">Organizing and managing tropical disease control programs: lessons of success </w:t>
      </w:r>
      <w:r w:rsidRPr="00454AD2">
        <w:rPr>
          <w:rFonts w:ascii="Calibri" w:hAnsi="Calibri" w:cs="Calibri"/>
          <w:color w:val="000000" w:themeColor="text1"/>
          <w:sz w:val="22"/>
          <w:szCs w:val="22"/>
        </w:rPr>
        <w:t>(Washington DC: World Bank, 1991).</w:t>
      </w:r>
    </w:p>
    <w:p w14:paraId="0E24CE04" w14:textId="77777777" w:rsidR="00442620" w:rsidRPr="00454AD2" w:rsidRDefault="00442620" w:rsidP="00442620">
      <w:pPr>
        <w:pStyle w:val="FootnoteText"/>
        <w:rPr>
          <w:rFonts w:ascii="Calibri" w:hAnsi="Calibri" w:cs="Calibri"/>
          <w:color w:val="000000" w:themeColor="text1"/>
          <w:sz w:val="22"/>
          <w:szCs w:val="22"/>
        </w:rPr>
      </w:pPr>
    </w:p>
    <w:p w14:paraId="35002A0C"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Litsios S, ‘The Christian Medical Commission and the development of WHO’s primary health care approach’, </w:t>
      </w:r>
      <w:r w:rsidRPr="00454AD2">
        <w:rPr>
          <w:rFonts w:ascii="Calibri" w:hAnsi="Calibri" w:cs="Calibri"/>
          <w:i/>
          <w:color w:val="000000" w:themeColor="text1"/>
          <w:sz w:val="22"/>
          <w:szCs w:val="22"/>
        </w:rPr>
        <w:t>American Journal of Public Health</w:t>
      </w:r>
      <w:r w:rsidRPr="00454AD2">
        <w:rPr>
          <w:rFonts w:ascii="Calibri" w:hAnsi="Calibri" w:cs="Calibri"/>
          <w:color w:val="000000" w:themeColor="text1"/>
          <w:sz w:val="22"/>
          <w:szCs w:val="22"/>
        </w:rPr>
        <w:t xml:space="preserve"> 94 (2004): 1884–1893.</w:t>
      </w:r>
    </w:p>
    <w:p w14:paraId="6259E9D8" w14:textId="77777777" w:rsidR="00442620" w:rsidRPr="00454AD2" w:rsidRDefault="00442620" w:rsidP="00442620">
      <w:pPr>
        <w:pStyle w:val="FootnoteText"/>
        <w:rPr>
          <w:rFonts w:ascii="Calibri" w:hAnsi="Calibri" w:cs="Calibri"/>
          <w:color w:val="000000" w:themeColor="text1"/>
          <w:sz w:val="22"/>
          <w:szCs w:val="22"/>
        </w:rPr>
      </w:pPr>
    </w:p>
    <w:p w14:paraId="2E6CFB5B" w14:textId="60E33523" w:rsidR="00442620" w:rsidRDefault="00442620" w:rsidP="00DD4818">
      <w:pPr>
        <w:pStyle w:val="Footnotes"/>
        <w:rPr>
          <w:rFonts w:ascii="Calibri" w:hAnsi="Calibri" w:cs="Calibri"/>
          <w:sz w:val="22"/>
          <w:szCs w:val="22"/>
        </w:rPr>
      </w:pPr>
      <w:r w:rsidRPr="00CF189D">
        <w:rPr>
          <w:rFonts w:ascii="Calibri" w:hAnsi="Calibri" w:cs="Calibri"/>
          <w:sz w:val="22"/>
          <w:szCs w:val="22"/>
        </w:rPr>
        <w:t xml:space="preserve">Litsios S, The third ten years of the World Health Organization (Geneva: WHO, 2008), 11. </w:t>
      </w:r>
    </w:p>
    <w:p w14:paraId="077A7AE7" w14:textId="00C994B6" w:rsidR="00B040F0" w:rsidRDefault="00B040F0" w:rsidP="00DD4818">
      <w:pPr>
        <w:pStyle w:val="Footnotes"/>
        <w:rPr>
          <w:rFonts w:ascii="Calibri" w:hAnsi="Calibri" w:cs="Calibri"/>
          <w:sz w:val="22"/>
          <w:szCs w:val="22"/>
        </w:rPr>
      </w:pPr>
    </w:p>
    <w:p w14:paraId="505AC4B6" w14:textId="3077DDEF" w:rsidR="00B040F0" w:rsidRPr="00CF189D" w:rsidRDefault="00B040F0" w:rsidP="00CF189D">
      <w:pPr>
        <w:rPr>
          <w:rFonts w:ascii="Calibri" w:hAnsi="Calibri" w:cs="Calibri"/>
          <w:sz w:val="22"/>
          <w:szCs w:val="22"/>
        </w:rPr>
      </w:pPr>
      <w:r w:rsidRPr="001C0900">
        <w:rPr>
          <w:rFonts w:ascii="Calibri" w:hAnsi="Calibri" w:cs="Calibri"/>
          <w:sz w:val="22"/>
          <w:szCs w:val="22"/>
        </w:rPr>
        <w:t xml:space="preserve">Lowenson R, ‘Structural adjustment and health policy in Africa’, </w:t>
      </w:r>
      <w:r w:rsidRPr="001C0900">
        <w:rPr>
          <w:rFonts w:ascii="Calibri" w:hAnsi="Calibri" w:cs="Calibri"/>
          <w:i/>
          <w:iCs/>
          <w:sz w:val="22"/>
          <w:szCs w:val="22"/>
        </w:rPr>
        <w:t xml:space="preserve">International Journal of Health Services </w:t>
      </w:r>
      <w:r w:rsidRPr="001C0900">
        <w:rPr>
          <w:rFonts w:ascii="Calibri" w:hAnsi="Calibri" w:cs="Calibri"/>
          <w:sz w:val="22"/>
          <w:szCs w:val="22"/>
        </w:rPr>
        <w:t>23:4 (1993), 717-730</w:t>
      </w:r>
      <w:r>
        <w:rPr>
          <w:rFonts w:ascii="Calibri" w:hAnsi="Calibri" w:cs="Calibri"/>
          <w:sz w:val="22"/>
          <w:szCs w:val="22"/>
        </w:rPr>
        <w:t>.</w:t>
      </w:r>
    </w:p>
    <w:p w14:paraId="25F39D83" w14:textId="77777777" w:rsidR="00442620" w:rsidRPr="00454AD2" w:rsidRDefault="00442620" w:rsidP="00DD4818">
      <w:pPr>
        <w:pStyle w:val="Footnotes"/>
      </w:pPr>
    </w:p>
    <w:p w14:paraId="0DEE810F"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Marshall K, </w:t>
      </w:r>
      <w:r w:rsidRPr="00454AD2">
        <w:rPr>
          <w:rFonts w:ascii="Calibri" w:hAnsi="Calibri" w:cs="Calibri"/>
          <w:i/>
          <w:color w:val="000000" w:themeColor="text1"/>
          <w:sz w:val="22"/>
          <w:szCs w:val="22"/>
        </w:rPr>
        <w:t xml:space="preserve">The World Bank: from reconstruction to development to equity </w:t>
      </w:r>
      <w:r w:rsidRPr="00454AD2">
        <w:rPr>
          <w:rFonts w:ascii="Calibri" w:hAnsi="Calibri" w:cs="Calibri"/>
          <w:color w:val="000000" w:themeColor="text1"/>
          <w:sz w:val="22"/>
          <w:szCs w:val="22"/>
        </w:rPr>
        <w:t>(New York: Routledge, 2008).</w:t>
      </w:r>
    </w:p>
    <w:p w14:paraId="11D9E775" w14:textId="77777777" w:rsidR="00442620" w:rsidRPr="00454AD2" w:rsidRDefault="00442620" w:rsidP="00442620">
      <w:pPr>
        <w:pStyle w:val="FootnoteText"/>
        <w:rPr>
          <w:rFonts w:ascii="Calibri" w:hAnsi="Calibri" w:cs="Calibri"/>
          <w:color w:val="000000" w:themeColor="text1"/>
          <w:sz w:val="22"/>
          <w:szCs w:val="22"/>
        </w:rPr>
      </w:pPr>
    </w:p>
    <w:p w14:paraId="6F912029"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Martin GH, </w:t>
      </w:r>
      <w:r w:rsidRPr="00454AD2">
        <w:rPr>
          <w:rFonts w:ascii="Calibri" w:hAnsi="Calibri" w:cs="Calibri"/>
          <w:i/>
          <w:color w:val="000000" w:themeColor="text1"/>
          <w:sz w:val="22"/>
          <w:szCs w:val="22"/>
        </w:rPr>
        <w:t xml:space="preserve">Portfolio review of the World Bank lending for communicable disease control </w:t>
      </w:r>
      <w:r w:rsidRPr="00454AD2">
        <w:rPr>
          <w:rFonts w:ascii="Calibri" w:hAnsi="Calibri" w:cs="Calibri"/>
          <w:color w:val="000000" w:themeColor="text1"/>
          <w:sz w:val="22"/>
          <w:szCs w:val="22"/>
        </w:rPr>
        <w:t>(Washington DC, Independent Evaluation Group, 2010).</w:t>
      </w:r>
    </w:p>
    <w:p w14:paraId="2D8BA8A0" w14:textId="77777777" w:rsidR="00442620" w:rsidRPr="00454AD2" w:rsidRDefault="00442620" w:rsidP="00442620">
      <w:pPr>
        <w:pStyle w:val="FootnoteText"/>
        <w:rPr>
          <w:rFonts w:ascii="Calibri" w:hAnsi="Calibri" w:cs="Calibri"/>
          <w:color w:val="000000" w:themeColor="text1"/>
          <w:sz w:val="22"/>
          <w:szCs w:val="22"/>
        </w:rPr>
      </w:pPr>
    </w:p>
    <w:p w14:paraId="61D0D2F9"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Massicotte MJ, ‘Global governance and the global political economy: three texts in search of a synthesis’, </w:t>
      </w:r>
      <w:r w:rsidRPr="00454AD2">
        <w:rPr>
          <w:rFonts w:ascii="Calibri" w:hAnsi="Calibri" w:cs="Calibri"/>
          <w:i/>
          <w:color w:val="000000" w:themeColor="text1"/>
          <w:sz w:val="22"/>
          <w:szCs w:val="22"/>
        </w:rPr>
        <w:t xml:space="preserve">Global Governance </w:t>
      </w:r>
      <w:r w:rsidRPr="00454AD2">
        <w:rPr>
          <w:rFonts w:ascii="Calibri" w:hAnsi="Calibri" w:cs="Calibri"/>
          <w:color w:val="000000" w:themeColor="text1"/>
          <w:sz w:val="22"/>
          <w:szCs w:val="22"/>
        </w:rPr>
        <w:t xml:space="preserve">5 (1999), 127-148. </w:t>
      </w:r>
    </w:p>
    <w:p w14:paraId="233A73EC" w14:textId="77777777" w:rsidR="00442620" w:rsidRPr="00454AD2" w:rsidRDefault="00442620" w:rsidP="00442620">
      <w:pPr>
        <w:pStyle w:val="FootnoteText"/>
        <w:rPr>
          <w:rFonts w:ascii="Calibri" w:hAnsi="Calibri" w:cs="Calibri"/>
          <w:color w:val="000000" w:themeColor="text1"/>
          <w:sz w:val="22"/>
          <w:szCs w:val="22"/>
        </w:rPr>
      </w:pPr>
    </w:p>
    <w:p w14:paraId="147DF9EE" w14:textId="3E8FE691" w:rsidR="00442620"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McNamara RS, ‘Look how successful an aid partnership can be’, </w:t>
      </w:r>
      <w:r w:rsidRPr="00454AD2">
        <w:rPr>
          <w:rFonts w:ascii="Calibri" w:hAnsi="Calibri" w:cs="Calibri"/>
          <w:i/>
          <w:color w:val="000000" w:themeColor="text1"/>
          <w:sz w:val="22"/>
          <w:szCs w:val="22"/>
        </w:rPr>
        <w:t xml:space="preserve">International Herald Tribune </w:t>
      </w:r>
      <w:r w:rsidRPr="00454AD2">
        <w:rPr>
          <w:rFonts w:ascii="Calibri" w:hAnsi="Calibri" w:cs="Calibri"/>
          <w:color w:val="000000" w:themeColor="text1"/>
          <w:sz w:val="22"/>
          <w:szCs w:val="22"/>
        </w:rPr>
        <w:t>(20 December 2001).</w:t>
      </w:r>
    </w:p>
    <w:p w14:paraId="318D0C6A" w14:textId="0B21F9C8" w:rsidR="00B040F0" w:rsidRDefault="00B040F0" w:rsidP="00442620">
      <w:pPr>
        <w:pStyle w:val="FootnoteText"/>
        <w:rPr>
          <w:rFonts w:ascii="Calibri" w:hAnsi="Calibri" w:cs="Calibri"/>
          <w:color w:val="000000" w:themeColor="text1"/>
          <w:sz w:val="22"/>
          <w:szCs w:val="22"/>
        </w:rPr>
      </w:pPr>
    </w:p>
    <w:p w14:paraId="317814C5" w14:textId="15C9CAE6" w:rsidR="00B040F0" w:rsidRDefault="00B040F0" w:rsidP="00442620">
      <w:pPr>
        <w:pStyle w:val="FootnoteText"/>
        <w:rPr>
          <w:rFonts w:ascii="Calibri" w:hAnsi="Calibri" w:cs="Calibri"/>
          <w:color w:val="000000" w:themeColor="text1"/>
          <w:sz w:val="22"/>
          <w:szCs w:val="22"/>
        </w:rPr>
      </w:pPr>
      <w:r w:rsidRPr="001C0900">
        <w:rPr>
          <w:rFonts w:ascii="Calibri" w:hAnsi="Calibri" w:cs="Calibri"/>
          <w:color w:val="000000" w:themeColor="text1"/>
          <w:sz w:val="22"/>
          <w:szCs w:val="22"/>
        </w:rPr>
        <w:t xml:space="preserve">McNamara R, ‘To the Board of Governors, Washington DC, September 30, 1968’ in </w:t>
      </w:r>
      <w:r w:rsidRPr="001C0900">
        <w:rPr>
          <w:rFonts w:ascii="Calibri" w:hAnsi="Calibri" w:cs="Calibri"/>
          <w:i/>
          <w:color w:val="000000" w:themeColor="text1"/>
          <w:sz w:val="22"/>
          <w:szCs w:val="22"/>
        </w:rPr>
        <w:t>The McNamara years at the World Bank: major policy addresses of Robert S. McNamara 1968-1981</w:t>
      </w:r>
      <w:r w:rsidRPr="001C0900">
        <w:rPr>
          <w:rFonts w:ascii="Calibri" w:hAnsi="Calibri" w:cs="Calibri"/>
          <w:color w:val="000000" w:themeColor="text1"/>
          <w:sz w:val="22"/>
          <w:szCs w:val="22"/>
        </w:rPr>
        <w:t xml:space="preserve"> (Baltimore: Johns Hopkins University Press and the World Bank, 1981)</w:t>
      </w:r>
      <w:r>
        <w:rPr>
          <w:rFonts w:ascii="Calibri" w:hAnsi="Calibri" w:cs="Calibri"/>
          <w:color w:val="000000" w:themeColor="text1"/>
          <w:sz w:val="22"/>
          <w:szCs w:val="22"/>
        </w:rPr>
        <w:t>.</w:t>
      </w:r>
    </w:p>
    <w:p w14:paraId="7979A288" w14:textId="4A5D3876" w:rsidR="00B040F0" w:rsidRDefault="00B040F0" w:rsidP="00442620">
      <w:pPr>
        <w:pStyle w:val="FootnoteText"/>
        <w:rPr>
          <w:rFonts w:ascii="Calibri" w:hAnsi="Calibri" w:cs="Calibri"/>
          <w:color w:val="000000" w:themeColor="text1"/>
          <w:sz w:val="22"/>
          <w:szCs w:val="22"/>
        </w:rPr>
      </w:pPr>
    </w:p>
    <w:p w14:paraId="7BE406D1" w14:textId="735771AB" w:rsidR="00B040F0" w:rsidRPr="001C0900" w:rsidRDefault="00B040F0" w:rsidP="00B040F0">
      <w:pPr>
        <w:rPr>
          <w:rFonts w:ascii="Calibri" w:hAnsi="Calibri" w:cs="Calibri"/>
          <w:sz w:val="22"/>
          <w:szCs w:val="22"/>
        </w:rPr>
      </w:pPr>
      <w:r w:rsidRPr="001C0900">
        <w:rPr>
          <w:rFonts w:ascii="Calibri" w:hAnsi="Calibri" w:cs="Calibri"/>
          <w:sz w:val="22"/>
          <w:szCs w:val="22"/>
        </w:rPr>
        <w:t xml:space="preserve">McPake B, ‘User charges for health services in delivery: a review of the economic literature’, </w:t>
      </w:r>
      <w:r w:rsidRPr="001C0900">
        <w:rPr>
          <w:rFonts w:ascii="Calibri" w:hAnsi="Calibri" w:cs="Calibri"/>
          <w:i/>
          <w:iCs/>
          <w:sz w:val="22"/>
          <w:szCs w:val="22"/>
        </w:rPr>
        <w:t xml:space="preserve">Social Science and Medicine </w:t>
      </w:r>
      <w:r w:rsidRPr="001C0900">
        <w:rPr>
          <w:rFonts w:ascii="Calibri" w:hAnsi="Calibri" w:cs="Calibri"/>
          <w:sz w:val="22"/>
          <w:szCs w:val="22"/>
        </w:rPr>
        <w:t>36:11 (1993), 1397-1405</w:t>
      </w:r>
      <w:r>
        <w:rPr>
          <w:rFonts w:ascii="Calibri" w:hAnsi="Calibri" w:cs="Calibri"/>
          <w:sz w:val="22"/>
          <w:szCs w:val="22"/>
        </w:rPr>
        <w:t>.</w:t>
      </w:r>
    </w:p>
    <w:p w14:paraId="3FE9E718" w14:textId="77777777" w:rsidR="00442620" w:rsidRPr="00454AD2" w:rsidRDefault="00442620" w:rsidP="00442620">
      <w:pPr>
        <w:pStyle w:val="FootnoteText"/>
        <w:rPr>
          <w:rFonts w:ascii="Calibri" w:hAnsi="Calibri" w:cs="Calibri"/>
          <w:color w:val="000000" w:themeColor="text1"/>
          <w:sz w:val="22"/>
          <w:szCs w:val="22"/>
        </w:rPr>
      </w:pPr>
    </w:p>
    <w:p w14:paraId="0B535013"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Measham A, ‘Health and development: the Bank’s experience’, </w:t>
      </w:r>
      <w:r w:rsidRPr="00454AD2">
        <w:rPr>
          <w:rFonts w:ascii="Calibri" w:hAnsi="Calibri" w:cs="Calibri"/>
          <w:i/>
          <w:color w:val="000000" w:themeColor="text1"/>
          <w:sz w:val="22"/>
          <w:szCs w:val="22"/>
        </w:rPr>
        <w:t xml:space="preserve">Finance and Development </w:t>
      </w:r>
      <w:r w:rsidRPr="00454AD2">
        <w:rPr>
          <w:rFonts w:ascii="Calibri" w:hAnsi="Calibri" w:cs="Calibri"/>
          <w:color w:val="000000" w:themeColor="text1"/>
          <w:sz w:val="22"/>
          <w:szCs w:val="22"/>
        </w:rPr>
        <w:t>23:4 (1986).</w:t>
      </w:r>
    </w:p>
    <w:p w14:paraId="16339FE7" w14:textId="77777777" w:rsidR="00442620" w:rsidRPr="00233532" w:rsidRDefault="00442620" w:rsidP="00442620">
      <w:pPr>
        <w:pStyle w:val="FootnoteText"/>
        <w:rPr>
          <w:rFonts w:ascii="Calibri" w:hAnsi="Calibri" w:cs="Calibri"/>
          <w:color w:val="000000" w:themeColor="text1"/>
          <w:sz w:val="22"/>
          <w:szCs w:val="22"/>
        </w:rPr>
      </w:pPr>
    </w:p>
    <w:p w14:paraId="558A20D5" w14:textId="77777777"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t>Mectizan Expert Committee, The Mectizan Donation Program: community-based mass treatment of onchocerciasis (Atlanta: One Copenhill, 1990).</w:t>
      </w:r>
    </w:p>
    <w:p w14:paraId="2F1A62E6" w14:textId="77777777" w:rsidR="00442620" w:rsidRPr="00CF189D" w:rsidRDefault="00442620" w:rsidP="00DD4818">
      <w:pPr>
        <w:pStyle w:val="Footnotes"/>
        <w:rPr>
          <w:rFonts w:ascii="Calibri" w:hAnsi="Calibri" w:cs="Calibri"/>
          <w:sz w:val="22"/>
          <w:szCs w:val="22"/>
        </w:rPr>
      </w:pPr>
    </w:p>
    <w:p w14:paraId="2250CB07" w14:textId="77777777" w:rsidR="00442620" w:rsidRPr="00766A1F"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Medcalf A, ‘Between art and information: communicating world health, 1948-1970’, </w:t>
      </w:r>
      <w:r w:rsidRPr="00233532">
        <w:rPr>
          <w:rFonts w:ascii="Calibri" w:hAnsi="Calibri" w:cs="Calibri"/>
          <w:i/>
          <w:color w:val="000000" w:themeColor="text1"/>
          <w:sz w:val="22"/>
          <w:szCs w:val="22"/>
        </w:rPr>
        <w:t>Journal of Glo</w:t>
      </w:r>
      <w:r w:rsidRPr="00E12758">
        <w:rPr>
          <w:rFonts w:ascii="Calibri" w:hAnsi="Calibri" w:cs="Calibri"/>
          <w:i/>
          <w:color w:val="000000" w:themeColor="text1"/>
          <w:sz w:val="22"/>
          <w:szCs w:val="22"/>
        </w:rPr>
        <w:t xml:space="preserve">bal History </w:t>
      </w:r>
      <w:r w:rsidRPr="00766A1F">
        <w:rPr>
          <w:rFonts w:ascii="Calibri" w:hAnsi="Calibri" w:cs="Calibri"/>
          <w:color w:val="000000" w:themeColor="text1"/>
          <w:sz w:val="22"/>
          <w:szCs w:val="22"/>
        </w:rPr>
        <w:t>13 (2018), 94-120.</w:t>
      </w:r>
      <w:r w:rsidRPr="00766A1F">
        <w:rPr>
          <w:rFonts w:ascii="Calibri" w:hAnsi="Calibri" w:cs="Calibri"/>
          <w:color w:val="000000" w:themeColor="text1"/>
          <w:sz w:val="22"/>
          <w:szCs w:val="22"/>
        </w:rPr>
        <w:tab/>
      </w:r>
    </w:p>
    <w:p w14:paraId="10898B3C" w14:textId="77777777" w:rsidR="00442620" w:rsidRPr="007A123B" w:rsidRDefault="00442620" w:rsidP="00442620">
      <w:pPr>
        <w:pStyle w:val="FootnoteText"/>
        <w:rPr>
          <w:rFonts w:ascii="Calibri" w:hAnsi="Calibri" w:cs="Calibri"/>
          <w:color w:val="000000" w:themeColor="text1"/>
          <w:sz w:val="22"/>
          <w:szCs w:val="22"/>
        </w:rPr>
      </w:pPr>
    </w:p>
    <w:p w14:paraId="07AF3F69" w14:textId="1F1050D5" w:rsidR="00442620" w:rsidRDefault="00442620" w:rsidP="00DD4818">
      <w:pPr>
        <w:pStyle w:val="Footnotes"/>
        <w:rPr>
          <w:rFonts w:ascii="Calibri" w:hAnsi="Calibri" w:cs="Calibri"/>
          <w:sz w:val="22"/>
          <w:szCs w:val="22"/>
        </w:rPr>
      </w:pPr>
      <w:r w:rsidRPr="00CF189D">
        <w:rPr>
          <w:rFonts w:ascii="Calibri" w:hAnsi="Calibri" w:cs="Calibri"/>
          <w:sz w:val="22"/>
          <w:szCs w:val="22"/>
        </w:rPr>
        <w:t xml:space="preserve">Meredith </w:t>
      </w:r>
      <w:r w:rsidR="002B1256" w:rsidRPr="00CF189D">
        <w:rPr>
          <w:rFonts w:ascii="Calibri" w:hAnsi="Calibri" w:cs="Calibri"/>
          <w:sz w:val="22"/>
          <w:szCs w:val="22"/>
        </w:rPr>
        <w:t>SE, Cross C and Amazigo UV</w:t>
      </w:r>
      <w:r w:rsidRPr="00CF189D">
        <w:rPr>
          <w:rFonts w:ascii="Calibri" w:hAnsi="Calibri" w:cs="Calibri"/>
          <w:sz w:val="22"/>
          <w:szCs w:val="22"/>
        </w:rPr>
        <w:t xml:space="preserve">, ‘Empowering communities in combating river blindness and the role of NGOs: case studies from Cameroon, Mali, Nigeria, and Uganda’, </w:t>
      </w:r>
      <w:r w:rsidRPr="00CF189D">
        <w:rPr>
          <w:rFonts w:ascii="Calibri" w:hAnsi="Calibri" w:cs="Calibri"/>
          <w:i/>
          <w:sz w:val="22"/>
          <w:szCs w:val="22"/>
        </w:rPr>
        <w:t xml:space="preserve">Health Research Policy and Systems </w:t>
      </w:r>
      <w:r w:rsidRPr="00CF189D">
        <w:rPr>
          <w:rFonts w:ascii="Calibri" w:hAnsi="Calibri" w:cs="Calibri"/>
          <w:sz w:val="22"/>
          <w:szCs w:val="22"/>
        </w:rPr>
        <w:t>10:16</w:t>
      </w:r>
      <w:r w:rsidRPr="00CF189D">
        <w:rPr>
          <w:rFonts w:ascii="Calibri" w:hAnsi="Calibri" w:cs="Calibri"/>
          <w:i/>
          <w:sz w:val="22"/>
          <w:szCs w:val="22"/>
        </w:rPr>
        <w:t xml:space="preserve"> </w:t>
      </w:r>
      <w:r w:rsidRPr="00CF189D">
        <w:rPr>
          <w:rFonts w:ascii="Calibri" w:hAnsi="Calibri" w:cs="Calibri"/>
          <w:sz w:val="22"/>
          <w:szCs w:val="22"/>
        </w:rPr>
        <w:t>(2012).</w:t>
      </w:r>
    </w:p>
    <w:p w14:paraId="4FF9C256" w14:textId="3BA1379B" w:rsidR="00B040F0" w:rsidRDefault="00B040F0" w:rsidP="00DD4818">
      <w:pPr>
        <w:pStyle w:val="Footnotes"/>
        <w:rPr>
          <w:rFonts w:ascii="Calibri" w:hAnsi="Calibri" w:cs="Calibri"/>
          <w:sz w:val="22"/>
          <w:szCs w:val="22"/>
        </w:rPr>
      </w:pPr>
    </w:p>
    <w:p w14:paraId="32DF1166" w14:textId="5758099F" w:rsidR="00B040F0" w:rsidRPr="00CF189D" w:rsidRDefault="00B040F0" w:rsidP="00CF189D">
      <w:pPr>
        <w:pStyle w:val="FootnoteText"/>
        <w:rPr>
          <w:rFonts w:ascii="Calibri" w:hAnsi="Calibri" w:cs="Calibri"/>
          <w:sz w:val="22"/>
          <w:szCs w:val="22"/>
        </w:rPr>
      </w:pPr>
      <w:r w:rsidRPr="001C0900">
        <w:rPr>
          <w:rFonts w:ascii="Calibri" w:hAnsi="Calibri" w:cs="Calibri"/>
          <w:sz w:val="22"/>
          <w:szCs w:val="22"/>
        </w:rPr>
        <w:t xml:space="preserve">Mills A, ‘Leopard or chameleon? The changing character of international health economics’, </w:t>
      </w:r>
      <w:r w:rsidRPr="001C0900">
        <w:rPr>
          <w:rFonts w:ascii="Calibri" w:hAnsi="Calibri" w:cs="Calibri"/>
          <w:i/>
          <w:iCs/>
          <w:sz w:val="22"/>
          <w:szCs w:val="22"/>
        </w:rPr>
        <w:t xml:space="preserve">Tropical Medicine and International Health </w:t>
      </w:r>
      <w:r w:rsidRPr="001C0900">
        <w:rPr>
          <w:rFonts w:ascii="Calibri" w:hAnsi="Calibri" w:cs="Calibri"/>
          <w:sz w:val="22"/>
          <w:szCs w:val="22"/>
        </w:rPr>
        <w:t>2:10 (1997), 963-977</w:t>
      </w:r>
      <w:r>
        <w:rPr>
          <w:rFonts w:ascii="Calibri" w:hAnsi="Calibri" w:cs="Calibri"/>
          <w:sz w:val="22"/>
          <w:szCs w:val="22"/>
        </w:rPr>
        <w:t>.</w:t>
      </w:r>
    </w:p>
    <w:p w14:paraId="692064FA" w14:textId="77777777" w:rsidR="00442620" w:rsidRPr="00454AD2" w:rsidRDefault="00442620" w:rsidP="00442620">
      <w:pPr>
        <w:pStyle w:val="FootnoteText"/>
        <w:rPr>
          <w:rFonts w:ascii="Calibri" w:hAnsi="Calibri" w:cs="Calibri"/>
          <w:color w:val="000000" w:themeColor="text1"/>
          <w:sz w:val="22"/>
          <w:szCs w:val="22"/>
        </w:rPr>
      </w:pPr>
    </w:p>
    <w:p w14:paraId="3A3732DE" w14:textId="65B51EF1" w:rsidR="002849CC" w:rsidRPr="002849CC" w:rsidRDefault="00442620" w:rsidP="002849CC">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Mills </w:t>
      </w:r>
      <w:r w:rsidR="002849CC">
        <w:rPr>
          <w:rFonts w:ascii="Calibri" w:hAnsi="Calibri" w:cs="Calibri"/>
          <w:color w:val="000000" w:themeColor="text1"/>
          <w:sz w:val="22"/>
          <w:szCs w:val="22"/>
        </w:rPr>
        <w:t>A, Rasheed F and Tollman S</w:t>
      </w:r>
      <w:r w:rsidRPr="00454AD2">
        <w:rPr>
          <w:rFonts w:ascii="Calibri" w:hAnsi="Calibri" w:cs="Calibri"/>
          <w:color w:val="000000" w:themeColor="text1"/>
          <w:sz w:val="22"/>
          <w:szCs w:val="22"/>
        </w:rPr>
        <w:t xml:space="preserve">, ‘Strengthening health systems’, in </w:t>
      </w:r>
      <w:r w:rsidR="002849CC">
        <w:rPr>
          <w:rFonts w:ascii="Calibri" w:hAnsi="Calibri" w:cs="Calibri"/>
          <w:color w:val="000000" w:themeColor="text1"/>
          <w:sz w:val="22"/>
          <w:szCs w:val="22"/>
        </w:rPr>
        <w:t>DT Jamison, JG Breman, AR Measham, G Alleyne, M Claeson, DB Evans, P Jha, A Mills and P Musgrove</w:t>
      </w:r>
      <w:r w:rsidRPr="00454AD2">
        <w:rPr>
          <w:rFonts w:ascii="Calibri" w:hAnsi="Calibri" w:cs="Calibri"/>
          <w:color w:val="000000" w:themeColor="text1"/>
          <w:sz w:val="22"/>
          <w:szCs w:val="22"/>
        </w:rPr>
        <w:t xml:space="preserve"> (Eds</w:t>
      </w:r>
      <w:r w:rsidR="002849CC">
        <w:rPr>
          <w:rFonts w:ascii="Calibri" w:hAnsi="Calibri" w:cs="Calibri"/>
          <w:color w:val="000000" w:themeColor="text1"/>
          <w:sz w:val="22"/>
          <w:szCs w:val="22"/>
        </w:rPr>
        <w:t>.</w:t>
      </w:r>
      <w:r w:rsidRPr="00454AD2">
        <w:rPr>
          <w:rFonts w:ascii="Calibri" w:hAnsi="Calibri" w:cs="Calibri"/>
          <w:color w:val="000000" w:themeColor="text1"/>
          <w:sz w:val="22"/>
          <w:szCs w:val="22"/>
        </w:rPr>
        <w:t xml:space="preserve">), </w:t>
      </w:r>
      <w:r w:rsidRPr="00454AD2">
        <w:rPr>
          <w:rFonts w:ascii="Calibri" w:hAnsi="Calibri" w:cs="Calibri"/>
          <w:i/>
          <w:color w:val="000000" w:themeColor="text1"/>
          <w:sz w:val="22"/>
          <w:szCs w:val="22"/>
        </w:rPr>
        <w:t xml:space="preserve">Priorities in Health, </w:t>
      </w:r>
      <w:r w:rsidRPr="00454AD2">
        <w:rPr>
          <w:rFonts w:ascii="Calibri" w:hAnsi="Calibri" w:cs="Calibri"/>
          <w:color w:val="000000" w:themeColor="text1"/>
          <w:sz w:val="22"/>
          <w:szCs w:val="22"/>
        </w:rPr>
        <w:t>2</w:t>
      </w:r>
      <w:r w:rsidRPr="00454AD2">
        <w:rPr>
          <w:rFonts w:ascii="Calibri" w:hAnsi="Calibri" w:cs="Calibri"/>
          <w:color w:val="000000" w:themeColor="text1"/>
          <w:sz w:val="22"/>
          <w:szCs w:val="22"/>
          <w:vertAlign w:val="superscript"/>
        </w:rPr>
        <w:t>nd</w:t>
      </w:r>
      <w:r w:rsidRPr="00454AD2">
        <w:rPr>
          <w:rFonts w:ascii="Calibri" w:hAnsi="Calibri" w:cs="Calibri"/>
          <w:color w:val="000000" w:themeColor="text1"/>
          <w:sz w:val="22"/>
          <w:szCs w:val="22"/>
        </w:rPr>
        <w:t xml:space="preserve"> ed</w:t>
      </w:r>
      <w:r w:rsidRPr="00454AD2">
        <w:rPr>
          <w:rFonts w:ascii="Calibri" w:hAnsi="Calibri" w:cs="Calibri"/>
          <w:i/>
          <w:color w:val="000000" w:themeColor="text1"/>
          <w:sz w:val="22"/>
          <w:szCs w:val="22"/>
        </w:rPr>
        <w:t xml:space="preserve"> </w:t>
      </w:r>
      <w:r w:rsidRPr="00454AD2">
        <w:rPr>
          <w:rFonts w:ascii="Calibri" w:hAnsi="Calibri" w:cs="Calibri"/>
          <w:color w:val="000000" w:themeColor="text1"/>
          <w:sz w:val="22"/>
          <w:szCs w:val="22"/>
        </w:rPr>
        <w:t>(Washington DC: World Bank, 2006), 87-102.</w:t>
      </w:r>
    </w:p>
    <w:p w14:paraId="063925EE" w14:textId="77777777" w:rsidR="00442620" w:rsidRPr="00454AD2" w:rsidRDefault="00442620" w:rsidP="00442620">
      <w:pPr>
        <w:pStyle w:val="FootnoteText"/>
        <w:rPr>
          <w:rFonts w:ascii="Calibri" w:hAnsi="Calibri" w:cs="Calibri"/>
          <w:color w:val="000000" w:themeColor="text1"/>
          <w:sz w:val="22"/>
          <w:szCs w:val="22"/>
        </w:rPr>
      </w:pPr>
    </w:p>
    <w:p w14:paraId="5970D262" w14:textId="54138D38"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Ministere des affairs étra</w:t>
      </w:r>
      <w:r w:rsidR="002B1256">
        <w:rPr>
          <w:rFonts w:ascii="Calibri" w:hAnsi="Calibri" w:cs="Calibri"/>
          <w:color w:val="000000" w:themeColor="text1"/>
          <w:sz w:val="22"/>
          <w:szCs w:val="22"/>
        </w:rPr>
        <w:t>n</w:t>
      </w:r>
      <w:r w:rsidRPr="00454AD2">
        <w:rPr>
          <w:rFonts w:ascii="Calibri" w:hAnsi="Calibri" w:cs="Calibri"/>
          <w:color w:val="000000" w:themeColor="text1"/>
          <w:sz w:val="22"/>
          <w:szCs w:val="22"/>
        </w:rPr>
        <w:t xml:space="preserve">gères, </w:t>
      </w:r>
      <w:r w:rsidRPr="00454AD2">
        <w:rPr>
          <w:rFonts w:ascii="Calibri" w:hAnsi="Calibri" w:cs="Calibri"/>
          <w:i/>
          <w:color w:val="000000" w:themeColor="text1"/>
          <w:sz w:val="22"/>
          <w:szCs w:val="22"/>
        </w:rPr>
        <w:t xml:space="preserve">Half a century of onchocerciasis control in West Africa: France’s commitment </w:t>
      </w:r>
      <w:r w:rsidRPr="00454AD2">
        <w:rPr>
          <w:rFonts w:ascii="Calibri" w:hAnsi="Calibri" w:cs="Calibri"/>
          <w:color w:val="000000" w:themeColor="text1"/>
          <w:sz w:val="22"/>
          <w:szCs w:val="22"/>
        </w:rPr>
        <w:t>(Paris: Institut de recherché pour le developpement, [2003]</w:t>
      </w:r>
      <w:r w:rsidR="002849CC">
        <w:rPr>
          <w:rFonts w:ascii="Calibri" w:hAnsi="Calibri" w:cs="Calibri"/>
          <w:color w:val="000000" w:themeColor="text1"/>
          <w:sz w:val="22"/>
          <w:szCs w:val="22"/>
        </w:rPr>
        <w:t>)</w:t>
      </w:r>
      <w:r w:rsidRPr="00454AD2">
        <w:rPr>
          <w:rFonts w:ascii="Calibri" w:hAnsi="Calibri" w:cs="Calibri"/>
          <w:color w:val="000000" w:themeColor="text1"/>
          <w:sz w:val="22"/>
          <w:szCs w:val="22"/>
        </w:rPr>
        <w:t>.</w:t>
      </w:r>
    </w:p>
    <w:p w14:paraId="5843D8E9" w14:textId="77777777" w:rsidR="00442620" w:rsidRPr="00454AD2" w:rsidRDefault="00442620" w:rsidP="00442620">
      <w:pPr>
        <w:pStyle w:val="FootnoteText"/>
        <w:rPr>
          <w:rFonts w:ascii="Calibri" w:hAnsi="Calibri" w:cs="Calibri"/>
          <w:color w:val="000000" w:themeColor="text1"/>
          <w:sz w:val="22"/>
          <w:szCs w:val="22"/>
        </w:rPr>
      </w:pPr>
    </w:p>
    <w:p w14:paraId="3DE53E48"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Moon S and Ooms G, ‘Will markets be master or servant to health at the World Bank?’, </w:t>
      </w:r>
      <w:r w:rsidRPr="00454AD2">
        <w:rPr>
          <w:rFonts w:ascii="Calibri" w:hAnsi="Calibri" w:cs="Calibri"/>
          <w:i/>
          <w:color w:val="000000" w:themeColor="text1"/>
          <w:sz w:val="22"/>
          <w:szCs w:val="22"/>
        </w:rPr>
        <w:t xml:space="preserve">BMJ </w:t>
      </w:r>
      <w:r w:rsidRPr="00454AD2">
        <w:rPr>
          <w:rFonts w:ascii="Calibri" w:hAnsi="Calibri" w:cs="Calibri"/>
          <w:color w:val="000000" w:themeColor="text1"/>
          <w:sz w:val="22"/>
          <w:szCs w:val="22"/>
        </w:rPr>
        <w:t>359</w:t>
      </w:r>
      <w:r w:rsidRPr="00454AD2">
        <w:rPr>
          <w:rFonts w:ascii="Calibri" w:hAnsi="Calibri" w:cs="Calibri"/>
          <w:i/>
          <w:color w:val="000000" w:themeColor="text1"/>
          <w:sz w:val="22"/>
          <w:szCs w:val="22"/>
        </w:rPr>
        <w:t xml:space="preserve"> </w:t>
      </w:r>
      <w:r w:rsidRPr="00454AD2">
        <w:rPr>
          <w:rFonts w:ascii="Calibri" w:hAnsi="Calibri" w:cs="Calibri"/>
          <w:color w:val="000000" w:themeColor="text1"/>
          <w:sz w:val="22"/>
          <w:szCs w:val="22"/>
        </w:rPr>
        <w:t>(2017), j4676.</w:t>
      </w:r>
    </w:p>
    <w:p w14:paraId="1E932F9E" w14:textId="77777777" w:rsidR="00442620" w:rsidRPr="00454AD2" w:rsidRDefault="00442620" w:rsidP="00442620">
      <w:pPr>
        <w:pStyle w:val="FootnoteText"/>
        <w:rPr>
          <w:rFonts w:ascii="Calibri" w:hAnsi="Calibri" w:cs="Calibri"/>
          <w:color w:val="000000" w:themeColor="text1"/>
          <w:sz w:val="22"/>
          <w:szCs w:val="22"/>
        </w:rPr>
      </w:pPr>
    </w:p>
    <w:p w14:paraId="0F96839D" w14:textId="3178B9D3"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Mounier-Jack </w:t>
      </w:r>
      <w:r w:rsidR="002B1256">
        <w:rPr>
          <w:rFonts w:ascii="Calibri" w:hAnsi="Calibri" w:cs="Calibri"/>
          <w:color w:val="000000" w:themeColor="text1"/>
          <w:sz w:val="22"/>
          <w:szCs w:val="22"/>
        </w:rPr>
        <w:t>S, Griffiths UK, Closser S, Burchett H and Marchal B</w:t>
      </w:r>
      <w:r w:rsidRPr="00454AD2">
        <w:rPr>
          <w:rFonts w:ascii="Calibri" w:hAnsi="Calibri" w:cs="Calibri"/>
          <w:color w:val="000000" w:themeColor="text1"/>
          <w:sz w:val="22"/>
          <w:szCs w:val="22"/>
        </w:rPr>
        <w:t xml:space="preserve">, ‘Measuring the health systems impact of disease control programmes; a critical reflection on the WHO building blocks framework’, </w:t>
      </w:r>
      <w:r w:rsidRPr="00454AD2">
        <w:rPr>
          <w:rFonts w:ascii="Calibri" w:hAnsi="Calibri" w:cs="Calibri"/>
          <w:i/>
          <w:color w:val="000000" w:themeColor="text1"/>
          <w:sz w:val="22"/>
          <w:szCs w:val="22"/>
        </w:rPr>
        <w:t xml:space="preserve">BMC Public Health </w:t>
      </w:r>
      <w:r w:rsidR="002B1256">
        <w:rPr>
          <w:rFonts w:ascii="Calibri" w:hAnsi="Calibri" w:cs="Calibri"/>
          <w:color w:val="000000" w:themeColor="text1"/>
          <w:sz w:val="22"/>
          <w:szCs w:val="22"/>
        </w:rPr>
        <w:t>14:1 (2014), 278.</w:t>
      </w:r>
    </w:p>
    <w:p w14:paraId="1C43CEE4" w14:textId="77777777" w:rsidR="00442620" w:rsidRPr="00454AD2" w:rsidRDefault="00442620" w:rsidP="00442620">
      <w:pPr>
        <w:pStyle w:val="FootnoteText"/>
        <w:rPr>
          <w:rFonts w:ascii="Calibri" w:hAnsi="Calibri" w:cs="Calibri"/>
          <w:color w:val="000000" w:themeColor="text1"/>
          <w:sz w:val="22"/>
          <w:szCs w:val="22"/>
        </w:rPr>
      </w:pPr>
    </w:p>
    <w:p w14:paraId="7064C4C9"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Msuya J, ‘Horizontal and vertical delivery of health services: what are the trade offs?’ (draft), </w:t>
      </w:r>
      <w:r w:rsidRPr="00454AD2">
        <w:rPr>
          <w:rFonts w:ascii="Calibri" w:hAnsi="Calibri" w:cs="Calibri"/>
          <w:i/>
          <w:color w:val="000000" w:themeColor="text1"/>
          <w:sz w:val="22"/>
          <w:szCs w:val="22"/>
        </w:rPr>
        <w:t xml:space="preserve">Making Services work for Poor People </w:t>
      </w:r>
      <w:r w:rsidRPr="00454AD2">
        <w:rPr>
          <w:rFonts w:ascii="Calibri" w:hAnsi="Calibri" w:cs="Calibri"/>
          <w:color w:val="000000" w:themeColor="text1"/>
          <w:sz w:val="22"/>
          <w:szCs w:val="22"/>
        </w:rPr>
        <w:t>(Washington DC: World Bank, 2004).</w:t>
      </w:r>
    </w:p>
    <w:p w14:paraId="64DE498E" w14:textId="77777777" w:rsidR="00442620" w:rsidRPr="00454AD2" w:rsidRDefault="00442620" w:rsidP="00442620">
      <w:pPr>
        <w:pStyle w:val="FootnoteText"/>
        <w:rPr>
          <w:rFonts w:ascii="Calibri" w:hAnsi="Calibri" w:cs="Calibri"/>
          <w:color w:val="000000" w:themeColor="text1"/>
          <w:sz w:val="22"/>
          <w:szCs w:val="22"/>
        </w:rPr>
      </w:pPr>
    </w:p>
    <w:p w14:paraId="3EB8B436" w14:textId="021C08D4" w:rsidR="00442620"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Mukaigawara </w:t>
      </w:r>
      <w:r w:rsidR="00F032D0">
        <w:rPr>
          <w:rFonts w:ascii="Calibri" w:hAnsi="Calibri" w:cs="Calibri"/>
          <w:color w:val="000000" w:themeColor="text1"/>
          <w:sz w:val="22"/>
          <w:szCs w:val="22"/>
        </w:rPr>
        <w:t>M, Winters J, Fernandes G and Sridhar D</w:t>
      </w:r>
      <w:r w:rsidRPr="00454AD2">
        <w:rPr>
          <w:rFonts w:ascii="Calibri" w:hAnsi="Calibri" w:cs="Calibri"/>
          <w:color w:val="000000" w:themeColor="text1"/>
          <w:sz w:val="22"/>
          <w:szCs w:val="22"/>
        </w:rPr>
        <w:t xml:space="preserve">, ‘Balancing science and political economy: tobacco control and global health’, </w:t>
      </w:r>
      <w:r w:rsidRPr="00454AD2">
        <w:rPr>
          <w:rFonts w:ascii="Calibri" w:hAnsi="Calibri" w:cs="Calibri"/>
          <w:i/>
          <w:color w:val="000000" w:themeColor="text1"/>
          <w:sz w:val="22"/>
          <w:szCs w:val="22"/>
        </w:rPr>
        <w:t xml:space="preserve">Wellcome Open Research </w:t>
      </w:r>
      <w:r w:rsidRPr="00454AD2">
        <w:rPr>
          <w:rFonts w:ascii="Calibri" w:hAnsi="Calibri" w:cs="Calibri"/>
          <w:color w:val="000000" w:themeColor="text1"/>
          <w:sz w:val="22"/>
          <w:szCs w:val="22"/>
        </w:rPr>
        <w:t>3:40 (2018).</w:t>
      </w:r>
    </w:p>
    <w:p w14:paraId="0BA3C13A" w14:textId="77777777" w:rsidR="00442620" w:rsidRPr="00454AD2" w:rsidRDefault="00442620" w:rsidP="00442620">
      <w:pPr>
        <w:pStyle w:val="FootnoteText"/>
        <w:rPr>
          <w:rFonts w:ascii="Calibri" w:hAnsi="Calibri" w:cs="Calibri"/>
          <w:color w:val="000000" w:themeColor="text1"/>
          <w:sz w:val="22"/>
          <w:szCs w:val="22"/>
        </w:rPr>
      </w:pPr>
    </w:p>
    <w:p w14:paraId="4EE65D79" w14:textId="77777777" w:rsidR="00442620" w:rsidRPr="00454AD2" w:rsidRDefault="00442620" w:rsidP="00442620">
      <w:pPr>
        <w:pStyle w:val="FootnoteText"/>
        <w:rPr>
          <w:rFonts w:ascii="Calibri" w:hAnsi="Calibri" w:cs="Calibri"/>
          <w:color w:val="000000" w:themeColor="text1"/>
          <w:sz w:val="22"/>
          <w:szCs w:val="22"/>
        </w:rPr>
      </w:pPr>
    </w:p>
    <w:p w14:paraId="769CCD56" w14:textId="77777777" w:rsidR="00442620" w:rsidRPr="00454AD2" w:rsidRDefault="00442620" w:rsidP="00442620">
      <w:pPr>
        <w:pStyle w:val="FootnoteText"/>
        <w:rPr>
          <w:rFonts w:ascii="Calibri" w:hAnsi="Calibri" w:cs="Calibri"/>
          <w:b/>
          <w:i/>
          <w:color w:val="000000" w:themeColor="text1"/>
          <w:sz w:val="22"/>
          <w:szCs w:val="22"/>
        </w:rPr>
      </w:pPr>
      <w:r w:rsidRPr="00454AD2">
        <w:rPr>
          <w:rFonts w:ascii="Calibri" w:hAnsi="Calibri" w:cs="Calibri"/>
          <w:b/>
          <w:i/>
          <w:color w:val="000000" w:themeColor="text1"/>
          <w:sz w:val="22"/>
          <w:szCs w:val="22"/>
        </w:rPr>
        <w:t>National Archives - Kew</w:t>
      </w:r>
    </w:p>
    <w:p w14:paraId="787E4909" w14:textId="77777777" w:rsidR="00442620" w:rsidRPr="00454AD2" w:rsidRDefault="00442620" w:rsidP="00442620">
      <w:pPr>
        <w:pStyle w:val="FootnoteText"/>
        <w:rPr>
          <w:rFonts w:ascii="Calibri" w:hAnsi="Calibri" w:cs="Calibri"/>
          <w:color w:val="000000" w:themeColor="text1"/>
          <w:sz w:val="22"/>
          <w:szCs w:val="22"/>
        </w:rPr>
      </w:pPr>
    </w:p>
    <w:p w14:paraId="1FC4D495" w14:textId="77777777" w:rsidR="00442620" w:rsidRPr="00454AD2" w:rsidRDefault="00442620" w:rsidP="00442620">
      <w:pPr>
        <w:pStyle w:val="FootnoteText"/>
        <w:ind w:left="426" w:hanging="426"/>
        <w:rPr>
          <w:rFonts w:ascii="Calibri" w:hAnsi="Calibri" w:cs="Calibri"/>
          <w:color w:val="000000" w:themeColor="text1"/>
          <w:sz w:val="22"/>
          <w:szCs w:val="22"/>
        </w:rPr>
      </w:pPr>
      <w:r w:rsidRPr="00454AD2">
        <w:rPr>
          <w:rFonts w:ascii="Calibri" w:hAnsi="Calibri" w:cs="Calibri"/>
          <w:color w:val="000000" w:themeColor="text1"/>
          <w:sz w:val="22"/>
          <w:szCs w:val="22"/>
        </w:rPr>
        <w:t>------CO 533/523/5, Wilson Sameson, ‘RE: Onchocerciasis’, 7 May 1940.</w:t>
      </w:r>
    </w:p>
    <w:p w14:paraId="5D1C2AC6" w14:textId="77777777" w:rsidR="00442620" w:rsidRPr="00454AD2" w:rsidRDefault="00442620" w:rsidP="00442620">
      <w:pPr>
        <w:pStyle w:val="FootnoteText"/>
        <w:ind w:left="426" w:hanging="426"/>
        <w:rPr>
          <w:rFonts w:ascii="Calibri" w:hAnsi="Calibri" w:cs="Calibri"/>
          <w:color w:val="000000" w:themeColor="text1"/>
          <w:sz w:val="22"/>
          <w:szCs w:val="22"/>
        </w:rPr>
      </w:pPr>
    </w:p>
    <w:p w14:paraId="1CA1D52F" w14:textId="77777777" w:rsidR="00442620" w:rsidRPr="00454AD2" w:rsidRDefault="00442620" w:rsidP="00442620">
      <w:pPr>
        <w:pStyle w:val="FootnoteText"/>
        <w:ind w:left="426" w:hanging="426"/>
        <w:rPr>
          <w:rFonts w:ascii="Calibri" w:hAnsi="Calibri" w:cs="Calibri"/>
          <w:color w:val="000000" w:themeColor="text1"/>
          <w:sz w:val="22"/>
          <w:szCs w:val="22"/>
        </w:rPr>
      </w:pPr>
      <w:r w:rsidRPr="00454AD2">
        <w:rPr>
          <w:rFonts w:ascii="Calibri" w:hAnsi="Calibri" w:cs="Calibri"/>
          <w:color w:val="000000" w:themeColor="text1"/>
          <w:sz w:val="22"/>
          <w:szCs w:val="22"/>
        </w:rPr>
        <w:t xml:space="preserve">------CO 554/617, ‘British Empire Society for the Blind ophthalmic survey in West Africa’, 1951-1953. </w:t>
      </w:r>
    </w:p>
    <w:p w14:paraId="077C2B18" w14:textId="77777777" w:rsidR="00442620" w:rsidRPr="00454AD2" w:rsidRDefault="00442620" w:rsidP="00442620">
      <w:pPr>
        <w:pStyle w:val="FootnoteText"/>
        <w:ind w:left="426" w:hanging="426"/>
        <w:rPr>
          <w:rFonts w:ascii="Calibri" w:hAnsi="Calibri" w:cs="Calibri"/>
          <w:color w:val="000000" w:themeColor="text1"/>
          <w:sz w:val="22"/>
          <w:szCs w:val="22"/>
        </w:rPr>
      </w:pPr>
    </w:p>
    <w:p w14:paraId="418DE1FB" w14:textId="77777777" w:rsidR="00442620" w:rsidRPr="00CF189D" w:rsidRDefault="00442620" w:rsidP="00CF189D">
      <w:pPr>
        <w:pStyle w:val="Footnotes"/>
        <w:rPr>
          <w:rFonts w:ascii="Calibri" w:hAnsi="Calibri" w:cs="Calibri"/>
          <w:sz w:val="22"/>
          <w:szCs w:val="22"/>
        </w:rPr>
      </w:pPr>
      <w:r w:rsidRPr="00CF189D">
        <w:rPr>
          <w:rFonts w:ascii="Calibri" w:hAnsi="Calibri" w:cs="Calibri"/>
          <w:sz w:val="22"/>
          <w:szCs w:val="22"/>
        </w:rPr>
        <w:t>------FD 23/4358, ‘Consultative meeting with donors’, 1973.</w:t>
      </w:r>
    </w:p>
    <w:p w14:paraId="7B231EBD" w14:textId="77777777" w:rsidR="00442620" w:rsidRPr="00454AD2" w:rsidRDefault="00442620" w:rsidP="00CF189D">
      <w:pPr>
        <w:pStyle w:val="Footnotes"/>
      </w:pPr>
    </w:p>
    <w:p w14:paraId="0D5F4095" w14:textId="77777777" w:rsidR="00442620" w:rsidRPr="00454AD2" w:rsidRDefault="00442620" w:rsidP="00442620">
      <w:pPr>
        <w:pStyle w:val="FootnoteText"/>
        <w:ind w:left="426" w:hanging="426"/>
        <w:rPr>
          <w:rFonts w:ascii="Calibri" w:hAnsi="Calibri" w:cs="Calibri"/>
          <w:color w:val="000000" w:themeColor="text1"/>
          <w:sz w:val="22"/>
          <w:szCs w:val="22"/>
        </w:rPr>
      </w:pPr>
      <w:r w:rsidRPr="00454AD2">
        <w:rPr>
          <w:rFonts w:ascii="Calibri" w:hAnsi="Calibri" w:cs="Calibri"/>
          <w:color w:val="000000" w:themeColor="text1"/>
          <w:sz w:val="22"/>
          <w:szCs w:val="22"/>
        </w:rPr>
        <w:t>------FD 23/4358, ‘Note of meeting on 3 August 1973 in Mr. Williams’s Office’, 1973.</w:t>
      </w:r>
    </w:p>
    <w:p w14:paraId="1A3D5ACA" w14:textId="77777777" w:rsidR="00442620" w:rsidRPr="00454AD2" w:rsidRDefault="00442620" w:rsidP="00442620">
      <w:pPr>
        <w:pStyle w:val="FootnoteText"/>
        <w:ind w:left="426" w:hanging="426"/>
        <w:rPr>
          <w:rFonts w:ascii="Calibri" w:hAnsi="Calibri" w:cs="Calibri"/>
          <w:color w:val="000000" w:themeColor="text1"/>
          <w:sz w:val="22"/>
          <w:szCs w:val="22"/>
        </w:rPr>
      </w:pPr>
    </w:p>
    <w:p w14:paraId="3ED0B5E0" w14:textId="77777777" w:rsidR="00442620" w:rsidRPr="00454AD2" w:rsidRDefault="00442620" w:rsidP="00442620">
      <w:pPr>
        <w:pStyle w:val="FootnoteText"/>
        <w:ind w:left="426" w:hanging="426"/>
        <w:rPr>
          <w:rFonts w:ascii="Calibri" w:hAnsi="Calibri" w:cs="Calibri"/>
          <w:color w:val="000000" w:themeColor="text1"/>
          <w:sz w:val="22"/>
          <w:szCs w:val="22"/>
        </w:rPr>
      </w:pPr>
      <w:r w:rsidRPr="00454AD2">
        <w:rPr>
          <w:rFonts w:ascii="Calibri" w:hAnsi="Calibri" w:cs="Calibri"/>
          <w:color w:val="000000" w:themeColor="text1"/>
          <w:sz w:val="22"/>
          <w:szCs w:val="22"/>
        </w:rPr>
        <w:t>------FD 23/4358, D.S. Bertram, [1973].</w:t>
      </w:r>
    </w:p>
    <w:p w14:paraId="67DE1895" w14:textId="77777777" w:rsidR="00442620" w:rsidRPr="00454AD2" w:rsidRDefault="00442620" w:rsidP="00442620">
      <w:pPr>
        <w:pStyle w:val="FootnoteText"/>
        <w:ind w:left="426" w:hanging="426"/>
        <w:rPr>
          <w:rFonts w:ascii="Calibri" w:hAnsi="Calibri" w:cs="Calibri"/>
          <w:color w:val="000000" w:themeColor="text1"/>
          <w:sz w:val="22"/>
          <w:szCs w:val="22"/>
        </w:rPr>
      </w:pPr>
    </w:p>
    <w:p w14:paraId="4E61ED89" w14:textId="77777777" w:rsidR="00442620" w:rsidRPr="00454AD2" w:rsidRDefault="00442620" w:rsidP="00442620">
      <w:pPr>
        <w:pStyle w:val="FootnoteText"/>
        <w:ind w:left="426" w:hanging="426"/>
        <w:rPr>
          <w:rFonts w:ascii="Calibri" w:hAnsi="Calibri" w:cs="Calibri"/>
          <w:color w:val="000000" w:themeColor="text1"/>
          <w:sz w:val="22"/>
          <w:szCs w:val="22"/>
        </w:rPr>
      </w:pPr>
      <w:r w:rsidRPr="00454AD2">
        <w:rPr>
          <w:rFonts w:ascii="Calibri" w:hAnsi="Calibri" w:cs="Calibri"/>
          <w:color w:val="000000" w:themeColor="text1"/>
          <w:sz w:val="22"/>
          <w:szCs w:val="22"/>
        </w:rPr>
        <w:t>------FD 23/4358, DA Pott, ‘Consultative meeting with donors 1973’, 2 July 1973.</w:t>
      </w:r>
    </w:p>
    <w:p w14:paraId="1DE27FB5" w14:textId="77777777" w:rsidR="00442620" w:rsidRPr="00454AD2" w:rsidRDefault="00442620" w:rsidP="00442620">
      <w:pPr>
        <w:pStyle w:val="FootnoteText"/>
        <w:ind w:left="426" w:hanging="426"/>
        <w:rPr>
          <w:rFonts w:ascii="Calibri" w:hAnsi="Calibri" w:cs="Calibri"/>
          <w:color w:val="000000" w:themeColor="text1"/>
          <w:sz w:val="22"/>
          <w:szCs w:val="22"/>
        </w:rPr>
      </w:pPr>
    </w:p>
    <w:p w14:paraId="1549FB8D" w14:textId="77777777" w:rsidR="00442620" w:rsidRPr="00454AD2" w:rsidRDefault="00442620" w:rsidP="00442620">
      <w:pPr>
        <w:pStyle w:val="FootnoteText"/>
        <w:ind w:left="426" w:hanging="426"/>
        <w:rPr>
          <w:rFonts w:ascii="Calibri" w:hAnsi="Calibri" w:cs="Calibri"/>
          <w:color w:val="000000" w:themeColor="text1"/>
          <w:sz w:val="22"/>
          <w:szCs w:val="22"/>
        </w:rPr>
      </w:pPr>
      <w:r w:rsidRPr="00454AD2">
        <w:rPr>
          <w:rFonts w:ascii="Calibri" w:hAnsi="Calibri" w:cs="Calibri"/>
          <w:color w:val="000000" w:themeColor="text1"/>
          <w:sz w:val="22"/>
          <w:szCs w:val="22"/>
        </w:rPr>
        <w:t xml:space="preserve">------FD 23/4358, Mr. Whitecross to Mr. Blackford, 28 November 1973. </w:t>
      </w:r>
    </w:p>
    <w:p w14:paraId="52441DEC" w14:textId="77777777" w:rsidR="00442620" w:rsidRPr="00454AD2" w:rsidRDefault="00442620" w:rsidP="00442620">
      <w:pPr>
        <w:pStyle w:val="FootnoteText"/>
        <w:ind w:left="426" w:hanging="426"/>
        <w:rPr>
          <w:rFonts w:ascii="Calibri" w:hAnsi="Calibri" w:cs="Calibri"/>
          <w:color w:val="000000" w:themeColor="text1"/>
          <w:sz w:val="22"/>
          <w:szCs w:val="22"/>
        </w:rPr>
      </w:pPr>
    </w:p>
    <w:p w14:paraId="1A3CCE70" w14:textId="77777777" w:rsidR="00442620" w:rsidRPr="00454AD2" w:rsidRDefault="00442620" w:rsidP="00442620">
      <w:pPr>
        <w:pStyle w:val="FootnoteText"/>
        <w:ind w:left="426" w:hanging="426"/>
        <w:rPr>
          <w:rFonts w:ascii="Calibri" w:hAnsi="Calibri" w:cs="Calibri"/>
          <w:color w:val="000000" w:themeColor="text1"/>
          <w:sz w:val="22"/>
          <w:szCs w:val="22"/>
        </w:rPr>
      </w:pPr>
      <w:r w:rsidRPr="00454AD2">
        <w:rPr>
          <w:rFonts w:ascii="Calibri" w:hAnsi="Calibri" w:cs="Calibri"/>
          <w:color w:val="000000" w:themeColor="text1"/>
          <w:sz w:val="22"/>
          <w:szCs w:val="22"/>
        </w:rPr>
        <w:lastRenderedPageBreak/>
        <w:t>------OD 113/21, ‘Meeting of contributors to Onchocerciasis Fund, Paris, Tuesday and Wednesday, May 29 and 30, 1979, list of participants’, 28 May 1979.</w:t>
      </w:r>
    </w:p>
    <w:p w14:paraId="4F1ECBFC" w14:textId="77777777" w:rsidR="00442620" w:rsidRPr="00454AD2" w:rsidRDefault="00442620" w:rsidP="002C3B2C">
      <w:pPr>
        <w:pStyle w:val="FootnoteText"/>
        <w:rPr>
          <w:rFonts w:ascii="Calibri" w:hAnsi="Calibri" w:cs="Calibri"/>
          <w:color w:val="000000" w:themeColor="text1"/>
          <w:sz w:val="22"/>
          <w:szCs w:val="22"/>
        </w:rPr>
      </w:pPr>
    </w:p>
    <w:p w14:paraId="6B844EF9" w14:textId="77777777" w:rsidR="00442620" w:rsidRPr="00454AD2" w:rsidRDefault="00442620" w:rsidP="00442620">
      <w:pPr>
        <w:pStyle w:val="FootnoteText"/>
        <w:ind w:left="426" w:hanging="426"/>
        <w:rPr>
          <w:rFonts w:ascii="Calibri" w:hAnsi="Calibri" w:cs="Calibri"/>
          <w:color w:val="000000" w:themeColor="text1"/>
          <w:sz w:val="22"/>
          <w:szCs w:val="22"/>
        </w:rPr>
      </w:pPr>
      <w:r w:rsidRPr="00454AD2">
        <w:rPr>
          <w:rFonts w:ascii="Calibri" w:hAnsi="Calibri" w:cs="Calibri"/>
          <w:color w:val="000000" w:themeColor="text1"/>
          <w:sz w:val="22"/>
          <w:szCs w:val="22"/>
        </w:rPr>
        <w:t>------OD 113/21, ‘Progress report - January to May’, 1979.</w:t>
      </w:r>
    </w:p>
    <w:p w14:paraId="4DD68AC9" w14:textId="77777777" w:rsidR="00442620" w:rsidRPr="00454AD2" w:rsidRDefault="00442620" w:rsidP="00442620">
      <w:pPr>
        <w:pStyle w:val="FootnoteText"/>
        <w:ind w:left="426" w:hanging="426"/>
        <w:rPr>
          <w:rFonts w:ascii="Calibri" w:hAnsi="Calibri" w:cs="Calibri"/>
          <w:color w:val="000000" w:themeColor="text1"/>
          <w:sz w:val="22"/>
          <w:szCs w:val="22"/>
        </w:rPr>
      </w:pPr>
    </w:p>
    <w:p w14:paraId="3A972340" w14:textId="77777777" w:rsidR="00442620" w:rsidRPr="00454AD2" w:rsidRDefault="00442620" w:rsidP="00442620">
      <w:pPr>
        <w:pStyle w:val="FootnoteText"/>
        <w:ind w:left="426" w:hanging="426"/>
        <w:rPr>
          <w:rFonts w:ascii="Calibri" w:hAnsi="Calibri" w:cs="Calibri"/>
          <w:color w:val="000000" w:themeColor="text1"/>
          <w:sz w:val="22"/>
          <w:szCs w:val="22"/>
        </w:rPr>
      </w:pPr>
      <w:r w:rsidRPr="00454AD2">
        <w:rPr>
          <w:rFonts w:ascii="Calibri" w:hAnsi="Calibri" w:cs="Calibri"/>
          <w:color w:val="000000" w:themeColor="text1"/>
          <w:sz w:val="22"/>
          <w:szCs w:val="22"/>
        </w:rPr>
        <w:t>------OD 113/21, Robert McNamara, ‘From the president, grants for control of onchocerciasis in West Africa’, 10 May 1979 [includes MOU for second fund agreement].</w:t>
      </w:r>
    </w:p>
    <w:p w14:paraId="53302D1C" w14:textId="77777777" w:rsidR="00442620" w:rsidRPr="00454AD2" w:rsidRDefault="00442620" w:rsidP="00442620">
      <w:pPr>
        <w:pStyle w:val="FootnoteText"/>
        <w:ind w:left="426" w:hanging="426"/>
        <w:rPr>
          <w:rFonts w:ascii="Calibri" w:hAnsi="Calibri" w:cs="Calibri"/>
          <w:color w:val="000000" w:themeColor="text1"/>
          <w:sz w:val="22"/>
          <w:szCs w:val="22"/>
        </w:rPr>
      </w:pPr>
    </w:p>
    <w:p w14:paraId="7A3F635C" w14:textId="77777777" w:rsidR="00442620" w:rsidRPr="00454AD2" w:rsidRDefault="00442620" w:rsidP="00442620">
      <w:pPr>
        <w:pStyle w:val="FootnoteText"/>
        <w:ind w:left="426" w:hanging="426"/>
        <w:rPr>
          <w:rFonts w:ascii="Calibri" w:hAnsi="Calibri" w:cs="Calibri"/>
          <w:color w:val="000000" w:themeColor="text1"/>
          <w:sz w:val="22"/>
          <w:szCs w:val="22"/>
        </w:rPr>
      </w:pPr>
      <w:r w:rsidRPr="00454AD2">
        <w:rPr>
          <w:rFonts w:ascii="Calibri" w:hAnsi="Calibri" w:cs="Calibri"/>
          <w:color w:val="000000" w:themeColor="text1"/>
          <w:sz w:val="22"/>
          <w:szCs w:val="22"/>
        </w:rPr>
        <w:t>------OD 113/22, ‘Onchocerciasis Control Programme meeting of contributors, Paris, May 29 1979, chairman’s report of proceedings’, 13 June 1979.</w:t>
      </w:r>
    </w:p>
    <w:p w14:paraId="6CD3B89B" w14:textId="77777777" w:rsidR="00442620" w:rsidRPr="00454AD2" w:rsidRDefault="00442620" w:rsidP="00442620">
      <w:pPr>
        <w:pStyle w:val="FootnoteText"/>
        <w:ind w:left="426" w:hanging="426"/>
        <w:rPr>
          <w:rFonts w:ascii="Calibri" w:hAnsi="Calibri" w:cs="Calibri"/>
          <w:color w:val="000000" w:themeColor="text1"/>
          <w:sz w:val="22"/>
          <w:szCs w:val="22"/>
        </w:rPr>
      </w:pPr>
    </w:p>
    <w:p w14:paraId="115DF9A3" w14:textId="77777777" w:rsidR="00442620" w:rsidRPr="00454AD2" w:rsidRDefault="00442620" w:rsidP="00442620">
      <w:pPr>
        <w:pStyle w:val="FootnoteText"/>
        <w:ind w:left="426" w:hanging="426"/>
        <w:rPr>
          <w:rFonts w:ascii="Calibri" w:hAnsi="Calibri" w:cs="Calibri"/>
          <w:color w:val="000000" w:themeColor="text1"/>
          <w:sz w:val="22"/>
          <w:szCs w:val="22"/>
        </w:rPr>
      </w:pPr>
      <w:r w:rsidRPr="00454AD2">
        <w:rPr>
          <w:rFonts w:ascii="Calibri" w:hAnsi="Calibri" w:cs="Calibri"/>
          <w:color w:val="000000" w:themeColor="text1"/>
          <w:sz w:val="22"/>
          <w:szCs w:val="22"/>
        </w:rPr>
        <w:t>------OD 113/23, W.D. Maniece to Marc Bazin, 18 September 1979.</w:t>
      </w:r>
    </w:p>
    <w:p w14:paraId="5D3EA845" w14:textId="77777777" w:rsidR="00442620" w:rsidRPr="00454AD2" w:rsidRDefault="00442620" w:rsidP="00442620">
      <w:pPr>
        <w:pStyle w:val="FootnoteText"/>
        <w:ind w:left="426" w:hanging="426"/>
        <w:rPr>
          <w:rFonts w:ascii="Calibri" w:hAnsi="Calibri" w:cs="Calibri"/>
          <w:color w:val="000000" w:themeColor="text1"/>
          <w:sz w:val="22"/>
          <w:szCs w:val="22"/>
        </w:rPr>
      </w:pPr>
    </w:p>
    <w:p w14:paraId="47CA58E6" w14:textId="77777777" w:rsidR="00442620" w:rsidRPr="00454AD2" w:rsidRDefault="00442620" w:rsidP="00442620">
      <w:pPr>
        <w:pStyle w:val="FootnoteText"/>
        <w:ind w:left="426" w:hanging="426"/>
        <w:rPr>
          <w:rFonts w:ascii="Calibri" w:hAnsi="Calibri" w:cs="Calibri"/>
          <w:color w:val="000000" w:themeColor="text1"/>
          <w:sz w:val="22"/>
          <w:szCs w:val="22"/>
        </w:rPr>
      </w:pPr>
      <w:r w:rsidRPr="00454AD2">
        <w:rPr>
          <w:rFonts w:ascii="Calibri" w:hAnsi="Calibri" w:cs="Calibri"/>
          <w:color w:val="000000" w:themeColor="text1"/>
          <w:sz w:val="22"/>
          <w:szCs w:val="22"/>
        </w:rPr>
        <w:t>------OD 113/24, ‘Joint Co-ordinating committee meeting, Geneva’, 3-5 December 1979.</w:t>
      </w:r>
    </w:p>
    <w:p w14:paraId="38C156BB" w14:textId="77777777" w:rsidR="00442620" w:rsidRPr="00454AD2" w:rsidRDefault="00442620" w:rsidP="00442620">
      <w:pPr>
        <w:pStyle w:val="FootnoteText"/>
        <w:ind w:left="426" w:hanging="426"/>
        <w:rPr>
          <w:rFonts w:ascii="Calibri" w:hAnsi="Calibri" w:cs="Calibri"/>
          <w:color w:val="000000" w:themeColor="text1"/>
          <w:sz w:val="22"/>
          <w:szCs w:val="22"/>
        </w:rPr>
      </w:pPr>
    </w:p>
    <w:p w14:paraId="6C292257" w14:textId="77777777" w:rsidR="00442620" w:rsidRPr="00454AD2" w:rsidRDefault="00442620" w:rsidP="00442620">
      <w:pPr>
        <w:pStyle w:val="FootnoteText"/>
        <w:ind w:left="426" w:hanging="426"/>
        <w:rPr>
          <w:rFonts w:ascii="Calibri" w:hAnsi="Calibri" w:cs="Calibri"/>
          <w:color w:val="000000" w:themeColor="text1"/>
          <w:sz w:val="22"/>
          <w:szCs w:val="22"/>
        </w:rPr>
      </w:pPr>
      <w:r w:rsidRPr="00454AD2">
        <w:rPr>
          <w:rFonts w:ascii="Calibri" w:hAnsi="Calibri" w:cs="Calibri"/>
          <w:color w:val="000000" w:themeColor="text1"/>
          <w:sz w:val="22"/>
          <w:szCs w:val="22"/>
        </w:rPr>
        <w:t>------OD 113/24, Barber Conable, ‘From the president, grants for control of onchocerciasis in West Africa’, 14 November 1989.</w:t>
      </w:r>
    </w:p>
    <w:p w14:paraId="01175EB8" w14:textId="77777777" w:rsidR="00442620" w:rsidRPr="00454AD2" w:rsidRDefault="00442620" w:rsidP="00442620">
      <w:pPr>
        <w:pStyle w:val="FootnoteText"/>
        <w:ind w:left="426" w:hanging="426"/>
        <w:rPr>
          <w:rFonts w:ascii="Calibri" w:hAnsi="Calibri" w:cs="Calibri"/>
          <w:color w:val="000000" w:themeColor="text1"/>
          <w:sz w:val="22"/>
          <w:szCs w:val="22"/>
        </w:rPr>
      </w:pPr>
    </w:p>
    <w:p w14:paraId="789956BD" w14:textId="77777777" w:rsidR="00442620" w:rsidRPr="00CF189D" w:rsidRDefault="00442620" w:rsidP="00CF189D">
      <w:pPr>
        <w:pStyle w:val="Footnotes"/>
        <w:rPr>
          <w:rFonts w:ascii="Calibri" w:hAnsi="Calibri" w:cs="Calibri"/>
          <w:sz w:val="22"/>
          <w:szCs w:val="22"/>
        </w:rPr>
      </w:pPr>
      <w:r w:rsidRPr="00CF189D">
        <w:rPr>
          <w:rFonts w:ascii="Calibri" w:hAnsi="Calibri" w:cs="Calibri"/>
          <w:sz w:val="22"/>
          <w:szCs w:val="22"/>
        </w:rPr>
        <w:t>------OD 113/24, P.T. Haskell to Terry Cox, 'WHO oncho programme: Expert Advisory Committee meeting, September’, 25 September 1980.</w:t>
      </w:r>
    </w:p>
    <w:p w14:paraId="2DA17CB6" w14:textId="77777777" w:rsidR="00442620" w:rsidRPr="00454AD2" w:rsidRDefault="00442620" w:rsidP="00CF189D">
      <w:pPr>
        <w:pStyle w:val="Footnotes"/>
      </w:pPr>
    </w:p>
    <w:p w14:paraId="273A0E49" w14:textId="77777777" w:rsidR="00442620" w:rsidRPr="00454AD2" w:rsidRDefault="00442620" w:rsidP="00442620">
      <w:pPr>
        <w:pStyle w:val="FootnoteText"/>
        <w:ind w:left="426" w:hanging="426"/>
        <w:rPr>
          <w:rFonts w:ascii="Calibri" w:hAnsi="Calibri" w:cs="Calibri"/>
          <w:color w:val="000000" w:themeColor="text1"/>
          <w:sz w:val="22"/>
          <w:szCs w:val="22"/>
        </w:rPr>
      </w:pPr>
      <w:r w:rsidRPr="00454AD2">
        <w:rPr>
          <w:rFonts w:ascii="Calibri" w:hAnsi="Calibri" w:cs="Calibri"/>
          <w:color w:val="000000" w:themeColor="text1"/>
          <w:sz w:val="22"/>
          <w:szCs w:val="22"/>
        </w:rPr>
        <w:t>------OD 113/25, ‘Progress report: April-June’, 1980.</w:t>
      </w:r>
    </w:p>
    <w:p w14:paraId="298A6F2B" w14:textId="77777777" w:rsidR="00442620" w:rsidRPr="00454AD2" w:rsidRDefault="00442620" w:rsidP="002C3B2C">
      <w:pPr>
        <w:pStyle w:val="FootnoteText"/>
        <w:rPr>
          <w:rFonts w:ascii="Calibri" w:hAnsi="Calibri" w:cs="Calibri"/>
          <w:color w:val="000000" w:themeColor="text1"/>
          <w:sz w:val="22"/>
          <w:szCs w:val="22"/>
        </w:rPr>
      </w:pPr>
    </w:p>
    <w:p w14:paraId="3ED77E77" w14:textId="77777777" w:rsidR="00442620" w:rsidRPr="00454AD2" w:rsidRDefault="00442620" w:rsidP="00442620">
      <w:pPr>
        <w:pStyle w:val="FootnoteText"/>
        <w:ind w:left="426" w:hanging="426"/>
        <w:rPr>
          <w:rFonts w:ascii="Calibri" w:hAnsi="Calibri" w:cs="Calibri"/>
          <w:color w:val="000000" w:themeColor="text1"/>
          <w:sz w:val="22"/>
          <w:szCs w:val="22"/>
        </w:rPr>
      </w:pPr>
      <w:r w:rsidRPr="00454AD2">
        <w:rPr>
          <w:rFonts w:ascii="Calibri" w:hAnsi="Calibri" w:cs="Calibri"/>
          <w:color w:val="000000" w:themeColor="text1"/>
          <w:sz w:val="22"/>
          <w:szCs w:val="22"/>
        </w:rPr>
        <w:t>------OD 13/22, ‘Independent Commission on the long-term prospects of the Onchocerciasis Control Programme, strategy paper: the task of the commission’, [1979].</w:t>
      </w:r>
    </w:p>
    <w:p w14:paraId="6C1B7DC2" w14:textId="77777777" w:rsidR="00442620" w:rsidRPr="00454AD2" w:rsidRDefault="00442620" w:rsidP="00442620">
      <w:pPr>
        <w:pStyle w:val="FootnoteText"/>
        <w:ind w:left="426" w:hanging="426"/>
        <w:rPr>
          <w:rFonts w:ascii="Calibri" w:hAnsi="Calibri" w:cs="Calibri"/>
          <w:color w:val="000000" w:themeColor="text1"/>
          <w:sz w:val="22"/>
          <w:szCs w:val="22"/>
        </w:rPr>
      </w:pPr>
    </w:p>
    <w:p w14:paraId="75B47635" w14:textId="77777777" w:rsidR="00442620" w:rsidRPr="00454AD2" w:rsidRDefault="00442620" w:rsidP="00442620">
      <w:pPr>
        <w:pStyle w:val="FootnoteText"/>
        <w:ind w:left="426" w:hanging="426"/>
        <w:rPr>
          <w:rFonts w:ascii="Calibri" w:hAnsi="Calibri" w:cs="Calibri"/>
          <w:color w:val="000000" w:themeColor="text1"/>
          <w:sz w:val="22"/>
          <w:szCs w:val="22"/>
        </w:rPr>
      </w:pPr>
      <w:r w:rsidRPr="00454AD2">
        <w:rPr>
          <w:rFonts w:ascii="Calibri" w:hAnsi="Calibri" w:cs="Calibri"/>
          <w:color w:val="000000" w:themeColor="text1"/>
          <w:sz w:val="22"/>
          <w:szCs w:val="22"/>
        </w:rPr>
        <w:t>------T 317/2046, ‘Note for the record: IBRD/IDA board meeting, onchocerciasis (river blindness) in Western Africa’, 1 May 1973.</w:t>
      </w:r>
    </w:p>
    <w:p w14:paraId="2727BD7A" w14:textId="77777777" w:rsidR="00442620" w:rsidRPr="00454AD2" w:rsidRDefault="00442620" w:rsidP="00442620">
      <w:pPr>
        <w:pStyle w:val="FootnoteText"/>
        <w:ind w:left="426" w:hanging="426"/>
        <w:rPr>
          <w:rFonts w:ascii="Calibri" w:hAnsi="Calibri" w:cs="Calibri"/>
          <w:color w:val="000000" w:themeColor="text1"/>
          <w:sz w:val="22"/>
          <w:szCs w:val="22"/>
        </w:rPr>
      </w:pPr>
    </w:p>
    <w:p w14:paraId="3A9CAC4A" w14:textId="77777777" w:rsidR="00442620" w:rsidRPr="00454AD2" w:rsidRDefault="00442620" w:rsidP="00442620">
      <w:pPr>
        <w:pStyle w:val="FootnoteText"/>
        <w:ind w:left="426" w:hanging="426"/>
        <w:rPr>
          <w:rFonts w:ascii="Calibri" w:hAnsi="Calibri" w:cs="Calibri"/>
          <w:color w:val="000000" w:themeColor="text1"/>
          <w:sz w:val="22"/>
          <w:szCs w:val="22"/>
        </w:rPr>
      </w:pPr>
      <w:r w:rsidRPr="00454AD2">
        <w:rPr>
          <w:rFonts w:ascii="Calibri" w:hAnsi="Calibri" w:cs="Calibri"/>
          <w:color w:val="000000" w:themeColor="text1"/>
          <w:sz w:val="22"/>
          <w:szCs w:val="22"/>
        </w:rPr>
        <w:t>------T 317/2046, DJ Kirkness to Hester Boothroyd, ‘IBRD control of onchocerciasis in West Africa’, 7 December 1973.</w:t>
      </w:r>
    </w:p>
    <w:p w14:paraId="278A6ADA" w14:textId="77777777" w:rsidR="00442620" w:rsidRPr="00454AD2" w:rsidRDefault="00442620" w:rsidP="00442620">
      <w:pPr>
        <w:pStyle w:val="FootnoteText"/>
        <w:ind w:left="426" w:hanging="426"/>
        <w:rPr>
          <w:rFonts w:ascii="Calibri" w:hAnsi="Calibri" w:cs="Calibri"/>
          <w:color w:val="000000" w:themeColor="text1"/>
          <w:sz w:val="22"/>
          <w:szCs w:val="22"/>
        </w:rPr>
      </w:pPr>
    </w:p>
    <w:p w14:paraId="0431EA1E" w14:textId="77777777" w:rsidR="00442620" w:rsidRPr="00454AD2" w:rsidRDefault="00442620" w:rsidP="00442620">
      <w:pPr>
        <w:pStyle w:val="FootnoteText"/>
        <w:ind w:left="426" w:hanging="426"/>
        <w:rPr>
          <w:rFonts w:ascii="Calibri" w:hAnsi="Calibri" w:cs="Calibri"/>
          <w:color w:val="000000" w:themeColor="text1"/>
          <w:sz w:val="22"/>
          <w:szCs w:val="22"/>
        </w:rPr>
      </w:pPr>
      <w:r w:rsidRPr="00454AD2">
        <w:rPr>
          <w:rFonts w:ascii="Calibri" w:hAnsi="Calibri" w:cs="Calibri"/>
          <w:color w:val="000000" w:themeColor="text1"/>
          <w:sz w:val="22"/>
          <w:szCs w:val="22"/>
        </w:rPr>
        <w:t>------T 317/2046, P.H.R. Marshall to E.Q. Bullock, 21 December 1973.</w:t>
      </w:r>
    </w:p>
    <w:p w14:paraId="09EF27DD" w14:textId="77777777" w:rsidR="00442620" w:rsidRPr="00454AD2" w:rsidRDefault="00442620" w:rsidP="00442620">
      <w:pPr>
        <w:pStyle w:val="FootnoteText"/>
        <w:rPr>
          <w:rFonts w:ascii="Calibri" w:hAnsi="Calibri" w:cs="Calibri"/>
          <w:color w:val="000000" w:themeColor="text1"/>
          <w:sz w:val="22"/>
          <w:szCs w:val="22"/>
        </w:rPr>
      </w:pPr>
    </w:p>
    <w:p w14:paraId="36D90E25" w14:textId="27F4C19E"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National Malaria Control Programme, </w:t>
      </w:r>
      <w:r w:rsidRPr="00454AD2">
        <w:rPr>
          <w:rFonts w:ascii="Calibri" w:hAnsi="Calibri" w:cs="Calibri"/>
          <w:i/>
          <w:color w:val="000000" w:themeColor="text1"/>
          <w:sz w:val="22"/>
          <w:szCs w:val="22"/>
        </w:rPr>
        <w:t xml:space="preserve">An epidemiological profile of malaria and its control in Ghana </w:t>
      </w:r>
      <w:r w:rsidRPr="00454AD2">
        <w:rPr>
          <w:rFonts w:ascii="Calibri" w:hAnsi="Calibri" w:cs="Calibri"/>
          <w:color w:val="000000" w:themeColor="text1"/>
          <w:sz w:val="22"/>
          <w:szCs w:val="22"/>
        </w:rPr>
        <w:t>(Ghana: INFORM Project, 2013).</w:t>
      </w:r>
    </w:p>
    <w:p w14:paraId="40007882" w14:textId="77777777" w:rsidR="00442620" w:rsidRPr="00454AD2" w:rsidRDefault="00442620" w:rsidP="00442620">
      <w:pPr>
        <w:pStyle w:val="FootnoteText"/>
        <w:rPr>
          <w:rFonts w:ascii="Calibri" w:hAnsi="Calibri" w:cs="Calibri"/>
          <w:color w:val="000000" w:themeColor="text1"/>
          <w:sz w:val="22"/>
          <w:szCs w:val="22"/>
        </w:rPr>
      </w:pPr>
    </w:p>
    <w:p w14:paraId="6D1BEF9C" w14:textId="6477C52A"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Nawaz S, ‘Riverblindness controlled’, </w:t>
      </w:r>
      <w:r w:rsidRPr="00454AD2">
        <w:rPr>
          <w:rFonts w:ascii="Calibri" w:hAnsi="Calibri" w:cs="Calibri"/>
          <w:i/>
          <w:color w:val="000000" w:themeColor="text1"/>
          <w:sz w:val="22"/>
          <w:szCs w:val="22"/>
        </w:rPr>
        <w:t xml:space="preserve">Finance and </w:t>
      </w:r>
      <w:r w:rsidR="00F032D0">
        <w:rPr>
          <w:rFonts w:ascii="Calibri" w:hAnsi="Calibri" w:cs="Calibri"/>
          <w:i/>
          <w:color w:val="000000" w:themeColor="text1"/>
          <w:sz w:val="22"/>
          <w:szCs w:val="22"/>
        </w:rPr>
        <w:t>D</w:t>
      </w:r>
      <w:r w:rsidRPr="00454AD2">
        <w:rPr>
          <w:rFonts w:ascii="Calibri" w:hAnsi="Calibri" w:cs="Calibri"/>
          <w:i/>
          <w:color w:val="000000" w:themeColor="text1"/>
          <w:sz w:val="22"/>
          <w:szCs w:val="22"/>
        </w:rPr>
        <w:t xml:space="preserve">evelopment </w:t>
      </w:r>
      <w:r w:rsidRPr="00454AD2">
        <w:rPr>
          <w:rFonts w:ascii="Calibri" w:hAnsi="Calibri" w:cs="Calibri"/>
          <w:color w:val="000000" w:themeColor="text1"/>
          <w:sz w:val="22"/>
          <w:szCs w:val="22"/>
        </w:rPr>
        <w:t>23:2 (1986), 32-34.</w:t>
      </w:r>
    </w:p>
    <w:p w14:paraId="63C43273" w14:textId="77777777" w:rsidR="00442620" w:rsidRPr="00454AD2" w:rsidRDefault="00442620" w:rsidP="00442620">
      <w:pPr>
        <w:pStyle w:val="FootnoteText"/>
        <w:rPr>
          <w:rFonts w:ascii="Calibri" w:hAnsi="Calibri" w:cs="Calibri"/>
          <w:color w:val="000000" w:themeColor="text1"/>
          <w:sz w:val="22"/>
          <w:szCs w:val="22"/>
        </w:rPr>
      </w:pPr>
    </w:p>
    <w:p w14:paraId="78D04C80"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Ng NY and Ruger JP, ‘Global health governance at a crossroads’, </w:t>
      </w:r>
      <w:r w:rsidRPr="00454AD2">
        <w:rPr>
          <w:rFonts w:ascii="Calibri" w:hAnsi="Calibri" w:cs="Calibri"/>
          <w:i/>
          <w:color w:val="000000" w:themeColor="text1"/>
          <w:sz w:val="22"/>
          <w:szCs w:val="22"/>
        </w:rPr>
        <w:t xml:space="preserve">Global Health Governance </w:t>
      </w:r>
      <w:r w:rsidRPr="00454AD2">
        <w:rPr>
          <w:rFonts w:ascii="Calibri" w:hAnsi="Calibri" w:cs="Calibri"/>
          <w:color w:val="000000" w:themeColor="text1"/>
          <w:sz w:val="22"/>
          <w:szCs w:val="22"/>
        </w:rPr>
        <w:t>3:2 (2011), 1-37.</w:t>
      </w:r>
    </w:p>
    <w:p w14:paraId="6A13CBD3" w14:textId="77777777" w:rsidR="00442620" w:rsidRPr="00454AD2" w:rsidRDefault="00442620" w:rsidP="00442620">
      <w:pPr>
        <w:pStyle w:val="FootnoteText"/>
        <w:rPr>
          <w:rFonts w:ascii="Calibri" w:hAnsi="Calibri" w:cs="Calibri"/>
          <w:color w:val="000000" w:themeColor="text1"/>
          <w:sz w:val="22"/>
          <w:szCs w:val="22"/>
        </w:rPr>
      </w:pPr>
    </w:p>
    <w:p w14:paraId="147F4B47"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Nishtar S, ‘Public-private “partnerships” in health – a global call to action’, </w:t>
      </w:r>
      <w:r w:rsidRPr="00454AD2">
        <w:rPr>
          <w:rFonts w:ascii="Calibri" w:hAnsi="Calibri" w:cs="Calibri"/>
          <w:i/>
          <w:color w:val="000000" w:themeColor="text1"/>
          <w:sz w:val="22"/>
          <w:szCs w:val="22"/>
        </w:rPr>
        <w:t xml:space="preserve">Health Research Policy Systems </w:t>
      </w:r>
      <w:r w:rsidRPr="00454AD2">
        <w:rPr>
          <w:rFonts w:ascii="Calibri" w:hAnsi="Calibri" w:cs="Calibri"/>
          <w:color w:val="000000" w:themeColor="text1"/>
          <w:sz w:val="22"/>
          <w:szCs w:val="22"/>
        </w:rPr>
        <w:t>2:5 (2004), 1-9.</w:t>
      </w:r>
    </w:p>
    <w:p w14:paraId="72778C4D" w14:textId="77777777" w:rsidR="00442620" w:rsidRPr="00454AD2" w:rsidRDefault="00442620" w:rsidP="00442620">
      <w:pPr>
        <w:pStyle w:val="FootnoteText"/>
        <w:rPr>
          <w:rFonts w:ascii="Calibri" w:hAnsi="Calibri" w:cs="Calibri"/>
          <w:color w:val="000000" w:themeColor="text1"/>
          <w:sz w:val="22"/>
          <w:szCs w:val="22"/>
        </w:rPr>
      </w:pPr>
    </w:p>
    <w:p w14:paraId="6F4E57F0"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Norgbey SW, ‘Control of onchocerciasis (river blindness) in West Africa: ecology, risk, and resettlement’, </w:t>
      </w:r>
      <w:r w:rsidRPr="00454AD2">
        <w:rPr>
          <w:rFonts w:ascii="Calibri" w:hAnsi="Calibri" w:cs="Calibri"/>
          <w:i/>
          <w:color w:val="000000" w:themeColor="text1"/>
          <w:sz w:val="22"/>
          <w:szCs w:val="22"/>
        </w:rPr>
        <w:t xml:space="preserve">Journal of Environment &amp; Development </w:t>
      </w:r>
      <w:r w:rsidRPr="00454AD2">
        <w:rPr>
          <w:rFonts w:ascii="Calibri" w:hAnsi="Calibri" w:cs="Calibri"/>
          <w:color w:val="000000" w:themeColor="text1"/>
          <w:sz w:val="22"/>
          <w:szCs w:val="22"/>
        </w:rPr>
        <w:t>6:1 (1997), 6-24.</w:t>
      </w:r>
    </w:p>
    <w:p w14:paraId="2B9076AB" w14:textId="77777777" w:rsidR="00442620" w:rsidRPr="00454AD2" w:rsidRDefault="00442620" w:rsidP="00442620">
      <w:pPr>
        <w:pStyle w:val="FootnoteText"/>
        <w:rPr>
          <w:rFonts w:ascii="Calibri" w:hAnsi="Calibri" w:cs="Calibri"/>
          <w:color w:val="000000" w:themeColor="text1"/>
          <w:sz w:val="22"/>
          <w:szCs w:val="22"/>
        </w:rPr>
      </w:pPr>
    </w:p>
    <w:p w14:paraId="602547EC" w14:textId="77777777" w:rsidR="00442620" w:rsidRPr="00454AD2" w:rsidRDefault="00442620" w:rsidP="00442620">
      <w:pPr>
        <w:pStyle w:val="FootnoteText"/>
        <w:rPr>
          <w:rFonts w:ascii="Calibri" w:hAnsi="Calibri" w:cs="Calibri"/>
          <w:color w:val="000000" w:themeColor="text1"/>
          <w:sz w:val="22"/>
          <w:szCs w:val="22"/>
          <w:lang w:val="en-US"/>
        </w:rPr>
      </w:pPr>
      <w:r w:rsidRPr="00454AD2">
        <w:rPr>
          <w:rFonts w:ascii="Calibri" w:hAnsi="Calibri" w:cs="Calibri"/>
          <w:color w:val="000000" w:themeColor="text1"/>
          <w:sz w:val="22"/>
          <w:szCs w:val="22"/>
          <w:lang w:val="en-US"/>
        </w:rPr>
        <w:lastRenderedPageBreak/>
        <w:t xml:space="preserve">Onchocerciasis Control Programme, </w:t>
      </w:r>
      <w:r w:rsidRPr="00454AD2">
        <w:rPr>
          <w:rFonts w:ascii="Calibri" w:hAnsi="Calibri" w:cs="Calibri"/>
          <w:i/>
          <w:color w:val="000000" w:themeColor="text1"/>
          <w:sz w:val="22"/>
          <w:szCs w:val="22"/>
          <w:lang w:val="en-US"/>
        </w:rPr>
        <w:t xml:space="preserve">20 years of onchocerciasis control </w:t>
      </w:r>
      <w:r w:rsidRPr="00454AD2">
        <w:rPr>
          <w:rFonts w:ascii="Calibri" w:hAnsi="Calibri" w:cs="Calibri"/>
          <w:color w:val="000000" w:themeColor="text1"/>
          <w:sz w:val="22"/>
          <w:szCs w:val="22"/>
          <w:lang w:val="en-US"/>
        </w:rPr>
        <w:t>(Geneva: WHO, 1994).</w:t>
      </w:r>
    </w:p>
    <w:p w14:paraId="114525B8" w14:textId="77777777" w:rsidR="00442620" w:rsidRPr="00454AD2" w:rsidRDefault="00442620" w:rsidP="00442620">
      <w:pPr>
        <w:pStyle w:val="FootnoteText"/>
        <w:rPr>
          <w:rFonts w:ascii="Calibri" w:hAnsi="Calibri" w:cs="Calibri"/>
          <w:color w:val="000000" w:themeColor="text1"/>
          <w:sz w:val="22"/>
          <w:szCs w:val="22"/>
        </w:rPr>
      </w:pPr>
    </w:p>
    <w:p w14:paraId="24C4B66C"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lang w:val="en-US"/>
        </w:rPr>
        <w:t>Onchocerciasis Control Programme</w:t>
      </w:r>
      <w:r w:rsidRPr="00454AD2">
        <w:rPr>
          <w:rFonts w:ascii="Calibri" w:hAnsi="Calibri" w:cs="Calibri"/>
          <w:color w:val="000000" w:themeColor="text1"/>
          <w:sz w:val="22"/>
          <w:szCs w:val="22"/>
        </w:rPr>
        <w:t xml:space="preserve">, </w:t>
      </w:r>
      <w:r w:rsidRPr="00454AD2">
        <w:rPr>
          <w:rFonts w:ascii="Calibri" w:hAnsi="Calibri" w:cs="Calibri"/>
          <w:i/>
          <w:color w:val="000000" w:themeColor="text1"/>
          <w:sz w:val="22"/>
          <w:szCs w:val="22"/>
        </w:rPr>
        <w:t xml:space="preserve">External review of the Onchocerciasis Control Programme </w:t>
      </w:r>
      <w:r w:rsidRPr="00454AD2">
        <w:rPr>
          <w:rFonts w:ascii="Calibri" w:hAnsi="Calibri" w:cs="Calibri"/>
          <w:color w:val="000000" w:themeColor="text1"/>
          <w:sz w:val="22"/>
          <w:szCs w:val="22"/>
        </w:rPr>
        <w:t>(Geneva: WHO, 1990).</w:t>
      </w:r>
    </w:p>
    <w:p w14:paraId="29971804" w14:textId="77777777" w:rsidR="00442620" w:rsidRPr="00454AD2" w:rsidRDefault="00442620" w:rsidP="00442620">
      <w:pPr>
        <w:pStyle w:val="FootnoteText"/>
        <w:rPr>
          <w:rFonts w:ascii="Calibri" w:hAnsi="Calibri" w:cs="Calibri"/>
          <w:color w:val="000000" w:themeColor="text1"/>
          <w:sz w:val="22"/>
          <w:szCs w:val="22"/>
        </w:rPr>
      </w:pPr>
    </w:p>
    <w:p w14:paraId="24810F92"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lang w:val="en-US"/>
        </w:rPr>
        <w:t>Onchocerciasis Control Programme</w:t>
      </w:r>
      <w:r w:rsidRPr="00454AD2">
        <w:rPr>
          <w:rFonts w:ascii="Calibri" w:hAnsi="Calibri" w:cs="Calibri"/>
          <w:color w:val="000000" w:themeColor="text1"/>
          <w:sz w:val="22"/>
          <w:szCs w:val="22"/>
        </w:rPr>
        <w:t xml:space="preserve">, </w:t>
      </w:r>
      <w:r w:rsidRPr="00454AD2">
        <w:rPr>
          <w:rFonts w:ascii="Calibri" w:hAnsi="Calibri" w:cs="Calibri"/>
          <w:i/>
          <w:color w:val="000000" w:themeColor="text1"/>
          <w:sz w:val="22"/>
          <w:szCs w:val="22"/>
        </w:rPr>
        <w:t xml:space="preserve">Joint Programme Committee, eighth session, Rome, 30 November – 3 December 1987 </w:t>
      </w:r>
      <w:r w:rsidRPr="00454AD2">
        <w:rPr>
          <w:rFonts w:ascii="Calibri" w:hAnsi="Calibri" w:cs="Calibri"/>
          <w:color w:val="000000" w:themeColor="text1"/>
          <w:sz w:val="22"/>
          <w:szCs w:val="22"/>
        </w:rPr>
        <w:t xml:space="preserve">(Geneva: WHO, October 1987). </w:t>
      </w:r>
    </w:p>
    <w:p w14:paraId="063F1DC6" w14:textId="77777777" w:rsidR="00442620" w:rsidRPr="00454AD2" w:rsidRDefault="00442620" w:rsidP="00442620">
      <w:pPr>
        <w:pStyle w:val="FootnoteText"/>
        <w:rPr>
          <w:rFonts w:ascii="Calibri" w:hAnsi="Calibri" w:cs="Calibri"/>
          <w:color w:val="000000" w:themeColor="text1"/>
          <w:sz w:val="22"/>
          <w:szCs w:val="22"/>
        </w:rPr>
      </w:pPr>
    </w:p>
    <w:p w14:paraId="3E65DE37" w14:textId="0C028CAD"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lang w:val="en-US"/>
        </w:rPr>
        <w:t>Onchocerciasis Control Programme</w:t>
      </w:r>
      <w:r w:rsidRPr="00454AD2">
        <w:rPr>
          <w:rFonts w:ascii="Calibri" w:hAnsi="Calibri" w:cs="Calibri"/>
          <w:color w:val="000000" w:themeColor="text1"/>
          <w:sz w:val="22"/>
          <w:szCs w:val="22"/>
        </w:rPr>
        <w:t xml:space="preserve">, </w:t>
      </w:r>
      <w:r w:rsidRPr="00454AD2">
        <w:rPr>
          <w:rFonts w:ascii="Calibri" w:hAnsi="Calibri" w:cs="Calibri"/>
          <w:i/>
          <w:color w:val="000000" w:themeColor="text1"/>
          <w:sz w:val="22"/>
          <w:szCs w:val="22"/>
        </w:rPr>
        <w:t>Mid-term (</w:t>
      </w:r>
      <w:r w:rsidR="00F032D0">
        <w:rPr>
          <w:rFonts w:ascii="Calibri" w:hAnsi="Calibri" w:cs="Calibri"/>
          <w:i/>
          <w:color w:val="000000" w:themeColor="text1"/>
          <w:sz w:val="22"/>
          <w:szCs w:val="22"/>
        </w:rPr>
        <w:t>p</w:t>
      </w:r>
      <w:r w:rsidRPr="00454AD2">
        <w:rPr>
          <w:rFonts w:ascii="Calibri" w:hAnsi="Calibri" w:cs="Calibri"/>
          <w:i/>
          <w:color w:val="000000" w:themeColor="text1"/>
          <w:sz w:val="22"/>
          <w:szCs w:val="22"/>
        </w:rPr>
        <w:t xml:space="preserve">hase IV) prospective evaluation of the Onchocerciasis Control Programme in West Africa </w:t>
      </w:r>
      <w:r w:rsidRPr="00454AD2">
        <w:rPr>
          <w:rFonts w:ascii="Calibri" w:hAnsi="Calibri" w:cs="Calibri"/>
          <w:color w:val="000000" w:themeColor="text1"/>
          <w:sz w:val="22"/>
          <w:szCs w:val="22"/>
        </w:rPr>
        <w:t>(Yamoussoukro: WHO, 1994).</w:t>
      </w:r>
    </w:p>
    <w:p w14:paraId="650AC10A" w14:textId="77777777" w:rsidR="00442620" w:rsidRPr="00454AD2" w:rsidRDefault="00442620" w:rsidP="00442620">
      <w:pPr>
        <w:pStyle w:val="FootnoteText"/>
        <w:rPr>
          <w:rFonts w:ascii="Calibri" w:hAnsi="Calibri" w:cs="Calibri"/>
          <w:color w:val="000000" w:themeColor="text1"/>
          <w:sz w:val="22"/>
          <w:szCs w:val="22"/>
        </w:rPr>
      </w:pPr>
    </w:p>
    <w:p w14:paraId="689C8D66"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lang w:val="en-US"/>
        </w:rPr>
        <w:t>Onchocerciasis Control Programme</w:t>
      </w:r>
      <w:r w:rsidRPr="00454AD2">
        <w:rPr>
          <w:rFonts w:ascii="Calibri" w:hAnsi="Calibri" w:cs="Calibri"/>
          <w:color w:val="000000" w:themeColor="text1"/>
          <w:sz w:val="22"/>
          <w:szCs w:val="22"/>
        </w:rPr>
        <w:t xml:space="preserve">, </w:t>
      </w:r>
      <w:r w:rsidRPr="00454AD2">
        <w:rPr>
          <w:rFonts w:ascii="Calibri" w:hAnsi="Calibri" w:cs="Calibri"/>
          <w:i/>
          <w:color w:val="000000" w:themeColor="text1"/>
          <w:sz w:val="22"/>
          <w:szCs w:val="22"/>
        </w:rPr>
        <w:t xml:space="preserve">Plan of operations for the third programme phase (1986-1991) </w:t>
      </w:r>
      <w:r w:rsidRPr="00454AD2">
        <w:rPr>
          <w:rFonts w:ascii="Calibri" w:hAnsi="Calibri" w:cs="Calibri"/>
          <w:color w:val="000000" w:themeColor="text1"/>
          <w:sz w:val="22"/>
          <w:szCs w:val="22"/>
        </w:rPr>
        <w:t>(Geneva: WHO, 1985).</w:t>
      </w:r>
    </w:p>
    <w:p w14:paraId="58E96A0E" w14:textId="77777777" w:rsidR="00442620" w:rsidRPr="00454AD2" w:rsidRDefault="00442620" w:rsidP="00442620">
      <w:pPr>
        <w:pStyle w:val="FootnoteText"/>
        <w:rPr>
          <w:rFonts w:ascii="Calibri" w:hAnsi="Calibri" w:cs="Calibri"/>
          <w:color w:val="000000" w:themeColor="text1"/>
          <w:sz w:val="22"/>
          <w:szCs w:val="22"/>
        </w:rPr>
      </w:pPr>
    </w:p>
    <w:p w14:paraId="0D96796D" w14:textId="5FD56DE5"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lang w:val="en-US"/>
        </w:rPr>
        <w:t>Onchocerciasis Control Programme</w:t>
      </w:r>
      <w:r w:rsidRPr="00454AD2">
        <w:rPr>
          <w:rFonts w:ascii="Calibri" w:hAnsi="Calibri" w:cs="Calibri"/>
          <w:color w:val="000000" w:themeColor="text1"/>
          <w:sz w:val="22"/>
          <w:szCs w:val="22"/>
        </w:rPr>
        <w:t xml:space="preserve">, </w:t>
      </w:r>
      <w:r w:rsidRPr="00454AD2">
        <w:rPr>
          <w:rFonts w:ascii="Calibri" w:hAnsi="Calibri" w:cs="Calibri"/>
          <w:i/>
          <w:color w:val="000000" w:themeColor="text1"/>
          <w:sz w:val="22"/>
          <w:szCs w:val="22"/>
        </w:rPr>
        <w:t xml:space="preserve">Success in Africa: </w:t>
      </w:r>
      <w:r w:rsidR="006E7F0A">
        <w:rPr>
          <w:rFonts w:ascii="Calibri" w:hAnsi="Calibri" w:cs="Calibri"/>
          <w:i/>
          <w:color w:val="000000" w:themeColor="text1"/>
          <w:sz w:val="22"/>
          <w:szCs w:val="22"/>
        </w:rPr>
        <w:t>t</w:t>
      </w:r>
      <w:r w:rsidRPr="00454AD2">
        <w:rPr>
          <w:rFonts w:ascii="Calibri" w:hAnsi="Calibri" w:cs="Calibri"/>
          <w:i/>
          <w:color w:val="000000" w:themeColor="text1"/>
          <w:sz w:val="22"/>
          <w:szCs w:val="22"/>
        </w:rPr>
        <w:t xml:space="preserve">he Onchocerciasis Control Programme in West Africa, 1974-2002 </w:t>
      </w:r>
      <w:r w:rsidRPr="00454AD2">
        <w:rPr>
          <w:rFonts w:ascii="Calibri" w:hAnsi="Calibri" w:cs="Calibri"/>
          <w:color w:val="000000" w:themeColor="text1"/>
          <w:sz w:val="22"/>
          <w:szCs w:val="22"/>
        </w:rPr>
        <w:t>(Geneva: WHO, 2002).</w:t>
      </w:r>
    </w:p>
    <w:p w14:paraId="60BCF202" w14:textId="77777777" w:rsidR="00442620" w:rsidRPr="00454AD2" w:rsidRDefault="00442620" w:rsidP="00442620">
      <w:pPr>
        <w:pStyle w:val="FootnoteText"/>
        <w:rPr>
          <w:rFonts w:ascii="Calibri" w:hAnsi="Calibri" w:cs="Calibri"/>
          <w:color w:val="000000" w:themeColor="text1"/>
          <w:sz w:val="22"/>
          <w:szCs w:val="22"/>
        </w:rPr>
      </w:pPr>
    </w:p>
    <w:p w14:paraId="4B9D2565" w14:textId="7A90278A"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lang w:val="en-US"/>
        </w:rPr>
        <w:t>Onchocerciasis Control Programme</w:t>
      </w:r>
      <w:r w:rsidRPr="00454AD2">
        <w:rPr>
          <w:rFonts w:ascii="Calibri" w:hAnsi="Calibri" w:cs="Calibri"/>
          <w:color w:val="000000" w:themeColor="text1"/>
          <w:sz w:val="22"/>
          <w:szCs w:val="22"/>
        </w:rPr>
        <w:t xml:space="preserve">, </w:t>
      </w:r>
      <w:r w:rsidRPr="00454AD2">
        <w:rPr>
          <w:rFonts w:ascii="Calibri" w:hAnsi="Calibri" w:cs="Calibri"/>
          <w:i/>
          <w:color w:val="000000" w:themeColor="text1"/>
          <w:sz w:val="22"/>
          <w:szCs w:val="22"/>
        </w:rPr>
        <w:t xml:space="preserve">Ten years of onchocerciasis control in West Africa: </w:t>
      </w:r>
      <w:r w:rsidR="00F032D0">
        <w:rPr>
          <w:rFonts w:ascii="Calibri" w:hAnsi="Calibri" w:cs="Calibri"/>
          <w:i/>
          <w:color w:val="000000" w:themeColor="text1"/>
          <w:sz w:val="22"/>
          <w:szCs w:val="22"/>
        </w:rPr>
        <w:t>e</w:t>
      </w:r>
      <w:r w:rsidRPr="00454AD2">
        <w:rPr>
          <w:rFonts w:ascii="Calibri" w:hAnsi="Calibri" w:cs="Calibri"/>
          <w:i/>
          <w:color w:val="000000" w:themeColor="text1"/>
          <w:sz w:val="22"/>
          <w:szCs w:val="22"/>
        </w:rPr>
        <w:t xml:space="preserve">valuation of the activities of the Onchocerciasis Control Programme in the Volta basin area </w:t>
      </w:r>
      <w:r w:rsidRPr="00454AD2">
        <w:rPr>
          <w:rFonts w:ascii="Calibri" w:hAnsi="Calibri" w:cs="Calibri"/>
          <w:color w:val="000000" w:themeColor="text1"/>
          <w:sz w:val="22"/>
          <w:szCs w:val="22"/>
        </w:rPr>
        <w:t>(Geneva: WHO, 1984).</w:t>
      </w:r>
    </w:p>
    <w:p w14:paraId="0D91EECE" w14:textId="77777777" w:rsidR="00442620" w:rsidRPr="00454AD2" w:rsidRDefault="00442620" w:rsidP="00442620">
      <w:pPr>
        <w:pStyle w:val="FootnoteText"/>
        <w:rPr>
          <w:rFonts w:ascii="Calibri" w:hAnsi="Calibri" w:cs="Calibri"/>
          <w:color w:val="000000" w:themeColor="text1"/>
          <w:sz w:val="22"/>
          <w:szCs w:val="22"/>
        </w:rPr>
      </w:pPr>
    </w:p>
    <w:p w14:paraId="32830CA9" w14:textId="208B0BE6" w:rsidR="00442620" w:rsidRPr="00233532" w:rsidRDefault="002849CC"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Organization for Economic Cooperation and Development</w:t>
      </w:r>
      <w:r w:rsidR="00442620" w:rsidRPr="00233532">
        <w:rPr>
          <w:rFonts w:ascii="Calibri" w:hAnsi="Calibri" w:cs="Calibri"/>
          <w:color w:val="000000" w:themeColor="text1"/>
          <w:sz w:val="22"/>
          <w:szCs w:val="22"/>
        </w:rPr>
        <w:t>, ‘Creditor reporting system (CRS)’ (onl</w:t>
      </w:r>
      <w:r w:rsidR="00442620" w:rsidRPr="00E12758">
        <w:rPr>
          <w:rFonts w:ascii="Calibri" w:hAnsi="Calibri" w:cs="Calibri"/>
          <w:color w:val="000000" w:themeColor="text1"/>
          <w:sz w:val="22"/>
          <w:szCs w:val="22"/>
        </w:rPr>
        <w:t>ine), &lt;</w:t>
      </w:r>
      <w:r w:rsidR="009C05EE" w:rsidRPr="00CF189D">
        <w:t>https://stats.oecd.org/Index.aspx?DataSetCode=crs1</w:t>
      </w:r>
      <w:r w:rsidR="00442620" w:rsidRPr="00233532">
        <w:rPr>
          <w:rFonts w:ascii="Calibri" w:hAnsi="Calibri" w:cs="Calibri"/>
          <w:color w:val="000000" w:themeColor="text1"/>
          <w:sz w:val="22"/>
          <w:szCs w:val="22"/>
        </w:rPr>
        <w:t>&gt; [accessed 15 April 2018].</w:t>
      </w:r>
    </w:p>
    <w:p w14:paraId="68896F3B" w14:textId="77777777" w:rsidR="00442620" w:rsidRPr="00454AD2" w:rsidRDefault="00442620" w:rsidP="00442620">
      <w:pPr>
        <w:pStyle w:val="FootnoteText"/>
        <w:rPr>
          <w:rFonts w:ascii="Calibri" w:hAnsi="Calibri" w:cs="Calibri"/>
          <w:color w:val="000000" w:themeColor="text1"/>
          <w:sz w:val="22"/>
          <w:szCs w:val="22"/>
        </w:rPr>
      </w:pPr>
    </w:p>
    <w:p w14:paraId="7B7D2157" w14:textId="0294FD55" w:rsidR="00442620" w:rsidRPr="00CF189D" w:rsidRDefault="002849CC" w:rsidP="00DD4818">
      <w:pPr>
        <w:pStyle w:val="Footnotes"/>
        <w:rPr>
          <w:rFonts w:ascii="Calibri" w:hAnsi="Calibri" w:cs="Calibri"/>
          <w:sz w:val="22"/>
          <w:szCs w:val="22"/>
        </w:rPr>
      </w:pPr>
      <w:r w:rsidRPr="00CF189D">
        <w:rPr>
          <w:rFonts w:ascii="Calibri" w:hAnsi="Calibri" w:cs="Calibri"/>
          <w:sz w:val="22"/>
          <w:szCs w:val="22"/>
        </w:rPr>
        <w:t>Organization for Economic Cooperation and Development</w:t>
      </w:r>
      <w:r w:rsidR="00442620" w:rsidRPr="00CF189D">
        <w:rPr>
          <w:rFonts w:ascii="Calibri" w:hAnsi="Calibri" w:cs="Calibri"/>
          <w:sz w:val="22"/>
          <w:szCs w:val="22"/>
        </w:rPr>
        <w:t xml:space="preserve">, </w:t>
      </w:r>
      <w:r w:rsidR="00442620" w:rsidRPr="00CF189D">
        <w:rPr>
          <w:rFonts w:ascii="Calibri" w:hAnsi="Calibri" w:cs="Calibri"/>
          <w:i/>
          <w:sz w:val="22"/>
          <w:szCs w:val="22"/>
        </w:rPr>
        <w:t>Development co-operation report 2011: 50</w:t>
      </w:r>
      <w:r w:rsidR="00442620" w:rsidRPr="00CF189D">
        <w:rPr>
          <w:rFonts w:ascii="Calibri" w:hAnsi="Calibri" w:cs="Calibri"/>
          <w:i/>
          <w:sz w:val="22"/>
          <w:szCs w:val="22"/>
          <w:vertAlign w:val="superscript"/>
        </w:rPr>
        <w:t>th</w:t>
      </w:r>
      <w:r w:rsidR="00442620" w:rsidRPr="00CF189D">
        <w:rPr>
          <w:rFonts w:ascii="Calibri" w:hAnsi="Calibri" w:cs="Calibri"/>
          <w:i/>
          <w:sz w:val="22"/>
          <w:szCs w:val="22"/>
        </w:rPr>
        <w:t xml:space="preserve"> anniversary edition</w:t>
      </w:r>
      <w:r w:rsidR="00442620" w:rsidRPr="00CF189D">
        <w:rPr>
          <w:rFonts w:ascii="Calibri" w:hAnsi="Calibri" w:cs="Calibri"/>
          <w:sz w:val="22"/>
          <w:szCs w:val="22"/>
        </w:rPr>
        <w:t xml:space="preserve"> (Paris: OECD Publishing, 2011).</w:t>
      </w:r>
    </w:p>
    <w:p w14:paraId="0A7510ED" w14:textId="77777777" w:rsidR="00442620" w:rsidRPr="00454AD2" w:rsidRDefault="00442620" w:rsidP="00DD4818">
      <w:pPr>
        <w:pStyle w:val="Footnotes"/>
      </w:pPr>
    </w:p>
    <w:p w14:paraId="48171390"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Oxfam, </w:t>
      </w:r>
      <w:r w:rsidRPr="00454AD2">
        <w:rPr>
          <w:rFonts w:ascii="Calibri" w:hAnsi="Calibri" w:cs="Calibri"/>
          <w:i/>
          <w:color w:val="000000" w:themeColor="text1"/>
          <w:sz w:val="22"/>
          <w:szCs w:val="22"/>
        </w:rPr>
        <w:t xml:space="preserve">Investing in the few: the IFC’s Health in Africa initiative </w:t>
      </w:r>
      <w:r w:rsidRPr="00454AD2">
        <w:rPr>
          <w:rFonts w:ascii="Calibri" w:hAnsi="Calibri" w:cs="Calibri"/>
          <w:color w:val="000000" w:themeColor="text1"/>
          <w:sz w:val="22"/>
          <w:szCs w:val="22"/>
        </w:rPr>
        <w:t>(London: Oxfam Briefing Note, 2014).</w:t>
      </w:r>
    </w:p>
    <w:p w14:paraId="38564F62" w14:textId="77777777" w:rsidR="00442620" w:rsidRPr="00454AD2" w:rsidRDefault="00442620" w:rsidP="00442620">
      <w:pPr>
        <w:pStyle w:val="FootnoteText"/>
        <w:rPr>
          <w:rFonts w:ascii="Calibri" w:hAnsi="Calibri" w:cs="Calibri"/>
          <w:color w:val="000000" w:themeColor="text1"/>
          <w:sz w:val="22"/>
          <w:szCs w:val="22"/>
        </w:rPr>
      </w:pPr>
    </w:p>
    <w:p w14:paraId="623034CC"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Packard R, </w:t>
      </w:r>
      <w:r w:rsidRPr="00454AD2">
        <w:rPr>
          <w:rFonts w:ascii="Calibri" w:hAnsi="Calibri" w:cs="Calibri"/>
          <w:i/>
          <w:color w:val="000000" w:themeColor="text1"/>
          <w:sz w:val="22"/>
          <w:szCs w:val="22"/>
        </w:rPr>
        <w:t xml:space="preserve">A history of global health: interventions into the lives of other peoples </w:t>
      </w:r>
      <w:r w:rsidRPr="00454AD2">
        <w:rPr>
          <w:rFonts w:ascii="Calibri" w:hAnsi="Calibri" w:cs="Calibri"/>
          <w:color w:val="000000" w:themeColor="text1"/>
          <w:sz w:val="22"/>
          <w:szCs w:val="22"/>
        </w:rPr>
        <w:t>(Baltimore: Johns Hopkins University Press, 2016).</w:t>
      </w:r>
    </w:p>
    <w:p w14:paraId="3D11BD33" w14:textId="77777777" w:rsidR="00442620" w:rsidRPr="00454AD2" w:rsidRDefault="00442620" w:rsidP="00442620">
      <w:pPr>
        <w:pStyle w:val="FootnoteText"/>
        <w:rPr>
          <w:rFonts w:ascii="Calibri" w:hAnsi="Calibri" w:cs="Calibri"/>
          <w:color w:val="000000" w:themeColor="text1"/>
          <w:sz w:val="22"/>
          <w:szCs w:val="22"/>
          <w:shd w:val="clear" w:color="auto" w:fill="FFFFFF"/>
        </w:rPr>
      </w:pPr>
    </w:p>
    <w:p w14:paraId="6C942E2F" w14:textId="248FC5D3"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Packard RM, ‘“No other logical choice”: global malaria eradication and the politics of international health in the post-war era</w:t>
      </w:r>
      <w:r w:rsidR="00F032D0">
        <w:rPr>
          <w:rFonts w:ascii="Calibri" w:hAnsi="Calibri" w:cs="Calibri"/>
          <w:color w:val="000000" w:themeColor="text1"/>
          <w:sz w:val="22"/>
          <w:szCs w:val="22"/>
        </w:rPr>
        <w:t>’,</w:t>
      </w:r>
      <w:r w:rsidRPr="00454AD2">
        <w:rPr>
          <w:rFonts w:ascii="Calibri" w:hAnsi="Calibri" w:cs="Calibri"/>
          <w:color w:val="000000" w:themeColor="text1"/>
          <w:sz w:val="22"/>
          <w:szCs w:val="22"/>
        </w:rPr>
        <w:t xml:space="preserve"> </w:t>
      </w:r>
      <w:r w:rsidRPr="00454AD2">
        <w:rPr>
          <w:rFonts w:ascii="Calibri" w:hAnsi="Calibri" w:cs="Calibri"/>
          <w:i/>
          <w:color w:val="000000" w:themeColor="text1"/>
          <w:sz w:val="22"/>
          <w:szCs w:val="22"/>
        </w:rPr>
        <w:t>Parasitologia</w:t>
      </w:r>
      <w:r w:rsidRPr="00454AD2">
        <w:rPr>
          <w:rFonts w:ascii="Calibri" w:hAnsi="Calibri" w:cs="Calibri"/>
          <w:color w:val="000000" w:themeColor="text1"/>
          <w:sz w:val="22"/>
          <w:szCs w:val="22"/>
        </w:rPr>
        <w:t xml:space="preserve"> 40 (1998): 217–229.</w:t>
      </w:r>
    </w:p>
    <w:p w14:paraId="0BBCA70E" w14:textId="77777777" w:rsidR="00442620" w:rsidRPr="00454AD2" w:rsidRDefault="00442620" w:rsidP="00442620">
      <w:pPr>
        <w:pStyle w:val="FootnoteText"/>
        <w:rPr>
          <w:rFonts w:ascii="Calibri" w:hAnsi="Calibri" w:cs="Calibri"/>
          <w:color w:val="000000" w:themeColor="text1"/>
          <w:sz w:val="22"/>
          <w:szCs w:val="22"/>
        </w:rPr>
      </w:pPr>
    </w:p>
    <w:p w14:paraId="5F617FCD" w14:textId="0AC8A709" w:rsidR="00442620" w:rsidRPr="00454AD2" w:rsidRDefault="00442620" w:rsidP="00442620">
      <w:pPr>
        <w:pStyle w:val="FootnoteText"/>
        <w:rPr>
          <w:rFonts w:ascii="Calibri" w:hAnsi="Calibri" w:cs="Calibri"/>
          <w:color w:val="000000" w:themeColor="text1"/>
          <w:sz w:val="22"/>
          <w:szCs w:val="22"/>
          <w:shd w:val="clear" w:color="auto" w:fill="FFFFFF"/>
        </w:rPr>
      </w:pPr>
      <w:r w:rsidRPr="00454AD2">
        <w:rPr>
          <w:rFonts w:ascii="Calibri" w:hAnsi="Calibri" w:cs="Calibri"/>
          <w:color w:val="000000" w:themeColor="text1"/>
          <w:sz w:val="22"/>
          <w:szCs w:val="22"/>
          <w:shd w:val="clear" w:color="auto" w:fill="FFFFFF"/>
        </w:rPr>
        <w:t xml:space="preserve">Packard RM, </w:t>
      </w:r>
      <w:r w:rsidR="002849CC">
        <w:rPr>
          <w:rFonts w:ascii="Calibri" w:hAnsi="Calibri" w:cs="Calibri"/>
          <w:color w:val="000000" w:themeColor="text1"/>
          <w:sz w:val="22"/>
          <w:szCs w:val="22"/>
          <w:shd w:val="clear" w:color="auto" w:fill="FFFFFF"/>
        </w:rPr>
        <w:t>‘“</w:t>
      </w:r>
      <w:r w:rsidRPr="00454AD2">
        <w:rPr>
          <w:rFonts w:ascii="Calibri" w:hAnsi="Calibri" w:cs="Calibri"/>
          <w:color w:val="000000" w:themeColor="text1"/>
          <w:sz w:val="22"/>
          <w:szCs w:val="22"/>
          <w:shd w:val="clear" w:color="auto" w:fill="FFFFFF"/>
        </w:rPr>
        <w:t>Roll back malaria, roll in development”? Reassessing the economic burden of malaria</w:t>
      </w:r>
      <w:r w:rsidR="002849CC">
        <w:rPr>
          <w:rFonts w:ascii="Calibri" w:hAnsi="Calibri" w:cs="Calibri"/>
          <w:color w:val="000000" w:themeColor="text1"/>
          <w:sz w:val="22"/>
          <w:szCs w:val="22"/>
          <w:shd w:val="clear" w:color="auto" w:fill="FFFFFF"/>
        </w:rPr>
        <w:t>’</w:t>
      </w:r>
      <w:r w:rsidRPr="00454AD2">
        <w:rPr>
          <w:rFonts w:ascii="Calibri" w:hAnsi="Calibri" w:cs="Calibri"/>
          <w:color w:val="000000" w:themeColor="text1"/>
          <w:sz w:val="22"/>
          <w:szCs w:val="22"/>
          <w:shd w:val="clear" w:color="auto" w:fill="FFFFFF"/>
        </w:rPr>
        <w:t>, </w:t>
      </w:r>
      <w:r w:rsidRPr="00454AD2">
        <w:rPr>
          <w:rFonts w:ascii="Calibri" w:hAnsi="Calibri" w:cs="Calibri"/>
          <w:i/>
          <w:iCs/>
          <w:color w:val="000000" w:themeColor="text1"/>
          <w:sz w:val="22"/>
          <w:szCs w:val="22"/>
          <w:shd w:val="clear" w:color="auto" w:fill="FFFFFF"/>
        </w:rPr>
        <w:t>Population and Development Review</w:t>
      </w:r>
      <w:r w:rsidRPr="00454AD2">
        <w:rPr>
          <w:rFonts w:ascii="Calibri" w:hAnsi="Calibri" w:cs="Calibri"/>
          <w:color w:val="000000" w:themeColor="text1"/>
          <w:sz w:val="22"/>
          <w:szCs w:val="22"/>
          <w:shd w:val="clear" w:color="auto" w:fill="FFFFFF"/>
        </w:rPr>
        <w:t>, </w:t>
      </w:r>
      <w:r w:rsidRPr="00454AD2">
        <w:rPr>
          <w:rFonts w:ascii="Calibri" w:hAnsi="Calibri" w:cs="Calibri"/>
          <w:iCs/>
          <w:color w:val="000000" w:themeColor="text1"/>
          <w:sz w:val="22"/>
          <w:szCs w:val="22"/>
          <w:shd w:val="clear" w:color="auto" w:fill="FFFFFF"/>
        </w:rPr>
        <w:t>35</w:t>
      </w:r>
      <w:r w:rsidRPr="00454AD2">
        <w:rPr>
          <w:rFonts w:ascii="Calibri" w:hAnsi="Calibri" w:cs="Calibri"/>
          <w:color w:val="000000" w:themeColor="text1"/>
          <w:sz w:val="22"/>
          <w:szCs w:val="22"/>
          <w:shd w:val="clear" w:color="auto" w:fill="FFFFFF"/>
        </w:rPr>
        <w:t>:1 (2009), 53-87.</w:t>
      </w:r>
    </w:p>
    <w:p w14:paraId="3A70D2C2" w14:textId="77777777" w:rsidR="00442620" w:rsidRPr="00454AD2" w:rsidRDefault="00442620" w:rsidP="00442620">
      <w:pPr>
        <w:pStyle w:val="FootnoteText"/>
        <w:rPr>
          <w:rFonts w:ascii="Calibri" w:hAnsi="Calibri" w:cs="Calibri"/>
          <w:color w:val="000000" w:themeColor="text1"/>
          <w:sz w:val="22"/>
          <w:szCs w:val="22"/>
        </w:rPr>
      </w:pPr>
    </w:p>
    <w:p w14:paraId="15523CEA" w14:textId="656A0EC8" w:rsidR="00442620" w:rsidRPr="00F032D0" w:rsidRDefault="00442620" w:rsidP="00F032D0">
      <w:r w:rsidRPr="00454AD2">
        <w:rPr>
          <w:rFonts w:ascii="Calibri" w:hAnsi="Calibri" w:cs="Calibri"/>
          <w:color w:val="000000" w:themeColor="text1"/>
          <w:sz w:val="22"/>
          <w:szCs w:val="22"/>
        </w:rPr>
        <w:t xml:space="preserve">Pascolini </w:t>
      </w:r>
      <w:r w:rsidR="00F032D0">
        <w:rPr>
          <w:rFonts w:ascii="Calibri" w:hAnsi="Calibri" w:cs="Calibri"/>
          <w:color w:val="000000" w:themeColor="text1"/>
          <w:sz w:val="22"/>
          <w:szCs w:val="22"/>
        </w:rPr>
        <w:t xml:space="preserve">D, Mariotti SP, Pokharel GP, Pararajasegaram R, </w:t>
      </w:r>
      <w:r w:rsidR="00F032D0" w:rsidRPr="00F032D0">
        <w:rPr>
          <w:rFonts w:ascii="Calibri" w:hAnsi="Calibri" w:cs="Calibri"/>
          <w:color w:val="000000" w:themeColor="text1"/>
          <w:sz w:val="22"/>
          <w:szCs w:val="22"/>
        </w:rPr>
        <w:t xml:space="preserve">Etya’ale D, </w:t>
      </w:r>
      <w:r w:rsidR="00F032D0" w:rsidRPr="00F032D0">
        <w:rPr>
          <w:rFonts w:ascii="Calibri" w:hAnsi="Calibri" w:cs="Calibri"/>
          <w:color w:val="000000" w:themeColor="text1"/>
          <w:sz w:val="22"/>
          <w:szCs w:val="22"/>
          <w:shd w:val="clear" w:color="auto" w:fill="FFFFFF"/>
        </w:rPr>
        <w:t xml:space="preserve">Négrel </w:t>
      </w:r>
      <w:r w:rsidR="00F032D0" w:rsidRPr="00F032D0">
        <w:rPr>
          <w:rFonts w:ascii="Calibri" w:hAnsi="Calibri" w:cs="Calibri"/>
          <w:color w:val="000000" w:themeColor="text1"/>
          <w:sz w:val="22"/>
          <w:szCs w:val="22"/>
        </w:rPr>
        <w:t>AD and Resnikoff S</w:t>
      </w:r>
      <w:r w:rsidRPr="00F032D0">
        <w:rPr>
          <w:rFonts w:ascii="Calibri" w:hAnsi="Calibri" w:cs="Calibri"/>
          <w:color w:val="000000" w:themeColor="text1"/>
          <w:sz w:val="22"/>
          <w:szCs w:val="22"/>
        </w:rPr>
        <w:t xml:space="preserve">, ‘2002 global update of available data on visual impairment: a compilation </w:t>
      </w:r>
      <w:r w:rsidRPr="00454AD2">
        <w:rPr>
          <w:rFonts w:ascii="Calibri" w:hAnsi="Calibri" w:cs="Calibri"/>
          <w:color w:val="000000" w:themeColor="text1"/>
          <w:sz w:val="22"/>
          <w:szCs w:val="22"/>
        </w:rPr>
        <w:t xml:space="preserve">of population-based prevalence studies’, </w:t>
      </w:r>
      <w:r w:rsidRPr="00454AD2">
        <w:rPr>
          <w:rFonts w:ascii="Calibri" w:hAnsi="Calibri" w:cs="Calibri"/>
          <w:i/>
          <w:color w:val="000000" w:themeColor="text1"/>
          <w:sz w:val="22"/>
          <w:szCs w:val="22"/>
        </w:rPr>
        <w:t xml:space="preserve">Ophthalmic Epidemiology </w:t>
      </w:r>
      <w:r w:rsidRPr="00454AD2">
        <w:rPr>
          <w:rFonts w:ascii="Calibri" w:hAnsi="Calibri" w:cs="Calibri"/>
          <w:color w:val="000000" w:themeColor="text1"/>
          <w:sz w:val="22"/>
          <w:szCs w:val="22"/>
        </w:rPr>
        <w:t>11:2 (2004), 67-115.</w:t>
      </w:r>
    </w:p>
    <w:p w14:paraId="0EF787B8" w14:textId="77777777" w:rsidR="00442620" w:rsidRPr="00454AD2" w:rsidRDefault="00442620" w:rsidP="00442620">
      <w:pPr>
        <w:pStyle w:val="FootnoteText"/>
        <w:rPr>
          <w:rFonts w:ascii="Calibri" w:hAnsi="Calibri" w:cs="Calibri"/>
          <w:color w:val="000000" w:themeColor="text1"/>
          <w:sz w:val="22"/>
          <w:szCs w:val="22"/>
        </w:rPr>
      </w:pPr>
    </w:p>
    <w:p w14:paraId="491E65DA" w14:textId="5CCEEB6A"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Peters </w:t>
      </w:r>
      <w:r w:rsidR="00F032D0">
        <w:rPr>
          <w:rFonts w:ascii="Calibri" w:hAnsi="Calibri" w:cs="Calibri"/>
          <w:color w:val="000000" w:themeColor="text1"/>
          <w:sz w:val="22"/>
          <w:szCs w:val="22"/>
        </w:rPr>
        <w:t>DH, Kandola K, Elmendorf AE and Chellaraj G</w:t>
      </w:r>
      <w:r w:rsidRPr="00454AD2">
        <w:rPr>
          <w:rFonts w:ascii="Calibri" w:hAnsi="Calibri" w:cs="Calibri"/>
          <w:color w:val="000000" w:themeColor="text1"/>
          <w:sz w:val="22"/>
          <w:szCs w:val="22"/>
        </w:rPr>
        <w:t xml:space="preserve">, ‘Health expenditures, services, and outcomes in Africa: basic data and cross-national comparisons, 1990-1996’, </w:t>
      </w:r>
      <w:r w:rsidRPr="00454AD2">
        <w:rPr>
          <w:rFonts w:ascii="Calibri" w:hAnsi="Calibri" w:cs="Calibri"/>
          <w:i/>
          <w:color w:val="000000" w:themeColor="text1"/>
          <w:sz w:val="22"/>
          <w:szCs w:val="22"/>
        </w:rPr>
        <w:t xml:space="preserve">Human development network (HNP series) </w:t>
      </w:r>
      <w:r w:rsidRPr="00454AD2">
        <w:rPr>
          <w:rFonts w:ascii="Calibri" w:hAnsi="Calibri" w:cs="Calibri"/>
          <w:color w:val="000000" w:themeColor="text1"/>
          <w:sz w:val="22"/>
          <w:szCs w:val="22"/>
        </w:rPr>
        <w:t>(Washington DC: World Bank, 1999).</w:t>
      </w:r>
    </w:p>
    <w:p w14:paraId="2E362507" w14:textId="77777777" w:rsidR="00442620" w:rsidRPr="00454AD2" w:rsidRDefault="00442620" w:rsidP="00442620">
      <w:pPr>
        <w:pStyle w:val="FootnoteText"/>
        <w:rPr>
          <w:rFonts w:ascii="Calibri" w:hAnsi="Calibri" w:cs="Calibri"/>
          <w:color w:val="000000" w:themeColor="text1"/>
          <w:sz w:val="22"/>
          <w:szCs w:val="22"/>
        </w:rPr>
      </w:pPr>
    </w:p>
    <w:p w14:paraId="6E37464C" w14:textId="77777777"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t>Phillips RW, FAO: its origins, formation and evolution, 1945-1981 (Rome: FAO, 1981).</w:t>
      </w:r>
    </w:p>
    <w:p w14:paraId="5990B9C2" w14:textId="77777777" w:rsidR="00442620" w:rsidRPr="00CF189D" w:rsidRDefault="00442620" w:rsidP="00DD4818">
      <w:pPr>
        <w:pStyle w:val="Footnotes"/>
        <w:rPr>
          <w:rFonts w:ascii="Calibri" w:hAnsi="Calibri" w:cs="Calibri"/>
          <w:sz w:val="22"/>
          <w:szCs w:val="22"/>
        </w:rPr>
      </w:pPr>
    </w:p>
    <w:p w14:paraId="203333E6" w14:textId="22879F4E"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Pl</w:t>
      </w:r>
      <w:r w:rsidRPr="00E12758">
        <w:rPr>
          <w:rFonts w:ascii="Calibri" w:hAnsi="Calibri" w:cs="Calibri"/>
          <w:color w:val="000000" w:themeColor="text1"/>
          <w:sz w:val="22"/>
          <w:szCs w:val="22"/>
        </w:rPr>
        <w:t xml:space="preserve">aisier </w:t>
      </w:r>
      <w:r w:rsidR="00F032D0" w:rsidRPr="00766A1F">
        <w:rPr>
          <w:rFonts w:ascii="Calibri" w:hAnsi="Calibri" w:cs="Calibri"/>
          <w:color w:val="000000" w:themeColor="text1"/>
          <w:sz w:val="22"/>
          <w:szCs w:val="22"/>
        </w:rPr>
        <w:t>AP, Alley ES, Van Oortmarssen GJ, Boatin BA and Habbema JD,</w:t>
      </w:r>
      <w:r w:rsidRPr="007A123B">
        <w:rPr>
          <w:rFonts w:ascii="Calibri" w:hAnsi="Calibri" w:cs="Calibri"/>
          <w:color w:val="000000" w:themeColor="text1"/>
          <w:sz w:val="22"/>
          <w:szCs w:val="22"/>
        </w:rPr>
        <w:t xml:space="preserve"> ‘Required duration of combined annual ivermectin trea</w:t>
      </w:r>
      <w:r w:rsidRPr="00233532">
        <w:rPr>
          <w:rFonts w:ascii="Calibri" w:hAnsi="Calibri" w:cs="Calibri"/>
          <w:color w:val="000000" w:themeColor="text1"/>
          <w:sz w:val="22"/>
          <w:szCs w:val="22"/>
        </w:rPr>
        <w:t xml:space="preserve">tment and vector control in the Onchocercaisis Control Programme in west Africa’, </w:t>
      </w:r>
      <w:r w:rsidRPr="00233532">
        <w:rPr>
          <w:rFonts w:ascii="Calibri" w:hAnsi="Calibri" w:cs="Calibri"/>
          <w:i/>
          <w:color w:val="000000" w:themeColor="text1"/>
          <w:sz w:val="22"/>
          <w:szCs w:val="22"/>
        </w:rPr>
        <w:t xml:space="preserve">Bulletin of the WHO </w:t>
      </w:r>
      <w:r w:rsidRPr="00233532">
        <w:rPr>
          <w:rFonts w:ascii="Calibri" w:hAnsi="Calibri" w:cs="Calibri"/>
          <w:color w:val="000000" w:themeColor="text1"/>
          <w:sz w:val="22"/>
          <w:szCs w:val="22"/>
        </w:rPr>
        <w:t>75 (1997), 237-245.</w:t>
      </w:r>
    </w:p>
    <w:p w14:paraId="675AD206" w14:textId="77777777" w:rsidR="00442620" w:rsidRPr="00233532" w:rsidRDefault="00442620" w:rsidP="00442620">
      <w:pPr>
        <w:pStyle w:val="FootnoteText"/>
        <w:rPr>
          <w:rFonts w:ascii="Calibri" w:hAnsi="Calibri" w:cs="Calibri"/>
          <w:color w:val="000000" w:themeColor="text1"/>
          <w:sz w:val="22"/>
          <w:szCs w:val="22"/>
        </w:rPr>
      </w:pPr>
    </w:p>
    <w:p w14:paraId="2238175C" w14:textId="04D43851"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Plaisier </w:t>
      </w:r>
      <w:r w:rsidR="00F032D0" w:rsidRPr="00233532">
        <w:rPr>
          <w:rFonts w:ascii="Calibri" w:hAnsi="Calibri" w:cs="Calibri"/>
          <w:color w:val="000000" w:themeColor="text1"/>
          <w:sz w:val="22"/>
          <w:szCs w:val="22"/>
        </w:rPr>
        <w:t>AP, Van Oortmarssen GJ, Remme J and Habbema JD</w:t>
      </w:r>
      <w:r w:rsidRPr="00233532">
        <w:rPr>
          <w:rFonts w:ascii="Calibri" w:hAnsi="Calibri" w:cs="Calibri"/>
          <w:color w:val="000000" w:themeColor="text1"/>
          <w:sz w:val="22"/>
          <w:szCs w:val="22"/>
        </w:rPr>
        <w:t xml:space="preserve">, ‘The reproductive lifespan of </w:t>
      </w:r>
      <w:r w:rsidRPr="00233532">
        <w:rPr>
          <w:rFonts w:ascii="Calibri" w:hAnsi="Calibri" w:cs="Calibri"/>
          <w:i/>
          <w:color w:val="000000" w:themeColor="text1"/>
          <w:sz w:val="22"/>
          <w:szCs w:val="22"/>
        </w:rPr>
        <w:t xml:space="preserve">Onchocerca volvulus </w:t>
      </w:r>
      <w:r w:rsidRPr="00233532">
        <w:rPr>
          <w:rFonts w:ascii="Calibri" w:hAnsi="Calibri" w:cs="Calibri"/>
          <w:color w:val="000000" w:themeColor="text1"/>
          <w:sz w:val="22"/>
          <w:szCs w:val="22"/>
        </w:rPr>
        <w:t xml:space="preserve">in West African savanna’, </w:t>
      </w:r>
      <w:r w:rsidRPr="00233532">
        <w:rPr>
          <w:rFonts w:ascii="Calibri" w:hAnsi="Calibri" w:cs="Calibri"/>
          <w:i/>
          <w:color w:val="000000" w:themeColor="text1"/>
          <w:sz w:val="22"/>
          <w:szCs w:val="22"/>
        </w:rPr>
        <w:t xml:space="preserve">Acta Tropica </w:t>
      </w:r>
      <w:r w:rsidRPr="00233532">
        <w:rPr>
          <w:rFonts w:ascii="Calibri" w:hAnsi="Calibri" w:cs="Calibri"/>
          <w:color w:val="000000" w:themeColor="text1"/>
          <w:sz w:val="22"/>
          <w:szCs w:val="22"/>
        </w:rPr>
        <w:t>48 (1991), 271-284.</w:t>
      </w:r>
    </w:p>
    <w:p w14:paraId="5CE4DC78" w14:textId="77777777" w:rsidR="00442620" w:rsidRPr="00233532" w:rsidRDefault="00442620" w:rsidP="00442620">
      <w:pPr>
        <w:pStyle w:val="FootnoteText"/>
        <w:rPr>
          <w:rFonts w:ascii="Calibri" w:hAnsi="Calibri" w:cs="Calibri"/>
          <w:color w:val="000000" w:themeColor="text1"/>
          <w:sz w:val="22"/>
          <w:szCs w:val="22"/>
        </w:rPr>
      </w:pPr>
    </w:p>
    <w:p w14:paraId="52EABC56" w14:textId="77777777" w:rsidR="00442620" w:rsidRPr="00233532" w:rsidRDefault="00442620" w:rsidP="00442620">
      <w:pPr>
        <w:pStyle w:val="FootnoteText"/>
        <w:rPr>
          <w:rFonts w:ascii="Calibri" w:hAnsi="Calibri" w:cs="Calibri"/>
          <w:iCs/>
          <w:color w:val="000000" w:themeColor="text1"/>
          <w:sz w:val="22"/>
          <w:szCs w:val="22"/>
        </w:rPr>
      </w:pPr>
      <w:r w:rsidRPr="00233532">
        <w:rPr>
          <w:rFonts w:ascii="Calibri" w:hAnsi="Calibri" w:cs="Calibri"/>
          <w:color w:val="000000" w:themeColor="text1"/>
          <w:sz w:val="22"/>
          <w:szCs w:val="22"/>
        </w:rPr>
        <w:t xml:space="preserve">Prost A and Prescott N, ‘Cost-effectiveness of blindness prevention by the Onchocerciasis Control Programme in Upper Volta’, </w:t>
      </w:r>
      <w:r w:rsidRPr="00233532">
        <w:rPr>
          <w:rFonts w:ascii="Calibri" w:hAnsi="Calibri" w:cs="Calibri"/>
          <w:i/>
          <w:iCs/>
          <w:color w:val="000000" w:themeColor="text1"/>
          <w:sz w:val="22"/>
          <w:szCs w:val="22"/>
        </w:rPr>
        <w:t xml:space="preserve">Bulletin of the WHO, </w:t>
      </w:r>
      <w:r w:rsidRPr="00233532">
        <w:rPr>
          <w:rFonts w:ascii="Calibri" w:hAnsi="Calibri" w:cs="Calibri"/>
          <w:iCs/>
          <w:color w:val="000000" w:themeColor="text1"/>
          <w:sz w:val="22"/>
          <w:szCs w:val="22"/>
        </w:rPr>
        <w:t>62:5 (1984), 795.</w:t>
      </w:r>
    </w:p>
    <w:p w14:paraId="124819CB" w14:textId="77777777" w:rsidR="00442620" w:rsidRPr="00233532" w:rsidRDefault="00442620" w:rsidP="00442620">
      <w:pPr>
        <w:pStyle w:val="FootnoteText"/>
        <w:rPr>
          <w:rFonts w:ascii="Calibri" w:hAnsi="Calibri" w:cs="Calibri"/>
          <w:color w:val="000000" w:themeColor="text1"/>
          <w:sz w:val="22"/>
          <w:szCs w:val="22"/>
        </w:rPr>
      </w:pPr>
    </w:p>
    <w:p w14:paraId="73123F75"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Quick J, ‘Book review – Public-private partnerships for public health, Harvard series on population and international health, Ed. Michael R. Reich’, </w:t>
      </w:r>
      <w:r w:rsidRPr="00233532">
        <w:rPr>
          <w:rFonts w:ascii="Calibri" w:hAnsi="Calibri" w:cs="Calibri"/>
          <w:i/>
          <w:color w:val="000000" w:themeColor="text1"/>
          <w:sz w:val="22"/>
          <w:szCs w:val="22"/>
        </w:rPr>
        <w:t xml:space="preserve">New England Journal of Medicine </w:t>
      </w:r>
      <w:r w:rsidRPr="00233532">
        <w:rPr>
          <w:rFonts w:ascii="Calibri" w:hAnsi="Calibri" w:cs="Calibri"/>
          <w:color w:val="000000" w:themeColor="text1"/>
          <w:sz w:val="22"/>
          <w:szCs w:val="22"/>
        </w:rPr>
        <w:t>347 (2002), 1807-1808.</w:t>
      </w:r>
    </w:p>
    <w:p w14:paraId="1E196CFB" w14:textId="77777777" w:rsidR="00442620" w:rsidRPr="00233532" w:rsidRDefault="00442620" w:rsidP="00442620">
      <w:pPr>
        <w:pStyle w:val="FootnoteText"/>
        <w:rPr>
          <w:rFonts w:ascii="Calibri" w:hAnsi="Calibri" w:cs="Calibri"/>
          <w:color w:val="000000" w:themeColor="text1"/>
          <w:sz w:val="22"/>
          <w:szCs w:val="22"/>
        </w:rPr>
      </w:pPr>
    </w:p>
    <w:p w14:paraId="5076AE3A" w14:textId="2057F5C2"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Rahi </w:t>
      </w:r>
      <w:r w:rsidR="00F032D0" w:rsidRPr="00233532">
        <w:rPr>
          <w:rFonts w:ascii="Calibri" w:hAnsi="Calibri" w:cs="Calibri"/>
          <w:color w:val="000000" w:themeColor="text1"/>
          <w:sz w:val="22"/>
          <w:szCs w:val="22"/>
        </w:rPr>
        <w:t>M, Fernandes G, Winters J and Sridhar D</w:t>
      </w:r>
      <w:r w:rsidRPr="00233532">
        <w:rPr>
          <w:rFonts w:ascii="Calibri" w:hAnsi="Calibri" w:cs="Calibri"/>
          <w:color w:val="000000" w:themeColor="text1"/>
          <w:sz w:val="22"/>
          <w:szCs w:val="22"/>
        </w:rPr>
        <w:t xml:space="preserve">, ‘The World Bank &amp; financing tuberculosis control, 1986-2017’, </w:t>
      </w:r>
      <w:r w:rsidRPr="00233532">
        <w:rPr>
          <w:rFonts w:ascii="Calibri" w:hAnsi="Calibri" w:cs="Calibri"/>
          <w:i/>
          <w:color w:val="000000" w:themeColor="text1"/>
          <w:sz w:val="22"/>
          <w:szCs w:val="22"/>
        </w:rPr>
        <w:t xml:space="preserve">Wellcome Open Research </w:t>
      </w:r>
      <w:r w:rsidRPr="00233532">
        <w:rPr>
          <w:rFonts w:ascii="Calibri" w:hAnsi="Calibri" w:cs="Calibri"/>
          <w:color w:val="000000" w:themeColor="text1"/>
          <w:sz w:val="22"/>
          <w:szCs w:val="22"/>
        </w:rPr>
        <w:t>3:103 (2018).</w:t>
      </w:r>
    </w:p>
    <w:p w14:paraId="7406C720" w14:textId="77777777" w:rsidR="00442620" w:rsidRPr="00233532" w:rsidRDefault="00442620" w:rsidP="00442620">
      <w:pPr>
        <w:pStyle w:val="FootnoteText"/>
        <w:rPr>
          <w:rFonts w:ascii="Calibri" w:hAnsi="Calibri" w:cs="Calibri"/>
          <w:color w:val="000000" w:themeColor="text1"/>
          <w:sz w:val="22"/>
          <w:szCs w:val="22"/>
        </w:rPr>
      </w:pPr>
    </w:p>
    <w:p w14:paraId="43121195"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Rajkotia Y, ‘Beware of the success cartel: a plea for rational progress in global health’, </w:t>
      </w:r>
      <w:r w:rsidRPr="00233532">
        <w:rPr>
          <w:rFonts w:ascii="Calibri" w:hAnsi="Calibri" w:cs="Calibri"/>
          <w:i/>
          <w:color w:val="000000" w:themeColor="text1"/>
          <w:sz w:val="22"/>
          <w:szCs w:val="22"/>
        </w:rPr>
        <w:t xml:space="preserve">BMJ Global Health </w:t>
      </w:r>
      <w:r w:rsidRPr="00233532">
        <w:rPr>
          <w:rFonts w:ascii="Calibri" w:hAnsi="Calibri" w:cs="Calibri"/>
          <w:color w:val="000000" w:themeColor="text1"/>
          <w:sz w:val="22"/>
          <w:szCs w:val="22"/>
        </w:rPr>
        <w:t>3 (2018), e001197.</w:t>
      </w:r>
    </w:p>
    <w:p w14:paraId="27395DD1" w14:textId="77777777" w:rsidR="00442620" w:rsidRPr="00233532" w:rsidRDefault="00442620" w:rsidP="00442620">
      <w:pPr>
        <w:pStyle w:val="FootnoteText"/>
        <w:rPr>
          <w:rFonts w:ascii="Calibri" w:hAnsi="Calibri" w:cs="Calibri"/>
          <w:color w:val="000000" w:themeColor="text1"/>
          <w:sz w:val="22"/>
          <w:szCs w:val="22"/>
        </w:rPr>
      </w:pPr>
    </w:p>
    <w:p w14:paraId="5ED0E8DA" w14:textId="77777777"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t xml:space="preserve">Ralph Bunche Institute for International Studies, </w:t>
      </w:r>
      <w:r w:rsidRPr="00CF189D">
        <w:rPr>
          <w:rFonts w:ascii="Calibri" w:hAnsi="Calibri" w:cs="Calibri"/>
          <w:i/>
          <w:sz w:val="22"/>
          <w:szCs w:val="22"/>
        </w:rPr>
        <w:t>United Nations intellectual history project, briefing note 7</w:t>
      </w:r>
      <w:r w:rsidRPr="00CF189D">
        <w:rPr>
          <w:rFonts w:ascii="Calibri" w:hAnsi="Calibri" w:cs="Calibri"/>
          <w:sz w:val="22"/>
          <w:szCs w:val="22"/>
        </w:rPr>
        <w:t xml:space="preserve"> (New York: CUNY Graduate Center, May 2010).</w:t>
      </w:r>
    </w:p>
    <w:p w14:paraId="0F81C971" w14:textId="77777777" w:rsidR="00442620" w:rsidRPr="00454AD2" w:rsidRDefault="00442620" w:rsidP="00DD4818">
      <w:pPr>
        <w:pStyle w:val="Footnotes"/>
      </w:pPr>
    </w:p>
    <w:p w14:paraId="0119AA27"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Ramalingam S, </w:t>
      </w:r>
      <w:r w:rsidRPr="00454AD2">
        <w:rPr>
          <w:rFonts w:ascii="Calibri" w:hAnsi="Calibri" w:cs="Calibri"/>
          <w:i/>
          <w:color w:val="000000" w:themeColor="text1"/>
          <w:sz w:val="22"/>
          <w:szCs w:val="22"/>
        </w:rPr>
        <w:t xml:space="preserve">Trust fund reform 2018 - spring meeting edition </w:t>
      </w:r>
      <w:r w:rsidRPr="00454AD2">
        <w:rPr>
          <w:rFonts w:ascii="Calibri" w:hAnsi="Calibri" w:cs="Calibri"/>
          <w:color w:val="000000" w:themeColor="text1"/>
          <w:sz w:val="22"/>
          <w:szCs w:val="22"/>
        </w:rPr>
        <w:t>(Washington DC: World Bank, 2018).</w:t>
      </w:r>
    </w:p>
    <w:p w14:paraId="50A15330" w14:textId="77777777" w:rsidR="00442620" w:rsidRPr="00454AD2" w:rsidRDefault="00442620" w:rsidP="00442620">
      <w:pPr>
        <w:pStyle w:val="FootnoteText"/>
        <w:rPr>
          <w:rFonts w:ascii="Calibri" w:hAnsi="Calibri" w:cs="Calibri"/>
          <w:color w:val="000000" w:themeColor="text1"/>
          <w:sz w:val="22"/>
          <w:szCs w:val="22"/>
        </w:rPr>
      </w:pPr>
    </w:p>
    <w:p w14:paraId="58013B0B" w14:textId="7E47091B"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Reinsberg B, ‘The implications of multi-bi aid for multilateral agencies: the example of the World Bank’, in </w:t>
      </w:r>
      <w:r w:rsidR="002849CC">
        <w:rPr>
          <w:rFonts w:ascii="Calibri" w:hAnsi="Calibri" w:cs="Calibri"/>
          <w:color w:val="000000" w:themeColor="text1"/>
          <w:sz w:val="22"/>
          <w:szCs w:val="22"/>
        </w:rPr>
        <w:t>S Klingebiel, T Mahn and M Negre</w:t>
      </w:r>
      <w:r w:rsidRPr="00454AD2">
        <w:rPr>
          <w:rFonts w:ascii="Calibri" w:hAnsi="Calibri" w:cs="Calibri"/>
          <w:color w:val="000000" w:themeColor="text1"/>
          <w:sz w:val="22"/>
          <w:szCs w:val="22"/>
        </w:rPr>
        <w:t xml:space="preserve"> (Eds.), </w:t>
      </w:r>
      <w:r w:rsidRPr="00454AD2">
        <w:rPr>
          <w:rFonts w:ascii="Calibri" w:hAnsi="Calibri" w:cs="Calibri"/>
          <w:i/>
          <w:color w:val="000000" w:themeColor="text1"/>
          <w:sz w:val="22"/>
          <w:szCs w:val="22"/>
        </w:rPr>
        <w:t xml:space="preserve">The fragmentation of aid: concepts, means and implications for development cooperation </w:t>
      </w:r>
      <w:r w:rsidRPr="00454AD2">
        <w:rPr>
          <w:rFonts w:ascii="Calibri" w:hAnsi="Calibri" w:cs="Calibri"/>
          <w:color w:val="000000" w:themeColor="text1"/>
          <w:sz w:val="22"/>
          <w:szCs w:val="22"/>
        </w:rPr>
        <w:t>(London: Pallgrave Macmillan, 2016), 185-198.</w:t>
      </w:r>
    </w:p>
    <w:p w14:paraId="4242FBCC" w14:textId="77777777" w:rsidR="00442620" w:rsidRPr="00454AD2" w:rsidRDefault="00442620" w:rsidP="00442620">
      <w:pPr>
        <w:pStyle w:val="FootnoteText"/>
        <w:rPr>
          <w:rFonts w:ascii="Calibri" w:hAnsi="Calibri" w:cs="Calibri"/>
          <w:color w:val="000000" w:themeColor="text1"/>
          <w:sz w:val="22"/>
          <w:szCs w:val="22"/>
        </w:rPr>
      </w:pPr>
    </w:p>
    <w:p w14:paraId="1EC2A30B" w14:textId="15877B2B" w:rsidR="00442620"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Reinsberg </w:t>
      </w:r>
      <w:r w:rsidR="002849CC">
        <w:rPr>
          <w:rFonts w:ascii="Calibri" w:hAnsi="Calibri" w:cs="Calibri"/>
          <w:color w:val="000000" w:themeColor="text1"/>
          <w:sz w:val="22"/>
          <w:szCs w:val="22"/>
        </w:rPr>
        <w:t>B, Michaelowa K and Eichenauer VZ</w:t>
      </w:r>
      <w:r w:rsidRPr="00454AD2">
        <w:rPr>
          <w:rFonts w:ascii="Calibri" w:hAnsi="Calibri" w:cs="Calibri"/>
          <w:color w:val="000000" w:themeColor="text1"/>
          <w:sz w:val="22"/>
          <w:szCs w:val="22"/>
        </w:rPr>
        <w:t>, ‘The rise of multi-bi aid and the proliferation of trust funds’, in</w:t>
      </w:r>
      <w:r w:rsidR="002849CC">
        <w:rPr>
          <w:rFonts w:ascii="Calibri" w:hAnsi="Calibri" w:cs="Calibri"/>
          <w:color w:val="000000" w:themeColor="text1"/>
          <w:sz w:val="22"/>
          <w:szCs w:val="22"/>
        </w:rPr>
        <w:t xml:space="preserve"> B Mak Arvin and B Lew (Eds.),</w:t>
      </w:r>
      <w:r w:rsidRPr="00454AD2">
        <w:rPr>
          <w:rFonts w:ascii="Calibri" w:hAnsi="Calibri" w:cs="Calibri"/>
          <w:color w:val="000000" w:themeColor="text1"/>
          <w:sz w:val="22"/>
          <w:szCs w:val="22"/>
        </w:rPr>
        <w:t xml:space="preserve"> </w:t>
      </w:r>
      <w:r w:rsidRPr="00454AD2">
        <w:rPr>
          <w:rFonts w:ascii="Calibri" w:hAnsi="Calibri" w:cs="Calibri"/>
          <w:i/>
          <w:color w:val="000000" w:themeColor="text1"/>
          <w:sz w:val="22"/>
          <w:szCs w:val="22"/>
        </w:rPr>
        <w:t>Handbook on the economics of foreign aid</w:t>
      </w:r>
      <w:r w:rsidR="002849CC">
        <w:rPr>
          <w:rFonts w:ascii="Calibri" w:hAnsi="Calibri" w:cs="Calibri"/>
          <w:i/>
          <w:color w:val="000000" w:themeColor="text1"/>
          <w:sz w:val="22"/>
          <w:szCs w:val="22"/>
        </w:rPr>
        <w:t xml:space="preserve"> </w:t>
      </w:r>
      <w:r w:rsidRPr="00454AD2">
        <w:rPr>
          <w:rFonts w:ascii="Calibri" w:hAnsi="Calibri" w:cs="Calibri"/>
          <w:color w:val="000000" w:themeColor="text1"/>
          <w:sz w:val="22"/>
          <w:szCs w:val="22"/>
        </w:rPr>
        <w:t>(Cheltenham</w:t>
      </w:r>
      <w:r w:rsidR="002849CC">
        <w:rPr>
          <w:rFonts w:ascii="Calibri" w:hAnsi="Calibri" w:cs="Calibri"/>
          <w:color w:val="000000" w:themeColor="text1"/>
          <w:sz w:val="22"/>
          <w:szCs w:val="22"/>
        </w:rPr>
        <w:t>:</w:t>
      </w:r>
      <w:r w:rsidRPr="00454AD2">
        <w:rPr>
          <w:rFonts w:ascii="Calibri" w:hAnsi="Calibri" w:cs="Calibri"/>
          <w:color w:val="000000" w:themeColor="text1"/>
          <w:sz w:val="22"/>
          <w:szCs w:val="22"/>
        </w:rPr>
        <w:t xml:space="preserve"> </w:t>
      </w:r>
      <w:r w:rsidR="002849CC">
        <w:rPr>
          <w:rFonts w:ascii="Calibri" w:hAnsi="Calibri" w:cs="Calibri"/>
          <w:color w:val="000000" w:themeColor="text1"/>
          <w:sz w:val="22"/>
          <w:szCs w:val="22"/>
        </w:rPr>
        <w:t xml:space="preserve">Edward </w:t>
      </w:r>
      <w:r w:rsidRPr="00454AD2">
        <w:rPr>
          <w:rFonts w:ascii="Calibri" w:hAnsi="Calibri" w:cs="Calibri"/>
          <w:color w:val="000000" w:themeColor="text1"/>
          <w:sz w:val="22"/>
          <w:szCs w:val="22"/>
        </w:rPr>
        <w:t>Elgar</w:t>
      </w:r>
      <w:r w:rsidR="002849CC">
        <w:rPr>
          <w:rFonts w:ascii="Calibri" w:hAnsi="Calibri" w:cs="Calibri"/>
          <w:color w:val="000000" w:themeColor="text1"/>
          <w:sz w:val="22"/>
          <w:szCs w:val="22"/>
        </w:rPr>
        <w:t xml:space="preserve"> Publishing</w:t>
      </w:r>
      <w:r w:rsidRPr="00454AD2">
        <w:rPr>
          <w:rFonts w:ascii="Calibri" w:hAnsi="Calibri" w:cs="Calibri"/>
          <w:color w:val="000000" w:themeColor="text1"/>
          <w:sz w:val="22"/>
          <w:szCs w:val="22"/>
        </w:rPr>
        <w:t>, 2015), 527-554.</w:t>
      </w:r>
    </w:p>
    <w:p w14:paraId="3BB4F2E0" w14:textId="27D65118" w:rsidR="008A45BD" w:rsidRDefault="008A45BD" w:rsidP="00442620">
      <w:pPr>
        <w:pStyle w:val="FootnoteText"/>
        <w:rPr>
          <w:rFonts w:ascii="Calibri" w:hAnsi="Calibri" w:cs="Calibri"/>
          <w:color w:val="000000" w:themeColor="text1"/>
          <w:sz w:val="22"/>
          <w:szCs w:val="22"/>
        </w:rPr>
      </w:pPr>
    </w:p>
    <w:p w14:paraId="63F1D7C3" w14:textId="606ABC4E" w:rsidR="008A45BD" w:rsidRPr="008A45BD" w:rsidRDefault="008A45BD" w:rsidP="008A45BD">
      <w:pPr>
        <w:rPr>
          <w:rFonts w:ascii="Calibri" w:hAnsi="Calibri" w:cs="Calibri"/>
          <w:color w:val="000000" w:themeColor="text1"/>
          <w:sz w:val="22"/>
          <w:szCs w:val="22"/>
        </w:rPr>
      </w:pPr>
      <w:r w:rsidRPr="008A45BD">
        <w:rPr>
          <w:rFonts w:ascii="Calibri" w:hAnsi="Calibri" w:cs="Calibri"/>
          <w:color w:val="000000" w:themeColor="text1"/>
          <w:sz w:val="22"/>
          <w:szCs w:val="22"/>
        </w:rPr>
        <w:t xml:space="preserve">Remme et al., ‘A force-of-infection model for onchocerciasis and its applications in the epidemiological evaluation of the Onchocerciasis Control Programme in the Volta River basin area’, </w:t>
      </w:r>
      <w:r w:rsidRPr="008A45BD">
        <w:rPr>
          <w:rFonts w:ascii="Calibri" w:hAnsi="Calibri" w:cs="Calibri"/>
          <w:i/>
          <w:color w:val="000000" w:themeColor="text1"/>
          <w:sz w:val="22"/>
          <w:szCs w:val="22"/>
        </w:rPr>
        <w:t>Bulletin of the WHO</w:t>
      </w:r>
      <w:r w:rsidRPr="008A45BD">
        <w:rPr>
          <w:rFonts w:ascii="Calibri" w:hAnsi="Calibri" w:cs="Calibri"/>
          <w:color w:val="000000" w:themeColor="text1"/>
          <w:sz w:val="22"/>
          <w:szCs w:val="22"/>
        </w:rPr>
        <w:t xml:space="preserve"> 64:5 (1986), 667-681.</w:t>
      </w:r>
    </w:p>
    <w:p w14:paraId="2BF59FFC" w14:textId="77777777" w:rsidR="00442620" w:rsidRPr="00454AD2" w:rsidRDefault="00442620" w:rsidP="00442620">
      <w:pPr>
        <w:pStyle w:val="FootnoteText"/>
        <w:rPr>
          <w:rFonts w:ascii="Calibri" w:hAnsi="Calibri" w:cs="Calibri"/>
          <w:color w:val="000000" w:themeColor="text1"/>
          <w:sz w:val="22"/>
          <w:szCs w:val="22"/>
        </w:rPr>
      </w:pPr>
    </w:p>
    <w:p w14:paraId="090748DD" w14:textId="7437BB2D" w:rsidR="00442620"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Rensberger B, ‘Treatment found for river blindness’, </w:t>
      </w:r>
      <w:r w:rsidRPr="00454AD2">
        <w:rPr>
          <w:rFonts w:ascii="Calibri" w:hAnsi="Calibri" w:cs="Calibri"/>
          <w:i/>
          <w:color w:val="000000" w:themeColor="text1"/>
          <w:sz w:val="22"/>
          <w:szCs w:val="22"/>
        </w:rPr>
        <w:t xml:space="preserve">Washington Post, </w:t>
      </w:r>
      <w:r w:rsidRPr="00454AD2">
        <w:rPr>
          <w:rFonts w:ascii="Calibri" w:hAnsi="Calibri" w:cs="Calibri"/>
          <w:color w:val="000000" w:themeColor="text1"/>
          <w:sz w:val="22"/>
          <w:szCs w:val="22"/>
        </w:rPr>
        <w:t>22 October 1987.</w:t>
      </w:r>
    </w:p>
    <w:p w14:paraId="19149786" w14:textId="4605B1FE" w:rsidR="008A45BD" w:rsidRDefault="008A45BD" w:rsidP="00442620">
      <w:pPr>
        <w:pStyle w:val="FootnoteText"/>
        <w:rPr>
          <w:rFonts w:ascii="Calibri" w:hAnsi="Calibri" w:cs="Calibri"/>
          <w:color w:val="000000" w:themeColor="text1"/>
          <w:sz w:val="22"/>
          <w:szCs w:val="22"/>
        </w:rPr>
      </w:pPr>
    </w:p>
    <w:p w14:paraId="638A2D98" w14:textId="470415A2" w:rsidR="008A45BD" w:rsidRPr="008A45BD" w:rsidRDefault="008A45BD" w:rsidP="00442620">
      <w:pPr>
        <w:pStyle w:val="FootnoteText"/>
        <w:rPr>
          <w:rFonts w:ascii="Calibri" w:hAnsi="Calibri" w:cs="Calibri"/>
          <w:color w:val="000000" w:themeColor="text1"/>
          <w:sz w:val="22"/>
          <w:szCs w:val="22"/>
        </w:rPr>
      </w:pPr>
      <w:r w:rsidRPr="008A45BD">
        <w:rPr>
          <w:rFonts w:ascii="Calibri" w:hAnsi="Calibri" w:cs="Calibri"/>
          <w:color w:val="000000" w:themeColor="text1"/>
          <w:sz w:val="22"/>
          <w:szCs w:val="22"/>
        </w:rPr>
        <w:t xml:space="preserve">Ridley RG and Fletcher ER, ‘Making a difference: 30 years of TDR’, </w:t>
      </w:r>
      <w:r w:rsidRPr="008A45BD">
        <w:rPr>
          <w:rFonts w:ascii="Calibri" w:hAnsi="Calibri" w:cs="Calibri"/>
          <w:i/>
          <w:color w:val="000000" w:themeColor="text1"/>
          <w:sz w:val="22"/>
          <w:szCs w:val="22"/>
        </w:rPr>
        <w:t xml:space="preserve">Nature Reviews Microbiology </w:t>
      </w:r>
      <w:r w:rsidRPr="008A45BD">
        <w:rPr>
          <w:rFonts w:ascii="Calibri" w:hAnsi="Calibri" w:cs="Calibri"/>
          <w:color w:val="000000" w:themeColor="text1"/>
          <w:sz w:val="22"/>
          <w:szCs w:val="22"/>
        </w:rPr>
        <w:t>6 (2008), 401-407.</w:t>
      </w:r>
    </w:p>
    <w:p w14:paraId="7782F03E" w14:textId="77777777" w:rsidR="00442620" w:rsidRPr="00454AD2" w:rsidRDefault="00442620" w:rsidP="00442620">
      <w:pPr>
        <w:pStyle w:val="FootnoteText"/>
        <w:rPr>
          <w:rFonts w:ascii="Calibri" w:hAnsi="Calibri" w:cs="Calibri"/>
          <w:color w:val="000000" w:themeColor="text1"/>
          <w:sz w:val="22"/>
          <w:szCs w:val="22"/>
        </w:rPr>
      </w:pPr>
    </w:p>
    <w:p w14:paraId="75476FEF"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Rist G, </w:t>
      </w:r>
      <w:r w:rsidRPr="00454AD2">
        <w:rPr>
          <w:rFonts w:ascii="Calibri" w:hAnsi="Calibri" w:cs="Calibri"/>
          <w:i/>
          <w:color w:val="000000" w:themeColor="text1"/>
          <w:sz w:val="22"/>
          <w:szCs w:val="22"/>
        </w:rPr>
        <w:t xml:space="preserve">The history of development: from Western origins to global faith </w:t>
      </w:r>
      <w:r w:rsidRPr="00454AD2">
        <w:rPr>
          <w:rFonts w:ascii="Calibri" w:hAnsi="Calibri" w:cs="Calibri"/>
          <w:color w:val="000000" w:themeColor="text1"/>
          <w:sz w:val="22"/>
          <w:szCs w:val="22"/>
        </w:rPr>
        <w:t>(London: Zed Books, 1997).</w:t>
      </w:r>
    </w:p>
    <w:p w14:paraId="6B1E1DCB" w14:textId="77777777" w:rsidR="00442620" w:rsidRPr="00454AD2" w:rsidRDefault="00442620" w:rsidP="00442620">
      <w:pPr>
        <w:pStyle w:val="FootnoteText"/>
        <w:rPr>
          <w:rFonts w:ascii="Calibri" w:hAnsi="Calibri" w:cs="Calibri"/>
          <w:color w:val="000000" w:themeColor="text1"/>
          <w:sz w:val="22"/>
          <w:szCs w:val="22"/>
        </w:rPr>
      </w:pPr>
    </w:p>
    <w:p w14:paraId="7D69EB81" w14:textId="142117D3"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lastRenderedPageBreak/>
        <w:t xml:space="preserve">Rodogno D and David T, ‘All the world loves a picture’, in </w:t>
      </w:r>
      <w:r w:rsidR="00F032D0">
        <w:rPr>
          <w:rFonts w:ascii="Calibri" w:hAnsi="Calibri" w:cs="Calibri"/>
          <w:color w:val="000000" w:themeColor="text1"/>
          <w:sz w:val="22"/>
          <w:szCs w:val="22"/>
        </w:rPr>
        <w:t xml:space="preserve">H Fehrenbach and D Rodogno (Eds.), </w:t>
      </w:r>
      <w:r w:rsidRPr="00454AD2">
        <w:rPr>
          <w:rFonts w:ascii="Calibri" w:hAnsi="Calibri" w:cs="Calibri"/>
          <w:i/>
          <w:color w:val="000000" w:themeColor="text1"/>
          <w:sz w:val="22"/>
          <w:szCs w:val="22"/>
        </w:rPr>
        <w:t>Humanitarian photography: a history</w:t>
      </w:r>
      <w:r w:rsidR="00F032D0">
        <w:rPr>
          <w:rFonts w:ascii="Calibri" w:hAnsi="Calibri" w:cs="Calibri"/>
          <w:i/>
          <w:color w:val="000000" w:themeColor="text1"/>
          <w:sz w:val="22"/>
          <w:szCs w:val="22"/>
        </w:rPr>
        <w:t xml:space="preserve"> </w:t>
      </w:r>
      <w:r w:rsidRPr="00454AD2">
        <w:rPr>
          <w:rFonts w:ascii="Calibri" w:hAnsi="Calibri" w:cs="Calibri"/>
          <w:color w:val="000000" w:themeColor="text1"/>
          <w:sz w:val="22"/>
          <w:szCs w:val="22"/>
        </w:rPr>
        <w:t>(Cambridge: Cambridge University Press, 2015), 223-248.</w:t>
      </w:r>
    </w:p>
    <w:p w14:paraId="637CB051" w14:textId="77777777" w:rsidR="00442620" w:rsidRPr="00454AD2" w:rsidRDefault="00442620" w:rsidP="00442620">
      <w:pPr>
        <w:pStyle w:val="FootnoteText"/>
        <w:rPr>
          <w:rFonts w:ascii="Calibri" w:hAnsi="Calibri" w:cs="Calibri"/>
          <w:color w:val="000000" w:themeColor="text1"/>
          <w:sz w:val="22"/>
          <w:szCs w:val="22"/>
        </w:rPr>
      </w:pPr>
    </w:p>
    <w:p w14:paraId="41850864" w14:textId="70A8E16A"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Roungou </w:t>
      </w:r>
      <w:r w:rsidR="00C36D03">
        <w:rPr>
          <w:rFonts w:ascii="Calibri" w:hAnsi="Calibri" w:cs="Calibri"/>
          <w:color w:val="000000" w:themeColor="text1"/>
          <w:sz w:val="22"/>
          <w:szCs w:val="22"/>
        </w:rPr>
        <w:t>JB, Yameogo L, Mwikisa C, Boakye DA and Bundy DA</w:t>
      </w:r>
      <w:r w:rsidRPr="00454AD2">
        <w:rPr>
          <w:rFonts w:ascii="Calibri" w:hAnsi="Calibri" w:cs="Calibri"/>
          <w:color w:val="000000" w:themeColor="text1"/>
          <w:sz w:val="22"/>
          <w:szCs w:val="22"/>
        </w:rPr>
        <w:t xml:space="preserve">, </w:t>
      </w:r>
      <w:r w:rsidR="00C36D03">
        <w:rPr>
          <w:rFonts w:ascii="Calibri" w:hAnsi="Calibri" w:cs="Calibri"/>
          <w:color w:val="000000" w:themeColor="text1"/>
          <w:sz w:val="22"/>
          <w:szCs w:val="22"/>
        </w:rPr>
        <w:t>‘</w:t>
      </w:r>
      <w:r w:rsidRPr="00454AD2">
        <w:rPr>
          <w:rFonts w:ascii="Calibri" w:hAnsi="Calibri" w:cs="Calibri"/>
          <w:color w:val="000000" w:themeColor="text1"/>
          <w:sz w:val="22"/>
          <w:szCs w:val="22"/>
        </w:rPr>
        <w:t xml:space="preserve">40 years of the APOC partnership’, </w:t>
      </w:r>
      <w:r w:rsidRPr="00454AD2">
        <w:rPr>
          <w:rFonts w:ascii="Calibri" w:hAnsi="Calibri" w:cs="Calibri"/>
          <w:i/>
          <w:color w:val="000000" w:themeColor="text1"/>
          <w:sz w:val="22"/>
          <w:szCs w:val="22"/>
        </w:rPr>
        <w:t xml:space="preserve">PLoS Neglected Tropical Diseases </w:t>
      </w:r>
      <w:r w:rsidRPr="00454AD2">
        <w:rPr>
          <w:rFonts w:ascii="Calibri" w:hAnsi="Calibri" w:cs="Calibri"/>
          <w:color w:val="000000" w:themeColor="text1"/>
          <w:sz w:val="22"/>
          <w:szCs w:val="22"/>
        </w:rPr>
        <w:t>9:5 (2015), e0003562.</w:t>
      </w:r>
    </w:p>
    <w:p w14:paraId="279FAC90" w14:textId="77777777" w:rsidR="00442620" w:rsidRPr="00454AD2" w:rsidRDefault="00442620" w:rsidP="00442620">
      <w:pPr>
        <w:pStyle w:val="FootnoteText"/>
        <w:rPr>
          <w:rFonts w:ascii="Calibri" w:hAnsi="Calibri" w:cs="Calibri"/>
          <w:color w:val="000000" w:themeColor="text1"/>
          <w:sz w:val="22"/>
          <w:szCs w:val="22"/>
        </w:rPr>
      </w:pPr>
    </w:p>
    <w:p w14:paraId="33ABC7B0" w14:textId="77777777" w:rsidR="00442620" w:rsidRPr="00454AD2" w:rsidRDefault="00442620" w:rsidP="00442620">
      <w:pPr>
        <w:pStyle w:val="FootnoteText"/>
        <w:rPr>
          <w:rFonts w:ascii="Calibri" w:hAnsi="Calibri" w:cs="Calibri"/>
          <w:color w:val="000000" w:themeColor="text1"/>
          <w:sz w:val="22"/>
          <w:szCs w:val="22"/>
          <w:shd w:val="clear" w:color="auto" w:fill="FFFFFF"/>
        </w:rPr>
      </w:pPr>
      <w:r w:rsidRPr="00454AD2">
        <w:rPr>
          <w:rFonts w:ascii="Calibri" w:hAnsi="Calibri" w:cs="Calibri"/>
          <w:color w:val="000000" w:themeColor="text1"/>
          <w:sz w:val="22"/>
          <w:szCs w:val="22"/>
          <w:shd w:val="clear" w:color="auto" w:fill="FFFFFF"/>
        </w:rPr>
        <w:t>Ruger JP, ‘Global health governance and the World Bank’, </w:t>
      </w:r>
      <w:r w:rsidRPr="00454AD2">
        <w:rPr>
          <w:rFonts w:ascii="Calibri" w:hAnsi="Calibri" w:cs="Calibri"/>
          <w:i/>
          <w:iCs/>
          <w:color w:val="000000" w:themeColor="text1"/>
          <w:sz w:val="22"/>
          <w:szCs w:val="22"/>
          <w:shd w:val="clear" w:color="auto" w:fill="FFFFFF"/>
        </w:rPr>
        <w:t>Lancet</w:t>
      </w:r>
      <w:r w:rsidRPr="00454AD2">
        <w:rPr>
          <w:rFonts w:ascii="Calibri" w:hAnsi="Calibri" w:cs="Calibri"/>
          <w:color w:val="000000" w:themeColor="text1"/>
          <w:sz w:val="22"/>
          <w:szCs w:val="22"/>
          <w:shd w:val="clear" w:color="auto" w:fill="FFFFFF"/>
        </w:rPr>
        <w:t>, </w:t>
      </w:r>
      <w:r w:rsidRPr="00454AD2">
        <w:rPr>
          <w:rFonts w:ascii="Calibri" w:hAnsi="Calibri" w:cs="Calibri"/>
          <w:iCs/>
          <w:color w:val="000000" w:themeColor="text1"/>
          <w:sz w:val="22"/>
          <w:szCs w:val="22"/>
          <w:shd w:val="clear" w:color="auto" w:fill="FFFFFF"/>
        </w:rPr>
        <w:t>370</w:t>
      </w:r>
      <w:r w:rsidRPr="00454AD2">
        <w:rPr>
          <w:rFonts w:ascii="Calibri" w:hAnsi="Calibri" w:cs="Calibri"/>
          <w:color w:val="000000" w:themeColor="text1"/>
          <w:sz w:val="22"/>
          <w:szCs w:val="22"/>
          <w:shd w:val="clear" w:color="auto" w:fill="FFFFFF"/>
        </w:rPr>
        <w:t>:9597 (2007), 1471.</w:t>
      </w:r>
    </w:p>
    <w:p w14:paraId="60186754" w14:textId="77777777" w:rsidR="00442620" w:rsidRPr="00454AD2" w:rsidRDefault="00442620" w:rsidP="00442620">
      <w:pPr>
        <w:pStyle w:val="FootnoteText"/>
        <w:rPr>
          <w:rFonts w:ascii="Calibri" w:hAnsi="Calibri" w:cs="Calibri"/>
          <w:color w:val="000000" w:themeColor="text1"/>
          <w:sz w:val="22"/>
          <w:szCs w:val="22"/>
          <w:shd w:val="clear" w:color="auto" w:fill="FFFFFF"/>
        </w:rPr>
      </w:pPr>
    </w:p>
    <w:p w14:paraId="2340EACB" w14:textId="77777777" w:rsidR="00442620" w:rsidRPr="00454AD2" w:rsidRDefault="00442620" w:rsidP="00442620">
      <w:pPr>
        <w:pStyle w:val="FootnoteText"/>
        <w:rPr>
          <w:rFonts w:ascii="Calibri" w:hAnsi="Calibri" w:cs="Calibri"/>
          <w:color w:val="000000" w:themeColor="text1"/>
          <w:sz w:val="22"/>
          <w:szCs w:val="22"/>
          <w:shd w:val="clear" w:color="auto" w:fill="FFFFFF"/>
        </w:rPr>
      </w:pPr>
      <w:r w:rsidRPr="00454AD2">
        <w:rPr>
          <w:rFonts w:ascii="Calibri" w:hAnsi="Calibri" w:cs="Calibri"/>
          <w:color w:val="000000" w:themeColor="text1"/>
          <w:sz w:val="22"/>
          <w:szCs w:val="22"/>
          <w:shd w:val="clear" w:color="auto" w:fill="FFFFFF"/>
        </w:rPr>
        <w:t>Ruger JP, ‘Health and development’, </w:t>
      </w:r>
      <w:r w:rsidRPr="00454AD2">
        <w:rPr>
          <w:rFonts w:ascii="Calibri" w:hAnsi="Calibri" w:cs="Calibri"/>
          <w:i/>
          <w:iCs/>
          <w:color w:val="000000" w:themeColor="text1"/>
          <w:sz w:val="22"/>
          <w:szCs w:val="22"/>
          <w:shd w:val="clear" w:color="auto" w:fill="FFFFFF"/>
        </w:rPr>
        <w:t>Lancet</w:t>
      </w:r>
      <w:r w:rsidRPr="00454AD2">
        <w:rPr>
          <w:rFonts w:ascii="Calibri" w:hAnsi="Calibri" w:cs="Calibri"/>
          <w:color w:val="000000" w:themeColor="text1"/>
          <w:sz w:val="22"/>
          <w:szCs w:val="22"/>
          <w:shd w:val="clear" w:color="auto" w:fill="FFFFFF"/>
        </w:rPr>
        <w:t>, </w:t>
      </w:r>
      <w:r w:rsidRPr="00454AD2">
        <w:rPr>
          <w:rFonts w:ascii="Calibri" w:hAnsi="Calibri" w:cs="Calibri"/>
          <w:iCs/>
          <w:color w:val="000000" w:themeColor="text1"/>
          <w:sz w:val="22"/>
          <w:szCs w:val="22"/>
          <w:shd w:val="clear" w:color="auto" w:fill="FFFFFF"/>
        </w:rPr>
        <w:t>362</w:t>
      </w:r>
      <w:r w:rsidRPr="00454AD2">
        <w:rPr>
          <w:rFonts w:ascii="Calibri" w:hAnsi="Calibri" w:cs="Calibri"/>
          <w:color w:val="000000" w:themeColor="text1"/>
          <w:sz w:val="22"/>
          <w:szCs w:val="22"/>
          <w:shd w:val="clear" w:color="auto" w:fill="FFFFFF"/>
        </w:rPr>
        <w:t>:9385 (2003), 678.</w:t>
      </w:r>
    </w:p>
    <w:p w14:paraId="0C7C2918" w14:textId="77777777" w:rsidR="00442620" w:rsidRPr="00454AD2" w:rsidRDefault="00442620" w:rsidP="00442620">
      <w:pPr>
        <w:pStyle w:val="FootnoteText"/>
        <w:rPr>
          <w:rFonts w:ascii="Calibri" w:hAnsi="Calibri" w:cs="Calibri"/>
          <w:color w:val="000000" w:themeColor="text1"/>
          <w:sz w:val="22"/>
          <w:szCs w:val="22"/>
          <w:shd w:val="clear" w:color="auto" w:fill="FFFFFF"/>
        </w:rPr>
      </w:pPr>
    </w:p>
    <w:p w14:paraId="12412BCE"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Ruger JP, ‘The changing role of the World Bank in global health’, </w:t>
      </w:r>
      <w:r w:rsidRPr="00454AD2">
        <w:rPr>
          <w:rFonts w:ascii="Calibri" w:hAnsi="Calibri" w:cs="Calibri"/>
          <w:i/>
          <w:color w:val="000000" w:themeColor="text1"/>
          <w:sz w:val="22"/>
          <w:szCs w:val="22"/>
        </w:rPr>
        <w:t xml:space="preserve">American Journal of Public Health </w:t>
      </w:r>
      <w:r w:rsidRPr="00454AD2">
        <w:rPr>
          <w:rFonts w:ascii="Calibri" w:hAnsi="Calibri" w:cs="Calibri"/>
          <w:color w:val="000000" w:themeColor="text1"/>
          <w:sz w:val="22"/>
          <w:szCs w:val="22"/>
        </w:rPr>
        <w:t>95:1 (2005), 60-70.</w:t>
      </w:r>
    </w:p>
    <w:p w14:paraId="693A2625" w14:textId="77777777" w:rsidR="00442620" w:rsidRPr="00454AD2" w:rsidRDefault="00442620" w:rsidP="00442620">
      <w:pPr>
        <w:rPr>
          <w:rFonts w:ascii="Calibri" w:hAnsi="Calibri" w:cs="Calibri"/>
          <w:color w:val="000000" w:themeColor="text1"/>
          <w:sz w:val="22"/>
          <w:szCs w:val="22"/>
          <w:lang w:eastAsia="en-GB"/>
        </w:rPr>
      </w:pPr>
    </w:p>
    <w:p w14:paraId="76D64F00" w14:textId="77777777" w:rsidR="00442620" w:rsidRPr="00454AD2" w:rsidRDefault="00442620" w:rsidP="00442620">
      <w:pPr>
        <w:rPr>
          <w:rFonts w:ascii="Calibri" w:hAnsi="Calibri" w:cs="Calibri"/>
          <w:color w:val="000000" w:themeColor="text1"/>
          <w:sz w:val="22"/>
          <w:szCs w:val="22"/>
          <w:lang w:eastAsia="en-GB"/>
        </w:rPr>
      </w:pPr>
      <w:r w:rsidRPr="00454AD2">
        <w:rPr>
          <w:rFonts w:ascii="Calibri" w:hAnsi="Calibri" w:cs="Calibri"/>
          <w:color w:val="000000" w:themeColor="text1"/>
          <w:sz w:val="22"/>
          <w:szCs w:val="22"/>
          <w:lang w:eastAsia="en-GB"/>
        </w:rPr>
        <w:t xml:space="preserve">s.a., '28-year river blindness campaign celebrates completion', </w:t>
      </w:r>
      <w:r w:rsidRPr="00454AD2">
        <w:rPr>
          <w:rFonts w:ascii="Calibri" w:hAnsi="Calibri" w:cs="Calibri"/>
          <w:i/>
          <w:iCs/>
          <w:color w:val="000000" w:themeColor="text1"/>
          <w:sz w:val="22"/>
          <w:szCs w:val="22"/>
          <w:lang w:eastAsia="en-GB"/>
        </w:rPr>
        <w:t>Bulletin of the WHO</w:t>
      </w:r>
      <w:r w:rsidRPr="00454AD2">
        <w:rPr>
          <w:rFonts w:ascii="Calibri" w:hAnsi="Calibri" w:cs="Calibri"/>
          <w:color w:val="000000" w:themeColor="text1"/>
          <w:sz w:val="22"/>
          <w:szCs w:val="22"/>
          <w:lang w:eastAsia="en-GB"/>
        </w:rPr>
        <w:t xml:space="preserve"> 81:1 (2003), 75.</w:t>
      </w:r>
    </w:p>
    <w:p w14:paraId="16A1B2FB" w14:textId="77777777" w:rsidR="00442620" w:rsidRPr="00454AD2" w:rsidRDefault="00442620" w:rsidP="00442620">
      <w:pPr>
        <w:rPr>
          <w:rFonts w:ascii="Calibri" w:hAnsi="Calibri" w:cs="Calibri"/>
          <w:color w:val="000000" w:themeColor="text1"/>
          <w:sz w:val="22"/>
          <w:szCs w:val="22"/>
          <w:lang w:eastAsia="en-GB"/>
        </w:rPr>
      </w:pPr>
    </w:p>
    <w:p w14:paraId="545C03F3"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s.a., ‘Blindness: the World Bank Group and PLOS Neglected Tropical Diseases launch APOC collection’, </w:t>
      </w:r>
      <w:r w:rsidRPr="00454AD2">
        <w:rPr>
          <w:rFonts w:ascii="Calibri" w:hAnsi="Calibri" w:cs="Calibri"/>
          <w:i/>
          <w:color w:val="000000" w:themeColor="text1"/>
          <w:sz w:val="22"/>
          <w:szCs w:val="22"/>
        </w:rPr>
        <w:t xml:space="preserve">Chemicals &amp; Chemistry </w:t>
      </w:r>
      <w:r w:rsidRPr="00454AD2">
        <w:rPr>
          <w:rFonts w:ascii="Calibri" w:hAnsi="Calibri" w:cs="Calibri"/>
          <w:color w:val="000000" w:themeColor="text1"/>
          <w:sz w:val="22"/>
          <w:szCs w:val="22"/>
        </w:rPr>
        <w:t>(5 June 2015).</w:t>
      </w:r>
    </w:p>
    <w:p w14:paraId="69106707" w14:textId="77777777" w:rsidR="00442620" w:rsidRPr="00454AD2" w:rsidRDefault="00442620" w:rsidP="00442620">
      <w:pPr>
        <w:pStyle w:val="FootnoteText"/>
        <w:rPr>
          <w:rFonts w:ascii="Calibri" w:hAnsi="Calibri" w:cs="Calibri"/>
          <w:color w:val="000000" w:themeColor="text1"/>
          <w:sz w:val="22"/>
          <w:szCs w:val="22"/>
        </w:rPr>
      </w:pPr>
    </w:p>
    <w:p w14:paraId="354D6B02" w14:textId="556CE39D"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s.a., ‘Des vues a sauver par millions’, </w:t>
      </w:r>
      <w:r w:rsidRPr="00454AD2">
        <w:rPr>
          <w:rFonts w:ascii="Calibri" w:hAnsi="Calibri" w:cs="Calibri"/>
          <w:i/>
          <w:color w:val="000000" w:themeColor="text1"/>
          <w:sz w:val="22"/>
          <w:szCs w:val="22"/>
        </w:rPr>
        <w:t>Le Figaro</w:t>
      </w:r>
      <w:r w:rsidR="00C36D03">
        <w:rPr>
          <w:rFonts w:ascii="Calibri" w:hAnsi="Calibri" w:cs="Calibri"/>
          <w:i/>
          <w:color w:val="000000" w:themeColor="text1"/>
          <w:sz w:val="22"/>
          <w:szCs w:val="22"/>
        </w:rPr>
        <w:t xml:space="preserve"> </w:t>
      </w:r>
      <w:r w:rsidR="00C36D03">
        <w:rPr>
          <w:rFonts w:ascii="Calibri" w:hAnsi="Calibri" w:cs="Calibri"/>
          <w:color w:val="000000" w:themeColor="text1"/>
          <w:sz w:val="22"/>
          <w:szCs w:val="22"/>
        </w:rPr>
        <w:t>(</w:t>
      </w:r>
      <w:r w:rsidRPr="00454AD2">
        <w:rPr>
          <w:rFonts w:ascii="Calibri" w:hAnsi="Calibri" w:cs="Calibri"/>
          <w:color w:val="000000" w:themeColor="text1"/>
          <w:sz w:val="22"/>
          <w:szCs w:val="22"/>
        </w:rPr>
        <w:t>24-25 October 1987</w:t>
      </w:r>
      <w:r w:rsidR="00C36D03">
        <w:rPr>
          <w:rFonts w:ascii="Calibri" w:hAnsi="Calibri" w:cs="Calibri"/>
          <w:color w:val="000000" w:themeColor="text1"/>
          <w:sz w:val="22"/>
          <w:szCs w:val="22"/>
        </w:rPr>
        <w:t>)</w:t>
      </w:r>
      <w:r w:rsidRPr="00454AD2">
        <w:rPr>
          <w:rFonts w:ascii="Calibri" w:hAnsi="Calibri" w:cs="Calibri"/>
          <w:color w:val="000000" w:themeColor="text1"/>
          <w:sz w:val="22"/>
          <w:szCs w:val="22"/>
        </w:rPr>
        <w:t xml:space="preserve">. </w:t>
      </w:r>
    </w:p>
    <w:p w14:paraId="760F020A" w14:textId="77777777" w:rsidR="00442620" w:rsidRPr="00454AD2" w:rsidRDefault="00442620" w:rsidP="00442620">
      <w:pPr>
        <w:pStyle w:val="FootnoteText"/>
        <w:rPr>
          <w:rFonts w:ascii="Calibri" w:hAnsi="Calibri" w:cs="Calibri"/>
          <w:color w:val="000000" w:themeColor="text1"/>
          <w:sz w:val="22"/>
          <w:szCs w:val="22"/>
        </w:rPr>
      </w:pPr>
    </w:p>
    <w:p w14:paraId="38CE436D"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s.a., ‘Donors hold back on funding for fight against African river blindness’, </w:t>
      </w:r>
      <w:r w:rsidRPr="00454AD2">
        <w:rPr>
          <w:rFonts w:ascii="Calibri" w:hAnsi="Calibri" w:cs="Calibri"/>
          <w:i/>
          <w:color w:val="000000" w:themeColor="text1"/>
          <w:sz w:val="22"/>
          <w:szCs w:val="22"/>
        </w:rPr>
        <w:t xml:space="preserve">Agence France-Presse </w:t>
      </w:r>
      <w:r w:rsidRPr="00454AD2">
        <w:rPr>
          <w:rFonts w:ascii="Calibri" w:hAnsi="Calibri" w:cs="Calibri"/>
          <w:color w:val="000000" w:themeColor="text1"/>
          <w:sz w:val="22"/>
          <w:szCs w:val="22"/>
        </w:rPr>
        <w:t>(14 October 1999).</w:t>
      </w:r>
    </w:p>
    <w:p w14:paraId="5BFD87EF" w14:textId="77777777" w:rsidR="00442620" w:rsidRPr="00454AD2" w:rsidRDefault="00442620" w:rsidP="00442620">
      <w:pPr>
        <w:pStyle w:val="FootnoteText"/>
        <w:rPr>
          <w:rFonts w:ascii="Calibri" w:hAnsi="Calibri" w:cs="Calibri"/>
          <w:color w:val="000000" w:themeColor="text1"/>
          <w:sz w:val="22"/>
          <w:szCs w:val="22"/>
        </w:rPr>
      </w:pPr>
    </w:p>
    <w:p w14:paraId="2854C5C6" w14:textId="2E695FB9" w:rsidR="00442620" w:rsidRPr="00CF76AC" w:rsidRDefault="00442620" w:rsidP="00CF76AC">
      <w:pPr>
        <w:rPr>
          <w:rFonts w:ascii="Calibri" w:hAnsi="Calibri" w:cs="Calibri"/>
          <w:sz w:val="22"/>
          <w:szCs w:val="22"/>
        </w:rPr>
      </w:pPr>
      <w:r w:rsidRPr="00454AD2">
        <w:rPr>
          <w:rFonts w:ascii="Calibri" w:hAnsi="Calibri" w:cs="Calibri"/>
          <w:color w:val="000000" w:themeColor="text1"/>
          <w:sz w:val="22"/>
          <w:szCs w:val="22"/>
        </w:rPr>
        <w:t>s.a.</w:t>
      </w:r>
      <w:r w:rsidRPr="00CF76AC">
        <w:rPr>
          <w:rFonts w:ascii="Calibri" w:hAnsi="Calibri" w:cs="Calibri"/>
          <w:color w:val="000000" w:themeColor="text1"/>
          <w:sz w:val="22"/>
          <w:szCs w:val="22"/>
        </w:rPr>
        <w:t xml:space="preserve">, ‘Forty years later: the extraordinary river blindness partnership sets its sight on new goals’, </w:t>
      </w:r>
      <w:r w:rsidRPr="00CF76AC">
        <w:rPr>
          <w:rFonts w:ascii="Calibri" w:hAnsi="Calibri" w:cs="Calibri"/>
          <w:i/>
          <w:color w:val="000000" w:themeColor="text1"/>
          <w:sz w:val="22"/>
          <w:szCs w:val="22"/>
        </w:rPr>
        <w:t>World Bank Group News</w:t>
      </w:r>
      <w:r w:rsidR="00CF76AC" w:rsidRPr="00CF76AC">
        <w:rPr>
          <w:rFonts w:ascii="Calibri" w:hAnsi="Calibri" w:cs="Calibri"/>
          <w:i/>
          <w:color w:val="000000" w:themeColor="text1"/>
          <w:sz w:val="22"/>
          <w:szCs w:val="22"/>
        </w:rPr>
        <w:t xml:space="preserve"> </w:t>
      </w:r>
      <w:r w:rsidR="00C36D03" w:rsidRPr="00CF76AC">
        <w:rPr>
          <w:rFonts w:ascii="Calibri" w:hAnsi="Calibri" w:cs="Calibri"/>
          <w:color w:val="000000" w:themeColor="text1"/>
          <w:sz w:val="22"/>
          <w:szCs w:val="22"/>
        </w:rPr>
        <w:t>(online)</w:t>
      </w:r>
      <w:r w:rsidR="00CF76AC" w:rsidRPr="00CF76AC">
        <w:rPr>
          <w:rFonts w:ascii="Calibri" w:hAnsi="Calibri" w:cs="Calibri"/>
          <w:color w:val="000000" w:themeColor="text1"/>
          <w:sz w:val="22"/>
          <w:szCs w:val="22"/>
        </w:rPr>
        <w:t xml:space="preserve">, 3 July 2014, &lt;https://www.worldbank.org/en/news/feature/2014/07/03/forty-years-later-the-extraordinary-river-blindness-partnership-sets-its-sights-on-new-goals&gt; </w:t>
      </w:r>
      <w:r w:rsidRPr="00CF76AC">
        <w:rPr>
          <w:rFonts w:ascii="Calibri" w:hAnsi="Calibri" w:cs="Calibri"/>
          <w:color w:val="000000" w:themeColor="text1"/>
          <w:sz w:val="22"/>
          <w:szCs w:val="22"/>
        </w:rPr>
        <w:t xml:space="preserve">[accessed 15 February 2018]. </w:t>
      </w:r>
    </w:p>
    <w:p w14:paraId="573410A0" w14:textId="77777777" w:rsidR="00442620" w:rsidRPr="00454AD2" w:rsidRDefault="00442620" w:rsidP="00442620">
      <w:pPr>
        <w:pStyle w:val="FootnoteText"/>
        <w:rPr>
          <w:rFonts w:ascii="Calibri" w:hAnsi="Calibri" w:cs="Calibri"/>
          <w:color w:val="000000" w:themeColor="text1"/>
          <w:sz w:val="22"/>
          <w:szCs w:val="22"/>
        </w:rPr>
      </w:pPr>
    </w:p>
    <w:p w14:paraId="036E9FD9" w14:textId="7E429E6A"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s.a., ‘Front matter’, </w:t>
      </w:r>
      <w:r w:rsidRPr="00454AD2">
        <w:rPr>
          <w:rFonts w:ascii="Calibri" w:hAnsi="Calibri" w:cs="Calibri"/>
          <w:i/>
          <w:color w:val="000000" w:themeColor="text1"/>
          <w:sz w:val="22"/>
          <w:szCs w:val="22"/>
        </w:rPr>
        <w:t xml:space="preserve">Clinical Infectious Diseases </w:t>
      </w:r>
      <w:r w:rsidRPr="00454AD2">
        <w:rPr>
          <w:rFonts w:ascii="Calibri" w:hAnsi="Calibri" w:cs="Calibri"/>
          <w:color w:val="000000" w:themeColor="text1"/>
          <w:sz w:val="22"/>
          <w:szCs w:val="22"/>
        </w:rPr>
        <w:t>53:4 (2011)</w:t>
      </w:r>
      <w:r w:rsidR="00815B8D">
        <w:rPr>
          <w:rFonts w:ascii="Calibri" w:hAnsi="Calibri" w:cs="Calibri"/>
          <w:color w:val="000000" w:themeColor="text1"/>
          <w:sz w:val="22"/>
          <w:szCs w:val="22"/>
        </w:rPr>
        <w:t>.</w:t>
      </w:r>
    </w:p>
    <w:p w14:paraId="45F6F384" w14:textId="77777777" w:rsidR="00442620" w:rsidRPr="00454AD2" w:rsidRDefault="00442620" w:rsidP="00442620">
      <w:pPr>
        <w:pStyle w:val="FootnoteText"/>
        <w:rPr>
          <w:rFonts w:ascii="Calibri" w:hAnsi="Calibri" w:cs="Calibri"/>
          <w:color w:val="000000" w:themeColor="text1"/>
          <w:sz w:val="22"/>
          <w:szCs w:val="22"/>
        </w:rPr>
      </w:pPr>
    </w:p>
    <w:p w14:paraId="2DE8E4D3"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s.a., ‘Global initiative for elimination of avoidable blindness: VISION 2020 launched in French-speaking Africa’, </w:t>
      </w:r>
      <w:r w:rsidRPr="00454AD2">
        <w:rPr>
          <w:rFonts w:ascii="Calibri" w:hAnsi="Calibri" w:cs="Calibri"/>
          <w:i/>
          <w:color w:val="000000" w:themeColor="text1"/>
          <w:sz w:val="22"/>
          <w:szCs w:val="22"/>
        </w:rPr>
        <w:t xml:space="preserve">World Disease Weekly Plus </w:t>
      </w:r>
      <w:r w:rsidRPr="00454AD2">
        <w:rPr>
          <w:rFonts w:ascii="Calibri" w:hAnsi="Calibri" w:cs="Calibri"/>
          <w:color w:val="000000" w:themeColor="text1"/>
          <w:sz w:val="22"/>
          <w:szCs w:val="22"/>
        </w:rPr>
        <w:t>(7 May 2000).</w:t>
      </w:r>
    </w:p>
    <w:p w14:paraId="5A9F2C45" w14:textId="77777777" w:rsidR="00442620" w:rsidRPr="00454AD2" w:rsidRDefault="00442620" w:rsidP="00442620">
      <w:pPr>
        <w:pStyle w:val="FootnoteText"/>
        <w:rPr>
          <w:rFonts w:ascii="Calibri" w:hAnsi="Calibri" w:cs="Calibri"/>
          <w:color w:val="000000" w:themeColor="text1"/>
          <w:sz w:val="22"/>
          <w:szCs w:val="22"/>
        </w:rPr>
      </w:pPr>
    </w:p>
    <w:p w14:paraId="2772470F"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s.a., ‘Merck chairman reaffirms pledge to donate Mectizan in effort to reach all who suffer from river blindness’, </w:t>
      </w:r>
      <w:r w:rsidRPr="00454AD2">
        <w:rPr>
          <w:rFonts w:ascii="Calibri" w:hAnsi="Calibri" w:cs="Calibri"/>
          <w:i/>
          <w:color w:val="000000" w:themeColor="text1"/>
          <w:sz w:val="22"/>
          <w:szCs w:val="22"/>
        </w:rPr>
        <w:t xml:space="preserve">PR Newswire </w:t>
      </w:r>
      <w:r w:rsidRPr="00454AD2">
        <w:rPr>
          <w:rFonts w:ascii="Calibri" w:hAnsi="Calibri" w:cs="Calibri"/>
          <w:color w:val="000000" w:themeColor="text1"/>
          <w:sz w:val="22"/>
          <w:szCs w:val="22"/>
        </w:rPr>
        <w:t>(23 September 1992).</w:t>
      </w:r>
    </w:p>
    <w:p w14:paraId="661CC4D1" w14:textId="77777777" w:rsidR="00442620" w:rsidRPr="00454AD2" w:rsidRDefault="00442620" w:rsidP="00442620">
      <w:pPr>
        <w:pStyle w:val="FootnoteText"/>
        <w:rPr>
          <w:rFonts w:ascii="Calibri" w:hAnsi="Calibri" w:cs="Calibri"/>
          <w:color w:val="000000" w:themeColor="text1"/>
          <w:sz w:val="22"/>
          <w:szCs w:val="22"/>
        </w:rPr>
      </w:pPr>
    </w:p>
    <w:p w14:paraId="78B772DE" w14:textId="7EE607FA"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s.a., ‘Miracle worker: cure for river blindness’, </w:t>
      </w:r>
      <w:r w:rsidRPr="00454AD2">
        <w:rPr>
          <w:rFonts w:ascii="Calibri" w:hAnsi="Calibri" w:cs="Calibri"/>
          <w:i/>
          <w:color w:val="000000" w:themeColor="text1"/>
          <w:sz w:val="22"/>
          <w:szCs w:val="22"/>
        </w:rPr>
        <w:t>TIME</w:t>
      </w:r>
      <w:r w:rsidR="00C36D03">
        <w:rPr>
          <w:rFonts w:ascii="Calibri" w:hAnsi="Calibri" w:cs="Calibri"/>
          <w:i/>
          <w:color w:val="000000" w:themeColor="text1"/>
          <w:sz w:val="22"/>
          <w:szCs w:val="22"/>
        </w:rPr>
        <w:t xml:space="preserve"> </w:t>
      </w:r>
      <w:r w:rsidR="00C36D03">
        <w:rPr>
          <w:rFonts w:ascii="Calibri" w:hAnsi="Calibri" w:cs="Calibri"/>
          <w:color w:val="000000" w:themeColor="text1"/>
          <w:sz w:val="22"/>
          <w:szCs w:val="22"/>
        </w:rPr>
        <w:t>(</w:t>
      </w:r>
      <w:r w:rsidRPr="00454AD2">
        <w:rPr>
          <w:rFonts w:ascii="Calibri" w:hAnsi="Calibri" w:cs="Calibri"/>
          <w:color w:val="000000" w:themeColor="text1"/>
          <w:sz w:val="22"/>
          <w:szCs w:val="22"/>
        </w:rPr>
        <w:t>2 November 1987</w:t>
      </w:r>
      <w:r w:rsidR="00C36D03">
        <w:rPr>
          <w:rFonts w:ascii="Calibri" w:hAnsi="Calibri" w:cs="Calibri"/>
          <w:color w:val="000000" w:themeColor="text1"/>
          <w:sz w:val="22"/>
          <w:szCs w:val="22"/>
        </w:rPr>
        <w:t>)</w:t>
      </w:r>
      <w:r w:rsidRPr="00454AD2">
        <w:rPr>
          <w:rFonts w:ascii="Calibri" w:hAnsi="Calibri" w:cs="Calibri"/>
          <w:color w:val="000000" w:themeColor="text1"/>
          <w:sz w:val="22"/>
          <w:szCs w:val="22"/>
        </w:rPr>
        <w:t>.</w:t>
      </w:r>
    </w:p>
    <w:p w14:paraId="30BEB2E6" w14:textId="77777777" w:rsidR="00442620" w:rsidRPr="00454AD2" w:rsidRDefault="00442620" w:rsidP="00442620">
      <w:pPr>
        <w:pStyle w:val="FootnoteText"/>
        <w:rPr>
          <w:rFonts w:ascii="Calibri" w:hAnsi="Calibri" w:cs="Calibri"/>
          <w:color w:val="000000" w:themeColor="text1"/>
          <w:sz w:val="22"/>
          <w:szCs w:val="22"/>
        </w:rPr>
      </w:pPr>
    </w:p>
    <w:p w14:paraId="1EE1EBF6" w14:textId="25B2BF62" w:rsidR="00442620"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s.a., ‘Obituaries: Rene Le Berre, entomologist, dies at 78; directed fight against river blindness’, </w:t>
      </w:r>
      <w:r w:rsidRPr="00454AD2">
        <w:rPr>
          <w:rFonts w:ascii="Calibri" w:hAnsi="Calibri" w:cs="Calibri"/>
          <w:i/>
          <w:color w:val="000000" w:themeColor="text1"/>
          <w:sz w:val="22"/>
          <w:szCs w:val="22"/>
        </w:rPr>
        <w:t xml:space="preserve">New York Times </w:t>
      </w:r>
      <w:r w:rsidRPr="00454AD2">
        <w:rPr>
          <w:rFonts w:ascii="Calibri" w:hAnsi="Calibri" w:cs="Calibri"/>
          <w:color w:val="000000" w:themeColor="text1"/>
          <w:sz w:val="22"/>
          <w:szCs w:val="22"/>
        </w:rPr>
        <w:t xml:space="preserve">(20 December 2010). </w:t>
      </w:r>
    </w:p>
    <w:p w14:paraId="5564E8B1" w14:textId="1B3FC331" w:rsidR="00CF76AC" w:rsidRDefault="00CF76AC" w:rsidP="00442620">
      <w:pPr>
        <w:pStyle w:val="FootnoteText"/>
        <w:rPr>
          <w:rFonts w:ascii="Calibri" w:hAnsi="Calibri" w:cs="Calibri"/>
          <w:color w:val="000000" w:themeColor="text1"/>
          <w:sz w:val="22"/>
          <w:szCs w:val="22"/>
        </w:rPr>
      </w:pPr>
    </w:p>
    <w:p w14:paraId="782FF00F" w14:textId="0610BDA8" w:rsidR="00CF76AC" w:rsidRPr="00454AD2" w:rsidRDefault="00CF76AC"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s.</w:t>
      </w:r>
      <w:r>
        <w:rPr>
          <w:rFonts w:ascii="Calibri" w:hAnsi="Calibri" w:cs="Calibri"/>
          <w:color w:val="000000" w:themeColor="text1"/>
          <w:sz w:val="22"/>
          <w:szCs w:val="22"/>
        </w:rPr>
        <w:t>a</w:t>
      </w:r>
      <w:r w:rsidRPr="00454AD2">
        <w:rPr>
          <w:rFonts w:ascii="Calibri" w:hAnsi="Calibri" w:cs="Calibri"/>
          <w:color w:val="000000" w:themeColor="text1"/>
          <w:sz w:val="22"/>
          <w:szCs w:val="22"/>
        </w:rPr>
        <w:t xml:space="preserve">., ‘Primary health care comes full circle. An interview with Dr </w:t>
      </w:r>
      <w:r w:rsidRPr="002C3B2C">
        <w:rPr>
          <w:rFonts w:ascii="Calibri" w:hAnsi="Calibri" w:cs="Calibri"/>
          <w:color w:val="000000" w:themeColor="text1"/>
          <w:sz w:val="22"/>
          <w:szCs w:val="22"/>
        </w:rPr>
        <w:t xml:space="preserve">Halfdan Mahler’, </w:t>
      </w:r>
      <w:r w:rsidRPr="002C3B2C">
        <w:rPr>
          <w:rFonts w:ascii="Calibri" w:hAnsi="Calibri" w:cs="Calibri"/>
          <w:i/>
          <w:color w:val="000000" w:themeColor="text1"/>
          <w:sz w:val="22"/>
          <w:szCs w:val="22"/>
        </w:rPr>
        <w:t xml:space="preserve">Bulletin of the </w:t>
      </w:r>
      <w:r>
        <w:rPr>
          <w:rFonts w:ascii="Calibri" w:hAnsi="Calibri" w:cs="Calibri"/>
          <w:i/>
          <w:color w:val="000000" w:themeColor="text1"/>
          <w:sz w:val="22"/>
          <w:szCs w:val="22"/>
        </w:rPr>
        <w:t>WHO</w:t>
      </w:r>
      <w:r w:rsidRPr="002C3B2C">
        <w:rPr>
          <w:rFonts w:ascii="Calibri" w:hAnsi="Calibri" w:cs="Calibri"/>
          <w:i/>
          <w:color w:val="000000" w:themeColor="text1"/>
          <w:sz w:val="22"/>
          <w:szCs w:val="22"/>
        </w:rPr>
        <w:t xml:space="preserve"> </w:t>
      </w:r>
      <w:r w:rsidRPr="002C3B2C">
        <w:rPr>
          <w:rFonts w:ascii="Calibri" w:hAnsi="Calibri" w:cs="Calibri"/>
          <w:color w:val="000000" w:themeColor="text1"/>
          <w:sz w:val="22"/>
          <w:szCs w:val="22"/>
        </w:rPr>
        <w:t>86:10 (2008), 747-748.</w:t>
      </w:r>
    </w:p>
    <w:p w14:paraId="5C25FE01" w14:textId="77777777" w:rsidR="00442620" w:rsidRPr="00454AD2" w:rsidRDefault="00442620" w:rsidP="00442620">
      <w:pPr>
        <w:pStyle w:val="FootnoteText"/>
        <w:rPr>
          <w:rFonts w:ascii="Calibri" w:hAnsi="Calibri" w:cs="Calibri"/>
          <w:color w:val="000000" w:themeColor="text1"/>
          <w:sz w:val="22"/>
          <w:szCs w:val="22"/>
        </w:rPr>
      </w:pPr>
    </w:p>
    <w:p w14:paraId="388E4AB3" w14:textId="52AA8F2C" w:rsidR="00442620" w:rsidRPr="00CF76AC" w:rsidRDefault="00442620" w:rsidP="00CF76AC">
      <w:r w:rsidRPr="00454AD2">
        <w:rPr>
          <w:rFonts w:ascii="Calibri" w:hAnsi="Calibri" w:cs="Calibri"/>
          <w:color w:val="000000" w:themeColor="text1"/>
          <w:sz w:val="22"/>
          <w:szCs w:val="22"/>
        </w:rPr>
        <w:lastRenderedPageBreak/>
        <w:t xml:space="preserve">s.a., ‘Pushing back </w:t>
      </w:r>
      <w:r w:rsidRPr="00CF76AC">
        <w:rPr>
          <w:rFonts w:ascii="Calibri" w:hAnsi="Calibri" w:cs="Calibri"/>
          <w:color w:val="000000" w:themeColor="text1"/>
          <w:sz w:val="22"/>
          <w:szCs w:val="22"/>
        </w:rPr>
        <w:t xml:space="preserve">neglected tropical diseases in Africa’, </w:t>
      </w:r>
      <w:r w:rsidRPr="00CF76AC">
        <w:rPr>
          <w:rFonts w:ascii="Calibri" w:hAnsi="Calibri" w:cs="Calibri"/>
          <w:i/>
          <w:color w:val="000000" w:themeColor="text1"/>
          <w:sz w:val="22"/>
          <w:szCs w:val="22"/>
        </w:rPr>
        <w:t>World Bank Feature Story</w:t>
      </w:r>
      <w:r w:rsidR="00CF76AC" w:rsidRPr="00CF76AC">
        <w:rPr>
          <w:rFonts w:ascii="Calibri" w:hAnsi="Calibri" w:cs="Calibri"/>
          <w:i/>
          <w:color w:val="000000" w:themeColor="text1"/>
          <w:sz w:val="22"/>
          <w:szCs w:val="22"/>
        </w:rPr>
        <w:t xml:space="preserve"> </w:t>
      </w:r>
      <w:r w:rsidR="00CF76AC" w:rsidRPr="00CF76AC">
        <w:rPr>
          <w:rFonts w:ascii="Calibri" w:hAnsi="Calibri" w:cs="Calibri"/>
          <w:color w:val="000000" w:themeColor="text1"/>
          <w:sz w:val="22"/>
          <w:szCs w:val="22"/>
        </w:rPr>
        <w:t xml:space="preserve">(online), </w:t>
      </w:r>
      <w:r w:rsidRPr="00CF76AC">
        <w:rPr>
          <w:rFonts w:ascii="Calibri" w:hAnsi="Calibri" w:cs="Calibri"/>
          <w:color w:val="000000" w:themeColor="text1"/>
          <w:sz w:val="22"/>
          <w:szCs w:val="22"/>
        </w:rPr>
        <w:t>20 November 2012</w:t>
      </w:r>
      <w:r w:rsidR="00CF76AC" w:rsidRPr="00CF76AC">
        <w:rPr>
          <w:rFonts w:ascii="Calibri" w:hAnsi="Calibri" w:cs="Calibri"/>
          <w:color w:val="000000" w:themeColor="text1"/>
          <w:sz w:val="22"/>
          <w:szCs w:val="22"/>
        </w:rPr>
        <w:t>, &lt;</w:t>
      </w:r>
      <w:r w:rsidR="00CF76AC" w:rsidRPr="00CF76AC">
        <w:rPr>
          <w:rFonts w:ascii="Calibri" w:hAnsi="Calibri" w:cs="Calibri"/>
          <w:sz w:val="22"/>
          <w:szCs w:val="22"/>
        </w:rPr>
        <w:t>https://www.worldbank.org/en/news/feature/2012/11/17/pushing-back-neglected-tropical-diseases-in-africa</w:t>
      </w:r>
      <w:r w:rsidR="00CF76AC" w:rsidRPr="00CF76AC">
        <w:rPr>
          <w:rFonts w:ascii="Calibri" w:hAnsi="Calibri" w:cs="Calibri"/>
          <w:color w:val="000000" w:themeColor="text1"/>
          <w:sz w:val="22"/>
          <w:szCs w:val="22"/>
        </w:rPr>
        <w:t xml:space="preserve">&gt; </w:t>
      </w:r>
      <w:r w:rsidRPr="00CF76AC">
        <w:rPr>
          <w:rFonts w:ascii="Calibri" w:hAnsi="Calibri" w:cs="Calibri"/>
          <w:color w:val="000000" w:themeColor="text1"/>
          <w:sz w:val="22"/>
          <w:szCs w:val="22"/>
        </w:rPr>
        <w:t>[accessed 15 February 2018].</w:t>
      </w:r>
    </w:p>
    <w:p w14:paraId="45D482CE" w14:textId="77777777" w:rsidR="00442620" w:rsidRPr="00454AD2" w:rsidRDefault="00442620" w:rsidP="00442620">
      <w:pPr>
        <w:pStyle w:val="FootnoteText"/>
        <w:rPr>
          <w:rFonts w:ascii="Calibri" w:hAnsi="Calibri" w:cs="Calibri"/>
          <w:i/>
          <w:color w:val="000000" w:themeColor="text1"/>
          <w:sz w:val="22"/>
          <w:szCs w:val="22"/>
        </w:rPr>
      </w:pPr>
    </w:p>
    <w:p w14:paraId="04AAE125"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s.a., ‘Riverblindness partners pledge US$ 39 million to eliminate disease from Africa by 2010’, </w:t>
      </w:r>
      <w:r w:rsidRPr="00454AD2">
        <w:rPr>
          <w:rFonts w:ascii="Calibri" w:hAnsi="Calibri" w:cs="Calibri"/>
          <w:i/>
          <w:color w:val="000000" w:themeColor="text1"/>
          <w:sz w:val="22"/>
          <w:szCs w:val="22"/>
        </w:rPr>
        <w:t xml:space="preserve">All Africa Global Media </w:t>
      </w:r>
      <w:r w:rsidRPr="00454AD2">
        <w:rPr>
          <w:rFonts w:ascii="Calibri" w:hAnsi="Calibri" w:cs="Calibri"/>
          <w:color w:val="000000" w:themeColor="text1"/>
          <w:sz w:val="22"/>
          <w:szCs w:val="22"/>
        </w:rPr>
        <w:t>(14 December 2001).</w:t>
      </w:r>
    </w:p>
    <w:p w14:paraId="2A8C06C9" w14:textId="77777777" w:rsidR="00442620" w:rsidRPr="00454AD2" w:rsidRDefault="00442620" w:rsidP="00442620">
      <w:pPr>
        <w:pStyle w:val="FootnoteText"/>
        <w:rPr>
          <w:rFonts w:ascii="Calibri" w:hAnsi="Calibri" w:cs="Calibri"/>
          <w:color w:val="000000" w:themeColor="text1"/>
          <w:sz w:val="22"/>
          <w:szCs w:val="22"/>
        </w:rPr>
      </w:pPr>
    </w:p>
    <w:p w14:paraId="58ED054A"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s.a., ‘The billionth treatment for river blindness – photo essay’, </w:t>
      </w:r>
      <w:r w:rsidRPr="00454AD2">
        <w:rPr>
          <w:rFonts w:ascii="Calibri" w:hAnsi="Calibri" w:cs="Calibri"/>
          <w:i/>
          <w:color w:val="000000" w:themeColor="text1"/>
          <w:sz w:val="22"/>
          <w:szCs w:val="22"/>
        </w:rPr>
        <w:t xml:space="preserve">The Guardian </w:t>
      </w:r>
      <w:r w:rsidRPr="00454AD2">
        <w:rPr>
          <w:rFonts w:ascii="Calibri" w:hAnsi="Calibri" w:cs="Calibri"/>
          <w:color w:val="000000" w:themeColor="text1"/>
          <w:sz w:val="22"/>
          <w:szCs w:val="22"/>
        </w:rPr>
        <w:t>(12 December 2017).</w:t>
      </w:r>
    </w:p>
    <w:p w14:paraId="17F0D189" w14:textId="77777777" w:rsidR="00442620" w:rsidRPr="00454AD2" w:rsidRDefault="00442620" w:rsidP="00442620">
      <w:pPr>
        <w:pStyle w:val="FootnoteText"/>
        <w:rPr>
          <w:rFonts w:ascii="Calibri" w:hAnsi="Calibri" w:cs="Calibri"/>
          <w:color w:val="000000" w:themeColor="text1"/>
          <w:sz w:val="22"/>
          <w:szCs w:val="22"/>
        </w:rPr>
      </w:pPr>
    </w:p>
    <w:p w14:paraId="0CA32C98"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s.a., ‘The blind leading the blind. Oil painting after Pieter Bruegel’, </w:t>
      </w:r>
      <w:r w:rsidRPr="00454AD2">
        <w:rPr>
          <w:rFonts w:ascii="Calibri" w:hAnsi="Calibri" w:cs="Calibri"/>
          <w:i/>
          <w:color w:val="000000" w:themeColor="text1"/>
          <w:sz w:val="22"/>
          <w:szCs w:val="22"/>
        </w:rPr>
        <w:t xml:space="preserve">Wellcome Library </w:t>
      </w:r>
      <w:r w:rsidRPr="00454AD2">
        <w:rPr>
          <w:rFonts w:ascii="Calibri" w:hAnsi="Calibri" w:cs="Calibri"/>
          <w:color w:val="000000" w:themeColor="text1"/>
          <w:sz w:val="22"/>
          <w:szCs w:val="22"/>
        </w:rPr>
        <w:t>(online), &lt;https://welcomelibrary.org/item/b12025112#?c=0&amp;m&amp;s=0&amp;cv=0&gt; [accessed 1 February 2019].</w:t>
      </w:r>
    </w:p>
    <w:p w14:paraId="6AF2830E" w14:textId="77777777" w:rsidR="00442620" w:rsidRPr="00454AD2" w:rsidRDefault="00442620" w:rsidP="00442620">
      <w:pPr>
        <w:pStyle w:val="FootnoteText"/>
        <w:rPr>
          <w:rFonts w:ascii="Calibri" w:hAnsi="Calibri" w:cs="Calibri"/>
          <w:color w:val="000000" w:themeColor="text1"/>
          <w:sz w:val="22"/>
          <w:szCs w:val="22"/>
        </w:rPr>
      </w:pPr>
    </w:p>
    <w:p w14:paraId="749AA6FF" w14:textId="2AA5CF19"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s.a., ‘The World Bank and neglected tropical diseases: building on a history of helping countries address diseases of the poor’, </w:t>
      </w:r>
      <w:r w:rsidRPr="00454AD2">
        <w:rPr>
          <w:rFonts w:ascii="Calibri" w:hAnsi="Calibri" w:cs="Calibri"/>
          <w:i/>
          <w:color w:val="000000" w:themeColor="text1"/>
          <w:sz w:val="22"/>
          <w:szCs w:val="22"/>
        </w:rPr>
        <w:t xml:space="preserve">World Bank </w:t>
      </w:r>
      <w:r w:rsidR="00687239">
        <w:rPr>
          <w:rFonts w:ascii="Calibri" w:hAnsi="Calibri" w:cs="Calibri"/>
          <w:i/>
          <w:color w:val="000000" w:themeColor="text1"/>
          <w:sz w:val="22"/>
          <w:szCs w:val="22"/>
        </w:rPr>
        <w:t>B</w:t>
      </w:r>
      <w:r w:rsidRPr="00454AD2">
        <w:rPr>
          <w:rFonts w:ascii="Calibri" w:hAnsi="Calibri" w:cs="Calibri"/>
          <w:i/>
          <w:color w:val="000000" w:themeColor="text1"/>
          <w:sz w:val="22"/>
          <w:szCs w:val="22"/>
        </w:rPr>
        <w:t>rief</w:t>
      </w:r>
      <w:r w:rsidR="00C36D03">
        <w:rPr>
          <w:rFonts w:ascii="Calibri" w:hAnsi="Calibri" w:cs="Calibri"/>
          <w:i/>
          <w:color w:val="000000" w:themeColor="text1"/>
          <w:sz w:val="22"/>
          <w:szCs w:val="22"/>
        </w:rPr>
        <w:t xml:space="preserve">, </w:t>
      </w:r>
      <w:r w:rsidRPr="00454AD2">
        <w:rPr>
          <w:rFonts w:ascii="Calibri" w:hAnsi="Calibri" w:cs="Calibri"/>
          <w:color w:val="000000" w:themeColor="text1"/>
          <w:sz w:val="22"/>
          <w:szCs w:val="22"/>
        </w:rPr>
        <w:t>27 March 2015</w:t>
      </w:r>
      <w:r w:rsidR="00C36D03">
        <w:rPr>
          <w:rFonts w:ascii="Calibri" w:hAnsi="Calibri" w:cs="Calibri"/>
          <w:color w:val="000000" w:themeColor="text1"/>
          <w:sz w:val="22"/>
          <w:szCs w:val="22"/>
        </w:rPr>
        <w:t xml:space="preserve"> (online)</w:t>
      </w:r>
      <w:r w:rsidRPr="00454AD2">
        <w:rPr>
          <w:rFonts w:ascii="Calibri" w:hAnsi="Calibri" w:cs="Calibri"/>
          <w:color w:val="000000" w:themeColor="text1"/>
          <w:sz w:val="22"/>
          <w:szCs w:val="22"/>
        </w:rPr>
        <w:t xml:space="preserve"> [accessed 15 February 2018].</w:t>
      </w:r>
    </w:p>
    <w:p w14:paraId="6C0568AA" w14:textId="77777777" w:rsidR="00442620" w:rsidRPr="00454AD2" w:rsidRDefault="00442620" w:rsidP="00442620">
      <w:pPr>
        <w:pStyle w:val="FootnoteText"/>
        <w:rPr>
          <w:rFonts w:ascii="Calibri" w:hAnsi="Calibri" w:cs="Calibri"/>
          <w:color w:val="000000" w:themeColor="text1"/>
          <w:sz w:val="22"/>
          <w:szCs w:val="22"/>
        </w:rPr>
      </w:pPr>
    </w:p>
    <w:p w14:paraId="268D2E7B"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s.a., ‘World Bank aims to stamp out river blindness’, </w:t>
      </w:r>
      <w:r w:rsidRPr="00454AD2">
        <w:rPr>
          <w:rFonts w:ascii="Calibri" w:hAnsi="Calibri" w:cs="Calibri"/>
          <w:i/>
          <w:color w:val="000000" w:themeColor="text1"/>
          <w:sz w:val="22"/>
          <w:szCs w:val="22"/>
        </w:rPr>
        <w:t xml:space="preserve">Reuters News </w:t>
      </w:r>
      <w:r w:rsidRPr="00454AD2">
        <w:rPr>
          <w:rFonts w:ascii="Calibri" w:hAnsi="Calibri" w:cs="Calibri"/>
          <w:color w:val="000000" w:themeColor="text1"/>
          <w:sz w:val="22"/>
          <w:szCs w:val="22"/>
        </w:rPr>
        <w:t>(16 December 1995).</w:t>
      </w:r>
    </w:p>
    <w:p w14:paraId="113CEDBE" w14:textId="77777777" w:rsidR="00442620" w:rsidRPr="00454AD2" w:rsidRDefault="00442620" w:rsidP="00442620">
      <w:pPr>
        <w:pStyle w:val="FootnoteText"/>
        <w:rPr>
          <w:rFonts w:ascii="Calibri" w:hAnsi="Calibri" w:cs="Calibri"/>
          <w:color w:val="000000" w:themeColor="text1"/>
          <w:sz w:val="22"/>
          <w:szCs w:val="22"/>
        </w:rPr>
      </w:pPr>
    </w:p>
    <w:p w14:paraId="7784DE66" w14:textId="2C3F81EB" w:rsidR="006E7F0A" w:rsidRDefault="006E7F0A" w:rsidP="006E7F0A">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s.a., ‘World Bank hosts river blindness summit’, </w:t>
      </w:r>
      <w:r w:rsidRPr="00454AD2">
        <w:rPr>
          <w:rFonts w:ascii="Calibri" w:hAnsi="Calibri" w:cs="Calibri"/>
          <w:i/>
          <w:color w:val="000000" w:themeColor="text1"/>
          <w:sz w:val="22"/>
          <w:szCs w:val="22"/>
        </w:rPr>
        <w:t>Sightsavers News</w:t>
      </w:r>
      <w:r>
        <w:rPr>
          <w:rFonts w:ascii="Calibri" w:hAnsi="Calibri" w:cs="Calibri"/>
          <w:i/>
          <w:color w:val="000000" w:themeColor="text1"/>
          <w:sz w:val="22"/>
          <w:szCs w:val="22"/>
        </w:rPr>
        <w:t xml:space="preserve">, </w:t>
      </w:r>
      <w:r w:rsidRPr="00454AD2">
        <w:rPr>
          <w:rFonts w:ascii="Calibri" w:hAnsi="Calibri" w:cs="Calibri"/>
          <w:color w:val="000000" w:themeColor="text1"/>
          <w:sz w:val="22"/>
          <w:szCs w:val="22"/>
        </w:rPr>
        <w:t>20 June 2014</w:t>
      </w:r>
      <w:r>
        <w:rPr>
          <w:rFonts w:ascii="Calibri" w:hAnsi="Calibri" w:cs="Calibri"/>
          <w:color w:val="000000" w:themeColor="text1"/>
          <w:sz w:val="22"/>
          <w:szCs w:val="22"/>
        </w:rPr>
        <w:t>.</w:t>
      </w:r>
    </w:p>
    <w:p w14:paraId="1B67D736" w14:textId="79B7E6FD" w:rsidR="00B040F0" w:rsidRDefault="00B040F0" w:rsidP="006E7F0A">
      <w:pPr>
        <w:pStyle w:val="FootnoteText"/>
        <w:rPr>
          <w:rFonts w:ascii="Calibri" w:hAnsi="Calibri" w:cs="Calibri"/>
          <w:color w:val="000000" w:themeColor="text1"/>
          <w:sz w:val="22"/>
          <w:szCs w:val="22"/>
        </w:rPr>
      </w:pPr>
    </w:p>
    <w:p w14:paraId="1F2576D7" w14:textId="15CB38B5" w:rsidR="00B040F0" w:rsidRPr="00CF189D" w:rsidRDefault="00B040F0" w:rsidP="00CF189D">
      <w:pPr>
        <w:rPr>
          <w:rFonts w:ascii="Calibri" w:hAnsi="Calibri" w:cs="Calibri"/>
          <w:sz w:val="22"/>
          <w:szCs w:val="22"/>
        </w:rPr>
      </w:pPr>
      <w:r w:rsidRPr="001C0900">
        <w:rPr>
          <w:rFonts w:ascii="Calibri" w:hAnsi="Calibri" w:cs="Calibri"/>
          <w:sz w:val="22"/>
          <w:szCs w:val="22"/>
        </w:rPr>
        <w:t>Sahn D and Bernier R, ‘Have structural adjustment</w:t>
      </w:r>
      <w:r w:rsidR="00080641">
        <w:rPr>
          <w:rFonts w:ascii="Calibri" w:hAnsi="Calibri" w:cs="Calibri"/>
          <w:sz w:val="22"/>
          <w:szCs w:val="22"/>
        </w:rPr>
        <w:t>s</w:t>
      </w:r>
      <w:r w:rsidRPr="001C0900">
        <w:rPr>
          <w:rFonts w:ascii="Calibri" w:hAnsi="Calibri" w:cs="Calibri"/>
          <w:sz w:val="22"/>
          <w:szCs w:val="22"/>
        </w:rPr>
        <w:t xml:space="preserve"> led to health sector reform in Africa?’, </w:t>
      </w:r>
      <w:r w:rsidRPr="001C0900">
        <w:rPr>
          <w:rFonts w:ascii="Calibri" w:hAnsi="Calibri" w:cs="Calibri"/>
          <w:i/>
          <w:iCs/>
          <w:sz w:val="22"/>
          <w:szCs w:val="22"/>
        </w:rPr>
        <w:t xml:space="preserve">Health Policy </w:t>
      </w:r>
      <w:r w:rsidRPr="001C0900">
        <w:rPr>
          <w:rFonts w:ascii="Calibri" w:hAnsi="Calibri" w:cs="Calibri"/>
          <w:sz w:val="22"/>
          <w:szCs w:val="22"/>
        </w:rPr>
        <w:t>32:1-3 (1995), 193-214</w:t>
      </w:r>
      <w:r>
        <w:rPr>
          <w:rFonts w:ascii="Calibri" w:hAnsi="Calibri" w:cs="Calibri"/>
          <w:sz w:val="22"/>
          <w:szCs w:val="22"/>
        </w:rPr>
        <w:t>.</w:t>
      </w:r>
    </w:p>
    <w:p w14:paraId="148B9172" w14:textId="77777777" w:rsidR="00442620" w:rsidRPr="00454AD2" w:rsidRDefault="00442620" w:rsidP="00442620">
      <w:pPr>
        <w:pStyle w:val="FootnoteText"/>
        <w:rPr>
          <w:rFonts w:ascii="Calibri" w:hAnsi="Calibri" w:cs="Calibri"/>
          <w:color w:val="000000" w:themeColor="text1"/>
          <w:sz w:val="22"/>
          <w:szCs w:val="22"/>
        </w:rPr>
      </w:pPr>
    </w:p>
    <w:p w14:paraId="49577404"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Samba EM, </w:t>
      </w:r>
      <w:r w:rsidRPr="00454AD2">
        <w:rPr>
          <w:rFonts w:ascii="Calibri" w:hAnsi="Calibri" w:cs="Calibri"/>
          <w:i/>
          <w:color w:val="000000" w:themeColor="text1"/>
          <w:sz w:val="22"/>
          <w:szCs w:val="22"/>
        </w:rPr>
        <w:t xml:space="preserve">The Onchocerciasis Control Programme in West Africa: an example of effective public health management </w:t>
      </w:r>
      <w:r w:rsidRPr="00454AD2">
        <w:rPr>
          <w:rFonts w:ascii="Calibri" w:hAnsi="Calibri" w:cs="Calibri"/>
          <w:color w:val="000000" w:themeColor="text1"/>
          <w:sz w:val="22"/>
          <w:szCs w:val="22"/>
        </w:rPr>
        <w:t>(Geneva: WHO, 1994).</w:t>
      </w:r>
    </w:p>
    <w:p w14:paraId="3B0AAC3C" w14:textId="77777777" w:rsidR="00442620" w:rsidRPr="00454AD2" w:rsidRDefault="00442620" w:rsidP="00442620">
      <w:pPr>
        <w:pStyle w:val="FootnoteText"/>
        <w:rPr>
          <w:rFonts w:ascii="Calibri" w:hAnsi="Calibri" w:cs="Calibri"/>
          <w:color w:val="000000" w:themeColor="text1"/>
          <w:sz w:val="22"/>
          <w:szCs w:val="22"/>
        </w:rPr>
      </w:pPr>
    </w:p>
    <w:p w14:paraId="237E55D0"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Sample I, ‘William C Campbell, Satoshi Omura and Tu Youyou win Nobel prize in medicine’, </w:t>
      </w:r>
      <w:r w:rsidRPr="00454AD2">
        <w:rPr>
          <w:rFonts w:ascii="Calibri" w:hAnsi="Calibri" w:cs="Calibri"/>
          <w:i/>
          <w:color w:val="000000" w:themeColor="text1"/>
          <w:sz w:val="22"/>
          <w:szCs w:val="22"/>
        </w:rPr>
        <w:t xml:space="preserve">Guardian, </w:t>
      </w:r>
      <w:r w:rsidRPr="00454AD2">
        <w:rPr>
          <w:rFonts w:ascii="Calibri" w:hAnsi="Calibri" w:cs="Calibri"/>
          <w:color w:val="000000" w:themeColor="text1"/>
          <w:sz w:val="22"/>
          <w:szCs w:val="22"/>
        </w:rPr>
        <w:t>5 October 2015.</w:t>
      </w:r>
    </w:p>
    <w:p w14:paraId="40AEC223" w14:textId="77777777" w:rsidR="00442620" w:rsidRPr="00454AD2" w:rsidRDefault="00442620" w:rsidP="00442620">
      <w:pPr>
        <w:pStyle w:val="FootnoteText"/>
        <w:rPr>
          <w:rFonts w:ascii="Calibri" w:hAnsi="Calibri" w:cs="Calibri"/>
          <w:color w:val="000000" w:themeColor="text1"/>
          <w:sz w:val="22"/>
          <w:szCs w:val="22"/>
        </w:rPr>
      </w:pPr>
    </w:p>
    <w:p w14:paraId="0B5A8DB0" w14:textId="32F4B99B" w:rsidR="00442620"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Sarkar A, ‘The World Bank and health systems strengthening: experiences from four Indian states’, </w:t>
      </w:r>
      <w:r w:rsidRPr="00454AD2">
        <w:rPr>
          <w:rFonts w:ascii="Calibri" w:hAnsi="Calibri" w:cs="Calibri"/>
          <w:i/>
          <w:color w:val="000000" w:themeColor="text1"/>
          <w:sz w:val="22"/>
          <w:szCs w:val="22"/>
        </w:rPr>
        <w:t xml:space="preserve">BMJ Global Health </w:t>
      </w:r>
      <w:r w:rsidRPr="00454AD2">
        <w:rPr>
          <w:rFonts w:ascii="Calibri" w:hAnsi="Calibri" w:cs="Calibri"/>
          <w:color w:val="000000" w:themeColor="text1"/>
          <w:sz w:val="22"/>
          <w:szCs w:val="22"/>
        </w:rPr>
        <w:t>1:s1 (2016).</w:t>
      </w:r>
    </w:p>
    <w:p w14:paraId="71812FF8" w14:textId="041A33EF" w:rsidR="00B040F0" w:rsidRDefault="00B040F0" w:rsidP="00442620">
      <w:pPr>
        <w:pStyle w:val="FootnoteText"/>
        <w:rPr>
          <w:rFonts w:ascii="Calibri" w:hAnsi="Calibri" w:cs="Calibri"/>
          <w:color w:val="000000" w:themeColor="text1"/>
          <w:sz w:val="22"/>
          <w:szCs w:val="22"/>
        </w:rPr>
      </w:pPr>
    </w:p>
    <w:p w14:paraId="7C470E98" w14:textId="6B3F1C26" w:rsidR="00B040F0" w:rsidRPr="00454AD2" w:rsidRDefault="00B040F0" w:rsidP="00CF189D">
      <w:pPr>
        <w:rPr>
          <w:rFonts w:ascii="Calibri" w:hAnsi="Calibri" w:cs="Calibri"/>
          <w:color w:val="000000" w:themeColor="text1"/>
          <w:sz w:val="22"/>
          <w:szCs w:val="22"/>
        </w:rPr>
      </w:pPr>
      <w:r w:rsidRPr="001C0900">
        <w:rPr>
          <w:rFonts w:ascii="Calibri" w:hAnsi="Calibri" w:cs="Calibri"/>
          <w:color w:val="000000" w:themeColor="text1"/>
          <w:sz w:val="22"/>
          <w:szCs w:val="22"/>
        </w:rPr>
        <w:t xml:space="preserve">Schmidt E, </w:t>
      </w:r>
      <w:r w:rsidRPr="001C0900">
        <w:rPr>
          <w:rFonts w:ascii="Calibri" w:hAnsi="Calibri" w:cs="Calibri"/>
          <w:i/>
          <w:color w:val="000000" w:themeColor="text1"/>
          <w:sz w:val="22"/>
          <w:szCs w:val="22"/>
        </w:rPr>
        <w:t xml:space="preserve">Cold War and </w:t>
      </w:r>
      <w:r>
        <w:rPr>
          <w:rFonts w:ascii="Calibri" w:hAnsi="Calibri" w:cs="Calibri"/>
          <w:i/>
          <w:color w:val="000000" w:themeColor="text1"/>
          <w:sz w:val="22"/>
          <w:szCs w:val="22"/>
        </w:rPr>
        <w:t>d</w:t>
      </w:r>
      <w:r w:rsidRPr="001C0900">
        <w:rPr>
          <w:rFonts w:ascii="Calibri" w:hAnsi="Calibri" w:cs="Calibri"/>
          <w:i/>
          <w:color w:val="000000" w:themeColor="text1"/>
          <w:sz w:val="22"/>
          <w:szCs w:val="22"/>
        </w:rPr>
        <w:t xml:space="preserve">ecolonization in Guinea, 1946-1958 </w:t>
      </w:r>
      <w:r w:rsidRPr="001C0900">
        <w:rPr>
          <w:rFonts w:ascii="Calibri" w:hAnsi="Calibri" w:cs="Calibri"/>
          <w:color w:val="000000" w:themeColor="text1"/>
          <w:sz w:val="22"/>
          <w:szCs w:val="22"/>
        </w:rPr>
        <w:t>(Athens: Ohio University Press, 2007)</w:t>
      </w:r>
      <w:r>
        <w:rPr>
          <w:rFonts w:ascii="Calibri" w:hAnsi="Calibri" w:cs="Calibri"/>
          <w:color w:val="000000" w:themeColor="text1"/>
          <w:sz w:val="22"/>
          <w:szCs w:val="22"/>
        </w:rPr>
        <w:t>.</w:t>
      </w:r>
    </w:p>
    <w:p w14:paraId="2BFA4BAA" w14:textId="77777777" w:rsidR="00442620" w:rsidRPr="00454AD2" w:rsidRDefault="00442620" w:rsidP="00442620">
      <w:pPr>
        <w:pStyle w:val="FootnoteText"/>
        <w:rPr>
          <w:rFonts w:ascii="Calibri" w:hAnsi="Calibri" w:cs="Calibri"/>
          <w:color w:val="000000" w:themeColor="text1"/>
          <w:sz w:val="22"/>
          <w:szCs w:val="22"/>
        </w:rPr>
      </w:pPr>
    </w:p>
    <w:p w14:paraId="3C359179" w14:textId="4D7B5964" w:rsidR="00442620"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Schraeder PJ and Endless B, ‘The media and Africa: the portrayal of Africa in the </w:t>
      </w:r>
      <w:r w:rsidRPr="00454AD2">
        <w:rPr>
          <w:rFonts w:ascii="Calibri" w:hAnsi="Calibri" w:cs="Calibri"/>
          <w:i/>
          <w:color w:val="000000" w:themeColor="text1"/>
          <w:sz w:val="22"/>
          <w:szCs w:val="22"/>
        </w:rPr>
        <w:t xml:space="preserve">New York Times </w:t>
      </w:r>
      <w:r w:rsidRPr="00454AD2">
        <w:rPr>
          <w:rFonts w:ascii="Calibri" w:hAnsi="Calibri" w:cs="Calibri"/>
          <w:color w:val="000000" w:themeColor="text1"/>
          <w:sz w:val="22"/>
          <w:szCs w:val="22"/>
        </w:rPr>
        <w:t xml:space="preserve">(1955-1995)’, </w:t>
      </w:r>
      <w:r w:rsidRPr="00454AD2">
        <w:rPr>
          <w:rFonts w:ascii="Calibri" w:hAnsi="Calibri" w:cs="Calibri"/>
          <w:i/>
          <w:color w:val="000000" w:themeColor="text1"/>
          <w:sz w:val="22"/>
          <w:szCs w:val="22"/>
        </w:rPr>
        <w:t xml:space="preserve">Issue: A Journal of Opinion </w:t>
      </w:r>
      <w:r w:rsidRPr="00454AD2">
        <w:rPr>
          <w:rFonts w:ascii="Calibri" w:hAnsi="Calibri" w:cs="Calibri"/>
          <w:color w:val="000000" w:themeColor="text1"/>
          <w:sz w:val="22"/>
          <w:szCs w:val="22"/>
        </w:rPr>
        <w:t>26:2 (1998), 29-35.</w:t>
      </w:r>
    </w:p>
    <w:p w14:paraId="10212134" w14:textId="6203937E" w:rsidR="00B040F0" w:rsidRDefault="00B040F0" w:rsidP="00442620">
      <w:pPr>
        <w:pStyle w:val="FootnoteText"/>
        <w:rPr>
          <w:rFonts w:ascii="Calibri" w:hAnsi="Calibri" w:cs="Calibri"/>
          <w:color w:val="000000" w:themeColor="text1"/>
          <w:sz w:val="22"/>
          <w:szCs w:val="22"/>
        </w:rPr>
      </w:pPr>
    </w:p>
    <w:p w14:paraId="3E3E2D2E" w14:textId="3EE2F9F1" w:rsidR="00B040F0" w:rsidRPr="00454AD2" w:rsidRDefault="00B040F0" w:rsidP="00442620">
      <w:pPr>
        <w:pStyle w:val="FootnoteText"/>
        <w:rPr>
          <w:rFonts w:ascii="Calibri" w:hAnsi="Calibri" w:cs="Calibri"/>
          <w:color w:val="000000" w:themeColor="text1"/>
          <w:sz w:val="22"/>
          <w:szCs w:val="22"/>
        </w:rPr>
      </w:pPr>
      <w:r w:rsidRPr="001C0900">
        <w:rPr>
          <w:rFonts w:ascii="Calibri" w:hAnsi="Calibri" w:cs="Calibri"/>
          <w:color w:val="000000" w:themeColor="text1"/>
          <w:sz w:val="22"/>
          <w:szCs w:val="22"/>
        </w:rPr>
        <w:t xml:space="preserve">Sharma PA, </w:t>
      </w:r>
      <w:r w:rsidRPr="001C0900">
        <w:rPr>
          <w:rFonts w:ascii="Calibri" w:hAnsi="Calibri" w:cs="Calibri"/>
          <w:i/>
          <w:color w:val="000000" w:themeColor="text1"/>
          <w:sz w:val="22"/>
          <w:szCs w:val="22"/>
        </w:rPr>
        <w:t xml:space="preserve">Robert McNamara’s other war: the World Bank and international development </w:t>
      </w:r>
      <w:r w:rsidRPr="001C0900">
        <w:rPr>
          <w:rFonts w:ascii="Calibri" w:hAnsi="Calibri" w:cs="Calibri"/>
          <w:color w:val="000000" w:themeColor="text1"/>
          <w:sz w:val="22"/>
          <w:szCs w:val="22"/>
        </w:rPr>
        <w:t>(Philadelphia: University of Pennsylvania, 2017), 54-75</w:t>
      </w:r>
      <w:r>
        <w:rPr>
          <w:rFonts w:ascii="Calibri" w:hAnsi="Calibri" w:cs="Calibri"/>
          <w:color w:val="000000" w:themeColor="text1"/>
          <w:sz w:val="22"/>
          <w:szCs w:val="22"/>
        </w:rPr>
        <w:t>.</w:t>
      </w:r>
    </w:p>
    <w:p w14:paraId="6E1AAB31" w14:textId="77777777" w:rsidR="00442620" w:rsidRPr="00454AD2" w:rsidRDefault="00442620" w:rsidP="00442620">
      <w:pPr>
        <w:pStyle w:val="FootnoteText"/>
        <w:rPr>
          <w:rFonts w:ascii="Calibri" w:hAnsi="Calibri" w:cs="Calibri"/>
          <w:color w:val="000000" w:themeColor="text1"/>
          <w:sz w:val="22"/>
          <w:szCs w:val="22"/>
        </w:rPr>
      </w:pPr>
    </w:p>
    <w:p w14:paraId="102667A5" w14:textId="6087E5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Shenhar </w:t>
      </w:r>
      <w:r w:rsidR="00C36D03">
        <w:rPr>
          <w:rFonts w:ascii="Calibri" w:hAnsi="Calibri" w:cs="Calibri"/>
          <w:color w:val="000000" w:themeColor="text1"/>
          <w:sz w:val="22"/>
          <w:szCs w:val="22"/>
        </w:rPr>
        <w:t>AJ, Levy O and Dvir D</w:t>
      </w:r>
      <w:r w:rsidRPr="00454AD2">
        <w:rPr>
          <w:rFonts w:ascii="Calibri" w:hAnsi="Calibri" w:cs="Calibri"/>
          <w:color w:val="000000" w:themeColor="text1"/>
          <w:sz w:val="22"/>
          <w:szCs w:val="22"/>
        </w:rPr>
        <w:t xml:space="preserve">, ‘Mapping the Dimensions of Project Success’, </w:t>
      </w:r>
      <w:r w:rsidRPr="00454AD2">
        <w:rPr>
          <w:rFonts w:ascii="Calibri" w:hAnsi="Calibri" w:cs="Calibri"/>
          <w:i/>
          <w:color w:val="000000" w:themeColor="text1"/>
          <w:sz w:val="22"/>
          <w:szCs w:val="22"/>
        </w:rPr>
        <w:t xml:space="preserve">Project Management Institute </w:t>
      </w:r>
      <w:r w:rsidRPr="00454AD2">
        <w:rPr>
          <w:rFonts w:ascii="Calibri" w:hAnsi="Calibri" w:cs="Calibri"/>
          <w:color w:val="000000" w:themeColor="text1"/>
          <w:sz w:val="22"/>
          <w:szCs w:val="22"/>
        </w:rPr>
        <w:t>28:2 (1997), 5-13.</w:t>
      </w:r>
    </w:p>
    <w:p w14:paraId="2C62EDB3" w14:textId="77777777" w:rsidR="00442620" w:rsidRPr="00454AD2" w:rsidRDefault="00442620" w:rsidP="00442620">
      <w:pPr>
        <w:pStyle w:val="FootnoteText"/>
        <w:rPr>
          <w:rFonts w:ascii="Calibri" w:hAnsi="Calibri" w:cs="Calibri"/>
          <w:color w:val="000000" w:themeColor="text1"/>
          <w:sz w:val="22"/>
          <w:szCs w:val="22"/>
        </w:rPr>
      </w:pPr>
    </w:p>
    <w:p w14:paraId="6A45ADD0" w14:textId="4B488409"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Shiffman </w:t>
      </w:r>
      <w:r w:rsidR="00C36D03">
        <w:rPr>
          <w:rFonts w:ascii="Calibri" w:hAnsi="Calibri" w:cs="Calibri"/>
          <w:color w:val="000000" w:themeColor="text1"/>
          <w:sz w:val="22"/>
          <w:szCs w:val="22"/>
        </w:rPr>
        <w:t>J, Beer T and Wu Y</w:t>
      </w:r>
      <w:r w:rsidRPr="00454AD2">
        <w:rPr>
          <w:rFonts w:ascii="Calibri" w:hAnsi="Calibri" w:cs="Calibri"/>
          <w:color w:val="000000" w:themeColor="text1"/>
          <w:sz w:val="22"/>
          <w:szCs w:val="22"/>
        </w:rPr>
        <w:t xml:space="preserve">, ‘The emergence of global disease control priorities’, </w:t>
      </w:r>
      <w:r w:rsidRPr="00454AD2">
        <w:rPr>
          <w:rFonts w:ascii="Calibri" w:hAnsi="Calibri" w:cs="Calibri"/>
          <w:i/>
          <w:color w:val="000000" w:themeColor="text1"/>
          <w:sz w:val="22"/>
          <w:szCs w:val="22"/>
        </w:rPr>
        <w:t xml:space="preserve">Health Policy and Planning </w:t>
      </w:r>
      <w:r w:rsidRPr="00454AD2">
        <w:rPr>
          <w:rFonts w:ascii="Calibri" w:hAnsi="Calibri" w:cs="Calibri"/>
          <w:color w:val="000000" w:themeColor="text1"/>
          <w:sz w:val="22"/>
          <w:szCs w:val="22"/>
        </w:rPr>
        <w:t>17:3 (2002), 225-234.</w:t>
      </w:r>
    </w:p>
    <w:p w14:paraId="0E29F0D6" w14:textId="77777777" w:rsidR="00442620" w:rsidRPr="00454AD2" w:rsidRDefault="00442620" w:rsidP="00442620">
      <w:pPr>
        <w:pStyle w:val="FootnoteText"/>
        <w:rPr>
          <w:rFonts w:ascii="Calibri" w:hAnsi="Calibri" w:cs="Calibri"/>
          <w:color w:val="000000" w:themeColor="text1"/>
          <w:sz w:val="22"/>
          <w:szCs w:val="22"/>
        </w:rPr>
      </w:pPr>
    </w:p>
    <w:p w14:paraId="7A090746"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lastRenderedPageBreak/>
        <w:t xml:space="preserve">Shiffman J and Smith S, ‘Generation of political priority for global health initiatives: a framework and case study of maternal mortality’, </w:t>
      </w:r>
      <w:r w:rsidRPr="00454AD2">
        <w:rPr>
          <w:rFonts w:ascii="Calibri" w:hAnsi="Calibri" w:cs="Calibri"/>
          <w:i/>
          <w:color w:val="000000" w:themeColor="text1"/>
          <w:sz w:val="22"/>
          <w:szCs w:val="22"/>
        </w:rPr>
        <w:t xml:space="preserve">Lancet </w:t>
      </w:r>
      <w:r w:rsidRPr="00454AD2">
        <w:rPr>
          <w:rFonts w:ascii="Calibri" w:hAnsi="Calibri" w:cs="Calibri"/>
          <w:color w:val="000000" w:themeColor="text1"/>
          <w:sz w:val="22"/>
          <w:szCs w:val="22"/>
        </w:rPr>
        <w:t>370:9595 (2006), 1370-1379.</w:t>
      </w:r>
    </w:p>
    <w:p w14:paraId="0FF0266F" w14:textId="77777777" w:rsidR="00442620" w:rsidRPr="00454AD2" w:rsidRDefault="00442620" w:rsidP="00442620">
      <w:pPr>
        <w:pStyle w:val="FootnoteText"/>
        <w:rPr>
          <w:rFonts w:ascii="Calibri" w:hAnsi="Calibri" w:cs="Calibri"/>
          <w:color w:val="000000" w:themeColor="text1"/>
          <w:sz w:val="22"/>
          <w:szCs w:val="22"/>
        </w:rPr>
      </w:pPr>
    </w:p>
    <w:p w14:paraId="0AFF333D"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Smyth S and Triponel A, ‘Funding global health’, </w:t>
      </w:r>
      <w:r w:rsidRPr="00454AD2">
        <w:rPr>
          <w:rFonts w:ascii="Calibri" w:hAnsi="Calibri" w:cs="Calibri"/>
          <w:i/>
          <w:color w:val="000000" w:themeColor="text1"/>
          <w:sz w:val="22"/>
          <w:szCs w:val="22"/>
        </w:rPr>
        <w:t xml:space="preserve">Health and Human Rights Journal </w:t>
      </w:r>
      <w:r w:rsidRPr="00454AD2">
        <w:rPr>
          <w:rFonts w:ascii="Calibri" w:hAnsi="Calibri" w:cs="Calibri"/>
          <w:color w:val="000000" w:themeColor="text1"/>
          <w:sz w:val="22"/>
          <w:szCs w:val="22"/>
        </w:rPr>
        <w:t>15:1 (2013), 1-16.</w:t>
      </w:r>
    </w:p>
    <w:p w14:paraId="7B5D6680" w14:textId="77777777" w:rsidR="00442620" w:rsidRPr="00454AD2" w:rsidRDefault="00442620" w:rsidP="00442620">
      <w:pPr>
        <w:pStyle w:val="FootnoteText"/>
        <w:rPr>
          <w:rFonts w:ascii="Calibri" w:hAnsi="Calibri" w:cs="Calibri"/>
          <w:color w:val="000000" w:themeColor="text1"/>
          <w:sz w:val="22"/>
          <w:szCs w:val="22"/>
        </w:rPr>
      </w:pPr>
    </w:p>
    <w:p w14:paraId="4932374F" w14:textId="115433ED" w:rsidR="00442620" w:rsidRPr="00454AD2" w:rsidRDefault="00442620" w:rsidP="00442620">
      <w:pPr>
        <w:pStyle w:val="FootnoteText"/>
        <w:rPr>
          <w:rFonts w:ascii="Calibri" w:hAnsi="Calibri" w:cs="Calibri"/>
          <w:color w:val="000000" w:themeColor="text1"/>
          <w:sz w:val="22"/>
          <w:szCs w:val="22"/>
          <w:shd w:val="clear" w:color="auto" w:fill="FFFFFF"/>
        </w:rPr>
      </w:pPr>
      <w:r w:rsidRPr="00454AD2">
        <w:rPr>
          <w:rFonts w:ascii="Calibri" w:hAnsi="Calibri" w:cs="Calibri"/>
          <w:color w:val="000000" w:themeColor="text1"/>
          <w:sz w:val="22"/>
          <w:szCs w:val="22"/>
          <w:shd w:val="clear" w:color="auto" w:fill="FFFFFF"/>
        </w:rPr>
        <w:t xml:space="preserve">Snow </w:t>
      </w:r>
      <w:r w:rsidR="00C36D03">
        <w:rPr>
          <w:rFonts w:ascii="Calibri" w:hAnsi="Calibri" w:cs="Calibri"/>
          <w:color w:val="000000" w:themeColor="text1"/>
          <w:sz w:val="22"/>
          <w:szCs w:val="22"/>
          <w:shd w:val="clear" w:color="auto" w:fill="FFFFFF"/>
        </w:rPr>
        <w:t>RW, Sartorius B, Kyalo D, Maina J, Amratia P, Mundia CW, Bejon P and Noor AM</w:t>
      </w:r>
      <w:r w:rsidRPr="00454AD2">
        <w:rPr>
          <w:rFonts w:ascii="Calibri" w:hAnsi="Calibri" w:cs="Calibri"/>
          <w:color w:val="000000" w:themeColor="text1"/>
          <w:sz w:val="22"/>
          <w:szCs w:val="22"/>
          <w:shd w:val="clear" w:color="auto" w:fill="FFFFFF"/>
        </w:rPr>
        <w:t xml:space="preserve">, ‘The prevalence of Plasmodium falciparum in </w:t>
      </w:r>
      <w:r w:rsidR="00A2292A">
        <w:rPr>
          <w:rFonts w:ascii="Calibri" w:hAnsi="Calibri" w:cs="Calibri"/>
          <w:color w:val="000000" w:themeColor="text1"/>
          <w:sz w:val="22"/>
          <w:szCs w:val="22"/>
          <w:shd w:val="clear" w:color="auto" w:fill="FFFFFF"/>
        </w:rPr>
        <w:t>S</w:t>
      </w:r>
      <w:r w:rsidRPr="00454AD2">
        <w:rPr>
          <w:rFonts w:ascii="Calibri" w:hAnsi="Calibri" w:cs="Calibri"/>
          <w:color w:val="000000" w:themeColor="text1"/>
          <w:sz w:val="22"/>
          <w:szCs w:val="22"/>
          <w:shd w:val="clear" w:color="auto" w:fill="FFFFFF"/>
        </w:rPr>
        <w:t xml:space="preserve">ub-Saharan Africa since 1990’, </w:t>
      </w:r>
      <w:r w:rsidRPr="00454AD2">
        <w:rPr>
          <w:rFonts w:ascii="Calibri" w:hAnsi="Calibri" w:cs="Calibri"/>
          <w:i/>
          <w:color w:val="000000" w:themeColor="text1"/>
          <w:sz w:val="22"/>
          <w:szCs w:val="22"/>
          <w:shd w:val="clear" w:color="auto" w:fill="FFFFFF"/>
        </w:rPr>
        <w:t xml:space="preserve">Nature </w:t>
      </w:r>
      <w:r w:rsidRPr="00454AD2">
        <w:rPr>
          <w:rFonts w:ascii="Calibri" w:hAnsi="Calibri" w:cs="Calibri"/>
          <w:color w:val="000000" w:themeColor="text1"/>
          <w:sz w:val="22"/>
          <w:szCs w:val="22"/>
          <w:shd w:val="clear" w:color="auto" w:fill="FFFFFF"/>
        </w:rPr>
        <w:t>550:7677 (2017), 515-518.</w:t>
      </w:r>
    </w:p>
    <w:p w14:paraId="2680A073" w14:textId="77777777" w:rsidR="00442620" w:rsidRPr="00454AD2" w:rsidRDefault="00442620" w:rsidP="00442620">
      <w:pPr>
        <w:pStyle w:val="FootnoteText"/>
        <w:rPr>
          <w:rFonts w:ascii="Calibri" w:hAnsi="Calibri" w:cs="Calibri"/>
          <w:color w:val="000000" w:themeColor="text1"/>
          <w:sz w:val="22"/>
          <w:szCs w:val="22"/>
        </w:rPr>
      </w:pPr>
    </w:p>
    <w:p w14:paraId="2F9831F2" w14:textId="2F374BED" w:rsidR="00442620" w:rsidRPr="00454AD2" w:rsidRDefault="00442620" w:rsidP="00442620">
      <w:pPr>
        <w:rPr>
          <w:rFonts w:ascii="Calibri" w:hAnsi="Calibri" w:cs="Calibri"/>
          <w:color w:val="000000" w:themeColor="text1"/>
          <w:sz w:val="22"/>
          <w:szCs w:val="22"/>
          <w:lang w:eastAsia="en-GB"/>
        </w:rPr>
      </w:pPr>
      <w:r w:rsidRPr="00454AD2">
        <w:rPr>
          <w:rFonts w:ascii="Calibri" w:hAnsi="Calibri" w:cs="Calibri"/>
          <w:color w:val="000000" w:themeColor="text1"/>
          <w:sz w:val="22"/>
          <w:szCs w:val="22"/>
          <w:lang w:eastAsia="en-GB"/>
        </w:rPr>
        <w:t xml:space="preserve">Sommer A, 'Global health, global vision', </w:t>
      </w:r>
      <w:r w:rsidRPr="00454AD2">
        <w:rPr>
          <w:rFonts w:ascii="Calibri" w:hAnsi="Calibri" w:cs="Calibri"/>
          <w:i/>
          <w:iCs/>
          <w:color w:val="000000" w:themeColor="text1"/>
          <w:sz w:val="22"/>
          <w:szCs w:val="22"/>
          <w:lang w:eastAsia="en-GB"/>
        </w:rPr>
        <w:t xml:space="preserve">Archives of </w:t>
      </w:r>
      <w:r w:rsidR="00CF76AC">
        <w:rPr>
          <w:rFonts w:ascii="Calibri" w:hAnsi="Calibri" w:cs="Calibri"/>
          <w:i/>
          <w:iCs/>
          <w:color w:val="000000" w:themeColor="text1"/>
          <w:sz w:val="22"/>
          <w:szCs w:val="22"/>
          <w:lang w:eastAsia="en-GB"/>
        </w:rPr>
        <w:t>O</w:t>
      </w:r>
      <w:r w:rsidRPr="00454AD2">
        <w:rPr>
          <w:rFonts w:ascii="Calibri" w:hAnsi="Calibri" w:cs="Calibri"/>
          <w:i/>
          <w:iCs/>
          <w:color w:val="000000" w:themeColor="text1"/>
          <w:sz w:val="22"/>
          <w:szCs w:val="22"/>
          <w:lang w:eastAsia="en-GB"/>
        </w:rPr>
        <w:t>phthalmology</w:t>
      </w:r>
      <w:r w:rsidRPr="00454AD2">
        <w:rPr>
          <w:rFonts w:ascii="Calibri" w:hAnsi="Calibri" w:cs="Calibri"/>
          <w:color w:val="000000" w:themeColor="text1"/>
          <w:sz w:val="22"/>
          <w:szCs w:val="22"/>
          <w:lang w:eastAsia="en-GB"/>
        </w:rPr>
        <w:t>, 122:6 (2004), 911-912.</w:t>
      </w:r>
    </w:p>
    <w:p w14:paraId="7CC0E667" w14:textId="77777777" w:rsidR="00442620" w:rsidRPr="00454AD2" w:rsidRDefault="00442620" w:rsidP="00442620">
      <w:pPr>
        <w:rPr>
          <w:rFonts w:ascii="Calibri" w:hAnsi="Calibri" w:cs="Calibri"/>
          <w:color w:val="000000" w:themeColor="text1"/>
          <w:sz w:val="22"/>
          <w:szCs w:val="22"/>
          <w:lang w:eastAsia="en-GB"/>
        </w:rPr>
      </w:pPr>
    </w:p>
    <w:p w14:paraId="0F54074A"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Sridhar D and Woods N, ‘Trojan multilateralism: global cooperation in health’, </w:t>
      </w:r>
      <w:r w:rsidRPr="00454AD2">
        <w:rPr>
          <w:rFonts w:ascii="Calibri" w:hAnsi="Calibri" w:cs="Calibri"/>
          <w:i/>
          <w:color w:val="000000" w:themeColor="text1"/>
          <w:sz w:val="22"/>
          <w:szCs w:val="22"/>
        </w:rPr>
        <w:t xml:space="preserve">Global Policy </w:t>
      </w:r>
      <w:r w:rsidRPr="00454AD2">
        <w:rPr>
          <w:rFonts w:ascii="Calibri" w:hAnsi="Calibri" w:cs="Calibri"/>
          <w:color w:val="000000" w:themeColor="text1"/>
          <w:sz w:val="22"/>
          <w:szCs w:val="22"/>
        </w:rPr>
        <w:t>4:4 (2013), 325-335.</w:t>
      </w:r>
    </w:p>
    <w:p w14:paraId="25A85DC1" w14:textId="77777777" w:rsidR="00442620" w:rsidRPr="00454AD2" w:rsidRDefault="00442620" w:rsidP="00442620">
      <w:pPr>
        <w:pStyle w:val="FootnoteText"/>
        <w:rPr>
          <w:rFonts w:ascii="Calibri" w:hAnsi="Calibri" w:cs="Calibri"/>
          <w:color w:val="000000" w:themeColor="text1"/>
          <w:sz w:val="22"/>
          <w:szCs w:val="22"/>
        </w:rPr>
      </w:pPr>
    </w:p>
    <w:p w14:paraId="47216D9C"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Sridhar D, ‘Health policy: from the clinical to the economic gaze’, </w:t>
      </w:r>
      <w:r w:rsidRPr="00454AD2">
        <w:rPr>
          <w:rFonts w:ascii="Calibri" w:hAnsi="Calibri" w:cs="Calibri"/>
          <w:i/>
          <w:color w:val="000000" w:themeColor="text1"/>
          <w:sz w:val="22"/>
          <w:szCs w:val="22"/>
        </w:rPr>
        <w:t xml:space="preserve">The Lancet </w:t>
      </w:r>
      <w:r w:rsidRPr="00454AD2">
        <w:rPr>
          <w:rFonts w:ascii="Calibri" w:hAnsi="Calibri" w:cs="Calibri"/>
          <w:color w:val="000000" w:themeColor="text1"/>
          <w:sz w:val="22"/>
          <w:szCs w:val="22"/>
        </w:rPr>
        <w:t>378:9807 (2011), 1909.</w:t>
      </w:r>
    </w:p>
    <w:p w14:paraId="78F83C22" w14:textId="77777777" w:rsidR="00442620" w:rsidRPr="00454AD2" w:rsidRDefault="00442620" w:rsidP="00442620">
      <w:pPr>
        <w:pStyle w:val="FootnoteText"/>
        <w:rPr>
          <w:rFonts w:ascii="Calibri" w:hAnsi="Calibri" w:cs="Calibri"/>
          <w:color w:val="000000" w:themeColor="text1"/>
          <w:sz w:val="22"/>
          <w:szCs w:val="22"/>
          <w:shd w:val="clear" w:color="auto" w:fill="FFFFFF"/>
        </w:rPr>
      </w:pPr>
    </w:p>
    <w:p w14:paraId="6627D0B2" w14:textId="6AD6831B"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Sridhar </w:t>
      </w:r>
      <w:r w:rsidR="00C36D03">
        <w:rPr>
          <w:rFonts w:ascii="Calibri" w:hAnsi="Calibri" w:cs="Calibri"/>
          <w:color w:val="000000" w:themeColor="text1"/>
          <w:sz w:val="22"/>
          <w:szCs w:val="22"/>
        </w:rPr>
        <w:t>D, Winters J and Strong E</w:t>
      </w:r>
      <w:r w:rsidRPr="00454AD2">
        <w:rPr>
          <w:rFonts w:ascii="Calibri" w:hAnsi="Calibri" w:cs="Calibri"/>
          <w:color w:val="000000" w:themeColor="text1"/>
          <w:sz w:val="22"/>
          <w:szCs w:val="22"/>
        </w:rPr>
        <w:t xml:space="preserve">, ‘World Bank’s financing, priorities, and lending structures for global health’, </w:t>
      </w:r>
      <w:r w:rsidRPr="00454AD2">
        <w:rPr>
          <w:rFonts w:ascii="Calibri" w:hAnsi="Calibri" w:cs="Calibri"/>
          <w:i/>
          <w:color w:val="000000" w:themeColor="text1"/>
          <w:sz w:val="22"/>
          <w:szCs w:val="22"/>
        </w:rPr>
        <w:t xml:space="preserve">BMJ </w:t>
      </w:r>
      <w:r w:rsidRPr="00454AD2">
        <w:rPr>
          <w:rFonts w:ascii="Calibri" w:hAnsi="Calibri" w:cs="Calibri"/>
          <w:color w:val="000000" w:themeColor="text1"/>
          <w:sz w:val="22"/>
          <w:szCs w:val="22"/>
        </w:rPr>
        <w:t>358 (2017), j3339.</w:t>
      </w:r>
    </w:p>
    <w:p w14:paraId="207E2FAE" w14:textId="77777777" w:rsidR="00442620" w:rsidRPr="00454AD2" w:rsidRDefault="00442620" w:rsidP="00442620">
      <w:pPr>
        <w:pStyle w:val="FootnoteText"/>
        <w:rPr>
          <w:rFonts w:ascii="Calibri" w:hAnsi="Calibri" w:cs="Calibri"/>
          <w:color w:val="000000" w:themeColor="text1"/>
          <w:sz w:val="22"/>
          <w:szCs w:val="22"/>
        </w:rPr>
      </w:pPr>
    </w:p>
    <w:p w14:paraId="23F7F915" w14:textId="74EB6A1D"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Sridhar</w:t>
      </w:r>
      <w:r w:rsidR="00C36D03">
        <w:rPr>
          <w:rFonts w:ascii="Calibri" w:hAnsi="Calibri" w:cs="Calibri"/>
          <w:color w:val="000000" w:themeColor="text1"/>
          <w:sz w:val="22"/>
          <w:szCs w:val="22"/>
        </w:rPr>
        <w:t xml:space="preserve"> D</w:t>
      </w:r>
      <w:r w:rsidRPr="00454AD2">
        <w:rPr>
          <w:rFonts w:ascii="Calibri" w:hAnsi="Calibri" w:cs="Calibri"/>
          <w:color w:val="000000" w:themeColor="text1"/>
          <w:sz w:val="22"/>
          <w:szCs w:val="22"/>
        </w:rPr>
        <w:t xml:space="preserve">, </w:t>
      </w:r>
      <w:r w:rsidRPr="00454AD2">
        <w:rPr>
          <w:rFonts w:ascii="Calibri" w:hAnsi="Calibri" w:cs="Calibri"/>
          <w:i/>
          <w:color w:val="000000" w:themeColor="text1"/>
          <w:sz w:val="22"/>
          <w:szCs w:val="22"/>
        </w:rPr>
        <w:t xml:space="preserve">The battle against hunger: choice, circumstance, and the World Bank </w:t>
      </w:r>
      <w:r w:rsidRPr="00454AD2">
        <w:rPr>
          <w:rFonts w:ascii="Calibri" w:hAnsi="Calibri" w:cs="Calibri"/>
          <w:color w:val="000000" w:themeColor="text1"/>
          <w:sz w:val="22"/>
          <w:szCs w:val="22"/>
        </w:rPr>
        <w:t>(Oxford: Oxford University Press, 2008).</w:t>
      </w:r>
    </w:p>
    <w:p w14:paraId="7B1B706B" w14:textId="77777777" w:rsidR="00442620" w:rsidRPr="00454AD2" w:rsidRDefault="00442620" w:rsidP="00442620">
      <w:pPr>
        <w:pStyle w:val="FootnoteText"/>
        <w:rPr>
          <w:rFonts w:ascii="Calibri" w:hAnsi="Calibri" w:cs="Calibri"/>
          <w:color w:val="000000" w:themeColor="text1"/>
          <w:sz w:val="22"/>
          <w:szCs w:val="22"/>
        </w:rPr>
      </w:pPr>
    </w:p>
    <w:p w14:paraId="66B4B83F" w14:textId="77777777" w:rsidR="00442620" w:rsidRPr="00454AD2" w:rsidRDefault="00442620" w:rsidP="00442620">
      <w:pPr>
        <w:pStyle w:val="FootnoteText"/>
        <w:rPr>
          <w:rFonts w:ascii="Calibri" w:hAnsi="Calibri" w:cs="Calibri"/>
          <w:color w:val="000000" w:themeColor="text1"/>
          <w:sz w:val="22"/>
          <w:szCs w:val="22"/>
          <w:lang w:eastAsia="en-GB"/>
        </w:rPr>
      </w:pPr>
      <w:r w:rsidRPr="00454AD2">
        <w:rPr>
          <w:rFonts w:ascii="Calibri" w:hAnsi="Calibri" w:cs="Calibri"/>
          <w:color w:val="000000" w:themeColor="text1"/>
          <w:sz w:val="22"/>
          <w:szCs w:val="22"/>
          <w:lang w:eastAsia="en-GB"/>
        </w:rPr>
        <w:t xml:space="preserve">Staples AE, </w:t>
      </w:r>
      <w:r w:rsidRPr="00454AD2">
        <w:rPr>
          <w:rFonts w:ascii="Calibri" w:hAnsi="Calibri" w:cs="Calibri"/>
          <w:i/>
          <w:color w:val="000000" w:themeColor="text1"/>
          <w:sz w:val="22"/>
          <w:szCs w:val="22"/>
          <w:lang w:eastAsia="en-GB"/>
        </w:rPr>
        <w:t xml:space="preserve">The birth of development: how the World Bank, Food and Agriculture Organization, and World Health Organization changed the world </w:t>
      </w:r>
      <w:r w:rsidRPr="00454AD2">
        <w:rPr>
          <w:rFonts w:ascii="Calibri" w:hAnsi="Calibri" w:cs="Calibri"/>
          <w:color w:val="000000" w:themeColor="text1"/>
          <w:sz w:val="22"/>
          <w:szCs w:val="22"/>
          <w:lang w:eastAsia="en-GB"/>
        </w:rPr>
        <w:t>(Ohio: Kent State Press, 2006).</w:t>
      </w:r>
    </w:p>
    <w:p w14:paraId="3E0D40FF" w14:textId="77777777" w:rsidR="00442620" w:rsidRPr="00454AD2" w:rsidRDefault="00442620" w:rsidP="00442620">
      <w:pPr>
        <w:pStyle w:val="FootnoteText"/>
        <w:rPr>
          <w:rFonts w:ascii="Calibri" w:hAnsi="Calibri" w:cs="Calibri"/>
          <w:color w:val="000000" w:themeColor="text1"/>
          <w:sz w:val="22"/>
          <w:szCs w:val="22"/>
        </w:rPr>
      </w:pPr>
    </w:p>
    <w:p w14:paraId="1D8356FF"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Stein F and Sridhar D, ‘Health as a “global public good”: creating a market for pandemic risk’, </w:t>
      </w:r>
      <w:r w:rsidRPr="00454AD2">
        <w:rPr>
          <w:rFonts w:ascii="Calibri" w:hAnsi="Calibri" w:cs="Calibri"/>
          <w:i/>
          <w:color w:val="000000" w:themeColor="text1"/>
          <w:sz w:val="22"/>
          <w:szCs w:val="22"/>
        </w:rPr>
        <w:t xml:space="preserve">BMJ </w:t>
      </w:r>
      <w:r w:rsidRPr="00454AD2">
        <w:rPr>
          <w:rFonts w:ascii="Calibri" w:hAnsi="Calibri" w:cs="Calibri"/>
          <w:color w:val="000000" w:themeColor="text1"/>
          <w:sz w:val="22"/>
          <w:szCs w:val="22"/>
        </w:rPr>
        <w:t>358 (2017), J3397.</w:t>
      </w:r>
    </w:p>
    <w:p w14:paraId="52AD3EBD" w14:textId="77777777" w:rsidR="00442620" w:rsidRPr="00454AD2" w:rsidRDefault="00442620" w:rsidP="00442620">
      <w:pPr>
        <w:pStyle w:val="FootnoteText"/>
        <w:rPr>
          <w:rFonts w:ascii="Calibri" w:hAnsi="Calibri" w:cs="Calibri"/>
          <w:color w:val="000000" w:themeColor="text1"/>
          <w:sz w:val="22"/>
          <w:szCs w:val="22"/>
        </w:rPr>
      </w:pPr>
    </w:p>
    <w:p w14:paraId="5B4CCB26"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Stein F and Sridhar D, ‘The financialisation of global health’, </w:t>
      </w:r>
      <w:r w:rsidRPr="00454AD2">
        <w:rPr>
          <w:rFonts w:ascii="Calibri" w:hAnsi="Calibri" w:cs="Calibri"/>
          <w:i/>
          <w:color w:val="000000" w:themeColor="text1"/>
          <w:sz w:val="22"/>
          <w:szCs w:val="22"/>
        </w:rPr>
        <w:t xml:space="preserve">Wellcome Open Research </w:t>
      </w:r>
      <w:r w:rsidRPr="00454AD2">
        <w:rPr>
          <w:rFonts w:ascii="Calibri" w:hAnsi="Calibri" w:cs="Calibri"/>
          <w:color w:val="000000" w:themeColor="text1"/>
          <w:sz w:val="22"/>
          <w:szCs w:val="22"/>
        </w:rPr>
        <w:t>3:17 (2018).</w:t>
      </w:r>
    </w:p>
    <w:p w14:paraId="2C1A5FA0" w14:textId="77777777" w:rsidR="00442620" w:rsidRPr="00CF76AC" w:rsidRDefault="00442620" w:rsidP="00442620">
      <w:pPr>
        <w:pStyle w:val="FootnoteText"/>
        <w:rPr>
          <w:rFonts w:ascii="Calibri" w:hAnsi="Calibri" w:cs="Calibri"/>
          <w:color w:val="000000" w:themeColor="text1"/>
          <w:sz w:val="22"/>
          <w:szCs w:val="22"/>
        </w:rPr>
      </w:pPr>
    </w:p>
    <w:p w14:paraId="034275E6" w14:textId="7A1E440C" w:rsidR="00CF76AC" w:rsidRDefault="00442620" w:rsidP="00CF76AC">
      <w:pPr>
        <w:rPr>
          <w:rFonts w:ascii="Calibri" w:hAnsi="Calibri" w:cs="Calibri"/>
          <w:color w:val="000000" w:themeColor="text1"/>
          <w:sz w:val="22"/>
          <w:szCs w:val="22"/>
        </w:rPr>
      </w:pPr>
      <w:r w:rsidRPr="00CF76AC">
        <w:rPr>
          <w:rFonts w:ascii="Calibri" w:hAnsi="Calibri" w:cs="Calibri"/>
          <w:color w:val="000000" w:themeColor="text1"/>
          <w:sz w:val="22"/>
          <w:szCs w:val="22"/>
        </w:rPr>
        <w:t xml:space="preserve">Stein F, ‘Human capital and global health’, </w:t>
      </w:r>
      <w:r w:rsidRPr="00CF76AC">
        <w:rPr>
          <w:rFonts w:ascii="Calibri" w:hAnsi="Calibri" w:cs="Calibri"/>
          <w:i/>
          <w:color w:val="000000" w:themeColor="text1"/>
          <w:sz w:val="22"/>
          <w:szCs w:val="22"/>
        </w:rPr>
        <w:t xml:space="preserve">Global Health Governance Blog </w:t>
      </w:r>
      <w:r w:rsidRPr="00CF76AC">
        <w:rPr>
          <w:rFonts w:ascii="Calibri" w:hAnsi="Calibri" w:cs="Calibri"/>
          <w:color w:val="000000" w:themeColor="text1"/>
          <w:sz w:val="22"/>
          <w:szCs w:val="22"/>
        </w:rPr>
        <w:t>(</w:t>
      </w:r>
      <w:r w:rsidR="00CF76AC" w:rsidRPr="00CF76AC">
        <w:rPr>
          <w:rFonts w:ascii="Calibri" w:hAnsi="Calibri" w:cs="Calibri"/>
          <w:color w:val="000000" w:themeColor="text1"/>
          <w:sz w:val="22"/>
          <w:szCs w:val="22"/>
        </w:rPr>
        <w:t xml:space="preserve">online), </w:t>
      </w:r>
      <w:r w:rsidRPr="00CF76AC">
        <w:rPr>
          <w:rFonts w:ascii="Calibri" w:hAnsi="Calibri" w:cs="Calibri"/>
          <w:color w:val="000000" w:themeColor="text1"/>
          <w:sz w:val="22"/>
          <w:szCs w:val="22"/>
        </w:rPr>
        <w:t>5 May 2018</w:t>
      </w:r>
      <w:r w:rsidR="00CF76AC" w:rsidRPr="00CF76AC">
        <w:rPr>
          <w:rFonts w:ascii="Calibri" w:hAnsi="Calibri" w:cs="Calibri"/>
          <w:color w:val="000000" w:themeColor="text1"/>
          <w:sz w:val="22"/>
          <w:szCs w:val="22"/>
        </w:rPr>
        <w:t>, &lt;</w:t>
      </w:r>
      <w:r w:rsidR="00CF76AC" w:rsidRPr="00CF76AC">
        <w:rPr>
          <w:rFonts w:ascii="Calibri" w:hAnsi="Calibri" w:cs="Calibri"/>
          <w:sz w:val="22"/>
          <w:szCs w:val="22"/>
        </w:rPr>
        <w:t>http://globalhealthgovernance.org/blog/2018/5/5/human-capital-and-global-health&gt;</w:t>
      </w:r>
      <w:r w:rsidR="00CF76AC" w:rsidRPr="00CF76AC">
        <w:rPr>
          <w:rFonts w:ascii="Calibri" w:hAnsi="Calibri" w:cs="Calibri"/>
          <w:color w:val="000000" w:themeColor="text1"/>
          <w:sz w:val="22"/>
          <w:szCs w:val="22"/>
        </w:rPr>
        <w:t xml:space="preserve"> [accessed 15 January 2019].</w:t>
      </w:r>
    </w:p>
    <w:p w14:paraId="7625825B" w14:textId="1806E2F5" w:rsidR="00B040F0" w:rsidRDefault="00B040F0" w:rsidP="00CF76AC">
      <w:pPr>
        <w:rPr>
          <w:rFonts w:ascii="Calibri" w:hAnsi="Calibri" w:cs="Calibri"/>
          <w:color w:val="000000" w:themeColor="text1"/>
          <w:sz w:val="22"/>
          <w:szCs w:val="22"/>
        </w:rPr>
      </w:pPr>
    </w:p>
    <w:p w14:paraId="5B3D9B42" w14:textId="11BAB44B" w:rsidR="00B040F0" w:rsidRPr="00CF189D" w:rsidRDefault="00B040F0" w:rsidP="00CF76AC">
      <w:pPr>
        <w:rPr>
          <w:rFonts w:ascii="Calibri" w:hAnsi="Calibri" w:cs="Calibri"/>
          <w:sz w:val="22"/>
          <w:szCs w:val="22"/>
        </w:rPr>
      </w:pPr>
      <w:r w:rsidRPr="001C0900">
        <w:rPr>
          <w:rFonts w:ascii="Calibri" w:hAnsi="Calibri" w:cs="Calibri"/>
          <w:sz w:val="22"/>
          <w:szCs w:val="22"/>
        </w:rPr>
        <w:t xml:space="preserve">Stein H, </w:t>
      </w:r>
      <w:r w:rsidRPr="001C0900">
        <w:rPr>
          <w:rFonts w:ascii="Calibri" w:hAnsi="Calibri" w:cs="Calibri"/>
          <w:i/>
          <w:iCs/>
          <w:sz w:val="22"/>
          <w:szCs w:val="22"/>
        </w:rPr>
        <w:t xml:space="preserve">Beyond the World Bank agenda: an institutional approach to development </w:t>
      </w:r>
      <w:r w:rsidRPr="001C0900">
        <w:rPr>
          <w:rFonts w:ascii="Calibri" w:hAnsi="Calibri" w:cs="Calibri"/>
          <w:sz w:val="22"/>
          <w:szCs w:val="22"/>
        </w:rPr>
        <w:t>(Chicago: University of Chicago Press, 2008), 207-248.</w:t>
      </w:r>
    </w:p>
    <w:p w14:paraId="66B3CACF" w14:textId="77777777" w:rsidR="00442620" w:rsidRPr="00454AD2" w:rsidRDefault="00442620" w:rsidP="00442620">
      <w:pPr>
        <w:pStyle w:val="FootnoteText"/>
        <w:rPr>
          <w:rFonts w:ascii="Calibri" w:hAnsi="Calibri" w:cs="Calibri"/>
          <w:color w:val="000000" w:themeColor="text1"/>
          <w:sz w:val="22"/>
          <w:szCs w:val="22"/>
        </w:rPr>
      </w:pPr>
    </w:p>
    <w:p w14:paraId="1A78519A" w14:textId="1F5FE378"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Storeng KT and Palmer JJ, ‘When ethics and politics collide in global health research’, </w:t>
      </w:r>
      <w:r w:rsidRPr="00454AD2">
        <w:rPr>
          <w:rFonts w:ascii="Calibri" w:hAnsi="Calibri" w:cs="Calibri"/>
          <w:i/>
          <w:color w:val="000000" w:themeColor="text1"/>
          <w:sz w:val="22"/>
          <w:szCs w:val="22"/>
        </w:rPr>
        <w:t xml:space="preserve">Lancet </w:t>
      </w:r>
      <w:r w:rsidR="00C36D03">
        <w:rPr>
          <w:rFonts w:ascii="Calibri" w:hAnsi="Calibri" w:cs="Calibri"/>
          <w:color w:val="000000" w:themeColor="text1"/>
          <w:sz w:val="22"/>
          <w:szCs w:val="22"/>
        </w:rPr>
        <w:t>374:10193 (2019), 184-186.</w:t>
      </w:r>
    </w:p>
    <w:p w14:paraId="14DF31BA" w14:textId="77777777" w:rsidR="00442620" w:rsidRPr="00454AD2" w:rsidRDefault="00442620" w:rsidP="00442620">
      <w:pPr>
        <w:pStyle w:val="FootnoteText"/>
        <w:rPr>
          <w:rFonts w:ascii="Calibri" w:hAnsi="Calibri" w:cs="Calibri"/>
          <w:color w:val="000000" w:themeColor="text1"/>
          <w:sz w:val="22"/>
          <w:szCs w:val="22"/>
        </w:rPr>
      </w:pPr>
    </w:p>
    <w:p w14:paraId="51836990"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Storeng KT, ‘The GAVI Alliance and the “Gates approach” to health system strengthening’, </w:t>
      </w:r>
      <w:r w:rsidRPr="00454AD2">
        <w:rPr>
          <w:rFonts w:ascii="Calibri" w:hAnsi="Calibri" w:cs="Calibri"/>
          <w:i/>
          <w:color w:val="000000" w:themeColor="text1"/>
          <w:sz w:val="22"/>
          <w:szCs w:val="22"/>
        </w:rPr>
        <w:t xml:space="preserve">Global Public Health </w:t>
      </w:r>
      <w:r w:rsidRPr="00454AD2">
        <w:rPr>
          <w:rFonts w:ascii="Calibri" w:hAnsi="Calibri" w:cs="Calibri"/>
          <w:color w:val="000000" w:themeColor="text1"/>
          <w:sz w:val="22"/>
          <w:szCs w:val="22"/>
        </w:rPr>
        <w:t>9:8 (2014), 865-879.</w:t>
      </w:r>
    </w:p>
    <w:p w14:paraId="39758D9C" w14:textId="77777777" w:rsidR="00442620" w:rsidRPr="00454AD2" w:rsidRDefault="00442620" w:rsidP="00442620">
      <w:pPr>
        <w:pStyle w:val="FootnoteText"/>
        <w:rPr>
          <w:rFonts w:ascii="Calibri" w:hAnsi="Calibri" w:cs="Calibri"/>
          <w:color w:val="000000" w:themeColor="text1"/>
          <w:sz w:val="22"/>
          <w:szCs w:val="22"/>
        </w:rPr>
      </w:pPr>
    </w:p>
    <w:p w14:paraId="6DC65A68"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Strong E, </w:t>
      </w:r>
      <w:r w:rsidRPr="00454AD2">
        <w:rPr>
          <w:rFonts w:ascii="Calibri" w:hAnsi="Calibri" w:cs="Calibri"/>
          <w:i/>
          <w:color w:val="000000" w:themeColor="text1"/>
          <w:sz w:val="22"/>
          <w:szCs w:val="22"/>
        </w:rPr>
        <w:t xml:space="preserve">Analysing World Bank health funding themes in the period of 1985-2015 </w:t>
      </w:r>
      <w:r w:rsidRPr="00454AD2">
        <w:rPr>
          <w:rFonts w:ascii="Calibri" w:hAnsi="Calibri" w:cs="Calibri"/>
          <w:color w:val="000000" w:themeColor="text1"/>
          <w:sz w:val="22"/>
          <w:szCs w:val="22"/>
        </w:rPr>
        <w:t>[unpublished dissertation] (Edinburgh: University of Edinburgh School of Medicine, 2016).</w:t>
      </w:r>
    </w:p>
    <w:p w14:paraId="6D874595" w14:textId="77777777" w:rsidR="00442620" w:rsidRPr="00454AD2" w:rsidRDefault="00442620" w:rsidP="00442620">
      <w:pPr>
        <w:pStyle w:val="FootnoteText"/>
        <w:rPr>
          <w:rFonts w:ascii="Calibri" w:hAnsi="Calibri" w:cs="Calibri"/>
          <w:color w:val="000000" w:themeColor="text1"/>
          <w:sz w:val="22"/>
          <w:szCs w:val="22"/>
        </w:rPr>
      </w:pPr>
    </w:p>
    <w:p w14:paraId="7985646E"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Tanouye E, ‘Health: Merck’s “river blindness” gift hits snags’, </w:t>
      </w:r>
      <w:r w:rsidRPr="00454AD2">
        <w:rPr>
          <w:rFonts w:ascii="Calibri" w:hAnsi="Calibri" w:cs="Calibri"/>
          <w:i/>
          <w:color w:val="000000" w:themeColor="text1"/>
          <w:sz w:val="22"/>
          <w:szCs w:val="22"/>
        </w:rPr>
        <w:t xml:space="preserve">Wall Street Journal </w:t>
      </w:r>
      <w:r w:rsidRPr="00454AD2">
        <w:rPr>
          <w:rFonts w:ascii="Calibri" w:hAnsi="Calibri" w:cs="Calibri"/>
          <w:color w:val="000000" w:themeColor="text1"/>
          <w:sz w:val="22"/>
          <w:szCs w:val="22"/>
        </w:rPr>
        <w:t>23 September 1992).</w:t>
      </w:r>
    </w:p>
    <w:p w14:paraId="0D6AC12E" w14:textId="77777777" w:rsidR="00442620" w:rsidRPr="00454AD2" w:rsidRDefault="00442620" w:rsidP="00442620">
      <w:pPr>
        <w:pStyle w:val="FootnoteText"/>
        <w:rPr>
          <w:rFonts w:ascii="Calibri" w:hAnsi="Calibri" w:cs="Calibri"/>
          <w:color w:val="000000" w:themeColor="text1"/>
          <w:sz w:val="22"/>
          <w:szCs w:val="22"/>
        </w:rPr>
      </w:pPr>
    </w:p>
    <w:p w14:paraId="5381C6DE" w14:textId="77777777" w:rsidR="00442620" w:rsidRPr="00454AD2" w:rsidRDefault="00442620" w:rsidP="00442620">
      <w:pPr>
        <w:pStyle w:val="FootnoteText"/>
        <w:rPr>
          <w:rStyle w:val="FootnotesChar"/>
          <w:rFonts w:ascii="Calibri" w:hAnsi="Calibri" w:cs="Calibri"/>
          <w:color w:val="000000" w:themeColor="text1"/>
          <w:sz w:val="22"/>
          <w:szCs w:val="22"/>
        </w:rPr>
      </w:pPr>
      <w:r w:rsidRPr="00454AD2">
        <w:rPr>
          <w:rStyle w:val="FootnotesChar"/>
          <w:rFonts w:ascii="Calibri" w:hAnsi="Calibri" w:cs="Calibri"/>
          <w:color w:val="000000" w:themeColor="text1"/>
          <w:sz w:val="22"/>
          <w:szCs w:val="22"/>
        </w:rPr>
        <w:t xml:space="preserve">Tavis L, ‘River blindness: the Merck decision to develop and donate MECTIZAN’, in </w:t>
      </w:r>
      <w:r w:rsidRPr="00454AD2">
        <w:rPr>
          <w:rStyle w:val="FootnotesChar"/>
          <w:rFonts w:ascii="Calibri" w:hAnsi="Calibri" w:cs="Calibri"/>
          <w:i/>
          <w:color w:val="000000" w:themeColor="text1"/>
          <w:sz w:val="22"/>
          <w:szCs w:val="22"/>
        </w:rPr>
        <w:t>Power and responsibility: multinational managers and developing country concerns</w:t>
      </w:r>
      <w:r w:rsidRPr="00454AD2">
        <w:rPr>
          <w:rStyle w:val="FootnotesChar"/>
          <w:rFonts w:ascii="Calibri" w:hAnsi="Calibri" w:cs="Calibri"/>
          <w:color w:val="000000" w:themeColor="text1"/>
          <w:sz w:val="22"/>
          <w:szCs w:val="22"/>
        </w:rPr>
        <w:t xml:space="preserve"> (South Bend: University of Notre Dame Press, 1996), 87-113.</w:t>
      </w:r>
    </w:p>
    <w:p w14:paraId="6E2D3563" w14:textId="77777777" w:rsidR="00442620" w:rsidRPr="00454AD2" w:rsidRDefault="00442620" w:rsidP="00442620">
      <w:pPr>
        <w:pStyle w:val="FootnoteText"/>
        <w:rPr>
          <w:rFonts w:ascii="Calibri" w:hAnsi="Calibri" w:cs="Calibri"/>
          <w:color w:val="000000" w:themeColor="text1"/>
          <w:sz w:val="22"/>
          <w:szCs w:val="22"/>
        </w:rPr>
      </w:pPr>
    </w:p>
    <w:p w14:paraId="576615F8"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Taylor P, ‘The United Nations system under stress: financial pressures and their consequences’, </w:t>
      </w:r>
      <w:r w:rsidRPr="00454AD2">
        <w:rPr>
          <w:rFonts w:ascii="Calibri" w:hAnsi="Calibri" w:cs="Calibri"/>
          <w:i/>
          <w:color w:val="000000" w:themeColor="text1"/>
          <w:sz w:val="22"/>
          <w:szCs w:val="22"/>
        </w:rPr>
        <w:t xml:space="preserve">Review of International Studies </w:t>
      </w:r>
      <w:r w:rsidRPr="00454AD2">
        <w:rPr>
          <w:rFonts w:ascii="Calibri" w:hAnsi="Calibri" w:cs="Calibri"/>
          <w:color w:val="000000" w:themeColor="text1"/>
          <w:sz w:val="22"/>
          <w:szCs w:val="22"/>
        </w:rPr>
        <w:t>17:4 (1991), 365-382.</w:t>
      </w:r>
    </w:p>
    <w:p w14:paraId="0265A071" w14:textId="77777777" w:rsidR="00442620" w:rsidRPr="00454AD2" w:rsidRDefault="00442620" w:rsidP="00442620">
      <w:pPr>
        <w:pStyle w:val="FootnoteText"/>
        <w:rPr>
          <w:rFonts w:ascii="Calibri" w:hAnsi="Calibri" w:cs="Calibri"/>
          <w:color w:val="000000" w:themeColor="text1"/>
          <w:sz w:val="22"/>
          <w:szCs w:val="22"/>
        </w:rPr>
      </w:pPr>
    </w:p>
    <w:p w14:paraId="0FC8BE42" w14:textId="11041737" w:rsidR="00442620" w:rsidRDefault="00442620" w:rsidP="00442620">
      <w:pPr>
        <w:rPr>
          <w:rFonts w:ascii="Calibri" w:hAnsi="Calibri" w:cs="Calibri"/>
          <w:color w:val="000000" w:themeColor="text1"/>
          <w:sz w:val="22"/>
          <w:szCs w:val="22"/>
        </w:rPr>
      </w:pPr>
      <w:r w:rsidRPr="00454AD2">
        <w:rPr>
          <w:rFonts w:ascii="Calibri" w:hAnsi="Calibri" w:cs="Calibri"/>
          <w:color w:val="000000" w:themeColor="text1"/>
          <w:sz w:val="22"/>
          <w:szCs w:val="22"/>
        </w:rPr>
        <w:t xml:space="preserve">TDR, ‘Community directed treatment with ivermectin - report of a multi-country study’, </w:t>
      </w:r>
      <w:r w:rsidRPr="00454AD2">
        <w:rPr>
          <w:rFonts w:ascii="Calibri" w:hAnsi="Calibri" w:cs="Calibri"/>
          <w:i/>
          <w:color w:val="000000" w:themeColor="text1"/>
          <w:sz w:val="22"/>
          <w:szCs w:val="22"/>
        </w:rPr>
        <w:t>TDR Applied Research Reports</w:t>
      </w:r>
      <w:r w:rsidRPr="00454AD2">
        <w:rPr>
          <w:rFonts w:ascii="Calibri" w:hAnsi="Calibri" w:cs="Calibri"/>
          <w:color w:val="000000" w:themeColor="text1"/>
          <w:sz w:val="22"/>
          <w:szCs w:val="22"/>
        </w:rPr>
        <w:t xml:space="preserve"> (</w:t>
      </w:r>
      <w:r w:rsidR="00CF76AC">
        <w:rPr>
          <w:rFonts w:ascii="Calibri" w:hAnsi="Calibri" w:cs="Calibri"/>
          <w:color w:val="000000" w:themeColor="text1"/>
          <w:sz w:val="22"/>
          <w:szCs w:val="22"/>
        </w:rPr>
        <w:t xml:space="preserve">Washington DC: TDR, </w:t>
      </w:r>
      <w:r w:rsidRPr="00454AD2">
        <w:rPr>
          <w:rFonts w:ascii="Calibri" w:hAnsi="Calibri" w:cs="Calibri"/>
          <w:color w:val="000000" w:themeColor="text1"/>
          <w:sz w:val="22"/>
          <w:szCs w:val="22"/>
        </w:rPr>
        <w:t>1996).</w:t>
      </w:r>
    </w:p>
    <w:p w14:paraId="64FB591E" w14:textId="1996C053" w:rsidR="00B040F0" w:rsidRDefault="00B040F0" w:rsidP="00442620">
      <w:pPr>
        <w:rPr>
          <w:rFonts w:ascii="Calibri" w:hAnsi="Calibri" w:cs="Calibri"/>
          <w:color w:val="000000" w:themeColor="text1"/>
          <w:sz w:val="22"/>
          <w:szCs w:val="22"/>
        </w:rPr>
      </w:pPr>
    </w:p>
    <w:p w14:paraId="475CDD42" w14:textId="33FEB602" w:rsidR="00B040F0" w:rsidRPr="00CF189D" w:rsidRDefault="00B040F0" w:rsidP="00442620">
      <w:pPr>
        <w:rPr>
          <w:rFonts w:ascii="Calibri" w:hAnsi="Calibri" w:cs="Calibri"/>
          <w:sz w:val="22"/>
          <w:szCs w:val="22"/>
        </w:rPr>
      </w:pPr>
      <w:r w:rsidRPr="001C0900">
        <w:rPr>
          <w:rFonts w:ascii="Calibri" w:hAnsi="Calibri" w:cs="Calibri"/>
          <w:sz w:val="22"/>
          <w:szCs w:val="22"/>
        </w:rPr>
        <w:t xml:space="preserve">Thiesen JK, ‘A study of the effects of structural adjustment on education and health in Africa’, in GW Shepard and KNM Sonoko (Eds.), </w:t>
      </w:r>
      <w:r w:rsidRPr="001C0900">
        <w:rPr>
          <w:rFonts w:ascii="Calibri" w:hAnsi="Calibri" w:cs="Calibri"/>
          <w:i/>
          <w:iCs/>
          <w:sz w:val="22"/>
          <w:szCs w:val="22"/>
        </w:rPr>
        <w:t xml:space="preserve">Economic justice in Africa – adjustment and sustainable development </w:t>
      </w:r>
      <w:r w:rsidRPr="001C0900">
        <w:rPr>
          <w:rFonts w:ascii="Calibri" w:hAnsi="Calibri" w:cs="Calibri"/>
          <w:sz w:val="22"/>
          <w:szCs w:val="22"/>
        </w:rPr>
        <w:t>(Westport: Greenwood Press, 1994)</w:t>
      </w:r>
      <w:r>
        <w:rPr>
          <w:rFonts w:ascii="Calibri" w:hAnsi="Calibri" w:cs="Calibri"/>
          <w:sz w:val="22"/>
          <w:szCs w:val="22"/>
        </w:rPr>
        <w:t>.</w:t>
      </w:r>
    </w:p>
    <w:p w14:paraId="2337AE17" w14:textId="77777777" w:rsidR="00442620" w:rsidRPr="00454AD2" w:rsidRDefault="00442620" w:rsidP="00442620">
      <w:pPr>
        <w:rPr>
          <w:rFonts w:ascii="Calibri" w:hAnsi="Calibri" w:cs="Calibri"/>
          <w:color w:val="000000" w:themeColor="text1"/>
          <w:sz w:val="22"/>
          <w:szCs w:val="22"/>
        </w:rPr>
      </w:pPr>
    </w:p>
    <w:p w14:paraId="2A1E771B" w14:textId="0C1BFE06" w:rsidR="00442620"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Thomas J and Harden A, </w:t>
      </w:r>
      <w:r w:rsidRPr="00454AD2">
        <w:rPr>
          <w:rFonts w:ascii="Calibri" w:hAnsi="Calibri" w:cs="Calibri"/>
          <w:i/>
          <w:color w:val="000000" w:themeColor="text1"/>
          <w:sz w:val="22"/>
          <w:szCs w:val="22"/>
        </w:rPr>
        <w:t xml:space="preserve">Methods for the thematic synthesis of qualitative research in systematic reviews </w:t>
      </w:r>
      <w:r w:rsidRPr="00454AD2">
        <w:rPr>
          <w:rFonts w:ascii="Calibri" w:hAnsi="Calibri" w:cs="Calibri"/>
          <w:color w:val="000000" w:themeColor="text1"/>
          <w:sz w:val="22"/>
          <w:szCs w:val="22"/>
        </w:rPr>
        <w:t>(London: Economic and Social Research Council, s.d.).</w:t>
      </w:r>
    </w:p>
    <w:p w14:paraId="28ECE1C1" w14:textId="229D7E16" w:rsidR="00B040F0" w:rsidRDefault="00B040F0" w:rsidP="00442620">
      <w:pPr>
        <w:pStyle w:val="FootnoteText"/>
        <w:rPr>
          <w:rFonts w:ascii="Calibri" w:hAnsi="Calibri" w:cs="Calibri"/>
          <w:color w:val="000000" w:themeColor="text1"/>
          <w:sz w:val="22"/>
          <w:szCs w:val="22"/>
        </w:rPr>
      </w:pPr>
    </w:p>
    <w:p w14:paraId="0EFAC4B9" w14:textId="401A4809" w:rsidR="00B040F0" w:rsidRPr="00CF189D" w:rsidRDefault="00B040F0" w:rsidP="00CF189D">
      <w:pPr>
        <w:rPr>
          <w:rFonts w:ascii="Calibri" w:hAnsi="Calibri" w:cs="Calibri"/>
          <w:sz w:val="22"/>
          <w:szCs w:val="22"/>
        </w:rPr>
      </w:pPr>
      <w:r w:rsidRPr="001C0900">
        <w:rPr>
          <w:rFonts w:ascii="Calibri" w:hAnsi="Calibri" w:cs="Calibri"/>
          <w:sz w:val="22"/>
          <w:szCs w:val="22"/>
        </w:rPr>
        <w:t xml:space="preserve">Thomson M, ‘Structural adjustment programmes adversely affect vulnerable populations: a systematic-narrative review of their effect on child and maternal health’, </w:t>
      </w:r>
      <w:r w:rsidRPr="001C0900">
        <w:rPr>
          <w:rFonts w:ascii="Calibri" w:hAnsi="Calibri" w:cs="Calibri"/>
          <w:i/>
          <w:iCs/>
          <w:sz w:val="22"/>
          <w:szCs w:val="22"/>
        </w:rPr>
        <w:t xml:space="preserve">Public Health Reviews </w:t>
      </w:r>
      <w:r w:rsidRPr="001C0900">
        <w:rPr>
          <w:rFonts w:ascii="Calibri" w:hAnsi="Calibri" w:cs="Calibri"/>
          <w:sz w:val="22"/>
          <w:szCs w:val="22"/>
        </w:rPr>
        <w:t>38:13 (2017)</w:t>
      </w:r>
      <w:r>
        <w:rPr>
          <w:rFonts w:ascii="Calibri" w:hAnsi="Calibri" w:cs="Calibri"/>
          <w:sz w:val="22"/>
          <w:szCs w:val="22"/>
        </w:rPr>
        <w:t>.</w:t>
      </w:r>
    </w:p>
    <w:p w14:paraId="6DCC1CF9" w14:textId="77777777" w:rsidR="00442620" w:rsidRPr="00454AD2" w:rsidRDefault="00442620" w:rsidP="00442620">
      <w:pPr>
        <w:pStyle w:val="FootnoteText"/>
        <w:rPr>
          <w:rFonts w:ascii="Calibri" w:hAnsi="Calibri" w:cs="Calibri"/>
          <w:color w:val="000000" w:themeColor="text1"/>
          <w:sz w:val="22"/>
          <w:szCs w:val="22"/>
        </w:rPr>
      </w:pPr>
    </w:p>
    <w:p w14:paraId="4A807850"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Thylefors B, ‘Ocular onchocerciasis’, </w:t>
      </w:r>
      <w:r w:rsidRPr="00454AD2">
        <w:rPr>
          <w:rFonts w:ascii="Calibri" w:hAnsi="Calibri" w:cs="Calibri"/>
          <w:i/>
          <w:color w:val="000000" w:themeColor="text1"/>
          <w:sz w:val="22"/>
          <w:szCs w:val="22"/>
        </w:rPr>
        <w:t xml:space="preserve">Bulletin of the WHO </w:t>
      </w:r>
      <w:r w:rsidRPr="00454AD2">
        <w:rPr>
          <w:rFonts w:ascii="Calibri" w:hAnsi="Calibri" w:cs="Calibri"/>
          <w:color w:val="000000" w:themeColor="text1"/>
          <w:sz w:val="22"/>
          <w:szCs w:val="22"/>
        </w:rPr>
        <w:t>56:1 (1978), 63-73.</w:t>
      </w:r>
    </w:p>
    <w:p w14:paraId="3D9478A5" w14:textId="77777777" w:rsidR="00442620" w:rsidRPr="00454AD2" w:rsidRDefault="00442620" w:rsidP="00442620">
      <w:pPr>
        <w:pStyle w:val="FootnoteText"/>
        <w:rPr>
          <w:rFonts w:ascii="Calibri" w:hAnsi="Calibri" w:cs="Calibri"/>
          <w:color w:val="000000" w:themeColor="text1"/>
          <w:sz w:val="22"/>
          <w:szCs w:val="22"/>
        </w:rPr>
      </w:pPr>
    </w:p>
    <w:p w14:paraId="03E514C8" w14:textId="77777777" w:rsidR="00442620" w:rsidRPr="00454AD2" w:rsidRDefault="00442620" w:rsidP="00442620">
      <w:pPr>
        <w:rPr>
          <w:rFonts w:ascii="Calibri" w:hAnsi="Calibri" w:cs="Calibri"/>
          <w:color w:val="000000" w:themeColor="text1"/>
          <w:sz w:val="22"/>
          <w:szCs w:val="22"/>
        </w:rPr>
      </w:pPr>
      <w:r w:rsidRPr="00454AD2">
        <w:rPr>
          <w:rFonts w:ascii="Calibri" w:hAnsi="Calibri" w:cs="Calibri"/>
          <w:color w:val="000000" w:themeColor="text1"/>
          <w:sz w:val="22"/>
          <w:szCs w:val="22"/>
        </w:rPr>
        <w:t xml:space="preserve">Thylefors B, ‘The Mectizan Donation Program (MDP)’, </w:t>
      </w:r>
      <w:r w:rsidRPr="00454AD2">
        <w:rPr>
          <w:rFonts w:ascii="Calibri" w:hAnsi="Calibri" w:cs="Calibri"/>
          <w:i/>
          <w:color w:val="000000" w:themeColor="text1"/>
          <w:sz w:val="22"/>
          <w:szCs w:val="22"/>
        </w:rPr>
        <w:t xml:space="preserve">Annals of Tropical Medicine &amp; Parasitology </w:t>
      </w:r>
      <w:r w:rsidRPr="00454AD2">
        <w:rPr>
          <w:rFonts w:ascii="Calibri" w:hAnsi="Calibri" w:cs="Calibri"/>
          <w:color w:val="000000" w:themeColor="text1"/>
          <w:sz w:val="22"/>
          <w:szCs w:val="22"/>
        </w:rPr>
        <w:t>102 (2008), 39-44.</w:t>
      </w:r>
    </w:p>
    <w:p w14:paraId="065AF109" w14:textId="77777777" w:rsidR="00442620" w:rsidRPr="00454AD2" w:rsidRDefault="00442620" w:rsidP="00442620">
      <w:pPr>
        <w:rPr>
          <w:rFonts w:ascii="Calibri" w:hAnsi="Calibri" w:cs="Calibri"/>
          <w:color w:val="000000" w:themeColor="text1"/>
          <w:sz w:val="22"/>
          <w:szCs w:val="22"/>
        </w:rPr>
      </w:pPr>
    </w:p>
    <w:p w14:paraId="69DD9878"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Tichenor M and Sridhar D, ‘Metric partnerships: global burden of disease estimates within the World Bank, the World Health Organisation and the Institute for Health Metrics and Evaluation’, </w:t>
      </w:r>
      <w:r w:rsidRPr="00454AD2">
        <w:rPr>
          <w:rFonts w:ascii="Calibri" w:hAnsi="Calibri" w:cs="Calibri"/>
          <w:i/>
          <w:color w:val="000000" w:themeColor="text1"/>
          <w:sz w:val="22"/>
          <w:szCs w:val="22"/>
        </w:rPr>
        <w:t xml:space="preserve">Wellcome Open Research </w:t>
      </w:r>
      <w:r w:rsidRPr="00454AD2">
        <w:rPr>
          <w:rFonts w:ascii="Calibri" w:hAnsi="Calibri" w:cs="Calibri"/>
          <w:color w:val="000000" w:themeColor="text1"/>
          <w:sz w:val="22"/>
          <w:szCs w:val="22"/>
        </w:rPr>
        <w:t>4:35 (2019).</w:t>
      </w:r>
    </w:p>
    <w:p w14:paraId="752F2841" w14:textId="77777777" w:rsidR="00442620" w:rsidRPr="00454AD2" w:rsidRDefault="00442620" w:rsidP="00442620">
      <w:pPr>
        <w:pStyle w:val="FootnoteText"/>
        <w:rPr>
          <w:rFonts w:ascii="Calibri" w:hAnsi="Calibri" w:cs="Calibri"/>
          <w:color w:val="000000" w:themeColor="text1"/>
          <w:sz w:val="22"/>
          <w:szCs w:val="22"/>
        </w:rPr>
      </w:pPr>
    </w:p>
    <w:p w14:paraId="2D283EB3"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Tichenor M and Sridhar D, ‘Universal health coverage, health system strengthening, and the World Bank’, </w:t>
      </w:r>
      <w:r w:rsidRPr="00454AD2">
        <w:rPr>
          <w:rFonts w:ascii="Calibri" w:hAnsi="Calibri" w:cs="Calibri"/>
          <w:i/>
          <w:color w:val="000000" w:themeColor="text1"/>
          <w:sz w:val="22"/>
          <w:szCs w:val="22"/>
        </w:rPr>
        <w:t xml:space="preserve">BMJ </w:t>
      </w:r>
      <w:r w:rsidRPr="00454AD2">
        <w:rPr>
          <w:rFonts w:ascii="Calibri" w:hAnsi="Calibri" w:cs="Calibri"/>
          <w:color w:val="000000" w:themeColor="text1"/>
          <w:sz w:val="22"/>
          <w:szCs w:val="22"/>
        </w:rPr>
        <w:t>358 (2017), j3347.</w:t>
      </w:r>
    </w:p>
    <w:p w14:paraId="7BFA20E1" w14:textId="77777777" w:rsidR="00442620" w:rsidRPr="00B040F0" w:rsidRDefault="00442620" w:rsidP="00442620">
      <w:pPr>
        <w:pStyle w:val="FootnoteText"/>
        <w:rPr>
          <w:rFonts w:ascii="Calibri" w:hAnsi="Calibri" w:cs="Calibri"/>
          <w:color w:val="000000" w:themeColor="text1"/>
          <w:sz w:val="22"/>
          <w:szCs w:val="22"/>
        </w:rPr>
      </w:pPr>
    </w:p>
    <w:p w14:paraId="45CC5F5C" w14:textId="4BC33271" w:rsidR="00442620" w:rsidRPr="00CF189D" w:rsidRDefault="00442620" w:rsidP="00DD4818">
      <w:pPr>
        <w:pStyle w:val="Footnotes"/>
        <w:rPr>
          <w:rFonts w:ascii="Calibri" w:hAnsi="Calibri" w:cs="Calibri"/>
          <w:sz w:val="22"/>
          <w:szCs w:val="22"/>
          <w:lang w:eastAsia="en-GB"/>
        </w:rPr>
      </w:pPr>
      <w:r w:rsidRPr="00CF189D">
        <w:rPr>
          <w:rFonts w:ascii="Calibri" w:hAnsi="Calibri" w:cs="Calibri"/>
          <w:sz w:val="22"/>
          <w:szCs w:val="22"/>
          <w:lang w:eastAsia="en-GB"/>
        </w:rPr>
        <w:t xml:space="preserve">Tielsch JM and Beeche A, </w:t>
      </w:r>
      <w:r w:rsidR="00CF76AC" w:rsidRPr="00CF189D">
        <w:rPr>
          <w:rFonts w:ascii="Calibri" w:hAnsi="Calibri" w:cs="Calibri"/>
          <w:sz w:val="22"/>
          <w:szCs w:val="22"/>
          <w:lang w:eastAsia="en-GB"/>
        </w:rPr>
        <w:t>‘</w:t>
      </w:r>
      <w:r w:rsidRPr="00CF189D">
        <w:rPr>
          <w:rFonts w:ascii="Calibri" w:hAnsi="Calibri" w:cs="Calibri"/>
          <w:sz w:val="22"/>
          <w:szCs w:val="22"/>
          <w:lang w:eastAsia="en-GB"/>
        </w:rPr>
        <w:t>Impact of ivermectin on illness and disability associated with onchocerciasis</w:t>
      </w:r>
      <w:r w:rsidR="00CF76AC" w:rsidRPr="00CF189D">
        <w:rPr>
          <w:rFonts w:ascii="Calibri" w:hAnsi="Calibri" w:cs="Calibri"/>
          <w:sz w:val="22"/>
          <w:szCs w:val="22"/>
          <w:lang w:eastAsia="en-GB"/>
        </w:rPr>
        <w:t>’</w:t>
      </w:r>
      <w:r w:rsidRPr="00CF189D">
        <w:rPr>
          <w:rFonts w:ascii="Calibri" w:hAnsi="Calibri" w:cs="Calibri"/>
          <w:sz w:val="22"/>
          <w:szCs w:val="22"/>
          <w:lang w:eastAsia="en-GB"/>
        </w:rPr>
        <w:t xml:space="preserve">, </w:t>
      </w:r>
      <w:r w:rsidRPr="00CF189D">
        <w:rPr>
          <w:rFonts w:ascii="Calibri" w:hAnsi="Calibri" w:cs="Calibri"/>
          <w:i/>
          <w:iCs/>
          <w:sz w:val="22"/>
          <w:szCs w:val="22"/>
          <w:lang w:eastAsia="en-GB"/>
        </w:rPr>
        <w:t>Tropical Medicine &amp; International Health</w:t>
      </w:r>
      <w:r w:rsidRPr="00CF189D">
        <w:rPr>
          <w:rFonts w:ascii="Calibri" w:hAnsi="Calibri" w:cs="Calibri"/>
          <w:sz w:val="22"/>
          <w:szCs w:val="22"/>
          <w:lang w:eastAsia="en-GB"/>
        </w:rPr>
        <w:t>, 9:4 (2004), A45-A56.</w:t>
      </w:r>
    </w:p>
    <w:p w14:paraId="4292132A" w14:textId="77777777" w:rsidR="00442620" w:rsidRPr="00B040F0" w:rsidRDefault="00442620" w:rsidP="00442620">
      <w:pPr>
        <w:pStyle w:val="FootnoteText"/>
        <w:rPr>
          <w:rFonts w:ascii="Calibri" w:hAnsi="Calibri" w:cs="Calibri"/>
          <w:color w:val="000000" w:themeColor="text1"/>
          <w:sz w:val="22"/>
          <w:szCs w:val="22"/>
        </w:rPr>
      </w:pPr>
    </w:p>
    <w:p w14:paraId="78F5FB76" w14:textId="77777777" w:rsidR="00442620" w:rsidRPr="00454AD2" w:rsidRDefault="00442620" w:rsidP="00442620">
      <w:pPr>
        <w:pStyle w:val="FootnoteText"/>
        <w:rPr>
          <w:rFonts w:ascii="Calibri" w:hAnsi="Calibri" w:cs="Calibri"/>
          <w:color w:val="000000" w:themeColor="text1"/>
          <w:sz w:val="22"/>
          <w:szCs w:val="22"/>
        </w:rPr>
      </w:pPr>
      <w:r w:rsidRPr="00B040F0">
        <w:rPr>
          <w:rFonts w:ascii="Calibri" w:hAnsi="Calibri" w:cs="Calibri"/>
          <w:color w:val="000000" w:themeColor="text1"/>
          <w:sz w:val="22"/>
          <w:szCs w:val="22"/>
        </w:rPr>
        <w:t>Torrance GW, ‘Health status index models</w:t>
      </w:r>
      <w:r w:rsidRPr="00454AD2">
        <w:rPr>
          <w:rFonts w:ascii="Calibri" w:hAnsi="Calibri" w:cs="Calibri"/>
          <w:color w:val="000000" w:themeColor="text1"/>
          <w:sz w:val="22"/>
          <w:szCs w:val="22"/>
        </w:rPr>
        <w:t xml:space="preserve">: a unified mathematical view’, </w:t>
      </w:r>
      <w:r w:rsidRPr="00454AD2">
        <w:rPr>
          <w:rFonts w:ascii="Calibri" w:hAnsi="Calibri" w:cs="Calibri"/>
          <w:i/>
          <w:color w:val="000000" w:themeColor="text1"/>
          <w:sz w:val="22"/>
          <w:szCs w:val="22"/>
        </w:rPr>
        <w:t xml:space="preserve">Management Science </w:t>
      </w:r>
      <w:r w:rsidRPr="00454AD2">
        <w:rPr>
          <w:rFonts w:ascii="Calibri" w:hAnsi="Calibri" w:cs="Calibri"/>
          <w:color w:val="000000" w:themeColor="text1"/>
          <w:sz w:val="22"/>
          <w:szCs w:val="22"/>
        </w:rPr>
        <w:t>22 (1976), 990-1001.</w:t>
      </w:r>
    </w:p>
    <w:p w14:paraId="0FBCC978" w14:textId="77777777" w:rsidR="00442620" w:rsidRPr="00454AD2" w:rsidRDefault="00442620" w:rsidP="00442620">
      <w:pPr>
        <w:pStyle w:val="FootnoteText"/>
        <w:rPr>
          <w:rFonts w:ascii="Calibri" w:hAnsi="Calibri" w:cs="Calibri"/>
          <w:color w:val="000000" w:themeColor="text1"/>
          <w:sz w:val="22"/>
          <w:szCs w:val="22"/>
        </w:rPr>
      </w:pPr>
    </w:p>
    <w:p w14:paraId="5889ADC6" w14:textId="741D7096"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Trouiller </w:t>
      </w:r>
      <w:r w:rsidR="00C36D03">
        <w:rPr>
          <w:rFonts w:ascii="Calibri" w:hAnsi="Calibri" w:cs="Calibri"/>
          <w:color w:val="000000" w:themeColor="text1"/>
          <w:sz w:val="22"/>
          <w:szCs w:val="22"/>
        </w:rPr>
        <w:t>P, Olliaro P, Torreele E, Orbinski J, Laing R and Ford N</w:t>
      </w:r>
      <w:r w:rsidRPr="00454AD2">
        <w:rPr>
          <w:rFonts w:ascii="Calibri" w:hAnsi="Calibri" w:cs="Calibri"/>
          <w:color w:val="000000" w:themeColor="text1"/>
          <w:sz w:val="22"/>
          <w:szCs w:val="22"/>
        </w:rPr>
        <w:t xml:space="preserve">, ‘Drug development for neglected diseases: a deficient market and a public-health policy failure’, </w:t>
      </w:r>
      <w:r w:rsidRPr="00454AD2">
        <w:rPr>
          <w:rFonts w:ascii="Calibri" w:hAnsi="Calibri" w:cs="Calibri"/>
          <w:i/>
          <w:color w:val="000000" w:themeColor="text1"/>
          <w:sz w:val="22"/>
          <w:szCs w:val="22"/>
        </w:rPr>
        <w:t xml:space="preserve">Lancet </w:t>
      </w:r>
      <w:r w:rsidRPr="00454AD2">
        <w:rPr>
          <w:rFonts w:ascii="Calibri" w:hAnsi="Calibri" w:cs="Calibri"/>
          <w:color w:val="000000" w:themeColor="text1"/>
          <w:sz w:val="22"/>
          <w:szCs w:val="22"/>
        </w:rPr>
        <w:t>359 (2002), 2188-2194.</w:t>
      </w:r>
    </w:p>
    <w:p w14:paraId="34DC7313" w14:textId="77777777" w:rsidR="00442620" w:rsidRPr="00454AD2" w:rsidRDefault="00442620" w:rsidP="00442620">
      <w:pPr>
        <w:pStyle w:val="FootnoteText"/>
        <w:rPr>
          <w:rFonts w:ascii="Calibri" w:hAnsi="Calibri" w:cs="Calibri"/>
          <w:color w:val="000000" w:themeColor="text1"/>
          <w:sz w:val="22"/>
          <w:szCs w:val="22"/>
        </w:rPr>
      </w:pPr>
    </w:p>
    <w:p w14:paraId="08377A32" w14:textId="77777777" w:rsidR="00442620" w:rsidRPr="00454AD2" w:rsidRDefault="00442620" w:rsidP="00442620">
      <w:pPr>
        <w:pStyle w:val="FootnoteText"/>
        <w:rPr>
          <w:rFonts w:ascii="Calibri" w:hAnsi="Calibri" w:cs="Calibri"/>
          <w:color w:val="000000" w:themeColor="text1"/>
          <w:sz w:val="22"/>
          <w:szCs w:val="22"/>
        </w:rPr>
      </w:pPr>
      <w:r w:rsidRPr="00454AD2">
        <w:rPr>
          <w:rFonts w:ascii="Calibri" w:hAnsi="Calibri" w:cs="Calibri"/>
          <w:color w:val="000000" w:themeColor="text1"/>
          <w:sz w:val="22"/>
          <w:szCs w:val="22"/>
        </w:rPr>
        <w:t xml:space="preserve">Tsalikis G, ‘The Onchocerciasis Control Programme (OCP) in West Africa: a review of progress’, </w:t>
      </w:r>
      <w:r w:rsidRPr="00454AD2">
        <w:rPr>
          <w:rFonts w:ascii="Calibri" w:hAnsi="Calibri" w:cs="Calibri"/>
          <w:i/>
          <w:color w:val="000000" w:themeColor="text1"/>
          <w:sz w:val="22"/>
          <w:szCs w:val="22"/>
        </w:rPr>
        <w:t xml:space="preserve">Health Policy and Planning </w:t>
      </w:r>
      <w:r w:rsidRPr="00454AD2">
        <w:rPr>
          <w:rFonts w:ascii="Calibri" w:hAnsi="Calibri" w:cs="Calibri"/>
          <w:color w:val="000000" w:themeColor="text1"/>
          <w:sz w:val="22"/>
          <w:szCs w:val="22"/>
        </w:rPr>
        <w:t>8:4 (1993), 349-359.</w:t>
      </w:r>
    </w:p>
    <w:p w14:paraId="53577EEB" w14:textId="77777777" w:rsidR="00442620" w:rsidRPr="00454AD2" w:rsidRDefault="00442620" w:rsidP="00442620">
      <w:pPr>
        <w:pStyle w:val="FootnoteText"/>
        <w:rPr>
          <w:rFonts w:ascii="Calibri" w:hAnsi="Calibri" w:cs="Calibri"/>
          <w:color w:val="000000" w:themeColor="text1"/>
          <w:sz w:val="22"/>
          <w:szCs w:val="22"/>
        </w:rPr>
      </w:pPr>
    </w:p>
    <w:p w14:paraId="5EACE465" w14:textId="77777777" w:rsidR="00442620" w:rsidRPr="00454AD2" w:rsidRDefault="00442620" w:rsidP="00442620">
      <w:pPr>
        <w:pStyle w:val="FootnoteText"/>
        <w:rPr>
          <w:rFonts w:ascii="Calibri" w:hAnsi="Calibri" w:cs="Calibri"/>
          <w:color w:val="000000" w:themeColor="text1"/>
          <w:sz w:val="22"/>
          <w:szCs w:val="22"/>
        </w:rPr>
      </w:pPr>
    </w:p>
    <w:p w14:paraId="29C2ED88" w14:textId="77777777" w:rsidR="00442620" w:rsidRPr="00454AD2" w:rsidRDefault="00442620" w:rsidP="00442620">
      <w:pPr>
        <w:pStyle w:val="FootnoteText"/>
        <w:rPr>
          <w:rFonts w:ascii="Calibri" w:hAnsi="Calibri" w:cs="Calibri"/>
          <w:b/>
          <w:i/>
          <w:color w:val="000000" w:themeColor="text1"/>
          <w:sz w:val="22"/>
          <w:szCs w:val="22"/>
        </w:rPr>
      </w:pPr>
      <w:r w:rsidRPr="00454AD2">
        <w:rPr>
          <w:rFonts w:ascii="Calibri" w:hAnsi="Calibri" w:cs="Calibri"/>
          <w:b/>
          <w:i/>
          <w:color w:val="000000" w:themeColor="text1"/>
          <w:sz w:val="22"/>
          <w:szCs w:val="22"/>
        </w:rPr>
        <w:t>United Nations Archives</w:t>
      </w:r>
    </w:p>
    <w:p w14:paraId="361F3108" w14:textId="77777777" w:rsidR="00442620" w:rsidRPr="00454AD2" w:rsidRDefault="00442620" w:rsidP="00442620">
      <w:pPr>
        <w:pStyle w:val="FootnoteText"/>
        <w:rPr>
          <w:rFonts w:ascii="Calibri" w:hAnsi="Calibri" w:cs="Calibri"/>
          <w:i/>
          <w:color w:val="000000" w:themeColor="text1"/>
          <w:sz w:val="22"/>
          <w:szCs w:val="22"/>
        </w:rPr>
      </w:pPr>
    </w:p>
    <w:p w14:paraId="65A8C357" w14:textId="77777777" w:rsidR="00442620" w:rsidRPr="00454AD2" w:rsidRDefault="00442620" w:rsidP="00442620">
      <w:pPr>
        <w:pStyle w:val="FootnoteText"/>
        <w:ind w:left="426" w:hanging="426"/>
        <w:rPr>
          <w:rFonts w:ascii="Calibri" w:hAnsi="Calibri" w:cs="Calibri"/>
          <w:color w:val="000000" w:themeColor="text1"/>
          <w:sz w:val="22"/>
          <w:szCs w:val="22"/>
        </w:rPr>
      </w:pPr>
      <w:r w:rsidRPr="00454AD2">
        <w:rPr>
          <w:rFonts w:ascii="Calibri" w:hAnsi="Calibri" w:cs="Calibri"/>
          <w:color w:val="000000" w:themeColor="text1"/>
          <w:sz w:val="22"/>
          <w:szCs w:val="22"/>
        </w:rPr>
        <w:t>------s-0053-14-7, ‘Joint US-AID/OCCGE/WHO technical meeting on the feasibility of onchocerciasis control, Tunis, 1-8 July’, 1968.</w:t>
      </w:r>
    </w:p>
    <w:p w14:paraId="165ACCBB" w14:textId="77777777" w:rsidR="00442620" w:rsidRPr="00454AD2" w:rsidRDefault="00442620" w:rsidP="00442620">
      <w:pPr>
        <w:pStyle w:val="FootnoteText"/>
        <w:ind w:left="426" w:hanging="426"/>
        <w:rPr>
          <w:rFonts w:ascii="Calibri" w:hAnsi="Calibri" w:cs="Calibri"/>
          <w:color w:val="000000" w:themeColor="text1"/>
          <w:sz w:val="22"/>
          <w:szCs w:val="22"/>
        </w:rPr>
      </w:pPr>
    </w:p>
    <w:p w14:paraId="346CD988" w14:textId="77777777" w:rsidR="00442620" w:rsidRPr="00454AD2" w:rsidRDefault="00442620" w:rsidP="00442620">
      <w:pPr>
        <w:pStyle w:val="FootnoteText"/>
        <w:ind w:left="426" w:hanging="426"/>
        <w:rPr>
          <w:rFonts w:ascii="Calibri" w:hAnsi="Calibri" w:cs="Calibri"/>
          <w:color w:val="000000" w:themeColor="text1"/>
          <w:sz w:val="22"/>
          <w:szCs w:val="22"/>
        </w:rPr>
      </w:pPr>
      <w:r w:rsidRPr="00454AD2">
        <w:rPr>
          <w:rFonts w:ascii="Calibri" w:hAnsi="Calibri" w:cs="Calibri"/>
          <w:color w:val="000000" w:themeColor="text1"/>
          <w:sz w:val="22"/>
          <w:szCs w:val="22"/>
        </w:rPr>
        <w:t>------s-0053-14-7, Arne Barkhuss to A.V. Kunst, ‘African conference on onchocerciasis in Leopoldville, 1-6 October 1954’, 21 July 1954.</w:t>
      </w:r>
    </w:p>
    <w:p w14:paraId="4EE207B4" w14:textId="77777777" w:rsidR="00442620" w:rsidRPr="00454AD2" w:rsidRDefault="00442620" w:rsidP="00442620">
      <w:pPr>
        <w:pStyle w:val="FootnoteText"/>
        <w:ind w:left="426" w:hanging="426"/>
        <w:rPr>
          <w:rFonts w:ascii="Calibri" w:hAnsi="Calibri" w:cs="Calibri"/>
          <w:color w:val="000000" w:themeColor="text1"/>
          <w:sz w:val="22"/>
          <w:szCs w:val="22"/>
        </w:rPr>
      </w:pPr>
    </w:p>
    <w:p w14:paraId="504E614D" w14:textId="77777777" w:rsidR="00442620" w:rsidRPr="00454AD2" w:rsidRDefault="00442620" w:rsidP="00442620">
      <w:pPr>
        <w:pStyle w:val="FootnoteText"/>
        <w:ind w:left="426" w:hanging="426"/>
        <w:rPr>
          <w:rFonts w:ascii="Calibri" w:hAnsi="Calibri" w:cs="Calibri"/>
          <w:color w:val="000000" w:themeColor="text1"/>
          <w:sz w:val="22"/>
          <w:szCs w:val="22"/>
        </w:rPr>
      </w:pPr>
      <w:r w:rsidRPr="00454AD2">
        <w:rPr>
          <w:rFonts w:ascii="Calibri" w:hAnsi="Calibri" w:cs="Calibri"/>
          <w:color w:val="000000" w:themeColor="text1"/>
          <w:sz w:val="22"/>
          <w:szCs w:val="22"/>
        </w:rPr>
        <w:t>------s-0053-14-7, John C. De Wilde, ‘The campaign against onchocerciasis in West Africa’, [1969].</w:t>
      </w:r>
    </w:p>
    <w:p w14:paraId="69F7A9CD" w14:textId="77777777" w:rsidR="00442620" w:rsidRPr="00454AD2" w:rsidRDefault="00442620" w:rsidP="00442620">
      <w:pPr>
        <w:pStyle w:val="FootnoteText"/>
        <w:ind w:left="426" w:hanging="426"/>
        <w:rPr>
          <w:rFonts w:ascii="Calibri" w:hAnsi="Calibri" w:cs="Calibri"/>
          <w:color w:val="000000" w:themeColor="text1"/>
          <w:sz w:val="22"/>
          <w:szCs w:val="22"/>
        </w:rPr>
      </w:pPr>
    </w:p>
    <w:p w14:paraId="5D3A0DB7" w14:textId="77777777" w:rsidR="00442620" w:rsidRPr="00454AD2" w:rsidRDefault="00442620" w:rsidP="00442620">
      <w:pPr>
        <w:pStyle w:val="FootnoteText"/>
        <w:ind w:left="426" w:hanging="426"/>
        <w:rPr>
          <w:rFonts w:ascii="Calibri" w:hAnsi="Calibri" w:cs="Calibri"/>
          <w:color w:val="000000" w:themeColor="text1"/>
          <w:sz w:val="22"/>
          <w:szCs w:val="22"/>
        </w:rPr>
      </w:pPr>
      <w:r w:rsidRPr="00454AD2">
        <w:rPr>
          <w:rFonts w:ascii="Calibri" w:hAnsi="Calibri" w:cs="Calibri"/>
          <w:color w:val="000000" w:themeColor="text1"/>
          <w:sz w:val="22"/>
          <w:szCs w:val="22"/>
        </w:rPr>
        <w:t xml:space="preserve">------s-0053-14-7, ‘Proposed agenda for African conference on onchocerciasis’, [c. 1954]. </w:t>
      </w:r>
    </w:p>
    <w:p w14:paraId="172D0312" w14:textId="77777777" w:rsidR="00442620" w:rsidRPr="00454AD2" w:rsidRDefault="00442620" w:rsidP="00442620">
      <w:pPr>
        <w:pStyle w:val="FootnoteText"/>
        <w:ind w:left="426" w:hanging="426"/>
        <w:rPr>
          <w:rFonts w:ascii="Calibri" w:hAnsi="Calibri" w:cs="Calibri"/>
          <w:color w:val="000000" w:themeColor="text1"/>
          <w:sz w:val="22"/>
          <w:szCs w:val="22"/>
        </w:rPr>
      </w:pPr>
    </w:p>
    <w:p w14:paraId="34DB77FF" w14:textId="77777777" w:rsidR="00442620" w:rsidRPr="00454AD2" w:rsidRDefault="00442620" w:rsidP="00442620">
      <w:pPr>
        <w:pStyle w:val="FootnoteText"/>
        <w:ind w:left="426" w:hanging="426"/>
        <w:rPr>
          <w:rFonts w:ascii="Calibri" w:hAnsi="Calibri" w:cs="Calibri"/>
          <w:color w:val="000000" w:themeColor="text1"/>
          <w:sz w:val="22"/>
          <w:szCs w:val="22"/>
        </w:rPr>
      </w:pPr>
      <w:r w:rsidRPr="00454AD2">
        <w:rPr>
          <w:rFonts w:ascii="Calibri" w:hAnsi="Calibri" w:cs="Calibri"/>
          <w:color w:val="000000" w:themeColor="text1"/>
          <w:sz w:val="22"/>
          <w:szCs w:val="22"/>
        </w:rPr>
        <w:t>------s-0053-14-7, Ralph Townley, ‘Onchocerciasis’, 20 October 1972.</w:t>
      </w:r>
    </w:p>
    <w:p w14:paraId="62973CCA" w14:textId="77777777" w:rsidR="00442620" w:rsidRPr="00454AD2" w:rsidRDefault="00442620" w:rsidP="00442620">
      <w:pPr>
        <w:pStyle w:val="FootnoteText"/>
        <w:ind w:left="426" w:hanging="426"/>
        <w:rPr>
          <w:rFonts w:ascii="Calibri" w:hAnsi="Calibri" w:cs="Calibri"/>
          <w:color w:val="000000" w:themeColor="text1"/>
          <w:sz w:val="22"/>
          <w:szCs w:val="22"/>
        </w:rPr>
      </w:pPr>
    </w:p>
    <w:p w14:paraId="5F03F257" w14:textId="77777777" w:rsidR="00442620" w:rsidRPr="00CF189D" w:rsidRDefault="00442620" w:rsidP="00CF189D">
      <w:pPr>
        <w:pStyle w:val="Footnotes"/>
        <w:rPr>
          <w:rFonts w:ascii="Calibri" w:hAnsi="Calibri" w:cs="Calibri"/>
          <w:sz w:val="22"/>
          <w:szCs w:val="22"/>
        </w:rPr>
      </w:pPr>
      <w:r w:rsidRPr="00CF189D">
        <w:rPr>
          <w:rFonts w:ascii="Calibri" w:hAnsi="Calibri" w:cs="Calibri"/>
          <w:sz w:val="22"/>
          <w:szCs w:val="22"/>
        </w:rPr>
        <w:t>------s-0553-14-6, ‘RF/RAF/71/188 – onchocerciasis campaign’, 29 March 1972.</w:t>
      </w:r>
    </w:p>
    <w:p w14:paraId="3574CF18" w14:textId="77777777" w:rsidR="00442620" w:rsidRPr="00CF189D" w:rsidRDefault="00442620" w:rsidP="00CF189D">
      <w:pPr>
        <w:pStyle w:val="Footnotes"/>
        <w:rPr>
          <w:rFonts w:ascii="Calibri" w:hAnsi="Calibri" w:cs="Calibri"/>
          <w:sz w:val="22"/>
          <w:szCs w:val="22"/>
        </w:rPr>
      </w:pPr>
    </w:p>
    <w:p w14:paraId="5D399D3D" w14:textId="77777777" w:rsidR="00442620" w:rsidRPr="00766A1F" w:rsidRDefault="00442620" w:rsidP="00442620">
      <w:pPr>
        <w:pStyle w:val="FootnoteText"/>
        <w:ind w:left="426" w:hanging="426"/>
        <w:rPr>
          <w:rFonts w:ascii="Calibri" w:hAnsi="Calibri" w:cs="Calibri"/>
          <w:color w:val="000000" w:themeColor="text1"/>
          <w:sz w:val="22"/>
          <w:szCs w:val="22"/>
        </w:rPr>
      </w:pPr>
      <w:r w:rsidRPr="00233532">
        <w:rPr>
          <w:rFonts w:ascii="Calibri" w:hAnsi="Calibri" w:cs="Calibri"/>
          <w:color w:val="000000" w:themeColor="text1"/>
          <w:sz w:val="22"/>
          <w:szCs w:val="22"/>
        </w:rPr>
        <w:t>------s-0553-14-6, Leon Segal, Memorandum, 3 Apr</w:t>
      </w:r>
      <w:r w:rsidRPr="00E12758">
        <w:rPr>
          <w:rFonts w:ascii="Calibri" w:hAnsi="Calibri" w:cs="Calibri"/>
          <w:color w:val="000000" w:themeColor="text1"/>
          <w:sz w:val="22"/>
          <w:szCs w:val="22"/>
        </w:rPr>
        <w:t>il 1972.</w:t>
      </w:r>
    </w:p>
    <w:p w14:paraId="06521EFB" w14:textId="77777777" w:rsidR="00442620" w:rsidRPr="00766A1F" w:rsidRDefault="00442620" w:rsidP="00442620">
      <w:pPr>
        <w:pStyle w:val="FootnoteText"/>
        <w:ind w:left="426" w:hanging="426"/>
        <w:rPr>
          <w:rFonts w:ascii="Calibri" w:hAnsi="Calibri" w:cs="Calibri"/>
          <w:color w:val="000000" w:themeColor="text1"/>
          <w:sz w:val="22"/>
          <w:szCs w:val="22"/>
        </w:rPr>
      </w:pPr>
    </w:p>
    <w:p w14:paraId="177B334A" w14:textId="77777777" w:rsidR="00442620" w:rsidRPr="00233532" w:rsidRDefault="00442620" w:rsidP="00442620">
      <w:pPr>
        <w:pStyle w:val="FootnoteText"/>
        <w:ind w:left="426" w:hanging="426"/>
        <w:rPr>
          <w:rFonts w:ascii="Calibri" w:hAnsi="Calibri" w:cs="Calibri"/>
          <w:color w:val="000000" w:themeColor="text1"/>
          <w:sz w:val="22"/>
          <w:szCs w:val="22"/>
        </w:rPr>
      </w:pPr>
      <w:r w:rsidRPr="007A123B">
        <w:rPr>
          <w:rFonts w:ascii="Calibri" w:hAnsi="Calibri" w:cs="Calibri"/>
          <w:color w:val="000000" w:themeColor="text1"/>
          <w:sz w:val="22"/>
          <w:szCs w:val="22"/>
        </w:rPr>
        <w:t>------s-0553-14-6, N. Ansari to Ralph Townley, 1 February 1972.</w:t>
      </w:r>
    </w:p>
    <w:p w14:paraId="6C6B68E2" w14:textId="77777777" w:rsidR="00442620" w:rsidRPr="00233532" w:rsidRDefault="00442620" w:rsidP="00442620">
      <w:pPr>
        <w:pStyle w:val="FootnoteText"/>
        <w:ind w:left="426" w:hanging="426"/>
        <w:rPr>
          <w:rFonts w:ascii="Calibri" w:hAnsi="Calibri" w:cs="Calibri"/>
          <w:color w:val="000000" w:themeColor="text1"/>
          <w:sz w:val="22"/>
          <w:szCs w:val="22"/>
        </w:rPr>
      </w:pPr>
    </w:p>
    <w:p w14:paraId="6FA39F7C" w14:textId="77777777" w:rsidR="00442620" w:rsidRPr="00233532" w:rsidRDefault="00442620" w:rsidP="00442620">
      <w:pPr>
        <w:pStyle w:val="FootnoteText"/>
        <w:ind w:left="426" w:hanging="426"/>
        <w:rPr>
          <w:rFonts w:ascii="Calibri" w:hAnsi="Calibri" w:cs="Calibri"/>
          <w:color w:val="000000" w:themeColor="text1"/>
          <w:sz w:val="22"/>
          <w:szCs w:val="22"/>
        </w:rPr>
      </w:pPr>
      <w:r w:rsidRPr="00233532">
        <w:rPr>
          <w:rFonts w:ascii="Calibri" w:hAnsi="Calibri" w:cs="Calibri"/>
          <w:color w:val="000000" w:themeColor="text1"/>
          <w:sz w:val="22"/>
          <w:szCs w:val="22"/>
        </w:rPr>
        <w:t>------s-0553-14-6, Ralph Townley to Sture Linner, ‘Onchocerciasis: Accra meeting, 10-13 October’, 30 October 1972.</w:t>
      </w:r>
    </w:p>
    <w:p w14:paraId="732A3BC6" w14:textId="77777777" w:rsidR="00442620" w:rsidRPr="00233532" w:rsidRDefault="00442620" w:rsidP="00442620">
      <w:pPr>
        <w:pStyle w:val="FootnoteText"/>
        <w:ind w:left="426" w:hanging="426"/>
        <w:rPr>
          <w:rFonts w:ascii="Calibri" w:hAnsi="Calibri" w:cs="Calibri"/>
          <w:color w:val="000000" w:themeColor="text1"/>
          <w:sz w:val="22"/>
          <w:szCs w:val="22"/>
        </w:rPr>
      </w:pPr>
    </w:p>
    <w:p w14:paraId="36441224" w14:textId="77777777" w:rsidR="00442620" w:rsidRPr="00CF189D" w:rsidRDefault="00442620" w:rsidP="00CF189D">
      <w:pPr>
        <w:pStyle w:val="Footnotes"/>
        <w:rPr>
          <w:rFonts w:ascii="Calibri" w:hAnsi="Calibri" w:cs="Calibri"/>
          <w:sz w:val="22"/>
          <w:szCs w:val="22"/>
        </w:rPr>
      </w:pPr>
      <w:r w:rsidRPr="00CF189D">
        <w:rPr>
          <w:rFonts w:ascii="Calibri" w:hAnsi="Calibri" w:cs="Calibri"/>
          <w:sz w:val="22"/>
          <w:szCs w:val="22"/>
        </w:rPr>
        <w:t>------s-0553-14-6, Ralph Townley, ‘Administrator’s brief for the meeting with the executive heads of WHO, FAO and IBRD, London, April 1972’, 31 March 1972.</w:t>
      </w:r>
    </w:p>
    <w:p w14:paraId="6C78C89D" w14:textId="77777777" w:rsidR="00442620" w:rsidRPr="00CF189D" w:rsidRDefault="00442620" w:rsidP="00CF189D">
      <w:pPr>
        <w:pStyle w:val="Footnotes"/>
        <w:rPr>
          <w:rFonts w:ascii="Calibri" w:hAnsi="Calibri" w:cs="Calibri"/>
          <w:sz w:val="22"/>
          <w:szCs w:val="22"/>
        </w:rPr>
      </w:pPr>
    </w:p>
    <w:p w14:paraId="70B5318F" w14:textId="77777777" w:rsidR="00442620" w:rsidRPr="00766A1F" w:rsidRDefault="00442620" w:rsidP="00442620">
      <w:pPr>
        <w:pStyle w:val="FootnoteText"/>
        <w:ind w:left="426" w:hanging="426"/>
        <w:rPr>
          <w:rFonts w:ascii="Calibri" w:hAnsi="Calibri" w:cs="Calibri"/>
          <w:color w:val="000000" w:themeColor="text1"/>
          <w:sz w:val="22"/>
          <w:szCs w:val="22"/>
        </w:rPr>
      </w:pPr>
      <w:r w:rsidRPr="00233532">
        <w:rPr>
          <w:rFonts w:ascii="Calibri" w:hAnsi="Calibri" w:cs="Calibri"/>
          <w:color w:val="000000" w:themeColor="text1"/>
          <w:sz w:val="22"/>
          <w:szCs w:val="22"/>
        </w:rPr>
        <w:t>------s-0553-14-6, Ralph Tow</w:t>
      </w:r>
      <w:r w:rsidRPr="00E12758">
        <w:rPr>
          <w:rFonts w:ascii="Calibri" w:hAnsi="Calibri" w:cs="Calibri"/>
          <w:color w:val="000000" w:themeColor="text1"/>
          <w:sz w:val="22"/>
          <w:szCs w:val="22"/>
        </w:rPr>
        <w:t xml:space="preserve">nley, ‘Memorandum on Accra Meeting, </w:t>
      </w:r>
      <w:r w:rsidRPr="00766A1F">
        <w:rPr>
          <w:rFonts w:ascii="Calibri" w:hAnsi="Calibri" w:cs="Calibri"/>
          <w:color w:val="000000" w:themeColor="text1"/>
          <w:sz w:val="22"/>
          <w:szCs w:val="22"/>
        </w:rPr>
        <w:t xml:space="preserve">10-13 October 1972’, 1972. </w:t>
      </w:r>
    </w:p>
    <w:p w14:paraId="723B24F8" w14:textId="77777777" w:rsidR="00442620" w:rsidRPr="007A123B" w:rsidRDefault="00442620" w:rsidP="00442620">
      <w:pPr>
        <w:pStyle w:val="FootnoteText"/>
        <w:ind w:left="426" w:hanging="426"/>
        <w:rPr>
          <w:rFonts w:ascii="Calibri" w:hAnsi="Calibri" w:cs="Calibri"/>
          <w:color w:val="000000" w:themeColor="text1"/>
          <w:sz w:val="22"/>
          <w:szCs w:val="22"/>
        </w:rPr>
      </w:pPr>
    </w:p>
    <w:p w14:paraId="62063F32" w14:textId="77777777" w:rsidR="00442620" w:rsidRPr="00233532" w:rsidRDefault="00442620" w:rsidP="00442620">
      <w:pPr>
        <w:pStyle w:val="FootnoteText"/>
        <w:ind w:left="426" w:hanging="426"/>
        <w:rPr>
          <w:rFonts w:ascii="Calibri" w:hAnsi="Calibri" w:cs="Calibri"/>
          <w:color w:val="000000" w:themeColor="text1"/>
          <w:sz w:val="22"/>
          <w:szCs w:val="22"/>
        </w:rPr>
      </w:pPr>
      <w:r w:rsidRPr="00233532">
        <w:rPr>
          <w:rFonts w:ascii="Calibri" w:hAnsi="Calibri" w:cs="Calibri"/>
          <w:color w:val="000000" w:themeColor="text1"/>
          <w:sz w:val="22"/>
          <w:szCs w:val="22"/>
        </w:rPr>
        <w:t>------s-0553-14-8, ‘Draft – for possible inclusion WHO paper for presentation to Accra meeting on onchocerciasis control in the Volta River basin area’, October 1972.</w:t>
      </w:r>
    </w:p>
    <w:p w14:paraId="1F75FF69" w14:textId="77777777" w:rsidR="00442620" w:rsidRPr="00233532" w:rsidRDefault="00442620" w:rsidP="00CF76AC">
      <w:pPr>
        <w:pStyle w:val="FootnoteText"/>
        <w:rPr>
          <w:rFonts w:ascii="Calibri" w:hAnsi="Calibri" w:cs="Calibri"/>
          <w:color w:val="000000" w:themeColor="text1"/>
          <w:sz w:val="22"/>
          <w:szCs w:val="22"/>
        </w:rPr>
      </w:pPr>
    </w:p>
    <w:p w14:paraId="0CD42761" w14:textId="77777777" w:rsidR="00442620" w:rsidRPr="00CF189D" w:rsidRDefault="00442620" w:rsidP="00CF189D">
      <w:pPr>
        <w:pStyle w:val="Footnotes"/>
        <w:rPr>
          <w:rFonts w:ascii="Calibri" w:hAnsi="Calibri" w:cs="Calibri"/>
          <w:sz w:val="22"/>
          <w:szCs w:val="22"/>
        </w:rPr>
      </w:pPr>
      <w:r w:rsidRPr="00CF189D">
        <w:rPr>
          <w:rFonts w:ascii="Calibri" w:hAnsi="Calibri" w:cs="Calibri"/>
          <w:sz w:val="22"/>
          <w:szCs w:val="22"/>
        </w:rPr>
        <w:t>------s-0553-14-8, Ralph Townley, ‘Draft/ for possible inclusion WHO paper for presentation to Accra meeting on onchocerciasis control in the Volta River basin areas, October 1972’, 19 September 1972.</w:t>
      </w:r>
    </w:p>
    <w:p w14:paraId="41F76B9C" w14:textId="77777777" w:rsidR="00442620" w:rsidRPr="00CF189D" w:rsidRDefault="00442620" w:rsidP="00CF189D">
      <w:pPr>
        <w:pStyle w:val="Footnotes"/>
        <w:rPr>
          <w:rFonts w:ascii="Calibri" w:hAnsi="Calibri" w:cs="Calibri"/>
          <w:sz w:val="22"/>
          <w:szCs w:val="22"/>
        </w:rPr>
      </w:pPr>
    </w:p>
    <w:p w14:paraId="4BE8226D" w14:textId="474461D8" w:rsidR="00442620" w:rsidRPr="00CF189D" w:rsidRDefault="00442620" w:rsidP="00CF189D">
      <w:pPr>
        <w:pStyle w:val="Footnotes"/>
        <w:rPr>
          <w:rFonts w:ascii="Calibri" w:hAnsi="Calibri" w:cs="Calibri"/>
          <w:sz w:val="22"/>
          <w:szCs w:val="22"/>
        </w:rPr>
      </w:pPr>
      <w:r w:rsidRPr="00CF189D">
        <w:rPr>
          <w:rFonts w:ascii="Calibri" w:hAnsi="Calibri" w:cs="Calibri"/>
          <w:sz w:val="22"/>
          <w:szCs w:val="22"/>
        </w:rPr>
        <w:t>------s-0553-14-8, Roger Garraud to Sture Linner, ‘RAF/71/88 – onchocerciasis campaign (Steering Committee)’, 2 June 1972.</w:t>
      </w:r>
    </w:p>
    <w:p w14:paraId="256A79F5" w14:textId="00D5615B" w:rsidR="00CF76AC" w:rsidRPr="00CF189D" w:rsidRDefault="00CF76AC" w:rsidP="00CF189D">
      <w:pPr>
        <w:pStyle w:val="Footnotes"/>
        <w:rPr>
          <w:rFonts w:ascii="Calibri" w:hAnsi="Calibri" w:cs="Calibri"/>
          <w:sz w:val="22"/>
          <w:szCs w:val="22"/>
        </w:rPr>
      </w:pPr>
    </w:p>
    <w:p w14:paraId="1504A020" w14:textId="55C51192" w:rsidR="00CF76AC" w:rsidRPr="007A123B" w:rsidRDefault="00CF76AC" w:rsidP="00CF76AC">
      <w:pPr>
        <w:pStyle w:val="FootnoteText"/>
        <w:ind w:left="426" w:hanging="426"/>
        <w:rPr>
          <w:rFonts w:ascii="Calibri" w:hAnsi="Calibri" w:cs="Calibri"/>
          <w:color w:val="000000" w:themeColor="text1"/>
          <w:sz w:val="22"/>
          <w:szCs w:val="22"/>
        </w:rPr>
      </w:pPr>
      <w:r w:rsidRPr="00233532">
        <w:rPr>
          <w:rFonts w:ascii="Calibri" w:hAnsi="Calibri" w:cs="Calibri"/>
          <w:color w:val="000000" w:themeColor="text1"/>
          <w:sz w:val="22"/>
          <w:szCs w:val="22"/>
        </w:rPr>
        <w:t>------s-0553-14-8, ‘Stee</w:t>
      </w:r>
      <w:r w:rsidRPr="00E12758">
        <w:rPr>
          <w:rFonts w:ascii="Calibri" w:hAnsi="Calibri" w:cs="Calibri"/>
          <w:color w:val="000000" w:themeColor="text1"/>
          <w:sz w:val="22"/>
          <w:szCs w:val="22"/>
        </w:rPr>
        <w:t>ring Committee for Onchocerciasis Control in the Volta River basi</w:t>
      </w:r>
      <w:r w:rsidRPr="00766A1F">
        <w:rPr>
          <w:rFonts w:ascii="Calibri" w:hAnsi="Calibri" w:cs="Calibri"/>
          <w:color w:val="000000" w:themeColor="text1"/>
          <w:sz w:val="22"/>
          <w:szCs w:val="22"/>
        </w:rPr>
        <w:t>n area, report of its first session, Geneva, 17-19 July’, 1972.</w:t>
      </w:r>
    </w:p>
    <w:p w14:paraId="237D98E0" w14:textId="77777777" w:rsidR="00442620" w:rsidRPr="00CF189D" w:rsidRDefault="00442620" w:rsidP="00CF189D">
      <w:pPr>
        <w:pStyle w:val="Footnotes"/>
        <w:rPr>
          <w:rFonts w:ascii="Calibri" w:hAnsi="Calibri" w:cs="Calibri"/>
          <w:sz w:val="22"/>
          <w:szCs w:val="22"/>
        </w:rPr>
      </w:pPr>
    </w:p>
    <w:p w14:paraId="245E84B8" w14:textId="77777777" w:rsidR="00442620" w:rsidRPr="007A123B" w:rsidRDefault="00442620" w:rsidP="00442620">
      <w:pPr>
        <w:pStyle w:val="FootnoteText"/>
        <w:ind w:left="426" w:hanging="426"/>
        <w:rPr>
          <w:rFonts w:ascii="Calibri" w:hAnsi="Calibri" w:cs="Calibri"/>
          <w:color w:val="000000" w:themeColor="text1"/>
          <w:sz w:val="22"/>
          <w:szCs w:val="22"/>
        </w:rPr>
      </w:pPr>
      <w:r w:rsidRPr="00233532">
        <w:rPr>
          <w:rFonts w:ascii="Calibri" w:hAnsi="Calibri" w:cs="Calibri"/>
          <w:color w:val="000000" w:themeColor="text1"/>
          <w:sz w:val="22"/>
          <w:szCs w:val="22"/>
        </w:rPr>
        <w:t>------s-0553-15-1, ‘Onchocerciasis control in the Volta</w:t>
      </w:r>
      <w:r w:rsidRPr="00E12758">
        <w:rPr>
          <w:rFonts w:ascii="Calibri" w:hAnsi="Calibri" w:cs="Calibri"/>
          <w:color w:val="000000" w:themeColor="text1"/>
          <w:sz w:val="22"/>
          <w:szCs w:val="22"/>
        </w:rPr>
        <w:t xml:space="preserve"> River basin area: report of the pre</w:t>
      </w:r>
      <w:r w:rsidRPr="00766A1F">
        <w:rPr>
          <w:rFonts w:ascii="Calibri" w:hAnsi="Calibri" w:cs="Calibri"/>
          <w:color w:val="000000" w:themeColor="text1"/>
          <w:sz w:val="22"/>
          <w:szCs w:val="22"/>
        </w:rPr>
        <w:t>paratory assistance mission’, Geneva, 1973</w:t>
      </w:r>
    </w:p>
    <w:p w14:paraId="59165B49" w14:textId="77777777" w:rsidR="00442620" w:rsidRPr="00233532" w:rsidRDefault="00442620" w:rsidP="00442620">
      <w:pPr>
        <w:pStyle w:val="FootnoteText"/>
        <w:ind w:left="426" w:hanging="426"/>
        <w:rPr>
          <w:rFonts w:ascii="Calibri" w:hAnsi="Calibri" w:cs="Calibri"/>
          <w:color w:val="000000" w:themeColor="text1"/>
          <w:sz w:val="22"/>
          <w:szCs w:val="22"/>
        </w:rPr>
      </w:pPr>
    </w:p>
    <w:p w14:paraId="49B8F48F" w14:textId="45500E75" w:rsidR="00442620" w:rsidRPr="00233532" w:rsidRDefault="00442620" w:rsidP="00442620">
      <w:pPr>
        <w:pStyle w:val="FootnoteText"/>
        <w:ind w:left="426" w:hanging="426"/>
        <w:rPr>
          <w:rFonts w:ascii="Calibri" w:hAnsi="Calibri" w:cs="Calibri"/>
          <w:color w:val="000000" w:themeColor="text1"/>
          <w:sz w:val="22"/>
          <w:szCs w:val="22"/>
        </w:rPr>
      </w:pPr>
      <w:r w:rsidRPr="00233532">
        <w:rPr>
          <w:rFonts w:ascii="Calibri" w:hAnsi="Calibri" w:cs="Calibri"/>
          <w:color w:val="000000" w:themeColor="text1"/>
          <w:sz w:val="22"/>
          <w:szCs w:val="22"/>
        </w:rPr>
        <w:lastRenderedPageBreak/>
        <w:t>------s-0553-15-1, ‘Onchocerciasis Control in the Volta River Basin Area: Report of the Preparatory Assistance Mission to the Governments of Dahomey, Ghana, Ivory Coast, Mali, Niger, Togo, Upper Volta’, 1973.</w:t>
      </w:r>
    </w:p>
    <w:p w14:paraId="2B476D54" w14:textId="6E3A0CA6" w:rsidR="00133761" w:rsidRPr="00233532" w:rsidRDefault="00133761" w:rsidP="00442620">
      <w:pPr>
        <w:pStyle w:val="FootnoteText"/>
        <w:ind w:left="426" w:hanging="426"/>
        <w:rPr>
          <w:rFonts w:ascii="Calibri" w:hAnsi="Calibri" w:cs="Calibri"/>
          <w:color w:val="000000" w:themeColor="text1"/>
          <w:sz w:val="22"/>
          <w:szCs w:val="22"/>
        </w:rPr>
      </w:pPr>
    </w:p>
    <w:p w14:paraId="4404340A" w14:textId="6AB627A5" w:rsidR="00133761" w:rsidRPr="00233532" w:rsidRDefault="00133761" w:rsidP="00442620">
      <w:pPr>
        <w:pStyle w:val="FootnoteText"/>
        <w:ind w:left="426" w:hanging="426"/>
        <w:rPr>
          <w:rFonts w:ascii="Calibri" w:hAnsi="Calibri" w:cs="Calibri"/>
          <w:color w:val="000000" w:themeColor="text1"/>
          <w:sz w:val="22"/>
          <w:szCs w:val="22"/>
        </w:rPr>
      </w:pPr>
      <w:r w:rsidRPr="00233532">
        <w:rPr>
          <w:rFonts w:ascii="Calibri" w:hAnsi="Calibri" w:cs="Calibri"/>
          <w:color w:val="000000" w:themeColor="text1"/>
          <w:sz w:val="22"/>
          <w:szCs w:val="22"/>
        </w:rPr>
        <w:t>------s-1096-0103-06-00007, Nancy Birdsall to Colleague, 30 November 2004.</w:t>
      </w:r>
    </w:p>
    <w:p w14:paraId="578AE126" w14:textId="77777777" w:rsidR="00442620" w:rsidRPr="00233532" w:rsidRDefault="00442620" w:rsidP="00442620">
      <w:pPr>
        <w:pStyle w:val="FootnoteText"/>
        <w:rPr>
          <w:rFonts w:ascii="Calibri" w:hAnsi="Calibri" w:cs="Calibri"/>
          <w:color w:val="000000" w:themeColor="text1"/>
          <w:sz w:val="22"/>
          <w:szCs w:val="22"/>
        </w:rPr>
      </w:pPr>
    </w:p>
    <w:p w14:paraId="05EC486C" w14:textId="77777777"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t>United Nations General Assembly, Consolidation of the Special Fund and the Expanded Programme of Technical Assistance in a United Nation Development Programme (Geneva: United Nations, 1965).</w:t>
      </w:r>
    </w:p>
    <w:p w14:paraId="54A31400" w14:textId="77777777" w:rsidR="00442620" w:rsidRPr="00CF189D" w:rsidRDefault="00442620" w:rsidP="00DD4818">
      <w:pPr>
        <w:pStyle w:val="Footnotes"/>
        <w:rPr>
          <w:rFonts w:ascii="Calibri" w:hAnsi="Calibri" w:cs="Calibri"/>
          <w:sz w:val="22"/>
          <w:szCs w:val="22"/>
        </w:rPr>
      </w:pPr>
    </w:p>
    <w:p w14:paraId="0F4329C2" w14:textId="1EC6AAE5" w:rsidR="00442620" w:rsidRPr="00CF189D" w:rsidRDefault="00442620" w:rsidP="00CF76AC">
      <w:pPr>
        <w:rPr>
          <w:rFonts w:ascii="Calibri" w:hAnsi="Calibri" w:cs="Calibri"/>
          <w:sz w:val="22"/>
          <w:szCs w:val="22"/>
        </w:rPr>
      </w:pPr>
      <w:r w:rsidRPr="00233532">
        <w:rPr>
          <w:rFonts w:ascii="Calibri" w:hAnsi="Calibri" w:cs="Calibri"/>
          <w:color w:val="000000" w:themeColor="text1"/>
          <w:sz w:val="22"/>
          <w:szCs w:val="22"/>
        </w:rPr>
        <w:t>United Nations, ‘Deputy secretary-general reviews options for institutional changes, to me</w:t>
      </w:r>
      <w:r w:rsidRPr="00E12758">
        <w:rPr>
          <w:rFonts w:ascii="Calibri" w:hAnsi="Calibri" w:cs="Calibri"/>
          <w:color w:val="000000" w:themeColor="text1"/>
          <w:sz w:val="22"/>
          <w:szCs w:val="22"/>
        </w:rPr>
        <w:t xml:space="preserve">et growing </w:t>
      </w:r>
      <w:r w:rsidRPr="00766A1F">
        <w:rPr>
          <w:rFonts w:ascii="Calibri" w:hAnsi="Calibri" w:cs="Calibri"/>
          <w:color w:val="000000" w:themeColor="text1"/>
          <w:sz w:val="22"/>
          <w:szCs w:val="22"/>
        </w:rPr>
        <w:t>challenge of global governance: press release DSG/SM/39 ECO/9’ (</w:t>
      </w:r>
      <w:r w:rsidR="00CF76AC" w:rsidRPr="007A123B">
        <w:rPr>
          <w:rFonts w:ascii="Calibri" w:hAnsi="Calibri" w:cs="Calibri"/>
          <w:color w:val="000000" w:themeColor="text1"/>
          <w:sz w:val="22"/>
          <w:szCs w:val="22"/>
        </w:rPr>
        <w:t xml:space="preserve">online), </w:t>
      </w:r>
      <w:r w:rsidRPr="007A123B">
        <w:rPr>
          <w:rFonts w:ascii="Calibri" w:hAnsi="Calibri" w:cs="Calibri"/>
          <w:color w:val="000000" w:themeColor="text1"/>
          <w:sz w:val="22"/>
          <w:szCs w:val="22"/>
        </w:rPr>
        <w:t>8 December 1998</w:t>
      </w:r>
      <w:r w:rsidR="00CF76AC" w:rsidRPr="00233532">
        <w:rPr>
          <w:rFonts w:ascii="Calibri" w:hAnsi="Calibri" w:cs="Calibri"/>
          <w:color w:val="000000" w:themeColor="text1"/>
          <w:sz w:val="22"/>
          <w:szCs w:val="22"/>
        </w:rPr>
        <w:t>, &lt;</w:t>
      </w:r>
      <w:r w:rsidR="00CF76AC" w:rsidRPr="00233532">
        <w:rPr>
          <w:rFonts w:ascii="Calibri" w:hAnsi="Calibri" w:cs="Calibri"/>
          <w:sz w:val="22"/>
          <w:szCs w:val="22"/>
        </w:rPr>
        <w:t>https://www.un.org/press/en/1998/19981208.dsgsm39.html&gt; [accessed 10 February 2019].</w:t>
      </w:r>
    </w:p>
    <w:p w14:paraId="1EA59E38" w14:textId="77777777" w:rsidR="00442620" w:rsidRPr="00233532" w:rsidRDefault="00442620" w:rsidP="00442620">
      <w:pPr>
        <w:pStyle w:val="FootnoteText"/>
        <w:rPr>
          <w:rFonts w:ascii="Calibri" w:hAnsi="Calibri" w:cs="Calibri"/>
          <w:color w:val="000000" w:themeColor="text1"/>
          <w:sz w:val="22"/>
          <w:szCs w:val="22"/>
        </w:rPr>
      </w:pPr>
    </w:p>
    <w:p w14:paraId="52B37A4C" w14:textId="6658B581" w:rsidR="00442620" w:rsidRPr="007A123B" w:rsidRDefault="00442620" w:rsidP="00442620">
      <w:pPr>
        <w:pStyle w:val="FootnoteText"/>
        <w:rPr>
          <w:rFonts w:ascii="Calibri" w:hAnsi="Calibri" w:cs="Calibri"/>
          <w:color w:val="000000" w:themeColor="text1"/>
          <w:sz w:val="22"/>
          <w:szCs w:val="22"/>
        </w:rPr>
      </w:pPr>
      <w:r w:rsidRPr="00E12758">
        <w:rPr>
          <w:rFonts w:ascii="Calibri" w:hAnsi="Calibri" w:cs="Calibri"/>
          <w:color w:val="000000" w:themeColor="text1"/>
          <w:sz w:val="22"/>
          <w:szCs w:val="22"/>
        </w:rPr>
        <w:t>USAID, ‘Development experience clearinghouse DEC API’ (online), &lt;ht</w:t>
      </w:r>
      <w:r w:rsidRPr="00766A1F">
        <w:rPr>
          <w:rFonts w:ascii="Calibri" w:hAnsi="Calibri" w:cs="Calibri"/>
          <w:color w:val="000000" w:themeColor="text1"/>
          <w:sz w:val="22"/>
          <w:szCs w:val="22"/>
        </w:rPr>
        <w:t>tps://dec.usaid.gov&gt; [accessed 15 March 2018].</w:t>
      </w:r>
    </w:p>
    <w:p w14:paraId="4A67990A" w14:textId="77777777" w:rsidR="00442620" w:rsidRPr="00233532" w:rsidRDefault="00442620" w:rsidP="00442620">
      <w:pPr>
        <w:pStyle w:val="FootnoteText"/>
        <w:rPr>
          <w:rFonts w:ascii="Calibri" w:hAnsi="Calibri" w:cs="Calibri"/>
          <w:color w:val="000000" w:themeColor="text1"/>
          <w:sz w:val="22"/>
          <w:szCs w:val="22"/>
        </w:rPr>
      </w:pPr>
      <w:r w:rsidRPr="007A123B">
        <w:rPr>
          <w:rFonts w:ascii="Calibri" w:hAnsi="Calibri" w:cs="Calibri"/>
          <w:color w:val="000000" w:themeColor="text1"/>
          <w:sz w:val="22"/>
          <w:szCs w:val="22"/>
          <w:shd w:val="clear" w:color="auto" w:fill="FFFFFF"/>
        </w:rPr>
        <w:t xml:space="preserve"> </w:t>
      </w:r>
    </w:p>
    <w:p w14:paraId="0366EFE6" w14:textId="77777777" w:rsidR="00442620" w:rsidRPr="00233532" w:rsidRDefault="00442620" w:rsidP="00442620">
      <w:pPr>
        <w:rPr>
          <w:rFonts w:ascii="Calibri" w:hAnsi="Calibri" w:cs="Calibri"/>
          <w:color w:val="000000" w:themeColor="text1"/>
          <w:sz w:val="22"/>
          <w:szCs w:val="22"/>
        </w:rPr>
      </w:pPr>
      <w:r w:rsidRPr="00233532">
        <w:rPr>
          <w:rFonts w:ascii="Calibri" w:hAnsi="Calibri" w:cs="Calibri"/>
          <w:color w:val="000000" w:themeColor="text1"/>
          <w:sz w:val="22"/>
          <w:szCs w:val="22"/>
        </w:rPr>
        <w:t>USAID, ‘Public-private partnerships’ (online), &lt; https://www.usaid.gov/el-salvador/public-private-partnerships&gt; [accessed 1 September 2019].</w:t>
      </w:r>
    </w:p>
    <w:p w14:paraId="1F0E072D" w14:textId="77777777" w:rsidR="00442620" w:rsidRPr="00233532" w:rsidRDefault="00442620" w:rsidP="00442620">
      <w:pPr>
        <w:rPr>
          <w:rFonts w:ascii="Calibri" w:hAnsi="Calibri" w:cs="Calibri"/>
          <w:color w:val="000000" w:themeColor="text1"/>
          <w:sz w:val="22"/>
          <w:szCs w:val="22"/>
        </w:rPr>
      </w:pPr>
    </w:p>
    <w:p w14:paraId="7835FACC" w14:textId="77777777"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t>Vagelos R and Galambos L,</w:t>
      </w:r>
      <w:r w:rsidRPr="00CF189D">
        <w:rPr>
          <w:rFonts w:ascii="Calibri" w:hAnsi="Calibri" w:cs="Calibri"/>
          <w:i/>
          <w:sz w:val="22"/>
          <w:szCs w:val="22"/>
        </w:rPr>
        <w:t xml:space="preserve"> The moral corporation: Merck experiences</w:t>
      </w:r>
      <w:r w:rsidRPr="00CF189D">
        <w:rPr>
          <w:rFonts w:ascii="Calibri" w:hAnsi="Calibri" w:cs="Calibri"/>
          <w:sz w:val="22"/>
          <w:szCs w:val="22"/>
        </w:rPr>
        <w:t xml:space="preserve"> (New York: Cambridge University Press, 2006).</w:t>
      </w:r>
    </w:p>
    <w:p w14:paraId="49E35FD1" w14:textId="77777777" w:rsidR="00442620" w:rsidRPr="00CF189D" w:rsidRDefault="00442620" w:rsidP="00DD4818">
      <w:pPr>
        <w:pStyle w:val="Footnotes"/>
        <w:rPr>
          <w:rFonts w:ascii="Calibri" w:hAnsi="Calibri" w:cs="Calibri"/>
          <w:sz w:val="22"/>
          <w:szCs w:val="22"/>
        </w:rPr>
      </w:pPr>
    </w:p>
    <w:p w14:paraId="32DFAA92" w14:textId="1A47D9AE"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Vaughan </w:t>
      </w:r>
      <w:r w:rsidR="00133761" w:rsidRPr="00E12758">
        <w:rPr>
          <w:rFonts w:ascii="Calibri" w:hAnsi="Calibri" w:cs="Calibri"/>
          <w:color w:val="000000" w:themeColor="text1"/>
          <w:sz w:val="22"/>
          <w:szCs w:val="22"/>
        </w:rPr>
        <w:t>JP, Mogedal</w:t>
      </w:r>
      <w:r w:rsidR="00133761" w:rsidRPr="00766A1F">
        <w:rPr>
          <w:rFonts w:ascii="Calibri" w:hAnsi="Calibri" w:cs="Calibri"/>
          <w:color w:val="000000" w:themeColor="text1"/>
          <w:sz w:val="22"/>
          <w:szCs w:val="22"/>
        </w:rPr>
        <w:t xml:space="preserve"> S, Kruse SE, Lee K, Walt G and de Wilde K</w:t>
      </w:r>
      <w:r w:rsidRPr="00766A1F">
        <w:rPr>
          <w:rFonts w:ascii="Calibri" w:hAnsi="Calibri" w:cs="Calibri"/>
          <w:color w:val="000000" w:themeColor="text1"/>
          <w:sz w:val="22"/>
          <w:szCs w:val="22"/>
        </w:rPr>
        <w:t>, ‘Financi</w:t>
      </w:r>
      <w:r w:rsidRPr="007A123B">
        <w:rPr>
          <w:rFonts w:ascii="Calibri" w:hAnsi="Calibri" w:cs="Calibri"/>
          <w:color w:val="000000" w:themeColor="text1"/>
          <w:sz w:val="22"/>
          <w:szCs w:val="22"/>
        </w:rPr>
        <w:t>ng the World Health Organisation: gl</w:t>
      </w:r>
      <w:r w:rsidRPr="00233532">
        <w:rPr>
          <w:rFonts w:ascii="Calibri" w:hAnsi="Calibri" w:cs="Calibri"/>
          <w:color w:val="000000" w:themeColor="text1"/>
          <w:sz w:val="22"/>
          <w:szCs w:val="22"/>
        </w:rPr>
        <w:t xml:space="preserve">obal importance of extra-budgetary funds’, </w:t>
      </w:r>
      <w:r w:rsidRPr="00233532">
        <w:rPr>
          <w:rFonts w:ascii="Calibri" w:hAnsi="Calibri" w:cs="Calibri"/>
          <w:i/>
          <w:color w:val="000000" w:themeColor="text1"/>
          <w:sz w:val="22"/>
          <w:szCs w:val="22"/>
        </w:rPr>
        <w:t xml:space="preserve">Health Policy </w:t>
      </w:r>
      <w:r w:rsidRPr="00233532">
        <w:rPr>
          <w:rFonts w:ascii="Calibri" w:hAnsi="Calibri" w:cs="Calibri"/>
          <w:color w:val="000000" w:themeColor="text1"/>
          <w:sz w:val="22"/>
          <w:szCs w:val="22"/>
        </w:rPr>
        <w:t>35 (1996): 229-245.</w:t>
      </w:r>
    </w:p>
    <w:p w14:paraId="499F6E1E" w14:textId="77777777" w:rsidR="00442620" w:rsidRPr="00233532" w:rsidRDefault="00442620" w:rsidP="00442620">
      <w:pPr>
        <w:pStyle w:val="FootnoteText"/>
        <w:rPr>
          <w:rFonts w:ascii="Calibri" w:hAnsi="Calibri" w:cs="Calibri"/>
          <w:color w:val="000000" w:themeColor="text1"/>
          <w:sz w:val="22"/>
          <w:szCs w:val="22"/>
        </w:rPr>
      </w:pPr>
    </w:p>
    <w:p w14:paraId="04504EE4" w14:textId="51C54E78"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Veillard J and Evans T, ‘Strengthening primary health care is the smartest way to reduce health inequalities’, </w:t>
      </w:r>
      <w:r w:rsidRPr="00233532">
        <w:rPr>
          <w:rFonts w:ascii="Calibri" w:hAnsi="Calibri" w:cs="Calibri"/>
          <w:i/>
          <w:color w:val="000000" w:themeColor="text1"/>
          <w:sz w:val="22"/>
          <w:szCs w:val="22"/>
        </w:rPr>
        <w:t xml:space="preserve">World Bank Blogs </w:t>
      </w:r>
      <w:r w:rsidRPr="00233532">
        <w:rPr>
          <w:rFonts w:ascii="Calibri" w:hAnsi="Calibri" w:cs="Calibri"/>
          <w:color w:val="000000" w:themeColor="text1"/>
          <w:sz w:val="22"/>
          <w:szCs w:val="22"/>
        </w:rPr>
        <w:t>(20 May 2019).</w:t>
      </w:r>
    </w:p>
    <w:p w14:paraId="19602464" w14:textId="1860DF28" w:rsidR="00815B8D" w:rsidRPr="00233532" w:rsidRDefault="00815B8D" w:rsidP="00442620">
      <w:pPr>
        <w:pStyle w:val="FootnoteText"/>
        <w:rPr>
          <w:rFonts w:ascii="Calibri" w:hAnsi="Calibri" w:cs="Calibri"/>
          <w:color w:val="000000" w:themeColor="text1"/>
          <w:sz w:val="22"/>
          <w:szCs w:val="22"/>
        </w:rPr>
      </w:pPr>
    </w:p>
    <w:p w14:paraId="575DB84E" w14:textId="0440039B" w:rsidR="00815B8D" w:rsidRPr="00233532" w:rsidRDefault="00815B8D"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Vieta F, ‘River blindness’</w:t>
      </w:r>
      <w:r w:rsidR="00CF76AC" w:rsidRPr="00233532">
        <w:rPr>
          <w:rFonts w:ascii="Calibri" w:hAnsi="Calibri" w:cs="Calibri"/>
          <w:color w:val="000000" w:themeColor="text1"/>
          <w:sz w:val="22"/>
          <w:szCs w:val="22"/>
        </w:rPr>
        <w:t>,</w:t>
      </w:r>
      <w:r w:rsidRPr="00233532">
        <w:rPr>
          <w:rFonts w:ascii="Calibri" w:hAnsi="Calibri" w:cs="Calibri"/>
          <w:color w:val="000000" w:themeColor="text1"/>
          <w:sz w:val="22"/>
          <w:szCs w:val="22"/>
        </w:rPr>
        <w:t xml:space="preserve"> </w:t>
      </w:r>
      <w:r w:rsidRPr="00233532">
        <w:rPr>
          <w:rFonts w:ascii="Calibri" w:hAnsi="Calibri" w:cs="Calibri"/>
          <w:i/>
          <w:color w:val="000000" w:themeColor="text1"/>
          <w:sz w:val="22"/>
          <w:szCs w:val="22"/>
        </w:rPr>
        <w:t xml:space="preserve">UN Chronicle </w:t>
      </w:r>
      <w:r w:rsidRPr="00233532">
        <w:rPr>
          <w:rFonts w:ascii="Calibri" w:hAnsi="Calibri" w:cs="Calibri"/>
          <w:color w:val="000000" w:themeColor="text1"/>
          <w:sz w:val="22"/>
          <w:szCs w:val="22"/>
        </w:rPr>
        <w:t>(1 January 1998).</w:t>
      </w:r>
    </w:p>
    <w:p w14:paraId="17EF3A13" w14:textId="77777777" w:rsidR="00442620" w:rsidRPr="00233532" w:rsidRDefault="00442620" w:rsidP="00442620">
      <w:pPr>
        <w:pStyle w:val="FootnoteText"/>
        <w:rPr>
          <w:rFonts w:ascii="Calibri" w:hAnsi="Calibri" w:cs="Calibri"/>
          <w:color w:val="000000" w:themeColor="text1"/>
          <w:sz w:val="22"/>
          <w:szCs w:val="22"/>
        </w:rPr>
      </w:pPr>
    </w:p>
    <w:p w14:paraId="4F93BC0D" w14:textId="75F8B013"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Waddy BB, </w:t>
      </w:r>
      <w:r w:rsidRPr="00233532">
        <w:rPr>
          <w:rFonts w:ascii="Calibri" w:hAnsi="Calibri" w:cs="Calibri"/>
          <w:i/>
          <w:color w:val="000000" w:themeColor="text1"/>
          <w:sz w:val="22"/>
          <w:szCs w:val="22"/>
        </w:rPr>
        <w:t xml:space="preserve">Onchocerciasis and blindness in the northern territories of the Gold Coast </w:t>
      </w:r>
      <w:r w:rsidRPr="00233532">
        <w:rPr>
          <w:rFonts w:ascii="Calibri" w:hAnsi="Calibri" w:cs="Calibri"/>
          <w:color w:val="000000" w:themeColor="text1"/>
          <w:sz w:val="22"/>
          <w:szCs w:val="22"/>
        </w:rPr>
        <w:t>(Accra: Ministry of Health, 1949).</w:t>
      </w:r>
    </w:p>
    <w:p w14:paraId="6087BCF7" w14:textId="52693781" w:rsidR="00D16CC7" w:rsidRPr="00233532" w:rsidRDefault="00D16CC7" w:rsidP="00442620">
      <w:pPr>
        <w:pStyle w:val="FootnoteText"/>
        <w:rPr>
          <w:rFonts w:ascii="Calibri" w:hAnsi="Calibri" w:cs="Calibri"/>
          <w:color w:val="000000" w:themeColor="text1"/>
          <w:sz w:val="22"/>
          <w:szCs w:val="22"/>
        </w:rPr>
      </w:pPr>
    </w:p>
    <w:p w14:paraId="67CA2BDD" w14:textId="2244B4CD" w:rsidR="00442620" w:rsidRPr="00233532" w:rsidRDefault="00D16CC7"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Walker A, </w:t>
      </w:r>
      <w:r w:rsidRPr="00233532">
        <w:rPr>
          <w:rFonts w:ascii="Calibri" w:hAnsi="Calibri" w:cs="Calibri"/>
          <w:i/>
          <w:color w:val="000000" w:themeColor="text1"/>
          <w:sz w:val="22"/>
          <w:szCs w:val="22"/>
        </w:rPr>
        <w:t>Valuing life at the Bank: contested expertise, racial politics and development bank interventions in global public health</w:t>
      </w:r>
      <w:r w:rsidRPr="00233532">
        <w:rPr>
          <w:rFonts w:ascii="Calibri" w:hAnsi="Calibri" w:cs="Calibri"/>
          <w:color w:val="000000" w:themeColor="text1"/>
          <w:sz w:val="22"/>
          <w:szCs w:val="22"/>
        </w:rPr>
        <w:t xml:space="preserve"> (PhD dissertation, Ithaca: Cornell University, 2017).</w:t>
      </w:r>
    </w:p>
    <w:p w14:paraId="315F82DA" w14:textId="77777777" w:rsidR="00D16CC7" w:rsidRPr="00233532" w:rsidRDefault="00D16CC7" w:rsidP="00442620">
      <w:pPr>
        <w:pStyle w:val="FootnoteText"/>
        <w:rPr>
          <w:rFonts w:ascii="Calibri" w:hAnsi="Calibri" w:cs="Calibri"/>
          <w:color w:val="000000" w:themeColor="text1"/>
          <w:sz w:val="22"/>
          <w:szCs w:val="22"/>
        </w:rPr>
      </w:pPr>
    </w:p>
    <w:p w14:paraId="5201A8F5" w14:textId="3D73EEA5"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Walsh </w:t>
      </w:r>
      <w:r w:rsidR="00133761" w:rsidRPr="00233532">
        <w:rPr>
          <w:rFonts w:ascii="Calibri" w:hAnsi="Calibri" w:cs="Calibri"/>
          <w:color w:val="000000" w:themeColor="text1"/>
          <w:sz w:val="22"/>
          <w:szCs w:val="22"/>
        </w:rPr>
        <w:t>JF, Davies JB, Le Berre R and Garms R</w:t>
      </w:r>
      <w:r w:rsidRPr="00233532">
        <w:rPr>
          <w:rFonts w:ascii="Calibri" w:hAnsi="Calibri" w:cs="Calibri"/>
          <w:color w:val="000000" w:themeColor="text1"/>
          <w:sz w:val="22"/>
          <w:szCs w:val="22"/>
        </w:rPr>
        <w:t xml:space="preserve">, ‘Standardization of criteria for assessing the effect of Simulium control in onchocerciasis control programmes’, </w:t>
      </w:r>
      <w:r w:rsidRPr="00233532">
        <w:rPr>
          <w:rFonts w:ascii="Calibri" w:hAnsi="Calibri" w:cs="Calibri"/>
          <w:i/>
          <w:color w:val="000000" w:themeColor="text1"/>
          <w:sz w:val="22"/>
          <w:szCs w:val="22"/>
        </w:rPr>
        <w:t xml:space="preserve">Transactions of the Royal Society of Tropical Medicine and Hygiene </w:t>
      </w:r>
      <w:r w:rsidRPr="00233532">
        <w:rPr>
          <w:rFonts w:ascii="Calibri" w:hAnsi="Calibri" w:cs="Calibri"/>
          <w:color w:val="000000" w:themeColor="text1"/>
          <w:sz w:val="22"/>
          <w:szCs w:val="22"/>
        </w:rPr>
        <w:t>72:6 (1978), 675-676.</w:t>
      </w:r>
    </w:p>
    <w:p w14:paraId="24BB9985" w14:textId="77777777" w:rsidR="00442620" w:rsidRPr="00233532" w:rsidRDefault="00442620" w:rsidP="00442620">
      <w:pPr>
        <w:pStyle w:val="FootnoteText"/>
        <w:rPr>
          <w:rFonts w:ascii="Calibri" w:hAnsi="Calibri" w:cs="Calibri"/>
          <w:color w:val="000000" w:themeColor="text1"/>
          <w:sz w:val="22"/>
          <w:szCs w:val="22"/>
        </w:rPr>
      </w:pPr>
    </w:p>
    <w:p w14:paraId="4BFD46FA"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Walsh J and Warren K, ‘Selective primary health care - an interim strategy for disease control in developing countries’, </w:t>
      </w:r>
      <w:r w:rsidRPr="00233532">
        <w:rPr>
          <w:rFonts w:ascii="Calibri" w:hAnsi="Calibri" w:cs="Calibri"/>
          <w:i/>
          <w:color w:val="000000" w:themeColor="text1"/>
          <w:sz w:val="22"/>
          <w:szCs w:val="22"/>
        </w:rPr>
        <w:t xml:space="preserve">New England Journal of Medicine </w:t>
      </w:r>
      <w:r w:rsidRPr="00233532">
        <w:rPr>
          <w:rFonts w:ascii="Calibri" w:hAnsi="Calibri" w:cs="Calibri"/>
          <w:color w:val="000000" w:themeColor="text1"/>
          <w:sz w:val="22"/>
          <w:szCs w:val="22"/>
        </w:rPr>
        <w:t>301 (1979), 967-974.</w:t>
      </w:r>
    </w:p>
    <w:p w14:paraId="4E98BF7C" w14:textId="77777777" w:rsidR="00442620" w:rsidRPr="00233532" w:rsidRDefault="00442620" w:rsidP="00442620">
      <w:pPr>
        <w:pStyle w:val="FootnoteText"/>
        <w:rPr>
          <w:rFonts w:ascii="Calibri" w:hAnsi="Calibri" w:cs="Calibri"/>
          <w:color w:val="000000" w:themeColor="text1"/>
          <w:sz w:val="22"/>
          <w:szCs w:val="22"/>
        </w:rPr>
      </w:pPr>
    </w:p>
    <w:p w14:paraId="54F6C9A5" w14:textId="77777777"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t xml:space="preserve">Walt G, ‘WHO under stress: implications for health policy’, </w:t>
      </w:r>
      <w:r w:rsidRPr="00CF189D">
        <w:rPr>
          <w:rFonts w:ascii="Calibri" w:hAnsi="Calibri" w:cs="Calibri"/>
          <w:i/>
          <w:sz w:val="22"/>
          <w:szCs w:val="22"/>
        </w:rPr>
        <w:t>Health Policy</w:t>
      </w:r>
      <w:r w:rsidRPr="00CF189D">
        <w:rPr>
          <w:rFonts w:ascii="Calibri" w:hAnsi="Calibri" w:cs="Calibri"/>
          <w:sz w:val="22"/>
          <w:szCs w:val="22"/>
        </w:rPr>
        <w:t xml:space="preserve"> 24 (1993), 125-144.</w:t>
      </w:r>
    </w:p>
    <w:p w14:paraId="1AA2915D" w14:textId="77777777" w:rsidR="00442620" w:rsidRPr="00CF189D" w:rsidRDefault="00442620" w:rsidP="00DD4818">
      <w:pPr>
        <w:pStyle w:val="Footnotes"/>
        <w:rPr>
          <w:rFonts w:ascii="Calibri" w:hAnsi="Calibri" w:cs="Calibri"/>
          <w:sz w:val="22"/>
          <w:szCs w:val="22"/>
        </w:rPr>
      </w:pPr>
    </w:p>
    <w:p w14:paraId="69AF6F21"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lastRenderedPageBreak/>
        <w:t>Warren K, ‘The e</w:t>
      </w:r>
      <w:r w:rsidRPr="00E12758">
        <w:rPr>
          <w:rFonts w:ascii="Calibri" w:hAnsi="Calibri" w:cs="Calibri"/>
          <w:color w:val="000000" w:themeColor="text1"/>
          <w:sz w:val="22"/>
          <w:szCs w:val="22"/>
        </w:rPr>
        <w:t>volution of selective primary healt</w:t>
      </w:r>
      <w:r w:rsidRPr="00766A1F">
        <w:rPr>
          <w:rFonts w:ascii="Calibri" w:hAnsi="Calibri" w:cs="Calibri"/>
          <w:color w:val="000000" w:themeColor="text1"/>
          <w:sz w:val="22"/>
          <w:szCs w:val="22"/>
        </w:rPr>
        <w:t xml:space="preserve">h care’, </w:t>
      </w:r>
      <w:r w:rsidRPr="00766A1F">
        <w:rPr>
          <w:rFonts w:ascii="Calibri" w:hAnsi="Calibri" w:cs="Calibri"/>
          <w:i/>
          <w:color w:val="000000" w:themeColor="text1"/>
          <w:sz w:val="22"/>
          <w:szCs w:val="22"/>
        </w:rPr>
        <w:t>Social Scienc</w:t>
      </w:r>
      <w:r w:rsidRPr="007A123B">
        <w:rPr>
          <w:rFonts w:ascii="Calibri" w:hAnsi="Calibri" w:cs="Calibri"/>
          <w:i/>
          <w:color w:val="000000" w:themeColor="text1"/>
          <w:sz w:val="22"/>
          <w:szCs w:val="22"/>
        </w:rPr>
        <w:t xml:space="preserve">e &amp; Medicine </w:t>
      </w:r>
      <w:r w:rsidRPr="00233532">
        <w:rPr>
          <w:rFonts w:ascii="Calibri" w:hAnsi="Calibri" w:cs="Calibri"/>
          <w:color w:val="000000" w:themeColor="text1"/>
          <w:sz w:val="22"/>
          <w:szCs w:val="22"/>
        </w:rPr>
        <w:t>26:9 (1988), 891-898.</w:t>
      </w:r>
    </w:p>
    <w:p w14:paraId="0A4736BC" w14:textId="77777777" w:rsidR="00442620" w:rsidRPr="00233532" w:rsidRDefault="00442620" w:rsidP="00442620">
      <w:pPr>
        <w:pStyle w:val="FootnoteText"/>
        <w:rPr>
          <w:rFonts w:ascii="Calibri" w:hAnsi="Calibri" w:cs="Calibri"/>
          <w:color w:val="000000" w:themeColor="text1"/>
          <w:sz w:val="22"/>
          <w:szCs w:val="22"/>
        </w:rPr>
      </w:pPr>
    </w:p>
    <w:p w14:paraId="5C757E71" w14:textId="74380EB8" w:rsidR="00B040F0" w:rsidRPr="00CF189D" w:rsidRDefault="00442620" w:rsidP="00B040F0">
      <w:pPr>
        <w:pStyle w:val="FootnoteText"/>
        <w:rPr>
          <w:rFonts w:ascii="Calibri" w:hAnsi="Calibri" w:cs="Calibri"/>
          <w:sz w:val="22"/>
          <w:szCs w:val="22"/>
        </w:rPr>
      </w:pPr>
      <w:r w:rsidRPr="00233532">
        <w:rPr>
          <w:rFonts w:ascii="Calibri" w:hAnsi="Calibri" w:cs="Calibri"/>
          <w:color w:val="000000" w:themeColor="text1"/>
          <w:sz w:val="22"/>
          <w:szCs w:val="22"/>
        </w:rPr>
        <w:t xml:space="preserve">Waters </w:t>
      </w:r>
      <w:r w:rsidR="00133761" w:rsidRPr="00233532">
        <w:rPr>
          <w:rFonts w:ascii="Calibri" w:hAnsi="Calibri" w:cs="Calibri"/>
          <w:color w:val="000000" w:themeColor="text1"/>
          <w:sz w:val="22"/>
          <w:szCs w:val="22"/>
        </w:rPr>
        <w:t>HR, Rehwinkel JA and Burnham G,</w:t>
      </w:r>
      <w:r w:rsidRPr="00233532">
        <w:rPr>
          <w:rFonts w:ascii="Calibri" w:hAnsi="Calibri" w:cs="Calibri"/>
          <w:color w:val="000000" w:themeColor="text1"/>
          <w:sz w:val="22"/>
          <w:szCs w:val="22"/>
        </w:rPr>
        <w:t xml:space="preserve"> ‘Economic evaluation of Mectizan distribution’, </w:t>
      </w:r>
      <w:r w:rsidRPr="00233532">
        <w:rPr>
          <w:rFonts w:ascii="Calibri" w:hAnsi="Calibri" w:cs="Calibri"/>
          <w:i/>
          <w:color w:val="000000" w:themeColor="text1"/>
          <w:sz w:val="22"/>
          <w:szCs w:val="22"/>
        </w:rPr>
        <w:t xml:space="preserve">Tropical Medicine and International Health </w:t>
      </w:r>
      <w:r w:rsidRPr="00233532">
        <w:rPr>
          <w:rFonts w:ascii="Calibri" w:hAnsi="Calibri" w:cs="Calibri"/>
          <w:color w:val="000000" w:themeColor="text1"/>
          <w:sz w:val="22"/>
          <w:szCs w:val="22"/>
        </w:rPr>
        <w:t>9:4 (2004), A16-A25.</w:t>
      </w:r>
    </w:p>
    <w:p w14:paraId="15B13586" w14:textId="77777777" w:rsidR="00442620" w:rsidRPr="00233532" w:rsidRDefault="00442620" w:rsidP="00B040F0">
      <w:pPr>
        <w:pStyle w:val="FootnoteText"/>
        <w:rPr>
          <w:rFonts w:ascii="Calibri" w:hAnsi="Calibri" w:cs="Calibri"/>
          <w:color w:val="000000" w:themeColor="text1"/>
          <w:sz w:val="22"/>
          <w:szCs w:val="22"/>
        </w:rPr>
      </w:pPr>
    </w:p>
    <w:p w14:paraId="4A5F23D4"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Whelan L, ‘This company gave away a drug that just won the Nobel Prize and helped millions: big pharma helped these scientists to eliminate two horrible diseases’, </w:t>
      </w:r>
      <w:r w:rsidRPr="00233532">
        <w:rPr>
          <w:rFonts w:ascii="Calibri" w:hAnsi="Calibri" w:cs="Calibri"/>
          <w:i/>
          <w:color w:val="000000" w:themeColor="text1"/>
          <w:sz w:val="22"/>
          <w:szCs w:val="22"/>
        </w:rPr>
        <w:t xml:space="preserve">Mother Jones, </w:t>
      </w:r>
      <w:r w:rsidRPr="00233532">
        <w:rPr>
          <w:rFonts w:ascii="Calibri" w:hAnsi="Calibri" w:cs="Calibri"/>
          <w:color w:val="000000" w:themeColor="text1"/>
          <w:sz w:val="22"/>
          <w:szCs w:val="22"/>
        </w:rPr>
        <w:t>5 October 2015.</w:t>
      </w:r>
    </w:p>
    <w:p w14:paraId="3EEE672A" w14:textId="77777777" w:rsidR="00442620" w:rsidRPr="00233532" w:rsidRDefault="00442620" w:rsidP="00442620">
      <w:pPr>
        <w:pStyle w:val="FootnoteText"/>
        <w:rPr>
          <w:rFonts w:ascii="Calibri" w:hAnsi="Calibri" w:cs="Calibri"/>
          <w:color w:val="000000" w:themeColor="text1"/>
          <w:sz w:val="22"/>
          <w:szCs w:val="22"/>
        </w:rPr>
      </w:pPr>
    </w:p>
    <w:p w14:paraId="5AF8865B" w14:textId="517D507C"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WHO Photo Library, WHO_A_011918, ‘In many villages the ravages of onchocerciasis are such that one guide has to lead 3 or 4 blind neighbours’</w:t>
      </w:r>
      <w:r w:rsidR="0052083A" w:rsidRPr="00233532">
        <w:rPr>
          <w:rFonts w:ascii="Calibri" w:hAnsi="Calibri" w:cs="Calibri"/>
          <w:color w:val="000000" w:themeColor="text1"/>
          <w:sz w:val="22"/>
          <w:szCs w:val="22"/>
        </w:rPr>
        <w:t>, s.d.</w:t>
      </w:r>
      <w:r w:rsidRPr="00233532">
        <w:rPr>
          <w:rFonts w:ascii="Calibri" w:hAnsi="Calibri" w:cs="Calibri"/>
          <w:color w:val="000000" w:themeColor="text1"/>
          <w:sz w:val="22"/>
          <w:szCs w:val="22"/>
        </w:rPr>
        <w:t xml:space="preserve"> </w:t>
      </w:r>
    </w:p>
    <w:p w14:paraId="0CF2FD4D" w14:textId="60EC24E0" w:rsidR="008A45BD" w:rsidRPr="00233532" w:rsidRDefault="008A45BD" w:rsidP="00442620">
      <w:pPr>
        <w:pStyle w:val="FootnoteText"/>
        <w:rPr>
          <w:rFonts w:ascii="Calibri" w:hAnsi="Calibri" w:cs="Calibri"/>
          <w:color w:val="000000" w:themeColor="text1"/>
          <w:sz w:val="22"/>
          <w:szCs w:val="22"/>
        </w:rPr>
      </w:pPr>
    </w:p>
    <w:p w14:paraId="5E4F7E2A" w14:textId="085A3F98" w:rsidR="008A45BD" w:rsidRPr="00233532" w:rsidRDefault="008A45BD" w:rsidP="008A45BD">
      <w:pPr>
        <w:rPr>
          <w:rFonts w:ascii="Calibri" w:hAnsi="Calibri" w:cs="Calibri"/>
          <w:color w:val="000000" w:themeColor="text1"/>
          <w:sz w:val="22"/>
          <w:szCs w:val="22"/>
        </w:rPr>
      </w:pPr>
      <w:r w:rsidRPr="00233532">
        <w:rPr>
          <w:rFonts w:ascii="Calibri" w:hAnsi="Calibri" w:cs="Calibri"/>
          <w:color w:val="000000" w:themeColor="text1"/>
          <w:sz w:val="22"/>
          <w:szCs w:val="22"/>
        </w:rPr>
        <w:t xml:space="preserve">WHO, ‘Onchocerciasis Control Programme (OCP) in West Africa: a summary of the WHO progress report for 1987’, </w:t>
      </w:r>
      <w:r w:rsidRPr="00233532">
        <w:rPr>
          <w:rFonts w:ascii="Calibri" w:hAnsi="Calibri" w:cs="Calibri"/>
          <w:i/>
          <w:color w:val="000000" w:themeColor="text1"/>
          <w:sz w:val="22"/>
          <w:szCs w:val="22"/>
        </w:rPr>
        <w:t xml:space="preserve">Weekly Epidemiology Record </w:t>
      </w:r>
      <w:r w:rsidRPr="00233532">
        <w:rPr>
          <w:rFonts w:ascii="Calibri" w:hAnsi="Calibri" w:cs="Calibri"/>
          <w:color w:val="000000" w:themeColor="text1"/>
          <w:sz w:val="22"/>
          <w:szCs w:val="22"/>
        </w:rPr>
        <w:t>31 (29 July 1988), 233-236.</w:t>
      </w:r>
    </w:p>
    <w:p w14:paraId="0B473192" w14:textId="77777777" w:rsidR="00442620" w:rsidRPr="00233532" w:rsidRDefault="00442620" w:rsidP="00442620">
      <w:pPr>
        <w:pStyle w:val="FootnoteText"/>
        <w:rPr>
          <w:rFonts w:ascii="Calibri" w:hAnsi="Calibri" w:cs="Calibri"/>
          <w:color w:val="000000" w:themeColor="text1"/>
          <w:sz w:val="22"/>
          <w:szCs w:val="22"/>
        </w:rPr>
      </w:pPr>
    </w:p>
    <w:p w14:paraId="45455FB7"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WHO, ‘Speech of Dr Luis Gomes Sambo, WHO Regional Director for Africa at the celebration of 40</w:t>
      </w:r>
      <w:r w:rsidRPr="00233532">
        <w:rPr>
          <w:rFonts w:ascii="Calibri" w:hAnsi="Calibri" w:cs="Calibri"/>
          <w:color w:val="000000" w:themeColor="text1"/>
          <w:sz w:val="22"/>
          <w:szCs w:val="22"/>
          <w:vertAlign w:val="superscript"/>
        </w:rPr>
        <w:t>th</w:t>
      </w:r>
      <w:r w:rsidRPr="00233532">
        <w:rPr>
          <w:rFonts w:ascii="Calibri" w:hAnsi="Calibri" w:cs="Calibri"/>
          <w:color w:val="000000" w:themeColor="text1"/>
          <w:sz w:val="22"/>
          <w:szCs w:val="22"/>
        </w:rPr>
        <w:t xml:space="preserve"> anniversary of the river blindness partnership OCP/APOC’, </w:t>
      </w:r>
      <w:r w:rsidRPr="00233532">
        <w:rPr>
          <w:rFonts w:ascii="Calibri" w:hAnsi="Calibri" w:cs="Calibri"/>
          <w:i/>
          <w:color w:val="000000" w:themeColor="text1"/>
          <w:sz w:val="22"/>
          <w:szCs w:val="22"/>
        </w:rPr>
        <w:t xml:space="preserve">WHO AFRO Speeches &amp; Messages </w:t>
      </w:r>
      <w:r w:rsidRPr="00233532">
        <w:rPr>
          <w:rFonts w:ascii="Calibri" w:hAnsi="Calibri" w:cs="Calibri"/>
          <w:color w:val="000000" w:themeColor="text1"/>
          <w:sz w:val="22"/>
          <w:szCs w:val="22"/>
        </w:rPr>
        <w:t>(20 June 2014).</w:t>
      </w:r>
    </w:p>
    <w:p w14:paraId="1175D9BB" w14:textId="77777777" w:rsidR="00442620" w:rsidRPr="00233532" w:rsidRDefault="00442620" w:rsidP="00442620">
      <w:pPr>
        <w:pStyle w:val="FootnoteText"/>
        <w:rPr>
          <w:rFonts w:ascii="Calibri" w:hAnsi="Calibri" w:cs="Calibri"/>
          <w:color w:val="000000" w:themeColor="text1"/>
          <w:sz w:val="22"/>
          <w:szCs w:val="22"/>
        </w:rPr>
      </w:pPr>
    </w:p>
    <w:p w14:paraId="712EA423"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WHO, ‘Unprecedented progress against neglected tropical diseases, WHO reports’, </w:t>
      </w:r>
      <w:r w:rsidRPr="00233532">
        <w:rPr>
          <w:rFonts w:ascii="Calibri" w:hAnsi="Calibri" w:cs="Calibri"/>
          <w:i/>
          <w:color w:val="000000" w:themeColor="text1"/>
          <w:sz w:val="22"/>
          <w:szCs w:val="22"/>
        </w:rPr>
        <w:t xml:space="preserve">WHO Newsroom </w:t>
      </w:r>
      <w:r w:rsidRPr="00233532">
        <w:rPr>
          <w:rFonts w:ascii="Calibri" w:hAnsi="Calibri" w:cs="Calibri"/>
          <w:color w:val="000000" w:themeColor="text1"/>
          <w:sz w:val="22"/>
          <w:szCs w:val="22"/>
        </w:rPr>
        <w:t>(19 April 2017).</w:t>
      </w:r>
    </w:p>
    <w:p w14:paraId="255BBE50" w14:textId="77777777" w:rsidR="00442620" w:rsidRPr="00233532" w:rsidRDefault="00442620" w:rsidP="00442620">
      <w:pPr>
        <w:pStyle w:val="FootnoteText"/>
        <w:rPr>
          <w:rFonts w:ascii="Calibri" w:hAnsi="Calibri" w:cs="Calibri"/>
          <w:color w:val="000000" w:themeColor="text1"/>
          <w:sz w:val="22"/>
          <w:szCs w:val="22"/>
        </w:rPr>
      </w:pPr>
    </w:p>
    <w:p w14:paraId="4BA0D69B" w14:textId="77777777"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t>WHO, Constitution of the World Health Organization (Geneva: WHO, 1948).</w:t>
      </w:r>
    </w:p>
    <w:p w14:paraId="4E40B327" w14:textId="77777777" w:rsidR="00442620" w:rsidRPr="00233532" w:rsidRDefault="00442620" w:rsidP="00442620">
      <w:pPr>
        <w:pStyle w:val="FootnoteText"/>
        <w:rPr>
          <w:rFonts w:ascii="Calibri" w:hAnsi="Calibri" w:cs="Calibri"/>
          <w:color w:val="000000" w:themeColor="text1"/>
          <w:sz w:val="22"/>
          <w:szCs w:val="22"/>
        </w:rPr>
      </w:pPr>
    </w:p>
    <w:p w14:paraId="2325CD2A" w14:textId="77777777" w:rsidR="00442620" w:rsidRPr="007A123B" w:rsidRDefault="00442620" w:rsidP="00442620">
      <w:pPr>
        <w:pStyle w:val="FootnoteText"/>
        <w:rPr>
          <w:rFonts w:ascii="Calibri" w:hAnsi="Calibri" w:cs="Calibri"/>
          <w:color w:val="000000" w:themeColor="text1"/>
          <w:sz w:val="22"/>
          <w:szCs w:val="22"/>
        </w:rPr>
      </w:pPr>
      <w:r w:rsidRPr="00E12758">
        <w:rPr>
          <w:rFonts w:ascii="Calibri" w:hAnsi="Calibri" w:cs="Calibri"/>
          <w:color w:val="000000" w:themeColor="text1"/>
          <w:sz w:val="22"/>
          <w:szCs w:val="22"/>
        </w:rPr>
        <w:t xml:space="preserve">WHO, </w:t>
      </w:r>
      <w:r w:rsidRPr="00766A1F">
        <w:rPr>
          <w:rFonts w:ascii="Calibri" w:hAnsi="Calibri" w:cs="Calibri"/>
          <w:i/>
          <w:color w:val="000000" w:themeColor="text1"/>
          <w:sz w:val="22"/>
          <w:szCs w:val="22"/>
        </w:rPr>
        <w:t>Fourth report on the world health situation, 1965-1968</w:t>
      </w:r>
      <w:r w:rsidRPr="007A123B">
        <w:rPr>
          <w:rFonts w:ascii="Calibri" w:hAnsi="Calibri" w:cs="Calibri"/>
          <w:color w:val="000000" w:themeColor="text1"/>
          <w:sz w:val="22"/>
          <w:szCs w:val="22"/>
        </w:rPr>
        <w:t xml:space="preserve"> (WHO: Geneva, 1971), 74-76.</w:t>
      </w:r>
    </w:p>
    <w:p w14:paraId="7C3C909B" w14:textId="77777777" w:rsidR="00442620" w:rsidRPr="00233532" w:rsidRDefault="00442620" w:rsidP="00442620">
      <w:pPr>
        <w:pStyle w:val="FootnoteText"/>
        <w:rPr>
          <w:rFonts w:ascii="Calibri" w:hAnsi="Calibri" w:cs="Calibri"/>
          <w:color w:val="000000" w:themeColor="text1"/>
          <w:sz w:val="22"/>
          <w:szCs w:val="22"/>
        </w:rPr>
      </w:pPr>
    </w:p>
    <w:p w14:paraId="3A848E08"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WHO, </w:t>
      </w:r>
      <w:r w:rsidRPr="00233532">
        <w:rPr>
          <w:rFonts w:ascii="Calibri" w:hAnsi="Calibri" w:cs="Calibri"/>
          <w:i/>
          <w:color w:val="000000" w:themeColor="text1"/>
          <w:sz w:val="22"/>
          <w:szCs w:val="22"/>
        </w:rPr>
        <w:t xml:space="preserve">Framework for the establishment of the Expanded Special Project for Elimination of Neglected Tropical Diseases </w:t>
      </w:r>
      <w:r w:rsidRPr="00233532">
        <w:rPr>
          <w:rFonts w:ascii="Calibri" w:hAnsi="Calibri" w:cs="Calibri"/>
          <w:color w:val="000000" w:themeColor="text1"/>
          <w:sz w:val="22"/>
          <w:szCs w:val="22"/>
        </w:rPr>
        <w:t>(Brazzaville: WHO AFRO, [2016]).</w:t>
      </w:r>
    </w:p>
    <w:p w14:paraId="0A49AF56" w14:textId="77777777" w:rsidR="00442620" w:rsidRPr="00CF189D" w:rsidRDefault="00442620" w:rsidP="00DD4818">
      <w:pPr>
        <w:pStyle w:val="Footnotes"/>
        <w:rPr>
          <w:rFonts w:ascii="Calibri" w:hAnsi="Calibri" w:cs="Calibri"/>
          <w:sz w:val="22"/>
          <w:szCs w:val="22"/>
        </w:rPr>
      </w:pPr>
    </w:p>
    <w:p w14:paraId="47D83555" w14:textId="77777777"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t>WHO, Report of the nineteenth Joint UNICEF/WHO committee on health policy (Geneva: WHO, 1972).</w:t>
      </w:r>
    </w:p>
    <w:p w14:paraId="4C82D578" w14:textId="77777777" w:rsidR="00442620" w:rsidRPr="00233532" w:rsidRDefault="00442620" w:rsidP="00442620">
      <w:pPr>
        <w:rPr>
          <w:rFonts w:ascii="Calibri" w:hAnsi="Calibri" w:cs="Calibri"/>
          <w:color w:val="000000" w:themeColor="text1"/>
          <w:sz w:val="22"/>
          <w:szCs w:val="22"/>
        </w:rPr>
      </w:pPr>
    </w:p>
    <w:p w14:paraId="52444365" w14:textId="0690E3A0" w:rsidR="00442620" w:rsidRDefault="00442620" w:rsidP="00442620">
      <w:pPr>
        <w:rPr>
          <w:rFonts w:ascii="Calibri" w:hAnsi="Calibri" w:cs="Calibri"/>
          <w:color w:val="000000" w:themeColor="text1"/>
          <w:sz w:val="22"/>
          <w:szCs w:val="22"/>
        </w:rPr>
      </w:pPr>
      <w:r w:rsidRPr="00E12758">
        <w:rPr>
          <w:rFonts w:ascii="Calibri" w:hAnsi="Calibri" w:cs="Calibri"/>
          <w:color w:val="000000" w:themeColor="text1"/>
          <w:sz w:val="22"/>
          <w:szCs w:val="22"/>
        </w:rPr>
        <w:t xml:space="preserve">WHO, </w:t>
      </w:r>
      <w:r w:rsidRPr="00766A1F">
        <w:rPr>
          <w:rFonts w:ascii="Calibri" w:hAnsi="Calibri" w:cs="Calibri"/>
          <w:i/>
          <w:color w:val="000000" w:themeColor="text1"/>
          <w:sz w:val="22"/>
          <w:szCs w:val="22"/>
        </w:rPr>
        <w:t>Ten years of onchocerciasis control in West Africa: evaluation of the activities of the Onchoc</w:t>
      </w:r>
      <w:r w:rsidRPr="007A123B">
        <w:rPr>
          <w:rFonts w:ascii="Calibri" w:hAnsi="Calibri" w:cs="Calibri"/>
          <w:i/>
          <w:color w:val="000000" w:themeColor="text1"/>
          <w:sz w:val="22"/>
          <w:szCs w:val="22"/>
        </w:rPr>
        <w:t xml:space="preserve">erciasis Control Programme in the Volta basin area (until June 1984) </w:t>
      </w:r>
      <w:r w:rsidRPr="00233532">
        <w:rPr>
          <w:rFonts w:ascii="Calibri" w:hAnsi="Calibri" w:cs="Calibri"/>
          <w:color w:val="000000" w:themeColor="text1"/>
          <w:sz w:val="22"/>
          <w:szCs w:val="22"/>
        </w:rPr>
        <w:t xml:space="preserve">(Geneva: WHO, 1984). </w:t>
      </w:r>
    </w:p>
    <w:p w14:paraId="7F791DEE" w14:textId="77777777" w:rsidR="00B040F0" w:rsidRDefault="00B040F0" w:rsidP="00442620">
      <w:pPr>
        <w:rPr>
          <w:rFonts w:ascii="Calibri" w:hAnsi="Calibri" w:cs="Calibri"/>
          <w:color w:val="000000" w:themeColor="text1"/>
          <w:sz w:val="22"/>
          <w:szCs w:val="22"/>
        </w:rPr>
      </w:pPr>
    </w:p>
    <w:p w14:paraId="11DDD714" w14:textId="512D3662" w:rsidR="00B040F0" w:rsidRPr="001C0900" w:rsidRDefault="0033493D" w:rsidP="00B040F0">
      <w:pPr>
        <w:pStyle w:val="FootnoteText"/>
        <w:rPr>
          <w:rFonts w:ascii="Calibri" w:hAnsi="Calibri" w:cs="Calibri"/>
          <w:color w:val="000000" w:themeColor="text1"/>
          <w:sz w:val="22"/>
          <w:szCs w:val="22"/>
        </w:rPr>
      </w:pPr>
      <w:r>
        <w:rPr>
          <w:rFonts w:ascii="Calibri" w:hAnsi="Calibri" w:cs="Calibri"/>
          <w:sz w:val="22"/>
          <w:szCs w:val="22"/>
          <w:lang w:val="en-US"/>
        </w:rPr>
        <w:t>WHO</w:t>
      </w:r>
      <w:r w:rsidR="00B040F0" w:rsidRPr="001C0900">
        <w:rPr>
          <w:rFonts w:ascii="Calibri" w:hAnsi="Calibri" w:cs="Calibri"/>
          <w:sz w:val="22"/>
          <w:szCs w:val="22"/>
          <w:lang w:val="en-US"/>
        </w:rPr>
        <w:t xml:space="preserve">, </w:t>
      </w:r>
      <w:r w:rsidR="00B040F0" w:rsidRPr="001C0900">
        <w:rPr>
          <w:rFonts w:ascii="Calibri" w:hAnsi="Calibri" w:cs="Calibri"/>
          <w:i/>
          <w:iCs/>
          <w:sz w:val="22"/>
          <w:szCs w:val="22"/>
          <w:lang w:val="en-US"/>
        </w:rPr>
        <w:t xml:space="preserve">The fourth ten years of the World Health Organization, 1978-1987 </w:t>
      </w:r>
      <w:r w:rsidR="00B040F0" w:rsidRPr="001C0900">
        <w:rPr>
          <w:rFonts w:ascii="Calibri" w:hAnsi="Calibri" w:cs="Calibri"/>
          <w:sz w:val="22"/>
          <w:szCs w:val="22"/>
          <w:lang w:val="en-US"/>
        </w:rPr>
        <w:t>(Geneva: WHO, 2011), 1-2, 47.</w:t>
      </w:r>
    </w:p>
    <w:p w14:paraId="3A1325B3" w14:textId="77777777" w:rsidR="00B040F0" w:rsidRPr="00233532" w:rsidRDefault="00B040F0" w:rsidP="00442620">
      <w:pPr>
        <w:pStyle w:val="FootnoteText"/>
        <w:rPr>
          <w:rFonts w:ascii="Calibri" w:hAnsi="Calibri" w:cs="Calibri"/>
          <w:color w:val="000000" w:themeColor="text1"/>
          <w:sz w:val="22"/>
          <w:szCs w:val="22"/>
        </w:rPr>
      </w:pPr>
    </w:p>
    <w:p w14:paraId="081836DA" w14:textId="77777777" w:rsidR="00442620" w:rsidRPr="00233532" w:rsidRDefault="00442620" w:rsidP="00442620">
      <w:pPr>
        <w:pStyle w:val="FootnoteText"/>
        <w:rPr>
          <w:rFonts w:ascii="Calibri" w:hAnsi="Calibri" w:cs="Calibri"/>
          <w:b/>
          <w:i/>
          <w:color w:val="000000" w:themeColor="text1"/>
          <w:sz w:val="22"/>
          <w:szCs w:val="22"/>
        </w:rPr>
      </w:pPr>
    </w:p>
    <w:p w14:paraId="23FCF328" w14:textId="578F4F77" w:rsidR="00442620" w:rsidRPr="00233532" w:rsidRDefault="0033493D" w:rsidP="00442620">
      <w:pPr>
        <w:pStyle w:val="FootnoteText"/>
        <w:rPr>
          <w:rFonts w:ascii="Calibri" w:hAnsi="Calibri" w:cs="Calibri"/>
          <w:b/>
          <w:i/>
          <w:color w:val="000000" w:themeColor="text1"/>
          <w:sz w:val="22"/>
          <w:szCs w:val="22"/>
        </w:rPr>
      </w:pPr>
      <w:r>
        <w:rPr>
          <w:rFonts w:ascii="Calibri" w:hAnsi="Calibri" w:cs="Calibri"/>
          <w:b/>
          <w:i/>
          <w:color w:val="000000" w:themeColor="text1"/>
          <w:sz w:val="22"/>
          <w:szCs w:val="22"/>
        </w:rPr>
        <w:t>WHO</w:t>
      </w:r>
      <w:r w:rsidR="00442620" w:rsidRPr="00233532">
        <w:rPr>
          <w:rFonts w:ascii="Calibri" w:hAnsi="Calibri" w:cs="Calibri"/>
          <w:b/>
          <w:i/>
          <w:color w:val="000000" w:themeColor="text1"/>
          <w:sz w:val="22"/>
          <w:szCs w:val="22"/>
        </w:rPr>
        <w:t xml:space="preserve"> Archives</w:t>
      </w:r>
    </w:p>
    <w:p w14:paraId="02E4216E" w14:textId="77777777" w:rsidR="00442620" w:rsidRPr="00233532" w:rsidRDefault="00442620" w:rsidP="00442620">
      <w:pPr>
        <w:pStyle w:val="FootnoteText"/>
        <w:rPr>
          <w:rFonts w:ascii="Calibri" w:hAnsi="Calibri" w:cs="Calibri"/>
          <w:color w:val="000000" w:themeColor="text1"/>
          <w:sz w:val="22"/>
          <w:szCs w:val="22"/>
        </w:rPr>
      </w:pPr>
    </w:p>
    <w:p w14:paraId="04E3326F"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------O8-370-4, C.D. Ginger to David A. Denham, ‘Request for photograph’, 11 January 1993. </w:t>
      </w:r>
    </w:p>
    <w:p w14:paraId="1B128C05" w14:textId="77777777" w:rsidR="00442620" w:rsidRPr="00233532" w:rsidRDefault="00442620" w:rsidP="00442620">
      <w:pPr>
        <w:pStyle w:val="FootnoteText"/>
        <w:rPr>
          <w:rFonts w:ascii="Calibri" w:hAnsi="Calibri" w:cs="Calibri"/>
          <w:color w:val="000000" w:themeColor="text1"/>
          <w:sz w:val="22"/>
          <w:szCs w:val="22"/>
        </w:rPr>
      </w:pPr>
    </w:p>
    <w:p w14:paraId="31924F0F"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------O8-370-4, Colin D. Ginger to D.A. Denham, 25 January 1993.</w:t>
      </w:r>
    </w:p>
    <w:p w14:paraId="54EFC655" w14:textId="77777777" w:rsidR="00442620" w:rsidRPr="00233532" w:rsidRDefault="00442620" w:rsidP="00442620">
      <w:pPr>
        <w:pStyle w:val="FootnoteText"/>
        <w:rPr>
          <w:rFonts w:ascii="Calibri" w:hAnsi="Calibri" w:cs="Calibri"/>
          <w:color w:val="000000" w:themeColor="text1"/>
          <w:sz w:val="22"/>
          <w:szCs w:val="22"/>
        </w:rPr>
      </w:pPr>
    </w:p>
    <w:p w14:paraId="0D987ED7" w14:textId="77777777"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t>------O8-370-4, Jkt 2, ‘The contribution of WHO to screening and clinical trials of ivermectin in filarial infections, esp. oncho’, September 1984.</w:t>
      </w:r>
    </w:p>
    <w:p w14:paraId="2E46B2B5" w14:textId="77777777" w:rsidR="00442620" w:rsidRPr="00CF189D" w:rsidRDefault="00442620" w:rsidP="00DD4818">
      <w:pPr>
        <w:pStyle w:val="Footnotes"/>
        <w:rPr>
          <w:rFonts w:ascii="Calibri" w:hAnsi="Calibri" w:cs="Calibri"/>
          <w:sz w:val="22"/>
          <w:szCs w:val="22"/>
        </w:rPr>
      </w:pPr>
    </w:p>
    <w:p w14:paraId="694290DC" w14:textId="0EB5ACBA" w:rsidR="00442620" w:rsidRPr="00766A1F"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------O8-372-3, ‘McNamara – from the president, control of onchocerciasis </w:t>
      </w:r>
      <w:r w:rsidRPr="00E12758">
        <w:rPr>
          <w:rFonts w:ascii="Calibri" w:hAnsi="Calibri" w:cs="Calibri"/>
          <w:color w:val="000000" w:themeColor="text1"/>
          <w:sz w:val="22"/>
          <w:szCs w:val="22"/>
        </w:rPr>
        <w:t>in Western Africa, draft EPWright:Vr</w:t>
      </w:r>
      <w:r w:rsidRPr="00766A1F">
        <w:rPr>
          <w:rFonts w:ascii="Calibri" w:hAnsi="Calibri" w:cs="Calibri"/>
          <w:color w:val="000000" w:themeColor="text1"/>
          <w:sz w:val="22"/>
          <w:szCs w:val="22"/>
        </w:rPr>
        <w:t>’, 16 November 1973.</w:t>
      </w:r>
    </w:p>
    <w:p w14:paraId="6AB02586" w14:textId="029C6A3D" w:rsidR="00133761" w:rsidRPr="007A123B" w:rsidRDefault="00133761" w:rsidP="00442620">
      <w:pPr>
        <w:pStyle w:val="FootnoteText"/>
        <w:rPr>
          <w:rFonts w:ascii="Calibri" w:hAnsi="Calibri" w:cs="Calibri"/>
          <w:color w:val="000000" w:themeColor="text1"/>
          <w:sz w:val="22"/>
          <w:szCs w:val="22"/>
        </w:rPr>
      </w:pPr>
    </w:p>
    <w:p w14:paraId="45A4507F" w14:textId="389701E9" w:rsidR="00133761" w:rsidRPr="00233532" w:rsidRDefault="00133761"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------O8-372-3, E. Peter Wright to L. Bernard, 16 November 1973.</w:t>
      </w:r>
    </w:p>
    <w:p w14:paraId="39BC3039" w14:textId="77777777" w:rsidR="00442620" w:rsidRPr="00233532" w:rsidRDefault="00442620" w:rsidP="00442620">
      <w:pPr>
        <w:pStyle w:val="FootnoteText"/>
        <w:rPr>
          <w:rFonts w:ascii="Calibri" w:hAnsi="Calibri" w:cs="Calibri"/>
          <w:color w:val="000000" w:themeColor="text1"/>
          <w:sz w:val="22"/>
          <w:szCs w:val="22"/>
        </w:rPr>
      </w:pPr>
    </w:p>
    <w:p w14:paraId="0392CE8E"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------O8-372-3, Jkt 1, C.W. Gockel to Mr. Steward, 4 March 1968.</w:t>
      </w:r>
    </w:p>
    <w:p w14:paraId="320ADAE1" w14:textId="77777777" w:rsidR="00442620" w:rsidRPr="00233532" w:rsidRDefault="00442620" w:rsidP="00442620">
      <w:pPr>
        <w:pStyle w:val="FootnoteText"/>
        <w:rPr>
          <w:rFonts w:ascii="Calibri" w:hAnsi="Calibri" w:cs="Calibri"/>
          <w:color w:val="000000" w:themeColor="text1"/>
          <w:sz w:val="22"/>
          <w:szCs w:val="22"/>
        </w:rPr>
      </w:pPr>
    </w:p>
    <w:p w14:paraId="657BB38A"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------O8-372-3, Jkt 1, L. Bernard to E. Peter Wright, 21 November 1973.</w:t>
      </w:r>
    </w:p>
    <w:p w14:paraId="55A3B21D" w14:textId="77777777" w:rsidR="00442620" w:rsidRPr="00233532" w:rsidRDefault="00442620" w:rsidP="00442620">
      <w:pPr>
        <w:pStyle w:val="FootnoteText"/>
        <w:rPr>
          <w:rFonts w:ascii="Calibri" w:hAnsi="Calibri" w:cs="Calibri"/>
          <w:color w:val="000000" w:themeColor="text1"/>
          <w:sz w:val="22"/>
          <w:szCs w:val="22"/>
        </w:rPr>
      </w:pPr>
    </w:p>
    <w:p w14:paraId="03F4DB7B"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------O8-372-3, John C. de Wilde to N. Ansari, 1 June 1971.</w:t>
      </w:r>
    </w:p>
    <w:p w14:paraId="6394A219" w14:textId="77777777" w:rsidR="00442620" w:rsidRPr="00233532" w:rsidRDefault="00442620" w:rsidP="00442620">
      <w:pPr>
        <w:pStyle w:val="FootnoteText"/>
        <w:rPr>
          <w:rFonts w:ascii="Calibri" w:hAnsi="Calibri" w:cs="Calibri"/>
          <w:color w:val="000000" w:themeColor="text1"/>
          <w:sz w:val="22"/>
          <w:szCs w:val="22"/>
        </w:rPr>
      </w:pPr>
    </w:p>
    <w:p w14:paraId="581B7D8F"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------O8-372-3, John C. de Wilde to N. Ansari, 29 April 1972.</w:t>
      </w:r>
    </w:p>
    <w:p w14:paraId="31ACC70B" w14:textId="77777777" w:rsidR="00442620" w:rsidRPr="00233532" w:rsidRDefault="00442620" w:rsidP="00442620">
      <w:pPr>
        <w:pStyle w:val="FootnoteText"/>
        <w:rPr>
          <w:rFonts w:ascii="Calibri" w:hAnsi="Calibri" w:cs="Calibri"/>
          <w:color w:val="000000" w:themeColor="text1"/>
          <w:sz w:val="22"/>
          <w:szCs w:val="22"/>
        </w:rPr>
      </w:pPr>
    </w:p>
    <w:p w14:paraId="4C5CC0A5"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------O8-372-3, Leonard Rist to N. Ansari, 8 February 1967.</w:t>
      </w:r>
    </w:p>
    <w:p w14:paraId="1D575701" w14:textId="77777777" w:rsidR="00442620" w:rsidRPr="00233532" w:rsidRDefault="00442620" w:rsidP="00442620">
      <w:pPr>
        <w:pStyle w:val="FootnoteText"/>
        <w:rPr>
          <w:rFonts w:ascii="Calibri" w:hAnsi="Calibri" w:cs="Calibri"/>
          <w:color w:val="000000" w:themeColor="text1"/>
          <w:sz w:val="22"/>
          <w:szCs w:val="22"/>
        </w:rPr>
      </w:pPr>
    </w:p>
    <w:p w14:paraId="3AB18BC5"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------O8-372-3, N. Ansari to André Maillard, 21 January 1970.</w:t>
      </w:r>
    </w:p>
    <w:p w14:paraId="484BC634" w14:textId="77777777" w:rsidR="00442620" w:rsidRPr="00233532" w:rsidRDefault="00442620" w:rsidP="00442620">
      <w:pPr>
        <w:pStyle w:val="FootnoteText"/>
        <w:rPr>
          <w:rFonts w:ascii="Calibri" w:hAnsi="Calibri" w:cs="Calibri"/>
          <w:color w:val="000000" w:themeColor="text1"/>
          <w:sz w:val="22"/>
          <w:szCs w:val="22"/>
        </w:rPr>
      </w:pPr>
    </w:p>
    <w:p w14:paraId="1DFF973A"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------O8-372-3, N. Ansari to John C. de Wilde, 1 July 1971. </w:t>
      </w:r>
    </w:p>
    <w:p w14:paraId="715959D8" w14:textId="77777777" w:rsidR="00442620" w:rsidRPr="00233532" w:rsidRDefault="00442620" w:rsidP="00442620">
      <w:pPr>
        <w:pStyle w:val="FootnoteText"/>
        <w:rPr>
          <w:rFonts w:ascii="Calibri" w:hAnsi="Calibri" w:cs="Calibri"/>
          <w:color w:val="000000" w:themeColor="text1"/>
          <w:sz w:val="22"/>
          <w:szCs w:val="22"/>
        </w:rPr>
      </w:pPr>
    </w:p>
    <w:p w14:paraId="0BD8A224"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------O8-372-3, N. Ansari to Leonard Rist, 14 March 1967.</w:t>
      </w:r>
    </w:p>
    <w:p w14:paraId="10D0FD7F" w14:textId="77777777" w:rsidR="00442620" w:rsidRPr="00233532" w:rsidRDefault="00442620" w:rsidP="00442620">
      <w:pPr>
        <w:pStyle w:val="FootnoteText"/>
        <w:rPr>
          <w:rFonts w:ascii="Calibri" w:hAnsi="Calibri" w:cs="Calibri"/>
          <w:color w:val="000000" w:themeColor="text1"/>
          <w:sz w:val="22"/>
          <w:szCs w:val="22"/>
        </w:rPr>
      </w:pPr>
    </w:p>
    <w:p w14:paraId="3C99B060"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------O8-372-3, N. Ansari to Leonard Rist, 16 February 1968.</w:t>
      </w:r>
    </w:p>
    <w:p w14:paraId="6F103866" w14:textId="77777777" w:rsidR="00442620" w:rsidRPr="00233532" w:rsidRDefault="00442620" w:rsidP="00442620">
      <w:pPr>
        <w:pStyle w:val="FootnoteText"/>
        <w:rPr>
          <w:rFonts w:ascii="Calibri" w:hAnsi="Calibri" w:cs="Calibri"/>
          <w:color w:val="000000" w:themeColor="text1"/>
          <w:sz w:val="22"/>
          <w:szCs w:val="22"/>
        </w:rPr>
      </w:pPr>
    </w:p>
    <w:p w14:paraId="5C50A5FA" w14:textId="003DBF8C"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------O8-372-3, Peter F. Betsche to John Lawton, [1972].</w:t>
      </w:r>
    </w:p>
    <w:p w14:paraId="5BEA0F29" w14:textId="3D5485AB" w:rsidR="00133761" w:rsidRPr="00233532" w:rsidRDefault="00133761" w:rsidP="00442620">
      <w:pPr>
        <w:pStyle w:val="FootnoteText"/>
        <w:rPr>
          <w:rFonts w:ascii="Calibri" w:hAnsi="Calibri" w:cs="Calibri"/>
          <w:color w:val="000000" w:themeColor="text1"/>
          <w:sz w:val="22"/>
          <w:szCs w:val="22"/>
        </w:rPr>
      </w:pPr>
    </w:p>
    <w:p w14:paraId="6E98B6F4" w14:textId="1B7F502E" w:rsidR="00133761" w:rsidRPr="00233532" w:rsidRDefault="00133761"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------O8-446-6, ‘Addendum to the general agreement covering projected collaboration between the World Health Organization and Ciba-Geigy Limited to develop a drug for the treatment of human onchocerciasis’, 1984.</w:t>
      </w:r>
    </w:p>
    <w:p w14:paraId="1CFC4AA7" w14:textId="77777777" w:rsidR="00442620" w:rsidRPr="00233532" w:rsidRDefault="00442620" w:rsidP="00442620">
      <w:pPr>
        <w:pStyle w:val="FootnoteText"/>
        <w:rPr>
          <w:rFonts w:ascii="Calibri" w:hAnsi="Calibri" w:cs="Calibri"/>
          <w:color w:val="000000" w:themeColor="text1"/>
          <w:sz w:val="22"/>
          <w:szCs w:val="22"/>
        </w:rPr>
      </w:pPr>
    </w:p>
    <w:p w14:paraId="15C8B28D" w14:textId="77777777"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t>------O8-446-6, ‘Certificate of insurance, Winterthur’, 23 May 1986.</w:t>
      </w:r>
    </w:p>
    <w:p w14:paraId="4F768272" w14:textId="77777777" w:rsidR="00442620" w:rsidRPr="00CF189D" w:rsidRDefault="00442620" w:rsidP="00DD4818">
      <w:pPr>
        <w:pStyle w:val="Footnotes"/>
        <w:rPr>
          <w:rFonts w:ascii="Calibri" w:hAnsi="Calibri" w:cs="Calibri"/>
          <w:sz w:val="22"/>
          <w:szCs w:val="22"/>
        </w:rPr>
      </w:pPr>
    </w:p>
    <w:p w14:paraId="1077243C" w14:textId="77777777"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t>------O8-446-6, Colin Ginger to Anthony Poltera, ‘Further clinical trials of CGP 6140 for onchocerciasis, note for the record signed by J.F. Dunne, Secretary SCRIHS’, 23 April 1986.</w:t>
      </w:r>
    </w:p>
    <w:p w14:paraId="45B5DCF3" w14:textId="77777777" w:rsidR="00442620" w:rsidRPr="00233532" w:rsidRDefault="00442620" w:rsidP="00DD4818">
      <w:pPr>
        <w:pStyle w:val="Footnotes"/>
        <w:rPr>
          <w:rStyle w:val="FootnotesChar"/>
          <w:rFonts w:ascii="Calibri" w:hAnsi="Calibri" w:cs="Calibri"/>
          <w:color w:val="000000" w:themeColor="text1"/>
          <w:sz w:val="22"/>
          <w:szCs w:val="22"/>
        </w:rPr>
      </w:pPr>
    </w:p>
    <w:p w14:paraId="6CEA373B" w14:textId="77777777"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t>------</w:t>
      </w:r>
      <w:r w:rsidRPr="00233532">
        <w:rPr>
          <w:rStyle w:val="FootnotesChar"/>
          <w:rFonts w:ascii="Calibri" w:hAnsi="Calibri" w:cs="Calibri"/>
          <w:color w:val="000000" w:themeColor="text1"/>
          <w:sz w:val="22"/>
          <w:szCs w:val="22"/>
        </w:rPr>
        <w:t>O8-446-6(I)9, Jkt 1,</w:t>
      </w:r>
      <w:r w:rsidRPr="00CF189D">
        <w:rPr>
          <w:rFonts w:ascii="Calibri" w:hAnsi="Calibri" w:cs="Calibri"/>
          <w:sz w:val="22"/>
          <w:szCs w:val="22"/>
        </w:rPr>
        <w:t xml:space="preserve"> B.O.L. Duke to E.M. Samba, ‘Visit by Drs M.A. Aziz and H.R. Taylor – confidential’, [1983].</w:t>
      </w:r>
    </w:p>
    <w:p w14:paraId="7055D448" w14:textId="77777777" w:rsidR="00442620" w:rsidRPr="00CF189D" w:rsidRDefault="00442620" w:rsidP="00DD4818">
      <w:pPr>
        <w:pStyle w:val="Footnotes"/>
        <w:rPr>
          <w:rFonts w:ascii="Calibri" w:hAnsi="Calibri" w:cs="Calibri"/>
          <w:sz w:val="22"/>
          <w:szCs w:val="22"/>
        </w:rPr>
      </w:pPr>
    </w:p>
    <w:p w14:paraId="27BDC61E" w14:textId="77777777"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t>------</w:t>
      </w:r>
      <w:r w:rsidRPr="00233532">
        <w:rPr>
          <w:rStyle w:val="FootnotesChar"/>
          <w:rFonts w:ascii="Calibri" w:hAnsi="Calibri" w:cs="Calibri"/>
          <w:color w:val="000000" w:themeColor="text1"/>
          <w:sz w:val="22"/>
          <w:szCs w:val="22"/>
        </w:rPr>
        <w:t>O8-446-6(I)9, Jkt 1,</w:t>
      </w:r>
      <w:r w:rsidRPr="00CF189D">
        <w:rPr>
          <w:rFonts w:ascii="Calibri" w:hAnsi="Calibri" w:cs="Calibri"/>
          <w:sz w:val="22"/>
          <w:szCs w:val="22"/>
        </w:rPr>
        <w:t xml:space="preserve"> G.S. Nelson to Brian Duke, 22 September 1982.</w:t>
      </w:r>
    </w:p>
    <w:p w14:paraId="36663F65" w14:textId="77777777" w:rsidR="00442620" w:rsidRPr="00CF189D" w:rsidRDefault="00442620" w:rsidP="00DD4818">
      <w:pPr>
        <w:pStyle w:val="Footnotes"/>
        <w:rPr>
          <w:rFonts w:ascii="Calibri" w:hAnsi="Calibri" w:cs="Calibri"/>
          <w:sz w:val="22"/>
          <w:szCs w:val="22"/>
        </w:rPr>
      </w:pPr>
    </w:p>
    <w:p w14:paraId="0B9ADF02" w14:textId="77777777"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t>------</w:t>
      </w:r>
      <w:r w:rsidRPr="00233532">
        <w:rPr>
          <w:rStyle w:val="FootnotesChar"/>
          <w:rFonts w:ascii="Calibri" w:hAnsi="Calibri" w:cs="Calibri"/>
          <w:color w:val="000000" w:themeColor="text1"/>
          <w:sz w:val="22"/>
          <w:szCs w:val="22"/>
        </w:rPr>
        <w:t>O8-446-6(I)9, Jkt 1,</w:t>
      </w:r>
      <w:r w:rsidRPr="00CF189D">
        <w:rPr>
          <w:rFonts w:ascii="Calibri" w:hAnsi="Calibri" w:cs="Calibri"/>
          <w:sz w:val="22"/>
          <w:szCs w:val="22"/>
        </w:rPr>
        <w:t xml:space="preserve"> Hugh R. Taylor to B.O.L. Duke, 24 September 1982.</w:t>
      </w:r>
    </w:p>
    <w:p w14:paraId="4F6A16FC" w14:textId="77777777" w:rsidR="00442620" w:rsidRPr="00CF189D" w:rsidRDefault="00442620" w:rsidP="00DD4818">
      <w:pPr>
        <w:pStyle w:val="Footnotes"/>
        <w:rPr>
          <w:rFonts w:ascii="Calibri" w:hAnsi="Calibri" w:cs="Calibri"/>
          <w:sz w:val="22"/>
          <w:szCs w:val="22"/>
        </w:rPr>
      </w:pPr>
    </w:p>
    <w:p w14:paraId="3400916C" w14:textId="77777777"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t>------</w:t>
      </w:r>
      <w:r w:rsidRPr="00233532">
        <w:rPr>
          <w:rStyle w:val="FootnotesChar"/>
          <w:rFonts w:ascii="Calibri" w:hAnsi="Calibri" w:cs="Calibri"/>
          <w:color w:val="000000" w:themeColor="text1"/>
          <w:sz w:val="22"/>
          <w:szCs w:val="22"/>
        </w:rPr>
        <w:t>O8-446-6(I)9, Jkt 1,</w:t>
      </w:r>
      <w:r w:rsidRPr="00CF189D">
        <w:rPr>
          <w:rFonts w:ascii="Calibri" w:hAnsi="Calibri" w:cs="Calibri"/>
          <w:sz w:val="22"/>
          <w:szCs w:val="22"/>
        </w:rPr>
        <w:t xml:space="preserve"> J. Grunewald to E.M. Samba, 25 March 1983.</w:t>
      </w:r>
    </w:p>
    <w:p w14:paraId="14D7A7D7" w14:textId="77777777" w:rsidR="00442620" w:rsidRPr="00CF189D" w:rsidRDefault="00442620" w:rsidP="00DD4818">
      <w:pPr>
        <w:pStyle w:val="Footnotes"/>
        <w:rPr>
          <w:rFonts w:ascii="Calibri" w:hAnsi="Calibri" w:cs="Calibri"/>
          <w:sz w:val="22"/>
          <w:szCs w:val="22"/>
        </w:rPr>
      </w:pPr>
    </w:p>
    <w:p w14:paraId="304EA126" w14:textId="77777777"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t>------</w:t>
      </w:r>
      <w:r w:rsidRPr="00233532">
        <w:rPr>
          <w:rStyle w:val="FootnotesChar"/>
          <w:rFonts w:ascii="Calibri" w:hAnsi="Calibri" w:cs="Calibri"/>
          <w:color w:val="000000" w:themeColor="text1"/>
          <w:sz w:val="22"/>
          <w:szCs w:val="22"/>
        </w:rPr>
        <w:t>O8-4</w:t>
      </w:r>
      <w:r w:rsidRPr="00E12758">
        <w:rPr>
          <w:rStyle w:val="FootnotesChar"/>
          <w:rFonts w:ascii="Calibri" w:hAnsi="Calibri" w:cs="Calibri"/>
          <w:color w:val="000000" w:themeColor="text1"/>
          <w:sz w:val="22"/>
          <w:szCs w:val="22"/>
        </w:rPr>
        <w:t>46-6(I)9, Jkt 1,</w:t>
      </w:r>
      <w:r w:rsidRPr="00CF189D">
        <w:rPr>
          <w:rFonts w:ascii="Calibri" w:hAnsi="Calibri" w:cs="Calibri"/>
          <w:sz w:val="22"/>
          <w:szCs w:val="22"/>
        </w:rPr>
        <w:t xml:space="preserve"> Mohammed Aziz to Warren Furth, 16 February 1982.</w:t>
      </w:r>
    </w:p>
    <w:p w14:paraId="5388F191" w14:textId="77777777" w:rsidR="00442620" w:rsidRPr="00CF189D" w:rsidRDefault="00442620" w:rsidP="00DD4818">
      <w:pPr>
        <w:pStyle w:val="Footnotes"/>
        <w:rPr>
          <w:rFonts w:ascii="Calibri" w:hAnsi="Calibri" w:cs="Calibri"/>
          <w:sz w:val="22"/>
          <w:szCs w:val="22"/>
        </w:rPr>
      </w:pPr>
    </w:p>
    <w:p w14:paraId="47A81B72" w14:textId="77777777"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t>------</w:t>
      </w:r>
      <w:r w:rsidRPr="00233532">
        <w:rPr>
          <w:rStyle w:val="FootnotesChar"/>
          <w:rFonts w:ascii="Calibri" w:hAnsi="Calibri" w:cs="Calibri"/>
          <w:color w:val="000000" w:themeColor="text1"/>
          <w:sz w:val="22"/>
          <w:szCs w:val="22"/>
        </w:rPr>
        <w:t>O8-446-6(I)9, Jkt 1,</w:t>
      </w:r>
      <w:r w:rsidRPr="00CF189D">
        <w:rPr>
          <w:rFonts w:ascii="Calibri" w:hAnsi="Calibri" w:cs="Calibri"/>
          <w:sz w:val="22"/>
          <w:szCs w:val="22"/>
        </w:rPr>
        <w:t xml:space="preserve"> R.E. Howells, ‘Comments on Dr. Duke’s letter of 15 September 1982’, 12 September 1982.</w:t>
      </w:r>
    </w:p>
    <w:p w14:paraId="1731C11A" w14:textId="77777777" w:rsidR="00442620" w:rsidRPr="00CF189D" w:rsidRDefault="00442620" w:rsidP="00DD4818">
      <w:pPr>
        <w:pStyle w:val="Footnotes"/>
        <w:rPr>
          <w:rFonts w:ascii="Calibri" w:hAnsi="Calibri" w:cs="Calibri"/>
          <w:sz w:val="22"/>
          <w:szCs w:val="22"/>
        </w:rPr>
      </w:pPr>
    </w:p>
    <w:p w14:paraId="6AC9D05E" w14:textId="77777777" w:rsidR="00442620" w:rsidRPr="00233532" w:rsidRDefault="00442620" w:rsidP="00442620">
      <w:pPr>
        <w:pStyle w:val="FootnoteText"/>
        <w:rPr>
          <w:rStyle w:val="FootnotesChar"/>
          <w:rFonts w:ascii="Calibri" w:hAnsi="Calibri" w:cs="Calibri"/>
          <w:color w:val="000000" w:themeColor="text1"/>
          <w:sz w:val="22"/>
          <w:szCs w:val="22"/>
        </w:rPr>
      </w:pPr>
      <w:r w:rsidRPr="00233532">
        <w:rPr>
          <w:rFonts w:ascii="Calibri" w:hAnsi="Calibri" w:cs="Calibri"/>
          <w:color w:val="000000" w:themeColor="text1"/>
          <w:sz w:val="22"/>
          <w:szCs w:val="22"/>
        </w:rPr>
        <w:lastRenderedPageBreak/>
        <w:t>------</w:t>
      </w:r>
      <w:r w:rsidRPr="00E12758">
        <w:rPr>
          <w:rStyle w:val="FootnotesChar"/>
          <w:rFonts w:ascii="Calibri" w:hAnsi="Calibri" w:cs="Calibri"/>
          <w:color w:val="000000" w:themeColor="text1"/>
          <w:sz w:val="22"/>
          <w:szCs w:val="22"/>
        </w:rPr>
        <w:t>O8-446-6(I)9, Jkt 2, [Merck], ‘B</w:t>
      </w:r>
      <w:r w:rsidRPr="00766A1F">
        <w:rPr>
          <w:rStyle w:val="FootnotesChar"/>
          <w:rFonts w:ascii="Calibri" w:hAnsi="Calibri" w:cs="Calibri"/>
          <w:color w:val="000000" w:themeColor="text1"/>
          <w:sz w:val="22"/>
          <w:szCs w:val="22"/>
        </w:rPr>
        <w:t>rief summary of early events in the development of ivermectin</w:t>
      </w:r>
      <w:r w:rsidRPr="007A123B">
        <w:rPr>
          <w:rStyle w:val="FootnotesChar"/>
          <w:rFonts w:ascii="Calibri" w:hAnsi="Calibri" w:cs="Calibri"/>
          <w:color w:val="000000" w:themeColor="text1"/>
          <w:sz w:val="22"/>
          <w:szCs w:val="22"/>
        </w:rPr>
        <w:t xml:space="preserve"> in the treatment of onchocerciasis’, [1985].</w:t>
      </w:r>
    </w:p>
    <w:p w14:paraId="5B4BA2C1" w14:textId="77777777" w:rsidR="00442620" w:rsidRPr="00233532" w:rsidRDefault="00442620" w:rsidP="00442620">
      <w:pPr>
        <w:pStyle w:val="FootnoteText"/>
        <w:rPr>
          <w:rFonts w:ascii="Calibri" w:hAnsi="Calibri" w:cs="Calibri"/>
          <w:color w:val="000000" w:themeColor="text1"/>
          <w:sz w:val="22"/>
          <w:szCs w:val="22"/>
        </w:rPr>
      </w:pPr>
    </w:p>
    <w:p w14:paraId="7FAFA2A5" w14:textId="77777777" w:rsidR="00442620" w:rsidRPr="00233532" w:rsidRDefault="00442620" w:rsidP="00442620">
      <w:pPr>
        <w:pStyle w:val="FootnoteText"/>
        <w:rPr>
          <w:rStyle w:val="FootnotesChar"/>
          <w:rFonts w:ascii="Calibri" w:hAnsi="Calibri" w:cs="Calibri"/>
          <w:color w:val="000000" w:themeColor="text1"/>
          <w:sz w:val="22"/>
          <w:szCs w:val="22"/>
        </w:rPr>
      </w:pPr>
      <w:r w:rsidRPr="00CF189D">
        <w:rPr>
          <w:rFonts w:ascii="Calibri" w:hAnsi="Calibri" w:cs="Calibri"/>
          <w:color w:val="000000" w:themeColor="text1"/>
          <w:sz w:val="22"/>
          <w:szCs w:val="22"/>
        </w:rPr>
        <w:t>------</w:t>
      </w:r>
      <w:r w:rsidRPr="00233532">
        <w:rPr>
          <w:rStyle w:val="FootnotesChar"/>
          <w:rFonts w:ascii="Calibri" w:hAnsi="Calibri" w:cs="Calibri"/>
          <w:color w:val="000000" w:themeColor="text1"/>
          <w:sz w:val="22"/>
          <w:szCs w:val="22"/>
        </w:rPr>
        <w:t xml:space="preserve">O8-446-6(I)9, Jkt 2, Adetokumbo O. Lucas to Robert D. Fluss, ‘Letter of agreement on cooperation between Merck Sharp &amp; Dohme and WHO for development of ivermectin for use in human onchocerciasis’, 8 July 1985. </w:t>
      </w:r>
    </w:p>
    <w:p w14:paraId="0FFFA0A9" w14:textId="77777777" w:rsidR="00442620" w:rsidRPr="00233532" w:rsidRDefault="00442620" w:rsidP="00442620">
      <w:pPr>
        <w:pStyle w:val="FootnoteText"/>
        <w:rPr>
          <w:rFonts w:ascii="Calibri" w:hAnsi="Calibri" w:cs="Calibri"/>
          <w:color w:val="000000" w:themeColor="text1"/>
          <w:sz w:val="22"/>
          <w:szCs w:val="22"/>
        </w:rPr>
      </w:pPr>
    </w:p>
    <w:p w14:paraId="5CC32BAA" w14:textId="77777777" w:rsidR="00442620" w:rsidRPr="00233532" w:rsidRDefault="00442620" w:rsidP="00442620">
      <w:pPr>
        <w:pStyle w:val="FootnoteText"/>
        <w:rPr>
          <w:rStyle w:val="FootnotesChar"/>
          <w:rFonts w:ascii="Calibri" w:hAnsi="Calibri" w:cs="Calibri"/>
          <w:color w:val="000000" w:themeColor="text1"/>
          <w:sz w:val="22"/>
          <w:szCs w:val="22"/>
        </w:rPr>
      </w:pPr>
      <w:r w:rsidRPr="00CF189D">
        <w:rPr>
          <w:rFonts w:ascii="Calibri" w:hAnsi="Calibri" w:cs="Calibri"/>
          <w:color w:val="000000" w:themeColor="text1"/>
          <w:sz w:val="22"/>
          <w:szCs w:val="22"/>
        </w:rPr>
        <w:t>------</w:t>
      </w:r>
      <w:r w:rsidRPr="00233532">
        <w:rPr>
          <w:rStyle w:val="FootnotesChar"/>
          <w:rFonts w:ascii="Calibri" w:hAnsi="Calibri" w:cs="Calibri"/>
          <w:color w:val="000000" w:themeColor="text1"/>
          <w:sz w:val="22"/>
          <w:szCs w:val="22"/>
        </w:rPr>
        <w:t>O8-446-6(I)9, Jkt 2, Adetokunbo O. Lukas to R.D. Fluss, ‘Letter of agreement on cooperation between Merck, Sharp and Dohme and WHO for development of ivermectin for use in human onchocerciasis’, 11 February 1985.</w:t>
      </w:r>
    </w:p>
    <w:p w14:paraId="466F0268" w14:textId="77777777" w:rsidR="00442620" w:rsidRPr="00233532" w:rsidRDefault="00442620" w:rsidP="00442620">
      <w:pPr>
        <w:pStyle w:val="FootnoteText"/>
        <w:rPr>
          <w:rFonts w:ascii="Calibri" w:hAnsi="Calibri" w:cs="Calibri"/>
          <w:color w:val="000000" w:themeColor="text1"/>
          <w:sz w:val="22"/>
          <w:szCs w:val="22"/>
        </w:rPr>
      </w:pPr>
    </w:p>
    <w:p w14:paraId="2BBC2DF8" w14:textId="77777777" w:rsidR="00442620" w:rsidRPr="00233532" w:rsidRDefault="00442620" w:rsidP="00442620">
      <w:pPr>
        <w:pStyle w:val="FootnoteText"/>
        <w:rPr>
          <w:rStyle w:val="FootnotesChar"/>
          <w:rFonts w:ascii="Calibri" w:hAnsi="Calibri" w:cs="Calibri"/>
          <w:color w:val="000000" w:themeColor="text1"/>
          <w:sz w:val="22"/>
          <w:szCs w:val="22"/>
        </w:rPr>
      </w:pPr>
      <w:r w:rsidRPr="00CF189D">
        <w:rPr>
          <w:rFonts w:ascii="Calibri" w:hAnsi="Calibri" w:cs="Calibri"/>
          <w:color w:val="000000" w:themeColor="text1"/>
          <w:sz w:val="22"/>
          <w:szCs w:val="22"/>
        </w:rPr>
        <w:t>------</w:t>
      </w:r>
      <w:r w:rsidRPr="00233532">
        <w:rPr>
          <w:rStyle w:val="FootnotesChar"/>
          <w:rFonts w:ascii="Calibri" w:hAnsi="Calibri" w:cs="Calibri"/>
          <w:color w:val="000000" w:themeColor="text1"/>
          <w:sz w:val="22"/>
          <w:szCs w:val="22"/>
        </w:rPr>
        <w:t>O8-446-6(I)9, Jkt 2, B.O.L. Duke to A.O. Lucas, ‘Confidential: Merck, Sharp &amp; Dohme (MSD) agreement’, 28 June 1985.</w:t>
      </w:r>
    </w:p>
    <w:p w14:paraId="6D3C42EE" w14:textId="77777777" w:rsidR="00442620" w:rsidRPr="00233532" w:rsidRDefault="00442620" w:rsidP="00442620">
      <w:pPr>
        <w:pStyle w:val="FootnoteText"/>
        <w:rPr>
          <w:rFonts w:ascii="Calibri" w:hAnsi="Calibri" w:cs="Calibri"/>
          <w:color w:val="000000" w:themeColor="text1"/>
          <w:sz w:val="22"/>
          <w:szCs w:val="22"/>
        </w:rPr>
      </w:pPr>
    </w:p>
    <w:p w14:paraId="3BE09B5F" w14:textId="77777777" w:rsidR="00442620" w:rsidRPr="00233532" w:rsidRDefault="00442620" w:rsidP="00442620">
      <w:pPr>
        <w:pStyle w:val="FootnoteText"/>
        <w:rPr>
          <w:rStyle w:val="FootnotesChar"/>
          <w:rFonts w:ascii="Calibri" w:hAnsi="Calibri" w:cs="Calibri"/>
          <w:color w:val="000000" w:themeColor="text1"/>
          <w:sz w:val="22"/>
          <w:szCs w:val="22"/>
        </w:rPr>
      </w:pPr>
      <w:r w:rsidRPr="00CF189D">
        <w:rPr>
          <w:rFonts w:ascii="Calibri" w:hAnsi="Calibri" w:cs="Calibri"/>
          <w:color w:val="000000" w:themeColor="text1"/>
          <w:sz w:val="22"/>
          <w:szCs w:val="22"/>
        </w:rPr>
        <w:t>------</w:t>
      </w:r>
      <w:r w:rsidRPr="00233532">
        <w:rPr>
          <w:rStyle w:val="FootnotesChar"/>
          <w:rFonts w:ascii="Calibri" w:hAnsi="Calibri" w:cs="Calibri"/>
          <w:color w:val="000000" w:themeColor="text1"/>
          <w:sz w:val="22"/>
          <w:szCs w:val="22"/>
        </w:rPr>
        <w:t>O8-446-6(I)9, Jkt 2, C.D. Ginger to D. Devlin, ‘Confidential, proposed legal agreement between WHO and Merck Sharpe and Dohme (MS&amp;D) for development of ivermectin for use in onchocerciasis’, 24 April 1985.</w:t>
      </w:r>
    </w:p>
    <w:p w14:paraId="32B56F8B" w14:textId="77777777" w:rsidR="00442620" w:rsidRPr="00233532" w:rsidRDefault="00442620" w:rsidP="00442620">
      <w:pPr>
        <w:pStyle w:val="FootnoteText"/>
        <w:rPr>
          <w:rFonts w:ascii="Calibri" w:hAnsi="Calibri" w:cs="Calibri"/>
          <w:color w:val="000000" w:themeColor="text1"/>
          <w:sz w:val="22"/>
          <w:szCs w:val="22"/>
        </w:rPr>
      </w:pPr>
    </w:p>
    <w:p w14:paraId="7584EDC7" w14:textId="77777777" w:rsidR="00442620" w:rsidRPr="00233532" w:rsidRDefault="00442620" w:rsidP="00442620">
      <w:pPr>
        <w:pStyle w:val="FootnoteText"/>
        <w:rPr>
          <w:rStyle w:val="FootnotesChar"/>
          <w:rFonts w:ascii="Calibri" w:hAnsi="Calibri" w:cs="Calibri"/>
          <w:color w:val="000000" w:themeColor="text1"/>
          <w:sz w:val="22"/>
          <w:szCs w:val="22"/>
        </w:rPr>
      </w:pPr>
      <w:r w:rsidRPr="00CF189D">
        <w:rPr>
          <w:rFonts w:ascii="Calibri" w:hAnsi="Calibri" w:cs="Calibri"/>
          <w:color w:val="000000" w:themeColor="text1"/>
          <w:sz w:val="22"/>
          <w:szCs w:val="22"/>
        </w:rPr>
        <w:t>------</w:t>
      </w:r>
      <w:r w:rsidRPr="00233532">
        <w:rPr>
          <w:rStyle w:val="FootnotesChar"/>
          <w:rFonts w:ascii="Calibri" w:hAnsi="Calibri" w:cs="Calibri"/>
          <w:color w:val="000000" w:themeColor="text1"/>
          <w:sz w:val="22"/>
          <w:szCs w:val="22"/>
        </w:rPr>
        <w:t xml:space="preserve">O8-446-6(I)9, Jkt 2, C.H. Vignes to A.O. Lucas, ‘Letter of agreement concerning ivermectin’, 1 July 1985. </w:t>
      </w:r>
    </w:p>
    <w:p w14:paraId="07A2D3AC" w14:textId="77777777" w:rsidR="00442620" w:rsidRPr="00233532" w:rsidRDefault="00442620" w:rsidP="00442620">
      <w:pPr>
        <w:pStyle w:val="FootnoteText"/>
        <w:rPr>
          <w:rStyle w:val="FootnotesChar"/>
          <w:rFonts w:ascii="Calibri" w:hAnsi="Calibri" w:cs="Calibri"/>
          <w:color w:val="000000" w:themeColor="text1"/>
          <w:sz w:val="22"/>
          <w:szCs w:val="22"/>
        </w:rPr>
      </w:pPr>
    </w:p>
    <w:p w14:paraId="0C9F2203" w14:textId="77777777" w:rsidR="00442620" w:rsidRPr="00233532" w:rsidRDefault="00442620" w:rsidP="00442620">
      <w:pPr>
        <w:pStyle w:val="FootnoteText"/>
        <w:rPr>
          <w:rStyle w:val="FootnotesChar"/>
          <w:rFonts w:ascii="Calibri" w:hAnsi="Calibri" w:cs="Calibri"/>
          <w:color w:val="000000" w:themeColor="text1"/>
          <w:sz w:val="22"/>
          <w:szCs w:val="22"/>
        </w:rPr>
      </w:pPr>
      <w:r w:rsidRPr="00CF189D">
        <w:rPr>
          <w:rFonts w:ascii="Calibri" w:hAnsi="Calibri" w:cs="Calibri"/>
          <w:color w:val="000000" w:themeColor="text1"/>
          <w:sz w:val="22"/>
          <w:szCs w:val="22"/>
        </w:rPr>
        <w:t>------</w:t>
      </w:r>
      <w:r w:rsidRPr="00233532">
        <w:rPr>
          <w:rStyle w:val="FootnotesChar"/>
          <w:rFonts w:ascii="Calibri" w:hAnsi="Calibri" w:cs="Calibri"/>
          <w:color w:val="000000" w:themeColor="text1"/>
          <w:sz w:val="22"/>
          <w:szCs w:val="22"/>
        </w:rPr>
        <w:t>O8-446-6(I)9, Jkt 2, D. Ginger to A.O. Lucas, ‘Letter of agreement with MSD relating to ivermectin in onchocerciasis’, 26 April 1985.</w:t>
      </w:r>
    </w:p>
    <w:p w14:paraId="4FE88D3A" w14:textId="77777777" w:rsidR="00442620" w:rsidRPr="00233532" w:rsidRDefault="00442620" w:rsidP="00442620">
      <w:pPr>
        <w:pStyle w:val="FootnoteText"/>
        <w:rPr>
          <w:rFonts w:ascii="Calibri" w:hAnsi="Calibri" w:cs="Calibri"/>
          <w:color w:val="000000" w:themeColor="text1"/>
          <w:sz w:val="22"/>
          <w:szCs w:val="22"/>
        </w:rPr>
      </w:pPr>
    </w:p>
    <w:p w14:paraId="277ED67E" w14:textId="77777777" w:rsidR="00442620" w:rsidRPr="00233532" w:rsidRDefault="00442620" w:rsidP="00442620">
      <w:pPr>
        <w:pStyle w:val="FootnoteText"/>
        <w:rPr>
          <w:rStyle w:val="FootnotesChar"/>
          <w:rFonts w:ascii="Calibri" w:hAnsi="Calibri" w:cs="Calibri"/>
          <w:color w:val="000000" w:themeColor="text1"/>
          <w:sz w:val="22"/>
          <w:szCs w:val="22"/>
        </w:rPr>
      </w:pPr>
      <w:r w:rsidRPr="00CF189D">
        <w:rPr>
          <w:rFonts w:ascii="Calibri" w:hAnsi="Calibri" w:cs="Calibri"/>
          <w:color w:val="000000" w:themeColor="text1"/>
          <w:sz w:val="22"/>
          <w:szCs w:val="22"/>
        </w:rPr>
        <w:t>------</w:t>
      </w:r>
      <w:r w:rsidRPr="00233532">
        <w:rPr>
          <w:rStyle w:val="FootnotesChar"/>
          <w:rFonts w:ascii="Calibri" w:hAnsi="Calibri" w:cs="Calibri"/>
          <w:color w:val="000000" w:themeColor="text1"/>
          <w:sz w:val="22"/>
          <w:szCs w:val="22"/>
        </w:rPr>
        <w:t>O8-446-6(I)9, Jkt 2, Legal Counsel to B.O.L. Duke, ‘Proposed legal agreement between WHO and Merck Sharpe and Dohme (MS&amp;D) for development of ivermectin for use in onchocerciasis’, 24 January 1985.</w:t>
      </w:r>
    </w:p>
    <w:p w14:paraId="47F7733E" w14:textId="77777777" w:rsidR="00442620" w:rsidRPr="00233532" w:rsidRDefault="00442620" w:rsidP="00442620">
      <w:pPr>
        <w:pStyle w:val="FootnoteText"/>
        <w:rPr>
          <w:rFonts w:ascii="Calibri" w:hAnsi="Calibri" w:cs="Calibri"/>
          <w:color w:val="000000" w:themeColor="text1"/>
          <w:sz w:val="22"/>
          <w:szCs w:val="22"/>
        </w:rPr>
      </w:pPr>
    </w:p>
    <w:p w14:paraId="7B0CF8B2" w14:textId="77777777" w:rsidR="00442620" w:rsidRPr="00233532" w:rsidRDefault="00442620" w:rsidP="00442620">
      <w:pPr>
        <w:pStyle w:val="FootnoteText"/>
        <w:rPr>
          <w:rStyle w:val="FootnotesChar"/>
          <w:rFonts w:ascii="Calibri" w:hAnsi="Calibri" w:cs="Calibri"/>
          <w:color w:val="000000" w:themeColor="text1"/>
          <w:sz w:val="22"/>
          <w:szCs w:val="22"/>
        </w:rPr>
      </w:pPr>
      <w:r w:rsidRPr="00CF189D">
        <w:rPr>
          <w:rFonts w:ascii="Calibri" w:hAnsi="Calibri" w:cs="Calibri"/>
          <w:color w:val="000000" w:themeColor="text1"/>
          <w:sz w:val="22"/>
          <w:szCs w:val="22"/>
        </w:rPr>
        <w:t>------</w:t>
      </w:r>
      <w:r w:rsidRPr="00233532">
        <w:rPr>
          <w:rStyle w:val="FootnotesChar"/>
          <w:rFonts w:ascii="Calibri" w:hAnsi="Calibri" w:cs="Calibri"/>
          <w:color w:val="000000" w:themeColor="text1"/>
          <w:sz w:val="22"/>
          <w:szCs w:val="22"/>
        </w:rPr>
        <w:t>O8-446-6(I)9, Jkt 2, Robert D. Fluss to Adetokunbo O. Lucas, 3 January 1985.</w:t>
      </w:r>
    </w:p>
    <w:p w14:paraId="3BADC970" w14:textId="77777777" w:rsidR="00442620" w:rsidRPr="00233532" w:rsidRDefault="00442620" w:rsidP="00442620">
      <w:pPr>
        <w:pStyle w:val="FootnoteText"/>
        <w:rPr>
          <w:rFonts w:ascii="Calibri" w:hAnsi="Calibri" w:cs="Calibri"/>
          <w:color w:val="000000" w:themeColor="text1"/>
          <w:sz w:val="22"/>
          <w:szCs w:val="22"/>
        </w:rPr>
      </w:pPr>
    </w:p>
    <w:p w14:paraId="1515A26F" w14:textId="77777777" w:rsidR="00442620" w:rsidRPr="00233532" w:rsidRDefault="00442620" w:rsidP="00442620">
      <w:pPr>
        <w:pStyle w:val="FootnoteText"/>
        <w:rPr>
          <w:rStyle w:val="FootnotesChar"/>
          <w:rFonts w:ascii="Calibri" w:hAnsi="Calibri" w:cs="Calibri"/>
          <w:color w:val="000000" w:themeColor="text1"/>
          <w:sz w:val="22"/>
          <w:szCs w:val="22"/>
        </w:rPr>
      </w:pPr>
      <w:r w:rsidRPr="00CF189D">
        <w:rPr>
          <w:rFonts w:ascii="Calibri" w:hAnsi="Calibri" w:cs="Calibri"/>
          <w:color w:val="000000" w:themeColor="text1"/>
          <w:sz w:val="22"/>
          <w:szCs w:val="22"/>
        </w:rPr>
        <w:t>------</w:t>
      </w:r>
      <w:r w:rsidRPr="00233532">
        <w:rPr>
          <w:rStyle w:val="FootnotesChar"/>
          <w:rFonts w:ascii="Calibri" w:hAnsi="Calibri" w:cs="Calibri"/>
          <w:color w:val="000000" w:themeColor="text1"/>
          <w:sz w:val="22"/>
          <w:szCs w:val="22"/>
        </w:rPr>
        <w:t>O8-446-6(I)9, Jkt 2, Robert D. Fluss to Adetokunbo O. Lucas, 17 May 1985.</w:t>
      </w:r>
    </w:p>
    <w:p w14:paraId="7A054081" w14:textId="77777777" w:rsidR="00442620" w:rsidRPr="00233532" w:rsidRDefault="00442620" w:rsidP="00442620">
      <w:pPr>
        <w:pStyle w:val="FootnoteText"/>
        <w:rPr>
          <w:rStyle w:val="FootnotesChar"/>
          <w:rFonts w:ascii="Calibri" w:hAnsi="Calibri" w:cs="Calibri"/>
          <w:color w:val="000000" w:themeColor="text1"/>
          <w:sz w:val="22"/>
          <w:szCs w:val="22"/>
        </w:rPr>
      </w:pPr>
    </w:p>
    <w:p w14:paraId="3688A04E" w14:textId="77777777"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t>------</w:t>
      </w:r>
      <w:r w:rsidRPr="00233532">
        <w:rPr>
          <w:rStyle w:val="FootnotesChar"/>
          <w:rFonts w:ascii="Calibri" w:hAnsi="Calibri" w:cs="Calibri"/>
          <w:color w:val="000000" w:themeColor="text1"/>
          <w:sz w:val="22"/>
          <w:szCs w:val="22"/>
        </w:rPr>
        <w:t xml:space="preserve">O8-446-6(I)9, Jkt 3, </w:t>
      </w:r>
      <w:r w:rsidRPr="00CF189D">
        <w:rPr>
          <w:rFonts w:ascii="Calibri" w:hAnsi="Calibri" w:cs="Calibri"/>
          <w:sz w:val="22"/>
          <w:szCs w:val="22"/>
        </w:rPr>
        <w:t>Roy Vagelos to Halfdan Mahler, 26 September 1986.</w:t>
      </w:r>
    </w:p>
    <w:p w14:paraId="327AAB86" w14:textId="77777777" w:rsidR="00442620" w:rsidRPr="00CF189D" w:rsidRDefault="00442620" w:rsidP="00DD4818">
      <w:pPr>
        <w:pStyle w:val="Footnotes"/>
        <w:rPr>
          <w:rFonts w:ascii="Calibri" w:hAnsi="Calibri" w:cs="Calibri"/>
          <w:sz w:val="22"/>
          <w:szCs w:val="22"/>
        </w:rPr>
      </w:pPr>
    </w:p>
    <w:p w14:paraId="27130FB2" w14:textId="2FE86A2A" w:rsidR="00442620" w:rsidRPr="00233532" w:rsidRDefault="00442620" w:rsidP="00442620">
      <w:pPr>
        <w:pStyle w:val="FootnoteText"/>
        <w:rPr>
          <w:rStyle w:val="FootnotesChar"/>
          <w:rFonts w:ascii="Calibri" w:hAnsi="Calibri" w:cs="Calibri"/>
          <w:color w:val="000000" w:themeColor="text1"/>
          <w:sz w:val="22"/>
          <w:szCs w:val="22"/>
        </w:rPr>
      </w:pPr>
      <w:r w:rsidRPr="00233532">
        <w:rPr>
          <w:rFonts w:ascii="Calibri" w:hAnsi="Calibri" w:cs="Calibri"/>
          <w:color w:val="000000" w:themeColor="text1"/>
          <w:sz w:val="22"/>
          <w:szCs w:val="22"/>
        </w:rPr>
        <w:t>------</w:t>
      </w:r>
      <w:r w:rsidRPr="00E12758">
        <w:rPr>
          <w:rStyle w:val="FootnotesChar"/>
          <w:rFonts w:ascii="Calibri" w:hAnsi="Calibri" w:cs="Calibri"/>
          <w:color w:val="000000" w:themeColor="text1"/>
          <w:sz w:val="22"/>
          <w:szCs w:val="22"/>
        </w:rPr>
        <w:t>O8-446-6(I)9, Jkt 3, J.D.M. Marr to File, ‘Discussions with Merck, Sharp and Doh</w:t>
      </w:r>
      <w:r w:rsidRPr="00766A1F">
        <w:rPr>
          <w:rStyle w:val="FootnotesChar"/>
          <w:rFonts w:ascii="Calibri" w:hAnsi="Calibri" w:cs="Calibri"/>
          <w:color w:val="000000" w:themeColor="text1"/>
          <w:sz w:val="22"/>
          <w:szCs w:val="22"/>
        </w:rPr>
        <w:t>me representatives’, 6 January 1986</w:t>
      </w:r>
      <w:r w:rsidRPr="007A123B">
        <w:rPr>
          <w:rStyle w:val="FootnotesChar"/>
          <w:rFonts w:ascii="Calibri" w:hAnsi="Calibri" w:cs="Calibri"/>
          <w:color w:val="000000" w:themeColor="text1"/>
          <w:sz w:val="22"/>
          <w:szCs w:val="22"/>
        </w:rPr>
        <w:t>.</w:t>
      </w:r>
    </w:p>
    <w:p w14:paraId="214DD53D" w14:textId="77777777" w:rsidR="00442620" w:rsidRPr="00233532" w:rsidRDefault="00442620" w:rsidP="00442620">
      <w:pPr>
        <w:pStyle w:val="FootnoteText"/>
        <w:rPr>
          <w:rFonts w:ascii="Calibri" w:hAnsi="Calibri" w:cs="Calibri"/>
          <w:color w:val="000000" w:themeColor="text1"/>
          <w:sz w:val="22"/>
          <w:szCs w:val="22"/>
        </w:rPr>
      </w:pPr>
    </w:p>
    <w:p w14:paraId="41FA5A21" w14:textId="77777777"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t xml:space="preserve">WHO Library, Anderson A, ‘Oncho: a concerted effort’, </w:t>
      </w:r>
      <w:r w:rsidRPr="00CF189D">
        <w:rPr>
          <w:rFonts w:ascii="Calibri" w:hAnsi="Calibri" w:cs="Calibri"/>
          <w:i/>
          <w:sz w:val="22"/>
          <w:szCs w:val="22"/>
        </w:rPr>
        <w:t xml:space="preserve">World Health </w:t>
      </w:r>
      <w:r w:rsidRPr="00CF189D">
        <w:rPr>
          <w:rFonts w:ascii="Calibri" w:hAnsi="Calibri" w:cs="Calibri"/>
          <w:sz w:val="22"/>
          <w:szCs w:val="22"/>
        </w:rPr>
        <w:t>(March 1986).</w:t>
      </w:r>
    </w:p>
    <w:p w14:paraId="3C607D14" w14:textId="77777777" w:rsidR="00442620" w:rsidRPr="00CF189D" w:rsidRDefault="00442620" w:rsidP="00DD4818">
      <w:pPr>
        <w:pStyle w:val="Footnotes"/>
        <w:rPr>
          <w:rFonts w:ascii="Calibri" w:hAnsi="Calibri" w:cs="Calibri"/>
          <w:sz w:val="22"/>
          <w:szCs w:val="22"/>
        </w:rPr>
      </w:pPr>
    </w:p>
    <w:p w14:paraId="5CAB40FB" w14:textId="77777777" w:rsidR="00442620" w:rsidRPr="00766A1F"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WHO Library, OCP/EAC4.1 (OCP 83.11),</w:t>
      </w:r>
      <w:r w:rsidRPr="00E12758">
        <w:rPr>
          <w:rFonts w:ascii="Calibri" w:hAnsi="Calibri" w:cs="Calibri"/>
          <w:color w:val="000000" w:themeColor="text1"/>
          <w:sz w:val="22"/>
          <w:szCs w:val="22"/>
        </w:rPr>
        <w:t xml:space="preserve"> Annex 93, ‘Objectives’, 1983.</w:t>
      </w:r>
    </w:p>
    <w:p w14:paraId="30E8B96C" w14:textId="77777777" w:rsidR="00442620" w:rsidRPr="00766A1F" w:rsidRDefault="00442620" w:rsidP="00442620">
      <w:pPr>
        <w:pStyle w:val="FootnoteText"/>
        <w:rPr>
          <w:rFonts w:ascii="Calibri" w:hAnsi="Calibri" w:cs="Calibri"/>
          <w:color w:val="000000" w:themeColor="text1"/>
          <w:sz w:val="22"/>
          <w:szCs w:val="22"/>
        </w:rPr>
      </w:pPr>
    </w:p>
    <w:p w14:paraId="6B1E2EB6" w14:textId="77777777" w:rsidR="00442620" w:rsidRPr="00233532" w:rsidRDefault="00442620" w:rsidP="00442620">
      <w:pPr>
        <w:rPr>
          <w:rFonts w:ascii="Calibri" w:hAnsi="Calibri" w:cs="Calibri"/>
          <w:color w:val="000000" w:themeColor="text1"/>
          <w:sz w:val="22"/>
          <w:szCs w:val="22"/>
        </w:rPr>
      </w:pPr>
      <w:r w:rsidRPr="007A123B">
        <w:rPr>
          <w:rFonts w:ascii="Calibri" w:hAnsi="Calibri" w:cs="Calibri"/>
          <w:color w:val="000000" w:themeColor="text1"/>
          <w:sz w:val="22"/>
          <w:szCs w:val="22"/>
        </w:rPr>
        <w:t>WHO Library, WHO OCP/74.1-81.2, ‘Plan of action and budget for 1988’</w:t>
      </w:r>
      <w:r w:rsidRPr="00233532">
        <w:rPr>
          <w:rFonts w:ascii="Calibri" w:hAnsi="Calibri" w:cs="Calibri"/>
          <w:color w:val="000000" w:themeColor="text1"/>
          <w:sz w:val="22"/>
          <w:szCs w:val="22"/>
        </w:rPr>
        <w:t>, 1987.</w:t>
      </w:r>
    </w:p>
    <w:p w14:paraId="7FF2EB15" w14:textId="77777777" w:rsidR="00442620" w:rsidRPr="00233532" w:rsidRDefault="00442620" w:rsidP="00442620">
      <w:pPr>
        <w:pStyle w:val="FootnoteText"/>
        <w:rPr>
          <w:rFonts w:ascii="Calibri" w:hAnsi="Calibri" w:cs="Calibri"/>
          <w:color w:val="000000" w:themeColor="text1"/>
          <w:sz w:val="22"/>
          <w:szCs w:val="22"/>
          <w:lang w:eastAsia="en-GB"/>
        </w:rPr>
      </w:pPr>
    </w:p>
    <w:p w14:paraId="25318548"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WHO Library, </w:t>
      </w:r>
      <w:r w:rsidRPr="00233532">
        <w:rPr>
          <w:rFonts w:ascii="Calibri" w:hAnsi="Calibri" w:cs="Calibri"/>
          <w:i/>
          <w:color w:val="000000" w:themeColor="text1"/>
          <w:sz w:val="22"/>
          <w:szCs w:val="22"/>
        </w:rPr>
        <w:t xml:space="preserve">World health: the magazine of the World Health Organization </w:t>
      </w:r>
      <w:r w:rsidRPr="00233532">
        <w:rPr>
          <w:rFonts w:ascii="Calibri" w:hAnsi="Calibri" w:cs="Calibri"/>
          <w:color w:val="000000" w:themeColor="text1"/>
          <w:sz w:val="22"/>
          <w:szCs w:val="22"/>
        </w:rPr>
        <w:t>(Geneva: WHO, October 1973).</w:t>
      </w:r>
    </w:p>
    <w:p w14:paraId="77D2F059" w14:textId="77777777" w:rsidR="00442620" w:rsidRPr="00233532" w:rsidRDefault="00442620" w:rsidP="00442620">
      <w:pPr>
        <w:pStyle w:val="FootnoteText"/>
        <w:rPr>
          <w:rFonts w:ascii="Calibri" w:hAnsi="Calibri" w:cs="Calibri"/>
          <w:color w:val="000000" w:themeColor="text1"/>
          <w:sz w:val="22"/>
          <w:szCs w:val="22"/>
        </w:rPr>
      </w:pPr>
    </w:p>
    <w:p w14:paraId="725B7453"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WHO Library, </w:t>
      </w:r>
      <w:r w:rsidRPr="00233532">
        <w:rPr>
          <w:rFonts w:ascii="Calibri" w:hAnsi="Calibri" w:cs="Calibri"/>
          <w:i/>
          <w:color w:val="000000" w:themeColor="text1"/>
          <w:sz w:val="22"/>
          <w:szCs w:val="22"/>
        </w:rPr>
        <w:t xml:space="preserve">World health: the magazine of the World Health Organization </w:t>
      </w:r>
      <w:r w:rsidRPr="00233532">
        <w:rPr>
          <w:rFonts w:ascii="Calibri" w:hAnsi="Calibri" w:cs="Calibri"/>
          <w:color w:val="000000" w:themeColor="text1"/>
          <w:sz w:val="22"/>
          <w:szCs w:val="22"/>
        </w:rPr>
        <w:t>(Geneva: WHO, May 1974).</w:t>
      </w:r>
    </w:p>
    <w:p w14:paraId="398A86DE" w14:textId="77777777" w:rsidR="00442620" w:rsidRPr="00233532" w:rsidRDefault="00442620" w:rsidP="00442620">
      <w:pPr>
        <w:pStyle w:val="FootnoteText"/>
        <w:rPr>
          <w:rFonts w:ascii="Calibri" w:hAnsi="Calibri" w:cs="Calibri"/>
          <w:color w:val="000000" w:themeColor="text1"/>
          <w:sz w:val="22"/>
          <w:szCs w:val="22"/>
        </w:rPr>
      </w:pPr>
    </w:p>
    <w:p w14:paraId="1264D016"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lastRenderedPageBreak/>
        <w:t xml:space="preserve">WHO Library, </w:t>
      </w:r>
      <w:r w:rsidRPr="00233532">
        <w:rPr>
          <w:rFonts w:ascii="Calibri" w:hAnsi="Calibri" w:cs="Calibri"/>
          <w:i/>
          <w:color w:val="000000" w:themeColor="text1"/>
          <w:sz w:val="22"/>
          <w:szCs w:val="22"/>
        </w:rPr>
        <w:t xml:space="preserve">World health: the magazine of the World Health Organization </w:t>
      </w:r>
      <w:r w:rsidRPr="00233532">
        <w:rPr>
          <w:rFonts w:ascii="Calibri" w:hAnsi="Calibri" w:cs="Calibri"/>
          <w:color w:val="000000" w:themeColor="text1"/>
          <w:sz w:val="22"/>
          <w:szCs w:val="22"/>
        </w:rPr>
        <w:t>(Geneva: WHO, June 1975).</w:t>
      </w:r>
    </w:p>
    <w:p w14:paraId="408FA2E0" w14:textId="77777777" w:rsidR="00442620" w:rsidRPr="00233532" w:rsidRDefault="00442620" w:rsidP="00442620">
      <w:pPr>
        <w:pStyle w:val="FootnoteText"/>
        <w:rPr>
          <w:rFonts w:ascii="Calibri" w:hAnsi="Calibri" w:cs="Calibri"/>
          <w:color w:val="000000" w:themeColor="text1"/>
          <w:sz w:val="22"/>
          <w:szCs w:val="22"/>
        </w:rPr>
      </w:pPr>
    </w:p>
    <w:p w14:paraId="61683EC5"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WHO Library, </w:t>
      </w:r>
      <w:r w:rsidRPr="00233532">
        <w:rPr>
          <w:rFonts w:ascii="Calibri" w:hAnsi="Calibri" w:cs="Calibri"/>
          <w:i/>
          <w:color w:val="000000" w:themeColor="text1"/>
          <w:sz w:val="22"/>
          <w:szCs w:val="22"/>
        </w:rPr>
        <w:t xml:space="preserve">World health: the magazine of the World Health Organization </w:t>
      </w:r>
      <w:r w:rsidRPr="00233532">
        <w:rPr>
          <w:rFonts w:ascii="Calibri" w:hAnsi="Calibri" w:cs="Calibri"/>
          <w:color w:val="000000" w:themeColor="text1"/>
          <w:sz w:val="22"/>
          <w:szCs w:val="22"/>
        </w:rPr>
        <w:t>(Geneva: WHO, February-March 1976).</w:t>
      </w:r>
    </w:p>
    <w:p w14:paraId="773CEBC5" w14:textId="77777777" w:rsidR="00442620" w:rsidRPr="00233532" w:rsidRDefault="00442620" w:rsidP="00442620">
      <w:pPr>
        <w:pStyle w:val="FootnoteText"/>
        <w:rPr>
          <w:rFonts w:ascii="Calibri" w:hAnsi="Calibri" w:cs="Calibri"/>
          <w:color w:val="000000" w:themeColor="text1"/>
          <w:sz w:val="22"/>
          <w:szCs w:val="22"/>
        </w:rPr>
      </w:pPr>
    </w:p>
    <w:p w14:paraId="772DED75"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WHO Library, </w:t>
      </w:r>
      <w:r w:rsidRPr="00233532">
        <w:rPr>
          <w:rFonts w:ascii="Calibri" w:hAnsi="Calibri" w:cs="Calibri"/>
          <w:i/>
          <w:color w:val="000000" w:themeColor="text1"/>
          <w:sz w:val="22"/>
          <w:szCs w:val="22"/>
        </w:rPr>
        <w:t xml:space="preserve">World health: the magazine of the World Health Organization </w:t>
      </w:r>
      <w:r w:rsidRPr="00233532">
        <w:rPr>
          <w:rFonts w:ascii="Calibri" w:hAnsi="Calibri" w:cs="Calibri"/>
          <w:color w:val="000000" w:themeColor="text1"/>
          <w:sz w:val="22"/>
          <w:szCs w:val="22"/>
        </w:rPr>
        <w:t>(Geneva: WHO, May 1976).</w:t>
      </w:r>
    </w:p>
    <w:p w14:paraId="37FB9C50" w14:textId="77777777" w:rsidR="00442620" w:rsidRPr="00233532" w:rsidRDefault="00442620" w:rsidP="00442620">
      <w:pPr>
        <w:pStyle w:val="FootnoteText"/>
        <w:rPr>
          <w:rFonts w:ascii="Calibri" w:hAnsi="Calibri" w:cs="Calibri"/>
          <w:color w:val="000000" w:themeColor="text1"/>
          <w:sz w:val="22"/>
          <w:szCs w:val="22"/>
        </w:rPr>
      </w:pPr>
    </w:p>
    <w:p w14:paraId="4AA877D0"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WHO Library, </w:t>
      </w:r>
      <w:r w:rsidRPr="00233532">
        <w:rPr>
          <w:rFonts w:ascii="Calibri" w:hAnsi="Calibri" w:cs="Calibri"/>
          <w:i/>
          <w:color w:val="000000" w:themeColor="text1"/>
          <w:sz w:val="22"/>
          <w:szCs w:val="22"/>
        </w:rPr>
        <w:t xml:space="preserve">World health: the magazine of the World Health Organization </w:t>
      </w:r>
      <w:r w:rsidRPr="00233532">
        <w:rPr>
          <w:rFonts w:ascii="Calibri" w:hAnsi="Calibri" w:cs="Calibri"/>
          <w:color w:val="000000" w:themeColor="text1"/>
          <w:sz w:val="22"/>
          <w:szCs w:val="22"/>
        </w:rPr>
        <w:t>(Geneva: WHO, December 1976).</w:t>
      </w:r>
    </w:p>
    <w:p w14:paraId="3C093CBB" w14:textId="77777777" w:rsidR="00442620" w:rsidRPr="00233532" w:rsidRDefault="00442620" w:rsidP="00442620">
      <w:pPr>
        <w:pStyle w:val="FootnoteText"/>
        <w:rPr>
          <w:rFonts w:ascii="Calibri" w:hAnsi="Calibri" w:cs="Calibri"/>
          <w:color w:val="000000" w:themeColor="text1"/>
          <w:sz w:val="22"/>
          <w:szCs w:val="22"/>
        </w:rPr>
      </w:pPr>
    </w:p>
    <w:p w14:paraId="496BA76D"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WHO Library, </w:t>
      </w:r>
      <w:r w:rsidRPr="00233532">
        <w:rPr>
          <w:rFonts w:ascii="Calibri" w:hAnsi="Calibri" w:cs="Calibri"/>
          <w:i/>
          <w:color w:val="000000" w:themeColor="text1"/>
          <w:sz w:val="22"/>
          <w:szCs w:val="22"/>
        </w:rPr>
        <w:t xml:space="preserve">World health: the magazine of the World Health Organization </w:t>
      </w:r>
      <w:r w:rsidRPr="00233532">
        <w:rPr>
          <w:rFonts w:ascii="Calibri" w:hAnsi="Calibri" w:cs="Calibri"/>
          <w:color w:val="000000" w:themeColor="text1"/>
          <w:sz w:val="22"/>
          <w:szCs w:val="22"/>
        </w:rPr>
        <w:t>(Geneva: WHO, January 1978).</w:t>
      </w:r>
    </w:p>
    <w:p w14:paraId="4202E41A" w14:textId="77777777" w:rsidR="00442620" w:rsidRPr="00233532" w:rsidRDefault="00442620" w:rsidP="00442620">
      <w:pPr>
        <w:pStyle w:val="FootnoteText"/>
        <w:rPr>
          <w:rFonts w:ascii="Calibri" w:hAnsi="Calibri" w:cs="Calibri"/>
          <w:color w:val="000000" w:themeColor="text1"/>
          <w:sz w:val="22"/>
          <w:szCs w:val="22"/>
        </w:rPr>
      </w:pPr>
    </w:p>
    <w:p w14:paraId="03F59BAE"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WHO Library, </w:t>
      </w:r>
      <w:r w:rsidRPr="00233532">
        <w:rPr>
          <w:rFonts w:ascii="Calibri" w:hAnsi="Calibri" w:cs="Calibri"/>
          <w:i/>
          <w:color w:val="000000" w:themeColor="text1"/>
          <w:sz w:val="22"/>
          <w:szCs w:val="22"/>
        </w:rPr>
        <w:t xml:space="preserve">World health: the magazine of the World Health Organization </w:t>
      </w:r>
      <w:r w:rsidRPr="00233532">
        <w:rPr>
          <w:rFonts w:ascii="Calibri" w:hAnsi="Calibri" w:cs="Calibri"/>
          <w:color w:val="000000" w:themeColor="text1"/>
          <w:sz w:val="22"/>
          <w:szCs w:val="22"/>
        </w:rPr>
        <w:t>(Geneva: WHO, July 1980).</w:t>
      </w:r>
    </w:p>
    <w:p w14:paraId="00621AB6" w14:textId="77777777" w:rsidR="00442620" w:rsidRPr="00233532" w:rsidRDefault="00442620" w:rsidP="00442620">
      <w:pPr>
        <w:pStyle w:val="FootnoteText"/>
        <w:rPr>
          <w:rFonts w:ascii="Calibri" w:hAnsi="Calibri" w:cs="Calibri"/>
          <w:color w:val="000000" w:themeColor="text1"/>
          <w:sz w:val="22"/>
          <w:szCs w:val="22"/>
        </w:rPr>
      </w:pPr>
    </w:p>
    <w:p w14:paraId="4EA769F2"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WHO Library, </w:t>
      </w:r>
      <w:r w:rsidRPr="00233532">
        <w:rPr>
          <w:rFonts w:ascii="Calibri" w:hAnsi="Calibri" w:cs="Calibri"/>
          <w:i/>
          <w:color w:val="000000" w:themeColor="text1"/>
          <w:sz w:val="22"/>
          <w:szCs w:val="22"/>
        </w:rPr>
        <w:t xml:space="preserve">World health: the magazine of the World Health Organization </w:t>
      </w:r>
      <w:r w:rsidRPr="00233532">
        <w:rPr>
          <w:rFonts w:ascii="Calibri" w:hAnsi="Calibri" w:cs="Calibri"/>
          <w:color w:val="000000" w:themeColor="text1"/>
          <w:sz w:val="22"/>
          <w:szCs w:val="22"/>
        </w:rPr>
        <w:t>(Geneva: WHO, January 1983).</w:t>
      </w:r>
    </w:p>
    <w:p w14:paraId="07983ABE" w14:textId="77777777" w:rsidR="00442620" w:rsidRPr="00233532" w:rsidRDefault="00442620" w:rsidP="00442620">
      <w:pPr>
        <w:pStyle w:val="FootnoteText"/>
        <w:rPr>
          <w:rFonts w:ascii="Calibri" w:hAnsi="Calibri" w:cs="Calibri"/>
          <w:color w:val="000000" w:themeColor="text1"/>
          <w:sz w:val="22"/>
          <w:szCs w:val="22"/>
        </w:rPr>
      </w:pPr>
    </w:p>
    <w:p w14:paraId="76123402"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WHO Library, </w:t>
      </w:r>
      <w:r w:rsidRPr="00233532">
        <w:rPr>
          <w:rFonts w:ascii="Calibri" w:hAnsi="Calibri" w:cs="Calibri"/>
          <w:i/>
          <w:color w:val="000000" w:themeColor="text1"/>
          <w:sz w:val="22"/>
          <w:szCs w:val="22"/>
        </w:rPr>
        <w:t xml:space="preserve">World health: the magazine of the World Health Organization </w:t>
      </w:r>
      <w:r w:rsidRPr="00233532">
        <w:rPr>
          <w:rFonts w:ascii="Calibri" w:hAnsi="Calibri" w:cs="Calibri"/>
          <w:color w:val="000000" w:themeColor="text1"/>
          <w:sz w:val="22"/>
          <w:szCs w:val="22"/>
        </w:rPr>
        <w:t>(Geneva: WHO, March 1986).</w:t>
      </w:r>
    </w:p>
    <w:p w14:paraId="33621847" w14:textId="77777777" w:rsidR="00442620" w:rsidRPr="00233532" w:rsidRDefault="00442620" w:rsidP="00442620">
      <w:pPr>
        <w:pStyle w:val="FootnoteText"/>
        <w:rPr>
          <w:rFonts w:ascii="Calibri" w:hAnsi="Calibri" w:cs="Calibri"/>
          <w:color w:val="000000" w:themeColor="text1"/>
          <w:sz w:val="22"/>
          <w:szCs w:val="22"/>
        </w:rPr>
      </w:pPr>
    </w:p>
    <w:p w14:paraId="554A36D4"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WHO Library, </w:t>
      </w:r>
      <w:r w:rsidRPr="00233532">
        <w:rPr>
          <w:rFonts w:ascii="Calibri" w:hAnsi="Calibri" w:cs="Calibri"/>
          <w:i/>
          <w:color w:val="000000" w:themeColor="text1"/>
          <w:sz w:val="22"/>
          <w:szCs w:val="22"/>
        </w:rPr>
        <w:t xml:space="preserve">World health: the magazine of the World Health Organization </w:t>
      </w:r>
      <w:r w:rsidRPr="00233532">
        <w:rPr>
          <w:rFonts w:ascii="Calibri" w:hAnsi="Calibri" w:cs="Calibri"/>
          <w:color w:val="000000" w:themeColor="text1"/>
          <w:sz w:val="22"/>
          <w:szCs w:val="22"/>
        </w:rPr>
        <w:t>(Geneva: WHO, May 1986).</w:t>
      </w:r>
    </w:p>
    <w:p w14:paraId="1B265775" w14:textId="77777777" w:rsidR="00442620" w:rsidRPr="00233532" w:rsidRDefault="00442620" w:rsidP="00442620">
      <w:pPr>
        <w:pStyle w:val="FootnoteText"/>
        <w:rPr>
          <w:rFonts w:ascii="Calibri" w:hAnsi="Calibri" w:cs="Calibri"/>
          <w:color w:val="000000" w:themeColor="text1"/>
          <w:sz w:val="22"/>
          <w:szCs w:val="22"/>
        </w:rPr>
      </w:pPr>
    </w:p>
    <w:p w14:paraId="28F5E152"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WHO Library, </w:t>
      </w:r>
      <w:r w:rsidRPr="00233532">
        <w:rPr>
          <w:rFonts w:ascii="Calibri" w:hAnsi="Calibri" w:cs="Calibri"/>
          <w:i/>
          <w:color w:val="000000" w:themeColor="text1"/>
          <w:sz w:val="22"/>
          <w:szCs w:val="22"/>
        </w:rPr>
        <w:t xml:space="preserve">World health: the magazine of the World Health Organization </w:t>
      </w:r>
      <w:r w:rsidRPr="00233532">
        <w:rPr>
          <w:rFonts w:ascii="Calibri" w:hAnsi="Calibri" w:cs="Calibri"/>
          <w:color w:val="000000" w:themeColor="text1"/>
          <w:sz w:val="22"/>
          <w:szCs w:val="22"/>
        </w:rPr>
        <w:t>(Geneva: WHO, January-February 1989).</w:t>
      </w:r>
    </w:p>
    <w:p w14:paraId="7BD1DB01" w14:textId="77777777" w:rsidR="00442620" w:rsidRPr="00233532" w:rsidRDefault="00442620" w:rsidP="00442620">
      <w:pPr>
        <w:pStyle w:val="FootnoteText"/>
        <w:rPr>
          <w:rFonts w:ascii="Calibri" w:hAnsi="Calibri" w:cs="Calibri"/>
          <w:color w:val="000000" w:themeColor="text1"/>
          <w:sz w:val="22"/>
          <w:szCs w:val="22"/>
        </w:rPr>
      </w:pPr>
    </w:p>
    <w:p w14:paraId="3CCBBBDC"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WHO Library, </w:t>
      </w:r>
      <w:r w:rsidRPr="00233532">
        <w:rPr>
          <w:rFonts w:ascii="Calibri" w:hAnsi="Calibri" w:cs="Calibri"/>
          <w:i/>
          <w:color w:val="000000" w:themeColor="text1"/>
          <w:sz w:val="22"/>
          <w:szCs w:val="22"/>
        </w:rPr>
        <w:t xml:space="preserve">World health: the magazine of the World Health Organization </w:t>
      </w:r>
      <w:r w:rsidRPr="00233532">
        <w:rPr>
          <w:rFonts w:ascii="Calibri" w:hAnsi="Calibri" w:cs="Calibri"/>
          <w:color w:val="000000" w:themeColor="text1"/>
          <w:sz w:val="22"/>
          <w:szCs w:val="22"/>
        </w:rPr>
        <w:t xml:space="preserve">(Geneva: WHO, June-July-August 1990). </w:t>
      </w:r>
    </w:p>
    <w:p w14:paraId="6EF2C28E" w14:textId="77777777" w:rsidR="00442620" w:rsidRPr="00233532" w:rsidRDefault="00442620" w:rsidP="00442620">
      <w:pPr>
        <w:pStyle w:val="FootnoteText"/>
        <w:rPr>
          <w:rFonts w:ascii="Calibri" w:hAnsi="Calibri" w:cs="Calibri"/>
          <w:color w:val="000000" w:themeColor="text1"/>
          <w:sz w:val="22"/>
          <w:szCs w:val="22"/>
        </w:rPr>
      </w:pPr>
    </w:p>
    <w:p w14:paraId="721EC768"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Widdus R and White K, </w:t>
      </w:r>
      <w:r w:rsidRPr="00233532">
        <w:rPr>
          <w:rFonts w:ascii="Calibri" w:hAnsi="Calibri" w:cs="Calibri"/>
          <w:i/>
          <w:color w:val="000000" w:themeColor="text1"/>
          <w:sz w:val="22"/>
          <w:szCs w:val="22"/>
        </w:rPr>
        <w:t xml:space="preserve">Combating diseases associated with poverty: financing strategies for product development and the potential role of public-private partnerships </w:t>
      </w:r>
      <w:r w:rsidRPr="00233532">
        <w:rPr>
          <w:rFonts w:ascii="Calibri" w:hAnsi="Calibri" w:cs="Calibri"/>
          <w:color w:val="000000" w:themeColor="text1"/>
          <w:sz w:val="22"/>
          <w:szCs w:val="22"/>
        </w:rPr>
        <w:t>(Geneva: Initiative on Public Private Partnerships for Health, 2004).</w:t>
      </w:r>
    </w:p>
    <w:p w14:paraId="21D4CA82" w14:textId="77777777" w:rsidR="00442620" w:rsidRPr="00233532" w:rsidRDefault="00442620" w:rsidP="00442620">
      <w:pPr>
        <w:pStyle w:val="FootnoteText"/>
        <w:rPr>
          <w:rFonts w:ascii="Calibri" w:hAnsi="Calibri" w:cs="Calibri"/>
          <w:color w:val="000000" w:themeColor="text1"/>
          <w:sz w:val="22"/>
          <w:szCs w:val="22"/>
        </w:rPr>
      </w:pPr>
    </w:p>
    <w:p w14:paraId="7B699C17"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Wikipedia, ‘Onchocerciasis’ (online), &lt;https://en.wikipedia.org/wiki/Onchocerciasis&gt; [accessed 19 June 2019].</w:t>
      </w:r>
    </w:p>
    <w:p w14:paraId="1D960768" w14:textId="77777777" w:rsidR="00442620" w:rsidRPr="00233532" w:rsidRDefault="00442620" w:rsidP="00442620">
      <w:pPr>
        <w:pStyle w:val="FootnoteText"/>
        <w:rPr>
          <w:rFonts w:ascii="Calibri" w:hAnsi="Calibri" w:cs="Calibri"/>
          <w:color w:val="000000" w:themeColor="text1"/>
          <w:sz w:val="22"/>
          <w:szCs w:val="22"/>
        </w:rPr>
      </w:pPr>
    </w:p>
    <w:p w14:paraId="1FA6EDBC" w14:textId="32078794"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Winters </w:t>
      </w:r>
      <w:r w:rsidR="00133761" w:rsidRPr="00233532">
        <w:rPr>
          <w:rFonts w:ascii="Calibri" w:hAnsi="Calibri" w:cs="Calibri"/>
          <w:color w:val="000000" w:themeColor="text1"/>
          <w:sz w:val="22"/>
          <w:szCs w:val="22"/>
        </w:rPr>
        <w:t>J, Fernandes G, McGivern L and Sridhar D</w:t>
      </w:r>
      <w:r w:rsidRPr="00233532">
        <w:rPr>
          <w:rFonts w:ascii="Calibri" w:hAnsi="Calibri" w:cs="Calibri"/>
          <w:color w:val="000000" w:themeColor="text1"/>
          <w:sz w:val="22"/>
          <w:szCs w:val="22"/>
        </w:rPr>
        <w:t xml:space="preserve">, ‘Mainstreaming as rhetoric or reality? Gender and global health at the World Bank’, </w:t>
      </w:r>
      <w:r w:rsidRPr="00233532">
        <w:rPr>
          <w:rFonts w:ascii="Calibri" w:hAnsi="Calibri" w:cs="Calibri"/>
          <w:i/>
          <w:color w:val="000000" w:themeColor="text1"/>
          <w:sz w:val="22"/>
          <w:szCs w:val="22"/>
        </w:rPr>
        <w:t xml:space="preserve">Wellcome Open Research, </w:t>
      </w:r>
      <w:r w:rsidRPr="00233532">
        <w:rPr>
          <w:rFonts w:ascii="Calibri" w:hAnsi="Calibri" w:cs="Calibri"/>
          <w:color w:val="000000" w:themeColor="text1"/>
          <w:sz w:val="22"/>
          <w:szCs w:val="22"/>
        </w:rPr>
        <w:t>3:18 (2018).</w:t>
      </w:r>
    </w:p>
    <w:p w14:paraId="61FB0DAD" w14:textId="77777777" w:rsidR="00442620" w:rsidRPr="00233532" w:rsidRDefault="00442620" w:rsidP="00442620">
      <w:pPr>
        <w:pStyle w:val="FootnoteText"/>
        <w:rPr>
          <w:rFonts w:ascii="Calibri" w:hAnsi="Calibri" w:cs="Calibri"/>
          <w:color w:val="000000" w:themeColor="text1"/>
          <w:sz w:val="22"/>
          <w:szCs w:val="22"/>
        </w:rPr>
      </w:pPr>
    </w:p>
    <w:p w14:paraId="77489184"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Winters J and Sridhar D, ‘Earmarking for global health: benefits and perils of the World Bank’s trust fund model’, </w:t>
      </w:r>
      <w:r w:rsidRPr="00233532">
        <w:rPr>
          <w:rFonts w:ascii="Calibri" w:hAnsi="Calibri" w:cs="Calibri"/>
          <w:i/>
          <w:color w:val="000000" w:themeColor="text1"/>
          <w:sz w:val="22"/>
          <w:szCs w:val="22"/>
        </w:rPr>
        <w:t xml:space="preserve">BMJ </w:t>
      </w:r>
      <w:r w:rsidRPr="00233532">
        <w:rPr>
          <w:rFonts w:ascii="Calibri" w:hAnsi="Calibri" w:cs="Calibri"/>
          <w:color w:val="000000" w:themeColor="text1"/>
          <w:sz w:val="22"/>
          <w:szCs w:val="22"/>
        </w:rPr>
        <w:t>358</w:t>
      </w:r>
      <w:r w:rsidRPr="00233532">
        <w:rPr>
          <w:rFonts w:ascii="Calibri" w:hAnsi="Calibri" w:cs="Calibri"/>
          <w:i/>
          <w:color w:val="000000" w:themeColor="text1"/>
          <w:sz w:val="22"/>
          <w:szCs w:val="22"/>
        </w:rPr>
        <w:t xml:space="preserve"> </w:t>
      </w:r>
      <w:r w:rsidRPr="00233532">
        <w:rPr>
          <w:rFonts w:ascii="Calibri" w:hAnsi="Calibri" w:cs="Calibri"/>
          <w:color w:val="000000" w:themeColor="text1"/>
          <w:sz w:val="22"/>
          <w:szCs w:val="22"/>
        </w:rPr>
        <w:t>(2017), j3394.</w:t>
      </w:r>
    </w:p>
    <w:p w14:paraId="360375D5" w14:textId="77777777" w:rsidR="00442620" w:rsidRPr="00233532" w:rsidRDefault="00442620" w:rsidP="00442620">
      <w:pPr>
        <w:pStyle w:val="FootnoteText"/>
        <w:rPr>
          <w:rFonts w:ascii="Calibri" w:hAnsi="Calibri" w:cs="Calibri"/>
          <w:color w:val="000000" w:themeColor="text1"/>
          <w:sz w:val="22"/>
          <w:szCs w:val="22"/>
        </w:rPr>
      </w:pPr>
    </w:p>
    <w:p w14:paraId="3DCC300A" w14:textId="5D76BF9F" w:rsidR="00442620" w:rsidRDefault="00442620" w:rsidP="0052083A">
      <w:pPr>
        <w:rPr>
          <w:rFonts w:ascii="Calibri" w:hAnsi="Calibri" w:cs="Calibri"/>
          <w:color w:val="000000" w:themeColor="text1"/>
          <w:sz w:val="22"/>
          <w:szCs w:val="22"/>
        </w:rPr>
      </w:pPr>
      <w:r w:rsidRPr="00233532">
        <w:rPr>
          <w:rFonts w:ascii="Calibri" w:hAnsi="Calibri" w:cs="Calibri"/>
          <w:color w:val="000000" w:themeColor="text1"/>
          <w:sz w:val="22"/>
          <w:szCs w:val="22"/>
        </w:rPr>
        <w:t xml:space="preserve">Winters J, ‘The surge of public-private partnerships for health since the millennium’, </w:t>
      </w:r>
      <w:r w:rsidRPr="00233532">
        <w:rPr>
          <w:rFonts w:ascii="Calibri" w:hAnsi="Calibri" w:cs="Calibri"/>
          <w:i/>
          <w:color w:val="000000" w:themeColor="text1"/>
          <w:sz w:val="22"/>
          <w:szCs w:val="22"/>
        </w:rPr>
        <w:t xml:space="preserve">Global Health Governance Programme Blog </w:t>
      </w:r>
      <w:r w:rsidRPr="00233532">
        <w:rPr>
          <w:rFonts w:ascii="Calibri" w:hAnsi="Calibri" w:cs="Calibri"/>
          <w:color w:val="000000" w:themeColor="text1"/>
          <w:sz w:val="22"/>
          <w:szCs w:val="22"/>
        </w:rPr>
        <w:t>(</w:t>
      </w:r>
      <w:r w:rsidR="0052083A" w:rsidRPr="00233532">
        <w:rPr>
          <w:rFonts w:ascii="Calibri" w:hAnsi="Calibri" w:cs="Calibri"/>
          <w:color w:val="000000" w:themeColor="text1"/>
          <w:sz w:val="22"/>
          <w:szCs w:val="22"/>
        </w:rPr>
        <w:t xml:space="preserve">online), </w:t>
      </w:r>
      <w:r w:rsidRPr="00233532">
        <w:rPr>
          <w:rFonts w:ascii="Calibri" w:hAnsi="Calibri" w:cs="Calibri"/>
          <w:color w:val="000000" w:themeColor="text1"/>
          <w:sz w:val="22"/>
          <w:szCs w:val="22"/>
        </w:rPr>
        <w:t>21 July 2017</w:t>
      </w:r>
      <w:r w:rsidR="0052083A" w:rsidRPr="00233532">
        <w:rPr>
          <w:rFonts w:ascii="Calibri" w:hAnsi="Calibri" w:cs="Calibri"/>
          <w:color w:val="000000" w:themeColor="text1"/>
          <w:sz w:val="22"/>
          <w:szCs w:val="22"/>
        </w:rPr>
        <w:t xml:space="preserve">, </w:t>
      </w:r>
      <w:r w:rsidR="0052083A" w:rsidRPr="00233532">
        <w:rPr>
          <w:rFonts w:ascii="Calibri" w:hAnsi="Calibri" w:cs="Calibri"/>
          <w:color w:val="000000" w:themeColor="text1"/>
          <w:sz w:val="22"/>
          <w:szCs w:val="22"/>
        </w:rPr>
        <w:lastRenderedPageBreak/>
        <w:t>&lt;</w:t>
      </w:r>
      <w:r w:rsidR="0052083A" w:rsidRPr="00233532">
        <w:rPr>
          <w:rFonts w:ascii="Calibri" w:hAnsi="Calibri" w:cs="Calibri"/>
          <w:sz w:val="22"/>
          <w:szCs w:val="22"/>
        </w:rPr>
        <w:t>http://globalhealthgovernance.org/blog/2017/7/21/the-surge-of-public-private-partnerships-for-health-since-the-millennium</w:t>
      </w:r>
      <w:r w:rsidR="0052083A" w:rsidRPr="00233532">
        <w:rPr>
          <w:rFonts w:ascii="Calibri" w:hAnsi="Calibri" w:cs="Calibri"/>
          <w:color w:val="000000" w:themeColor="text1"/>
          <w:sz w:val="22"/>
          <w:szCs w:val="22"/>
        </w:rPr>
        <w:t>&gt; [accessed 15 February 2018]</w:t>
      </w:r>
      <w:r w:rsidRPr="00233532">
        <w:rPr>
          <w:rFonts w:ascii="Calibri" w:hAnsi="Calibri" w:cs="Calibri"/>
          <w:color w:val="000000" w:themeColor="text1"/>
          <w:sz w:val="22"/>
          <w:szCs w:val="22"/>
        </w:rPr>
        <w:t>.</w:t>
      </w:r>
    </w:p>
    <w:p w14:paraId="4C2A66CB" w14:textId="77777777" w:rsidR="00B040F0" w:rsidRDefault="00B040F0" w:rsidP="00B040F0">
      <w:pPr>
        <w:pStyle w:val="FootnoteText"/>
        <w:rPr>
          <w:rFonts w:ascii="Calibri" w:hAnsi="Calibri" w:cs="Calibri"/>
          <w:color w:val="000000" w:themeColor="text1"/>
          <w:sz w:val="22"/>
          <w:szCs w:val="22"/>
        </w:rPr>
      </w:pPr>
    </w:p>
    <w:p w14:paraId="023BD36B" w14:textId="1B8360BB" w:rsidR="00B040F0" w:rsidRPr="00233532" w:rsidRDefault="00B040F0" w:rsidP="0052083A">
      <w:pPr>
        <w:rPr>
          <w:rFonts w:ascii="Calibri" w:hAnsi="Calibri" w:cs="Calibri"/>
          <w:sz w:val="22"/>
          <w:szCs w:val="22"/>
        </w:rPr>
      </w:pPr>
      <w:r w:rsidRPr="001C0900">
        <w:rPr>
          <w:rFonts w:ascii="Calibri" w:hAnsi="Calibri" w:cs="Calibri"/>
          <w:sz w:val="22"/>
          <w:szCs w:val="22"/>
        </w:rPr>
        <w:t xml:space="preserve">Woodward D, </w:t>
      </w:r>
      <w:r w:rsidRPr="001C0900">
        <w:rPr>
          <w:rFonts w:ascii="Calibri" w:hAnsi="Calibri" w:cs="Calibri"/>
          <w:i/>
          <w:iCs/>
          <w:sz w:val="22"/>
          <w:szCs w:val="22"/>
        </w:rPr>
        <w:t xml:space="preserve">Debt adjustment and poverty in developing countries vol 2: the impact of debt and adjustment at the household level in developing countries </w:t>
      </w:r>
      <w:r w:rsidRPr="001C0900">
        <w:rPr>
          <w:rFonts w:ascii="Calibri" w:hAnsi="Calibri" w:cs="Calibri"/>
          <w:sz w:val="22"/>
          <w:szCs w:val="22"/>
        </w:rPr>
        <w:t>(London: Save the Children/Pinter Publishers, 1992)</w:t>
      </w:r>
      <w:r>
        <w:rPr>
          <w:rFonts w:ascii="Calibri" w:hAnsi="Calibri" w:cs="Calibri"/>
          <w:sz w:val="22"/>
          <w:szCs w:val="22"/>
        </w:rPr>
        <w:t>.</w:t>
      </w:r>
    </w:p>
    <w:p w14:paraId="5D5BCA4B" w14:textId="77777777" w:rsidR="00442620" w:rsidRPr="00233532" w:rsidRDefault="00442620" w:rsidP="00442620">
      <w:pPr>
        <w:pStyle w:val="FootnoteText"/>
        <w:rPr>
          <w:rFonts w:ascii="Calibri" w:hAnsi="Calibri" w:cs="Calibri"/>
          <w:color w:val="000000" w:themeColor="text1"/>
          <w:sz w:val="22"/>
          <w:szCs w:val="22"/>
        </w:rPr>
      </w:pPr>
    </w:p>
    <w:p w14:paraId="256C9735"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Wolfensohn J, </w:t>
      </w:r>
      <w:r w:rsidRPr="00233532">
        <w:rPr>
          <w:rFonts w:ascii="Calibri" w:hAnsi="Calibri" w:cs="Calibri"/>
          <w:i/>
          <w:color w:val="000000" w:themeColor="text1"/>
          <w:sz w:val="22"/>
          <w:szCs w:val="22"/>
        </w:rPr>
        <w:t xml:space="preserve">A case for aid: building a consensus for development assistance </w:t>
      </w:r>
      <w:r w:rsidRPr="00233532">
        <w:rPr>
          <w:rFonts w:ascii="Calibri" w:hAnsi="Calibri" w:cs="Calibri"/>
          <w:color w:val="000000" w:themeColor="text1"/>
          <w:sz w:val="22"/>
          <w:szCs w:val="22"/>
        </w:rPr>
        <w:t>(Washington DC: World Bank, 2002).</w:t>
      </w:r>
    </w:p>
    <w:p w14:paraId="52DCBA8B" w14:textId="77777777" w:rsidR="00442620" w:rsidRPr="00233532" w:rsidRDefault="00442620" w:rsidP="00442620">
      <w:pPr>
        <w:pStyle w:val="FootnoteText"/>
        <w:rPr>
          <w:rFonts w:ascii="Calibri" w:hAnsi="Calibri" w:cs="Calibri"/>
          <w:color w:val="000000" w:themeColor="text1"/>
          <w:sz w:val="22"/>
          <w:szCs w:val="22"/>
        </w:rPr>
      </w:pPr>
    </w:p>
    <w:p w14:paraId="78ED35FE"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Woods N, ‘Good governance in international organizations’, </w:t>
      </w:r>
      <w:r w:rsidRPr="00233532">
        <w:rPr>
          <w:rFonts w:ascii="Calibri" w:hAnsi="Calibri" w:cs="Calibri"/>
          <w:i/>
          <w:color w:val="000000" w:themeColor="text1"/>
          <w:sz w:val="22"/>
          <w:szCs w:val="22"/>
        </w:rPr>
        <w:t xml:space="preserve">Global Governance </w:t>
      </w:r>
      <w:r w:rsidRPr="00233532">
        <w:rPr>
          <w:rFonts w:ascii="Calibri" w:hAnsi="Calibri" w:cs="Calibri"/>
          <w:color w:val="000000" w:themeColor="text1"/>
          <w:sz w:val="22"/>
          <w:szCs w:val="22"/>
        </w:rPr>
        <w:t>5:1 (1999), 39-61.</w:t>
      </w:r>
    </w:p>
    <w:p w14:paraId="3F3D46C3" w14:textId="02917DEF" w:rsidR="00442620" w:rsidRPr="00123FF4" w:rsidRDefault="00442620" w:rsidP="00442620">
      <w:pPr>
        <w:pStyle w:val="FootnoteText"/>
        <w:rPr>
          <w:rFonts w:ascii="Calibri" w:hAnsi="Calibri" w:cs="Calibri"/>
          <w:color w:val="000000" w:themeColor="text1"/>
          <w:sz w:val="22"/>
          <w:szCs w:val="22"/>
        </w:rPr>
      </w:pPr>
    </w:p>
    <w:p w14:paraId="2298DB65" w14:textId="1770856C" w:rsidR="00123FF4" w:rsidRDefault="00123FF4" w:rsidP="00123FF4">
      <w:pPr>
        <w:rPr>
          <w:rFonts w:ascii="Calibri" w:hAnsi="Calibri" w:cs="Calibri"/>
          <w:color w:val="000000" w:themeColor="text1"/>
          <w:sz w:val="22"/>
          <w:szCs w:val="22"/>
        </w:rPr>
      </w:pPr>
      <w:r w:rsidRPr="00CF189D">
        <w:rPr>
          <w:rFonts w:ascii="Calibri" w:hAnsi="Calibri" w:cs="Calibri"/>
          <w:color w:val="000000" w:themeColor="text1"/>
          <w:sz w:val="22"/>
          <w:szCs w:val="22"/>
        </w:rPr>
        <w:t xml:space="preserve">Woods N, ‘The challenges of multilateralism and governance’, in CL Gilbert and D Vines (Eds.), </w:t>
      </w:r>
      <w:r w:rsidRPr="00CF189D">
        <w:rPr>
          <w:rFonts w:ascii="Calibri" w:hAnsi="Calibri" w:cs="Calibri"/>
          <w:i/>
          <w:iCs/>
          <w:color w:val="000000" w:themeColor="text1"/>
          <w:sz w:val="22"/>
          <w:szCs w:val="22"/>
        </w:rPr>
        <w:t xml:space="preserve">The World Bank: Structures and Policies, </w:t>
      </w:r>
      <w:r w:rsidRPr="00CF189D">
        <w:rPr>
          <w:rFonts w:ascii="Calibri" w:hAnsi="Calibri" w:cs="Calibri"/>
          <w:color w:val="000000" w:themeColor="text1"/>
          <w:sz w:val="22"/>
          <w:szCs w:val="22"/>
        </w:rPr>
        <w:t>Vol 3 (Cambridge: Cambridge University Press, 2006), 132-156.</w:t>
      </w:r>
    </w:p>
    <w:p w14:paraId="52BB4564" w14:textId="77777777" w:rsidR="00B040F0" w:rsidRPr="00123FF4" w:rsidRDefault="00B040F0" w:rsidP="00CF189D">
      <w:pPr>
        <w:rPr>
          <w:rFonts w:ascii="Calibri" w:hAnsi="Calibri" w:cs="Calibri"/>
          <w:color w:val="000000" w:themeColor="text1"/>
          <w:sz w:val="22"/>
          <w:szCs w:val="22"/>
        </w:rPr>
      </w:pPr>
    </w:p>
    <w:p w14:paraId="2CD0797D"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Woods N, ‘The IMF and the World Bank’, </w:t>
      </w:r>
      <w:r w:rsidRPr="00233532">
        <w:rPr>
          <w:rFonts w:ascii="Calibri" w:hAnsi="Calibri" w:cs="Calibri"/>
          <w:i/>
          <w:color w:val="000000" w:themeColor="text1"/>
          <w:sz w:val="22"/>
          <w:szCs w:val="22"/>
        </w:rPr>
        <w:t xml:space="preserve">Encyclopedia of Government and Politics </w:t>
      </w:r>
      <w:r w:rsidRPr="00233532">
        <w:rPr>
          <w:rFonts w:ascii="Calibri" w:hAnsi="Calibri" w:cs="Calibri"/>
          <w:color w:val="000000" w:themeColor="text1"/>
          <w:sz w:val="22"/>
          <w:szCs w:val="22"/>
        </w:rPr>
        <w:t>(London: Routledge, 2002), 953.</w:t>
      </w:r>
    </w:p>
    <w:p w14:paraId="54D1714C" w14:textId="77777777" w:rsidR="00442620" w:rsidRPr="00233532" w:rsidRDefault="00442620" w:rsidP="00442620">
      <w:pPr>
        <w:pStyle w:val="FootnoteText"/>
        <w:rPr>
          <w:rFonts w:ascii="Calibri" w:hAnsi="Calibri" w:cs="Calibri"/>
          <w:color w:val="000000" w:themeColor="text1"/>
          <w:sz w:val="22"/>
          <w:szCs w:val="22"/>
        </w:rPr>
      </w:pPr>
    </w:p>
    <w:p w14:paraId="01F455FE" w14:textId="4E8C33A8" w:rsidR="00442620"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Woods N, </w:t>
      </w:r>
      <w:r w:rsidRPr="00233532">
        <w:rPr>
          <w:rFonts w:ascii="Calibri" w:hAnsi="Calibri" w:cs="Calibri"/>
          <w:i/>
          <w:color w:val="000000" w:themeColor="text1"/>
          <w:sz w:val="22"/>
          <w:szCs w:val="22"/>
        </w:rPr>
        <w:t xml:space="preserve">The globalizers: the IMF, the World Bank, and their borrowers </w:t>
      </w:r>
      <w:r w:rsidRPr="00233532">
        <w:rPr>
          <w:rFonts w:ascii="Calibri" w:hAnsi="Calibri" w:cs="Calibri"/>
          <w:color w:val="000000" w:themeColor="text1"/>
          <w:sz w:val="22"/>
          <w:szCs w:val="22"/>
        </w:rPr>
        <w:t>(Ithaca: Cornell University Press, 2006).</w:t>
      </w:r>
    </w:p>
    <w:p w14:paraId="73A6821B" w14:textId="770EE8C9" w:rsidR="0033493D" w:rsidRDefault="0033493D" w:rsidP="00442620">
      <w:pPr>
        <w:pStyle w:val="FootnoteText"/>
        <w:rPr>
          <w:rFonts w:ascii="Calibri" w:hAnsi="Calibri" w:cs="Calibri"/>
          <w:color w:val="000000" w:themeColor="text1"/>
          <w:sz w:val="22"/>
          <w:szCs w:val="22"/>
        </w:rPr>
      </w:pPr>
    </w:p>
    <w:p w14:paraId="1205510C" w14:textId="77777777" w:rsidR="0033493D" w:rsidRDefault="0033493D" w:rsidP="00442620">
      <w:pPr>
        <w:pStyle w:val="FootnoteText"/>
        <w:rPr>
          <w:rFonts w:ascii="Calibri" w:hAnsi="Calibri" w:cs="Calibri"/>
          <w:color w:val="000000" w:themeColor="text1"/>
          <w:sz w:val="22"/>
          <w:szCs w:val="22"/>
        </w:rPr>
      </w:pPr>
    </w:p>
    <w:p w14:paraId="1446E8FF" w14:textId="77777777" w:rsidR="0033493D" w:rsidRPr="00233532" w:rsidRDefault="0033493D" w:rsidP="0033493D">
      <w:pPr>
        <w:pStyle w:val="FootnoteText"/>
        <w:rPr>
          <w:rFonts w:ascii="Calibri" w:hAnsi="Calibri" w:cs="Calibri"/>
          <w:b/>
          <w:i/>
          <w:color w:val="000000" w:themeColor="text1"/>
          <w:sz w:val="22"/>
          <w:szCs w:val="22"/>
        </w:rPr>
      </w:pPr>
      <w:r w:rsidRPr="00233532">
        <w:rPr>
          <w:rFonts w:ascii="Calibri" w:hAnsi="Calibri" w:cs="Calibri"/>
          <w:b/>
          <w:i/>
          <w:color w:val="000000" w:themeColor="text1"/>
          <w:sz w:val="22"/>
          <w:szCs w:val="22"/>
        </w:rPr>
        <w:t>World Bank Group Archives</w:t>
      </w:r>
    </w:p>
    <w:p w14:paraId="7F652FB6" w14:textId="77777777" w:rsidR="0033493D" w:rsidRPr="00233532" w:rsidRDefault="0033493D" w:rsidP="0033493D">
      <w:pPr>
        <w:pStyle w:val="FootnoteText"/>
        <w:rPr>
          <w:rFonts w:ascii="Calibri" w:hAnsi="Calibri" w:cs="Calibri"/>
          <w:color w:val="000000" w:themeColor="text1"/>
          <w:sz w:val="22"/>
          <w:szCs w:val="22"/>
        </w:rPr>
      </w:pPr>
    </w:p>
    <w:p w14:paraId="67E45858"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------‘Oncho AV for Janelle Winters’, [video c. 1990s, digitized September 2018].</w:t>
      </w:r>
    </w:p>
    <w:p w14:paraId="3E1E124B" w14:textId="77777777" w:rsidR="0033493D" w:rsidRPr="00233532" w:rsidRDefault="0033493D" w:rsidP="0033493D">
      <w:pPr>
        <w:pStyle w:val="FootnoteText"/>
        <w:rPr>
          <w:rFonts w:ascii="Calibri" w:hAnsi="Calibri" w:cs="Calibri"/>
          <w:color w:val="000000" w:themeColor="text1"/>
          <w:sz w:val="22"/>
          <w:szCs w:val="22"/>
        </w:rPr>
      </w:pPr>
    </w:p>
    <w:p w14:paraId="22B0976C"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------0146782, Nick Prescott to J. Westford, ‘Interim report of the Gordon Smith Independent Commission on the Onchocerciasis Control Program’, 7 January 1983.</w:t>
      </w:r>
    </w:p>
    <w:p w14:paraId="6BADCB58" w14:textId="77777777" w:rsidR="0033493D" w:rsidRPr="00233532" w:rsidRDefault="0033493D" w:rsidP="0033493D">
      <w:pPr>
        <w:pStyle w:val="FootnoteText"/>
        <w:rPr>
          <w:rFonts w:ascii="Calibri" w:hAnsi="Calibri" w:cs="Calibri"/>
          <w:color w:val="000000" w:themeColor="text1"/>
          <w:sz w:val="22"/>
          <w:szCs w:val="22"/>
        </w:rPr>
      </w:pPr>
    </w:p>
    <w:p w14:paraId="055EE941"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------10300662, ‘Draft, oncho control in the Volta River basin area, preparation of master plans for economic development of cleared land and of investment project proposals’, 9 August 1974.</w:t>
      </w:r>
    </w:p>
    <w:p w14:paraId="252726E0" w14:textId="77777777" w:rsidR="0033493D" w:rsidRPr="00233532" w:rsidRDefault="0033493D" w:rsidP="0033493D">
      <w:pPr>
        <w:pStyle w:val="FootnoteText"/>
        <w:rPr>
          <w:rFonts w:ascii="Calibri" w:hAnsi="Calibri" w:cs="Calibri"/>
          <w:color w:val="000000" w:themeColor="text1"/>
          <w:sz w:val="22"/>
          <w:szCs w:val="22"/>
        </w:rPr>
      </w:pPr>
    </w:p>
    <w:p w14:paraId="6A0B250E"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------10300662, ‘Statement by Mr. McNamara on signing the Oncho Fund Agreement, draft’, 7 May 1975.</w:t>
      </w:r>
    </w:p>
    <w:p w14:paraId="48998771" w14:textId="77777777" w:rsidR="0033493D" w:rsidRPr="00233532" w:rsidRDefault="0033493D" w:rsidP="0033493D">
      <w:pPr>
        <w:pStyle w:val="FootnoteText"/>
        <w:rPr>
          <w:rFonts w:ascii="Calibri" w:hAnsi="Calibri" w:cs="Calibri"/>
          <w:color w:val="000000" w:themeColor="text1"/>
          <w:sz w:val="22"/>
          <w:szCs w:val="22"/>
        </w:rPr>
      </w:pPr>
    </w:p>
    <w:p w14:paraId="44EDCF78"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------10300662, ‘The Economics of the eradication program’, s.d.</w:t>
      </w:r>
    </w:p>
    <w:p w14:paraId="723D0B21" w14:textId="77777777" w:rsidR="0033493D" w:rsidRPr="00233532" w:rsidRDefault="0033493D" w:rsidP="0033493D">
      <w:pPr>
        <w:pStyle w:val="FootnoteText"/>
        <w:rPr>
          <w:rFonts w:ascii="Calibri" w:hAnsi="Calibri" w:cs="Calibri"/>
          <w:color w:val="000000" w:themeColor="text1"/>
          <w:sz w:val="22"/>
          <w:szCs w:val="22"/>
        </w:rPr>
      </w:pPr>
    </w:p>
    <w:p w14:paraId="2AE0D758"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------10300662, C.H. Bonte-Friedheim to R.W. Phillips, [1975].</w:t>
      </w:r>
    </w:p>
    <w:p w14:paraId="0EB2033E" w14:textId="77777777" w:rsidR="0033493D" w:rsidRPr="00233532" w:rsidRDefault="0033493D" w:rsidP="0033493D">
      <w:pPr>
        <w:pStyle w:val="FootnoteText"/>
        <w:rPr>
          <w:rFonts w:ascii="Calibri" w:hAnsi="Calibri" w:cs="Calibri"/>
          <w:color w:val="000000" w:themeColor="text1"/>
          <w:sz w:val="22"/>
          <w:szCs w:val="22"/>
        </w:rPr>
      </w:pPr>
    </w:p>
    <w:p w14:paraId="5E3324CF"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------10300662, Dennis R. Garff to Files, ‘Onchocerciasis – back-to-office report’, July 1975. </w:t>
      </w:r>
    </w:p>
    <w:p w14:paraId="6B17F762" w14:textId="77777777" w:rsidR="0033493D" w:rsidRPr="00233532" w:rsidRDefault="0033493D" w:rsidP="0033493D">
      <w:pPr>
        <w:pStyle w:val="FootnoteText"/>
        <w:rPr>
          <w:rFonts w:ascii="Calibri" w:hAnsi="Calibri" w:cs="Calibri"/>
          <w:color w:val="000000" w:themeColor="text1"/>
          <w:sz w:val="22"/>
          <w:szCs w:val="22"/>
        </w:rPr>
      </w:pPr>
    </w:p>
    <w:p w14:paraId="117A50CF"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 xml:space="preserve">------1046782, ‘Baker report on malaria eradication in the Solomon Islands - comment [handwritten]’, [1983]. </w:t>
      </w:r>
    </w:p>
    <w:p w14:paraId="1C7ABF63" w14:textId="77777777" w:rsidR="0033493D" w:rsidRPr="003A4BF2" w:rsidRDefault="0033493D" w:rsidP="0033493D">
      <w:pPr>
        <w:pStyle w:val="Footnotes"/>
        <w:rPr>
          <w:rFonts w:ascii="Calibri" w:hAnsi="Calibri" w:cs="Calibri"/>
          <w:sz w:val="22"/>
          <w:szCs w:val="22"/>
        </w:rPr>
      </w:pPr>
    </w:p>
    <w:p w14:paraId="2C0CF68F" w14:textId="77777777" w:rsidR="0033493D" w:rsidRPr="00766A1F"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------1046782, Nick Prescott to </w:t>
      </w:r>
      <w:r w:rsidRPr="00E12758">
        <w:rPr>
          <w:rFonts w:ascii="Calibri" w:hAnsi="Calibri" w:cs="Calibri"/>
          <w:color w:val="000000" w:themeColor="text1"/>
          <w:sz w:val="22"/>
          <w:szCs w:val="22"/>
        </w:rPr>
        <w:t>J. Warford, 5 January 1981.</w:t>
      </w:r>
    </w:p>
    <w:p w14:paraId="085B8B44" w14:textId="77777777" w:rsidR="0033493D" w:rsidRPr="00766A1F" w:rsidRDefault="0033493D" w:rsidP="0033493D">
      <w:pPr>
        <w:pStyle w:val="FootnoteText"/>
        <w:rPr>
          <w:rFonts w:ascii="Calibri" w:hAnsi="Calibri" w:cs="Calibri"/>
          <w:color w:val="000000" w:themeColor="text1"/>
          <w:sz w:val="22"/>
          <w:szCs w:val="22"/>
        </w:rPr>
      </w:pPr>
    </w:p>
    <w:p w14:paraId="3AFA75D6" w14:textId="77777777" w:rsidR="0033493D" w:rsidRPr="00233532" w:rsidRDefault="0033493D" w:rsidP="0033493D">
      <w:pPr>
        <w:pStyle w:val="FootnoteText"/>
        <w:rPr>
          <w:rFonts w:ascii="Calibri" w:hAnsi="Calibri" w:cs="Calibri"/>
          <w:color w:val="000000" w:themeColor="text1"/>
          <w:sz w:val="22"/>
          <w:szCs w:val="22"/>
        </w:rPr>
      </w:pPr>
      <w:r w:rsidRPr="007A123B">
        <w:rPr>
          <w:rFonts w:ascii="Calibri" w:hAnsi="Calibri" w:cs="Calibri"/>
          <w:color w:val="000000" w:themeColor="text1"/>
          <w:sz w:val="22"/>
          <w:szCs w:val="22"/>
        </w:rPr>
        <w:lastRenderedPageBreak/>
        <w:t>------1082632, ‘From the president: control of oncho in Western Africa’</w:t>
      </w:r>
      <w:r w:rsidRPr="00233532">
        <w:rPr>
          <w:rFonts w:ascii="Calibri" w:hAnsi="Calibri" w:cs="Calibri"/>
          <w:color w:val="000000" w:themeColor="text1"/>
          <w:sz w:val="22"/>
          <w:szCs w:val="22"/>
        </w:rPr>
        <w:t>, 16 April 1973.</w:t>
      </w:r>
    </w:p>
    <w:p w14:paraId="35876D2E" w14:textId="77777777" w:rsidR="0033493D" w:rsidRPr="00233532" w:rsidRDefault="0033493D" w:rsidP="0033493D">
      <w:pPr>
        <w:pStyle w:val="FootnoteText"/>
        <w:rPr>
          <w:rFonts w:ascii="Calibri" w:hAnsi="Calibri" w:cs="Calibri"/>
          <w:color w:val="000000" w:themeColor="text1"/>
          <w:sz w:val="22"/>
          <w:szCs w:val="22"/>
        </w:rPr>
      </w:pPr>
    </w:p>
    <w:p w14:paraId="277460C5" w14:textId="77777777" w:rsidR="0033493D" w:rsidRPr="00233532" w:rsidRDefault="0033493D" w:rsidP="0033493D">
      <w:pPr>
        <w:rPr>
          <w:rFonts w:ascii="Calibri" w:hAnsi="Calibri" w:cs="Calibri"/>
          <w:color w:val="000000" w:themeColor="text1"/>
          <w:sz w:val="22"/>
          <w:szCs w:val="22"/>
        </w:rPr>
      </w:pPr>
      <w:r w:rsidRPr="00233532">
        <w:rPr>
          <w:rFonts w:ascii="Calibri" w:hAnsi="Calibri" w:cs="Calibri"/>
          <w:color w:val="000000" w:themeColor="text1"/>
          <w:sz w:val="22"/>
          <w:szCs w:val="22"/>
        </w:rPr>
        <w:t>------1082632, ‘Grants for Control of Onchocerciasis in West Africa, Robert S. McNamara by J. Burke Knapp’, 19 November 1978.</w:t>
      </w:r>
    </w:p>
    <w:p w14:paraId="36B11DFD" w14:textId="77777777" w:rsidR="0033493D" w:rsidRPr="00233532" w:rsidRDefault="0033493D" w:rsidP="0033493D">
      <w:pPr>
        <w:rPr>
          <w:rFonts w:ascii="Calibri" w:hAnsi="Calibri" w:cs="Calibri"/>
          <w:color w:val="000000" w:themeColor="text1"/>
          <w:sz w:val="22"/>
          <w:szCs w:val="22"/>
        </w:rPr>
      </w:pPr>
    </w:p>
    <w:p w14:paraId="43D84422"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------1082632, ‘Meeting on control of onchocerciasis in West Africa, chairman’s report of proceedings’, 11 September 1973.</w:t>
      </w:r>
    </w:p>
    <w:p w14:paraId="5ABAA24B" w14:textId="77777777" w:rsidR="0033493D" w:rsidRPr="00233532" w:rsidRDefault="0033493D" w:rsidP="0033493D">
      <w:pPr>
        <w:pStyle w:val="FootnoteText"/>
        <w:rPr>
          <w:rFonts w:ascii="Calibri" w:hAnsi="Calibri" w:cs="Calibri"/>
          <w:color w:val="000000" w:themeColor="text1"/>
          <w:sz w:val="22"/>
          <w:szCs w:val="22"/>
        </w:rPr>
      </w:pPr>
    </w:p>
    <w:p w14:paraId="44F0FE33" w14:textId="77777777" w:rsidR="0033493D" w:rsidRPr="00233532" w:rsidRDefault="0033493D" w:rsidP="0033493D">
      <w:pPr>
        <w:pStyle w:val="FootnoteText"/>
        <w:rPr>
          <w:rFonts w:ascii="Calibri" w:hAnsi="Calibri" w:cs="Calibri"/>
          <w:color w:val="000000" w:themeColor="text1"/>
          <w:sz w:val="22"/>
          <w:szCs w:val="22"/>
          <w:lang w:eastAsia="en-GB"/>
        </w:rPr>
      </w:pPr>
      <w:r w:rsidRPr="00233532">
        <w:rPr>
          <w:rFonts w:ascii="Calibri" w:hAnsi="Calibri" w:cs="Calibri"/>
          <w:color w:val="000000" w:themeColor="text1"/>
          <w:sz w:val="22"/>
          <w:szCs w:val="22"/>
        </w:rPr>
        <w:t>------</w:t>
      </w:r>
      <w:r w:rsidRPr="00233532">
        <w:rPr>
          <w:rFonts w:ascii="Calibri" w:hAnsi="Calibri" w:cs="Calibri"/>
          <w:color w:val="000000" w:themeColor="text1"/>
          <w:sz w:val="22"/>
          <w:szCs w:val="22"/>
          <w:lang w:eastAsia="en-GB"/>
        </w:rPr>
        <w:t>1082632, ‘OCP expenditures 1974-1985’, [1985].</w:t>
      </w:r>
    </w:p>
    <w:p w14:paraId="6C54B408" w14:textId="77777777" w:rsidR="0033493D" w:rsidRPr="00233532" w:rsidRDefault="0033493D" w:rsidP="0033493D">
      <w:pPr>
        <w:pStyle w:val="FootnoteText"/>
        <w:rPr>
          <w:rFonts w:ascii="Calibri" w:hAnsi="Calibri" w:cs="Calibri"/>
          <w:color w:val="000000" w:themeColor="text1"/>
          <w:sz w:val="22"/>
          <w:szCs w:val="22"/>
          <w:lang w:eastAsia="en-GB"/>
        </w:rPr>
      </w:pPr>
    </w:p>
    <w:p w14:paraId="088B7804" w14:textId="77777777" w:rsidR="0033493D" w:rsidRPr="00233532" w:rsidRDefault="0033493D" w:rsidP="0033493D">
      <w:pPr>
        <w:rPr>
          <w:rFonts w:ascii="Calibri" w:hAnsi="Calibri" w:cs="Calibri"/>
          <w:color w:val="000000" w:themeColor="text1"/>
          <w:sz w:val="22"/>
          <w:szCs w:val="22"/>
        </w:rPr>
      </w:pPr>
      <w:r w:rsidRPr="00233532">
        <w:rPr>
          <w:rFonts w:ascii="Calibri" w:hAnsi="Calibri" w:cs="Calibri"/>
          <w:color w:val="000000" w:themeColor="text1"/>
          <w:sz w:val="22"/>
          <w:szCs w:val="22"/>
        </w:rPr>
        <w:t>------1082632, ‘OCP Expenditures 1974-1985/1’, [1986].</w:t>
      </w:r>
    </w:p>
    <w:p w14:paraId="6987F483" w14:textId="77777777" w:rsidR="0033493D" w:rsidRPr="00233532" w:rsidRDefault="0033493D" w:rsidP="0033493D">
      <w:pPr>
        <w:rPr>
          <w:rFonts w:ascii="Calibri" w:hAnsi="Calibri" w:cs="Calibri"/>
          <w:color w:val="000000" w:themeColor="text1"/>
          <w:sz w:val="22"/>
          <w:szCs w:val="22"/>
        </w:rPr>
      </w:pPr>
    </w:p>
    <w:p w14:paraId="1FBC353C"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------1082632, E. Peter Wright to Robert McNamara, ‘Paris meeting on riverblindness’, 2 July 1974.</w:t>
      </w:r>
    </w:p>
    <w:p w14:paraId="12530B01" w14:textId="77777777" w:rsidR="0033493D" w:rsidRPr="003A4BF2" w:rsidRDefault="0033493D" w:rsidP="0033493D">
      <w:pPr>
        <w:pStyle w:val="Footnotes"/>
        <w:rPr>
          <w:rFonts w:ascii="Calibri" w:hAnsi="Calibri" w:cs="Calibri"/>
          <w:sz w:val="22"/>
          <w:szCs w:val="22"/>
        </w:rPr>
      </w:pPr>
    </w:p>
    <w:p w14:paraId="16D9CE6D" w14:textId="77777777" w:rsidR="0033493D" w:rsidRPr="00766A1F"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------1082632, E. Peter Wright to</w:t>
      </w:r>
      <w:r w:rsidRPr="00E12758">
        <w:rPr>
          <w:rFonts w:ascii="Calibri" w:hAnsi="Calibri" w:cs="Calibri"/>
          <w:color w:val="000000" w:themeColor="text1"/>
          <w:sz w:val="22"/>
          <w:szCs w:val="22"/>
        </w:rPr>
        <w:t xml:space="preserve"> Robert S. McNamara, ‘Abidjan meeti</w:t>
      </w:r>
      <w:r w:rsidRPr="00766A1F">
        <w:rPr>
          <w:rFonts w:ascii="Calibri" w:hAnsi="Calibri" w:cs="Calibri"/>
          <w:color w:val="000000" w:themeColor="text1"/>
          <w:sz w:val="22"/>
          <w:szCs w:val="22"/>
        </w:rPr>
        <w:t>ng on riverblindness’, 20 February 1975.</w:t>
      </w:r>
    </w:p>
    <w:p w14:paraId="3CD0F3C1" w14:textId="77777777" w:rsidR="0033493D" w:rsidRPr="007A123B" w:rsidRDefault="0033493D" w:rsidP="0033493D">
      <w:pPr>
        <w:pStyle w:val="FootnoteText"/>
        <w:rPr>
          <w:rFonts w:ascii="Calibri" w:hAnsi="Calibri" w:cs="Calibri"/>
          <w:color w:val="000000" w:themeColor="text1"/>
          <w:sz w:val="22"/>
          <w:szCs w:val="22"/>
        </w:rPr>
      </w:pPr>
    </w:p>
    <w:p w14:paraId="372409E2"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------1082632, E. Peter Wright to Robert S. McNamara, 2 October 1975.</w:t>
      </w:r>
    </w:p>
    <w:p w14:paraId="7C9BE39D" w14:textId="77777777" w:rsidR="0033493D" w:rsidRPr="00233532" w:rsidRDefault="0033493D" w:rsidP="0033493D">
      <w:pPr>
        <w:pStyle w:val="FootnoteText"/>
        <w:rPr>
          <w:rFonts w:ascii="Calibri" w:hAnsi="Calibri" w:cs="Calibri"/>
          <w:color w:val="000000" w:themeColor="text1"/>
          <w:sz w:val="22"/>
          <w:szCs w:val="22"/>
        </w:rPr>
      </w:pPr>
    </w:p>
    <w:p w14:paraId="0377E6F0"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------1082632, J. Burke Knapp to Roger Chaufournier, 14 March 1978.</w:t>
      </w:r>
    </w:p>
    <w:p w14:paraId="29E3440E" w14:textId="77777777" w:rsidR="0033493D" w:rsidRPr="00233532" w:rsidRDefault="0033493D" w:rsidP="0033493D">
      <w:pPr>
        <w:pStyle w:val="FootnoteText"/>
        <w:rPr>
          <w:rFonts w:ascii="Calibri" w:hAnsi="Calibri" w:cs="Calibri"/>
          <w:color w:val="000000" w:themeColor="text1"/>
          <w:sz w:val="22"/>
          <w:szCs w:val="22"/>
        </w:rPr>
      </w:pPr>
    </w:p>
    <w:p w14:paraId="0EB68FC7"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------1082632, Marc Candau to Robert S. McNamara, 8 August 1974.</w:t>
      </w:r>
    </w:p>
    <w:p w14:paraId="0CB66BBC" w14:textId="77777777" w:rsidR="0033493D" w:rsidRPr="00233532" w:rsidRDefault="0033493D" w:rsidP="0033493D">
      <w:pPr>
        <w:pStyle w:val="FootnoteText"/>
        <w:rPr>
          <w:rFonts w:ascii="Calibri" w:hAnsi="Calibri" w:cs="Calibri"/>
          <w:color w:val="000000" w:themeColor="text1"/>
          <w:sz w:val="22"/>
          <w:szCs w:val="22"/>
        </w:rPr>
      </w:pPr>
    </w:p>
    <w:p w14:paraId="4D4FC5BE"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------1082632, Robert McNamara to Executive Directors, ‘Allocation of FY76 IBRD net income’, 5 July 1976.</w:t>
      </w:r>
    </w:p>
    <w:p w14:paraId="0861D794" w14:textId="77777777" w:rsidR="0033493D" w:rsidRPr="00233532" w:rsidRDefault="0033493D" w:rsidP="0033493D">
      <w:pPr>
        <w:pStyle w:val="FootnoteText"/>
        <w:rPr>
          <w:rFonts w:ascii="Calibri" w:hAnsi="Calibri" w:cs="Calibri"/>
          <w:color w:val="000000" w:themeColor="text1"/>
          <w:sz w:val="22"/>
          <w:szCs w:val="22"/>
        </w:rPr>
      </w:pPr>
    </w:p>
    <w:p w14:paraId="2C97FC2B"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------1082632, Robert McNamara, ‘From the president: control of oncho in West Africa, 16 April’, 1973.</w:t>
      </w:r>
    </w:p>
    <w:p w14:paraId="5DB1C853" w14:textId="77777777" w:rsidR="0033493D" w:rsidRPr="00233532" w:rsidRDefault="0033493D" w:rsidP="0033493D">
      <w:pPr>
        <w:pStyle w:val="FootnoteText"/>
        <w:rPr>
          <w:rFonts w:ascii="Calibri" w:hAnsi="Calibri" w:cs="Calibri"/>
          <w:color w:val="000000" w:themeColor="text1"/>
          <w:sz w:val="22"/>
          <w:szCs w:val="22"/>
        </w:rPr>
      </w:pPr>
    </w:p>
    <w:p w14:paraId="085EF5AB"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------1082632, Robert McNamara, ‘From the president: grants for control of onchocerciasis in West Africa’, 12 November 1976.</w:t>
      </w:r>
    </w:p>
    <w:p w14:paraId="3E03489C" w14:textId="77777777" w:rsidR="0033493D" w:rsidRPr="00233532" w:rsidRDefault="0033493D" w:rsidP="0033493D">
      <w:pPr>
        <w:pStyle w:val="FootnoteText"/>
        <w:rPr>
          <w:rFonts w:ascii="Calibri" w:hAnsi="Calibri" w:cs="Calibri"/>
          <w:color w:val="000000" w:themeColor="text1"/>
          <w:sz w:val="22"/>
          <w:szCs w:val="22"/>
        </w:rPr>
      </w:pPr>
    </w:p>
    <w:p w14:paraId="1F0557F3"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------1082632, Roger Chaufournier to Robert McNamara through Ernest Stern, 21 September 1978.</w:t>
      </w:r>
    </w:p>
    <w:p w14:paraId="2B0BBF80" w14:textId="77777777" w:rsidR="0033493D" w:rsidRPr="00233532" w:rsidRDefault="0033493D" w:rsidP="0033493D">
      <w:pPr>
        <w:pStyle w:val="FootnoteText"/>
        <w:rPr>
          <w:rFonts w:ascii="Calibri" w:hAnsi="Calibri" w:cs="Calibri"/>
          <w:color w:val="000000" w:themeColor="text1"/>
          <w:sz w:val="22"/>
          <w:szCs w:val="22"/>
        </w:rPr>
      </w:pPr>
    </w:p>
    <w:p w14:paraId="7CBE4A24"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------1082632, Stephen Denning to Wilfried Thalwitz, ‘Onchocerciasis Control Program: meetings with donors’, 18 October 1978.</w:t>
      </w:r>
    </w:p>
    <w:p w14:paraId="2B2F5392" w14:textId="77777777" w:rsidR="0033493D" w:rsidRPr="00233532" w:rsidRDefault="0033493D" w:rsidP="0033493D">
      <w:pPr>
        <w:pStyle w:val="FootnoteText"/>
        <w:rPr>
          <w:rFonts w:ascii="Calibri" w:hAnsi="Calibri" w:cs="Calibri"/>
          <w:color w:val="000000" w:themeColor="text1"/>
          <w:sz w:val="22"/>
          <w:szCs w:val="22"/>
        </w:rPr>
      </w:pPr>
    </w:p>
    <w:p w14:paraId="51A5D1B1"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------1082688, Michael Gilette to Edward Jaycox, ‘Medium term budget framework for the West African riverblindness programme’, 3 November 1988.</w:t>
      </w:r>
    </w:p>
    <w:p w14:paraId="616A6258" w14:textId="77777777" w:rsidR="0033493D" w:rsidRPr="003A4BF2" w:rsidRDefault="0033493D" w:rsidP="0033493D">
      <w:pPr>
        <w:pStyle w:val="Footnotes"/>
        <w:rPr>
          <w:rFonts w:ascii="Calibri" w:hAnsi="Calibri" w:cs="Calibri"/>
          <w:sz w:val="22"/>
          <w:szCs w:val="22"/>
        </w:rPr>
      </w:pPr>
    </w:p>
    <w:p w14:paraId="494BAB27" w14:textId="77777777" w:rsidR="0033493D" w:rsidRPr="007A123B"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t>
      </w:r>
      <w:r w:rsidRPr="00E12758">
        <w:rPr>
          <w:rFonts w:ascii="Calibri" w:hAnsi="Calibri" w:cs="Calibri"/>
          <w:color w:val="000000" w:themeColor="text1"/>
          <w:sz w:val="22"/>
          <w:szCs w:val="22"/>
        </w:rPr>
        <w:t>--1082693, ‘Report of the prepara</w:t>
      </w:r>
      <w:r w:rsidRPr="00766A1F">
        <w:rPr>
          <w:rFonts w:ascii="Calibri" w:hAnsi="Calibri" w:cs="Calibri"/>
          <w:color w:val="000000" w:themeColor="text1"/>
          <w:sz w:val="22"/>
          <w:szCs w:val="22"/>
        </w:rPr>
        <w:t xml:space="preserve">tory assistance mission to the Volta River basin’, 1973. </w:t>
      </w:r>
    </w:p>
    <w:p w14:paraId="76F1C132" w14:textId="77777777" w:rsidR="0033493D" w:rsidRPr="00233532" w:rsidRDefault="0033493D" w:rsidP="0033493D">
      <w:pPr>
        <w:pStyle w:val="FootnoteText"/>
        <w:rPr>
          <w:rFonts w:ascii="Calibri" w:hAnsi="Calibri" w:cs="Calibri"/>
          <w:color w:val="000000" w:themeColor="text1"/>
          <w:sz w:val="22"/>
          <w:szCs w:val="22"/>
        </w:rPr>
      </w:pPr>
    </w:p>
    <w:p w14:paraId="338D86B0"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------1103166, Arlene Fonaroff to John Evans, ‘Special Programme for Reseach and Training in Tropical Diseases (TDR)’, 6 November 1979.</w:t>
      </w:r>
    </w:p>
    <w:p w14:paraId="5774DA97" w14:textId="77777777" w:rsidR="0033493D" w:rsidRPr="00233532" w:rsidRDefault="0033493D" w:rsidP="0033493D">
      <w:pPr>
        <w:pStyle w:val="FootnoteText"/>
        <w:rPr>
          <w:rFonts w:ascii="Calibri" w:hAnsi="Calibri" w:cs="Calibri"/>
          <w:color w:val="000000" w:themeColor="text1"/>
          <w:sz w:val="22"/>
          <w:szCs w:val="22"/>
        </w:rPr>
      </w:pPr>
    </w:p>
    <w:p w14:paraId="38F2A5BA"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------1103166, Robert McNamara, ‘From the president, Bank group financial support in 1979 for international agricultural research’, [1979].</w:t>
      </w:r>
    </w:p>
    <w:p w14:paraId="4FCCA65D" w14:textId="77777777" w:rsidR="0033493D" w:rsidRPr="00233532" w:rsidRDefault="0033493D" w:rsidP="0033493D">
      <w:pPr>
        <w:pStyle w:val="FootnoteText"/>
        <w:rPr>
          <w:rFonts w:ascii="Calibri" w:hAnsi="Calibri" w:cs="Calibri"/>
          <w:color w:val="000000" w:themeColor="text1"/>
          <w:sz w:val="22"/>
          <w:szCs w:val="22"/>
        </w:rPr>
      </w:pPr>
    </w:p>
    <w:p w14:paraId="791716CC"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------1103228, John Evans to Warren Baum, ‘PHN-TDR-Bank participation in JCP AR’, 11 March 1980.</w:t>
      </w:r>
    </w:p>
    <w:p w14:paraId="05D28839" w14:textId="77777777" w:rsidR="0033493D" w:rsidRPr="00233532" w:rsidRDefault="0033493D" w:rsidP="0033493D">
      <w:pPr>
        <w:pStyle w:val="FootnoteText"/>
        <w:rPr>
          <w:rFonts w:ascii="Calibri" w:hAnsi="Calibri" w:cs="Calibri"/>
          <w:color w:val="000000" w:themeColor="text1"/>
          <w:sz w:val="22"/>
          <w:szCs w:val="22"/>
        </w:rPr>
      </w:pPr>
    </w:p>
    <w:p w14:paraId="78C0ACC6" w14:textId="77777777" w:rsidR="0033493D" w:rsidRPr="00766A1F" w:rsidRDefault="0033493D" w:rsidP="0033493D">
      <w:pPr>
        <w:pStyle w:val="FootnoteText"/>
        <w:rPr>
          <w:rFonts w:ascii="Calibri" w:hAnsi="Calibri" w:cs="Calibri"/>
          <w:color w:val="000000" w:themeColor="text1"/>
          <w:sz w:val="22"/>
          <w:szCs w:val="22"/>
        </w:rPr>
      </w:pPr>
      <w:r w:rsidRPr="00E12758">
        <w:rPr>
          <w:rFonts w:ascii="Calibri" w:hAnsi="Calibri" w:cs="Calibri"/>
          <w:color w:val="000000" w:themeColor="text1"/>
          <w:sz w:val="22"/>
          <w:szCs w:val="22"/>
        </w:rPr>
        <w:t xml:space="preserve">------1103228, John Evans to Warren Baum, 11 March 1980. </w:t>
      </w:r>
    </w:p>
    <w:p w14:paraId="12B11F5E" w14:textId="77777777" w:rsidR="0033493D" w:rsidRPr="00766A1F" w:rsidRDefault="0033493D" w:rsidP="0033493D">
      <w:pPr>
        <w:pStyle w:val="FootnoteText"/>
        <w:rPr>
          <w:rFonts w:ascii="Calibri" w:hAnsi="Calibri" w:cs="Calibri"/>
          <w:color w:val="000000" w:themeColor="text1"/>
          <w:sz w:val="22"/>
          <w:szCs w:val="22"/>
        </w:rPr>
      </w:pPr>
    </w:p>
    <w:p w14:paraId="300D214E" w14:textId="77777777" w:rsidR="0033493D" w:rsidRPr="00233532" w:rsidRDefault="0033493D" w:rsidP="0033493D">
      <w:pPr>
        <w:rPr>
          <w:rFonts w:ascii="Calibri" w:hAnsi="Calibri" w:cs="Calibri"/>
          <w:color w:val="000000" w:themeColor="text1"/>
          <w:sz w:val="22"/>
          <w:szCs w:val="22"/>
        </w:rPr>
      </w:pPr>
      <w:r w:rsidRPr="007A123B">
        <w:rPr>
          <w:rFonts w:ascii="Calibri" w:hAnsi="Calibri" w:cs="Calibri"/>
          <w:color w:val="000000" w:themeColor="text1"/>
          <w:sz w:val="22"/>
          <w:szCs w:val="22"/>
        </w:rPr>
        <w:t>------1103228, ‘A proposal for a World Bank financial</w:t>
      </w:r>
      <w:r w:rsidRPr="00233532">
        <w:rPr>
          <w:rFonts w:ascii="Calibri" w:hAnsi="Calibri" w:cs="Calibri"/>
          <w:color w:val="000000" w:themeColor="text1"/>
          <w:sz w:val="22"/>
          <w:szCs w:val="22"/>
        </w:rPr>
        <w:t xml:space="preserve"> contribution to the WHO/UNDP/Bank Special Programme for Research and Training in Tropical Diseases, Draft, Afornaroff:mlo’, 23 February 1981.</w:t>
      </w:r>
    </w:p>
    <w:p w14:paraId="02C3841B" w14:textId="77777777" w:rsidR="0033493D" w:rsidRPr="00233532" w:rsidRDefault="0033493D" w:rsidP="0033493D">
      <w:pPr>
        <w:pStyle w:val="FootnoteText"/>
        <w:rPr>
          <w:rFonts w:ascii="Calibri" w:hAnsi="Calibri" w:cs="Calibri"/>
          <w:color w:val="000000" w:themeColor="text1"/>
          <w:sz w:val="22"/>
          <w:szCs w:val="22"/>
        </w:rPr>
      </w:pPr>
    </w:p>
    <w:p w14:paraId="21AFC053" w14:textId="77777777" w:rsidR="0033493D" w:rsidRPr="00233532" w:rsidRDefault="0033493D" w:rsidP="0033493D">
      <w:pPr>
        <w:rPr>
          <w:rFonts w:ascii="Calibri" w:hAnsi="Calibri" w:cs="Calibri"/>
          <w:color w:val="000000" w:themeColor="text1"/>
          <w:sz w:val="22"/>
          <w:szCs w:val="22"/>
          <w:lang w:eastAsia="en-GB"/>
        </w:rPr>
      </w:pPr>
      <w:r w:rsidRPr="00233532">
        <w:rPr>
          <w:rFonts w:ascii="Calibri" w:hAnsi="Calibri" w:cs="Calibri"/>
          <w:color w:val="000000" w:themeColor="text1"/>
          <w:sz w:val="22"/>
          <w:szCs w:val="22"/>
        </w:rPr>
        <w:t>------</w:t>
      </w:r>
      <w:r w:rsidRPr="00233532">
        <w:rPr>
          <w:rFonts w:ascii="Calibri" w:hAnsi="Calibri" w:cs="Calibri"/>
          <w:color w:val="000000" w:themeColor="text1"/>
          <w:sz w:val="22"/>
          <w:szCs w:val="22"/>
          <w:lang w:eastAsia="en-GB"/>
        </w:rPr>
        <w:t>1103301, ‘Onchocerciasis budget – set, OCP expenditures (hand-written table)’, s.d.</w:t>
      </w:r>
    </w:p>
    <w:p w14:paraId="6E71F2B0" w14:textId="77777777" w:rsidR="0033493D" w:rsidRPr="00233532" w:rsidRDefault="0033493D" w:rsidP="0033493D">
      <w:pPr>
        <w:rPr>
          <w:rFonts w:ascii="Calibri" w:hAnsi="Calibri" w:cs="Calibri"/>
          <w:color w:val="000000" w:themeColor="text1"/>
          <w:sz w:val="22"/>
          <w:szCs w:val="22"/>
          <w:lang w:eastAsia="en-GB"/>
        </w:rPr>
      </w:pPr>
    </w:p>
    <w:p w14:paraId="2478462C"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------1103301, ‘Request for supplementary budget 1987 Onchocerciasis Control Programme’, [1987].</w:t>
      </w:r>
    </w:p>
    <w:p w14:paraId="3528BFC1" w14:textId="77777777" w:rsidR="0033493D" w:rsidRPr="00233532" w:rsidRDefault="0033493D" w:rsidP="0033493D">
      <w:pPr>
        <w:pStyle w:val="FootnoteText"/>
        <w:rPr>
          <w:rFonts w:ascii="Calibri" w:hAnsi="Calibri" w:cs="Calibri"/>
          <w:color w:val="000000" w:themeColor="text1"/>
          <w:sz w:val="22"/>
          <w:szCs w:val="22"/>
        </w:rPr>
      </w:pPr>
    </w:p>
    <w:p w14:paraId="77512AAC"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------1103302, ‘Onchocerciasis chemotherapy (Bank comments) – from CSA meeting June 1982’, [June 1982].</w:t>
      </w:r>
    </w:p>
    <w:p w14:paraId="7FDF0756" w14:textId="77777777" w:rsidR="0033493D" w:rsidRPr="003A4BF2" w:rsidRDefault="0033493D" w:rsidP="0033493D">
      <w:pPr>
        <w:pStyle w:val="Footnotes"/>
        <w:rPr>
          <w:rFonts w:ascii="Calibri" w:hAnsi="Calibri" w:cs="Calibri"/>
          <w:sz w:val="22"/>
          <w:szCs w:val="22"/>
        </w:rPr>
      </w:pPr>
    </w:p>
    <w:p w14:paraId="2A295C04"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------1103302, André Prost to John Evans, Stephen Denning and J.P. Dailly, ‘Preliminary comments on Lancet’s paper [handwritten notes]’, 12 August 1982.</w:t>
      </w:r>
    </w:p>
    <w:p w14:paraId="0FBBBCFA" w14:textId="77777777" w:rsidR="0033493D" w:rsidRPr="003A4BF2" w:rsidRDefault="0033493D" w:rsidP="0033493D">
      <w:pPr>
        <w:pStyle w:val="Footnotes"/>
        <w:rPr>
          <w:rFonts w:ascii="Calibri" w:hAnsi="Calibri" w:cs="Calibri"/>
          <w:sz w:val="22"/>
          <w:szCs w:val="22"/>
        </w:rPr>
      </w:pPr>
    </w:p>
    <w:p w14:paraId="304D8D27"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------1103302, B.O.L. Duke to A.O. Lucas, ‘Outline of the filariasis SWG activities since 1976 in the search for improved chemotherapy for onchocerciasis’, 12 November 1981.</w:t>
      </w:r>
    </w:p>
    <w:p w14:paraId="2A2CCBD7" w14:textId="77777777" w:rsidR="0033493D" w:rsidRPr="003A4BF2" w:rsidRDefault="0033493D" w:rsidP="0033493D">
      <w:pPr>
        <w:pStyle w:val="Footnotes"/>
        <w:rPr>
          <w:rFonts w:ascii="Calibri" w:hAnsi="Calibri" w:cs="Calibri"/>
          <w:sz w:val="22"/>
          <w:szCs w:val="22"/>
        </w:rPr>
      </w:pPr>
    </w:p>
    <w:p w14:paraId="1394B333"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------1103302, B.O.L. Duke to J.D.M. Marr, ‘Promoting research to develop and test a new drug for treatment of onchocerciasis’, 5 November 1981.</w:t>
      </w:r>
    </w:p>
    <w:p w14:paraId="4AAB78EE" w14:textId="77777777" w:rsidR="0033493D" w:rsidRPr="003A4BF2" w:rsidRDefault="0033493D" w:rsidP="0033493D">
      <w:pPr>
        <w:pStyle w:val="Footnotes"/>
        <w:rPr>
          <w:rFonts w:ascii="Calibri" w:hAnsi="Calibri" w:cs="Calibri"/>
          <w:sz w:val="22"/>
          <w:szCs w:val="22"/>
        </w:rPr>
      </w:pPr>
    </w:p>
    <w:p w14:paraId="2F4B0E4A" w14:textId="77777777" w:rsidR="0033493D" w:rsidRPr="00766A1F"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------1103302, Handwritten notes about chemotherapy [unknown Bank author]’, </w:t>
      </w:r>
      <w:r w:rsidRPr="00E12758">
        <w:rPr>
          <w:rFonts w:ascii="Calibri" w:hAnsi="Calibri" w:cs="Calibri"/>
          <w:color w:val="000000" w:themeColor="text1"/>
          <w:sz w:val="22"/>
          <w:szCs w:val="22"/>
        </w:rPr>
        <w:t>[December 1981 or January 1982].</w:t>
      </w:r>
    </w:p>
    <w:p w14:paraId="6D6FFFD3" w14:textId="77777777" w:rsidR="0033493D" w:rsidRPr="00766A1F" w:rsidRDefault="0033493D" w:rsidP="0033493D">
      <w:pPr>
        <w:pStyle w:val="FootnoteText"/>
        <w:rPr>
          <w:rFonts w:ascii="Calibri" w:hAnsi="Calibri" w:cs="Calibri"/>
          <w:color w:val="000000" w:themeColor="text1"/>
          <w:sz w:val="22"/>
          <w:szCs w:val="22"/>
        </w:rPr>
      </w:pPr>
    </w:p>
    <w:p w14:paraId="7CB644C6"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------1103302, John Evans to Warren Baum, ‘Back-to-office report: oncho chemo dev, Geneva’, 29 June 1982.</w:t>
      </w:r>
    </w:p>
    <w:p w14:paraId="77795B55" w14:textId="77777777" w:rsidR="0033493D" w:rsidRPr="003A4BF2" w:rsidRDefault="0033493D" w:rsidP="0033493D">
      <w:pPr>
        <w:pStyle w:val="Footnotes"/>
        <w:rPr>
          <w:rFonts w:ascii="Calibri" w:hAnsi="Calibri" w:cs="Calibri"/>
          <w:sz w:val="22"/>
          <w:szCs w:val="22"/>
        </w:rPr>
      </w:pPr>
    </w:p>
    <w:p w14:paraId="05B1D261" w14:textId="77777777" w:rsidR="0033493D" w:rsidRPr="007A123B"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------1103302, </w:t>
      </w:r>
      <w:r w:rsidRPr="00E12758">
        <w:rPr>
          <w:rFonts w:ascii="Calibri" w:hAnsi="Calibri" w:cs="Calibri"/>
          <w:color w:val="000000" w:themeColor="text1"/>
          <w:sz w:val="22"/>
          <w:szCs w:val="22"/>
        </w:rPr>
        <w:t>Stephen Denning to Bils</w:t>
      </w:r>
      <w:r w:rsidRPr="00766A1F">
        <w:rPr>
          <w:rFonts w:ascii="Calibri" w:hAnsi="Calibri" w:cs="Calibri"/>
          <w:color w:val="000000" w:themeColor="text1"/>
          <w:sz w:val="22"/>
          <w:szCs w:val="22"/>
        </w:rPr>
        <w:t xml:space="preserve">el Alisbah, ‘Work implications of the Onchocerciasis Control Programme (OCP)’, 26 May 1982. </w:t>
      </w:r>
    </w:p>
    <w:p w14:paraId="11E08884" w14:textId="77777777" w:rsidR="0033493D" w:rsidRPr="007A123B" w:rsidRDefault="0033493D" w:rsidP="0033493D">
      <w:pPr>
        <w:pStyle w:val="FootnoteText"/>
        <w:rPr>
          <w:rFonts w:ascii="Calibri" w:hAnsi="Calibri" w:cs="Calibri"/>
          <w:color w:val="000000" w:themeColor="text1"/>
          <w:sz w:val="22"/>
          <w:szCs w:val="22"/>
        </w:rPr>
      </w:pPr>
    </w:p>
    <w:p w14:paraId="6DE1E90C"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------1103428, John R. Evans to Files, ‘Visit to London July 8, 1980 – back-to-office Report’, 31 July 1980.</w:t>
      </w:r>
    </w:p>
    <w:p w14:paraId="0EB65AF0" w14:textId="77777777" w:rsidR="0033493D" w:rsidRPr="00233532" w:rsidRDefault="0033493D" w:rsidP="0033493D">
      <w:pPr>
        <w:pStyle w:val="FootnoteText"/>
        <w:rPr>
          <w:rFonts w:ascii="Calibri" w:hAnsi="Calibri" w:cs="Calibri"/>
          <w:color w:val="000000" w:themeColor="text1"/>
          <w:sz w:val="22"/>
          <w:szCs w:val="22"/>
        </w:rPr>
      </w:pPr>
    </w:p>
    <w:p w14:paraId="04CB5A1F"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------1170231, ‘Reporting on preliminary mission to countries concerned with the onchocerciasis projects’, June 1975.</w:t>
      </w:r>
    </w:p>
    <w:p w14:paraId="084CFBD5" w14:textId="77777777" w:rsidR="0033493D" w:rsidRPr="00233532" w:rsidRDefault="0033493D" w:rsidP="0033493D">
      <w:pPr>
        <w:pStyle w:val="FootnoteText"/>
        <w:rPr>
          <w:rFonts w:ascii="Calibri" w:hAnsi="Calibri" w:cs="Calibri"/>
          <w:color w:val="000000" w:themeColor="text1"/>
          <w:sz w:val="22"/>
          <w:szCs w:val="22"/>
        </w:rPr>
      </w:pPr>
    </w:p>
    <w:p w14:paraId="0C65C012"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------1170231, E. Peter Wright to Paul-Marc Henry, 14 January 1976.</w:t>
      </w:r>
    </w:p>
    <w:p w14:paraId="36863407" w14:textId="77777777" w:rsidR="0033493D" w:rsidRPr="00233532" w:rsidRDefault="0033493D" w:rsidP="0033493D">
      <w:pPr>
        <w:pStyle w:val="FootnoteText"/>
        <w:rPr>
          <w:rFonts w:ascii="Calibri" w:hAnsi="Calibri" w:cs="Calibri"/>
          <w:color w:val="000000" w:themeColor="text1"/>
          <w:sz w:val="22"/>
          <w:szCs w:val="22"/>
        </w:rPr>
      </w:pPr>
    </w:p>
    <w:p w14:paraId="5586C0F1"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------1170231, FAO Agricultural Services Division, ‘An introduction to socio-economic development planning and technical assistance to the onchocerciasis freed zones of the Volta River basin area (OCP)’, May 1976.</w:t>
      </w:r>
    </w:p>
    <w:p w14:paraId="2DA4B392" w14:textId="77777777" w:rsidR="0033493D" w:rsidRPr="00233532" w:rsidRDefault="0033493D" w:rsidP="0033493D">
      <w:pPr>
        <w:pStyle w:val="FootnoteText"/>
        <w:rPr>
          <w:rFonts w:ascii="Calibri" w:hAnsi="Calibri" w:cs="Calibri"/>
          <w:color w:val="000000" w:themeColor="text1"/>
          <w:sz w:val="22"/>
          <w:szCs w:val="22"/>
        </w:rPr>
      </w:pPr>
    </w:p>
    <w:p w14:paraId="2289AF99"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lastRenderedPageBreak/>
        <w:t>------1170231, Robert Smith, ‘Report on visit to Onchocerciasis Control Programme, West Africa, March 30-April 11, 1976’, April 1976.</w:t>
      </w:r>
    </w:p>
    <w:p w14:paraId="172245F8" w14:textId="77777777" w:rsidR="0033493D" w:rsidRPr="00233532" w:rsidRDefault="0033493D" w:rsidP="0033493D">
      <w:pPr>
        <w:pStyle w:val="FootnoteText"/>
        <w:rPr>
          <w:rFonts w:ascii="Calibri" w:hAnsi="Calibri" w:cs="Calibri"/>
          <w:color w:val="000000" w:themeColor="text1"/>
          <w:sz w:val="22"/>
          <w:szCs w:val="22"/>
        </w:rPr>
      </w:pPr>
    </w:p>
    <w:p w14:paraId="18E2F637"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------1300642, ‘Aide Memoire on Italian participation to OCP fund [handwritten]’ [1982].</w:t>
      </w:r>
    </w:p>
    <w:p w14:paraId="560C5B85" w14:textId="77777777" w:rsidR="0033493D" w:rsidRPr="00233532" w:rsidRDefault="0033493D" w:rsidP="0033493D">
      <w:pPr>
        <w:pStyle w:val="FootnoteText"/>
        <w:rPr>
          <w:rFonts w:ascii="Calibri" w:hAnsi="Calibri" w:cs="Calibri"/>
          <w:color w:val="000000" w:themeColor="text1"/>
          <w:sz w:val="22"/>
          <w:szCs w:val="22"/>
        </w:rPr>
      </w:pPr>
    </w:p>
    <w:p w14:paraId="331FD85B"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------1300642, ‘Bank’s strategy for the Onchocerciasis Control Programme during phase II (1980-1985)’, 30 November 1982.</w:t>
      </w:r>
    </w:p>
    <w:p w14:paraId="67BBE922" w14:textId="77777777" w:rsidR="0033493D" w:rsidRPr="003A4BF2" w:rsidRDefault="0033493D" w:rsidP="0033493D">
      <w:pPr>
        <w:pStyle w:val="Footnotes"/>
        <w:rPr>
          <w:rFonts w:ascii="Calibri" w:hAnsi="Calibri" w:cs="Calibri"/>
          <w:sz w:val="22"/>
          <w:szCs w:val="22"/>
        </w:rPr>
      </w:pPr>
    </w:p>
    <w:p w14:paraId="2EEBA188" w14:textId="77777777" w:rsidR="0033493D" w:rsidRPr="007A123B"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t>
      </w:r>
      <w:r w:rsidRPr="00E12758">
        <w:rPr>
          <w:rFonts w:ascii="Calibri" w:hAnsi="Calibri" w:cs="Calibri"/>
          <w:color w:val="000000" w:themeColor="text1"/>
          <w:sz w:val="22"/>
          <w:szCs w:val="22"/>
        </w:rPr>
        <w:t>13006</w:t>
      </w:r>
      <w:r w:rsidRPr="00766A1F">
        <w:rPr>
          <w:rFonts w:ascii="Calibri" w:hAnsi="Calibri" w:cs="Calibri"/>
          <w:color w:val="000000" w:themeColor="text1"/>
          <w:sz w:val="22"/>
          <w:szCs w:val="22"/>
        </w:rPr>
        <w:t>42, ‘General overview of financial ar</w:t>
      </w:r>
      <w:r w:rsidRPr="007A123B">
        <w:rPr>
          <w:rFonts w:ascii="Calibri" w:hAnsi="Calibri" w:cs="Calibri"/>
          <w:color w:val="000000" w:themeColor="text1"/>
          <w:sz w:val="22"/>
          <w:szCs w:val="22"/>
        </w:rPr>
        <w:t>rangements’, [1982].</w:t>
      </w:r>
    </w:p>
    <w:p w14:paraId="20A0B2A1" w14:textId="77777777" w:rsidR="0033493D" w:rsidRPr="00233532" w:rsidRDefault="0033493D" w:rsidP="0033493D">
      <w:pPr>
        <w:pStyle w:val="FootnoteText"/>
        <w:rPr>
          <w:rFonts w:ascii="Calibri" w:hAnsi="Calibri" w:cs="Calibri"/>
          <w:color w:val="000000" w:themeColor="text1"/>
          <w:sz w:val="22"/>
          <w:szCs w:val="22"/>
        </w:rPr>
      </w:pPr>
    </w:p>
    <w:p w14:paraId="4FF18442" w14:textId="77777777" w:rsidR="0033493D" w:rsidRPr="00233532" w:rsidRDefault="0033493D" w:rsidP="0033493D">
      <w:pPr>
        <w:rPr>
          <w:rFonts w:ascii="Calibri" w:hAnsi="Calibri" w:cs="Calibri"/>
          <w:color w:val="000000" w:themeColor="text1"/>
          <w:sz w:val="22"/>
          <w:szCs w:val="22"/>
          <w:lang w:eastAsia="en-GB"/>
        </w:rPr>
      </w:pPr>
      <w:r w:rsidRPr="00233532">
        <w:rPr>
          <w:rFonts w:ascii="Calibri" w:hAnsi="Calibri" w:cs="Calibri"/>
          <w:color w:val="000000" w:themeColor="text1"/>
          <w:sz w:val="22"/>
          <w:szCs w:val="22"/>
        </w:rPr>
        <w:t>------</w:t>
      </w:r>
      <w:r w:rsidRPr="00233532">
        <w:rPr>
          <w:rFonts w:ascii="Calibri" w:hAnsi="Calibri" w:cs="Calibri"/>
          <w:color w:val="000000" w:themeColor="text1"/>
          <w:sz w:val="22"/>
          <w:szCs w:val="22"/>
          <w:lang w:eastAsia="en-GB"/>
        </w:rPr>
        <w:t>1300642, ‘International Bank for Reconstruction and Development as administrator for a special account for control of onchocerciasis in Western Africa – phase II statement of receipts and disbursements inception to December 31 1981’, 1982.</w:t>
      </w:r>
    </w:p>
    <w:p w14:paraId="7F6BB389" w14:textId="77777777" w:rsidR="0033493D" w:rsidRPr="00233532" w:rsidRDefault="0033493D" w:rsidP="0033493D">
      <w:pPr>
        <w:rPr>
          <w:rFonts w:ascii="Calibri" w:hAnsi="Calibri" w:cs="Calibri"/>
          <w:color w:val="000000" w:themeColor="text1"/>
          <w:sz w:val="22"/>
          <w:szCs w:val="22"/>
          <w:lang w:eastAsia="en-GB"/>
        </w:rPr>
      </w:pPr>
    </w:p>
    <w:p w14:paraId="61D38D9F" w14:textId="77777777" w:rsidR="0033493D" w:rsidRPr="00233532" w:rsidRDefault="0033493D" w:rsidP="0033493D">
      <w:pPr>
        <w:rPr>
          <w:rFonts w:ascii="Calibri" w:hAnsi="Calibri" w:cs="Calibri"/>
          <w:color w:val="000000" w:themeColor="text1"/>
          <w:sz w:val="22"/>
          <w:szCs w:val="22"/>
          <w:lang w:eastAsia="en-GB"/>
        </w:rPr>
      </w:pPr>
      <w:r w:rsidRPr="00233532">
        <w:rPr>
          <w:rFonts w:ascii="Calibri" w:hAnsi="Calibri" w:cs="Calibri"/>
          <w:color w:val="000000" w:themeColor="text1"/>
          <w:sz w:val="22"/>
          <w:szCs w:val="22"/>
        </w:rPr>
        <w:t>------</w:t>
      </w:r>
      <w:r w:rsidRPr="00233532">
        <w:rPr>
          <w:rFonts w:ascii="Calibri" w:hAnsi="Calibri" w:cs="Calibri"/>
          <w:color w:val="000000" w:themeColor="text1"/>
          <w:sz w:val="22"/>
          <w:szCs w:val="22"/>
          <w:lang w:eastAsia="en-GB"/>
        </w:rPr>
        <w:t>1300642, ‘Onchocerciasis control in the Volta basin area cumulative statement of income and obligations 1974/10 June 1982 (expressed in US dollars)’, 1982.</w:t>
      </w:r>
    </w:p>
    <w:p w14:paraId="0BECFA89" w14:textId="77777777" w:rsidR="0033493D" w:rsidRPr="00233532" w:rsidRDefault="0033493D" w:rsidP="0033493D">
      <w:pPr>
        <w:rPr>
          <w:rFonts w:ascii="Calibri" w:hAnsi="Calibri" w:cs="Calibri"/>
          <w:color w:val="000000" w:themeColor="text1"/>
          <w:sz w:val="22"/>
          <w:szCs w:val="22"/>
          <w:lang w:eastAsia="en-GB"/>
        </w:rPr>
      </w:pPr>
    </w:p>
    <w:p w14:paraId="1D541138" w14:textId="77777777" w:rsidR="0033493D" w:rsidRPr="00233532" w:rsidRDefault="0033493D" w:rsidP="0033493D">
      <w:pPr>
        <w:rPr>
          <w:rFonts w:ascii="Calibri" w:hAnsi="Calibri" w:cs="Calibri"/>
          <w:color w:val="000000" w:themeColor="text1"/>
          <w:sz w:val="22"/>
          <w:szCs w:val="22"/>
          <w:lang w:eastAsia="en-GB"/>
        </w:rPr>
      </w:pPr>
      <w:r w:rsidRPr="00233532">
        <w:rPr>
          <w:rFonts w:ascii="Calibri" w:hAnsi="Calibri" w:cs="Calibri"/>
          <w:color w:val="000000" w:themeColor="text1"/>
          <w:sz w:val="22"/>
          <w:szCs w:val="22"/>
        </w:rPr>
        <w:t>------</w:t>
      </w:r>
      <w:r w:rsidRPr="00233532">
        <w:rPr>
          <w:rFonts w:ascii="Calibri" w:hAnsi="Calibri" w:cs="Calibri"/>
          <w:color w:val="000000" w:themeColor="text1"/>
          <w:sz w:val="22"/>
          <w:szCs w:val="22"/>
          <w:lang w:eastAsia="en-GB"/>
        </w:rPr>
        <w:t>1300642, ‘Onchocerciasis Fund (1974-1985), statement of receipts and disbursements cash basis (US$ millions)’, 3 December 1982.</w:t>
      </w:r>
    </w:p>
    <w:p w14:paraId="3D2554B4" w14:textId="77777777" w:rsidR="0033493D" w:rsidRPr="00233532" w:rsidRDefault="0033493D" w:rsidP="0033493D">
      <w:pPr>
        <w:rPr>
          <w:rFonts w:ascii="Calibri" w:hAnsi="Calibri" w:cs="Calibri"/>
          <w:color w:val="000000" w:themeColor="text1"/>
          <w:sz w:val="22"/>
          <w:szCs w:val="22"/>
          <w:lang w:eastAsia="en-GB"/>
        </w:rPr>
      </w:pPr>
    </w:p>
    <w:p w14:paraId="5C2F628B"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------1300642, A. David Knox to Ernest Stern, ‘Bank’s strategy for the riverblindness program’, 1 December 1982.</w:t>
      </w:r>
    </w:p>
    <w:p w14:paraId="20E45094" w14:textId="77777777" w:rsidR="0033493D" w:rsidRPr="00233532" w:rsidRDefault="0033493D" w:rsidP="0033493D">
      <w:pPr>
        <w:pStyle w:val="FootnoteText"/>
        <w:rPr>
          <w:rFonts w:ascii="Calibri" w:hAnsi="Calibri" w:cs="Calibri"/>
          <w:color w:val="000000" w:themeColor="text1"/>
          <w:sz w:val="22"/>
          <w:szCs w:val="22"/>
        </w:rPr>
      </w:pPr>
    </w:p>
    <w:p w14:paraId="71F40EAF"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------1300642, Bilsel Alisbah to A. Sani El Darwish, ‘Onchocerciasis Control Programme: meeting of Joint Programme Committee’, 15 December 1981.</w:t>
      </w:r>
    </w:p>
    <w:p w14:paraId="3AE4565F" w14:textId="77777777" w:rsidR="0033493D" w:rsidRPr="003A4BF2" w:rsidRDefault="0033493D" w:rsidP="0033493D">
      <w:pPr>
        <w:pStyle w:val="Footnotes"/>
        <w:rPr>
          <w:rFonts w:ascii="Calibri" w:hAnsi="Calibri" w:cs="Calibri"/>
          <w:sz w:val="22"/>
          <w:szCs w:val="22"/>
        </w:rPr>
      </w:pPr>
    </w:p>
    <w:p w14:paraId="64D24BA8" w14:textId="77777777" w:rsidR="0033493D" w:rsidRPr="007A123B"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t>
      </w:r>
      <w:r w:rsidRPr="00E12758">
        <w:rPr>
          <w:rFonts w:ascii="Calibri" w:hAnsi="Calibri" w:cs="Calibri"/>
          <w:color w:val="000000" w:themeColor="text1"/>
          <w:sz w:val="22"/>
          <w:szCs w:val="22"/>
        </w:rPr>
        <w:t xml:space="preserve">1300642, Bilsel Alisbah to Ernest </w:t>
      </w:r>
      <w:r w:rsidRPr="00766A1F">
        <w:rPr>
          <w:rFonts w:ascii="Calibri" w:hAnsi="Calibri" w:cs="Calibri"/>
          <w:color w:val="000000" w:themeColor="text1"/>
          <w:sz w:val="22"/>
          <w:szCs w:val="22"/>
        </w:rPr>
        <w:t>Stern through A. David Knox, ‘Saudi funding for Onchocerciasis Control Programme’, 21 January 1982.</w:t>
      </w:r>
    </w:p>
    <w:p w14:paraId="72AD615E" w14:textId="77777777" w:rsidR="0033493D" w:rsidRPr="00233532" w:rsidRDefault="0033493D" w:rsidP="0033493D">
      <w:pPr>
        <w:pStyle w:val="FootnoteText"/>
        <w:rPr>
          <w:rFonts w:ascii="Calibri" w:hAnsi="Calibri" w:cs="Calibri"/>
          <w:color w:val="000000" w:themeColor="text1"/>
          <w:sz w:val="22"/>
          <w:szCs w:val="22"/>
        </w:rPr>
      </w:pPr>
    </w:p>
    <w:p w14:paraId="007D3E3A"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------1300642, Guiseppe Pennisi to Bilsel Alisbah, ‘Onchocerciasis – Italian contribution’, 26 May 1982. </w:t>
      </w:r>
    </w:p>
    <w:p w14:paraId="5FC8D9E9" w14:textId="77777777" w:rsidR="0033493D" w:rsidRPr="00233532" w:rsidRDefault="0033493D" w:rsidP="0033493D">
      <w:pPr>
        <w:pStyle w:val="FootnoteText"/>
        <w:rPr>
          <w:rFonts w:ascii="Calibri" w:hAnsi="Calibri" w:cs="Calibri"/>
          <w:color w:val="000000" w:themeColor="text1"/>
          <w:sz w:val="22"/>
          <w:szCs w:val="22"/>
        </w:rPr>
      </w:pPr>
    </w:p>
    <w:p w14:paraId="375CAB3E"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------1300642, J.P. Dailly to A. Moqui, 13 July 1982.</w:t>
      </w:r>
    </w:p>
    <w:p w14:paraId="79224888" w14:textId="77777777" w:rsidR="0033493D" w:rsidRPr="00233532" w:rsidRDefault="0033493D" w:rsidP="0033493D">
      <w:pPr>
        <w:pStyle w:val="FootnoteText"/>
        <w:rPr>
          <w:rFonts w:ascii="Calibri" w:hAnsi="Calibri" w:cs="Calibri"/>
          <w:color w:val="000000" w:themeColor="text1"/>
          <w:sz w:val="22"/>
          <w:szCs w:val="22"/>
        </w:rPr>
      </w:pPr>
    </w:p>
    <w:p w14:paraId="33456F89"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------1300642, J.P. Dailly to Stanislas Kpognon, ‘Onchocerciasis brief: achievements and extra funding needs’, 2 September 1982.</w:t>
      </w:r>
    </w:p>
    <w:p w14:paraId="09D4A46D" w14:textId="77777777" w:rsidR="0033493D" w:rsidRPr="003A4BF2" w:rsidRDefault="0033493D" w:rsidP="0033493D">
      <w:pPr>
        <w:pStyle w:val="Footnotes"/>
        <w:rPr>
          <w:rFonts w:ascii="Calibri" w:hAnsi="Calibri" w:cs="Calibri"/>
          <w:sz w:val="22"/>
          <w:szCs w:val="22"/>
        </w:rPr>
      </w:pPr>
    </w:p>
    <w:p w14:paraId="3DB4B247"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------1300644, P.L. Arens to T.S.B. Aribisala, ‘Comments on Onchocerciasis Control Programme’, 12 September 1978.</w:t>
      </w:r>
    </w:p>
    <w:p w14:paraId="58282EF9" w14:textId="77777777" w:rsidR="0033493D" w:rsidRPr="003A4BF2" w:rsidRDefault="0033493D" w:rsidP="0033493D">
      <w:pPr>
        <w:pStyle w:val="Footnotes"/>
        <w:rPr>
          <w:rFonts w:ascii="Calibri" w:hAnsi="Calibri" w:cs="Calibri"/>
          <w:sz w:val="22"/>
          <w:szCs w:val="22"/>
        </w:rPr>
      </w:pPr>
    </w:p>
    <w:p w14:paraId="189EF6DA" w14:textId="77777777" w:rsidR="0033493D" w:rsidRPr="007A123B"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t>
      </w:r>
      <w:r w:rsidRPr="00E12758">
        <w:rPr>
          <w:rFonts w:ascii="Calibri" w:hAnsi="Calibri" w:cs="Calibri"/>
          <w:color w:val="000000" w:themeColor="text1"/>
          <w:sz w:val="22"/>
          <w:szCs w:val="22"/>
        </w:rPr>
        <w:t>--</w:t>
      </w:r>
      <w:r w:rsidRPr="00766A1F">
        <w:rPr>
          <w:rFonts w:ascii="Calibri" w:hAnsi="Calibri" w:cs="Calibri"/>
          <w:color w:val="000000" w:themeColor="text1"/>
          <w:sz w:val="22"/>
          <w:szCs w:val="22"/>
        </w:rPr>
        <w:t>1300644, Robert Smith, ‘Comments on aspects of land settlement in areas freed from onchocerciasis’, April 1976.</w:t>
      </w:r>
    </w:p>
    <w:p w14:paraId="2570CE5B" w14:textId="77777777" w:rsidR="0033493D" w:rsidRPr="00233532" w:rsidRDefault="0033493D" w:rsidP="0033493D">
      <w:pPr>
        <w:pStyle w:val="FootnoteText"/>
        <w:rPr>
          <w:rFonts w:ascii="Calibri" w:hAnsi="Calibri" w:cs="Calibri"/>
          <w:color w:val="000000" w:themeColor="text1"/>
          <w:sz w:val="22"/>
          <w:szCs w:val="22"/>
        </w:rPr>
      </w:pPr>
    </w:p>
    <w:p w14:paraId="73A945A2"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------1300644, Stephen Denning to Luis de Azcarate, ‘Oncho – Professor Berg’s report; first draft’, 21 June 1978.</w:t>
      </w:r>
    </w:p>
    <w:p w14:paraId="3FE14A1E" w14:textId="77777777" w:rsidR="0033493D" w:rsidRPr="00233532" w:rsidRDefault="0033493D" w:rsidP="0033493D">
      <w:pPr>
        <w:pStyle w:val="FootnoteText"/>
        <w:rPr>
          <w:rFonts w:ascii="Calibri" w:hAnsi="Calibri" w:cs="Calibri"/>
          <w:color w:val="000000" w:themeColor="text1"/>
          <w:sz w:val="22"/>
          <w:szCs w:val="22"/>
        </w:rPr>
      </w:pPr>
    </w:p>
    <w:p w14:paraId="40E53AE3"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------1300644, Stephen Denning, ‘Back-to-office report’, 18 July 1975. </w:t>
      </w:r>
    </w:p>
    <w:p w14:paraId="3510F613" w14:textId="77777777" w:rsidR="0033493D" w:rsidRPr="00233532" w:rsidRDefault="0033493D" w:rsidP="0033493D">
      <w:pPr>
        <w:pStyle w:val="FootnoteText"/>
        <w:rPr>
          <w:rFonts w:ascii="Calibri" w:hAnsi="Calibri" w:cs="Calibri"/>
          <w:color w:val="000000" w:themeColor="text1"/>
          <w:sz w:val="22"/>
          <w:szCs w:val="22"/>
        </w:rPr>
      </w:pPr>
    </w:p>
    <w:p w14:paraId="66BD080C" w14:textId="77777777" w:rsidR="0033493D" w:rsidRPr="00233532" w:rsidRDefault="0033493D" w:rsidP="0033493D">
      <w:pPr>
        <w:rPr>
          <w:rFonts w:ascii="Calibri" w:hAnsi="Calibri" w:cs="Calibri"/>
          <w:color w:val="000000" w:themeColor="text1"/>
          <w:sz w:val="22"/>
          <w:szCs w:val="22"/>
          <w:lang w:eastAsia="en-GB"/>
        </w:rPr>
      </w:pPr>
      <w:r w:rsidRPr="00233532">
        <w:rPr>
          <w:rFonts w:ascii="Calibri" w:hAnsi="Calibri" w:cs="Calibri"/>
          <w:color w:val="000000" w:themeColor="text1"/>
          <w:sz w:val="22"/>
          <w:szCs w:val="22"/>
        </w:rPr>
        <w:lastRenderedPageBreak/>
        <w:t>------</w:t>
      </w:r>
      <w:r w:rsidRPr="00233532">
        <w:rPr>
          <w:rFonts w:ascii="Calibri" w:hAnsi="Calibri" w:cs="Calibri"/>
          <w:color w:val="000000" w:themeColor="text1"/>
          <w:sz w:val="22"/>
          <w:szCs w:val="22"/>
          <w:lang w:eastAsia="en-GB"/>
        </w:rPr>
        <w:t>1300652, ‘Progress report 1997, Onchocerciasis Fund 1974-1979, US$ millions, receipts’, 1980.</w:t>
      </w:r>
    </w:p>
    <w:p w14:paraId="7CEAA9B2" w14:textId="77777777" w:rsidR="0033493D" w:rsidRPr="00233532" w:rsidRDefault="0033493D" w:rsidP="0033493D">
      <w:pPr>
        <w:rPr>
          <w:rFonts w:ascii="Calibri" w:hAnsi="Calibri" w:cs="Calibri"/>
          <w:color w:val="000000" w:themeColor="text1"/>
          <w:sz w:val="22"/>
          <w:szCs w:val="22"/>
          <w:lang w:eastAsia="en-GB"/>
        </w:rPr>
      </w:pPr>
    </w:p>
    <w:p w14:paraId="517CFCBC"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------1300655, ‘National onchocerciasis committees, seventh meeting, Lome, 7-9 June 1983 - the process of devolution of OCP’s activities to the national systems of the countries’, 1983.</w:t>
      </w:r>
    </w:p>
    <w:p w14:paraId="42F8A7DE" w14:textId="77777777" w:rsidR="0033493D" w:rsidRPr="003A4BF2" w:rsidRDefault="0033493D" w:rsidP="0033493D">
      <w:pPr>
        <w:pStyle w:val="Footnotes"/>
        <w:rPr>
          <w:rFonts w:ascii="Calibri" w:hAnsi="Calibri" w:cs="Calibri"/>
          <w:sz w:val="22"/>
          <w:szCs w:val="22"/>
        </w:rPr>
      </w:pPr>
    </w:p>
    <w:p w14:paraId="584CB4E2"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------1300656, ‘Oncho WHO working group of NE on devolution – SR’, April 1984.</w:t>
      </w:r>
    </w:p>
    <w:p w14:paraId="11C415A6" w14:textId="77777777" w:rsidR="0033493D" w:rsidRPr="003A4BF2" w:rsidRDefault="0033493D" w:rsidP="0033493D">
      <w:pPr>
        <w:pStyle w:val="Footnotes"/>
        <w:rPr>
          <w:rFonts w:ascii="Calibri" w:hAnsi="Calibri" w:cs="Calibri"/>
          <w:sz w:val="22"/>
          <w:szCs w:val="22"/>
        </w:rPr>
      </w:pPr>
    </w:p>
    <w:p w14:paraId="2A7F4916" w14:textId="77777777" w:rsidR="0033493D" w:rsidRPr="00766A1F" w:rsidRDefault="0033493D" w:rsidP="0033493D">
      <w:pPr>
        <w:rPr>
          <w:rFonts w:ascii="Calibri" w:hAnsi="Calibri" w:cs="Calibri"/>
          <w:color w:val="000000" w:themeColor="text1"/>
          <w:sz w:val="22"/>
          <w:szCs w:val="22"/>
        </w:rPr>
      </w:pPr>
      <w:r w:rsidRPr="00233532">
        <w:rPr>
          <w:rFonts w:ascii="Calibri" w:hAnsi="Calibri" w:cs="Calibri"/>
          <w:color w:val="000000" w:themeColor="text1"/>
          <w:sz w:val="22"/>
          <w:szCs w:val="22"/>
        </w:rPr>
        <w:t>------1300656, ‘WHO working group of national experts on devolution, third meeting, Ouagadougou –</w:t>
      </w:r>
      <w:r w:rsidRPr="00E12758">
        <w:rPr>
          <w:rFonts w:ascii="Calibri" w:hAnsi="Calibri" w:cs="Calibri"/>
          <w:color w:val="000000" w:themeColor="text1"/>
          <w:sz w:val="22"/>
          <w:szCs w:val="22"/>
        </w:rPr>
        <w:t xml:space="preserve"> synthesis report’, 24-26 April 198</w:t>
      </w:r>
      <w:r w:rsidRPr="00766A1F">
        <w:rPr>
          <w:rFonts w:ascii="Calibri" w:hAnsi="Calibri" w:cs="Calibri"/>
          <w:color w:val="000000" w:themeColor="text1"/>
          <w:sz w:val="22"/>
          <w:szCs w:val="22"/>
        </w:rPr>
        <w:t>4, Annex I.</w:t>
      </w:r>
    </w:p>
    <w:p w14:paraId="7023AB47" w14:textId="77777777" w:rsidR="0033493D" w:rsidRPr="003A4BF2" w:rsidRDefault="0033493D" w:rsidP="0033493D">
      <w:pPr>
        <w:pStyle w:val="Footnotes"/>
        <w:rPr>
          <w:rFonts w:ascii="Calibri" w:hAnsi="Calibri" w:cs="Calibri"/>
          <w:sz w:val="22"/>
          <w:szCs w:val="22"/>
        </w:rPr>
      </w:pPr>
    </w:p>
    <w:p w14:paraId="236EBE47" w14:textId="77777777" w:rsidR="0033493D" w:rsidRPr="00766A1F"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t>
      </w:r>
      <w:r w:rsidRPr="00E12758">
        <w:rPr>
          <w:rFonts w:ascii="Calibri" w:hAnsi="Calibri" w:cs="Calibri"/>
          <w:color w:val="000000" w:themeColor="text1"/>
          <w:sz w:val="22"/>
          <w:szCs w:val="22"/>
        </w:rPr>
        <w:t>1300662, ‘Onchocerciasis, the economics of the eradication program</w:t>
      </w:r>
      <w:r w:rsidRPr="00766A1F">
        <w:rPr>
          <w:rFonts w:ascii="Calibri" w:hAnsi="Calibri" w:cs="Calibri"/>
          <w:color w:val="000000" w:themeColor="text1"/>
          <w:sz w:val="22"/>
          <w:szCs w:val="22"/>
        </w:rPr>
        <w:t xml:space="preserve">’, [1974]. </w:t>
      </w:r>
    </w:p>
    <w:p w14:paraId="6A866A74" w14:textId="77777777" w:rsidR="0033493D" w:rsidRPr="003A4BF2" w:rsidRDefault="0033493D" w:rsidP="0033493D">
      <w:pPr>
        <w:rPr>
          <w:rFonts w:ascii="Calibri" w:hAnsi="Calibri" w:cs="Calibri"/>
          <w:color w:val="000000" w:themeColor="text1"/>
          <w:sz w:val="22"/>
          <w:szCs w:val="22"/>
        </w:rPr>
      </w:pPr>
    </w:p>
    <w:p w14:paraId="41AEDAFA" w14:textId="77777777" w:rsidR="0033493D" w:rsidRPr="00233532" w:rsidRDefault="0033493D" w:rsidP="0033493D">
      <w:pPr>
        <w:rPr>
          <w:rFonts w:ascii="Calibri" w:hAnsi="Calibri" w:cs="Calibri"/>
          <w:color w:val="000000" w:themeColor="text1"/>
          <w:sz w:val="22"/>
          <w:szCs w:val="22"/>
        </w:rPr>
      </w:pPr>
      <w:r w:rsidRPr="00233532">
        <w:rPr>
          <w:rFonts w:ascii="Calibri" w:hAnsi="Calibri" w:cs="Calibri"/>
          <w:color w:val="000000" w:themeColor="text1"/>
          <w:sz w:val="22"/>
          <w:szCs w:val="22"/>
        </w:rPr>
        <w:t>------1030</w:t>
      </w:r>
      <w:r w:rsidRPr="00E12758">
        <w:rPr>
          <w:rFonts w:ascii="Calibri" w:hAnsi="Calibri" w:cs="Calibri"/>
          <w:color w:val="000000" w:themeColor="text1"/>
          <w:sz w:val="22"/>
          <w:szCs w:val="22"/>
        </w:rPr>
        <w:t>0662, ‘Draft,</w:t>
      </w:r>
      <w:r w:rsidRPr="00766A1F">
        <w:rPr>
          <w:rFonts w:ascii="Calibri" w:hAnsi="Calibri" w:cs="Calibri"/>
          <w:color w:val="000000" w:themeColor="text1"/>
          <w:sz w:val="22"/>
          <w:szCs w:val="22"/>
        </w:rPr>
        <w:t xml:space="preserve"> oncho control in the Volta River basin area, preparation of master plans for economic development of cleared land and of investment pr</w:t>
      </w:r>
      <w:r w:rsidRPr="007A123B">
        <w:rPr>
          <w:rFonts w:ascii="Calibri" w:hAnsi="Calibri" w:cs="Calibri"/>
          <w:color w:val="000000" w:themeColor="text1"/>
          <w:sz w:val="22"/>
          <w:szCs w:val="22"/>
        </w:rPr>
        <w:t>oject proposals’, 9 August 1974.</w:t>
      </w:r>
    </w:p>
    <w:p w14:paraId="6C1385CE" w14:textId="77777777" w:rsidR="0033493D" w:rsidRPr="00233532" w:rsidRDefault="0033493D" w:rsidP="0033493D">
      <w:pPr>
        <w:pStyle w:val="FootnoteText"/>
        <w:rPr>
          <w:rFonts w:ascii="Calibri" w:hAnsi="Calibri" w:cs="Calibri"/>
          <w:color w:val="000000" w:themeColor="text1"/>
          <w:sz w:val="22"/>
          <w:szCs w:val="22"/>
        </w:rPr>
      </w:pPr>
    </w:p>
    <w:p w14:paraId="440119A2"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------1300662, C.H. Bonte-Friedheim to R.W. Phillips, [1975].</w:t>
      </w:r>
    </w:p>
    <w:p w14:paraId="794147F8" w14:textId="77777777" w:rsidR="0033493D" w:rsidRPr="00233532" w:rsidRDefault="0033493D" w:rsidP="0033493D">
      <w:pPr>
        <w:pStyle w:val="FootnoteText"/>
        <w:rPr>
          <w:rFonts w:ascii="Calibri" w:hAnsi="Calibri" w:cs="Calibri"/>
          <w:color w:val="000000" w:themeColor="text1"/>
          <w:sz w:val="22"/>
          <w:szCs w:val="22"/>
        </w:rPr>
      </w:pPr>
    </w:p>
    <w:p w14:paraId="5872F96A"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------1300662, E. Peter Wright to Robert McNamara, ‘Abidjan meeting on river blindness’, 20 February 1975.</w:t>
      </w:r>
    </w:p>
    <w:p w14:paraId="4DD74F51" w14:textId="77777777" w:rsidR="0033493D" w:rsidRPr="00233532" w:rsidRDefault="0033493D" w:rsidP="0033493D">
      <w:pPr>
        <w:pStyle w:val="FootnoteText"/>
        <w:rPr>
          <w:rFonts w:ascii="Calibri" w:hAnsi="Calibri" w:cs="Calibri"/>
          <w:color w:val="000000" w:themeColor="text1"/>
          <w:sz w:val="22"/>
          <w:szCs w:val="22"/>
        </w:rPr>
      </w:pPr>
    </w:p>
    <w:p w14:paraId="580AC146"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------1300663, ‘Telex - Rogerson, Burkina’, 10 June 1985.</w:t>
      </w:r>
    </w:p>
    <w:p w14:paraId="2FA57505" w14:textId="77777777" w:rsidR="0033493D" w:rsidRPr="003A4BF2" w:rsidRDefault="0033493D" w:rsidP="0033493D">
      <w:pPr>
        <w:pStyle w:val="Footnotes"/>
        <w:rPr>
          <w:rFonts w:ascii="Calibri" w:hAnsi="Calibri" w:cs="Calibri"/>
          <w:sz w:val="22"/>
          <w:szCs w:val="22"/>
        </w:rPr>
      </w:pPr>
    </w:p>
    <w:p w14:paraId="79870B71"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------1300663, Declar Walton to S Flache, 18 June 1979.</w:t>
      </w:r>
    </w:p>
    <w:p w14:paraId="4CCEEAF5" w14:textId="77777777" w:rsidR="0033493D" w:rsidRPr="003A4BF2" w:rsidRDefault="0033493D" w:rsidP="0033493D">
      <w:pPr>
        <w:pStyle w:val="Footnotes"/>
        <w:rPr>
          <w:rFonts w:ascii="Calibri" w:hAnsi="Calibri" w:cs="Calibri"/>
          <w:sz w:val="22"/>
          <w:szCs w:val="22"/>
        </w:rPr>
      </w:pPr>
    </w:p>
    <w:p w14:paraId="39188B0D" w14:textId="77777777" w:rsidR="0033493D" w:rsidRPr="007A123B"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t>
      </w:r>
      <w:r w:rsidRPr="00E12758">
        <w:rPr>
          <w:rFonts w:ascii="Calibri" w:hAnsi="Calibri" w:cs="Calibri"/>
          <w:color w:val="000000" w:themeColor="text1"/>
          <w:sz w:val="22"/>
          <w:szCs w:val="22"/>
        </w:rPr>
        <w:t>1300663, Jorge</w:t>
      </w:r>
      <w:r w:rsidRPr="00766A1F">
        <w:rPr>
          <w:rFonts w:ascii="Calibri" w:hAnsi="Calibri" w:cs="Calibri"/>
          <w:color w:val="000000" w:themeColor="text1"/>
          <w:sz w:val="22"/>
          <w:szCs w:val="22"/>
        </w:rPr>
        <w:t>n Lissner to Nicole Glineur, 1986.</w:t>
      </w:r>
    </w:p>
    <w:p w14:paraId="7D9B4796" w14:textId="77777777" w:rsidR="0033493D" w:rsidRPr="00233532" w:rsidRDefault="0033493D" w:rsidP="0033493D">
      <w:pPr>
        <w:pStyle w:val="FootnoteText"/>
        <w:rPr>
          <w:rFonts w:ascii="Calibri" w:hAnsi="Calibri" w:cs="Calibri"/>
          <w:color w:val="000000" w:themeColor="text1"/>
          <w:sz w:val="22"/>
          <w:szCs w:val="22"/>
        </w:rPr>
      </w:pPr>
    </w:p>
    <w:p w14:paraId="49164BD7"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------1300674, ‘Briefing: OCP donors’ seminar’, [1985].</w:t>
      </w:r>
    </w:p>
    <w:p w14:paraId="776844CE" w14:textId="77777777" w:rsidR="0033493D" w:rsidRPr="00233532" w:rsidRDefault="0033493D" w:rsidP="0033493D">
      <w:pPr>
        <w:pStyle w:val="FootnoteText"/>
        <w:rPr>
          <w:rFonts w:ascii="Calibri" w:hAnsi="Calibri" w:cs="Calibri"/>
          <w:color w:val="000000" w:themeColor="text1"/>
          <w:sz w:val="22"/>
          <w:szCs w:val="22"/>
        </w:rPr>
      </w:pPr>
    </w:p>
    <w:p w14:paraId="76247A89"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------1300674, ‘Draft opening statement for donors meeting’, 14 October 1987.</w:t>
      </w:r>
    </w:p>
    <w:p w14:paraId="707DC297" w14:textId="77777777" w:rsidR="0033493D" w:rsidRPr="003A4BF2" w:rsidRDefault="0033493D" w:rsidP="0033493D">
      <w:pPr>
        <w:pStyle w:val="Footnotes"/>
        <w:rPr>
          <w:rFonts w:ascii="Calibri" w:hAnsi="Calibri" w:cs="Calibri"/>
          <w:sz w:val="22"/>
          <w:szCs w:val="22"/>
        </w:rPr>
      </w:pPr>
    </w:p>
    <w:p w14:paraId="239F1F8E" w14:textId="77777777" w:rsidR="0033493D" w:rsidRPr="007A123B"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t>
      </w:r>
      <w:r w:rsidRPr="00E12758">
        <w:rPr>
          <w:rFonts w:ascii="Calibri" w:hAnsi="Calibri" w:cs="Calibri"/>
          <w:color w:val="000000" w:themeColor="text1"/>
          <w:sz w:val="22"/>
          <w:szCs w:val="22"/>
        </w:rPr>
        <w:t>1300674, ‘Onchocerciasis Control Program meeting of contributors, Paris, Janua</w:t>
      </w:r>
      <w:r w:rsidRPr="00766A1F">
        <w:rPr>
          <w:rFonts w:ascii="Calibri" w:hAnsi="Calibri" w:cs="Calibri"/>
          <w:color w:val="000000" w:themeColor="text1"/>
          <w:sz w:val="22"/>
          <w:szCs w:val="22"/>
        </w:rPr>
        <w:t>ry 30 1979, Chairman’s report of pro</w:t>
      </w:r>
      <w:r w:rsidRPr="007A123B">
        <w:rPr>
          <w:rFonts w:ascii="Calibri" w:hAnsi="Calibri" w:cs="Calibri"/>
          <w:color w:val="000000" w:themeColor="text1"/>
          <w:sz w:val="22"/>
          <w:szCs w:val="22"/>
        </w:rPr>
        <w:t>ceedings’, 1979.</w:t>
      </w:r>
    </w:p>
    <w:p w14:paraId="2A8A5870" w14:textId="77777777" w:rsidR="0033493D" w:rsidRPr="00233532" w:rsidRDefault="0033493D" w:rsidP="0033493D">
      <w:pPr>
        <w:pStyle w:val="FootnoteText"/>
        <w:rPr>
          <w:rFonts w:ascii="Calibri" w:hAnsi="Calibri" w:cs="Calibri"/>
          <w:color w:val="000000" w:themeColor="text1"/>
          <w:sz w:val="22"/>
          <w:szCs w:val="22"/>
        </w:rPr>
      </w:pPr>
    </w:p>
    <w:p w14:paraId="186F8FF7"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------1300674, ‘Opening statement/donor seminar’, 14 October 1985.</w:t>
      </w:r>
    </w:p>
    <w:p w14:paraId="0AF2B0F4" w14:textId="77777777" w:rsidR="0033493D" w:rsidRPr="00233532" w:rsidRDefault="0033493D" w:rsidP="0033493D">
      <w:pPr>
        <w:pStyle w:val="FootnoteText"/>
        <w:rPr>
          <w:rFonts w:ascii="Calibri" w:hAnsi="Calibri" w:cs="Calibri"/>
          <w:color w:val="000000" w:themeColor="text1"/>
          <w:sz w:val="22"/>
          <w:szCs w:val="22"/>
        </w:rPr>
      </w:pPr>
    </w:p>
    <w:p w14:paraId="1B7B394A"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------1300674, ‘Proposed FY87 budget for the oncho (river blindness) program’, 1986.</w:t>
      </w:r>
    </w:p>
    <w:p w14:paraId="61518BA5" w14:textId="77777777" w:rsidR="0033493D" w:rsidRPr="003A4BF2" w:rsidRDefault="0033493D" w:rsidP="0033493D">
      <w:pPr>
        <w:pStyle w:val="Footnotes"/>
        <w:rPr>
          <w:rFonts w:ascii="Calibri" w:hAnsi="Calibri" w:cs="Calibri"/>
          <w:sz w:val="22"/>
          <w:szCs w:val="22"/>
        </w:rPr>
      </w:pPr>
    </w:p>
    <w:p w14:paraId="106728E3" w14:textId="77777777" w:rsidR="0033493D" w:rsidRPr="00766A1F"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t>
      </w:r>
      <w:r w:rsidRPr="00E12758">
        <w:rPr>
          <w:rFonts w:ascii="Calibri" w:hAnsi="Calibri" w:cs="Calibri"/>
          <w:color w:val="000000" w:themeColor="text1"/>
          <w:sz w:val="22"/>
          <w:szCs w:val="22"/>
        </w:rPr>
        <w:t>1300674, ‘Schedule of donors’ visit’, 1982</w:t>
      </w:r>
      <w:r w:rsidRPr="00766A1F">
        <w:rPr>
          <w:rFonts w:ascii="Calibri" w:hAnsi="Calibri" w:cs="Calibri"/>
          <w:color w:val="000000" w:themeColor="text1"/>
          <w:sz w:val="22"/>
          <w:szCs w:val="22"/>
        </w:rPr>
        <w:t>.</w:t>
      </w:r>
    </w:p>
    <w:p w14:paraId="60984E2D" w14:textId="77777777" w:rsidR="0033493D" w:rsidRPr="007A123B" w:rsidRDefault="0033493D" w:rsidP="0033493D">
      <w:pPr>
        <w:pStyle w:val="FootnoteText"/>
        <w:rPr>
          <w:rFonts w:ascii="Calibri" w:hAnsi="Calibri" w:cs="Calibri"/>
          <w:color w:val="000000" w:themeColor="text1"/>
          <w:sz w:val="22"/>
          <w:szCs w:val="22"/>
        </w:rPr>
      </w:pPr>
    </w:p>
    <w:p w14:paraId="4DFBF9A6"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------1300674, Alden Clausen, ‘From the president, grants for control of oncho in West Africa’, 1985.</w:t>
      </w:r>
    </w:p>
    <w:p w14:paraId="56A54552" w14:textId="77777777" w:rsidR="0033493D" w:rsidRPr="00233532" w:rsidRDefault="0033493D" w:rsidP="0033493D">
      <w:pPr>
        <w:pStyle w:val="FootnoteText"/>
        <w:rPr>
          <w:rFonts w:ascii="Calibri" w:hAnsi="Calibri" w:cs="Calibri"/>
          <w:color w:val="000000" w:themeColor="text1"/>
          <w:sz w:val="22"/>
          <w:szCs w:val="22"/>
        </w:rPr>
      </w:pPr>
    </w:p>
    <w:p w14:paraId="1D6149D6"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------1300674, E. Skinner, ‘Notes on tapes of 1985 donors conference’, October 1987.</w:t>
      </w:r>
    </w:p>
    <w:p w14:paraId="385A5190" w14:textId="77777777" w:rsidR="0033493D" w:rsidRPr="003A4BF2" w:rsidRDefault="0033493D" w:rsidP="0033493D">
      <w:pPr>
        <w:pStyle w:val="Footnotes"/>
        <w:rPr>
          <w:rFonts w:ascii="Calibri" w:hAnsi="Calibri" w:cs="Calibri"/>
          <w:sz w:val="22"/>
          <w:szCs w:val="22"/>
        </w:rPr>
      </w:pPr>
    </w:p>
    <w:p w14:paraId="7BF7CB57" w14:textId="77777777" w:rsidR="0033493D" w:rsidRPr="007A123B"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t>
      </w:r>
      <w:r w:rsidRPr="00E12758">
        <w:rPr>
          <w:rFonts w:ascii="Calibri" w:hAnsi="Calibri" w:cs="Calibri"/>
          <w:color w:val="000000" w:themeColor="text1"/>
          <w:sz w:val="22"/>
          <w:szCs w:val="22"/>
        </w:rPr>
        <w:t>1300674, J.P. Dailly to Files, ‘Back-to-office report, don</w:t>
      </w:r>
      <w:r w:rsidRPr="00766A1F">
        <w:rPr>
          <w:rFonts w:ascii="Calibri" w:hAnsi="Calibri" w:cs="Calibri"/>
          <w:color w:val="000000" w:themeColor="text1"/>
          <w:sz w:val="22"/>
          <w:szCs w:val="22"/>
        </w:rPr>
        <w:t>ors meeting 1984’, 2 November 1984.</w:t>
      </w:r>
    </w:p>
    <w:p w14:paraId="6C40B420" w14:textId="77777777" w:rsidR="0033493D" w:rsidRPr="00233532" w:rsidRDefault="0033493D" w:rsidP="0033493D">
      <w:pPr>
        <w:pStyle w:val="FootnoteText"/>
        <w:rPr>
          <w:rFonts w:ascii="Calibri" w:hAnsi="Calibri" w:cs="Calibri"/>
          <w:color w:val="000000" w:themeColor="text1"/>
          <w:sz w:val="22"/>
          <w:szCs w:val="22"/>
        </w:rPr>
      </w:pPr>
    </w:p>
    <w:p w14:paraId="094B22A5"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------1300678, ‘Burkina Faso proposed program for surveillance and control of onchocerciasis and trypanosomiasis’, [1989].</w:t>
      </w:r>
    </w:p>
    <w:p w14:paraId="227CC087" w14:textId="77777777" w:rsidR="0033493D" w:rsidRPr="003A4BF2" w:rsidRDefault="0033493D" w:rsidP="0033493D">
      <w:pPr>
        <w:pStyle w:val="Footnotes"/>
        <w:rPr>
          <w:rFonts w:ascii="Calibri" w:hAnsi="Calibri" w:cs="Calibri"/>
          <w:sz w:val="22"/>
          <w:szCs w:val="22"/>
        </w:rPr>
      </w:pPr>
    </w:p>
    <w:p w14:paraId="26F2B171" w14:textId="77777777" w:rsidR="0033493D" w:rsidRPr="00766A1F"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t>
      </w:r>
      <w:r w:rsidRPr="00E12758">
        <w:rPr>
          <w:rFonts w:ascii="Calibri" w:hAnsi="Calibri" w:cs="Calibri"/>
          <w:color w:val="000000" w:themeColor="text1"/>
          <w:sz w:val="22"/>
          <w:szCs w:val="22"/>
        </w:rPr>
        <w:t>1300</w:t>
      </w:r>
      <w:r w:rsidRPr="00766A1F">
        <w:rPr>
          <w:rFonts w:ascii="Calibri" w:hAnsi="Calibri" w:cs="Calibri"/>
          <w:color w:val="000000" w:themeColor="text1"/>
          <w:sz w:val="22"/>
          <w:szCs w:val="22"/>
        </w:rPr>
        <w:t>678, ‘Devolution of the Onchocerciasis Control Programme (OCP)’, 1 November 1989.</w:t>
      </w:r>
    </w:p>
    <w:p w14:paraId="478E10F2" w14:textId="77777777" w:rsidR="0033493D" w:rsidRPr="007A123B" w:rsidRDefault="0033493D" w:rsidP="0033493D">
      <w:pPr>
        <w:pStyle w:val="FootnoteText"/>
        <w:rPr>
          <w:rFonts w:ascii="Calibri" w:hAnsi="Calibri" w:cs="Calibri"/>
          <w:color w:val="000000" w:themeColor="text1"/>
          <w:sz w:val="22"/>
          <w:szCs w:val="22"/>
        </w:rPr>
      </w:pPr>
    </w:p>
    <w:p w14:paraId="302CE609"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------1300678, ‘InterAction onchocerciasis task force meetings’, 18 May 1990.</w:t>
      </w:r>
    </w:p>
    <w:p w14:paraId="4581C41B" w14:textId="77777777" w:rsidR="0033493D" w:rsidRPr="00233532" w:rsidRDefault="0033493D" w:rsidP="0033493D">
      <w:pPr>
        <w:pStyle w:val="FootnoteText"/>
        <w:rPr>
          <w:rFonts w:ascii="Calibri" w:hAnsi="Calibri" w:cs="Calibri"/>
          <w:color w:val="000000" w:themeColor="text1"/>
          <w:sz w:val="22"/>
          <w:szCs w:val="22"/>
        </w:rPr>
      </w:pPr>
    </w:p>
    <w:p w14:paraId="1E4D1BAC"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------1300678, ‘Large scale treatment with ivermectin in the OCP, plan of action and budget for 1989 and 1990’, March 1988.</w:t>
      </w:r>
    </w:p>
    <w:p w14:paraId="0F2B637D" w14:textId="77777777" w:rsidR="0033493D" w:rsidRPr="00233532" w:rsidRDefault="0033493D" w:rsidP="0033493D">
      <w:pPr>
        <w:pStyle w:val="FootnoteText"/>
        <w:rPr>
          <w:rFonts w:ascii="Calibri" w:hAnsi="Calibri" w:cs="Calibri"/>
          <w:i/>
          <w:color w:val="000000" w:themeColor="text1"/>
          <w:sz w:val="22"/>
          <w:szCs w:val="22"/>
        </w:rPr>
      </w:pPr>
    </w:p>
    <w:p w14:paraId="0E946943"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------1300678, Bruce Benton to E. Samba and Dr. Baldry, ‘Onchocerciasis Control Program’, 3 August 1989.</w:t>
      </w:r>
    </w:p>
    <w:p w14:paraId="6E96E151" w14:textId="77777777" w:rsidR="0033493D" w:rsidRPr="00233532" w:rsidRDefault="0033493D" w:rsidP="0033493D">
      <w:pPr>
        <w:pStyle w:val="FootnoteText"/>
        <w:rPr>
          <w:rFonts w:ascii="Calibri" w:hAnsi="Calibri" w:cs="Calibri"/>
          <w:color w:val="000000" w:themeColor="text1"/>
          <w:sz w:val="22"/>
          <w:szCs w:val="22"/>
        </w:rPr>
      </w:pPr>
    </w:p>
    <w:p w14:paraId="2D4EC030"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 xml:space="preserve">------1300678, Bruce Benton to Michel Palein, ‘Onchocerciasis devolution plans for Benin, Cote d’Ivoire, and Togo’, 19 March 1991. </w:t>
      </w:r>
    </w:p>
    <w:p w14:paraId="412FAA4F" w14:textId="77777777" w:rsidR="0033493D" w:rsidRPr="003A4BF2" w:rsidRDefault="0033493D" w:rsidP="0033493D">
      <w:pPr>
        <w:pStyle w:val="Footnotes"/>
        <w:rPr>
          <w:rFonts w:ascii="Calibri" w:hAnsi="Calibri" w:cs="Calibri"/>
          <w:sz w:val="22"/>
          <w:szCs w:val="22"/>
        </w:rPr>
      </w:pPr>
    </w:p>
    <w:p w14:paraId="5CA56D5E" w14:textId="77777777" w:rsidR="0033493D" w:rsidRPr="00766A1F"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t>
      </w:r>
      <w:r w:rsidRPr="00E12758">
        <w:rPr>
          <w:rFonts w:ascii="Calibri" w:hAnsi="Calibri" w:cs="Calibri"/>
          <w:color w:val="000000" w:themeColor="text1"/>
          <w:sz w:val="22"/>
          <w:szCs w:val="22"/>
        </w:rPr>
        <w:t>1300678, Bruce Benton to William Stanton, ‘Our meeting with Mr. J</w:t>
      </w:r>
      <w:r w:rsidRPr="00766A1F">
        <w:rPr>
          <w:rFonts w:ascii="Calibri" w:hAnsi="Calibri" w:cs="Calibri"/>
          <w:color w:val="000000" w:themeColor="text1"/>
          <w:sz w:val="22"/>
          <w:szCs w:val="22"/>
        </w:rPr>
        <w:t>ack Babson’, 10 July 1989.</w:t>
      </w:r>
    </w:p>
    <w:p w14:paraId="516192BA" w14:textId="77777777" w:rsidR="0033493D" w:rsidRPr="007A123B" w:rsidRDefault="0033493D" w:rsidP="0033493D">
      <w:pPr>
        <w:pStyle w:val="FootnoteText"/>
        <w:rPr>
          <w:rFonts w:ascii="Calibri" w:hAnsi="Calibri" w:cs="Calibri"/>
          <w:color w:val="000000" w:themeColor="text1"/>
          <w:sz w:val="22"/>
          <w:szCs w:val="22"/>
        </w:rPr>
      </w:pPr>
    </w:p>
    <w:p w14:paraId="2746D2C5"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------1300678, Ebrahim M. Samba to Bernhard Liese, ‘Devolution in Burkina Faso’, February 7 1989.</w:t>
      </w:r>
    </w:p>
    <w:p w14:paraId="6310AA4E" w14:textId="77777777" w:rsidR="0033493D" w:rsidRPr="003A4BF2" w:rsidRDefault="0033493D" w:rsidP="0033493D">
      <w:pPr>
        <w:pStyle w:val="Footnotes"/>
        <w:rPr>
          <w:rFonts w:ascii="Calibri" w:hAnsi="Calibri" w:cs="Calibri"/>
          <w:sz w:val="22"/>
          <w:szCs w:val="22"/>
        </w:rPr>
      </w:pPr>
    </w:p>
    <w:p w14:paraId="11624AE8" w14:textId="77777777" w:rsidR="0033493D" w:rsidRPr="007A123B"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t>
      </w:r>
      <w:r w:rsidRPr="00E12758">
        <w:rPr>
          <w:rFonts w:ascii="Calibri" w:hAnsi="Calibri" w:cs="Calibri"/>
          <w:color w:val="000000" w:themeColor="text1"/>
          <w:sz w:val="22"/>
          <w:szCs w:val="22"/>
        </w:rPr>
        <w:t>130</w:t>
      </w:r>
      <w:r w:rsidRPr="00766A1F">
        <w:rPr>
          <w:rFonts w:ascii="Calibri" w:hAnsi="Calibri" w:cs="Calibri"/>
          <w:color w:val="000000" w:themeColor="text1"/>
          <w:sz w:val="22"/>
          <w:szCs w:val="22"/>
        </w:rPr>
        <w:t>0678, Ebrahim M. Samba to Bruce Benton, 26 November 1987.</w:t>
      </w:r>
    </w:p>
    <w:p w14:paraId="02E04E39" w14:textId="77777777" w:rsidR="0033493D" w:rsidRPr="00233532" w:rsidRDefault="0033493D" w:rsidP="0033493D">
      <w:pPr>
        <w:pStyle w:val="FootnoteText"/>
        <w:rPr>
          <w:rFonts w:ascii="Calibri" w:hAnsi="Calibri" w:cs="Calibri"/>
          <w:color w:val="000000" w:themeColor="text1"/>
          <w:sz w:val="22"/>
          <w:szCs w:val="22"/>
        </w:rPr>
      </w:pPr>
    </w:p>
    <w:p w14:paraId="72258D10"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------1300678, Ebrahim M. Samba to His Excellency The Secretary of State for Health, Ghana, ‘Twelfth meeting of the national onchocerciasis committees’, 9 June 1988.</w:t>
      </w:r>
    </w:p>
    <w:p w14:paraId="25A18D09" w14:textId="77777777" w:rsidR="0033493D" w:rsidRPr="00233532" w:rsidRDefault="0033493D" w:rsidP="0033493D">
      <w:pPr>
        <w:pStyle w:val="FootnoteText"/>
        <w:rPr>
          <w:rFonts w:ascii="Calibri" w:hAnsi="Calibri" w:cs="Calibri"/>
          <w:color w:val="000000" w:themeColor="text1"/>
          <w:sz w:val="22"/>
          <w:szCs w:val="22"/>
        </w:rPr>
      </w:pPr>
    </w:p>
    <w:p w14:paraId="41AC642B"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------1300678, Ebrahim M. Samba to His Excellency, the Secretary of State for Health, Ghana, ‘Devolution’, 27 November 1987. </w:t>
      </w:r>
    </w:p>
    <w:p w14:paraId="0D8B8D8E" w14:textId="77777777" w:rsidR="0033493D" w:rsidRPr="00233532" w:rsidRDefault="0033493D" w:rsidP="0033493D">
      <w:pPr>
        <w:pStyle w:val="FootnoteText"/>
        <w:rPr>
          <w:rFonts w:ascii="Calibri" w:hAnsi="Calibri" w:cs="Calibri"/>
          <w:color w:val="000000" w:themeColor="text1"/>
          <w:sz w:val="22"/>
          <w:szCs w:val="22"/>
        </w:rPr>
      </w:pPr>
    </w:p>
    <w:p w14:paraId="3DC24273"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------1300678, Ebrahim M. Samba to His Excellency, the Secretary of State for Health, Ghana, ‘Preparation of devolution plan’, 28 June 1989.</w:t>
      </w:r>
    </w:p>
    <w:p w14:paraId="607C02A7" w14:textId="77777777" w:rsidR="0033493D" w:rsidRPr="003A4BF2" w:rsidRDefault="0033493D" w:rsidP="0033493D">
      <w:pPr>
        <w:pStyle w:val="Footnotes"/>
        <w:rPr>
          <w:rFonts w:ascii="Calibri" w:hAnsi="Calibri" w:cs="Calibri"/>
          <w:sz w:val="22"/>
          <w:szCs w:val="22"/>
        </w:rPr>
      </w:pPr>
    </w:p>
    <w:p w14:paraId="107EA872" w14:textId="77777777" w:rsidR="0033493D" w:rsidRPr="007A123B"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t>
      </w:r>
      <w:r w:rsidRPr="00E12758">
        <w:rPr>
          <w:rFonts w:ascii="Calibri" w:hAnsi="Calibri" w:cs="Calibri"/>
          <w:color w:val="000000" w:themeColor="text1"/>
          <w:sz w:val="22"/>
          <w:szCs w:val="22"/>
        </w:rPr>
        <w:t>1300678, Eb</w:t>
      </w:r>
      <w:r w:rsidRPr="00766A1F">
        <w:rPr>
          <w:rFonts w:ascii="Calibri" w:hAnsi="Calibri" w:cs="Calibri"/>
          <w:color w:val="000000" w:themeColor="text1"/>
          <w:sz w:val="22"/>
          <w:szCs w:val="22"/>
        </w:rPr>
        <w:t>rahim M. Samba to James D. Shepperd, 21 December 1989.</w:t>
      </w:r>
    </w:p>
    <w:p w14:paraId="6610E6D7" w14:textId="77777777" w:rsidR="0033493D" w:rsidRPr="00233532" w:rsidRDefault="0033493D" w:rsidP="0033493D">
      <w:pPr>
        <w:pStyle w:val="FootnoteText"/>
        <w:rPr>
          <w:rFonts w:ascii="Calibri" w:hAnsi="Calibri" w:cs="Calibri"/>
          <w:color w:val="000000" w:themeColor="text1"/>
          <w:sz w:val="22"/>
          <w:szCs w:val="22"/>
        </w:rPr>
      </w:pPr>
    </w:p>
    <w:p w14:paraId="3174C69C"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------1300678, Ebrahim M. Samba to James D. Shepperd, 26 April 1990.</w:t>
      </w:r>
    </w:p>
    <w:p w14:paraId="67F415DA" w14:textId="77777777" w:rsidR="0033493D" w:rsidRPr="00233532" w:rsidRDefault="0033493D" w:rsidP="0033493D">
      <w:pPr>
        <w:pStyle w:val="FootnoteText"/>
        <w:rPr>
          <w:rFonts w:ascii="Calibri" w:hAnsi="Calibri" w:cs="Calibri"/>
          <w:color w:val="000000" w:themeColor="text1"/>
          <w:sz w:val="22"/>
          <w:szCs w:val="22"/>
        </w:rPr>
      </w:pPr>
    </w:p>
    <w:p w14:paraId="19F73B77"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------1300678, Ebrahim M. Samba to Tracy Geoghegan, 18 June 1990.</w:t>
      </w:r>
    </w:p>
    <w:p w14:paraId="3CB113F4" w14:textId="77777777" w:rsidR="0033493D" w:rsidRPr="00233532" w:rsidRDefault="0033493D" w:rsidP="0033493D">
      <w:pPr>
        <w:pStyle w:val="FootnoteText"/>
        <w:rPr>
          <w:rFonts w:ascii="Calibri" w:hAnsi="Calibri" w:cs="Calibri"/>
          <w:color w:val="000000" w:themeColor="text1"/>
          <w:sz w:val="22"/>
          <w:szCs w:val="22"/>
        </w:rPr>
      </w:pPr>
    </w:p>
    <w:p w14:paraId="70575BAB"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------1300678, G. Webbe to G.L. Monekosso, 14 November 1990.</w:t>
      </w:r>
    </w:p>
    <w:p w14:paraId="62649BC4" w14:textId="77777777" w:rsidR="0033493D" w:rsidRPr="003A4BF2" w:rsidRDefault="0033493D" w:rsidP="0033493D">
      <w:pPr>
        <w:pStyle w:val="Footnotes"/>
        <w:rPr>
          <w:rFonts w:ascii="Calibri" w:hAnsi="Calibri" w:cs="Calibri"/>
          <w:sz w:val="22"/>
          <w:szCs w:val="22"/>
        </w:rPr>
      </w:pPr>
    </w:p>
    <w:p w14:paraId="48B896BA" w14:textId="77777777" w:rsidR="0033493D" w:rsidRPr="007A123B"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t>
      </w:r>
      <w:r w:rsidRPr="00E12758">
        <w:rPr>
          <w:rFonts w:ascii="Calibri" w:hAnsi="Calibri" w:cs="Calibri"/>
          <w:color w:val="000000" w:themeColor="text1"/>
          <w:sz w:val="22"/>
          <w:szCs w:val="22"/>
        </w:rPr>
        <w:t>-----</w:t>
      </w:r>
      <w:r w:rsidRPr="00766A1F">
        <w:rPr>
          <w:rFonts w:ascii="Calibri" w:hAnsi="Calibri" w:cs="Calibri"/>
          <w:color w:val="000000" w:themeColor="text1"/>
          <w:sz w:val="22"/>
          <w:szCs w:val="22"/>
        </w:rPr>
        <w:t>1300678, G.L. Monekosso to Gerald Webbe, 1 November 1990.</w:t>
      </w:r>
    </w:p>
    <w:p w14:paraId="6C7B4651" w14:textId="77777777" w:rsidR="0033493D" w:rsidRPr="00233532" w:rsidRDefault="0033493D" w:rsidP="0033493D">
      <w:pPr>
        <w:pStyle w:val="FootnoteText"/>
        <w:rPr>
          <w:rFonts w:ascii="Calibri" w:hAnsi="Calibri" w:cs="Calibri"/>
          <w:color w:val="000000" w:themeColor="text1"/>
          <w:sz w:val="22"/>
          <w:szCs w:val="22"/>
        </w:rPr>
      </w:pPr>
    </w:p>
    <w:p w14:paraId="50458F14"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------1300678, J. Stockard to Bruce Benton, ‘US views on devolution’, 10 April 1986.</w:t>
      </w:r>
    </w:p>
    <w:p w14:paraId="178EE3A3" w14:textId="77777777" w:rsidR="0033493D" w:rsidRPr="00233532" w:rsidRDefault="0033493D" w:rsidP="0033493D">
      <w:pPr>
        <w:pStyle w:val="FootnoteText"/>
        <w:rPr>
          <w:rFonts w:ascii="Calibri" w:hAnsi="Calibri" w:cs="Calibri"/>
          <w:color w:val="000000" w:themeColor="text1"/>
          <w:sz w:val="22"/>
          <w:szCs w:val="22"/>
        </w:rPr>
      </w:pPr>
    </w:p>
    <w:p w14:paraId="5FBF90DF"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------1300678, ‘ONCHOTROP program design pre-approval, the HKI/Africare program for ivermectin distribution, version-5’, 12 March 1990.</w:t>
      </w:r>
    </w:p>
    <w:p w14:paraId="53259EBE" w14:textId="77777777" w:rsidR="0033493D" w:rsidRPr="00233532" w:rsidRDefault="0033493D" w:rsidP="0033493D">
      <w:pPr>
        <w:pStyle w:val="FootnoteText"/>
        <w:rPr>
          <w:rFonts w:ascii="Calibri" w:hAnsi="Calibri" w:cs="Calibri"/>
          <w:color w:val="000000" w:themeColor="text1"/>
          <w:sz w:val="22"/>
          <w:szCs w:val="22"/>
        </w:rPr>
      </w:pPr>
    </w:p>
    <w:p w14:paraId="6547AFCB"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------1300678, Routing slip, Bruce Benton to Florent Agueh, 23 March [1989].</w:t>
      </w:r>
    </w:p>
    <w:p w14:paraId="0A2FF79C" w14:textId="77777777" w:rsidR="0033493D" w:rsidRPr="003A4BF2" w:rsidRDefault="0033493D" w:rsidP="0033493D">
      <w:pPr>
        <w:pStyle w:val="Footnotes"/>
        <w:rPr>
          <w:rFonts w:ascii="Calibri" w:hAnsi="Calibri" w:cs="Calibri"/>
          <w:sz w:val="22"/>
          <w:szCs w:val="22"/>
        </w:rPr>
      </w:pPr>
    </w:p>
    <w:p w14:paraId="6D3ACE9F"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------1300678, Telex, Bruce Benton to Dr. Baldry and Dr. Samba, ‘Onchocerciasis Control Programme’, 2 August 1989.</w:t>
      </w:r>
    </w:p>
    <w:p w14:paraId="04159763" w14:textId="77777777" w:rsidR="0033493D" w:rsidRPr="003A4BF2" w:rsidRDefault="0033493D" w:rsidP="0033493D">
      <w:pPr>
        <w:pStyle w:val="Footnotes"/>
        <w:rPr>
          <w:rFonts w:ascii="Calibri" w:hAnsi="Calibri" w:cs="Calibri"/>
          <w:sz w:val="22"/>
          <w:szCs w:val="22"/>
        </w:rPr>
      </w:pPr>
    </w:p>
    <w:p w14:paraId="4B5D5A8D"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 xml:space="preserve">------1300678, Vic Barber to Files, 24 March 1986. </w:t>
      </w:r>
    </w:p>
    <w:p w14:paraId="5767A5CB" w14:textId="77777777" w:rsidR="0033493D" w:rsidRPr="003A4BF2" w:rsidRDefault="0033493D" w:rsidP="0033493D">
      <w:pPr>
        <w:pStyle w:val="Footnotes"/>
        <w:rPr>
          <w:rFonts w:ascii="Calibri" w:hAnsi="Calibri" w:cs="Calibri"/>
          <w:sz w:val="22"/>
          <w:szCs w:val="22"/>
        </w:rPr>
      </w:pPr>
    </w:p>
    <w:p w14:paraId="3E503D08" w14:textId="77777777" w:rsidR="0033493D" w:rsidRPr="00766A1F"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t>
      </w:r>
      <w:r w:rsidRPr="00E12758">
        <w:rPr>
          <w:rFonts w:ascii="Calibri" w:hAnsi="Calibri" w:cs="Calibri"/>
          <w:color w:val="000000" w:themeColor="text1"/>
          <w:sz w:val="22"/>
          <w:szCs w:val="22"/>
        </w:rPr>
        <w:t xml:space="preserve"> 130067</w:t>
      </w:r>
      <w:r w:rsidRPr="00766A1F">
        <w:rPr>
          <w:rFonts w:ascii="Calibri" w:hAnsi="Calibri" w:cs="Calibri"/>
          <w:color w:val="000000" w:themeColor="text1"/>
          <w:sz w:val="22"/>
          <w:szCs w:val="22"/>
        </w:rPr>
        <w:t>8, Victoria M. Sheffield to Bruce Benton, 21 July 1990.</w:t>
      </w:r>
    </w:p>
    <w:p w14:paraId="27421F0B" w14:textId="77777777" w:rsidR="0033493D" w:rsidRPr="007A123B" w:rsidRDefault="0033493D" w:rsidP="0033493D">
      <w:pPr>
        <w:pStyle w:val="FootnoteText"/>
        <w:rPr>
          <w:rFonts w:ascii="Calibri" w:hAnsi="Calibri" w:cs="Calibri"/>
          <w:color w:val="000000" w:themeColor="text1"/>
          <w:sz w:val="22"/>
          <w:szCs w:val="22"/>
        </w:rPr>
      </w:pPr>
    </w:p>
    <w:p w14:paraId="2EADB93F" w14:textId="77777777" w:rsidR="0033493D" w:rsidRPr="00233532" w:rsidRDefault="0033493D" w:rsidP="0033493D">
      <w:pPr>
        <w:rPr>
          <w:rFonts w:ascii="Calibri" w:hAnsi="Calibri" w:cs="Calibri"/>
          <w:color w:val="000000" w:themeColor="text1"/>
          <w:sz w:val="22"/>
          <w:szCs w:val="22"/>
        </w:rPr>
      </w:pPr>
      <w:r w:rsidRPr="00233532">
        <w:rPr>
          <w:rFonts w:ascii="Calibri" w:hAnsi="Calibri" w:cs="Calibri"/>
          <w:color w:val="000000" w:themeColor="text1"/>
          <w:sz w:val="22"/>
          <w:szCs w:val="22"/>
        </w:rPr>
        <w:t>------1300678, ‘Executive project summary: World Bank trust fund proposal to support Mectizan delivery program activity in non-OCP areas’ [with handwritten comments], 1994.</w:t>
      </w:r>
    </w:p>
    <w:p w14:paraId="59A86DF7" w14:textId="77777777" w:rsidR="0033493D" w:rsidRPr="00233532" w:rsidRDefault="0033493D" w:rsidP="0033493D">
      <w:pPr>
        <w:pStyle w:val="FootnoteText"/>
        <w:rPr>
          <w:rFonts w:ascii="Calibri" w:hAnsi="Calibri" w:cs="Calibri"/>
          <w:color w:val="000000" w:themeColor="text1"/>
          <w:sz w:val="22"/>
          <w:szCs w:val="22"/>
        </w:rPr>
      </w:pPr>
    </w:p>
    <w:p w14:paraId="2D8F92E5"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------1300687, Brittain V, ‘Upper Volta: the area 360 donors cannot refresh’, </w:t>
      </w:r>
      <w:r w:rsidRPr="00233532">
        <w:rPr>
          <w:rFonts w:ascii="Calibri" w:hAnsi="Calibri" w:cs="Calibri"/>
          <w:i/>
          <w:color w:val="000000" w:themeColor="text1"/>
          <w:sz w:val="22"/>
          <w:szCs w:val="22"/>
        </w:rPr>
        <w:t>Guardian</w:t>
      </w:r>
      <w:r w:rsidRPr="00233532">
        <w:rPr>
          <w:rFonts w:ascii="Calibri" w:hAnsi="Calibri" w:cs="Calibri"/>
          <w:color w:val="000000" w:themeColor="text1"/>
          <w:sz w:val="22"/>
          <w:szCs w:val="22"/>
        </w:rPr>
        <w:t>, 14 July 1982.</w:t>
      </w:r>
    </w:p>
    <w:p w14:paraId="78031FD3" w14:textId="77777777" w:rsidR="0033493D" w:rsidRPr="00233532" w:rsidRDefault="0033493D" w:rsidP="0033493D">
      <w:pPr>
        <w:pStyle w:val="FootnoteText"/>
        <w:rPr>
          <w:rFonts w:ascii="Calibri" w:hAnsi="Calibri" w:cs="Calibri"/>
          <w:color w:val="000000" w:themeColor="text1"/>
          <w:sz w:val="22"/>
          <w:szCs w:val="22"/>
        </w:rPr>
      </w:pPr>
    </w:p>
    <w:p w14:paraId="2AE8CA2E"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------1300688, ‘Mara, the Lion’s Look’ script, [1985].</w:t>
      </w:r>
    </w:p>
    <w:p w14:paraId="3FA1092C" w14:textId="77777777" w:rsidR="0033493D" w:rsidRPr="00233532" w:rsidRDefault="0033493D" w:rsidP="0033493D">
      <w:pPr>
        <w:pStyle w:val="FootnoteText"/>
        <w:rPr>
          <w:rFonts w:ascii="Calibri" w:hAnsi="Calibri" w:cs="Calibri"/>
          <w:color w:val="000000" w:themeColor="text1"/>
          <w:sz w:val="22"/>
          <w:szCs w:val="22"/>
        </w:rPr>
      </w:pPr>
    </w:p>
    <w:p w14:paraId="1FE9BB3F"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 ------1300688, ‘Oncho Info, OCP/26’, 9 August 1988.</w:t>
      </w:r>
    </w:p>
    <w:p w14:paraId="64C126B1" w14:textId="77777777" w:rsidR="0033493D" w:rsidRPr="00233532" w:rsidRDefault="0033493D" w:rsidP="0033493D">
      <w:pPr>
        <w:pStyle w:val="FootnoteText"/>
        <w:rPr>
          <w:rFonts w:ascii="Calibri" w:hAnsi="Calibri" w:cs="Calibri"/>
          <w:color w:val="000000" w:themeColor="text1"/>
          <w:sz w:val="22"/>
          <w:szCs w:val="22"/>
        </w:rPr>
      </w:pPr>
    </w:p>
    <w:p w14:paraId="60F64717"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------1300688, ‘Oncho Info, OCP/30’, 31 January 1989.</w:t>
      </w:r>
    </w:p>
    <w:p w14:paraId="631221AF" w14:textId="77777777" w:rsidR="0033493D" w:rsidRPr="003A4BF2" w:rsidRDefault="0033493D" w:rsidP="0033493D">
      <w:pPr>
        <w:pStyle w:val="Footnotes"/>
        <w:rPr>
          <w:rFonts w:ascii="Calibri" w:hAnsi="Calibri" w:cs="Calibri"/>
          <w:sz w:val="22"/>
          <w:szCs w:val="22"/>
        </w:rPr>
      </w:pPr>
    </w:p>
    <w:p w14:paraId="49A318BB"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------1300688, ‘Oncho Info, OCP/35’, 16 November 1989.</w:t>
      </w:r>
    </w:p>
    <w:p w14:paraId="10F895D4" w14:textId="77777777" w:rsidR="0033493D" w:rsidRPr="003A4BF2" w:rsidRDefault="0033493D" w:rsidP="0033493D">
      <w:pPr>
        <w:pStyle w:val="Footnotes"/>
        <w:rPr>
          <w:rFonts w:ascii="Calibri" w:hAnsi="Calibri" w:cs="Calibri"/>
          <w:sz w:val="22"/>
          <w:szCs w:val="22"/>
        </w:rPr>
      </w:pPr>
    </w:p>
    <w:p w14:paraId="2B989BF7"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------1300688, ‘Oncho information, OCP/14 [handwritten note to Bruce Benton]’, 7 July 1987.</w:t>
      </w:r>
    </w:p>
    <w:p w14:paraId="18A4242E" w14:textId="77777777" w:rsidR="0033493D" w:rsidRPr="003A4BF2" w:rsidRDefault="0033493D" w:rsidP="0033493D">
      <w:pPr>
        <w:pStyle w:val="Footnotes"/>
        <w:rPr>
          <w:rFonts w:ascii="Calibri" w:hAnsi="Calibri" w:cs="Calibri"/>
          <w:sz w:val="22"/>
          <w:szCs w:val="22"/>
        </w:rPr>
      </w:pPr>
    </w:p>
    <w:p w14:paraId="6C0CBD31" w14:textId="77777777" w:rsidR="0033493D" w:rsidRPr="007A123B"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t>
      </w:r>
      <w:r w:rsidRPr="00E12758">
        <w:rPr>
          <w:rFonts w:ascii="Calibri" w:hAnsi="Calibri" w:cs="Calibri"/>
          <w:color w:val="000000" w:themeColor="text1"/>
          <w:sz w:val="22"/>
          <w:szCs w:val="22"/>
        </w:rPr>
        <w:t>1300688, ‘Reception/film showing – Plague Upon the Land, Thursday June 16 1983,</w:t>
      </w:r>
      <w:r w:rsidRPr="00766A1F">
        <w:rPr>
          <w:rFonts w:ascii="Calibri" w:hAnsi="Calibri" w:cs="Calibri"/>
          <w:color w:val="000000" w:themeColor="text1"/>
          <w:sz w:val="22"/>
          <w:szCs w:val="22"/>
        </w:rPr>
        <w:t xml:space="preserve"> remarks of Mr. Knox (as prepared for delivery)’, June 1983.</w:t>
      </w:r>
    </w:p>
    <w:p w14:paraId="3FC301C1" w14:textId="77777777" w:rsidR="0033493D" w:rsidRPr="00233532" w:rsidRDefault="0033493D" w:rsidP="0033493D">
      <w:pPr>
        <w:pStyle w:val="FootnoteText"/>
        <w:rPr>
          <w:rFonts w:ascii="Calibri" w:hAnsi="Calibri" w:cs="Calibri"/>
          <w:color w:val="000000" w:themeColor="text1"/>
          <w:sz w:val="22"/>
          <w:szCs w:val="22"/>
        </w:rPr>
      </w:pPr>
    </w:p>
    <w:p w14:paraId="372713D1"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------1300688, ‘Status of oncho information support’, 20 February 1985.</w:t>
      </w:r>
    </w:p>
    <w:p w14:paraId="7130166F" w14:textId="77777777" w:rsidR="0033493D" w:rsidRPr="00233532" w:rsidRDefault="0033493D" w:rsidP="0033493D">
      <w:pPr>
        <w:pStyle w:val="FootnoteText"/>
        <w:rPr>
          <w:rFonts w:ascii="Calibri" w:hAnsi="Calibri" w:cs="Calibri"/>
          <w:color w:val="000000" w:themeColor="text1"/>
          <w:sz w:val="22"/>
          <w:szCs w:val="22"/>
        </w:rPr>
      </w:pPr>
    </w:p>
    <w:p w14:paraId="5CD99489"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------1300688, ‘Technical note: promotion of Onchocerciasis Control Program (OCP in Africa)’, [1987].</w:t>
      </w:r>
    </w:p>
    <w:p w14:paraId="2224417C" w14:textId="77777777" w:rsidR="0033493D" w:rsidRPr="00233532" w:rsidRDefault="0033493D" w:rsidP="0033493D">
      <w:pPr>
        <w:pStyle w:val="FootnoteText"/>
        <w:rPr>
          <w:rFonts w:ascii="Calibri" w:hAnsi="Calibri" w:cs="Calibri"/>
          <w:color w:val="000000" w:themeColor="text1"/>
          <w:sz w:val="22"/>
          <w:szCs w:val="22"/>
        </w:rPr>
      </w:pPr>
    </w:p>
    <w:p w14:paraId="63F0F33C"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------1300688, Brennan to Benjenk, ‘Sahelian press tour: Upper Volta, Niger, Mali, June 22-July 2, 1982’, 14 December 1983.</w:t>
      </w:r>
    </w:p>
    <w:p w14:paraId="2DB01FB0" w14:textId="77777777" w:rsidR="0033493D" w:rsidRPr="00233532" w:rsidRDefault="0033493D" w:rsidP="0033493D">
      <w:pPr>
        <w:pStyle w:val="FootnoteText"/>
        <w:rPr>
          <w:rFonts w:ascii="Calibri" w:hAnsi="Calibri" w:cs="Calibri"/>
          <w:color w:val="000000" w:themeColor="text1"/>
          <w:sz w:val="22"/>
          <w:szCs w:val="22"/>
        </w:rPr>
      </w:pPr>
    </w:p>
    <w:p w14:paraId="58BC6313"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------1300688, Bruce Benton and Elizabeth Skinner, ‘Cost-benefits of onchocerciasis control (draft)’, September 1989.</w:t>
      </w:r>
    </w:p>
    <w:p w14:paraId="4E31BC53" w14:textId="77777777" w:rsidR="0033493D" w:rsidRPr="00233532" w:rsidRDefault="0033493D" w:rsidP="0033493D">
      <w:pPr>
        <w:pStyle w:val="FootnoteText"/>
        <w:rPr>
          <w:rFonts w:ascii="Calibri" w:hAnsi="Calibri" w:cs="Calibri"/>
          <w:color w:val="000000" w:themeColor="text1"/>
          <w:sz w:val="22"/>
          <w:szCs w:val="22"/>
        </w:rPr>
      </w:pPr>
    </w:p>
    <w:p w14:paraId="65128F9F"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------1300688, Bruce Benton to Pierre Lavau, 18 April 1986.</w:t>
      </w:r>
    </w:p>
    <w:p w14:paraId="141CADF1" w14:textId="77777777" w:rsidR="0033493D" w:rsidRPr="00233532" w:rsidRDefault="0033493D" w:rsidP="0033493D">
      <w:pPr>
        <w:pStyle w:val="FootnoteText"/>
        <w:rPr>
          <w:rFonts w:ascii="Calibri" w:hAnsi="Calibri" w:cs="Calibri"/>
          <w:color w:val="000000" w:themeColor="text1"/>
          <w:sz w:val="22"/>
          <w:szCs w:val="22"/>
        </w:rPr>
      </w:pPr>
    </w:p>
    <w:p w14:paraId="2B49AE99"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------1300688, Paul Danquah to Elliot Berg, 17 June 1983.</w:t>
      </w:r>
    </w:p>
    <w:p w14:paraId="44BBF853" w14:textId="77777777" w:rsidR="0033493D" w:rsidRPr="00233532" w:rsidRDefault="0033493D" w:rsidP="0033493D">
      <w:pPr>
        <w:pStyle w:val="FootnoteText"/>
        <w:rPr>
          <w:rFonts w:ascii="Calibri" w:hAnsi="Calibri" w:cs="Calibri"/>
          <w:color w:val="000000" w:themeColor="text1"/>
          <w:sz w:val="22"/>
          <w:szCs w:val="22"/>
        </w:rPr>
      </w:pPr>
    </w:p>
    <w:p w14:paraId="7A3272B2"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------1300688, World Bank News, Volume III, No. 32, 4 August 1984.</w:t>
      </w:r>
    </w:p>
    <w:p w14:paraId="7C67221A" w14:textId="77777777" w:rsidR="0033493D" w:rsidRPr="00233532" w:rsidRDefault="0033493D" w:rsidP="0033493D">
      <w:pPr>
        <w:pStyle w:val="FootnoteText"/>
        <w:rPr>
          <w:rFonts w:ascii="Calibri" w:hAnsi="Calibri" w:cs="Calibri"/>
          <w:color w:val="000000" w:themeColor="text1"/>
          <w:sz w:val="22"/>
          <w:szCs w:val="22"/>
        </w:rPr>
      </w:pPr>
    </w:p>
    <w:p w14:paraId="1B944100"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------1300874, JP Dailly to Files, ‘Back to office report donors meeting 1984’, 2 November 1984.</w:t>
      </w:r>
    </w:p>
    <w:p w14:paraId="218E52BA" w14:textId="77777777" w:rsidR="0033493D" w:rsidRPr="00233532" w:rsidRDefault="0033493D" w:rsidP="0033493D">
      <w:pPr>
        <w:pStyle w:val="FootnoteText"/>
        <w:rPr>
          <w:rFonts w:ascii="Calibri" w:hAnsi="Calibri" w:cs="Calibri"/>
          <w:color w:val="000000" w:themeColor="text1"/>
          <w:sz w:val="22"/>
          <w:szCs w:val="22"/>
        </w:rPr>
      </w:pPr>
    </w:p>
    <w:p w14:paraId="6C08661C" w14:textId="77777777" w:rsidR="0033493D" w:rsidRPr="00233532" w:rsidRDefault="0033493D" w:rsidP="0033493D">
      <w:pPr>
        <w:rPr>
          <w:rFonts w:ascii="Calibri" w:hAnsi="Calibri" w:cs="Calibri"/>
          <w:color w:val="000000" w:themeColor="text1"/>
          <w:sz w:val="22"/>
          <w:szCs w:val="22"/>
          <w:lang w:eastAsia="en-GB"/>
        </w:rPr>
      </w:pPr>
      <w:r w:rsidRPr="00233532">
        <w:rPr>
          <w:rFonts w:ascii="Calibri" w:hAnsi="Calibri" w:cs="Calibri"/>
          <w:color w:val="000000" w:themeColor="text1"/>
          <w:sz w:val="22"/>
          <w:szCs w:val="22"/>
        </w:rPr>
        <w:t>------</w:t>
      </w:r>
      <w:r w:rsidRPr="00233532">
        <w:rPr>
          <w:rFonts w:ascii="Calibri" w:hAnsi="Calibri" w:cs="Calibri"/>
          <w:color w:val="000000" w:themeColor="text1"/>
          <w:sz w:val="22"/>
          <w:szCs w:val="22"/>
          <w:lang w:eastAsia="en-GB"/>
        </w:rPr>
        <w:t xml:space="preserve">1428489, ‘International Bank for Reconstruction and Development as administrator of the special account of the Onchocerciasis (river blindness) Control Programme – phase III statement of cash receipts, disbursements and fund balance’, [1992]. </w:t>
      </w:r>
    </w:p>
    <w:p w14:paraId="19423763" w14:textId="77777777" w:rsidR="0033493D" w:rsidRPr="00233532" w:rsidRDefault="0033493D" w:rsidP="0033493D">
      <w:pPr>
        <w:rPr>
          <w:rFonts w:ascii="Calibri" w:hAnsi="Calibri" w:cs="Calibri"/>
          <w:color w:val="000000" w:themeColor="text1"/>
          <w:sz w:val="22"/>
          <w:szCs w:val="22"/>
          <w:lang w:eastAsia="en-GB"/>
        </w:rPr>
      </w:pPr>
    </w:p>
    <w:p w14:paraId="1C538425" w14:textId="77777777" w:rsidR="0033493D" w:rsidRPr="00233532" w:rsidRDefault="0033493D" w:rsidP="0033493D">
      <w:pPr>
        <w:rPr>
          <w:rFonts w:ascii="Calibri" w:hAnsi="Calibri" w:cs="Calibri"/>
          <w:color w:val="000000" w:themeColor="text1"/>
          <w:sz w:val="22"/>
          <w:szCs w:val="22"/>
        </w:rPr>
      </w:pPr>
      <w:r w:rsidRPr="00233532">
        <w:rPr>
          <w:rFonts w:ascii="Calibri" w:hAnsi="Calibri" w:cs="Calibri"/>
          <w:color w:val="000000" w:themeColor="text1"/>
          <w:sz w:val="22"/>
          <w:szCs w:val="22"/>
        </w:rPr>
        <w:t>------1428489, ‘Mid-term (phase IV) prospective evaluation of the Onchocerciasis Control Programme in West Africa’, June 1994.</w:t>
      </w:r>
    </w:p>
    <w:p w14:paraId="4B01353D" w14:textId="77777777" w:rsidR="0033493D" w:rsidRPr="00233532" w:rsidRDefault="0033493D" w:rsidP="0033493D">
      <w:pPr>
        <w:rPr>
          <w:rFonts w:ascii="Calibri" w:hAnsi="Calibri" w:cs="Calibri"/>
          <w:color w:val="000000" w:themeColor="text1"/>
          <w:sz w:val="22"/>
          <w:szCs w:val="22"/>
        </w:rPr>
      </w:pPr>
    </w:p>
    <w:p w14:paraId="08644F0A" w14:textId="77777777" w:rsidR="0033493D" w:rsidRPr="00233532" w:rsidRDefault="0033493D" w:rsidP="0033493D">
      <w:pPr>
        <w:pStyle w:val="FootnoteText"/>
        <w:rPr>
          <w:rFonts w:ascii="Calibri" w:hAnsi="Calibri" w:cs="Calibri"/>
          <w:color w:val="000000" w:themeColor="text1"/>
          <w:sz w:val="22"/>
          <w:szCs w:val="22"/>
          <w:lang w:eastAsia="en-GB"/>
        </w:rPr>
      </w:pPr>
      <w:r w:rsidRPr="00233532">
        <w:rPr>
          <w:rFonts w:ascii="Calibri" w:hAnsi="Calibri" w:cs="Calibri"/>
          <w:color w:val="000000" w:themeColor="text1"/>
          <w:sz w:val="22"/>
          <w:szCs w:val="22"/>
        </w:rPr>
        <w:t>------</w:t>
      </w:r>
      <w:r w:rsidRPr="00233532">
        <w:rPr>
          <w:rFonts w:ascii="Calibri" w:hAnsi="Calibri" w:cs="Calibri"/>
          <w:color w:val="000000" w:themeColor="text1"/>
          <w:sz w:val="22"/>
          <w:szCs w:val="22"/>
          <w:lang w:eastAsia="en-GB"/>
        </w:rPr>
        <w:t>1428489, ‘OCP/91.1, Table 1, budget by programme activity’, 1991.</w:t>
      </w:r>
    </w:p>
    <w:p w14:paraId="0B38D900" w14:textId="77777777" w:rsidR="0033493D" w:rsidRPr="00233532" w:rsidRDefault="0033493D" w:rsidP="0033493D">
      <w:pPr>
        <w:pStyle w:val="FootnoteText"/>
        <w:rPr>
          <w:rFonts w:ascii="Calibri" w:hAnsi="Calibri" w:cs="Calibri"/>
          <w:color w:val="000000" w:themeColor="text1"/>
          <w:sz w:val="22"/>
          <w:szCs w:val="22"/>
          <w:lang w:eastAsia="en-GB"/>
        </w:rPr>
      </w:pPr>
    </w:p>
    <w:p w14:paraId="1EE9887A"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------1428489, ‘Points for consideration (Chairman)’, 6 May 1994.</w:t>
      </w:r>
    </w:p>
    <w:p w14:paraId="002581FF" w14:textId="77777777" w:rsidR="0033493D" w:rsidRPr="00233532" w:rsidRDefault="0033493D" w:rsidP="0033493D">
      <w:pPr>
        <w:pStyle w:val="FootnoteText"/>
        <w:rPr>
          <w:rFonts w:ascii="Calibri" w:hAnsi="Calibri" w:cs="Calibri"/>
          <w:color w:val="000000" w:themeColor="text1"/>
          <w:sz w:val="22"/>
          <w:szCs w:val="22"/>
        </w:rPr>
      </w:pPr>
    </w:p>
    <w:p w14:paraId="39F8C6AA"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------1428489, ‘Points for consideration’, [October 1994].</w:t>
      </w:r>
    </w:p>
    <w:p w14:paraId="17EA35FD" w14:textId="77777777" w:rsidR="0033493D" w:rsidRPr="00233532" w:rsidRDefault="0033493D" w:rsidP="0033493D">
      <w:pPr>
        <w:pStyle w:val="FootnoteText"/>
        <w:rPr>
          <w:rFonts w:ascii="Calibri" w:hAnsi="Calibri" w:cs="Calibri"/>
          <w:color w:val="000000" w:themeColor="text1"/>
          <w:sz w:val="22"/>
          <w:szCs w:val="22"/>
        </w:rPr>
      </w:pPr>
    </w:p>
    <w:p w14:paraId="0F25DEB0"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------1428489, ‘World Bank presentation, financing the Onchocerciasis Control Program’, 1994.</w:t>
      </w:r>
    </w:p>
    <w:p w14:paraId="3ADCCD1F" w14:textId="77777777" w:rsidR="0033493D" w:rsidRPr="00233532" w:rsidRDefault="0033493D" w:rsidP="0033493D">
      <w:pPr>
        <w:pStyle w:val="FootnoteText"/>
        <w:rPr>
          <w:rFonts w:ascii="Calibri" w:hAnsi="Calibri" w:cs="Calibri"/>
          <w:color w:val="000000" w:themeColor="text1"/>
          <w:sz w:val="22"/>
          <w:szCs w:val="22"/>
        </w:rPr>
      </w:pPr>
    </w:p>
    <w:p w14:paraId="43B5E72B"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------1428489, [Handwritten notes, donors meeting], [October 1994].</w:t>
      </w:r>
    </w:p>
    <w:p w14:paraId="34722C59" w14:textId="77777777" w:rsidR="0033493D" w:rsidRPr="00233532" w:rsidRDefault="0033493D" w:rsidP="0033493D">
      <w:pPr>
        <w:pStyle w:val="FootnoteText"/>
        <w:rPr>
          <w:rFonts w:ascii="Calibri" w:hAnsi="Calibri" w:cs="Calibri"/>
          <w:color w:val="000000" w:themeColor="text1"/>
          <w:sz w:val="22"/>
          <w:szCs w:val="22"/>
        </w:rPr>
      </w:pPr>
    </w:p>
    <w:p w14:paraId="1B1C1000"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------1428489, Bruce Benton to Jean Louis Sarbib, ‘Briefing on donors’ conference/annotated agenda’, 25 October 1994.</w:t>
      </w:r>
    </w:p>
    <w:p w14:paraId="1E9E9649" w14:textId="77777777" w:rsidR="0033493D" w:rsidRPr="00233532" w:rsidRDefault="0033493D" w:rsidP="0033493D">
      <w:pPr>
        <w:pStyle w:val="FootnoteText"/>
        <w:rPr>
          <w:rFonts w:ascii="Calibri" w:hAnsi="Calibri" w:cs="Calibri"/>
          <w:color w:val="000000" w:themeColor="text1"/>
          <w:sz w:val="22"/>
          <w:szCs w:val="22"/>
        </w:rPr>
      </w:pPr>
    </w:p>
    <w:p w14:paraId="44F83088"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------1428489, Cost-benefit analysis presentation slides, [November 1994].</w:t>
      </w:r>
    </w:p>
    <w:p w14:paraId="006AAC39" w14:textId="77777777" w:rsidR="0033493D" w:rsidRPr="00233532" w:rsidRDefault="0033493D" w:rsidP="0033493D">
      <w:pPr>
        <w:pStyle w:val="FootnoteText"/>
        <w:rPr>
          <w:rFonts w:ascii="Calibri" w:hAnsi="Calibri" w:cs="Calibri"/>
          <w:color w:val="000000" w:themeColor="text1"/>
          <w:sz w:val="22"/>
          <w:szCs w:val="22"/>
        </w:rPr>
      </w:pPr>
    </w:p>
    <w:p w14:paraId="175DBFE1"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------1428489, J. Frank Walsh, ‘Review of human onchocerciasis in Africa outside the OCP countries with recommendations on control’, November-December 1993.</w:t>
      </w:r>
    </w:p>
    <w:p w14:paraId="0296E4EC" w14:textId="77777777" w:rsidR="0033493D" w:rsidRPr="003A4BF2" w:rsidRDefault="0033493D" w:rsidP="0033493D">
      <w:pPr>
        <w:pStyle w:val="Footnotes"/>
        <w:rPr>
          <w:rFonts w:ascii="Calibri" w:hAnsi="Calibri" w:cs="Calibri"/>
          <w:sz w:val="22"/>
          <w:szCs w:val="22"/>
        </w:rPr>
      </w:pPr>
    </w:p>
    <w:p w14:paraId="71D8E9F7" w14:textId="77777777" w:rsidR="0033493D" w:rsidRPr="007A123B"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t>
      </w:r>
      <w:r w:rsidRPr="00E12758">
        <w:rPr>
          <w:rFonts w:ascii="Calibri" w:hAnsi="Calibri" w:cs="Calibri"/>
          <w:color w:val="000000" w:themeColor="text1"/>
          <w:sz w:val="22"/>
          <w:szCs w:val="22"/>
        </w:rPr>
        <w:t>1428489, Jean-Louis Sarbib, ‘Opening cerem</w:t>
      </w:r>
      <w:r w:rsidRPr="00766A1F">
        <w:rPr>
          <w:rFonts w:ascii="Calibri" w:hAnsi="Calibri" w:cs="Calibri"/>
          <w:color w:val="000000" w:themeColor="text1"/>
          <w:sz w:val="22"/>
          <w:szCs w:val="22"/>
        </w:rPr>
        <w:t>ony, donor conference, Geneva’, 1994.</w:t>
      </w:r>
    </w:p>
    <w:p w14:paraId="2994A215" w14:textId="77777777" w:rsidR="0033493D" w:rsidRPr="00233532" w:rsidRDefault="0033493D" w:rsidP="0033493D">
      <w:pPr>
        <w:pStyle w:val="FootnoteText"/>
        <w:rPr>
          <w:rFonts w:ascii="Calibri" w:hAnsi="Calibri" w:cs="Calibri"/>
          <w:color w:val="000000" w:themeColor="text1"/>
          <w:sz w:val="22"/>
          <w:szCs w:val="22"/>
        </w:rPr>
      </w:pPr>
    </w:p>
    <w:p w14:paraId="461ABD72"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------1428489, Joint Programme Committee, ‘Progress report of the World Health Organization for 1994’, December 1994.</w:t>
      </w:r>
    </w:p>
    <w:p w14:paraId="0AE292A3" w14:textId="77777777" w:rsidR="0033493D" w:rsidRPr="00233532" w:rsidRDefault="0033493D" w:rsidP="0033493D">
      <w:pPr>
        <w:pStyle w:val="FootnoteText"/>
        <w:rPr>
          <w:rFonts w:ascii="Calibri" w:hAnsi="Calibri" w:cs="Calibri"/>
          <w:color w:val="000000" w:themeColor="text1"/>
          <w:sz w:val="22"/>
          <w:szCs w:val="22"/>
        </w:rPr>
      </w:pPr>
    </w:p>
    <w:p w14:paraId="312030FC"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------1434979, ‘IBRD press release - grand strategy against river blindness: Volta river basin target for $120 million campaign’, 5 September 1973.</w:t>
      </w:r>
    </w:p>
    <w:p w14:paraId="3B040F1C" w14:textId="77777777" w:rsidR="0033493D" w:rsidRPr="00233532" w:rsidRDefault="0033493D" w:rsidP="0033493D">
      <w:pPr>
        <w:pStyle w:val="FootnoteText"/>
        <w:rPr>
          <w:rFonts w:ascii="Calibri" w:hAnsi="Calibri" w:cs="Calibri"/>
          <w:color w:val="000000" w:themeColor="text1"/>
          <w:sz w:val="22"/>
          <w:szCs w:val="22"/>
        </w:rPr>
      </w:pPr>
    </w:p>
    <w:p w14:paraId="25C47DAA"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------1434979, Bilsel Alisbah to Roger Chaufournier, ‘Onchocerciasis Control Program JCC meeting of December 5-8’, 12 December 1978.</w:t>
      </w:r>
    </w:p>
    <w:p w14:paraId="7E15AA16" w14:textId="77777777" w:rsidR="0033493D" w:rsidRPr="00233532" w:rsidRDefault="0033493D" w:rsidP="0033493D">
      <w:pPr>
        <w:pStyle w:val="FootnoteText"/>
        <w:rPr>
          <w:rFonts w:ascii="Calibri" w:hAnsi="Calibri" w:cs="Calibri"/>
          <w:color w:val="000000" w:themeColor="text1"/>
          <w:sz w:val="22"/>
          <w:szCs w:val="22"/>
        </w:rPr>
      </w:pPr>
    </w:p>
    <w:p w14:paraId="202B0B33"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------1434979, Bilsel Alsibah to Ernest Stern, ‘Onchocerciasis Control Program: aircraft contract’, 14 April 1979.</w:t>
      </w:r>
    </w:p>
    <w:p w14:paraId="2E596B16" w14:textId="77777777" w:rsidR="0033493D" w:rsidRPr="00233532" w:rsidRDefault="0033493D" w:rsidP="0033493D">
      <w:pPr>
        <w:pStyle w:val="FootnoteText"/>
        <w:rPr>
          <w:rFonts w:ascii="Calibri" w:hAnsi="Calibri" w:cs="Calibri"/>
          <w:color w:val="000000" w:themeColor="text1"/>
          <w:sz w:val="22"/>
          <w:szCs w:val="22"/>
        </w:rPr>
      </w:pPr>
    </w:p>
    <w:p w14:paraId="376DF060"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------1438752, ‘Onchocerciasis Fund Agreement 1979’, Table 3, 19 September 1979.</w:t>
      </w:r>
    </w:p>
    <w:p w14:paraId="0FAB745C" w14:textId="77777777" w:rsidR="0033493D" w:rsidRPr="00233532" w:rsidRDefault="0033493D" w:rsidP="0033493D">
      <w:pPr>
        <w:pStyle w:val="FootnoteText"/>
        <w:rPr>
          <w:rFonts w:ascii="Calibri" w:hAnsi="Calibri" w:cs="Calibri"/>
          <w:color w:val="000000" w:themeColor="text1"/>
          <w:sz w:val="22"/>
          <w:szCs w:val="22"/>
        </w:rPr>
      </w:pPr>
    </w:p>
    <w:p w14:paraId="3F9BACF6"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------1629773, ‘Press kit’, [1983].</w:t>
      </w:r>
    </w:p>
    <w:p w14:paraId="52473467" w14:textId="77777777" w:rsidR="0033493D" w:rsidRPr="00233532" w:rsidRDefault="0033493D" w:rsidP="0033493D">
      <w:pPr>
        <w:pStyle w:val="FootnoteText"/>
        <w:rPr>
          <w:rFonts w:ascii="Calibri" w:hAnsi="Calibri" w:cs="Calibri"/>
          <w:color w:val="000000" w:themeColor="text1"/>
          <w:sz w:val="22"/>
          <w:szCs w:val="22"/>
        </w:rPr>
      </w:pPr>
    </w:p>
    <w:p w14:paraId="10B247DC"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------1633229, Alden Clausen to Halfdan Mahler, 25 June 1984.</w:t>
      </w:r>
    </w:p>
    <w:p w14:paraId="227B80BD" w14:textId="77777777" w:rsidR="0033493D" w:rsidRPr="00233532" w:rsidRDefault="0033493D" w:rsidP="0033493D">
      <w:pPr>
        <w:pStyle w:val="FootnoteText"/>
        <w:rPr>
          <w:rFonts w:ascii="Calibri" w:hAnsi="Calibri" w:cs="Calibri"/>
          <w:color w:val="000000" w:themeColor="text1"/>
          <w:sz w:val="22"/>
          <w:szCs w:val="22"/>
        </w:rPr>
      </w:pPr>
    </w:p>
    <w:p w14:paraId="7706A6E0"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------1772444, ‘Bill Moyers’ journal: international report, “A conversation with Robert McNamara”’, 6 February 1975.</w:t>
      </w:r>
    </w:p>
    <w:p w14:paraId="553CE5DF" w14:textId="77777777" w:rsidR="0033493D" w:rsidRPr="00233532" w:rsidRDefault="0033493D" w:rsidP="0033493D">
      <w:pPr>
        <w:pStyle w:val="FootnoteText"/>
        <w:rPr>
          <w:rFonts w:ascii="Calibri" w:hAnsi="Calibri" w:cs="Calibri"/>
          <w:color w:val="000000" w:themeColor="text1"/>
          <w:sz w:val="22"/>
          <w:szCs w:val="22"/>
        </w:rPr>
      </w:pPr>
    </w:p>
    <w:p w14:paraId="1C4B77A7"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------1864992, ‘Annual Bank staff report to the Executive Directors on the riverblindness (Onchocerciasis) Control Programme, [December 1982].</w:t>
      </w:r>
    </w:p>
    <w:p w14:paraId="1639FAC4" w14:textId="77777777" w:rsidR="0033493D" w:rsidRPr="003A4BF2" w:rsidRDefault="0033493D" w:rsidP="0033493D">
      <w:pPr>
        <w:pStyle w:val="Footnotes"/>
        <w:rPr>
          <w:rFonts w:ascii="Calibri" w:hAnsi="Calibri" w:cs="Calibri"/>
          <w:sz w:val="22"/>
          <w:szCs w:val="22"/>
        </w:rPr>
      </w:pPr>
    </w:p>
    <w:p w14:paraId="4955F46A" w14:textId="77777777" w:rsidR="0033493D" w:rsidRPr="00766A1F"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t>
      </w:r>
      <w:r w:rsidRPr="00E12758">
        <w:rPr>
          <w:rFonts w:ascii="Calibri" w:hAnsi="Calibri" w:cs="Calibri"/>
          <w:color w:val="000000" w:themeColor="text1"/>
          <w:sz w:val="22"/>
          <w:szCs w:val="22"/>
        </w:rPr>
        <w:t>1865076, ‘Press k</w:t>
      </w:r>
      <w:r w:rsidRPr="00766A1F">
        <w:rPr>
          <w:rFonts w:ascii="Calibri" w:hAnsi="Calibri" w:cs="Calibri"/>
          <w:color w:val="000000" w:themeColor="text1"/>
          <w:sz w:val="22"/>
          <w:szCs w:val="22"/>
        </w:rPr>
        <w:t>it’, 1985.</w:t>
      </w:r>
    </w:p>
    <w:p w14:paraId="018E5DBA" w14:textId="77777777" w:rsidR="0033493D" w:rsidRPr="007A123B" w:rsidRDefault="0033493D" w:rsidP="0033493D">
      <w:pPr>
        <w:pStyle w:val="FootnoteText"/>
        <w:rPr>
          <w:rFonts w:ascii="Calibri" w:hAnsi="Calibri" w:cs="Calibri"/>
          <w:color w:val="000000" w:themeColor="text1"/>
          <w:sz w:val="22"/>
          <w:szCs w:val="22"/>
        </w:rPr>
      </w:pPr>
    </w:p>
    <w:p w14:paraId="4DAE6C88"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------1865309, ‘Context for the fourth financial phase (1992-1997), bringing the programme to a successful conclusion’, [1991].</w:t>
      </w:r>
    </w:p>
    <w:p w14:paraId="37866D95" w14:textId="77777777" w:rsidR="0033493D" w:rsidRPr="00233532" w:rsidRDefault="0033493D" w:rsidP="0033493D">
      <w:pPr>
        <w:pStyle w:val="FootnoteText"/>
        <w:rPr>
          <w:rFonts w:ascii="Calibri" w:hAnsi="Calibri" w:cs="Calibri"/>
          <w:color w:val="000000" w:themeColor="text1"/>
          <w:sz w:val="22"/>
          <w:szCs w:val="22"/>
        </w:rPr>
      </w:pPr>
    </w:p>
    <w:p w14:paraId="3B26B9B5" w14:textId="77777777" w:rsidR="0033493D" w:rsidRPr="00233532" w:rsidRDefault="0033493D" w:rsidP="0033493D">
      <w:pPr>
        <w:rPr>
          <w:rFonts w:ascii="Calibri" w:hAnsi="Calibri" w:cs="Calibri"/>
          <w:color w:val="000000" w:themeColor="text1"/>
          <w:sz w:val="22"/>
          <w:szCs w:val="22"/>
        </w:rPr>
      </w:pPr>
      <w:r w:rsidRPr="00233532">
        <w:rPr>
          <w:rFonts w:ascii="Calibri" w:hAnsi="Calibri" w:cs="Calibri"/>
          <w:color w:val="000000" w:themeColor="text1"/>
          <w:sz w:val="22"/>
          <w:szCs w:val="22"/>
        </w:rPr>
        <w:t>------1865309, ‘OCP EXPENDITURES [computer print-out]’, 11 September 1997.</w:t>
      </w:r>
    </w:p>
    <w:p w14:paraId="57AF20A8" w14:textId="77777777" w:rsidR="0033493D" w:rsidRPr="00233532" w:rsidRDefault="0033493D" w:rsidP="0033493D">
      <w:pPr>
        <w:rPr>
          <w:rFonts w:ascii="Calibri" w:hAnsi="Calibri" w:cs="Calibri"/>
          <w:color w:val="000000" w:themeColor="text1"/>
          <w:sz w:val="22"/>
          <w:szCs w:val="22"/>
        </w:rPr>
      </w:pPr>
    </w:p>
    <w:p w14:paraId="7484A6F1" w14:textId="77777777" w:rsidR="0033493D" w:rsidRPr="00233532" w:rsidRDefault="0033493D" w:rsidP="0033493D">
      <w:pPr>
        <w:rPr>
          <w:rFonts w:ascii="Calibri" w:hAnsi="Calibri" w:cs="Calibri"/>
          <w:color w:val="000000" w:themeColor="text1"/>
          <w:sz w:val="22"/>
          <w:szCs w:val="22"/>
          <w:lang w:eastAsia="en-GB"/>
        </w:rPr>
      </w:pPr>
      <w:r w:rsidRPr="00233532">
        <w:rPr>
          <w:rFonts w:ascii="Calibri" w:hAnsi="Calibri" w:cs="Calibri"/>
          <w:color w:val="000000" w:themeColor="text1"/>
          <w:sz w:val="22"/>
          <w:szCs w:val="22"/>
        </w:rPr>
        <w:t>------</w:t>
      </w:r>
      <w:r w:rsidRPr="00233532">
        <w:rPr>
          <w:rFonts w:ascii="Calibri" w:hAnsi="Calibri" w:cs="Calibri"/>
          <w:color w:val="000000" w:themeColor="text1"/>
          <w:sz w:val="22"/>
          <w:szCs w:val="22"/>
          <w:lang w:eastAsia="en-GB"/>
        </w:rPr>
        <w:t>1865309, ‘Table 2, budget by category of expenditure, draft copy’, 14 June 1993.</w:t>
      </w:r>
    </w:p>
    <w:p w14:paraId="20056A8E" w14:textId="77777777" w:rsidR="0033493D" w:rsidRPr="00233532" w:rsidRDefault="0033493D" w:rsidP="0033493D">
      <w:pPr>
        <w:rPr>
          <w:rFonts w:ascii="Calibri" w:hAnsi="Calibri" w:cs="Calibri"/>
          <w:color w:val="000000" w:themeColor="text1"/>
          <w:sz w:val="22"/>
          <w:szCs w:val="22"/>
          <w:lang w:eastAsia="en-GB"/>
        </w:rPr>
      </w:pPr>
    </w:p>
    <w:p w14:paraId="0AD59EEF" w14:textId="77777777" w:rsidR="0033493D" w:rsidRPr="00233532" w:rsidRDefault="0033493D" w:rsidP="0033493D">
      <w:pPr>
        <w:rPr>
          <w:rFonts w:ascii="Calibri" w:hAnsi="Calibri" w:cs="Calibri"/>
          <w:color w:val="000000" w:themeColor="text1"/>
          <w:sz w:val="22"/>
          <w:szCs w:val="22"/>
          <w:lang w:eastAsia="en-GB"/>
        </w:rPr>
      </w:pPr>
      <w:r w:rsidRPr="00233532">
        <w:rPr>
          <w:rFonts w:ascii="Calibri" w:hAnsi="Calibri" w:cs="Calibri"/>
          <w:color w:val="000000" w:themeColor="text1"/>
          <w:sz w:val="22"/>
          <w:szCs w:val="22"/>
        </w:rPr>
        <w:t>------</w:t>
      </w:r>
      <w:r w:rsidRPr="00233532">
        <w:rPr>
          <w:rFonts w:ascii="Calibri" w:hAnsi="Calibri" w:cs="Calibri"/>
          <w:color w:val="000000" w:themeColor="text1"/>
          <w:sz w:val="22"/>
          <w:szCs w:val="22"/>
          <w:lang w:eastAsia="en-GB"/>
        </w:rPr>
        <w:t>1865310, ‘FY97-99 business plan proposal for special grants program funding ongoing grant’, [1997].</w:t>
      </w:r>
    </w:p>
    <w:p w14:paraId="403EE608" w14:textId="77777777" w:rsidR="0033493D" w:rsidRPr="00233532" w:rsidRDefault="0033493D" w:rsidP="0033493D">
      <w:pPr>
        <w:rPr>
          <w:rFonts w:ascii="Calibri" w:hAnsi="Calibri" w:cs="Calibri"/>
          <w:color w:val="000000" w:themeColor="text1"/>
          <w:sz w:val="22"/>
          <w:szCs w:val="22"/>
          <w:lang w:eastAsia="en-GB"/>
        </w:rPr>
      </w:pPr>
    </w:p>
    <w:p w14:paraId="480B8504" w14:textId="77777777" w:rsidR="0033493D" w:rsidRPr="00233532" w:rsidRDefault="0033493D" w:rsidP="0033493D">
      <w:pPr>
        <w:rPr>
          <w:rFonts w:ascii="Calibri" w:hAnsi="Calibri" w:cs="Calibri"/>
          <w:color w:val="000000" w:themeColor="text1"/>
          <w:sz w:val="22"/>
          <w:szCs w:val="22"/>
          <w:lang w:eastAsia="en-GB"/>
        </w:rPr>
      </w:pPr>
      <w:r w:rsidRPr="00233532">
        <w:rPr>
          <w:rFonts w:ascii="Calibri" w:hAnsi="Calibri" w:cs="Calibri"/>
          <w:color w:val="000000" w:themeColor="text1"/>
          <w:sz w:val="22"/>
          <w:szCs w:val="22"/>
        </w:rPr>
        <w:t>------</w:t>
      </w:r>
      <w:r w:rsidRPr="00233532">
        <w:rPr>
          <w:rFonts w:ascii="Calibri" w:hAnsi="Calibri" w:cs="Calibri"/>
          <w:color w:val="000000" w:themeColor="text1"/>
          <w:sz w:val="22"/>
          <w:szCs w:val="22"/>
          <w:lang w:eastAsia="en-GB"/>
        </w:rPr>
        <w:t>1865310, ‘JCP17.4, figure 2, budget by category of expenditure’, 1997.</w:t>
      </w:r>
    </w:p>
    <w:p w14:paraId="7CFAC88F" w14:textId="77777777" w:rsidR="0033493D" w:rsidRPr="00233532" w:rsidRDefault="0033493D" w:rsidP="0033493D">
      <w:pPr>
        <w:rPr>
          <w:rFonts w:ascii="Calibri" w:hAnsi="Calibri" w:cs="Calibri"/>
          <w:color w:val="000000" w:themeColor="text1"/>
          <w:sz w:val="22"/>
          <w:szCs w:val="22"/>
          <w:lang w:eastAsia="en-GB"/>
        </w:rPr>
      </w:pPr>
    </w:p>
    <w:p w14:paraId="3BED1B8C"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------1865310, ‘OCP business plan 1995-1996-1998’, [1994].</w:t>
      </w:r>
    </w:p>
    <w:p w14:paraId="12469E9B" w14:textId="77777777" w:rsidR="0033493D" w:rsidRPr="00233532" w:rsidRDefault="0033493D" w:rsidP="0033493D">
      <w:pPr>
        <w:pStyle w:val="FootnoteText"/>
        <w:rPr>
          <w:rFonts w:ascii="Calibri" w:hAnsi="Calibri" w:cs="Calibri"/>
          <w:color w:val="000000" w:themeColor="text1"/>
          <w:sz w:val="22"/>
          <w:szCs w:val="22"/>
        </w:rPr>
      </w:pPr>
    </w:p>
    <w:p w14:paraId="3A3F647E"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------1865310, ‘Special Grants Program, approved FY97 grants - sponsored by afr’, [1996].</w:t>
      </w:r>
    </w:p>
    <w:p w14:paraId="2CFF1ADA" w14:textId="77777777" w:rsidR="0033493D" w:rsidRPr="00233532" w:rsidRDefault="0033493D" w:rsidP="0033493D">
      <w:pPr>
        <w:pStyle w:val="FootnoteText"/>
        <w:rPr>
          <w:rFonts w:ascii="Calibri" w:hAnsi="Calibri" w:cs="Calibri"/>
          <w:color w:val="000000" w:themeColor="text1"/>
          <w:sz w:val="22"/>
          <w:szCs w:val="22"/>
        </w:rPr>
      </w:pPr>
    </w:p>
    <w:p w14:paraId="51B5F84F"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------1865310, Bruce Benton to Tom Merrick, ‘Comments on draft review of PHN SGPs - administration support and the riverblindness (oncho) programs’, 14 March 1996. </w:t>
      </w:r>
    </w:p>
    <w:p w14:paraId="4D03C3BE" w14:textId="77777777" w:rsidR="0033493D" w:rsidRPr="00233532" w:rsidRDefault="0033493D" w:rsidP="0033493D">
      <w:pPr>
        <w:pStyle w:val="FootnoteText"/>
        <w:rPr>
          <w:rFonts w:ascii="Calibri" w:hAnsi="Calibri" w:cs="Calibri"/>
          <w:color w:val="000000" w:themeColor="text1"/>
          <w:sz w:val="22"/>
          <w:szCs w:val="22"/>
        </w:rPr>
      </w:pPr>
    </w:p>
    <w:p w14:paraId="24793015"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------1865310, David de Ferranti to Distribution, ‘Review of Special Grants Programs for Population, Health and Nutrition’, 30 January 1996.</w:t>
      </w:r>
    </w:p>
    <w:p w14:paraId="58366A39" w14:textId="77777777" w:rsidR="0033493D" w:rsidRPr="00233532" w:rsidRDefault="0033493D" w:rsidP="0033493D">
      <w:pPr>
        <w:pStyle w:val="FootnoteText"/>
        <w:rPr>
          <w:rFonts w:ascii="Calibri" w:hAnsi="Calibri" w:cs="Calibri"/>
          <w:color w:val="000000" w:themeColor="text1"/>
          <w:sz w:val="22"/>
          <w:szCs w:val="22"/>
        </w:rPr>
      </w:pPr>
    </w:p>
    <w:p w14:paraId="3A95E952"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------1865310, Katherine Marshall to Myla Williams, ‘Rationale for continued funding of administrative costs for the Bank’s riverblindness (onchocerciasis) unit from the SGP budget, and business plan for OCP, FY95-97’, 29 March 1994.</w:t>
      </w:r>
    </w:p>
    <w:p w14:paraId="2424B5C0" w14:textId="77777777" w:rsidR="0033493D" w:rsidRPr="00233532" w:rsidRDefault="0033493D" w:rsidP="0033493D">
      <w:pPr>
        <w:pStyle w:val="FootnoteText"/>
        <w:rPr>
          <w:rFonts w:ascii="Calibri" w:hAnsi="Calibri" w:cs="Calibri"/>
          <w:color w:val="000000" w:themeColor="text1"/>
          <w:sz w:val="22"/>
          <w:szCs w:val="22"/>
        </w:rPr>
      </w:pPr>
    </w:p>
    <w:p w14:paraId="2F5D3AC0"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------1865310, Myla T. Williams to Jean-Louis Sarbib, ‘AF5’s FY96-98 special grants proposals’, 20 June 1995.</w:t>
      </w:r>
    </w:p>
    <w:p w14:paraId="26A3B3D7" w14:textId="77777777" w:rsidR="0033493D" w:rsidRPr="00233532" w:rsidRDefault="0033493D" w:rsidP="0033493D">
      <w:pPr>
        <w:pStyle w:val="FootnoteText"/>
        <w:rPr>
          <w:rFonts w:ascii="Calibri" w:hAnsi="Calibri" w:cs="Calibri"/>
          <w:color w:val="000000" w:themeColor="text1"/>
          <w:sz w:val="22"/>
          <w:szCs w:val="22"/>
        </w:rPr>
      </w:pPr>
    </w:p>
    <w:p w14:paraId="7136FBA5"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------1865456, ‘Annual internal technical review meeting, Ouagadougou, 11-14 March (EAC 12)’, 1991.</w:t>
      </w:r>
    </w:p>
    <w:p w14:paraId="6560E026" w14:textId="77777777" w:rsidR="0033493D" w:rsidRPr="003A4BF2" w:rsidRDefault="0033493D" w:rsidP="0033493D">
      <w:pPr>
        <w:pStyle w:val="Footnotes"/>
        <w:rPr>
          <w:rFonts w:ascii="Calibri" w:hAnsi="Calibri" w:cs="Calibri"/>
          <w:sz w:val="22"/>
          <w:szCs w:val="22"/>
        </w:rPr>
      </w:pPr>
    </w:p>
    <w:p w14:paraId="508411B5"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t>
      </w:r>
      <w:r w:rsidRPr="00E12758">
        <w:rPr>
          <w:rFonts w:ascii="Calibri" w:hAnsi="Calibri" w:cs="Calibri"/>
          <w:color w:val="000000" w:themeColor="text1"/>
          <w:sz w:val="22"/>
          <w:szCs w:val="22"/>
        </w:rPr>
        <w:t>1865456, ‘Taki</w:t>
      </w:r>
      <w:r w:rsidRPr="00766A1F">
        <w:rPr>
          <w:rFonts w:ascii="Calibri" w:hAnsi="Calibri" w:cs="Calibri"/>
          <w:color w:val="000000" w:themeColor="text1"/>
          <w:sz w:val="22"/>
          <w:szCs w:val="22"/>
        </w:rPr>
        <w:t>ng the OCP to its end: minutes of a brainstorming meeting held during the June 1993 session of the Expert Advisory Commi</w:t>
      </w:r>
      <w:r w:rsidRPr="007A123B">
        <w:rPr>
          <w:rFonts w:ascii="Calibri" w:hAnsi="Calibri" w:cs="Calibri"/>
          <w:color w:val="000000" w:themeColor="text1"/>
          <w:sz w:val="22"/>
          <w:szCs w:val="22"/>
        </w:rPr>
        <w:t>ttee’, 1993.</w:t>
      </w:r>
    </w:p>
    <w:p w14:paraId="75A828EA" w14:textId="77777777" w:rsidR="0033493D" w:rsidRPr="00233532" w:rsidRDefault="0033493D" w:rsidP="0033493D">
      <w:pPr>
        <w:pStyle w:val="FootnoteText"/>
        <w:rPr>
          <w:rFonts w:ascii="Calibri" w:hAnsi="Calibri" w:cs="Calibri"/>
          <w:color w:val="000000" w:themeColor="text1"/>
          <w:sz w:val="22"/>
          <w:szCs w:val="22"/>
        </w:rPr>
      </w:pPr>
    </w:p>
    <w:p w14:paraId="4F3682E2"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------1865706, ‘CSA general 1985-89, aide memoire, UN 17/16, strictly confidential’, 26 October 1987.</w:t>
      </w:r>
    </w:p>
    <w:p w14:paraId="7947E4E6" w14:textId="77777777" w:rsidR="0033493D" w:rsidRPr="00233532" w:rsidRDefault="0033493D" w:rsidP="0033493D">
      <w:pPr>
        <w:pStyle w:val="FootnoteText"/>
        <w:rPr>
          <w:rFonts w:ascii="Calibri" w:hAnsi="Calibri" w:cs="Calibri"/>
          <w:color w:val="000000" w:themeColor="text1"/>
          <w:sz w:val="22"/>
          <w:szCs w:val="22"/>
        </w:rPr>
      </w:pPr>
    </w:p>
    <w:p w14:paraId="562552B9"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------1865706, M.S.O. Nicholas, ‘UN 17/16, strictly confidential, aide memoire’, 2 November 1987.</w:t>
      </w:r>
    </w:p>
    <w:p w14:paraId="70E3771E" w14:textId="77777777" w:rsidR="0033493D" w:rsidRPr="00233532" w:rsidRDefault="0033493D" w:rsidP="0033493D">
      <w:pPr>
        <w:pStyle w:val="FootnoteText"/>
        <w:rPr>
          <w:rFonts w:ascii="Calibri" w:hAnsi="Calibri" w:cs="Calibri"/>
          <w:color w:val="000000" w:themeColor="text1"/>
          <w:sz w:val="22"/>
          <w:szCs w:val="22"/>
        </w:rPr>
      </w:pPr>
    </w:p>
    <w:p w14:paraId="615DBA06"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------30137006, ‘Independent review of the OCT’, 1987.</w:t>
      </w:r>
    </w:p>
    <w:p w14:paraId="63B66965" w14:textId="77777777" w:rsidR="0033493D" w:rsidRPr="003A4BF2" w:rsidRDefault="0033493D" w:rsidP="0033493D">
      <w:pPr>
        <w:pStyle w:val="Footnotes"/>
        <w:rPr>
          <w:rFonts w:ascii="Calibri" w:hAnsi="Calibri" w:cs="Calibri"/>
          <w:sz w:val="22"/>
          <w:szCs w:val="22"/>
        </w:rPr>
      </w:pPr>
    </w:p>
    <w:p w14:paraId="67F63323"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lastRenderedPageBreak/>
        <w:t>------30137006, ‘Progress report of the onchocerciasis chemotherapy project (OCT) for 1990’, September 1990.</w:t>
      </w:r>
    </w:p>
    <w:p w14:paraId="6B14B1AF" w14:textId="77777777" w:rsidR="0033493D" w:rsidRPr="003A4BF2" w:rsidRDefault="0033493D" w:rsidP="0033493D">
      <w:pPr>
        <w:pStyle w:val="Footnotes"/>
        <w:rPr>
          <w:rFonts w:ascii="Calibri" w:hAnsi="Calibri" w:cs="Calibri"/>
          <w:sz w:val="22"/>
          <w:szCs w:val="22"/>
        </w:rPr>
      </w:pPr>
    </w:p>
    <w:p w14:paraId="13F17CF7"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------30137006, ‘Review of the onchocerciasis chemotherapy project’, [1990].</w:t>
      </w:r>
    </w:p>
    <w:p w14:paraId="3253C2E8" w14:textId="77777777" w:rsidR="0033493D" w:rsidRPr="003A4BF2" w:rsidRDefault="0033493D" w:rsidP="0033493D">
      <w:pPr>
        <w:pStyle w:val="Footnotes"/>
        <w:rPr>
          <w:rFonts w:ascii="Calibri" w:hAnsi="Calibri" w:cs="Calibri"/>
          <w:sz w:val="22"/>
          <w:szCs w:val="22"/>
        </w:rPr>
      </w:pPr>
    </w:p>
    <w:p w14:paraId="52691A71"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------30137006, ‘The Macrofil chemotherapy project, 1996-99’, [1996].</w:t>
      </w:r>
    </w:p>
    <w:p w14:paraId="25284AED" w14:textId="77777777" w:rsidR="0033493D" w:rsidRPr="003A4BF2" w:rsidRDefault="0033493D" w:rsidP="0033493D">
      <w:pPr>
        <w:pStyle w:val="Footnotes"/>
        <w:rPr>
          <w:rFonts w:ascii="Calibri" w:hAnsi="Calibri" w:cs="Calibri"/>
          <w:sz w:val="22"/>
          <w:szCs w:val="22"/>
        </w:rPr>
      </w:pPr>
    </w:p>
    <w:p w14:paraId="15CF32D4"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------30137028, ‘Macrofil (external review) – African Programme for Onchocerciasis Control [APOC], review of MACROFIL’, [1997].</w:t>
      </w:r>
    </w:p>
    <w:p w14:paraId="48DDA27E" w14:textId="77777777" w:rsidR="0033493D" w:rsidRPr="00233532" w:rsidRDefault="0033493D" w:rsidP="0033493D">
      <w:pPr>
        <w:pStyle w:val="FootnoteText"/>
        <w:rPr>
          <w:rFonts w:ascii="Calibri" w:hAnsi="Calibri" w:cs="Calibri"/>
          <w:color w:val="000000" w:themeColor="text1"/>
          <w:sz w:val="22"/>
          <w:szCs w:val="22"/>
        </w:rPr>
      </w:pPr>
    </w:p>
    <w:p w14:paraId="79AF8D71" w14:textId="77777777" w:rsidR="0033493D" w:rsidRPr="007A123B" w:rsidRDefault="0033493D" w:rsidP="0033493D">
      <w:pPr>
        <w:pStyle w:val="FootnoteText"/>
        <w:rPr>
          <w:rFonts w:ascii="Calibri" w:hAnsi="Calibri" w:cs="Calibri"/>
          <w:color w:val="000000" w:themeColor="text1"/>
          <w:sz w:val="22"/>
          <w:szCs w:val="22"/>
        </w:rPr>
      </w:pPr>
      <w:r w:rsidRPr="00E12758">
        <w:rPr>
          <w:rFonts w:ascii="Calibri" w:hAnsi="Calibri" w:cs="Calibri"/>
          <w:color w:val="000000" w:themeColor="text1"/>
          <w:sz w:val="22"/>
          <w:szCs w:val="22"/>
        </w:rPr>
        <w:t>------</w:t>
      </w:r>
      <w:r w:rsidRPr="00766A1F">
        <w:rPr>
          <w:rFonts w:ascii="Calibri" w:hAnsi="Calibri" w:cs="Calibri"/>
          <w:color w:val="000000" w:themeColor="text1"/>
          <w:sz w:val="22"/>
          <w:szCs w:val="22"/>
        </w:rPr>
        <w:t>30137063, Stephen Denning to Bilsel Alisbah, 1 July 1981.</w:t>
      </w:r>
    </w:p>
    <w:p w14:paraId="5ED227CD" w14:textId="77777777" w:rsidR="0033493D" w:rsidRPr="00233532" w:rsidRDefault="0033493D" w:rsidP="0033493D">
      <w:pPr>
        <w:pStyle w:val="FootnoteText"/>
        <w:rPr>
          <w:rFonts w:ascii="Calibri" w:hAnsi="Calibri" w:cs="Calibri"/>
          <w:color w:val="000000" w:themeColor="text1"/>
          <w:sz w:val="22"/>
          <w:szCs w:val="22"/>
        </w:rPr>
      </w:pPr>
    </w:p>
    <w:p w14:paraId="3F4DD823"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------30137063, Stephen Denning to Bilsel Alisbah, 2 September 1981.</w:t>
      </w:r>
    </w:p>
    <w:p w14:paraId="28698970" w14:textId="77777777" w:rsidR="0033493D" w:rsidRPr="003A4BF2" w:rsidRDefault="0033493D" w:rsidP="0033493D">
      <w:pPr>
        <w:pStyle w:val="Footnotes"/>
        <w:rPr>
          <w:rFonts w:ascii="Calibri" w:hAnsi="Calibri" w:cs="Calibri"/>
          <w:sz w:val="22"/>
          <w:szCs w:val="22"/>
        </w:rPr>
      </w:pPr>
    </w:p>
    <w:p w14:paraId="73CA558A"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t>
      </w:r>
      <w:r w:rsidRPr="00E12758">
        <w:rPr>
          <w:rFonts w:ascii="Calibri" w:hAnsi="Calibri" w:cs="Calibri"/>
          <w:color w:val="000000" w:themeColor="text1"/>
          <w:sz w:val="22"/>
          <w:szCs w:val="22"/>
        </w:rPr>
        <w:t>301</w:t>
      </w:r>
      <w:r w:rsidRPr="00766A1F">
        <w:rPr>
          <w:rFonts w:ascii="Calibri" w:hAnsi="Calibri" w:cs="Calibri"/>
          <w:color w:val="000000" w:themeColor="text1"/>
          <w:sz w:val="22"/>
          <w:szCs w:val="22"/>
        </w:rPr>
        <w:t>37064, John Evans, ‘OCP [handwritten notes]</w:t>
      </w:r>
      <w:r w:rsidRPr="007A123B">
        <w:rPr>
          <w:rFonts w:ascii="Calibri" w:hAnsi="Calibri" w:cs="Calibri"/>
          <w:color w:val="000000" w:themeColor="text1"/>
          <w:sz w:val="22"/>
          <w:szCs w:val="22"/>
        </w:rPr>
        <w:t>, [1981].</w:t>
      </w:r>
    </w:p>
    <w:p w14:paraId="344096C1" w14:textId="77777777" w:rsidR="0033493D" w:rsidRPr="00233532" w:rsidRDefault="0033493D" w:rsidP="0033493D">
      <w:pPr>
        <w:pStyle w:val="FootnoteText"/>
        <w:rPr>
          <w:rFonts w:ascii="Calibri" w:hAnsi="Calibri" w:cs="Calibri"/>
          <w:color w:val="000000" w:themeColor="text1"/>
          <w:sz w:val="22"/>
          <w:szCs w:val="22"/>
        </w:rPr>
      </w:pPr>
    </w:p>
    <w:p w14:paraId="2CE43B43"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------30137064, Stephen Denning to Bilsel Alisbah, ‘Work implications of the Onchocerciasis Control Programme (OCP)’, 19 January 1982.</w:t>
      </w:r>
    </w:p>
    <w:p w14:paraId="4AC24850" w14:textId="77777777" w:rsidR="0033493D" w:rsidRPr="00233532" w:rsidRDefault="0033493D" w:rsidP="0033493D">
      <w:pPr>
        <w:pStyle w:val="FootnoteText"/>
        <w:rPr>
          <w:rFonts w:ascii="Calibri" w:hAnsi="Calibri" w:cs="Calibri"/>
          <w:color w:val="000000" w:themeColor="text1"/>
          <w:sz w:val="22"/>
          <w:szCs w:val="22"/>
        </w:rPr>
      </w:pPr>
    </w:p>
    <w:p w14:paraId="1A5D1023"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------30137064, Stephen Denning to Bilsel Alisbah, ‘Work implications of the Onchocerciasis Control Programme (OCP)’, 26 May 1982, Attachment 3.</w:t>
      </w:r>
    </w:p>
    <w:p w14:paraId="7F40D7D7" w14:textId="77777777" w:rsidR="0033493D" w:rsidRPr="00233532" w:rsidRDefault="0033493D" w:rsidP="0033493D">
      <w:pPr>
        <w:pStyle w:val="FootnoteText"/>
        <w:rPr>
          <w:rFonts w:ascii="Calibri" w:hAnsi="Calibri" w:cs="Calibri"/>
          <w:color w:val="000000" w:themeColor="text1"/>
          <w:sz w:val="22"/>
          <w:szCs w:val="22"/>
        </w:rPr>
      </w:pPr>
    </w:p>
    <w:p w14:paraId="75A55E18"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------30137065, ‘PHN position paper – Onchocerciasis Control Program (OCP)’, 4 February 1983. </w:t>
      </w:r>
    </w:p>
    <w:p w14:paraId="6417BCD2" w14:textId="77777777" w:rsidR="0033493D" w:rsidRPr="00233532" w:rsidRDefault="0033493D" w:rsidP="0033493D">
      <w:pPr>
        <w:pStyle w:val="FootnoteText"/>
        <w:rPr>
          <w:rFonts w:ascii="Calibri" w:hAnsi="Calibri" w:cs="Calibri"/>
          <w:color w:val="000000" w:themeColor="text1"/>
          <w:sz w:val="22"/>
          <w:szCs w:val="22"/>
        </w:rPr>
      </w:pPr>
    </w:p>
    <w:p w14:paraId="7DB3B919"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------30137065, André Prost and J.P. Dailly to Isharat Husain and Larry Hinkle, ‘The resource requirements for the implementation of Bank strategy on onchocerciasis control: the role of the Bank and staffing implications’, 15 February 1983.</w:t>
      </w:r>
    </w:p>
    <w:p w14:paraId="72D0FB1A" w14:textId="77777777" w:rsidR="0033493D" w:rsidRPr="00233532" w:rsidRDefault="0033493D" w:rsidP="0033493D">
      <w:pPr>
        <w:pStyle w:val="FootnoteText"/>
        <w:rPr>
          <w:rFonts w:ascii="Calibri" w:hAnsi="Calibri" w:cs="Calibri"/>
          <w:color w:val="000000" w:themeColor="text1"/>
          <w:sz w:val="22"/>
          <w:szCs w:val="22"/>
        </w:rPr>
      </w:pPr>
    </w:p>
    <w:p w14:paraId="563DFA92"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------30137065, Bilsel Alisbah to David Knox, ‘Riverblindness – Joint Program Committee meeting in Bamako, December 6-10, 1982’, 13 December 1982.</w:t>
      </w:r>
    </w:p>
    <w:p w14:paraId="22C2A30F" w14:textId="77777777" w:rsidR="0033493D" w:rsidRPr="00233532" w:rsidRDefault="0033493D" w:rsidP="0033493D">
      <w:pPr>
        <w:pStyle w:val="FootnoteText"/>
        <w:rPr>
          <w:rFonts w:ascii="Calibri" w:hAnsi="Calibri" w:cs="Calibri"/>
          <w:color w:val="000000" w:themeColor="text1"/>
          <w:sz w:val="22"/>
          <w:szCs w:val="22"/>
        </w:rPr>
      </w:pPr>
    </w:p>
    <w:p w14:paraId="1FF63F22"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------30137065, Bilsel Alisbah to J.P. Dailly, 18 November 1982.</w:t>
      </w:r>
    </w:p>
    <w:p w14:paraId="44E0B62C" w14:textId="77777777" w:rsidR="0033493D" w:rsidRPr="00233532" w:rsidRDefault="0033493D" w:rsidP="0033493D">
      <w:pPr>
        <w:pStyle w:val="FootnoteText"/>
        <w:rPr>
          <w:rFonts w:ascii="Calibri" w:hAnsi="Calibri" w:cs="Calibri"/>
          <w:color w:val="000000" w:themeColor="text1"/>
          <w:sz w:val="22"/>
          <w:szCs w:val="22"/>
        </w:rPr>
      </w:pPr>
    </w:p>
    <w:p w14:paraId="7BB98003"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------30137065 J.P. Dailly and Helene Putz to Oncho Steering Group, ‘Back-to-office report donors’ seminar – Paris’, 23 November 1982.</w:t>
      </w:r>
    </w:p>
    <w:p w14:paraId="1670DE9D" w14:textId="77777777" w:rsidR="0033493D" w:rsidRPr="00233532" w:rsidRDefault="0033493D" w:rsidP="0033493D">
      <w:pPr>
        <w:pStyle w:val="FootnoteText"/>
        <w:rPr>
          <w:rFonts w:ascii="Calibri" w:hAnsi="Calibri" w:cs="Calibri"/>
          <w:color w:val="000000" w:themeColor="text1"/>
          <w:sz w:val="22"/>
          <w:szCs w:val="22"/>
        </w:rPr>
      </w:pPr>
    </w:p>
    <w:p w14:paraId="0318F9B1"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------30137065, Bruce Benton to Jean Louis Sarbie, 24 October 1994.</w:t>
      </w:r>
    </w:p>
    <w:p w14:paraId="702FA7CE" w14:textId="77777777" w:rsidR="0033493D" w:rsidRPr="003A4BF2" w:rsidRDefault="0033493D" w:rsidP="0033493D">
      <w:pPr>
        <w:pStyle w:val="Footnotes"/>
        <w:rPr>
          <w:rFonts w:ascii="Calibri" w:hAnsi="Calibri" w:cs="Calibri"/>
          <w:sz w:val="22"/>
          <w:szCs w:val="22"/>
        </w:rPr>
      </w:pPr>
    </w:p>
    <w:p w14:paraId="6F4585FE"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t>
      </w:r>
      <w:r w:rsidRPr="00E12758">
        <w:rPr>
          <w:rFonts w:ascii="Calibri" w:hAnsi="Calibri" w:cs="Calibri"/>
          <w:color w:val="000000" w:themeColor="text1"/>
          <w:sz w:val="22"/>
          <w:szCs w:val="22"/>
        </w:rPr>
        <w:t>30137065, David Knox to E</w:t>
      </w:r>
      <w:r w:rsidRPr="00766A1F">
        <w:rPr>
          <w:rFonts w:ascii="Calibri" w:hAnsi="Calibri" w:cs="Calibri"/>
          <w:color w:val="000000" w:themeColor="text1"/>
          <w:sz w:val="22"/>
          <w:szCs w:val="22"/>
        </w:rPr>
        <w:t>rnest Stern, ‘Bank’s strategy for the riverbli</w:t>
      </w:r>
      <w:r w:rsidRPr="007A123B">
        <w:rPr>
          <w:rFonts w:ascii="Calibri" w:hAnsi="Calibri" w:cs="Calibri"/>
          <w:color w:val="000000" w:themeColor="text1"/>
          <w:sz w:val="22"/>
          <w:szCs w:val="22"/>
        </w:rPr>
        <w:t>ndness program’, 1 December 1982.</w:t>
      </w:r>
    </w:p>
    <w:p w14:paraId="5932514A" w14:textId="77777777" w:rsidR="0033493D" w:rsidRPr="00233532" w:rsidRDefault="0033493D" w:rsidP="0033493D">
      <w:pPr>
        <w:pStyle w:val="FootnoteText"/>
        <w:rPr>
          <w:rFonts w:ascii="Calibri" w:hAnsi="Calibri" w:cs="Calibri"/>
          <w:color w:val="000000" w:themeColor="text1"/>
          <w:sz w:val="22"/>
          <w:szCs w:val="22"/>
        </w:rPr>
      </w:pPr>
    </w:p>
    <w:p w14:paraId="7A657300"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------30137065, David Knox to L.E. Hinkle, ‘Riverblindness: resource requirements’, 24 January 1983.</w:t>
      </w:r>
    </w:p>
    <w:p w14:paraId="20F9AF27" w14:textId="77777777" w:rsidR="0033493D" w:rsidRPr="00233532" w:rsidRDefault="0033493D" w:rsidP="0033493D">
      <w:pPr>
        <w:pStyle w:val="FootnoteText"/>
        <w:rPr>
          <w:rFonts w:ascii="Calibri" w:hAnsi="Calibri" w:cs="Calibri"/>
          <w:color w:val="000000" w:themeColor="text1"/>
          <w:sz w:val="22"/>
          <w:szCs w:val="22"/>
        </w:rPr>
      </w:pPr>
    </w:p>
    <w:p w14:paraId="25C1313A"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------30137065, J.P. Dailly and André Prost to I. Husain and L. Hinkle, 13 April 1983.</w:t>
      </w:r>
    </w:p>
    <w:p w14:paraId="7F8A5189" w14:textId="77777777" w:rsidR="0033493D" w:rsidRPr="003A4BF2" w:rsidRDefault="0033493D" w:rsidP="0033493D">
      <w:pPr>
        <w:pStyle w:val="Footnotes"/>
        <w:rPr>
          <w:rFonts w:ascii="Calibri" w:hAnsi="Calibri" w:cs="Calibri"/>
          <w:sz w:val="22"/>
          <w:szCs w:val="22"/>
        </w:rPr>
      </w:pPr>
    </w:p>
    <w:p w14:paraId="7867024E"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------30137065, J.P. Dailly and Bernhard Liese to Lawrence Hinkle and I. Husain, ‘Back-to-office report: Rome CSA meeting’, 9 June 1983</w:t>
      </w:r>
    </w:p>
    <w:p w14:paraId="22D06F30" w14:textId="77777777" w:rsidR="0033493D" w:rsidRPr="003A4BF2" w:rsidRDefault="0033493D" w:rsidP="0033493D">
      <w:pPr>
        <w:pStyle w:val="Footnotes"/>
        <w:rPr>
          <w:rFonts w:ascii="Calibri" w:hAnsi="Calibri" w:cs="Calibri"/>
          <w:sz w:val="22"/>
          <w:szCs w:val="22"/>
        </w:rPr>
      </w:pPr>
    </w:p>
    <w:p w14:paraId="314639DD" w14:textId="77777777" w:rsidR="0033493D" w:rsidRPr="007A123B"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t>
      </w:r>
      <w:r w:rsidRPr="00E12758">
        <w:rPr>
          <w:rFonts w:ascii="Calibri" w:hAnsi="Calibri" w:cs="Calibri"/>
          <w:color w:val="000000" w:themeColor="text1"/>
          <w:sz w:val="22"/>
          <w:szCs w:val="22"/>
        </w:rPr>
        <w:t>--</w:t>
      </w:r>
      <w:r w:rsidRPr="00766A1F">
        <w:rPr>
          <w:rFonts w:ascii="Calibri" w:hAnsi="Calibri" w:cs="Calibri"/>
          <w:color w:val="000000" w:themeColor="text1"/>
          <w:sz w:val="22"/>
          <w:szCs w:val="22"/>
        </w:rPr>
        <w:t>30137065, J.P. Dailly to Bilsel Alisbah, ‘Onchocerciasis Control Programme (OCP): Bank’s program of action’, 18 November 1982.</w:t>
      </w:r>
    </w:p>
    <w:p w14:paraId="6E269A51" w14:textId="77777777" w:rsidR="0033493D" w:rsidRPr="00233532" w:rsidRDefault="0033493D" w:rsidP="0033493D">
      <w:pPr>
        <w:pStyle w:val="FootnoteText"/>
        <w:rPr>
          <w:rFonts w:ascii="Calibri" w:hAnsi="Calibri" w:cs="Calibri"/>
          <w:color w:val="000000" w:themeColor="text1"/>
          <w:sz w:val="22"/>
          <w:szCs w:val="22"/>
        </w:rPr>
      </w:pPr>
    </w:p>
    <w:p w14:paraId="59FAF6C2"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------30137065, John Evans, ‘Draft 9/20/80 to McNamara’, 1980. </w:t>
      </w:r>
    </w:p>
    <w:p w14:paraId="0BD94885" w14:textId="77777777" w:rsidR="0033493D" w:rsidRPr="00233532" w:rsidRDefault="0033493D" w:rsidP="0033493D">
      <w:pPr>
        <w:pStyle w:val="FootnoteText"/>
        <w:rPr>
          <w:rFonts w:ascii="Calibri" w:hAnsi="Calibri" w:cs="Calibri"/>
          <w:color w:val="000000" w:themeColor="text1"/>
          <w:sz w:val="22"/>
          <w:szCs w:val="22"/>
        </w:rPr>
      </w:pPr>
    </w:p>
    <w:p w14:paraId="29BFDA34"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------30137065, Warren Baum to K. Georg Gabriel, ‘Proposal for World Bank participation in international health research program’, 23 May 1980.</w:t>
      </w:r>
    </w:p>
    <w:p w14:paraId="4022C619" w14:textId="77777777" w:rsidR="0033493D" w:rsidRPr="00233532" w:rsidRDefault="0033493D" w:rsidP="0033493D">
      <w:pPr>
        <w:pStyle w:val="FootnoteText"/>
        <w:rPr>
          <w:rFonts w:ascii="Calibri" w:hAnsi="Calibri" w:cs="Calibri"/>
          <w:color w:val="000000" w:themeColor="text1"/>
          <w:sz w:val="22"/>
          <w:szCs w:val="22"/>
        </w:rPr>
      </w:pPr>
    </w:p>
    <w:p w14:paraId="11167252"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------30137183, WHO, ‘Report: onchocerciasis chemotherapy project research group’, 1982.</w:t>
      </w:r>
    </w:p>
    <w:p w14:paraId="252C60F9" w14:textId="77777777" w:rsidR="0033493D" w:rsidRPr="003A4BF2" w:rsidRDefault="0033493D" w:rsidP="0033493D">
      <w:pPr>
        <w:pStyle w:val="Footnotes"/>
        <w:rPr>
          <w:rFonts w:ascii="Calibri" w:hAnsi="Calibri" w:cs="Calibri"/>
          <w:sz w:val="22"/>
          <w:szCs w:val="22"/>
        </w:rPr>
      </w:pPr>
    </w:p>
    <w:p w14:paraId="3290F83D" w14:textId="77777777" w:rsidR="0033493D" w:rsidRPr="00766A1F"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t>
      </w:r>
      <w:r w:rsidRPr="00E12758">
        <w:rPr>
          <w:rFonts w:ascii="Calibri" w:hAnsi="Calibri" w:cs="Calibri"/>
          <w:color w:val="000000" w:themeColor="text1"/>
          <w:sz w:val="22"/>
          <w:szCs w:val="22"/>
        </w:rPr>
        <w:t>30303429, ‘Aide-Memoire for meeting with</w:t>
      </w:r>
      <w:r w:rsidRPr="00766A1F">
        <w:rPr>
          <w:rFonts w:ascii="Calibri" w:hAnsi="Calibri" w:cs="Calibri"/>
          <w:color w:val="000000" w:themeColor="text1"/>
          <w:sz w:val="22"/>
          <w:szCs w:val="22"/>
        </w:rPr>
        <w:t xml:space="preserve"> Mr. Sehaiban’, 30 August 1983.</w:t>
      </w:r>
    </w:p>
    <w:p w14:paraId="7E901672" w14:textId="77777777" w:rsidR="0033493D" w:rsidRPr="007A123B" w:rsidRDefault="0033493D" w:rsidP="0033493D">
      <w:pPr>
        <w:pStyle w:val="FootnoteText"/>
        <w:rPr>
          <w:rFonts w:ascii="Calibri" w:hAnsi="Calibri" w:cs="Calibri"/>
          <w:color w:val="000000" w:themeColor="text1"/>
          <w:sz w:val="22"/>
          <w:szCs w:val="22"/>
        </w:rPr>
      </w:pPr>
    </w:p>
    <w:p w14:paraId="78BA0EE5"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------30303429, A.R. Love to David Knox, 28 July 1983.</w:t>
      </w:r>
    </w:p>
    <w:p w14:paraId="14DA4E39" w14:textId="77777777" w:rsidR="0033493D" w:rsidRPr="00233532" w:rsidRDefault="0033493D" w:rsidP="0033493D">
      <w:pPr>
        <w:pStyle w:val="FootnoteText"/>
        <w:rPr>
          <w:rFonts w:ascii="Calibri" w:hAnsi="Calibri" w:cs="Calibri"/>
          <w:color w:val="000000" w:themeColor="text1"/>
          <w:sz w:val="22"/>
          <w:szCs w:val="22"/>
        </w:rPr>
      </w:pPr>
    </w:p>
    <w:p w14:paraId="15F78AE5"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------30303429, Bilsel Alisbah to Ernest Stern, 30 November 1983.</w:t>
      </w:r>
    </w:p>
    <w:p w14:paraId="549830C8" w14:textId="77777777" w:rsidR="0033493D" w:rsidRPr="00233532" w:rsidRDefault="0033493D" w:rsidP="0033493D">
      <w:pPr>
        <w:pStyle w:val="FootnoteText"/>
        <w:rPr>
          <w:rFonts w:ascii="Calibri" w:hAnsi="Calibri" w:cs="Calibri"/>
          <w:color w:val="000000" w:themeColor="text1"/>
          <w:sz w:val="22"/>
          <w:szCs w:val="22"/>
        </w:rPr>
      </w:pPr>
    </w:p>
    <w:p w14:paraId="6D944E55"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------30303429, Bruce Benton to Bank staff (multiple), ‘Onchocerciasis (river blindness) donors’ conference, November 3-4’, 9 November 1994.</w:t>
      </w:r>
    </w:p>
    <w:p w14:paraId="6D8DFF5F" w14:textId="77777777" w:rsidR="0033493D" w:rsidRPr="00233532" w:rsidRDefault="0033493D" w:rsidP="0033493D">
      <w:pPr>
        <w:pStyle w:val="FootnoteText"/>
        <w:rPr>
          <w:rFonts w:ascii="Calibri" w:hAnsi="Calibri" w:cs="Calibri"/>
          <w:color w:val="000000" w:themeColor="text1"/>
          <w:sz w:val="22"/>
          <w:szCs w:val="22"/>
        </w:rPr>
      </w:pPr>
    </w:p>
    <w:p w14:paraId="7B8AE04F"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------30303429, E. Schoo to Ernest Stern, [April 1983].</w:t>
      </w:r>
    </w:p>
    <w:p w14:paraId="19CC4032" w14:textId="77777777" w:rsidR="0033493D" w:rsidRPr="00233532" w:rsidRDefault="0033493D" w:rsidP="0033493D">
      <w:pPr>
        <w:pStyle w:val="FootnoteText"/>
        <w:rPr>
          <w:rFonts w:ascii="Calibri" w:hAnsi="Calibri" w:cs="Calibri"/>
          <w:color w:val="000000" w:themeColor="text1"/>
          <w:sz w:val="22"/>
          <w:szCs w:val="22"/>
        </w:rPr>
      </w:pPr>
    </w:p>
    <w:p w14:paraId="4BC77DA1"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------30303429, J.P. Dailly to Files, ‘Onchocerciasis Control Programme (OCP): visit to donor countries back-to-office report’, 16 November 1983.</w:t>
      </w:r>
    </w:p>
    <w:p w14:paraId="3F2B5D8F" w14:textId="77777777" w:rsidR="0033493D" w:rsidRPr="00233532" w:rsidRDefault="0033493D" w:rsidP="0033493D">
      <w:pPr>
        <w:pStyle w:val="FootnoteText"/>
        <w:rPr>
          <w:rFonts w:ascii="Calibri" w:hAnsi="Calibri" w:cs="Calibri"/>
          <w:color w:val="000000" w:themeColor="text1"/>
          <w:sz w:val="22"/>
          <w:szCs w:val="22"/>
        </w:rPr>
      </w:pPr>
    </w:p>
    <w:p w14:paraId="7DB10924"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------30303429, J.P. Dailly to Files, ‘Planning of co-financing - ONCHO press meeting in May with Switzerland, Spain (film)’, 2 May 1983.</w:t>
      </w:r>
    </w:p>
    <w:p w14:paraId="0BB8B440" w14:textId="77777777" w:rsidR="0033493D" w:rsidRPr="00233532" w:rsidRDefault="0033493D" w:rsidP="0033493D">
      <w:pPr>
        <w:pStyle w:val="FootnoteText"/>
        <w:rPr>
          <w:rFonts w:ascii="Calibri" w:hAnsi="Calibri" w:cs="Calibri"/>
          <w:color w:val="000000" w:themeColor="text1"/>
          <w:sz w:val="22"/>
          <w:szCs w:val="22"/>
        </w:rPr>
      </w:pPr>
    </w:p>
    <w:p w14:paraId="47E7ACA1"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------30303429, J.P. Dailly to Jorge Duarte, ‘Onchocerciasis trust fund’, 14 July 1985. </w:t>
      </w:r>
    </w:p>
    <w:p w14:paraId="1DD66ADE" w14:textId="77777777" w:rsidR="0033493D" w:rsidRPr="00233532" w:rsidRDefault="0033493D" w:rsidP="0033493D">
      <w:pPr>
        <w:pStyle w:val="FootnoteText"/>
        <w:rPr>
          <w:rFonts w:ascii="Calibri" w:hAnsi="Calibri" w:cs="Calibri"/>
          <w:color w:val="000000" w:themeColor="text1"/>
          <w:sz w:val="22"/>
          <w:szCs w:val="22"/>
        </w:rPr>
      </w:pPr>
    </w:p>
    <w:p w14:paraId="45CE79F9"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------30303435, Burkina Faso Ministry of Health and Social Welfare, ‘Onchocerciasis and human trypanosomiasis surveillance and control in Burkina Faso’, September 1988.</w:t>
      </w:r>
    </w:p>
    <w:p w14:paraId="1D2A2F8F" w14:textId="77777777" w:rsidR="0033493D" w:rsidRPr="003A4BF2" w:rsidRDefault="0033493D" w:rsidP="0033493D">
      <w:pPr>
        <w:pStyle w:val="Footnotes"/>
        <w:rPr>
          <w:rFonts w:ascii="Calibri" w:hAnsi="Calibri" w:cs="Calibri"/>
          <w:sz w:val="22"/>
          <w:szCs w:val="22"/>
        </w:rPr>
      </w:pPr>
    </w:p>
    <w:p w14:paraId="766F3C37" w14:textId="77777777" w:rsidR="0033493D" w:rsidRPr="007A123B"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t>
      </w:r>
      <w:r w:rsidRPr="00E12758">
        <w:rPr>
          <w:rFonts w:ascii="Calibri" w:hAnsi="Calibri" w:cs="Calibri"/>
          <w:color w:val="000000" w:themeColor="text1"/>
          <w:sz w:val="22"/>
          <w:szCs w:val="22"/>
        </w:rPr>
        <w:t>---</w:t>
      </w:r>
      <w:r w:rsidRPr="00766A1F">
        <w:rPr>
          <w:rFonts w:ascii="Calibri" w:hAnsi="Calibri" w:cs="Calibri"/>
          <w:color w:val="000000" w:themeColor="text1"/>
          <w:sz w:val="22"/>
          <w:szCs w:val="22"/>
        </w:rPr>
        <w:t>30303452, ‘Donors conference, Bonn, Germany, September 23-24 1991, World Bank presentation, financing the Onchocercia</w:t>
      </w:r>
      <w:r w:rsidRPr="007A123B">
        <w:rPr>
          <w:rFonts w:ascii="Calibri" w:hAnsi="Calibri" w:cs="Calibri"/>
          <w:color w:val="000000" w:themeColor="text1"/>
          <w:sz w:val="22"/>
          <w:szCs w:val="22"/>
        </w:rPr>
        <w:t>sis Control Programme’, 1991.</w:t>
      </w:r>
    </w:p>
    <w:p w14:paraId="2465FDD2" w14:textId="77777777" w:rsidR="0033493D" w:rsidRPr="00233532" w:rsidRDefault="0033493D" w:rsidP="0033493D">
      <w:pPr>
        <w:pStyle w:val="FootnoteText"/>
        <w:rPr>
          <w:rFonts w:ascii="Calibri" w:hAnsi="Calibri" w:cs="Calibri"/>
          <w:color w:val="000000" w:themeColor="text1"/>
          <w:sz w:val="22"/>
          <w:szCs w:val="22"/>
        </w:rPr>
      </w:pPr>
    </w:p>
    <w:p w14:paraId="77C7343B"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------30303452, ‘International Bank for Reconstruction and Development as administrator for the special account for Onchocerciasis (river blindness) Control Programme – phase III notes to financial statement’, 31 December 1989.</w:t>
      </w:r>
    </w:p>
    <w:p w14:paraId="302BBE8F" w14:textId="77777777" w:rsidR="0033493D" w:rsidRPr="00233532" w:rsidRDefault="0033493D" w:rsidP="0033493D">
      <w:pPr>
        <w:pStyle w:val="FootnoteText"/>
        <w:rPr>
          <w:rFonts w:ascii="Calibri" w:hAnsi="Calibri" w:cs="Calibri"/>
          <w:color w:val="000000" w:themeColor="text1"/>
          <w:sz w:val="22"/>
          <w:szCs w:val="22"/>
        </w:rPr>
      </w:pPr>
    </w:p>
    <w:p w14:paraId="193A48FF" w14:textId="77777777" w:rsidR="0033493D" w:rsidRPr="00233532" w:rsidRDefault="0033493D" w:rsidP="0033493D">
      <w:pPr>
        <w:rPr>
          <w:rFonts w:ascii="Calibri" w:hAnsi="Calibri" w:cs="Calibri"/>
          <w:color w:val="000000" w:themeColor="text1"/>
          <w:sz w:val="22"/>
          <w:szCs w:val="22"/>
          <w:lang w:eastAsia="en-GB"/>
        </w:rPr>
      </w:pPr>
      <w:r w:rsidRPr="00233532">
        <w:rPr>
          <w:rFonts w:ascii="Calibri" w:hAnsi="Calibri" w:cs="Calibri"/>
          <w:color w:val="000000" w:themeColor="text1"/>
          <w:sz w:val="22"/>
          <w:szCs w:val="22"/>
        </w:rPr>
        <w:t>------</w:t>
      </w:r>
      <w:r w:rsidRPr="00233532">
        <w:rPr>
          <w:rFonts w:ascii="Calibri" w:hAnsi="Calibri" w:cs="Calibri"/>
          <w:color w:val="000000" w:themeColor="text1"/>
          <w:sz w:val="22"/>
          <w:szCs w:val="22"/>
          <w:lang w:eastAsia="en-GB"/>
        </w:rPr>
        <w:t>30303452, ‘International Bank for Reconstruction and Development as administrator for the special account of the Onchocerciasis (river blindness) Control Programme – Phase III statement of cash receipts, disbursements and fund balance (expressed in United States dollars)’, 1988.</w:t>
      </w:r>
    </w:p>
    <w:p w14:paraId="6C0F1854" w14:textId="77777777" w:rsidR="0033493D" w:rsidRPr="00233532" w:rsidRDefault="0033493D" w:rsidP="0033493D">
      <w:pPr>
        <w:rPr>
          <w:rFonts w:ascii="Calibri" w:hAnsi="Calibri" w:cs="Calibri"/>
          <w:color w:val="000000" w:themeColor="text1"/>
          <w:sz w:val="22"/>
          <w:szCs w:val="22"/>
          <w:lang w:eastAsia="en-GB"/>
        </w:rPr>
      </w:pPr>
    </w:p>
    <w:p w14:paraId="1A25497A"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------30303452, ‘Onchocerciasis Control Programme donors conference, Bonn, Germany, September 23-24 1991, World Bank presentation, financing the Onchocerciasis Control Program’, 1991.</w:t>
      </w:r>
    </w:p>
    <w:p w14:paraId="238083A5" w14:textId="77777777" w:rsidR="0033493D" w:rsidRPr="00233532" w:rsidRDefault="0033493D" w:rsidP="0033493D">
      <w:pPr>
        <w:pStyle w:val="FootnoteText"/>
        <w:rPr>
          <w:rFonts w:ascii="Calibri" w:hAnsi="Calibri" w:cs="Calibri"/>
          <w:color w:val="000000" w:themeColor="text1"/>
          <w:sz w:val="22"/>
          <w:szCs w:val="22"/>
        </w:rPr>
      </w:pPr>
    </w:p>
    <w:p w14:paraId="14471EDF" w14:textId="77777777" w:rsidR="0033493D" w:rsidRPr="00233532" w:rsidRDefault="0033493D" w:rsidP="0033493D">
      <w:pPr>
        <w:rPr>
          <w:rFonts w:ascii="Calibri" w:hAnsi="Calibri" w:cs="Calibri"/>
          <w:color w:val="000000" w:themeColor="text1"/>
          <w:sz w:val="22"/>
          <w:szCs w:val="22"/>
          <w:lang w:eastAsia="en-GB"/>
        </w:rPr>
      </w:pPr>
      <w:r w:rsidRPr="00233532">
        <w:rPr>
          <w:rFonts w:ascii="Calibri" w:hAnsi="Calibri" w:cs="Calibri"/>
          <w:color w:val="000000" w:themeColor="text1"/>
          <w:sz w:val="22"/>
          <w:szCs w:val="22"/>
        </w:rPr>
        <w:lastRenderedPageBreak/>
        <w:t>------</w:t>
      </w:r>
      <w:r w:rsidRPr="00233532">
        <w:rPr>
          <w:rFonts w:ascii="Calibri" w:hAnsi="Calibri" w:cs="Calibri"/>
          <w:color w:val="000000" w:themeColor="text1"/>
          <w:sz w:val="22"/>
          <w:szCs w:val="22"/>
          <w:lang w:eastAsia="en-GB"/>
        </w:rPr>
        <w:t>30303452, ‘World Bank presentation, financing the Onchocerciasis Control Programme’, 1991.</w:t>
      </w:r>
    </w:p>
    <w:p w14:paraId="077800E5" w14:textId="77777777" w:rsidR="0033493D" w:rsidRPr="00233532" w:rsidRDefault="0033493D" w:rsidP="0033493D">
      <w:pPr>
        <w:rPr>
          <w:rFonts w:ascii="Calibri" w:hAnsi="Calibri" w:cs="Calibri"/>
          <w:color w:val="000000" w:themeColor="text1"/>
          <w:sz w:val="22"/>
          <w:szCs w:val="22"/>
          <w:lang w:eastAsia="en-GB"/>
        </w:rPr>
      </w:pPr>
    </w:p>
    <w:p w14:paraId="21C7074B"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------30303453, J.P. Dailly to Files, ‘Visit to OPEC Fund, Vienna, Austria, April 1’, 3 May 1985.</w:t>
      </w:r>
    </w:p>
    <w:p w14:paraId="6B6F8144" w14:textId="77777777" w:rsidR="0033493D" w:rsidRPr="00233532" w:rsidRDefault="0033493D" w:rsidP="0033493D">
      <w:pPr>
        <w:pStyle w:val="FootnoteText"/>
        <w:rPr>
          <w:rFonts w:ascii="Calibri" w:hAnsi="Calibri" w:cs="Calibri"/>
          <w:color w:val="000000" w:themeColor="text1"/>
          <w:sz w:val="22"/>
          <w:szCs w:val="22"/>
        </w:rPr>
      </w:pPr>
    </w:p>
    <w:p w14:paraId="2FBEF04F"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------30303456, Ibrahim F.I. Shihata, ‘Memorandum from the vice president and general counsel, the power of the Bank to make grants’, 15 February 1985.</w:t>
      </w:r>
    </w:p>
    <w:p w14:paraId="4B15E209" w14:textId="77777777" w:rsidR="0033493D" w:rsidRPr="00233532" w:rsidRDefault="0033493D" w:rsidP="0033493D">
      <w:pPr>
        <w:pStyle w:val="FootnoteText"/>
        <w:rPr>
          <w:rFonts w:ascii="Calibri" w:hAnsi="Calibri" w:cs="Calibri"/>
          <w:color w:val="000000" w:themeColor="text1"/>
          <w:sz w:val="22"/>
          <w:szCs w:val="22"/>
        </w:rPr>
      </w:pPr>
    </w:p>
    <w:p w14:paraId="218D5D38" w14:textId="77777777" w:rsidR="0033493D" w:rsidRPr="00233532" w:rsidRDefault="0033493D" w:rsidP="0033493D">
      <w:pPr>
        <w:rPr>
          <w:rFonts w:ascii="Calibri" w:hAnsi="Calibri" w:cs="Calibri"/>
          <w:color w:val="000000" w:themeColor="text1"/>
          <w:sz w:val="22"/>
          <w:szCs w:val="22"/>
          <w:lang w:eastAsia="en-GB"/>
        </w:rPr>
      </w:pPr>
      <w:r w:rsidRPr="00233532">
        <w:rPr>
          <w:rFonts w:ascii="Calibri" w:hAnsi="Calibri" w:cs="Calibri"/>
          <w:color w:val="000000" w:themeColor="text1"/>
          <w:sz w:val="22"/>
          <w:szCs w:val="22"/>
        </w:rPr>
        <w:t>------</w:t>
      </w:r>
      <w:r w:rsidRPr="00233532">
        <w:rPr>
          <w:rFonts w:ascii="Calibri" w:hAnsi="Calibri" w:cs="Calibri"/>
          <w:color w:val="000000" w:themeColor="text1"/>
          <w:sz w:val="22"/>
          <w:szCs w:val="22"/>
          <w:lang w:eastAsia="en-GB"/>
        </w:rPr>
        <w:t xml:space="preserve">30303457, ‘Onchocerciasis Fund (1974-1985), allocation basis (US$ millions)’, [1986]. </w:t>
      </w:r>
    </w:p>
    <w:p w14:paraId="473E010A" w14:textId="77777777" w:rsidR="0033493D" w:rsidRPr="00233532" w:rsidRDefault="0033493D" w:rsidP="0033493D">
      <w:pPr>
        <w:rPr>
          <w:rFonts w:ascii="Calibri" w:hAnsi="Calibri" w:cs="Calibri"/>
          <w:color w:val="000000" w:themeColor="text1"/>
          <w:sz w:val="22"/>
          <w:szCs w:val="22"/>
          <w:lang w:eastAsia="en-GB"/>
        </w:rPr>
      </w:pPr>
    </w:p>
    <w:p w14:paraId="30BAB25A"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------30303465, Michael Sperber to Bruce Benton, ‘Onchocerciasis Control Programme – report on socio-economic development’, 23 April 1986.</w:t>
      </w:r>
    </w:p>
    <w:p w14:paraId="0558F8BF" w14:textId="77777777" w:rsidR="0033493D" w:rsidRPr="00233532" w:rsidRDefault="0033493D" w:rsidP="0033493D">
      <w:pPr>
        <w:pStyle w:val="FootnoteText"/>
        <w:rPr>
          <w:rFonts w:ascii="Calibri" w:hAnsi="Calibri" w:cs="Calibri"/>
          <w:color w:val="000000" w:themeColor="text1"/>
          <w:sz w:val="22"/>
          <w:szCs w:val="22"/>
        </w:rPr>
      </w:pPr>
    </w:p>
    <w:p w14:paraId="414B66E4"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------30303467, ‘Annual riverblindness (onchocerciasis) control meeting statement by Mr. Agueh’, 15 January 1991.</w:t>
      </w:r>
    </w:p>
    <w:p w14:paraId="04B718D1" w14:textId="77777777" w:rsidR="0033493D" w:rsidRPr="00233532" w:rsidRDefault="0033493D" w:rsidP="0033493D">
      <w:pPr>
        <w:pStyle w:val="FootnoteText"/>
        <w:rPr>
          <w:rFonts w:ascii="Calibri" w:hAnsi="Calibri" w:cs="Calibri"/>
          <w:color w:val="000000" w:themeColor="text1"/>
          <w:sz w:val="22"/>
          <w:szCs w:val="22"/>
        </w:rPr>
      </w:pPr>
    </w:p>
    <w:p w14:paraId="7F3FB12F"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------30304879, TA Taylor, ‘The curse of the lion’s stare: alumnus Bruce Benton ’64 leads a World Bank effort to bring an end to one of Africa’s most devastating health problems’, [undated].</w:t>
      </w:r>
    </w:p>
    <w:p w14:paraId="497D5F2B" w14:textId="77777777" w:rsidR="0033493D" w:rsidRPr="00233532" w:rsidRDefault="0033493D" w:rsidP="0033493D">
      <w:pPr>
        <w:pStyle w:val="FootnoteText"/>
        <w:rPr>
          <w:rFonts w:ascii="Calibri" w:hAnsi="Calibri" w:cs="Calibri"/>
          <w:color w:val="000000" w:themeColor="text1"/>
          <w:sz w:val="22"/>
          <w:szCs w:val="22"/>
        </w:rPr>
      </w:pPr>
    </w:p>
    <w:p w14:paraId="69B8E1A4"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------30304884, </w:t>
      </w:r>
      <w:r w:rsidRPr="00233532">
        <w:rPr>
          <w:rFonts w:ascii="Calibri" w:hAnsi="Calibri" w:cs="Calibri"/>
          <w:i/>
          <w:color w:val="000000" w:themeColor="text1"/>
          <w:sz w:val="22"/>
          <w:szCs w:val="22"/>
        </w:rPr>
        <w:t xml:space="preserve">World Health </w:t>
      </w:r>
      <w:r w:rsidRPr="00233532">
        <w:rPr>
          <w:rFonts w:ascii="Calibri" w:hAnsi="Calibri" w:cs="Calibri"/>
          <w:color w:val="000000" w:themeColor="text1"/>
          <w:sz w:val="22"/>
          <w:szCs w:val="22"/>
        </w:rPr>
        <w:t xml:space="preserve">(October 1985). </w:t>
      </w:r>
    </w:p>
    <w:p w14:paraId="74B5356E" w14:textId="77777777" w:rsidR="0033493D" w:rsidRPr="00233532" w:rsidRDefault="0033493D" w:rsidP="0033493D">
      <w:pPr>
        <w:pStyle w:val="FootnoteText"/>
        <w:rPr>
          <w:rFonts w:ascii="Calibri" w:hAnsi="Calibri" w:cs="Calibri"/>
          <w:color w:val="000000" w:themeColor="text1"/>
          <w:sz w:val="22"/>
          <w:szCs w:val="22"/>
        </w:rPr>
      </w:pPr>
    </w:p>
    <w:p w14:paraId="66CFA988"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------30304887, John Walsh, ‘River blindness: a gamble pays off’, </w:t>
      </w:r>
      <w:r w:rsidRPr="00233532">
        <w:rPr>
          <w:rFonts w:ascii="Calibri" w:hAnsi="Calibri" w:cs="Calibri"/>
          <w:i/>
          <w:color w:val="000000" w:themeColor="text1"/>
          <w:sz w:val="22"/>
          <w:szCs w:val="22"/>
        </w:rPr>
        <w:t>Science</w:t>
      </w:r>
      <w:r w:rsidRPr="00233532">
        <w:rPr>
          <w:rFonts w:ascii="Calibri" w:hAnsi="Calibri" w:cs="Calibri"/>
          <w:color w:val="000000" w:themeColor="text1"/>
          <w:sz w:val="22"/>
          <w:szCs w:val="22"/>
        </w:rPr>
        <w:t>, 23 May 1986.</w:t>
      </w:r>
    </w:p>
    <w:p w14:paraId="47A7A7E3" w14:textId="77777777" w:rsidR="0033493D" w:rsidRPr="00233532" w:rsidRDefault="0033493D" w:rsidP="0033493D">
      <w:pPr>
        <w:pStyle w:val="FootnoteText"/>
        <w:rPr>
          <w:rFonts w:ascii="Calibri" w:hAnsi="Calibri" w:cs="Calibri"/>
          <w:color w:val="000000" w:themeColor="text1"/>
          <w:sz w:val="22"/>
          <w:szCs w:val="22"/>
        </w:rPr>
      </w:pPr>
    </w:p>
    <w:p w14:paraId="05E0955F"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------30304889, ‘Notes for remarks by Dr Halfdan Mahler Director General World Health Organization, at a press conference held by Merck &amp; Co., Inc. Washington and Paris’, 21 October 1987.</w:t>
      </w:r>
    </w:p>
    <w:p w14:paraId="13CF1230" w14:textId="77777777" w:rsidR="0033493D" w:rsidRPr="00233532" w:rsidRDefault="0033493D" w:rsidP="0033493D">
      <w:pPr>
        <w:pStyle w:val="FootnoteText"/>
        <w:rPr>
          <w:rFonts w:ascii="Calibri" w:hAnsi="Calibri" w:cs="Calibri"/>
          <w:color w:val="000000" w:themeColor="text1"/>
          <w:sz w:val="22"/>
          <w:szCs w:val="22"/>
        </w:rPr>
      </w:pPr>
    </w:p>
    <w:p w14:paraId="09F98984"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------30304889, s.a., ‘Merck offers free distribution of new river blindness drug’, </w:t>
      </w:r>
      <w:r w:rsidRPr="00233532">
        <w:rPr>
          <w:rFonts w:ascii="Calibri" w:hAnsi="Calibri" w:cs="Calibri"/>
          <w:i/>
          <w:color w:val="000000" w:themeColor="text1"/>
          <w:sz w:val="22"/>
          <w:szCs w:val="22"/>
        </w:rPr>
        <w:t xml:space="preserve">New York Times, </w:t>
      </w:r>
      <w:r w:rsidRPr="00233532">
        <w:rPr>
          <w:rFonts w:ascii="Calibri" w:hAnsi="Calibri" w:cs="Calibri"/>
          <w:color w:val="000000" w:themeColor="text1"/>
          <w:sz w:val="22"/>
          <w:szCs w:val="22"/>
        </w:rPr>
        <w:t>22 October 1987.</w:t>
      </w:r>
    </w:p>
    <w:p w14:paraId="451D4AC5" w14:textId="77777777" w:rsidR="0033493D" w:rsidRPr="00233532" w:rsidRDefault="0033493D" w:rsidP="0033493D">
      <w:pPr>
        <w:pStyle w:val="FootnoteText"/>
        <w:rPr>
          <w:rFonts w:ascii="Calibri" w:hAnsi="Calibri" w:cs="Calibri"/>
          <w:color w:val="000000" w:themeColor="text1"/>
          <w:sz w:val="22"/>
          <w:szCs w:val="22"/>
        </w:rPr>
      </w:pPr>
    </w:p>
    <w:p w14:paraId="0FCA3BCA"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------30304889, Waldholz M, ‘Merck to donate drug for “river blindness”’, </w:t>
      </w:r>
      <w:r w:rsidRPr="00233532">
        <w:rPr>
          <w:rFonts w:ascii="Calibri" w:hAnsi="Calibri" w:cs="Calibri"/>
          <w:i/>
          <w:color w:val="000000" w:themeColor="text1"/>
          <w:sz w:val="22"/>
          <w:szCs w:val="22"/>
        </w:rPr>
        <w:t xml:space="preserve">Wall Street Journal, </w:t>
      </w:r>
      <w:r w:rsidRPr="00233532">
        <w:rPr>
          <w:rFonts w:ascii="Calibri" w:hAnsi="Calibri" w:cs="Calibri"/>
          <w:color w:val="000000" w:themeColor="text1"/>
          <w:sz w:val="22"/>
          <w:szCs w:val="22"/>
        </w:rPr>
        <w:t>22 October 1987.</w:t>
      </w:r>
    </w:p>
    <w:p w14:paraId="5C646E27" w14:textId="77777777" w:rsidR="0033493D" w:rsidRPr="00233532" w:rsidRDefault="0033493D" w:rsidP="0033493D">
      <w:pPr>
        <w:pStyle w:val="FootnoteText"/>
        <w:rPr>
          <w:rFonts w:ascii="Calibri" w:hAnsi="Calibri" w:cs="Calibri"/>
          <w:color w:val="000000" w:themeColor="text1"/>
          <w:sz w:val="22"/>
          <w:szCs w:val="22"/>
        </w:rPr>
      </w:pPr>
    </w:p>
    <w:p w14:paraId="13E2A9BC"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------30304898, ‘Good health care pays off, World Bank says’, </w:t>
      </w:r>
      <w:r w:rsidRPr="00233532">
        <w:rPr>
          <w:rFonts w:ascii="Calibri" w:hAnsi="Calibri" w:cs="Calibri"/>
          <w:i/>
          <w:color w:val="000000" w:themeColor="text1"/>
          <w:sz w:val="22"/>
          <w:szCs w:val="22"/>
        </w:rPr>
        <w:t>Washington Post</w:t>
      </w:r>
      <w:r w:rsidRPr="00233532">
        <w:rPr>
          <w:rFonts w:ascii="Calibri" w:hAnsi="Calibri" w:cs="Calibri"/>
          <w:color w:val="000000" w:themeColor="text1"/>
          <w:sz w:val="22"/>
          <w:szCs w:val="22"/>
        </w:rPr>
        <w:t>, 7 July 1993.</w:t>
      </w:r>
    </w:p>
    <w:p w14:paraId="7996436C" w14:textId="77777777" w:rsidR="0033493D" w:rsidRPr="00233532" w:rsidRDefault="0033493D" w:rsidP="0033493D">
      <w:pPr>
        <w:pStyle w:val="FootnoteText"/>
        <w:rPr>
          <w:rFonts w:ascii="Calibri" w:hAnsi="Calibri" w:cs="Calibri"/>
          <w:color w:val="000000" w:themeColor="text1"/>
          <w:sz w:val="22"/>
          <w:szCs w:val="22"/>
        </w:rPr>
      </w:pPr>
    </w:p>
    <w:p w14:paraId="14A573EF"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------30304898, Bruce Benton, ‘Taming the lion’s stare’, </w:t>
      </w:r>
      <w:r w:rsidRPr="00233532">
        <w:rPr>
          <w:rFonts w:ascii="Calibri" w:hAnsi="Calibri" w:cs="Calibri"/>
          <w:i/>
          <w:color w:val="000000" w:themeColor="text1"/>
          <w:sz w:val="22"/>
          <w:szCs w:val="22"/>
        </w:rPr>
        <w:t>The Bank’s World</w:t>
      </w:r>
      <w:r w:rsidRPr="00233532">
        <w:rPr>
          <w:rFonts w:ascii="Calibri" w:hAnsi="Calibri" w:cs="Calibri"/>
          <w:color w:val="000000" w:themeColor="text1"/>
          <w:sz w:val="22"/>
          <w:szCs w:val="22"/>
        </w:rPr>
        <w:t>, May 1992.</w:t>
      </w:r>
    </w:p>
    <w:p w14:paraId="2A5D484E" w14:textId="77777777" w:rsidR="0033493D" w:rsidRPr="00233532" w:rsidRDefault="0033493D" w:rsidP="0033493D">
      <w:pPr>
        <w:pStyle w:val="FootnoteText"/>
        <w:rPr>
          <w:rFonts w:ascii="Calibri" w:hAnsi="Calibri" w:cs="Calibri"/>
          <w:color w:val="000000" w:themeColor="text1"/>
          <w:sz w:val="22"/>
          <w:szCs w:val="22"/>
        </w:rPr>
      </w:pPr>
    </w:p>
    <w:p w14:paraId="57AB9FD1" w14:textId="77777777" w:rsidR="0033493D" w:rsidRPr="00233532" w:rsidRDefault="0033493D" w:rsidP="0033493D">
      <w:pPr>
        <w:rPr>
          <w:rFonts w:ascii="Calibri" w:hAnsi="Calibri" w:cs="Calibri"/>
          <w:color w:val="000000" w:themeColor="text1"/>
          <w:sz w:val="22"/>
          <w:szCs w:val="22"/>
        </w:rPr>
      </w:pPr>
      <w:r w:rsidRPr="00233532">
        <w:rPr>
          <w:rFonts w:ascii="Calibri" w:hAnsi="Calibri" w:cs="Calibri"/>
          <w:color w:val="000000" w:themeColor="text1"/>
          <w:sz w:val="22"/>
          <w:szCs w:val="22"/>
        </w:rPr>
        <w:t xml:space="preserve">------30304908, Hopkins DR and Richards F, ‘Visionary campaign: eliminating river blindness’, </w:t>
      </w:r>
      <w:r w:rsidRPr="00233532">
        <w:rPr>
          <w:rFonts w:ascii="Calibri" w:hAnsi="Calibri" w:cs="Calibri"/>
          <w:i/>
          <w:color w:val="000000" w:themeColor="text1"/>
          <w:sz w:val="22"/>
          <w:szCs w:val="22"/>
        </w:rPr>
        <w:t xml:space="preserve">Reprint from the 1997 medical and health annual </w:t>
      </w:r>
      <w:r w:rsidRPr="00233532">
        <w:rPr>
          <w:rFonts w:ascii="Calibri" w:hAnsi="Calibri" w:cs="Calibri"/>
          <w:color w:val="000000" w:themeColor="text1"/>
          <w:sz w:val="22"/>
          <w:szCs w:val="22"/>
        </w:rPr>
        <w:t>(Chicago: Encyclopedia Britannica, 1996), 8-23.</w:t>
      </w:r>
    </w:p>
    <w:p w14:paraId="6E1EF9B4" w14:textId="77777777" w:rsidR="0033493D" w:rsidRPr="00233532" w:rsidRDefault="0033493D" w:rsidP="0033493D">
      <w:pPr>
        <w:pStyle w:val="FootnoteText"/>
        <w:rPr>
          <w:rFonts w:ascii="Calibri" w:hAnsi="Calibri" w:cs="Calibri"/>
          <w:color w:val="000000" w:themeColor="text1"/>
          <w:sz w:val="22"/>
          <w:szCs w:val="22"/>
        </w:rPr>
      </w:pPr>
    </w:p>
    <w:p w14:paraId="355E53FF"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------30304919, ‘Global call for the elimination of riverblindness within the next decade’, 27 July 1997.</w:t>
      </w:r>
    </w:p>
    <w:p w14:paraId="7EC91CCC" w14:textId="77777777" w:rsidR="0033493D" w:rsidRPr="00233532" w:rsidRDefault="0033493D" w:rsidP="0033493D">
      <w:pPr>
        <w:pStyle w:val="FootnoteText"/>
        <w:rPr>
          <w:rFonts w:ascii="Calibri" w:hAnsi="Calibri" w:cs="Calibri"/>
          <w:color w:val="000000" w:themeColor="text1"/>
          <w:sz w:val="22"/>
          <w:szCs w:val="22"/>
        </w:rPr>
      </w:pPr>
    </w:p>
    <w:p w14:paraId="0462C309"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------30304919, ‘Press conference, December 5 1995’, [1995].</w:t>
      </w:r>
    </w:p>
    <w:p w14:paraId="5BE0ECBC" w14:textId="77777777" w:rsidR="0033493D" w:rsidRPr="00233532" w:rsidRDefault="0033493D" w:rsidP="0033493D">
      <w:pPr>
        <w:pStyle w:val="FootnoteText"/>
        <w:rPr>
          <w:rFonts w:ascii="Calibri" w:hAnsi="Calibri" w:cs="Calibri"/>
          <w:color w:val="000000" w:themeColor="text1"/>
          <w:sz w:val="22"/>
          <w:szCs w:val="22"/>
        </w:rPr>
      </w:pPr>
    </w:p>
    <w:p w14:paraId="5EE6D88A"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------30304919, ‘World Bank press conference: new program to wipe out riverblindness in Africa’, 5 December 1995.</w:t>
      </w:r>
    </w:p>
    <w:p w14:paraId="590E03B8" w14:textId="77777777" w:rsidR="0033493D" w:rsidRPr="00233532" w:rsidRDefault="0033493D" w:rsidP="0033493D">
      <w:pPr>
        <w:pStyle w:val="FootnoteText"/>
        <w:rPr>
          <w:rFonts w:ascii="Calibri" w:hAnsi="Calibri" w:cs="Calibri"/>
          <w:color w:val="000000" w:themeColor="text1"/>
          <w:sz w:val="22"/>
          <w:szCs w:val="22"/>
        </w:rPr>
      </w:pPr>
    </w:p>
    <w:p w14:paraId="09B17EAB"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------30339647, ‘EDAP 3</w:t>
      </w:r>
      <w:r w:rsidRPr="00233532">
        <w:rPr>
          <w:rFonts w:ascii="Calibri" w:hAnsi="Calibri" w:cs="Calibri"/>
          <w:color w:val="000000" w:themeColor="text1"/>
          <w:sz w:val="22"/>
          <w:szCs w:val="22"/>
          <w:vertAlign w:val="superscript"/>
        </w:rPr>
        <w:t>rd</w:t>
      </w:r>
      <w:r w:rsidRPr="00233532">
        <w:rPr>
          <w:rFonts w:ascii="Calibri" w:hAnsi="Calibri" w:cs="Calibri"/>
          <w:color w:val="000000" w:themeColor="text1"/>
          <w:sz w:val="22"/>
          <w:szCs w:val="22"/>
        </w:rPr>
        <w:t xml:space="preserve"> meeting, Ouaga, March 8-10’, 1977.</w:t>
      </w:r>
    </w:p>
    <w:p w14:paraId="79550AE8" w14:textId="77777777" w:rsidR="0033493D" w:rsidRPr="00233532" w:rsidRDefault="0033493D" w:rsidP="0033493D">
      <w:pPr>
        <w:pStyle w:val="FootnoteText"/>
        <w:rPr>
          <w:rFonts w:ascii="Calibri" w:hAnsi="Calibri" w:cs="Calibri"/>
          <w:color w:val="000000" w:themeColor="text1"/>
          <w:sz w:val="22"/>
          <w:szCs w:val="22"/>
        </w:rPr>
      </w:pPr>
    </w:p>
    <w:p w14:paraId="4E906D9A"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------30339647, ‘EDAP meeting in Rome (minutes), draft’, 29 August 1977.</w:t>
      </w:r>
    </w:p>
    <w:p w14:paraId="15C98896" w14:textId="77777777" w:rsidR="0033493D" w:rsidRPr="00233532" w:rsidRDefault="0033493D" w:rsidP="0033493D">
      <w:pPr>
        <w:pStyle w:val="FootnoteText"/>
        <w:rPr>
          <w:rFonts w:ascii="Calibri" w:hAnsi="Calibri" w:cs="Calibri"/>
          <w:color w:val="000000" w:themeColor="text1"/>
          <w:sz w:val="22"/>
          <w:szCs w:val="22"/>
        </w:rPr>
      </w:pPr>
    </w:p>
    <w:p w14:paraId="6F899B96"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------30339647, Michael Sharpston to Stephen Denning, ‘The role of the EDAP’, 24 November 1976.</w:t>
      </w:r>
    </w:p>
    <w:p w14:paraId="0D22B312" w14:textId="77777777" w:rsidR="0033493D" w:rsidRPr="00233532" w:rsidRDefault="0033493D" w:rsidP="0033493D">
      <w:pPr>
        <w:pStyle w:val="FootnoteText"/>
        <w:rPr>
          <w:rFonts w:ascii="Calibri" w:hAnsi="Calibri" w:cs="Calibri"/>
          <w:color w:val="000000" w:themeColor="text1"/>
          <w:sz w:val="22"/>
          <w:szCs w:val="22"/>
        </w:rPr>
      </w:pPr>
    </w:p>
    <w:p w14:paraId="073C6A79"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------30339647, Samuel C. Adams, ‘EDAP 2</w:t>
      </w:r>
      <w:r w:rsidRPr="00233532">
        <w:rPr>
          <w:rFonts w:ascii="Calibri" w:hAnsi="Calibri" w:cs="Calibri"/>
          <w:color w:val="000000" w:themeColor="text1"/>
          <w:sz w:val="22"/>
          <w:szCs w:val="22"/>
          <w:vertAlign w:val="superscript"/>
        </w:rPr>
        <w:t>nd</w:t>
      </w:r>
      <w:r w:rsidRPr="00233532">
        <w:rPr>
          <w:rFonts w:ascii="Calibri" w:hAnsi="Calibri" w:cs="Calibri"/>
          <w:color w:val="000000" w:themeColor="text1"/>
          <w:sz w:val="22"/>
          <w:szCs w:val="22"/>
        </w:rPr>
        <w:t xml:space="preserve"> meeting, Paris, October 1-2’, 1976.</w:t>
      </w:r>
    </w:p>
    <w:p w14:paraId="33CD4886" w14:textId="77777777" w:rsidR="0033493D" w:rsidRPr="00233532" w:rsidRDefault="0033493D" w:rsidP="0033493D">
      <w:pPr>
        <w:pStyle w:val="FootnoteText"/>
        <w:rPr>
          <w:rFonts w:ascii="Calibri" w:hAnsi="Calibri" w:cs="Calibri"/>
          <w:color w:val="000000" w:themeColor="text1"/>
          <w:sz w:val="22"/>
          <w:szCs w:val="22"/>
        </w:rPr>
      </w:pPr>
    </w:p>
    <w:p w14:paraId="656408BB"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------30339647, Stephen Denning to Distribution, ‘Riverblindness working group’ [attached map], 25 August 1977. </w:t>
      </w:r>
    </w:p>
    <w:p w14:paraId="49AFD5C9" w14:textId="77777777" w:rsidR="0033493D" w:rsidRPr="00233532" w:rsidRDefault="0033493D" w:rsidP="0033493D">
      <w:pPr>
        <w:pStyle w:val="FootnoteText"/>
        <w:rPr>
          <w:rFonts w:ascii="Calibri" w:hAnsi="Calibri" w:cs="Calibri"/>
          <w:color w:val="000000" w:themeColor="text1"/>
          <w:sz w:val="22"/>
          <w:szCs w:val="22"/>
        </w:rPr>
      </w:pPr>
    </w:p>
    <w:p w14:paraId="79A9506A"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------30339648, ‘Bank comments on devolution, draft’, 14 October 1994.</w:t>
      </w:r>
    </w:p>
    <w:p w14:paraId="6F7EEEE3" w14:textId="77777777" w:rsidR="0033493D" w:rsidRPr="00233532" w:rsidRDefault="0033493D" w:rsidP="0033493D">
      <w:pPr>
        <w:pStyle w:val="FootnoteText"/>
        <w:rPr>
          <w:rFonts w:ascii="Calibri" w:hAnsi="Calibri" w:cs="Calibri"/>
          <w:color w:val="000000" w:themeColor="text1"/>
          <w:sz w:val="22"/>
          <w:szCs w:val="22"/>
        </w:rPr>
      </w:pPr>
    </w:p>
    <w:p w14:paraId="739F6862"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------30339648, ‘EDAP fifth meeting, Paris, September 11-13 1778, review of the report of the economic review mission’, 1978.</w:t>
      </w:r>
    </w:p>
    <w:p w14:paraId="4574636C" w14:textId="77777777" w:rsidR="0033493D" w:rsidRPr="00233532" w:rsidRDefault="0033493D" w:rsidP="0033493D">
      <w:pPr>
        <w:pStyle w:val="FootnoteText"/>
        <w:rPr>
          <w:rFonts w:ascii="Calibri" w:hAnsi="Calibri" w:cs="Calibri"/>
          <w:color w:val="000000" w:themeColor="text1"/>
          <w:sz w:val="22"/>
          <w:szCs w:val="22"/>
        </w:rPr>
      </w:pPr>
    </w:p>
    <w:p w14:paraId="1D170EC3"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------30339648, ‘Some aspects of developing the OCP areas, draft’, 30 August 1977.</w:t>
      </w:r>
    </w:p>
    <w:p w14:paraId="189E113B" w14:textId="77777777" w:rsidR="0033493D" w:rsidRPr="00233532" w:rsidRDefault="0033493D" w:rsidP="0033493D">
      <w:pPr>
        <w:pStyle w:val="FootnoteText"/>
        <w:rPr>
          <w:rFonts w:ascii="Calibri" w:hAnsi="Calibri" w:cs="Calibri"/>
          <w:color w:val="000000" w:themeColor="text1"/>
          <w:sz w:val="22"/>
          <w:szCs w:val="22"/>
        </w:rPr>
      </w:pPr>
    </w:p>
    <w:p w14:paraId="0307B55E"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------30339648, Charles Weiss to Roger Chaufournier, ‘Economic Development Advisory Panel (EDAP) to the Onchocerciasis Control Program’, 15 September 1977.</w:t>
      </w:r>
    </w:p>
    <w:p w14:paraId="59C57BB6" w14:textId="77777777" w:rsidR="0033493D" w:rsidRPr="00233532" w:rsidRDefault="0033493D" w:rsidP="0033493D">
      <w:pPr>
        <w:pStyle w:val="FootnoteText"/>
        <w:rPr>
          <w:rFonts w:ascii="Calibri" w:hAnsi="Calibri" w:cs="Calibri"/>
          <w:color w:val="000000" w:themeColor="text1"/>
          <w:sz w:val="22"/>
          <w:szCs w:val="22"/>
        </w:rPr>
      </w:pPr>
    </w:p>
    <w:p w14:paraId="0827E78A"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------30339648, M.J. Sharpston to S. Denning, ‘Annual report of the Economic Development Advisory Panel: a comment’, 20 October 1977.</w:t>
      </w:r>
    </w:p>
    <w:p w14:paraId="7DEA4B42" w14:textId="77777777" w:rsidR="0033493D" w:rsidRPr="00233532" w:rsidRDefault="0033493D" w:rsidP="0033493D">
      <w:pPr>
        <w:pStyle w:val="FootnoteText"/>
        <w:rPr>
          <w:rFonts w:ascii="Calibri" w:hAnsi="Calibri" w:cs="Calibri"/>
          <w:color w:val="000000" w:themeColor="text1"/>
          <w:sz w:val="22"/>
          <w:szCs w:val="22"/>
        </w:rPr>
      </w:pPr>
    </w:p>
    <w:p w14:paraId="205610AD"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------30339648, Michael Sharpston to Files, ‘Some thoughts on problems related to oncho’, 21 November 1977.</w:t>
      </w:r>
    </w:p>
    <w:p w14:paraId="20CA6D54" w14:textId="77777777" w:rsidR="0033493D" w:rsidRPr="00233532" w:rsidRDefault="0033493D" w:rsidP="0033493D">
      <w:pPr>
        <w:pStyle w:val="FootnoteText"/>
        <w:rPr>
          <w:rFonts w:ascii="Calibri" w:hAnsi="Calibri" w:cs="Calibri"/>
          <w:color w:val="000000" w:themeColor="text1"/>
          <w:sz w:val="22"/>
          <w:szCs w:val="22"/>
        </w:rPr>
      </w:pPr>
    </w:p>
    <w:p w14:paraId="10D0F700"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------30339648, Stephen Denning to André Gué, ‘EDAP options’, 21 November 1977.</w:t>
      </w:r>
    </w:p>
    <w:p w14:paraId="3BA0796A" w14:textId="77777777" w:rsidR="0033493D" w:rsidRPr="00233532" w:rsidRDefault="0033493D" w:rsidP="0033493D">
      <w:pPr>
        <w:pStyle w:val="FootnoteText"/>
        <w:rPr>
          <w:rFonts w:ascii="Calibri" w:hAnsi="Calibri" w:cs="Calibri"/>
          <w:color w:val="000000" w:themeColor="text1"/>
          <w:sz w:val="22"/>
          <w:szCs w:val="22"/>
        </w:rPr>
      </w:pPr>
    </w:p>
    <w:p w14:paraId="165EBD1D"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------30348068, Bruce Benton to Files, ‘Donor discussions with Switzerland and Germany (FRG), July 27-28 1987’, 1987.</w:t>
      </w:r>
    </w:p>
    <w:p w14:paraId="4B89C0B3" w14:textId="77777777" w:rsidR="0033493D" w:rsidRPr="00233532" w:rsidRDefault="0033493D" w:rsidP="0033493D">
      <w:pPr>
        <w:pStyle w:val="FootnoteText"/>
        <w:rPr>
          <w:rFonts w:ascii="Calibri" w:hAnsi="Calibri" w:cs="Calibri"/>
          <w:color w:val="000000" w:themeColor="text1"/>
          <w:sz w:val="22"/>
          <w:szCs w:val="22"/>
        </w:rPr>
      </w:pPr>
    </w:p>
    <w:p w14:paraId="7EB27195" w14:textId="77777777" w:rsidR="0033493D" w:rsidRPr="00233532" w:rsidRDefault="0033493D" w:rsidP="0033493D">
      <w:pPr>
        <w:rPr>
          <w:rFonts w:ascii="Calibri" w:hAnsi="Calibri" w:cs="Calibri"/>
          <w:color w:val="000000" w:themeColor="text1"/>
          <w:sz w:val="22"/>
          <w:szCs w:val="22"/>
        </w:rPr>
      </w:pPr>
      <w:r w:rsidRPr="00233532">
        <w:rPr>
          <w:rFonts w:ascii="Calibri" w:hAnsi="Calibri" w:cs="Calibri"/>
          <w:color w:val="000000" w:themeColor="text1"/>
          <w:sz w:val="22"/>
          <w:szCs w:val="22"/>
        </w:rPr>
        <w:t>------30348069, Bruce Benton to Caio Koch-Weser through Jeannie Murphy, ‘Your question re. publicity for success stories’, 25 July 1986.</w:t>
      </w:r>
    </w:p>
    <w:p w14:paraId="1EBC6A2D" w14:textId="77777777" w:rsidR="0033493D" w:rsidRPr="00233532" w:rsidRDefault="0033493D" w:rsidP="0033493D">
      <w:pPr>
        <w:pStyle w:val="FootnoteText"/>
        <w:rPr>
          <w:rFonts w:ascii="Calibri" w:hAnsi="Calibri" w:cs="Calibri"/>
          <w:color w:val="000000" w:themeColor="text1"/>
          <w:sz w:val="22"/>
          <w:szCs w:val="22"/>
        </w:rPr>
      </w:pPr>
    </w:p>
    <w:p w14:paraId="3D41FC5E"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------30348069, Bruce Benton to Charles Gladson, 8 October 1987.</w:t>
      </w:r>
    </w:p>
    <w:p w14:paraId="277B6895" w14:textId="77777777" w:rsidR="0033493D" w:rsidRPr="00233532" w:rsidRDefault="0033493D" w:rsidP="0033493D">
      <w:pPr>
        <w:pStyle w:val="FootnoteText"/>
        <w:rPr>
          <w:rFonts w:ascii="Calibri" w:hAnsi="Calibri" w:cs="Calibri"/>
          <w:color w:val="000000" w:themeColor="text1"/>
          <w:sz w:val="22"/>
          <w:szCs w:val="22"/>
        </w:rPr>
      </w:pPr>
    </w:p>
    <w:p w14:paraId="4467EC14"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------30348069, Bruce Benton to Koichi Takahashi, 27 August 1987.</w:t>
      </w:r>
    </w:p>
    <w:p w14:paraId="61D88DD6" w14:textId="77777777" w:rsidR="0033493D" w:rsidRPr="00233532" w:rsidRDefault="0033493D" w:rsidP="0033493D">
      <w:pPr>
        <w:pStyle w:val="FootnoteText"/>
        <w:rPr>
          <w:rFonts w:ascii="Calibri" w:hAnsi="Calibri" w:cs="Calibri"/>
          <w:color w:val="000000" w:themeColor="text1"/>
          <w:sz w:val="22"/>
          <w:szCs w:val="22"/>
        </w:rPr>
      </w:pPr>
    </w:p>
    <w:p w14:paraId="4BC62B06"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------30348069, Wilfried Thalwitz to Ebrahim Samba, 12 February 1987.</w:t>
      </w:r>
    </w:p>
    <w:p w14:paraId="0C6D6EAF" w14:textId="77777777" w:rsidR="0033493D" w:rsidRPr="00233532" w:rsidRDefault="0033493D" w:rsidP="0033493D">
      <w:pPr>
        <w:pStyle w:val="FootnoteText"/>
        <w:rPr>
          <w:rFonts w:ascii="Calibri" w:hAnsi="Calibri" w:cs="Calibri"/>
          <w:color w:val="000000" w:themeColor="text1"/>
          <w:sz w:val="22"/>
          <w:szCs w:val="22"/>
        </w:rPr>
      </w:pPr>
    </w:p>
    <w:p w14:paraId="5D3BD975"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------31037064, ‘Bank’s involvement/OCP’, [1981].</w:t>
      </w:r>
    </w:p>
    <w:p w14:paraId="5C124BF2" w14:textId="77777777" w:rsidR="0033493D" w:rsidRPr="00233532" w:rsidRDefault="0033493D" w:rsidP="0033493D">
      <w:pPr>
        <w:pStyle w:val="FootnoteText"/>
        <w:rPr>
          <w:rFonts w:ascii="Calibri" w:hAnsi="Calibri" w:cs="Calibri"/>
          <w:color w:val="000000" w:themeColor="text1"/>
          <w:sz w:val="22"/>
          <w:szCs w:val="22"/>
        </w:rPr>
      </w:pPr>
    </w:p>
    <w:p w14:paraId="44F87913"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------809925, ‘CSA report on mechanisms for promoting SED in oncho controlled zones’, 24 October 1986.</w:t>
      </w:r>
    </w:p>
    <w:p w14:paraId="0B49B8E7" w14:textId="77777777" w:rsidR="0033493D" w:rsidRPr="00233532" w:rsidRDefault="0033493D" w:rsidP="0033493D">
      <w:pPr>
        <w:pStyle w:val="FootnoteText"/>
        <w:rPr>
          <w:rFonts w:ascii="Calibri" w:hAnsi="Calibri" w:cs="Calibri"/>
          <w:color w:val="000000" w:themeColor="text1"/>
          <w:sz w:val="22"/>
          <w:szCs w:val="22"/>
        </w:rPr>
      </w:pPr>
    </w:p>
    <w:p w14:paraId="26473815"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lastRenderedPageBreak/>
        <w:t>------809925, ‘Statement to the Board on the annual riverblindness (Oncho) Control Program meeting, November 29 – December 2 1980’, 10 January 1980.</w:t>
      </w:r>
    </w:p>
    <w:p w14:paraId="153F4005" w14:textId="77777777" w:rsidR="0033493D" w:rsidRPr="00233532" w:rsidRDefault="0033493D" w:rsidP="0033493D">
      <w:pPr>
        <w:pStyle w:val="FootnoteText"/>
        <w:rPr>
          <w:rFonts w:ascii="Calibri" w:hAnsi="Calibri" w:cs="Calibri"/>
          <w:color w:val="000000" w:themeColor="text1"/>
          <w:sz w:val="22"/>
          <w:szCs w:val="22"/>
        </w:rPr>
      </w:pPr>
    </w:p>
    <w:p w14:paraId="3687B0BF"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------809925, ‘Terms of reference: regional pre-preparation project for studies on socio economic development in the Onchocerciasis Control Program area’, 6 May 1986.</w:t>
      </w:r>
    </w:p>
    <w:p w14:paraId="0E945A51" w14:textId="77777777" w:rsidR="0033493D" w:rsidRPr="00233532" w:rsidRDefault="0033493D" w:rsidP="0033493D">
      <w:pPr>
        <w:pStyle w:val="FootnoteText"/>
        <w:rPr>
          <w:rFonts w:ascii="Calibri" w:hAnsi="Calibri" w:cs="Calibri"/>
          <w:color w:val="000000" w:themeColor="text1"/>
          <w:sz w:val="22"/>
          <w:szCs w:val="22"/>
        </w:rPr>
      </w:pPr>
    </w:p>
    <w:p w14:paraId="6C59A17A"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------809925, Attn. Bruce Benton, ‘Regional meeting of national onchocerciasis committees, Bamako, June 3-5’, 6 June 1987. </w:t>
      </w:r>
    </w:p>
    <w:p w14:paraId="4594AD2C" w14:textId="77777777" w:rsidR="0033493D" w:rsidRPr="00233532" w:rsidRDefault="0033493D" w:rsidP="0033493D">
      <w:pPr>
        <w:pStyle w:val="FootnoteText"/>
        <w:rPr>
          <w:rFonts w:ascii="Calibri" w:hAnsi="Calibri" w:cs="Calibri"/>
          <w:color w:val="000000" w:themeColor="text1"/>
          <w:sz w:val="22"/>
          <w:szCs w:val="22"/>
        </w:rPr>
      </w:pPr>
    </w:p>
    <w:p w14:paraId="73C44188"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------9082688, J. Gillette to Distribution, ‘Transfer of riverblindness (onchocerciasis) unit from AF5CO to AF5PH’, 20 January 1988.</w:t>
      </w:r>
    </w:p>
    <w:p w14:paraId="4B12E25C" w14:textId="77777777" w:rsidR="0033493D" w:rsidRPr="003A4BF2" w:rsidRDefault="0033493D" w:rsidP="0033493D">
      <w:pPr>
        <w:pStyle w:val="Footnotes"/>
        <w:rPr>
          <w:rFonts w:ascii="Calibri" w:hAnsi="Calibri" w:cs="Calibri"/>
          <w:sz w:val="22"/>
          <w:szCs w:val="22"/>
        </w:rPr>
      </w:pPr>
    </w:p>
    <w:p w14:paraId="2E82C940" w14:textId="77777777" w:rsidR="0033493D" w:rsidRPr="007A123B"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t>
      </w:r>
      <w:r w:rsidRPr="00E12758">
        <w:rPr>
          <w:rFonts w:ascii="Calibri" w:hAnsi="Calibri" w:cs="Calibri"/>
          <w:color w:val="000000" w:themeColor="text1"/>
          <w:sz w:val="22"/>
          <w:szCs w:val="22"/>
        </w:rPr>
        <w:t>D65210, ‘Contributions from coun</w:t>
      </w:r>
      <w:r w:rsidRPr="00766A1F">
        <w:rPr>
          <w:rFonts w:ascii="Calibri" w:hAnsi="Calibri" w:cs="Calibri"/>
          <w:color w:val="000000" w:themeColor="text1"/>
          <w:sz w:val="22"/>
          <w:szCs w:val="22"/>
        </w:rPr>
        <w:t>tries in the initial programme area’, 7 May 1992.</w:t>
      </w:r>
    </w:p>
    <w:p w14:paraId="6A6F7051" w14:textId="77777777" w:rsidR="0033493D" w:rsidRPr="00233532" w:rsidRDefault="0033493D" w:rsidP="0033493D">
      <w:pPr>
        <w:pStyle w:val="FootnoteText"/>
        <w:rPr>
          <w:rFonts w:ascii="Calibri" w:hAnsi="Calibri" w:cs="Calibri"/>
          <w:color w:val="000000" w:themeColor="text1"/>
          <w:sz w:val="22"/>
          <w:szCs w:val="22"/>
        </w:rPr>
      </w:pPr>
    </w:p>
    <w:p w14:paraId="5034CBFC"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------D65210, ‘Proposed revision of OCP contributions to the MACROFIL chemotherapy project, 1992-1997’, [1992].</w:t>
      </w:r>
    </w:p>
    <w:p w14:paraId="1482665B" w14:textId="77777777" w:rsidR="0033493D" w:rsidRPr="00233532" w:rsidRDefault="0033493D" w:rsidP="0033493D">
      <w:pPr>
        <w:pStyle w:val="FootnoteText"/>
        <w:rPr>
          <w:rFonts w:ascii="Calibri" w:hAnsi="Calibri" w:cs="Calibri"/>
          <w:color w:val="000000" w:themeColor="text1"/>
          <w:sz w:val="22"/>
          <w:szCs w:val="22"/>
        </w:rPr>
      </w:pPr>
    </w:p>
    <w:p w14:paraId="699D626F" w14:textId="77777777" w:rsidR="0033493D" w:rsidRPr="00233532" w:rsidRDefault="0033493D" w:rsidP="0033493D">
      <w:pPr>
        <w:rPr>
          <w:rFonts w:ascii="Calibri" w:hAnsi="Calibri" w:cs="Calibri"/>
          <w:color w:val="000000" w:themeColor="text1"/>
          <w:sz w:val="22"/>
          <w:szCs w:val="22"/>
          <w:lang w:eastAsia="en-GB"/>
        </w:rPr>
      </w:pPr>
      <w:r w:rsidRPr="00233532">
        <w:rPr>
          <w:rFonts w:ascii="Calibri" w:hAnsi="Calibri" w:cs="Calibri"/>
          <w:color w:val="000000" w:themeColor="text1"/>
          <w:sz w:val="22"/>
          <w:szCs w:val="22"/>
        </w:rPr>
        <w:t>------</w:t>
      </w:r>
      <w:r w:rsidRPr="00233532">
        <w:rPr>
          <w:rFonts w:ascii="Calibri" w:hAnsi="Calibri" w:cs="Calibri"/>
          <w:color w:val="000000" w:themeColor="text1"/>
          <w:sz w:val="22"/>
          <w:szCs w:val="22"/>
          <w:lang w:eastAsia="en-GB"/>
        </w:rPr>
        <w:t>D65211, ‘Breakdown of costs between original and extension areas’, s.d.</w:t>
      </w:r>
    </w:p>
    <w:p w14:paraId="55D63110" w14:textId="77777777" w:rsidR="0033493D" w:rsidRPr="00233532" w:rsidRDefault="0033493D" w:rsidP="0033493D">
      <w:pPr>
        <w:rPr>
          <w:rFonts w:ascii="Calibri" w:hAnsi="Calibri" w:cs="Calibri"/>
          <w:color w:val="000000" w:themeColor="text1"/>
          <w:sz w:val="22"/>
          <w:szCs w:val="22"/>
          <w:lang w:eastAsia="en-GB"/>
        </w:rPr>
      </w:pPr>
    </w:p>
    <w:p w14:paraId="15250C81"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------D71884, Bruce Benton to Jean Louis Sarbib, ‘Annual meeting of onchocerciasis (riverblindness) program’, 8 December 1994.</w:t>
      </w:r>
    </w:p>
    <w:p w14:paraId="495D7499" w14:textId="77777777" w:rsidR="0033493D" w:rsidRPr="003A4BF2" w:rsidRDefault="0033493D" w:rsidP="0033493D">
      <w:pPr>
        <w:pStyle w:val="Footnotes"/>
        <w:rPr>
          <w:rFonts w:ascii="Calibri" w:hAnsi="Calibri" w:cs="Calibri"/>
          <w:sz w:val="22"/>
          <w:szCs w:val="22"/>
        </w:rPr>
      </w:pPr>
    </w:p>
    <w:p w14:paraId="214EF337" w14:textId="77777777" w:rsidR="0033493D" w:rsidRPr="003A4BF2" w:rsidRDefault="0033493D" w:rsidP="0033493D">
      <w:pPr>
        <w:pStyle w:val="Footnotes"/>
        <w:rPr>
          <w:rFonts w:ascii="Calibri" w:hAnsi="Calibri" w:cs="Calibri"/>
          <w:sz w:val="22"/>
          <w:szCs w:val="22"/>
        </w:rPr>
      </w:pPr>
      <w:r w:rsidRPr="003A4BF2">
        <w:rPr>
          <w:rFonts w:ascii="Calibri" w:hAnsi="Calibri" w:cs="Calibri"/>
          <w:sz w:val="22"/>
          <w:szCs w:val="22"/>
        </w:rPr>
        <w:t>------D75220, ‘Onchocerciasis control program in West Africa – committee of sponsoring agencies – DOC [Record Removal Notice]’, 1 January 1993.</w:t>
      </w:r>
    </w:p>
    <w:p w14:paraId="6CD55274" w14:textId="77777777" w:rsidR="0033493D" w:rsidRPr="003A4BF2" w:rsidRDefault="0033493D" w:rsidP="0033493D">
      <w:pPr>
        <w:pStyle w:val="Footnotes"/>
        <w:rPr>
          <w:rFonts w:ascii="Calibri" w:hAnsi="Calibri" w:cs="Calibri"/>
          <w:sz w:val="22"/>
          <w:szCs w:val="22"/>
        </w:rPr>
      </w:pPr>
    </w:p>
    <w:p w14:paraId="4EC9254D" w14:textId="77777777" w:rsidR="0033493D" w:rsidRPr="00766A1F"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t>
      </w:r>
      <w:r w:rsidRPr="00E12758">
        <w:rPr>
          <w:rFonts w:ascii="Calibri" w:hAnsi="Calibri" w:cs="Calibri"/>
          <w:color w:val="000000" w:themeColor="text1"/>
          <w:sz w:val="22"/>
          <w:szCs w:val="22"/>
        </w:rPr>
        <w:t>D81042, Institute for Dev</w:t>
      </w:r>
      <w:r w:rsidRPr="00766A1F">
        <w:rPr>
          <w:rFonts w:ascii="Calibri" w:hAnsi="Calibri" w:cs="Calibri"/>
          <w:color w:val="000000" w:themeColor="text1"/>
          <w:sz w:val="22"/>
          <w:szCs w:val="22"/>
        </w:rPr>
        <w:t>elopment Anthropology, ‘Land settlement review’, 1990.</w:t>
      </w:r>
    </w:p>
    <w:p w14:paraId="15A8C9E0" w14:textId="77777777" w:rsidR="0033493D" w:rsidRPr="007A123B" w:rsidRDefault="0033493D" w:rsidP="0033493D">
      <w:pPr>
        <w:pStyle w:val="FootnoteText"/>
        <w:rPr>
          <w:rFonts w:ascii="Calibri" w:hAnsi="Calibri" w:cs="Calibri"/>
          <w:color w:val="000000" w:themeColor="text1"/>
          <w:sz w:val="22"/>
          <w:szCs w:val="22"/>
        </w:rPr>
      </w:pPr>
    </w:p>
    <w:p w14:paraId="0755541F" w14:textId="77777777" w:rsidR="0033493D" w:rsidRPr="00233532" w:rsidRDefault="0033493D" w:rsidP="0033493D">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------D81087, Huntley Consultants, ‘SED studies in the OCP area – final report’, 1986.</w:t>
      </w:r>
    </w:p>
    <w:p w14:paraId="6F88D026" w14:textId="77777777" w:rsidR="0033493D" w:rsidRPr="00233532" w:rsidRDefault="0033493D" w:rsidP="0033493D">
      <w:pPr>
        <w:pStyle w:val="FootnoteText"/>
        <w:rPr>
          <w:rFonts w:ascii="Calibri" w:hAnsi="Calibri" w:cs="Calibri"/>
          <w:color w:val="000000" w:themeColor="text1"/>
          <w:sz w:val="22"/>
          <w:szCs w:val="22"/>
        </w:rPr>
      </w:pPr>
    </w:p>
    <w:p w14:paraId="2D89A335" w14:textId="023D903F" w:rsidR="0033493D" w:rsidRPr="00233532" w:rsidRDefault="0033493D"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------D93672, Deborah McFarland and John Murray, ‘A review of the economic impact of treatment with ivermectin for onchocerciasis’, February 1994.</w:t>
      </w:r>
    </w:p>
    <w:p w14:paraId="15939B89" w14:textId="77777777" w:rsidR="00442620" w:rsidRPr="00233532" w:rsidRDefault="00442620" w:rsidP="00442620">
      <w:pPr>
        <w:pStyle w:val="FootnoteText"/>
        <w:rPr>
          <w:rFonts w:ascii="Calibri" w:hAnsi="Calibri" w:cs="Calibri"/>
          <w:color w:val="000000" w:themeColor="text1"/>
          <w:sz w:val="22"/>
          <w:szCs w:val="22"/>
        </w:rPr>
      </w:pPr>
    </w:p>
    <w:p w14:paraId="5AC29B54"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World Bank Ghana Office, ‘Pushing back neglected tropical diseases in Africa’, </w:t>
      </w:r>
      <w:r w:rsidRPr="00233532">
        <w:rPr>
          <w:rFonts w:ascii="Calibri" w:hAnsi="Calibri" w:cs="Calibri"/>
          <w:i/>
          <w:color w:val="000000" w:themeColor="text1"/>
          <w:sz w:val="22"/>
          <w:szCs w:val="22"/>
        </w:rPr>
        <w:t xml:space="preserve">Business Ghana </w:t>
      </w:r>
      <w:r w:rsidRPr="00233532">
        <w:rPr>
          <w:rFonts w:ascii="Calibri" w:hAnsi="Calibri" w:cs="Calibri"/>
          <w:color w:val="000000" w:themeColor="text1"/>
          <w:sz w:val="22"/>
          <w:szCs w:val="22"/>
        </w:rPr>
        <w:t>(20 Nov 2012).</w:t>
      </w:r>
    </w:p>
    <w:p w14:paraId="76CDDE12" w14:textId="77777777" w:rsidR="00442620" w:rsidRPr="00233532" w:rsidRDefault="00442620" w:rsidP="00442620">
      <w:pPr>
        <w:pStyle w:val="FootnoteText"/>
        <w:rPr>
          <w:rFonts w:ascii="Calibri" w:hAnsi="Calibri" w:cs="Calibri"/>
          <w:color w:val="000000" w:themeColor="text1"/>
          <w:sz w:val="22"/>
          <w:szCs w:val="22"/>
        </w:rPr>
      </w:pPr>
    </w:p>
    <w:p w14:paraId="52CD62B5"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World Bank Group Archives Oral History Program, </w:t>
      </w:r>
      <w:r w:rsidRPr="00233532">
        <w:rPr>
          <w:rFonts w:ascii="Calibri" w:hAnsi="Calibri" w:cs="Calibri"/>
          <w:i/>
          <w:color w:val="000000" w:themeColor="text1"/>
          <w:sz w:val="22"/>
          <w:szCs w:val="22"/>
        </w:rPr>
        <w:t xml:space="preserve">Transcript of an interview with Bruce Benton </w:t>
      </w:r>
      <w:r w:rsidRPr="00233532">
        <w:rPr>
          <w:rFonts w:ascii="Calibri" w:hAnsi="Calibri" w:cs="Calibri"/>
          <w:color w:val="000000" w:themeColor="text1"/>
          <w:sz w:val="22"/>
          <w:szCs w:val="22"/>
        </w:rPr>
        <w:t xml:space="preserve">(Washington DC: World Bank, 2006). </w:t>
      </w:r>
    </w:p>
    <w:p w14:paraId="2C50917F" w14:textId="77777777" w:rsidR="00442620" w:rsidRPr="00233532" w:rsidRDefault="00442620" w:rsidP="00442620">
      <w:pPr>
        <w:pStyle w:val="FootnoteText"/>
        <w:rPr>
          <w:rFonts w:ascii="Calibri" w:hAnsi="Calibri" w:cs="Calibri"/>
          <w:color w:val="000000" w:themeColor="text1"/>
          <w:sz w:val="22"/>
          <w:szCs w:val="22"/>
        </w:rPr>
      </w:pPr>
    </w:p>
    <w:p w14:paraId="29EA8383"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World Bank Group Archives Oral History Program, </w:t>
      </w:r>
      <w:r w:rsidRPr="00233532">
        <w:rPr>
          <w:rFonts w:ascii="Calibri" w:hAnsi="Calibri" w:cs="Calibri"/>
          <w:i/>
          <w:color w:val="000000" w:themeColor="text1"/>
          <w:sz w:val="22"/>
          <w:szCs w:val="22"/>
        </w:rPr>
        <w:t xml:space="preserve">Transcript of an interview with Georges R. Delaume </w:t>
      </w:r>
      <w:r w:rsidRPr="00233532">
        <w:rPr>
          <w:rFonts w:ascii="Calibri" w:hAnsi="Calibri" w:cs="Calibri"/>
          <w:color w:val="000000" w:themeColor="text1"/>
          <w:sz w:val="22"/>
          <w:szCs w:val="22"/>
        </w:rPr>
        <w:t>(Arlington: World Bank, 2004).</w:t>
      </w:r>
    </w:p>
    <w:p w14:paraId="24C41248" w14:textId="77777777" w:rsidR="00442620" w:rsidRPr="00233532" w:rsidRDefault="00442620" w:rsidP="00442620">
      <w:pPr>
        <w:pStyle w:val="FootnoteText"/>
        <w:rPr>
          <w:rFonts w:ascii="Calibri" w:hAnsi="Calibri" w:cs="Calibri"/>
          <w:color w:val="000000" w:themeColor="text1"/>
          <w:sz w:val="22"/>
          <w:szCs w:val="22"/>
        </w:rPr>
      </w:pPr>
    </w:p>
    <w:p w14:paraId="10FE17E5"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World Bank Group Archives Oral History Program, </w:t>
      </w:r>
      <w:r w:rsidRPr="00233532">
        <w:rPr>
          <w:rFonts w:ascii="Calibri" w:hAnsi="Calibri" w:cs="Calibri"/>
          <w:i/>
          <w:color w:val="000000" w:themeColor="text1"/>
          <w:sz w:val="22"/>
          <w:szCs w:val="22"/>
        </w:rPr>
        <w:t xml:space="preserve">Transcript of interview with Thomas Ambrose Blinkhorn </w:t>
      </w:r>
      <w:r w:rsidRPr="00233532">
        <w:rPr>
          <w:rFonts w:ascii="Calibri" w:hAnsi="Calibri" w:cs="Calibri"/>
          <w:color w:val="000000" w:themeColor="text1"/>
          <w:sz w:val="22"/>
          <w:szCs w:val="22"/>
        </w:rPr>
        <w:t>(Washington DC: World Bank, 2008).</w:t>
      </w:r>
    </w:p>
    <w:p w14:paraId="7EE76775" w14:textId="77777777" w:rsidR="00442620" w:rsidRPr="00233532" w:rsidRDefault="00442620" w:rsidP="00442620">
      <w:pPr>
        <w:pStyle w:val="FootnoteText"/>
        <w:rPr>
          <w:rFonts w:ascii="Calibri" w:hAnsi="Calibri" w:cs="Calibri"/>
          <w:color w:val="000000" w:themeColor="text1"/>
          <w:sz w:val="22"/>
          <w:szCs w:val="22"/>
        </w:rPr>
      </w:pPr>
    </w:p>
    <w:p w14:paraId="0E78E759"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World Bank Group Archives Oral History Program, </w:t>
      </w:r>
      <w:r w:rsidRPr="00233532">
        <w:rPr>
          <w:rFonts w:ascii="Calibri" w:hAnsi="Calibri" w:cs="Calibri"/>
          <w:i/>
          <w:color w:val="000000" w:themeColor="text1"/>
          <w:sz w:val="22"/>
          <w:szCs w:val="22"/>
        </w:rPr>
        <w:t xml:space="preserve">Transcript of oral history interview with Bernhard H. Liese </w:t>
      </w:r>
      <w:r w:rsidRPr="00233532">
        <w:rPr>
          <w:rFonts w:ascii="Calibri" w:hAnsi="Calibri" w:cs="Calibri"/>
          <w:color w:val="000000" w:themeColor="text1"/>
          <w:sz w:val="22"/>
          <w:szCs w:val="22"/>
        </w:rPr>
        <w:t>(Washington DC: World Bank, 2008).</w:t>
      </w:r>
    </w:p>
    <w:p w14:paraId="4F4FEDEA" w14:textId="77777777" w:rsidR="00442620" w:rsidRPr="00233532" w:rsidRDefault="00442620" w:rsidP="00442620">
      <w:pPr>
        <w:pStyle w:val="FootnoteText"/>
        <w:rPr>
          <w:rFonts w:ascii="Calibri" w:hAnsi="Calibri" w:cs="Calibri"/>
          <w:color w:val="000000" w:themeColor="text1"/>
          <w:sz w:val="22"/>
          <w:szCs w:val="22"/>
        </w:rPr>
      </w:pPr>
    </w:p>
    <w:p w14:paraId="486706C5"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lastRenderedPageBreak/>
        <w:t xml:space="preserve">World Bank Group Historian’s Office Oral History Program, </w:t>
      </w:r>
      <w:r w:rsidRPr="00233532">
        <w:rPr>
          <w:rFonts w:ascii="Calibri" w:hAnsi="Calibri" w:cs="Calibri"/>
          <w:i/>
          <w:color w:val="000000" w:themeColor="text1"/>
          <w:sz w:val="22"/>
          <w:szCs w:val="22"/>
        </w:rPr>
        <w:t xml:space="preserve">Transcript of interview with Edward V.K. Jaycox, February 3, March 9, April 27 &amp; May 27, 1995 </w:t>
      </w:r>
      <w:r w:rsidRPr="00233532">
        <w:rPr>
          <w:rFonts w:ascii="Calibri" w:hAnsi="Calibri" w:cs="Calibri"/>
          <w:color w:val="000000" w:themeColor="text1"/>
          <w:sz w:val="22"/>
          <w:szCs w:val="22"/>
        </w:rPr>
        <w:t>(Washington DC: World Bank, 1995).</w:t>
      </w:r>
    </w:p>
    <w:p w14:paraId="337B8876" w14:textId="77777777" w:rsidR="00442620" w:rsidRPr="00233532" w:rsidRDefault="00442620" w:rsidP="00442620">
      <w:pPr>
        <w:pStyle w:val="FootnoteText"/>
        <w:rPr>
          <w:rFonts w:ascii="Calibri" w:hAnsi="Calibri" w:cs="Calibri"/>
          <w:color w:val="000000" w:themeColor="text1"/>
          <w:sz w:val="22"/>
          <w:szCs w:val="22"/>
        </w:rPr>
      </w:pPr>
    </w:p>
    <w:p w14:paraId="252EE8FE"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World Bank Group, ‘Improving development results through excellence in evaluation’ [IEG Brochure], s.d. (online), &lt;http://siteresources.worldbank.org/EXTOED/Resources/ieg_brochure.pdf&gt; [accessed 16 June 2019].</w:t>
      </w:r>
    </w:p>
    <w:p w14:paraId="13AD0EC0" w14:textId="77777777" w:rsidR="00442620" w:rsidRPr="00233532" w:rsidRDefault="00442620" w:rsidP="00442620">
      <w:pPr>
        <w:pStyle w:val="FootnoteText"/>
        <w:rPr>
          <w:rFonts w:ascii="Calibri" w:hAnsi="Calibri" w:cs="Calibri"/>
          <w:color w:val="000000" w:themeColor="text1"/>
          <w:sz w:val="22"/>
          <w:szCs w:val="22"/>
        </w:rPr>
      </w:pPr>
    </w:p>
    <w:p w14:paraId="49A01240" w14:textId="73EE3E34" w:rsidR="00442620" w:rsidRPr="00233532" w:rsidRDefault="00DE42E7" w:rsidP="00442620">
      <w:pPr>
        <w:pStyle w:val="FootnoteText"/>
        <w:rPr>
          <w:rFonts w:ascii="Calibri" w:hAnsi="Calibri" w:cs="Calibri"/>
          <w:sz w:val="22"/>
          <w:szCs w:val="22"/>
        </w:rPr>
      </w:pPr>
      <w:r w:rsidRPr="00233532">
        <w:rPr>
          <w:rFonts w:ascii="Calibri" w:hAnsi="Calibri" w:cs="Calibri"/>
          <w:color w:val="000000" w:themeColor="text1"/>
          <w:sz w:val="22"/>
          <w:szCs w:val="22"/>
        </w:rPr>
        <w:t>World Bank Group, ‘Treating river blindness and other neglected tropical diseases’, 30 Jun 2014 (online), &lt;</w:t>
      </w:r>
      <w:r w:rsidRPr="00233532">
        <w:rPr>
          <w:rFonts w:ascii="Calibri" w:hAnsi="Calibri" w:cs="Calibri"/>
          <w:sz w:val="22"/>
          <w:szCs w:val="22"/>
        </w:rPr>
        <w:t>https://www.worldbank.org/en/news/video/2014/06/30/treating-river-blindness-and-other-neglected-tropical-diseases&gt; [accessed 10 May 2019].</w:t>
      </w:r>
    </w:p>
    <w:p w14:paraId="15D552E5" w14:textId="77777777" w:rsidR="00DE42E7" w:rsidRPr="00233532" w:rsidRDefault="00DE42E7" w:rsidP="00442620">
      <w:pPr>
        <w:pStyle w:val="FootnoteText"/>
        <w:rPr>
          <w:rFonts w:ascii="Calibri" w:hAnsi="Calibri" w:cs="Calibri"/>
          <w:color w:val="000000" w:themeColor="text1"/>
          <w:sz w:val="22"/>
          <w:szCs w:val="22"/>
        </w:rPr>
      </w:pPr>
    </w:p>
    <w:p w14:paraId="1CE8FE8A" w14:textId="77777777" w:rsidR="00442620" w:rsidRPr="00233532" w:rsidRDefault="00442620" w:rsidP="00442620">
      <w:pPr>
        <w:rPr>
          <w:rFonts w:ascii="Calibri" w:hAnsi="Calibri" w:cs="Calibri"/>
          <w:color w:val="000000" w:themeColor="text1"/>
          <w:sz w:val="22"/>
          <w:szCs w:val="22"/>
        </w:rPr>
      </w:pPr>
      <w:r w:rsidRPr="00233532">
        <w:rPr>
          <w:rFonts w:ascii="Calibri" w:hAnsi="Calibri" w:cs="Calibri"/>
          <w:color w:val="000000" w:themeColor="text1"/>
          <w:sz w:val="22"/>
          <w:szCs w:val="22"/>
        </w:rPr>
        <w:t xml:space="preserve">World Bank, ‘Demand for World Bank Group financing rises to nearly $64 billion in fiscal year 2018’, </w:t>
      </w:r>
      <w:r w:rsidRPr="00233532">
        <w:rPr>
          <w:rFonts w:ascii="Calibri" w:hAnsi="Calibri" w:cs="Calibri"/>
          <w:i/>
          <w:color w:val="000000" w:themeColor="text1"/>
          <w:sz w:val="22"/>
          <w:szCs w:val="22"/>
        </w:rPr>
        <w:t xml:space="preserve">World Bank Press Release </w:t>
      </w:r>
      <w:r w:rsidRPr="00233532">
        <w:rPr>
          <w:rFonts w:ascii="Calibri" w:hAnsi="Calibri" w:cs="Calibri"/>
          <w:color w:val="000000" w:themeColor="text1"/>
          <w:sz w:val="22"/>
          <w:szCs w:val="22"/>
        </w:rPr>
        <w:t>(19 July 2018).</w:t>
      </w:r>
    </w:p>
    <w:p w14:paraId="3179AD14" w14:textId="77777777" w:rsidR="00442620" w:rsidRPr="00233532" w:rsidRDefault="00442620" w:rsidP="00442620">
      <w:pPr>
        <w:rPr>
          <w:rFonts w:ascii="Calibri" w:hAnsi="Calibri" w:cs="Calibri"/>
          <w:color w:val="000000" w:themeColor="text1"/>
          <w:sz w:val="22"/>
          <w:szCs w:val="22"/>
        </w:rPr>
      </w:pPr>
    </w:p>
    <w:p w14:paraId="23F1B3E8"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World Bank, ‘Documents &amp; Reports’ (online), &lt;http://documents.worldbank.org/curated/en/home&gt; [accessed 1 June 2019].</w:t>
      </w:r>
    </w:p>
    <w:p w14:paraId="0A8F8461" w14:textId="77777777" w:rsidR="00442620" w:rsidRPr="00123FF4" w:rsidRDefault="00442620" w:rsidP="00442620">
      <w:pPr>
        <w:pStyle w:val="FootnoteText"/>
        <w:rPr>
          <w:rFonts w:ascii="Calibri" w:hAnsi="Calibri" w:cs="Calibri"/>
          <w:color w:val="000000" w:themeColor="text1"/>
          <w:sz w:val="22"/>
          <w:szCs w:val="22"/>
        </w:rPr>
      </w:pPr>
    </w:p>
    <w:p w14:paraId="3ED64073" w14:textId="591462B4" w:rsidR="00442620" w:rsidRPr="00E12758" w:rsidRDefault="00442620" w:rsidP="00442620">
      <w:pPr>
        <w:pStyle w:val="FootnoteText"/>
        <w:rPr>
          <w:rFonts w:ascii="Calibri" w:hAnsi="Calibri" w:cs="Calibri"/>
          <w:color w:val="000000" w:themeColor="text1"/>
          <w:sz w:val="22"/>
          <w:szCs w:val="22"/>
        </w:rPr>
      </w:pPr>
      <w:r w:rsidRPr="00952408">
        <w:rPr>
          <w:rFonts w:ascii="Calibri" w:hAnsi="Calibri" w:cs="Calibri"/>
          <w:color w:val="000000" w:themeColor="text1"/>
          <w:sz w:val="22"/>
          <w:szCs w:val="22"/>
        </w:rPr>
        <w:t xml:space="preserve">World Bank, ‘Financial Intermediary Fund </w:t>
      </w:r>
      <w:r w:rsidRPr="007569A0">
        <w:rPr>
          <w:rFonts w:ascii="Calibri" w:hAnsi="Calibri" w:cs="Calibri"/>
          <w:color w:val="000000" w:themeColor="text1"/>
          <w:sz w:val="22"/>
          <w:szCs w:val="22"/>
        </w:rPr>
        <w:t>Commitments’ (online), &lt;</w:t>
      </w:r>
      <w:r w:rsidR="009C05EE" w:rsidRPr="00CF189D">
        <w:t>https://finances.worldbank.org/Trust-Funds-and-FIFs/Financial-Intermediary-Funds-Commitments/fie8-6fxn</w:t>
      </w:r>
      <w:r w:rsidRPr="00123FF4">
        <w:rPr>
          <w:rFonts w:ascii="Calibri" w:hAnsi="Calibri" w:cs="Calibri"/>
          <w:color w:val="000000" w:themeColor="text1"/>
          <w:sz w:val="22"/>
          <w:szCs w:val="22"/>
        </w:rPr>
        <w:t>&gt; [accessed</w:t>
      </w:r>
      <w:r w:rsidRPr="00233532">
        <w:rPr>
          <w:rFonts w:ascii="Calibri" w:hAnsi="Calibri" w:cs="Calibri"/>
          <w:color w:val="000000" w:themeColor="text1"/>
          <w:sz w:val="22"/>
          <w:szCs w:val="22"/>
        </w:rPr>
        <w:t xml:space="preserve"> 1 June 2019].</w:t>
      </w:r>
    </w:p>
    <w:p w14:paraId="55D9F1C1" w14:textId="77777777" w:rsidR="00442620" w:rsidRPr="00766A1F" w:rsidRDefault="00442620" w:rsidP="00442620">
      <w:pPr>
        <w:rPr>
          <w:rFonts w:ascii="Calibri" w:hAnsi="Calibri" w:cs="Calibri"/>
          <w:color w:val="000000" w:themeColor="text1"/>
          <w:sz w:val="22"/>
          <w:szCs w:val="22"/>
        </w:rPr>
      </w:pPr>
    </w:p>
    <w:p w14:paraId="251C6097" w14:textId="77777777" w:rsidR="00442620" w:rsidRPr="00233532" w:rsidRDefault="00442620" w:rsidP="00442620">
      <w:pPr>
        <w:pStyle w:val="FootnoteText"/>
        <w:rPr>
          <w:rFonts w:ascii="Calibri" w:hAnsi="Calibri" w:cs="Calibri"/>
          <w:color w:val="000000" w:themeColor="text1"/>
          <w:sz w:val="22"/>
          <w:szCs w:val="22"/>
        </w:rPr>
      </w:pPr>
      <w:r w:rsidRPr="00766A1F">
        <w:rPr>
          <w:rFonts w:ascii="Calibri" w:hAnsi="Calibri" w:cs="Calibri"/>
          <w:color w:val="000000" w:themeColor="text1"/>
          <w:sz w:val="22"/>
          <w:szCs w:val="22"/>
        </w:rPr>
        <w:t>World Bank, ‘Health, Nutrition and</w:t>
      </w:r>
      <w:r w:rsidRPr="007A123B">
        <w:rPr>
          <w:rFonts w:ascii="Calibri" w:hAnsi="Calibri" w:cs="Calibri"/>
          <w:color w:val="000000" w:themeColor="text1"/>
          <w:sz w:val="22"/>
          <w:szCs w:val="22"/>
        </w:rPr>
        <w:t xml:space="preserve"> Population (HNP) lending’ (online), </w:t>
      </w:r>
      <w:r w:rsidRPr="00233532">
        <w:rPr>
          <w:rFonts w:ascii="Calibri" w:hAnsi="Calibri" w:cs="Calibri"/>
          <w:color w:val="000000" w:themeColor="text1"/>
          <w:sz w:val="22"/>
          <w:szCs w:val="22"/>
        </w:rPr>
        <w:t>https://datacatalog.worldbank.org/dataset/health-nutrition-population-hnp-lending [accessed 1 May 2019].</w:t>
      </w:r>
    </w:p>
    <w:p w14:paraId="4CB254C6" w14:textId="77777777" w:rsidR="00442620" w:rsidRPr="00233532" w:rsidRDefault="00442620" w:rsidP="00442620">
      <w:pPr>
        <w:pStyle w:val="FootnoteText"/>
        <w:rPr>
          <w:rFonts w:ascii="Calibri" w:hAnsi="Calibri" w:cs="Calibri"/>
          <w:color w:val="000000" w:themeColor="text1"/>
          <w:sz w:val="22"/>
          <w:szCs w:val="22"/>
        </w:rPr>
      </w:pPr>
    </w:p>
    <w:p w14:paraId="706B1A8D" w14:textId="006B6472"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World Bank, ‘New HNP sectoral commitments by fiscal year and region’</w:t>
      </w:r>
      <w:r w:rsidR="00133761" w:rsidRPr="00233532">
        <w:rPr>
          <w:rFonts w:ascii="Calibri" w:hAnsi="Calibri" w:cs="Calibri"/>
          <w:color w:val="000000" w:themeColor="text1"/>
          <w:sz w:val="22"/>
          <w:szCs w:val="22"/>
        </w:rPr>
        <w:t xml:space="preserve">, </w:t>
      </w:r>
      <w:r w:rsidRPr="00233532">
        <w:rPr>
          <w:rFonts w:ascii="Calibri" w:hAnsi="Calibri" w:cs="Calibri"/>
          <w:color w:val="000000" w:themeColor="text1"/>
          <w:sz w:val="22"/>
          <w:szCs w:val="22"/>
        </w:rPr>
        <w:t>2017</w:t>
      </w:r>
      <w:r w:rsidR="00133761" w:rsidRPr="00233532">
        <w:rPr>
          <w:rFonts w:ascii="Calibri" w:hAnsi="Calibri" w:cs="Calibri"/>
          <w:color w:val="000000" w:themeColor="text1"/>
          <w:sz w:val="22"/>
          <w:szCs w:val="22"/>
        </w:rPr>
        <w:t xml:space="preserve"> (online)</w:t>
      </w:r>
      <w:r w:rsidR="00E914A4" w:rsidRPr="00233532">
        <w:rPr>
          <w:rFonts w:ascii="Calibri" w:hAnsi="Calibri" w:cs="Calibri"/>
          <w:color w:val="000000" w:themeColor="text1"/>
          <w:sz w:val="22"/>
          <w:szCs w:val="22"/>
        </w:rPr>
        <w:t>,</w:t>
      </w:r>
      <w:r w:rsidRPr="00233532">
        <w:rPr>
          <w:rFonts w:ascii="Calibri" w:hAnsi="Calibri" w:cs="Calibri"/>
          <w:color w:val="000000" w:themeColor="text1"/>
          <w:sz w:val="22"/>
          <w:szCs w:val="22"/>
        </w:rPr>
        <w:t xml:space="preserve"> &lt;http://datatopics.worldbank.org/health/lending&gt; [accessed 15 July 2019].</w:t>
      </w:r>
    </w:p>
    <w:p w14:paraId="5411419C" w14:textId="77777777" w:rsidR="00442620" w:rsidRPr="00233532" w:rsidRDefault="00442620" w:rsidP="00442620">
      <w:pPr>
        <w:pStyle w:val="FootnoteText"/>
        <w:rPr>
          <w:rFonts w:ascii="Calibri" w:hAnsi="Calibri" w:cs="Calibri"/>
          <w:color w:val="000000" w:themeColor="text1"/>
          <w:sz w:val="22"/>
          <w:szCs w:val="22"/>
        </w:rPr>
      </w:pPr>
    </w:p>
    <w:p w14:paraId="350ED1F8"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World Bank, ‘Public private partnerships for health: PPPs are here and growing’, in </w:t>
      </w:r>
      <w:r w:rsidRPr="00233532">
        <w:rPr>
          <w:rFonts w:ascii="Calibri" w:hAnsi="Calibri" w:cs="Calibri"/>
          <w:i/>
          <w:color w:val="000000" w:themeColor="text1"/>
          <w:sz w:val="22"/>
          <w:szCs w:val="22"/>
        </w:rPr>
        <w:t xml:space="preserve">Africa Health Forum: Finance and Capacity for Results </w:t>
      </w:r>
      <w:r w:rsidRPr="00233532">
        <w:rPr>
          <w:rFonts w:ascii="Calibri" w:hAnsi="Calibri" w:cs="Calibri"/>
          <w:color w:val="000000" w:themeColor="text1"/>
          <w:sz w:val="22"/>
          <w:szCs w:val="22"/>
        </w:rPr>
        <w:t>(Washington DC: World Bank, 2013).</w:t>
      </w:r>
    </w:p>
    <w:p w14:paraId="1499D7D6" w14:textId="77777777" w:rsidR="00442620" w:rsidRPr="00233532" w:rsidRDefault="00442620" w:rsidP="00442620">
      <w:pPr>
        <w:pStyle w:val="FootnoteText"/>
        <w:rPr>
          <w:rFonts w:ascii="Calibri" w:hAnsi="Calibri" w:cs="Calibri"/>
          <w:color w:val="000000" w:themeColor="text1"/>
          <w:sz w:val="22"/>
          <w:szCs w:val="22"/>
        </w:rPr>
      </w:pPr>
    </w:p>
    <w:p w14:paraId="6CF9DDD1"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World Bank, ‘The World Bank and neglected tropical diseases: building on a history of helping countries address diseases of the poor’, </w:t>
      </w:r>
      <w:r w:rsidRPr="00233532">
        <w:rPr>
          <w:rFonts w:ascii="Calibri" w:hAnsi="Calibri" w:cs="Calibri"/>
          <w:i/>
          <w:color w:val="000000" w:themeColor="text1"/>
          <w:sz w:val="22"/>
          <w:szCs w:val="22"/>
        </w:rPr>
        <w:t xml:space="preserve">World Bank website </w:t>
      </w:r>
      <w:r w:rsidRPr="00233532">
        <w:rPr>
          <w:rFonts w:ascii="Calibri" w:hAnsi="Calibri" w:cs="Calibri"/>
          <w:color w:val="000000" w:themeColor="text1"/>
          <w:sz w:val="22"/>
          <w:szCs w:val="22"/>
        </w:rPr>
        <w:t>(27 March 2014).</w:t>
      </w:r>
    </w:p>
    <w:p w14:paraId="48BF9A27" w14:textId="77777777" w:rsidR="00442620" w:rsidRPr="00233532" w:rsidRDefault="00442620" w:rsidP="00442620">
      <w:pPr>
        <w:pStyle w:val="FootnoteText"/>
        <w:rPr>
          <w:rFonts w:ascii="Calibri" w:hAnsi="Calibri" w:cs="Calibri"/>
          <w:color w:val="000000" w:themeColor="text1"/>
          <w:sz w:val="22"/>
          <w:szCs w:val="22"/>
        </w:rPr>
      </w:pPr>
    </w:p>
    <w:p w14:paraId="7989B47D"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World Bank, ‘The World Bank in Africa’, </w:t>
      </w:r>
      <w:r w:rsidRPr="00233532">
        <w:rPr>
          <w:rFonts w:ascii="Calibri" w:hAnsi="Calibri" w:cs="Calibri"/>
          <w:i/>
          <w:color w:val="000000" w:themeColor="text1"/>
          <w:sz w:val="22"/>
          <w:szCs w:val="22"/>
        </w:rPr>
        <w:t xml:space="preserve">All Africa News </w:t>
      </w:r>
      <w:r w:rsidRPr="00233532">
        <w:rPr>
          <w:rFonts w:ascii="Calibri" w:hAnsi="Calibri" w:cs="Calibri"/>
          <w:color w:val="000000" w:themeColor="text1"/>
          <w:sz w:val="22"/>
          <w:szCs w:val="22"/>
        </w:rPr>
        <w:t>(23 Sept 2002).</w:t>
      </w:r>
    </w:p>
    <w:p w14:paraId="32DE15F3" w14:textId="77777777" w:rsidR="00442620" w:rsidRPr="00233532" w:rsidRDefault="00442620" w:rsidP="00442620">
      <w:pPr>
        <w:pStyle w:val="FootnoteText"/>
        <w:rPr>
          <w:rFonts w:ascii="Calibri" w:hAnsi="Calibri" w:cs="Calibri"/>
          <w:color w:val="000000" w:themeColor="text1"/>
          <w:sz w:val="22"/>
          <w:szCs w:val="22"/>
        </w:rPr>
      </w:pPr>
    </w:p>
    <w:p w14:paraId="0CFCCC8B" w14:textId="77777777" w:rsidR="00442620" w:rsidRPr="00233532" w:rsidRDefault="00442620" w:rsidP="00442620">
      <w:pPr>
        <w:rPr>
          <w:rFonts w:ascii="Calibri" w:hAnsi="Calibri" w:cs="Calibri"/>
          <w:color w:val="000000" w:themeColor="text1"/>
          <w:sz w:val="22"/>
          <w:szCs w:val="22"/>
        </w:rPr>
      </w:pPr>
      <w:r w:rsidRPr="00233532">
        <w:rPr>
          <w:rFonts w:ascii="Calibri" w:hAnsi="Calibri" w:cs="Calibri"/>
          <w:color w:val="000000" w:themeColor="text1"/>
          <w:sz w:val="22"/>
          <w:szCs w:val="22"/>
        </w:rPr>
        <w:t>World Bank, ‘Trust fund reform: an overview’ (online), &lt;https://www.worldbank.org/en/events/2019/01/15/trust-fund-forum&gt; [accessed 1 September 2019].</w:t>
      </w:r>
    </w:p>
    <w:p w14:paraId="593FABFD" w14:textId="77777777" w:rsidR="00442620" w:rsidRPr="00233532" w:rsidRDefault="00442620" w:rsidP="00442620">
      <w:pPr>
        <w:rPr>
          <w:rFonts w:ascii="Calibri" w:hAnsi="Calibri" w:cs="Calibri"/>
          <w:color w:val="000000" w:themeColor="text1"/>
          <w:sz w:val="22"/>
          <w:szCs w:val="22"/>
        </w:rPr>
      </w:pPr>
    </w:p>
    <w:p w14:paraId="7AB5EB4A" w14:textId="77777777" w:rsidR="00442620" w:rsidRPr="00233532" w:rsidRDefault="00442620" w:rsidP="00442620">
      <w:pPr>
        <w:rPr>
          <w:rFonts w:ascii="Calibri" w:hAnsi="Calibri" w:cs="Calibri"/>
          <w:color w:val="000000" w:themeColor="text1"/>
          <w:sz w:val="22"/>
          <w:szCs w:val="22"/>
        </w:rPr>
      </w:pPr>
      <w:r w:rsidRPr="00233532">
        <w:rPr>
          <w:rFonts w:ascii="Calibri" w:hAnsi="Calibri" w:cs="Calibri"/>
          <w:color w:val="000000" w:themeColor="text1"/>
          <w:sz w:val="22"/>
          <w:szCs w:val="22"/>
        </w:rPr>
        <w:t>World Bank, ‘World Bank lending for Health, Nutrition and Population’ (online), &lt;http://datatopics.worldbank.org/health/lending&gt; [accessed 1 February 2019].</w:t>
      </w:r>
    </w:p>
    <w:p w14:paraId="301062AE" w14:textId="77777777" w:rsidR="00442620" w:rsidRPr="00233532" w:rsidRDefault="00442620" w:rsidP="00442620">
      <w:pPr>
        <w:rPr>
          <w:rFonts w:ascii="Calibri" w:hAnsi="Calibri" w:cs="Calibri"/>
          <w:color w:val="000000" w:themeColor="text1"/>
          <w:sz w:val="22"/>
          <w:szCs w:val="22"/>
        </w:rPr>
      </w:pPr>
    </w:p>
    <w:p w14:paraId="7FA67D28" w14:textId="77777777"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t xml:space="preserve">World Bank, </w:t>
      </w:r>
      <w:r w:rsidRPr="00CF189D">
        <w:rPr>
          <w:rFonts w:ascii="Calibri" w:hAnsi="Calibri" w:cs="Calibri"/>
          <w:i/>
          <w:sz w:val="22"/>
          <w:szCs w:val="22"/>
        </w:rPr>
        <w:t xml:space="preserve">A successful public-private partnership model </w:t>
      </w:r>
      <w:r w:rsidRPr="00CF189D">
        <w:rPr>
          <w:rFonts w:ascii="Calibri" w:hAnsi="Calibri" w:cs="Calibri"/>
          <w:sz w:val="22"/>
          <w:szCs w:val="22"/>
        </w:rPr>
        <w:t>(Washington DC: World Bank, 2014).</w:t>
      </w:r>
    </w:p>
    <w:p w14:paraId="311C6077" w14:textId="77777777" w:rsidR="00442620" w:rsidRPr="00CF189D" w:rsidRDefault="00442620" w:rsidP="00DD4818">
      <w:pPr>
        <w:pStyle w:val="Footnotes"/>
        <w:rPr>
          <w:rFonts w:ascii="Calibri" w:hAnsi="Calibri" w:cs="Calibri"/>
          <w:sz w:val="22"/>
          <w:szCs w:val="22"/>
        </w:rPr>
      </w:pPr>
    </w:p>
    <w:p w14:paraId="28AD95AA" w14:textId="7E1B7A30" w:rsidR="00442620" w:rsidRPr="00CF189D" w:rsidRDefault="00442620" w:rsidP="00DD4818">
      <w:pPr>
        <w:pStyle w:val="Footnotes"/>
        <w:rPr>
          <w:rFonts w:ascii="Calibri" w:hAnsi="Calibri" w:cs="Calibri"/>
          <w:sz w:val="22"/>
          <w:szCs w:val="22"/>
          <w:shd w:val="clear" w:color="auto" w:fill="FFFFFF"/>
        </w:rPr>
      </w:pPr>
      <w:r w:rsidRPr="00CF189D">
        <w:rPr>
          <w:rFonts w:ascii="Calibri" w:hAnsi="Calibri" w:cs="Calibri"/>
          <w:sz w:val="22"/>
          <w:szCs w:val="22"/>
          <w:shd w:val="clear" w:color="auto" w:fill="FFFFFF"/>
        </w:rPr>
        <w:lastRenderedPageBreak/>
        <w:t xml:space="preserve">World Bank, Accelerated development in </w:t>
      </w:r>
      <w:r w:rsidR="00A2292A">
        <w:rPr>
          <w:rFonts w:ascii="Calibri" w:hAnsi="Calibri" w:cs="Calibri"/>
          <w:sz w:val="22"/>
          <w:szCs w:val="22"/>
          <w:shd w:val="clear" w:color="auto" w:fill="FFFFFF"/>
        </w:rPr>
        <w:t>S</w:t>
      </w:r>
      <w:r w:rsidRPr="00CF189D">
        <w:rPr>
          <w:rFonts w:ascii="Calibri" w:hAnsi="Calibri" w:cs="Calibri"/>
          <w:sz w:val="22"/>
          <w:szCs w:val="22"/>
          <w:shd w:val="clear" w:color="auto" w:fill="FFFFFF"/>
        </w:rPr>
        <w:t>ub-Saharan Africa: an agenda for action (Washington DC: World Bank, 1981).</w:t>
      </w:r>
    </w:p>
    <w:p w14:paraId="26536BD5" w14:textId="77777777" w:rsidR="00442620" w:rsidRPr="00CF189D" w:rsidRDefault="00442620" w:rsidP="00DD4818">
      <w:pPr>
        <w:pStyle w:val="Footnotes"/>
        <w:rPr>
          <w:rFonts w:ascii="Calibri" w:hAnsi="Calibri" w:cs="Calibri"/>
          <w:sz w:val="22"/>
          <w:szCs w:val="22"/>
        </w:rPr>
      </w:pPr>
    </w:p>
    <w:p w14:paraId="695C9262" w14:textId="77777777" w:rsidR="00442620" w:rsidRPr="007A123B"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World Bank, </w:t>
      </w:r>
      <w:r w:rsidRPr="00E12758">
        <w:rPr>
          <w:rFonts w:ascii="Calibri" w:hAnsi="Calibri" w:cs="Calibri"/>
          <w:i/>
          <w:color w:val="000000" w:themeColor="text1"/>
          <w:sz w:val="22"/>
          <w:szCs w:val="22"/>
        </w:rPr>
        <w:t>Bank directive: cost recove</w:t>
      </w:r>
      <w:r w:rsidRPr="00766A1F">
        <w:rPr>
          <w:rFonts w:ascii="Calibri" w:hAnsi="Calibri" w:cs="Calibri"/>
          <w:i/>
          <w:color w:val="000000" w:themeColor="text1"/>
          <w:sz w:val="22"/>
          <w:szCs w:val="22"/>
        </w:rPr>
        <w:t xml:space="preserve">ry framework for trust funds </w:t>
      </w:r>
      <w:r w:rsidRPr="00766A1F">
        <w:rPr>
          <w:rFonts w:ascii="Calibri" w:hAnsi="Calibri" w:cs="Calibri"/>
          <w:color w:val="000000" w:themeColor="text1"/>
          <w:sz w:val="22"/>
          <w:szCs w:val="22"/>
        </w:rPr>
        <w:t>(Washington DC: World Bank, 8 July 2015).</w:t>
      </w:r>
    </w:p>
    <w:p w14:paraId="1F68A8CC" w14:textId="77777777" w:rsidR="00442620" w:rsidRPr="00233532" w:rsidRDefault="00442620" w:rsidP="00442620">
      <w:pPr>
        <w:pStyle w:val="FootnoteText"/>
        <w:rPr>
          <w:rFonts w:ascii="Calibri" w:hAnsi="Calibri" w:cs="Calibri"/>
          <w:color w:val="000000" w:themeColor="text1"/>
          <w:sz w:val="22"/>
          <w:szCs w:val="22"/>
        </w:rPr>
      </w:pPr>
    </w:p>
    <w:p w14:paraId="0D2062DE"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World Bank, </w:t>
      </w:r>
      <w:r w:rsidRPr="00233532">
        <w:rPr>
          <w:rFonts w:ascii="Calibri" w:hAnsi="Calibri" w:cs="Calibri"/>
          <w:i/>
          <w:color w:val="000000" w:themeColor="text1"/>
          <w:sz w:val="22"/>
          <w:szCs w:val="22"/>
        </w:rPr>
        <w:t xml:space="preserve">Health sector policy paper </w:t>
      </w:r>
      <w:r w:rsidRPr="00233532">
        <w:rPr>
          <w:rFonts w:ascii="Calibri" w:hAnsi="Calibri" w:cs="Calibri"/>
          <w:color w:val="000000" w:themeColor="text1"/>
          <w:sz w:val="22"/>
          <w:szCs w:val="22"/>
        </w:rPr>
        <w:t>(Washington DC: World Bank, 1980).</w:t>
      </w:r>
    </w:p>
    <w:p w14:paraId="2E7DA070" w14:textId="77777777" w:rsidR="00442620" w:rsidRPr="00233532" w:rsidRDefault="00442620" w:rsidP="00442620">
      <w:pPr>
        <w:pStyle w:val="FootnoteText"/>
        <w:rPr>
          <w:rFonts w:ascii="Calibri" w:hAnsi="Calibri" w:cs="Calibri"/>
          <w:color w:val="000000" w:themeColor="text1"/>
          <w:sz w:val="22"/>
          <w:szCs w:val="22"/>
        </w:rPr>
      </w:pPr>
    </w:p>
    <w:p w14:paraId="2480AE99"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World Bank, </w:t>
      </w:r>
      <w:r w:rsidRPr="00233532">
        <w:rPr>
          <w:rFonts w:ascii="Calibri" w:hAnsi="Calibri" w:cs="Calibri"/>
          <w:i/>
          <w:color w:val="000000" w:themeColor="text1"/>
          <w:sz w:val="22"/>
          <w:szCs w:val="22"/>
        </w:rPr>
        <w:t xml:space="preserve">Health sector policy paper </w:t>
      </w:r>
      <w:r w:rsidRPr="00233532">
        <w:rPr>
          <w:rFonts w:ascii="Calibri" w:hAnsi="Calibri" w:cs="Calibri"/>
          <w:color w:val="000000" w:themeColor="text1"/>
          <w:sz w:val="22"/>
          <w:szCs w:val="22"/>
        </w:rPr>
        <w:t>(Washington DC: World Bank, 1975).</w:t>
      </w:r>
    </w:p>
    <w:p w14:paraId="77B6E91D" w14:textId="77777777" w:rsidR="00442620" w:rsidRPr="00233532" w:rsidRDefault="00442620" w:rsidP="00442620">
      <w:pPr>
        <w:pStyle w:val="FootnoteText"/>
        <w:rPr>
          <w:rFonts w:ascii="Calibri" w:hAnsi="Calibri" w:cs="Calibri"/>
          <w:color w:val="000000" w:themeColor="text1"/>
          <w:sz w:val="22"/>
          <w:szCs w:val="22"/>
        </w:rPr>
      </w:pPr>
    </w:p>
    <w:p w14:paraId="3F19ECF4" w14:textId="0CE9CAB1"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World Bank, </w:t>
      </w:r>
      <w:r w:rsidRPr="00233532">
        <w:rPr>
          <w:rFonts w:ascii="Calibri" w:hAnsi="Calibri" w:cs="Calibri"/>
          <w:i/>
          <w:color w:val="000000" w:themeColor="text1"/>
          <w:sz w:val="22"/>
          <w:szCs w:val="22"/>
        </w:rPr>
        <w:t xml:space="preserve">Onchocerciasis Fund Agreement </w:t>
      </w:r>
      <w:r w:rsidRPr="00233532">
        <w:rPr>
          <w:rFonts w:ascii="Calibri" w:hAnsi="Calibri" w:cs="Calibri"/>
          <w:color w:val="000000" w:themeColor="text1"/>
          <w:sz w:val="22"/>
          <w:szCs w:val="22"/>
        </w:rPr>
        <w:t>(</w:t>
      </w:r>
      <w:r w:rsidR="005047C7" w:rsidRPr="00233532">
        <w:rPr>
          <w:rFonts w:ascii="Calibri" w:hAnsi="Calibri" w:cs="Calibri"/>
          <w:color w:val="000000" w:themeColor="text1"/>
          <w:sz w:val="22"/>
          <w:szCs w:val="22"/>
        </w:rPr>
        <w:t xml:space="preserve">Washington DC: World Bank, </w:t>
      </w:r>
      <w:r w:rsidRPr="00233532">
        <w:rPr>
          <w:rFonts w:ascii="Calibri" w:hAnsi="Calibri" w:cs="Calibri"/>
          <w:color w:val="000000" w:themeColor="text1"/>
          <w:sz w:val="22"/>
          <w:szCs w:val="22"/>
        </w:rPr>
        <w:t>1975).</w:t>
      </w:r>
    </w:p>
    <w:p w14:paraId="60A42A60" w14:textId="77777777" w:rsidR="00442620" w:rsidRPr="00233532" w:rsidRDefault="00442620" w:rsidP="00442620">
      <w:pPr>
        <w:pStyle w:val="FootnoteText"/>
        <w:rPr>
          <w:rFonts w:ascii="Calibri" w:hAnsi="Calibri" w:cs="Calibri"/>
          <w:color w:val="000000" w:themeColor="text1"/>
          <w:sz w:val="22"/>
          <w:szCs w:val="22"/>
        </w:rPr>
      </w:pPr>
    </w:p>
    <w:p w14:paraId="14FA87A2" w14:textId="1005A5A6"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World Bank, </w:t>
      </w:r>
      <w:r w:rsidRPr="00233532">
        <w:rPr>
          <w:rFonts w:ascii="Calibri" w:hAnsi="Calibri" w:cs="Calibri"/>
          <w:i/>
          <w:color w:val="000000" w:themeColor="text1"/>
          <w:sz w:val="22"/>
          <w:szCs w:val="22"/>
        </w:rPr>
        <w:t xml:space="preserve">Onchocerciasis Fund Agreement </w:t>
      </w:r>
      <w:r w:rsidRPr="00233532">
        <w:rPr>
          <w:rFonts w:ascii="Calibri" w:hAnsi="Calibri" w:cs="Calibri"/>
          <w:color w:val="000000" w:themeColor="text1"/>
          <w:sz w:val="22"/>
          <w:szCs w:val="22"/>
        </w:rPr>
        <w:t>(</w:t>
      </w:r>
      <w:r w:rsidR="005047C7" w:rsidRPr="00233532">
        <w:rPr>
          <w:rFonts w:ascii="Calibri" w:hAnsi="Calibri" w:cs="Calibri"/>
          <w:color w:val="000000" w:themeColor="text1"/>
          <w:sz w:val="22"/>
          <w:szCs w:val="22"/>
        </w:rPr>
        <w:t xml:space="preserve">Washington DC: World Bank, </w:t>
      </w:r>
      <w:r w:rsidRPr="00233532">
        <w:rPr>
          <w:rFonts w:ascii="Calibri" w:hAnsi="Calibri" w:cs="Calibri"/>
          <w:color w:val="000000" w:themeColor="text1"/>
          <w:sz w:val="22"/>
          <w:szCs w:val="22"/>
        </w:rPr>
        <w:t>1979).</w:t>
      </w:r>
    </w:p>
    <w:p w14:paraId="6A3214C3" w14:textId="77777777" w:rsidR="00442620" w:rsidRPr="00233532" w:rsidRDefault="00442620" w:rsidP="00442620">
      <w:pPr>
        <w:pStyle w:val="FootnoteText"/>
        <w:rPr>
          <w:rFonts w:ascii="Calibri" w:hAnsi="Calibri" w:cs="Calibri"/>
          <w:color w:val="000000" w:themeColor="text1"/>
          <w:sz w:val="22"/>
          <w:szCs w:val="22"/>
        </w:rPr>
      </w:pPr>
    </w:p>
    <w:p w14:paraId="1E535E8C" w14:textId="7FDFF066"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World Bank, </w:t>
      </w:r>
      <w:r w:rsidRPr="00233532">
        <w:rPr>
          <w:rFonts w:ascii="Calibri" w:hAnsi="Calibri" w:cs="Calibri"/>
          <w:i/>
          <w:color w:val="000000" w:themeColor="text1"/>
          <w:sz w:val="22"/>
          <w:szCs w:val="22"/>
        </w:rPr>
        <w:t xml:space="preserve">Onchocerciasis Fund Agreement </w:t>
      </w:r>
      <w:r w:rsidRPr="00233532">
        <w:rPr>
          <w:rFonts w:ascii="Calibri" w:hAnsi="Calibri" w:cs="Calibri"/>
          <w:color w:val="000000" w:themeColor="text1"/>
          <w:sz w:val="22"/>
          <w:szCs w:val="22"/>
        </w:rPr>
        <w:t>(</w:t>
      </w:r>
      <w:r w:rsidR="005047C7" w:rsidRPr="00233532">
        <w:rPr>
          <w:rFonts w:ascii="Calibri" w:hAnsi="Calibri" w:cs="Calibri"/>
          <w:color w:val="000000" w:themeColor="text1"/>
          <w:sz w:val="22"/>
          <w:szCs w:val="22"/>
        </w:rPr>
        <w:t xml:space="preserve">Washington DC: World Bank, </w:t>
      </w:r>
      <w:r w:rsidRPr="00233532">
        <w:rPr>
          <w:rFonts w:ascii="Calibri" w:hAnsi="Calibri" w:cs="Calibri"/>
          <w:color w:val="000000" w:themeColor="text1"/>
          <w:sz w:val="22"/>
          <w:szCs w:val="22"/>
        </w:rPr>
        <w:t>1986).</w:t>
      </w:r>
    </w:p>
    <w:p w14:paraId="7F5EF54D" w14:textId="77777777" w:rsidR="00442620" w:rsidRPr="00233532" w:rsidRDefault="00442620" w:rsidP="00442620">
      <w:pPr>
        <w:pStyle w:val="FootnoteText"/>
        <w:rPr>
          <w:rFonts w:ascii="Calibri" w:hAnsi="Calibri" w:cs="Calibri"/>
          <w:color w:val="000000" w:themeColor="text1"/>
          <w:sz w:val="22"/>
          <w:szCs w:val="22"/>
        </w:rPr>
      </w:pPr>
    </w:p>
    <w:p w14:paraId="78F58002"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World Bank, </w:t>
      </w:r>
      <w:r w:rsidRPr="00233532">
        <w:rPr>
          <w:rFonts w:ascii="Calibri" w:hAnsi="Calibri" w:cs="Calibri"/>
          <w:i/>
          <w:color w:val="000000" w:themeColor="text1"/>
          <w:sz w:val="22"/>
          <w:szCs w:val="22"/>
        </w:rPr>
        <w:t xml:space="preserve">Onchocerciasis Fund Agreement </w:t>
      </w:r>
      <w:r w:rsidRPr="00233532">
        <w:rPr>
          <w:rFonts w:ascii="Calibri" w:hAnsi="Calibri" w:cs="Calibri"/>
          <w:color w:val="000000" w:themeColor="text1"/>
          <w:sz w:val="22"/>
          <w:szCs w:val="22"/>
        </w:rPr>
        <w:t>(Washington DC: World Bank, 1992).</w:t>
      </w:r>
    </w:p>
    <w:p w14:paraId="7D3CC26F" w14:textId="77777777" w:rsidR="00442620" w:rsidRPr="00233532" w:rsidRDefault="00442620" w:rsidP="00442620">
      <w:pPr>
        <w:pStyle w:val="FootnoteText"/>
        <w:rPr>
          <w:rFonts w:ascii="Calibri" w:hAnsi="Calibri" w:cs="Calibri"/>
          <w:color w:val="000000" w:themeColor="text1"/>
          <w:sz w:val="22"/>
          <w:szCs w:val="22"/>
        </w:rPr>
      </w:pPr>
    </w:p>
    <w:p w14:paraId="1EFC2A51" w14:textId="6BE34963"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World Bank, </w:t>
      </w:r>
      <w:r w:rsidRPr="00233532">
        <w:rPr>
          <w:rFonts w:ascii="Calibri" w:hAnsi="Calibri" w:cs="Calibri"/>
          <w:i/>
          <w:color w:val="000000" w:themeColor="text1"/>
          <w:sz w:val="22"/>
          <w:szCs w:val="22"/>
        </w:rPr>
        <w:t>Policies and operations, the World Bank Group</w:t>
      </w:r>
      <w:r w:rsidRPr="00233532">
        <w:rPr>
          <w:rFonts w:ascii="Calibri" w:hAnsi="Calibri" w:cs="Calibri"/>
          <w:color w:val="000000" w:themeColor="text1"/>
          <w:sz w:val="22"/>
          <w:szCs w:val="22"/>
        </w:rPr>
        <w:t xml:space="preserve"> (Washington DC: </w:t>
      </w:r>
      <w:r w:rsidR="005047C7" w:rsidRPr="00233532">
        <w:rPr>
          <w:rFonts w:ascii="Calibri" w:hAnsi="Calibri" w:cs="Calibri"/>
          <w:color w:val="000000" w:themeColor="text1"/>
          <w:sz w:val="22"/>
          <w:szCs w:val="22"/>
        </w:rPr>
        <w:t>World Bank</w:t>
      </w:r>
      <w:r w:rsidRPr="00233532">
        <w:rPr>
          <w:rFonts w:ascii="Calibri" w:hAnsi="Calibri" w:cs="Calibri"/>
          <w:color w:val="000000" w:themeColor="text1"/>
          <w:sz w:val="22"/>
          <w:szCs w:val="22"/>
        </w:rPr>
        <w:t>, 1974).</w:t>
      </w:r>
    </w:p>
    <w:p w14:paraId="0BC85171" w14:textId="77777777" w:rsidR="00442620" w:rsidRPr="00233532" w:rsidRDefault="00442620" w:rsidP="00442620">
      <w:pPr>
        <w:pStyle w:val="FootnoteText"/>
        <w:rPr>
          <w:rFonts w:ascii="Calibri" w:hAnsi="Calibri" w:cs="Calibri"/>
          <w:color w:val="000000" w:themeColor="text1"/>
          <w:sz w:val="22"/>
          <w:szCs w:val="22"/>
        </w:rPr>
      </w:pPr>
    </w:p>
    <w:p w14:paraId="1EE90617"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World Bank, </w:t>
      </w:r>
      <w:r w:rsidRPr="00233532">
        <w:rPr>
          <w:rFonts w:ascii="Calibri" w:hAnsi="Calibri" w:cs="Calibri"/>
          <w:i/>
          <w:color w:val="000000" w:themeColor="text1"/>
          <w:sz w:val="22"/>
          <w:szCs w:val="22"/>
        </w:rPr>
        <w:t>Roger Chaufournier and the Onchocerciasis Program</w:t>
      </w:r>
      <w:r w:rsidRPr="00233532">
        <w:rPr>
          <w:rFonts w:ascii="Calibri" w:hAnsi="Calibri" w:cs="Calibri"/>
          <w:color w:val="000000" w:themeColor="text1"/>
          <w:sz w:val="22"/>
          <w:szCs w:val="22"/>
        </w:rPr>
        <w:t xml:space="preserve"> (Washington DC: World Bank, 1994).</w:t>
      </w:r>
    </w:p>
    <w:p w14:paraId="6C9B5002" w14:textId="77777777" w:rsidR="00442620" w:rsidRPr="00233532" w:rsidRDefault="00442620" w:rsidP="00442620">
      <w:pPr>
        <w:pStyle w:val="FootnoteText"/>
        <w:rPr>
          <w:rFonts w:ascii="Calibri" w:hAnsi="Calibri" w:cs="Calibri"/>
          <w:color w:val="000000" w:themeColor="text1"/>
          <w:sz w:val="22"/>
          <w:szCs w:val="22"/>
        </w:rPr>
      </w:pPr>
    </w:p>
    <w:p w14:paraId="1D594AA6" w14:textId="77777777"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t>World Bank, Sustainable settlement and development of the Onchocerciasis Control Programme area, Paris, April 1994 (Washington DC: World Bank, 1995).</w:t>
      </w:r>
    </w:p>
    <w:p w14:paraId="059187C4" w14:textId="77777777" w:rsidR="00442620" w:rsidRPr="00CF189D" w:rsidRDefault="00442620" w:rsidP="00DD4818">
      <w:pPr>
        <w:pStyle w:val="Footnotes"/>
        <w:rPr>
          <w:rFonts w:ascii="Calibri" w:hAnsi="Calibri" w:cs="Calibri"/>
          <w:sz w:val="22"/>
          <w:szCs w:val="22"/>
        </w:rPr>
      </w:pPr>
    </w:p>
    <w:p w14:paraId="3B122C4A" w14:textId="77777777" w:rsidR="00442620" w:rsidRPr="00233532" w:rsidRDefault="00442620" w:rsidP="00442620">
      <w:pPr>
        <w:rPr>
          <w:rFonts w:ascii="Calibri" w:hAnsi="Calibri" w:cs="Calibri"/>
          <w:color w:val="000000" w:themeColor="text1"/>
          <w:sz w:val="22"/>
          <w:szCs w:val="22"/>
          <w:lang w:eastAsia="en-GB"/>
        </w:rPr>
      </w:pPr>
      <w:r w:rsidRPr="00233532">
        <w:rPr>
          <w:rFonts w:ascii="Calibri" w:hAnsi="Calibri" w:cs="Calibri"/>
          <w:color w:val="000000" w:themeColor="text1"/>
          <w:sz w:val="22"/>
          <w:szCs w:val="22"/>
        </w:rPr>
        <w:t xml:space="preserve">World Bank, </w:t>
      </w:r>
      <w:r w:rsidRPr="00233532">
        <w:rPr>
          <w:rFonts w:ascii="Calibri" w:hAnsi="Calibri" w:cs="Calibri"/>
          <w:i/>
          <w:color w:val="000000" w:themeColor="text1"/>
          <w:sz w:val="22"/>
          <w:szCs w:val="22"/>
          <w:lang w:eastAsia="en-GB"/>
        </w:rPr>
        <w:t>The assault on</w:t>
      </w:r>
      <w:r w:rsidRPr="00E12758">
        <w:rPr>
          <w:rFonts w:ascii="Calibri" w:hAnsi="Calibri" w:cs="Calibri"/>
          <w:i/>
          <w:color w:val="000000" w:themeColor="text1"/>
          <w:sz w:val="22"/>
          <w:szCs w:val="22"/>
          <w:lang w:eastAsia="en-GB"/>
        </w:rPr>
        <w:t xml:space="preserve"> world poverty: problems of rural development, education and health</w:t>
      </w:r>
      <w:r w:rsidRPr="00766A1F">
        <w:rPr>
          <w:rFonts w:ascii="Calibri" w:hAnsi="Calibri" w:cs="Calibri"/>
          <w:color w:val="000000" w:themeColor="text1"/>
          <w:sz w:val="22"/>
          <w:szCs w:val="22"/>
          <w:lang w:eastAsia="en-GB"/>
        </w:rPr>
        <w:t xml:space="preserve"> (Baltimore: Johns</w:t>
      </w:r>
      <w:r w:rsidRPr="007A123B">
        <w:rPr>
          <w:rFonts w:ascii="Calibri" w:hAnsi="Calibri" w:cs="Calibri"/>
          <w:color w:val="000000" w:themeColor="text1"/>
          <w:sz w:val="22"/>
          <w:szCs w:val="22"/>
          <w:lang w:eastAsia="en-GB"/>
        </w:rPr>
        <w:t xml:space="preserve"> Hopkins University Press, 1975), 38</w:t>
      </w:r>
      <w:r w:rsidRPr="00233532">
        <w:rPr>
          <w:rFonts w:ascii="Calibri" w:hAnsi="Calibri" w:cs="Calibri"/>
          <w:color w:val="000000" w:themeColor="text1"/>
          <w:sz w:val="22"/>
          <w:szCs w:val="22"/>
          <w:lang w:eastAsia="en-GB"/>
        </w:rPr>
        <w:t>9-398.</w:t>
      </w:r>
    </w:p>
    <w:p w14:paraId="4339F4AA" w14:textId="77777777" w:rsidR="00442620" w:rsidRPr="00233532" w:rsidRDefault="00442620" w:rsidP="00442620">
      <w:pPr>
        <w:rPr>
          <w:rFonts w:ascii="Calibri" w:hAnsi="Calibri" w:cs="Calibri"/>
          <w:color w:val="000000" w:themeColor="text1"/>
          <w:sz w:val="22"/>
          <w:szCs w:val="22"/>
          <w:lang w:eastAsia="en-GB"/>
        </w:rPr>
      </w:pPr>
    </w:p>
    <w:p w14:paraId="216BF92C"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World Bank, </w:t>
      </w:r>
      <w:r w:rsidRPr="00233532">
        <w:rPr>
          <w:rFonts w:ascii="Calibri" w:hAnsi="Calibri" w:cs="Calibri"/>
          <w:i/>
          <w:color w:val="000000" w:themeColor="text1"/>
          <w:sz w:val="22"/>
          <w:szCs w:val="22"/>
        </w:rPr>
        <w:t xml:space="preserve">The Development Grant Facility (DGF) - FY01 DGF annual review and FY02 budget </w:t>
      </w:r>
      <w:r w:rsidRPr="00233532">
        <w:rPr>
          <w:rFonts w:ascii="Calibri" w:hAnsi="Calibri" w:cs="Calibri"/>
          <w:color w:val="000000" w:themeColor="text1"/>
          <w:sz w:val="22"/>
          <w:szCs w:val="22"/>
        </w:rPr>
        <w:t>(Washington DC: World Bank, 2001).</w:t>
      </w:r>
    </w:p>
    <w:p w14:paraId="4642D78A" w14:textId="77777777" w:rsidR="00442620" w:rsidRPr="00233532" w:rsidRDefault="00442620" w:rsidP="00442620">
      <w:pPr>
        <w:pStyle w:val="FootnoteText"/>
        <w:rPr>
          <w:rFonts w:ascii="Calibri" w:hAnsi="Calibri" w:cs="Calibri"/>
          <w:color w:val="000000" w:themeColor="text1"/>
          <w:sz w:val="22"/>
          <w:szCs w:val="22"/>
        </w:rPr>
      </w:pPr>
    </w:p>
    <w:p w14:paraId="0D5398B6"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World Bank, </w:t>
      </w:r>
      <w:r w:rsidRPr="00233532">
        <w:rPr>
          <w:rFonts w:ascii="Calibri" w:hAnsi="Calibri" w:cs="Calibri"/>
          <w:i/>
          <w:color w:val="000000" w:themeColor="text1"/>
          <w:sz w:val="22"/>
          <w:szCs w:val="22"/>
        </w:rPr>
        <w:t>The fight against river blindness</w:t>
      </w:r>
      <w:r w:rsidRPr="00233532">
        <w:rPr>
          <w:rFonts w:ascii="Calibri" w:hAnsi="Calibri" w:cs="Calibri"/>
          <w:color w:val="000000" w:themeColor="text1"/>
          <w:sz w:val="22"/>
          <w:szCs w:val="22"/>
        </w:rPr>
        <w:t xml:space="preserve"> (Washington DC: World Bank, 2016).</w:t>
      </w:r>
    </w:p>
    <w:p w14:paraId="5B162DD8" w14:textId="77777777" w:rsidR="00442620" w:rsidRPr="00233532" w:rsidRDefault="00442620" w:rsidP="00442620">
      <w:pPr>
        <w:pStyle w:val="FootnoteText"/>
        <w:rPr>
          <w:rFonts w:ascii="Calibri" w:hAnsi="Calibri" w:cs="Calibri"/>
          <w:color w:val="000000" w:themeColor="text1"/>
          <w:sz w:val="22"/>
          <w:szCs w:val="22"/>
          <w:lang w:val="de-CH"/>
        </w:rPr>
      </w:pPr>
    </w:p>
    <w:p w14:paraId="7CE9AC5A"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World Bank, </w:t>
      </w:r>
      <w:r w:rsidRPr="00233532">
        <w:rPr>
          <w:rFonts w:ascii="Calibri" w:hAnsi="Calibri" w:cs="Calibri"/>
          <w:i/>
          <w:color w:val="000000" w:themeColor="text1"/>
          <w:sz w:val="22"/>
          <w:szCs w:val="22"/>
        </w:rPr>
        <w:t xml:space="preserve">The impact of river blindness control programs in Africa: better health, more wealth </w:t>
      </w:r>
      <w:r w:rsidRPr="00233532">
        <w:rPr>
          <w:rFonts w:ascii="Calibri" w:hAnsi="Calibri" w:cs="Calibri"/>
          <w:color w:val="000000" w:themeColor="text1"/>
          <w:sz w:val="22"/>
          <w:szCs w:val="22"/>
        </w:rPr>
        <w:t>(Washington DC: World Bank, 2014).</w:t>
      </w:r>
    </w:p>
    <w:p w14:paraId="2B8606B0" w14:textId="77777777" w:rsidR="00442620" w:rsidRPr="00233532" w:rsidRDefault="00442620" w:rsidP="00442620">
      <w:pPr>
        <w:pStyle w:val="FootnoteText"/>
        <w:rPr>
          <w:rFonts w:ascii="Calibri" w:hAnsi="Calibri" w:cs="Calibri"/>
          <w:color w:val="000000" w:themeColor="text1"/>
          <w:sz w:val="22"/>
          <w:szCs w:val="22"/>
        </w:rPr>
      </w:pPr>
    </w:p>
    <w:p w14:paraId="4FBB4981"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World Bank, </w:t>
      </w:r>
      <w:r w:rsidRPr="00233532">
        <w:rPr>
          <w:rFonts w:ascii="Calibri" w:hAnsi="Calibri" w:cs="Calibri"/>
          <w:i/>
          <w:color w:val="000000" w:themeColor="text1"/>
          <w:sz w:val="22"/>
          <w:szCs w:val="22"/>
        </w:rPr>
        <w:t xml:space="preserve">Trust fund reforms: progress to date and future directions </w:t>
      </w:r>
      <w:r w:rsidRPr="00233532">
        <w:rPr>
          <w:rFonts w:ascii="Calibri" w:hAnsi="Calibri" w:cs="Calibri"/>
          <w:color w:val="000000" w:themeColor="text1"/>
          <w:sz w:val="22"/>
          <w:szCs w:val="22"/>
        </w:rPr>
        <w:t>(Washington DC: World Bank, 2013).</w:t>
      </w:r>
    </w:p>
    <w:p w14:paraId="5EFFC336" w14:textId="77777777" w:rsidR="00442620" w:rsidRPr="00233532" w:rsidRDefault="00442620" w:rsidP="00442620">
      <w:pPr>
        <w:pStyle w:val="FootnoteText"/>
        <w:rPr>
          <w:rFonts w:ascii="Calibri" w:hAnsi="Calibri" w:cs="Calibri"/>
          <w:color w:val="000000" w:themeColor="text1"/>
          <w:sz w:val="22"/>
          <w:szCs w:val="22"/>
        </w:rPr>
      </w:pPr>
    </w:p>
    <w:p w14:paraId="14F0D74C" w14:textId="77777777" w:rsidR="00442620" w:rsidRPr="00CF189D" w:rsidRDefault="00442620" w:rsidP="00DD4818">
      <w:pPr>
        <w:pStyle w:val="Footnotes"/>
        <w:rPr>
          <w:rFonts w:ascii="Calibri" w:hAnsi="Calibri" w:cs="Calibri"/>
          <w:sz w:val="22"/>
          <w:szCs w:val="22"/>
        </w:rPr>
      </w:pPr>
      <w:r w:rsidRPr="00CF189D">
        <w:rPr>
          <w:rFonts w:ascii="Calibri" w:hAnsi="Calibri" w:cs="Calibri"/>
          <w:sz w:val="22"/>
          <w:szCs w:val="22"/>
        </w:rPr>
        <w:t>World Bank, World Bank support for global and regional initiatives under the Development Grant Facility (DGF), compendium of DGF programs (Washington DC: World Bank, 2002).</w:t>
      </w:r>
    </w:p>
    <w:p w14:paraId="76802891" w14:textId="77777777" w:rsidR="00442620" w:rsidRPr="00CF189D" w:rsidRDefault="00442620" w:rsidP="00DD4818">
      <w:pPr>
        <w:pStyle w:val="Footnotes"/>
        <w:rPr>
          <w:rFonts w:ascii="Calibri" w:hAnsi="Calibri" w:cs="Calibri"/>
          <w:sz w:val="22"/>
          <w:szCs w:val="22"/>
        </w:rPr>
      </w:pPr>
    </w:p>
    <w:p w14:paraId="2DA13817" w14:textId="77777777" w:rsidR="00442620" w:rsidRPr="007A123B"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World Bank, </w:t>
      </w:r>
      <w:r w:rsidRPr="00233532">
        <w:rPr>
          <w:rFonts w:ascii="Calibri" w:hAnsi="Calibri" w:cs="Calibri"/>
          <w:i/>
          <w:color w:val="000000" w:themeColor="text1"/>
          <w:sz w:val="22"/>
          <w:szCs w:val="22"/>
        </w:rPr>
        <w:t>World</w:t>
      </w:r>
      <w:r w:rsidRPr="00E12758">
        <w:rPr>
          <w:rFonts w:ascii="Calibri" w:hAnsi="Calibri" w:cs="Calibri"/>
          <w:i/>
          <w:color w:val="000000" w:themeColor="text1"/>
          <w:sz w:val="22"/>
          <w:szCs w:val="22"/>
        </w:rPr>
        <w:t xml:space="preserve"> development report 1993: investing in health </w:t>
      </w:r>
      <w:r w:rsidRPr="00766A1F">
        <w:rPr>
          <w:rFonts w:ascii="Calibri" w:hAnsi="Calibri" w:cs="Calibri"/>
          <w:color w:val="000000" w:themeColor="text1"/>
          <w:sz w:val="22"/>
          <w:szCs w:val="22"/>
        </w:rPr>
        <w:t>(New York: Oxford University Press, 1993), especially 45-46, 169.</w:t>
      </w:r>
    </w:p>
    <w:p w14:paraId="1CF1961C" w14:textId="77777777" w:rsidR="00442620" w:rsidRPr="00233532" w:rsidRDefault="00442620" w:rsidP="00442620">
      <w:pPr>
        <w:pStyle w:val="FootnoteText"/>
        <w:rPr>
          <w:rFonts w:ascii="Calibri" w:hAnsi="Calibri" w:cs="Calibri"/>
          <w:color w:val="000000" w:themeColor="text1"/>
          <w:sz w:val="22"/>
          <w:szCs w:val="22"/>
        </w:rPr>
      </w:pPr>
    </w:p>
    <w:p w14:paraId="7B187C25"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World Bank/IFC Archives Oral History Program, </w:t>
      </w:r>
      <w:r w:rsidRPr="00233532">
        <w:rPr>
          <w:rFonts w:ascii="Calibri" w:hAnsi="Calibri" w:cs="Calibri"/>
          <w:i/>
          <w:color w:val="000000" w:themeColor="text1"/>
          <w:sz w:val="22"/>
          <w:szCs w:val="22"/>
        </w:rPr>
        <w:t>Transcript of interview with Alexander Storrar</w:t>
      </w:r>
      <w:r w:rsidRPr="00233532">
        <w:rPr>
          <w:rFonts w:ascii="Calibri" w:hAnsi="Calibri" w:cs="Calibri"/>
          <w:color w:val="000000" w:themeColor="text1"/>
          <w:sz w:val="22"/>
          <w:szCs w:val="22"/>
        </w:rPr>
        <w:t>, (Washington DC: World Bank, 1986).</w:t>
      </w:r>
    </w:p>
    <w:p w14:paraId="755F9EAF" w14:textId="77777777" w:rsidR="00442620" w:rsidRPr="00233532" w:rsidRDefault="00442620" w:rsidP="00442620">
      <w:pPr>
        <w:pStyle w:val="FootnoteText"/>
        <w:rPr>
          <w:rFonts w:ascii="Calibri" w:hAnsi="Calibri" w:cs="Calibri"/>
          <w:color w:val="000000" w:themeColor="text1"/>
          <w:sz w:val="22"/>
          <w:szCs w:val="22"/>
        </w:rPr>
      </w:pPr>
    </w:p>
    <w:p w14:paraId="43D08E2E" w14:textId="7F2B8BBB" w:rsidR="0033493D"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World Bank/IFC Archives Oral History Program, </w:t>
      </w:r>
      <w:r w:rsidRPr="00233532">
        <w:rPr>
          <w:rFonts w:ascii="Calibri" w:hAnsi="Calibri" w:cs="Calibri"/>
          <w:i/>
          <w:color w:val="000000" w:themeColor="text1"/>
          <w:sz w:val="22"/>
          <w:szCs w:val="22"/>
        </w:rPr>
        <w:t xml:space="preserve">Transcript of interview with Roger Chaufournier </w:t>
      </w:r>
      <w:r w:rsidRPr="00233532">
        <w:rPr>
          <w:rFonts w:ascii="Calibri" w:hAnsi="Calibri" w:cs="Calibri"/>
          <w:color w:val="000000" w:themeColor="text1"/>
          <w:sz w:val="22"/>
          <w:szCs w:val="22"/>
        </w:rPr>
        <w:t>(Washington DC: World Bank, 1986).</w:t>
      </w:r>
    </w:p>
    <w:p w14:paraId="6BD03017" w14:textId="77777777" w:rsidR="00442620" w:rsidRPr="00233532" w:rsidRDefault="00442620" w:rsidP="00442620">
      <w:pPr>
        <w:pStyle w:val="FootnoteText"/>
        <w:rPr>
          <w:rFonts w:ascii="Calibri" w:hAnsi="Calibri" w:cs="Calibri"/>
          <w:color w:val="000000" w:themeColor="text1"/>
          <w:sz w:val="22"/>
          <w:szCs w:val="22"/>
        </w:rPr>
      </w:pPr>
    </w:p>
    <w:p w14:paraId="2CD1D6B8" w14:textId="7777777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Younger SD and Zongo JB, ‘West Africa: The Onchocerciasis Control Program’, in </w:t>
      </w:r>
      <w:r w:rsidRPr="00233532">
        <w:rPr>
          <w:rFonts w:ascii="Calibri" w:hAnsi="Calibri" w:cs="Calibri"/>
          <w:i/>
          <w:color w:val="000000" w:themeColor="text1"/>
          <w:sz w:val="22"/>
          <w:szCs w:val="22"/>
        </w:rPr>
        <w:t xml:space="preserve">Successful development in Africa: case studies of projects, programs, and policies </w:t>
      </w:r>
      <w:r w:rsidRPr="00233532">
        <w:rPr>
          <w:rFonts w:ascii="Calibri" w:hAnsi="Calibri" w:cs="Calibri"/>
          <w:color w:val="000000" w:themeColor="text1"/>
          <w:sz w:val="22"/>
          <w:szCs w:val="22"/>
        </w:rPr>
        <w:t xml:space="preserve">(Washington DC: World Bank, 1989). </w:t>
      </w:r>
    </w:p>
    <w:p w14:paraId="09272E22" w14:textId="77777777" w:rsidR="00442620" w:rsidRPr="00233532" w:rsidRDefault="00442620" w:rsidP="00442620">
      <w:pPr>
        <w:pStyle w:val="FootnoteText"/>
        <w:rPr>
          <w:rFonts w:ascii="Calibri" w:hAnsi="Calibri" w:cs="Calibri"/>
          <w:color w:val="000000" w:themeColor="text1"/>
          <w:sz w:val="22"/>
          <w:szCs w:val="22"/>
        </w:rPr>
      </w:pPr>
    </w:p>
    <w:p w14:paraId="3F21874C" w14:textId="68EC4C57" w:rsidR="00442620" w:rsidRPr="00233532" w:rsidRDefault="00442620" w:rsidP="00442620">
      <w:pPr>
        <w:pStyle w:val="FootnoteText"/>
        <w:rPr>
          <w:rFonts w:ascii="Calibri" w:hAnsi="Calibri" w:cs="Calibri"/>
          <w:color w:val="000000" w:themeColor="text1"/>
          <w:sz w:val="22"/>
          <w:szCs w:val="22"/>
        </w:rPr>
      </w:pPr>
      <w:r w:rsidRPr="00233532">
        <w:rPr>
          <w:rFonts w:ascii="Calibri" w:hAnsi="Calibri" w:cs="Calibri"/>
          <w:color w:val="000000" w:themeColor="text1"/>
          <w:sz w:val="22"/>
          <w:szCs w:val="22"/>
        </w:rPr>
        <w:t xml:space="preserve">Yussef </w:t>
      </w:r>
      <w:r w:rsidR="0052083A" w:rsidRPr="00233532">
        <w:rPr>
          <w:rFonts w:ascii="Calibri" w:hAnsi="Calibri" w:cs="Calibri"/>
          <w:color w:val="000000" w:themeColor="text1"/>
          <w:sz w:val="22"/>
          <w:szCs w:val="22"/>
        </w:rPr>
        <w:t>M, Larrabure JL and Terzi C</w:t>
      </w:r>
      <w:r w:rsidRPr="00233532">
        <w:rPr>
          <w:rFonts w:ascii="Calibri" w:hAnsi="Calibri" w:cs="Calibri"/>
          <w:color w:val="000000" w:themeColor="text1"/>
          <w:sz w:val="22"/>
          <w:szCs w:val="22"/>
        </w:rPr>
        <w:t xml:space="preserve">, </w:t>
      </w:r>
      <w:r w:rsidRPr="00233532">
        <w:rPr>
          <w:rFonts w:ascii="Calibri" w:hAnsi="Calibri" w:cs="Calibri"/>
          <w:i/>
          <w:color w:val="000000" w:themeColor="text1"/>
          <w:sz w:val="22"/>
          <w:szCs w:val="22"/>
        </w:rPr>
        <w:t xml:space="preserve">Voluntary contributions in United Nations system organizations: impact on programme delivery and resource mobilization strategies </w:t>
      </w:r>
      <w:r w:rsidRPr="00233532">
        <w:rPr>
          <w:rFonts w:ascii="Calibri" w:hAnsi="Calibri" w:cs="Calibri"/>
          <w:color w:val="000000" w:themeColor="text1"/>
          <w:sz w:val="22"/>
          <w:szCs w:val="22"/>
        </w:rPr>
        <w:t>(Geneva: UN Joint Inspections Unit, 2007).</w:t>
      </w:r>
    </w:p>
    <w:p w14:paraId="75D5E658" w14:textId="3DDF0092" w:rsidR="00442620" w:rsidRDefault="00442620" w:rsidP="00C46E81">
      <w:pPr>
        <w:spacing w:after="160" w:line="360" w:lineRule="auto"/>
        <w:rPr>
          <w:rFonts w:ascii="Calibri" w:hAnsi="Calibri" w:cs="Calibri"/>
          <w:sz w:val="22"/>
          <w:szCs w:val="22"/>
        </w:rPr>
        <w:sectPr w:rsidR="00442620" w:rsidSect="00413CE4">
          <w:footnotePr>
            <w:numRestart w:val="eachSect"/>
          </w:footnotePr>
          <w:pgSz w:w="11906" w:h="16838"/>
          <w:pgMar w:top="1134" w:right="1418" w:bottom="2268" w:left="2268" w:header="708" w:footer="708" w:gutter="0"/>
          <w:cols w:space="708"/>
          <w:docGrid w:linePitch="360"/>
        </w:sectPr>
      </w:pPr>
    </w:p>
    <w:p w14:paraId="29F2AD2A" w14:textId="238427A7" w:rsidR="00931CC1" w:rsidRPr="00A32897" w:rsidRDefault="00931CC1" w:rsidP="00931CC1">
      <w:pPr>
        <w:pStyle w:val="Heading1"/>
        <w:rPr>
          <w:rFonts w:ascii="Calibri" w:hAnsi="Calibri" w:cs="Calibri"/>
          <w:b/>
          <w:sz w:val="36"/>
          <w:szCs w:val="36"/>
        </w:rPr>
      </w:pPr>
      <w:r w:rsidRPr="00A32897">
        <w:rPr>
          <w:rFonts w:ascii="Calibri" w:hAnsi="Calibri" w:cs="Calibri"/>
          <w:b/>
          <w:sz w:val="36"/>
          <w:szCs w:val="36"/>
        </w:rPr>
        <w:lastRenderedPageBreak/>
        <w:t xml:space="preserve">  </w:t>
      </w:r>
      <w:bookmarkStart w:id="162" w:name="_Toc29580562"/>
      <w:bookmarkStart w:id="163" w:name="_Toc41505716"/>
      <w:r w:rsidRPr="00A32897">
        <w:rPr>
          <w:rFonts w:ascii="Calibri" w:hAnsi="Calibri" w:cs="Calibri"/>
          <w:b/>
          <w:sz w:val="36"/>
          <w:szCs w:val="36"/>
        </w:rPr>
        <w:t>Appendices</w:t>
      </w:r>
      <w:bookmarkEnd w:id="162"/>
      <w:bookmarkEnd w:id="163"/>
    </w:p>
    <w:p w14:paraId="299F04D2" w14:textId="549ED8D4" w:rsidR="00C02512" w:rsidRDefault="00C02512">
      <w:bookmarkStart w:id="164" w:name="_Toc29580563"/>
    </w:p>
    <w:p w14:paraId="44415C6C" w14:textId="77777777" w:rsidR="005047C7" w:rsidRDefault="005047C7" w:rsidP="00931CC1">
      <w:pPr>
        <w:pStyle w:val="Heading2"/>
        <w:rPr>
          <w:rFonts w:ascii="Calibri" w:hAnsi="Calibri" w:cs="Calibri"/>
          <w:b/>
        </w:rPr>
      </w:pPr>
    </w:p>
    <w:p w14:paraId="40A7E625" w14:textId="77777777" w:rsidR="005047C7" w:rsidRDefault="005047C7" w:rsidP="00931CC1">
      <w:pPr>
        <w:pStyle w:val="Heading2"/>
        <w:rPr>
          <w:rFonts w:ascii="Calibri" w:hAnsi="Calibri" w:cs="Calibri"/>
          <w:b/>
        </w:rPr>
      </w:pPr>
    </w:p>
    <w:p w14:paraId="7B63857C" w14:textId="77777777" w:rsidR="005047C7" w:rsidRDefault="005047C7" w:rsidP="00931CC1">
      <w:pPr>
        <w:pStyle w:val="Heading2"/>
        <w:rPr>
          <w:rFonts w:ascii="Calibri" w:hAnsi="Calibri" w:cs="Calibri"/>
          <w:b/>
        </w:rPr>
      </w:pPr>
    </w:p>
    <w:p w14:paraId="39BA45BE" w14:textId="77777777" w:rsidR="005047C7" w:rsidRDefault="005047C7" w:rsidP="00931CC1">
      <w:pPr>
        <w:pStyle w:val="Heading2"/>
        <w:rPr>
          <w:rFonts w:ascii="Calibri" w:hAnsi="Calibri" w:cs="Calibri"/>
          <w:b/>
        </w:rPr>
      </w:pPr>
    </w:p>
    <w:p w14:paraId="6B326DA0" w14:textId="77777777" w:rsidR="005047C7" w:rsidRDefault="005047C7" w:rsidP="00931CC1">
      <w:pPr>
        <w:pStyle w:val="Heading2"/>
        <w:rPr>
          <w:rFonts w:ascii="Calibri" w:hAnsi="Calibri" w:cs="Calibri"/>
          <w:b/>
        </w:rPr>
      </w:pPr>
    </w:p>
    <w:p w14:paraId="27932A71" w14:textId="77777777" w:rsidR="005047C7" w:rsidRDefault="005047C7" w:rsidP="00931CC1">
      <w:pPr>
        <w:pStyle w:val="Heading2"/>
        <w:rPr>
          <w:rFonts w:ascii="Calibri" w:hAnsi="Calibri" w:cs="Calibri"/>
          <w:b/>
        </w:rPr>
      </w:pPr>
    </w:p>
    <w:p w14:paraId="6C0B635B" w14:textId="77777777" w:rsidR="005047C7" w:rsidRDefault="005047C7" w:rsidP="00931CC1">
      <w:pPr>
        <w:pStyle w:val="Heading2"/>
        <w:rPr>
          <w:rFonts w:ascii="Calibri" w:hAnsi="Calibri" w:cs="Calibri"/>
          <w:b/>
        </w:rPr>
      </w:pPr>
    </w:p>
    <w:p w14:paraId="7FB64843" w14:textId="77777777" w:rsidR="005047C7" w:rsidRDefault="005047C7" w:rsidP="00931CC1">
      <w:pPr>
        <w:pStyle w:val="Heading2"/>
        <w:rPr>
          <w:rFonts w:ascii="Calibri" w:hAnsi="Calibri" w:cs="Calibri"/>
          <w:b/>
        </w:rPr>
      </w:pPr>
    </w:p>
    <w:p w14:paraId="17F859CD" w14:textId="77777777" w:rsidR="005047C7" w:rsidRDefault="005047C7">
      <w:pPr>
        <w:spacing w:line="360" w:lineRule="auto"/>
        <w:rPr>
          <w:rFonts w:ascii="Calibri" w:hAnsi="Calibri" w:cs="Calibri"/>
          <w:b/>
        </w:rPr>
      </w:pPr>
      <w:r>
        <w:rPr>
          <w:rFonts w:ascii="Calibri" w:hAnsi="Calibri" w:cs="Calibri"/>
          <w:b/>
        </w:rPr>
        <w:br w:type="page"/>
      </w:r>
    </w:p>
    <w:p w14:paraId="121CFD04" w14:textId="4D3F65FE" w:rsidR="00931CC1" w:rsidRPr="00DB3887" w:rsidRDefault="00931CC1" w:rsidP="00931CC1">
      <w:pPr>
        <w:pStyle w:val="Heading2"/>
        <w:rPr>
          <w:rFonts w:ascii="Calibri" w:hAnsi="Calibri" w:cs="Calibri"/>
          <w:b/>
          <w:color w:val="000000" w:themeColor="text1"/>
          <w:sz w:val="26"/>
          <w:szCs w:val="26"/>
        </w:rPr>
      </w:pPr>
      <w:bookmarkStart w:id="165" w:name="_Toc41505717"/>
      <w:r w:rsidRPr="00DB3887">
        <w:rPr>
          <w:rFonts w:ascii="Calibri" w:hAnsi="Calibri" w:cs="Calibri"/>
          <w:b/>
          <w:color w:val="000000" w:themeColor="text1"/>
          <w:sz w:val="26"/>
          <w:szCs w:val="26"/>
        </w:rPr>
        <w:lastRenderedPageBreak/>
        <w:t>Appendix I. OCP and success literature review sources</w:t>
      </w:r>
      <w:bookmarkEnd w:id="164"/>
      <w:bookmarkEnd w:id="165"/>
    </w:p>
    <w:p w14:paraId="7D232AC3" w14:textId="77777777" w:rsidR="00931CC1" w:rsidRPr="00A32897" w:rsidRDefault="00931CC1" w:rsidP="00931CC1">
      <w:pPr>
        <w:rPr>
          <w:rFonts w:ascii="Calibri" w:hAnsi="Calibri" w:cs="Calibri"/>
          <w:sz w:val="22"/>
          <w:szCs w:val="22"/>
        </w:rPr>
      </w:pPr>
    </w:p>
    <w:p w14:paraId="492C7067" w14:textId="0F667F5E" w:rsidR="00931CC1" w:rsidRDefault="00931CC1" w:rsidP="00931CC1">
      <w:pPr>
        <w:rPr>
          <w:rFonts w:ascii="Calibri" w:hAnsi="Calibri" w:cs="Calibri"/>
          <w:b/>
          <w:sz w:val="22"/>
          <w:szCs w:val="22"/>
        </w:rPr>
      </w:pPr>
      <w:r w:rsidRPr="00A32897">
        <w:rPr>
          <w:rFonts w:ascii="Calibri" w:hAnsi="Calibri" w:cs="Calibri"/>
          <w:b/>
          <w:sz w:val="22"/>
          <w:szCs w:val="22"/>
        </w:rPr>
        <w:t>Peer reviewed articles and grey literature:</w:t>
      </w:r>
    </w:p>
    <w:p w14:paraId="6A30ED39" w14:textId="77777777" w:rsidR="005047C7" w:rsidRPr="00A32897" w:rsidRDefault="005047C7" w:rsidP="00931CC1">
      <w:pPr>
        <w:rPr>
          <w:rFonts w:ascii="Calibri" w:hAnsi="Calibri" w:cs="Calibri"/>
          <w:b/>
          <w:sz w:val="22"/>
          <w:szCs w:val="22"/>
        </w:rPr>
      </w:pPr>
    </w:p>
    <w:p w14:paraId="48E0F91B" w14:textId="17D35507" w:rsidR="00931CC1" w:rsidRDefault="00931CC1" w:rsidP="00931CC1">
      <w:pPr>
        <w:ind w:left="360"/>
        <w:rPr>
          <w:rFonts w:ascii="Calibri" w:hAnsi="Calibri" w:cs="Calibri"/>
          <w:sz w:val="22"/>
          <w:szCs w:val="22"/>
        </w:rPr>
      </w:pPr>
      <w:r w:rsidRPr="00A32897">
        <w:rPr>
          <w:rFonts w:ascii="Calibri" w:hAnsi="Calibri" w:cs="Calibri"/>
          <w:sz w:val="22"/>
          <w:szCs w:val="22"/>
        </w:rPr>
        <w:t>Aboise AO, Awadzi K, Cupp EW, Duke E, Gemade II, Ottesen EA, Petralanda I, Roungou JB, Schulzkey H, Weiss N, Baldry DAT, Dadzie KY, Ramachandran CP</w:t>
      </w:r>
      <w:r w:rsidR="00314F3B">
        <w:rPr>
          <w:rFonts w:ascii="Calibri" w:hAnsi="Calibri" w:cs="Calibri"/>
          <w:sz w:val="22"/>
          <w:szCs w:val="22"/>
        </w:rPr>
        <w:t xml:space="preserve"> </w:t>
      </w:r>
      <w:r w:rsidRPr="00A32897">
        <w:rPr>
          <w:rFonts w:ascii="Calibri" w:hAnsi="Calibri" w:cs="Calibri"/>
          <w:sz w:val="22"/>
          <w:szCs w:val="22"/>
        </w:rPr>
        <w:t xml:space="preserve">and Remme JHF, ‘Report of a WHO expert committee on onchocerciasis control – introduction’, in </w:t>
      </w:r>
      <w:r w:rsidRPr="00A32897">
        <w:rPr>
          <w:rFonts w:ascii="Calibri" w:hAnsi="Calibri" w:cs="Calibri"/>
          <w:i/>
          <w:sz w:val="22"/>
          <w:szCs w:val="22"/>
        </w:rPr>
        <w:t xml:space="preserve">Onchocerciasis and its control </w:t>
      </w:r>
      <w:r w:rsidRPr="00A32897">
        <w:rPr>
          <w:rFonts w:ascii="Calibri" w:hAnsi="Calibri" w:cs="Calibri"/>
          <w:sz w:val="22"/>
          <w:szCs w:val="22"/>
        </w:rPr>
        <w:t>(Geneva: WHO, 1995).</w:t>
      </w:r>
    </w:p>
    <w:p w14:paraId="5D90BC7D" w14:textId="77777777" w:rsidR="005047C7" w:rsidRPr="00A32897" w:rsidRDefault="005047C7" w:rsidP="00931CC1">
      <w:pPr>
        <w:ind w:left="360"/>
        <w:rPr>
          <w:rFonts w:ascii="Calibri" w:hAnsi="Calibri" w:cs="Calibri"/>
          <w:sz w:val="22"/>
          <w:szCs w:val="22"/>
        </w:rPr>
      </w:pPr>
    </w:p>
    <w:p w14:paraId="79C16AE7" w14:textId="149BEB5E" w:rsidR="00931CC1" w:rsidRDefault="00931CC1" w:rsidP="00931CC1">
      <w:pPr>
        <w:ind w:left="360"/>
        <w:rPr>
          <w:rFonts w:ascii="Calibri" w:hAnsi="Calibri" w:cs="Calibri"/>
          <w:sz w:val="22"/>
          <w:szCs w:val="22"/>
        </w:rPr>
      </w:pPr>
      <w:r w:rsidRPr="00A32897">
        <w:rPr>
          <w:rFonts w:ascii="Calibri" w:hAnsi="Calibri" w:cs="Calibri"/>
          <w:sz w:val="22"/>
          <w:szCs w:val="22"/>
        </w:rPr>
        <w:t xml:space="preserve">Ackland P, ‘The accomplishments of the global initiative VISION 2020: the right to sight and the focus for the next 8 years of the campaign’, </w:t>
      </w:r>
      <w:r w:rsidRPr="00A32897">
        <w:rPr>
          <w:rFonts w:ascii="Calibri" w:hAnsi="Calibri" w:cs="Calibri"/>
          <w:i/>
          <w:sz w:val="22"/>
          <w:szCs w:val="22"/>
        </w:rPr>
        <w:t xml:space="preserve">Indian Journal of Ophthalmology </w:t>
      </w:r>
      <w:r w:rsidRPr="00A32897">
        <w:rPr>
          <w:rFonts w:ascii="Calibri" w:hAnsi="Calibri" w:cs="Calibri"/>
          <w:sz w:val="22"/>
          <w:szCs w:val="22"/>
        </w:rPr>
        <w:t>60:5 (2012), 380.</w:t>
      </w:r>
    </w:p>
    <w:p w14:paraId="3CA13477" w14:textId="77777777" w:rsidR="005047C7" w:rsidRPr="00A32897" w:rsidRDefault="005047C7" w:rsidP="00931CC1">
      <w:pPr>
        <w:ind w:left="360"/>
        <w:rPr>
          <w:rFonts w:ascii="Calibri" w:hAnsi="Calibri" w:cs="Calibri"/>
          <w:sz w:val="22"/>
          <w:szCs w:val="22"/>
        </w:rPr>
      </w:pPr>
    </w:p>
    <w:p w14:paraId="0C2F27EB" w14:textId="2171A2AB" w:rsidR="00931CC1" w:rsidRDefault="00931CC1" w:rsidP="00931CC1">
      <w:pPr>
        <w:ind w:left="360"/>
        <w:rPr>
          <w:rFonts w:ascii="Calibri" w:hAnsi="Calibri" w:cs="Calibri"/>
          <w:sz w:val="22"/>
          <w:szCs w:val="22"/>
        </w:rPr>
      </w:pPr>
      <w:r w:rsidRPr="00A32897">
        <w:rPr>
          <w:rFonts w:ascii="Calibri" w:hAnsi="Calibri" w:cs="Calibri"/>
          <w:sz w:val="22"/>
          <w:szCs w:val="22"/>
        </w:rPr>
        <w:t xml:space="preserve">Aerts C, Sunyoto T, Tediosi F and Sicuri E, ‘Are public-private partnerships the solution to tackle neglected tropical diseases? A systematic review of the literature’, </w:t>
      </w:r>
      <w:r w:rsidRPr="00A32897">
        <w:rPr>
          <w:rFonts w:ascii="Calibri" w:hAnsi="Calibri" w:cs="Calibri"/>
          <w:i/>
          <w:sz w:val="22"/>
          <w:szCs w:val="22"/>
        </w:rPr>
        <w:t xml:space="preserve">Health Policy </w:t>
      </w:r>
      <w:r w:rsidRPr="00A32897">
        <w:rPr>
          <w:rFonts w:ascii="Calibri" w:hAnsi="Calibri" w:cs="Calibri"/>
          <w:sz w:val="22"/>
          <w:szCs w:val="22"/>
        </w:rPr>
        <w:t>121:7 (2017), 745-754.</w:t>
      </w:r>
    </w:p>
    <w:p w14:paraId="02FE48BD" w14:textId="77777777" w:rsidR="005047C7" w:rsidRPr="00A32897" w:rsidRDefault="005047C7" w:rsidP="00931CC1">
      <w:pPr>
        <w:ind w:left="360"/>
        <w:rPr>
          <w:rFonts w:ascii="Calibri" w:hAnsi="Calibri" w:cs="Calibri"/>
          <w:sz w:val="22"/>
          <w:szCs w:val="22"/>
        </w:rPr>
      </w:pPr>
    </w:p>
    <w:p w14:paraId="081B0990" w14:textId="70393F5E" w:rsidR="00931CC1" w:rsidRDefault="00931CC1" w:rsidP="00931CC1">
      <w:pPr>
        <w:ind w:left="360"/>
        <w:rPr>
          <w:rFonts w:ascii="Calibri" w:hAnsi="Calibri" w:cs="Calibri"/>
          <w:sz w:val="22"/>
          <w:szCs w:val="22"/>
        </w:rPr>
      </w:pPr>
      <w:r w:rsidRPr="00A32897">
        <w:rPr>
          <w:rFonts w:ascii="Calibri" w:hAnsi="Calibri" w:cs="Calibri"/>
          <w:sz w:val="22"/>
          <w:szCs w:val="22"/>
        </w:rPr>
        <w:t xml:space="preserve">Amazigo U and Boatin B, ‘The future of onchocerciasis control in Africa’, </w:t>
      </w:r>
      <w:r w:rsidRPr="00A32897">
        <w:rPr>
          <w:rFonts w:ascii="Calibri" w:hAnsi="Calibri" w:cs="Calibri"/>
          <w:i/>
          <w:sz w:val="22"/>
          <w:szCs w:val="22"/>
        </w:rPr>
        <w:t xml:space="preserve">Lancet </w:t>
      </w:r>
      <w:r w:rsidRPr="00A32897">
        <w:rPr>
          <w:rFonts w:ascii="Calibri" w:hAnsi="Calibri" w:cs="Calibri"/>
          <w:sz w:val="22"/>
          <w:szCs w:val="22"/>
        </w:rPr>
        <w:t>368:9551 (2006), 1946-1947.</w:t>
      </w:r>
    </w:p>
    <w:p w14:paraId="5F40E8A4" w14:textId="77777777" w:rsidR="005047C7" w:rsidRPr="00A32897" w:rsidRDefault="005047C7" w:rsidP="00931CC1">
      <w:pPr>
        <w:ind w:left="360"/>
        <w:rPr>
          <w:rFonts w:ascii="Calibri" w:hAnsi="Calibri" w:cs="Calibri"/>
          <w:sz w:val="22"/>
          <w:szCs w:val="22"/>
        </w:rPr>
      </w:pPr>
    </w:p>
    <w:p w14:paraId="104A8CB7" w14:textId="68CA5339" w:rsidR="00931CC1" w:rsidRDefault="00931CC1" w:rsidP="00931CC1">
      <w:pPr>
        <w:ind w:left="360"/>
        <w:rPr>
          <w:rFonts w:ascii="Calibri" w:hAnsi="Calibri" w:cs="Calibri"/>
          <w:sz w:val="22"/>
          <w:szCs w:val="22"/>
        </w:rPr>
      </w:pPr>
      <w:r w:rsidRPr="00A32897">
        <w:rPr>
          <w:rFonts w:ascii="Calibri" w:hAnsi="Calibri" w:cs="Calibri"/>
          <w:sz w:val="22"/>
          <w:szCs w:val="22"/>
        </w:rPr>
        <w:t xml:space="preserve">Amazigo U, Noma M, Bump J, Benton B, Liese B, Yameogo L, Zoure H and </w:t>
      </w:r>
      <w:r w:rsidR="00314F3B">
        <w:rPr>
          <w:rFonts w:ascii="Calibri" w:hAnsi="Calibri" w:cs="Calibri"/>
          <w:color w:val="000000" w:themeColor="text1"/>
          <w:sz w:val="22"/>
          <w:szCs w:val="22"/>
          <w:lang w:val="en-US"/>
        </w:rPr>
        <w:t xml:space="preserve">Sékételi </w:t>
      </w:r>
      <w:r w:rsidRPr="00A32897">
        <w:rPr>
          <w:rFonts w:ascii="Calibri" w:hAnsi="Calibri" w:cs="Calibri"/>
          <w:sz w:val="22"/>
          <w:szCs w:val="22"/>
        </w:rPr>
        <w:t>A, ‘Onchocerciasis’, in</w:t>
      </w:r>
      <w:r w:rsidR="007B59E6">
        <w:rPr>
          <w:rFonts w:ascii="Calibri" w:hAnsi="Calibri" w:cs="Calibri"/>
          <w:sz w:val="22"/>
          <w:szCs w:val="22"/>
        </w:rPr>
        <w:t xml:space="preserve"> DT Jamison, RG Feachem, MW Makogba, ER Bos, FK Baingana, KJ Hofmar, and KO Rogo (Eds.),</w:t>
      </w:r>
      <w:r w:rsidRPr="00A32897">
        <w:rPr>
          <w:rFonts w:ascii="Calibri" w:hAnsi="Calibri" w:cs="Calibri"/>
          <w:sz w:val="22"/>
          <w:szCs w:val="22"/>
        </w:rPr>
        <w:t xml:space="preserve"> </w:t>
      </w:r>
      <w:r w:rsidRPr="00A32897">
        <w:rPr>
          <w:rFonts w:ascii="Calibri" w:hAnsi="Calibri" w:cs="Calibri"/>
          <w:i/>
          <w:sz w:val="22"/>
          <w:szCs w:val="22"/>
        </w:rPr>
        <w:t xml:space="preserve">Disease in </w:t>
      </w:r>
      <w:r w:rsidR="00A2292A">
        <w:rPr>
          <w:rFonts w:ascii="Calibri" w:hAnsi="Calibri" w:cs="Calibri"/>
          <w:i/>
          <w:sz w:val="22"/>
          <w:szCs w:val="22"/>
        </w:rPr>
        <w:t>S</w:t>
      </w:r>
      <w:r w:rsidRPr="00A32897">
        <w:rPr>
          <w:rFonts w:ascii="Calibri" w:hAnsi="Calibri" w:cs="Calibri"/>
          <w:i/>
          <w:sz w:val="22"/>
          <w:szCs w:val="22"/>
        </w:rPr>
        <w:t xml:space="preserve">ub-Saharan Africa, </w:t>
      </w:r>
      <w:r w:rsidRPr="00A32897">
        <w:rPr>
          <w:rFonts w:ascii="Calibri" w:hAnsi="Calibri" w:cs="Calibri"/>
          <w:sz w:val="22"/>
          <w:szCs w:val="22"/>
        </w:rPr>
        <w:t>2</w:t>
      </w:r>
      <w:r w:rsidRPr="00A32897">
        <w:rPr>
          <w:rFonts w:ascii="Calibri" w:hAnsi="Calibri" w:cs="Calibri"/>
          <w:sz w:val="22"/>
          <w:szCs w:val="22"/>
          <w:vertAlign w:val="superscript"/>
        </w:rPr>
        <w:t>nd</w:t>
      </w:r>
      <w:r w:rsidRPr="00A32897">
        <w:rPr>
          <w:rFonts w:ascii="Calibri" w:hAnsi="Calibri" w:cs="Calibri"/>
          <w:sz w:val="22"/>
          <w:szCs w:val="22"/>
        </w:rPr>
        <w:t xml:space="preserve"> ed</w:t>
      </w:r>
      <w:r w:rsidR="007B59E6">
        <w:rPr>
          <w:rFonts w:ascii="Calibri" w:hAnsi="Calibri" w:cs="Calibri"/>
          <w:sz w:val="22"/>
          <w:szCs w:val="22"/>
        </w:rPr>
        <w:t xml:space="preserve"> </w:t>
      </w:r>
      <w:r w:rsidRPr="00A32897">
        <w:rPr>
          <w:rFonts w:ascii="Calibri" w:hAnsi="Calibri" w:cs="Calibri"/>
          <w:sz w:val="22"/>
          <w:szCs w:val="22"/>
        </w:rPr>
        <w:t>(Washington DC: World Bank, 2006), 215-222.</w:t>
      </w:r>
    </w:p>
    <w:p w14:paraId="5834E116" w14:textId="77777777" w:rsidR="005047C7" w:rsidRPr="00A32897" w:rsidRDefault="005047C7" w:rsidP="00931CC1">
      <w:pPr>
        <w:ind w:left="360"/>
        <w:rPr>
          <w:rFonts w:ascii="Calibri" w:hAnsi="Calibri" w:cs="Calibri"/>
          <w:sz w:val="22"/>
          <w:szCs w:val="22"/>
        </w:rPr>
      </w:pPr>
    </w:p>
    <w:p w14:paraId="17051330" w14:textId="7FABF376" w:rsidR="00931CC1" w:rsidRDefault="00931CC1" w:rsidP="00931CC1">
      <w:pPr>
        <w:ind w:left="360"/>
        <w:rPr>
          <w:rFonts w:ascii="Calibri" w:hAnsi="Calibri" w:cs="Calibri"/>
          <w:sz w:val="22"/>
          <w:szCs w:val="22"/>
        </w:rPr>
      </w:pPr>
      <w:r w:rsidRPr="00A32897">
        <w:rPr>
          <w:rFonts w:ascii="Calibri" w:hAnsi="Calibri" w:cs="Calibri"/>
          <w:sz w:val="22"/>
          <w:szCs w:val="22"/>
        </w:rPr>
        <w:t xml:space="preserve">Babalola O, ‘Addressing residual challenges of VISION 2020: the right to sight’, </w:t>
      </w:r>
      <w:r w:rsidRPr="00A32897">
        <w:rPr>
          <w:rFonts w:ascii="Calibri" w:hAnsi="Calibri" w:cs="Calibri"/>
          <w:i/>
          <w:sz w:val="22"/>
          <w:szCs w:val="22"/>
        </w:rPr>
        <w:t xml:space="preserve">Middle East African Journal of Ophthalmology </w:t>
      </w:r>
      <w:r w:rsidRPr="00A32897">
        <w:rPr>
          <w:rFonts w:ascii="Calibri" w:hAnsi="Calibri" w:cs="Calibri"/>
          <w:sz w:val="22"/>
          <w:szCs w:val="22"/>
        </w:rPr>
        <w:t>18:2 (2011), 91.</w:t>
      </w:r>
    </w:p>
    <w:p w14:paraId="02A7FA58" w14:textId="77777777" w:rsidR="005047C7" w:rsidRPr="00A32897" w:rsidRDefault="005047C7" w:rsidP="00931CC1">
      <w:pPr>
        <w:ind w:left="360"/>
        <w:rPr>
          <w:rFonts w:ascii="Calibri" w:hAnsi="Calibri" w:cs="Calibri"/>
          <w:sz w:val="22"/>
          <w:szCs w:val="22"/>
        </w:rPr>
      </w:pPr>
    </w:p>
    <w:p w14:paraId="38BDCF96" w14:textId="013BBAD8" w:rsidR="00931CC1" w:rsidRDefault="00931CC1" w:rsidP="00931CC1">
      <w:pPr>
        <w:ind w:left="360"/>
        <w:rPr>
          <w:rFonts w:ascii="Calibri" w:hAnsi="Calibri" w:cs="Calibri"/>
          <w:sz w:val="22"/>
          <w:szCs w:val="22"/>
        </w:rPr>
      </w:pPr>
      <w:r w:rsidRPr="00A32897">
        <w:rPr>
          <w:rFonts w:ascii="Calibri" w:hAnsi="Calibri" w:cs="Calibri"/>
          <w:sz w:val="22"/>
          <w:szCs w:val="22"/>
        </w:rPr>
        <w:t xml:space="preserve">Babalola O, ‘Ocular onchocerciasis: current management and future prospects’, </w:t>
      </w:r>
      <w:r w:rsidRPr="00A32897">
        <w:rPr>
          <w:rFonts w:ascii="Calibri" w:hAnsi="Calibri" w:cs="Calibri"/>
          <w:i/>
          <w:sz w:val="22"/>
          <w:szCs w:val="22"/>
        </w:rPr>
        <w:t xml:space="preserve">Clinical Ophthalmology </w:t>
      </w:r>
      <w:r w:rsidRPr="00A32897">
        <w:rPr>
          <w:rFonts w:ascii="Calibri" w:hAnsi="Calibri" w:cs="Calibri"/>
          <w:sz w:val="22"/>
          <w:szCs w:val="22"/>
        </w:rPr>
        <w:t>5 (2011), 1479-1491.</w:t>
      </w:r>
    </w:p>
    <w:p w14:paraId="6B7B9EC6" w14:textId="77777777" w:rsidR="005047C7" w:rsidRPr="00A32897" w:rsidRDefault="005047C7" w:rsidP="00931CC1">
      <w:pPr>
        <w:ind w:left="360"/>
        <w:rPr>
          <w:rFonts w:ascii="Calibri" w:hAnsi="Calibri" w:cs="Calibri"/>
          <w:sz w:val="22"/>
          <w:szCs w:val="22"/>
        </w:rPr>
      </w:pPr>
    </w:p>
    <w:p w14:paraId="64D17B57" w14:textId="00870C83" w:rsidR="00931CC1" w:rsidRDefault="00931CC1" w:rsidP="00931CC1">
      <w:pPr>
        <w:ind w:left="360"/>
        <w:rPr>
          <w:rFonts w:ascii="Calibri" w:hAnsi="Calibri" w:cs="Calibri"/>
          <w:sz w:val="22"/>
          <w:szCs w:val="22"/>
        </w:rPr>
      </w:pPr>
      <w:r w:rsidRPr="00A32897">
        <w:rPr>
          <w:rFonts w:ascii="Calibri" w:hAnsi="Calibri" w:cs="Calibri"/>
          <w:sz w:val="22"/>
          <w:szCs w:val="22"/>
        </w:rPr>
        <w:t xml:space="preserve">Baldry DC and Yameogo L, </w:t>
      </w:r>
      <w:r w:rsidRPr="00A32897">
        <w:rPr>
          <w:rFonts w:ascii="Calibri" w:hAnsi="Calibri" w:cs="Calibri"/>
          <w:i/>
          <w:sz w:val="22"/>
          <w:szCs w:val="22"/>
        </w:rPr>
        <w:t xml:space="preserve">Environmental and impact assessment of settlement and development in the Upper Leraba Basin: Burkina Faso, Cote d’Ivoire, and Mali </w:t>
      </w:r>
      <w:r w:rsidRPr="00A32897">
        <w:rPr>
          <w:rFonts w:ascii="Calibri" w:hAnsi="Calibri" w:cs="Calibri"/>
          <w:sz w:val="22"/>
          <w:szCs w:val="22"/>
        </w:rPr>
        <w:t>(Washington DC: World Bank, 1995).</w:t>
      </w:r>
    </w:p>
    <w:p w14:paraId="57F7A454" w14:textId="77777777" w:rsidR="005047C7" w:rsidRPr="00A32897" w:rsidRDefault="005047C7" w:rsidP="00931CC1">
      <w:pPr>
        <w:ind w:left="360"/>
        <w:rPr>
          <w:rFonts w:ascii="Calibri" w:hAnsi="Calibri" w:cs="Calibri"/>
          <w:sz w:val="22"/>
          <w:szCs w:val="22"/>
        </w:rPr>
      </w:pPr>
    </w:p>
    <w:p w14:paraId="5375AE3E" w14:textId="61B335D0" w:rsidR="00931CC1" w:rsidRDefault="00931CC1" w:rsidP="00931CC1">
      <w:pPr>
        <w:ind w:left="360"/>
        <w:rPr>
          <w:rFonts w:ascii="Calibri" w:hAnsi="Calibri" w:cs="Calibri"/>
          <w:sz w:val="22"/>
          <w:szCs w:val="22"/>
        </w:rPr>
      </w:pPr>
      <w:r w:rsidRPr="00A32897">
        <w:rPr>
          <w:rFonts w:ascii="Calibri" w:hAnsi="Calibri" w:cs="Calibri"/>
          <w:sz w:val="22"/>
          <w:szCs w:val="22"/>
        </w:rPr>
        <w:t>Barend M, Makepeace BL, Renz a, Tanya VN, Fleckenstein L, Ekale D</w:t>
      </w:r>
      <w:r w:rsidR="00314F3B">
        <w:rPr>
          <w:rFonts w:ascii="Calibri" w:hAnsi="Calibri" w:cs="Calibri"/>
          <w:sz w:val="22"/>
          <w:szCs w:val="22"/>
        </w:rPr>
        <w:t xml:space="preserve"> and</w:t>
      </w:r>
      <w:r w:rsidRPr="00A32897">
        <w:rPr>
          <w:rFonts w:ascii="Calibri" w:hAnsi="Calibri" w:cs="Calibri"/>
          <w:sz w:val="22"/>
          <w:szCs w:val="22"/>
        </w:rPr>
        <w:t xml:space="preserve"> Trees AJ, ‘UMF-078: a modified flubendazole with potent macrofilaricidal activity against Onchocerca ochengi in African cattle’, </w:t>
      </w:r>
      <w:r w:rsidRPr="00A32897">
        <w:rPr>
          <w:rFonts w:ascii="Calibri" w:hAnsi="Calibri" w:cs="Calibri"/>
          <w:i/>
          <w:sz w:val="22"/>
          <w:szCs w:val="22"/>
        </w:rPr>
        <w:t xml:space="preserve">Parasites &amp; Vectors </w:t>
      </w:r>
      <w:r w:rsidRPr="00A32897">
        <w:rPr>
          <w:rFonts w:ascii="Calibri" w:hAnsi="Calibri" w:cs="Calibri"/>
          <w:sz w:val="22"/>
          <w:szCs w:val="22"/>
        </w:rPr>
        <w:t>1:1 (2008), 18.</w:t>
      </w:r>
    </w:p>
    <w:p w14:paraId="7AF4DA45" w14:textId="77777777" w:rsidR="005047C7" w:rsidRPr="00A32897" w:rsidRDefault="005047C7" w:rsidP="00931CC1">
      <w:pPr>
        <w:ind w:left="360"/>
        <w:rPr>
          <w:rFonts w:ascii="Calibri" w:hAnsi="Calibri" w:cs="Calibri"/>
          <w:sz w:val="22"/>
          <w:szCs w:val="22"/>
        </w:rPr>
      </w:pPr>
    </w:p>
    <w:p w14:paraId="64AA611B" w14:textId="1E6682AD" w:rsidR="00931CC1" w:rsidRDefault="00931CC1" w:rsidP="00931CC1">
      <w:pPr>
        <w:ind w:left="360"/>
        <w:rPr>
          <w:rFonts w:ascii="Calibri" w:hAnsi="Calibri" w:cs="Calibri"/>
          <w:sz w:val="22"/>
          <w:szCs w:val="22"/>
        </w:rPr>
      </w:pPr>
      <w:r w:rsidRPr="00A32897">
        <w:rPr>
          <w:rFonts w:ascii="Calibri" w:hAnsi="Calibri" w:cs="Calibri"/>
          <w:sz w:val="22"/>
          <w:szCs w:val="22"/>
        </w:rPr>
        <w:t xml:space="preserve">Barend M, Renz A, Tchakoute VT, Tanya VN, Ekale D, Trees AJ, ‘Repeated high doses of avermectins causes prolonged sterilisation, but do not kill, Onchocerca ochengi adult worms in African cattle’, </w:t>
      </w:r>
      <w:r w:rsidRPr="00A32897">
        <w:rPr>
          <w:rFonts w:ascii="Calibri" w:hAnsi="Calibri" w:cs="Calibri"/>
          <w:i/>
          <w:sz w:val="22"/>
          <w:szCs w:val="22"/>
        </w:rPr>
        <w:t xml:space="preserve">Filaria Journal </w:t>
      </w:r>
      <w:r w:rsidRPr="00A32897">
        <w:rPr>
          <w:rFonts w:ascii="Calibri" w:hAnsi="Calibri" w:cs="Calibri"/>
          <w:sz w:val="22"/>
          <w:szCs w:val="22"/>
        </w:rPr>
        <w:t>4:1 (2005), 8.</w:t>
      </w:r>
    </w:p>
    <w:p w14:paraId="5DAFF931" w14:textId="77777777" w:rsidR="005047C7" w:rsidRPr="00A32897" w:rsidRDefault="005047C7" w:rsidP="00931CC1">
      <w:pPr>
        <w:ind w:left="360"/>
        <w:rPr>
          <w:rFonts w:ascii="Calibri" w:hAnsi="Calibri" w:cs="Calibri"/>
          <w:sz w:val="22"/>
          <w:szCs w:val="22"/>
        </w:rPr>
      </w:pPr>
    </w:p>
    <w:p w14:paraId="775C27D1" w14:textId="332467D2" w:rsidR="00931CC1" w:rsidRDefault="00931CC1" w:rsidP="00931CC1">
      <w:pPr>
        <w:ind w:left="360"/>
        <w:rPr>
          <w:rFonts w:ascii="Calibri" w:hAnsi="Calibri" w:cs="Calibri"/>
          <w:sz w:val="22"/>
          <w:szCs w:val="22"/>
        </w:rPr>
      </w:pPr>
      <w:r w:rsidRPr="00A32897">
        <w:rPr>
          <w:rFonts w:ascii="Calibri" w:hAnsi="Calibri" w:cs="Calibri"/>
          <w:sz w:val="22"/>
          <w:szCs w:val="22"/>
        </w:rPr>
        <w:t xml:space="preserve">Barry MA, Muray KO, Hotez PJ and Jones KM, ‘Impact of vectorborne parasitic neglected tropical diseases on child health’, </w:t>
      </w:r>
      <w:r w:rsidRPr="00A32897">
        <w:rPr>
          <w:rFonts w:ascii="Calibri" w:hAnsi="Calibri" w:cs="Calibri"/>
          <w:i/>
          <w:sz w:val="22"/>
          <w:szCs w:val="22"/>
        </w:rPr>
        <w:t xml:space="preserve">Archives of Disease in Childhood </w:t>
      </w:r>
      <w:r w:rsidRPr="00A32897">
        <w:rPr>
          <w:rFonts w:ascii="Calibri" w:hAnsi="Calibri" w:cs="Calibri"/>
          <w:sz w:val="22"/>
          <w:szCs w:val="22"/>
        </w:rPr>
        <w:t>101:7 (2016), 640-647.</w:t>
      </w:r>
    </w:p>
    <w:p w14:paraId="3555A9FF" w14:textId="77777777" w:rsidR="005047C7" w:rsidRPr="00A32897" w:rsidRDefault="005047C7" w:rsidP="00931CC1">
      <w:pPr>
        <w:ind w:left="360"/>
        <w:rPr>
          <w:rFonts w:ascii="Calibri" w:hAnsi="Calibri" w:cs="Calibri"/>
          <w:sz w:val="22"/>
          <w:szCs w:val="22"/>
        </w:rPr>
      </w:pPr>
    </w:p>
    <w:p w14:paraId="2570630E" w14:textId="16AFB56A" w:rsidR="00931CC1" w:rsidRPr="00314F3B" w:rsidRDefault="00931CC1" w:rsidP="00931CC1">
      <w:pPr>
        <w:ind w:left="360"/>
        <w:rPr>
          <w:rFonts w:ascii="Calibri" w:hAnsi="Calibri" w:cs="Calibri"/>
          <w:color w:val="000000" w:themeColor="text1"/>
          <w:sz w:val="22"/>
          <w:szCs w:val="22"/>
          <w:shd w:val="clear" w:color="auto" w:fill="FFFFFF"/>
        </w:rPr>
      </w:pPr>
      <w:r w:rsidRPr="00314F3B">
        <w:rPr>
          <w:rFonts w:ascii="Calibri" w:hAnsi="Calibri" w:cs="Calibri"/>
          <w:color w:val="000000" w:themeColor="text1"/>
          <w:sz w:val="22"/>
          <w:szCs w:val="22"/>
          <w:shd w:val="clear" w:color="auto" w:fill="FFFFFF"/>
        </w:rPr>
        <w:t xml:space="preserve">Basáñez MG, Sébastien DS, Churcher TS, Breitling LP, Little MP and Boussinesq M, ‘River blindness: a success story under threat?’, </w:t>
      </w:r>
      <w:r w:rsidRPr="00314F3B">
        <w:rPr>
          <w:rFonts w:ascii="Calibri" w:hAnsi="Calibri" w:cs="Calibri"/>
          <w:i/>
          <w:color w:val="000000" w:themeColor="text1"/>
          <w:sz w:val="22"/>
          <w:szCs w:val="22"/>
          <w:shd w:val="clear" w:color="auto" w:fill="FFFFFF"/>
        </w:rPr>
        <w:t xml:space="preserve">PLoS Medicine </w:t>
      </w:r>
      <w:r w:rsidRPr="00314F3B">
        <w:rPr>
          <w:rFonts w:ascii="Calibri" w:hAnsi="Calibri" w:cs="Calibri"/>
          <w:color w:val="000000" w:themeColor="text1"/>
          <w:sz w:val="22"/>
          <w:szCs w:val="22"/>
          <w:shd w:val="clear" w:color="auto" w:fill="FFFFFF"/>
        </w:rPr>
        <w:t>3:9 (2006), e371.</w:t>
      </w:r>
    </w:p>
    <w:p w14:paraId="13FBCE06" w14:textId="77777777" w:rsidR="007B59E6" w:rsidRPr="00A32897" w:rsidRDefault="007B59E6" w:rsidP="00931CC1">
      <w:pPr>
        <w:ind w:left="360"/>
        <w:rPr>
          <w:rFonts w:ascii="Calibri" w:hAnsi="Calibri" w:cs="Calibri"/>
          <w:sz w:val="22"/>
          <w:szCs w:val="22"/>
        </w:rPr>
      </w:pPr>
    </w:p>
    <w:p w14:paraId="6394D9BD" w14:textId="0B857737" w:rsidR="00931CC1" w:rsidRPr="00314F3B" w:rsidRDefault="00931CC1" w:rsidP="00931CC1">
      <w:pPr>
        <w:ind w:left="360"/>
        <w:rPr>
          <w:rFonts w:ascii="Calibri" w:hAnsi="Calibri" w:cs="Calibri"/>
          <w:color w:val="000000" w:themeColor="text1"/>
          <w:sz w:val="22"/>
          <w:szCs w:val="22"/>
          <w:shd w:val="clear" w:color="auto" w:fill="FFFFFF"/>
        </w:rPr>
      </w:pPr>
      <w:r w:rsidRPr="00314F3B">
        <w:rPr>
          <w:rFonts w:ascii="Calibri" w:hAnsi="Calibri" w:cs="Calibri"/>
          <w:color w:val="000000" w:themeColor="text1"/>
          <w:sz w:val="22"/>
          <w:szCs w:val="22"/>
          <w:shd w:val="clear" w:color="auto" w:fill="FFFFFF"/>
        </w:rPr>
        <w:t xml:space="preserve">Benton B, Bump J, </w:t>
      </w:r>
      <w:r w:rsidR="00B56CEC" w:rsidRPr="00314F3B">
        <w:rPr>
          <w:rFonts w:ascii="Calibri" w:hAnsi="Calibri" w:cs="Calibri"/>
          <w:color w:val="000000" w:themeColor="text1"/>
          <w:sz w:val="22"/>
          <w:szCs w:val="22"/>
          <w:lang w:val="en-US"/>
        </w:rPr>
        <w:t xml:space="preserve">Sékételi </w:t>
      </w:r>
      <w:r w:rsidRPr="00314F3B">
        <w:rPr>
          <w:rFonts w:ascii="Calibri" w:hAnsi="Calibri" w:cs="Calibri"/>
          <w:color w:val="000000" w:themeColor="text1"/>
          <w:sz w:val="22"/>
          <w:szCs w:val="22"/>
          <w:shd w:val="clear" w:color="auto" w:fill="FFFFFF"/>
        </w:rPr>
        <w:t>A</w:t>
      </w:r>
      <w:r w:rsidR="00B56CEC" w:rsidRPr="00314F3B">
        <w:rPr>
          <w:rFonts w:ascii="Calibri" w:hAnsi="Calibri" w:cs="Calibri"/>
          <w:color w:val="000000" w:themeColor="text1"/>
          <w:sz w:val="22"/>
          <w:szCs w:val="22"/>
          <w:shd w:val="clear" w:color="auto" w:fill="FFFFFF"/>
        </w:rPr>
        <w:t xml:space="preserve"> and</w:t>
      </w:r>
      <w:r w:rsidRPr="00314F3B">
        <w:rPr>
          <w:rFonts w:ascii="Calibri" w:hAnsi="Calibri" w:cs="Calibri"/>
          <w:color w:val="000000" w:themeColor="text1"/>
          <w:sz w:val="22"/>
          <w:szCs w:val="22"/>
          <w:shd w:val="clear" w:color="auto" w:fill="FFFFFF"/>
        </w:rPr>
        <w:t xml:space="preserve"> Liese B, ‘Partnership and promise: evolution of the African river-blindness campaigns’, </w:t>
      </w:r>
      <w:r w:rsidRPr="00314F3B">
        <w:rPr>
          <w:rFonts w:ascii="Calibri" w:hAnsi="Calibri" w:cs="Calibri"/>
          <w:i/>
          <w:color w:val="000000" w:themeColor="text1"/>
          <w:sz w:val="22"/>
          <w:szCs w:val="22"/>
          <w:shd w:val="clear" w:color="auto" w:fill="FFFFFF"/>
        </w:rPr>
        <w:t xml:space="preserve">Annals of Tropical Medicine and Parasitology </w:t>
      </w:r>
      <w:r w:rsidRPr="00314F3B">
        <w:rPr>
          <w:rFonts w:ascii="Calibri" w:hAnsi="Calibri" w:cs="Calibri"/>
          <w:color w:val="000000" w:themeColor="text1"/>
          <w:sz w:val="22"/>
          <w:szCs w:val="22"/>
          <w:shd w:val="clear" w:color="auto" w:fill="FFFFFF"/>
        </w:rPr>
        <w:t>96 (2002), 5-14.</w:t>
      </w:r>
    </w:p>
    <w:p w14:paraId="3CC85B04" w14:textId="77777777" w:rsidR="007B59E6" w:rsidRPr="00A32897" w:rsidRDefault="007B59E6" w:rsidP="00931CC1">
      <w:pPr>
        <w:ind w:left="360"/>
        <w:rPr>
          <w:rFonts w:ascii="Calibri" w:hAnsi="Calibri" w:cs="Calibri"/>
          <w:sz w:val="22"/>
          <w:szCs w:val="22"/>
        </w:rPr>
      </w:pPr>
    </w:p>
    <w:p w14:paraId="607216B4" w14:textId="6D5877A6" w:rsidR="00931CC1" w:rsidRDefault="00931CC1" w:rsidP="00931CC1">
      <w:pPr>
        <w:ind w:left="360"/>
        <w:rPr>
          <w:rFonts w:ascii="Calibri" w:hAnsi="Calibri" w:cs="Calibri"/>
          <w:color w:val="222222"/>
          <w:sz w:val="22"/>
          <w:szCs w:val="22"/>
          <w:shd w:val="clear" w:color="auto" w:fill="FFFFFF"/>
        </w:rPr>
      </w:pPr>
      <w:r w:rsidRPr="00A32897">
        <w:rPr>
          <w:rFonts w:ascii="Calibri" w:hAnsi="Calibri" w:cs="Calibri"/>
          <w:color w:val="222222"/>
          <w:sz w:val="22"/>
          <w:szCs w:val="22"/>
          <w:shd w:val="clear" w:color="auto" w:fill="FFFFFF"/>
        </w:rPr>
        <w:lastRenderedPageBreak/>
        <w:t xml:space="preserve">Benton B, </w:t>
      </w:r>
      <w:r w:rsidRPr="00A32897">
        <w:rPr>
          <w:rFonts w:ascii="Calibri" w:hAnsi="Calibri" w:cs="Calibri"/>
          <w:i/>
          <w:color w:val="222222"/>
          <w:sz w:val="22"/>
          <w:szCs w:val="22"/>
          <w:shd w:val="clear" w:color="auto" w:fill="FFFFFF"/>
        </w:rPr>
        <w:t xml:space="preserve">Cost-benefit analysis of the Onchocerciasis Control Program (OCP) </w:t>
      </w:r>
      <w:r w:rsidRPr="00A32897">
        <w:rPr>
          <w:rFonts w:ascii="Calibri" w:hAnsi="Calibri" w:cs="Calibri"/>
          <w:color w:val="222222"/>
          <w:sz w:val="22"/>
          <w:szCs w:val="22"/>
          <w:shd w:val="clear" w:color="auto" w:fill="FFFFFF"/>
        </w:rPr>
        <w:t>(</w:t>
      </w:r>
      <w:r w:rsidRPr="00A32897">
        <w:rPr>
          <w:rFonts w:ascii="Calibri" w:hAnsi="Calibri" w:cs="Calibri"/>
          <w:sz w:val="22"/>
          <w:szCs w:val="22"/>
        </w:rPr>
        <w:t>Washington DC: World Bank</w:t>
      </w:r>
      <w:r w:rsidRPr="00A32897">
        <w:rPr>
          <w:rFonts w:ascii="Calibri" w:hAnsi="Calibri" w:cs="Calibri"/>
          <w:color w:val="222222"/>
          <w:sz w:val="22"/>
          <w:szCs w:val="22"/>
          <w:shd w:val="clear" w:color="auto" w:fill="FFFFFF"/>
        </w:rPr>
        <w:t>, 1995).</w:t>
      </w:r>
    </w:p>
    <w:p w14:paraId="75F31B47" w14:textId="77777777" w:rsidR="007B59E6" w:rsidRPr="00A32897" w:rsidRDefault="007B59E6" w:rsidP="00931CC1">
      <w:pPr>
        <w:ind w:left="360"/>
        <w:rPr>
          <w:rFonts w:ascii="Calibri" w:hAnsi="Calibri" w:cs="Calibri"/>
          <w:sz w:val="22"/>
          <w:szCs w:val="22"/>
        </w:rPr>
      </w:pPr>
    </w:p>
    <w:p w14:paraId="13DDD893" w14:textId="0A6A7C4A" w:rsidR="00931CC1" w:rsidRDefault="00931CC1" w:rsidP="00931CC1">
      <w:pPr>
        <w:ind w:left="360"/>
        <w:rPr>
          <w:rFonts w:ascii="Calibri" w:hAnsi="Calibri" w:cs="Calibri"/>
          <w:color w:val="222222"/>
          <w:sz w:val="22"/>
          <w:szCs w:val="22"/>
          <w:shd w:val="clear" w:color="auto" w:fill="FFFFFF"/>
        </w:rPr>
      </w:pPr>
      <w:r w:rsidRPr="00A32897">
        <w:rPr>
          <w:rFonts w:ascii="Calibri" w:hAnsi="Calibri" w:cs="Calibri"/>
          <w:color w:val="222222"/>
          <w:sz w:val="22"/>
          <w:szCs w:val="22"/>
          <w:shd w:val="clear" w:color="auto" w:fill="FFFFFF"/>
        </w:rPr>
        <w:t xml:space="preserve">Benton B, </w:t>
      </w:r>
      <w:r w:rsidRPr="00A32897">
        <w:rPr>
          <w:rFonts w:ascii="Calibri" w:hAnsi="Calibri" w:cs="Calibri"/>
          <w:i/>
          <w:color w:val="222222"/>
          <w:sz w:val="22"/>
          <w:szCs w:val="22"/>
          <w:shd w:val="clear" w:color="auto" w:fill="FFFFFF"/>
        </w:rPr>
        <w:t xml:space="preserve">The onchocerciasis (riverblindness) programs: visionary partnerships </w:t>
      </w:r>
      <w:r w:rsidRPr="00A32897">
        <w:rPr>
          <w:rFonts w:ascii="Calibri" w:hAnsi="Calibri" w:cs="Calibri"/>
          <w:color w:val="222222"/>
          <w:sz w:val="22"/>
          <w:szCs w:val="22"/>
          <w:shd w:val="clear" w:color="auto" w:fill="FFFFFF"/>
        </w:rPr>
        <w:t>(</w:t>
      </w:r>
      <w:r w:rsidRPr="00A32897">
        <w:rPr>
          <w:rFonts w:ascii="Calibri" w:hAnsi="Calibri" w:cs="Calibri"/>
          <w:sz w:val="22"/>
          <w:szCs w:val="22"/>
        </w:rPr>
        <w:t>Washington DC: World Bank</w:t>
      </w:r>
      <w:r w:rsidRPr="00A32897">
        <w:rPr>
          <w:rFonts w:ascii="Calibri" w:hAnsi="Calibri" w:cs="Calibri"/>
          <w:color w:val="222222"/>
          <w:sz w:val="22"/>
          <w:szCs w:val="22"/>
          <w:shd w:val="clear" w:color="auto" w:fill="FFFFFF"/>
        </w:rPr>
        <w:t>, 2001).</w:t>
      </w:r>
    </w:p>
    <w:p w14:paraId="322EE259" w14:textId="77777777" w:rsidR="007B59E6" w:rsidRPr="00A32897" w:rsidRDefault="007B59E6" w:rsidP="00931CC1">
      <w:pPr>
        <w:ind w:left="360"/>
        <w:rPr>
          <w:rFonts w:ascii="Calibri" w:hAnsi="Calibri" w:cs="Calibri"/>
          <w:sz w:val="22"/>
          <w:szCs w:val="22"/>
        </w:rPr>
      </w:pPr>
    </w:p>
    <w:p w14:paraId="40CA496F" w14:textId="51AA1B38" w:rsidR="00931CC1" w:rsidRPr="00314F3B" w:rsidRDefault="00931CC1" w:rsidP="00931CC1">
      <w:pPr>
        <w:ind w:left="360"/>
        <w:rPr>
          <w:rFonts w:ascii="Calibri" w:hAnsi="Calibri" w:cs="Calibri"/>
          <w:color w:val="000000" w:themeColor="text1"/>
          <w:sz w:val="22"/>
          <w:szCs w:val="22"/>
          <w:shd w:val="clear" w:color="auto" w:fill="FFFFFF"/>
        </w:rPr>
      </w:pPr>
      <w:r w:rsidRPr="00314F3B">
        <w:rPr>
          <w:rFonts w:ascii="Calibri" w:hAnsi="Calibri" w:cs="Calibri"/>
          <w:color w:val="000000" w:themeColor="text1"/>
          <w:sz w:val="22"/>
          <w:szCs w:val="22"/>
          <w:shd w:val="clear" w:color="auto" w:fill="FFFFFF"/>
        </w:rPr>
        <w:t>Bitran R, Gomez P, Escobar L</w:t>
      </w:r>
      <w:r w:rsidR="00314F3B">
        <w:rPr>
          <w:rFonts w:ascii="Calibri" w:hAnsi="Calibri" w:cs="Calibri"/>
          <w:color w:val="000000" w:themeColor="text1"/>
          <w:sz w:val="22"/>
          <w:szCs w:val="22"/>
          <w:shd w:val="clear" w:color="auto" w:fill="FFFFFF"/>
        </w:rPr>
        <w:t xml:space="preserve"> and</w:t>
      </w:r>
      <w:r w:rsidRPr="00314F3B">
        <w:rPr>
          <w:rFonts w:ascii="Calibri" w:hAnsi="Calibri" w:cs="Calibri"/>
          <w:color w:val="000000" w:themeColor="text1"/>
          <w:sz w:val="22"/>
          <w:szCs w:val="22"/>
          <w:shd w:val="clear" w:color="auto" w:fill="FFFFFF"/>
        </w:rPr>
        <w:t xml:space="preserve"> Berman P, </w:t>
      </w:r>
      <w:r w:rsidRPr="00314F3B">
        <w:rPr>
          <w:rFonts w:ascii="Calibri" w:hAnsi="Calibri" w:cs="Calibri"/>
          <w:i/>
          <w:color w:val="000000" w:themeColor="text1"/>
          <w:sz w:val="22"/>
          <w:szCs w:val="22"/>
          <w:shd w:val="clear" w:color="auto" w:fill="FFFFFF"/>
        </w:rPr>
        <w:t>Review of World Bank’s experience with country-level health system analysis</w:t>
      </w:r>
      <w:r w:rsidRPr="00314F3B">
        <w:rPr>
          <w:rFonts w:ascii="Calibri" w:hAnsi="Calibri" w:cs="Calibri"/>
          <w:color w:val="000000" w:themeColor="text1"/>
          <w:sz w:val="22"/>
          <w:szCs w:val="22"/>
          <w:shd w:val="clear" w:color="auto" w:fill="FFFFFF"/>
        </w:rPr>
        <w:t xml:space="preserve"> (</w:t>
      </w:r>
      <w:r w:rsidRPr="00314F3B">
        <w:rPr>
          <w:rFonts w:ascii="Calibri" w:hAnsi="Calibri" w:cs="Calibri"/>
          <w:color w:val="000000" w:themeColor="text1"/>
          <w:sz w:val="22"/>
          <w:szCs w:val="22"/>
        </w:rPr>
        <w:t>Washington DC: World Bank</w:t>
      </w:r>
      <w:r w:rsidRPr="00314F3B">
        <w:rPr>
          <w:rFonts w:ascii="Calibri" w:hAnsi="Calibri" w:cs="Calibri"/>
          <w:color w:val="000000" w:themeColor="text1"/>
          <w:sz w:val="22"/>
          <w:szCs w:val="22"/>
          <w:shd w:val="clear" w:color="auto" w:fill="FFFFFF"/>
        </w:rPr>
        <w:t>, 2010).</w:t>
      </w:r>
    </w:p>
    <w:p w14:paraId="7782F59C" w14:textId="77777777" w:rsidR="007B59E6" w:rsidRPr="00314F3B" w:rsidRDefault="007B59E6" w:rsidP="00931CC1">
      <w:pPr>
        <w:ind w:left="360"/>
        <w:rPr>
          <w:rFonts w:ascii="Calibri" w:hAnsi="Calibri" w:cs="Calibri"/>
          <w:color w:val="000000" w:themeColor="text1"/>
          <w:sz w:val="22"/>
          <w:szCs w:val="22"/>
        </w:rPr>
      </w:pPr>
    </w:p>
    <w:p w14:paraId="2B6FEC7C" w14:textId="0695C949" w:rsidR="00931CC1" w:rsidRPr="00314F3B" w:rsidRDefault="00931CC1" w:rsidP="00931CC1">
      <w:pPr>
        <w:ind w:left="360"/>
        <w:rPr>
          <w:rFonts w:ascii="Calibri" w:hAnsi="Calibri" w:cs="Calibri"/>
          <w:color w:val="000000" w:themeColor="text1"/>
          <w:sz w:val="22"/>
          <w:szCs w:val="22"/>
          <w:shd w:val="clear" w:color="auto" w:fill="FFFFFF"/>
        </w:rPr>
      </w:pPr>
      <w:r w:rsidRPr="00314F3B">
        <w:rPr>
          <w:rFonts w:ascii="Calibri" w:hAnsi="Calibri" w:cs="Calibri"/>
          <w:color w:val="000000" w:themeColor="text1"/>
          <w:sz w:val="22"/>
          <w:szCs w:val="22"/>
          <w:shd w:val="clear" w:color="auto" w:fill="FFFFFF"/>
        </w:rPr>
        <w:t xml:space="preserve">Blinkhorn TA, </w:t>
      </w:r>
      <w:r w:rsidRPr="00314F3B">
        <w:rPr>
          <w:rFonts w:ascii="Calibri" w:hAnsi="Calibri" w:cs="Calibri"/>
          <w:i/>
          <w:color w:val="000000" w:themeColor="text1"/>
          <w:sz w:val="22"/>
          <w:szCs w:val="22"/>
          <w:shd w:val="clear" w:color="auto" w:fill="FFFFFF"/>
        </w:rPr>
        <w:t xml:space="preserve">Rivers of disease </w:t>
      </w:r>
      <w:r w:rsidRPr="00314F3B">
        <w:rPr>
          <w:rFonts w:ascii="Calibri" w:hAnsi="Calibri" w:cs="Calibri"/>
          <w:color w:val="000000" w:themeColor="text1"/>
          <w:sz w:val="22"/>
          <w:szCs w:val="22"/>
          <w:shd w:val="clear" w:color="auto" w:fill="FFFFFF"/>
        </w:rPr>
        <w:t>(</w:t>
      </w:r>
      <w:r w:rsidRPr="00314F3B">
        <w:rPr>
          <w:rFonts w:ascii="Calibri" w:hAnsi="Calibri" w:cs="Calibri"/>
          <w:color w:val="000000" w:themeColor="text1"/>
          <w:sz w:val="22"/>
          <w:szCs w:val="22"/>
        </w:rPr>
        <w:t>Washington DC: World Bank</w:t>
      </w:r>
      <w:r w:rsidRPr="00314F3B">
        <w:rPr>
          <w:rFonts w:ascii="Calibri" w:hAnsi="Calibri" w:cs="Calibri"/>
          <w:color w:val="000000" w:themeColor="text1"/>
          <w:sz w:val="22"/>
          <w:szCs w:val="22"/>
          <w:shd w:val="clear" w:color="auto" w:fill="FFFFFF"/>
        </w:rPr>
        <w:t>, 1982).</w:t>
      </w:r>
    </w:p>
    <w:p w14:paraId="3B57AFD0" w14:textId="77777777" w:rsidR="007B59E6" w:rsidRPr="00314F3B" w:rsidRDefault="007B59E6" w:rsidP="00931CC1">
      <w:pPr>
        <w:ind w:left="360"/>
        <w:rPr>
          <w:rFonts w:ascii="Calibri" w:hAnsi="Calibri" w:cs="Calibri"/>
          <w:color w:val="000000" w:themeColor="text1"/>
          <w:sz w:val="22"/>
          <w:szCs w:val="22"/>
        </w:rPr>
      </w:pPr>
    </w:p>
    <w:p w14:paraId="7FD01D9F" w14:textId="34E7A8FE" w:rsidR="00931CC1" w:rsidRPr="00314F3B" w:rsidRDefault="00931CC1" w:rsidP="00931CC1">
      <w:pPr>
        <w:ind w:left="360"/>
        <w:rPr>
          <w:rFonts w:ascii="Calibri" w:hAnsi="Calibri" w:cs="Calibri"/>
          <w:color w:val="000000" w:themeColor="text1"/>
          <w:sz w:val="22"/>
          <w:szCs w:val="22"/>
          <w:shd w:val="clear" w:color="auto" w:fill="FFFFFF"/>
        </w:rPr>
      </w:pPr>
      <w:r w:rsidRPr="00314F3B">
        <w:rPr>
          <w:rFonts w:ascii="Calibri" w:hAnsi="Calibri" w:cs="Calibri"/>
          <w:color w:val="000000" w:themeColor="text1"/>
          <w:sz w:val="22"/>
          <w:szCs w:val="22"/>
          <w:shd w:val="clear" w:color="auto" w:fill="FFFFFF"/>
        </w:rPr>
        <w:t>Boatin BA and Amazigo U, ‘Onchocerciasis’, in</w:t>
      </w:r>
      <w:r w:rsidR="008A45BD" w:rsidRPr="00314F3B">
        <w:rPr>
          <w:rFonts w:ascii="Calibri" w:hAnsi="Calibri" w:cs="Calibri"/>
          <w:color w:val="000000" w:themeColor="text1"/>
          <w:sz w:val="22"/>
          <w:szCs w:val="22"/>
          <w:shd w:val="clear" w:color="auto" w:fill="FFFFFF"/>
        </w:rPr>
        <w:t xml:space="preserve"> Gyapong J and Boatin B (Eds.),</w:t>
      </w:r>
      <w:r w:rsidRPr="00314F3B">
        <w:rPr>
          <w:rFonts w:ascii="Calibri" w:hAnsi="Calibri" w:cs="Calibri"/>
          <w:color w:val="000000" w:themeColor="text1"/>
          <w:sz w:val="22"/>
          <w:szCs w:val="22"/>
          <w:shd w:val="clear" w:color="auto" w:fill="FFFFFF"/>
        </w:rPr>
        <w:t xml:space="preserve"> </w:t>
      </w:r>
      <w:r w:rsidRPr="00314F3B">
        <w:rPr>
          <w:rFonts w:ascii="Calibri" w:hAnsi="Calibri" w:cs="Calibri"/>
          <w:i/>
          <w:color w:val="000000" w:themeColor="text1"/>
          <w:sz w:val="22"/>
          <w:szCs w:val="22"/>
          <w:shd w:val="clear" w:color="auto" w:fill="FFFFFF"/>
        </w:rPr>
        <w:t xml:space="preserve">Neglected tropical diseases – </w:t>
      </w:r>
      <w:r w:rsidR="00A2292A">
        <w:rPr>
          <w:rFonts w:ascii="Calibri" w:hAnsi="Calibri" w:cs="Calibri"/>
          <w:i/>
          <w:color w:val="000000" w:themeColor="text1"/>
          <w:sz w:val="22"/>
          <w:szCs w:val="22"/>
          <w:shd w:val="clear" w:color="auto" w:fill="FFFFFF"/>
        </w:rPr>
        <w:t>S</w:t>
      </w:r>
      <w:r w:rsidRPr="00314F3B">
        <w:rPr>
          <w:rFonts w:ascii="Calibri" w:hAnsi="Calibri" w:cs="Calibri"/>
          <w:i/>
          <w:color w:val="000000" w:themeColor="text1"/>
          <w:sz w:val="22"/>
          <w:szCs w:val="22"/>
          <w:shd w:val="clear" w:color="auto" w:fill="FFFFFF"/>
        </w:rPr>
        <w:t>ub-Saharan Africa</w:t>
      </w:r>
      <w:r w:rsidRPr="00314F3B">
        <w:rPr>
          <w:rFonts w:ascii="Calibri" w:hAnsi="Calibri" w:cs="Calibri"/>
          <w:color w:val="000000" w:themeColor="text1"/>
          <w:sz w:val="22"/>
          <w:szCs w:val="22"/>
          <w:shd w:val="clear" w:color="auto" w:fill="FFFFFF"/>
        </w:rPr>
        <w:t xml:space="preserve"> (New York: Springer, 2016).</w:t>
      </w:r>
    </w:p>
    <w:p w14:paraId="69B52423" w14:textId="77777777" w:rsidR="007B59E6" w:rsidRPr="00314F3B" w:rsidRDefault="007B59E6" w:rsidP="00931CC1">
      <w:pPr>
        <w:ind w:left="360"/>
        <w:rPr>
          <w:rFonts w:ascii="Calibri" w:hAnsi="Calibri" w:cs="Calibri"/>
          <w:color w:val="000000" w:themeColor="text1"/>
          <w:sz w:val="22"/>
          <w:szCs w:val="22"/>
        </w:rPr>
      </w:pPr>
    </w:p>
    <w:p w14:paraId="6E0D4F06" w14:textId="17EB14C3" w:rsidR="00931CC1" w:rsidRPr="00314F3B" w:rsidRDefault="00931CC1" w:rsidP="00931CC1">
      <w:pPr>
        <w:ind w:left="360"/>
        <w:rPr>
          <w:rFonts w:ascii="Calibri" w:hAnsi="Calibri" w:cs="Calibri"/>
          <w:color w:val="000000" w:themeColor="text1"/>
          <w:sz w:val="22"/>
          <w:szCs w:val="22"/>
          <w:shd w:val="clear" w:color="auto" w:fill="FFFFFF"/>
        </w:rPr>
      </w:pPr>
      <w:r w:rsidRPr="00314F3B">
        <w:rPr>
          <w:rFonts w:ascii="Calibri" w:hAnsi="Calibri" w:cs="Calibri"/>
          <w:color w:val="000000" w:themeColor="text1"/>
          <w:sz w:val="22"/>
          <w:szCs w:val="22"/>
          <w:shd w:val="clear" w:color="auto" w:fill="FFFFFF"/>
        </w:rPr>
        <w:t>Boatin BA</w:t>
      </w:r>
      <w:r w:rsidR="00314F3B">
        <w:rPr>
          <w:rFonts w:ascii="Calibri" w:hAnsi="Calibri" w:cs="Calibri"/>
          <w:color w:val="000000" w:themeColor="text1"/>
          <w:sz w:val="22"/>
          <w:szCs w:val="22"/>
          <w:shd w:val="clear" w:color="auto" w:fill="FFFFFF"/>
        </w:rPr>
        <w:t xml:space="preserve"> and</w:t>
      </w:r>
      <w:r w:rsidRPr="00314F3B">
        <w:rPr>
          <w:rFonts w:ascii="Calibri" w:hAnsi="Calibri" w:cs="Calibri"/>
          <w:color w:val="000000" w:themeColor="text1"/>
          <w:sz w:val="22"/>
          <w:szCs w:val="22"/>
          <w:shd w:val="clear" w:color="auto" w:fill="FFFFFF"/>
        </w:rPr>
        <w:t xml:space="preserve"> Richards FO, ‘Control of human parasitic diseases’, </w:t>
      </w:r>
      <w:r w:rsidRPr="00314F3B">
        <w:rPr>
          <w:rFonts w:ascii="Calibri" w:hAnsi="Calibri" w:cs="Calibri"/>
          <w:i/>
          <w:color w:val="000000" w:themeColor="text1"/>
          <w:sz w:val="22"/>
          <w:szCs w:val="22"/>
          <w:shd w:val="clear" w:color="auto" w:fill="FFFFFF"/>
        </w:rPr>
        <w:t xml:space="preserve">Advances in Parasitology </w:t>
      </w:r>
      <w:r w:rsidRPr="00314F3B">
        <w:rPr>
          <w:rFonts w:ascii="Calibri" w:hAnsi="Calibri" w:cs="Calibri"/>
          <w:color w:val="000000" w:themeColor="text1"/>
          <w:sz w:val="22"/>
          <w:szCs w:val="22"/>
          <w:shd w:val="clear" w:color="auto" w:fill="FFFFFF"/>
        </w:rPr>
        <w:t>61 (2006), 349-394.</w:t>
      </w:r>
    </w:p>
    <w:p w14:paraId="3A706E76" w14:textId="77777777" w:rsidR="007B59E6" w:rsidRPr="00314F3B" w:rsidRDefault="007B59E6" w:rsidP="00931CC1">
      <w:pPr>
        <w:ind w:left="360"/>
        <w:rPr>
          <w:rFonts w:ascii="Calibri" w:hAnsi="Calibri" w:cs="Calibri"/>
          <w:color w:val="000000" w:themeColor="text1"/>
          <w:sz w:val="22"/>
          <w:szCs w:val="22"/>
        </w:rPr>
      </w:pPr>
    </w:p>
    <w:p w14:paraId="0F9D9989" w14:textId="27C6148A" w:rsidR="00931CC1" w:rsidRPr="00314F3B" w:rsidRDefault="00931CC1" w:rsidP="00931CC1">
      <w:pPr>
        <w:ind w:left="360"/>
        <w:rPr>
          <w:rFonts w:ascii="Calibri" w:hAnsi="Calibri" w:cs="Calibri"/>
          <w:color w:val="000000" w:themeColor="text1"/>
          <w:sz w:val="22"/>
          <w:szCs w:val="22"/>
          <w:shd w:val="clear" w:color="auto" w:fill="FFFFFF"/>
        </w:rPr>
      </w:pPr>
      <w:r w:rsidRPr="00314F3B">
        <w:rPr>
          <w:rFonts w:ascii="Calibri" w:hAnsi="Calibri" w:cs="Calibri"/>
          <w:color w:val="000000" w:themeColor="text1"/>
          <w:sz w:val="22"/>
          <w:szCs w:val="22"/>
          <w:shd w:val="clear" w:color="auto" w:fill="FFFFFF"/>
        </w:rPr>
        <w:t>Bockarie MJ, Kelly-Hope LA, Rebollo M</w:t>
      </w:r>
      <w:r w:rsidR="00314F3B">
        <w:rPr>
          <w:rFonts w:ascii="Calibri" w:hAnsi="Calibri" w:cs="Calibri"/>
          <w:color w:val="000000" w:themeColor="text1"/>
          <w:sz w:val="22"/>
          <w:szCs w:val="22"/>
          <w:shd w:val="clear" w:color="auto" w:fill="FFFFFF"/>
        </w:rPr>
        <w:t xml:space="preserve"> and</w:t>
      </w:r>
      <w:r w:rsidRPr="00314F3B">
        <w:rPr>
          <w:rFonts w:ascii="Calibri" w:hAnsi="Calibri" w:cs="Calibri"/>
          <w:color w:val="000000" w:themeColor="text1"/>
          <w:sz w:val="22"/>
          <w:szCs w:val="22"/>
          <w:shd w:val="clear" w:color="auto" w:fill="FFFFFF"/>
        </w:rPr>
        <w:t xml:space="preserve"> Molyneux DH, ‘Preventative chemotherapy as a strategy for elimination of neglected tropical parasitic diseases: endgame challenges’, </w:t>
      </w:r>
      <w:r w:rsidRPr="00314F3B">
        <w:rPr>
          <w:rFonts w:ascii="Calibri" w:hAnsi="Calibri" w:cs="Calibri"/>
          <w:i/>
          <w:color w:val="000000" w:themeColor="text1"/>
          <w:sz w:val="22"/>
          <w:szCs w:val="22"/>
          <w:shd w:val="clear" w:color="auto" w:fill="FFFFFF"/>
        </w:rPr>
        <w:t xml:space="preserve">Philosophical Transactions of the Royal Society of Biological Sciences </w:t>
      </w:r>
      <w:r w:rsidRPr="00314F3B">
        <w:rPr>
          <w:rFonts w:ascii="Calibri" w:hAnsi="Calibri" w:cs="Calibri"/>
          <w:color w:val="000000" w:themeColor="text1"/>
          <w:sz w:val="22"/>
          <w:szCs w:val="22"/>
          <w:shd w:val="clear" w:color="auto" w:fill="FFFFFF"/>
        </w:rPr>
        <w:t>368:1623 (2013).</w:t>
      </w:r>
    </w:p>
    <w:p w14:paraId="016FE47A" w14:textId="77777777" w:rsidR="007B59E6" w:rsidRPr="00314F3B" w:rsidRDefault="007B59E6" w:rsidP="00931CC1">
      <w:pPr>
        <w:ind w:left="360"/>
        <w:rPr>
          <w:rFonts w:ascii="Calibri" w:hAnsi="Calibri" w:cs="Calibri"/>
          <w:color w:val="000000" w:themeColor="text1"/>
          <w:sz w:val="22"/>
          <w:szCs w:val="22"/>
        </w:rPr>
      </w:pPr>
    </w:p>
    <w:p w14:paraId="2C17D617" w14:textId="252DDBA5" w:rsidR="00931CC1" w:rsidRPr="00314F3B" w:rsidRDefault="00931CC1" w:rsidP="00931CC1">
      <w:pPr>
        <w:ind w:left="360"/>
        <w:rPr>
          <w:rFonts w:ascii="Calibri" w:hAnsi="Calibri" w:cs="Calibri"/>
          <w:color w:val="000000" w:themeColor="text1"/>
          <w:sz w:val="22"/>
          <w:szCs w:val="22"/>
          <w:shd w:val="clear" w:color="auto" w:fill="FFFFFF"/>
        </w:rPr>
      </w:pPr>
      <w:r w:rsidRPr="00314F3B">
        <w:rPr>
          <w:rFonts w:ascii="Calibri" w:hAnsi="Calibri" w:cs="Calibri"/>
          <w:color w:val="000000" w:themeColor="text1"/>
          <w:sz w:val="22"/>
          <w:szCs w:val="22"/>
          <w:shd w:val="clear" w:color="auto" w:fill="FFFFFF"/>
        </w:rPr>
        <w:t>Borsboom GJ, Boatin BA, Nagelkerke NJ, Agoua H, Akpoboua KL, Alley WS, Bissan Y, Renz A, Yameogo L</w:t>
      </w:r>
      <w:r w:rsidR="00314F3B">
        <w:rPr>
          <w:rFonts w:ascii="Calibri" w:hAnsi="Calibri" w:cs="Calibri"/>
          <w:color w:val="000000" w:themeColor="text1"/>
          <w:sz w:val="22"/>
          <w:szCs w:val="22"/>
          <w:shd w:val="clear" w:color="auto" w:fill="FFFFFF"/>
        </w:rPr>
        <w:t xml:space="preserve"> and </w:t>
      </w:r>
      <w:r w:rsidRPr="00314F3B">
        <w:rPr>
          <w:rFonts w:ascii="Calibri" w:hAnsi="Calibri" w:cs="Calibri"/>
          <w:color w:val="000000" w:themeColor="text1"/>
          <w:sz w:val="22"/>
          <w:szCs w:val="22"/>
          <w:shd w:val="clear" w:color="auto" w:fill="FFFFFF"/>
        </w:rPr>
        <w:t xml:space="preserve">Remme JH, ‘Impact of ivermectin on onchocerciasis transmission: assessing the empirical evidence that repeated invermectin mass treatments may lead to elimination/eradication in West Africa’, </w:t>
      </w:r>
      <w:r w:rsidRPr="00314F3B">
        <w:rPr>
          <w:rFonts w:ascii="Calibri" w:hAnsi="Calibri" w:cs="Calibri"/>
          <w:i/>
          <w:color w:val="000000" w:themeColor="text1"/>
          <w:sz w:val="22"/>
          <w:szCs w:val="22"/>
          <w:shd w:val="clear" w:color="auto" w:fill="FFFFFF"/>
        </w:rPr>
        <w:t xml:space="preserve">Filaria Journal </w:t>
      </w:r>
      <w:r w:rsidRPr="00314F3B">
        <w:rPr>
          <w:rFonts w:ascii="Calibri" w:hAnsi="Calibri" w:cs="Calibri"/>
          <w:color w:val="000000" w:themeColor="text1"/>
          <w:sz w:val="22"/>
          <w:szCs w:val="22"/>
          <w:shd w:val="clear" w:color="auto" w:fill="FFFFFF"/>
        </w:rPr>
        <w:t>2:1 (2003), 8.</w:t>
      </w:r>
    </w:p>
    <w:p w14:paraId="66F0B5E0" w14:textId="77777777" w:rsidR="007B59E6" w:rsidRPr="00314F3B" w:rsidRDefault="007B59E6" w:rsidP="00931CC1">
      <w:pPr>
        <w:ind w:left="360"/>
        <w:rPr>
          <w:rFonts w:ascii="Calibri" w:hAnsi="Calibri" w:cs="Calibri"/>
          <w:color w:val="000000" w:themeColor="text1"/>
          <w:sz w:val="22"/>
          <w:szCs w:val="22"/>
        </w:rPr>
      </w:pPr>
    </w:p>
    <w:p w14:paraId="297D0879" w14:textId="3B7E40BF" w:rsidR="00931CC1" w:rsidRPr="00314F3B" w:rsidRDefault="00931CC1" w:rsidP="00931CC1">
      <w:pPr>
        <w:ind w:left="360"/>
        <w:rPr>
          <w:rFonts w:ascii="Calibri" w:hAnsi="Calibri" w:cs="Calibri"/>
          <w:color w:val="000000" w:themeColor="text1"/>
          <w:sz w:val="22"/>
          <w:szCs w:val="22"/>
          <w:shd w:val="clear" w:color="auto" w:fill="FFFFFF"/>
        </w:rPr>
      </w:pPr>
      <w:r w:rsidRPr="00314F3B">
        <w:rPr>
          <w:rFonts w:ascii="Calibri" w:hAnsi="Calibri" w:cs="Calibri"/>
          <w:color w:val="000000" w:themeColor="text1"/>
          <w:sz w:val="22"/>
          <w:szCs w:val="22"/>
          <w:shd w:val="clear" w:color="auto" w:fill="FFFFFF"/>
        </w:rPr>
        <w:t xml:space="preserve">Bradley JE, ‘Success in Africa: The onchocerciasis control programme in West Africa, 1974-2002’, </w:t>
      </w:r>
      <w:r w:rsidRPr="00314F3B">
        <w:rPr>
          <w:rFonts w:ascii="Calibri" w:hAnsi="Calibri" w:cs="Calibri"/>
          <w:i/>
          <w:color w:val="000000" w:themeColor="text1"/>
          <w:sz w:val="22"/>
          <w:szCs w:val="22"/>
          <w:shd w:val="clear" w:color="auto" w:fill="FFFFFF"/>
        </w:rPr>
        <w:t xml:space="preserve">Transactions – Royal Society of Tropical Medicine and Hygiene </w:t>
      </w:r>
      <w:r w:rsidRPr="00314F3B">
        <w:rPr>
          <w:rFonts w:ascii="Calibri" w:hAnsi="Calibri" w:cs="Calibri"/>
          <w:color w:val="000000" w:themeColor="text1"/>
          <w:sz w:val="22"/>
          <w:szCs w:val="22"/>
          <w:shd w:val="clear" w:color="auto" w:fill="FFFFFF"/>
        </w:rPr>
        <w:t>87:3 (2003), 359.</w:t>
      </w:r>
    </w:p>
    <w:p w14:paraId="7586A837" w14:textId="77777777" w:rsidR="007B59E6" w:rsidRPr="00314F3B" w:rsidRDefault="007B59E6" w:rsidP="00931CC1">
      <w:pPr>
        <w:ind w:left="360"/>
        <w:rPr>
          <w:rFonts w:ascii="Calibri" w:hAnsi="Calibri" w:cs="Calibri"/>
          <w:color w:val="000000" w:themeColor="text1"/>
          <w:sz w:val="22"/>
          <w:szCs w:val="22"/>
        </w:rPr>
      </w:pPr>
    </w:p>
    <w:p w14:paraId="3CBAD4D0" w14:textId="5B42234F" w:rsidR="00931CC1" w:rsidRPr="00314F3B" w:rsidRDefault="00931CC1" w:rsidP="00931CC1">
      <w:pPr>
        <w:ind w:left="360"/>
        <w:rPr>
          <w:rFonts w:ascii="Calibri" w:hAnsi="Calibri" w:cs="Calibri"/>
          <w:color w:val="000000" w:themeColor="text1"/>
          <w:sz w:val="22"/>
          <w:szCs w:val="22"/>
        </w:rPr>
      </w:pPr>
      <w:r w:rsidRPr="00314F3B">
        <w:rPr>
          <w:rFonts w:ascii="Calibri" w:hAnsi="Calibri" w:cs="Calibri"/>
          <w:color w:val="000000" w:themeColor="text1"/>
          <w:sz w:val="22"/>
          <w:szCs w:val="22"/>
        </w:rPr>
        <w:t>Breman JG, Alilo MS</w:t>
      </w:r>
      <w:r w:rsidR="00314F3B">
        <w:rPr>
          <w:rFonts w:ascii="Calibri" w:hAnsi="Calibri" w:cs="Calibri"/>
          <w:color w:val="000000" w:themeColor="text1"/>
          <w:sz w:val="22"/>
          <w:szCs w:val="22"/>
        </w:rPr>
        <w:t xml:space="preserve"> and</w:t>
      </w:r>
      <w:r w:rsidRPr="00314F3B">
        <w:rPr>
          <w:rFonts w:ascii="Calibri" w:hAnsi="Calibri" w:cs="Calibri"/>
          <w:color w:val="000000" w:themeColor="text1"/>
          <w:sz w:val="22"/>
          <w:szCs w:val="22"/>
        </w:rPr>
        <w:t xml:space="preserve"> Mills A, ‘Conquering the intolerable burden of malaria: what’s new, what’s needed: a summary’, 71:2 (2004), 1-15.</w:t>
      </w:r>
    </w:p>
    <w:p w14:paraId="1F31E84F" w14:textId="77777777" w:rsidR="007B59E6" w:rsidRPr="00314F3B" w:rsidRDefault="007B59E6" w:rsidP="00931CC1">
      <w:pPr>
        <w:ind w:left="360"/>
        <w:rPr>
          <w:rFonts w:ascii="Calibri" w:hAnsi="Calibri" w:cs="Calibri"/>
          <w:color w:val="000000" w:themeColor="text1"/>
          <w:sz w:val="22"/>
          <w:szCs w:val="22"/>
        </w:rPr>
      </w:pPr>
    </w:p>
    <w:p w14:paraId="6682F4A5" w14:textId="1323AC5D" w:rsidR="00931CC1" w:rsidRPr="00314F3B" w:rsidRDefault="00931CC1" w:rsidP="00931CC1">
      <w:pPr>
        <w:ind w:left="360"/>
        <w:rPr>
          <w:rFonts w:ascii="Calibri" w:hAnsi="Calibri" w:cs="Calibri"/>
          <w:color w:val="000000" w:themeColor="text1"/>
          <w:sz w:val="22"/>
          <w:szCs w:val="22"/>
        </w:rPr>
      </w:pPr>
      <w:r w:rsidRPr="00314F3B">
        <w:rPr>
          <w:rFonts w:ascii="Calibri" w:hAnsi="Calibri" w:cs="Calibri"/>
          <w:color w:val="000000" w:themeColor="text1"/>
          <w:sz w:val="22"/>
          <w:szCs w:val="22"/>
        </w:rPr>
        <w:t>Brewer EM, Demmer M, Du B,m Ho M, Kam M, Nedevschi S, Pal J, Patra R, Surana S</w:t>
      </w:r>
      <w:r w:rsidR="00314F3B">
        <w:rPr>
          <w:rFonts w:ascii="Calibri" w:hAnsi="Calibri" w:cs="Calibri"/>
          <w:color w:val="000000" w:themeColor="text1"/>
          <w:sz w:val="22"/>
          <w:szCs w:val="22"/>
        </w:rPr>
        <w:t xml:space="preserve"> and </w:t>
      </w:r>
      <w:r w:rsidRPr="00314F3B">
        <w:rPr>
          <w:rFonts w:ascii="Calibri" w:hAnsi="Calibri" w:cs="Calibri"/>
          <w:color w:val="000000" w:themeColor="text1"/>
          <w:sz w:val="22"/>
          <w:szCs w:val="22"/>
        </w:rPr>
        <w:t xml:space="preserve">Fall K, ‘The case for technology in developing regions’, </w:t>
      </w:r>
      <w:r w:rsidRPr="00314F3B">
        <w:rPr>
          <w:rFonts w:ascii="Calibri" w:hAnsi="Calibri" w:cs="Calibri"/>
          <w:i/>
          <w:color w:val="000000" w:themeColor="text1"/>
          <w:sz w:val="22"/>
          <w:szCs w:val="22"/>
        </w:rPr>
        <w:t xml:space="preserve">Computer </w:t>
      </w:r>
      <w:r w:rsidRPr="00314F3B">
        <w:rPr>
          <w:rFonts w:ascii="Calibri" w:hAnsi="Calibri" w:cs="Calibri"/>
          <w:color w:val="000000" w:themeColor="text1"/>
          <w:sz w:val="22"/>
          <w:szCs w:val="22"/>
        </w:rPr>
        <w:t>38:6 (2005), 25-38.</w:t>
      </w:r>
    </w:p>
    <w:p w14:paraId="09BF4E2F" w14:textId="77777777" w:rsidR="007B59E6" w:rsidRPr="00A32897" w:rsidRDefault="007B59E6" w:rsidP="00931CC1">
      <w:pPr>
        <w:ind w:left="360"/>
        <w:rPr>
          <w:rFonts w:ascii="Calibri" w:hAnsi="Calibri" w:cs="Calibri"/>
          <w:sz w:val="22"/>
          <w:szCs w:val="22"/>
        </w:rPr>
      </w:pPr>
    </w:p>
    <w:p w14:paraId="48F049EA" w14:textId="7C8452FE" w:rsidR="00931CC1" w:rsidRDefault="00931CC1" w:rsidP="00931CC1">
      <w:pPr>
        <w:ind w:left="360"/>
        <w:rPr>
          <w:rFonts w:ascii="Calibri" w:hAnsi="Calibri" w:cs="Calibri"/>
          <w:sz w:val="22"/>
          <w:szCs w:val="22"/>
        </w:rPr>
      </w:pPr>
      <w:r w:rsidRPr="00A32897">
        <w:rPr>
          <w:rFonts w:ascii="Calibri" w:hAnsi="Calibri" w:cs="Calibri"/>
          <w:sz w:val="22"/>
          <w:szCs w:val="22"/>
        </w:rPr>
        <w:t>Brosch R, ‘Sub-Saharan Africa’s “other diseases”: a comparison of the global response to neglected tropical diseases and HIV/AIDS in Ghana’</w:t>
      </w:r>
      <w:r w:rsidR="00314F3B">
        <w:rPr>
          <w:rFonts w:ascii="Calibri" w:hAnsi="Calibri" w:cs="Calibri"/>
          <w:sz w:val="22"/>
          <w:szCs w:val="22"/>
        </w:rPr>
        <w:t xml:space="preserve"> (online), 2016,</w:t>
      </w:r>
      <w:r w:rsidRPr="00A32897">
        <w:rPr>
          <w:rFonts w:ascii="Calibri" w:hAnsi="Calibri" w:cs="Calibri"/>
          <w:sz w:val="22"/>
          <w:szCs w:val="22"/>
        </w:rPr>
        <w:t xml:space="preserve"> </w:t>
      </w:r>
      <w:r w:rsidRPr="00A32897">
        <w:rPr>
          <w:rFonts w:ascii="Calibri" w:hAnsi="Calibri" w:cs="Calibri"/>
          <w:i/>
          <w:sz w:val="22"/>
          <w:szCs w:val="22"/>
        </w:rPr>
        <w:t>Political science: student scholarship &amp; creative works</w:t>
      </w:r>
      <w:r w:rsidRPr="00A32897">
        <w:rPr>
          <w:rFonts w:ascii="Calibri" w:hAnsi="Calibri" w:cs="Calibri"/>
          <w:sz w:val="22"/>
          <w:szCs w:val="22"/>
        </w:rPr>
        <w:t xml:space="preserve">, </w:t>
      </w:r>
      <w:r w:rsidR="00314F3B">
        <w:rPr>
          <w:rFonts w:ascii="Calibri" w:hAnsi="Calibri" w:cs="Calibri"/>
          <w:sz w:val="22"/>
          <w:szCs w:val="22"/>
        </w:rPr>
        <w:t>&lt;</w:t>
      </w:r>
      <w:r w:rsidR="00314F3B" w:rsidRPr="00314F3B">
        <w:rPr>
          <w:rFonts w:ascii="Calibri" w:hAnsi="Calibri" w:cs="Calibri"/>
          <w:sz w:val="22"/>
          <w:szCs w:val="22"/>
        </w:rPr>
        <w:t>http://digitalcommons.augustana.edu/polsstudent/1</w:t>
      </w:r>
      <w:r w:rsidR="00314F3B">
        <w:rPr>
          <w:rFonts w:ascii="Calibri" w:hAnsi="Calibri" w:cs="Calibri"/>
          <w:sz w:val="22"/>
          <w:szCs w:val="22"/>
        </w:rPr>
        <w:t>&gt; [accessed 15 May 2018]</w:t>
      </w:r>
      <w:r w:rsidRPr="00A32897">
        <w:rPr>
          <w:rFonts w:ascii="Calibri" w:hAnsi="Calibri" w:cs="Calibri"/>
          <w:sz w:val="22"/>
          <w:szCs w:val="22"/>
        </w:rPr>
        <w:t>.</w:t>
      </w:r>
    </w:p>
    <w:p w14:paraId="6EF5575D" w14:textId="77777777" w:rsidR="005931CC" w:rsidRPr="00314F3B" w:rsidRDefault="005931CC" w:rsidP="00931CC1">
      <w:pPr>
        <w:ind w:left="360"/>
        <w:rPr>
          <w:rFonts w:ascii="Calibri" w:hAnsi="Calibri" w:cs="Calibri"/>
          <w:color w:val="000000" w:themeColor="text1"/>
          <w:sz w:val="22"/>
          <w:szCs w:val="22"/>
        </w:rPr>
      </w:pPr>
    </w:p>
    <w:p w14:paraId="45506608" w14:textId="7B70D5FA" w:rsidR="00931CC1" w:rsidRPr="00314F3B" w:rsidRDefault="00931CC1" w:rsidP="00931CC1">
      <w:pPr>
        <w:ind w:left="360"/>
        <w:rPr>
          <w:rFonts w:ascii="Calibri" w:hAnsi="Calibri" w:cs="Calibri"/>
          <w:color w:val="000000" w:themeColor="text1"/>
          <w:sz w:val="22"/>
          <w:szCs w:val="22"/>
          <w:shd w:val="clear" w:color="auto" w:fill="FFFFFF"/>
        </w:rPr>
      </w:pPr>
      <w:r w:rsidRPr="00314F3B">
        <w:rPr>
          <w:rFonts w:ascii="Calibri" w:hAnsi="Calibri" w:cs="Calibri"/>
          <w:color w:val="000000" w:themeColor="text1"/>
          <w:sz w:val="22"/>
          <w:szCs w:val="22"/>
          <w:shd w:val="clear" w:color="auto" w:fill="FFFFFF"/>
        </w:rPr>
        <w:t xml:space="preserve">Bump J, Benton B, </w:t>
      </w:r>
      <w:r w:rsidR="00B56CEC" w:rsidRPr="00314F3B">
        <w:rPr>
          <w:rFonts w:ascii="Calibri" w:hAnsi="Calibri" w:cs="Calibri"/>
          <w:color w:val="000000" w:themeColor="text1"/>
          <w:sz w:val="22"/>
          <w:szCs w:val="22"/>
          <w:lang w:val="en-US"/>
        </w:rPr>
        <w:t xml:space="preserve">Sékételi </w:t>
      </w:r>
      <w:r w:rsidRPr="00314F3B">
        <w:rPr>
          <w:rFonts w:ascii="Calibri" w:hAnsi="Calibri" w:cs="Calibri"/>
          <w:color w:val="000000" w:themeColor="text1"/>
          <w:sz w:val="22"/>
          <w:szCs w:val="22"/>
          <w:shd w:val="clear" w:color="auto" w:fill="FFFFFF"/>
        </w:rPr>
        <w:t xml:space="preserve">A, Liese B and Novinskey C, ‘West Africa: defeating riverblindness – success in scaling up and lessons learned, in </w:t>
      </w:r>
      <w:r w:rsidRPr="00314F3B">
        <w:rPr>
          <w:rFonts w:ascii="Calibri" w:hAnsi="Calibri" w:cs="Calibri"/>
          <w:i/>
          <w:color w:val="000000" w:themeColor="text1"/>
          <w:sz w:val="22"/>
          <w:szCs w:val="22"/>
          <w:shd w:val="clear" w:color="auto" w:fill="FFFFFF"/>
        </w:rPr>
        <w:t xml:space="preserve">Reducing poverty, sustaining growth: what works, what doesn’t and why a global exchange for scaling up success </w:t>
      </w:r>
      <w:r w:rsidRPr="00314F3B">
        <w:rPr>
          <w:rFonts w:ascii="Calibri" w:hAnsi="Calibri" w:cs="Calibri"/>
          <w:color w:val="000000" w:themeColor="text1"/>
          <w:sz w:val="22"/>
          <w:szCs w:val="22"/>
          <w:shd w:val="clear" w:color="auto" w:fill="FFFFFF"/>
        </w:rPr>
        <w:t>(Washington DC: World Bank, 2004).</w:t>
      </w:r>
    </w:p>
    <w:p w14:paraId="1CC4D87D" w14:textId="77777777" w:rsidR="005931CC" w:rsidRPr="00A32897" w:rsidRDefault="005931CC" w:rsidP="00931CC1">
      <w:pPr>
        <w:ind w:left="360"/>
        <w:rPr>
          <w:rFonts w:ascii="Calibri" w:hAnsi="Calibri" w:cs="Calibri"/>
          <w:sz w:val="22"/>
          <w:szCs w:val="22"/>
        </w:rPr>
      </w:pPr>
    </w:p>
    <w:p w14:paraId="38671A72" w14:textId="32CDD3D4" w:rsidR="00931CC1" w:rsidRDefault="00931CC1" w:rsidP="00931CC1">
      <w:pPr>
        <w:ind w:left="360"/>
        <w:rPr>
          <w:rFonts w:ascii="Calibri" w:hAnsi="Calibri" w:cs="Calibri"/>
          <w:sz w:val="22"/>
          <w:szCs w:val="22"/>
        </w:rPr>
      </w:pPr>
      <w:r w:rsidRPr="00A32897">
        <w:rPr>
          <w:rFonts w:ascii="Calibri" w:hAnsi="Calibri" w:cs="Calibri"/>
          <w:sz w:val="22"/>
          <w:szCs w:val="22"/>
        </w:rPr>
        <w:t xml:space="preserve">Bump JB, Benton B, Sékétéli A, Liese BH and Novinskey C, ‘Defeating riverblindness: </w:t>
      </w:r>
      <w:r w:rsidR="006E7F0A">
        <w:rPr>
          <w:rFonts w:ascii="Calibri" w:hAnsi="Calibri" w:cs="Calibri"/>
          <w:sz w:val="22"/>
          <w:szCs w:val="22"/>
        </w:rPr>
        <w:t>t</w:t>
      </w:r>
      <w:r w:rsidRPr="00A32897">
        <w:rPr>
          <w:rFonts w:ascii="Calibri" w:hAnsi="Calibri" w:cs="Calibri"/>
          <w:sz w:val="22"/>
          <w:szCs w:val="22"/>
        </w:rPr>
        <w:t xml:space="preserve">hirty years of success in Africa’, in </w:t>
      </w:r>
      <w:r w:rsidR="008A45BD">
        <w:rPr>
          <w:rFonts w:ascii="Calibri" w:hAnsi="Calibri" w:cs="Calibri"/>
          <w:sz w:val="22"/>
          <w:szCs w:val="22"/>
        </w:rPr>
        <w:t xml:space="preserve">ML Fox and R Liebenthal (Eds.), </w:t>
      </w:r>
      <w:r w:rsidRPr="00A32897">
        <w:rPr>
          <w:rFonts w:ascii="Calibri" w:hAnsi="Calibri" w:cs="Calibri"/>
          <w:i/>
          <w:sz w:val="22"/>
          <w:szCs w:val="22"/>
        </w:rPr>
        <w:t>Attacking Africa’s poverty: experience from the ground</w:t>
      </w:r>
      <w:r w:rsidR="008A45BD">
        <w:rPr>
          <w:rFonts w:ascii="Calibri" w:hAnsi="Calibri" w:cs="Calibri"/>
          <w:sz w:val="22"/>
          <w:szCs w:val="22"/>
        </w:rPr>
        <w:t xml:space="preserve"> </w:t>
      </w:r>
      <w:r w:rsidRPr="00A32897">
        <w:rPr>
          <w:rFonts w:ascii="Calibri" w:hAnsi="Calibri" w:cs="Calibri"/>
          <w:sz w:val="22"/>
          <w:szCs w:val="22"/>
        </w:rPr>
        <w:t>(Washington DC: World Bank, 2006), 285-318.</w:t>
      </w:r>
    </w:p>
    <w:p w14:paraId="31388C8B" w14:textId="77777777" w:rsidR="005931CC" w:rsidRPr="00A32897" w:rsidRDefault="005931CC" w:rsidP="00931CC1">
      <w:pPr>
        <w:ind w:left="360"/>
        <w:rPr>
          <w:rFonts w:ascii="Calibri" w:hAnsi="Calibri" w:cs="Calibri"/>
          <w:sz w:val="22"/>
          <w:szCs w:val="22"/>
        </w:rPr>
      </w:pPr>
    </w:p>
    <w:p w14:paraId="666E6393" w14:textId="7F8337BB" w:rsidR="00931CC1" w:rsidRDefault="00931CC1" w:rsidP="00931CC1">
      <w:pPr>
        <w:ind w:left="360"/>
        <w:rPr>
          <w:rFonts w:ascii="Calibri" w:hAnsi="Calibri" w:cs="Calibri"/>
          <w:sz w:val="22"/>
          <w:szCs w:val="22"/>
        </w:rPr>
      </w:pPr>
      <w:r w:rsidRPr="00A32897">
        <w:rPr>
          <w:rFonts w:ascii="Calibri" w:hAnsi="Calibri" w:cs="Calibri"/>
          <w:sz w:val="22"/>
          <w:szCs w:val="22"/>
        </w:rPr>
        <w:lastRenderedPageBreak/>
        <w:t>Bundy DA, Dhomun B, Daney X, Schultz LB</w:t>
      </w:r>
      <w:r w:rsidR="00314F3B">
        <w:rPr>
          <w:rFonts w:ascii="Calibri" w:hAnsi="Calibri" w:cs="Calibri"/>
          <w:sz w:val="22"/>
          <w:szCs w:val="22"/>
        </w:rPr>
        <w:t xml:space="preserve"> and </w:t>
      </w:r>
      <w:r w:rsidRPr="00A32897">
        <w:rPr>
          <w:rFonts w:ascii="Calibri" w:hAnsi="Calibri" w:cs="Calibri"/>
          <w:sz w:val="22"/>
          <w:szCs w:val="22"/>
        </w:rPr>
        <w:t xml:space="preserve">Tembon A, ‘Investing in onchocerciasis control: financial management of the African Programme for Onchocerciasis Control (APOC)’, </w:t>
      </w:r>
      <w:r w:rsidRPr="00A32897">
        <w:rPr>
          <w:rFonts w:ascii="Calibri" w:hAnsi="Calibri" w:cs="Calibri"/>
          <w:i/>
          <w:sz w:val="22"/>
          <w:szCs w:val="22"/>
        </w:rPr>
        <w:t xml:space="preserve">PLoS Neglected Tropical Diseases </w:t>
      </w:r>
      <w:r w:rsidRPr="00A32897">
        <w:rPr>
          <w:rFonts w:ascii="Calibri" w:hAnsi="Calibri" w:cs="Calibri"/>
          <w:sz w:val="22"/>
          <w:szCs w:val="22"/>
        </w:rPr>
        <w:t>9:5 (2015), e003508.</w:t>
      </w:r>
    </w:p>
    <w:p w14:paraId="4EC0B8DA" w14:textId="77777777" w:rsidR="005931CC" w:rsidRPr="00A32897" w:rsidRDefault="005931CC" w:rsidP="00931CC1">
      <w:pPr>
        <w:ind w:left="360"/>
        <w:rPr>
          <w:rFonts w:ascii="Calibri" w:hAnsi="Calibri" w:cs="Calibri"/>
          <w:sz w:val="22"/>
          <w:szCs w:val="22"/>
        </w:rPr>
      </w:pPr>
    </w:p>
    <w:p w14:paraId="33EEE847" w14:textId="52807409" w:rsidR="00931CC1" w:rsidRDefault="00931CC1" w:rsidP="00931CC1">
      <w:pPr>
        <w:ind w:left="360"/>
        <w:rPr>
          <w:rFonts w:ascii="Calibri" w:hAnsi="Calibri" w:cs="Calibri"/>
          <w:sz w:val="22"/>
          <w:szCs w:val="22"/>
        </w:rPr>
      </w:pPr>
      <w:r w:rsidRPr="00A32897">
        <w:rPr>
          <w:rFonts w:ascii="Calibri" w:hAnsi="Calibri" w:cs="Calibri"/>
          <w:sz w:val="22"/>
          <w:szCs w:val="22"/>
        </w:rPr>
        <w:t xml:space="preserve">Burnham G and Mebrahtu T, ‘Review: the delivery of ivermectin (Mectizan)’, </w:t>
      </w:r>
      <w:r w:rsidRPr="00A32897">
        <w:rPr>
          <w:rFonts w:ascii="Calibri" w:hAnsi="Calibri" w:cs="Calibri"/>
          <w:i/>
          <w:sz w:val="22"/>
          <w:szCs w:val="22"/>
        </w:rPr>
        <w:t xml:space="preserve">Tropical Medicine and International Health </w:t>
      </w:r>
      <w:r w:rsidRPr="00A32897">
        <w:rPr>
          <w:rFonts w:ascii="Calibri" w:hAnsi="Calibri" w:cs="Calibri"/>
          <w:sz w:val="22"/>
          <w:szCs w:val="22"/>
        </w:rPr>
        <w:t>9:4 (2004), A26-A44.</w:t>
      </w:r>
    </w:p>
    <w:p w14:paraId="24F06C3E" w14:textId="77777777" w:rsidR="005931CC" w:rsidRPr="00A32897" w:rsidRDefault="005931CC" w:rsidP="00931CC1">
      <w:pPr>
        <w:ind w:left="360"/>
        <w:rPr>
          <w:rFonts w:ascii="Calibri" w:hAnsi="Calibri" w:cs="Calibri"/>
          <w:sz w:val="22"/>
          <w:szCs w:val="22"/>
        </w:rPr>
      </w:pPr>
    </w:p>
    <w:p w14:paraId="6F51B884" w14:textId="36753A60" w:rsidR="00931CC1" w:rsidRDefault="00931CC1" w:rsidP="00931CC1">
      <w:pPr>
        <w:ind w:left="360"/>
        <w:rPr>
          <w:rFonts w:ascii="Calibri" w:hAnsi="Calibri" w:cs="Calibri"/>
          <w:sz w:val="22"/>
          <w:szCs w:val="22"/>
        </w:rPr>
      </w:pPr>
      <w:r w:rsidRPr="00A32897">
        <w:rPr>
          <w:rFonts w:ascii="Calibri" w:hAnsi="Calibri" w:cs="Calibri"/>
          <w:sz w:val="22"/>
          <w:szCs w:val="22"/>
        </w:rPr>
        <w:t xml:space="preserve">Burnham G, ‘Onchocerciasis’, </w:t>
      </w:r>
      <w:r w:rsidRPr="00A32897">
        <w:rPr>
          <w:rFonts w:ascii="Calibri" w:hAnsi="Calibri" w:cs="Calibri"/>
          <w:i/>
          <w:sz w:val="22"/>
          <w:szCs w:val="22"/>
        </w:rPr>
        <w:t xml:space="preserve">Lancet </w:t>
      </w:r>
      <w:r w:rsidRPr="00A32897">
        <w:rPr>
          <w:rFonts w:ascii="Calibri" w:hAnsi="Calibri" w:cs="Calibri"/>
          <w:sz w:val="22"/>
          <w:szCs w:val="22"/>
        </w:rPr>
        <w:t>351:9112 (1998), 1341-1346.</w:t>
      </w:r>
    </w:p>
    <w:p w14:paraId="4A4D4306" w14:textId="77777777" w:rsidR="005931CC" w:rsidRPr="00A32897" w:rsidRDefault="005931CC" w:rsidP="00931CC1">
      <w:pPr>
        <w:ind w:left="360"/>
        <w:rPr>
          <w:rFonts w:ascii="Calibri" w:hAnsi="Calibri" w:cs="Calibri"/>
          <w:sz w:val="22"/>
          <w:szCs w:val="22"/>
        </w:rPr>
      </w:pPr>
    </w:p>
    <w:p w14:paraId="2D20A028" w14:textId="11112855" w:rsidR="00931CC1" w:rsidRDefault="00931CC1" w:rsidP="00931CC1">
      <w:pPr>
        <w:ind w:left="360"/>
        <w:rPr>
          <w:rFonts w:ascii="Calibri" w:hAnsi="Calibri" w:cs="Calibri"/>
          <w:sz w:val="22"/>
          <w:szCs w:val="22"/>
        </w:rPr>
      </w:pPr>
      <w:r w:rsidRPr="00A32897">
        <w:rPr>
          <w:rFonts w:ascii="Calibri" w:hAnsi="Calibri" w:cs="Calibri"/>
          <w:sz w:val="22"/>
          <w:szCs w:val="22"/>
        </w:rPr>
        <w:t xml:space="preserve">Burroughs T, Najafi M, Lemon SM, and Knobler SL (Eds.), </w:t>
      </w:r>
      <w:r w:rsidRPr="00A32897">
        <w:rPr>
          <w:rFonts w:ascii="Calibri" w:hAnsi="Calibri" w:cs="Calibri"/>
          <w:i/>
          <w:sz w:val="22"/>
          <w:szCs w:val="22"/>
        </w:rPr>
        <w:t xml:space="preserve">The resistance phenomenon in microbes and infectious disease vectors: implications for human health and strategies for containment: workshop summary </w:t>
      </w:r>
      <w:r w:rsidRPr="00A32897">
        <w:rPr>
          <w:rFonts w:ascii="Calibri" w:hAnsi="Calibri" w:cs="Calibri"/>
          <w:sz w:val="22"/>
          <w:szCs w:val="22"/>
        </w:rPr>
        <w:t>(Washington DC: National Academies Press, 2003).</w:t>
      </w:r>
    </w:p>
    <w:p w14:paraId="5A44EE9D" w14:textId="77777777" w:rsidR="005931CC" w:rsidRPr="00A32897" w:rsidRDefault="005931CC" w:rsidP="00931CC1">
      <w:pPr>
        <w:ind w:left="360"/>
        <w:rPr>
          <w:rFonts w:ascii="Calibri" w:hAnsi="Calibri" w:cs="Calibri"/>
          <w:sz w:val="22"/>
          <w:szCs w:val="22"/>
        </w:rPr>
      </w:pPr>
    </w:p>
    <w:p w14:paraId="57ACF047" w14:textId="2182DD8C" w:rsidR="00931CC1" w:rsidRDefault="00931CC1" w:rsidP="00931CC1">
      <w:pPr>
        <w:ind w:left="360"/>
        <w:rPr>
          <w:rFonts w:ascii="Calibri" w:hAnsi="Calibri" w:cs="Calibri"/>
          <w:sz w:val="22"/>
          <w:szCs w:val="22"/>
        </w:rPr>
      </w:pPr>
      <w:r w:rsidRPr="00A32897">
        <w:rPr>
          <w:rFonts w:ascii="Calibri" w:hAnsi="Calibri" w:cs="Calibri"/>
          <w:sz w:val="22"/>
          <w:szCs w:val="22"/>
        </w:rPr>
        <w:t xml:space="preserve">Buse K and Walt G, ‘Global public-private partnerships: part I – a new development in health?’, </w:t>
      </w:r>
      <w:r w:rsidRPr="00A32897">
        <w:rPr>
          <w:rFonts w:ascii="Calibri" w:hAnsi="Calibri" w:cs="Calibri"/>
          <w:i/>
          <w:sz w:val="22"/>
          <w:szCs w:val="22"/>
        </w:rPr>
        <w:t xml:space="preserve">Bulletin of the World Health Organization </w:t>
      </w:r>
      <w:r w:rsidRPr="00A32897">
        <w:rPr>
          <w:rFonts w:ascii="Calibri" w:hAnsi="Calibri" w:cs="Calibri"/>
          <w:sz w:val="22"/>
          <w:szCs w:val="22"/>
        </w:rPr>
        <w:t>78:4 (2000), 549-561.</w:t>
      </w:r>
    </w:p>
    <w:p w14:paraId="3479F58A" w14:textId="77777777" w:rsidR="005931CC" w:rsidRPr="00A32897" w:rsidRDefault="005931CC" w:rsidP="00931CC1">
      <w:pPr>
        <w:ind w:left="360"/>
        <w:rPr>
          <w:rFonts w:ascii="Calibri" w:hAnsi="Calibri" w:cs="Calibri"/>
          <w:sz w:val="22"/>
          <w:szCs w:val="22"/>
        </w:rPr>
      </w:pPr>
    </w:p>
    <w:p w14:paraId="208AB427" w14:textId="45CD7305" w:rsidR="00931CC1" w:rsidRDefault="00931CC1" w:rsidP="00931CC1">
      <w:pPr>
        <w:ind w:left="360"/>
        <w:rPr>
          <w:rFonts w:ascii="Calibri" w:hAnsi="Calibri" w:cs="Calibri"/>
          <w:sz w:val="22"/>
          <w:szCs w:val="22"/>
        </w:rPr>
      </w:pPr>
      <w:r w:rsidRPr="00A32897">
        <w:rPr>
          <w:rFonts w:ascii="Calibri" w:hAnsi="Calibri" w:cs="Calibri"/>
          <w:sz w:val="22"/>
          <w:szCs w:val="22"/>
        </w:rPr>
        <w:t xml:space="preserve">Bush S and Hopkins AD, ‘Public-private partnerships in neglected tropical disease control: the role of nongovernmental organizations’, </w:t>
      </w:r>
      <w:r w:rsidRPr="00A32897">
        <w:rPr>
          <w:rFonts w:ascii="Calibri" w:hAnsi="Calibri" w:cs="Calibri"/>
          <w:i/>
          <w:sz w:val="22"/>
          <w:szCs w:val="22"/>
        </w:rPr>
        <w:t xml:space="preserve">Acta Tropica </w:t>
      </w:r>
      <w:r w:rsidRPr="00A32897">
        <w:rPr>
          <w:rFonts w:ascii="Calibri" w:hAnsi="Calibri" w:cs="Calibri"/>
          <w:sz w:val="22"/>
          <w:szCs w:val="22"/>
        </w:rPr>
        <w:t>120 (2011), S169-S172.</w:t>
      </w:r>
    </w:p>
    <w:p w14:paraId="75C25005" w14:textId="77777777" w:rsidR="005931CC" w:rsidRPr="00A32897" w:rsidRDefault="005931CC" w:rsidP="00931CC1">
      <w:pPr>
        <w:ind w:left="360"/>
        <w:rPr>
          <w:rFonts w:ascii="Calibri" w:hAnsi="Calibri" w:cs="Calibri"/>
          <w:sz w:val="22"/>
          <w:szCs w:val="22"/>
        </w:rPr>
      </w:pPr>
    </w:p>
    <w:p w14:paraId="042E0647" w14:textId="5C36781A" w:rsidR="00931CC1" w:rsidRDefault="00931CC1" w:rsidP="00931CC1">
      <w:pPr>
        <w:ind w:left="360"/>
        <w:rPr>
          <w:rFonts w:ascii="Calibri" w:hAnsi="Calibri" w:cs="Calibri"/>
          <w:sz w:val="22"/>
          <w:szCs w:val="22"/>
        </w:rPr>
      </w:pPr>
      <w:r w:rsidRPr="00A32897">
        <w:rPr>
          <w:rFonts w:ascii="Calibri" w:hAnsi="Calibri" w:cs="Calibri"/>
          <w:sz w:val="22"/>
          <w:szCs w:val="22"/>
        </w:rPr>
        <w:t>Chami GF, Molyneux DH, Kontoleon AA</w:t>
      </w:r>
      <w:r w:rsidR="00314F3B">
        <w:rPr>
          <w:rFonts w:ascii="Calibri" w:hAnsi="Calibri" w:cs="Calibri"/>
          <w:sz w:val="22"/>
          <w:szCs w:val="22"/>
        </w:rPr>
        <w:t xml:space="preserve"> and</w:t>
      </w:r>
      <w:r w:rsidRPr="00A32897">
        <w:rPr>
          <w:rFonts w:ascii="Calibri" w:hAnsi="Calibri" w:cs="Calibri"/>
          <w:sz w:val="22"/>
          <w:szCs w:val="22"/>
        </w:rPr>
        <w:t xml:space="preserve"> Dunne DW, ‘Exploring network theory for mass drug administration’, </w:t>
      </w:r>
      <w:r w:rsidRPr="00A32897">
        <w:rPr>
          <w:rFonts w:ascii="Calibri" w:hAnsi="Calibri" w:cs="Calibri"/>
          <w:i/>
          <w:sz w:val="22"/>
          <w:szCs w:val="22"/>
        </w:rPr>
        <w:t xml:space="preserve">Trends in Parasitology </w:t>
      </w:r>
      <w:r w:rsidRPr="00A32897">
        <w:rPr>
          <w:rFonts w:ascii="Calibri" w:hAnsi="Calibri" w:cs="Calibri"/>
          <w:sz w:val="22"/>
          <w:szCs w:val="22"/>
        </w:rPr>
        <w:t>29:8 (2013), 370-379.</w:t>
      </w:r>
    </w:p>
    <w:p w14:paraId="1116A50E" w14:textId="77777777" w:rsidR="005931CC" w:rsidRPr="00A32897" w:rsidRDefault="005931CC" w:rsidP="00931CC1">
      <w:pPr>
        <w:ind w:left="360"/>
        <w:rPr>
          <w:rFonts w:ascii="Calibri" w:hAnsi="Calibri" w:cs="Calibri"/>
          <w:sz w:val="22"/>
          <w:szCs w:val="22"/>
        </w:rPr>
      </w:pPr>
    </w:p>
    <w:p w14:paraId="74B3778E" w14:textId="3A856730" w:rsidR="00931CC1" w:rsidRDefault="00931CC1" w:rsidP="00931CC1">
      <w:pPr>
        <w:ind w:left="360"/>
        <w:rPr>
          <w:rFonts w:ascii="Calibri" w:hAnsi="Calibri" w:cs="Calibri"/>
          <w:sz w:val="22"/>
          <w:szCs w:val="22"/>
        </w:rPr>
      </w:pPr>
      <w:r w:rsidRPr="00A32897">
        <w:rPr>
          <w:rFonts w:ascii="Calibri" w:hAnsi="Calibri" w:cs="Calibri"/>
          <w:sz w:val="22"/>
          <w:szCs w:val="22"/>
        </w:rPr>
        <w:t>Choi MH, Yu JR</w:t>
      </w:r>
      <w:r w:rsidR="00314F3B">
        <w:rPr>
          <w:rFonts w:ascii="Calibri" w:hAnsi="Calibri" w:cs="Calibri"/>
          <w:sz w:val="22"/>
          <w:szCs w:val="22"/>
        </w:rPr>
        <w:t xml:space="preserve"> and</w:t>
      </w:r>
      <w:r w:rsidRPr="00A32897">
        <w:rPr>
          <w:rFonts w:ascii="Calibri" w:hAnsi="Calibri" w:cs="Calibri"/>
          <w:sz w:val="22"/>
          <w:szCs w:val="22"/>
        </w:rPr>
        <w:t xml:space="preserve"> Hong ST, ‘Who neglects neglected tropical diseases? – Korean perspective’, </w:t>
      </w:r>
      <w:r w:rsidRPr="00A32897">
        <w:rPr>
          <w:rFonts w:ascii="Calibri" w:hAnsi="Calibri" w:cs="Calibri"/>
          <w:i/>
          <w:sz w:val="22"/>
          <w:szCs w:val="22"/>
        </w:rPr>
        <w:t xml:space="preserve">Journal of Korean Medical Science </w:t>
      </w:r>
      <w:r w:rsidRPr="00A32897">
        <w:rPr>
          <w:rFonts w:ascii="Calibri" w:hAnsi="Calibri" w:cs="Calibri"/>
          <w:sz w:val="22"/>
          <w:szCs w:val="22"/>
        </w:rPr>
        <w:t>30 (2015), S122-S130.</w:t>
      </w:r>
    </w:p>
    <w:p w14:paraId="626E0BEF" w14:textId="77777777" w:rsidR="005931CC" w:rsidRPr="00A32897" w:rsidRDefault="005931CC" w:rsidP="00931CC1">
      <w:pPr>
        <w:ind w:left="360"/>
        <w:rPr>
          <w:rFonts w:ascii="Calibri" w:hAnsi="Calibri" w:cs="Calibri"/>
          <w:sz w:val="22"/>
          <w:szCs w:val="22"/>
        </w:rPr>
      </w:pPr>
    </w:p>
    <w:p w14:paraId="23FE7168" w14:textId="32CCCB4F" w:rsidR="00931CC1" w:rsidRDefault="00931CC1" w:rsidP="00931CC1">
      <w:pPr>
        <w:ind w:left="360"/>
        <w:rPr>
          <w:rFonts w:ascii="Calibri" w:hAnsi="Calibri" w:cs="Calibri"/>
          <w:sz w:val="22"/>
          <w:szCs w:val="22"/>
        </w:rPr>
      </w:pPr>
      <w:r w:rsidRPr="00A32897">
        <w:rPr>
          <w:rFonts w:ascii="Calibri" w:hAnsi="Calibri" w:cs="Calibri"/>
          <w:sz w:val="22"/>
          <w:szCs w:val="22"/>
        </w:rPr>
        <w:t xml:space="preserve">Ciment J, ‘WHO celebrates triumph over river blindness’, </w:t>
      </w:r>
      <w:r w:rsidRPr="00A32897">
        <w:rPr>
          <w:rFonts w:ascii="Calibri" w:hAnsi="Calibri" w:cs="Calibri"/>
          <w:i/>
          <w:sz w:val="22"/>
          <w:szCs w:val="22"/>
        </w:rPr>
        <w:t xml:space="preserve">British Medical Journal </w:t>
      </w:r>
      <w:r w:rsidRPr="00A32897">
        <w:rPr>
          <w:rFonts w:ascii="Calibri" w:hAnsi="Calibri" w:cs="Calibri"/>
          <w:sz w:val="22"/>
          <w:szCs w:val="22"/>
        </w:rPr>
        <w:t>319:7217 (1999), 1090.</w:t>
      </w:r>
    </w:p>
    <w:p w14:paraId="75A0565C" w14:textId="77777777" w:rsidR="005931CC" w:rsidRPr="00A32897" w:rsidRDefault="005931CC" w:rsidP="00931CC1">
      <w:pPr>
        <w:ind w:left="360"/>
        <w:rPr>
          <w:rFonts w:ascii="Calibri" w:hAnsi="Calibri" w:cs="Calibri"/>
          <w:sz w:val="22"/>
          <w:szCs w:val="22"/>
        </w:rPr>
      </w:pPr>
    </w:p>
    <w:p w14:paraId="73516F21" w14:textId="231DFE43" w:rsidR="00931CC1" w:rsidRDefault="00931CC1" w:rsidP="00931CC1">
      <w:pPr>
        <w:ind w:left="360"/>
        <w:rPr>
          <w:rFonts w:ascii="Calibri" w:hAnsi="Calibri" w:cs="Calibri"/>
          <w:sz w:val="22"/>
          <w:szCs w:val="22"/>
        </w:rPr>
      </w:pPr>
      <w:r w:rsidRPr="00A32897">
        <w:rPr>
          <w:rFonts w:ascii="Calibri" w:hAnsi="Calibri" w:cs="Calibri"/>
          <w:sz w:val="22"/>
          <w:szCs w:val="22"/>
        </w:rPr>
        <w:t xml:space="preserve">Cochi SL and Dowdle WR, </w:t>
      </w:r>
      <w:r w:rsidRPr="00A32897">
        <w:rPr>
          <w:rFonts w:ascii="Calibri" w:hAnsi="Calibri" w:cs="Calibri"/>
          <w:i/>
          <w:sz w:val="22"/>
          <w:szCs w:val="22"/>
        </w:rPr>
        <w:t>Disease eradication in the 21</w:t>
      </w:r>
      <w:r w:rsidRPr="00A32897">
        <w:rPr>
          <w:rFonts w:ascii="Calibri" w:hAnsi="Calibri" w:cs="Calibri"/>
          <w:i/>
          <w:sz w:val="22"/>
          <w:szCs w:val="22"/>
          <w:vertAlign w:val="superscript"/>
        </w:rPr>
        <w:t>st</w:t>
      </w:r>
      <w:r w:rsidRPr="00A32897">
        <w:rPr>
          <w:rFonts w:ascii="Calibri" w:hAnsi="Calibri" w:cs="Calibri"/>
          <w:i/>
          <w:sz w:val="22"/>
          <w:szCs w:val="22"/>
        </w:rPr>
        <w:t xml:space="preserve"> century: implications for global health </w:t>
      </w:r>
      <w:r w:rsidRPr="00A32897">
        <w:rPr>
          <w:rFonts w:ascii="Calibri" w:hAnsi="Calibri" w:cs="Calibri"/>
          <w:sz w:val="22"/>
          <w:szCs w:val="22"/>
        </w:rPr>
        <w:t>(Boston: MIT Press, 2011).</w:t>
      </w:r>
    </w:p>
    <w:p w14:paraId="50B0071D" w14:textId="77777777" w:rsidR="005931CC" w:rsidRPr="00A32897" w:rsidRDefault="005931CC" w:rsidP="00931CC1">
      <w:pPr>
        <w:ind w:left="360"/>
        <w:rPr>
          <w:rFonts w:ascii="Calibri" w:hAnsi="Calibri" w:cs="Calibri"/>
          <w:sz w:val="22"/>
          <w:szCs w:val="22"/>
        </w:rPr>
      </w:pPr>
    </w:p>
    <w:p w14:paraId="162148B7" w14:textId="0C0DB4E9" w:rsidR="00931CC1" w:rsidRDefault="00931CC1" w:rsidP="00931CC1">
      <w:pPr>
        <w:ind w:left="360"/>
        <w:rPr>
          <w:rFonts w:ascii="Calibri" w:hAnsi="Calibri" w:cs="Calibri"/>
          <w:sz w:val="22"/>
          <w:szCs w:val="22"/>
        </w:rPr>
      </w:pPr>
      <w:r w:rsidRPr="00A32897">
        <w:rPr>
          <w:rFonts w:ascii="Calibri" w:hAnsi="Calibri" w:cs="Calibri"/>
          <w:sz w:val="22"/>
          <w:szCs w:val="22"/>
        </w:rPr>
        <w:t xml:space="preserve">Colaterra B, ‘The Mectizan Donation Program: 20 years of successful collaboration – a retrospective’, </w:t>
      </w:r>
      <w:r w:rsidRPr="00A32897">
        <w:rPr>
          <w:rFonts w:ascii="Calibri" w:hAnsi="Calibri" w:cs="Calibri"/>
          <w:i/>
          <w:sz w:val="22"/>
          <w:szCs w:val="22"/>
        </w:rPr>
        <w:t xml:space="preserve">Annals of Tropical Medicine &amp; Parasitology </w:t>
      </w:r>
      <w:r w:rsidRPr="00A32897">
        <w:rPr>
          <w:rFonts w:ascii="Calibri" w:hAnsi="Calibri" w:cs="Calibri"/>
          <w:sz w:val="22"/>
          <w:szCs w:val="22"/>
        </w:rPr>
        <w:t>102:s1 (2008), 7-11.</w:t>
      </w:r>
    </w:p>
    <w:p w14:paraId="04E20C2A" w14:textId="77777777" w:rsidR="005931CC" w:rsidRPr="00A32897" w:rsidRDefault="005931CC" w:rsidP="00931CC1">
      <w:pPr>
        <w:ind w:left="360"/>
        <w:rPr>
          <w:rFonts w:ascii="Calibri" w:hAnsi="Calibri" w:cs="Calibri"/>
          <w:sz w:val="22"/>
          <w:szCs w:val="22"/>
        </w:rPr>
      </w:pPr>
    </w:p>
    <w:p w14:paraId="15EF548C" w14:textId="52C1E4C9" w:rsidR="00931CC1" w:rsidRDefault="00931CC1" w:rsidP="00931CC1">
      <w:pPr>
        <w:ind w:left="360"/>
        <w:rPr>
          <w:rFonts w:ascii="Calibri" w:hAnsi="Calibri" w:cs="Calibri"/>
          <w:sz w:val="22"/>
          <w:szCs w:val="22"/>
        </w:rPr>
      </w:pPr>
      <w:r w:rsidRPr="00A32897">
        <w:rPr>
          <w:rFonts w:ascii="Calibri" w:hAnsi="Calibri" w:cs="Calibri"/>
          <w:sz w:val="22"/>
          <w:szCs w:val="22"/>
        </w:rPr>
        <w:t>Connor S, Thomson M, Flasse S</w:t>
      </w:r>
      <w:r w:rsidR="00314F3B">
        <w:rPr>
          <w:rFonts w:ascii="Calibri" w:hAnsi="Calibri" w:cs="Calibri"/>
          <w:sz w:val="22"/>
          <w:szCs w:val="22"/>
        </w:rPr>
        <w:t xml:space="preserve"> </w:t>
      </w:r>
      <w:r w:rsidRPr="00A32897">
        <w:rPr>
          <w:rFonts w:ascii="Calibri" w:hAnsi="Calibri" w:cs="Calibri"/>
          <w:sz w:val="22"/>
          <w:szCs w:val="22"/>
        </w:rPr>
        <w:t xml:space="preserve">and Williams J, ‘The use of low-cost remote sensing and GIS for identifying and monitoring the environmental factors associated with vectorborne disease transmission’, in </w:t>
      </w:r>
      <w:r w:rsidRPr="00A32897">
        <w:rPr>
          <w:rFonts w:ascii="Calibri" w:hAnsi="Calibri" w:cs="Calibri"/>
          <w:i/>
          <w:sz w:val="22"/>
          <w:szCs w:val="22"/>
        </w:rPr>
        <w:t xml:space="preserve">GIS for health and the environment: proceedings of an international workshop held in Colombo, Sri Lanka, 5-10 September 1994 </w:t>
      </w:r>
      <w:r w:rsidRPr="00A32897">
        <w:rPr>
          <w:rFonts w:ascii="Calibri" w:hAnsi="Calibri" w:cs="Calibri"/>
          <w:sz w:val="22"/>
          <w:szCs w:val="22"/>
        </w:rPr>
        <w:t>(Ottawa: International Development Research Centre, 1995), 75-87.</w:t>
      </w:r>
    </w:p>
    <w:p w14:paraId="6FD5878F" w14:textId="77777777" w:rsidR="005931CC" w:rsidRPr="00A32897" w:rsidRDefault="005931CC" w:rsidP="00931CC1">
      <w:pPr>
        <w:ind w:left="360"/>
        <w:rPr>
          <w:rFonts w:ascii="Calibri" w:hAnsi="Calibri" w:cs="Calibri"/>
          <w:sz w:val="22"/>
          <w:szCs w:val="22"/>
        </w:rPr>
      </w:pPr>
    </w:p>
    <w:p w14:paraId="198B3DF4" w14:textId="7372D326" w:rsidR="00931CC1" w:rsidRDefault="00931CC1" w:rsidP="00931CC1">
      <w:pPr>
        <w:ind w:left="360"/>
        <w:rPr>
          <w:rFonts w:ascii="Calibri" w:hAnsi="Calibri" w:cs="Calibri"/>
          <w:sz w:val="22"/>
          <w:szCs w:val="22"/>
        </w:rPr>
      </w:pPr>
      <w:r w:rsidRPr="00A32897">
        <w:rPr>
          <w:rFonts w:ascii="Calibri" w:hAnsi="Calibri" w:cs="Calibri"/>
          <w:sz w:val="22"/>
          <w:szCs w:val="22"/>
        </w:rPr>
        <w:t xml:space="preserve">Cook J, Frick KD, Baltussen R, Resnikoff S, Smith A, Mecaskey J and Kilima P, ‘Loss of vision and hearing’, in </w:t>
      </w:r>
      <w:r w:rsidRPr="00A32897">
        <w:rPr>
          <w:rFonts w:ascii="Calibri" w:hAnsi="Calibri" w:cs="Calibri"/>
          <w:i/>
          <w:sz w:val="22"/>
          <w:szCs w:val="22"/>
        </w:rPr>
        <w:t>Disease control priorities in developing countries</w:t>
      </w:r>
      <w:r w:rsidRPr="00A32897">
        <w:rPr>
          <w:rFonts w:ascii="Calibri" w:hAnsi="Calibri" w:cs="Calibri"/>
          <w:sz w:val="22"/>
          <w:szCs w:val="22"/>
        </w:rPr>
        <w:t>, 2</w:t>
      </w:r>
      <w:r w:rsidRPr="00A32897">
        <w:rPr>
          <w:rFonts w:ascii="Calibri" w:hAnsi="Calibri" w:cs="Calibri"/>
          <w:sz w:val="22"/>
          <w:szCs w:val="22"/>
          <w:vertAlign w:val="superscript"/>
        </w:rPr>
        <w:t>nd</w:t>
      </w:r>
      <w:r w:rsidRPr="00A32897">
        <w:rPr>
          <w:rFonts w:ascii="Calibri" w:hAnsi="Calibri" w:cs="Calibri"/>
          <w:sz w:val="22"/>
          <w:szCs w:val="22"/>
        </w:rPr>
        <w:t xml:space="preserve"> ed (Washington DC: World Bank, 2006).</w:t>
      </w:r>
    </w:p>
    <w:p w14:paraId="3F461E66" w14:textId="77777777" w:rsidR="005931CC" w:rsidRPr="00A32897" w:rsidRDefault="005931CC" w:rsidP="00931CC1">
      <w:pPr>
        <w:ind w:left="360"/>
        <w:rPr>
          <w:rFonts w:ascii="Calibri" w:hAnsi="Calibri" w:cs="Calibri"/>
          <w:sz w:val="22"/>
          <w:szCs w:val="22"/>
        </w:rPr>
      </w:pPr>
    </w:p>
    <w:p w14:paraId="0DD46ADF" w14:textId="77777777" w:rsidR="00931CC1" w:rsidRPr="00A32897" w:rsidRDefault="00931CC1" w:rsidP="00931CC1">
      <w:pPr>
        <w:ind w:left="360"/>
        <w:rPr>
          <w:rFonts w:ascii="Calibri" w:hAnsi="Calibri" w:cs="Calibri"/>
          <w:sz w:val="22"/>
          <w:szCs w:val="22"/>
        </w:rPr>
      </w:pPr>
      <w:r w:rsidRPr="00A32897">
        <w:rPr>
          <w:rFonts w:ascii="Calibri" w:hAnsi="Calibri" w:cs="Calibri"/>
          <w:sz w:val="22"/>
          <w:szCs w:val="22"/>
        </w:rPr>
        <w:t xml:space="preserve">Coyne PEB and David W, </w:t>
      </w:r>
      <w:r w:rsidRPr="00A32897">
        <w:rPr>
          <w:rFonts w:ascii="Calibri" w:hAnsi="Calibri" w:cs="Calibri"/>
          <w:i/>
          <w:sz w:val="22"/>
          <w:szCs w:val="22"/>
        </w:rPr>
        <w:t xml:space="preserve">The Mectizan (ivermectin) Donation Program for Riverblindness as a paradigm for pharmaceutical industry donation programs </w:t>
      </w:r>
      <w:r w:rsidRPr="00A32897">
        <w:rPr>
          <w:rFonts w:ascii="Calibri" w:hAnsi="Calibri" w:cs="Calibri"/>
          <w:sz w:val="22"/>
          <w:szCs w:val="22"/>
        </w:rPr>
        <w:t>(Washington DC: World Bank, 2002).</w:t>
      </w:r>
    </w:p>
    <w:p w14:paraId="1B8422E2" w14:textId="77777777" w:rsidR="00314F3B" w:rsidRDefault="00314F3B" w:rsidP="00931CC1">
      <w:pPr>
        <w:ind w:left="360"/>
        <w:rPr>
          <w:rFonts w:ascii="Calibri" w:hAnsi="Calibri" w:cs="Calibri"/>
          <w:sz w:val="22"/>
          <w:szCs w:val="22"/>
        </w:rPr>
      </w:pPr>
    </w:p>
    <w:p w14:paraId="2914AD74" w14:textId="66D88571" w:rsidR="00931CC1" w:rsidRDefault="00931CC1" w:rsidP="00931CC1">
      <w:pPr>
        <w:ind w:left="360"/>
        <w:rPr>
          <w:rFonts w:ascii="Calibri" w:hAnsi="Calibri" w:cs="Calibri"/>
          <w:sz w:val="22"/>
          <w:szCs w:val="22"/>
        </w:rPr>
      </w:pPr>
      <w:r w:rsidRPr="00A32897">
        <w:rPr>
          <w:rFonts w:ascii="Calibri" w:hAnsi="Calibri" w:cs="Calibri"/>
          <w:sz w:val="22"/>
          <w:szCs w:val="22"/>
        </w:rPr>
        <w:t>Crainey JL, JF Medeiros, FAC Pessoa</w:t>
      </w:r>
      <w:r w:rsidR="00314F3B">
        <w:rPr>
          <w:rFonts w:ascii="Calibri" w:hAnsi="Calibri" w:cs="Calibri"/>
          <w:sz w:val="22"/>
          <w:szCs w:val="22"/>
        </w:rPr>
        <w:t xml:space="preserve"> and</w:t>
      </w:r>
      <w:r w:rsidRPr="00A32897">
        <w:rPr>
          <w:rFonts w:ascii="Calibri" w:hAnsi="Calibri" w:cs="Calibri"/>
          <w:sz w:val="22"/>
          <w:szCs w:val="22"/>
        </w:rPr>
        <w:t xml:space="preserve"> SLB Luz, ‘Onchocerciasis’, </w:t>
      </w:r>
      <w:r w:rsidRPr="00A32897">
        <w:rPr>
          <w:rFonts w:ascii="Calibri" w:hAnsi="Calibri" w:cs="Calibri"/>
          <w:i/>
          <w:sz w:val="22"/>
          <w:szCs w:val="22"/>
        </w:rPr>
        <w:t xml:space="preserve">Arthropod Borne Diseases </w:t>
      </w:r>
      <w:r w:rsidRPr="00A32897">
        <w:rPr>
          <w:rFonts w:ascii="Calibri" w:hAnsi="Calibri" w:cs="Calibri"/>
          <w:sz w:val="22"/>
          <w:szCs w:val="22"/>
        </w:rPr>
        <w:t>(New York: Springer, 2017), 383-403.</w:t>
      </w:r>
    </w:p>
    <w:p w14:paraId="742B9BEE" w14:textId="77777777" w:rsidR="005931CC" w:rsidRPr="00A32897" w:rsidRDefault="005931CC" w:rsidP="00931CC1">
      <w:pPr>
        <w:ind w:left="360"/>
        <w:rPr>
          <w:rFonts w:ascii="Calibri" w:hAnsi="Calibri" w:cs="Calibri"/>
          <w:sz w:val="22"/>
          <w:szCs w:val="22"/>
        </w:rPr>
      </w:pPr>
    </w:p>
    <w:p w14:paraId="194EF6B6" w14:textId="480A001C" w:rsidR="00931CC1" w:rsidRDefault="00931CC1" w:rsidP="00931CC1">
      <w:pPr>
        <w:ind w:left="360"/>
        <w:rPr>
          <w:rFonts w:ascii="Calibri" w:hAnsi="Calibri" w:cs="Calibri"/>
          <w:sz w:val="22"/>
          <w:szCs w:val="22"/>
        </w:rPr>
      </w:pPr>
      <w:r w:rsidRPr="00A32897">
        <w:rPr>
          <w:rFonts w:ascii="Calibri" w:hAnsi="Calibri" w:cs="Calibri"/>
          <w:sz w:val="22"/>
          <w:szCs w:val="22"/>
        </w:rPr>
        <w:lastRenderedPageBreak/>
        <w:t xml:space="preserve">Crump A and Omura S, ‘Ivermectin, “Wonder drug” from Japan: the human use perspective’, </w:t>
      </w:r>
      <w:r w:rsidRPr="00A32897">
        <w:rPr>
          <w:rFonts w:ascii="Calibri" w:hAnsi="Calibri" w:cs="Calibri"/>
          <w:i/>
          <w:sz w:val="22"/>
          <w:szCs w:val="22"/>
        </w:rPr>
        <w:t xml:space="preserve">Proceedings of the Japan Academy series B: physical and biological sciences </w:t>
      </w:r>
      <w:r w:rsidRPr="00A32897">
        <w:rPr>
          <w:rFonts w:ascii="Calibri" w:hAnsi="Calibri" w:cs="Calibri"/>
          <w:sz w:val="22"/>
          <w:szCs w:val="22"/>
        </w:rPr>
        <w:t>87:2 (2011), 13-28.</w:t>
      </w:r>
    </w:p>
    <w:p w14:paraId="42B30305" w14:textId="77777777" w:rsidR="005931CC" w:rsidRPr="00A32897" w:rsidRDefault="005931CC" w:rsidP="00931CC1">
      <w:pPr>
        <w:ind w:left="360"/>
        <w:rPr>
          <w:rFonts w:ascii="Calibri" w:hAnsi="Calibri" w:cs="Calibri"/>
          <w:sz w:val="22"/>
          <w:szCs w:val="22"/>
        </w:rPr>
      </w:pPr>
    </w:p>
    <w:p w14:paraId="055B671B" w14:textId="77777777" w:rsidR="00931CC1" w:rsidRPr="00A32897" w:rsidRDefault="00931CC1" w:rsidP="00931CC1">
      <w:pPr>
        <w:ind w:left="360"/>
        <w:rPr>
          <w:rFonts w:ascii="Calibri" w:hAnsi="Calibri" w:cs="Calibri"/>
          <w:sz w:val="22"/>
          <w:szCs w:val="22"/>
        </w:rPr>
      </w:pPr>
      <w:r w:rsidRPr="00A32897">
        <w:rPr>
          <w:rFonts w:ascii="Calibri" w:hAnsi="Calibri" w:cs="Calibri"/>
          <w:sz w:val="22"/>
          <w:szCs w:val="22"/>
        </w:rPr>
        <w:t xml:space="preserve">Crump A, Morel CM, Omura S, ‘The onchocerciasis chronicle: from the beginning to the end?’, </w:t>
      </w:r>
      <w:r w:rsidRPr="00A32897">
        <w:rPr>
          <w:rFonts w:ascii="Calibri" w:hAnsi="Calibri" w:cs="Calibri"/>
          <w:i/>
          <w:sz w:val="22"/>
          <w:szCs w:val="22"/>
        </w:rPr>
        <w:t xml:space="preserve">Trends in Parasitology </w:t>
      </w:r>
      <w:r w:rsidRPr="00A32897">
        <w:rPr>
          <w:rFonts w:ascii="Calibri" w:hAnsi="Calibri" w:cs="Calibri"/>
          <w:sz w:val="22"/>
          <w:szCs w:val="22"/>
        </w:rPr>
        <w:t>28:7 (2012), 280-288.</w:t>
      </w:r>
    </w:p>
    <w:p w14:paraId="6DC7D7C4" w14:textId="77777777" w:rsidR="00314F3B" w:rsidRDefault="00314F3B" w:rsidP="00931CC1">
      <w:pPr>
        <w:ind w:left="360"/>
        <w:rPr>
          <w:rFonts w:ascii="Calibri" w:hAnsi="Calibri" w:cs="Calibri"/>
          <w:sz w:val="22"/>
          <w:szCs w:val="22"/>
        </w:rPr>
      </w:pPr>
    </w:p>
    <w:p w14:paraId="1E8F391F" w14:textId="373B01FB" w:rsidR="00931CC1" w:rsidRDefault="00931CC1" w:rsidP="00931CC1">
      <w:pPr>
        <w:ind w:left="360"/>
        <w:rPr>
          <w:rFonts w:ascii="Calibri" w:hAnsi="Calibri" w:cs="Calibri"/>
          <w:sz w:val="22"/>
          <w:szCs w:val="22"/>
        </w:rPr>
      </w:pPr>
      <w:r w:rsidRPr="00A32897">
        <w:rPr>
          <w:rFonts w:ascii="Calibri" w:hAnsi="Calibri" w:cs="Calibri"/>
          <w:sz w:val="22"/>
          <w:szCs w:val="22"/>
        </w:rPr>
        <w:t xml:space="preserve">Curtis CF, Hill N, Kasim SH, ‘Are there effective resistance management strategies for vectors of human disease?’, </w:t>
      </w:r>
      <w:r w:rsidRPr="00A32897">
        <w:rPr>
          <w:rFonts w:ascii="Calibri" w:hAnsi="Calibri" w:cs="Calibri"/>
          <w:i/>
          <w:sz w:val="22"/>
          <w:szCs w:val="22"/>
        </w:rPr>
        <w:t xml:space="preserve">Biological Journal of the Linnaean Society </w:t>
      </w:r>
      <w:r w:rsidRPr="00A32897">
        <w:rPr>
          <w:rFonts w:ascii="Calibri" w:hAnsi="Calibri" w:cs="Calibri"/>
          <w:sz w:val="22"/>
          <w:szCs w:val="22"/>
        </w:rPr>
        <w:t>48:1 (1993), 3-18.</w:t>
      </w:r>
    </w:p>
    <w:p w14:paraId="38828F5A" w14:textId="77777777" w:rsidR="005931CC" w:rsidRPr="00A32897" w:rsidRDefault="005931CC" w:rsidP="00931CC1">
      <w:pPr>
        <w:ind w:left="360"/>
        <w:rPr>
          <w:rFonts w:ascii="Calibri" w:hAnsi="Calibri" w:cs="Calibri"/>
          <w:sz w:val="22"/>
          <w:szCs w:val="22"/>
        </w:rPr>
      </w:pPr>
    </w:p>
    <w:p w14:paraId="778F2A95" w14:textId="03C23755" w:rsidR="00931CC1" w:rsidRDefault="00931CC1" w:rsidP="00931CC1">
      <w:pPr>
        <w:ind w:left="360"/>
        <w:rPr>
          <w:rFonts w:ascii="Calibri" w:hAnsi="Calibri" w:cs="Calibri"/>
          <w:sz w:val="22"/>
          <w:szCs w:val="22"/>
        </w:rPr>
      </w:pPr>
      <w:r w:rsidRPr="00A32897">
        <w:rPr>
          <w:rFonts w:ascii="Calibri" w:hAnsi="Calibri" w:cs="Calibri"/>
          <w:sz w:val="22"/>
          <w:szCs w:val="22"/>
        </w:rPr>
        <w:t xml:space="preserve">Dadzie KY, ‘Control of onchocerciasis: challenges for the future’, </w:t>
      </w:r>
      <w:r w:rsidRPr="00A32897">
        <w:rPr>
          <w:rFonts w:ascii="Calibri" w:hAnsi="Calibri" w:cs="Calibri"/>
          <w:i/>
          <w:sz w:val="22"/>
          <w:szCs w:val="22"/>
        </w:rPr>
        <w:t xml:space="preserve">Annals of Tropical Medicine &amp; Parasitology </w:t>
      </w:r>
      <w:r w:rsidRPr="00A32897">
        <w:rPr>
          <w:rFonts w:ascii="Calibri" w:hAnsi="Calibri" w:cs="Calibri"/>
          <w:sz w:val="22"/>
          <w:szCs w:val="22"/>
        </w:rPr>
        <w:t>92:s1 (1998), S65-S67.</w:t>
      </w:r>
    </w:p>
    <w:p w14:paraId="4CD15DDE" w14:textId="77777777" w:rsidR="005931CC" w:rsidRPr="00A32897" w:rsidRDefault="005931CC" w:rsidP="00931CC1">
      <w:pPr>
        <w:ind w:left="360"/>
        <w:rPr>
          <w:rFonts w:ascii="Calibri" w:hAnsi="Calibri" w:cs="Calibri"/>
          <w:sz w:val="22"/>
          <w:szCs w:val="22"/>
        </w:rPr>
      </w:pPr>
    </w:p>
    <w:p w14:paraId="4A618B8B" w14:textId="26AD7563" w:rsidR="00931CC1" w:rsidRDefault="00931CC1" w:rsidP="00931CC1">
      <w:pPr>
        <w:ind w:left="360"/>
        <w:rPr>
          <w:rFonts w:ascii="Calibri" w:hAnsi="Calibri" w:cs="Calibri"/>
          <w:sz w:val="22"/>
          <w:szCs w:val="22"/>
        </w:rPr>
      </w:pPr>
      <w:r w:rsidRPr="00A32897">
        <w:rPr>
          <w:rFonts w:ascii="Calibri" w:hAnsi="Calibri" w:cs="Calibri"/>
          <w:sz w:val="22"/>
          <w:szCs w:val="22"/>
        </w:rPr>
        <w:t xml:space="preserve">Dadzie KY, Neira M and Hopkins D, ‘Final report of the Conference on the eradicability of Onchocerciasis’, </w:t>
      </w:r>
      <w:r w:rsidRPr="00A32897">
        <w:rPr>
          <w:rFonts w:ascii="Calibri" w:hAnsi="Calibri" w:cs="Calibri"/>
          <w:i/>
          <w:sz w:val="22"/>
          <w:szCs w:val="22"/>
        </w:rPr>
        <w:t xml:space="preserve">Filaria Journal </w:t>
      </w:r>
      <w:r w:rsidRPr="00A32897">
        <w:rPr>
          <w:rFonts w:ascii="Calibri" w:hAnsi="Calibri" w:cs="Calibri"/>
          <w:sz w:val="22"/>
          <w:szCs w:val="22"/>
        </w:rPr>
        <w:t>2:1 (2003), 2.</w:t>
      </w:r>
    </w:p>
    <w:p w14:paraId="18E69202" w14:textId="77777777" w:rsidR="005931CC" w:rsidRPr="00A32897" w:rsidRDefault="005931CC" w:rsidP="00931CC1">
      <w:pPr>
        <w:ind w:left="360"/>
        <w:rPr>
          <w:rFonts w:ascii="Calibri" w:hAnsi="Calibri" w:cs="Calibri"/>
          <w:sz w:val="22"/>
          <w:szCs w:val="22"/>
        </w:rPr>
      </w:pPr>
    </w:p>
    <w:p w14:paraId="1B331F40" w14:textId="677D221E" w:rsidR="00931CC1" w:rsidRDefault="00931CC1" w:rsidP="00931CC1">
      <w:pPr>
        <w:ind w:left="360"/>
        <w:rPr>
          <w:rFonts w:ascii="Calibri" w:hAnsi="Calibri" w:cs="Calibri"/>
          <w:sz w:val="22"/>
          <w:szCs w:val="22"/>
        </w:rPr>
      </w:pPr>
      <w:r w:rsidRPr="00A32897">
        <w:rPr>
          <w:rFonts w:ascii="Calibri" w:hAnsi="Calibri" w:cs="Calibri"/>
          <w:sz w:val="22"/>
          <w:szCs w:val="22"/>
        </w:rPr>
        <w:t xml:space="preserve">Dadzie KY, Remme J and De Sole G, ‘Epidemiological impact of vector control, II. Changes in ocular onchocerciasis’, </w:t>
      </w:r>
      <w:r w:rsidRPr="00A32897">
        <w:rPr>
          <w:rFonts w:ascii="Calibri" w:hAnsi="Calibri" w:cs="Calibri"/>
          <w:i/>
          <w:sz w:val="22"/>
          <w:szCs w:val="22"/>
        </w:rPr>
        <w:t xml:space="preserve">Acta Leiden </w:t>
      </w:r>
      <w:r w:rsidRPr="00A32897">
        <w:rPr>
          <w:rFonts w:ascii="Calibri" w:hAnsi="Calibri" w:cs="Calibri"/>
          <w:sz w:val="22"/>
          <w:szCs w:val="22"/>
        </w:rPr>
        <w:t>59:1-2 (1990), 127-139.</w:t>
      </w:r>
    </w:p>
    <w:p w14:paraId="11472293" w14:textId="77777777" w:rsidR="005931CC" w:rsidRPr="00A32897" w:rsidRDefault="005931CC" w:rsidP="00931CC1">
      <w:pPr>
        <w:ind w:left="360"/>
        <w:rPr>
          <w:rFonts w:ascii="Calibri" w:hAnsi="Calibri" w:cs="Calibri"/>
          <w:sz w:val="22"/>
          <w:szCs w:val="22"/>
        </w:rPr>
      </w:pPr>
    </w:p>
    <w:p w14:paraId="1342A63B" w14:textId="71062117" w:rsidR="00931CC1" w:rsidRDefault="00931CC1" w:rsidP="00931CC1">
      <w:pPr>
        <w:ind w:left="360"/>
        <w:rPr>
          <w:rFonts w:ascii="Calibri" w:hAnsi="Calibri" w:cs="Calibri"/>
          <w:sz w:val="22"/>
          <w:szCs w:val="22"/>
        </w:rPr>
      </w:pPr>
      <w:r w:rsidRPr="00A32897">
        <w:rPr>
          <w:rFonts w:ascii="Calibri" w:hAnsi="Calibri" w:cs="Calibri"/>
          <w:sz w:val="22"/>
          <w:szCs w:val="22"/>
        </w:rPr>
        <w:t xml:space="preserve">De Sole G and Remme J, ‘Onchocerciasis infection in children born during14 years of Simulium control in West Africa’, </w:t>
      </w:r>
      <w:r w:rsidRPr="00A32897">
        <w:rPr>
          <w:rFonts w:ascii="Calibri" w:hAnsi="Calibri" w:cs="Calibri"/>
          <w:i/>
          <w:sz w:val="22"/>
          <w:szCs w:val="22"/>
        </w:rPr>
        <w:t xml:space="preserve">Transactions of the Royal Society of Tropical Medicine and Hygiene </w:t>
      </w:r>
      <w:r w:rsidRPr="00A32897">
        <w:rPr>
          <w:rFonts w:ascii="Calibri" w:hAnsi="Calibri" w:cs="Calibri"/>
          <w:sz w:val="22"/>
          <w:szCs w:val="22"/>
        </w:rPr>
        <w:t>85:3 (1991), 385-390.</w:t>
      </w:r>
    </w:p>
    <w:p w14:paraId="13305855" w14:textId="77777777" w:rsidR="005931CC" w:rsidRPr="00A32897" w:rsidRDefault="005931CC" w:rsidP="00931CC1">
      <w:pPr>
        <w:ind w:left="360"/>
        <w:rPr>
          <w:rFonts w:ascii="Calibri" w:hAnsi="Calibri" w:cs="Calibri"/>
          <w:sz w:val="22"/>
          <w:szCs w:val="22"/>
        </w:rPr>
      </w:pPr>
    </w:p>
    <w:p w14:paraId="7EEFDFF3" w14:textId="4692B9DB" w:rsidR="00931CC1" w:rsidRDefault="00931CC1" w:rsidP="00931CC1">
      <w:pPr>
        <w:ind w:left="360"/>
        <w:rPr>
          <w:rFonts w:ascii="Calibri" w:hAnsi="Calibri" w:cs="Calibri"/>
          <w:sz w:val="22"/>
          <w:szCs w:val="22"/>
        </w:rPr>
      </w:pPr>
      <w:r w:rsidRPr="00A32897">
        <w:rPr>
          <w:rFonts w:ascii="Calibri" w:hAnsi="Calibri" w:cs="Calibri"/>
          <w:sz w:val="22"/>
          <w:szCs w:val="22"/>
        </w:rPr>
        <w:t xml:space="preserve">De Sole G, Remme J and Dadzie KY, ‘Epidemiological impact of vector control, I. Incidence and changes in prevalence and intensity of Onchocerciasis volvulus infection’, </w:t>
      </w:r>
      <w:r w:rsidRPr="00A32897">
        <w:rPr>
          <w:rFonts w:ascii="Calibri" w:hAnsi="Calibri" w:cs="Calibri"/>
          <w:i/>
          <w:sz w:val="22"/>
          <w:szCs w:val="22"/>
        </w:rPr>
        <w:t xml:space="preserve">Acta Leiden </w:t>
      </w:r>
      <w:r w:rsidRPr="00A32897">
        <w:rPr>
          <w:rFonts w:ascii="Calibri" w:hAnsi="Calibri" w:cs="Calibri"/>
          <w:sz w:val="22"/>
          <w:szCs w:val="22"/>
        </w:rPr>
        <w:t>59:1-2 (1990), 119-126.</w:t>
      </w:r>
    </w:p>
    <w:p w14:paraId="26A85CEB" w14:textId="77777777" w:rsidR="005931CC" w:rsidRPr="00A32897" w:rsidRDefault="005931CC" w:rsidP="00931CC1">
      <w:pPr>
        <w:ind w:left="360"/>
        <w:rPr>
          <w:rFonts w:ascii="Calibri" w:hAnsi="Calibri" w:cs="Calibri"/>
          <w:sz w:val="22"/>
          <w:szCs w:val="22"/>
        </w:rPr>
      </w:pPr>
    </w:p>
    <w:p w14:paraId="536F6829" w14:textId="05F0E20D" w:rsidR="00931CC1" w:rsidRDefault="00931CC1" w:rsidP="00931CC1">
      <w:pPr>
        <w:ind w:left="360"/>
        <w:rPr>
          <w:rFonts w:ascii="Calibri" w:hAnsi="Calibri" w:cs="Calibri"/>
          <w:sz w:val="22"/>
          <w:szCs w:val="22"/>
        </w:rPr>
      </w:pPr>
      <w:r w:rsidRPr="00A32897">
        <w:rPr>
          <w:rFonts w:ascii="Calibri" w:hAnsi="Calibri" w:cs="Calibri"/>
          <w:sz w:val="22"/>
          <w:szCs w:val="22"/>
        </w:rPr>
        <w:t xml:space="preserve">Dissak-Delon FN, Kamga GR, Humblet PC, Robert A, Souopgui J, Kamgno J, Essi MJ, Ghogomu SM and Godin I, ‘Adherence to ivermectin is more associated with perceptions of community directed treatment with ivermectin organization than with onchocerciasis beliefs’, </w:t>
      </w:r>
      <w:r w:rsidRPr="00A32897">
        <w:rPr>
          <w:rFonts w:ascii="Calibri" w:hAnsi="Calibri" w:cs="Calibri"/>
          <w:i/>
          <w:sz w:val="22"/>
          <w:szCs w:val="22"/>
        </w:rPr>
        <w:t xml:space="preserve">PLoS Neglected Tropical Diseases </w:t>
      </w:r>
      <w:r w:rsidRPr="00A32897">
        <w:rPr>
          <w:rFonts w:ascii="Calibri" w:hAnsi="Calibri" w:cs="Calibri"/>
          <w:sz w:val="22"/>
          <w:szCs w:val="22"/>
        </w:rPr>
        <w:t>11:8 (2017), e0005849.</w:t>
      </w:r>
    </w:p>
    <w:p w14:paraId="65A96F42" w14:textId="77777777" w:rsidR="005931CC" w:rsidRPr="00A32897" w:rsidRDefault="005931CC" w:rsidP="00931CC1">
      <w:pPr>
        <w:ind w:left="360"/>
        <w:rPr>
          <w:rFonts w:ascii="Calibri" w:hAnsi="Calibri" w:cs="Calibri"/>
          <w:sz w:val="22"/>
          <w:szCs w:val="22"/>
        </w:rPr>
      </w:pPr>
    </w:p>
    <w:p w14:paraId="73FBC289" w14:textId="051CB7E3" w:rsidR="00931CC1" w:rsidRDefault="00931CC1" w:rsidP="00931CC1">
      <w:pPr>
        <w:ind w:left="360"/>
        <w:rPr>
          <w:rFonts w:ascii="Calibri" w:hAnsi="Calibri" w:cs="Calibri"/>
          <w:sz w:val="22"/>
          <w:szCs w:val="22"/>
        </w:rPr>
      </w:pPr>
      <w:r w:rsidRPr="00A32897">
        <w:rPr>
          <w:rFonts w:ascii="Calibri" w:hAnsi="Calibri" w:cs="Calibri"/>
          <w:sz w:val="22"/>
          <w:szCs w:val="22"/>
        </w:rPr>
        <w:t xml:space="preserve">Du Toit R, Faal HB, Etya-Ale D, Wiafe B, Mason I, Graham R, Bush S, Mathlenge W and Courtright P, ‘Evidence for integrating eye health into primary health care in Africa: a health systems strengthening approach’, </w:t>
      </w:r>
      <w:r w:rsidRPr="00A32897">
        <w:rPr>
          <w:rFonts w:ascii="Calibri" w:hAnsi="Calibri" w:cs="Calibri"/>
          <w:i/>
          <w:sz w:val="22"/>
          <w:szCs w:val="22"/>
        </w:rPr>
        <w:t xml:space="preserve">BMC Health Services Research </w:t>
      </w:r>
      <w:r w:rsidRPr="00A32897">
        <w:rPr>
          <w:rFonts w:ascii="Calibri" w:hAnsi="Calibri" w:cs="Calibri"/>
          <w:sz w:val="22"/>
          <w:szCs w:val="22"/>
        </w:rPr>
        <w:t>13:1 (2013).</w:t>
      </w:r>
    </w:p>
    <w:p w14:paraId="0CC2B03D" w14:textId="77777777" w:rsidR="005931CC" w:rsidRPr="00A32897" w:rsidRDefault="005931CC" w:rsidP="00931CC1">
      <w:pPr>
        <w:ind w:left="360"/>
        <w:rPr>
          <w:rFonts w:ascii="Calibri" w:hAnsi="Calibri" w:cs="Calibri"/>
          <w:sz w:val="22"/>
          <w:szCs w:val="22"/>
        </w:rPr>
      </w:pPr>
    </w:p>
    <w:p w14:paraId="1C62F337" w14:textId="4899FFEC" w:rsidR="00931CC1" w:rsidRDefault="00931CC1" w:rsidP="00931CC1">
      <w:pPr>
        <w:ind w:left="360"/>
        <w:rPr>
          <w:rFonts w:ascii="Calibri" w:hAnsi="Calibri" w:cs="Calibri"/>
          <w:sz w:val="22"/>
          <w:szCs w:val="22"/>
        </w:rPr>
      </w:pPr>
      <w:r w:rsidRPr="00A32897">
        <w:rPr>
          <w:rFonts w:ascii="Calibri" w:hAnsi="Calibri" w:cs="Calibri"/>
          <w:sz w:val="22"/>
          <w:szCs w:val="22"/>
        </w:rPr>
        <w:t xml:space="preserve">Duke BO, ‘Human onchocerciasis – an overview of the disease’, </w:t>
      </w:r>
      <w:r w:rsidRPr="00A32897">
        <w:rPr>
          <w:rFonts w:ascii="Calibri" w:hAnsi="Calibri" w:cs="Calibri"/>
          <w:i/>
          <w:sz w:val="22"/>
          <w:szCs w:val="22"/>
        </w:rPr>
        <w:t xml:space="preserve">Acta Leiden </w:t>
      </w:r>
      <w:r w:rsidRPr="00A32897">
        <w:rPr>
          <w:rFonts w:ascii="Calibri" w:hAnsi="Calibri" w:cs="Calibri"/>
          <w:sz w:val="22"/>
          <w:szCs w:val="22"/>
        </w:rPr>
        <w:t>59:1-2 (1990), 9-24.</w:t>
      </w:r>
    </w:p>
    <w:p w14:paraId="56FBCE0F" w14:textId="77777777" w:rsidR="005931CC" w:rsidRPr="00A32897" w:rsidRDefault="005931CC" w:rsidP="00931CC1">
      <w:pPr>
        <w:ind w:left="360"/>
        <w:rPr>
          <w:rFonts w:ascii="Calibri" w:hAnsi="Calibri" w:cs="Calibri"/>
          <w:sz w:val="22"/>
          <w:szCs w:val="22"/>
        </w:rPr>
      </w:pPr>
    </w:p>
    <w:p w14:paraId="1B1938C2" w14:textId="39C7248E" w:rsidR="00931CC1" w:rsidRDefault="00931CC1" w:rsidP="00931CC1">
      <w:pPr>
        <w:ind w:left="360"/>
        <w:rPr>
          <w:rFonts w:ascii="Calibri" w:hAnsi="Calibri" w:cs="Calibri"/>
          <w:sz w:val="22"/>
          <w:szCs w:val="22"/>
        </w:rPr>
      </w:pPr>
      <w:r w:rsidRPr="00A32897">
        <w:rPr>
          <w:rFonts w:ascii="Calibri" w:hAnsi="Calibri" w:cs="Calibri"/>
          <w:sz w:val="22"/>
          <w:szCs w:val="22"/>
        </w:rPr>
        <w:t xml:space="preserve">Dunn C, Callahan K, Katabarwa M, Richard F, Hopkins D, Withers PC, Buyon LE and MacFarland D, ‘The contributions of onchocerciasis control and elimination programs toward the achievement of the millennium development goals’, </w:t>
      </w:r>
      <w:r w:rsidRPr="00A32897">
        <w:rPr>
          <w:rFonts w:ascii="Calibri" w:hAnsi="Calibri" w:cs="Calibri"/>
          <w:i/>
          <w:sz w:val="22"/>
          <w:szCs w:val="22"/>
        </w:rPr>
        <w:t xml:space="preserve">PLoS Neglected Tropical Diseases </w:t>
      </w:r>
      <w:r w:rsidRPr="00A32897">
        <w:rPr>
          <w:rFonts w:ascii="Calibri" w:hAnsi="Calibri" w:cs="Calibri"/>
          <w:sz w:val="22"/>
          <w:szCs w:val="22"/>
        </w:rPr>
        <w:t>9:5 (2015), e0003703.</w:t>
      </w:r>
    </w:p>
    <w:p w14:paraId="41E9FCF4" w14:textId="77777777" w:rsidR="005931CC" w:rsidRPr="00A32897" w:rsidRDefault="005931CC" w:rsidP="00931CC1">
      <w:pPr>
        <w:ind w:left="360"/>
        <w:rPr>
          <w:rFonts w:ascii="Calibri" w:hAnsi="Calibri" w:cs="Calibri"/>
          <w:sz w:val="22"/>
          <w:szCs w:val="22"/>
        </w:rPr>
      </w:pPr>
    </w:p>
    <w:p w14:paraId="31A331A9" w14:textId="151D00AD" w:rsidR="00931CC1" w:rsidRDefault="00931CC1" w:rsidP="00931CC1">
      <w:pPr>
        <w:ind w:left="360"/>
        <w:rPr>
          <w:rFonts w:ascii="Calibri" w:hAnsi="Calibri" w:cs="Calibri"/>
          <w:sz w:val="22"/>
          <w:szCs w:val="22"/>
        </w:rPr>
      </w:pPr>
      <w:r w:rsidRPr="00A32897">
        <w:rPr>
          <w:rFonts w:ascii="Calibri" w:hAnsi="Calibri" w:cs="Calibri"/>
          <w:sz w:val="22"/>
          <w:szCs w:val="22"/>
        </w:rPr>
        <w:t xml:space="preserve">Ebomoyi EW and Omonisi MK, ‘Human ecology and behaviour in onchocerciasis control in isolated villages of Kwara State, Nigeria’, </w:t>
      </w:r>
      <w:r w:rsidRPr="00A32897">
        <w:rPr>
          <w:rFonts w:ascii="Calibri" w:hAnsi="Calibri" w:cs="Calibri"/>
          <w:i/>
          <w:sz w:val="22"/>
          <w:szCs w:val="22"/>
        </w:rPr>
        <w:t xml:space="preserve">Ambio </w:t>
      </w:r>
      <w:r w:rsidRPr="00A32897">
        <w:rPr>
          <w:rFonts w:ascii="Calibri" w:hAnsi="Calibri" w:cs="Calibri"/>
          <w:sz w:val="22"/>
          <w:szCs w:val="22"/>
        </w:rPr>
        <w:t>(1991), 43-47.</w:t>
      </w:r>
    </w:p>
    <w:p w14:paraId="14AF9D8E" w14:textId="77777777" w:rsidR="005931CC" w:rsidRPr="00A32897" w:rsidRDefault="005931CC" w:rsidP="00931CC1">
      <w:pPr>
        <w:ind w:left="360"/>
        <w:rPr>
          <w:rFonts w:ascii="Calibri" w:hAnsi="Calibri" w:cs="Calibri"/>
          <w:sz w:val="22"/>
          <w:szCs w:val="22"/>
        </w:rPr>
      </w:pPr>
    </w:p>
    <w:p w14:paraId="5CB4E94C" w14:textId="303C069C" w:rsidR="00931CC1" w:rsidRDefault="00931CC1" w:rsidP="00931CC1">
      <w:pPr>
        <w:ind w:left="360"/>
        <w:rPr>
          <w:rFonts w:ascii="Calibri" w:hAnsi="Calibri" w:cs="Calibri"/>
          <w:sz w:val="22"/>
          <w:szCs w:val="22"/>
        </w:rPr>
      </w:pPr>
      <w:r w:rsidRPr="00A32897">
        <w:rPr>
          <w:rFonts w:ascii="Calibri" w:hAnsi="Calibri" w:cs="Calibri"/>
          <w:sz w:val="22"/>
          <w:szCs w:val="22"/>
        </w:rPr>
        <w:t xml:space="preserve">Eldridge BF and Edman J, </w:t>
      </w:r>
      <w:r w:rsidRPr="00A32897">
        <w:rPr>
          <w:rFonts w:ascii="Calibri" w:hAnsi="Calibri" w:cs="Calibri"/>
          <w:i/>
          <w:sz w:val="22"/>
          <w:szCs w:val="22"/>
        </w:rPr>
        <w:t xml:space="preserve">Medical entomology: a textbook on public health and veterinary problems caused by arthropods </w:t>
      </w:r>
      <w:r w:rsidRPr="00A32897">
        <w:rPr>
          <w:rFonts w:ascii="Calibri" w:hAnsi="Calibri" w:cs="Calibri"/>
          <w:sz w:val="22"/>
          <w:szCs w:val="22"/>
        </w:rPr>
        <w:t>(Netherlands: Springer, 2012).</w:t>
      </w:r>
    </w:p>
    <w:p w14:paraId="09D66717" w14:textId="77777777" w:rsidR="005931CC" w:rsidRPr="00A32897" w:rsidRDefault="005931CC" w:rsidP="00931CC1">
      <w:pPr>
        <w:ind w:left="360"/>
        <w:rPr>
          <w:rFonts w:ascii="Calibri" w:hAnsi="Calibri" w:cs="Calibri"/>
          <w:sz w:val="22"/>
          <w:szCs w:val="22"/>
        </w:rPr>
      </w:pPr>
    </w:p>
    <w:p w14:paraId="2366FEB3" w14:textId="013D9DB9" w:rsidR="00931CC1" w:rsidRDefault="00931CC1" w:rsidP="00931CC1">
      <w:pPr>
        <w:ind w:left="360"/>
        <w:rPr>
          <w:rFonts w:ascii="Calibri" w:hAnsi="Calibri" w:cs="Calibri"/>
          <w:sz w:val="22"/>
          <w:szCs w:val="22"/>
        </w:rPr>
      </w:pPr>
      <w:r w:rsidRPr="00A32897">
        <w:rPr>
          <w:rFonts w:ascii="Calibri" w:hAnsi="Calibri" w:cs="Calibri"/>
          <w:sz w:val="22"/>
          <w:szCs w:val="22"/>
        </w:rPr>
        <w:t xml:space="preserve">Evans DS, </w:t>
      </w:r>
      <w:r w:rsidRPr="00A32897">
        <w:rPr>
          <w:rFonts w:ascii="Calibri" w:hAnsi="Calibri" w:cs="Calibri"/>
          <w:i/>
          <w:sz w:val="22"/>
          <w:szCs w:val="22"/>
        </w:rPr>
        <w:t xml:space="preserve">Onchocerciasis, lymphatic filariasis, soil transmitted helminthiasis, and schistosomiasis integration and economic evaluation of mass drug administration using ivermectin, albendazole, and praziquantel </w:t>
      </w:r>
      <w:r w:rsidRPr="00A32897">
        <w:rPr>
          <w:rFonts w:ascii="Calibri" w:hAnsi="Calibri" w:cs="Calibri"/>
          <w:sz w:val="22"/>
          <w:szCs w:val="22"/>
        </w:rPr>
        <w:t>(Boston: Boston University, 2013).</w:t>
      </w:r>
    </w:p>
    <w:p w14:paraId="33D876CF" w14:textId="77777777" w:rsidR="005931CC" w:rsidRPr="00A32897" w:rsidRDefault="005931CC" w:rsidP="00931CC1">
      <w:pPr>
        <w:ind w:left="360"/>
        <w:rPr>
          <w:rFonts w:ascii="Calibri" w:hAnsi="Calibri" w:cs="Calibri"/>
          <w:sz w:val="22"/>
          <w:szCs w:val="22"/>
        </w:rPr>
      </w:pPr>
    </w:p>
    <w:p w14:paraId="4145D6B2" w14:textId="1252AA4F" w:rsidR="00931CC1" w:rsidRDefault="00931CC1" w:rsidP="00931CC1">
      <w:pPr>
        <w:ind w:left="360"/>
        <w:rPr>
          <w:rFonts w:ascii="Calibri" w:hAnsi="Calibri" w:cs="Calibri"/>
          <w:sz w:val="22"/>
          <w:szCs w:val="22"/>
        </w:rPr>
      </w:pPr>
      <w:r w:rsidRPr="00A32897">
        <w:rPr>
          <w:rFonts w:ascii="Calibri" w:hAnsi="Calibri" w:cs="Calibri"/>
          <w:sz w:val="22"/>
          <w:szCs w:val="22"/>
        </w:rPr>
        <w:t xml:space="preserve">Fair M, </w:t>
      </w:r>
      <w:r w:rsidRPr="00A32897">
        <w:rPr>
          <w:rFonts w:ascii="Calibri" w:hAnsi="Calibri" w:cs="Calibri"/>
          <w:i/>
          <w:sz w:val="22"/>
          <w:szCs w:val="22"/>
        </w:rPr>
        <w:t>From population lending to HNP results: the evolution of the World Bank’s strategies in health, nutrition and population</w:t>
      </w:r>
      <w:r w:rsidRPr="00A32897">
        <w:rPr>
          <w:rFonts w:ascii="Calibri" w:hAnsi="Calibri" w:cs="Calibri"/>
          <w:sz w:val="22"/>
          <w:szCs w:val="22"/>
        </w:rPr>
        <w:t xml:space="preserve"> (Washington DC: World Bank, 2008).</w:t>
      </w:r>
    </w:p>
    <w:p w14:paraId="085C6624" w14:textId="77777777" w:rsidR="005931CC" w:rsidRPr="00A32897" w:rsidRDefault="005931CC" w:rsidP="00931CC1">
      <w:pPr>
        <w:ind w:left="360"/>
        <w:rPr>
          <w:rFonts w:ascii="Calibri" w:hAnsi="Calibri" w:cs="Calibri"/>
          <w:sz w:val="22"/>
          <w:szCs w:val="22"/>
        </w:rPr>
      </w:pPr>
    </w:p>
    <w:p w14:paraId="2F4A30F3" w14:textId="5BC72F35" w:rsidR="00931CC1" w:rsidRDefault="00931CC1" w:rsidP="00931CC1">
      <w:pPr>
        <w:ind w:left="360"/>
        <w:rPr>
          <w:rFonts w:ascii="Calibri" w:hAnsi="Calibri" w:cs="Calibri"/>
          <w:sz w:val="22"/>
          <w:szCs w:val="22"/>
        </w:rPr>
      </w:pPr>
      <w:r w:rsidRPr="00A32897">
        <w:rPr>
          <w:rFonts w:ascii="Calibri" w:hAnsi="Calibri" w:cs="Calibri"/>
          <w:sz w:val="22"/>
          <w:szCs w:val="22"/>
        </w:rPr>
        <w:t xml:space="preserve">Federici BA, ‘Insecticidal bacteria: an overwhelming success for invertebrate pathology’, </w:t>
      </w:r>
      <w:r w:rsidRPr="00A32897">
        <w:rPr>
          <w:rFonts w:ascii="Calibri" w:hAnsi="Calibri" w:cs="Calibri"/>
          <w:i/>
          <w:sz w:val="22"/>
          <w:szCs w:val="22"/>
        </w:rPr>
        <w:t xml:space="preserve">Journal of Invertebrate Pathology </w:t>
      </w:r>
      <w:r w:rsidRPr="00A32897">
        <w:rPr>
          <w:rFonts w:ascii="Calibri" w:hAnsi="Calibri" w:cs="Calibri"/>
          <w:sz w:val="22"/>
          <w:szCs w:val="22"/>
        </w:rPr>
        <w:t>89:1 (2005), 30-38.</w:t>
      </w:r>
    </w:p>
    <w:p w14:paraId="036AE853" w14:textId="77777777" w:rsidR="005931CC" w:rsidRPr="00A32897" w:rsidRDefault="005931CC" w:rsidP="00931CC1">
      <w:pPr>
        <w:ind w:left="360"/>
        <w:rPr>
          <w:rFonts w:ascii="Calibri" w:hAnsi="Calibri" w:cs="Calibri"/>
          <w:sz w:val="22"/>
          <w:szCs w:val="22"/>
        </w:rPr>
      </w:pPr>
    </w:p>
    <w:p w14:paraId="4C449C4A" w14:textId="375F6EB3" w:rsidR="00931CC1" w:rsidRDefault="00931CC1" w:rsidP="00931CC1">
      <w:pPr>
        <w:ind w:left="360"/>
        <w:rPr>
          <w:rFonts w:ascii="Calibri" w:hAnsi="Calibri" w:cs="Calibri"/>
          <w:sz w:val="22"/>
          <w:szCs w:val="22"/>
        </w:rPr>
      </w:pPr>
      <w:r w:rsidRPr="00A32897">
        <w:rPr>
          <w:rFonts w:ascii="Calibri" w:hAnsi="Calibri" w:cs="Calibri"/>
          <w:sz w:val="22"/>
          <w:szCs w:val="22"/>
        </w:rPr>
        <w:t xml:space="preserve">Fee EM, Cueto M, and Brown TM, ‘WHO at 60: shapshots from its first six decades’, </w:t>
      </w:r>
      <w:r w:rsidRPr="00A32897">
        <w:rPr>
          <w:rFonts w:ascii="Calibri" w:hAnsi="Calibri" w:cs="Calibri"/>
          <w:i/>
          <w:sz w:val="22"/>
          <w:szCs w:val="22"/>
        </w:rPr>
        <w:t xml:space="preserve">American Journal of Public Health </w:t>
      </w:r>
      <w:r w:rsidRPr="00A32897">
        <w:rPr>
          <w:rFonts w:ascii="Calibri" w:hAnsi="Calibri" w:cs="Calibri"/>
          <w:sz w:val="22"/>
          <w:szCs w:val="22"/>
        </w:rPr>
        <w:t>98:4 (2008), 630-633.</w:t>
      </w:r>
    </w:p>
    <w:p w14:paraId="6326ABDB" w14:textId="77777777" w:rsidR="005931CC" w:rsidRPr="00A32897" w:rsidRDefault="005931CC" w:rsidP="00931CC1">
      <w:pPr>
        <w:ind w:left="360"/>
        <w:rPr>
          <w:rFonts w:ascii="Calibri" w:hAnsi="Calibri" w:cs="Calibri"/>
          <w:sz w:val="22"/>
          <w:szCs w:val="22"/>
        </w:rPr>
      </w:pPr>
    </w:p>
    <w:p w14:paraId="7F2C9DB1" w14:textId="66445B60" w:rsidR="00931CC1" w:rsidRDefault="00931CC1" w:rsidP="00931CC1">
      <w:pPr>
        <w:ind w:left="360"/>
        <w:rPr>
          <w:rFonts w:ascii="Calibri" w:hAnsi="Calibri" w:cs="Calibri"/>
          <w:sz w:val="22"/>
          <w:szCs w:val="22"/>
        </w:rPr>
      </w:pPr>
      <w:r w:rsidRPr="00A32897">
        <w:rPr>
          <w:rFonts w:ascii="Calibri" w:hAnsi="Calibri" w:cs="Calibri"/>
          <w:sz w:val="22"/>
          <w:szCs w:val="22"/>
        </w:rPr>
        <w:t>Fenwick A, Gabrielli AF, French M</w:t>
      </w:r>
      <w:r w:rsidR="00314F3B">
        <w:rPr>
          <w:rFonts w:ascii="Calibri" w:hAnsi="Calibri" w:cs="Calibri"/>
          <w:sz w:val="22"/>
          <w:szCs w:val="22"/>
        </w:rPr>
        <w:t xml:space="preserve"> </w:t>
      </w:r>
      <w:r w:rsidRPr="00A32897">
        <w:rPr>
          <w:rFonts w:ascii="Calibri" w:hAnsi="Calibri" w:cs="Calibri"/>
          <w:sz w:val="22"/>
          <w:szCs w:val="22"/>
        </w:rPr>
        <w:t xml:space="preserve">and Savioli L, ‘Waterborne infectious diseases, approaches to control’, in </w:t>
      </w:r>
      <w:r w:rsidRPr="00A32897">
        <w:rPr>
          <w:rFonts w:ascii="Calibri" w:hAnsi="Calibri" w:cs="Calibri"/>
          <w:i/>
          <w:sz w:val="22"/>
          <w:szCs w:val="22"/>
        </w:rPr>
        <w:t xml:space="preserve">Infectious Diseases </w:t>
      </w:r>
      <w:r w:rsidRPr="00A32897">
        <w:rPr>
          <w:rFonts w:ascii="Calibri" w:hAnsi="Calibri" w:cs="Calibri"/>
          <w:sz w:val="22"/>
          <w:szCs w:val="22"/>
        </w:rPr>
        <w:t>(Springer: New York, 2013), 399-429.</w:t>
      </w:r>
    </w:p>
    <w:p w14:paraId="400BF60F" w14:textId="77777777" w:rsidR="005931CC" w:rsidRPr="00A32897" w:rsidRDefault="005931CC" w:rsidP="00931CC1">
      <w:pPr>
        <w:ind w:left="360"/>
        <w:rPr>
          <w:rFonts w:ascii="Calibri" w:hAnsi="Calibri" w:cs="Calibri"/>
          <w:sz w:val="22"/>
          <w:szCs w:val="22"/>
        </w:rPr>
      </w:pPr>
    </w:p>
    <w:p w14:paraId="6DAA9532" w14:textId="25EB7245" w:rsidR="00931CC1" w:rsidRDefault="00931CC1" w:rsidP="00931CC1">
      <w:pPr>
        <w:ind w:left="360"/>
        <w:rPr>
          <w:rFonts w:ascii="Calibri" w:hAnsi="Calibri" w:cs="Calibri"/>
          <w:sz w:val="22"/>
          <w:szCs w:val="22"/>
        </w:rPr>
      </w:pPr>
      <w:r w:rsidRPr="00A32897">
        <w:rPr>
          <w:rFonts w:ascii="Calibri" w:hAnsi="Calibri" w:cs="Calibri"/>
          <w:sz w:val="22"/>
          <w:szCs w:val="22"/>
        </w:rPr>
        <w:t xml:space="preserve">Ferroni M, ‘Regional public goods: the comparative edge of regional development banks’, </w:t>
      </w:r>
      <w:r w:rsidRPr="00A32897">
        <w:rPr>
          <w:rFonts w:ascii="Calibri" w:hAnsi="Calibri" w:cs="Calibri"/>
          <w:i/>
          <w:sz w:val="22"/>
          <w:szCs w:val="22"/>
        </w:rPr>
        <w:t xml:space="preserve">Financing for development conference - regional challenges and the regional development banks </w:t>
      </w:r>
      <w:r w:rsidRPr="00A32897">
        <w:rPr>
          <w:rFonts w:ascii="Calibri" w:hAnsi="Calibri" w:cs="Calibri"/>
          <w:sz w:val="22"/>
          <w:szCs w:val="22"/>
        </w:rPr>
        <w:t>(Washington DC: Institute for International Economics, 2002).</w:t>
      </w:r>
    </w:p>
    <w:p w14:paraId="548B8C38" w14:textId="77777777" w:rsidR="005931CC" w:rsidRPr="00A32897" w:rsidRDefault="005931CC" w:rsidP="00931CC1">
      <w:pPr>
        <w:ind w:left="360"/>
        <w:rPr>
          <w:rFonts w:ascii="Calibri" w:hAnsi="Calibri" w:cs="Calibri"/>
          <w:sz w:val="22"/>
          <w:szCs w:val="22"/>
        </w:rPr>
      </w:pPr>
    </w:p>
    <w:p w14:paraId="442A8FC8" w14:textId="088F214E" w:rsidR="00931CC1" w:rsidRDefault="00931CC1" w:rsidP="00931CC1">
      <w:pPr>
        <w:ind w:left="360"/>
        <w:rPr>
          <w:rFonts w:ascii="Calibri" w:hAnsi="Calibri" w:cs="Calibri"/>
          <w:sz w:val="22"/>
          <w:szCs w:val="22"/>
        </w:rPr>
      </w:pPr>
      <w:r w:rsidRPr="00A32897">
        <w:rPr>
          <w:rFonts w:ascii="Calibri" w:hAnsi="Calibri" w:cs="Calibri"/>
          <w:sz w:val="22"/>
          <w:szCs w:val="22"/>
        </w:rPr>
        <w:t xml:space="preserve">Ferroni M, </w:t>
      </w:r>
      <w:r w:rsidRPr="00A32897">
        <w:rPr>
          <w:rFonts w:ascii="Calibri" w:hAnsi="Calibri" w:cs="Calibri"/>
          <w:i/>
          <w:sz w:val="22"/>
          <w:szCs w:val="22"/>
        </w:rPr>
        <w:t xml:space="preserve">Reforming foreign aid: the role of international public goods </w:t>
      </w:r>
      <w:r w:rsidRPr="00A32897">
        <w:rPr>
          <w:rFonts w:ascii="Calibri" w:hAnsi="Calibri" w:cs="Calibri"/>
          <w:sz w:val="22"/>
          <w:szCs w:val="22"/>
        </w:rPr>
        <w:t>(Washington DC: World Bank, 2000).</w:t>
      </w:r>
    </w:p>
    <w:p w14:paraId="75FD6275" w14:textId="77777777" w:rsidR="005931CC" w:rsidRPr="00A32897" w:rsidRDefault="005931CC" w:rsidP="00931CC1">
      <w:pPr>
        <w:ind w:left="360"/>
        <w:rPr>
          <w:rFonts w:ascii="Calibri" w:hAnsi="Calibri" w:cs="Calibri"/>
          <w:sz w:val="22"/>
          <w:szCs w:val="22"/>
        </w:rPr>
      </w:pPr>
    </w:p>
    <w:p w14:paraId="2FDAC5CC" w14:textId="14B71A64" w:rsidR="00931CC1" w:rsidRDefault="00931CC1" w:rsidP="00931CC1">
      <w:pPr>
        <w:ind w:left="360"/>
        <w:rPr>
          <w:rFonts w:ascii="Calibri" w:hAnsi="Calibri" w:cs="Calibri"/>
          <w:sz w:val="22"/>
          <w:szCs w:val="22"/>
        </w:rPr>
      </w:pPr>
      <w:r w:rsidRPr="00A32897">
        <w:rPr>
          <w:rFonts w:ascii="Calibri" w:hAnsi="Calibri" w:cs="Calibri"/>
          <w:sz w:val="22"/>
          <w:szCs w:val="22"/>
        </w:rPr>
        <w:t xml:space="preserve">Forget G, ‘Balancing the need for pesticides with the risk to human health’, </w:t>
      </w:r>
      <w:r w:rsidRPr="00A32897">
        <w:rPr>
          <w:rFonts w:ascii="Calibri" w:hAnsi="Calibri" w:cs="Calibri"/>
          <w:i/>
          <w:sz w:val="22"/>
          <w:szCs w:val="22"/>
        </w:rPr>
        <w:t xml:space="preserve">Symposium proceedings - impact of pesticide use on health in developing countries, 17-20 September 1990 </w:t>
      </w:r>
      <w:r w:rsidRPr="00A32897">
        <w:rPr>
          <w:rFonts w:ascii="Calibri" w:hAnsi="Calibri" w:cs="Calibri"/>
          <w:sz w:val="22"/>
          <w:szCs w:val="22"/>
        </w:rPr>
        <w:t>(Ottawa: International Development Research Centre, 1993).</w:t>
      </w:r>
    </w:p>
    <w:p w14:paraId="4F7C39C8" w14:textId="77777777" w:rsidR="005931CC" w:rsidRPr="00A32897" w:rsidRDefault="005931CC" w:rsidP="00931CC1">
      <w:pPr>
        <w:ind w:left="360"/>
        <w:rPr>
          <w:rFonts w:ascii="Calibri" w:hAnsi="Calibri" w:cs="Calibri"/>
          <w:sz w:val="22"/>
          <w:szCs w:val="22"/>
        </w:rPr>
      </w:pPr>
    </w:p>
    <w:p w14:paraId="76E2EA4A" w14:textId="6772559A" w:rsidR="00931CC1" w:rsidRDefault="00931CC1" w:rsidP="00931CC1">
      <w:pPr>
        <w:ind w:left="360"/>
        <w:rPr>
          <w:rFonts w:ascii="Calibri" w:hAnsi="Calibri" w:cs="Calibri"/>
          <w:sz w:val="22"/>
          <w:szCs w:val="22"/>
        </w:rPr>
      </w:pPr>
      <w:r w:rsidRPr="00A32897">
        <w:rPr>
          <w:rFonts w:ascii="Calibri" w:hAnsi="Calibri" w:cs="Calibri"/>
          <w:sz w:val="22"/>
          <w:szCs w:val="22"/>
        </w:rPr>
        <w:t xml:space="preserve">Frost L, Reich MR and Fujisaki T, ‘A partnership for ivermectin: social worlds and boundary objects’, in </w:t>
      </w:r>
      <w:r w:rsidRPr="00A32897">
        <w:rPr>
          <w:rFonts w:ascii="Calibri" w:hAnsi="Calibri" w:cs="Calibri"/>
          <w:i/>
          <w:sz w:val="22"/>
          <w:szCs w:val="22"/>
        </w:rPr>
        <w:t>Public-private partnerships for public health</w:t>
      </w:r>
      <w:r w:rsidRPr="00A32897">
        <w:rPr>
          <w:rFonts w:ascii="Calibri" w:hAnsi="Calibri" w:cs="Calibri"/>
          <w:sz w:val="22"/>
          <w:szCs w:val="22"/>
        </w:rPr>
        <w:t>, Ed. MR Reich (Cambridge: Harvard University Press, 2002), 87-113.</w:t>
      </w:r>
    </w:p>
    <w:p w14:paraId="1240B485" w14:textId="77777777" w:rsidR="00251250" w:rsidRPr="00A32897" w:rsidRDefault="00251250" w:rsidP="00931CC1">
      <w:pPr>
        <w:ind w:left="360"/>
        <w:rPr>
          <w:rFonts w:ascii="Calibri" w:hAnsi="Calibri" w:cs="Calibri"/>
          <w:sz w:val="22"/>
          <w:szCs w:val="22"/>
        </w:rPr>
      </w:pPr>
    </w:p>
    <w:p w14:paraId="7A430826" w14:textId="575A1527" w:rsidR="00931CC1" w:rsidRDefault="00931CC1" w:rsidP="00931CC1">
      <w:pPr>
        <w:ind w:left="360"/>
        <w:rPr>
          <w:rFonts w:ascii="Calibri" w:hAnsi="Calibri" w:cs="Calibri"/>
          <w:sz w:val="22"/>
          <w:szCs w:val="22"/>
        </w:rPr>
      </w:pPr>
      <w:r w:rsidRPr="00A32897">
        <w:rPr>
          <w:rFonts w:ascii="Calibri" w:hAnsi="Calibri" w:cs="Calibri"/>
          <w:sz w:val="22"/>
          <w:szCs w:val="22"/>
        </w:rPr>
        <w:t xml:space="preserve">Galle GL and Ferguson A, ‘Success in African social development: some positive indications’, </w:t>
      </w:r>
      <w:r w:rsidRPr="00A32897">
        <w:rPr>
          <w:rFonts w:ascii="Calibri" w:hAnsi="Calibri" w:cs="Calibri"/>
          <w:i/>
          <w:sz w:val="22"/>
          <w:szCs w:val="22"/>
        </w:rPr>
        <w:t xml:space="preserve">Third World Quarterly </w:t>
      </w:r>
      <w:r w:rsidRPr="00A32897">
        <w:rPr>
          <w:rFonts w:ascii="Calibri" w:hAnsi="Calibri" w:cs="Calibri"/>
          <w:sz w:val="22"/>
          <w:szCs w:val="22"/>
        </w:rPr>
        <w:t>17:3 (1996), 557-572.</w:t>
      </w:r>
    </w:p>
    <w:p w14:paraId="35EA53E8" w14:textId="77777777" w:rsidR="00251250" w:rsidRPr="00A32897" w:rsidRDefault="00251250" w:rsidP="00931CC1">
      <w:pPr>
        <w:ind w:left="360"/>
        <w:rPr>
          <w:rFonts w:ascii="Calibri" w:hAnsi="Calibri" w:cs="Calibri"/>
          <w:sz w:val="22"/>
          <w:szCs w:val="22"/>
        </w:rPr>
      </w:pPr>
    </w:p>
    <w:p w14:paraId="789C8FF7" w14:textId="53E2F112" w:rsidR="00931CC1" w:rsidRDefault="00931CC1" w:rsidP="00931CC1">
      <w:pPr>
        <w:ind w:left="360"/>
        <w:rPr>
          <w:rFonts w:ascii="Calibri" w:hAnsi="Calibri" w:cs="Calibri"/>
          <w:sz w:val="22"/>
          <w:szCs w:val="22"/>
        </w:rPr>
      </w:pPr>
      <w:r w:rsidRPr="00A32897">
        <w:rPr>
          <w:rFonts w:ascii="Calibri" w:hAnsi="Calibri" w:cs="Calibri"/>
          <w:sz w:val="22"/>
          <w:szCs w:val="22"/>
        </w:rPr>
        <w:t>Gaware VM, Dhamak KB, Kotade KB, Dolas RT, Somwanshi SB, Nikam VK</w:t>
      </w:r>
      <w:r w:rsidR="00314F3B">
        <w:rPr>
          <w:rFonts w:ascii="Calibri" w:hAnsi="Calibri" w:cs="Calibri"/>
          <w:sz w:val="22"/>
          <w:szCs w:val="22"/>
        </w:rPr>
        <w:t xml:space="preserve"> and</w:t>
      </w:r>
      <w:r w:rsidRPr="00A32897">
        <w:rPr>
          <w:rFonts w:ascii="Calibri" w:hAnsi="Calibri" w:cs="Calibri"/>
          <w:sz w:val="22"/>
          <w:szCs w:val="22"/>
        </w:rPr>
        <w:t xml:space="preserve"> Khadse AN, ‘Onchocerciasis: an overview’, </w:t>
      </w:r>
      <w:r w:rsidRPr="00A32897">
        <w:rPr>
          <w:rFonts w:ascii="Calibri" w:hAnsi="Calibri" w:cs="Calibri"/>
          <w:i/>
          <w:sz w:val="22"/>
          <w:szCs w:val="22"/>
        </w:rPr>
        <w:t xml:space="preserve">Pharmacologyonline </w:t>
      </w:r>
      <w:r w:rsidRPr="00A32897">
        <w:rPr>
          <w:rFonts w:ascii="Calibri" w:hAnsi="Calibri" w:cs="Calibri"/>
          <w:sz w:val="22"/>
          <w:szCs w:val="22"/>
        </w:rPr>
        <w:t>1 (2011), 1012-1022.</w:t>
      </w:r>
    </w:p>
    <w:p w14:paraId="4DE32A22" w14:textId="77777777" w:rsidR="00251250" w:rsidRPr="00A32897" w:rsidRDefault="00251250" w:rsidP="00931CC1">
      <w:pPr>
        <w:ind w:left="360"/>
        <w:rPr>
          <w:rFonts w:ascii="Calibri" w:hAnsi="Calibri" w:cs="Calibri"/>
          <w:sz w:val="22"/>
          <w:szCs w:val="22"/>
        </w:rPr>
      </w:pPr>
    </w:p>
    <w:p w14:paraId="294BE1CE" w14:textId="1ED42D26" w:rsidR="00931CC1" w:rsidRDefault="00931CC1" w:rsidP="00931CC1">
      <w:pPr>
        <w:ind w:left="360"/>
        <w:rPr>
          <w:rFonts w:ascii="Calibri" w:hAnsi="Calibri" w:cs="Calibri"/>
          <w:sz w:val="22"/>
          <w:szCs w:val="22"/>
        </w:rPr>
      </w:pPr>
      <w:r w:rsidRPr="00A32897">
        <w:rPr>
          <w:rFonts w:ascii="Calibri" w:hAnsi="Calibri" w:cs="Calibri"/>
          <w:sz w:val="22"/>
          <w:szCs w:val="22"/>
        </w:rPr>
        <w:t xml:space="preserve">Gelb AH, </w:t>
      </w:r>
      <w:r w:rsidRPr="00A32897">
        <w:rPr>
          <w:rFonts w:ascii="Calibri" w:hAnsi="Calibri" w:cs="Calibri"/>
          <w:i/>
          <w:sz w:val="22"/>
          <w:szCs w:val="22"/>
        </w:rPr>
        <w:t>Can Africa claim the 21</w:t>
      </w:r>
      <w:r w:rsidRPr="00A32897">
        <w:rPr>
          <w:rFonts w:ascii="Calibri" w:hAnsi="Calibri" w:cs="Calibri"/>
          <w:i/>
          <w:sz w:val="22"/>
          <w:szCs w:val="22"/>
          <w:vertAlign w:val="superscript"/>
        </w:rPr>
        <w:t>st</w:t>
      </w:r>
      <w:r w:rsidRPr="00A32897">
        <w:rPr>
          <w:rFonts w:ascii="Calibri" w:hAnsi="Calibri" w:cs="Calibri"/>
          <w:i/>
          <w:sz w:val="22"/>
          <w:szCs w:val="22"/>
        </w:rPr>
        <w:t xml:space="preserve"> century? </w:t>
      </w:r>
      <w:r w:rsidRPr="00A32897">
        <w:rPr>
          <w:rFonts w:ascii="Calibri" w:hAnsi="Calibri" w:cs="Calibri"/>
          <w:sz w:val="22"/>
          <w:szCs w:val="22"/>
        </w:rPr>
        <w:t>(World Bank: Washington DC, 2000).</w:t>
      </w:r>
    </w:p>
    <w:p w14:paraId="4CD4D9A1" w14:textId="77777777" w:rsidR="00251250" w:rsidRPr="00A32897" w:rsidRDefault="00251250" w:rsidP="00931CC1">
      <w:pPr>
        <w:ind w:left="360"/>
        <w:rPr>
          <w:rFonts w:ascii="Calibri" w:hAnsi="Calibri" w:cs="Calibri"/>
          <w:sz w:val="22"/>
          <w:szCs w:val="22"/>
        </w:rPr>
      </w:pPr>
    </w:p>
    <w:p w14:paraId="5F22650A" w14:textId="1CADD2A0" w:rsidR="00931CC1" w:rsidRDefault="00931CC1" w:rsidP="00931CC1">
      <w:pPr>
        <w:ind w:left="360"/>
        <w:rPr>
          <w:rFonts w:ascii="Calibri" w:hAnsi="Calibri" w:cs="Calibri"/>
          <w:sz w:val="22"/>
          <w:szCs w:val="22"/>
        </w:rPr>
      </w:pPr>
      <w:r w:rsidRPr="00A32897">
        <w:rPr>
          <w:rFonts w:ascii="Calibri" w:hAnsi="Calibri" w:cs="Calibri"/>
          <w:sz w:val="22"/>
          <w:szCs w:val="22"/>
        </w:rPr>
        <w:t xml:space="preserve">Godlee F, ‘The regions – too much power, too little effect’, </w:t>
      </w:r>
      <w:r w:rsidRPr="00A32897">
        <w:rPr>
          <w:rFonts w:ascii="Calibri" w:hAnsi="Calibri" w:cs="Calibri"/>
          <w:i/>
          <w:sz w:val="22"/>
          <w:szCs w:val="22"/>
        </w:rPr>
        <w:t xml:space="preserve">British Medical Journal </w:t>
      </w:r>
      <w:r w:rsidRPr="00A32897">
        <w:rPr>
          <w:rFonts w:ascii="Calibri" w:hAnsi="Calibri" w:cs="Calibri"/>
          <w:sz w:val="22"/>
          <w:szCs w:val="22"/>
        </w:rPr>
        <w:t>309:6968 (1944), 1566.</w:t>
      </w:r>
    </w:p>
    <w:p w14:paraId="5376157F" w14:textId="77777777" w:rsidR="00251250" w:rsidRPr="00A32897" w:rsidRDefault="00251250" w:rsidP="00931CC1">
      <w:pPr>
        <w:ind w:left="360"/>
        <w:rPr>
          <w:rFonts w:ascii="Calibri" w:hAnsi="Calibri" w:cs="Calibri"/>
          <w:sz w:val="22"/>
          <w:szCs w:val="22"/>
        </w:rPr>
      </w:pPr>
    </w:p>
    <w:p w14:paraId="458B1C3B" w14:textId="74238D03" w:rsidR="00931CC1" w:rsidRDefault="00931CC1" w:rsidP="00931CC1">
      <w:pPr>
        <w:ind w:left="360"/>
        <w:rPr>
          <w:rFonts w:ascii="Calibri" w:hAnsi="Calibri" w:cs="Calibri"/>
          <w:sz w:val="22"/>
          <w:szCs w:val="22"/>
        </w:rPr>
      </w:pPr>
      <w:r w:rsidRPr="00A32897">
        <w:rPr>
          <w:rFonts w:ascii="Calibri" w:hAnsi="Calibri" w:cs="Calibri"/>
          <w:sz w:val="22"/>
          <w:szCs w:val="22"/>
        </w:rPr>
        <w:t xml:space="preserve">Godlee F, ‘The World Health Organisation in Africa’, </w:t>
      </w:r>
      <w:r w:rsidRPr="00A32897">
        <w:rPr>
          <w:rFonts w:ascii="Calibri" w:hAnsi="Calibri" w:cs="Calibri"/>
          <w:i/>
          <w:sz w:val="22"/>
          <w:szCs w:val="22"/>
        </w:rPr>
        <w:t xml:space="preserve">British Medical Journal </w:t>
      </w:r>
      <w:r w:rsidRPr="00A32897">
        <w:rPr>
          <w:rFonts w:ascii="Calibri" w:hAnsi="Calibri" w:cs="Calibri"/>
          <w:sz w:val="22"/>
          <w:szCs w:val="22"/>
        </w:rPr>
        <w:t>309:6954 (1994), 553.</w:t>
      </w:r>
    </w:p>
    <w:p w14:paraId="12E5B12A" w14:textId="77777777" w:rsidR="00251250" w:rsidRPr="00A32897" w:rsidRDefault="00251250" w:rsidP="00931CC1">
      <w:pPr>
        <w:ind w:left="360"/>
        <w:rPr>
          <w:rFonts w:ascii="Calibri" w:hAnsi="Calibri" w:cs="Calibri"/>
          <w:sz w:val="22"/>
          <w:szCs w:val="22"/>
        </w:rPr>
      </w:pPr>
    </w:p>
    <w:p w14:paraId="04C6D6FC" w14:textId="10CA6284" w:rsidR="00931CC1" w:rsidRDefault="00931CC1" w:rsidP="00931CC1">
      <w:pPr>
        <w:ind w:left="360"/>
        <w:rPr>
          <w:rFonts w:ascii="Calibri" w:hAnsi="Calibri" w:cs="Calibri"/>
          <w:sz w:val="22"/>
          <w:szCs w:val="22"/>
        </w:rPr>
      </w:pPr>
      <w:r w:rsidRPr="00A32897">
        <w:rPr>
          <w:rFonts w:ascii="Calibri" w:hAnsi="Calibri" w:cs="Calibri"/>
          <w:sz w:val="22"/>
          <w:szCs w:val="22"/>
        </w:rPr>
        <w:t xml:space="preserve">Godlee F, ‘WHO director general faces leadership challenge’, </w:t>
      </w:r>
      <w:r w:rsidRPr="00A32897">
        <w:rPr>
          <w:rFonts w:ascii="Calibri" w:hAnsi="Calibri" w:cs="Calibri"/>
          <w:i/>
          <w:sz w:val="22"/>
          <w:szCs w:val="22"/>
        </w:rPr>
        <w:t xml:space="preserve">British Medical Journal </w:t>
      </w:r>
      <w:r w:rsidRPr="00A32897">
        <w:rPr>
          <w:rFonts w:ascii="Calibri" w:hAnsi="Calibri" w:cs="Calibri"/>
          <w:sz w:val="22"/>
          <w:szCs w:val="22"/>
        </w:rPr>
        <w:t>314:7086 (1997), 998.</w:t>
      </w:r>
    </w:p>
    <w:p w14:paraId="3F3215A7" w14:textId="77777777" w:rsidR="00251250" w:rsidRPr="00A32897" w:rsidRDefault="00251250" w:rsidP="00931CC1">
      <w:pPr>
        <w:ind w:left="360"/>
        <w:rPr>
          <w:rFonts w:ascii="Calibri" w:hAnsi="Calibri" w:cs="Calibri"/>
          <w:sz w:val="22"/>
          <w:szCs w:val="22"/>
        </w:rPr>
      </w:pPr>
    </w:p>
    <w:p w14:paraId="5B3222F7" w14:textId="7F758E3E" w:rsidR="00931CC1" w:rsidRDefault="00931CC1" w:rsidP="00931CC1">
      <w:pPr>
        <w:ind w:left="360"/>
        <w:rPr>
          <w:rFonts w:ascii="Calibri" w:hAnsi="Calibri" w:cs="Calibri"/>
          <w:sz w:val="22"/>
          <w:szCs w:val="22"/>
        </w:rPr>
      </w:pPr>
      <w:r w:rsidRPr="00A32897">
        <w:rPr>
          <w:rFonts w:ascii="Calibri" w:hAnsi="Calibri" w:cs="Calibri"/>
          <w:sz w:val="22"/>
          <w:szCs w:val="22"/>
        </w:rPr>
        <w:t xml:space="preserve">Godlee F, ‘WHO leadership race reaches final stages: Dr Ebrahim Samba’, </w:t>
      </w:r>
      <w:r w:rsidRPr="00A32897">
        <w:rPr>
          <w:rFonts w:ascii="Calibri" w:hAnsi="Calibri" w:cs="Calibri"/>
          <w:i/>
          <w:sz w:val="22"/>
          <w:szCs w:val="22"/>
        </w:rPr>
        <w:t xml:space="preserve">British Medical Journal </w:t>
      </w:r>
      <w:r w:rsidRPr="00A32897">
        <w:rPr>
          <w:rFonts w:ascii="Calibri" w:hAnsi="Calibri" w:cs="Calibri"/>
          <w:sz w:val="22"/>
          <w:szCs w:val="22"/>
        </w:rPr>
        <w:t>316:7124 (1998), 16.</w:t>
      </w:r>
    </w:p>
    <w:p w14:paraId="5BDED3E9" w14:textId="77777777" w:rsidR="00251250" w:rsidRPr="00A32897" w:rsidRDefault="00251250" w:rsidP="00931CC1">
      <w:pPr>
        <w:ind w:left="360"/>
        <w:rPr>
          <w:rFonts w:ascii="Calibri" w:hAnsi="Calibri" w:cs="Calibri"/>
          <w:sz w:val="22"/>
          <w:szCs w:val="22"/>
        </w:rPr>
      </w:pPr>
    </w:p>
    <w:p w14:paraId="2D743805" w14:textId="0E74875C" w:rsidR="00931CC1" w:rsidRDefault="00931CC1" w:rsidP="00931CC1">
      <w:pPr>
        <w:ind w:left="360"/>
        <w:rPr>
          <w:rFonts w:ascii="Calibri" w:hAnsi="Calibri" w:cs="Calibri"/>
          <w:sz w:val="22"/>
          <w:szCs w:val="22"/>
        </w:rPr>
      </w:pPr>
      <w:r w:rsidRPr="00A32897">
        <w:rPr>
          <w:rFonts w:ascii="Calibri" w:hAnsi="Calibri" w:cs="Calibri"/>
          <w:sz w:val="22"/>
          <w:szCs w:val="22"/>
        </w:rPr>
        <w:t xml:space="preserve">Godlee F, ‘WHO’s special programmes: undermining from above’, </w:t>
      </w:r>
      <w:r w:rsidRPr="00A32897">
        <w:rPr>
          <w:rFonts w:ascii="Calibri" w:hAnsi="Calibri" w:cs="Calibri"/>
          <w:i/>
          <w:sz w:val="22"/>
          <w:szCs w:val="22"/>
        </w:rPr>
        <w:t xml:space="preserve">British Medical Journal </w:t>
      </w:r>
      <w:r w:rsidRPr="00A32897">
        <w:rPr>
          <w:rFonts w:ascii="Calibri" w:hAnsi="Calibri" w:cs="Calibri"/>
          <w:sz w:val="22"/>
          <w:szCs w:val="22"/>
        </w:rPr>
        <w:t>310 (1995), 178-182.</w:t>
      </w:r>
    </w:p>
    <w:p w14:paraId="2779959C" w14:textId="77777777" w:rsidR="00251250" w:rsidRPr="00A32897" w:rsidRDefault="00251250" w:rsidP="00931CC1">
      <w:pPr>
        <w:ind w:left="360"/>
        <w:rPr>
          <w:rFonts w:ascii="Calibri" w:hAnsi="Calibri" w:cs="Calibri"/>
          <w:sz w:val="22"/>
          <w:szCs w:val="22"/>
        </w:rPr>
      </w:pPr>
    </w:p>
    <w:p w14:paraId="5E95ECEF" w14:textId="54E11B9C" w:rsidR="00931CC1" w:rsidRDefault="00931CC1" w:rsidP="00931CC1">
      <w:pPr>
        <w:ind w:left="360"/>
        <w:rPr>
          <w:rFonts w:ascii="Calibri" w:hAnsi="Calibri" w:cs="Calibri"/>
          <w:sz w:val="22"/>
          <w:szCs w:val="22"/>
        </w:rPr>
      </w:pPr>
      <w:r w:rsidRPr="00A32897">
        <w:rPr>
          <w:rFonts w:ascii="Calibri" w:hAnsi="Calibri" w:cs="Calibri"/>
          <w:sz w:val="22"/>
          <w:szCs w:val="22"/>
        </w:rPr>
        <w:lastRenderedPageBreak/>
        <w:t>Godlin I, Rogers H</w:t>
      </w:r>
      <w:r w:rsidR="00314F3B">
        <w:rPr>
          <w:rFonts w:ascii="Calibri" w:hAnsi="Calibri" w:cs="Calibri"/>
          <w:sz w:val="22"/>
          <w:szCs w:val="22"/>
        </w:rPr>
        <w:t xml:space="preserve"> </w:t>
      </w:r>
      <w:r w:rsidRPr="00A32897">
        <w:rPr>
          <w:rFonts w:ascii="Calibri" w:hAnsi="Calibri" w:cs="Calibri"/>
          <w:sz w:val="22"/>
          <w:szCs w:val="22"/>
        </w:rPr>
        <w:t xml:space="preserve">and Stern N, </w:t>
      </w:r>
      <w:r w:rsidRPr="00A32897">
        <w:rPr>
          <w:rFonts w:ascii="Calibri" w:hAnsi="Calibri" w:cs="Calibri"/>
          <w:i/>
          <w:sz w:val="22"/>
          <w:szCs w:val="22"/>
        </w:rPr>
        <w:t>The role and effectiveness of development assistance: lessons from World Bank experience – A research paper from the development economics vice presidency of the World Bank</w:t>
      </w:r>
      <w:r w:rsidRPr="00A32897">
        <w:rPr>
          <w:rFonts w:ascii="Calibri" w:hAnsi="Calibri" w:cs="Calibri"/>
          <w:sz w:val="22"/>
          <w:szCs w:val="22"/>
        </w:rPr>
        <w:t xml:space="preserve"> (Washington DC: World Bank 2002). </w:t>
      </w:r>
    </w:p>
    <w:p w14:paraId="4484C073" w14:textId="77777777" w:rsidR="00251250" w:rsidRPr="00A32897" w:rsidRDefault="00251250" w:rsidP="00931CC1">
      <w:pPr>
        <w:ind w:left="360"/>
        <w:rPr>
          <w:rFonts w:ascii="Calibri" w:hAnsi="Calibri" w:cs="Calibri"/>
          <w:sz w:val="22"/>
          <w:szCs w:val="22"/>
        </w:rPr>
      </w:pPr>
    </w:p>
    <w:p w14:paraId="38AF73DA" w14:textId="3A72C762" w:rsidR="00931CC1" w:rsidRPr="00A32897" w:rsidRDefault="00931CC1" w:rsidP="00931CC1">
      <w:pPr>
        <w:ind w:left="360"/>
        <w:rPr>
          <w:rFonts w:ascii="Calibri" w:hAnsi="Calibri" w:cs="Calibri"/>
          <w:sz w:val="22"/>
          <w:szCs w:val="22"/>
        </w:rPr>
      </w:pPr>
      <w:r w:rsidRPr="00A32897">
        <w:rPr>
          <w:rFonts w:ascii="Calibri" w:hAnsi="Calibri" w:cs="Calibri"/>
          <w:sz w:val="22"/>
          <w:szCs w:val="22"/>
        </w:rPr>
        <w:t xml:space="preserve">Golden A, Falx D, Kalnoky M, Stevens E, Yokobe L, Peck R, Karabou P, Banla M, Rao R, Adade K, Gantin RG, Komlan K, Soboslay PT, de Los Santos T and Domingo GJ, ‘Analysis of age-dependent trends in Ov16 IgG4 seroprevalence to onchocerciasis’, </w:t>
      </w:r>
      <w:r w:rsidRPr="00A32897">
        <w:rPr>
          <w:rFonts w:ascii="Calibri" w:hAnsi="Calibri" w:cs="Calibri"/>
          <w:i/>
          <w:sz w:val="22"/>
          <w:szCs w:val="22"/>
        </w:rPr>
        <w:t xml:space="preserve">Parasitology Vectors </w:t>
      </w:r>
      <w:r w:rsidRPr="00A32897">
        <w:rPr>
          <w:rFonts w:ascii="Calibri" w:hAnsi="Calibri" w:cs="Calibri"/>
          <w:sz w:val="22"/>
          <w:szCs w:val="22"/>
        </w:rPr>
        <w:t>9:1 (2016), 338.</w:t>
      </w:r>
    </w:p>
    <w:p w14:paraId="51C98150" w14:textId="77777777" w:rsidR="00314F3B" w:rsidRDefault="00314F3B" w:rsidP="00931CC1">
      <w:pPr>
        <w:ind w:left="360"/>
        <w:rPr>
          <w:rFonts w:ascii="Calibri" w:hAnsi="Calibri" w:cs="Calibri"/>
          <w:sz w:val="22"/>
          <w:szCs w:val="22"/>
        </w:rPr>
      </w:pPr>
    </w:p>
    <w:p w14:paraId="3DFC42AB" w14:textId="5AED0444" w:rsidR="00931CC1" w:rsidRDefault="00931CC1" w:rsidP="00931CC1">
      <w:pPr>
        <w:ind w:left="360"/>
        <w:rPr>
          <w:rFonts w:ascii="Calibri" w:hAnsi="Calibri" w:cs="Calibri"/>
          <w:sz w:val="22"/>
          <w:szCs w:val="22"/>
        </w:rPr>
      </w:pPr>
      <w:r w:rsidRPr="00A32897">
        <w:rPr>
          <w:rFonts w:ascii="Calibri" w:hAnsi="Calibri" w:cs="Calibri"/>
          <w:sz w:val="22"/>
          <w:szCs w:val="22"/>
        </w:rPr>
        <w:t xml:space="preserve">Goodman B, ‘Models aid understanding, help control parasites’, </w:t>
      </w:r>
      <w:r w:rsidRPr="00A32897">
        <w:rPr>
          <w:rFonts w:ascii="Calibri" w:hAnsi="Calibri" w:cs="Calibri"/>
          <w:i/>
          <w:sz w:val="22"/>
          <w:szCs w:val="22"/>
        </w:rPr>
        <w:t xml:space="preserve">Science </w:t>
      </w:r>
      <w:r w:rsidRPr="00A32897">
        <w:rPr>
          <w:rFonts w:ascii="Calibri" w:hAnsi="Calibri" w:cs="Calibri"/>
          <w:sz w:val="22"/>
          <w:szCs w:val="22"/>
        </w:rPr>
        <w:t>264:5167 (1994), 1862-1863.</w:t>
      </w:r>
    </w:p>
    <w:p w14:paraId="7CF3BFFE" w14:textId="77777777" w:rsidR="00251250" w:rsidRPr="00A32897" w:rsidRDefault="00251250" w:rsidP="00931CC1">
      <w:pPr>
        <w:ind w:left="360"/>
        <w:rPr>
          <w:rFonts w:ascii="Calibri" w:hAnsi="Calibri" w:cs="Calibri"/>
          <w:sz w:val="22"/>
          <w:szCs w:val="22"/>
        </w:rPr>
      </w:pPr>
    </w:p>
    <w:p w14:paraId="1196771C" w14:textId="2E1980D0" w:rsidR="00931CC1" w:rsidRDefault="00931CC1" w:rsidP="00931CC1">
      <w:pPr>
        <w:ind w:left="360"/>
        <w:rPr>
          <w:rFonts w:ascii="Calibri" w:hAnsi="Calibri" w:cs="Calibri"/>
          <w:sz w:val="22"/>
          <w:szCs w:val="22"/>
        </w:rPr>
      </w:pPr>
      <w:r w:rsidRPr="00A32897">
        <w:rPr>
          <w:rFonts w:ascii="Calibri" w:hAnsi="Calibri" w:cs="Calibri"/>
          <w:sz w:val="22"/>
          <w:szCs w:val="22"/>
        </w:rPr>
        <w:t xml:space="preserve">Greene BM, ‘Modern medicine versus an ancient scourge: progress toward control of onchocerciasis’, </w:t>
      </w:r>
      <w:r w:rsidRPr="00A32897">
        <w:rPr>
          <w:rFonts w:ascii="Calibri" w:hAnsi="Calibri" w:cs="Calibri"/>
          <w:i/>
          <w:sz w:val="22"/>
          <w:szCs w:val="22"/>
        </w:rPr>
        <w:t xml:space="preserve">Journal of Infectious Diseases </w:t>
      </w:r>
      <w:r w:rsidRPr="00A32897">
        <w:rPr>
          <w:rFonts w:ascii="Calibri" w:hAnsi="Calibri" w:cs="Calibri"/>
          <w:sz w:val="22"/>
          <w:szCs w:val="22"/>
        </w:rPr>
        <w:t>166:1 (1992), 15-21.</w:t>
      </w:r>
    </w:p>
    <w:p w14:paraId="236F8A0D" w14:textId="77777777" w:rsidR="00251250" w:rsidRPr="00A32897" w:rsidRDefault="00251250" w:rsidP="00931CC1">
      <w:pPr>
        <w:ind w:left="360"/>
        <w:rPr>
          <w:rFonts w:ascii="Calibri" w:hAnsi="Calibri" w:cs="Calibri"/>
          <w:sz w:val="22"/>
          <w:szCs w:val="22"/>
        </w:rPr>
      </w:pPr>
    </w:p>
    <w:p w14:paraId="5464309B" w14:textId="090FCA13" w:rsidR="00931CC1" w:rsidRDefault="00931CC1" w:rsidP="00931CC1">
      <w:pPr>
        <w:ind w:left="360"/>
        <w:rPr>
          <w:rFonts w:ascii="Calibri" w:hAnsi="Calibri" w:cs="Calibri"/>
          <w:sz w:val="22"/>
          <w:szCs w:val="22"/>
        </w:rPr>
      </w:pPr>
      <w:r w:rsidRPr="00A32897">
        <w:rPr>
          <w:rFonts w:ascii="Calibri" w:hAnsi="Calibri" w:cs="Calibri"/>
          <w:sz w:val="22"/>
          <w:szCs w:val="22"/>
        </w:rPr>
        <w:t xml:space="preserve">Greenwood B, ‘First, roll back expectations’, </w:t>
      </w:r>
      <w:r w:rsidRPr="00A32897">
        <w:rPr>
          <w:rFonts w:ascii="Calibri" w:hAnsi="Calibri" w:cs="Calibri"/>
          <w:i/>
          <w:sz w:val="22"/>
          <w:szCs w:val="22"/>
        </w:rPr>
        <w:t xml:space="preserve">Bulletin of the World Health Organization </w:t>
      </w:r>
      <w:r w:rsidRPr="00A32897">
        <w:rPr>
          <w:rFonts w:ascii="Calibri" w:hAnsi="Calibri" w:cs="Calibri"/>
          <w:sz w:val="22"/>
          <w:szCs w:val="22"/>
        </w:rPr>
        <w:t>78:12 (2000), 1450.</w:t>
      </w:r>
    </w:p>
    <w:p w14:paraId="3DC7FAF7" w14:textId="77777777" w:rsidR="00251250" w:rsidRPr="00A32897" w:rsidRDefault="00251250" w:rsidP="00931CC1">
      <w:pPr>
        <w:ind w:left="360"/>
        <w:rPr>
          <w:rFonts w:ascii="Calibri" w:hAnsi="Calibri" w:cs="Calibri"/>
          <w:sz w:val="22"/>
          <w:szCs w:val="22"/>
        </w:rPr>
      </w:pPr>
    </w:p>
    <w:p w14:paraId="22A9966F" w14:textId="3BF3BB2F" w:rsidR="00931CC1" w:rsidRDefault="00931CC1" w:rsidP="00931CC1">
      <w:pPr>
        <w:ind w:left="360"/>
        <w:rPr>
          <w:rFonts w:ascii="Calibri" w:hAnsi="Calibri" w:cs="Calibri"/>
          <w:sz w:val="22"/>
          <w:szCs w:val="22"/>
        </w:rPr>
      </w:pPr>
      <w:r w:rsidRPr="00A32897">
        <w:rPr>
          <w:rFonts w:ascii="Calibri" w:hAnsi="Calibri" w:cs="Calibri"/>
          <w:sz w:val="22"/>
          <w:szCs w:val="22"/>
        </w:rPr>
        <w:t xml:space="preserve">Gustafson DJ and Ingle MD, ‘Enhancing sustainable development in Sub-Saharan Africa: concepts, recommendations and illustrations’, </w:t>
      </w:r>
      <w:r w:rsidRPr="00A32897">
        <w:rPr>
          <w:rFonts w:ascii="Calibri" w:hAnsi="Calibri" w:cs="Calibri"/>
          <w:i/>
          <w:sz w:val="22"/>
          <w:szCs w:val="22"/>
        </w:rPr>
        <w:t xml:space="preserve">International Journal of Public Administration </w:t>
      </w:r>
      <w:r w:rsidRPr="00A32897">
        <w:rPr>
          <w:rFonts w:ascii="Calibri" w:hAnsi="Calibri" w:cs="Calibri"/>
          <w:sz w:val="22"/>
          <w:szCs w:val="22"/>
        </w:rPr>
        <w:t>18:9 (1995), 1341-1364.</w:t>
      </w:r>
    </w:p>
    <w:p w14:paraId="1060D1AB" w14:textId="77777777" w:rsidR="00251250" w:rsidRPr="00A32897" w:rsidRDefault="00251250" w:rsidP="00931CC1">
      <w:pPr>
        <w:ind w:left="360"/>
        <w:rPr>
          <w:rFonts w:ascii="Calibri" w:hAnsi="Calibri" w:cs="Calibri"/>
          <w:sz w:val="22"/>
          <w:szCs w:val="22"/>
        </w:rPr>
      </w:pPr>
    </w:p>
    <w:p w14:paraId="5EFCD7EB" w14:textId="6D584D8F" w:rsidR="00931CC1" w:rsidRDefault="00931CC1" w:rsidP="00931CC1">
      <w:pPr>
        <w:ind w:left="360"/>
        <w:rPr>
          <w:rFonts w:ascii="Calibri" w:hAnsi="Calibri" w:cs="Calibri"/>
          <w:sz w:val="22"/>
          <w:szCs w:val="22"/>
        </w:rPr>
      </w:pPr>
      <w:r w:rsidRPr="00A32897">
        <w:rPr>
          <w:rFonts w:ascii="Calibri" w:hAnsi="Calibri" w:cs="Calibri"/>
          <w:sz w:val="22"/>
          <w:szCs w:val="22"/>
        </w:rPr>
        <w:t xml:space="preserve">Guyatt HL and Evans D, ‘Economic considerations for helminth control’, </w:t>
      </w:r>
      <w:r w:rsidRPr="00A32897">
        <w:rPr>
          <w:rFonts w:ascii="Calibri" w:hAnsi="Calibri" w:cs="Calibri"/>
          <w:i/>
          <w:sz w:val="22"/>
          <w:szCs w:val="22"/>
        </w:rPr>
        <w:t xml:space="preserve">Parasitology Today </w:t>
      </w:r>
      <w:r w:rsidRPr="00A32897">
        <w:rPr>
          <w:rFonts w:ascii="Calibri" w:hAnsi="Calibri" w:cs="Calibri"/>
          <w:sz w:val="22"/>
          <w:szCs w:val="22"/>
        </w:rPr>
        <w:t>8:12 (1992), 397-402.</w:t>
      </w:r>
    </w:p>
    <w:p w14:paraId="6FA448E1" w14:textId="77777777" w:rsidR="00251250" w:rsidRPr="00A32897" w:rsidRDefault="00251250" w:rsidP="00931CC1">
      <w:pPr>
        <w:ind w:left="360"/>
        <w:rPr>
          <w:rFonts w:ascii="Calibri" w:hAnsi="Calibri" w:cs="Calibri"/>
          <w:sz w:val="22"/>
          <w:szCs w:val="22"/>
        </w:rPr>
      </w:pPr>
    </w:p>
    <w:p w14:paraId="24F44A09" w14:textId="6057D4F7" w:rsidR="00931CC1" w:rsidRDefault="00931CC1" w:rsidP="00931CC1">
      <w:pPr>
        <w:ind w:left="360"/>
        <w:rPr>
          <w:rFonts w:ascii="Calibri" w:hAnsi="Calibri" w:cs="Calibri"/>
          <w:sz w:val="22"/>
          <w:szCs w:val="22"/>
        </w:rPr>
      </w:pPr>
      <w:r w:rsidRPr="00A32897">
        <w:rPr>
          <w:rFonts w:ascii="Calibri" w:hAnsi="Calibri" w:cs="Calibri"/>
          <w:sz w:val="22"/>
          <w:szCs w:val="22"/>
        </w:rPr>
        <w:t xml:space="preserve">Guzman G, Awadzi K, Opoku N, Narayanan R and Akuffo H, ‘Comparison between the skin snip test and simple dot blot assay as potential rapid assessment tools for onchocerciasis in the postcolonial era in Ghana’, </w:t>
      </w:r>
      <w:r w:rsidRPr="00A32897">
        <w:rPr>
          <w:rFonts w:ascii="Calibri" w:hAnsi="Calibri" w:cs="Calibri"/>
          <w:i/>
          <w:sz w:val="22"/>
          <w:szCs w:val="22"/>
        </w:rPr>
        <w:t xml:space="preserve">Clinical and Diagnostic Laboratory Immunology </w:t>
      </w:r>
      <w:r w:rsidRPr="00A32897">
        <w:rPr>
          <w:rFonts w:ascii="Calibri" w:hAnsi="Calibri" w:cs="Calibri"/>
          <w:sz w:val="22"/>
          <w:szCs w:val="22"/>
        </w:rPr>
        <w:t>9:5 (2002), 1014-1020.</w:t>
      </w:r>
    </w:p>
    <w:p w14:paraId="100E199E" w14:textId="77777777" w:rsidR="00251250" w:rsidRPr="00A32897" w:rsidRDefault="00251250" w:rsidP="00931CC1">
      <w:pPr>
        <w:ind w:left="360"/>
        <w:rPr>
          <w:rFonts w:ascii="Calibri" w:hAnsi="Calibri" w:cs="Calibri"/>
          <w:sz w:val="22"/>
          <w:szCs w:val="22"/>
        </w:rPr>
      </w:pPr>
    </w:p>
    <w:p w14:paraId="4AC8F1D1" w14:textId="2491E3D2" w:rsidR="00931CC1" w:rsidRDefault="00931CC1" w:rsidP="00931CC1">
      <w:pPr>
        <w:ind w:left="360"/>
        <w:rPr>
          <w:rFonts w:ascii="Calibri" w:hAnsi="Calibri" w:cs="Calibri"/>
          <w:sz w:val="22"/>
          <w:szCs w:val="22"/>
        </w:rPr>
      </w:pPr>
      <w:r w:rsidRPr="00A32897">
        <w:rPr>
          <w:rFonts w:ascii="Calibri" w:hAnsi="Calibri" w:cs="Calibri"/>
          <w:sz w:val="22"/>
          <w:szCs w:val="22"/>
        </w:rPr>
        <w:t xml:space="preserve">Haddad D, Cross C, Thylefors B, Richards F, Bush S, Hopkins A and Baker S, ‘Health care at the end of the road: opportunities from 20 years of partnership in onchocerciasis control’, </w:t>
      </w:r>
      <w:r w:rsidRPr="00A32897">
        <w:rPr>
          <w:rFonts w:ascii="Calibri" w:hAnsi="Calibri" w:cs="Calibri"/>
          <w:i/>
          <w:sz w:val="22"/>
          <w:szCs w:val="22"/>
        </w:rPr>
        <w:t xml:space="preserve">Global Public Health </w:t>
      </w:r>
      <w:r w:rsidRPr="00A32897">
        <w:rPr>
          <w:rFonts w:ascii="Calibri" w:hAnsi="Calibri" w:cs="Calibri"/>
          <w:sz w:val="22"/>
          <w:szCs w:val="22"/>
        </w:rPr>
        <w:t>3:2 (2008), 187-196.</w:t>
      </w:r>
    </w:p>
    <w:p w14:paraId="072C0F90" w14:textId="77777777" w:rsidR="00251250" w:rsidRPr="00A32897" w:rsidRDefault="00251250" w:rsidP="00931CC1">
      <w:pPr>
        <w:ind w:left="360"/>
        <w:rPr>
          <w:rFonts w:ascii="Calibri" w:hAnsi="Calibri" w:cs="Calibri"/>
          <w:sz w:val="22"/>
          <w:szCs w:val="22"/>
        </w:rPr>
      </w:pPr>
    </w:p>
    <w:p w14:paraId="19F1C1C2" w14:textId="405DA97B" w:rsidR="00931CC1" w:rsidRDefault="00931CC1" w:rsidP="00931CC1">
      <w:pPr>
        <w:ind w:left="360"/>
        <w:rPr>
          <w:rFonts w:ascii="Calibri" w:hAnsi="Calibri" w:cs="Calibri"/>
          <w:sz w:val="22"/>
          <w:szCs w:val="22"/>
        </w:rPr>
      </w:pPr>
      <w:r w:rsidRPr="00A32897">
        <w:rPr>
          <w:rFonts w:ascii="Calibri" w:hAnsi="Calibri" w:cs="Calibri"/>
          <w:sz w:val="22"/>
          <w:szCs w:val="22"/>
        </w:rPr>
        <w:t xml:space="preserve">Hall LR and Pearlman E, ‘Pathogenesis of onchocercal keratitis (river blindness)’, </w:t>
      </w:r>
      <w:r w:rsidRPr="00A32897">
        <w:rPr>
          <w:rFonts w:ascii="Calibri" w:hAnsi="Calibri" w:cs="Calibri"/>
          <w:i/>
          <w:sz w:val="22"/>
          <w:szCs w:val="22"/>
        </w:rPr>
        <w:t xml:space="preserve">Clinical Microbiology Reviews </w:t>
      </w:r>
      <w:r w:rsidRPr="00A32897">
        <w:rPr>
          <w:rFonts w:ascii="Calibri" w:hAnsi="Calibri" w:cs="Calibri"/>
          <w:sz w:val="22"/>
          <w:szCs w:val="22"/>
        </w:rPr>
        <w:t>12:3 (1999), 445-453.</w:t>
      </w:r>
    </w:p>
    <w:p w14:paraId="643BA6ED" w14:textId="77777777" w:rsidR="00251250" w:rsidRPr="00A32897" w:rsidRDefault="00251250" w:rsidP="00931CC1">
      <w:pPr>
        <w:ind w:left="360"/>
        <w:rPr>
          <w:rFonts w:ascii="Calibri" w:hAnsi="Calibri" w:cs="Calibri"/>
          <w:sz w:val="22"/>
          <w:szCs w:val="22"/>
        </w:rPr>
      </w:pPr>
    </w:p>
    <w:p w14:paraId="6AA2F95B" w14:textId="0BDDABD6" w:rsidR="00931CC1" w:rsidRDefault="00931CC1" w:rsidP="00931CC1">
      <w:pPr>
        <w:ind w:left="360"/>
        <w:rPr>
          <w:rFonts w:ascii="Calibri" w:hAnsi="Calibri" w:cs="Calibri"/>
          <w:sz w:val="22"/>
          <w:szCs w:val="22"/>
        </w:rPr>
      </w:pPr>
      <w:r w:rsidRPr="00A32897">
        <w:rPr>
          <w:rFonts w:ascii="Calibri" w:hAnsi="Calibri" w:cs="Calibri"/>
          <w:sz w:val="22"/>
          <w:szCs w:val="22"/>
        </w:rPr>
        <w:t xml:space="preserve">Halwindi H, Magnussen P, Siziya S, Meyrowitsch DW and Olsen A, ‘Re-assessing community-directed treatment: evidence from Mazabuka District, Zambia’, </w:t>
      </w:r>
      <w:r w:rsidRPr="00A32897">
        <w:rPr>
          <w:rFonts w:ascii="Calibri" w:hAnsi="Calibri" w:cs="Calibri"/>
          <w:i/>
          <w:sz w:val="22"/>
          <w:szCs w:val="22"/>
        </w:rPr>
        <w:t xml:space="preserve">Journal of Biosocial Science </w:t>
      </w:r>
      <w:r w:rsidRPr="00A32897">
        <w:rPr>
          <w:rFonts w:ascii="Calibri" w:hAnsi="Calibri" w:cs="Calibri"/>
          <w:sz w:val="22"/>
          <w:szCs w:val="22"/>
        </w:rPr>
        <w:t>47:1 (2015), 28-44.</w:t>
      </w:r>
    </w:p>
    <w:p w14:paraId="449152B5" w14:textId="77777777" w:rsidR="00251250" w:rsidRPr="00A32897" w:rsidRDefault="00251250" w:rsidP="00931CC1">
      <w:pPr>
        <w:ind w:left="360"/>
        <w:rPr>
          <w:rFonts w:ascii="Calibri" w:hAnsi="Calibri" w:cs="Calibri"/>
          <w:sz w:val="22"/>
          <w:szCs w:val="22"/>
        </w:rPr>
      </w:pPr>
    </w:p>
    <w:p w14:paraId="0944F5A6" w14:textId="3AA13423" w:rsidR="00931CC1" w:rsidRDefault="00931CC1" w:rsidP="00931CC1">
      <w:pPr>
        <w:ind w:left="360"/>
        <w:rPr>
          <w:rFonts w:ascii="Calibri" w:hAnsi="Calibri" w:cs="Calibri"/>
          <w:sz w:val="22"/>
          <w:szCs w:val="22"/>
        </w:rPr>
      </w:pPr>
      <w:r w:rsidRPr="00A32897">
        <w:rPr>
          <w:rFonts w:ascii="Calibri" w:hAnsi="Calibri" w:cs="Calibri"/>
          <w:sz w:val="22"/>
          <w:szCs w:val="22"/>
        </w:rPr>
        <w:t>Hanson C, Weaver A, Zoerhoff KL, Kabore A, Linehan M, Doherty A, Engels D, Savioli L</w:t>
      </w:r>
      <w:r w:rsidR="00314F3B">
        <w:rPr>
          <w:rFonts w:ascii="Calibri" w:hAnsi="Calibri" w:cs="Calibri"/>
          <w:sz w:val="22"/>
          <w:szCs w:val="22"/>
        </w:rPr>
        <w:t xml:space="preserve"> and</w:t>
      </w:r>
      <w:r w:rsidRPr="00A32897">
        <w:rPr>
          <w:rFonts w:ascii="Calibri" w:hAnsi="Calibri" w:cs="Calibri"/>
          <w:sz w:val="22"/>
          <w:szCs w:val="22"/>
        </w:rPr>
        <w:t xml:space="preserve"> Ottesen EA, ‘Integrated implementation of programs targeting neglected tropical diseases through preventative chemotherapy: identifying best practices to roll-out programs at national scale’, </w:t>
      </w:r>
      <w:r w:rsidRPr="00A32897">
        <w:rPr>
          <w:rFonts w:ascii="Calibri" w:hAnsi="Calibri" w:cs="Calibri"/>
          <w:i/>
          <w:sz w:val="22"/>
          <w:szCs w:val="22"/>
        </w:rPr>
        <w:t xml:space="preserve">American Journal of Tropical Medicine and Hygiene </w:t>
      </w:r>
      <w:r w:rsidRPr="00A32897">
        <w:rPr>
          <w:rFonts w:ascii="Calibri" w:hAnsi="Calibri" w:cs="Calibri"/>
          <w:sz w:val="22"/>
          <w:szCs w:val="22"/>
        </w:rPr>
        <w:t>86:3 (2012), 508-513.</w:t>
      </w:r>
    </w:p>
    <w:p w14:paraId="3453DAA0" w14:textId="77777777" w:rsidR="00251250" w:rsidRPr="00A32897" w:rsidRDefault="00251250" w:rsidP="00931CC1">
      <w:pPr>
        <w:ind w:left="360"/>
        <w:rPr>
          <w:rFonts w:ascii="Calibri" w:hAnsi="Calibri" w:cs="Calibri"/>
          <w:sz w:val="22"/>
          <w:szCs w:val="22"/>
        </w:rPr>
      </w:pPr>
    </w:p>
    <w:p w14:paraId="35908FC3" w14:textId="4459FC0A" w:rsidR="00931CC1" w:rsidRDefault="00931CC1" w:rsidP="00931CC1">
      <w:pPr>
        <w:ind w:left="360"/>
        <w:rPr>
          <w:rFonts w:ascii="Calibri" w:hAnsi="Calibri" w:cs="Calibri"/>
          <w:sz w:val="22"/>
          <w:szCs w:val="22"/>
        </w:rPr>
      </w:pPr>
      <w:r w:rsidRPr="00A32897">
        <w:rPr>
          <w:rFonts w:ascii="Calibri" w:hAnsi="Calibri" w:cs="Calibri"/>
          <w:sz w:val="22"/>
          <w:szCs w:val="22"/>
        </w:rPr>
        <w:t>Hellen JA, ‘Medical geography and the third world’, in</w:t>
      </w:r>
      <w:r w:rsidR="00314F3B">
        <w:rPr>
          <w:rFonts w:ascii="Calibri" w:hAnsi="Calibri" w:cs="Calibri"/>
          <w:sz w:val="22"/>
          <w:szCs w:val="22"/>
        </w:rPr>
        <w:t xml:space="preserve"> M Pacione (Ed.),</w:t>
      </w:r>
      <w:r w:rsidRPr="00A32897">
        <w:rPr>
          <w:rFonts w:ascii="Calibri" w:hAnsi="Calibri" w:cs="Calibri"/>
          <w:sz w:val="22"/>
          <w:szCs w:val="22"/>
        </w:rPr>
        <w:t xml:space="preserve"> </w:t>
      </w:r>
      <w:r w:rsidRPr="00A32897">
        <w:rPr>
          <w:rFonts w:ascii="Calibri" w:hAnsi="Calibri" w:cs="Calibri"/>
          <w:i/>
          <w:sz w:val="22"/>
          <w:szCs w:val="22"/>
        </w:rPr>
        <w:t xml:space="preserve">Medical geography: progress and prospect </w:t>
      </w:r>
      <w:r w:rsidRPr="00A32897">
        <w:rPr>
          <w:rFonts w:ascii="Calibri" w:hAnsi="Calibri" w:cs="Calibri"/>
          <w:sz w:val="22"/>
          <w:szCs w:val="22"/>
        </w:rPr>
        <w:t>(New York: Routledge, 2014), 284-332.</w:t>
      </w:r>
    </w:p>
    <w:p w14:paraId="121FCCBE" w14:textId="77777777" w:rsidR="00251250" w:rsidRPr="00A32897" w:rsidRDefault="00251250" w:rsidP="00931CC1">
      <w:pPr>
        <w:ind w:left="360"/>
        <w:rPr>
          <w:rFonts w:ascii="Calibri" w:hAnsi="Calibri" w:cs="Calibri"/>
          <w:sz w:val="22"/>
          <w:szCs w:val="22"/>
        </w:rPr>
      </w:pPr>
    </w:p>
    <w:p w14:paraId="05E7F6FF" w14:textId="68FE522A" w:rsidR="00931CC1" w:rsidRDefault="00931CC1" w:rsidP="00931CC1">
      <w:pPr>
        <w:ind w:left="360"/>
        <w:rPr>
          <w:rFonts w:ascii="Calibri" w:hAnsi="Calibri" w:cs="Calibri"/>
          <w:sz w:val="22"/>
          <w:szCs w:val="22"/>
        </w:rPr>
      </w:pPr>
      <w:r w:rsidRPr="00A32897">
        <w:rPr>
          <w:rFonts w:ascii="Calibri" w:hAnsi="Calibri" w:cs="Calibri"/>
          <w:sz w:val="22"/>
          <w:szCs w:val="22"/>
        </w:rPr>
        <w:t xml:space="preserve">Hibler M, ‘On the disease warpath’, </w:t>
      </w:r>
      <w:r w:rsidRPr="00A32897">
        <w:rPr>
          <w:rFonts w:ascii="Calibri" w:hAnsi="Calibri" w:cs="Calibri"/>
          <w:i/>
          <w:sz w:val="22"/>
          <w:szCs w:val="22"/>
        </w:rPr>
        <w:t xml:space="preserve">IDRC Reports </w:t>
      </w:r>
      <w:r w:rsidRPr="00A32897">
        <w:rPr>
          <w:rFonts w:ascii="Calibri" w:hAnsi="Calibri" w:cs="Calibri"/>
          <w:sz w:val="22"/>
          <w:szCs w:val="22"/>
        </w:rPr>
        <w:t>11:3 (1982).</w:t>
      </w:r>
    </w:p>
    <w:p w14:paraId="7FA2F77C" w14:textId="77777777" w:rsidR="00251250" w:rsidRPr="00A32897" w:rsidRDefault="00251250" w:rsidP="00931CC1">
      <w:pPr>
        <w:ind w:left="360"/>
        <w:rPr>
          <w:rFonts w:ascii="Calibri" w:hAnsi="Calibri" w:cs="Calibri"/>
          <w:sz w:val="22"/>
          <w:szCs w:val="22"/>
        </w:rPr>
      </w:pPr>
    </w:p>
    <w:p w14:paraId="2EFB4F3B" w14:textId="4B26F787" w:rsidR="00931CC1" w:rsidRDefault="00931CC1" w:rsidP="00931CC1">
      <w:pPr>
        <w:ind w:left="360"/>
        <w:rPr>
          <w:rFonts w:ascii="Calibri" w:hAnsi="Calibri" w:cs="Calibri"/>
          <w:sz w:val="22"/>
          <w:szCs w:val="22"/>
        </w:rPr>
      </w:pPr>
      <w:r w:rsidRPr="00A32897">
        <w:rPr>
          <w:rFonts w:ascii="Calibri" w:hAnsi="Calibri" w:cs="Calibri"/>
          <w:sz w:val="22"/>
          <w:szCs w:val="22"/>
        </w:rPr>
        <w:lastRenderedPageBreak/>
        <w:t xml:space="preserve">Hodgkin C, Molyneux DH, Abiose A, Philippon B, Reich MR, Remme JH, Thylefors B, Traore M and Grepin K, ‘The future of onchocerciasis control in Africa’, </w:t>
      </w:r>
      <w:r w:rsidRPr="00A32897">
        <w:rPr>
          <w:rFonts w:ascii="Calibri" w:hAnsi="Calibri" w:cs="Calibri"/>
          <w:i/>
          <w:sz w:val="22"/>
          <w:szCs w:val="22"/>
        </w:rPr>
        <w:t xml:space="preserve">PLoS Neglected Tropical Diseases </w:t>
      </w:r>
      <w:r w:rsidRPr="00A32897">
        <w:rPr>
          <w:rFonts w:ascii="Calibri" w:hAnsi="Calibri" w:cs="Calibri"/>
          <w:sz w:val="22"/>
          <w:szCs w:val="22"/>
        </w:rPr>
        <w:t>1:1 (2007).</w:t>
      </w:r>
    </w:p>
    <w:p w14:paraId="76BD1067" w14:textId="77777777" w:rsidR="00251250" w:rsidRPr="00A32897" w:rsidRDefault="00251250" w:rsidP="00931CC1">
      <w:pPr>
        <w:ind w:left="360"/>
        <w:rPr>
          <w:rFonts w:ascii="Calibri" w:hAnsi="Calibri" w:cs="Calibri"/>
          <w:sz w:val="22"/>
          <w:szCs w:val="22"/>
        </w:rPr>
      </w:pPr>
    </w:p>
    <w:p w14:paraId="7A1B65EB" w14:textId="4E2B458A" w:rsidR="00931CC1" w:rsidRDefault="00931CC1" w:rsidP="00931CC1">
      <w:pPr>
        <w:ind w:left="360"/>
        <w:rPr>
          <w:rFonts w:ascii="Calibri" w:hAnsi="Calibri" w:cs="Calibri"/>
          <w:sz w:val="22"/>
          <w:szCs w:val="22"/>
        </w:rPr>
      </w:pPr>
      <w:r w:rsidRPr="00A32897">
        <w:rPr>
          <w:rFonts w:ascii="Calibri" w:hAnsi="Calibri" w:cs="Calibri"/>
          <w:sz w:val="22"/>
          <w:szCs w:val="22"/>
        </w:rPr>
        <w:t xml:space="preserve">Hoerauf A, ‘Control of filarial infections: not the beginning of the end, but more research is needed’, </w:t>
      </w:r>
      <w:r w:rsidRPr="00A32897">
        <w:rPr>
          <w:rFonts w:ascii="Calibri" w:hAnsi="Calibri" w:cs="Calibri"/>
          <w:i/>
          <w:sz w:val="22"/>
          <w:szCs w:val="22"/>
        </w:rPr>
        <w:t xml:space="preserve">Current opinion in infectious diseases </w:t>
      </w:r>
      <w:r w:rsidRPr="00A32897">
        <w:rPr>
          <w:rFonts w:ascii="Calibri" w:hAnsi="Calibri" w:cs="Calibri"/>
          <w:sz w:val="22"/>
          <w:szCs w:val="22"/>
        </w:rPr>
        <w:t>16:5 (2003), 403-410.</w:t>
      </w:r>
    </w:p>
    <w:p w14:paraId="6D179E5D" w14:textId="77777777" w:rsidR="00251250" w:rsidRPr="00A32897" w:rsidRDefault="00251250" w:rsidP="00931CC1">
      <w:pPr>
        <w:ind w:left="360"/>
        <w:rPr>
          <w:rFonts w:ascii="Calibri" w:hAnsi="Calibri" w:cs="Calibri"/>
          <w:sz w:val="22"/>
          <w:szCs w:val="22"/>
        </w:rPr>
      </w:pPr>
    </w:p>
    <w:p w14:paraId="0821E043" w14:textId="3E2350D1" w:rsidR="00931CC1" w:rsidRDefault="00931CC1" w:rsidP="00931CC1">
      <w:pPr>
        <w:ind w:left="360"/>
        <w:rPr>
          <w:rFonts w:ascii="Calibri" w:hAnsi="Calibri" w:cs="Calibri"/>
          <w:sz w:val="22"/>
          <w:szCs w:val="22"/>
        </w:rPr>
      </w:pPr>
      <w:r w:rsidRPr="00A32897">
        <w:rPr>
          <w:rFonts w:ascii="Calibri" w:hAnsi="Calibri" w:cs="Calibri"/>
          <w:sz w:val="22"/>
          <w:szCs w:val="22"/>
        </w:rPr>
        <w:t xml:space="preserve">Hoerauf A, ‘New strategies to combat filariasis’, </w:t>
      </w:r>
      <w:r w:rsidRPr="00A32897">
        <w:rPr>
          <w:rFonts w:ascii="Calibri" w:hAnsi="Calibri" w:cs="Calibri"/>
          <w:i/>
          <w:sz w:val="22"/>
          <w:szCs w:val="22"/>
        </w:rPr>
        <w:t xml:space="preserve">Expert Review of Anti-Infective Therapy </w:t>
      </w:r>
      <w:r w:rsidRPr="00A32897">
        <w:rPr>
          <w:rFonts w:ascii="Calibri" w:hAnsi="Calibri" w:cs="Calibri"/>
          <w:sz w:val="22"/>
          <w:szCs w:val="22"/>
        </w:rPr>
        <w:t>4:2 (2006), 211-222.</w:t>
      </w:r>
    </w:p>
    <w:p w14:paraId="6BE045A7" w14:textId="77777777" w:rsidR="00251250" w:rsidRPr="00A32897" w:rsidRDefault="00251250" w:rsidP="00931CC1">
      <w:pPr>
        <w:ind w:left="360"/>
        <w:rPr>
          <w:rFonts w:ascii="Calibri" w:hAnsi="Calibri" w:cs="Calibri"/>
          <w:sz w:val="22"/>
          <w:szCs w:val="22"/>
        </w:rPr>
      </w:pPr>
    </w:p>
    <w:p w14:paraId="16A50F6F" w14:textId="15DD0ECF" w:rsidR="00931CC1" w:rsidRDefault="00931CC1" w:rsidP="00931CC1">
      <w:pPr>
        <w:ind w:left="360"/>
        <w:rPr>
          <w:rFonts w:ascii="Calibri" w:hAnsi="Calibri" w:cs="Calibri"/>
          <w:sz w:val="22"/>
          <w:szCs w:val="22"/>
        </w:rPr>
      </w:pPr>
      <w:r w:rsidRPr="00A32897">
        <w:rPr>
          <w:rFonts w:ascii="Calibri" w:hAnsi="Calibri" w:cs="Calibri"/>
          <w:sz w:val="22"/>
          <w:szCs w:val="22"/>
        </w:rPr>
        <w:t xml:space="preserve">Hoerauf AM, ‘Onchocerciasis’, </w:t>
      </w:r>
      <w:r w:rsidRPr="00A32897">
        <w:rPr>
          <w:rFonts w:ascii="Calibri" w:hAnsi="Calibri" w:cs="Calibri"/>
          <w:i/>
          <w:sz w:val="22"/>
          <w:szCs w:val="22"/>
        </w:rPr>
        <w:t xml:space="preserve">Tropical Infectious Diseases </w:t>
      </w:r>
      <w:r w:rsidRPr="00A32897">
        <w:rPr>
          <w:rFonts w:ascii="Calibri" w:hAnsi="Calibri" w:cs="Calibri"/>
          <w:sz w:val="22"/>
          <w:szCs w:val="22"/>
        </w:rPr>
        <w:t>(2011), 741-749.</w:t>
      </w:r>
    </w:p>
    <w:p w14:paraId="5C8DC77B" w14:textId="77777777" w:rsidR="00251250" w:rsidRPr="00A32897" w:rsidRDefault="00251250" w:rsidP="00931CC1">
      <w:pPr>
        <w:ind w:left="360"/>
        <w:rPr>
          <w:rFonts w:ascii="Calibri" w:hAnsi="Calibri" w:cs="Calibri"/>
          <w:sz w:val="22"/>
          <w:szCs w:val="22"/>
        </w:rPr>
      </w:pPr>
    </w:p>
    <w:p w14:paraId="554DC56D" w14:textId="462AA0EF" w:rsidR="00931CC1" w:rsidRDefault="00931CC1" w:rsidP="00931CC1">
      <w:pPr>
        <w:ind w:left="360"/>
        <w:rPr>
          <w:rFonts w:ascii="Calibri" w:hAnsi="Calibri" w:cs="Calibri"/>
          <w:sz w:val="22"/>
          <w:szCs w:val="22"/>
        </w:rPr>
      </w:pPr>
      <w:r w:rsidRPr="00A32897">
        <w:rPr>
          <w:rFonts w:ascii="Calibri" w:hAnsi="Calibri" w:cs="Calibri"/>
          <w:sz w:val="22"/>
          <w:szCs w:val="22"/>
        </w:rPr>
        <w:t xml:space="preserve">Holden C, ‘Random samples’, </w:t>
      </w:r>
      <w:r w:rsidRPr="00A32897">
        <w:rPr>
          <w:rFonts w:ascii="Calibri" w:hAnsi="Calibri" w:cs="Calibri"/>
          <w:i/>
          <w:sz w:val="22"/>
          <w:szCs w:val="22"/>
        </w:rPr>
        <w:t xml:space="preserve">Science </w:t>
      </w:r>
      <w:r w:rsidRPr="00A32897">
        <w:rPr>
          <w:rFonts w:ascii="Calibri" w:hAnsi="Calibri" w:cs="Calibri"/>
          <w:sz w:val="22"/>
          <w:szCs w:val="22"/>
        </w:rPr>
        <w:t>268:5210 (1995), 503-505.</w:t>
      </w:r>
    </w:p>
    <w:p w14:paraId="6C6CD633" w14:textId="77777777" w:rsidR="00251250" w:rsidRPr="00A32897" w:rsidRDefault="00251250" w:rsidP="00931CC1">
      <w:pPr>
        <w:ind w:left="360"/>
        <w:rPr>
          <w:rFonts w:ascii="Calibri" w:hAnsi="Calibri" w:cs="Calibri"/>
          <w:sz w:val="22"/>
          <w:szCs w:val="22"/>
        </w:rPr>
      </w:pPr>
    </w:p>
    <w:p w14:paraId="239BD7F7" w14:textId="319ADD1D" w:rsidR="00931CC1" w:rsidRDefault="00931CC1" w:rsidP="00931CC1">
      <w:pPr>
        <w:ind w:left="360"/>
        <w:rPr>
          <w:rFonts w:ascii="Calibri" w:hAnsi="Calibri" w:cs="Calibri"/>
          <w:sz w:val="22"/>
          <w:szCs w:val="22"/>
        </w:rPr>
      </w:pPr>
      <w:r w:rsidRPr="00A32897">
        <w:rPr>
          <w:rFonts w:ascii="Calibri" w:hAnsi="Calibri" w:cs="Calibri"/>
          <w:sz w:val="22"/>
          <w:szCs w:val="22"/>
        </w:rPr>
        <w:t>Hopkins A and Boatin BA, ‘Onchocerciasis’, in</w:t>
      </w:r>
      <w:r w:rsidR="00314F3B">
        <w:rPr>
          <w:rFonts w:ascii="Calibri" w:hAnsi="Calibri" w:cs="Calibri"/>
          <w:sz w:val="22"/>
          <w:szCs w:val="22"/>
        </w:rPr>
        <w:t xml:space="preserve"> JMH Selendy (Ed.),</w:t>
      </w:r>
      <w:r w:rsidRPr="00A32897">
        <w:rPr>
          <w:rFonts w:ascii="Calibri" w:hAnsi="Calibri" w:cs="Calibri"/>
          <w:sz w:val="22"/>
          <w:szCs w:val="22"/>
        </w:rPr>
        <w:t xml:space="preserve"> </w:t>
      </w:r>
      <w:r w:rsidRPr="00A32897">
        <w:rPr>
          <w:rFonts w:ascii="Calibri" w:hAnsi="Calibri" w:cs="Calibri"/>
          <w:i/>
          <w:sz w:val="22"/>
          <w:szCs w:val="22"/>
        </w:rPr>
        <w:t>Water and sanitation-related diseases and the environment: challenges, interventions, and preventative measure</w:t>
      </w:r>
      <w:r w:rsidR="00314F3B">
        <w:rPr>
          <w:rFonts w:ascii="Calibri" w:hAnsi="Calibri" w:cs="Calibri"/>
          <w:i/>
          <w:sz w:val="22"/>
          <w:szCs w:val="22"/>
        </w:rPr>
        <w:t>s</w:t>
      </w:r>
      <w:r w:rsidRPr="00A32897">
        <w:rPr>
          <w:rFonts w:ascii="Calibri" w:hAnsi="Calibri" w:cs="Calibri"/>
          <w:sz w:val="22"/>
          <w:szCs w:val="22"/>
        </w:rPr>
        <w:t xml:space="preserve"> (New York: Wiley-Blackwell, 2011), 133-149.</w:t>
      </w:r>
    </w:p>
    <w:p w14:paraId="2610E184" w14:textId="77777777" w:rsidR="00251250" w:rsidRPr="00A32897" w:rsidRDefault="00251250" w:rsidP="00931CC1">
      <w:pPr>
        <w:ind w:left="360"/>
        <w:rPr>
          <w:rFonts w:ascii="Calibri" w:hAnsi="Calibri" w:cs="Calibri"/>
          <w:sz w:val="22"/>
          <w:szCs w:val="22"/>
        </w:rPr>
      </w:pPr>
    </w:p>
    <w:p w14:paraId="2CB8F1C1" w14:textId="1D216DAA" w:rsidR="00931CC1" w:rsidRDefault="00931CC1" w:rsidP="00931CC1">
      <w:pPr>
        <w:ind w:left="360"/>
        <w:rPr>
          <w:rFonts w:ascii="Calibri" w:hAnsi="Calibri" w:cs="Calibri"/>
          <w:sz w:val="22"/>
          <w:szCs w:val="22"/>
        </w:rPr>
      </w:pPr>
      <w:r w:rsidRPr="00A32897">
        <w:rPr>
          <w:rFonts w:ascii="Calibri" w:hAnsi="Calibri" w:cs="Calibri"/>
          <w:sz w:val="22"/>
          <w:szCs w:val="22"/>
        </w:rPr>
        <w:t xml:space="preserve">Hopkins D, Richards F and Katabarwa M, ‘Wither onchocerciasis control in Africa?’, </w:t>
      </w:r>
      <w:r w:rsidRPr="00A32897">
        <w:rPr>
          <w:rFonts w:ascii="Calibri" w:hAnsi="Calibri" w:cs="Calibri"/>
          <w:i/>
          <w:sz w:val="22"/>
          <w:szCs w:val="22"/>
        </w:rPr>
        <w:t xml:space="preserve">The American Journal of Tropical Medicine and Hygiene </w:t>
      </w:r>
      <w:r w:rsidRPr="00A32897">
        <w:rPr>
          <w:rFonts w:ascii="Calibri" w:hAnsi="Calibri" w:cs="Calibri"/>
          <w:sz w:val="22"/>
          <w:szCs w:val="22"/>
        </w:rPr>
        <w:t>72:1 (2005), 1-2.</w:t>
      </w:r>
    </w:p>
    <w:p w14:paraId="01B1B851" w14:textId="77777777" w:rsidR="00251250" w:rsidRPr="00A32897" w:rsidRDefault="00251250" w:rsidP="00931CC1">
      <w:pPr>
        <w:ind w:left="360"/>
        <w:rPr>
          <w:rFonts w:ascii="Calibri" w:hAnsi="Calibri" w:cs="Calibri"/>
          <w:sz w:val="22"/>
          <w:szCs w:val="22"/>
        </w:rPr>
      </w:pPr>
    </w:p>
    <w:p w14:paraId="4E1F367B" w14:textId="19F8AC0F" w:rsidR="00931CC1" w:rsidRDefault="00931CC1" w:rsidP="00931CC1">
      <w:pPr>
        <w:ind w:left="360"/>
        <w:rPr>
          <w:rFonts w:ascii="Calibri" w:hAnsi="Calibri" w:cs="Calibri"/>
          <w:sz w:val="22"/>
          <w:szCs w:val="22"/>
        </w:rPr>
      </w:pPr>
      <w:r w:rsidRPr="00A32897">
        <w:rPr>
          <w:rFonts w:ascii="Calibri" w:hAnsi="Calibri" w:cs="Calibri"/>
          <w:sz w:val="22"/>
          <w:szCs w:val="22"/>
        </w:rPr>
        <w:t xml:space="preserve">Hopkins DR, ‘Homing in on helminths’, </w:t>
      </w:r>
      <w:r w:rsidRPr="00A32897">
        <w:rPr>
          <w:rFonts w:ascii="Calibri" w:hAnsi="Calibri" w:cs="Calibri"/>
          <w:i/>
          <w:sz w:val="22"/>
          <w:szCs w:val="22"/>
        </w:rPr>
        <w:t xml:space="preserve">The American Journal of Tropical Medicine and Hygiene </w:t>
      </w:r>
      <w:r w:rsidRPr="00A32897">
        <w:rPr>
          <w:rFonts w:ascii="Calibri" w:hAnsi="Calibri" w:cs="Calibri"/>
          <w:sz w:val="22"/>
          <w:szCs w:val="22"/>
        </w:rPr>
        <w:t>46:6 (1992), 626-634.</w:t>
      </w:r>
    </w:p>
    <w:p w14:paraId="73ED6A81" w14:textId="77777777" w:rsidR="00251250" w:rsidRPr="00A32897" w:rsidRDefault="00251250" w:rsidP="00931CC1">
      <w:pPr>
        <w:ind w:left="360"/>
        <w:rPr>
          <w:rFonts w:ascii="Calibri" w:hAnsi="Calibri" w:cs="Calibri"/>
          <w:sz w:val="22"/>
          <w:szCs w:val="22"/>
        </w:rPr>
      </w:pPr>
    </w:p>
    <w:p w14:paraId="1E79DD75" w14:textId="2678DB37" w:rsidR="00931CC1" w:rsidRDefault="00931CC1" w:rsidP="00931CC1">
      <w:pPr>
        <w:ind w:left="360"/>
        <w:rPr>
          <w:rFonts w:ascii="Calibri" w:hAnsi="Calibri" w:cs="Calibri"/>
          <w:sz w:val="22"/>
          <w:szCs w:val="22"/>
        </w:rPr>
      </w:pPr>
      <w:r w:rsidRPr="00A32897">
        <w:rPr>
          <w:rFonts w:ascii="Calibri" w:hAnsi="Calibri" w:cs="Calibri"/>
          <w:sz w:val="22"/>
          <w:szCs w:val="22"/>
        </w:rPr>
        <w:t xml:space="preserve">Hopkins DR, Fichards FO, Ruiz-Tiben E, Emerson P and Withers C, ‘Dracunculiasis, onchocerciasis, schistosomiasis, and trachoma’, </w:t>
      </w:r>
      <w:r w:rsidRPr="00A32897">
        <w:rPr>
          <w:rFonts w:ascii="Calibri" w:hAnsi="Calibri" w:cs="Calibri"/>
          <w:i/>
          <w:sz w:val="22"/>
          <w:szCs w:val="22"/>
        </w:rPr>
        <w:t xml:space="preserve">Annals of the New York Academy of Science </w:t>
      </w:r>
      <w:r w:rsidRPr="00A32897">
        <w:rPr>
          <w:rFonts w:ascii="Calibri" w:hAnsi="Calibri" w:cs="Calibri"/>
          <w:sz w:val="22"/>
          <w:szCs w:val="22"/>
        </w:rPr>
        <w:t>1136:1 (2008), 45-52.</w:t>
      </w:r>
    </w:p>
    <w:p w14:paraId="2330AEDB" w14:textId="77777777" w:rsidR="00251250" w:rsidRPr="00A32897" w:rsidRDefault="00251250" w:rsidP="00931CC1">
      <w:pPr>
        <w:ind w:left="360"/>
        <w:rPr>
          <w:rFonts w:ascii="Calibri" w:hAnsi="Calibri" w:cs="Calibri"/>
          <w:sz w:val="22"/>
          <w:szCs w:val="22"/>
        </w:rPr>
      </w:pPr>
    </w:p>
    <w:p w14:paraId="4431A400" w14:textId="1DB0CE85" w:rsidR="00931CC1" w:rsidRDefault="00931CC1" w:rsidP="00931CC1">
      <w:pPr>
        <w:ind w:left="360"/>
        <w:rPr>
          <w:rFonts w:ascii="Calibri" w:hAnsi="Calibri" w:cs="Calibri"/>
          <w:sz w:val="22"/>
          <w:szCs w:val="22"/>
        </w:rPr>
      </w:pPr>
      <w:r w:rsidRPr="00A32897">
        <w:rPr>
          <w:rFonts w:ascii="Calibri" w:hAnsi="Calibri" w:cs="Calibri"/>
          <w:sz w:val="22"/>
          <w:szCs w:val="22"/>
        </w:rPr>
        <w:t xml:space="preserve">Hotez P, ‘Enlarging the “audacious goal”: elimination of the world’s high prevalence neglected tropical diseases’, </w:t>
      </w:r>
      <w:r w:rsidRPr="00A32897">
        <w:rPr>
          <w:rFonts w:ascii="Calibri" w:hAnsi="Calibri" w:cs="Calibri"/>
          <w:i/>
          <w:sz w:val="22"/>
          <w:szCs w:val="22"/>
        </w:rPr>
        <w:t xml:space="preserve">Vaccine </w:t>
      </w:r>
      <w:r w:rsidRPr="00A32897">
        <w:rPr>
          <w:rFonts w:ascii="Calibri" w:hAnsi="Calibri" w:cs="Calibri"/>
          <w:sz w:val="22"/>
          <w:szCs w:val="22"/>
        </w:rPr>
        <w:t>29 (2011), D104-110.</w:t>
      </w:r>
    </w:p>
    <w:p w14:paraId="22EF7852" w14:textId="77777777" w:rsidR="00251250" w:rsidRPr="00A32897" w:rsidRDefault="00251250" w:rsidP="00931CC1">
      <w:pPr>
        <w:ind w:left="360"/>
        <w:rPr>
          <w:rFonts w:ascii="Calibri" w:hAnsi="Calibri" w:cs="Calibri"/>
          <w:sz w:val="22"/>
          <w:szCs w:val="22"/>
        </w:rPr>
      </w:pPr>
    </w:p>
    <w:p w14:paraId="3F6D6D51" w14:textId="57E79783" w:rsidR="00931CC1" w:rsidRDefault="00931CC1" w:rsidP="00931CC1">
      <w:pPr>
        <w:ind w:left="360"/>
        <w:rPr>
          <w:rFonts w:ascii="Calibri" w:hAnsi="Calibri" w:cs="Calibri"/>
          <w:sz w:val="22"/>
          <w:szCs w:val="22"/>
        </w:rPr>
      </w:pPr>
      <w:r w:rsidRPr="00A32897">
        <w:rPr>
          <w:rFonts w:ascii="Calibri" w:hAnsi="Calibri" w:cs="Calibri"/>
          <w:sz w:val="22"/>
          <w:szCs w:val="22"/>
        </w:rPr>
        <w:t xml:space="preserve">Hotez PJ, ‘Control of onchocerciasis – the next generation’, </w:t>
      </w:r>
      <w:r w:rsidRPr="00A32897">
        <w:rPr>
          <w:rFonts w:ascii="Calibri" w:hAnsi="Calibri" w:cs="Calibri"/>
          <w:i/>
          <w:sz w:val="22"/>
          <w:szCs w:val="22"/>
        </w:rPr>
        <w:t xml:space="preserve">The Lancet </w:t>
      </w:r>
      <w:r w:rsidRPr="00A32897">
        <w:rPr>
          <w:rFonts w:ascii="Calibri" w:hAnsi="Calibri" w:cs="Calibri"/>
          <w:sz w:val="22"/>
          <w:szCs w:val="22"/>
        </w:rPr>
        <w:t>369:9578 (2007), 1979-1980.</w:t>
      </w:r>
    </w:p>
    <w:p w14:paraId="6AAC5F7E" w14:textId="77777777" w:rsidR="00251250" w:rsidRPr="00A32897" w:rsidRDefault="00251250" w:rsidP="00931CC1">
      <w:pPr>
        <w:ind w:left="360"/>
        <w:rPr>
          <w:rFonts w:ascii="Calibri" w:hAnsi="Calibri" w:cs="Calibri"/>
          <w:sz w:val="22"/>
          <w:szCs w:val="22"/>
        </w:rPr>
      </w:pPr>
    </w:p>
    <w:p w14:paraId="640783AE" w14:textId="5560B85B" w:rsidR="00931CC1" w:rsidRDefault="00931CC1" w:rsidP="00931CC1">
      <w:pPr>
        <w:ind w:left="360"/>
        <w:rPr>
          <w:rFonts w:ascii="Calibri" w:hAnsi="Calibri" w:cs="Calibri"/>
          <w:sz w:val="22"/>
          <w:szCs w:val="22"/>
        </w:rPr>
      </w:pPr>
      <w:r w:rsidRPr="00A32897">
        <w:rPr>
          <w:rFonts w:ascii="Calibri" w:hAnsi="Calibri" w:cs="Calibri"/>
          <w:sz w:val="22"/>
          <w:szCs w:val="22"/>
        </w:rPr>
        <w:t>Hougard JM, Yameogo L</w:t>
      </w:r>
      <w:r w:rsidR="00314F3B">
        <w:rPr>
          <w:rFonts w:ascii="Calibri" w:hAnsi="Calibri" w:cs="Calibri"/>
          <w:sz w:val="22"/>
          <w:szCs w:val="22"/>
        </w:rPr>
        <w:t xml:space="preserve"> and</w:t>
      </w:r>
      <w:r w:rsidRPr="00A32897">
        <w:rPr>
          <w:rFonts w:ascii="Calibri" w:hAnsi="Calibri" w:cs="Calibri"/>
          <w:sz w:val="22"/>
          <w:szCs w:val="22"/>
        </w:rPr>
        <w:t xml:space="preserve"> Philippon B, ‘Onchocerciasis in West Africa after 2002: a challenge to take up’, </w:t>
      </w:r>
      <w:r w:rsidRPr="00A32897">
        <w:rPr>
          <w:rFonts w:ascii="Calibri" w:hAnsi="Calibri" w:cs="Calibri"/>
          <w:i/>
          <w:sz w:val="22"/>
          <w:szCs w:val="22"/>
        </w:rPr>
        <w:t xml:space="preserve">Parasite </w:t>
      </w:r>
      <w:r w:rsidRPr="00A32897">
        <w:rPr>
          <w:rFonts w:ascii="Calibri" w:hAnsi="Calibri" w:cs="Calibri"/>
          <w:sz w:val="22"/>
          <w:szCs w:val="22"/>
        </w:rPr>
        <w:t>9:2 (2002), 105-111.</w:t>
      </w:r>
    </w:p>
    <w:p w14:paraId="144DAC04" w14:textId="77777777" w:rsidR="00251250" w:rsidRPr="00A32897" w:rsidRDefault="00251250" w:rsidP="00931CC1">
      <w:pPr>
        <w:ind w:left="360"/>
        <w:rPr>
          <w:rFonts w:ascii="Calibri" w:hAnsi="Calibri" w:cs="Calibri"/>
          <w:sz w:val="22"/>
          <w:szCs w:val="22"/>
        </w:rPr>
      </w:pPr>
    </w:p>
    <w:p w14:paraId="0F53A073" w14:textId="02CCC470" w:rsidR="00931CC1" w:rsidRDefault="00931CC1" w:rsidP="00931CC1">
      <w:pPr>
        <w:ind w:left="360"/>
        <w:rPr>
          <w:rFonts w:ascii="Calibri" w:hAnsi="Calibri" w:cs="Calibri"/>
          <w:sz w:val="22"/>
          <w:szCs w:val="22"/>
        </w:rPr>
      </w:pPr>
      <w:r w:rsidRPr="00A32897">
        <w:rPr>
          <w:rFonts w:ascii="Calibri" w:hAnsi="Calibri" w:cs="Calibri"/>
          <w:sz w:val="22"/>
          <w:szCs w:val="22"/>
        </w:rPr>
        <w:t xml:space="preserve">Hunter JM, ‘Progress and concerns in the World Health Organization onchocerciasis control program in West Africa’, </w:t>
      </w:r>
      <w:r w:rsidRPr="00A32897">
        <w:rPr>
          <w:rFonts w:ascii="Calibri" w:hAnsi="Calibri" w:cs="Calibri"/>
          <w:i/>
          <w:sz w:val="22"/>
          <w:szCs w:val="22"/>
        </w:rPr>
        <w:t xml:space="preserve">Social Science and Medicine </w:t>
      </w:r>
      <w:r w:rsidRPr="00A32897">
        <w:rPr>
          <w:rFonts w:ascii="Calibri" w:hAnsi="Calibri" w:cs="Calibri"/>
          <w:sz w:val="22"/>
          <w:szCs w:val="22"/>
        </w:rPr>
        <w:t>15:2 (1981), 261-275.</w:t>
      </w:r>
    </w:p>
    <w:p w14:paraId="0498ABE5" w14:textId="77777777" w:rsidR="00251250" w:rsidRPr="00A32897" w:rsidRDefault="00251250" w:rsidP="00931CC1">
      <w:pPr>
        <w:ind w:left="360"/>
        <w:rPr>
          <w:rFonts w:ascii="Calibri" w:hAnsi="Calibri" w:cs="Calibri"/>
          <w:sz w:val="22"/>
          <w:szCs w:val="22"/>
        </w:rPr>
      </w:pPr>
    </w:p>
    <w:p w14:paraId="163F2762" w14:textId="6D2B56A2" w:rsidR="00931CC1" w:rsidRDefault="00931CC1" w:rsidP="00931CC1">
      <w:pPr>
        <w:ind w:left="360"/>
        <w:rPr>
          <w:rFonts w:ascii="Calibri" w:hAnsi="Calibri" w:cs="Calibri"/>
          <w:sz w:val="22"/>
          <w:szCs w:val="22"/>
        </w:rPr>
      </w:pPr>
      <w:r w:rsidRPr="00A32897">
        <w:rPr>
          <w:rFonts w:ascii="Calibri" w:hAnsi="Calibri" w:cs="Calibri"/>
          <w:sz w:val="22"/>
          <w:szCs w:val="22"/>
        </w:rPr>
        <w:t>Jack W and Lewis M, ‘Health investments and economic growth: macroeconomic evidence and microeconomic foundations’, in</w:t>
      </w:r>
      <w:r w:rsidR="008A45BD">
        <w:rPr>
          <w:rFonts w:ascii="Calibri" w:hAnsi="Calibri" w:cs="Calibri"/>
          <w:sz w:val="22"/>
          <w:szCs w:val="22"/>
        </w:rPr>
        <w:t xml:space="preserve"> </w:t>
      </w:r>
      <w:r w:rsidR="008A45BD" w:rsidRPr="00A32897">
        <w:rPr>
          <w:rFonts w:ascii="Calibri" w:hAnsi="Calibri" w:cs="Calibri"/>
          <w:sz w:val="22"/>
          <w:szCs w:val="22"/>
        </w:rPr>
        <w:t>M Spencea and M Lewis</w:t>
      </w:r>
      <w:r w:rsidR="008A45BD">
        <w:rPr>
          <w:rFonts w:ascii="Calibri" w:hAnsi="Calibri" w:cs="Calibri"/>
          <w:sz w:val="22"/>
          <w:szCs w:val="22"/>
        </w:rPr>
        <w:t xml:space="preserve"> (Eds.)</w:t>
      </w:r>
      <w:r w:rsidRPr="00A32897">
        <w:rPr>
          <w:rFonts w:ascii="Calibri" w:hAnsi="Calibri" w:cs="Calibri"/>
          <w:sz w:val="22"/>
          <w:szCs w:val="22"/>
        </w:rPr>
        <w:t xml:space="preserve"> </w:t>
      </w:r>
      <w:r w:rsidRPr="00A32897">
        <w:rPr>
          <w:rFonts w:ascii="Calibri" w:hAnsi="Calibri" w:cs="Calibri"/>
          <w:i/>
          <w:sz w:val="22"/>
          <w:szCs w:val="22"/>
        </w:rPr>
        <w:t>Health and growth</w:t>
      </w:r>
      <w:r w:rsidR="008A45BD">
        <w:rPr>
          <w:rFonts w:ascii="Calibri" w:hAnsi="Calibri" w:cs="Calibri"/>
          <w:i/>
          <w:sz w:val="22"/>
          <w:szCs w:val="22"/>
        </w:rPr>
        <w:t xml:space="preserve"> </w:t>
      </w:r>
      <w:r w:rsidRPr="00A32897">
        <w:rPr>
          <w:rFonts w:ascii="Calibri" w:hAnsi="Calibri" w:cs="Calibri"/>
          <w:sz w:val="22"/>
          <w:szCs w:val="22"/>
        </w:rPr>
        <w:t>(Washington DC: World Bank, 2009).</w:t>
      </w:r>
    </w:p>
    <w:p w14:paraId="5F6E6313" w14:textId="77777777" w:rsidR="00251250" w:rsidRPr="00A32897" w:rsidRDefault="00251250" w:rsidP="00931CC1">
      <w:pPr>
        <w:ind w:left="360"/>
        <w:rPr>
          <w:rFonts w:ascii="Calibri" w:hAnsi="Calibri" w:cs="Calibri"/>
          <w:sz w:val="22"/>
          <w:szCs w:val="22"/>
        </w:rPr>
      </w:pPr>
    </w:p>
    <w:p w14:paraId="0FD698A5" w14:textId="7A8D4F5A" w:rsidR="00931CC1" w:rsidRDefault="00931CC1" w:rsidP="00931CC1">
      <w:pPr>
        <w:ind w:left="360"/>
        <w:rPr>
          <w:rFonts w:ascii="Calibri" w:hAnsi="Calibri" w:cs="Calibri"/>
          <w:sz w:val="22"/>
          <w:szCs w:val="22"/>
        </w:rPr>
      </w:pPr>
      <w:r w:rsidRPr="00A32897">
        <w:rPr>
          <w:rFonts w:ascii="Calibri" w:hAnsi="Calibri" w:cs="Calibri"/>
          <w:sz w:val="22"/>
          <w:szCs w:val="22"/>
        </w:rPr>
        <w:t xml:space="preserve">Jacob BG, Novak RJ, Toe LD, Santo M, Griffith DA, Lakwo TL, Habomugisha P, Katabarwa MN and Unnasch TR, ‘Validation of a remote sensing model to identify Simulium damnosum s.I. breeding sites in Sub-Saharan Africa’, </w:t>
      </w:r>
      <w:r w:rsidRPr="00A32897">
        <w:rPr>
          <w:rFonts w:ascii="Calibri" w:hAnsi="Calibri" w:cs="Calibri"/>
          <w:i/>
          <w:sz w:val="22"/>
          <w:szCs w:val="22"/>
        </w:rPr>
        <w:t xml:space="preserve">PLoS Neglected Tropical Diseases </w:t>
      </w:r>
      <w:r w:rsidRPr="00A32897">
        <w:rPr>
          <w:rFonts w:ascii="Calibri" w:hAnsi="Calibri" w:cs="Calibri"/>
          <w:sz w:val="22"/>
          <w:szCs w:val="22"/>
        </w:rPr>
        <w:t>7:7</w:t>
      </w:r>
      <w:r w:rsidRPr="00A32897">
        <w:rPr>
          <w:rFonts w:ascii="Calibri" w:hAnsi="Calibri" w:cs="Calibri"/>
          <w:i/>
          <w:sz w:val="22"/>
          <w:szCs w:val="22"/>
        </w:rPr>
        <w:t xml:space="preserve"> </w:t>
      </w:r>
      <w:r w:rsidRPr="00A32897">
        <w:rPr>
          <w:rFonts w:ascii="Calibri" w:hAnsi="Calibri" w:cs="Calibri"/>
          <w:sz w:val="22"/>
          <w:szCs w:val="22"/>
        </w:rPr>
        <w:t>(2013), e2342.</w:t>
      </w:r>
    </w:p>
    <w:p w14:paraId="10F70E13" w14:textId="77777777" w:rsidR="00251250" w:rsidRPr="00A32897" w:rsidRDefault="00251250" w:rsidP="00931CC1">
      <w:pPr>
        <w:ind w:left="360"/>
        <w:rPr>
          <w:rFonts w:ascii="Calibri" w:hAnsi="Calibri" w:cs="Calibri"/>
          <w:sz w:val="22"/>
          <w:szCs w:val="22"/>
        </w:rPr>
      </w:pPr>
    </w:p>
    <w:p w14:paraId="36AAB4B4" w14:textId="70E3A4A0" w:rsidR="00931CC1" w:rsidRDefault="00931CC1" w:rsidP="00931CC1">
      <w:pPr>
        <w:ind w:left="360"/>
        <w:rPr>
          <w:rFonts w:ascii="Calibri" w:hAnsi="Calibri" w:cs="Calibri"/>
          <w:sz w:val="22"/>
          <w:szCs w:val="22"/>
        </w:rPr>
      </w:pPr>
      <w:r w:rsidRPr="00A32897">
        <w:rPr>
          <w:rFonts w:ascii="Calibri" w:hAnsi="Calibri" w:cs="Calibri"/>
          <w:sz w:val="22"/>
          <w:szCs w:val="22"/>
        </w:rPr>
        <w:t xml:space="preserve">James ER, ‘Onchocerciasis control by insecticides and chemotherapy stimulates agricultural development in Central West Africa’, </w:t>
      </w:r>
      <w:r w:rsidRPr="00A32897">
        <w:rPr>
          <w:rFonts w:ascii="Calibri" w:hAnsi="Calibri" w:cs="Calibri"/>
          <w:i/>
          <w:sz w:val="22"/>
          <w:szCs w:val="22"/>
        </w:rPr>
        <w:t xml:space="preserve">Journal of Agromedicine </w:t>
      </w:r>
      <w:r w:rsidRPr="00A32897">
        <w:rPr>
          <w:rFonts w:ascii="Calibri" w:hAnsi="Calibri" w:cs="Calibri"/>
          <w:sz w:val="22"/>
          <w:szCs w:val="22"/>
        </w:rPr>
        <w:t>9:2 (2004), 7-20.</w:t>
      </w:r>
    </w:p>
    <w:p w14:paraId="682F7107" w14:textId="77777777" w:rsidR="00251250" w:rsidRPr="00A32897" w:rsidRDefault="00251250" w:rsidP="00931CC1">
      <w:pPr>
        <w:ind w:left="360"/>
        <w:rPr>
          <w:rFonts w:ascii="Calibri" w:hAnsi="Calibri" w:cs="Calibri"/>
          <w:sz w:val="22"/>
          <w:szCs w:val="22"/>
        </w:rPr>
      </w:pPr>
    </w:p>
    <w:p w14:paraId="4DE33129" w14:textId="5BB9678D" w:rsidR="00931CC1" w:rsidRDefault="00931CC1" w:rsidP="00931CC1">
      <w:pPr>
        <w:ind w:left="360"/>
        <w:rPr>
          <w:rFonts w:ascii="Calibri" w:hAnsi="Calibri" w:cs="Calibri"/>
          <w:sz w:val="22"/>
          <w:szCs w:val="22"/>
        </w:rPr>
      </w:pPr>
      <w:r w:rsidRPr="00A32897">
        <w:rPr>
          <w:rFonts w:ascii="Calibri" w:hAnsi="Calibri" w:cs="Calibri"/>
          <w:sz w:val="22"/>
          <w:szCs w:val="22"/>
        </w:rPr>
        <w:lastRenderedPageBreak/>
        <w:t>Jamison DT, Breman JG, Measham AR, Alleyne G, Cleason M, Evans DB, Jha P, Mil</w:t>
      </w:r>
      <w:r w:rsidR="00314F3B">
        <w:rPr>
          <w:rFonts w:ascii="Calibri" w:hAnsi="Calibri" w:cs="Calibri"/>
          <w:sz w:val="22"/>
          <w:szCs w:val="22"/>
        </w:rPr>
        <w:t>l</w:t>
      </w:r>
      <w:r w:rsidRPr="00A32897">
        <w:rPr>
          <w:rFonts w:ascii="Calibri" w:hAnsi="Calibri" w:cs="Calibri"/>
          <w:sz w:val="22"/>
          <w:szCs w:val="22"/>
        </w:rPr>
        <w:t xml:space="preserve">s A and Musgrove P, </w:t>
      </w:r>
      <w:r w:rsidRPr="00A32897">
        <w:rPr>
          <w:rFonts w:ascii="Calibri" w:hAnsi="Calibri" w:cs="Calibri"/>
          <w:i/>
          <w:sz w:val="22"/>
          <w:szCs w:val="22"/>
        </w:rPr>
        <w:t xml:space="preserve">Disease control priorities in developing countries </w:t>
      </w:r>
      <w:r w:rsidRPr="00A32897">
        <w:rPr>
          <w:rFonts w:ascii="Calibri" w:hAnsi="Calibri" w:cs="Calibri"/>
          <w:sz w:val="22"/>
          <w:szCs w:val="22"/>
        </w:rPr>
        <w:t>(Washington DC: World Bank, 2006).</w:t>
      </w:r>
    </w:p>
    <w:p w14:paraId="265F9594" w14:textId="77777777" w:rsidR="00251250" w:rsidRPr="00A32897" w:rsidRDefault="00251250" w:rsidP="00931CC1">
      <w:pPr>
        <w:ind w:left="360"/>
        <w:rPr>
          <w:rFonts w:ascii="Calibri" w:hAnsi="Calibri" w:cs="Calibri"/>
          <w:sz w:val="22"/>
          <w:szCs w:val="22"/>
        </w:rPr>
      </w:pPr>
    </w:p>
    <w:p w14:paraId="1FE1CE95" w14:textId="72C66516" w:rsidR="00931CC1" w:rsidRDefault="00931CC1" w:rsidP="00931CC1">
      <w:pPr>
        <w:ind w:left="360"/>
        <w:rPr>
          <w:rFonts w:ascii="Calibri" w:hAnsi="Calibri" w:cs="Calibri"/>
          <w:sz w:val="22"/>
          <w:szCs w:val="22"/>
        </w:rPr>
      </w:pPr>
      <w:r w:rsidRPr="00A32897">
        <w:rPr>
          <w:rFonts w:ascii="Calibri" w:hAnsi="Calibri" w:cs="Calibri"/>
          <w:sz w:val="22"/>
          <w:szCs w:val="22"/>
        </w:rPr>
        <w:t xml:space="preserve">Jenny AM, Li M, Ashbourne E, Aldrink M, Funk C and Stergachis A, ‘Assessment of the scope and practice of evaluation among medical donation programs’, </w:t>
      </w:r>
      <w:r w:rsidRPr="00A32897">
        <w:rPr>
          <w:rFonts w:ascii="Calibri" w:hAnsi="Calibri" w:cs="Calibri"/>
          <w:i/>
          <w:sz w:val="22"/>
          <w:szCs w:val="22"/>
        </w:rPr>
        <w:t xml:space="preserve">Globalization and Health </w:t>
      </w:r>
      <w:r w:rsidRPr="00A32897">
        <w:rPr>
          <w:rFonts w:ascii="Calibri" w:hAnsi="Calibri" w:cs="Calibri"/>
          <w:sz w:val="22"/>
          <w:szCs w:val="22"/>
        </w:rPr>
        <w:t>12:1 (2016).</w:t>
      </w:r>
    </w:p>
    <w:p w14:paraId="06481BBE" w14:textId="77777777" w:rsidR="00251250" w:rsidRPr="00A32897" w:rsidRDefault="00251250" w:rsidP="00931CC1">
      <w:pPr>
        <w:ind w:left="360"/>
        <w:rPr>
          <w:rFonts w:ascii="Calibri" w:hAnsi="Calibri" w:cs="Calibri"/>
          <w:sz w:val="22"/>
          <w:szCs w:val="22"/>
        </w:rPr>
      </w:pPr>
    </w:p>
    <w:p w14:paraId="34BEF80E" w14:textId="175D0C23" w:rsidR="00931CC1" w:rsidRDefault="00931CC1" w:rsidP="00931CC1">
      <w:pPr>
        <w:ind w:left="360"/>
        <w:rPr>
          <w:rFonts w:ascii="Calibri" w:hAnsi="Calibri" w:cs="Calibri"/>
          <w:sz w:val="22"/>
          <w:szCs w:val="22"/>
        </w:rPr>
      </w:pPr>
      <w:r w:rsidRPr="00A32897">
        <w:rPr>
          <w:rFonts w:ascii="Calibri" w:hAnsi="Calibri" w:cs="Calibri"/>
          <w:sz w:val="22"/>
          <w:szCs w:val="22"/>
        </w:rPr>
        <w:t xml:space="preserve">Jobin W, </w:t>
      </w:r>
      <w:r w:rsidRPr="00A32897">
        <w:rPr>
          <w:rFonts w:ascii="Calibri" w:hAnsi="Calibri" w:cs="Calibri"/>
          <w:i/>
          <w:sz w:val="22"/>
          <w:szCs w:val="22"/>
        </w:rPr>
        <w:t xml:space="preserve">Dams and disease: ecological design and health impacts of large dams canals and irrigation systems </w:t>
      </w:r>
      <w:r w:rsidRPr="00A32897">
        <w:rPr>
          <w:rFonts w:ascii="Calibri" w:hAnsi="Calibri" w:cs="Calibri"/>
          <w:sz w:val="22"/>
          <w:szCs w:val="22"/>
        </w:rPr>
        <w:t>(London: CRC Press, 1999).</w:t>
      </w:r>
    </w:p>
    <w:p w14:paraId="67A75276" w14:textId="77777777" w:rsidR="00251250" w:rsidRPr="00A32897" w:rsidRDefault="00251250" w:rsidP="00931CC1">
      <w:pPr>
        <w:ind w:left="360"/>
        <w:rPr>
          <w:rFonts w:ascii="Calibri" w:hAnsi="Calibri" w:cs="Calibri"/>
          <w:sz w:val="22"/>
          <w:szCs w:val="22"/>
        </w:rPr>
      </w:pPr>
    </w:p>
    <w:p w14:paraId="1D3F0755" w14:textId="481C8726" w:rsidR="00931CC1" w:rsidRDefault="00931CC1" w:rsidP="00931CC1">
      <w:pPr>
        <w:ind w:left="360"/>
        <w:rPr>
          <w:rFonts w:ascii="Calibri" w:hAnsi="Calibri" w:cs="Calibri"/>
          <w:sz w:val="22"/>
          <w:szCs w:val="22"/>
        </w:rPr>
      </w:pPr>
      <w:r w:rsidRPr="00A32897">
        <w:rPr>
          <w:rFonts w:ascii="Calibri" w:hAnsi="Calibri" w:cs="Calibri"/>
          <w:sz w:val="22"/>
          <w:szCs w:val="22"/>
        </w:rPr>
        <w:t>Kahn JG, Basu S, Boyle C, Hsiang MS, Jamison DT, Smith-Gueye C</w:t>
      </w:r>
      <w:r w:rsidR="00314F3B">
        <w:rPr>
          <w:rFonts w:ascii="Calibri" w:hAnsi="Calibri" w:cs="Calibri"/>
          <w:sz w:val="22"/>
          <w:szCs w:val="22"/>
        </w:rPr>
        <w:t xml:space="preserve"> </w:t>
      </w:r>
      <w:r w:rsidRPr="00A32897">
        <w:rPr>
          <w:rFonts w:ascii="Calibri" w:hAnsi="Calibri" w:cs="Calibri"/>
          <w:sz w:val="22"/>
          <w:szCs w:val="22"/>
        </w:rPr>
        <w:t xml:space="preserve">and Bakerf LS, ‘Financing elimination’, in </w:t>
      </w:r>
      <w:r w:rsidRPr="00A32897">
        <w:rPr>
          <w:rFonts w:ascii="Calibri" w:hAnsi="Calibri" w:cs="Calibri"/>
          <w:i/>
          <w:sz w:val="22"/>
          <w:szCs w:val="22"/>
        </w:rPr>
        <w:t xml:space="preserve">Shrinking the malaria map: a prospectus on malaria eradication </w:t>
      </w:r>
      <w:r w:rsidRPr="00A32897">
        <w:rPr>
          <w:rFonts w:ascii="Calibri" w:hAnsi="Calibri" w:cs="Calibri"/>
          <w:sz w:val="22"/>
          <w:szCs w:val="22"/>
        </w:rPr>
        <w:t>(San Francisco: University of California Press, 2009), 61-80.</w:t>
      </w:r>
    </w:p>
    <w:p w14:paraId="1627B21E" w14:textId="77777777" w:rsidR="00251250" w:rsidRPr="00A32897" w:rsidRDefault="00251250" w:rsidP="00931CC1">
      <w:pPr>
        <w:ind w:left="360"/>
        <w:rPr>
          <w:rFonts w:ascii="Calibri" w:hAnsi="Calibri" w:cs="Calibri"/>
          <w:sz w:val="22"/>
          <w:szCs w:val="22"/>
        </w:rPr>
      </w:pPr>
    </w:p>
    <w:p w14:paraId="1608FDFB" w14:textId="0BE8E61E" w:rsidR="00931CC1" w:rsidRDefault="00931CC1" w:rsidP="00931CC1">
      <w:pPr>
        <w:ind w:left="360"/>
        <w:rPr>
          <w:rFonts w:ascii="Calibri" w:hAnsi="Calibri" w:cs="Calibri"/>
          <w:sz w:val="22"/>
          <w:szCs w:val="22"/>
        </w:rPr>
      </w:pPr>
      <w:r w:rsidRPr="00A32897">
        <w:rPr>
          <w:rFonts w:ascii="Calibri" w:hAnsi="Calibri" w:cs="Calibri"/>
          <w:sz w:val="22"/>
          <w:szCs w:val="22"/>
        </w:rPr>
        <w:t xml:space="preserve">Kanki P and Grimes DJ, </w:t>
      </w:r>
      <w:r w:rsidRPr="00A32897">
        <w:rPr>
          <w:rFonts w:ascii="Calibri" w:hAnsi="Calibri" w:cs="Calibri"/>
          <w:i/>
          <w:sz w:val="22"/>
          <w:szCs w:val="22"/>
        </w:rPr>
        <w:t xml:space="preserve">Infectious diseases: selected entries from the encyclopedia of sustainability science and technology </w:t>
      </w:r>
      <w:r w:rsidRPr="00A32897">
        <w:rPr>
          <w:rFonts w:ascii="Calibri" w:hAnsi="Calibri" w:cs="Calibri"/>
          <w:sz w:val="22"/>
          <w:szCs w:val="22"/>
        </w:rPr>
        <w:t>(New York: Springer, 2012).</w:t>
      </w:r>
    </w:p>
    <w:p w14:paraId="00D0CFBD" w14:textId="77777777" w:rsidR="00251250" w:rsidRPr="00A32897" w:rsidRDefault="00251250" w:rsidP="00931CC1">
      <w:pPr>
        <w:ind w:left="360"/>
        <w:rPr>
          <w:rFonts w:ascii="Calibri" w:hAnsi="Calibri" w:cs="Calibri"/>
          <w:sz w:val="22"/>
          <w:szCs w:val="22"/>
        </w:rPr>
      </w:pPr>
    </w:p>
    <w:p w14:paraId="72043F34" w14:textId="09798BDC" w:rsidR="00931CC1" w:rsidRDefault="00931CC1" w:rsidP="00931CC1">
      <w:pPr>
        <w:ind w:left="360"/>
        <w:rPr>
          <w:rFonts w:ascii="Calibri" w:hAnsi="Calibri" w:cs="Calibri"/>
          <w:sz w:val="22"/>
          <w:szCs w:val="22"/>
        </w:rPr>
      </w:pPr>
      <w:r w:rsidRPr="00A32897">
        <w:rPr>
          <w:rFonts w:ascii="Calibri" w:hAnsi="Calibri" w:cs="Calibri"/>
          <w:sz w:val="22"/>
          <w:szCs w:val="22"/>
        </w:rPr>
        <w:t xml:space="preserve">Kazianga H, Masters WA and McMillan MS, ‘Disease control, demographic change and institutional development in Africa’, </w:t>
      </w:r>
      <w:r w:rsidRPr="00A32897">
        <w:rPr>
          <w:rFonts w:ascii="Calibri" w:hAnsi="Calibri" w:cs="Calibri"/>
          <w:i/>
          <w:sz w:val="22"/>
          <w:szCs w:val="22"/>
        </w:rPr>
        <w:t xml:space="preserve">Journal of Development Economics </w:t>
      </w:r>
      <w:r w:rsidRPr="00A32897">
        <w:rPr>
          <w:rFonts w:ascii="Calibri" w:hAnsi="Calibri" w:cs="Calibri"/>
          <w:sz w:val="22"/>
          <w:szCs w:val="22"/>
        </w:rPr>
        <w:t>110 (2014), 313-326.</w:t>
      </w:r>
    </w:p>
    <w:p w14:paraId="4DC543D6" w14:textId="77777777" w:rsidR="00251250" w:rsidRPr="00A32897" w:rsidRDefault="00251250" w:rsidP="00931CC1">
      <w:pPr>
        <w:ind w:left="360"/>
        <w:rPr>
          <w:rFonts w:ascii="Calibri" w:hAnsi="Calibri" w:cs="Calibri"/>
          <w:sz w:val="22"/>
          <w:szCs w:val="22"/>
        </w:rPr>
      </w:pPr>
    </w:p>
    <w:p w14:paraId="27F99080" w14:textId="23C84282" w:rsidR="00931CC1" w:rsidRDefault="00931CC1" w:rsidP="00931CC1">
      <w:pPr>
        <w:ind w:left="360"/>
        <w:rPr>
          <w:rFonts w:ascii="Calibri" w:hAnsi="Calibri" w:cs="Calibri"/>
          <w:sz w:val="22"/>
          <w:szCs w:val="22"/>
        </w:rPr>
      </w:pPr>
      <w:r w:rsidRPr="00A32897">
        <w:rPr>
          <w:rFonts w:ascii="Calibri" w:hAnsi="Calibri" w:cs="Calibri"/>
          <w:sz w:val="22"/>
          <w:szCs w:val="22"/>
        </w:rPr>
        <w:t xml:space="preserve">Kealey A and Smith R, ‘Neglected tropical diseases: infection, modelling, and control’, </w:t>
      </w:r>
      <w:r w:rsidRPr="00A32897">
        <w:rPr>
          <w:rFonts w:ascii="Calibri" w:hAnsi="Calibri" w:cs="Calibri"/>
          <w:i/>
          <w:sz w:val="22"/>
          <w:szCs w:val="22"/>
        </w:rPr>
        <w:t xml:space="preserve">Journal of Health Care for the Poor and Underserved </w:t>
      </w:r>
      <w:r w:rsidRPr="00A32897">
        <w:rPr>
          <w:rFonts w:ascii="Calibri" w:hAnsi="Calibri" w:cs="Calibri"/>
          <w:sz w:val="22"/>
          <w:szCs w:val="22"/>
        </w:rPr>
        <w:t>21:1 (2010), 53-69.</w:t>
      </w:r>
    </w:p>
    <w:p w14:paraId="54AC3FEE" w14:textId="77777777" w:rsidR="00251250" w:rsidRPr="00A32897" w:rsidRDefault="00251250" w:rsidP="00931CC1">
      <w:pPr>
        <w:ind w:left="360"/>
        <w:rPr>
          <w:rFonts w:ascii="Calibri" w:hAnsi="Calibri" w:cs="Calibri"/>
          <w:sz w:val="22"/>
          <w:szCs w:val="22"/>
        </w:rPr>
      </w:pPr>
    </w:p>
    <w:p w14:paraId="2C29337A" w14:textId="746940AC" w:rsidR="00931CC1" w:rsidRDefault="00931CC1" w:rsidP="00931CC1">
      <w:pPr>
        <w:ind w:left="360"/>
        <w:rPr>
          <w:rFonts w:ascii="Calibri" w:hAnsi="Calibri" w:cs="Calibri"/>
          <w:sz w:val="22"/>
          <w:szCs w:val="22"/>
        </w:rPr>
      </w:pPr>
      <w:r w:rsidRPr="00A32897">
        <w:rPr>
          <w:rFonts w:ascii="Calibri" w:hAnsi="Calibri" w:cs="Calibri"/>
          <w:sz w:val="22"/>
          <w:szCs w:val="22"/>
        </w:rPr>
        <w:t>Kelly J, Shiff CJ, Goodman HC, Dash L, Brown AB</w:t>
      </w:r>
      <w:r w:rsidR="00314F3B">
        <w:rPr>
          <w:rFonts w:ascii="Calibri" w:hAnsi="Calibri" w:cs="Calibri"/>
          <w:sz w:val="22"/>
          <w:szCs w:val="22"/>
        </w:rPr>
        <w:t xml:space="preserve"> and</w:t>
      </w:r>
      <w:r w:rsidRPr="00A32897">
        <w:rPr>
          <w:rFonts w:ascii="Calibri" w:hAnsi="Calibri" w:cs="Calibri"/>
          <w:sz w:val="22"/>
          <w:szCs w:val="22"/>
        </w:rPr>
        <w:t xml:space="preserve"> Galaydh AK, </w:t>
      </w:r>
      <w:r w:rsidRPr="00A32897">
        <w:rPr>
          <w:rFonts w:ascii="Calibri" w:hAnsi="Calibri" w:cs="Calibri"/>
          <w:i/>
          <w:sz w:val="22"/>
          <w:szCs w:val="22"/>
        </w:rPr>
        <w:t>Impact review of the Onchocerciasis Control Program, Ouagadougou</w:t>
      </w:r>
      <w:r w:rsidR="00314F3B">
        <w:rPr>
          <w:rFonts w:ascii="Calibri" w:hAnsi="Calibri" w:cs="Calibri"/>
          <w:i/>
          <w:sz w:val="22"/>
          <w:szCs w:val="22"/>
        </w:rPr>
        <w:t xml:space="preserve"> </w:t>
      </w:r>
      <w:r w:rsidRPr="00A32897">
        <w:rPr>
          <w:rFonts w:ascii="Calibri" w:hAnsi="Calibri" w:cs="Calibri"/>
          <w:sz w:val="22"/>
          <w:szCs w:val="22"/>
        </w:rPr>
        <w:t>(Washington DC: USAID, 1986).</w:t>
      </w:r>
    </w:p>
    <w:p w14:paraId="569DA04E" w14:textId="77777777" w:rsidR="00251250" w:rsidRPr="00A32897" w:rsidRDefault="00251250" w:rsidP="00931CC1">
      <w:pPr>
        <w:ind w:left="360"/>
        <w:rPr>
          <w:rFonts w:ascii="Calibri" w:hAnsi="Calibri" w:cs="Calibri"/>
          <w:sz w:val="22"/>
          <w:szCs w:val="22"/>
        </w:rPr>
      </w:pPr>
    </w:p>
    <w:p w14:paraId="43A892E8" w14:textId="04E2F2D6" w:rsidR="00931CC1" w:rsidRDefault="00931CC1" w:rsidP="00931CC1">
      <w:pPr>
        <w:ind w:left="360"/>
        <w:rPr>
          <w:rFonts w:ascii="Calibri" w:hAnsi="Calibri" w:cs="Calibri"/>
          <w:sz w:val="22"/>
          <w:szCs w:val="22"/>
        </w:rPr>
      </w:pPr>
      <w:r w:rsidRPr="00A32897">
        <w:rPr>
          <w:rFonts w:ascii="Calibri" w:hAnsi="Calibri" w:cs="Calibri"/>
          <w:sz w:val="22"/>
          <w:szCs w:val="22"/>
        </w:rPr>
        <w:t xml:space="preserve">Khanna R, Raman U and Rao GN, ‘Blindness and poverty in India: the way forward’, </w:t>
      </w:r>
      <w:r w:rsidRPr="00A32897">
        <w:rPr>
          <w:rFonts w:ascii="Calibri" w:hAnsi="Calibri" w:cs="Calibri"/>
          <w:i/>
          <w:sz w:val="22"/>
          <w:szCs w:val="22"/>
        </w:rPr>
        <w:t xml:space="preserve">Clinical and Experimental Optometry </w:t>
      </w:r>
      <w:r w:rsidRPr="00A32897">
        <w:rPr>
          <w:rFonts w:ascii="Calibri" w:hAnsi="Calibri" w:cs="Calibri"/>
          <w:sz w:val="22"/>
          <w:szCs w:val="22"/>
        </w:rPr>
        <w:t>90:6 (2007), 406-414.</w:t>
      </w:r>
    </w:p>
    <w:p w14:paraId="5C89A1E9" w14:textId="77777777" w:rsidR="00251250" w:rsidRPr="00A32897" w:rsidRDefault="00251250" w:rsidP="00931CC1">
      <w:pPr>
        <w:ind w:left="360"/>
        <w:rPr>
          <w:rFonts w:ascii="Calibri" w:hAnsi="Calibri" w:cs="Calibri"/>
          <w:sz w:val="22"/>
          <w:szCs w:val="22"/>
        </w:rPr>
      </w:pPr>
    </w:p>
    <w:p w14:paraId="3518A1FA" w14:textId="118AA209" w:rsidR="00931CC1" w:rsidRDefault="00931CC1" w:rsidP="00931CC1">
      <w:pPr>
        <w:ind w:left="360"/>
        <w:rPr>
          <w:rFonts w:ascii="Calibri" w:hAnsi="Calibri" w:cs="Calibri"/>
          <w:sz w:val="22"/>
          <w:szCs w:val="22"/>
        </w:rPr>
      </w:pPr>
      <w:r w:rsidRPr="00A32897">
        <w:rPr>
          <w:rFonts w:ascii="Calibri" w:hAnsi="Calibri" w:cs="Calibri"/>
          <w:sz w:val="22"/>
          <w:szCs w:val="22"/>
        </w:rPr>
        <w:t xml:space="preserve">Killeen G, Diabate A, Chaccour CJ, Marshall JM, Okumu FO, Brunner S, Newby G, Williams YA, Malone D and Tusting LS, ‘Developing an expanded vector control toolbox for malaria elimination’, </w:t>
      </w:r>
      <w:r w:rsidRPr="00A32897">
        <w:rPr>
          <w:rFonts w:ascii="Calibri" w:hAnsi="Calibri" w:cs="Calibri"/>
          <w:i/>
          <w:sz w:val="22"/>
          <w:szCs w:val="22"/>
        </w:rPr>
        <w:t>BMJ Global Health</w:t>
      </w:r>
      <w:r w:rsidRPr="00A32897">
        <w:rPr>
          <w:rFonts w:ascii="Calibri" w:hAnsi="Calibri" w:cs="Calibri"/>
          <w:sz w:val="22"/>
          <w:szCs w:val="22"/>
        </w:rPr>
        <w:t xml:space="preserve"> 2:2 (2017), e000211.</w:t>
      </w:r>
    </w:p>
    <w:p w14:paraId="75AC01A6" w14:textId="77777777" w:rsidR="00251250" w:rsidRPr="00A32897" w:rsidRDefault="00251250" w:rsidP="00931CC1">
      <w:pPr>
        <w:ind w:left="360"/>
        <w:rPr>
          <w:rFonts w:ascii="Calibri" w:hAnsi="Calibri" w:cs="Calibri"/>
          <w:sz w:val="22"/>
          <w:szCs w:val="22"/>
        </w:rPr>
      </w:pPr>
    </w:p>
    <w:p w14:paraId="0D0AC98B" w14:textId="62C8217B" w:rsidR="00931CC1" w:rsidRDefault="00931CC1" w:rsidP="00931CC1">
      <w:pPr>
        <w:ind w:left="360"/>
        <w:rPr>
          <w:rFonts w:ascii="Calibri" w:hAnsi="Calibri" w:cs="Calibri"/>
          <w:sz w:val="22"/>
          <w:szCs w:val="22"/>
        </w:rPr>
      </w:pPr>
      <w:r w:rsidRPr="00A32897">
        <w:rPr>
          <w:rFonts w:ascii="Calibri" w:hAnsi="Calibri" w:cs="Calibri"/>
          <w:sz w:val="22"/>
          <w:szCs w:val="22"/>
        </w:rPr>
        <w:t xml:space="preserve">Killeen GF, ‘Characterizing, controlling and eliminating residual malaria transmission’, </w:t>
      </w:r>
      <w:r w:rsidRPr="00A32897">
        <w:rPr>
          <w:rFonts w:ascii="Calibri" w:hAnsi="Calibri" w:cs="Calibri"/>
          <w:i/>
          <w:sz w:val="22"/>
          <w:szCs w:val="22"/>
        </w:rPr>
        <w:t xml:space="preserve">Malaria Journal </w:t>
      </w:r>
      <w:r w:rsidRPr="00A32897">
        <w:rPr>
          <w:rFonts w:ascii="Calibri" w:hAnsi="Calibri" w:cs="Calibri"/>
          <w:sz w:val="22"/>
          <w:szCs w:val="22"/>
        </w:rPr>
        <w:t>13 (2014), 330.</w:t>
      </w:r>
    </w:p>
    <w:p w14:paraId="32B96658" w14:textId="77777777" w:rsidR="00251250" w:rsidRPr="00A32897" w:rsidRDefault="00251250" w:rsidP="00931CC1">
      <w:pPr>
        <w:ind w:left="360"/>
        <w:rPr>
          <w:rFonts w:ascii="Calibri" w:hAnsi="Calibri" w:cs="Calibri"/>
          <w:sz w:val="22"/>
          <w:szCs w:val="22"/>
        </w:rPr>
      </w:pPr>
    </w:p>
    <w:p w14:paraId="71E2852D" w14:textId="0D97FEB6" w:rsidR="00931CC1" w:rsidRDefault="00931CC1" w:rsidP="00931CC1">
      <w:pPr>
        <w:ind w:left="360"/>
        <w:rPr>
          <w:rFonts w:ascii="Calibri" w:hAnsi="Calibri" w:cs="Calibri"/>
          <w:sz w:val="22"/>
          <w:szCs w:val="22"/>
        </w:rPr>
      </w:pPr>
      <w:r w:rsidRPr="00A32897">
        <w:rPr>
          <w:rFonts w:ascii="Calibri" w:hAnsi="Calibri" w:cs="Calibri"/>
          <w:sz w:val="22"/>
          <w:szCs w:val="22"/>
        </w:rPr>
        <w:t xml:space="preserve">Kim A and Benton B, </w:t>
      </w:r>
      <w:r w:rsidRPr="00A32897">
        <w:rPr>
          <w:rFonts w:ascii="Calibri" w:hAnsi="Calibri" w:cs="Calibri"/>
          <w:i/>
          <w:sz w:val="22"/>
          <w:szCs w:val="22"/>
        </w:rPr>
        <w:t xml:space="preserve">Cost-benefit analysis of the Onchocerciasis Control Program (OCP) </w:t>
      </w:r>
      <w:r w:rsidRPr="00A32897">
        <w:rPr>
          <w:rFonts w:ascii="Calibri" w:hAnsi="Calibri" w:cs="Calibri"/>
          <w:sz w:val="22"/>
          <w:szCs w:val="22"/>
        </w:rPr>
        <w:t>(Washington DC: World Bank, 1995).</w:t>
      </w:r>
    </w:p>
    <w:p w14:paraId="1B133D33" w14:textId="77777777" w:rsidR="00251250" w:rsidRPr="00A32897" w:rsidRDefault="00251250" w:rsidP="00931CC1">
      <w:pPr>
        <w:ind w:left="360"/>
        <w:rPr>
          <w:rFonts w:ascii="Calibri" w:hAnsi="Calibri" w:cs="Calibri"/>
          <w:sz w:val="22"/>
          <w:szCs w:val="22"/>
        </w:rPr>
      </w:pPr>
    </w:p>
    <w:p w14:paraId="1A1C0B95" w14:textId="2598A66E" w:rsidR="00931CC1" w:rsidRDefault="00931CC1" w:rsidP="00931CC1">
      <w:pPr>
        <w:ind w:left="360"/>
        <w:rPr>
          <w:rFonts w:ascii="Calibri" w:hAnsi="Calibri" w:cs="Calibri"/>
          <w:sz w:val="22"/>
          <w:szCs w:val="22"/>
        </w:rPr>
      </w:pPr>
      <w:r w:rsidRPr="00A32897">
        <w:rPr>
          <w:rFonts w:ascii="Calibri" w:hAnsi="Calibri" w:cs="Calibri"/>
          <w:sz w:val="22"/>
          <w:szCs w:val="22"/>
        </w:rPr>
        <w:t xml:space="preserve">Kim A, </w:t>
      </w:r>
      <w:r w:rsidRPr="00A32897">
        <w:rPr>
          <w:rFonts w:ascii="Calibri" w:hAnsi="Calibri" w:cs="Calibri"/>
          <w:i/>
          <w:sz w:val="22"/>
          <w:szCs w:val="22"/>
        </w:rPr>
        <w:t xml:space="preserve">Health and labor productivity </w:t>
      </w:r>
      <w:r w:rsidRPr="00A32897">
        <w:rPr>
          <w:rFonts w:ascii="Calibri" w:hAnsi="Calibri" w:cs="Calibri"/>
          <w:sz w:val="22"/>
          <w:szCs w:val="22"/>
        </w:rPr>
        <w:t>(Washington DC: World Bank, 1997).</w:t>
      </w:r>
    </w:p>
    <w:p w14:paraId="6C357EEF" w14:textId="77777777" w:rsidR="009D715F" w:rsidRPr="00A32897" w:rsidRDefault="009D715F" w:rsidP="00931CC1">
      <w:pPr>
        <w:ind w:left="360"/>
        <w:rPr>
          <w:rFonts w:ascii="Calibri" w:hAnsi="Calibri" w:cs="Calibri"/>
          <w:sz w:val="22"/>
          <w:szCs w:val="22"/>
        </w:rPr>
      </w:pPr>
    </w:p>
    <w:p w14:paraId="40F50CE6" w14:textId="7D2F57C7" w:rsidR="00931CC1" w:rsidRDefault="00931CC1" w:rsidP="00931CC1">
      <w:pPr>
        <w:ind w:left="360"/>
        <w:rPr>
          <w:rFonts w:ascii="Calibri" w:hAnsi="Calibri" w:cs="Calibri"/>
          <w:sz w:val="22"/>
          <w:szCs w:val="22"/>
        </w:rPr>
      </w:pPr>
      <w:r w:rsidRPr="00A32897">
        <w:rPr>
          <w:rFonts w:ascii="Calibri" w:hAnsi="Calibri" w:cs="Calibri"/>
          <w:sz w:val="22"/>
          <w:szCs w:val="22"/>
        </w:rPr>
        <w:t>Kirkwood B, Smith P, Marshall T</w:t>
      </w:r>
      <w:r w:rsidR="00314F3B">
        <w:rPr>
          <w:rFonts w:ascii="Calibri" w:hAnsi="Calibri" w:cs="Calibri"/>
          <w:sz w:val="22"/>
          <w:szCs w:val="22"/>
        </w:rPr>
        <w:t xml:space="preserve"> </w:t>
      </w:r>
      <w:r w:rsidRPr="00A32897">
        <w:rPr>
          <w:rFonts w:ascii="Calibri" w:hAnsi="Calibri" w:cs="Calibri"/>
          <w:sz w:val="22"/>
          <w:szCs w:val="22"/>
        </w:rPr>
        <w:t xml:space="preserve">and Prost A, ‘Variations in the prevalence and intensity of microfilarial infections by age, sex, place and time in the area of the Onchocerciasis Control Programme’, </w:t>
      </w:r>
      <w:r w:rsidRPr="00A32897">
        <w:rPr>
          <w:rFonts w:ascii="Calibri" w:hAnsi="Calibri" w:cs="Calibri"/>
          <w:i/>
          <w:sz w:val="22"/>
          <w:szCs w:val="22"/>
        </w:rPr>
        <w:t xml:space="preserve">Transactions of the Royal Society of Tropical Medicine and Hygiene </w:t>
      </w:r>
      <w:r w:rsidRPr="00A32897">
        <w:rPr>
          <w:rFonts w:ascii="Calibri" w:hAnsi="Calibri" w:cs="Calibri"/>
          <w:sz w:val="22"/>
          <w:szCs w:val="22"/>
        </w:rPr>
        <w:t>77:6 (1983), 857-861.</w:t>
      </w:r>
    </w:p>
    <w:p w14:paraId="2D7FFFC7" w14:textId="77777777" w:rsidR="009D715F" w:rsidRPr="00A32897" w:rsidRDefault="009D715F" w:rsidP="00931CC1">
      <w:pPr>
        <w:ind w:left="360"/>
        <w:rPr>
          <w:rFonts w:ascii="Calibri" w:hAnsi="Calibri" w:cs="Calibri"/>
          <w:sz w:val="22"/>
          <w:szCs w:val="22"/>
        </w:rPr>
      </w:pPr>
    </w:p>
    <w:p w14:paraId="13FCAF1F" w14:textId="22843296" w:rsidR="00931CC1" w:rsidRDefault="00931CC1" w:rsidP="00931CC1">
      <w:pPr>
        <w:ind w:left="360"/>
        <w:rPr>
          <w:rFonts w:ascii="Calibri" w:hAnsi="Calibri" w:cs="Calibri"/>
          <w:sz w:val="22"/>
          <w:szCs w:val="22"/>
        </w:rPr>
      </w:pPr>
      <w:r w:rsidRPr="00A32897">
        <w:rPr>
          <w:rFonts w:ascii="Calibri" w:hAnsi="Calibri" w:cs="Calibri"/>
          <w:sz w:val="22"/>
          <w:szCs w:val="22"/>
        </w:rPr>
        <w:t xml:space="preserve">Lancaster C, ‘Aid effectiveness in Africa: the unfinished agenda’, </w:t>
      </w:r>
      <w:r w:rsidRPr="00A32897">
        <w:rPr>
          <w:rFonts w:ascii="Calibri" w:hAnsi="Calibri" w:cs="Calibri"/>
          <w:i/>
          <w:sz w:val="22"/>
          <w:szCs w:val="22"/>
        </w:rPr>
        <w:t xml:space="preserve">Journal of African Economies </w:t>
      </w:r>
      <w:r w:rsidRPr="00A32897">
        <w:rPr>
          <w:rFonts w:ascii="Calibri" w:hAnsi="Calibri" w:cs="Calibri"/>
          <w:sz w:val="22"/>
          <w:szCs w:val="22"/>
        </w:rPr>
        <w:t>8:4 (1999), 487.</w:t>
      </w:r>
    </w:p>
    <w:p w14:paraId="44956E4C" w14:textId="77777777" w:rsidR="009D715F" w:rsidRPr="00A32897" w:rsidRDefault="009D715F" w:rsidP="00931CC1">
      <w:pPr>
        <w:ind w:left="360"/>
        <w:rPr>
          <w:rFonts w:ascii="Calibri" w:hAnsi="Calibri" w:cs="Calibri"/>
          <w:sz w:val="22"/>
          <w:szCs w:val="22"/>
        </w:rPr>
      </w:pPr>
    </w:p>
    <w:p w14:paraId="5FD6EA63" w14:textId="0E76DFC8" w:rsidR="00931CC1" w:rsidRDefault="00931CC1" w:rsidP="00931CC1">
      <w:pPr>
        <w:ind w:left="360"/>
        <w:rPr>
          <w:rFonts w:ascii="Calibri" w:hAnsi="Calibri" w:cs="Calibri"/>
          <w:sz w:val="22"/>
          <w:szCs w:val="22"/>
        </w:rPr>
      </w:pPr>
      <w:r w:rsidRPr="00A32897">
        <w:rPr>
          <w:rFonts w:ascii="Calibri" w:hAnsi="Calibri" w:cs="Calibri"/>
          <w:sz w:val="22"/>
          <w:szCs w:val="22"/>
        </w:rPr>
        <w:lastRenderedPageBreak/>
        <w:t xml:space="preserve">Lawrence J, Sodahlon YK, Ogoussan I and Hopkins AD, ‘Growth, challenges, and solutions over 25 years of Mectizan and the impact on onchocerciasis control’, </w:t>
      </w:r>
      <w:r w:rsidRPr="00A32897">
        <w:rPr>
          <w:rFonts w:ascii="Calibri" w:hAnsi="Calibri" w:cs="Calibri"/>
          <w:i/>
          <w:sz w:val="22"/>
          <w:szCs w:val="22"/>
        </w:rPr>
        <w:t xml:space="preserve">PLoS Neglected Tropical Diseases </w:t>
      </w:r>
      <w:r w:rsidRPr="00A32897">
        <w:rPr>
          <w:rFonts w:ascii="Calibri" w:hAnsi="Calibri" w:cs="Calibri"/>
          <w:sz w:val="22"/>
          <w:szCs w:val="22"/>
        </w:rPr>
        <w:t>9:5 (2015), e0003507.</w:t>
      </w:r>
    </w:p>
    <w:p w14:paraId="4907FA03" w14:textId="77777777" w:rsidR="009D715F" w:rsidRPr="00A32897" w:rsidRDefault="009D715F" w:rsidP="00931CC1">
      <w:pPr>
        <w:ind w:left="360"/>
        <w:rPr>
          <w:rFonts w:ascii="Calibri" w:hAnsi="Calibri" w:cs="Calibri"/>
          <w:sz w:val="22"/>
          <w:szCs w:val="22"/>
        </w:rPr>
      </w:pPr>
    </w:p>
    <w:p w14:paraId="52EAC5A9" w14:textId="38DA5269" w:rsidR="00931CC1" w:rsidRDefault="00931CC1" w:rsidP="00931CC1">
      <w:pPr>
        <w:ind w:left="360"/>
        <w:rPr>
          <w:rFonts w:ascii="Calibri" w:hAnsi="Calibri" w:cs="Calibri"/>
          <w:sz w:val="22"/>
          <w:szCs w:val="22"/>
        </w:rPr>
      </w:pPr>
      <w:r w:rsidRPr="00A32897">
        <w:rPr>
          <w:rFonts w:ascii="Calibri" w:hAnsi="Calibri" w:cs="Calibri"/>
          <w:sz w:val="22"/>
          <w:szCs w:val="22"/>
        </w:rPr>
        <w:t>Lehane MJ, ‘Vector insects and their control’, in</w:t>
      </w:r>
      <w:r w:rsidR="008A45BD">
        <w:rPr>
          <w:rFonts w:ascii="Calibri" w:hAnsi="Calibri" w:cs="Calibri"/>
          <w:sz w:val="22"/>
          <w:szCs w:val="22"/>
        </w:rPr>
        <w:t xml:space="preserve"> GR Bock and G Cardew (Eds.),</w:t>
      </w:r>
      <w:r w:rsidRPr="00A32897">
        <w:rPr>
          <w:rFonts w:ascii="Calibri" w:hAnsi="Calibri" w:cs="Calibri"/>
          <w:sz w:val="22"/>
          <w:szCs w:val="22"/>
        </w:rPr>
        <w:t xml:space="preserve"> </w:t>
      </w:r>
      <w:r w:rsidRPr="00A32897">
        <w:rPr>
          <w:rFonts w:ascii="Calibri" w:hAnsi="Calibri" w:cs="Calibri"/>
          <w:i/>
          <w:sz w:val="22"/>
          <w:szCs w:val="22"/>
        </w:rPr>
        <w:t>Olfaction in mosquito-host interactions</w:t>
      </w:r>
      <w:r w:rsidRPr="00A32897">
        <w:rPr>
          <w:rFonts w:ascii="Calibri" w:hAnsi="Calibri" w:cs="Calibri"/>
          <w:sz w:val="22"/>
          <w:szCs w:val="22"/>
        </w:rPr>
        <w:t xml:space="preserve"> (Chinchester: John Wiley &amp; Sons Ltd., 1996), 8-21.</w:t>
      </w:r>
    </w:p>
    <w:p w14:paraId="26E09C21" w14:textId="77777777" w:rsidR="009D715F" w:rsidRPr="00A32897" w:rsidRDefault="009D715F" w:rsidP="00931CC1">
      <w:pPr>
        <w:ind w:left="360"/>
        <w:rPr>
          <w:rFonts w:ascii="Calibri" w:hAnsi="Calibri" w:cs="Calibri"/>
          <w:sz w:val="22"/>
          <w:szCs w:val="22"/>
        </w:rPr>
      </w:pPr>
    </w:p>
    <w:p w14:paraId="13ADBB3D" w14:textId="0173AB17" w:rsidR="00931CC1" w:rsidRDefault="00931CC1" w:rsidP="00931CC1">
      <w:pPr>
        <w:ind w:left="360"/>
        <w:rPr>
          <w:rFonts w:ascii="Calibri" w:hAnsi="Calibri" w:cs="Calibri"/>
          <w:sz w:val="22"/>
          <w:szCs w:val="22"/>
        </w:rPr>
      </w:pPr>
      <w:r w:rsidRPr="00A32897">
        <w:rPr>
          <w:rFonts w:ascii="Calibri" w:hAnsi="Calibri" w:cs="Calibri"/>
          <w:sz w:val="22"/>
          <w:szCs w:val="22"/>
        </w:rPr>
        <w:t xml:space="preserve">Leveque C, Hougard J, Resh V, Stazner B and Yameogo L, ‘Freshwater ecology and biodiversity in the tropics: what did we learn from 30 years of onchocerciasis control and the associated biomonitoring of West African rivers?’, </w:t>
      </w:r>
      <w:r w:rsidRPr="00A32897">
        <w:rPr>
          <w:rFonts w:ascii="Calibri" w:hAnsi="Calibri" w:cs="Calibri"/>
          <w:i/>
          <w:sz w:val="22"/>
          <w:szCs w:val="22"/>
        </w:rPr>
        <w:t xml:space="preserve">Hydrobiologia </w:t>
      </w:r>
      <w:r w:rsidRPr="00A32897">
        <w:rPr>
          <w:rFonts w:ascii="Calibri" w:hAnsi="Calibri" w:cs="Calibri"/>
          <w:sz w:val="22"/>
          <w:szCs w:val="22"/>
        </w:rPr>
        <w:t>500 (2003), 1-3.</w:t>
      </w:r>
    </w:p>
    <w:p w14:paraId="4FE1CD7E" w14:textId="77777777" w:rsidR="009D715F" w:rsidRPr="00A32897" w:rsidRDefault="009D715F" w:rsidP="00931CC1">
      <w:pPr>
        <w:ind w:left="360"/>
        <w:rPr>
          <w:rFonts w:ascii="Calibri" w:hAnsi="Calibri" w:cs="Calibri"/>
          <w:sz w:val="22"/>
          <w:szCs w:val="22"/>
        </w:rPr>
      </w:pPr>
    </w:p>
    <w:p w14:paraId="0AF4DAA5" w14:textId="1C5E2624" w:rsidR="00931CC1" w:rsidRDefault="00931CC1" w:rsidP="00931CC1">
      <w:pPr>
        <w:ind w:left="360"/>
        <w:rPr>
          <w:rFonts w:ascii="Calibri" w:hAnsi="Calibri" w:cs="Calibri"/>
          <w:sz w:val="22"/>
          <w:szCs w:val="22"/>
        </w:rPr>
      </w:pPr>
      <w:r w:rsidRPr="00A32897">
        <w:rPr>
          <w:rFonts w:ascii="Calibri" w:hAnsi="Calibri" w:cs="Calibri"/>
          <w:sz w:val="22"/>
          <w:szCs w:val="22"/>
        </w:rPr>
        <w:t>Levine R, ‘Healthy foreign policy: bringing coherence to the global health agenda’,</w:t>
      </w:r>
      <w:r w:rsidR="00314F3B">
        <w:rPr>
          <w:rFonts w:ascii="Calibri" w:hAnsi="Calibri" w:cs="Calibri"/>
          <w:sz w:val="22"/>
          <w:szCs w:val="22"/>
        </w:rPr>
        <w:t xml:space="preserve"> in N Birdsall (Ed.),</w:t>
      </w:r>
      <w:r w:rsidRPr="00A32897">
        <w:rPr>
          <w:rFonts w:ascii="Calibri" w:hAnsi="Calibri" w:cs="Calibri"/>
          <w:sz w:val="22"/>
          <w:szCs w:val="22"/>
        </w:rPr>
        <w:t xml:space="preserve"> </w:t>
      </w:r>
      <w:r w:rsidRPr="00A32897">
        <w:rPr>
          <w:rFonts w:ascii="Calibri" w:hAnsi="Calibri" w:cs="Calibri"/>
          <w:i/>
          <w:sz w:val="22"/>
          <w:szCs w:val="22"/>
        </w:rPr>
        <w:t>The White House and the world: A global development agenda for the next U.S. president</w:t>
      </w:r>
      <w:r w:rsidR="00314F3B">
        <w:rPr>
          <w:rFonts w:ascii="Calibri" w:hAnsi="Calibri" w:cs="Calibri"/>
          <w:i/>
          <w:sz w:val="22"/>
          <w:szCs w:val="22"/>
        </w:rPr>
        <w:t xml:space="preserve"> </w:t>
      </w:r>
      <w:r w:rsidRPr="00A32897">
        <w:rPr>
          <w:rFonts w:ascii="Calibri" w:hAnsi="Calibri" w:cs="Calibri"/>
          <w:sz w:val="22"/>
          <w:szCs w:val="22"/>
        </w:rPr>
        <w:t>(Washington DC: Center for Global Development and Brookings Institution Press, 2008), 43-62.</w:t>
      </w:r>
    </w:p>
    <w:p w14:paraId="0B8BD726" w14:textId="77777777" w:rsidR="009D715F" w:rsidRPr="00A32897" w:rsidRDefault="009D715F" w:rsidP="00931CC1">
      <w:pPr>
        <w:ind w:left="360"/>
        <w:rPr>
          <w:rFonts w:ascii="Calibri" w:hAnsi="Calibri" w:cs="Calibri"/>
          <w:sz w:val="22"/>
          <w:szCs w:val="22"/>
        </w:rPr>
      </w:pPr>
    </w:p>
    <w:p w14:paraId="6E74AA5B" w14:textId="0EC98E72" w:rsidR="00931CC1" w:rsidRDefault="00931CC1" w:rsidP="00931CC1">
      <w:pPr>
        <w:ind w:left="360"/>
        <w:rPr>
          <w:rFonts w:ascii="Calibri" w:hAnsi="Calibri" w:cs="Calibri"/>
          <w:sz w:val="22"/>
          <w:szCs w:val="22"/>
        </w:rPr>
      </w:pPr>
      <w:r w:rsidRPr="00A32897">
        <w:rPr>
          <w:rFonts w:ascii="Calibri" w:hAnsi="Calibri" w:cs="Calibri"/>
          <w:sz w:val="22"/>
          <w:szCs w:val="22"/>
        </w:rPr>
        <w:t xml:space="preserve">Levine R, </w:t>
      </w:r>
      <w:r w:rsidRPr="00A32897">
        <w:rPr>
          <w:rFonts w:ascii="Calibri" w:hAnsi="Calibri" w:cs="Calibri"/>
          <w:i/>
          <w:sz w:val="22"/>
          <w:szCs w:val="22"/>
        </w:rPr>
        <w:t xml:space="preserve">Case studies in global health: millions saved </w:t>
      </w:r>
      <w:r w:rsidRPr="00A32897">
        <w:rPr>
          <w:rFonts w:ascii="Calibri" w:hAnsi="Calibri" w:cs="Calibri"/>
          <w:sz w:val="22"/>
          <w:szCs w:val="22"/>
        </w:rPr>
        <w:t>(Burlington: Jones &amp; Bartlett, 2007).</w:t>
      </w:r>
    </w:p>
    <w:p w14:paraId="656A6362" w14:textId="77777777" w:rsidR="009D715F" w:rsidRPr="00A32897" w:rsidRDefault="009D715F" w:rsidP="00931CC1">
      <w:pPr>
        <w:ind w:left="360"/>
        <w:rPr>
          <w:rFonts w:ascii="Calibri" w:hAnsi="Calibri" w:cs="Calibri"/>
          <w:sz w:val="22"/>
          <w:szCs w:val="22"/>
        </w:rPr>
      </w:pPr>
    </w:p>
    <w:p w14:paraId="0CB84AAA" w14:textId="3D739ABE" w:rsidR="00931CC1" w:rsidRDefault="00931CC1" w:rsidP="00931CC1">
      <w:pPr>
        <w:ind w:left="360"/>
        <w:rPr>
          <w:rFonts w:ascii="Calibri" w:hAnsi="Calibri" w:cs="Calibri"/>
          <w:sz w:val="22"/>
          <w:szCs w:val="22"/>
        </w:rPr>
      </w:pPr>
      <w:r w:rsidRPr="00A32897">
        <w:rPr>
          <w:rFonts w:ascii="Calibri" w:hAnsi="Calibri" w:cs="Calibri"/>
          <w:sz w:val="22"/>
          <w:szCs w:val="22"/>
        </w:rPr>
        <w:t xml:space="preserve">Liese B, ‘The challenges of success’, </w:t>
      </w:r>
      <w:r w:rsidRPr="00A32897">
        <w:rPr>
          <w:rFonts w:ascii="Calibri" w:hAnsi="Calibri" w:cs="Calibri"/>
          <w:i/>
          <w:sz w:val="22"/>
          <w:szCs w:val="22"/>
        </w:rPr>
        <w:t xml:space="preserve">Sustainable settlement and development of the Onchocerciasis Control Programme area, Paris, April 1994 </w:t>
      </w:r>
      <w:r w:rsidRPr="00A32897">
        <w:rPr>
          <w:rFonts w:ascii="Calibri" w:hAnsi="Calibri" w:cs="Calibri"/>
          <w:sz w:val="22"/>
          <w:szCs w:val="22"/>
        </w:rPr>
        <w:t>(Washington DC: World Bank, 1995).</w:t>
      </w:r>
    </w:p>
    <w:p w14:paraId="17043355" w14:textId="77777777" w:rsidR="009D715F" w:rsidRPr="00A32897" w:rsidRDefault="009D715F" w:rsidP="00931CC1">
      <w:pPr>
        <w:ind w:left="360"/>
        <w:rPr>
          <w:rFonts w:ascii="Calibri" w:hAnsi="Calibri" w:cs="Calibri"/>
          <w:sz w:val="22"/>
          <w:szCs w:val="22"/>
        </w:rPr>
      </w:pPr>
    </w:p>
    <w:p w14:paraId="15151AED" w14:textId="1C4755D2" w:rsidR="00931CC1" w:rsidRDefault="00931CC1" w:rsidP="00931CC1">
      <w:pPr>
        <w:ind w:left="360"/>
        <w:rPr>
          <w:rFonts w:ascii="Calibri" w:hAnsi="Calibri" w:cs="Calibri"/>
          <w:sz w:val="22"/>
          <w:szCs w:val="22"/>
        </w:rPr>
      </w:pPr>
      <w:r w:rsidRPr="00A32897">
        <w:rPr>
          <w:rFonts w:ascii="Calibri" w:hAnsi="Calibri" w:cs="Calibri"/>
          <w:sz w:val="22"/>
          <w:szCs w:val="22"/>
        </w:rPr>
        <w:t xml:space="preserve">Liese BH, Wilson J, Benton B and Marr D, </w:t>
      </w:r>
      <w:r w:rsidRPr="00A32897">
        <w:rPr>
          <w:rFonts w:ascii="Calibri" w:hAnsi="Calibri" w:cs="Calibri"/>
          <w:i/>
          <w:sz w:val="22"/>
          <w:szCs w:val="22"/>
        </w:rPr>
        <w:t xml:space="preserve">The Onchocerciasis Control Program in West Africa: a long-term commitment to success </w:t>
      </w:r>
      <w:r w:rsidRPr="00A32897">
        <w:rPr>
          <w:rFonts w:ascii="Calibri" w:hAnsi="Calibri" w:cs="Calibri"/>
          <w:sz w:val="22"/>
          <w:szCs w:val="22"/>
        </w:rPr>
        <w:t>(Washington DC: World Bank, 1991).</w:t>
      </w:r>
    </w:p>
    <w:p w14:paraId="748BFCFA" w14:textId="77777777" w:rsidR="009D715F" w:rsidRPr="00A32897" w:rsidRDefault="009D715F" w:rsidP="00931CC1">
      <w:pPr>
        <w:ind w:left="360"/>
        <w:rPr>
          <w:rFonts w:ascii="Calibri" w:hAnsi="Calibri" w:cs="Calibri"/>
          <w:sz w:val="22"/>
          <w:szCs w:val="22"/>
        </w:rPr>
      </w:pPr>
    </w:p>
    <w:p w14:paraId="65B6AE4B" w14:textId="364AF8B5" w:rsidR="00931CC1" w:rsidRDefault="00931CC1" w:rsidP="00931CC1">
      <w:pPr>
        <w:ind w:left="360"/>
        <w:rPr>
          <w:rFonts w:ascii="Calibri" w:hAnsi="Calibri" w:cs="Calibri"/>
          <w:sz w:val="22"/>
          <w:szCs w:val="22"/>
        </w:rPr>
      </w:pPr>
      <w:r w:rsidRPr="00A32897">
        <w:rPr>
          <w:rFonts w:ascii="Calibri" w:hAnsi="Calibri" w:cs="Calibri"/>
          <w:sz w:val="22"/>
          <w:szCs w:val="22"/>
        </w:rPr>
        <w:t xml:space="preserve">Lindauer DL, </w:t>
      </w:r>
      <w:r w:rsidRPr="00A32897">
        <w:rPr>
          <w:rFonts w:ascii="Calibri" w:hAnsi="Calibri" w:cs="Calibri"/>
          <w:i/>
          <w:sz w:val="22"/>
          <w:szCs w:val="22"/>
        </w:rPr>
        <w:t xml:space="preserve">Labor and growth crisis in </w:t>
      </w:r>
      <w:r w:rsidR="00A2292A">
        <w:rPr>
          <w:rFonts w:ascii="Calibri" w:hAnsi="Calibri" w:cs="Calibri"/>
          <w:i/>
          <w:sz w:val="22"/>
          <w:szCs w:val="22"/>
        </w:rPr>
        <w:t>S</w:t>
      </w:r>
      <w:r w:rsidRPr="00A32897">
        <w:rPr>
          <w:rFonts w:ascii="Calibri" w:hAnsi="Calibri" w:cs="Calibri"/>
          <w:i/>
          <w:sz w:val="22"/>
          <w:szCs w:val="22"/>
        </w:rPr>
        <w:t xml:space="preserve">ub-Saharan Africa </w:t>
      </w:r>
      <w:r w:rsidRPr="00A32897">
        <w:rPr>
          <w:rFonts w:ascii="Calibri" w:hAnsi="Calibri" w:cs="Calibri"/>
          <w:sz w:val="22"/>
          <w:szCs w:val="22"/>
        </w:rPr>
        <w:t>(Washington DC: World Bank, 1995).</w:t>
      </w:r>
    </w:p>
    <w:p w14:paraId="55A095ED" w14:textId="77777777" w:rsidR="009D715F" w:rsidRPr="00A32897" w:rsidRDefault="009D715F" w:rsidP="00931CC1">
      <w:pPr>
        <w:ind w:left="360"/>
        <w:rPr>
          <w:rFonts w:ascii="Calibri" w:hAnsi="Calibri" w:cs="Calibri"/>
          <w:sz w:val="22"/>
          <w:szCs w:val="22"/>
        </w:rPr>
      </w:pPr>
    </w:p>
    <w:p w14:paraId="2C4955EE" w14:textId="0CA4993D" w:rsidR="00931CC1" w:rsidRDefault="00931CC1" w:rsidP="00931CC1">
      <w:pPr>
        <w:ind w:left="360"/>
        <w:rPr>
          <w:rFonts w:ascii="Calibri" w:hAnsi="Calibri" w:cs="Calibri"/>
          <w:sz w:val="22"/>
          <w:szCs w:val="22"/>
        </w:rPr>
      </w:pPr>
      <w:r w:rsidRPr="00A32897">
        <w:rPr>
          <w:rFonts w:ascii="Calibri" w:hAnsi="Calibri" w:cs="Calibri"/>
          <w:sz w:val="22"/>
          <w:szCs w:val="22"/>
        </w:rPr>
        <w:t xml:space="preserve">Loker ES, ‘This de-wormed world?’, </w:t>
      </w:r>
      <w:r w:rsidRPr="00A32897">
        <w:rPr>
          <w:rFonts w:ascii="Calibri" w:hAnsi="Calibri" w:cs="Calibri"/>
          <w:i/>
          <w:sz w:val="22"/>
          <w:szCs w:val="22"/>
        </w:rPr>
        <w:t xml:space="preserve">Journal of Parasitology </w:t>
      </w:r>
      <w:r w:rsidRPr="00A32897">
        <w:rPr>
          <w:rFonts w:ascii="Calibri" w:hAnsi="Calibri" w:cs="Calibri"/>
          <w:sz w:val="22"/>
          <w:szCs w:val="22"/>
        </w:rPr>
        <w:t>99:6 (2013), 933-942.</w:t>
      </w:r>
    </w:p>
    <w:p w14:paraId="21978178" w14:textId="77777777" w:rsidR="009D715F" w:rsidRPr="00A32897" w:rsidRDefault="009D715F" w:rsidP="00931CC1">
      <w:pPr>
        <w:ind w:left="360"/>
        <w:rPr>
          <w:rFonts w:ascii="Calibri" w:hAnsi="Calibri" w:cs="Calibri"/>
          <w:sz w:val="22"/>
          <w:szCs w:val="22"/>
        </w:rPr>
      </w:pPr>
    </w:p>
    <w:p w14:paraId="14724768" w14:textId="4C4E96EF" w:rsidR="00931CC1" w:rsidRDefault="00931CC1" w:rsidP="00931CC1">
      <w:pPr>
        <w:ind w:left="360"/>
        <w:rPr>
          <w:rFonts w:ascii="Calibri" w:hAnsi="Calibri" w:cs="Calibri"/>
          <w:sz w:val="22"/>
          <w:szCs w:val="22"/>
        </w:rPr>
      </w:pPr>
      <w:r w:rsidRPr="00A32897">
        <w:rPr>
          <w:rFonts w:ascii="Calibri" w:hAnsi="Calibri" w:cs="Calibri"/>
          <w:sz w:val="22"/>
          <w:szCs w:val="22"/>
        </w:rPr>
        <w:t xml:space="preserve">Lucas A, ‘WHO at country level’, </w:t>
      </w:r>
      <w:r w:rsidRPr="00A32897">
        <w:rPr>
          <w:rFonts w:ascii="Calibri" w:hAnsi="Calibri" w:cs="Calibri"/>
          <w:i/>
          <w:sz w:val="22"/>
          <w:szCs w:val="22"/>
        </w:rPr>
        <w:t>Lancet</w:t>
      </w:r>
      <w:r w:rsidRPr="00A32897">
        <w:rPr>
          <w:rFonts w:ascii="Calibri" w:hAnsi="Calibri" w:cs="Calibri"/>
          <w:sz w:val="22"/>
          <w:szCs w:val="22"/>
        </w:rPr>
        <w:t xml:space="preserve"> 351:9104 (1998), 743-747.</w:t>
      </w:r>
    </w:p>
    <w:p w14:paraId="7E012D75" w14:textId="77777777" w:rsidR="009D715F" w:rsidRPr="00A32897" w:rsidRDefault="009D715F" w:rsidP="00931CC1">
      <w:pPr>
        <w:ind w:left="360"/>
        <w:rPr>
          <w:rFonts w:ascii="Calibri" w:hAnsi="Calibri" w:cs="Calibri"/>
          <w:sz w:val="22"/>
          <w:szCs w:val="22"/>
        </w:rPr>
      </w:pPr>
    </w:p>
    <w:p w14:paraId="7F2A203E" w14:textId="0E39CB28" w:rsidR="00931CC1" w:rsidRDefault="00931CC1" w:rsidP="00931CC1">
      <w:pPr>
        <w:ind w:left="360"/>
        <w:rPr>
          <w:rFonts w:ascii="Calibri" w:hAnsi="Calibri" w:cs="Calibri"/>
          <w:sz w:val="22"/>
          <w:szCs w:val="22"/>
        </w:rPr>
      </w:pPr>
      <w:r w:rsidRPr="00A32897">
        <w:rPr>
          <w:rFonts w:ascii="Calibri" w:hAnsi="Calibri" w:cs="Calibri"/>
          <w:sz w:val="22"/>
          <w:szCs w:val="22"/>
        </w:rPr>
        <w:t xml:space="preserve">Lucas AO, ‘Public-private partnerships: illustrative examples’, </w:t>
      </w:r>
      <w:r w:rsidRPr="00A32897">
        <w:rPr>
          <w:rFonts w:ascii="Calibri" w:hAnsi="Calibri" w:cs="Calibri"/>
          <w:i/>
          <w:sz w:val="22"/>
          <w:szCs w:val="22"/>
        </w:rPr>
        <w:t xml:space="preserve">Public-Private </w:t>
      </w:r>
      <w:r w:rsidRPr="00A32897">
        <w:rPr>
          <w:rFonts w:ascii="Calibri" w:hAnsi="Calibri" w:cs="Calibri"/>
          <w:sz w:val="22"/>
          <w:szCs w:val="22"/>
        </w:rPr>
        <w:t>(2002), 19.</w:t>
      </w:r>
    </w:p>
    <w:p w14:paraId="5A337580" w14:textId="77777777" w:rsidR="009D715F" w:rsidRPr="00A32897" w:rsidRDefault="009D715F" w:rsidP="00931CC1">
      <w:pPr>
        <w:ind w:left="360"/>
        <w:rPr>
          <w:rFonts w:ascii="Calibri" w:hAnsi="Calibri" w:cs="Calibri"/>
          <w:sz w:val="22"/>
          <w:szCs w:val="22"/>
        </w:rPr>
      </w:pPr>
    </w:p>
    <w:p w14:paraId="0E23E4F6" w14:textId="0AF75CC8" w:rsidR="00931CC1" w:rsidRDefault="00931CC1" w:rsidP="00931CC1">
      <w:pPr>
        <w:ind w:left="360"/>
        <w:rPr>
          <w:rFonts w:ascii="Calibri" w:hAnsi="Calibri" w:cs="Calibri"/>
          <w:sz w:val="22"/>
          <w:szCs w:val="22"/>
        </w:rPr>
      </w:pPr>
      <w:r w:rsidRPr="00A32897">
        <w:rPr>
          <w:rFonts w:ascii="Calibri" w:hAnsi="Calibri" w:cs="Calibri"/>
          <w:sz w:val="22"/>
          <w:szCs w:val="22"/>
        </w:rPr>
        <w:t xml:space="preserve">Luna F, ‘Adding nonideal agents to work out a pending death’, in </w:t>
      </w:r>
      <w:r w:rsidR="008A45BD" w:rsidRPr="00A32897">
        <w:rPr>
          <w:rFonts w:ascii="Calibri" w:hAnsi="Calibri" w:cs="Calibri"/>
          <w:sz w:val="22"/>
          <w:szCs w:val="22"/>
        </w:rPr>
        <w:t xml:space="preserve">M Freeman, S Hawkes and B Bennet </w:t>
      </w:r>
      <w:r w:rsidR="008A45BD">
        <w:rPr>
          <w:rFonts w:ascii="Calibri" w:hAnsi="Calibri" w:cs="Calibri"/>
          <w:sz w:val="22"/>
          <w:szCs w:val="22"/>
        </w:rPr>
        <w:t xml:space="preserve">(Eds.), </w:t>
      </w:r>
      <w:r w:rsidRPr="00A32897">
        <w:rPr>
          <w:rFonts w:ascii="Calibri" w:hAnsi="Calibri" w:cs="Calibri"/>
          <w:i/>
          <w:sz w:val="22"/>
          <w:szCs w:val="22"/>
        </w:rPr>
        <w:t>Law and global health: current legal issues</w:t>
      </w:r>
      <w:r w:rsidR="008A45BD">
        <w:rPr>
          <w:rFonts w:ascii="Calibri" w:hAnsi="Calibri" w:cs="Calibri"/>
          <w:i/>
          <w:sz w:val="22"/>
          <w:szCs w:val="22"/>
        </w:rPr>
        <w:t xml:space="preserve"> </w:t>
      </w:r>
      <w:r w:rsidRPr="00A32897">
        <w:rPr>
          <w:rFonts w:ascii="Calibri" w:hAnsi="Calibri" w:cs="Calibri"/>
          <w:sz w:val="22"/>
          <w:szCs w:val="22"/>
        </w:rPr>
        <w:t>(Oxford: Oxford University Press, 2014), 295-307.</w:t>
      </w:r>
    </w:p>
    <w:p w14:paraId="55A592E2" w14:textId="77777777" w:rsidR="009D715F" w:rsidRPr="00A32897" w:rsidRDefault="009D715F" w:rsidP="00931CC1">
      <w:pPr>
        <w:ind w:left="360"/>
        <w:rPr>
          <w:rFonts w:ascii="Calibri" w:hAnsi="Calibri" w:cs="Calibri"/>
          <w:sz w:val="22"/>
          <w:szCs w:val="22"/>
        </w:rPr>
      </w:pPr>
    </w:p>
    <w:p w14:paraId="12135D5A" w14:textId="56BB9C8E" w:rsidR="00931CC1" w:rsidRDefault="00931CC1" w:rsidP="00931CC1">
      <w:pPr>
        <w:ind w:left="360"/>
        <w:rPr>
          <w:rFonts w:ascii="Calibri" w:hAnsi="Calibri" w:cs="Calibri"/>
          <w:sz w:val="22"/>
          <w:szCs w:val="22"/>
        </w:rPr>
      </w:pPr>
      <w:r w:rsidRPr="00A32897">
        <w:rPr>
          <w:rFonts w:ascii="Calibri" w:hAnsi="Calibri" w:cs="Calibri"/>
          <w:sz w:val="22"/>
          <w:szCs w:val="22"/>
        </w:rPr>
        <w:t xml:space="preserve">Lustigman S, Prichard RK, Gazzinelli A, Grant WN, Boatin BA, McCarthy JS and Basáñez MG, ‘A research agenda for helminth diseases of humans: the problem of helminthiases’, </w:t>
      </w:r>
      <w:r w:rsidRPr="00A32897">
        <w:rPr>
          <w:rFonts w:ascii="Calibri" w:hAnsi="Calibri" w:cs="Calibri"/>
          <w:i/>
          <w:sz w:val="22"/>
          <w:szCs w:val="22"/>
        </w:rPr>
        <w:t xml:space="preserve">PLoS Neglected Tropical Diseases </w:t>
      </w:r>
      <w:r w:rsidRPr="00A32897">
        <w:rPr>
          <w:rFonts w:ascii="Calibri" w:hAnsi="Calibri" w:cs="Calibri"/>
          <w:sz w:val="22"/>
          <w:szCs w:val="22"/>
        </w:rPr>
        <w:t>6:4 (2012).</w:t>
      </w:r>
    </w:p>
    <w:p w14:paraId="55BDF079" w14:textId="77777777" w:rsidR="009D715F" w:rsidRPr="00A32897" w:rsidRDefault="009D715F" w:rsidP="00931CC1">
      <w:pPr>
        <w:ind w:left="360"/>
        <w:rPr>
          <w:rFonts w:ascii="Calibri" w:hAnsi="Calibri" w:cs="Calibri"/>
          <w:sz w:val="22"/>
          <w:szCs w:val="22"/>
        </w:rPr>
      </w:pPr>
    </w:p>
    <w:p w14:paraId="0BF11114" w14:textId="7318AD84" w:rsidR="00931CC1" w:rsidRDefault="00931CC1" w:rsidP="00931CC1">
      <w:pPr>
        <w:ind w:left="360"/>
        <w:rPr>
          <w:rFonts w:ascii="Calibri" w:hAnsi="Calibri" w:cs="Calibri"/>
          <w:sz w:val="22"/>
          <w:szCs w:val="22"/>
        </w:rPr>
      </w:pPr>
      <w:r w:rsidRPr="00A32897">
        <w:rPr>
          <w:rFonts w:ascii="Calibri" w:hAnsi="Calibri" w:cs="Calibri"/>
          <w:sz w:val="22"/>
          <w:szCs w:val="22"/>
        </w:rPr>
        <w:t xml:space="preserve">Mackenzie CD, Homeida MM, Hopkins AD and Lawrence JC, ‘Elimination of onchocerciasis from Africa: possible?’, </w:t>
      </w:r>
      <w:r w:rsidRPr="00A32897">
        <w:rPr>
          <w:rFonts w:ascii="Calibri" w:hAnsi="Calibri" w:cs="Calibri"/>
          <w:i/>
          <w:sz w:val="22"/>
          <w:szCs w:val="22"/>
        </w:rPr>
        <w:t xml:space="preserve">Trends in Parasitology </w:t>
      </w:r>
      <w:r w:rsidRPr="00A32897">
        <w:rPr>
          <w:rFonts w:ascii="Calibri" w:hAnsi="Calibri" w:cs="Calibri"/>
          <w:sz w:val="22"/>
          <w:szCs w:val="22"/>
        </w:rPr>
        <w:t>28:1 (2012), 16-22.</w:t>
      </w:r>
    </w:p>
    <w:p w14:paraId="2C02B725" w14:textId="77777777" w:rsidR="009D715F" w:rsidRPr="00A32897" w:rsidRDefault="009D715F" w:rsidP="00931CC1">
      <w:pPr>
        <w:ind w:left="360"/>
        <w:rPr>
          <w:rFonts w:ascii="Calibri" w:hAnsi="Calibri" w:cs="Calibri"/>
          <w:sz w:val="22"/>
          <w:szCs w:val="22"/>
        </w:rPr>
      </w:pPr>
    </w:p>
    <w:p w14:paraId="3A28D567" w14:textId="08E0118D" w:rsidR="00931CC1" w:rsidRDefault="00931CC1" w:rsidP="00931CC1">
      <w:pPr>
        <w:ind w:left="360"/>
        <w:rPr>
          <w:rFonts w:ascii="Calibri" w:hAnsi="Calibri" w:cs="Calibri"/>
          <w:sz w:val="22"/>
          <w:szCs w:val="22"/>
        </w:rPr>
      </w:pPr>
      <w:r w:rsidRPr="00A32897">
        <w:rPr>
          <w:rFonts w:ascii="Calibri" w:hAnsi="Calibri" w:cs="Calibri"/>
          <w:sz w:val="22"/>
          <w:szCs w:val="22"/>
        </w:rPr>
        <w:t xml:space="preserve">Manga L, Toure A and Shililu J, ‘Implementation of integrated vector management in the WHO-African region: progress report 2000-2003’, in </w:t>
      </w:r>
      <w:r w:rsidRPr="00A32897">
        <w:rPr>
          <w:rFonts w:ascii="Calibri" w:hAnsi="Calibri" w:cs="Calibri"/>
          <w:i/>
          <w:sz w:val="22"/>
          <w:szCs w:val="22"/>
        </w:rPr>
        <w:t xml:space="preserve">Environmental Health Project </w:t>
      </w:r>
      <w:r w:rsidRPr="00A32897">
        <w:rPr>
          <w:rFonts w:ascii="Calibri" w:hAnsi="Calibri" w:cs="Calibri"/>
          <w:sz w:val="22"/>
          <w:szCs w:val="22"/>
        </w:rPr>
        <w:t>(Washington DC: USAID, 2004), 1-26.</w:t>
      </w:r>
    </w:p>
    <w:p w14:paraId="4018A8D5" w14:textId="77777777" w:rsidR="009D715F" w:rsidRPr="00A32897" w:rsidRDefault="009D715F" w:rsidP="00931CC1">
      <w:pPr>
        <w:ind w:left="360"/>
        <w:rPr>
          <w:rFonts w:ascii="Calibri" w:hAnsi="Calibri" w:cs="Calibri"/>
          <w:sz w:val="22"/>
          <w:szCs w:val="22"/>
        </w:rPr>
      </w:pPr>
    </w:p>
    <w:p w14:paraId="4B8F9F8B" w14:textId="0D11DB9C" w:rsidR="00931CC1" w:rsidRDefault="00931CC1" w:rsidP="00931CC1">
      <w:pPr>
        <w:ind w:left="360"/>
        <w:rPr>
          <w:rFonts w:ascii="Calibri" w:hAnsi="Calibri" w:cs="Calibri"/>
          <w:sz w:val="22"/>
          <w:szCs w:val="22"/>
        </w:rPr>
      </w:pPr>
      <w:r w:rsidRPr="00A32897">
        <w:rPr>
          <w:rFonts w:ascii="Calibri" w:hAnsi="Calibri" w:cs="Calibri"/>
          <w:sz w:val="22"/>
          <w:szCs w:val="22"/>
        </w:rPr>
        <w:t xml:space="preserve">Mawaz S, ‘River blindness controlled’, </w:t>
      </w:r>
      <w:r w:rsidRPr="00A32897">
        <w:rPr>
          <w:rFonts w:ascii="Calibri" w:hAnsi="Calibri" w:cs="Calibri"/>
          <w:i/>
          <w:sz w:val="22"/>
          <w:szCs w:val="22"/>
        </w:rPr>
        <w:t xml:space="preserve">Finance &amp; Development </w:t>
      </w:r>
      <w:r w:rsidRPr="00A32897">
        <w:rPr>
          <w:rFonts w:ascii="Calibri" w:hAnsi="Calibri" w:cs="Calibri"/>
          <w:sz w:val="22"/>
          <w:szCs w:val="22"/>
        </w:rPr>
        <w:t>23:2 (1986), 32-34.</w:t>
      </w:r>
    </w:p>
    <w:p w14:paraId="01229630" w14:textId="77777777" w:rsidR="009D715F" w:rsidRPr="00A32897" w:rsidRDefault="009D715F" w:rsidP="00931CC1">
      <w:pPr>
        <w:ind w:left="360"/>
        <w:rPr>
          <w:rFonts w:ascii="Calibri" w:hAnsi="Calibri" w:cs="Calibri"/>
          <w:sz w:val="22"/>
          <w:szCs w:val="22"/>
        </w:rPr>
      </w:pPr>
    </w:p>
    <w:p w14:paraId="5FE86A24" w14:textId="26E870DA" w:rsidR="00931CC1" w:rsidRDefault="00931CC1" w:rsidP="00931CC1">
      <w:pPr>
        <w:ind w:left="360"/>
        <w:rPr>
          <w:rFonts w:ascii="Calibri" w:hAnsi="Calibri" w:cs="Calibri"/>
          <w:sz w:val="22"/>
          <w:szCs w:val="22"/>
        </w:rPr>
      </w:pPr>
      <w:r w:rsidRPr="00A32897">
        <w:rPr>
          <w:rFonts w:ascii="Calibri" w:hAnsi="Calibri" w:cs="Calibri"/>
          <w:sz w:val="22"/>
          <w:szCs w:val="22"/>
        </w:rPr>
        <w:t xml:space="preserve">McKenzie FE and Samba EM, ‘The role of mathematical modelling in evidence-based malaria control’, </w:t>
      </w:r>
      <w:r w:rsidRPr="00A32897">
        <w:rPr>
          <w:rFonts w:ascii="Calibri" w:hAnsi="Calibri" w:cs="Calibri"/>
          <w:i/>
          <w:sz w:val="22"/>
          <w:szCs w:val="22"/>
        </w:rPr>
        <w:t xml:space="preserve">American Journal of Tropical Medicine and Hygiene </w:t>
      </w:r>
      <w:r w:rsidRPr="00A32897">
        <w:rPr>
          <w:rFonts w:ascii="Calibri" w:hAnsi="Calibri" w:cs="Calibri"/>
          <w:sz w:val="22"/>
          <w:szCs w:val="22"/>
        </w:rPr>
        <w:t>71:2 (2004), 94-96.</w:t>
      </w:r>
    </w:p>
    <w:p w14:paraId="3E3E24A0" w14:textId="77777777" w:rsidR="009D715F" w:rsidRPr="00A32897" w:rsidRDefault="009D715F" w:rsidP="00931CC1">
      <w:pPr>
        <w:ind w:left="360"/>
        <w:rPr>
          <w:rFonts w:ascii="Calibri" w:hAnsi="Calibri" w:cs="Calibri"/>
          <w:sz w:val="22"/>
          <w:szCs w:val="22"/>
        </w:rPr>
      </w:pPr>
    </w:p>
    <w:p w14:paraId="723CCE54" w14:textId="0582BD4C" w:rsidR="00931CC1" w:rsidRDefault="00931CC1" w:rsidP="00931CC1">
      <w:pPr>
        <w:ind w:left="360"/>
        <w:rPr>
          <w:rFonts w:ascii="Calibri" w:hAnsi="Calibri" w:cs="Calibri"/>
          <w:sz w:val="22"/>
          <w:szCs w:val="22"/>
        </w:rPr>
      </w:pPr>
      <w:r w:rsidRPr="00A32897">
        <w:rPr>
          <w:rFonts w:ascii="Calibri" w:hAnsi="Calibri" w:cs="Calibri"/>
          <w:sz w:val="22"/>
          <w:szCs w:val="22"/>
        </w:rPr>
        <w:lastRenderedPageBreak/>
        <w:t>McMillan D, Nana JB</w:t>
      </w:r>
      <w:r w:rsidR="00613059">
        <w:rPr>
          <w:rFonts w:ascii="Calibri" w:hAnsi="Calibri" w:cs="Calibri"/>
          <w:sz w:val="22"/>
          <w:szCs w:val="22"/>
        </w:rPr>
        <w:t xml:space="preserve"> and </w:t>
      </w:r>
      <w:r w:rsidRPr="00A32897">
        <w:rPr>
          <w:rFonts w:ascii="Calibri" w:hAnsi="Calibri" w:cs="Calibri"/>
          <w:sz w:val="22"/>
          <w:szCs w:val="22"/>
        </w:rPr>
        <w:t xml:space="preserve">Savadogo K, </w:t>
      </w:r>
      <w:r w:rsidRPr="00A32897">
        <w:rPr>
          <w:rFonts w:ascii="Calibri" w:hAnsi="Calibri" w:cs="Calibri"/>
          <w:i/>
          <w:sz w:val="22"/>
          <w:szCs w:val="22"/>
        </w:rPr>
        <w:t xml:space="preserve">Settlement and development in the river blindness control zone: case study, Burkina Faso </w:t>
      </w:r>
      <w:r w:rsidRPr="00A32897">
        <w:rPr>
          <w:rFonts w:ascii="Calibri" w:hAnsi="Calibri" w:cs="Calibri"/>
          <w:sz w:val="22"/>
          <w:szCs w:val="22"/>
        </w:rPr>
        <w:t>(Washington DC: World Bank, 1993).</w:t>
      </w:r>
    </w:p>
    <w:p w14:paraId="0C077C13" w14:textId="77777777" w:rsidR="009D715F" w:rsidRPr="00A32897" w:rsidRDefault="009D715F" w:rsidP="00931CC1">
      <w:pPr>
        <w:ind w:left="360"/>
        <w:rPr>
          <w:rFonts w:ascii="Calibri" w:hAnsi="Calibri" w:cs="Calibri"/>
          <w:sz w:val="22"/>
          <w:szCs w:val="22"/>
        </w:rPr>
      </w:pPr>
    </w:p>
    <w:p w14:paraId="21C451E5" w14:textId="61EE4339" w:rsidR="00931CC1" w:rsidRDefault="00931CC1" w:rsidP="00931CC1">
      <w:pPr>
        <w:ind w:left="360"/>
        <w:rPr>
          <w:rFonts w:ascii="Calibri" w:hAnsi="Calibri" w:cs="Calibri"/>
          <w:sz w:val="22"/>
          <w:szCs w:val="22"/>
        </w:rPr>
      </w:pPr>
      <w:r w:rsidRPr="00A32897">
        <w:rPr>
          <w:rFonts w:ascii="Calibri" w:hAnsi="Calibri" w:cs="Calibri"/>
          <w:sz w:val="22"/>
          <w:szCs w:val="22"/>
        </w:rPr>
        <w:t xml:space="preserve">McMillan DE, Sanders JH, Koenig D, Akwabi-Ameyaw K and Painter TM, ‘New land is not enough: agricultural performance of new lands settlement in West Africa’, </w:t>
      </w:r>
      <w:r w:rsidRPr="00A32897">
        <w:rPr>
          <w:rFonts w:ascii="Calibri" w:hAnsi="Calibri" w:cs="Calibri"/>
          <w:i/>
          <w:sz w:val="22"/>
          <w:szCs w:val="22"/>
        </w:rPr>
        <w:t xml:space="preserve">World Development </w:t>
      </w:r>
      <w:r w:rsidRPr="00A32897">
        <w:rPr>
          <w:rFonts w:ascii="Calibri" w:hAnsi="Calibri" w:cs="Calibri"/>
          <w:sz w:val="22"/>
          <w:szCs w:val="22"/>
        </w:rPr>
        <w:t>26:2 (1998), 187-211.</w:t>
      </w:r>
    </w:p>
    <w:p w14:paraId="3BE7080C" w14:textId="77777777" w:rsidR="009D715F" w:rsidRPr="00A32897" w:rsidRDefault="009D715F" w:rsidP="00931CC1">
      <w:pPr>
        <w:ind w:left="360"/>
        <w:rPr>
          <w:rFonts w:ascii="Calibri" w:hAnsi="Calibri" w:cs="Calibri"/>
          <w:sz w:val="22"/>
          <w:szCs w:val="22"/>
        </w:rPr>
      </w:pPr>
    </w:p>
    <w:p w14:paraId="03868EE5" w14:textId="03A4BCDE" w:rsidR="00931CC1" w:rsidRDefault="00931CC1" w:rsidP="00931CC1">
      <w:pPr>
        <w:ind w:left="360"/>
        <w:rPr>
          <w:rFonts w:ascii="Calibri" w:hAnsi="Calibri" w:cs="Calibri"/>
          <w:sz w:val="22"/>
          <w:szCs w:val="22"/>
        </w:rPr>
      </w:pPr>
      <w:r w:rsidRPr="00A32897">
        <w:rPr>
          <w:rFonts w:ascii="Calibri" w:hAnsi="Calibri" w:cs="Calibri"/>
          <w:sz w:val="22"/>
          <w:szCs w:val="22"/>
        </w:rPr>
        <w:t xml:space="preserve">McMillan MS, Masters WA and Kazianga H, ‘Demographic pressure and institutional change: village-level response to rural population growth in Burkina Faso’, in </w:t>
      </w:r>
      <w:r w:rsidRPr="00A32897">
        <w:rPr>
          <w:rFonts w:ascii="Calibri" w:hAnsi="Calibri" w:cs="Calibri"/>
          <w:i/>
          <w:sz w:val="22"/>
          <w:szCs w:val="22"/>
        </w:rPr>
        <w:t xml:space="preserve">African successes, volume I: government and institutions </w:t>
      </w:r>
      <w:r w:rsidRPr="00A32897">
        <w:rPr>
          <w:rFonts w:ascii="Calibri" w:hAnsi="Calibri" w:cs="Calibri"/>
          <w:sz w:val="22"/>
          <w:szCs w:val="22"/>
        </w:rPr>
        <w:t>(Chicago: University of Chicago Press, 2014), 103-143.</w:t>
      </w:r>
    </w:p>
    <w:p w14:paraId="2D244E87" w14:textId="77777777" w:rsidR="009D715F" w:rsidRPr="00A32897" w:rsidRDefault="009D715F" w:rsidP="00931CC1">
      <w:pPr>
        <w:ind w:left="360"/>
        <w:rPr>
          <w:rFonts w:ascii="Calibri" w:hAnsi="Calibri" w:cs="Calibri"/>
          <w:sz w:val="22"/>
          <w:szCs w:val="22"/>
        </w:rPr>
      </w:pPr>
    </w:p>
    <w:p w14:paraId="5C248C5B" w14:textId="0C95D2DA" w:rsidR="00931CC1" w:rsidRDefault="00931CC1" w:rsidP="00931CC1">
      <w:pPr>
        <w:ind w:left="360"/>
        <w:rPr>
          <w:rFonts w:ascii="Calibri" w:hAnsi="Calibri" w:cs="Calibri"/>
          <w:sz w:val="22"/>
          <w:szCs w:val="22"/>
        </w:rPr>
      </w:pPr>
      <w:r w:rsidRPr="00A32897">
        <w:rPr>
          <w:rFonts w:ascii="Calibri" w:hAnsi="Calibri" w:cs="Calibri"/>
          <w:sz w:val="22"/>
          <w:szCs w:val="22"/>
        </w:rPr>
        <w:t xml:space="preserve">McMillan MS, Masters WA and Kazianga H, </w:t>
      </w:r>
      <w:r w:rsidRPr="00A32897">
        <w:rPr>
          <w:rFonts w:ascii="Calibri" w:hAnsi="Calibri" w:cs="Calibri"/>
          <w:i/>
          <w:sz w:val="22"/>
          <w:szCs w:val="22"/>
        </w:rPr>
        <w:t xml:space="preserve">Rural demography, public services and land rights in Africa: a village-level analysis in Burkina Faso </w:t>
      </w:r>
      <w:r w:rsidRPr="00A32897">
        <w:rPr>
          <w:rFonts w:ascii="Calibri" w:hAnsi="Calibri" w:cs="Calibri"/>
          <w:sz w:val="22"/>
          <w:szCs w:val="22"/>
        </w:rPr>
        <w:t>(Cambridge: National Bureau of Economic Research, 2011).</w:t>
      </w:r>
    </w:p>
    <w:p w14:paraId="4FCF36F2" w14:textId="77777777" w:rsidR="009D715F" w:rsidRPr="00A32897" w:rsidRDefault="009D715F" w:rsidP="00931CC1">
      <w:pPr>
        <w:ind w:left="360"/>
        <w:rPr>
          <w:rFonts w:ascii="Calibri" w:hAnsi="Calibri" w:cs="Calibri"/>
          <w:sz w:val="22"/>
          <w:szCs w:val="22"/>
        </w:rPr>
      </w:pPr>
    </w:p>
    <w:p w14:paraId="01295C80" w14:textId="5B7BC6B1" w:rsidR="00931CC1" w:rsidRDefault="00931CC1" w:rsidP="00931CC1">
      <w:pPr>
        <w:ind w:left="360"/>
        <w:rPr>
          <w:rFonts w:ascii="Calibri" w:hAnsi="Calibri" w:cs="Calibri"/>
          <w:sz w:val="22"/>
          <w:szCs w:val="22"/>
        </w:rPr>
      </w:pPr>
      <w:r w:rsidRPr="00A32897">
        <w:rPr>
          <w:rFonts w:ascii="Calibri" w:hAnsi="Calibri" w:cs="Calibri"/>
          <w:sz w:val="22"/>
          <w:szCs w:val="22"/>
        </w:rPr>
        <w:t xml:space="preserve">McMillian D, ‘Diversification and successful settlement in the river blindness control zone of West Africa’, </w:t>
      </w:r>
      <w:r w:rsidRPr="00A32897">
        <w:rPr>
          <w:rFonts w:ascii="Calibri" w:hAnsi="Calibri" w:cs="Calibri"/>
          <w:i/>
          <w:sz w:val="22"/>
          <w:szCs w:val="22"/>
        </w:rPr>
        <w:t xml:space="preserve">Human Organization </w:t>
      </w:r>
      <w:r w:rsidRPr="00A32897">
        <w:rPr>
          <w:rFonts w:ascii="Calibri" w:hAnsi="Calibri" w:cs="Calibri"/>
          <w:sz w:val="22"/>
          <w:szCs w:val="22"/>
        </w:rPr>
        <w:t>52:3 (1993), 269-282.</w:t>
      </w:r>
    </w:p>
    <w:p w14:paraId="368259E8" w14:textId="77777777" w:rsidR="009D715F" w:rsidRPr="00A32897" w:rsidRDefault="009D715F" w:rsidP="00931CC1">
      <w:pPr>
        <w:ind w:left="360"/>
        <w:rPr>
          <w:rFonts w:ascii="Calibri" w:hAnsi="Calibri" w:cs="Calibri"/>
          <w:sz w:val="22"/>
          <w:szCs w:val="22"/>
        </w:rPr>
      </w:pPr>
    </w:p>
    <w:p w14:paraId="2ACE3B05" w14:textId="63D9CDCA" w:rsidR="00931CC1" w:rsidRDefault="00931CC1" w:rsidP="00931CC1">
      <w:pPr>
        <w:ind w:left="360"/>
        <w:rPr>
          <w:rFonts w:ascii="Calibri" w:hAnsi="Calibri" w:cs="Calibri"/>
          <w:sz w:val="22"/>
          <w:szCs w:val="22"/>
        </w:rPr>
      </w:pPr>
      <w:r w:rsidRPr="00A32897">
        <w:rPr>
          <w:rFonts w:ascii="Calibri" w:hAnsi="Calibri" w:cs="Calibri"/>
          <w:sz w:val="22"/>
          <w:szCs w:val="22"/>
        </w:rPr>
        <w:t>Medlin CA, Chowdhury M, Jamison DT and Measham AR, ‘Improving the health of populations: lessons from experience’, in</w:t>
      </w:r>
      <w:r w:rsidR="009D715F">
        <w:rPr>
          <w:rFonts w:ascii="Calibri" w:hAnsi="Calibri" w:cs="Calibri"/>
          <w:sz w:val="22"/>
          <w:szCs w:val="22"/>
        </w:rPr>
        <w:t xml:space="preserve"> </w:t>
      </w:r>
      <w:r w:rsidR="009D715F" w:rsidRPr="00A32897">
        <w:rPr>
          <w:rFonts w:ascii="Calibri" w:hAnsi="Calibri" w:cs="Calibri"/>
          <w:sz w:val="22"/>
          <w:szCs w:val="22"/>
        </w:rPr>
        <w:t>DT Jamison, JG Breman, AR Measham, G Alleyn, M Cleason, DB Evans, P Jha, A Mills and P Musgrove</w:t>
      </w:r>
      <w:r w:rsidR="009D715F">
        <w:rPr>
          <w:rFonts w:ascii="Calibri" w:hAnsi="Calibri" w:cs="Calibri"/>
          <w:sz w:val="22"/>
          <w:szCs w:val="22"/>
        </w:rPr>
        <w:t xml:space="preserve"> (Eds.),</w:t>
      </w:r>
      <w:r w:rsidRPr="00A32897">
        <w:rPr>
          <w:rFonts w:ascii="Calibri" w:hAnsi="Calibri" w:cs="Calibri"/>
          <w:sz w:val="22"/>
          <w:szCs w:val="22"/>
        </w:rPr>
        <w:t xml:space="preserve"> </w:t>
      </w:r>
      <w:r w:rsidRPr="00A32897">
        <w:rPr>
          <w:rFonts w:ascii="Calibri" w:hAnsi="Calibri" w:cs="Calibri"/>
          <w:i/>
          <w:sz w:val="22"/>
          <w:szCs w:val="22"/>
        </w:rPr>
        <w:t xml:space="preserve">Disease control priorities in developing countries, </w:t>
      </w:r>
      <w:r w:rsidRPr="00A32897">
        <w:rPr>
          <w:rFonts w:ascii="Calibri" w:hAnsi="Calibri" w:cs="Calibri"/>
          <w:sz w:val="22"/>
          <w:szCs w:val="22"/>
        </w:rPr>
        <w:t>2</w:t>
      </w:r>
      <w:r w:rsidRPr="00A32897">
        <w:rPr>
          <w:rFonts w:ascii="Calibri" w:hAnsi="Calibri" w:cs="Calibri"/>
          <w:sz w:val="22"/>
          <w:szCs w:val="22"/>
          <w:vertAlign w:val="superscript"/>
        </w:rPr>
        <w:t>nd</w:t>
      </w:r>
      <w:r w:rsidRPr="00A32897">
        <w:rPr>
          <w:rFonts w:ascii="Calibri" w:hAnsi="Calibri" w:cs="Calibri"/>
          <w:sz w:val="22"/>
          <w:szCs w:val="22"/>
        </w:rPr>
        <w:t xml:space="preserve"> ed (Washington DC: World Bank, 2006), 165-179.</w:t>
      </w:r>
    </w:p>
    <w:p w14:paraId="77DF6BF8" w14:textId="77777777" w:rsidR="009D715F" w:rsidRPr="00A32897" w:rsidRDefault="009D715F" w:rsidP="00931CC1">
      <w:pPr>
        <w:ind w:left="360"/>
        <w:rPr>
          <w:rFonts w:ascii="Calibri" w:hAnsi="Calibri" w:cs="Calibri"/>
          <w:sz w:val="22"/>
          <w:szCs w:val="22"/>
        </w:rPr>
      </w:pPr>
    </w:p>
    <w:p w14:paraId="44BB0236" w14:textId="35B8B465" w:rsidR="00931CC1" w:rsidRDefault="00931CC1" w:rsidP="00931CC1">
      <w:pPr>
        <w:ind w:left="360"/>
        <w:rPr>
          <w:rFonts w:ascii="Calibri" w:hAnsi="Calibri" w:cs="Calibri"/>
          <w:sz w:val="22"/>
          <w:szCs w:val="22"/>
        </w:rPr>
      </w:pPr>
      <w:r w:rsidRPr="00A32897">
        <w:rPr>
          <w:rFonts w:ascii="Calibri" w:hAnsi="Calibri" w:cs="Calibri"/>
          <w:sz w:val="22"/>
          <w:szCs w:val="22"/>
        </w:rPr>
        <w:t xml:space="preserve">Meredith SE, Cross C and Amazigo UV, ‘Empowering communities in combating river blindness and the role of NGOs: case studies from Cameroon, Mali, Nigeria, and Uganda’, </w:t>
      </w:r>
      <w:r w:rsidRPr="00A32897">
        <w:rPr>
          <w:rFonts w:ascii="Calibri" w:hAnsi="Calibri" w:cs="Calibri"/>
          <w:i/>
          <w:sz w:val="22"/>
          <w:szCs w:val="22"/>
        </w:rPr>
        <w:t xml:space="preserve">Health Research Policy and Systems </w:t>
      </w:r>
      <w:r w:rsidRPr="00A32897">
        <w:rPr>
          <w:rFonts w:ascii="Calibri" w:hAnsi="Calibri" w:cs="Calibri"/>
          <w:sz w:val="22"/>
          <w:szCs w:val="22"/>
        </w:rPr>
        <w:t>10:1 (2012), 16.</w:t>
      </w:r>
    </w:p>
    <w:p w14:paraId="0B5FC258" w14:textId="77777777" w:rsidR="009D715F" w:rsidRPr="00A32897" w:rsidRDefault="009D715F" w:rsidP="00931CC1">
      <w:pPr>
        <w:ind w:left="360"/>
        <w:rPr>
          <w:rFonts w:ascii="Calibri" w:hAnsi="Calibri" w:cs="Calibri"/>
          <w:sz w:val="22"/>
          <w:szCs w:val="22"/>
        </w:rPr>
      </w:pPr>
    </w:p>
    <w:p w14:paraId="5550BD53" w14:textId="09ED63C2" w:rsidR="00931CC1" w:rsidRDefault="00931CC1" w:rsidP="00931CC1">
      <w:pPr>
        <w:ind w:left="360"/>
        <w:rPr>
          <w:rFonts w:ascii="Calibri" w:hAnsi="Calibri" w:cs="Calibri"/>
          <w:sz w:val="22"/>
          <w:szCs w:val="22"/>
        </w:rPr>
      </w:pPr>
      <w:r w:rsidRPr="00A32897">
        <w:rPr>
          <w:rFonts w:ascii="Calibri" w:hAnsi="Calibri" w:cs="Calibri"/>
          <w:sz w:val="22"/>
          <w:szCs w:val="22"/>
        </w:rPr>
        <w:t xml:space="preserve">Meredith SE, Unnasch TR, Karam M, Piessens WF and Wirth DF, ‘Cloning and characterization of an Onchocerca volvulus specific DNA sequence’, </w:t>
      </w:r>
      <w:r w:rsidRPr="00A32897">
        <w:rPr>
          <w:rFonts w:ascii="Calibri" w:hAnsi="Calibri" w:cs="Calibri"/>
          <w:i/>
          <w:sz w:val="22"/>
          <w:szCs w:val="22"/>
        </w:rPr>
        <w:t xml:space="preserve">Molecular and Biochemical Parasitology </w:t>
      </w:r>
      <w:r w:rsidRPr="00A32897">
        <w:rPr>
          <w:rFonts w:ascii="Calibri" w:hAnsi="Calibri" w:cs="Calibri"/>
          <w:sz w:val="22"/>
          <w:szCs w:val="22"/>
        </w:rPr>
        <w:t>36:1 (1989), 1-10.</w:t>
      </w:r>
    </w:p>
    <w:p w14:paraId="275C0A36" w14:textId="77777777" w:rsidR="009D715F" w:rsidRPr="00A32897" w:rsidRDefault="009D715F" w:rsidP="00931CC1">
      <w:pPr>
        <w:ind w:left="360"/>
        <w:rPr>
          <w:rFonts w:ascii="Calibri" w:hAnsi="Calibri" w:cs="Calibri"/>
          <w:sz w:val="22"/>
          <w:szCs w:val="22"/>
        </w:rPr>
      </w:pPr>
    </w:p>
    <w:p w14:paraId="157C0A4C" w14:textId="11008779" w:rsidR="00931CC1" w:rsidRDefault="00931CC1" w:rsidP="00931CC1">
      <w:pPr>
        <w:ind w:left="360"/>
        <w:rPr>
          <w:rFonts w:ascii="Calibri" w:hAnsi="Calibri" w:cs="Calibri"/>
          <w:sz w:val="22"/>
          <w:szCs w:val="22"/>
        </w:rPr>
      </w:pPr>
      <w:r w:rsidRPr="00A32897">
        <w:rPr>
          <w:rFonts w:ascii="Calibri" w:hAnsi="Calibri" w:cs="Calibri"/>
          <w:sz w:val="22"/>
          <w:szCs w:val="22"/>
        </w:rPr>
        <w:t xml:space="preserve">Michael E, ‘The control of the human filariases’, </w:t>
      </w:r>
      <w:r w:rsidRPr="00A32897">
        <w:rPr>
          <w:rFonts w:ascii="Calibri" w:hAnsi="Calibri" w:cs="Calibri"/>
          <w:i/>
          <w:sz w:val="22"/>
          <w:szCs w:val="22"/>
        </w:rPr>
        <w:t xml:space="preserve">Current Opinion in Infectious Diseases </w:t>
      </w:r>
      <w:r w:rsidRPr="00A32897">
        <w:rPr>
          <w:rFonts w:ascii="Calibri" w:hAnsi="Calibri" w:cs="Calibri"/>
          <w:sz w:val="22"/>
          <w:szCs w:val="22"/>
        </w:rPr>
        <w:t>12:6 (1999), 565-578.</w:t>
      </w:r>
    </w:p>
    <w:p w14:paraId="5C59D5DE" w14:textId="77777777" w:rsidR="009D715F" w:rsidRPr="00A32897" w:rsidRDefault="009D715F" w:rsidP="00931CC1">
      <w:pPr>
        <w:ind w:left="360"/>
        <w:rPr>
          <w:rFonts w:ascii="Calibri" w:hAnsi="Calibri" w:cs="Calibri"/>
          <w:sz w:val="22"/>
          <w:szCs w:val="22"/>
        </w:rPr>
      </w:pPr>
    </w:p>
    <w:p w14:paraId="52A3C3B9" w14:textId="7D6E863A" w:rsidR="00931CC1" w:rsidRDefault="00931CC1" w:rsidP="00931CC1">
      <w:pPr>
        <w:ind w:left="360"/>
        <w:rPr>
          <w:rFonts w:ascii="Calibri" w:hAnsi="Calibri" w:cs="Calibri"/>
          <w:sz w:val="22"/>
          <w:szCs w:val="22"/>
        </w:rPr>
      </w:pPr>
      <w:r w:rsidRPr="00A32897">
        <w:rPr>
          <w:rFonts w:ascii="Calibri" w:hAnsi="Calibri" w:cs="Calibri"/>
          <w:sz w:val="22"/>
          <w:szCs w:val="22"/>
        </w:rPr>
        <w:t xml:space="preserve">Molyneux D, ‘Vector-borne parasitic diseases – an overview of recent changes’, </w:t>
      </w:r>
      <w:r w:rsidRPr="00A32897">
        <w:rPr>
          <w:rFonts w:ascii="Calibri" w:hAnsi="Calibri" w:cs="Calibri"/>
          <w:i/>
          <w:sz w:val="22"/>
          <w:szCs w:val="22"/>
        </w:rPr>
        <w:t xml:space="preserve">International Journal for Parasitology </w:t>
      </w:r>
      <w:r w:rsidRPr="00A32897">
        <w:rPr>
          <w:rFonts w:ascii="Calibri" w:hAnsi="Calibri" w:cs="Calibri"/>
          <w:sz w:val="22"/>
          <w:szCs w:val="22"/>
        </w:rPr>
        <w:t>28:6 (1998), 927-934.</w:t>
      </w:r>
    </w:p>
    <w:p w14:paraId="14206472" w14:textId="77777777" w:rsidR="009D715F" w:rsidRPr="00A32897" w:rsidRDefault="009D715F" w:rsidP="00931CC1">
      <w:pPr>
        <w:ind w:left="360"/>
        <w:rPr>
          <w:rFonts w:ascii="Calibri" w:hAnsi="Calibri" w:cs="Calibri"/>
          <w:sz w:val="22"/>
          <w:szCs w:val="22"/>
        </w:rPr>
      </w:pPr>
    </w:p>
    <w:p w14:paraId="6F98804C" w14:textId="39BA292E" w:rsidR="00931CC1" w:rsidRDefault="00931CC1" w:rsidP="00931CC1">
      <w:pPr>
        <w:ind w:left="360"/>
        <w:rPr>
          <w:rFonts w:ascii="Calibri" w:hAnsi="Calibri" w:cs="Calibri"/>
          <w:sz w:val="22"/>
          <w:szCs w:val="22"/>
        </w:rPr>
      </w:pPr>
      <w:r w:rsidRPr="00A32897">
        <w:rPr>
          <w:rFonts w:ascii="Calibri" w:hAnsi="Calibri" w:cs="Calibri"/>
          <w:sz w:val="22"/>
          <w:szCs w:val="22"/>
        </w:rPr>
        <w:t xml:space="preserve">Molyneux DH and Morel C, ‘Onchocerciasis and Chagas’ disease control: the evolution of control via applied research through changing development scenarios’, </w:t>
      </w:r>
      <w:r w:rsidRPr="00A32897">
        <w:rPr>
          <w:rFonts w:ascii="Calibri" w:hAnsi="Calibri" w:cs="Calibri"/>
          <w:i/>
          <w:sz w:val="22"/>
          <w:szCs w:val="22"/>
        </w:rPr>
        <w:t xml:space="preserve">British Medical Bulletin </w:t>
      </w:r>
      <w:r w:rsidRPr="00A32897">
        <w:rPr>
          <w:rFonts w:ascii="Calibri" w:hAnsi="Calibri" w:cs="Calibri"/>
          <w:sz w:val="22"/>
          <w:szCs w:val="22"/>
        </w:rPr>
        <w:t>54:2 (1998), 327-339.</w:t>
      </w:r>
    </w:p>
    <w:p w14:paraId="35CA934B" w14:textId="77777777" w:rsidR="009D715F" w:rsidRPr="00A32897" w:rsidRDefault="009D715F" w:rsidP="00931CC1">
      <w:pPr>
        <w:ind w:left="360"/>
        <w:rPr>
          <w:rFonts w:ascii="Calibri" w:hAnsi="Calibri" w:cs="Calibri"/>
          <w:sz w:val="22"/>
          <w:szCs w:val="22"/>
        </w:rPr>
      </w:pPr>
    </w:p>
    <w:p w14:paraId="487ED99F" w14:textId="378165F6" w:rsidR="00931CC1" w:rsidRDefault="00931CC1" w:rsidP="00931CC1">
      <w:pPr>
        <w:ind w:left="360"/>
        <w:rPr>
          <w:rFonts w:ascii="Calibri" w:hAnsi="Calibri" w:cs="Calibri"/>
          <w:sz w:val="22"/>
          <w:szCs w:val="22"/>
        </w:rPr>
      </w:pPr>
      <w:r w:rsidRPr="00A32897">
        <w:rPr>
          <w:rFonts w:ascii="Calibri" w:hAnsi="Calibri" w:cs="Calibri"/>
          <w:sz w:val="22"/>
          <w:szCs w:val="22"/>
        </w:rPr>
        <w:t xml:space="preserve">Molyneux DH, ‘Onchocerciasis control and elimination: Coming of age in resource-constrained health systems’, </w:t>
      </w:r>
      <w:r w:rsidRPr="00A32897">
        <w:rPr>
          <w:rFonts w:ascii="Calibri" w:hAnsi="Calibri" w:cs="Calibri"/>
          <w:i/>
          <w:sz w:val="22"/>
          <w:szCs w:val="22"/>
        </w:rPr>
        <w:t>Trends in Parasitology</w:t>
      </w:r>
      <w:r w:rsidRPr="00A32897">
        <w:rPr>
          <w:rFonts w:ascii="Calibri" w:hAnsi="Calibri" w:cs="Calibri"/>
          <w:sz w:val="22"/>
          <w:szCs w:val="22"/>
        </w:rPr>
        <w:t xml:space="preserve"> 21:11 (2005), 525-529.</w:t>
      </w:r>
    </w:p>
    <w:p w14:paraId="7A314D4E" w14:textId="77777777" w:rsidR="009D715F" w:rsidRPr="00A32897" w:rsidRDefault="009D715F" w:rsidP="00931CC1">
      <w:pPr>
        <w:ind w:left="360"/>
        <w:rPr>
          <w:rFonts w:ascii="Calibri" w:hAnsi="Calibri" w:cs="Calibri"/>
          <w:sz w:val="22"/>
          <w:szCs w:val="22"/>
        </w:rPr>
      </w:pPr>
    </w:p>
    <w:p w14:paraId="456F85E6" w14:textId="506F995A" w:rsidR="00931CC1" w:rsidRDefault="00931CC1" w:rsidP="00931CC1">
      <w:pPr>
        <w:ind w:left="360"/>
        <w:rPr>
          <w:rFonts w:ascii="Calibri" w:hAnsi="Calibri" w:cs="Calibri"/>
          <w:sz w:val="22"/>
          <w:szCs w:val="22"/>
        </w:rPr>
      </w:pPr>
      <w:r w:rsidRPr="00A32897">
        <w:rPr>
          <w:rFonts w:ascii="Calibri" w:hAnsi="Calibri" w:cs="Calibri"/>
          <w:sz w:val="22"/>
          <w:szCs w:val="22"/>
        </w:rPr>
        <w:t xml:space="preserve">Molyneux DH, ‘Patterns of change in vector-borne diseases’, </w:t>
      </w:r>
      <w:r w:rsidRPr="00A32897">
        <w:rPr>
          <w:rFonts w:ascii="Calibri" w:hAnsi="Calibri" w:cs="Calibri"/>
          <w:i/>
          <w:sz w:val="22"/>
          <w:szCs w:val="22"/>
        </w:rPr>
        <w:t xml:space="preserve">Annals of Tropical Medicine and Parasitology </w:t>
      </w:r>
      <w:r w:rsidRPr="00A32897">
        <w:rPr>
          <w:rFonts w:ascii="Calibri" w:hAnsi="Calibri" w:cs="Calibri"/>
          <w:sz w:val="22"/>
          <w:szCs w:val="22"/>
        </w:rPr>
        <w:t>91:7 (1997), 827-839.</w:t>
      </w:r>
    </w:p>
    <w:p w14:paraId="645B00D0" w14:textId="77777777" w:rsidR="009D715F" w:rsidRPr="00A32897" w:rsidRDefault="009D715F" w:rsidP="00931CC1">
      <w:pPr>
        <w:ind w:left="360"/>
        <w:rPr>
          <w:rFonts w:ascii="Calibri" w:hAnsi="Calibri" w:cs="Calibri"/>
          <w:sz w:val="22"/>
          <w:szCs w:val="22"/>
        </w:rPr>
      </w:pPr>
    </w:p>
    <w:p w14:paraId="627099ED" w14:textId="123B13B7" w:rsidR="00931CC1" w:rsidRDefault="00931CC1" w:rsidP="00931CC1">
      <w:pPr>
        <w:ind w:left="360"/>
        <w:rPr>
          <w:rFonts w:ascii="Calibri" w:hAnsi="Calibri" w:cs="Calibri"/>
          <w:sz w:val="22"/>
          <w:szCs w:val="22"/>
        </w:rPr>
      </w:pPr>
      <w:r w:rsidRPr="00A32897">
        <w:rPr>
          <w:rFonts w:ascii="Calibri" w:hAnsi="Calibri" w:cs="Calibri"/>
          <w:sz w:val="22"/>
          <w:szCs w:val="22"/>
        </w:rPr>
        <w:t xml:space="preserve">Molyneux DH, ‘Vector-borne infections in the tropics and health policy issues in the twenty-first century’, </w:t>
      </w:r>
      <w:r w:rsidRPr="00A32897">
        <w:rPr>
          <w:rFonts w:ascii="Calibri" w:hAnsi="Calibri" w:cs="Calibri"/>
          <w:i/>
          <w:sz w:val="22"/>
          <w:szCs w:val="22"/>
        </w:rPr>
        <w:t xml:space="preserve">Transactions of the Royal Society of Tropical Medicine and Hygiene </w:t>
      </w:r>
      <w:r w:rsidRPr="00A32897">
        <w:rPr>
          <w:rFonts w:ascii="Calibri" w:hAnsi="Calibri" w:cs="Calibri"/>
          <w:sz w:val="22"/>
          <w:szCs w:val="22"/>
        </w:rPr>
        <w:t>95:3 (2001), 233-238.</w:t>
      </w:r>
    </w:p>
    <w:p w14:paraId="7F701963" w14:textId="77777777" w:rsidR="009D715F" w:rsidRPr="00A32897" w:rsidRDefault="009D715F" w:rsidP="00931CC1">
      <w:pPr>
        <w:ind w:left="360"/>
        <w:rPr>
          <w:rFonts w:ascii="Calibri" w:hAnsi="Calibri" w:cs="Calibri"/>
          <w:sz w:val="22"/>
          <w:szCs w:val="22"/>
        </w:rPr>
      </w:pPr>
    </w:p>
    <w:p w14:paraId="14CDFCFB" w14:textId="77712AEE" w:rsidR="00931CC1" w:rsidRDefault="00931CC1" w:rsidP="00931CC1">
      <w:pPr>
        <w:ind w:left="360"/>
        <w:rPr>
          <w:rFonts w:ascii="Calibri" w:hAnsi="Calibri" w:cs="Calibri"/>
          <w:sz w:val="22"/>
          <w:szCs w:val="22"/>
        </w:rPr>
      </w:pPr>
      <w:r w:rsidRPr="00A32897">
        <w:rPr>
          <w:rFonts w:ascii="Calibri" w:hAnsi="Calibri" w:cs="Calibri"/>
          <w:sz w:val="22"/>
          <w:szCs w:val="22"/>
        </w:rPr>
        <w:lastRenderedPageBreak/>
        <w:t>Molyneux DH, Hopkins DR</w:t>
      </w:r>
      <w:r w:rsidR="00613059">
        <w:rPr>
          <w:rFonts w:ascii="Calibri" w:hAnsi="Calibri" w:cs="Calibri"/>
          <w:sz w:val="22"/>
          <w:szCs w:val="22"/>
        </w:rPr>
        <w:t xml:space="preserve"> </w:t>
      </w:r>
      <w:r w:rsidRPr="00A32897">
        <w:rPr>
          <w:rFonts w:ascii="Calibri" w:hAnsi="Calibri" w:cs="Calibri"/>
          <w:sz w:val="22"/>
          <w:szCs w:val="22"/>
        </w:rPr>
        <w:t xml:space="preserve">and Zagaria N, ‘Disease eradication, elimination and control: the need for accurate and consistent usage’, </w:t>
      </w:r>
      <w:r w:rsidRPr="00A32897">
        <w:rPr>
          <w:rFonts w:ascii="Calibri" w:hAnsi="Calibri" w:cs="Calibri"/>
          <w:i/>
          <w:sz w:val="22"/>
          <w:szCs w:val="22"/>
        </w:rPr>
        <w:t xml:space="preserve">Trends in Parasitology </w:t>
      </w:r>
      <w:r w:rsidRPr="00A32897">
        <w:rPr>
          <w:rFonts w:ascii="Calibri" w:hAnsi="Calibri" w:cs="Calibri"/>
          <w:sz w:val="22"/>
          <w:szCs w:val="22"/>
        </w:rPr>
        <w:t>20:8 (2004), 347-351.</w:t>
      </w:r>
    </w:p>
    <w:p w14:paraId="1EF89CCF" w14:textId="77777777" w:rsidR="009D715F" w:rsidRPr="00A32897" w:rsidRDefault="009D715F" w:rsidP="00931CC1">
      <w:pPr>
        <w:ind w:left="360"/>
        <w:rPr>
          <w:rFonts w:ascii="Calibri" w:hAnsi="Calibri" w:cs="Calibri"/>
          <w:sz w:val="22"/>
          <w:szCs w:val="22"/>
        </w:rPr>
      </w:pPr>
    </w:p>
    <w:p w14:paraId="3D6EE188" w14:textId="0B61A558" w:rsidR="00931CC1" w:rsidRDefault="00931CC1" w:rsidP="00931CC1">
      <w:pPr>
        <w:ind w:left="360"/>
        <w:rPr>
          <w:rFonts w:ascii="Calibri" w:hAnsi="Calibri" w:cs="Calibri"/>
          <w:sz w:val="22"/>
          <w:szCs w:val="22"/>
        </w:rPr>
      </w:pPr>
      <w:r w:rsidRPr="00A32897">
        <w:rPr>
          <w:rFonts w:ascii="Calibri" w:hAnsi="Calibri" w:cs="Calibri"/>
          <w:sz w:val="22"/>
          <w:szCs w:val="22"/>
        </w:rPr>
        <w:t xml:space="preserve">Monkam NFK, </w:t>
      </w:r>
      <w:r w:rsidRPr="00A32897">
        <w:rPr>
          <w:rFonts w:ascii="Calibri" w:hAnsi="Calibri" w:cs="Calibri"/>
          <w:i/>
          <w:sz w:val="22"/>
          <w:szCs w:val="22"/>
        </w:rPr>
        <w:t xml:space="preserve">The money-moving syndrome and the effectiveness of foreign aid </w:t>
      </w:r>
      <w:r w:rsidRPr="00A32897">
        <w:rPr>
          <w:rFonts w:ascii="Calibri" w:hAnsi="Calibri" w:cs="Calibri"/>
          <w:sz w:val="22"/>
          <w:szCs w:val="22"/>
        </w:rPr>
        <w:t>(unpublished PhD dissertation: Georgia State University, 2008), &lt;https://scholarworks.gsu.edu/econ_diss/52&gt;.</w:t>
      </w:r>
    </w:p>
    <w:p w14:paraId="3C10D844" w14:textId="77777777" w:rsidR="009D715F" w:rsidRPr="00A32897" w:rsidRDefault="009D715F" w:rsidP="00931CC1">
      <w:pPr>
        <w:ind w:left="360"/>
        <w:rPr>
          <w:rFonts w:ascii="Calibri" w:hAnsi="Calibri" w:cs="Calibri"/>
          <w:sz w:val="22"/>
          <w:szCs w:val="22"/>
        </w:rPr>
      </w:pPr>
    </w:p>
    <w:p w14:paraId="61CEE8A9" w14:textId="6F64CFE8" w:rsidR="00931CC1" w:rsidRDefault="00931CC1" w:rsidP="00931CC1">
      <w:pPr>
        <w:ind w:left="360"/>
        <w:rPr>
          <w:rFonts w:ascii="Calibri" w:hAnsi="Calibri" w:cs="Calibri"/>
          <w:sz w:val="22"/>
          <w:szCs w:val="22"/>
        </w:rPr>
      </w:pPr>
      <w:r w:rsidRPr="00A32897">
        <w:rPr>
          <w:rFonts w:ascii="Calibri" w:hAnsi="Calibri" w:cs="Calibri"/>
          <w:sz w:val="22"/>
          <w:szCs w:val="22"/>
        </w:rPr>
        <w:t>Montagna CM, Gauna LE, D’Angelo AP</w:t>
      </w:r>
      <w:r w:rsidR="00613059">
        <w:rPr>
          <w:rFonts w:ascii="Calibri" w:hAnsi="Calibri" w:cs="Calibri"/>
          <w:sz w:val="22"/>
          <w:szCs w:val="22"/>
        </w:rPr>
        <w:t xml:space="preserve"> and</w:t>
      </w:r>
      <w:r w:rsidRPr="00A32897">
        <w:rPr>
          <w:rFonts w:ascii="Calibri" w:hAnsi="Calibri" w:cs="Calibri"/>
          <w:sz w:val="22"/>
          <w:szCs w:val="22"/>
        </w:rPr>
        <w:t xml:space="preserve"> Anguiano OL, ‘Evolution of insecticide resistance in non-target black flies (Diptera: Simuliidae) from Argentina’, </w:t>
      </w:r>
      <w:r w:rsidRPr="00A32897">
        <w:rPr>
          <w:rFonts w:ascii="Calibri" w:hAnsi="Calibri" w:cs="Calibri"/>
          <w:i/>
          <w:sz w:val="22"/>
          <w:szCs w:val="22"/>
        </w:rPr>
        <w:t>Memόrias do Instituto Oswaldo Cruz</w:t>
      </w:r>
      <w:r w:rsidRPr="00A32897">
        <w:rPr>
          <w:rFonts w:ascii="Calibri" w:hAnsi="Calibri" w:cs="Calibri"/>
          <w:sz w:val="22"/>
          <w:szCs w:val="22"/>
        </w:rPr>
        <w:t xml:space="preserve"> 107:4 (2012), 458-465.</w:t>
      </w:r>
    </w:p>
    <w:p w14:paraId="38D68596" w14:textId="77777777" w:rsidR="009D715F" w:rsidRPr="00A32897" w:rsidRDefault="009D715F" w:rsidP="00931CC1">
      <w:pPr>
        <w:ind w:left="360"/>
        <w:rPr>
          <w:rFonts w:ascii="Calibri" w:hAnsi="Calibri" w:cs="Calibri"/>
          <w:sz w:val="22"/>
          <w:szCs w:val="22"/>
        </w:rPr>
      </w:pPr>
    </w:p>
    <w:p w14:paraId="59C07575" w14:textId="18CFAEC6" w:rsidR="00931CC1" w:rsidRDefault="00931CC1" w:rsidP="00931CC1">
      <w:pPr>
        <w:ind w:left="360"/>
        <w:rPr>
          <w:rFonts w:ascii="Calibri" w:hAnsi="Calibri" w:cs="Calibri"/>
          <w:sz w:val="22"/>
          <w:szCs w:val="22"/>
        </w:rPr>
      </w:pPr>
      <w:r w:rsidRPr="00A32897">
        <w:rPr>
          <w:rFonts w:ascii="Calibri" w:hAnsi="Calibri" w:cs="Calibri"/>
          <w:sz w:val="22"/>
          <w:szCs w:val="22"/>
        </w:rPr>
        <w:t xml:space="preserve">Morrison AB, ‘The World Health Organization and “health for all”’, </w:t>
      </w:r>
      <w:r w:rsidRPr="00A32897">
        <w:rPr>
          <w:rFonts w:ascii="Calibri" w:hAnsi="Calibri" w:cs="Calibri"/>
          <w:i/>
          <w:sz w:val="22"/>
          <w:szCs w:val="22"/>
        </w:rPr>
        <w:t xml:space="preserve">Health Affairs </w:t>
      </w:r>
      <w:r w:rsidRPr="00A32897">
        <w:rPr>
          <w:rFonts w:ascii="Calibri" w:hAnsi="Calibri" w:cs="Calibri"/>
          <w:sz w:val="22"/>
          <w:szCs w:val="22"/>
        </w:rPr>
        <w:t>4:1 (1985), 102-113.</w:t>
      </w:r>
    </w:p>
    <w:p w14:paraId="7270AF41" w14:textId="77777777" w:rsidR="009D715F" w:rsidRPr="00A32897" w:rsidRDefault="009D715F" w:rsidP="00931CC1">
      <w:pPr>
        <w:ind w:left="360"/>
        <w:rPr>
          <w:rFonts w:ascii="Calibri" w:hAnsi="Calibri" w:cs="Calibri"/>
          <w:sz w:val="22"/>
          <w:szCs w:val="22"/>
        </w:rPr>
      </w:pPr>
    </w:p>
    <w:p w14:paraId="4766F015" w14:textId="68003BD5" w:rsidR="00931CC1" w:rsidRDefault="00931CC1" w:rsidP="00931CC1">
      <w:pPr>
        <w:ind w:left="360"/>
        <w:rPr>
          <w:rFonts w:ascii="Calibri" w:hAnsi="Calibri" w:cs="Calibri"/>
          <w:sz w:val="22"/>
          <w:szCs w:val="22"/>
        </w:rPr>
      </w:pPr>
      <w:r w:rsidRPr="00A32897">
        <w:rPr>
          <w:rFonts w:ascii="Calibri" w:hAnsi="Calibri" w:cs="Calibri"/>
          <w:sz w:val="22"/>
          <w:szCs w:val="22"/>
        </w:rPr>
        <w:t xml:space="preserve">Morson GS and Schapiro M, </w:t>
      </w:r>
      <w:r w:rsidRPr="00A32897">
        <w:rPr>
          <w:rFonts w:ascii="Calibri" w:hAnsi="Calibri" w:cs="Calibri"/>
          <w:i/>
          <w:sz w:val="22"/>
          <w:szCs w:val="22"/>
        </w:rPr>
        <w:t xml:space="preserve">Cents and sensibility: what economics can learn from the humanities </w:t>
      </w:r>
      <w:r w:rsidRPr="00A32897">
        <w:rPr>
          <w:rFonts w:ascii="Calibri" w:hAnsi="Calibri" w:cs="Calibri"/>
          <w:sz w:val="22"/>
          <w:szCs w:val="22"/>
        </w:rPr>
        <w:t>(Princeton: Princeton University Press, 2017).</w:t>
      </w:r>
    </w:p>
    <w:p w14:paraId="6C0457E2" w14:textId="77777777" w:rsidR="009D715F" w:rsidRPr="00A32897" w:rsidRDefault="009D715F" w:rsidP="00931CC1">
      <w:pPr>
        <w:ind w:left="360"/>
        <w:rPr>
          <w:rFonts w:ascii="Calibri" w:hAnsi="Calibri" w:cs="Calibri"/>
          <w:sz w:val="22"/>
          <w:szCs w:val="22"/>
        </w:rPr>
      </w:pPr>
    </w:p>
    <w:p w14:paraId="531522A8" w14:textId="7DAC5C74" w:rsidR="00931CC1" w:rsidRDefault="00931CC1" w:rsidP="00931CC1">
      <w:pPr>
        <w:ind w:left="360"/>
        <w:rPr>
          <w:rFonts w:ascii="Calibri" w:hAnsi="Calibri" w:cs="Calibri"/>
          <w:sz w:val="22"/>
          <w:szCs w:val="22"/>
        </w:rPr>
      </w:pPr>
      <w:r w:rsidRPr="00A32897">
        <w:rPr>
          <w:rFonts w:ascii="Calibri" w:hAnsi="Calibri" w:cs="Calibri"/>
          <w:sz w:val="22"/>
          <w:szCs w:val="22"/>
        </w:rPr>
        <w:t xml:space="preserve">Msuya J, </w:t>
      </w:r>
      <w:r w:rsidRPr="00A32897">
        <w:rPr>
          <w:rFonts w:ascii="Calibri" w:hAnsi="Calibri" w:cs="Calibri"/>
          <w:i/>
          <w:sz w:val="22"/>
          <w:szCs w:val="22"/>
        </w:rPr>
        <w:t xml:space="preserve">Horizontal and vertical delivery of health services: what are the tradeoffs </w:t>
      </w:r>
      <w:r w:rsidRPr="00A32897">
        <w:rPr>
          <w:rFonts w:ascii="Calibri" w:hAnsi="Calibri" w:cs="Calibri"/>
          <w:sz w:val="22"/>
          <w:szCs w:val="22"/>
        </w:rPr>
        <w:t xml:space="preserve">(Washington DC: World Bank, 2003). </w:t>
      </w:r>
    </w:p>
    <w:p w14:paraId="5863C8F2" w14:textId="77777777" w:rsidR="009D715F" w:rsidRPr="00A32897" w:rsidRDefault="009D715F" w:rsidP="00931CC1">
      <w:pPr>
        <w:ind w:left="360"/>
        <w:rPr>
          <w:rFonts w:ascii="Calibri" w:hAnsi="Calibri" w:cs="Calibri"/>
          <w:sz w:val="22"/>
          <w:szCs w:val="22"/>
        </w:rPr>
      </w:pPr>
    </w:p>
    <w:p w14:paraId="6CDF5661" w14:textId="0720E108" w:rsidR="00931CC1" w:rsidRDefault="00931CC1" w:rsidP="00931CC1">
      <w:pPr>
        <w:ind w:left="360"/>
        <w:rPr>
          <w:rFonts w:ascii="Calibri" w:hAnsi="Calibri" w:cs="Calibri"/>
          <w:sz w:val="22"/>
          <w:szCs w:val="22"/>
        </w:rPr>
      </w:pPr>
      <w:r w:rsidRPr="00A32897">
        <w:rPr>
          <w:rFonts w:ascii="Calibri" w:hAnsi="Calibri" w:cs="Calibri"/>
          <w:sz w:val="22"/>
          <w:szCs w:val="22"/>
        </w:rPr>
        <w:t xml:space="preserve">Musgrove P and Hotez PJ, ‘Turning neglected tropical diseases into forgotten maladies’, </w:t>
      </w:r>
      <w:r w:rsidRPr="00A32897">
        <w:rPr>
          <w:rFonts w:ascii="Calibri" w:hAnsi="Calibri" w:cs="Calibri"/>
          <w:i/>
          <w:sz w:val="22"/>
          <w:szCs w:val="22"/>
        </w:rPr>
        <w:t xml:space="preserve">Health Affairs </w:t>
      </w:r>
      <w:r w:rsidRPr="00A32897">
        <w:rPr>
          <w:rFonts w:ascii="Calibri" w:hAnsi="Calibri" w:cs="Calibri"/>
          <w:sz w:val="22"/>
          <w:szCs w:val="22"/>
        </w:rPr>
        <w:t>28:6 (2009), 1691-1706.</w:t>
      </w:r>
    </w:p>
    <w:p w14:paraId="13659FB7" w14:textId="77777777" w:rsidR="009D715F" w:rsidRPr="00A32897" w:rsidRDefault="009D715F" w:rsidP="00931CC1">
      <w:pPr>
        <w:ind w:left="360"/>
        <w:rPr>
          <w:rFonts w:ascii="Calibri" w:hAnsi="Calibri" w:cs="Calibri"/>
          <w:sz w:val="22"/>
          <w:szCs w:val="22"/>
        </w:rPr>
      </w:pPr>
    </w:p>
    <w:p w14:paraId="4F01AECA" w14:textId="3CACDE9C" w:rsidR="00931CC1" w:rsidRDefault="00931CC1" w:rsidP="00931CC1">
      <w:pPr>
        <w:ind w:left="360"/>
        <w:rPr>
          <w:rFonts w:ascii="Calibri" w:hAnsi="Calibri" w:cs="Calibri"/>
          <w:sz w:val="22"/>
          <w:szCs w:val="22"/>
        </w:rPr>
      </w:pPr>
      <w:r w:rsidRPr="00A32897">
        <w:rPr>
          <w:rFonts w:ascii="Calibri" w:hAnsi="Calibri" w:cs="Calibri"/>
          <w:sz w:val="22"/>
          <w:szCs w:val="22"/>
        </w:rPr>
        <w:t xml:space="preserve">Nakajima A, ‘Epidemiology of visual impairment and blindness’, </w:t>
      </w:r>
      <w:r w:rsidRPr="00A32897">
        <w:rPr>
          <w:rFonts w:ascii="Calibri" w:hAnsi="Calibri" w:cs="Calibri"/>
          <w:i/>
          <w:sz w:val="22"/>
          <w:szCs w:val="22"/>
        </w:rPr>
        <w:t xml:space="preserve">Current Opinion in Ophthalmology </w:t>
      </w:r>
      <w:r w:rsidRPr="00A32897">
        <w:rPr>
          <w:rFonts w:ascii="Calibri" w:hAnsi="Calibri" w:cs="Calibri"/>
          <w:sz w:val="22"/>
          <w:szCs w:val="22"/>
        </w:rPr>
        <w:t>2:6 (1991), 733-738.</w:t>
      </w:r>
    </w:p>
    <w:p w14:paraId="4EE4EA2D" w14:textId="77777777" w:rsidR="009D715F" w:rsidRPr="00A32897" w:rsidRDefault="009D715F" w:rsidP="00931CC1">
      <w:pPr>
        <w:ind w:left="360"/>
        <w:rPr>
          <w:rFonts w:ascii="Calibri" w:hAnsi="Calibri" w:cs="Calibri"/>
          <w:sz w:val="22"/>
          <w:szCs w:val="22"/>
        </w:rPr>
      </w:pPr>
    </w:p>
    <w:p w14:paraId="0E9B566D" w14:textId="14C588F5" w:rsidR="00931CC1" w:rsidRDefault="00931CC1" w:rsidP="00931CC1">
      <w:pPr>
        <w:ind w:left="360"/>
        <w:rPr>
          <w:rFonts w:ascii="Calibri" w:hAnsi="Calibri" w:cs="Calibri"/>
          <w:sz w:val="22"/>
          <w:szCs w:val="22"/>
        </w:rPr>
      </w:pPr>
      <w:r w:rsidRPr="00A32897">
        <w:rPr>
          <w:rFonts w:ascii="Calibri" w:hAnsi="Calibri" w:cs="Calibri"/>
          <w:sz w:val="22"/>
          <w:szCs w:val="22"/>
        </w:rPr>
        <w:t xml:space="preserve">Nana-Djeunga H, Bourguinat C, Pion SD, Kamgno J, Gardon J, Njiokou F, Boussinesq M and Prichard RK, ‘Single nucleotide polymprphisms in b-tubulin selected in Onchocerca volvulus following repeated ivermectin treatment: possible indication of resistance selection’, </w:t>
      </w:r>
      <w:r w:rsidRPr="00A32897">
        <w:rPr>
          <w:rFonts w:ascii="Calibri" w:hAnsi="Calibri" w:cs="Calibri"/>
          <w:i/>
          <w:sz w:val="22"/>
          <w:szCs w:val="22"/>
        </w:rPr>
        <w:t xml:space="preserve">Molecular and Biochemical Parasitology </w:t>
      </w:r>
      <w:r w:rsidRPr="00A32897">
        <w:rPr>
          <w:rFonts w:ascii="Calibri" w:hAnsi="Calibri" w:cs="Calibri"/>
          <w:sz w:val="22"/>
          <w:szCs w:val="22"/>
        </w:rPr>
        <w:t>185:1 (2012), 10-18.</w:t>
      </w:r>
    </w:p>
    <w:p w14:paraId="6381E69F" w14:textId="77777777" w:rsidR="009D715F" w:rsidRPr="00A32897" w:rsidRDefault="009D715F" w:rsidP="00931CC1">
      <w:pPr>
        <w:ind w:left="360"/>
        <w:rPr>
          <w:rFonts w:ascii="Calibri" w:hAnsi="Calibri" w:cs="Calibri"/>
          <w:sz w:val="22"/>
          <w:szCs w:val="22"/>
        </w:rPr>
      </w:pPr>
    </w:p>
    <w:p w14:paraId="784F3B4E" w14:textId="09796052" w:rsidR="00931CC1" w:rsidRDefault="00931CC1" w:rsidP="00931CC1">
      <w:pPr>
        <w:ind w:left="360"/>
        <w:rPr>
          <w:rFonts w:ascii="Calibri" w:hAnsi="Calibri" w:cs="Calibri"/>
          <w:sz w:val="22"/>
          <w:szCs w:val="22"/>
        </w:rPr>
      </w:pPr>
      <w:r w:rsidRPr="00A32897">
        <w:rPr>
          <w:rFonts w:ascii="Calibri" w:hAnsi="Calibri" w:cs="Calibri"/>
          <w:sz w:val="22"/>
          <w:szCs w:val="22"/>
        </w:rPr>
        <w:t xml:space="preserve">Nelson BD, </w:t>
      </w:r>
      <w:r w:rsidRPr="00A32897">
        <w:rPr>
          <w:rFonts w:ascii="Calibri" w:hAnsi="Calibri" w:cs="Calibri"/>
          <w:i/>
          <w:sz w:val="22"/>
          <w:szCs w:val="22"/>
        </w:rPr>
        <w:t xml:space="preserve">Essential clinical global health </w:t>
      </w:r>
      <w:r w:rsidRPr="00A32897">
        <w:rPr>
          <w:rFonts w:ascii="Calibri" w:hAnsi="Calibri" w:cs="Calibri"/>
          <w:sz w:val="22"/>
          <w:szCs w:val="22"/>
        </w:rPr>
        <w:t>(New Jersey: Wiley, 2014).</w:t>
      </w:r>
    </w:p>
    <w:p w14:paraId="1070D540" w14:textId="77777777" w:rsidR="009D715F" w:rsidRPr="00A32897" w:rsidRDefault="009D715F" w:rsidP="00931CC1">
      <w:pPr>
        <w:ind w:left="360"/>
        <w:rPr>
          <w:rFonts w:ascii="Calibri" w:hAnsi="Calibri" w:cs="Calibri"/>
          <w:sz w:val="22"/>
          <w:szCs w:val="22"/>
        </w:rPr>
      </w:pPr>
    </w:p>
    <w:p w14:paraId="12A329E2" w14:textId="53B1B936" w:rsidR="00931CC1" w:rsidRDefault="00931CC1" w:rsidP="00931CC1">
      <w:pPr>
        <w:ind w:left="360"/>
        <w:rPr>
          <w:rFonts w:ascii="Calibri" w:hAnsi="Calibri" w:cs="Calibri"/>
          <w:sz w:val="22"/>
          <w:szCs w:val="22"/>
        </w:rPr>
      </w:pPr>
      <w:r w:rsidRPr="00A32897">
        <w:rPr>
          <w:rFonts w:ascii="Calibri" w:hAnsi="Calibri" w:cs="Calibri"/>
          <w:sz w:val="22"/>
          <w:szCs w:val="22"/>
        </w:rPr>
        <w:t xml:space="preserve">Norgbey SW, ‘Control of onchocerciasis (river blindness) in West Africa: ecology, risk, and resettlement’, </w:t>
      </w:r>
      <w:r w:rsidRPr="00A32897">
        <w:rPr>
          <w:rFonts w:ascii="Calibri" w:hAnsi="Calibri" w:cs="Calibri"/>
          <w:i/>
          <w:sz w:val="22"/>
          <w:szCs w:val="22"/>
        </w:rPr>
        <w:t xml:space="preserve">Journal of Environment &amp; Development </w:t>
      </w:r>
      <w:r w:rsidRPr="00A32897">
        <w:rPr>
          <w:rFonts w:ascii="Calibri" w:hAnsi="Calibri" w:cs="Calibri"/>
          <w:sz w:val="22"/>
          <w:szCs w:val="22"/>
        </w:rPr>
        <w:t>6:1 (1997), 6-24.</w:t>
      </w:r>
    </w:p>
    <w:p w14:paraId="641B38F6" w14:textId="77777777" w:rsidR="009D715F" w:rsidRPr="00A32897" w:rsidRDefault="009D715F" w:rsidP="00931CC1">
      <w:pPr>
        <w:ind w:left="360"/>
        <w:rPr>
          <w:rFonts w:ascii="Calibri" w:hAnsi="Calibri" w:cs="Calibri"/>
          <w:sz w:val="22"/>
          <w:szCs w:val="22"/>
        </w:rPr>
      </w:pPr>
    </w:p>
    <w:p w14:paraId="188A7109" w14:textId="4B88F4C1" w:rsidR="00931CC1" w:rsidRDefault="00931CC1" w:rsidP="00931CC1">
      <w:pPr>
        <w:ind w:left="360"/>
        <w:rPr>
          <w:rFonts w:ascii="Calibri" w:hAnsi="Calibri" w:cs="Calibri"/>
          <w:sz w:val="22"/>
          <w:szCs w:val="22"/>
        </w:rPr>
      </w:pPr>
      <w:r w:rsidRPr="00A32897">
        <w:rPr>
          <w:rFonts w:ascii="Calibri" w:hAnsi="Calibri" w:cs="Calibri"/>
          <w:sz w:val="22"/>
          <w:szCs w:val="22"/>
        </w:rPr>
        <w:t xml:space="preserve">Norris J, Adelman C, Spantchak Y and Marano K, </w:t>
      </w:r>
      <w:r w:rsidRPr="00A32897">
        <w:rPr>
          <w:rFonts w:ascii="Calibri" w:hAnsi="Calibri" w:cs="Calibri"/>
          <w:i/>
          <w:sz w:val="22"/>
          <w:szCs w:val="22"/>
        </w:rPr>
        <w:t xml:space="preserve">Social and economic impact review on neglected tropical diseases </w:t>
      </w:r>
      <w:r w:rsidRPr="00A32897">
        <w:rPr>
          <w:rFonts w:ascii="Calibri" w:hAnsi="Calibri" w:cs="Calibri"/>
          <w:sz w:val="22"/>
          <w:szCs w:val="22"/>
        </w:rPr>
        <w:t>(Washington DC: Hudson Institute, 2012).</w:t>
      </w:r>
    </w:p>
    <w:p w14:paraId="5AC54ABB" w14:textId="77777777" w:rsidR="009D715F" w:rsidRPr="00A32897" w:rsidRDefault="009D715F" w:rsidP="00931CC1">
      <w:pPr>
        <w:ind w:left="360"/>
        <w:rPr>
          <w:rFonts w:ascii="Calibri" w:hAnsi="Calibri" w:cs="Calibri"/>
          <w:sz w:val="22"/>
          <w:szCs w:val="22"/>
        </w:rPr>
      </w:pPr>
    </w:p>
    <w:p w14:paraId="121F2703" w14:textId="5DD0C5F8" w:rsidR="00931CC1" w:rsidRDefault="00931CC1" w:rsidP="00931CC1">
      <w:pPr>
        <w:ind w:left="360"/>
        <w:rPr>
          <w:rFonts w:ascii="Calibri" w:hAnsi="Calibri" w:cs="Calibri"/>
          <w:sz w:val="22"/>
          <w:szCs w:val="22"/>
        </w:rPr>
      </w:pPr>
      <w:r w:rsidRPr="00A32897">
        <w:rPr>
          <w:rFonts w:ascii="Calibri" w:hAnsi="Calibri" w:cs="Calibri"/>
          <w:sz w:val="22"/>
          <w:szCs w:val="22"/>
        </w:rPr>
        <w:t xml:space="preserve">Nossal GJ, ‘Gates, GAVI, the glorious global funds and more: all you ever wanted to know’, </w:t>
      </w:r>
      <w:r w:rsidRPr="00A32897">
        <w:rPr>
          <w:rFonts w:ascii="Calibri" w:hAnsi="Calibri" w:cs="Calibri"/>
          <w:i/>
          <w:sz w:val="22"/>
          <w:szCs w:val="22"/>
        </w:rPr>
        <w:t xml:space="preserve">Immunology and Cell Biology </w:t>
      </w:r>
      <w:r w:rsidRPr="00A32897">
        <w:rPr>
          <w:rFonts w:ascii="Calibri" w:hAnsi="Calibri" w:cs="Calibri"/>
          <w:sz w:val="22"/>
          <w:szCs w:val="22"/>
        </w:rPr>
        <w:t>81:1 (2003), 20.</w:t>
      </w:r>
    </w:p>
    <w:p w14:paraId="2D47935C" w14:textId="77777777" w:rsidR="009D715F" w:rsidRPr="00A32897" w:rsidRDefault="009D715F" w:rsidP="00931CC1">
      <w:pPr>
        <w:ind w:left="360"/>
        <w:rPr>
          <w:rFonts w:ascii="Calibri" w:hAnsi="Calibri" w:cs="Calibri"/>
          <w:sz w:val="22"/>
          <w:szCs w:val="22"/>
        </w:rPr>
      </w:pPr>
    </w:p>
    <w:p w14:paraId="50284F2B" w14:textId="60227989" w:rsidR="00931CC1" w:rsidRDefault="00931CC1" w:rsidP="00931CC1">
      <w:pPr>
        <w:ind w:left="360"/>
        <w:rPr>
          <w:rFonts w:ascii="Calibri" w:hAnsi="Calibri" w:cs="Calibri"/>
          <w:sz w:val="22"/>
          <w:szCs w:val="22"/>
        </w:rPr>
      </w:pPr>
      <w:r w:rsidRPr="00A32897">
        <w:rPr>
          <w:rFonts w:ascii="Calibri" w:hAnsi="Calibri" w:cs="Calibri"/>
          <w:sz w:val="22"/>
          <w:szCs w:val="22"/>
        </w:rPr>
        <w:t xml:space="preserve">Oladepo O, Adeniyi JD, Brieger WR, Ayeni O and Kale OO, ‘Onchocerciasis: the potential of patient education in the control of a tropical disease’, </w:t>
      </w:r>
      <w:r w:rsidRPr="00A32897">
        <w:rPr>
          <w:rFonts w:ascii="Calibri" w:hAnsi="Calibri" w:cs="Calibri"/>
          <w:i/>
          <w:sz w:val="22"/>
          <w:szCs w:val="22"/>
        </w:rPr>
        <w:t xml:space="preserve">Patient Education and Counseling </w:t>
      </w:r>
      <w:r w:rsidRPr="00A32897">
        <w:rPr>
          <w:rFonts w:ascii="Calibri" w:hAnsi="Calibri" w:cs="Calibri"/>
          <w:sz w:val="22"/>
          <w:szCs w:val="22"/>
        </w:rPr>
        <w:t>13:2 (1989), 103-116.</w:t>
      </w:r>
    </w:p>
    <w:p w14:paraId="79873FD2" w14:textId="77777777" w:rsidR="009D715F" w:rsidRPr="00A32897" w:rsidRDefault="009D715F" w:rsidP="00931CC1">
      <w:pPr>
        <w:ind w:left="360"/>
        <w:rPr>
          <w:rFonts w:ascii="Calibri" w:hAnsi="Calibri" w:cs="Calibri"/>
          <w:sz w:val="22"/>
          <w:szCs w:val="22"/>
        </w:rPr>
      </w:pPr>
    </w:p>
    <w:p w14:paraId="3571FD7D" w14:textId="696A4012" w:rsidR="00931CC1" w:rsidRDefault="00931CC1" w:rsidP="00931CC1">
      <w:pPr>
        <w:ind w:left="360"/>
        <w:rPr>
          <w:rFonts w:ascii="Calibri" w:hAnsi="Calibri" w:cs="Calibri"/>
          <w:sz w:val="22"/>
          <w:szCs w:val="22"/>
        </w:rPr>
      </w:pPr>
      <w:r w:rsidRPr="00A32897">
        <w:rPr>
          <w:rFonts w:ascii="Calibri" w:hAnsi="Calibri" w:cs="Calibri"/>
          <w:sz w:val="22"/>
          <w:szCs w:val="22"/>
        </w:rPr>
        <w:t xml:space="preserve">Peters DH and Phillips T, ‘Mectizan Donation Program: evaluation of a public-private partnership’, </w:t>
      </w:r>
      <w:r w:rsidRPr="00A32897">
        <w:rPr>
          <w:rFonts w:ascii="Calibri" w:hAnsi="Calibri" w:cs="Calibri"/>
          <w:i/>
          <w:sz w:val="22"/>
          <w:szCs w:val="22"/>
        </w:rPr>
        <w:t xml:space="preserve">Tropical Medicine and International Health </w:t>
      </w:r>
      <w:r w:rsidRPr="00A32897">
        <w:rPr>
          <w:rFonts w:ascii="Calibri" w:hAnsi="Calibri" w:cs="Calibri"/>
          <w:sz w:val="22"/>
          <w:szCs w:val="22"/>
        </w:rPr>
        <w:t>9:4 (2004), A4-A15.</w:t>
      </w:r>
    </w:p>
    <w:p w14:paraId="2C28E3D5" w14:textId="77777777" w:rsidR="000512A1" w:rsidRPr="00A32897" w:rsidRDefault="000512A1" w:rsidP="00931CC1">
      <w:pPr>
        <w:ind w:left="360"/>
        <w:rPr>
          <w:rFonts w:ascii="Calibri" w:hAnsi="Calibri" w:cs="Calibri"/>
          <w:sz w:val="22"/>
          <w:szCs w:val="22"/>
        </w:rPr>
      </w:pPr>
    </w:p>
    <w:p w14:paraId="71166838" w14:textId="37B92E6F" w:rsidR="00931CC1" w:rsidRDefault="00931CC1" w:rsidP="00931CC1">
      <w:pPr>
        <w:ind w:left="360"/>
        <w:rPr>
          <w:rFonts w:ascii="Calibri" w:hAnsi="Calibri" w:cs="Calibri"/>
          <w:sz w:val="22"/>
          <w:szCs w:val="22"/>
        </w:rPr>
      </w:pPr>
      <w:r w:rsidRPr="00A32897">
        <w:rPr>
          <w:rFonts w:ascii="Calibri" w:hAnsi="Calibri" w:cs="Calibri"/>
          <w:sz w:val="22"/>
          <w:szCs w:val="22"/>
        </w:rPr>
        <w:t>Plaisier AP, ‘Modelling onchocerciasis transmission and control’ (unpublished PhD dissertation: University Medical Center Rotterdam, 1996).</w:t>
      </w:r>
    </w:p>
    <w:p w14:paraId="563719CF" w14:textId="77777777" w:rsidR="000512A1" w:rsidRPr="00A32897" w:rsidRDefault="000512A1" w:rsidP="00931CC1">
      <w:pPr>
        <w:ind w:left="360"/>
        <w:rPr>
          <w:rFonts w:ascii="Calibri" w:hAnsi="Calibri" w:cs="Calibri"/>
          <w:sz w:val="22"/>
          <w:szCs w:val="22"/>
        </w:rPr>
      </w:pPr>
    </w:p>
    <w:p w14:paraId="03A914F3" w14:textId="4D2DA92D" w:rsidR="00931CC1" w:rsidRDefault="00931CC1" w:rsidP="00931CC1">
      <w:pPr>
        <w:ind w:left="360"/>
        <w:rPr>
          <w:rFonts w:ascii="Calibri" w:hAnsi="Calibri" w:cs="Calibri"/>
          <w:sz w:val="22"/>
          <w:szCs w:val="22"/>
        </w:rPr>
      </w:pPr>
      <w:r w:rsidRPr="00A32897">
        <w:rPr>
          <w:rFonts w:ascii="Calibri" w:hAnsi="Calibri" w:cs="Calibri"/>
          <w:sz w:val="22"/>
          <w:szCs w:val="22"/>
        </w:rPr>
        <w:lastRenderedPageBreak/>
        <w:t xml:space="preserve">Preker AS and Feachem RG, ‘The role of the World Bank in facilitating health sector reform’, in </w:t>
      </w:r>
      <w:r w:rsidR="008A45BD" w:rsidRPr="00A32897">
        <w:rPr>
          <w:rFonts w:ascii="Calibri" w:hAnsi="Calibri" w:cs="Calibri"/>
          <w:sz w:val="22"/>
          <w:szCs w:val="22"/>
        </w:rPr>
        <w:t xml:space="preserve">Z Feachem, M Hensher, and L Rose </w:t>
      </w:r>
      <w:r w:rsidR="008A45BD">
        <w:rPr>
          <w:rFonts w:ascii="Calibri" w:hAnsi="Calibri" w:cs="Calibri"/>
          <w:sz w:val="22"/>
          <w:szCs w:val="22"/>
        </w:rPr>
        <w:t xml:space="preserve">(Eds.), </w:t>
      </w:r>
      <w:r w:rsidRPr="00A32897">
        <w:rPr>
          <w:rFonts w:ascii="Calibri" w:hAnsi="Calibri" w:cs="Calibri"/>
          <w:i/>
          <w:sz w:val="22"/>
          <w:szCs w:val="22"/>
        </w:rPr>
        <w:t>Implementing health sector reform in Central Asia: papers from an EDI health policy seminar held in Ashgabat, Turkmenistan, June 1996</w:t>
      </w:r>
      <w:r w:rsidR="008A45BD">
        <w:rPr>
          <w:rFonts w:ascii="Calibri" w:hAnsi="Calibri" w:cs="Calibri"/>
          <w:i/>
          <w:sz w:val="22"/>
          <w:szCs w:val="22"/>
        </w:rPr>
        <w:t xml:space="preserve"> </w:t>
      </w:r>
      <w:r w:rsidRPr="00A32897">
        <w:rPr>
          <w:rFonts w:ascii="Calibri" w:hAnsi="Calibri" w:cs="Calibri"/>
          <w:sz w:val="22"/>
          <w:szCs w:val="22"/>
        </w:rPr>
        <w:t>(Washington DC: World Bank, 1999), 143-147.</w:t>
      </w:r>
    </w:p>
    <w:p w14:paraId="18A1BE11" w14:textId="77777777" w:rsidR="000512A1" w:rsidRPr="00A32897" w:rsidRDefault="000512A1" w:rsidP="002C3B2C">
      <w:pPr>
        <w:rPr>
          <w:rFonts w:ascii="Calibri" w:hAnsi="Calibri" w:cs="Calibri"/>
          <w:sz w:val="22"/>
          <w:szCs w:val="22"/>
        </w:rPr>
      </w:pPr>
    </w:p>
    <w:p w14:paraId="635B973C" w14:textId="10054D4C" w:rsidR="00931CC1" w:rsidRDefault="00931CC1" w:rsidP="00931CC1">
      <w:pPr>
        <w:ind w:left="360"/>
        <w:rPr>
          <w:rFonts w:ascii="Calibri" w:hAnsi="Calibri" w:cs="Calibri"/>
          <w:sz w:val="22"/>
          <w:szCs w:val="22"/>
        </w:rPr>
      </w:pPr>
      <w:r w:rsidRPr="00A32897">
        <w:rPr>
          <w:rFonts w:ascii="Calibri" w:hAnsi="Calibri" w:cs="Calibri"/>
          <w:sz w:val="22"/>
          <w:szCs w:val="22"/>
        </w:rPr>
        <w:t xml:space="preserve">Ramirez-Lepe M and Ramirez-Suero M, ‘Biological control of mosquito larvae by Bacillus thuringiensis subsp. israelensis’, in </w:t>
      </w:r>
      <w:r w:rsidRPr="00A32897">
        <w:rPr>
          <w:rFonts w:ascii="Calibri" w:hAnsi="Calibri" w:cs="Calibri"/>
          <w:i/>
          <w:sz w:val="22"/>
          <w:szCs w:val="22"/>
        </w:rPr>
        <w:t xml:space="preserve">Insecticides-Pest Engineering, </w:t>
      </w:r>
      <w:r w:rsidRPr="00A32897">
        <w:rPr>
          <w:rFonts w:ascii="Calibri" w:hAnsi="Calibri" w:cs="Calibri"/>
          <w:sz w:val="22"/>
          <w:szCs w:val="22"/>
        </w:rPr>
        <w:t>Ed. FK Perveen</w:t>
      </w:r>
      <w:r w:rsidRPr="00A32897">
        <w:rPr>
          <w:rFonts w:ascii="Calibri" w:hAnsi="Calibri" w:cs="Calibri"/>
          <w:i/>
          <w:sz w:val="22"/>
          <w:szCs w:val="22"/>
        </w:rPr>
        <w:t xml:space="preserve"> </w:t>
      </w:r>
      <w:r w:rsidRPr="00A32897">
        <w:rPr>
          <w:rFonts w:ascii="Calibri" w:hAnsi="Calibri" w:cs="Calibri"/>
          <w:sz w:val="22"/>
          <w:szCs w:val="22"/>
        </w:rPr>
        <w:t>(London: IntechOpen, 2012).</w:t>
      </w:r>
    </w:p>
    <w:p w14:paraId="36731C26" w14:textId="77777777" w:rsidR="000512A1" w:rsidRPr="00A32897" w:rsidRDefault="000512A1" w:rsidP="00931CC1">
      <w:pPr>
        <w:ind w:left="360"/>
        <w:rPr>
          <w:rFonts w:ascii="Calibri" w:hAnsi="Calibri" w:cs="Calibri"/>
          <w:sz w:val="22"/>
          <w:szCs w:val="22"/>
        </w:rPr>
      </w:pPr>
    </w:p>
    <w:p w14:paraId="4BC5CA76" w14:textId="790BB8D7" w:rsidR="00931CC1" w:rsidRPr="00613059" w:rsidRDefault="00931CC1" w:rsidP="00931CC1">
      <w:pPr>
        <w:ind w:left="360"/>
        <w:rPr>
          <w:rFonts w:ascii="Calibri" w:hAnsi="Calibri" w:cs="Calibri"/>
          <w:color w:val="000000" w:themeColor="text1"/>
          <w:sz w:val="22"/>
          <w:szCs w:val="22"/>
        </w:rPr>
      </w:pPr>
      <w:r w:rsidRPr="00A32897">
        <w:rPr>
          <w:rFonts w:ascii="Calibri" w:hAnsi="Calibri" w:cs="Calibri"/>
          <w:sz w:val="22"/>
          <w:szCs w:val="22"/>
        </w:rPr>
        <w:t xml:space="preserve">Remme JHF, ‘Research for control: the onchocerciasis experience’, </w:t>
      </w:r>
      <w:r w:rsidRPr="00A32897">
        <w:rPr>
          <w:rFonts w:ascii="Calibri" w:hAnsi="Calibri" w:cs="Calibri"/>
          <w:i/>
          <w:sz w:val="22"/>
          <w:szCs w:val="22"/>
        </w:rPr>
        <w:t xml:space="preserve">Tropical Medicine and International </w:t>
      </w:r>
      <w:r w:rsidRPr="00613059">
        <w:rPr>
          <w:rFonts w:ascii="Calibri" w:hAnsi="Calibri" w:cs="Calibri"/>
          <w:i/>
          <w:color w:val="000000" w:themeColor="text1"/>
          <w:sz w:val="22"/>
          <w:szCs w:val="22"/>
        </w:rPr>
        <w:t xml:space="preserve">Health </w:t>
      </w:r>
      <w:r w:rsidRPr="00613059">
        <w:rPr>
          <w:rFonts w:ascii="Calibri" w:hAnsi="Calibri" w:cs="Calibri"/>
          <w:color w:val="000000" w:themeColor="text1"/>
          <w:sz w:val="22"/>
          <w:szCs w:val="22"/>
        </w:rPr>
        <w:t>9:2 (2004), 243-254.</w:t>
      </w:r>
    </w:p>
    <w:p w14:paraId="51BF048B" w14:textId="77777777" w:rsidR="000512A1" w:rsidRPr="00613059" w:rsidRDefault="000512A1" w:rsidP="00931CC1">
      <w:pPr>
        <w:ind w:left="360"/>
        <w:rPr>
          <w:rFonts w:ascii="Calibri" w:hAnsi="Calibri" w:cs="Calibri"/>
          <w:color w:val="000000" w:themeColor="text1"/>
          <w:sz w:val="22"/>
          <w:szCs w:val="22"/>
        </w:rPr>
      </w:pPr>
    </w:p>
    <w:p w14:paraId="7DF4FFC2" w14:textId="259D6C6A" w:rsidR="00931CC1" w:rsidRPr="00613059" w:rsidRDefault="00931CC1" w:rsidP="00931CC1">
      <w:pPr>
        <w:ind w:left="360"/>
        <w:rPr>
          <w:rFonts w:ascii="Calibri" w:hAnsi="Calibri" w:cs="Calibri"/>
          <w:color w:val="000000" w:themeColor="text1"/>
          <w:sz w:val="22"/>
          <w:szCs w:val="22"/>
          <w:shd w:val="clear" w:color="auto" w:fill="FFFFFF"/>
        </w:rPr>
      </w:pPr>
      <w:r w:rsidRPr="00613059">
        <w:rPr>
          <w:rFonts w:ascii="Calibri" w:hAnsi="Calibri" w:cs="Calibri"/>
          <w:color w:val="000000" w:themeColor="text1"/>
          <w:sz w:val="22"/>
          <w:szCs w:val="22"/>
          <w:shd w:val="clear" w:color="auto" w:fill="FFFFFF"/>
        </w:rPr>
        <w:t>Resh VH, Lévêque C and Statzner B, ‘Long-term, large-scale biomonitoring of the unknown: assessing the effects of insecticides to control river blindness (onchocerciasis) in West Africa’ </w:t>
      </w:r>
      <w:r w:rsidRPr="00613059">
        <w:rPr>
          <w:rFonts w:ascii="Calibri" w:hAnsi="Calibri" w:cs="Calibri"/>
          <w:i/>
          <w:iCs/>
          <w:color w:val="000000" w:themeColor="text1"/>
          <w:sz w:val="22"/>
          <w:szCs w:val="22"/>
          <w:shd w:val="clear" w:color="auto" w:fill="FFFFFF"/>
        </w:rPr>
        <w:t>Annual Reviews in Entomology</w:t>
      </w:r>
      <w:r w:rsidRPr="00613059">
        <w:rPr>
          <w:rFonts w:ascii="Calibri" w:hAnsi="Calibri" w:cs="Calibri"/>
          <w:color w:val="000000" w:themeColor="text1"/>
          <w:sz w:val="22"/>
          <w:szCs w:val="22"/>
          <w:shd w:val="clear" w:color="auto" w:fill="FFFFFF"/>
        </w:rPr>
        <w:t>, </w:t>
      </w:r>
      <w:r w:rsidRPr="00613059">
        <w:rPr>
          <w:rFonts w:ascii="Calibri" w:hAnsi="Calibri" w:cs="Calibri"/>
          <w:iCs/>
          <w:color w:val="000000" w:themeColor="text1"/>
          <w:sz w:val="22"/>
          <w:szCs w:val="22"/>
          <w:shd w:val="clear" w:color="auto" w:fill="FFFFFF"/>
        </w:rPr>
        <w:t xml:space="preserve">49:1 (2004), </w:t>
      </w:r>
      <w:r w:rsidRPr="00613059">
        <w:rPr>
          <w:rFonts w:ascii="Calibri" w:hAnsi="Calibri" w:cs="Calibri"/>
          <w:color w:val="000000" w:themeColor="text1"/>
          <w:sz w:val="22"/>
          <w:szCs w:val="22"/>
          <w:shd w:val="clear" w:color="auto" w:fill="FFFFFF"/>
        </w:rPr>
        <w:t>115-139.</w:t>
      </w:r>
    </w:p>
    <w:p w14:paraId="28AA7CCF" w14:textId="77777777" w:rsidR="000512A1" w:rsidRPr="00613059" w:rsidRDefault="000512A1" w:rsidP="00931CC1">
      <w:pPr>
        <w:ind w:left="360"/>
        <w:rPr>
          <w:rFonts w:ascii="Calibri" w:hAnsi="Calibri" w:cs="Calibri"/>
          <w:color w:val="000000" w:themeColor="text1"/>
          <w:sz w:val="22"/>
          <w:szCs w:val="22"/>
        </w:rPr>
      </w:pPr>
    </w:p>
    <w:p w14:paraId="3B04AF16" w14:textId="2F82E917" w:rsidR="00931CC1" w:rsidRPr="00613059" w:rsidRDefault="00931CC1" w:rsidP="00931CC1">
      <w:pPr>
        <w:ind w:left="360"/>
        <w:rPr>
          <w:rFonts w:ascii="Calibri" w:hAnsi="Calibri" w:cs="Calibri"/>
          <w:color w:val="000000" w:themeColor="text1"/>
          <w:sz w:val="22"/>
          <w:szCs w:val="22"/>
          <w:shd w:val="clear" w:color="auto" w:fill="FFFFFF"/>
        </w:rPr>
      </w:pPr>
      <w:r w:rsidRPr="00613059">
        <w:rPr>
          <w:rFonts w:ascii="Calibri" w:hAnsi="Calibri" w:cs="Calibri"/>
          <w:color w:val="000000" w:themeColor="text1"/>
          <w:sz w:val="22"/>
          <w:szCs w:val="22"/>
          <w:shd w:val="clear" w:color="auto" w:fill="FFFFFF"/>
        </w:rPr>
        <w:t xml:space="preserve">Richards F and Hopkins D, ‘Programmatic goals and approaches to onchocerciasis’, </w:t>
      </w:r>
      <w:r w:rsidRPr="00613059">
        <w:rPr>
          <w:rFonts w:ascii="Calibri" w:hAnsi="Calibri" w:cs="Calibri"/>
          <w:i/>
          <w:color w:val="000000" w:themeColor="text1"/>
          <w:sz w:val="22"/>
          <w:szCs w:val="22"/>
          <w:shd w:val="clear" w:color="auto" w:fill="FFFFFF"/>
        </w:rPr>
        <w:t xml:space="preserve">Lancet </w:t>
      </w:r>
      <w:r w:rsidRPr="00613059">
        <w:rPr>
          <w:rFonts w:ascii="Calibri" w:hAnsi="Calibri" w:cs="Calibri"/>
          <w:color w:val="000000" w:themeColor="text1"/>
          <w:sz w:val="22"/>
          <w:szCs w:val="22"/>
          <w:shd w:val="clear" w:color="auto" w:fill="FFFFFF"/>
        </w:rPr>
        <w:t>355:9216 (2000), 1663.</w:t>
      </w:r>
    </w:p>
    <w:p w14:paraId="4C34F3AB" w14:textId="77777777" w:rsidR="000512A1" w:rsidRPr="00613059" w:rsidRDefault="000512A1" w:rsidP="00931CC1">
      <w:pPr>
        <w:ind w:left="360"/>
        <w:rPr>
          <w:rFonts w:ascii="Calibri" w:hAnsi="Calibri" w:cs="Calibri"/>
          <w:color w:val="000000" w:themeColor="text1"/>
          <w:sz w:val="22"/>
          <w:szCs w:val="22"/>
        </w:rPr>
      </w:pPr>
    </w:p>
    <w:p w14:paraId="3DBDB157" w14:textId="0BBD178B" w:rsidR="00931CC1" w:rsidRPr="00613059" w:rsidRDefault="00931CC1" w:rsidP="00931CC1">
      <w:pPr>
        <w:ind w:left="360"/>
        <w:rPr>
          <w:rFonts w:ascii="Calibri" w:hAnsi="Calibri" w:cs="Calibri"/>
          <w:color w:val="000000" w:themeColor="text1"/>
          <w:sz w:val="22"/>
          <w:szCs w:val="22"/>
          <w:shd w:val="clear" w:color="auto" w:fill="FFFFFF"/>
        </w:rPr>
      </w:pPr>
      <w:r w:rsidRPr="00613059">
        <w:rPr>
          <w:rFonts w:ascii="Calibri" w:hAnsi="Calibri" w:cs="Calibri"/>
          <w:color w:val="000000" w:themeColor="text1"/>
          <w:sz w:val="22"/>
          <w:szCs w:val="22"/>
          <w:shd w:val="clear" w:color="auto" w:fill="FFFFFF"/>
        </w:rPr>
        <w:t xml:space="preserve">Richards FO, Boatin B, Sauerbrey M and </w:t>
      </w:r>
      <w:r w:rsidR="00B56CEC" w:rsidRPr="00613059">
        <w:rPr>
          <w:rFonts w:ascii="Calibri" w:hAnsi="Calibri" w:cs="Calibri"/>
          <w:color w:val="000000" w:themeColor="text1"/>
          <w:sz w:val="22"/>
          <w:szCs w:val="22"/>
          <w:lang w:val="en-US"/>
        </w:rPr>
        <w:t xml:space="preserve">Sékételi </w:t>
      </w:r>
      <w:r w:rsidRPr="00613059">
        <w:rPr>
          <w:rFonts w:ascii="Calibri" w:hAnsi="Calibri" w:cs="Calibri"/>
          <w:color w:val="000000" w:themeColor="text1"/>
          <w:sz w:val="22"/>
          <w:szCs w:val="22"/>
          <w:shd w:val="clear" w:color="auto" w:fill="FFFFFF"/>
        </w:rPr>
        <w:t xml:space="preserve">A, ‘Control of onchocerciasis today: status and challenges’, </w:t>
      </w:r>
      <w:r w:rsidRPr="00613059">
        <w:rPr>
          <w:rFonts w:ascii="Calibri" w:hAnsi="Calibri" w:cs="Calibri"/>
          <w:i/>
          <w:color w:val="000000" w:themeColor="text1"/>
          <w:sz w:val="22"/>
          <w:szCs w:val="22"/>
          <w:shd w:val="clear" w:color="auto" w:fill="FFFFFF"/>
        </w:rPr>
        <w:t xml:space="preserve">Trends in Parasitology </w:t>
      </w:r>
      <w:r w:rsidRPr="00613059">
        <w:rPr>
          <w:rFonts w:ascii="Calibri" w:hAnsi="Calibri" w:cs="Calibri"/>
          <w:color w:val="000000" w:themeColor="text1"/>
          <w:sz w:val="22"/>
          <w:szCs w:val="22"/>
          <w:shd w:val="clear" w:color="auto" w:fill="FFFFFF"/>
        </w:rPr>
        <w:t>17:12 (2001), 558-563.</w:t>
      </w:r>
    </w:p>
    <w:p w14:paraId="66D97D85" w14:textId="77777777" w:rsidR="000512A1" w:rsidRPr="00613059" w:rsidRDefault="000512A1" w:rsidP="00931CC1">
      <w:pPr>
        <w:ind w:left="360"/>
        <w:rPr>
          <w:rFonts w:ascii="Calibri" w:hAnsi="Calibri" w:cs="Calibri"/>
          <w:color w:val="000000" w:themeColor="text1"/>
          <w:sz w:val="22"/>
          <w:szCs w:val="22"/>
        </w:rPr>
      </w:pPr>
    </w:p>
    <w:p w14:paraId="314921FC" w14:textId="40B15845" w:rsidR="00931CC1" w:rsidRPr="00613059" w:rsidRDefault="00931CC1" w:rsidP="00931CC1">
      <w:pPr>
        <w:ind w:left="360"/>
        <w:rPr>
          <w:rFonts w:ascii="Calibri" w:hAnsi="Calibri" w:cs="Calibri"/>
          <w:color w:val="000000" w:themeColor="text1"/>
          <w:sz w:val="22"/>
          <w:szCs w:val="22"/>
          <w:shd w:val="clear" w:color="auto" w:fill="FFFFFF"/>
        </w:rPr>
      </w:pPr>
      <w:r w:rsidRPr="00613059">
        <w:rPr>
          <w:rFonts w:ascii="Calibri" w:hAnsi="Calibri" w:cs="Calibri"/>
          <w:color w:val="000000" w:themeColor="text1"/>
          <w:sz w:val="22"/>
          <w:szCs w:val="22"/>
          <w:shd w:val="clear" w:color="auto" w:fill="FFFFFF"/>
        </w:rPr>
        <w:t xml:space="preserve">Rougemont A, ‘The river blindness control programmes OCP and APOC in Africa: a critical review’, </w:t>
      </w:r>
      <w:r w:rsidRPr="00613059">
        <w:rPr>
          <w:rFonts w:ascii="Calibri" w:hAnsi="Calibri" w:cs="Calibri"/>
          <w:i/>
          <w:color w:val="000000" w:themeColor="text1"/>
          <w:sz w:val="22"/>
          <w:szCs w:val="22"/>
          <w:shd w:val="clear" w:color="auto" w:fill="FFFFFF"/>
        </w:rPr>
        <w:t xml:space="preserve">Asian Journal of the WTO and International Health Law and Policy </w:t>
      </w:r>
      <w:r w:rsidRPr="00613059">
        <w:rPr>
          <w:rFonts w:ascii="Calibri" w:hAnsi="Calibri" w:cs="Calibri"/>
          <w:color w:val="000000" w:themeColor="text1"/>
          <w:sz w:val="22"/>
          <w:szCs w:val="22"/>
          <w:shd w:val="clear" w:color="auto" w:fill="FFFFFF"/>
        </w:rPr>
        <w:t>1 (2006), 253-276.</w:t>
      </w:r>
    </w:p>
    <w:p w14:paraId="6E9419B1" w14:textId="77777777" w:rsidR="000512A1" w:rsidRPr="00613059" w:rsidRDefault="000512A1" w:rsidP="00931CC1">
      <w:pPr>
        <w:ind w:left="360"/>
        <w:rPr>
          <w:rFonts w:ascii="Calibri" w:hAnsi="Calibri" w:cs="Calibri"/>
          <w:color w:val="000000" w:themeColor="text1"/>
          <w:sz w:val="22"/>
          <w:szCs w:val="22"/>
        </w:rPr>
      </w:pPr>
    </w:p>
    <w:p w14:paraId="5DA9900B" w14:textId="2354EAB6" w:rsidR="00931CC1" w:rsidRPr="00613059" w:rsidRDefault="00931CC1" w:rsidP="00931CC1">
      <w:pPr>
        <w:ind w:left="360"/>
        <w:rPr>
          <w:rFonts w:ascii="Calibri" w:hAnsi="Calibri" w:cs="Calibri"/>
          <w:color w:val="000000" w:themeColor="text1"/>
          <w:sz w:val="22"/>
          <w:szCs w:val="22"/>
          <w:shd w:val="clear" w:color="auto" w:fill="FFFFFF"/>
        </w:rPr>
      </w:pPr>
      <w:r w:rsidRPr="00613059">
        <w:rPr>
          <w:rFonts w:ascii="Calibri" w:hAnsi="Calibri" w:cs="Calibri"/>
          <w:color w:val="000000" w:themeColor="text1"/>
          <w:sz w:val="22"/>
          <w:szCs w:val="22"/>
          <w:shd w:val="clear" w:color="auto" w:fill="FFFFFF"/>
        </w:rPr>
        <w:t xml:space="preserve">Roungou JB, Yameogo L, Mwikisa C, Boakye DA and Bundy DAP, ’40 years of the APOC partnership’, </w:t>
      </w:r>
      <w:r w:rsidRPr="00613059">
        <w:rPr>
          <w:rFonts w:ascii="Calibri" w:hAnsi="Calibri" w:cs="Calibri"/>
          <w:i/>
          <w:color w:val="000000" w:themeColor="text1"/>
          <w:sz w:val="22"/>
          <w:szCs w:val="22"/>
          <w:shd w:val="clear" w:color="auto" w:fill="FFFFFF"/>
        </w:rPr>
        <w:t xml:space="preserve">PLoS Neglected Tropical Diseases </w:t>
      </w:r>
      <w:r w:rsidRPr="00613059">
        <w:rPr>
          <w:rFonts w:ascii="Calibri" w:hAnsi="Calibri" w:cs="Calibri"/>
          <w:color w:val="000000" w:themeColor="text1"/>
          <w:sz w:val="22"/>
          <w:szCs w:val="22"/>
          <w:shd w:val="clear" w:color="auto" w:fill="FFFFFF"/>
        </w:rPr>
        <w:t>9:5 (2015).</w:t>
      </w:r>
    </w:p>
    <w:p w14:paraId="259DFB4D" w14:textId="77777777" w:rsidR="000512A1" w:rsidRPr="00613059" w:rsidRDefault="000512A1" w:rsidP="00931CC1">
      <w:pPr>
        <w:ind w:left="360"/>
        <w:rPr>
          <w:rFonts w:ascii="Calibri" w:hAnsi="Calibri" w:cs="Calibri"/>
          <w:color w:val="000000" w:themeColor="text1"/>
          <w:sz w:val="22"/>
          <w:szCs w:val="22"/>
        </w:rPr>
      </w:pPr>
    </w:p>
    <w:p w14:paraId="4D07EB7C" w14:textId="38BE8ED7" w:rsidR="00931CC1" w:rsidRPr="00613059" w:rsidRDefault="00931CC1" w:rsidP="00931CC1">
      <w:pPr>
        <w:ind w:left="360"/>
        <w:rPr>
          <w:rFonts w:ascii="Calibri" w:hAnsi="Calibri" w:cs="Calibri"/>
          <w:color w:val="000000" w:themeColor="text1"/>
          <w:sz w:val="22"/>
          <w:szCs w:val="22"/>
          <w:shd w:val="clear" w:color="auto" w:fill="FFFFFF"/>
        </w:rPr>
      </w:pPr>
      <w:r w:rsidRPr="00613059">
        <w:rPr>
          <w:rFonts w:ascii="Calibri" w:hAnsi="Calibri" w:cs="Calibri"/>
          <w:color w:val="000000" w:themeColor="text1"/>
          <w:sz w:val="22"/>
          <w:szCs w:val="22"/>
          <w:shd w:val="clear" w:color="auto" w:fill="FFFFFF"/>
        </w:rPr>
        <w:t xml:space="preserve">Ruger JP, ‘The changing role of the World Bank in global health’, </w:t>
      </w:r>
      <w:r w:rsidRPr="00613059">
        <w:rPr>
          <w:rFonts w:ascii="Calibri" w:hAnsi="Calibri" w:cs="Calibri"/>
          <w:i/>
          <w:color w:val="000000" w:themeColor="text1"/>
          <w:sz w:val="22"/>
          <w:szCs w:val="22"/>
          <w:shd w:val="clear" w:color="auto" w:fill="FFFFFF"/>
        </w:rPr>
        <w:t xml:space="preserve">American Journal of Public Health </w:t>
      </w:r>
      <w:r w:rsidRPr="00613059">
        <w:rPr>
          <w:rFonts w:ascii="Calibri" w:hAnsi="Calibri" w:cs="Calibri"/>
          <w:color w:val="000000" w:themeColor="text1"/>
          <w:sz w:val="22"/>
          <w:szCs w:val="22"/>
          <w:shd w:val="clear" w:color="auto" w:fill="FFFFFF"/>
        </w:rPr>
        <w:t>95:1 (2005), 60-70.</w:t>
      </w:r>
    </w:p>
    <w:p w14:paraId="017AAE18" w14:textId="77777777" w:rsidR="000512A1" w:rsidRPr="00613059" w:rsidRDefault="000512A1" w:rsidP="00931CC1">
      <w:pPr>
        <w:ind w:left="360"/>
        <w:rPr>
          <w:rFonts w:ascii="Calibri" w:hAnsi="Calibri" w:cs="Calibri"/>
          <w:color w:val="000000" w:themeColor="text1"/>
          <w:sz w:val="22"/>
          <w:szCs w:val="22"/>
        </w:rPr>
      </w:pPr>
    </w:p>
    <w:p w14:paraId="43E1C6B1" w14:textId="37439F18" w:rsidR="00931CC1" w:rsidRPr="00613059" w:rsidRDefault="00931CC1" w:rsidP="00931CC1">
      <w:pPr>
        <w:ind w:left="360"/>
        <w:rPr>
          <w:rFonts w:ascii="Calibri" w:hAnsi="Calibri" w:cs="Calibri"/>
          <w:color w:val="000000" w:themeColor="text1"/>
          <w:sz w:val="22"/>
          <w:szCs w:val="22"/>
          <w:shd w:val="clear" w:color="auto" w:fill="FFFFFF"/>
        </w:rPr>
      </w:pPr>
      <w:r w:rsidRPr="00613059">
        <w:rPr>
          <w:rFonts w:ascii="Calibri" w:hAnsi="Calibri" w:cs="Calibri"/>
          <w:color w:val="000000" w:themeColor="text1"/>
          <w:sz w:val="22"/>
          <w:szCs w:val="22"/>
          <w:shd w:val="clear" w:color="auto" w:fill="FFFFFF"/>
        </w:rPr>
        <w:t>Ruger JP, Jamison DT, Bloom DE</w:t>
      </w:r>
      <w:r w:rsidR="00613059">
        <w:rPr>
          <w:rFonts w:ascii="Calibri" w:hAnsi="Calibri" w:cs="Calibri"/>
          <w:color w:val="000000" w:themeColor="text1"/>
          <w:sz w:val="22"/>
          <w:szCs w:val="22"/>
          <w:shd w:val="clear" w:color="auto" w:fill="FFFFFF"/>
        </w:rPr>
        <w:t xml:space="preserve"> and </w:t>
      </w:r>
      <w:r w:rsidRPr="00613059">
        <w:rPr>
          <w:rFonts w:ascii="Calibri" w:hAnsi="Calibri" w:cs="Calibri"/>
          <w:color w:val="000000" w:themeColor="text1"/>
          <w:sz w:val="22"/>
          <w:szCs w:val="22"/>
          <w:shd w:val="clear" w:color="auto" w:fill="FFFFFF"/>
        </w:rPr>
        <w:t xml:space="preserve">Canning D, ‘Health and the Economy’, </w:t>
      </w:r>
      <w:r w:rsidR="008A45BD" w:rsidRPr="00613059">
        <w:rPr>
          <w:rFonts w:ascii="Calibri" w:hAnsi="Calibri" w:cs="Calibri"/>
          <w:color w:val="000000" w:themeColor="text1"/>
          <w:sz w:val="22"/>
          <w:szCs w:val="22"/>
          <w:shd w:val="clear" w:color="auto" w:fill="FFFFFF"/>
        </w:rPr>
        <w:t>in M Merson, R Black and A Mills</w:t>
      </w:r>
      <w:r w:rsidR="008A45BD" w:rsidRPr="00613059">
        <w:rPr>
          <w:rFonts w:ascii="Calibri" w:hAnsi="Calibri" w:cs="Calibri"/>
          <w:i/>
          <w:color w:val="000000" w:themeColor="text1"/>
          <w:sz w:val="22"/>
          <w:szCs w:val="22"/>
          <w:shd w:val="clear" w:color="auto" w:fill="FFFFFF"/>
        </w:rPr>
        <w:t xml:space="preserve"> </w:t>
      </w:r>
      <w:r w:rsidR="008A45BD" w:rsidRPr="00613059">
        <w:rPr>
          <w:rFonts w:ascii="Calibri" w:hAnsi="Calibri" w:cs="Calibri"/>
          <w:color w:val="000000" w:themeColor="text1"/>
          <w:sz w:val="22"/>
          <w:szCs w:val="22"/>
          <w:shd w:val="clear" w:color="auto" w:fill="FFFFFF"/>
        </w:rPr>
        <w:t xml:space="preserve">(Eds.), </w:t>
      </w:r>
      <w:r w:rsidRPr="00613059">
        <w:rPr>
          <w:rFonts w:ascii="Calibri" w:hAnsi="Calibri" w:cs="Calibri"/>
          <w:i/>
          <w:color w:val="000000" w:themeColor="text1"/>
          <w:sz w:val="22"/>
          <w:szCs w:val="22"/>
          <w:shd w:val="clear" w:color="auto" w:fill="FFFFFF"/>
        </w:rPr>
        <w:t>Global health: diseases, programs, systems, and policies</w:t>
      </w:r>
      <w:r w:rsidR="008A45BD" w:rsidRPr="00613059">
        <w:rPr>
          <w:rFonts w:ascii="Calibri" w:hAnsi="Calibri" w:cs="Calibri"/>
          <w:color w:val="000000" w:themeColor="text1"/>
          <w:sz w:val="22"/>
          <w:szCs w:val="22"/>
          <w:shd w:val="clear" w:color="auto" w:fill="FFFFFF"/>
        </w:rPr>
        <w:t xml:space="preserve"> </w:t>
      </w:r>
      <w:r w:rsidRPr="00613059">
        <w:rPr>
          <w:rFonts w:ascii="Calibri" w:hAnsi="Calibri" w:cs="Calibri"/>
          <w:color w:val="000000" w:themeColor="text1"/>
          <w:sz w:val="22"/>
          <w:szCs w:val="22"/>
          <w:shd w:val="clear" w:color="auto" w:fill="FFFFFF"/>
        </w:rPr>
        <w:t>(Burlington: Jones &amp; Bartlett Learning, 2011), 757-814.</w:t>
      </w:r>
    </w:p>
    <w:p w14:paraId="673BFEEA" w14:textId="77777777" w:rsidR="000512A1" w:rsidRPr="00613059" w:rsidRDefault="000512A1" w:rsidP="00931CC1">
      <w:pPr>
        <w:ind w:left="360"/>
        <w:rPr>
          <w:rFonts w:ascii="Calibri" w:hAnsi="Calibri" w:cs="Calibri"/>
          <w:color w:val="000000" w:themeColor="text1"/>
          <w:sz w:val="22"/>
          <w:szCs w:val="22"/>
        </w:rPr>
      </w:pPr>
    </w:p>
    <w:p w14:paraId="47905B8D" w14:textId="66376A3E" w:rsidR="00931CC1" w:rsidRPr="00613059" w:rsidRDefault="00931CC1" w:rsidP="00931CC1">
      <w:pPr>
        <w:ind w:left="360"/>
        <w:rPr>
          <w:rFonts w:ascii="Calibri" w:hAnsi="Calibri" w:cs="Calibri"/>
          <w:color w:val="000000" w:themeColor="text1"/>
          <w:sz w:val="22"/>
          <w:szCs w:val="22"/>
          <w:shd w:val="clear" w:color="auto" w:fill="FFFFFF"/>
        </w:rPr>
      </w:pPr>
      <w:r w:rsidRPr="00613059">
        <w:rPr>
          <w:rFonts w:ascii="Calibri" w:hAnsi="Calibri" w:cs="Calibri"/>
          <w:color w:val="000000" w:themeColor="text1"/>
          <w:sz w:val="22"/>
          <w:szCs w:val="22"/>
          <w:shd w:val="clear" w:color="auto" w:fill="FFFFFF"/>
        </w:rPr>
        <w:t xml:space="preserve">Ruit S, Tabin G and Wykoff CC, </w:t>
      </w:r>
      <w:r w:rsidRPr="00613059">
        <w:rPr>
          <w:rFonts w:ascii="Calibri" w:hAnsi="Calibri" w:cs="Calibri"/>
          <w:i/>
          <w:color w:val="000000" w:themeColor="text1"/>
          <w:sz w:val="22"/>
          <w:szCs w:val="22"/>
          <w:shd w:val="clear" w:color="auto" w:fill="FFFFFF"/>
        </w:rPr>
        <w:t xml:space="preserve">Fighting global business: improving world vision through cataract elimination </w:t>
      </w:r>
      <w:r w:rsidRPr="00613059">
        <w:rPr>
          <w:rFonts w:ascii="Calibri" w:hAnsi="Calibri" w:cs="Calibri"/>
          <w:color w:val="000000" w:themeColor="text1"/>
          <w:sz w:val="22"/>
          <w:szCs w:val="22"/>
          <w:shd w:val="clear" w:color="auto" w:fill="FFFFFF"/>
        </w:rPr>
        <w:t>(Washington DC: American Public Health Association, 2006).</w:t>
      </w:r>
    </w:p>
    <w:p w14:paraId="778691BC" w14:textId="77777777" w:rsidR="000512A1" w:rsidRPr="00613059" w:rsidRDefault="000512A1" w:rsidP="00931CC1">
      <w:pPr>
        <w:ind w:left="360"/>
        <w:rPr>
          <w:rFonts w:ascii="Calibri" w:hAnsi="Calibri" w:cs="Calibri"/>
          <w:color w:val="000000" w:themeColor="text1"/>
          <w:sz w:val="22"/>
          <w:szCs w:val="22"/>
        </w:rPr>
      </w:pPr>
    </w:p>
    <w:p w14:paraId="0815159B" w14:textId="0091DFA6" w:rsidR="00931CC1" w:rsidRPr="00613059" w:rsidRDefault="00931CC1" w:rsidP="00931CC1">
      <w:pPr>
        <w:ind w:left="360"/>
        <w:rPr>
          <w:rFonts w:ascii="Calibri" w:hAnsi="Calibri" w:cs="Calibri"/>
          <w:color w:val="000000" w:themeColor="text1"/>
          <w:sz w:val="22"/>
          <w:szCs w:val="22"/>
        </w:rPr>
      </w:pPr>
      <w:r w:rsidRPr="00613059">
        <w:rPr>
          <w:rFonts w:ascii="Calibri" w:hAnsi="Calibri" w:cs="Calibri"/>
          <w:color w:val="000000" w:themeColor="text1"/>
          <w:sz w:val="22"/>
          <w:szCs w:val="22"/>
        </w:rPr>
        <w:t xml:space="preserve">s.a., ‘Back Matter’, </w:t>
      </w:r>
      <w:r w:rsidRPr="00613059">
        <w:rPr>
          <w:rFonts w:ascii="Calibri" w:hAnsi="Calibri" w:cs="Calibri"/>
          <w:i/>
          <w:color w:val="000000" w:themeColor="text1"/>
          <w:sz w:val="22"/>
          <w:szCs w:val="22"/>
        </w:rPr>
        <w:t xml:space="preserve">Journal of Infectious Diseases </w:t>
      </w:r>
      <w:r w:rsidRPr="00613059">
        <w:rPr>
          <w:rFonts w:ascii="Calibri" w:hAnsi="Calibri" w:cs="Calibri"/>
          <w:color w:val="000000" w:themeColor="text1"/>
          <w:sz w:val="22"/>
          <w:szCs w:val="22"/>
        </w:rPr>
        <w:t>201:12 (2010).</w:t>
      </w:r>
    </w:p>
    <w:p w14:paraId="773D8AA4" w14:textId="77777777" w:rsidR="000512A1" w:rsidRPr="00613059" w:rsidRDefault="000512A1" w:rsidP="00931CC1">
      <w:pPr>
        <w:ind w:left="360"/>
        <w:rPr>
          <w:rFonts w:ascii="Calibri" w:hAnsi="Calibri" w:cs="Calibri"/>
          <w:color w:val="000000" w:themeColor="text1"/>
          <w:sz w:val="22"/>
          <w:szCs w:val="22"/>
        </w:rPr>
      </w:pPr>
    </w:p>
    <w:p w14:paraId="2BEA8592" w14:textId="0EFC9D49" w:rsidR="00931CC1" w:rsidRPr="00613059" w:rsidRDefault="00931CC1" w:rsidP="00931CC1">
      <w:pPr>
        <w:ind w:left="360"/>
        <w:rPr>
          <w:rFonts w:ascii="Calibri" w:hAnsi="Calibri" w:cs="Calibri"/>
          <w:color w:val="000000" w:themeColor="text1"/>
          <w:sz w:val="22"/>
          <w:szCs w:val="22"/>
        </w:rPr>
      </w:pPr>
      <w:r w:rsidRPr="00613059">
        <w:rPr>
          <w:rFonts w:ascii="Calibri" w:hAnsi="Calibri" w:cs="Calibri"/>
          <w:color w:val="000000" w:themeColor="text1"/>
          <w:sz w:val="22"/>
          <w:szCs w:val="22"/>
        </w:rPr>
        <w:t xml:space="preserve">s.a., ‘Front matter’, </w:t>
      </w:r>
      <w:r w:rsidRPr="00613059">
        <w:rPr>
          <w:rFonts w:ascii="Calibri" w:hAnsi="Calibri" w:cs="Calibri"/>
          <w:i/>
          <w:color w:val="000000" w:themeColor="text1"/>
          <w:sz w:val="22"/>
          <w:szCs w:val="22"/>
        </w:rPr>
        <w:t xml:space="preserve">Clinical Infectious Diseases </w:t>
      </w:r>
      <w:r w:rsidRPr="00613059">
        <w:rPr>
          <w:rFonts w:ascii="Calibri" w:hAnsi="Calibri" w:cs="Calibri"/>
          <w:color w:val="000000" w:themeColor="text1"/>
          <w:sz w:val="22"/>
          <w:szCs w:val="22"/>
        </w:rPr>
        <w:t>53:4 (2011).</w:t>
      </w:r>
    </w:p>
    <w:p w14:paraId="0C2AA129" w14:textId="77777777" w:rsidR="000512A1" w:rsidRPr="00613059" w:rsidRDefault="000512A1" w:rsidP="00931CC1">
      <w:pPr>
        <w:ind w:left="360"/>
        <w:rPr>
          <w:rFonts w:ascii="Calibri" w:hAnsi="Calibri" w:cs="Calibri"/>
          <w:color w:val="000000" w:themeColor="text1"/>
          <w:sz w:val="22"/>
          <w:szCs w:val="22"/>
        </w:rPr>
      </w:pPr>
    </w:p>
    <w:p w14:paraId="5F12F699" w14:textId="5A7558BE" w:rsidR="00931CC1" w:rsidRPr="00613059" w:rsidRDefault="00931CC1" w:rsidP="00931CC1">
      <w:pPr>
        <w:ind w:left="360"/>
        <w:rPr>
          <w:rFonts w:ascii="Calibri" w:hAnsi="Calibri" w:cs="Calibri"/>
          <w:color w:val="000000" w:themeColor="text1"/>
          <w:sz w:val="22"/>
          <w:szCs w:val="22"/>
        </w:rPr>
      </w:pPr>
      <w:r w:rsidRPr="00613059">
        <w:rPr>
          <w:rFonts w:ascii="Calibri" w:hAnsi="Calibri" w:cs="Calibri"/>
          <w:color w:val="000000" w:themeColor="text1"/>
          <w:sz w:val="22"/>
          <w:szCs w:val="22"/>
        </w:rPr>
        <w:t xml:space="preserve">s.a., ’28-year river blindness campaign celebrates completion’, </w:t>
      </w:r>
      <w:r w:rsidRPr="00613059">
        <w:rPr>
          <w:rFonts w:ascii="Calibri" w:hAnsi="Calibri" w:cs="Calibri"/>
          <w:i/>
          <w:color w:val="000000" w:themeColor="text1"/>
          <w:sz w:val="22"/>
          <w:szCs w:val="22"/>
        </w:rPr>
        <w:t xml:space="preserve">Bulletin of the World Health Organization </w:t>
      </w:r>
      <w:r w:rsidRPr="00613059">
        <w:rPr>
          <w:rFonts w:ascii="Calibri" w:hAnsi="Calibri" w:cs="Calibri"/>
          <w:color w:val="000000" w:themeColor="text1"/>
          <w:sz w:val="22"/>
          <w:szCs w:val="22"/>
        </w:rPr>
        <w:t>81:1 (2003), 75.</w:t>
      </w:r>
    </w:p>
    <w:p w14:paraId="62DA495D" w14:textId="77777777" w:rsidR="000512A1" w:rsidRPr="00613059" w:rsidRDefault="000512A1" w:rsidP="00931CC1">
      <w:pPr>
        <w:ind w:left="360"/>
        <w:rPr>
          <w:rFonts w:ascii="Calibri" w:hAnsi="Calibri" w:cs="Calibri"/>
          <w:color w:val="000000" w:themeColor="text1"/>
          <w:sz w:val="22"/>
          <w:szCs w:val="22"/>
        </w:rPr>
      </w:pPr>
    </w:p>
    <w:p w14:paraId="758B2D23" w14:textId="01E5C15B" w:rsidR="00931CC1" w:rsidRPr="00613059" w:rsidRDefault="00931CC1" w:rsidP="00931CC1">
      <w:pPr>
        <w:ind w:left="360"/>
        <w:rPr>
          <w:rFonts w:ascii="Calibri" w:hAnsi="Calibri" w:cs="Calibri"/>
          <w:color w:val="000000" w:themeColor="text1"/>
          <w:sz w:val="22"/>
          <w:szCs w:val="22"/>
          <w:shd w:val="clear" w:color="auto" w:fill="FFFFFF"/>
        </w:rPr>
      </w:pPr>
      <w:r w:rsidRPr="00613059">
        <w:rPr>
          <w:rFonts w:ascii="Calibri" w:hAnsi="Calibri" w:cs="Calibri"/>
          <w:color w:val="000000" w:themeColor="text1"/>
          <w:sz w:val="22"/>
          <w:szCs w:val="22"/>
          <w:shd w:val="clear" w:color="auto" w:fill="FFFFFF"/>
        </w:rPr>
        <w:t>Saint André AV, Blackwell NM, Hall LR, HoerauF A, Brattig NW, Volkmann L, Taylor MJ, Ford L, Hise AG, Lass JH</w:t>
      </w:r>
      <w:r w:rsidR="00613059">
        <w:rPr>
          <w:rFonts w:ascii="Calibri" w:hAnsi="Calibri" w:cs="Calibri"/>
          <w:color w:val="000000" w:themeColor="text1"/>
          <w:sz w:val="22"/>
          <w:szCs w:val="22"/>
          <w:shd w:val="clear" w:color="auto" w:fill="FFFFFF"/>
        </w:rPr>
        <w:t xml:space="preserve"> </w:t>
      </w:r>
      <w:r w:rsidRPr="00613059">
        <w:rPr>
          <w:rFonts w:ascii="Calibri" w:hAnsi="Calibri" w:cs="Calibri"/>
          <w:color w:val="000000" w:themeColor="text1"/>
          <w:sz w:val="22"/>
          <w:szCs w:val="22"/>
          <w:shd w:val="clear" w:color="auto" w:fill="FFFFFF"/>
        </w:rPr>
        <w:t xml:space="preserve">and Diaconu E, ‘The role of endosymbiotic Wolbachia bacteria in the pathogenesis of river blindness’, </w:t>
      </w:r>
      <w:r w:rsidRPr="00613059">
        <w:rPr>
          <w:rFonts w:ascii="Calibri" w:hAnsi="Calibri" w:cs="Calibri"/>
          <w:i/>
          <w:color w:val="000000" w:themeColor="text1"/>
          <w:sz w:val="22"/>
          <w:szCs w:val="22"/>
          <w:shd w:val="clear" w:color="auto" w:fill="FFFFFF"/>
        </w:rPr>
        <w:t xml:space="preserve">Science 295:5561 </w:t>
      </w:r>
      <w:r w:rsidRPr="00613059">
        <w:rPr>
          <w:rFonts w:ascii="Calibri" w:hAnsi="Calibri" w:cs="Calibri"/>
          <w:color w:val="000000" w:themeColor="text1"/>
          <w:sz w:val="22"/>
          <w:szCs w:val="22"/>
          <w:shd w:val="clear" w:color="auto" w:fill="FFFFFF"/>
        </w:rPr>
        <w:t>(2002), 1892-1895.</w:t>
      </w:r>
    </w:p>
    <w:p w14:paraId="2AE13795" w14:textId="77777777" w:rsidR="000512A1" w:rsidRPr="00613059" w:rsidRDefault="000512A1" w:rsidP="00931CC1">
      <w:pPr>
        <w:ind w:left="360"/>
        <w:rPr>
          <w:rFonts w:ascii="Calibri" w:hAnsi="Calibri" w:cs="Calibri"/>
          <w:color w:val="000000" w:themeColor="text1"/>
          <w:sz w:val="22"/>
          <w:szCs w:val="22"/>
        </w:rPr>
      </w:pPr>
    </w:p>
    <w:p w14:paraId="774F8495" w14:textId="1D1E15F0" w:rsidR="00931CC1" w:rsidRPr="00613059" w:rsidRDefault="00931CC1" w:rsidP="00931CC1">
      <w:pPr>
        <w:ind w:left="360"/>
        <w:rPr>
          <w:rFonts w:ascii="Calibri" w:hAnsi="Calibri" w:cs="Calibri"/>
          <w:color w:val="000000" w:themeColor="text1"/>
          <w:sz w:val="22"/>
          <w:szCs w:val="22"/>
          <w:shd w:val="clear" w:color="auto" w:fill="FFFFFF"/>
        </w:rPr>
      </w:pPr>
      <w:r w:rsidRPr="00613059">
        <w:rPr>
          <w:rFonts w:ascii="Calibri" w:hAnsi="Calibri" w:cs="Calibri"/>
          <w:color w:val="000000" w:themeColor="text1"/>
          <w:sz w:val="22"/>
          <w:szCs w:val="22"/>
          <w:shd w:val="clear" w:color="auto" w:fill="FFFFFF"/>
        </w:rPr>
        <w:t xml:space="preserve">Samsky A, ‘Scientific sovereignty: how international drug donation programs reshape health, disease, and the state’, </w:t>
      </w:r>
      <w:r w:rsidRPr="00613059">
        <w:rPr>
          <w:rFonts w:ascii="Calibri" w:hAnsi="Calibri" w:cs="Calibri"/>
          <w:i/>
          <w:color w:val="000000" w:themeColor="text1"/>
          <w:sz w:val="22"/>
          <w:szCs w:val="22"/>
          <w:shd w:val="clear" w:color="auto" w:fill="FFFFFF"/>
        </w:rPr>
        <w:t xml:space="preserve">Cultural Anthropology </w:t>
      </w:r>
      <w:r w:rsidRPr="00613059">
        <w:rPr>
          <w:rFonts w:ascii="Calibri" w:hAnsi="Calibri" w:cs="Calibri"/>
          <w:color w:val="000000" w:themeColor="text1"/>
          <w:sz w:val="22"/>
          <w:szCs w:val="22"/>
          <w:shd w:val="clear" w:color="auto" w:fill="FFFFFF"/>
        </w:rPr>
        <w:t>27:2 (2012), 310-332.</w:t>
      </w:r>
    </w:p>
    <w:p w14:paraId="263C649E" w14:textId="77777777" w:rsidR="000512A1" w:rsidRPr="00A32897" w:rsidRDefault="000512A1" w:rsidP="00931CC1">
      <w:pPr>
        <w:ind w:left="360"/>
        <w:rPr>
          <w:rFonts w:ascii="Calibri" w:hAnsi="Calibri" w:cs="Calibri"/>
          <w:sz w:val="22"/>
          <w:szCs w:val="22"/>
        </w:rPr>
      </w:pPr>
    </w:p>
    <w:p w14:paraId="409E457C" w14:textId="08C0431C" w:rsidR="00931CC1" w:rsidRDefault="00931CC1" w:rsidP="00931CC1">
      <w:pPr>
        <w:ind w:left="360"/>
        <w:rPr>
          <w:rFonts w:ascii="Calibri" w:hAnsi="Calibri" w:cs="Calibri"/>
          <w:color w:val="222222"/>
          <w:sz w:val="22"/>
          <w:szCs w:val="22"/>
          <w:shd w:val="clear" w:color="auto" w:fill="FFFFFF"/>
        </w:rPr>
      </w:pPr>
      <w:r w:rsidRPr="00A32897">
        <w:rPr>
          <w:rFonts w:ascii="Calibri" w:hAnsi="Calibri" w:cs="Calibri"/>
          <w:color w:val="222222"/>
          <w:sz w:val="22"/>
          <w:szCs w:val="22"/>
          <w:shd w:val="clear" w:color="auto" w:fill="FFFFFF"/>
        </w:rPr>
        <w:t xml:space="preserve">Samsky A, ‘The drug swallowers: scientific sovereignty and pharmaceuticalization in two international drug donation programs’, </w:t>
      </w:r>
      <w:r w:rsidR="000512A1">
        <w:rPr>
          <w:rFonts w:ascii="Calibri" w:hAnsi="Calibri" w:cs="Calibri"/>
          <w:color w:val="222222"/>
          <w:sz w:val="22"/>
          <w:szCs w:val="22"/>
          <w:shd w:val="clear" w:color="auto" w:fill="FFFFFF"/>
        </w:rPr>
        <w:t xml:space="preserve">in SE Bell and A Figert (Eds.), </w:t>
      </w:r>
      <w:r w:rsidRPr="00A32897">
        <w:rPr>
          <w:rFonts w:ascii="Calibri" w:hAnsi="Calibri" w:cs="Calibri"/>
          <w:i/>
          <w:color w:val="222222"/>
          <w:sz w:val="22"/>
          <w:szCs w:val="22"/>
          <w:shd w:val="clear" w:color="auto" w:fill="FFFFFF"/>
        </w:rPr>
        <w:t>Reimagining (bio) medicalization, pharmaceuticals and genetics: old critiques and new engagements</w:t>
      </w:r>
      <w:r w:rsidRPr="00A32897">
        <w:rPr>
          <w:rFonts w:ascii="Calibri" w:hAnsi="Calibri" w:cs="Calibri"/>
          <w:color w:val="222222"/>
          <w:sz w:val="22"/>
          <w:szCs w:val="22"/>
          <w:shd w:val="clear" w:color="auto" w:fill="FFFFFF"/>
        </w:rPr>
        <w:t xml:space="preserve"> (New York: Routledge, 2015), 112-136</w:t>
      </w:r>
      <w:r w:rsidR="000512A1">
        <w:rPr>
          <w:rFonts w:ascii="Calibri" w:hAnsi="Calibri" w:cs="Calibri"/>
          <w:color w:val="222222"/>
          <w:sz w:val="22"/>
          <w:szCs w:val="22"/>
          <w:shd w:val="clear" w:color="auto" w:fill="FFFFFF"/>
        </w:rPr>
        <w:t>.</w:t>
      </w:r>
    </w:p>
    <w:p w14:paraId="737D601A" w14:textId="77777777" w:rsidR="000512A1" w:rsidRPr="00A32897" w:rsidRDefault="000512A1" w:rsidP="00931CC1">
      <w:pPr>
        <w:ind w:left="360"/>
        <w:rPr>
          <w:rFonts w:ascii="Calibri" w:hAnsi="Calibri" w:cs="Calibri"/>
          <w:sz w:val="22"/>
          <w:szCs w:val="22"/>
        </w:rPr>
      </w:pPr>
    </w:p>
    <w:p w14:paraId="12DC7B8B" w14:textId="52DB4770" w:rsidR="00931CC1" w:rsidRDefault="00931CC1" w:rsidP="00931CC1">
      <w:pPr>
        <w:ind w:left="360"/>
        <w:rPr>
          <w:rFonts w:ascii="Calibri" w:hAnsi="Calibri" w:cs="Calibri"/>
          <w:color w:val="222222"/>
          <w:sz w:val="22"/>
          <w:szCs w:val="22"/>
          <w:shd w:val="clear" w:color="auto" w:fill="FFFFFF"/>
        </w:rPr>
      </w:pPr>
      <w:r w:rsidRPr="00A32897">
        <w:rPr>
          <w:rFonts w:ascii="Calibri" w:hAnsi="Calibri" w:cs="Calibri"/>
          <w:color w:val="222222"/>
          <w:sz w:val="22"/>
          <w:szCs w:val="22"/>
          <w:shd w:val="clear" w:color="auto" w:fill="FFFFFF"/>
        </w:rPr>
        <w:t xml:space="preserve">Sanchis V, ‘From microbial sprays to insect-resistant transgenic plants: history of the biopesticide Bacillus thuringiensis: a review’, </w:t>
      </w:r>
      <w:r w:rsidRPr="00A32897">
        <w:rPr>
          <w:rFonts w:ascii="Calibri" w:hAnsi="Calibri" w:cs="Calibri"/>
          <w:i/>
          <w:color w:val="222222"/>
          <w:sz w:val="22"/>
          <w:szCs w:val="22"/>
          <w:shd w:val="clear" w:color="auto" w:fill="FFFFFF"/>
        </w:rPr>
        <w:t>Agronomy for Sustainable Development</w:t>
      </w:r>
      <w:r w:rsidRPr="00A32897">
        <w:rPr>
          <w:rFonts w:ascii="Calibri" w:hAnsi="Calibri" w:cs="Calibri"/>
          <w:color w:val="222222"/>
          <w:sz w:val="22"/>
          <w:szCs w:val="22"/>
          <w:shd w:val="clear" w:color="auto" w:fill="FFFFFF"/>
        </w:rPr>
        <w:t xml:space="preserve"> 31:1 (2011), 217-231.</w:t>
      </w:r>
    </w:p>
    <w:p w14:paraId="41506B5B" w14:textId="77777777" w:rsidR="000512A1" w:rsidRPr="00A32897" w:rsidRDefault="000512A1" w:rsidP="00931CC1">
      <w:pPr>
        <w:ind w:left="360"/>
        <w:rPr>
          <w:rFonts w:ascii="Calibri" w:hAnsi="Calibri" w:cs="Calibri"/>
          <w:sz w:val="22"/>
          <w:szCs w:val="22"/>
        </w:rPr>
      </w:pPr>
    </w:p>
    <w:p w14:paraId="2F7C40A4" w14:textId="45334977" w:rsidR="00931CC1" w:rsidRDefault="00931CC1" w:rsidP="00931CC1">
      <w:pPr>
        <w:ind w:left="360"/>
        <w:rPr>
          <w:rFonts w:ascii="Calibri" w:hAnsi="Calibri" w:cs="Calibri"/>
          <w:sz w:val="22"/>
          <w:szCs w:val="22"/>
        </w:rPr>
      </w:pPr>
      <w:r w:rsidRPr="00A32897">
        <w:rPr>
          <w:rFonts w:ascii="Calibri" w:hAnsi="Calibri" w:cs="Calibri"/>
          <w:sz w:val="22"/>
          <w:szCs w:val="22"/>
        </w:rPr>
        <w:t xml:space="preserve">Seear M, </w:t>
      </w:r>
      <w:r w:rsidRPr="00A32897">
        <w:rPr>
          <w:rFonts w:ascii="Calibri" w:hAnsi="Calibri" w:cs="Calibri"/>
          <w:i/>
          <w:sz w:val="22"/>
          <w:szCs w:val="22"/>
        </w:rPr>
        <w:t xml:space="preserve">An introduction to international health, </w:t>
      </w:r>
      <w:r w:rsidRPr="00A32897">
        <w:rPr>
          <w:rFonts w:ascii="Calibri" w:hAnsi="Calibri" w:cs="Calibri"/>
          <w:sz w:val="22"/>
          <w:szCs w:val="22"/>
        </w:rPr>
        <w:t>2</w:t>
      </w:r>
      <w:r w:rsidRPr="00A32897">
        <w:rPr>
          <w:rFonts w:ascii="Calibri" w:hAnsi="Calibri" w:cs="Calibri"/>
          <w:sz w:val="22"/>
          <w:szCs w:val="22"/>
          <w:vertAlign w:val="superscript"/>
        </w:rPr>
        <w:t>nd</w:t>
      </w:r>
      <w:r w:rsidRPr="00A32897">
        <w:rPr>
          <w:rFonts w:ascii="Calibri" w:hAnsi="Calibri" w:cs="Calibri"/>
          <w:sz w:val="22"/>
          <w:szCs w:val="22"/>
        </w:rPr>
        <w:t xml:space="preserve"> ed</w:t>
      </w:r>
      <w:r w:rsidRPr="00A32897">
        <w:rPr>
          <w:rFonts w:ascii="Calibri" w:hAnsi="Calibri" w:cs="Calibri"/>
          <w:i/>
          <w:sz w:val="22"/>
          <w:szCs w:val="22"/>
        </w:rPr>
        <w:t xml:space="preserve"> </w:t>
      </w:r>
      <w:r w:rsidRPr="00A32897">
        <w:rPr>
          <w:rFonts w:ascii="Calibri" w:hAnsi="Calibri" w:cs="Calibri"/>
          <w:sz w:val="22"/>
          <w:szCs w:val="22"/>
        </w:rPr>
        <w:t>(Toronto: Canadian Scholars’ Press Inc., 2012), 463-478.</w:t>
      </w:r>
    </w:p>
    <w:p w14:paraId="5B96380A" w14:textId="77777777" w:rsidR="000512A1" w:rsidRPr="00A32897" w:rsidRDefault="000512A1" w:rsidP="00931CC1">
      <w:pPr>
        <w:ind w:left="360"/>
        <w:rPr>
          <w:rFonts w:ascii="Calibri" w:hAnsi="Calibri" w:cs="Calibri"/>
          <w:sz w:val="22"/>
          <w:szCs w:val="22"/>
        </w:rPr>
      </w:pPr>
    </w:p>
    <w:p w14:paraId="4CC88F72" w14:textId="2CF0C15C" w:rsidR="00931CC1" w:rsidRDefault="00931CC1" w:rsidP="00931CC1">
      <w:pPr>
        <w:ind w:left="360"/>
        <w:rPr>
          <w:rFonts w:ascii="Calibri" w:hAnsi="Calibri" w:cs="Calibri"/>
          <w:color w:val="222222"/>
          <w:sz w:val="22"/>
          <w:szCs w:val="22"/>
          <w:shd w:val="clear" w:color="auto" w:fill="FFFFFF"/>
        </w:rPr>
      </w:pPr>
      <w:r w:rsidRPr="00A32897">
        <w:rPr>
          <w:rFonts w:ascii="Calibri" w:hAnsi="Calibri" w:cs="Calibri"/>
          <w:color w:val="222222"/>
          <w:sz w:val="22"/>
          <w:szCs w:val="22"/>
          <w:shd w:val="clear" w:color="auto" w:fill="FFFFFF"/>
        </w:rPr>
        <w:t xml:space="preserve">Seim AR, ‘Time for an additional paradigm? The community-based catalyst approach to public health’, </w:t>
      </w:r>
      <w:r w:rsidRPr="00A32897">
        <w:rPr>
          <w:rFonts w:ascii="Calibri" w:hAnsi="Calibri" w:cs="Calibri"/>
          <w:i/>
          <w:color w:val="222222"/>
          <w:sz w:val="22"/>
          <w:szCs w:val="22"/>
          <w:shd w:val="clear" w:color="auto" w:fill="FFFFFF"/>
        </w:rPr>
        <w:t xml:space="preserve">Bulletin of the World Health Organization </w:t>
      </w:r>
      <w:r w:rsidRPr="00A32897">
        <w:rPr>
          <w:rFonts w:ascii="Calibri" w:hAnsi="Calibri" w:cs="Calibri"/>
          <w:color w:val="222222"/>
          <w:sz w:val="22"/>
          <w:szCs w:val="22"/>
          <w:shd w:val="clear" w:color="auto" w:fill="FFFFFF"/>
        </w:rPr>
        <w:t>83:5 (2005), 392-394.</w:t>
      </w:r>
    </w:p>
    <w:p w14:paraId="2B36A537" w14:textId="77777777" w:rsidR="000512A1" w:rsidRPr="00A32897" w:rsidRDefault="000512A1" w:rsidP="00931CC1">
      <w:pPr>
        <w:ind w:left="360"/>
        <w:rPr>
          <w:rFonts w:ascii="Calibri" w:hAnsi="Calibri" w:cs="Calibri"/>
          <w:sz w:val="22"/>
          <w:szCs w:val="22"/>
        </w:rPr>
      </w:pPr>
    </w:p>
    <w:p w14:paraId="4533E746" w14:textId="6A6CEAB2" w:rsidR="00931CC1" w:rsidRDefault="00931CC1" w:rsidP="00931CC1">
      <w:pPr>
        <w:ind w:left="360"/>
        <w:rPr>
          <w:rFonts w:ascii="Calibri" w:hAnsi="Calibri" w:cs="Calibri"/>
          <w:sz w:val="22"/>
          <w:szCs w:val="22"/>
        </w:rPr>
      </w:pPr>
      <w:r w:rsidRPr="00A32897">
        <w:rPr>
          <w:rFonts w:ascii="Calibri" w:hAnsi="Calibri" w:cs="Calibri"/>
          <w:color w:val="222222"/>
          <w:sz w:val="22"/>
          <w:szCs w:val="22"/>
          <w:shd w:val="clear" w:color="auto" w:fill="FFFFFF"/>
        </w:rPr>
        <w:t xml:space="preserve">Shah A, </w:t>
      </w:r>
      <w:r w:rsidRPr="00A32897">
        <w:rPr>
          <w:rFonts w:ascii="Calibri" w:hAnsi="Calibri" w:cs="Calibri"/>
          <w:i/>
          <w:color w:val="222222"/>
          <w:sz w:val="22"/>
          <w:szCs w:val="22"/>
          <w:shd w:val="clear" w:color="auto" w:fill="FFFFFF"/>
        </w:rPr>
        <w:t xml:space="preserve">Helping Africa help itself: a global effort </w:t>
      </w:r>
      <w:r w:rsidRPr="00A32897">
        <w:rPr>
          <w:rFonts w:ascii="Calibri" w:hAnsi="Calibri" w:cs="Calibri"/>
          <w:color w:val="222222"/>
          <w:sz w:val="22"/>
          <w:szCs w:val="22"/>
          <w:shd w:val="clear" w:color="auto" w:fill="FFFFFF"/>
        </w:rPr>
        <w:t>(New York: Simon &amp; Schuster, 2014).</w:t>
      </w:r>
      <w:r w:rsidRPr="00A32897">
        <w:rPr>
          <w:rFonts w:ascii="Calibri" w:hAnsi="Calibri" w:cs="Calibri"/>
          <w:sz w:val="22"/>
          <w:szCs w:val="22"/>
        </w:rPr>
        <w:t xml:space="preserve"> </w:t>
      </w:r>
    </w:p>
    <w:p w14:paraId="6F74A5F3" w14:textId="77777777" w:rsidR="000512A1" w:rsidRPr="00A32897" w:rsidRDefault="000512A1" w:rsidP="00931CC1">
      <w:pPr>
        <w:ind w:left="360"/>
        <w:rPr>
          <w:rFonts w:ascii="Calibri" w:hAnsi="Calibri" w:cs="Calibri"/>
          <w:sz w:val="22"/>
          <w:szCs w:val="22"/>
        </w:rPr>
      </w:pPr>
    </w:p>
    <w:p w14:paraId="733C409E" w14:textId="690F3BB5" w:rsidR="00931CC1" w:rsidRDefault="00931CC1" w:rsidP="00931CC1">
      <w:pPr>
        <w:ind w:left="360"/>
        <w:rPr>
          <w:rFonts w:ascii="Calibri" w:hAnsi="Calibri" w:cs="Calibri"/>
          <w:sz w:val="22"/>
          <w:szCs w:val="22"/>
        </w:rPr>
      </w:pPr>
      <w:r w:rsidRPr="00A32897">
        <w:rPr>
          <w:rFonts w:ascii="Calibri" w:hAnsi="Calibri" w:cs="Calibri"/>
          <w:sz w:val="22"/>
          <w:szCs w:val="22"/>
        </w:rPr>
        <w:t xml:space="preserve">Skolnik R, </w:t>
      </w:r>
      <w:r w:rsidRPr="00A32897">
        <w:rPr>
          <w:rFonts w:ascii="Calibri" w:hAnsi="Calibri" w:cs="Calibri"/>
          <w:i/>
          <w:sz w:val="22"/>
          <w:szCs w:val="22"/>
        </w:rPr>
        <w:t xml:space="preserve">Global health 101 </w:t>
      </w:r>
      <w:r w:rsidRPr="00A32897">
        <w:rPr>
          <w:rFonts w:ascii="Calibri" w:hAnsi="Calibri" w:cs="Calibri"/>
          <w:sz w:val="22"/>
          <w:szCs w:val="22"/>
        </w:rPr>
        <w:t>(Burlington: Jones &amp; Bartlett Learning, 2011).</w:t>
      </w:r>
    </w:p>
    <w:p w14:paraId="08728645" w14:textId="77777777" w:rsidR="000512A1" w:rsidRPr="00A32897" w:rsidRDefault="000512A1" w:rsidP="00931CC1">
      <w:pPr>
        <w:ind w:left="360"/>
        <w:rPr>
          <w:rFonts w:ascii="Calibri" w:hAnsi="Calibri" w:cs="Calibri"/>
          <w:sz w:val="22"/>
          <w:szCs w:val="22"/>
        </w:rPr>
      </w:pPr>
    </w:p>
    <w:p w14:paraId="6987E595" w14:textId="2C95ADAE" w:rsidR="00931CC1" w:rsidRDefault="00931CC1" w:rsidP="00931CC1">
      <w:pPr>
        <w:ind w:left="360"/>
        <w:rPr>
          <w:rFonts w:ascii="Calibri" w:hAnsi="Calibri" w:cs="Calibri"/>
          <w:sz w:val="22"/>
          <w:szCs w:val="22"/>
        </w:rPr>
      </w:pPr>
      <w:r w:rsidRPr="00A32897">
        <w:rPr>
          <w:rFonts w:ascii="Calibri" w:hAnsi="Calibri" w:cs="Calibri"/>
          <w:sz w:val="22"/>
          <w:szCs w:val="22"/>
        </w:rPr>
        <w:t xml:space="preserve">Sommer A, ‘Global health, global vision’, </w:t>
      </w:r>
      <w:r w:rsidRPr="00A32897">
        <w:rPr>
          <w:rFonts w:ascii="Calibri" w:hAnsi="Calibri" w:cs="Calibri"/>
          <w:i/>
          <w:sz w:val="22"/>
          <w:szCs w:val="22"/>
        </w:rPr>
        <w:t xml:space="preserve">Archives of Ophthalmology </w:t>
      </w:r>
      <w:r w:rsidRPr="00A32897">
        <w:rPr>
          <w:rFonts w:ascii="Calibri" w:hAnsi="Calibri" w:cs="Calibri"/>
          <w:sz w:val="22"/>
          <w:szCs w:val="22"/>
        </w:rPr>
        <w:t>122:6 (2004), 911-912.</w:t>
      </w:r>
    </w:p>
    <w:p w14:paraId="0534B0ED" w14:textId="77777777" w:rsidR="000512A1" w:rsidRPr="00A32897" w:rsidRDefault="000512A1" w:rsidP="00931CC1">
      <w:pPr>
        <w:ind w:left="360"/>
        <w:rPr>
          <w:rFonts w:ascii="Calibri" w:hAnsi="Calibri" w:cs="Calibri"/>
          <w:sz w:val="22"/>
          <w:szCs w:val="22"/>
        </w:rPr>
      </w:pPr>
    </w:p>
    <w:p w14:paraId="1D7F6C75" w14:textId="517416DD" w:rsidR="00931CC1" w:rsidRDefault="00931CC1" w:rsidP="00931CC1">
      <w:pPr>
        <w:ind w:left="360"/>
        <w:rPr>
          <w:rFonts w:ascii="Calibri" w:hAnsi="Calibri" w:cs="Calibri"/>
          <w:i/>
          <w:sz w:val="22"/>
          <w:szCs w:val="22"/>
        </w:rPr>
      </w:pPr>
      <w:r w:rsidRPr="00A32897">
        <w:rPr>
          <w:rFonts w:ascii="Calibri" w:hAnsi="Calibri" w:cs="Calibri"/>
          <w:sz w:val="22"/>
          <w:szCs w:val="22"/>
        </w:rPr>
        <w:t xml:space="preserve">Stephenson I and Wiselka M, ‘Drug treatment of tropical parasitic infections: recent achievements and developments’, </w:t>
      </w:r>
      <w:r w:rsidRPr="00A32897">
        <w:rPr>
          <w:rFonts w:ascii="Calibri" w:hAnsi="Calibri" w:cs="Calibri"/>
          <w:i/>
          <w:sz w:val="22"/>
          <w:szCs w:val="22"/>
        </w:rPr>
        <w:t xml:space="preserve">Drugs </w:t>
      </w:r>
      <w:r w:rsidRPr="00A32897">
        <w:rPr>
          <w:rFonts w:ascii="Calibri" w:hAnsi="Calibri" w:cs="Calibri"/>
          <w:sz w:val="22"/>
          <w:szCs w:val="22"/>
        </w:rPr>
        <w:t>60:5 (2000), 985-995.</w:t>
      </w:r>
      <w:r w:rsidRPr="00A32897">
        <w:rPr>
          <w:rFonts w:ascii="Calibri" w:hAnsi="Calibri" w:cs="Calibri"/>
          <w:i/>
          <w:sz w:val="22"/>
          <w:szCs w:val="22"/>
        </w:rPr>
        <w:t xml:space="preserve"> </w:t>
      </w:r>
    </w:p>
    <w:p w14:paraId="6D9E00E9" w14:textId="77777777" w:rsidR="000512A1" w:rsidRPr="00A32897" w:rsidRDefault="000512A1" w:rsidP="00931CC1">
      <w:pPr>
        <w:ind w:left="360"/>
        <w:rPr>
          <w:rFonts w:ascii="Calibri" w:hAnsi="Calibri" w:cs="Calibri"/>
          <w:sz w:val="22"/>
          <w:szCs w:val="22"/>
        </w:rPr>
      </w:pPr>
    </w:p>
    <w:p w14:paraId="3C708A7D" w14:textId="6195E8AC" w:rsidR="00931CC1" w:rsidRDefault="00931CC1" w:rsidP="00931CC1">
      <w:pPr>
        <w:ind w:left="360"/>
        <w:rPr>
          <w:rFonts w:ascii="Calibri" w:hAnsi="Calibri" w:cs="Calibri"/>
          <w:sz w:val="22"/>
          <w:szCs w:val="22"/>
        </w:rPr>
      </w:pPr>
      <w:r w:rsidRPr="00A32897">
        <w:rPr>
          <w:rFonts w:ascii="Calibri" w:hAnsi="Calibri" w:cs="Calibri"/>
          <w:sz w:val="22"/>
          <w:szCs w:val="22"/>
        </w:rPr>
        <w:t xml:space="preserve">Sternberg ED and Thomas MB, ‘Insights from agriculture for the management of insecticide resistance in disease vectors’, </w:t>
      </w:r>
      <w:r w:rsidRPr="00A32897">
        <w:rPr>
          <w:rFonts w:ascii="Calibri" w:hAnsi="Calibri" w:cs="Calibri"/>
          <w:i/>
          <w:sz w:val="22"/>
          <w:szCs w:val="22"/>
        </w:rPr>
        <w:t xml:space="preserve">Evolutionary Applications </w:t>
      </w:r>
      <w:r w:rsidRPr="00A32897">
        <w:rPr>
          <w:rFonts w:ascii="Calibri" w:hAnsi="Calibri" w:cs="Calibri"/>
          <w:sz w:val="22"/>
          <w:szCs w:val="22"/>
        </w:rPr>
        <w:t>11:4 (2018), 404-414.</w:t>
      </w:r>
    </w:p>
    <w:p w14:paraId="4F0BFC67" w14:textId="77777777" w:rsidR="000512A1" w:rsidRPr="00A32897" w:rsidRDefault="000512A1" w:rsidP="00931CC1">
      <w:pPr>
        <w:ind w:left="360"/>
        <w:rPr>
          <w:rFonts w:ascii="Calibri" w:hAnsi="Calibri" w:cs="Calibri"/>
          <w:sz w:val="22"/>
          <w:szCs w:val="22"/>
        </w:rPr>
      </w:pPr>
    </w:p>
    <w:p w14:paraId="447DA9E9" w14:textId="19DEE72B" w:rsidR="00931CC1" w:rsidRDefault="00931CC1" w:rsidP="00931CC1">
      <w:pPr>
        <w:ind w:left="360"/>
        <w:rPr>
          <w:rFonts w:ascii="Calibri" w:hAnsi="Calibri" w:cs="Calibri"/>
          <w:sz w:val="22"/>
          <w:szCs w:val="22"/>
        </w:rPr>
      </w:pPr>
      <w:r w:rsidRPr="00A32897">
        <w:rPr>
          <w:rFonts w:ascii="Calibri" w:hAnsi="Calibri" w:cs="Calibri"/>
          <w:sz w:val="22"/>
          <w:szCs w:val="22"/>
        </w:rPr>
        <w:t xml:space="preserve">Stevenson P, ‘Vision is failing for river-blindness control in Ghana’, </w:t>
      </w:r>
      <w:r w:rsidRPr="00A32897">
        <w:rPr>
          <w:rFonts w:ascii="Calibri" w:hAnsi="Calibri" w:cs="Calibri"/>
          <w:i/>
          <w:sz w:val="22"/>
          <w:szCs w:val="22"/>
        </w:rPr>
        <w:t xml:space="preserve">Lancet </w:t>
      </w:r>
      <w:r w:rsidRPr="00A32897">
        <w:rPr>
          <w:rFonts w:ascii="Calibri" w:hAnsi="Calibri" w:cs="Calibri"/>
          <w:sz w:val="22"/>
          <w:szCs w:val="22"/>
        </w:rPr>
        <w:t>354:9196 (1999), 2143.</w:t>
      </w:r>
    </w:p>
    <w:p w14:paraId="175717BE" w14:textId="77777777" w:rsidR="000512A1" w:rsidRPr="00A32897" w:rsidRDefault="000512A1" w:rsidP="00931CC1">
      <w:pPr>
        <w:ind w:left="360"/>
        <w:rPr>
          <w:rFonts w:ascii="Calibri" w:hAnsi="Calibri" w:cs="Calibri"/>
          <w:sz w:val="22"/>
          <w:szCs w:val="22"/>
        </w:rPr>
      </w:pPr>
    </w:p>
    <w:p w14:paraId="23EC3AF2" w14:textId="1F02D817" w:rsidR="00931CC1" w:rsidRDefault="00931CC1" w:rsidP="00931CC1">
      <w:pPr>
        <w:ind w:left="360"/>
        <w:rPr>
          <w:rFonts w:ascii="Calibri" w:hAnsi="Calibri" w:cs="Calibri"/>
          <w:sz w:val="22"/>
          <w:szCs w:val="22"/>
        </w:rPr>
      </w:pPr>
      <w:r w:rsidRPr="00A32897">
        <w:rPr>
          <w:rFonts w:ascii="Calibri" w:hAnsi="Calibri" w:cs="Calibri"/>
          <w:sz w:val="22"/>
          <w:szCs w:val="22"/>
        </w:rPr>
        <w:t xml:space="preserve">Taylor HR, ‘Onchocerciasis: a potential revolution is in its treatment’, </w:t>
      </w:r>
      <w:r w:rsidRPr="00A32897">
        <w:rPr>
          <w:rFonts w:ascii="Calibri" w:hAnsi="Calibri" w:cs="Calibri"/>
          <w:i/>
          <w:sz w:val="22"/>
          <w:szCs w:val="22"/>
        </w:rPr>
        <w:t xml:space="preserve">International Ophthalmology </w:t>
      </w:r>
      <w:r w:rsidRPr="00A32897">
        <w:rPr>
          <w:rFonts w:ascii="Calibri" w:hAnsi="Calibri" w:cs="Calibri"/>
          <w:sz w:val="22"/>
          <w:szCs w:val="22"/>
        </w:rPr>
        <w:t>11:2 (1987), 83-85.</w:t>
      </w:r>
    </w:p>
    <w:p w14:paraId="4B28B968" w14:textId="77777777" w:rsidR="00145704" w:rsidRPr="00A32897" w:rsidRDefault="00145704" w:rsidP="00931CC1">
      <w:pPr>
        <w:ind w:left="360"/>
        <w:rPr>
          <w:rFonts w:ascii="Calibri" w:hAnsi="Calibri" w:cs="Calibri"/>
          <w:sz w:val="22"/>
          <w:szCs w:val="22"/>
        </w:rPr>
      </w:pPr>
    </w:p>
    <w:p w14:paraId="389E0D96" w14:textId="383B267F" w:rsidR="00931CC1" w:rsidRDefault="00931CC1" w:rsidP="00931CC1">
      <w:pPr>
        <w:ind w:left="360"/>
        <w:rPr>
          <w:rFonts w:ascii="Calibri" w:hAnsi="Calibri" w:cs="Calibri"/>
          <w:sz w:val="22"/>
          <w:szCs w:val="22"/>
        </w:rPr>
      </w:pPr>
      <w:r w:rsidRPr="00A32897">
        <w:rPr>
          <w:rFonts w:ascii="Calibri" w:hAnsi="Calibri" w:cs="Calibri"/>
          <w:sz w:val="22"/>
          <w:szCs w:val="22"/>
        </w:rPr>
        <w:t xml:space="preserve">Thomson MC, Connor SJ, Ward N and Molyneux D, ‘Impact of climate variability on infectious disease in West Africa’, </w:t>
      </w:r>
      <w:r w:rsidRPr="00A32897">
        <w:rPr>
          <w:rFonts w:ascii="Calibri" w:hAnsi="Calibri" w:cs="Calibri"/>
          <w:i/>
          <w:sz w:val="22"/>
          <w:szCs w:val="22"/>
        </w:rPr>
        <w:t xml:space="preserve">EcoHealth </w:t>
      </w:r>
      <w:r w:rsidRPr="00A32897">
        <w:rPr>
          <w:rFonts w:ascii="Calibri" w:hAnsi="Calibri" w:cs="Calibri"/>
          <w:sz w:val="22"/>
          <w:szCs w:val="22"/>
        </w:rPr>
        <w:t>1:2 (2004), 138-150.</w:t>
      </w:r>
    </w:p>
    <w:p w14:paraId="4561F1E0" w14:textId="77777777" w:rsidR="00145704" w:rsidRPr="00A32897" w:rsidRDefault="00145704" w:rsidP="00931CC1">
      <w:pPr>
        <w:ind w:left="360"/>
        <w:rPr>
          <w:rFonts w:ascii="Calibri" w:hAnsi="Calibri" w:cs="Calibri"/>
          <w:sz w:val="22"/>
          <w:szCs w:val="22"/>
        </w:rPr>
      </w:pPr>
    </w:p>
    <w:p w14:paraId="227C0BC3" w14:textId="59890374" w:rsidR="00931CC1" w:rsidRDefault="00931CC1" w:rsidP="00931CC1">
      <w:pPr>
        <w:ind w:left="360"/>
        <w:rPr>
          <w:rFonts w:ascii="Calibri" w:hAnsi="Calibri" w:cs="Calibri"/>
          <w:sz w:val="22"/>
          <w:szCs w:val="22"/>
        </w:rPr>
      </w:pPr>
      <w:r w:rsidRPr="00A32897">
        <w:rPr>
          <w:rFonts w:ascii="Calibri" w:hAnsi="Calibri" w:cs="Calibri"/>
          <w:sz w:val="22"/>
          <w:szCs w:val="22"/>
        </w:rPr>
        <w:t xml:space="preserve">Thylefors B and Alleman M, ‘Towards the elimination of onchocerciasis’, </w:t>
      </w:r>
      <w:r w:rsidRPr="00A32897">
        <w:rPr>
          <w:rFonts w:ascii="Calibri" w:hAnsi="Calibri" w:cs="Calibri"/>
          <w:i/>
          <w:sz w:val="22"/>
          <w:szCs w:val="22"/>
        </w:rPr>
        <w:t xml:space="preserve">Annals of Tropical Medicine and Parasitology </w:t>
      </w:r>
      <w:r w:rsidRPr="00A32897">
        <w:rPr>
          <w:rFonts w:ascii="Calibri" w:hAnsi="Calibri" w:cs="Calibri"/>
          <w:sz w:val="22"/>
          <w:szCs w:val="22"/>
        </w:rPr>
        <w:t>100:8 (2006), 733-746.</w:t>
      </w:r>
    </w:p>
    <w:p w14:paraId="78565440" w14:textId="77777777" w:rsidR="00145704" w:rsidRPr="00A32897" w:rsidRDefault="00145704" w:rsidP="00931CC1">
      <w:pPr>
        <w:ind w:left="360"/>
        <w:rPr>
          <w:rFonts w:ascii="Calibri" w:hAnsi="Calibri" w:cs="Calibri"/>
          <w:sz w:val="22"/>
          <w:szCs w:val="22"/>
        </w:rPr>
      </w:pPr>
    </w:p>
    <w:p w14:paraId="0BDBEA45" w14:textId="22EB16A9" w:rsidR="00931CC1" w:rsidRDefault="00931CC1" w:rsidP="00931CC1">
      <w:pPr>
        <w:ind w:left="360"/>
        <w:rPr>
          <w:rFonts w:ascii="Calibri" w:hAnsi="Calibri" w:cs="Calibri"/>
          <w:sz w:val="22"/>
          <w:szCs w:val="22"/>
        </w:rPr>
      </w:pPr>
      <w:r w:rsidRPr="00A32897">
        <w:rPr>
          <w:rFonts w:ascii="Calibri" w:hAnsi="Calibri" w:cs="Calibri"/>
          <w:sz w:val="22"/>
          <w:szCs w:val="22"/>
        </w:rPr>
        <w:t xml:space="preserve">Tiao LA, ‘River blindness under attack in West Africa’, </w:t>
      </w:r>
      <w:r w:rsidRPr="00A32897">
        <w:rPr>
          <w:rFonts w:ascii="Calibri" w:hAnsi="Calibri" w:cs="Calibri"/>
          <w:i/>
          <w:sz w:val="22"/>
          <w:szCs w:val="22"/>
        </w:rPr>
        <w:t xml:space="preserve">IDRC Feature </w:t>
      </w:r>
      <w:r w:rsidRPr="00A32897">
        <w:rPr>
          <w:rFonts w:ascii="Calibri" w:hAnsi="Calibri" w:cs="Calibri"/>
          <w:sz w:val="22"/>
          <w:szCs w:val="22"/>
        </w:rPr>
        <w:t>(1984), F282e.</w:t>
      </w:r>
    </w:p>
    <w:p w14:paraId="2FD10B2A" w14:textId="77777777" w:rsidR="00145704" w:rsidRPr="00A32897" w:rsidRDefault="00145704" w:rsidP="00931CC1">
      <w:pPr>
        <w:ind w:left="360"/>
        <w:rPr>
          <w:rFonts w:ascii="Calibri" w:hAnsi="Calibri" w:cs="Calibri"/>
          <w:sz w:val="22"/>
          <w:szCs w:val="22"/>
        </w:rPr>
      </w:pPr>
    </w:p>
    <w:p w14:paraId="0EB715E9" w14:textId="01A625D3" w:rsidR="00931CC1" w:rsidRDefault="00931CC1" w:rsidP="00931CC1">
      <w:pPr>
        <w:ind w:left="360"/>
        <w:rPr>
          <w:rFonts w:ascii="Calibri" w:hAnsi="Calibri" w:cs="Calibri"/>
          <w:sz w:val="22"/>
          <w:szCs w:val="22"/>
        </w:rPr>
      </w:pPr>
      <w:r w:rsidRPr="00A32897">
        <w:rPr>
          <w:rFonts w:ascii="Calibri" w:hAnsi="Calibri" w:cs="Calibri"/>
          <w:sz w:val="22"/>
          <w:szCs w:val="22"/>
        </w:rPr>
        <w:t xml:space="preserve">Tielsch JM and Beeche A, ‘Impact of ivermectin on illness and disability associated with onchocerciasis’, </w:t>
      </w:r>
      <w:r w:rsidRPr="00A32897">
        <w:rPr>
          <w:rFonts w:ascii="Calibri" w:hAnsi="Calibri" w:cs="Calibri"/>
          <w:i/>
          <w:sz w:val="22"/>
          <w:szCs w:val="22"/>
        </w:rPr>
        <w:t xml:space="preserve">Tropical Medicine &amp; International Health </w:t>
      </w:r>
      <w:r w:rsidRPr="00A32897">
        <w:rPr>
          <w:rFonts w:ascii="Calibri" w:hAnsi="Calibri" w:cs="Calibri"/>
          <w:sz w:val="22"/>
          <w:szCs w:val="22"/>
        </w:rPr>
        <w:t>9:4 (2004), A45-A56.</w:t>
      </w:r>
    </w:p>
    <w:p w14:paraId="6315B837" w14:textId="77777777" w:rsidR="00145704" w:rsidRPr="00A32897" w:rsidRDefault="00145704" w:rsidP="00931CC1">
      <w:pPr>
        <w:ind w:left="360"/>
        <w:rPr>
          <w:rFonts w:ascii="Calibri" w:hAnsi="Calibri" w:cs="Calibri"/>
          <w:sz w:val="22"/>
          <w:szCs w:val="22"/>
        </w:rPr>
      </w:pPr>
    </w:p>
    <w:p w14:paraId="20D05201" w14:textId="5040BA9D" w:rsidR="00931CC1" w:rsidRDefault="00931CC1" w:rsidP="00931CC1">
      <w:pPr>
        <w:ind w:left="360"/>
        <w:rPr>
          <w:rFonts w:ascii="Calibri" w:hAnsi="Calibri" w:cs="Calibri"/>
          <w:sz w:val="22"/>
          <w:szCs w:val="22"/>
        </w:rPr>
      </w:pPr>
      <w:r w:rsidRPr="00A32897">
        <w:rPr>
          <w:rFonts w:ascii="Calibri" w:hAnsi="Calibri" w:cs="Calibri"/>
          <w:sz w:val="22"/>
          <w:szCs w:val="22"/>
        </w:rPr>
        <w:t xml:space="preserve">Traore MO, Sarr MD, Badji A, Bissan Y, Diawara L, Doumbia K, Goita SF, Konate L, Mounkoro K, Seck AF, Toe L, Toure S and Remme JHF, ‘Proof-of-principle of onchocerciasis elimination with ivermectin treatment in endemic foci in Africa: final results of a study in Mali and Senegal’, </w:t>
      </w:r>
      <w:r w:rsidRPr="00A32897">
        <w:rPr>
          <w:rFonts w:ascii="Calibri" w:hAnsi="Calibri" w:cs="Calibri"/>
          <w:i/>
          <w:sz w:val="22"/>
          <w:szCs w:val="22"/>
        </w:rPr>
        <w:t xml:space="preserve">PLoS Neglected Tropical Diseases </w:t>
      </w:r>
      <w:r w:rsidRPr="00A32897">
        <w:rPr>
          <w:rFonts w:ascii="Calibri" w:hAnsi="Calibri" w:cs="Calibri"/>
          <w:sz w:val="22"/>
          <w:szCs w:val="22"/>
        </w:rPr>
        <w:t>6:9 (2012).</w:t>
      </w:r>
    </w:p>
    <w:p w14:paraId="31F10845" w14:textId="77777777" w:rsidR="00145704" w:rsidRPr="00A32897" w:rsidRDefault="00145704" w:rsidP="00931CC1">
      <w:pPr>
        <w:ind w:left="360"/>
        <w:rPr>
          <w:rFonts w:ascii="Calibri" w:hAnsi="Calibri" w:cs="Calibri"/>
          <w:sz w:val="22"/>
          <w:szCs w:val="22"/>
        </w:rPr>
      </w:pPr>
    </w:p>
    <w:p w14:paraId="72E6B957" w14:textId="06D71144" w:rsidR="00931CC1" w:rsidRDefault="00931CC1" w:rsidP="00931CC1">
      <w:pPr>
        <w:ind w:left="360"/>
        <w:rPr>
          <w:rFonts w:ascii="Calibri" w:hAnsi="Calibri" w:cs="Calibri"/>
          <w:sz w:val="22"/>
          <w:szCs w:val="22"/>
        </w:rPr>
      </w:pPr>
      <w:r w:rsidRPr="00A32897">
        <w:rPr>
          <w:rFonts w:ascii="Calibri" w:hAnsi="Calibri" w:cs="Calibri"/>
          <w:sz w:val="22"/>
          <w:szCs w:val="22"/>
        </w:rPr>
        <w:t xml:space="preserve">Tsalikis G, ‘The Onchocerciasis Control Programme (OCP) in West Africa: A Review of Progress’, </w:t>
      </w:r>
      <w:r w:rsidRPr="00A32897">
        <w:rPr>
          <w:rFonts w:ascii="Calibri" w:hAnsi="Calibri" w:cs="Calibri"/>
          <w:i/>
          <w:sz w:val="22"/>
          <w:szCs w:val="22"/>
        </w:rPr>
        <w:t xml:space="preserve">Health Policy and Planning </w:t>
      </w:r>
      <w:r w:rsidRPr="00A32897">
        <w:rPr>
          <w:rFonts w:ascii="Calibri" w:hAnsi="Calibri" w:cs="Calibri"/>
          <w:sz w:val="22"/>
          <w:szCs w:val="22"/>
        </w:rPr>
        <w:t>8:4 (1993), 349-359.</w:t>
      </w:r>
    </w:p>
    <w:p w14:paraId="03BE1B26" w14:textId="77777777" w:rsidR="00145704" w:rsidRPr="00A32897" w:rsidRDefault="00145704" w:rsidP="00931CC1">
      <w:pPr>
        <w:ind w:left="360"/>
        <w:rPr>
          <w:rFonts w:ascii="Calibri" w:hAnsi="Calibri" w:cs="Calibri"/>
          <w:sz w:val="22"/>
          <w:szCs w:val="22"/>
        </w:rPr>
      </w:pPr>
    </w:p>
    <w:p w14:paraId="18613BAA" w14:textId="2F24322F" w:rsidR="00931CC1" w:rsidRDefault="00931CC1" w:rsidP="00931CC1">
      <w:pPr>
        <w:ind w:left="360"/>
        <w:rPr>
          <w:rFonts w:ascii="Calibri" w:hAnsi="Calibri" w:cs="Calibri"/>
          <w:sz w:val="22"/>
          <w:szCs w:val="22"/>
        </w:rPr>
      </w:pPr>
      <w:r w:rsidRPr="00A32897">
        <w:rPr>
          <w:rFonts w:ascii="Calibri" w:hAnsi="Calibri" w:cs="Calibri"/>
          <w:sz w:val="22"/>
          <w:szCs w:val="22"/>
        </w:rPr>
        <w:t xml:space="preserve">Tschudin V, ‘Book review: ethical choices in long-term care: what does justice require?’, </w:t>
      </w:r>
      <w:r w:rsidRPr="00A32897">
        <w:rPr>
          <w:rFonts w:ascii="Calibri" w:hAnsi="Calibri" w:cs="Calibri"/>
          <w:i/>
          <w:sz w:val="22"/>
          <w:szCs w:val="22"/>
        </w:rPr>
        <w:t xml:space="preserve">Nursing Ethics </w:t>
      </w:r>
      <w:r w:rsidRPr="00A32897">
        <w:rPr>
          <w:rFonts w:ascii="Calibri" w:hAnsi="Calibri" w:cs="Calibri"/>
          <w:sz w:val="22"/>
          <w:szCs w:val="22"/>
        </w:rPr>
        <w:t>10:6 (2003), 674.</w:t>
      </w:r>
    </w:p>
    <w:p w14:paraId="1AA60374" w14:textId="77777777" w:rsidR="00145704" w:rsidRPr="00A32897" w:rsidRDefault="00145704" w:rsidP="00931CC1">
      <w:pPr>
        <w:ind w:left="360"/>
        <w:rPr>
          <w:rFonts w:ascii="Calibri" w:hAnsi="Calibri" w:cs="Calibri"/>
          <w:sz w:val="22"/>
          <w:szCs w:val="22"/>
        </w:rPr>
      </w:pPr>
    </w:p>
    <w:p w14:paraId="653AA260" w14:textId="6DDF2C77" w:rsidR="00931CC1" w:rsidRDefault="00931CC1" w:rsidP="00931CC1">
      <w:pPr>
        <w:ind w:left="360"/>
        <w:rPr>
          <w:rFonts w:ascii="Calibri" w:hAnsi="Calibri" w:cs="Calibri"/>
          <w:sz w:val="22"/>
          <w:szCs w:val="22"/>
          <w:shd w:val="clear" w:color="auto" w:fill="FFFFFF"/>
        </w:rPr>
      </w:pPr>
      <w:r w:rsidRPr="00A32897">
        <w:rPr>
          <w:rFonts w:ascii="Calibri" w:hAnsi="Calibri" w:cs="Calibri"/>
          <w:sz w:val="22"/>
          <w:szCs w:val="22"/>
          <w:shd w:val="clear" w:color="auto" w:fill="FFFFFF"/>
        </w:rPr>
        <w:t xml:space="preserve">Walsh J, ‘River blindness: a gamble pays off’, </w:t>
      </w:r>
      <w:r w:rsidRPr="00A32897">
        <w:rPr>
          <w:rFonts w:ascii="Calibri" w:hAnsi="Calibri" w:cs="Calibri"/>
          <w:i/>
          <w:sz w:val="22"/>
          <w:szCs w:val="22"/>
          <w:shd w:val="clear" w:color="auto" w:fill="FFFFFF"/>
        </w:rPr>
        <w:t xml:space="preserve">Science </w:t>
      </w:r>
      <w:r w:rsidRPr="00A32897">
        <w:rPr>
          <w:rFonts w:ascii="Calibri" w:hAnsi="Calibri" w:cs="Calibri"/>
          <w:sz w:val="22"/>
          <w:szCs w:val="22"/>
          <w:shd w:val="clear" w:color="auto" w:fill="FFFFFF"/>
        </w:rPr>
        <w:t>232:4753 (1986), 922-925.</w:t>
      </w:r>
    </w:p>
    <w:p w14:paraId="25B9BB55" w14:textId="77777777" w:rsidR="00145704" w:rsidRPr="00A32897" w:rsidRDefault="00145704" w:rsidP="00931CC1">
      <w:pPr>
        <w:ind w:left="360"/>
        <w:rPr>
          <w:rFonts w:ascii="Calibri" w:hAnsi="Calibri" w:cs="Calibri"/>
          <w:sz w:val="22"/>
          <w:szCs w:val="22"/>
        </w:rPr>
      </w:pPr>
    </w:p>
    <w:p w14:paraId="157430DE" w14:textId="5E440920" w:rsidR="00931CC1" w:rsidRDefault="00931CC1" w:rsidP="00931CC1">
      <w:pPr>
        <w:ind w:left="360"/>
        <w:rPr>
          <w:rFonts w:ascii="Calibri" w:hAnsi="Calibri" w:cs="Calibri"/>
          <w:sz w:val="22"/>
          <w:szCs w:val="22"/>
          <w:shd w:val="clear" w:color="auto" w:fill="FFFFFF"/>
        </w:rPr>
      </w:pPr>
      <w:r w:rsidRPr="00A32897">
        <w:rPr>
          <w:rFonts w:ascii="Calibri" w:hAnsi="Calibri" w:cs="Calibri"/>
          <w:sz w:val="22"/>
          <w:szCs w:val="22"/>
          <w:shd w:val="clear" w:color="auto" w:fill="FFFFFF"/>
        </w:rPr>
        <w:t xml:space="preserve">Waters H, Rehwinkel J and Burnham G, ‘Economic evaluation of Mectizan distribution’, </w:t>
      </w:r>
      <w:r w:rsidRPr="00A32897">
        <w:rPr>
          <w:rFonts w:ascii="Calibri" w:hAnsi="Calibri" w:cs="Calibri"/>
          <w:i/>
          <w:sz w:val="22"/>
          <w:szCs w:val="22"/>
          <w:shd w:val="clear" w:color="auto" w:fill="FFFFFF"/>
        </w:rPr>
        <w:t xml:space="preserve">Tropical Medicine &amp; International Health </w:t>
      </w:r>
      <w:r w:rsidRPr="00A32897">
        <w:rPr>
          <w:rFonts w:ascii="Calibri" w:hAnsi="Calibri" w:cs="Calibri"/>
          <w:sz w:val="22"/>
          <w:szCs w:val="22"/>
          <w:shd w:val="clear" w:color="auto" w:fill="FFFFFF"/>
        </w:rPr>
        <w:t>9:4 (2004), A16-A25.</w:t>
      </w:r>
    </w:p>
    <w:p w14:paraId="7E05EA47" w14:textId="77777777" w:rsidR="00145704" w:rsidRPr="00A32897" w:rsidRDefault="00145704" w:rsidP="00931CC1">
      <w:pPr>
        <w:ind w:left="360"/>
        <w:rPr>
          <w:rFonts w:ascii="Calibri" w:hAnsi="Calibri" w:cs="Calibri"/>
          <w:sz w:val="22"/>
          <w:szCs w:val="22"/>
        </w:rPr>
      </w:pPr>
    </w:p>
    <w:p w14:paraId="25836F05" w14:textId="43F99EF4" w:rsidR="00931CC1" w:rsidRDefault="00931CC1" w:rsidP="00931CC1">
      <w:pPr>
        <w:ind w:left="360"/>
        <w:rPr>
          <w:rFonts w:ascii="Calibri" w:hAnsi="Calibri" w:cs="Calibri"/>
          <w:sz w:val="22"/>
          <w:szCs w:val="22"/>
          <w:shd w:val="clear" w:color="auto" w:fill="FFFFFF"/>
        </w:rPr>
      </w:pPr>
      <w:r w:rsidRPr="00A32897">
        <w:rPr>
          <w:rFonts w:ascii="Calibri" w:hAnsi="Calibri" w:cs="Calibri"/>
          <w:sz w:val="22"/>
          <w:szCs w:val="22"/>
          <w:shd w:val="clear" w:color="auto" w:fill="FFFFFF"/>
        </w:rPr>
        <w:t xml:space="preserve">Weiss S and Bollier D, ‘Merck &amp; Company, Inc.: having the vision to succeed’, </w:t>
      </w:r>
      <w:r w:rsidRPr="00A32897">
        <w:rPr>
          <w:rFonts w:ascii="Calibri" w:hAnsi="Calibri" w:cs="Calibri"/>
          <w:i/>
          <w:sz w:val="22"/>
          <w:szCs w:val="22"/>
          <w:shd w:val="clear" w:color="auto" w:fill="FFFFFF"/>
        </w:rPr>
        <w:t xml:space="preserve">International business case studies for the multicultural marketplace </w:t>
      </w:r>
      <w:r w:rsidRPr="00A32897">
        <w:rPr>
          <w:rFonts w:ascii="Calibri" w:hAnsi="Calibri" w:cs="Calibri"/>
          <w:sz w:val="22"/>
          <w:szCs w:val="22"/>
          <w:shd w:val="clear" w:color="auto" w:fill="FFFFFF"/>
        </w:rPr>
        <w:t>(London: Gulf Publishing Company, 1994).</w:t>
      </w:r>
    </w:p>
    <w:p w14:paraId="5A53C58A" w14:textId="77777777" w:rsidR="00145704" w:rsidRPr="00A32897" w:rsidRDefault="00145704" w:rsidP="00931CC1">
      <w:pPr>
        <w:ind w:left="360"/>
        <w:rPr>
          <w:rFonts w:ascii="Calibri" w:hAnsi="Calibri" w:cs="Calibri"/>
          <w:sz w:val="22"/>
          <w:szCs w:val="22"/>
        </w:rPr>
      </w:pPr>
    </w:p>
    <w:p w14:paraId="3E46D966" w14:textId="5ACE233C" w:rsidR="00931CC1" w:rsidRDefault="00931CC1" w:rsidP="00931CC1">
      <w:pPr>
        <w:ind w:left="360"/>
        <w:rPr>
          <w:rFonts w:ascii="Calibri" w:hAnsi="Calibri" w:cs="Calibri"/>
          <w:sz w:val="22"/>
          <w:szCs w:val="22"/>
          <w:shd w:val="clear" w:color="auto" w:fill="FFFFFF"/>
        </w:rPr>
      </w:pPr>
      <w:r w:rsidRPr="00A32897">
        <w:rPr>
          <w:rFonts w:ascii="Calibri" w:hAnsi="Calibri" w:cs="Calibri"/>
          <w:sz w:val="22"/>
          <w:szCs w:val="22"/>
          <w:shd w:val="clear" w:color="auto" w:fill="FFFFFF"/>
        </w:rPr>
        <w:t>Whitehead M and Bird P, ‘Breaking the poor health-poverty link in the 21</w:t>
      </w:r>
      <w:r w:rsidRPr="00A32897">
        <w:rPr>
          <w:rFonts w:ascii="Calibri" w:hAnsi="Calibri" w:cs="Calibri"/>
          <w:sz w:val="22"/>
          <w:szCs w:val="22"/>
          <w:shd w:val="clear" w:color="auto" w:fill="FFFFFF"/>
          <w:vertAlign w:val="superscript"/>
        </w:rPr>
        <w:t>st</w:t>
      </w:r>
      <w:r w:rsidRPr="00A32897">
        <w:rPr>
          <w:rFonts w:ascii="Calibri" w:hAnsi="Calibri" w:cs="Calibri"/>
          <w:sz w:val="22"/>
          <w:szCs w:val="22"/>
          <w:shd w:val="clear" w:color="auto" w:fill="FFFFFF"/>
        </w:rPr>
        <w:t xml:space="preserve"> century: do health systems help or hinder?’, </w:t>
      </w:r>
      <w:r w:rsidRPr="00A32897">
        <w:rPr>
          <w:rFonts w:ascii="Calibri" w:hAnsi="Calibri" w:cs="Calibri"/>
          <w:i/>
          <w:sz w:val="22"/>
          <w:szCs w:val="22"/>
          <w:shd w:val="clear" w:color="auto" w:fill="FFFFFF"/>
        </w:rPr>
        <w:t xml:space="preserve">Annals of Tropical Medicine &amp; Parasitology </w:t>
      </w:r>
      <w:r w:rsidRPr="00A32897">
        <w:rPr>
          <w:rFonts w:ascii="Calibri" w:hAnsi="Calibri" w:cs="Calibri"/>
          <w:sz w:val="22"/>
          <w:szCs w:val="22"/>
          <w:shd w:val="clear" w:color="auto" w:fill="FFFFFF"/>
        </w:rPr>
        <w:t>100:5-6 (2006), 389-399.</w:t>
      </w:r>
    </w:p>
    <w:p w14:paraId="312AA86A" w14:textId="77777777" w:rsidR="00145704" w:rsidRPr="00A32897" w:rsidRDefault="00145704" w:rsidP="00931CC1">
      <w:pPr>
        <w:ind w:left="360"/>
        <w:rPr>
          <w:rFonts w:ascii="Calibri" w:hAnsi="Calibri" w:cs="Calibri"/>
          <w:sz w:val="22"/>
          <w:szCs w:val="22"/>
        </w:rPr>
      </w:pPr>
    </w:p>
    <w:p w14:paraId="3F0EFBF1" w14:textId="4C8BA866" w:rsidR="00931CC1" w:rsidRDefault="00931CC1" w:rsidP="00931CC1">
      <w:pPr>
        <w:ind w:left="360"/>
        <w:rPr>
          <w:rFonts w:ascii="Calibri" w:hAnsi="Calibri" w:cs="Calibri"/>
          <w:sz w:val="22"/>
          <w:szCs w:val="22"/>
          <w:shd w:val="clear" w:color="auto" w:fill="FFFFFF"/>
        </w:rPr>
      </w:pPr>
      <w:r w:rsidRPr="00A32897">
        <w:rPr>
          <w:rFonts w:ascii="Calibri" w:hAnsi="Calibri" w:cs="Calibri"/>
          <w:sz w:val="22"/>
          <w:szCs w:val="22"/>
          <w:shd w:val="clear" w:color="auto" w:fill="FFFFFF"/>
        </w:rPr>
        <w:t xml:space="preserve">Wijeyaratne P, ‘Control of disease vectors: a current perspective’, </w:t>
      </w:r>
      <w:r w:rsidRPr="00A32897">
        <w:rPr>
          <w:rFonts w:ascii="Calibri" w:hAnsi="Calibri" w:cs="Calibri"/>
          <w:i/>
          <w:sz w:val="22"/>
          <w:szCs w:val="22"/>
          <w:shd w:val="clear" w:color="auto" w:fill="FFFFFF"/>
        </w:rPr>
        <w:t xml:space="preserve">Impact of pesticide use on health in developing countries: proceedings of a symposium held in Ottawa, Canada, 17-20 Sept. 1990 </w:t>
      </w:r>
      <w:r w:rsidRPr="00A32897">
        <w:rPr>
          <w:rFonts w:ascii="Calibri" w:hAnsi="Calibri" w:cs="Calibri"/>
          <w:sz w:val="22"/>
          <w:szCs w:val="22"/>
          <w:shd w:val="clear" w:color="auto" w:fill="FFFFFF"/>
        </w:rPr>
        <w:t>(Ottawa: International Development Research Centre, 1993).</w:t>
      </w:r>
    </w:p>
    <w:p w14:paraId="24C82C3F" w14:textId="77777777" w:rsidR="00145704" w:rsidRPr="00A32897" w:rsidRDefault="00145704" w:rsidP="00931CC1">
      <w:pPr>
        <w:ind w:left="360"/>
        <w:rPr>
          <w:rFonts w:ascii="Calibri" w:hAnsi="Calibri" w:cs="Calibri"/>
          <w:sz w:val="22"/>
          <w:szCs w:val="22"/>
        </w:rPr>
      </w:pPr>
    </w:p>
    <w:p w14:paraId="3CE416E1" w14:textId="2E562289" w:rsidR="00931CC1" w:rsidRDefault="00931CC1" w:rsidP="00931CC1">
      <w:pPr>
        <w:ind w:left="360"/>
        <w:rPr>
          <w:rFonts w:ascii="Calibri" w:hAnsi="Calibri" w:cs="Calibri"/>
          <w:sz w:val="22"/>
          <w:szCs w:val="22"/>
          <w:shd w:val="clear" w:color="auto" w:fill="FFFFFF"/>
        </w:rPr>
      </w:pPr>
      <w:r w:rsidRPr="00A32897">
        <w:rPr>
          <w:rFonts w:ascii="Calibri" w:hAnsi="Calibri" w:cs="Calibri"/>
          <w:sz w:val="22"/>
          <w:szCs w:val="22"/>
          <w:shd w:val="clear" w:color="auto" w:fill="FFFFFF"/>
        </w:rPr>
        <w:t xml:space="preserve">Wilderer PA, </w:t>
      </w:r>
      <w:r w:rsidRPr="00A32897">
        <w:rPr>
          <w:rFonts w:ascii="Calibri" w:hAnsi="Calibri" w:cs="Calibri"/>
          <w:i/>
          <w:sz w:val="22"/>
          <w:szCs w:val="22"/>
          <w:shd w:val="clear" w:color="auto" w:fill="FFFFFF"/>
        </w:rPr>
        <w:t xml:space="preserve">Treatise on water science </w:t>
      </w:r>
      <w:r w:rsidRPr="00A32897">
        <w:rPr>
          <w:rFonts w:ascii="Calibri" w:hAnsi="Calibri" w:cs="Calibri"/>
          <w:sz w:val="22"/>
          <w:szCs w:val="22"/>
          <w:shd w:val="clear" w:color="auto" w:fill="FFFFFF"/>
        </w:rPr>
        <w:t>(Amsterdam: Elsevier Science, 2010).</w:t>
      </w:r>
    </w:p>
    <w:p w14:paraId="3977BDB5" w14:textId="77777777" w:rsidR="00145704" w:rsidRPr="00A32897" w:rsidRDefault="00145704" w:rsidP="00931CC1">
      <w:pPr>
        <w:ind w:left="360"/>
        <w:rPr>
          <w:rFonts w:ascii="Calibri" w:hAnsi="Calibri" w:cs="Calibri"/>
          <w:sz w:val="22"/>
          <w:szCs w:val="22"/>
        </w:rPr>
      </w:pPr>
    </w:p>
    <w:p w14:paraId="154E96C6" w14:textId="41B59DB9" w:rsidR="00931CC1" w:rsidRDefault="00931CC1" w:rsidP="00931CC1">
      <w:pPr>
        <w:ind w:left="360"/>
        <w:rPr>
          <w:rFonts w:ascii="Calibri" w:hAnsi="Calibri" w:cs="Calibri"/>
          <w:sz w:val="22"/>
          <w:szCs w:val="22"/>
          <w:shd w:val="clear" w:color="auto" w:fill="FFFFFF"/>
        </w:rPr>
      </w:pPr>
      <w:r w:rsidRPr="00A32897">
        <w:rPr>
          <w:rFonts w:ascii="Calibri" w:hAnsi="Calibri" w:cs="Calibri"/>
          <w:sz w:val="22"/>
          <w:szCs w:val="22"/>
          <w:shd w:val="clear" w:color="auto" w:fill="FFFFFF"/>
        </w:rPr>
        <w:t xml:space="preserve">Wolfensohn JD, </w:t>
      </w:r>
      <w:r w:rsidRPr="00A32897">
        <w:rPr>
          <w:rFonts w:ascii="Calibri" w:hAnsi="Calibri" w:cs="Calibri"/>
          <w:i/>
          <w:sz w:val="22"/>
          <w:szCs w:val="22"/>
          <w:shd w:val="clear" w:color="auto" w:fill="FFFFFF"/>
        </w:rPr>
        <w:t xml:space="preserve">A case for aid: building a consensus for development assistance </w:t>
      </w:r>
      <w:r w:rsidRPr="00A32897">
        <w:rPr>
          <w:rFonts w:ascii="Calibri" w:hAnsi="Calibri" w:cs="Calibri"/>
          <w:sz w:val="22"/>
          <w:szCs w:val="22"/>
          <w:shd w:val="clear" w:color="auto" w:fill="FFFFFF"/>
        </w:rPr>
        <w:t>(Washington DC: World Bank, 2002).</w:t>
      </w:r>
    </w:p>
    <w:p w14:paraId="6F709B4B" w14:textId="77777777" w:rsidR="00145704" w:rsidRPr="00A32897" w:rsidRDefault="00145704" w:rsidP="00931CC1">
      <w:pPr>
        <w:ind w:left="360"/>
        <w:rPr>
          <w:rFonts w:ascii="Calibri" w:hAnsi="Calibri" w:cs="Calibri"/>
          <w:sz w:val="22"/>
          <w:szCs w:val="22"/>
        </w:rPr>
      </w:pPr>
    </w:p>
    <w:p w14:paraId="02FAE607" w14:textId="4E028B53" w:rsidR="00931CC1" w:rsidRDefault="00931CC1" w:rsidP="00931CC1">
      <w:pPr>
        <w:ind w:left="360"/>
        <w:rPr>
          <w:rFonts w:ascii="Calibri" w:hAnsi="Calibri" w:cs="Calibri"/>
          <w:sz w:val="22"/>
          <w:szCs w:val="22"/>
        </w:rPr>
      </w:pPr>
      <w:r w:rsidRPr="00A32897">
        <w:rPr>
          <w:rFonts w:ascii="Calibri" w:hAnsi="Calibri" w:cs="Calibri"/>
          <w:sz w:val="22"/>
          <w:szCs w:val="22"/>
        </w:rPr>
        <w:t xml:space="preserve">World Bank, </w:t>
      </w:r>
      <w:r w:rsidRPr="00A32897">
        <w:rPr>
          <w:rFonts w:ascii="Calibri" w:hAnsi="Calibri" w:cs="Calibri"/>
          <w:i/>
          <w:sz w:val="22"/>
          <w:szCs w:val="22"/>
        </w:rPr>
        <w:t xml:space="preserve">A successful public-private partnership model </w:t>
      </w:r>
      <w:r w:rsidRPr="00A32897">
        <w:rPr>
          <w:rFonts w:ascii="Calibri" w:hAnsi="Calibri" w:cs="Calibri"/>
          <w:sz w:val="22"/>
          <w:szCs w:val="22"/>
        </w:rPr>
        <w:t>(Washington DC: World Bank, 2014).</w:t>
      </w:r>
    </w:p>
    <w:p w14:paraId="52A7CB63" w14:textId="77777777" w:rsidR="00145704" w:rsidRPr="00A32897" w:rsidRDefault="00145704" w:rsidP="00931CC1">
      <w:pPr>
        <w:ind w:left="360"/>
        <w:rPr>
          <w:rFonts w:ascii="Calibri" w:hAnsi="Calibri" w:cs="Calibri"/>
          <w:sz w:val="22"/>
          <w:szCs w:val="22"/>
        </w:rPr>
      </w:pPr>
    </w:p>
    <w:p w14:paraId="6E574194" w14:textId="0A3285CF" w:rsidR="00931CC1" w:rsidRDefault="00931CC1" w:rsidP="00931CC1">
      <w:pPr>
        <w:ind w:left="360"/>
        <w:rPr>
          <w:rFonts w:ascii="Calibri" w:hAnsi="Calibri" w:cs="Calibri"/>
          <w:sz w:val="22"/>
          <w:szCs w:val="22"/>
        </w:rPr>
      </w:pPr>
      <w:r w:rsidRPr="00A32897">
        <w:rPr>
          <w:rFonts w:ascii="Calibri" w:hAnsi="Calibri" w:cs="Calibri"/>
          <w:sz w:val="22"/>
          <w:szCs w:val="22"/>
        </w:rPr>
        <w:t xml:space="preserve">World Bank, </w:t>
      </w:r>
      <w:r w:rsidRPr="00A32897">
        <w:rPr>
          <w:rFonts w:ascii="Calibri" w:hAnsi="Calibri" w:cs="Calibri"/>
          <w:i/>
          <w:sz w:val="22"/>
          <w:szCs w:val="22"/>
        </w:rPr>
        <w:t xml:space="preserve">Attacking poverty </w:t>
      </w:r>
      <w:r w:rsidRPr="00A32897">
        <w:rPr>
          <w:rFonts w:ascii="Calibri" w:hAnsi="Calibri" w:cs="Calibri"/>
          <w:sz w:val="22"/>
          <w:szCs w:val="22"/>
        </w:rPr>
        <w:t>(IBRD: Washington DC, 2000).</w:t>
      </w:r>
    </w:p>
    <w:p w14:paraId="4F441ECE" w14:textId="77777777" w:rsidR="00145704" w:rsidRPr="00A32897" w:rsidRDefault="00145704" w:rsidP="00931CC1">
      <w:pPr>
        <w:ind w:left="360"/>
        <w:rPr>
          <w:rFonts w:ascii="Calibri" w:hAnsi="Calibri" w:cs="Calibri"/>
          <w:sz w:val="22"/>
          <w:szCs w:val="22"/>
        </w:rPr>
      </w:pPr>
    </w:p>
    <w:p w14:paraId="247BBCF6" w14:textId="035E9F0E" w:rsidR="00931CC1" w:rsidRDefault="00931CC1" w:rsidP="00931CC1">
      <w:pPr>
        <w:ind w:left="360"/>
        <w:rPr>
          <w:rFonts w:ascii="Calibri" w:hAnsi="Calibri" w:cs="Calibri"/>
          <w:sz w:val="22"/>
          <w:szCs w:val="22"/>
        </w:rPr>
      </w:pPr>
      <w:r w:rsidRPr="00A32897">
        <w:rPr>
          <w:rFonts w:ascii="Calibri" w:hAnsi="Calibri" w:cs="Calibri"/>
          <w:sz w:val="22"/>
          <w:szCs w:val="22"/>
        </w:rPr>
        <w:t xml:space="preserve">World Bank, </w:t>
      </w:r>
      <w:r w:rsidRPr="00A32897">
        <w:rPr>
          <w:rFonts w:ascii="Calibri" w:hAnsi="Calibri" w:cs="Calibri"/>
          <w:i/>
          <w:sz w:val="22"/>
          <w:szCs w:val="22"/>
        </w:rPr>
        <w:t xml:space="preserve">Successful development in Africa: case studies of projects, programs, and policies </w:t>
      </w:r>
      <w:r w:rsidRPr="00A32897">
        <w:rPr>
          <w:rFonts w:ascii="Calibri" w:hAnsi="Calibri" w:cs="Calibri"/>
          <w:sz w:val="22"/>
          <w:szCs w:val="22"/>
        </w:rPr>
        <w:t>(Washington DC: World Bank, 1989).</w:t>
      </w:r>
    </w:p>
    <w:p w14:paraId="600883DF" w14:textId="77777777" w:rsidR="00145704" w:rsidRPr="00A32897" w:rsidRDefault="00145704" w:rsidP="00931CC1">
      <w:pPr>
        <w:ind w:left="360"/>
        <w:rPr>
          <w:rFonts w:ascii="Calibri" w:hAnsi="Calibri" w:cs="Calibri"/>
          <w:sz w:val="22"/>
          <w:szCs w:val="22"/>
        </w:rPr>
      </w:pPr>
    </w:p>
    <w:p w14:paraId="3A0CED07" w14:textId="2C1E438C" w:rsidR="00931CC1" w:rsidRDefault="00931CC1" w:rsidP="00931CC1">
      <w:pPr>
        <w:ind w:left="360"/>
        <w:rPr>
          <w:rFonts w:ascii="Calibri" w:hAnsi="Calibri" w:cs="Calibri"/>
          <w:sz w:val="22"/>
          <w:szCs w:val="22"/>
        </w:rPr>
      </w:pPr>
      <w:r w:rsidRPr="00A32897">
        <w:rPr>
          <w:rFonts w:ascii="Calibri" w:hAnsi="Calibri" w:cs="Calibri"/>
          <w:sz w:val="22"/>
          <w:szCs w:val="22"/>
        </w:rPr>
        <w:t xml:space="preserve">World Bank, </w:t>
      </w:r>
      <w:r w:rsidRPr="00A32897">
        <w:rPr>
          <w:rFonts w:ascii="Calibri" w:hAnsi="Calibri" w:cs="Calibri"/>
          <w:i/>
          <w:sz w:val="22"/>
          <w:szCs w:val="22"/>
        </w:rPr>
        <w:t xml:space="preserve">The fight against river blindness </w:t>
      </w:r>
      <w:r w:rsidRPr="00A32897">
        <w:rPr>
          <w:rFonts w:ascii="Calibri" w:hAnsi="Calibri" w:cs="Calibri"/>
          <w:sz w:val="22"/>
          <w:szCs w:val="22"/>
        </w:rPr>
        <w:t>(</w:t>
      </w:r>
      <w:r w:rsidR="00613059">
        <w:rPr>
          <w:rFonts w:ascii="Calibri" w:hAnsi="Calibri" w:cs="Calibri"/>
          <w:sz w:val="22"/>
          <w:szCs w:val="22"/>
        </w:rPr>
        <w:t xml:space="preserve">online), s.d., </w:t>
      </w:r>
      <w:r w:rsidRPr="00A32897">
        <w:rPr>
          <w:rFonts w:ascii="Calibri" w:hAnsi="Calibri" w:cs="Calibri"/>
          <w:sz w:val="22"/>
          <w:szCs w:val="22"/>
        </w:rPr>
        <w:t xml:space="preserve">&lt;http://documents.worldbank.org/curated/en/970741468185346851/the-fight-against-river-blindness&gt; </w:t>
      </w:r>
      <w:r w:rsidR="00613059">
        <w:rPr>
          <w:rFonts w:ascii="Calibri" w:hAnsi="Calibri" w:cs="Calibri"/>
          <w:sz w:val="22"/>
          <w:szCs w:val="22"/>
        </w:rPr>
        <w:t>[a</w:t>
      </w:r>
      <w:r w:rsidRPr="00A32897">
        <w:rPr>
          <w:rFonts w:ascii="Calibri" w:hAnsi="Calibri" w:cs="Calibri"/>
          <w:sz w:val="22"/>
          <w:szCs w:val="22"/>
        </w:rPr>
        <w:t>ccessed 11 March 2018</w:t>
      </w:r>
      <w:r w:rsidR="00613059">
        <w:rPr>
          <w:rFonts w:ascii="Calibri" w:hAnsi="Calibri" w:cs="Calibri"/>
          <w:sz w:val="22"/>
          <w:szCs w:val="22"/>
        </w:rPr>
        <w:t>]</w:t>
      </w:r>
      <w:r w:rsidRPr="00A32897">
        <w:rPr>
          <w:rFonts w:ascii="Calibri" w:hAnsi="Calibri" w:cs="Calibri"/>
          <w:sz w:val="22"/>
          <w:szCs w:val="22"/>
        </w:rPr>
        <w:t>.</w:t>
      </w:r>
    </w:p>
    <w:p w14:paraId="77AFA9C7" w14:textId="77777777" w:rsidR="00145704" w:rsidRPr="00A32897" w:rsidRDefault="00145704" w:rsidP="00931CC1">
      <w:pPr>
        <w:ind w:left="360"/>
        <w:rPr>
          <w:rFonts w:ascii="Calibri" w:hAnsi="Calibri" w:cs="Calibri"/>
          <w:sz w:val="22"/>
          <w:szCs w:val="22"/>
        </w:rPr>
      </w:pPr>
    </w:p>
    <w:p w14:paraId="1CEE0035" w14:textId="291135B3" w:rsidR="00931CC1" w:rsidRDefault="00931CC1" w:rsidP="00931CC1">
      <w:pPr>
        <w:ind w:left="360"/>
        <w:rPr>
          <w:rFonts w:ascii="Calibri" w:hAnsi="Calibri" w:cs="Calibri"/>
          <w:sz w:val="22"/>
          <w:szCs w:val="22"/>
        </w:rPr>
      </w:pPr>
      <w:r w:rsidRPr="00A32897">
        <w:rPr>
          <w:rFonts w:ascii="Calibri" w:hAnsi="Calibri" w:cs="Calibri"/>
          <w:sz w:val="22"/>
          <w:szCs w:val="22"/>
        </w:rPr>
        <w:t xml:space="preserve">World Bank, </w:t>
      </w:r>
      <w:r w:rsidRPr="00A32897">
        <w:rPr>
          <w:rFonts w:ascii="Calibri" w:hAnsi="Calibri" w:cs="Calibri"/>
          <w:i/>
          <w:sz w:val="22"/>
          <w:szCs w:val="22"/>
        </w:rPr>
        <w:t xml:space="preserve">The impact of river blindness control programs in Africa: better health, more wealth </w:t>
      </w:r>
      <w:r w:rsidRPr="00A32897">
        <w:rPr>
          <w:rFonts w:ascii="Calibri" w:hAnsi="Calibri" w:cs="Calibri"/>
          <w:sz w:val="22"/>
          <w:szCs w:val="22"/>
        </w:rPr>
        <w:t>(Washington DC: World Bank, 2014).</w:t>
      </w:r>
    </w:p>
    <w:p w14:paraId="1445D7FE" w14:textId="77777777" w:rsidR="00145704" w:rsidRPr="00A32897" w:rsidRDefault="00145704" w:rsidP="00931CC1">
      <w:pPr>
        <w:ind w:left="360"/>
        <w:rPr>
          <w:rFonts w:ascii="Calibri" w:hAnsi="Calibri" w:cs="Calibri"/>
          <w:sz w:val="22"/>
          <w:szCs w:val="22"/>
        </w:rPr>
      </w:pPr>
    </w:p>
    <w:p w14:paraId="718AC2D9" w14:textId="567BD515" w:rsidR="00931CC1" w:rsidRDefault="00931CC1" w:rsidP="00931CC1">
      <w:pPr>
        <w:ind w:left="360"/>
        <w:rPr>
          <w:rFonts w:ascii="Calibri" w:hAnsi="Calibri" w:cs="Calibri"/>
          <w:sz w:val="22"/>
          <w:szCs w:val="22"/>
        </w:rPr>
      </w:pPr>
      <w:r w:rsidRPr="00A32897">
        <w:rPr>
          <w:rFonts w:ascii="Calibri" w:hAnsi="Calibri" w:cs="Calibri"/>
          <w:sz w:val="22"/>
          <w:szCs w:val="22"/>
        </w:rPr>
        <w:t xml:space="preserve">World Bank, </w:t>
      </w:r>
      <w:r w:rsidRPr="00A32897">
        <w:rPr>
          <w:rFonts w:ascii="Calibri" w:hAnsi="Calibri" w:cs="Calibri"/>
          <w:i/>
          <w:sz w:val="22"/>
          <w:szCs w:val="22"/>
        </w:rPr>
        <w:t xml:space="preserve">The Onchocerciasis Control Program in West Africa </w:t>
      </w:r>
      <w:r w:rsidRPr="00A32897">
        <w:rPr>
          <w:rFonts w:ascii="Calibri" w:hAnsi="Calibri" w:cs="Calibri"/>
          <w:sz w:val="22"/>
          <w:szCs w:val="22"/>
        </w:rPr>
        <w:t>(Washington DC: World Bank, 1993).</w:t>
      </w:r>
    </w:p>
    <w:p w14:paraId="67AA6E1A" w14:textId="77777777" w:rsidR="00145704" w:rsidRPr="00A32897" w:rsidRDefault="00145704" w:rsidP="00931CC1">
      <w:pPr>
        <w:ind w:left="360"/>
        <w:rPr>
          <w:rFonts w:ascii="Calibri" w:hAnsi="Calibri" w:cs="Calibri"/>
          <w:sz w:val="22"/>
          <w:szCs w:val="22"/>
        </w:rPr>
      </w:pPr>
    </w:p>
    <w:p w14:paraId="7361F79D" w14:textId="104ED5BB" w:rsidR="00931CC1" w:rsidRDefault="00931CC1" w:rsidP="00931CC1">
      <w:pPr>
        <w:ind w:left="360"/>
        <w:rPr>
          <w:rFonts w:ascii="Calibri" w:hAnsi="Calibri" w:cs="Calibri"/>
          <w:sz w:val="22"/>
          <w:szCs w:val="22"/>
        </w:rPr>
      </w:pPr>
      <w:r w:rsidRPr="00A32897">
        <w:rPr>
          <w:rFonts w:ascii="Calibri" w:hAnsi="Calibri" w:cs="Calibri"/>
          <w:sz w:val="22"/>
          <w:szCs w:val="22"/>
        </w:rPr>
        <w:t xml:space="preserve">World Bank, </w:t>
      </w:r>
      <w:r w:rsidRPr="00A32897">
        <w:rPr>
          <w:rFonts w:ascii="Calibri" w:hAnsi="Calibri" w:cs="Calibri"/>
          <w:i/>
          <w:sz w:val="22"/>
          <w:szCs w:val="22"/>
        </w:rPr>
        <w:t xml:space="preserve">World Bank support for global and regional initiatives under the Development Grant Facility (DGF): compendium of DGF programs </w:t>
      </w:r>
      <w:r w:rsidRPr="00A32897">
        <w:rPr>
          <w:rFonts w:ascii="Calibri" w:hAnsi="Calibri" w:cs="Calibri"/>
          <w:sz w:val="22"/>
          <w:szCs w:val="22"/>
        </w:rPr>
        <w:t>(Washington DC: World Bank 2002).</w:t>
      </w:r>
    </w:p>
    <w:p w14:paraId="3B6A2B32" w14:textId="77777777" w:rsidR="00145704" w:rsidRPr="00A32897" w:rsidRDefault="00145704" w:rsidP="00931CC1">
      <w:pPr>
        <w:ind w:left="360"/>
        <w:rPr>
          <w:rFonts w:ascii="Calibri" w:hAnsi="Calibri" w:cs="Calibri"/>
          <w:sz w:val="22"/>
          <w:szCs w:val="22"/>
        </w:rPr>
      </w:pPr>
    </w:p>
    <w:p w14:paraId="10653ABF" w14:textId="7307E2D8" w:rsidR="00931CC1" w:rsidRDefault="00931CC1" w:rsidP="00931CC1">
      <w:pPr>
        <w:ind w:left="360"/>
        <w:rPr>
          <w:rFonts w:ascii="Calibri" w:hAnsi="Calibri" w:cs="Calibri"/>
          <w:sz w:val="22"/>
          <w:szCs w:val="22"/>
        </w:rPr>
      </w:pPr>
      <w:r w:rsidRPr="00A32897">
        <w:rPr>
          <w:rFonts w:ascii="Calibri" w:hAnsi="Calibri" w:cs="Calibri"/>
          <w:sz w:val="22"/>
          <w:szCs w:val="22"/>
        </w:rPr>
        <w:t xml:space="preserve">World Health Organization, </w:t>
      </w:r>
      <w:r w:rsidRPr="00A32897">
        <w:rPr>
          <w:rFonts w:ascii="Calibri" w:hAnsi="Calibri" w:cs="Calibri"/>
          <w:i/>
          <w:sz w:val="22"/>
          <w:szCs w:val="22"/>
        </w:rPr>
        <w:t xml:space="preserve">Final report: third external review of the UNDP/World Bank/WHO Special Programme for Research and Training in Tropical Diseases (TDR) </w:t>
      </w:r>
      <w:r w:rsidRPr="00A32897">
        <w:rPr>
          <w:rFonts w:ascii="Calibri" w:hAnsi="Calibri" w:cs="Calibri"/>
          <w:sz w:val="22"/>
          <w:szCs w:val="22"/>
        </w:rPr>
        <w:t>(Geneva: WHO, 1998).</w:t>
      </w:r>
    </w:p>
    <w:p w14:paraId="109675D4" w14:textId="77777777" w:rsidR="00145704" w:rsidRPr="00A32897" w:rsidRDefault="00145704" w:rsidP="00931CC1">
      <w:pPr>
        <w:ind w:left="360"/>
        <w:rPr>
          <w:rFonts w:ascii="Calibri" w:hAnsi="Calibri" w:cs="Calibri"/>
          <w:sz w:val="22"/>
          <w:szCs w:val="22"/>
        </w:rPr>
      </w:pPr>
    </w:p>
    <w:p w14:paraId="168B7CD8" w14:textId="201228DA" w:rsidR="00931CC1" w:rsidRDefault="00931CC1" w:rsidP="00931CC1">
      <w:pPr>
        <w:ind w:left="360"/>
        <w:rPr>
          <w:rFonts w:ascii="Calibri" w:hAnsi="Calibri" w:cs="Calibri"/>
          <w:sz w:val="22"/>
          <w:szCs w:val="22"/>
          <w:shd w:val="clear" w:color="auto" w:fill="FFFFFF"/>
        </w:rPr>
      </w:pPr>
      <w:r w:rsidRPr="00A32897">
        <w:rPr>
          <w:rFonts w:ascii="Calibri" w:hAnsi="Calibri" w:cs="Calibri"/>
          <w:sz w:val="22"/>
          <w:szCs w:val="22"/>
          <w:shd w:val="clear" w:color="auto" w:fill="FFFFFF"/>
        </w:rPr>
        <w:t xml:space="preserve">Yameogo L, Resh V and Molyneux D, ‘Control of river blindness in West Africa: case history of biodiversity in a disease control program’, </w:t>
      </w:r>
      <w:r w:rsidRPr="00A32897">
        <w:rPr>
          <w:rFonts w:ascii="Calibri" w:hAnsi="Calibri" w:cs="Calibri"/>
          <w:i/>
          <w:sz w:val="22"/>
          <w:szCs w:val="22"/>
          <w:shd w:val="clear" w:color="auto" w:fill="FFFFFF"/>
        </w:rPr>
        <w:t xml:space="preserve">EcoHealth </w:t>
      </w:r>
      <w:r w:rsidRPr="00A32897">
        <w:rPr>
          <w:rFonts w:ascii="Calibri" w:hAnsi="Calibri" w:cs="Calibri"/>
          <w:sz w:val="22"/>
          <w:szCs w:val="22"/>
          <w:shd w:val="clear" w:color="auto" w:fill="FFFFFF"/>
        </w:rPr>
        <w:t>1:2 (2004), 172-183.</w:t>
      </w:r>
    </w:p>
    <w:p w14:paraId="78F36FF1" w14:textId="77777777" w:rsidR="00145704" w:rsidRPr="00A32897" w:rsidRDefault="00145704" w:rsidP="00931CC1">
      <w:pPr>
        <w:ind w:left="360"/>
        <w:rPr>
          <w:rFonts w:ascii="Calibri" w:hAnsi="Calibri" w:cs="Calibri"/>
          <w:sz w:val="22"/>
          <w:szCs w:val="22"/>
        </w:rPr>
      </w:pPr>
    </w:p>
    <w:p w14:paraId="00411A94" w14:textId="2E1A7925" w:rsidR="00931CC1" w:rsidRDefault="00931CC1" w:rsidP="00931CC1">
      <w:pPr>
        <w:ind w:left="360"/>
        <w:rPr>
          <w:rFonts w:ascii="Calibri" w:hAnsi="Calibri" w:cs="Calibri"/>
          <w:sz w:val="22"/>
          <w:szCs w:val="22"/>
          <w:shd w:val="clear" w:color="auto" w:fill="FFFFFF"/>
        </w:rPr>
      </w:pPr>
      <w:r w:rsidRPr="00A32897">
        <w:rPr>
          <w:rFonts w:ascii="Calibri" w:hAnsi="Calibri" w:cs="Calibri"/>
          <w:sz w:val="22"/>
          <w:szCs w:val="22"/>
          <w:shd w:val="clear" w:color="auto" w:fill="FFFFFF"/>
        </w:rPr>
        <w:lastRenderedPageBreak/>
        <w:t xml:space="preserve">Younger SD and Zongo JB, ‘West Africa: the Onchocerciasis Control Program’, </w:t>
      </w:r>
      <w:r w:rsidRPr="00A32897">
        <w:rPr>
          <w:rFonts w:ascii="Calibri" w:hAnsi="Calibri" w:cs="Calibri"/>
          <w:i/>
          <w:sz w:val="22"/>
          <w:szCs w:val="22"/>
          <w:shd w:val="clear" w:color="auto" w:fill="FFFFFF"/>
        </w:rPr>
        <w:t xml:space="preserve">Successful development in Africa </w:t>
      </w:r>
      <w:r w:rsidRPr="00A32897">
        <w:rPr>
          <w:rFonts w:ascii="Calibri" w:hAnsi="Calibri" w:cs="Calibri"/>
          <w:sz w:val="22"/>
          <w:szCs w:val="22"/>
          <w:shd w:val="clear" w:color="auto" w:fill="FFFFFF"/>
        </w:rPr>
        <w:t>(Washington DC: World Bank, 1989), 27.</w:t>
      </w:r>
    </w:p>
    <w:p w14:paraId="48A65F60" w14:textId="77777777" w:rsidR="00145704" w:rsidRPr="00A32897" w:rsidRDefault="00145704" w:rsidP="00931CC1">
      <w:pPr>
        <w:ind w:left="360"/>
        <w:rPr>
          <w:rFonts w:ascii="Calibri" w:hAnsi="Calibri" w:cs="Calibri"/>
          <w:sz w:val="22"/>
          <w:szCs w:val="22"/>
        </w:rPr>
      </w:pPr>
    </w:p>
    <w:p w14:paraId="5CA54467" w14:textId="77777777" w:rsidR="00931CC1" w:rsidRPr="00A32897" w:rsidRDefault="00931CC1" w:rsidP="00931CC1">
      <w:pPr>
        <w:ind w:left="360"/>
        <w:rPr>
          <w:rFonts w:ascii="Calibri" w:hAnsi="Calibri" w:cs="Calibri"/>
          <w:sz w:val="22"/>
          <w:szCs w:val="22"/>
        </w:rPr>
      </w:pPr>
      <w:r w:rsidRPr="00A32897">
        <w:rPr>
          <w:rFonts w:ascii="Calibri" w:hAnsi="Calibri" w:cs="Calibri"/>
          <w:sz w:val="22"/>
          <w:szCs w:val="22"/>
          <w:shd w:val="clear" w:color="auto" w:fill="FFFFFF"/>
        </w:rPr>
        <w:t xml:space="preserve">Youngerman B, </w:t>
      </w:r>
      <w:r w:rsidRPr="00A32897">
        <w:rPr>
          <w:rFonts w:ascii="Calibri" w:hAnsi="Calibri" w:cs="Calibri"/>
          <w:i/>
          <w:sz w:val="22"/>
          <w:szCs w:val="22"/>
          <w:shd w:val="clear" w:color="auto" w:fill="FFFFFF"/>
        </w:rPr>
        <w:t xml:space="preserve">Pandemics and global health </w:t>
      </w:r>
      <w:r w:rsidRPr="00A32897">
        <w:rPr>
          <w:rFonts w:ascii="Calibri" w:hAnsi="Calibri" w:cs="Calibri"/>
          <w:sz w:val="22"/>
          <w:szCs w:val="22"/>
          <w:shd w:val="clear" w:color="auto" w:fill="FFFFFF"/>
        </w:rPr>
        <w:t>(New York: Infobase Publishing, 2018).</w:t>
      </w:r>
    </w:p>
    <w:p w14:paraId="4B3E1CCE" w14:textId="77777777" w:rsidR="00931CC1" w:rsidRPr="00A32897" w:rsidRDefault="00931CC1" w:rsidP="00931CC1">
      <w:pPr>
        <w:rPr>
          <w:rFonts w:ascii="Calibri" w:hAnsi="Calibri" w:cs="Calibri"/>
          <w:sz w:val="22"/>
          <w:szCs w:val="22"/>
        </w:rPr>
      </w:pPr>
    </w:p>
    <w:p w14:paraId="28E3D697" w14:textId="720C8E72" w:rsidR="00931CC1" w:rsidRDefault="00931CC1" w:rsidP="00931CC1">
      <w:pPr>
        <w:rPr>
          <w:rFonts w:ascii="Calibri" w:hAnsi="Calibri" w:cs="Calibri"/>
          <w:b/>
          <w:sz w:val="22"/>
          <w:szCs w:val="22"/>
        </w:rPr>
      </w:pPr>
      <w:r w:rsidRPr="00A32897">
        <w:rPr>
          <w:rFonts w:ascii="Calibri" w:hAnsi="Calibri" w:cs="Calibri"/>
          <w:b/>
          <w:sz w:val="22"/>
          <w:szCs w:val="22"/>
        </w:rPr>
        <w:t>Blogs and news articles:</w:t>
      </w:r>
    </w:p>
    <w:p w14:paraId="66C1ADDD" w14:textId="77777777" w:rsidR="009C05EE" w:rsidRPr="00A32897" w:rsidRDefault="009C05EE" w:rsidP="00931CC1">
      <w:pPr>
        <w:rPr>
          <w:rFonts w:ascii="Calibri" w:hAnsi="Calibri" w:cs="Calibri"/>
          <w:b/>
          <w:sz w:val="22"/>
          <w:szCs w:val="22"/>
        </w:rPr>
      </w:pPr>
    </w:p>
    <w:p w14:paraId="47AC2AD5" w14:textId="245056C3" w:rsidR="00931CC1" w:rsidRDefault="00931CC1" w:rsidP="00931CC1">
      <w:pPr>
        <w:ind w:left="360"/>
        <w:rPr>
          <w:rFonts w:ascii="Calibri" w:hAnsi="Calibri" w:cs="Calibri"/>
          <w:sz w:val="22"/>
          <w:szCs w:val="22"/>
        </w:rPr>
      </w:pPr>
      <w:r w:rsidRPr="00A32897">
        <w:rPr>
          <w:rFonts w:ascii="Calibri" w:hAnsi="Calibri" w:cs="Calibri"/>
          <w:sz w:val="22"/>
          <w:szCs w:val="22"/>
        </w:rPr>
        <w:t xml:space="preserve">Australian Broadcasting Corporation, ‘River blindness – a good news stories’, </w:t>
      </w:r>
      <w:r w:rsidRPr="00A32897">
        <w:rPr>
          <w:rFonts w:ascii="Calibri" w:hAnsi="Calibri" w:cs="Calibri"/>
          <w:i/>
          <w:sz w:val="22"/>
          <w:szCs w:val="22"/>
        </w:rPr>
        <w:t xml:space="preserve">Ockham’s Razor, ABC Radio National </w:t>
      </w:r>
      <w:r w:rsidRPr="00A32897">
        <w:rPr>
          <w:rFonts w:ascii="Calibri" w:hAnsi="Calibri" w:cs="Calibri"/>
          <w:sz w:val="22"/>
          <w:szCs w:val="22"/>
        </w:rPr>
        <w:t>(</w:t>
      </w:r>
      <w:r w:rsidR="00613059">
        <w:rPr>
          <w:rFonts w:ascii="Calibri" w:hAnsi="Calibri" w:cs="Calibri"/>
          <w:sz w:val="22"/>
          <w:szCs w:val="22"/>
        </w:rPr>
        <w:t xml:space="preserve">online), </w:t>
      </w:r>
      <w:r w:rsidRPr="00A32897">
        <w:rPr>
          <w:rFonts w:ascii="Calibri" w:hAnsi="Calibri" w:cs="Calibri"/>
          <w:sz w:val="22"/>
          <w:szCs w:val="22"/>
        </w:rPr>
        <w:t>21 July 2002, &lt;https://www.abc.net.au/radionational/programs/ockhamsrazor/river-blindness---a-good-news-stories/3514288&gt; [accessed 15 February 2018].</w:t>
      </w:r>
    </w:p>
    <w:p w14:paraId="3F84B7F8" w14:textId="77777777" w:rsidR="00145704" w:rsidRPr="00A32897" w:rsidRDefault="00145704" w:rsidP="00931CC1">
      <w:pPr>
        <w:ind w:left="360"/>
        <w:rPr>
          <w:rFonts w:ascii="Calibri" w:hAnsi="Calibri" w:cs="Calibri"/>
          <w:sz w:val="22"/>
          <w:szCs w:val="22"/>
        </w:rPr>
      </w:pPr>
    </w:p>
    <w:p w14:paraId="32F40E43" w14:textId="31561FD6" w:rsidR="00931CC1" w:rsidRDefault="00931CC1" w:rsidP="00931CC1">
      <w:pPr>
        <w:ind w:left="360"/>
        <w:rPr>
          <w:rFonts w:ascii="Calibri" w:hAnsi="Calibri" w:cs="Calibri"/>
          <w:sz w:val="22"/>
          <w:szCs w:val="22"/>
        </w:rPr>
      </w:pPr>
      <w:r w:rsidRPr="00A32897">
        <w:rPr>
          <w:rFonts w:ascii="Calibri" w:hAnsi="Calibri" w:cs="Calibri"/>
          <w:sz w:val="22"/>
          <w:szCs w:val="22"/>
        </w:rPr>
        <w:t xml:space="preserve">Beaubien J, ‘What a difference a drug makes in the fight against river blindness’, </w:t>
      </w:r>
      <w:r w:rsidRPr="00A32897">
        <w:rPr>
          <w:rFonts w:ascii="Calibri" w:hAnsi="Calibri" w:cs="Calibri"/>
          <w:i/>
          <w:sz w:val="22"/>
          <w:szCs w:val="22"/>
        </w:rPr>
        <w:t xml:space="preserve">National Public Radio </w:t>
      </w:r>
      <w:r w:rsidRPr="00A32897">
        <w:rPr>
          <w:rFonts w:ascii="Calibri" w:hAnsi="Calibri" w:cs="Calibri"/>
          <w:sz w:val="22"/>
          <w:szCs w:val="22"/>
        </w:rPr>
        <w:t>(</w:t>
      </w:r>
      <w:r w:rsidR="00613059">
        <w:rPr>
          <w:rFonts w:ascii="Calibri" w:hAnsi="Calibri" w:cs="Calibri"/>
          <w:sz w:val="22"/>
          <w:szCs w:val="22"/>
        </w:rPr>
        <w:t xml:space="preserve">online), </w:t>
      </w:r>
      <w:r w:rsidRPr="00A32897">
        <w:rPr>
          <w:rFonts w:ascii="Calibri" w:hAnsi="Calibri" w:cs="Calibri"/>
          <w:sz w:val="22"/>
          <w:szCs w:val="22"/>
        </w:rPr>
        <w:t>14 January 2016, &lt;https://choice.npr.org/index.html?origin=https://www.npr.org/sections/goatsandsoda/2016/01/14/462911847/what-a-difference-a-drug-makes-in-the-fight-against-river-blindness&gt; [accessed 15 February 2018].</w:t>
      </w:r>
    </w:p>
    <w:p w14:paraId="4E303092" w14:textId="77777777" w:rsidR="00145704" w:rsidRPr="00A32897" w:rsidRDefault="00145704" w:rsidP="00931CC1">
      <w:pPr>
        <w:ind w:left="360"/>
        <w:rPr>
          <w:rFonts w:ascii="Calibri" w:hAnsi="Calibri" w:cs="Calibri"/>
          <w:sz w:val="22"/>
          <w:szCs w:val="22"/>
        </w:rPr>
      </w:pPr>
    </w:p>
    <w:p w14:paraId="57D3F4DC" w14:textId="213C05E1" w:rsidR="00931CC1" w:rsidRDefault="00931CC1" w:rsidP="00931CC1">
      <w:pPr>
        <w:ind w:left="360"/>
        <w:rPr>
          <w:rFonts w:ascii="Calibri" w:hAnsi="Calibri" w:cs="Calibri"/>
          <w:sz w:val="22"/>
          <w:szCs w:val="22"/>
        </w:rPr>
      </w:pPr>
      <w:r w:rsidRPr="00A32897">
        <w:rPr>
          <w:rFonts w:ascii="Calibri" w:hAnsi="Calibri" w:cs="Calibri"/>
          <w:sz w:val="22"/>
          <w:szCs w:val="22"/>
        </w:rPr>
        <w:t xml:space="preserve">Birdsall N, ‘Bob McNamara should also be remembered as transformative president of the World Bank’, </w:t>
      </w:r>
      <w:r w:rsidRPr="00A32897">
        <w:rPr>
          <w:rFonts w:ascii="Calibri" w:hAnsi="Calibri" w:cs="Calibri"/>
          <w:i/>
          <w:sz w:val="22"/>
          <w:szCs w:val="22"/>
        </w:rPr>
        <w:t>Center for Global Development</w:t>
      </w:r>
      <w:r w:rsidR="00613059">
        <w:rPr>
          <w:rFonts w:ascii="Calibri" w:hAnsi="Calibri" w:cs="Calibri"/>
          <w:i/>
          <w:sz w:val="22"/>
          <w:szCs w:val="22"/>
        </w:rPr>
        <w:t xml:space="preserve"> B</w:t>
      </w:r>
      <w:r w:rsidRPr="00A32897">
        <w:rPr>
          <w:rFonts w:ascii="Calibri" w:hAnsi="Calibri" w:cs="Calibri"/>
          <w:i/>
          <w:sz w:val="22"/>
          <w:szCs w:val="22"/>
        </w:rPr>
        <w:t xml:space="preserve">log </w:t>
      </w:r>
      <w:r w:rsidRPr="00A32897">
        <w:rPr>
          <w:rFonts w:ascii="Calibri" w:hAnsi="Calibri" w:cs="Calibri"/>
          <w:sz w:val="22"/>
          <w:szCs w:val="22"/>
        </w:rPr>
        <w:t>(</w:t>
      </w:r>
      <w:r w:rsidR="00613059">
        <w:rPr>
          <w:rFonts w:ascii="Calibri" w:hAnsi="Calibri" w:cs="Calibri"/>
          <w:sz w:val="22"/>
          <w:szCs w:val="22"/>
        </w:rPr>
        <w:t xml:space="preserve">online), </w:t>
      </w:r>
      <w:r w:rsidRPr="00A32897">
        <w:rPr>
          <w:rFonts w:ascii="Calibri" w:hAnsi="Calibri" w:cs="Calibri"/>
          <w:sz w:val="22"/>
          <w:szCs w:val="22"/>
        </w:rPr>
        <w:t>6 July 2009, &lt;https://www.cgdev.org/blog/bob-mcnamara-should-also-be-remembered-transformative-president-world-bank&gt; [accessed 15 February 2018].</w:t>
      </w:r>
    </w:p>
    <w:p w14:paraId="665763C7" w14:textId="77777777" w:rsidR="00145704" w:rsidRPr="00A32897" w:rsidRDefault="00145704" w:rsidP="00931CC1">
      <w:pPr>
        <w:ind w:left="360"/>
        <w:rPr>
          <w:rFonts w:ascii="Calibri" w:hAnsi="Calibri" w:cs="Calibri"/>
          <w:sz w:val="22"/>
          <w:szCs w:val="22"/>
        </w:rPr>
      </w:pPr>
    </w:p>
    <w:p w14:paraId="79657190" w14:textId="77777777" w:rsidR="00931CC1" w:rsidRPr="00A32897" w:rsidRDefault="00931CC1" w:rsidP="00931CC1">
      <w:pPr>
        <w:ind w:left="360"/>
        <w:rPr>
          <w:rFonts w:ascii="Calibri" w:hAnsi="Calibri" w:cs="Calibri"/>
          <w:sz w:val="22"/>
          <w:szCs w:val="22"/>
        </w:rPr>
      </w:pPr>
      <w:r w:rsidRPr="00A32897">
        <w:rPr>
          <w:rFonts w:ascii="Calibri" w:hAnsi="Calibri" w:cs="Calibri"/>
          <w:sz w:val="22"/>
          <w:szCs w:val="22"/>
        </w:rPr>
        <w:t xml:space="preserve">Bowcott O, ‘River blindness could be eradicated “in 10 years”’, </w:t>
      </w:r>
      <w:r w:rsidRPr="00A32897">
        <w:rPr>
          <w:rFonts w:ascii="Calibri" w:hAnsi="Calibri" w:cs="Calibri"/>
          <w:i/>
          <w:sz w:val="22"/>
          <w:szCs w:val="22"/>
        </w:rPr>
        <w:t xml:space="preserve">The Guardian </w:t>
      </w:r>
      <w:r w:rsidRPr="00A32897">
        <w:rPr>
          <w:rFonts w:ascii="Calibri" w:hAnsi="Calibri" w:cs="Calibri"/>
          <w:sz w:val="22"/>
          <w:szCs w:val="22"/>
        </w:rPr>
        <w:t>(4 December 1997).</w:t>
      </w:r>
    </w:p>
    <w:p w14:paraId="02BBAF1D" w14:textId="77777777" w:rsidR="00613059" w:rsidRDefault="00613059" w:rsidP="00931CC1">
      <w:pPr>
        <w:ind w:left="360"/>
        <w:rPr>
          <w:rFonts w:ascii="Calibri" w:hAnsi="Calibri" w:cs="Calibri"/>
          <w:sz w:val="22"/>
          <w:szCs w:val="22"/>
        </w:rPr>
      </w:pPr>
    </w:p>
    <w:p w14:paraId="43C292C1" w14:textId="16BA437C" w:rsidR="00931CC1" w:rsidRDefault="00931CC1" w:rsidP="00931CC1">
      <w:pPr>
        <w:ind w:left="360"/>
        <w:rPr>
          <w:rFonts w:ascii="Calibri" w:hAnsi="Calibri" w:cs="Calibri"/>
          <w:sz w:val="22"/>
          <w:szCs w:val="22"/>
        </w:rPr>
      </w:pPr>
      <w:r w:rsidRPr="00A32897">
        <w:rPr>
          <w:rFonts w:ascii="Calibri" w:hAnsi="Calibri" w:cs="Calibri"/>
          <w:sz w:val="22"/>
          <w:szCs w:val="22"/>
        </w:rPr>
        <w:t xml:space="preserve">Brooke J, ‘Ancient scourge loses ground in West Africa’, </w:t>
      </w:r>
      <w:r w:rsidRPr="00A32897">
        <w:rPr>
          <w:rFonts w:ascii="Calibri" w:hAnsi="Calibri" w:cs="Calibri"/>
          <w:i/>
          <w:sz w:val="22"/>
          <w:szCs w:val="22"/>
        </w:rPr>
        <w:t xml:space="preserve">Special to the New York Times </w:t>
      </w:r>
      <w:r w:rsidRPr="00A32897">
        <w:rPr>
          <w:rFonts w:ascii="Calibri" w:hAnsi="Calibri" w:cs="Calibri"/>
          <w:sz w:val="22"/>
          <w:szCs w:val="22"/>
        </w:rPr>
        <w:t>(3 September 1987).</w:t>
      </w:r>
    </w:p>
    <w:p w14:paraId="0E8B55F6" w14:textId="77777777" w:rsidR="00145704" w:rsidRPr="00A32897" w:rsidRDefault="00145704" w:rsidP="00931CC1">
      <w:pPr>
        <w:ind w:left="360"/>
        <w:rPr>
          <w:rFonts w:ascii="Calibri" w:hAnsi="Calibri" w:cs="Calibri"/>
          <w:sz w:val="22"/>
          <w:szCs w:val="22"/>
        </w:rPr>
      </w:pPr>
    </w:p>
    <w:p w14:paraId="1A84D041" w14:textId="126D7A2A" w:rsidR="00931CC1" w:rsidRDefault="00931CC1" w:rsidP="00931CC1">
      <w:pPr>
        <w:ind w:left="360"/>
        <w:rPr>
          <w:rFonts w:ascii="Calibri" w:hAnsi="Calibri" w:cs="Calibri"/>
          <w:sz w:val="22"/>
          <w:szCs w:val="22"/>
        </w:rPr>
      </w:pPr>
      <w:r w:rsidRPr="00A32897">
        <w:rPr>
          <w:rFonts w:ascii="Calibri" w:hAnsi="Calibri" w:cs="Calibri"/>
          <w:sz w:val="22"/>
          <w:szCs w:val="22"/>
        </w:rPr>
        <w:t xml:space="preserve">Brooke J, ‘Old scourge loses ground in West Africa’, </w:t>
      </w:r>
      <w:r w:rsidRPr="00A32897">
        <w:rPr>
          <w:rFonts w:ascii="Calibri" w:hAnsi="Calibri" w:cs="Calibri"/>
          <w:i/>
          <w:sz w:val="22"/>
          <w:szCs w:val="22"/>
        </w:rPr>
        <w:t xml:space="preserve">Special to the New York Times </w:t>
      </w:r>
      <w:r w:rsidRPr="00A32897">
        <w:rPr>
          <w:rFonts w:ascii="Calibri" w:hAnsi="Calibri" w:cs="Calibri"/>
          <w:sz w:val="22"/>
          <w:szCs w:val="22"/>
        </w:rPr>
        <w:t>(3 September 1987).</w:t>
      </w:r>
    </w:p>
    <w:p w14:paraId="0CF44ECA" w14:textId="77777777" w:rsidR="00145704" w:rsidRPr="00A32897" w:rsidRDefault="00145704" w:rsidP="00931CC1">
      <w:pPr>
        <w:ind w:left="360"/>
        <w:rPr>
          <w:rFonts w:ascii="Calibri" w:hAnsi="Calibri" w:cs="Calibri"/>
          <w:sz w:val="22"/>
          <w:szCs w:val="22"/>
        </w:rPr>
      </w:pPr>
    </w:p>
    <w:p w14:paraId="743614CB" w14:textId="14F585A3" w:rsidR="00931CC1" w:rsidRDefault="00931CC1" w:rsidP="00931CC1">
      <w:pPr>
        <w:ind w:left="360"/>
        <w:rPr>
          <w:rFonts w:ascii="Calibri" w:hAnsi="Calibri" w:cs="Calibri"/>
          <w:sz w:val="22"/>
          <w:szCs w:val="22"/>
        </w:rPr>
      </w:pPr>
      <w:r w:rsidRPr="00A32897">
        <w:rPr>
          <w:rFonts w:ascii="Calibri" w:hAnsi="Calibri" w:cs="Calibri"/>
          <w:sz w:val="22"/>
          <w:szCs w:val="22"/>
        </w:rPr>
        <w:t xml:space="preserve">Bundy D and Brooke Schultz L, ‘Uniting to combat neglected tropical diseases: a renewed commitment to control “diseases of poverty” and accelerate development’, </w:t>
      </w:r>
      <w:r w:rsidRPr="00A32897">
        <w:rPr>
          <w:rFonts w:ascii="Calibri" w:hAnsi="Calibri" w:cs="Calibri"/>
          <w:i/>
          <w:sz w:val="22"/>
          <w:szCs w:val="22"/>
        </w:rPr>
        <w:t xml:space="preserve">World Bank </w:t>
      </w:r>
      <w:r w:rsidR="00613059">
        <w:rPr>
          <w:rFonts w:ascii="Calibri" w:hAnsi="Calibri" w:cs="Calibri"/>
          <w:i/>
          <w:sz w:val="22"/>
          <w:szCs w:val="22"/>
        </w:rPr>
        <w:t>B</w:t>
      </w:r>
      <w:r w:rsidRPr="00A32897">
        <w:rPr>
          <w:rFonts w:ascii="Calibri" w:hAnsi="Calibri" w:cs="Calibri"/>
          <w:i/>
          <w:sz w:val="22"/>
          <w:szCs w:val="22"/>
        </w:rPr>
        <w:t xml:space="preserve">logs </w:t>
      </w:r>
      <w:r w:rsidRPr="00A32897">
        <w:rPr>
          <w:rFonts w:ascii="Calibri" w:hAnsi="Calibri" w:cs="Calibri"/>
          <w:sz w:val="22"/>
          <w:szCs w:val="22"/>
        </w:rPr>
        <w:t>(</w:t>
      </w:r>
      <w:r w:rsidR="00613059">
        <w:rPr>
          <w:rFonts w:ascii="Calibri" w:hAnsi="Calibri" w:cs="Calibri"/>
          <w:sz w:val="22"/>
          <w:szCs w:val="22"/>
        </w:rPr>
        <w:t xml:space="preserve">online), </w:t>
      </w:r>
      <w:r w:rsidRPr="00A32897">
        <w:rPr>
          <w:rFonts w:ascii="Calibri" w:hAnsi="Calibri" w:cs="Calibri"/>
          <w:sz w:val="22"/>
          <w:szCs w:val="22"/>
        </w:rPr>
        <w:t>2 April 2014, &lt; https://blogs.worldbank.org/health/uniting-combat-neglected-tropical-diseases-renewed-commitment-control-diseases-poverty-and&gt; [accessed 15 February 2018].</w:t>
      </w:r>
    </w:p>
    <w:p w14:paraId="165FFB54" w14:textId="77777777" w:rsidR="00145704" w:rsidRPr="00A32897" w:rsidRDefault="00145704" w:rsidP="00931CC1">
      <w:pPr>
        <w:ind w:left="360"/>
        <w:rPr>
          <w:rFonts w:ascii="Calibri" w:hAnsi="Calibri" w:cs="Calibri"/>
          <w:sz w:val="22"/>
          <w:szCs w:val="22"/>
        </w:rPr>
      </w:pPr>
    </w:p>
    <w:p w14:paraId="59C89F03" w14:textId="2E25C088" w:rsidR="00931CC1" w:rsidRDefault="00931CC1" w:rsidP="00931CC1">
      <w:pPr>
        <w:ind w:left="360"/>
        <w:rPr>
          <w:rFonts w:ascii="Calibri" w:hAnsi="Calibri" w:cs="Calibri"/>
          <w:sz w:val="22"/>
          <w:szCs w:val="22"/>
        </w:rPr>
      </w:pPr>
      <w:r w:rsidRPr="00A32897">
        <w:rPr>
          <w:rFonts w:ascii="Calibri" w:hAnsi="Calibri" w:cs="Calibri"/>
          <w:sz w:val="22"/>
          <w:szCs w:val="22"/>
        </w:rPr>
        <w:t xml:space="preserve">Bundy D, ‘Neglected diseases of neglected people: the case for investing in neglected tropical diseases’, </w:t>
      </w:r>
      <w:r w:rsidRPr="00A32897">
        <w:rPr>
          <w:rFonts w:ascii="Calibri" w:hAnsi="Calibri" w:cs="Calibri"/>
          <w:i/>
          <w:sz w:val="22"/>
          <w:szCs w:val="22"/>
        </w:rPr>
        <w:t xml:space="preserve">World Bank </w:t>
      </w:r>
      <w:r w:rsidR="00613059">
        <w:rPr>
          <w:rFonts w:ascii="Calibri" w:hAnsi="Calibri" w:cs="Calibri"/>
          <w:i/>
          <w:sz w:val="22"/>
          <w:szCs w:val="22"/>
        </w:rPr>
        <w:t>B</w:t>
      </w:r>
      <w:r w:rsidRPr="00A32897">
        <w:rPr>
          <w:rFonts w:ascii="Calibri" w:hAnsi="Calibri" w:cs="Calibri"/>
          <w:i/>
          <w:sz w:val="22"/>
          <w:szCs w:val="22"/>
        </w:rPr>
        <w:t xml:space="preserve">logs </w:t>
      </w:r>
      <w:r w:rsidRPr="00A32897">
        <w:rPr>
          <w:rFonts w:ascii="Calibri" w:hAnsi="Calibri" w:cs="Calibri"/>
          <w:sz w:val="22"/>
          <w:szCs w:val="22"/>
        </w:rPr>
        <w:t>(</w:t>
      </w:r>
      <w:r w:rsidR="00613059">
        <w:rPr>
          <w:rFonts w:ascii="Calibri" w:hAnsi="Calibri" w:cs="Calibri"/>
          <w:sz w:val="22"/>
          <w:szCs w:val="22"/>
        </w:rPr>
        <w:t xml:space="preserve">online), </w:t>
      </w:r>
      <w:r w:rsidRPr="00A32897">
        <w:rPr>
          <w:rFonts w:ascii="Calibri" w:hAnsi="Calibri" w:cs="Calibri"/>
          <w:sz w:val="22"/>
          <w:szCs w:val="22"/>
        </w:rPr>
        <w:t>14 February 2013, &lt;https://blogs.worldbank.org/health/neglected-diseases-of-neglected-people-the-case-for-investing-in-neglected-tropical-diseases&gt; [accessed 15 February 2018].</w:t>
      </w:r>
    </w:p>
    <w:p w14:paraId="696FFC96" w14:textId="77777777" w:rsidR="00145704" w:rsidRPr="00A32897" w:rsidRDefault="00145704" w:rsidP="00931CC1">
      <w:pPr>
        <w:ind w:left="360"/>
        <w:rPr>
          <w:rFonts w:ascii="Calibri" w:hAnsi="Calibri" w:cs="Calibri"/>
          <w:sz w:val="22"/>
          <w:szCs w:val="22"/>
        </w:rPr>
      </w:pPr>
    </w:p>
    <w:p w14:paraId="00892C42" w14:textId="1E47C2FB" w:rsidR="00931CC1" w:rsidRDefault="00931CC1" w:rsidP="00931CC1">
      <w:pPr>
        <w:ind w:left="360"/>
        <w:rPr>
          <w:rFonts w:ascii="Calibri" w:hAnsi="Calibri" w:cs="Calibri"/>
          <w:sz w:val="22"/>
          <w:szCs w:val="22"/>
        </w:rPr>
      </w:pPr>
      <w:r w:rsidRPr="00A32897">
        <w:rPr>
          <w:rFonts w:ascii="Calibri" w:hAnsi="Calibri" w:cs="Calibri"/>
          <w:sz w:val="22"/>
          <w:szCs w:val="22"/>
        </w:rPr>
        <w:t xml:space="preserve">Chi Tembon A and Brooke Schultz L, ‘Ending suffering from neglected tropical diseases: mission possible’, </w:t>
      </w:r>
      <w:r w:rsidRPr="00A32897">
        <w:rPr>
          <w:rFonts w:ascii="Calibri" w:hAnsi="Calibri" w:cs="Calibri"/>
          <w:i/>
          <w:sz w:val="22"/>
          <w:szCs w:val="22"/>
        </w:rPr>
        <w:t xml:space="preserve">World Bank </w:t>
      </w:r>
      <w:r w:rsidR="00613059">
        <w:rPr>
          <w:rFonts w:ascii="Calibri" w:hAnsi="Calibri" w:cs="Calibri"/>
          <w:i/>
          <w:sz w:val="22"/>
          <w:szCs w:val="22"/>
        </w:rPr>
        <w:t>B</w:t>
      </w:r>
      <w:r w:rsidRPr="00A32897">
        <w:rPr>
          <w:rFonts w:ascii="Calibri" w:hAnsi="Calibri" w:cs="Calibri"/>
          <w:i/>
          <w:sz w:val="22"/>
          <w:szCs w:val="22"/>
        </w:rPr>
        <w:t xml:space="preserve">logs </w:t>
      </w:r>
      <w:r w:rsidRPr="00A32897">
        <w:rPr>
          <w:rFonts w:ascii="Calibri" w:hAnsi="Calibri" w:cs="Calibri"/>
          <w:sz w:val="22"/>
          <w:szCs w:val="22"/>
        </w:rPr>
        <w:t>(</w:t>
      </w:r>
      <w:r w:rsidR="00613059">
        <w:rPr>
          <w:rFonts w:ascii="Calibri" w:hAnsi="Calibri" w:cs="Calibri"/>
          <w:sz w:val="22"/>
          <w:szCs w:val="22"/>
        </w:rPr>
        <w:t xml:space="preserve">online), </w:t>
      </w:r>
      <w:r w:rsidRPr="00A32897">
        <w:rPr>
          <w:rFonts w:ascii="Calibri" w:hAnsi="Calibri" w:cs="Calibri"/>
          <w:sz w:val="22"/>
          <w:szCs w:val="22"/>
        </w:rPr>
        <w:t>2 February 2017, &lt;https://blogs.worldbank.org/health/ending-suffering-neglected-tropical-diseases-mission-possible&gt; [accessed 15 February 2018].</w:t>
      </w:r>
    </w:p>
    <w:p w14:paraId="32DB0676" w14:textId="77777777" w:rsidR="00145704" w:rsidRPr="00A32897" w:rsidRDefault="00145704" w:rsidP="00931CC1">
      <w:pPr>
        <w:ind w:left="360"/>
        <w:rPr>
          <w:rFonts w:ascii="Calibri" w:hAnsi="Calibri" w:cs="Calibri"/>
          <w:sz w:val="22"/>
          <w:szCs w:val="22"/>
        </w:rPr>
      </w:pPr>
    </w:p>
    <w:p w14:paraId="29737E40" w14:textId="1793AAB8" w:rsidR="00931CC1" w:rsidRDefault="00931CC1" w:rsidP="00931CC1">
      <w:pPr>
        <w:ind w:left="360"/>
        <w:rPr>
          <w:rFonts w:ascii="Calibri" w:hAnsi="Calibri" w:cs="Calibri"/>
          <w:sz w:val="22"/>
          <w:szCs w:val="22"/>
        </w:rPr>
      </w:pPr>
      <w:r w:rsidRPr="00A32897">
        <w:rPr>
          <w:rFonts w:ascii="Calibri" w:hAnsi="Calibri" w:cs="Calibri"/>
          <w:sz w:val="22"/>
          <w:szCs w:val="22"/>
        </w:rPr>
        <w:t xml:space="preserve">Cobb C, ‘Elimination of river blindness “possible within ten years”’, </w:t>
      </w:r>
      <w:r w:rsidRPr="00A32897">
        <w:rPr>
          <w:rFonts w:ascii="Calibri" w:hAnsi="Calibri" w:cs="Calibri"/>
          <w:i/>
          <w:sz w:val="22"/>
          <w:szCs w:val="22"/>
        </w:rPr>
        <w:t xml:space="preserve">All Africa Global Media </w:t>
      </w:r>
      <w:r w:rsidRPr="00A32897">
        <w:rPr>
          <w:rFonts w:ascii="Calibri" w:hAnsi="Calibri" w:cs="Calibri"/>
          <w:sz w:val="22"/>
          <w:szCs w:val="22"/>
        </w:rPr>
        <w:t>(15 December 2001).</w:t>
      </w:r>
    </w:p>
    <w:p w14:paraId="1709241F" w14:textId="77777777" w:rsidR="00145704" w:rsidRPr="00A32897" w:rsidRDefault="00145704" w:rsidP="00931CC1">
      <w:pPr>
        <w:ind w:left="360"/>
        <w:rPr>
          <w:rFonts w:ascii="Calibri" w:hAnsi="Calibri" w:cs="Calibri"/>
          <w:sz w:val="22"/>
          <w:szCs w:val="22"/>
        </w:rPr>
      </w:pPr>
    </w:p>
    <w:p w14:paraId="4EBF1F6A" w14:textId="54BB737B" w:rsidR="00931CC1" w:rsidRDefault="00931CC1" w:rsidP="00931CC1">
      <w:pPr>
        <w:ind w:left="360"/>
        <w:rPr>
          <w:rFonts w:ascii="Calibri" w:hAnsi="Calibri" w:cs="Calibri"/>
          <w:sz w:val="22"/>
          <w:szCs w:val="22"/>
        </w:rPr>
      </w:pPr>
      <w:r w:rsidRPr="00A32897">
        <w:rPr>
          <w:rFonts w:ascii="Calibri" w:hAnsi="Calibri" w:cs="Calibri"/>
          <w:sz w:val="22"/>
          <w:szCs w:val="22"/>
        </w:rPr>
        <w:t xml:space="preserve">Duff-Brown B, ‘Africa is using copters to swat out blinding disease’, </w:t>
      </w:r>
      <w:r w:rsidRPr="00A32897">
        <w:rPr>
          <w:rFonts w:ascii="Calibri" w:hAnsi="Calibri" w:cs="Calibri"/>
          <w:i/>
          <w:sz w:val="22"/>
          <w:szCs w:val="22"/>
        </w:rPr>
        <w:t xml:space="preserve">Salt Lake Tribune </w:t>
      </w:r>
      <w:r w:rsidRPr="00A32897">
        <w:rPr>
          <w:rFonts w:ascii="Calibri" w:hAnsi="Calibri" w:cs="Calibri"/>
          <w:sz w:val="22"/>
          <w:szCs w:val="22"/>
        </w:rPr>
        <w:t>(1 October 1995).</w:t>
      </w:r>
    </w:p>
    <w:p w14:paraId="364A14B2" w14:textId="77777777" w:rsidR="00145704" w:rsidRPr="00A32897" w:rsidRDefault="00145704" w:rsidP="00931CC1">
      <w:pPr>
        <w:ind w:left="360"/>
        <w:rPr>
          <w:rFonts w:ascii="Calibri" w:hAnsi="Calibri" w:cs="Calibri"/>
          <w:sz w:val="22"/>
          <w:szCs w:val="22"/>
        </w:rPr>
      </w:pPr>
    </w:p>
    <w:p w14:paraId="1524F366" w14:textId="5308B06D" w:rsidR="00931CC1" w:rsidRDefault="00931CC1" w:rsidP="00931CC1">
      <w:pPr>
        <w:ind w:left="360"/>
        <w:rPr>
          <w:rFonts w:ascii="Calibri" w:hAnsi="Calibri" w:cs="Calibri"/>
          <w:sz w:val="22"/>
          <w:szCs w:val="22"/>
        </w:rPr>
      </w:pPr>
      <w:r w:rsidRPr="00A32897">
        <w:rPr>
          <w:rFonts w:ascii="Calibri" w:hAnsi="Calibri" w:cs="Calibri"/>
          <w:sz w:val="22"/>
          <w:szCs w:val="22"/>
        </w:rPr>
        <w:t xml:space="preserve">Duff-Brown B, ‘Editor’s note – the natives call it the lion’s look. Doctors call it…’, </w:t>
      </w:r>
      <w:r w:rsidRPr="00A32897">
        <w:rPr>
          <w:rFonts w:ascii="Calibri" w:hAnsi="Calibri" w:cs="Calibri"/>
          <w:i/>
          <w:sz w:val="22"/>
          <w:szCs w:val="22"/>
        </w:rPr>
        <w:t xml:space="preserve">Associated Press </w:t>
      </w:r>
      <w:r w:rsidRPr="00A32897">
        <w:rPr>
          <w:rFonts w:ascii="Calibri" w:hAnsi="Calibri" w:cs="Calibri"/>
          <w:sz w:val="22"/>
          <w:szCs w:val="22"/>
        </w:rPr>
        <w:t>(18 September 1995).</w:t>
      </w:r>
    </w:p>
    <w:p w14:paraId="0F65358B" w14:textId="77777777" w:rsidR="00145704" w:rsidRPr="00A32897" w:rsidRDefault="00145704" w:rsidP="00931CC1">
      <w:pPr>
        <w:ind w:left="360"/>
        <w:rPr>
          <w:rFonts w:ascii="Calibri" w:hAnsi="Calibri" w:cs="Calibri"/>
          <w:sz w:val="22"/>
          <w:szCs w:val="22"/>
        </w:rPr>
      </w:pPr>
    </w:p>
    <w:p w14:paraId="459A4F98" w14:textId="38C3D735" w:rsidR="00931CC1" w:rsidRDefault="00931CC1" w:rsidP="00931CC1">
      <w:pPr>
        <w:ind w:left="360"/>
        <w:rPr>
          <w:rFonts w:ascii="Calibri" w:hAnsi="Calibri" w:cs="Calibri"/>
          <w:sz w:val="22"/>
          <w:szCs w:val="22"/>
        </w:rPr>
      </w:pPr>
      <w:r w:rsidRPr="00A32897">
        <w:rPr>
          <w:rFonts w:ascii="Calibri" w:hAnsi="Calibri" w:cs="Calibri"/>
          <w:sz w:val="22"/>
          <w:szCs w:val="22"/>
        </w:rPr>
        <w:t xml:space="preserve">Duff-Brown B, ‘Look of the lion being erased in 11 African nations’, </w:t>
      </w:r>
      <w:r w:rsidRPr="00A32897">
        <w:rPr>
          <w:rFonts w:ascii="Calibri" w:hAnsi="Calibri" w:cs="Calibri"/>
          <w:i/>
          <w:sz w:val="22"/>
          <w:szCs w:val="22"/>
        </w:rPr>
        <w:t xml:space="preserve">Buffalo News </w:t>
      </w:r>
      <w:r w:rsidRPr="00A32897">
        <w:rPr>
          <w:rFonts w:ascii="Calibri" w:hAnsi="Calibri" w:cs="Calibri"/>
          <w:sz w:val="22"/>
          <w:szCs w:val="22"/>
        </w:rPr>
        <w:t>(1 October 1995).</w:t>
      </w:r>
    </w:p>
    <w:p w14:paraId="4C23F18E" w14:textId="77777777" w:rsidR="00145704" w:rsidRPr="00A32897" w:rsidRDefault="00145704" w:rsidP="00931CC1">
      <w:pPr>
        <w:ind w:left="360"/>
        <w:rPr>
          <w:rFonts w:ascii="Calibri" w:hAnsi="Calibri" w:cs="Calibri"/>
          <w:sz w:val="22"/>
          <w:szCs w:val="22"/>
        </w:rPr>
      </w:pPr>
    </w:p>
    <w:p w14:paraId="4BEC5542" w14:textId="19F6C49B" w:rsidR="00931CC1" w:rsidRDefault="00931CC1" w:rsidP="00931CC1">
      <w:pPr>
        <w:ind w:left="360"/>
        <w:rPr>
          <w:rFonts w:ascii="Calibri" w:hAnsi="Calibri" w:cs="Calibri"/>
          <w:sz w:val="22"/>
          <w:szCs w:val="22"/>
        </w:rPr>
      </w:pPr>
      <w:r w:rsidRPr="00A32897">
        <w:rPr>
          <w:rFonts w:ascii="Calibri" w:hAnsi="Calibri" w:cs="Calibri"/>
          <w:sz w:val="22"/>
          <w:szCs w:val="22"/>
        </w:rPr>
        <w:t xml:space="preserve">Duff-Brown B, ‘Taming the lion’s look: world health agency trying to stop river blindness’, </w:t>
      </w:r>
      <w:r w:rsidRPr="00A32897">
        <w:rPr>
          <w:rFonts w:ascii="Calibri" w:hAnsi="Calibri" w:cs="Calibri"/>
          <w:i/>
          <w:sz w:val="22"/>
          <w:szCs w:val="22"/>
        </w:rPr>
        <w:t xml:space="preserve">Associated Press </w:t>
      </w:r>
      <w:r w:rsidRPr="00A32897">
        <w:rPr>
          <w:rFonts w:ascii="Calibri" w:hAnsi="Calibri" w:cs="Calibri"/>
          <w:sz w:val="22"/>
          <w:szCs w:val="22"/>
        </w:rPr>
        <w:t>(22 October 1995).</w:t>
      </w:r>
    </w:p>
    <w:p w14:paraId="2AE136FE" w14:textId="77777777" w:rsidR="00145704" w:rsidRPr="00A32897" w:rsidRDefault="00145704" w:rsidP="00931CC1">
      <w:pPr>
        <w:ind w:left="360"/>
        <w:rPr>
          <w:rFonts w:ascii="Calibri" w:hAnsi="Calibri" w:cs="Calibri"/>
          <w:sz w:val="22"/>
          <w:szCs w:val="22"/>
        </w:rPr>
      </w:pPr>
    </w:p>
    <w:p w14:paraId="448F930D" w14:textId="1D076918" w:rsidR="00931CC1" w:rsidRDefault="00931CC1" w:rsidP="00931CC1">
      <w:pPr>
        <w:ind w:left="360"/>
        <w:rPr>
          <w:rFonts w:ascii="Calibri" w:hAnsi="Calibri" w:cs="Calibri"/>
          <w:sz w:val="22"/>
          <w:szCs w:val="22"/>
        </w:rPr>
      </w:pPr>
      <w:r w:rsidRPr="00A32897">
        <w:rPr>
          <w:rFonts w:ascii="Calibri" w:hAnsi="Calibri" w:cs="Calibri"/>
          <w:sz w:val="22"/>
          <w:szCs w:val="22"/>
        </w:rPr>
        <w:t xml:space="preserve">Eckholm E, ‘Lifting curse of river blindness: insecticides and drugs attack worms carried by 18 million people’, </w:t>
      </w:r>
      <w:r w:rsidRPr="00A32897">
        <w:rPr>
          <w:rFonts w:ascii="Calibri" w:hAnsi="Calibri" w:cs="Calibri"/>
          <w:i/>
          <w:sz w:val="22"/>
          <w:szCs w:val="22"/>
        </w:rPr>
        <w:t xml:space="preserve">New York Times </w:t>
      </w:r>
      <w:r w:rsidRPr="00A32897">
        <w:rPr>
          <w:rFonts w:ascii="Calibri" w:hAnsi="Calibri" w:cs="Calibri"/>
          <w:sz w:val="22"/>
          <w:szCs w:val="22"/>
        </w:rPr>
        <w:t>(8 January 1989).</w:t>
      </w:r>
    </w:p>
    <w:p w14:paraId="405787C0" w14:textId="77777777" w:rsidR="00145704" w:rsidRPr="00A32897" w:rsidRDefault="00145704" w:rsidP="00931CC1">
      <w:pPr>
        <w:ind w:left="360"/>
        <w:rPr>
          <w:rFonts w:ascii="Calibri" w:hAnsi="Calibri" w:cs="Calibri"/>
          <w:sz w:val="22"/>
          <w:szCs w:val="22"/>
        </w:rPr>
      </w:pPr>
    </w:p>
    <w:p w14:paraId="53093DE7" w14:textId="77777777" w:rsidR="00931CC1" w:rsidRPr="00A32897" w:rsidRDefault="00931CC1" w:rsidP="00931CC1">
      <w:pPr>
        <w:ind w:left="360"/>
        <w:rPr>
          <w:rFonts w:ascii="Calibri" w:hAnsi="Calibri" w:cs="Calibri"/>
          <w:sz w:val="22"/>
          <w:szCs w:val="22"/>
        </w:rPr>
      </w:pPr>
      <w:r w:rsidRPr="00A32897">
        <w:rPr>
          <w:rFonts w:ascii="Calibri" w:hAnsi="Calibri" w:cs="Calibri"/>
          <w:sz w:val="22"/>
          <w:szCs w:val="22"/>
        </w:rPr>
        <w:t xml:space="preserve">Eckholm E, ‘River blindness: conquering an ancient scourge’, </w:t>
      </w:r>
      <w:r w:rsidRPr="00A32897">
        <w:rPr>
          <w:rFonts w:ascii="Calibri" w:hAnsi="Calibri" w:cs="Calibri"/>
          <w:i/>
          <w:sz w:val="22"/>
          <w:szCs w:val="22"/>
        </w:rPr>
        <w:t xml:space="preserve">New York Times </w:t>
      </w:r>
      <w:r w:rsidRPr="00A32897">
        <w:rPr>
          <w:rFonts w:ascii="Calibri" w:hAnsi="Calibri" w:cs="Calibri"/>
          <w:sz w:val="22"/>
          <w:szCs w:val="22"/>
        </w:rPr>
        <w:t>(8 January 1989).</w:t>
      </w:r>
    </w:p>
    <w:p w14:paraId="74937368" w14:textId="77777777" w:rsidR="00613059" w:rsidRDefault="00613059" w:rsidP="00931CC1">
      <w:pPr>
        <w:ind w:left="360"/>
        <w:rPr>
          <w:rFonts w:ascii="Calibri" w:hAnsi="Calibri" w:cs="Calibri"/>
          <w:sz w:val="22"/>
          <w:szCs w:val="22"/>
        </w:rPr>
      </w:pPr>
    </w:p>
    <w:p w14:paraId="24989B24" w14:textId="1C5F94F4" w:rsidR="00931CC1" w:rsidRDefault="00931CC1" w:rsidP="00931CC1">
      <w:pPr>
        <w:ind w:left="360"/>
        <w:rPr>
          <w:rFonts w:ascii="Calibri" w:hAnsi="Calibri" w:cs="Calibri"/>
          <w:sz w:val="22"/>
          <w:szCs w:val="22"/>
        </w:rPr>
      </w:pPr>
      <w:r w:rsidRPr="00A32897">
        <w:rPr>
          <w:rFonts w:ascii="Calibri" w:hAnsi="Calibri" w:cs="Calibri"/>
          <w:sz w:val="22"/>
          <w:szCs w:val="22"/>
        </w:rPr>
        <w:t xml:space="preserve">Elson D, ‘New World Bank video shows an amazing river blindness success story’, </w:t>
      </w:r>
      <w:r w:rsidRPr="00A32897">
        <w:rPr>
          <w:rFonts w:ascii="Calibri" w:hAnsi="Calibri" w:cs="Calibri"/>
          <w:i/>
          <w:sz w:val="22"/>
          <w:szCs w:val="22"/>
        </w:rPr>
        <w:t xml:space="preserve">End the Neglect </w:t>
      </w:r>
      <w:r w:rsidR="00613059">
        <w:rPr>
          <w:rFonts w:ascii="Calibri" w:hAnsi="Calibri" w:cs="Calibri"/>
          <w:i/>
          <w:sz w:val="22"/>
          <w:szCs w:val="22"/>
        </w:rPr>
        <w:t>B</w:t>
      </w:r>
      <w:r w:rsidRPr="00A32897">
        <w:rPr>
          <w:rFonts w:ascii="Calibri" w:hAnsi="Calibri" w:cs="Calibri"/>
          <w:i/>
          <w:sz w:val="22"/>
          <w:szCs w:val="22"/>
        </w:rPr>
        <w:t xml:space="preserve">log </w:t>
      </w:r>
      <w:r w:rsidRPr="00A32897">
        <w:rPr>
          <w:rFonts w:ascii="Calibri" w:hAnsi="Calibri" w:cs="Calibri"/>
          <w:sz w:val="22"/>
          <w:szCs w:val="22"/>
        </w:rPr>
        <w:t>(</w:t>
      </w:r>
      <w:r w:rsidR="00613059">
        <w:rPr>
          <w:rFonts w:ascii="Calibri" w:hAnsi="Calibri" w:cs="Calibri"/>
          <w:sz w:val="22"/>
          <w:szCs w:val="22"/>
        </w:rPr>
        <w:t xml:space="preserve">online), </w:t>
      </w:r>
      <w:r w:rsidRPr="00A32897">
        <w:rPr>
          <w:rFonts w:ascii="Calibri" w:hAnsi="Calibri" w:cs="Calibri"/>
          <w:sz w:val="22"/>
          <w:szCs w:val="22"/>
        </w:rPr>
        <w:t>8 July 2014, [accessed 15 February 2018].</w:t>
      </w:r>
    </w:p>
    <w:p w14:paraId="0026D83A" w14:textId="77777777" w:rsidR="00145704" w:rsidRPr="00A32897" w:rsidRDefault="00145704" w:rsidP="00931CC1">
      <w:pPr>
        <w:ind w:left="360"/>
        <w:rPr>
          <w:rFonts w:ascii="Calibri" w:hAnsi="Calibri" w:cs="Calibri"/>
          <w:sz w:val="22"/>
          <w:szCs w:val="22"/>
        </w:rPr>
      </w:pPr>
    </w:p>
    <w:p w14:paraId="0D846DDA" w14:textId="082774CE" w:rsidR="00931CC1" w:rsidRDefault="00931CC1" w:rsidP="00931CC1">
      <w:pPr>
        <w:ind w:left="360"/>
        <w:rPr>
          <w:rFonts w:ascii="Calibri" w:hAnsi="Calibri" w:cs="Calibri"/>
          <w:sz w:val="22"/>
          <w:szCs w:val="22"/>
        </w:rPr>
      </w:pPr>
      <w:r w:rsidRPr="00A32897">
        <w:rPr>
          <w:rFonts w:ascii="Calibri" w:hAnsi="Calibri" w:cs="Calibri"/>
          <w:sz w:val="22"/>
          <w:szCs w:val="22"/>
        </w:rPr>
        <w:t xml:space="preserve">Evans T, ‘Eliminating river blindness: clear and bold vision required’, </w:t>
      </w:r>
      <w:r w:rsidRPr="00A32897">
        <w:rPr>
          <w:rFonts w:ascii="Calibri" w:hAnsi="Calibri" w:cs="Calibri"/>
          <w:i/>
          <w:sz w:val="22"/>
          <w:szCs w:val="22"/>
        </w:rPr>
        <w:t xml:space="preserve">World Bank </w:t>
      </w:r>
      <w:r w:rsidR="00613059">
        <w:rPr>
          <w:rFonts w:ascii="Calibri" w:hAnsi="Calibri" w:cs="Calibri"/>
          <w:i/>
          <w:sz w:val="22"/>
          <w:szCs w:val="22"/>
        </w:rPr>
        <w:t>B</w:t>
      </w:r>
      <w:r w:rsidRPr="00A32897">
        <w:rPr>
          <w:rFonts w:ascii="Calibri" w:hAnsi="Calibri" w:cs="Calibri"/>
          <w:i/>
          <w:sz w:val="22"/>
          <w:szCs w:val="22"/>
        </w:rPr>
        <w:t xml:space="preserve">logs </w:t>
      </w:r>
      <w:r w:rsidRPr="00A32897">
        <w:rPr>
          <w:rFonts w:ascii="Calibri" w:hAnsi="Calibri" w:cs="Calibri"/>
          <w:sz w:val="22"/>
          <w:szCs w:val="22"/>
        </w:rPr>
        <w:t>(</w:t>
      </w:r>
      <w:r w:rsidR="00613059">
        <w:rPr>
          <w:rFonts w:ascii="Calibri" w:hAnsi="Calibri" w:cs="Calibri"/>
          <w:sz w:val="22"/>
          <w:szCs w:val="22"/>
        </w:rPr>
        <w:t xml:space="preserve">onlin), </w:t>
      </w:r>
      <w:r w:rsidRPr="00A32897">
        <w:rPr>
          <w:rFonts w:ascii="Calibri" w:hAnsi="Calibri" w:cs="Calibri"/>
          <w:sz w:val="22"/>
          <w:szCs w:val="22"/>
        </w:rPr>
        <w:t>23 June 2014, &lt;http://blogs.worldbank.org/health/eliminating-river-blindness-clear-and-bold-vision-required&gt; [accessed 15 February 2018].</w:t>
      </w:r>
    </w:p>
    <w:p w14:paraId="10A5D055" w14:textId="77777777" w:rsidR="00145704" w:rsidRPr="00A32897" w:rsidRDefault="00145704" w:rsidP="00931CC1">
      <w:pPr>
        <w:ind w:left="360"/>
        <w:rPr>
          <w:rFonts w:ascii="Calibri" w:hAnsi="Calibri" w:cs="Calibri"/>
          <w:sz w:val="22"/>
          <w:szCs w:val="22"/>
        </w:rPr>
      </w:pPr>
    </w:p>
    <w:p w14:paraId="2C76F965" w14:textId="4436054D" w:rsidR="00931CC1" w:rsidRDefault="00931CC1" w:rsidP="00931CC1">
      <w:pPr>
        <w:ind w:left="360"/>
        <w:rPr>
          <w:rFonts w:ascii="Calibri" w:hAnsi="Calibri" w:cs="Calibri"/>
          <w:sz w:val="22"/>
          <w:szCs w:val="22"/>
        </w:rPr>
      </w:pPr>
      <w:r w:rsidRPr="00A32897">
        <w:rPr>
          <w:rFonts w:ascii="Calibri" w:hAnsi="Calibri" w:cs="Calibri"/>
          <w:sz w:val="22"/>
          <w:szCs w:val="22"/>
        </w:rPr>
        <w:t xml:space="preserve">Feldman C, ‘A forgotten disease’, </w:t>
      </w:r>
      <w:r w:rsidRPr="00A32897">
        <w:rPr>
          <w:rFonts w:ascii="Calibri" w:hAnsi="Calibri" w:cs="Calibri"/>
          <w:i/>
          <w:sz w:val="22"/>
          <w:szCs w:val="22"/>
        </w:rPr>
        <w:t xml:space="preserve">Houston Chronicle </w:t>
      </w:r>
      <w:r w:rsidRPr="00A32897">
        <w:rPr>
          <w:rFonts w:ascii="Calibri" w:hAnsi="Calibri" w:cs="Calibri"/>
          <w:sz w:val="22"/>
          <w:szCs w:val="22"/>
        </w:rPr>
        <w:t>(9 October 2005).</w:t>
      </w:r>
    </w:p>
    <w:p w14:paraId="67762C31" w14:textId="77777777" w:rsidR="00145704" w:rsidRPr="00A32897" w:rsidRDefault="00145704" w:rsidP="00931CC1">
      <w:pPr>
        <w:ind w:left="360"/>
        <w:rPr>
          <w:rFonts w:ascii="Calibri" w:hAnsi="Calibri" w:cs="Calibri"/>
          <w:sz w:val="22"/>
          <w:szCs w:val="22"/>
        </w:rPr>
      </w:pPr>
    </w:p>
    <w:p w14:paraId="6B4A702E" w14:textId="1619BCA6" w:rsidR="00931CC1" w:rsidRDefault="00931CC1" w:rsidP="00931CC1">
      <w:pPr>
        <w:ind w:left="360"/>
        <w:rPr>
          <w:rFonts w:ascii="Calibri" w:hAnsi="Calibri" w:cs="Calibri"/>
          <w:sz w:val="22"/>
          <w:szCs w:val="22"/>
        </w:rPr>
      </w:pPr>
      <w:r w:rsidRPr="00A32897">
        <w:rPr>
          <w:rFonts w:ascii="Calibri" w:hAnsi="Calibri" w:cs="Calibri"/>
          <w:sz w:val="22"/>
          <w:szCs w:val="22"/>
        </w:rPr>
        <w:t xml:space="preserve">Fordon A, ‘The World Bank and partners celebrate 40 years of success in controlling river blindness’, </w:t>
      </w:r>
      <w:r w:rsidRPr="00A32897">
        <w:rPr>
          <w:rFonts w:ascii="Calibri" w:hAnsi="Calibri" w:cs="Calibri"/>
          <w:i/>
          <w:sz w:val="22"/>
          <w:szCs w:val="22"/>
        </w:rPr>
        <w:t xml:space="preserve">End the Neglect </w:t>
      </w:r>
      <w:r w:rsidR="00613059">
        <w:rPr>
          <w:rFonts w:ascii="Calibri" w:hAnsi="Calibri" w:cs="Calibri"/>
          <w:i/>
          <w:sz w:val="22"/>
          <w:szCs w:val="22"/>
        </w:rPr>
        <w:t>B</w:t>
      </w:r>
      <w:r w:rsidRPr="00A32897">
        <w:rPr>
          <w:rFonts w:ascii="Calibri" w:hAnsi="Calibri" w:cs="Calibri"/>
          <w:i/>
          <w:sz w:val="22"/>
          <w:szCs w:val="22"/>
        </w:rPr>
        <w:t xml:space="preserve">log </w:t>
      </w:r>
      <w:r w:rsidRPr="00A32897">
        <w:rPr>
          <w:rFonts w:ascii="Calibri" w:hAnsi="Calibri" w:cs="Calibri"/>
          <w:sz w:val="22"/>
          <w:szCs w:val="22"/>
        </w:rPr>
        <w:t>(</w:t>
      </w:r>
      <w:r w:rsidR="00613059">
        <w:rPr>
          <w:rFonts w:ascii="Calibri" w:hAnsi="Calibri" w:cs="Calibri"/>
          <w:sz w:val="22"/>
          <w:szCs w:val="22"/>
        </w:rPr>
        <w:t xml:space="preserve">online), </w:t>
      </w:r>
      <w:r w:rsidRPr="00A32897">
        <w:rPr>
          <w:rFonts w:ascii="Calibri" w:hAnsi="Calibri" w:cs="Calibri"/>
          <w:sz w:val="22"/>
          <w:szCs w:val="22"/>
        </w:rPr>
        <w:t>19 June 2014</w:t>
      </w:r>
      <w:r w:rsidR="00613059">
        <w:rPr>
          <w:rFonts w:ascii="Calibri" w:hAnsi="Calibri" w:cs="Calibri"/>
          <w:sz w:val="22"/>
          <w:szCs w:val="22"/>
        </w:rPr>
        <w:t>,</w:t>
      </w:r>
      <w:r w:rsidRPr="00A32897">
        <w:rPr>
          <w:rFonts w:ascii="Calibri" w:hAnsi="Calibri" w:cs="Calibri"/>
          <w:sz w:val="22"/>
          <w:szCs w:val="22"/>
        </w:rPr>
        <w:t xml:space="preserve"> [accessed 15 February 2018].</w:t>
      </w:r>
    </w:p>
    <w:p w14:paraId="443002C3" w14:textId="77777777" w:rsidR="00145704" w:rsidRPr="00A32897" w:rsidRDefault="00145704" w:rsidP="00931CC1">
      <w:pPr>
        <w:ind w:left="360"/>
        <w:rPr>
          <w:rFonts w:ascii="Calibri" w:hAnsi="Calibri" w:cs="Calibri"/>
          <w:sz w:val="22"/>
          <w:szCs w:val="22"/>
        </w:rPr>
      </w:pPr>
    </w:p>
    <w:p w14:paraId="21BE8268" w14:textId="78216C80" w:rsidR="00931CC1" w:rsidRDefault="00931CC1" w:rsidP="00931CC1">
      <w:pPr>
        <w:ind w:left="360"/>
        <w:rPr>
          <w:rFonts w:ascii="Calibri" w:hAnsi="Calibri" w:cs="Calibri"/>
          <w:sz w:val="22"/>
          <w:szCs w:val="22"/>
        </w:rPr>
      </w:pPr>
      <w:r w:rsidRPr="00A32897">
        <w:rPr>
          <w:rFonts w:ascii="Calibri" w:hAnsi="Calibri" w:cs="Calibri"/>
          <w:sz w:val="22"/>
          <w:szCs w:val="22"/>
        </w:rPr>
        <w:t xml:space="preserve">Gates B, ‘a story from one of my heroes’, </w:t>
      </w:r>
      <w:r w:rsidRPr="00A32897">
        <w:rPr>
          <w:rFonts w:ascii="Calibri" w:hAnsi="Calibri" w:cs="Calibri"/>
          <w:i/>
          <w:sz w:val="22"/>
          <w:szCs w:val="22"/>
        </w:rPr>
        <w:t xml:space="preserve">Gates Notes </w:t>
      </w:r>
      <w:r w:rsidRPr="00A32897">
        <w:rPr>
          <w:rFonts w:ascii="Calibri" w:hAnsi="Calibri" w:cs="Calibri"/>
          <w:sz w:val="22"/>
          <w:szCs w:val="22"/>
        </w:rPr>
        <w:t>(</w:t>
      </w:r>
      <w:r w:rsidR="00613059">
        <w:rPr>
          <w:rFonts w:ascii="Calibri" w:hAnsi="Calibri" w:cs="Calibri"/>
          <w:sz w:val="22"/>
          <w:szCs w:val="22"/>
        </w:rPr>
        <w:t xml:space="preserve">online), </w:t>
      </w:r>
      <w:r w:rsidRPr="00A32897">
        <w:rPr>
          <w:rFonts w:ascii="Calibri" w:hAnsi="Calibri" w:cs="Calibri"/>
          <w:sz w:val="22"/>
          <w:szCs w:val="22"/>
        </w:rPr>
        <w:t>16 May 2014, &lt;https://www.gatesnotes.com/health/story-of-a-hero-bill-foege&gt; [accessed 15 February 2018].</w:t>
      </w:r>
    </w:p>
    <w:p w14:paraId="2ED45D14" w14:textId="77777777" w:rsidR="00145704" w:rsidRPr="00A32897" w:rsidRDefault="00145704" w:rsidP="00931CC1">
      <w:pPr>
        <w:ind w:left="360"/>
        <w:rPr>
          <w:rFonts w:ascii="Calibri" w:hAnsi="Calibri" w:cs="Calibri"/>
          <w:sz w:val="22"/>
          <w:szCs w:val="22"/>
        </w:rPr>
      </w:pPr>
    </w:p>
    <w:p w14:paraId="249DA6A0" w14:textId="19AB18C2" w:rsidR="00931CC1" w:rsidRDefault="00931CC1" w:rsidP="00931CC1">
      <w:pPr>
        <w:ind w:left="360"/>
        <w:rPr>
          <w:rFonts w:ascii="Calibri" w:hAnsi="Calibri" w:cs="Calibri"/>
          <w:sz w:val="22"/>
          <w:szCs w:val="22"/>
        </w:rPr>
      </w:pPr>
      <w:r w:rsidRPr="00A32897">
        <w:rPr>
          <w:rFonts w:ascii="Calibri" w:hAnsi="Calibri" w:cs="Calibri"/>
          <w:sz w:val="22"/>
          <w:szCs w:val="22"/>
        </w:rPr>
        <w:t xml:space="preserve">Global Health Policy at NYU-Wagner, </w:t>
      </w:r>
      <w:r w:rsidRPr="00A32897">
        <w:rPr>
          <w:rFonts w:ascii="Calibri" w:hAnsi="Calibri" w:cs="Calibri"/>
          <w:i/>
          <w:sz w:val="22"/>
          <w:szCs w:val="22"/>
        </w:rPr>
        <w:t>The pharmaceutical industry: possibility of corporate social responsibility?</w:t>
      </w:r>
      <w:r w:rsidR="00613059">
        <w:rPr>
          <w:rFonts w:ascii="Calibri" w:hAnsi="Calibri" w:cs="Calibri"/>
          <w:i/>
          <w:sz w:val="22"/>
          <w:szCs w:val="22"/>
        </w:rPr>
        <w:t xml:space="preserve"> </w:t>
      </w:r>
      <w:r w:rsidR="00613059">
        <w:rPr>
          <w:rFonts w:ascii="Calibri" w:hAnsi="Calibri" w:cs="Calibri"/>
          <w:sz w:val="22"/>
          <w:szCs w:val="22"/>
        </w:rPr>
        <w:t>(online), 23 November 2009,</w:t>
      </w:r>
      <w:r w:rsidRPr="00A32897">
        <w:rPr>
          <w:rFonts w:ascii="Calibri" w:hAnsi="Calibri" w:cs="Calibri"/>
          <w:i/>
          <w:sz w:val="22"/>
          <w:szCs w:val="22"/>
        </w:rPr>
        <w:t xml:space="preserve"> </w:t>
      </w:r>
      <w:r w:rsidRPr="00A32897">
        <w:rPr>
          <w:rFonts w:ascii="Calibri" w:hAnsi="Calibri" w:cs="Calibri"/>
          <w:sz w:val="22"/>
          <w:szCs w:val="22"/>
        </w:rPr>
        <w:t>&lt;https://globalhealthpolicynyu.wordpress.com/2009/11/23/the-pharmaceutical-industry-possibility-of-corporate-social-responsibility/&gt; [accessed 15 February 2018].</w:t>
      </w:r>
    </w:p>
    <w:p w14:paraId="3704EA4C" w14:textId="77777777" w:rsidR="00145704" w:rsidRPr="00A32897" w:rsidRDefault="00145704" w:rsidP="00931CC1">
      <w:pPr>
        <w:ind w:left="360"/>
        <w:rPr>
          <w:rFonts w:ascii="Calibri" w:hAnsi="Calibri" w:cs="Calibri"/>
          <w:sz w:val="22"/>
          <w:szCs w:val="22"/>
        </w:rPr>
      </w:pPr>
    </w:p>
    <w:p w14:paraId="4F0E0F9B" w14:textId="77777777" w:rsidR="00931CC1" w:rsidRPr="00A32897" w:rsidRDefault="00931CC1" w:rsidP="00931CC1">
      <w:pPr>
        <w:ind w:left="360"/>
        <w:rPr>
          <w:rFonts w:ascii="Calibri" w:hAnsi="Calibri" w:cs="Calibri"/>
          <w:sz w:val="22"/>
          <w:szCs w:val="22"/>
        </w:rPr>
      </w:pPr>
      <w:r w:rsidRPr="00A32897">
        <w:rPr>
          <w:rFonts w:ascii="Calibri" w:hAnsi="Calibri" w:cs="Calibri"/>
          <w:sz w:val="22"/>
          <w:szCs w:val="22"/>
        </w:rPr>
        <w:t xml:space="preserve">Goodman B, ‘Models aid understanding, help control parasites’, </w:t>
      </w:r>
      <w:r w:rsidRPr="00A32897">
        <w:rPr>
          <w:rFonts w:ascii="Calibri" w:hAnsi="Calibri" w:cs="Calibri"/>
          <w:i/>
          <w:sz w:val="22"/>
          <w:szCs w:val="22"/>
        </w:rPr>
        <w:t xml:space="preserve">Science </w:t>
      </w:r>
      <w:r w:rsidRPr="00A32897">
        <w:rPr>
          <w:rFonts w:ascii="Calibri" w:hAnsi="Calibri" w:cs="Calibri"/>
          <w:sz w:val="22"/>
          <w:szCs w:val="22"/>
        </w:rPr>
        <w:t>(24 June 1994).</w:t>
      </w:r>
    </w:p>
    <w:p w14:paraId="69799216" w14:textId="529D4076" w:rsidR="00931CC1" w:rsidRDefault="00931CC1" w:rsidP="00931CC1">
      <w:pPr>
        <w:ind w:left="360"/>
        <w:rPr>
          <w:rFonts w:ascii="Calibri" w:hAnsi="Calibri" w:cs="Calibri"/>
          <w:sz w:val="22"/>
          <w:szCs w:val="22"/>
        </w:rPr>
      </w:pPr>
      <w:r w:rsidRPr="00A32897">
        <w:rPr>
          <w:rFonts w:ascii="Calibri" w:hAnsi="Calibri" w:cs="Calibri"/>
          <w:sz w:val="22"/>
          <w:szCs w:val="22"/>
        </w:rPr>
        <w:t xml:space="preserve">Guillory M, ‘In 40 years, WHO helps an ill world’, </w:t>
      </w:r>
      <w:r w:rsidRPr="00A32897">
        <w:rPr>
          <w:rFonts w:ascii="Calibri" w:hAnsi="Calibri" w:cs="Calibri"/>
          <w:i/>
          <w:sz w:val="22"/>
          <w:szCs w:val="22"/>
        </w:rPr>
        <w:t xml:space="preserve">USA Today </w:t>
      </w:r>
      <w:r w:rsidRPr="00A32897">
        <w:rPr>
          <w:rFonts w:ascii="Calibri" w:hAnsi="Calibri" w:cs="Calibri"/>
          <w:sz w:val="22"/>
          <w:szCs w:val="22"/>
        </w:rPr>
        <w:t>(26 September 1989).</w:t>
      </w:r>
    </w:p>
    <w:p w14:paraId="75BEBEBD" w14:textId="77777777" w:rsidR="00145704" w:rsidRPr="00A32897" w:rsidRDefault="00145704" w:rsidP="00931CC1">
      <w:pPr>
        <w:ind w:left="360"/>
        <w:rPr>
          <w:rFonts w:ascii="Calibri" w:hAnsi="Calibri" w:cs="Calibri"/>
          <w:sz w:val="22"/>
          <w:szCs w:val="22"/>
        </w:rPr>
      </w:pPr>
    </w:p>
    <w:p w14:paraId="77E63B98" w14:textId="31A84AA1" w:rsidR="00931CC1" w:rsidRDefault="00931CC1" w:rsidP="00931CC1">
      <w:pPr>
        <w:ind w:left="360"/>
        <w:rPr>
          <w:rFonts w:ascii="Calibri" w:hAnsi="Calibri" w:cs="Calibri"/>
          <w:sz w:val="22"/>
          <w:szCs w:val="22"/>
        </w:rPr>
      </w:pPr>
      <w:r w:rsidRPr="00A32897">
        <w:rPr>
          <w:rFonts w:ascii="Calibri" w:hAnsi="Calibri" w:cs="Calibri"/>
          <w:sz w:val="22"/>
          <w:szCs w:val="22"/>
        </w:rPr>
        <w:t xml:space="preserve">Harvard University, ‘Neglected tropical diseases: progress and challenges for the post-2015 development era’, </w:t>
      </w:r>
      <w:r w:rsidRPr="00A32897">
        <w:rPr>
          <w:rFonts w:ascii="Calibri" w:hAnsi="Calibri" w:cs="Calibri"/>
          <w:i/>
          <w:sz w:val="22"/>
          <w:szCs w:val="22"/>
        </w:rPr>
        <w:t xml:space="preserve">Science in the News </w:t>
      </w:r>
      <w:r w:rsidRPr="00A32897">
        <w:rPr>
          <w:rFonts w:ascii="Calibri" w:hAnsi="Calibri" w:cs="Calibri"/>
          <w:sz w:val="22"/>
          <w:szCs w:val="22"/>
        </w:rPr>
        <w:t>(31 December 2014).</w:t>
      </w:r>
    </w:p>
    <w:p w14:paraId="2043C09B" w14:textId="77777777" w:rsidR="00145704" w:rsidRPr="00A32897" w:rsidRDefault="00145704" w:rsidP="00931CC1">
      <w:pPr>
        <w:ind w:left="360"/>
        <w:rPr>
          <w:rFonts w:ascii="Calibri" w:hAnsi="Calibri" w:cs="Calibri"/>
          <w:sz w:val="22"/>
          <w:szCs w:val="22"/>
        </w:rPr>
      </w:pPr>
    </w:p>
    <w:p w14:paraId="56891BBF" w14:textId="20BC63BF" w:rsidR="00931CC1" w:rsidRDefault="00931CC1" w:rsidP="00931CC1">
      <w:pPr>
        <w:ind w:left="360"/>
        <w:rPr>
          <w:rFonts w:ascii="Calibri" w:hAnsi="Calibri" w:cs="Calibri"/>
          <w:sz w:val="22"/>
          <w:szCs w:val="22"/>
        </w:rPr>
      </w:pPr>
      <w:r w:rsidRPr="00A32897">
        <w:rPr>
          <w:rFonts w:ascii="Calibri" w:hAnsi="Calibri" w:cs="Calibri"/>
          <w:sz w:val="22"/>
          <w:szCs w:val="22"/>
        </w:rPr>
        <w:t xml:space="preserve">Heckenast J, ‘Should we be blind to the (economic) burden of onchocerciasis?’, </w:t>
      </w:r>
      <w:r w:rsidRPr="00A32897">
        <w:rPr>
          <w:rFonts w:ascii="Calibri" w:hAnsi="Calibri" w:cs="Calibri"/>
          <w:i/>
          <w:sz w:val="22"/>
          <w:szCs w:val="22"/>
        </w:rPr>
        <w:t xml:space="preserve">Giving What We Can </w:t>
      </w:r>
      <w:r w:rsidR="00613059">
        <w:rPr>
          <w:rFonts w:ascii="Calibri" w:hAnsi="Calibri" w:cs="Calibri"/>
          <w:i/>
          <w:sz w:val="22"/>
          <w:szCs w:val="22"/>
        </w:rPr>
        <w:t>B</w:t>
      </w:r>
      <w:r w:rsidRPr="00A32897">
        <w:rPr>
          <w:rFonts w:ascii="Calibri" w:hAnsi="Calibri" w:cs="Calibri"/>
          <w:i/>
          <w:sz w:val="22"/>
          <w:szCs w:val="22"/>
        </w:rPr>
        <w:t xml:space="preserve">log </w:t>
      </w:r>
      <w:r w:rsidRPr="00A32897">
        <w:rPr>
          <w:rFonts w:ascii="Calibri" w:hAnsi="Calibri" w:cs="Calibri"/>
          <w:sz w:val="22"/>
          <w:szCs w:val="22"/>
        </w:rPr>
        <w:t>(</w:t>
      </w:r>
      <w:r w:rsidR="00613059">
        <w:rPr>
          <w:rFonts w:ascii="Calibri" w:hAnsi="Calibri" w:cs="Calibri"/>
          <w:sz w:val="22"/>
          <w:szCs w:val="22"/>
        </w:rPr>
        <w:t xml:space="preserve">online), </w:t>
      </w:r>
      <w:r w:rsidRPr="00A32897">
        <w:rPr>
          <w:rFonts w:ascii="Calibri" w:hAnsi="Calibri" w:cs="Calibri"/>
          <w:sz w:val="22"/>
          <w:szCs w:val="22"/>
        </w:rPr>
        <w:t>10 November 2012, &lt;https://www.givingwhatwecan.org/post/2013/12/should-we-be-blind-to-the-economic-burden-of-onchocerciasis/&gt; [accessed 15 February 2018].</w:t>
      </w:r>
    </w:p>
    <w:p w14:paraId="69AD8348" w14:textId="77777777" w:rsidR="00145704" w:rsidRPr="00A32897" w:rsidRDefault="00145704" w:rsidP="00931CC1">
      <w:pPr>
        <w:ind w:left="360"/>
        <w:rPr>
          <w:rFonts w:ascii="Calibri" w:hAnsi="Calibri" w:cs="Calibri"/>
          <w:sz w:val="22"/>
          <w:szCs w:val="22"/>
        </w:rPr>
      </w:pPr>
    </w:p>
    <w:p w14:paraId="64FA4D05" w14:textId="13FA36F8" w:rsidR="00931CC1" w:rsidRDefault="00931CC1" w:rsidP="00931CC1">
      <w:pPr>
        <w:ind w:left="360"/>
        <w:rPr>
          <w:rFonts w:ascii="Calibri" w:hAnsi="Calibri" w:cs="Calibri"/>
          <w:sz w:val="22"/>
          <w:szCs w:val="22"/>
        </w:rPr>
      </w:pPr>
      <w:r w:rsidRPr="00A32897">
        <w:rPr>
          <w:rFonts w:ascii="Calibri" w:hAnsi="Calibri" w:cs="Calibri"/>
          <w:sz w:val="22"/>
          <w:szCs w:val="22"/>
        </w:rPr>
        <w:t xml:space="preserve">Kakonga JO, ‘How mass media helped to defeat river blindness in West Africa’, </w:t>
      </w:r>
      <w:r w:rsidRPr="00A32897">
        <w:rPr>
          <w:rFonts w:ascii="Calibri" w:hAnsi="Calibri" w:cs="Calibri"/>
          <w:i/>
          <w:sz w:val="22"/>
          <w:szCs w:val="22"/>
        </w:rPr>
        <w:t xml:space="preserve">Global Policy blog </w:t>
      </w:r>
      <w:r w:rsidRPr="00A32897">
        <w:rPr>
          <w:rFonts w:ascii="Calibri" w:hAnsi="Calibri" w:cs="Calibri"/>
          <w:sz w:val="22"/>
          <w:szCs w:val="22"/>
        </w:rPr>
        <w:t>(</w:t>
      </w:r>
      <w:r w:rsidR="00613059">
        <w:rPr>
          <w:rFonts w:ascii="Calibri" w:hAnsi="Calibri" w:cs="Calibri"/>
          <w:sz w:val="22"/>
          <w:szCs w:val="22"/>
        </w:rPr>
        <w:t xml:space="preserve">online), </w:t>
      </w:r>
      <w:r w:rsidRPr="00A32897">
        <w:rPr>
          <w:rFonts w:ascii="Calibri" w:hAnsi="Calibri" w:cs="Calibri"/>
          <w:sz w:val="22"/>
          <w:szCs w:val="22"/>
        </w:rPr>
        <w:t>11 July 2012, &lt; https://www.globalpolicyjournal.com/blog/11/07/2012/how-mass-media-helped-defeat-river-blindness-west-africa&gt; [accessed 15 February 2018].</w:t>
      </w:r>
    </w:p>
    <w:p w14:paraId="4569B4BF" w14:textId="77777777" w:rsidR="00145704" w:rsidRPr="00A32897" w:rsidRDefault="00145704" w:rsidP="00931CC1">
      <w:pPr>
        <w:ind w:left="360"/>
        <w:rPr>
          <w:rFonts w:ascii="Calibri" w:hAnsi="Calibri" w:cs="Calibri"/>
          <w:sz w:val="22"/>
          <w:szCs w:val="22"/>
        </w:rPr>
      </w:pPr>
    </w:p>
    <w:p w14:paraId="7169A276" w14:textId="0347EB64" w:rsidR="00931CC1" w:rsidRDefault="00931CC1" w:rsidP="00931CC1">
      <w:pPr>
        <w:ind w:left="360"/>
        <w:rPr>
          <w:rFonts w:ascii="Calibri" w:hAnsi="Calibri" w:cs="Calibri"/>
          <w:sz w:val="22"/>
          <w:szCs w:val="22"/>
        </w:rPr>
      </w:pPr>
      <w:r w:rsidRPr="00A32897">
        <w:rPr>
          <w:rFonts w:ascii="Calibri" w:hAnsi="Calibri" w:cs="Calibri"/>
          <w:sz w:val="22"/>
          <w:szCs w:val="22"/>
        </w:rPr>
        <w:t xml:space="preserve">Leary WE, ‘Program attacks disease’, </w:t>
      </w:r>
      <w:r w:rsidRPr="00A32897">
        <w:rPr>
          <w:rFonts w:ascii="Calibri" w:hAnsi="Calibri" w:cs="Calibri"/>
          <w:i/>
          <w:sz w:val="22"/>
          <w:szCs w:val="22"/>
        </w:rPr>
        <w:t xml:space="preserve">Dayton Daily News </w:t>
      </w:r>
      <w:r w:rsidRPr="00A32897">
        <w:rPr>
          <w:rFonts w:ascii="Calibri" w:hAnsi="Calibri" w:cs="Calibri"/>
          <w:sz w:val="22"/>
          <w:szCs w:val="22"/>
        </w:rPr>
        <w:t>(7 December 1995).</w:t>
      </w:r>
    </w:p>
    <w:p w14:paraId="791E134C" w14:textId="77777777" w:rsidR="00145704" w:rsidRPr="00A32897" w:rsidRDefault="00145704" w:rsidP="00931CC1">
      <w:pPr>
        <w:ind w:left="360"/>
        <w:rPr>
          <w:rFonts w:ascii="Calibri" w:hAnsi="Calibri" w:cs="Calibri"/>
          <w:sz w:val="22"/>
          <w:szCs w:val="22"/>
        </w:rPr>
      </w:pPr>
    </w:p>
    <w:p w14:paraId="7C8A8D69" w14:textId="11D73EC1" w:rsidR="00931CC1" w:rsidRDefault="00931CC1" w:rsidP="00931CC1">
      <w:pPr>
        <w:ind w:left="360"/>
        <w:rPr>
          <w:rFonts w:ascii="Calibri" w:hAnsi="Calibri" w:cs="Calibri"/>
          <w:sz w:val="22"/>
          <w:szCs w:val="22"/>
        </w:rPr>
      </w:pPr>
      <w:r w:rsidRPr="00A32897">
        <w:rPr>
          <w:rFonts w:ascii="Calibri" w:hAnsi="Calibri" w:cs="Calibri"/>
          <w:sz w:val="22"/>
          <w:szCs w:val="22"/>
        </w:rPr>
        <w:t xml:space="preserve">Leary WE, ‘With one disease nearly erased, assault is planned on another’, </w:t>
      </w:r>
      <w:r w:rsidRPr="00A32897">
        <w:rPr>
          <w:rFonts w:ascii="Calibri" w:hAnsi="Calibri" w:cs="Calibri"/>
          <w:i/>
          <w:sz w:val="22"/>
          <w:szCs w:val="22"/>
        </w:rPr>
        <w:t xml:space="preserve">New York Times </w:t>
      </w:r>
      <w:r w:rsidRPr="00A32897">
        <w:rPr>
          <w:rFonts w:ascii="Calibri" w:hAnsi="Calibri" w:cs="Calibri"/>
          <w:sz w:val="22"/>
          <w:szCs w:val="22"/>
        </w:rPr>
        <w:t>(6 December 1995).</w:t>
      </w:r>
    </w:p>
    <w:p w14:paraId="098F2B23" w14:textId="77777777" w:rsidR="00145704" w:rsidRPr="00A32897" w:rsidRDefault="00145704" w:rsidP="00931CC1">
      <w:pPr>
        <w:ind w:left="360"/>
        <w:rPr>
          <w:rFonts w:ascii="Calibri" w:hAnsi="Calibri" w:cs="Calibri"/>
          <w:sz w:val="22"/>
          <w:szCs w:val="22"/>
        </w:rPr>
      </w:pPr>
    </w:p>
    <w:p w14:paraId="6A6001C8" w14:textId="547699F5" w:rsidR="00931CC1" w:rsidRDefault="00931CC1" w:rsidP="00931CC1">
      <w:pPr>
        <w:ind w:left="360"/>
        <w:rPr>
          <w:rFonts w:ascii="Calibri" w:hAnsi="Calibri" w:cs="Calibri"/>
          <w:sz w:val="22"/>
          <w:szCs w:val="22"/>
        </w:rPr>
      </w:pPr>
      <w:r w:rsidRPr="00A32897">
        <w:rPr>
          <w:rFonts w:ascii="Calibri" w:hAnsi="Calibri" w:cs="Calibri"/>
          <w:sz w:val="22"/>
          <w:szCs w:val="22"/>
        </w:rPr>
        <w:t xml:space="preserve">Leary WE, ‘With one disease nearly erased, assault is planned on another’, </w:t>
      </w:r>
      <w:r w:rsidRPr="00A32897">
        <w:rPr>
          <w:rFonts w:ascii="Calibri" w:hAnsi="Calibri" w:cs="Calibri"/>
          <w:i/>
          <w:sz w:val="22"/>
          <w:szCs w:val="22"/>
        </w:rPr>
        <w:t xml:space="preserve">New York Times </w:t>
      </w:r>
      <w:r w:rsidRPr="00A32897">
        <w:rPr>
          <w:rFonts w:ascii="Calibri" w:hAnsi="Calibri" w:cs="Calibri"/>
          <w:sz w:val="22"/>
          <w:szCs w:val="22"/>
        </w:rPr>
        <w:t>(6 December 1995).</w:t>
      </w:r>
    </w:p>
    <w:p w14:paraId="64FD2757" w14:textId="77777777" w:rsidR="00145704" w:rsidRPr="00A32897" w:rsidRDefault="00145704" w:rsidP="00931CC1">
      <w:pPr>
        <w:ind w:left="360"/>
        <w:rPr>
          <w:rFonts w:ascii="Calibri" w:hAnsi="Calibri" w:cs="Calibri"/>
          <w:sz w:val="22"/>
          <w:szCs w:val="22"/>
        </w:rPr>
      </w:pPr>
    </w:p>
    <w:p w14:paraId="0031539D" w14:textId="6518732B" w:rsidR="00931CC1" w:rsidRDefault="00931CC1" w:rsidP="00931CC1">
      <w:pPr>
        <w:ind w:left="360"/>
        <w:rPr>
          <w:rFonts w:ascii="Calibri" w:hAnsi="Calibri" w:cs="Calibri"/>
          <w:sz w:val="22"/>
          <w:szCs w:val="22"/>
        </w:rPr>
      </w:pPr>
      <w:r w:rsidRPr="00A32897">
        <w:rPr>
          <w:rFonts w:ascii="Calibri" w:hAnsi="Calibri" w:cs="Calibri"/>
          <w:sz w:val="22"/>
          <w:szCs w:val="22"/>
        </w:rPr>
        <w:t xml:space="preserve">Love P, ‘Fail fast, learn fast and innovate’, </w:t>
      </w:r>
      <w:r w:rsidRPr="00A32897">
        <w:rPr>
          <w:rFonts w:ascii="Calibri" w:hAnsi="Calibri" w:cs="Calibri"/>
          <w:i/>
          <w:sz w:val="22"/>
          <w:szCs w:val="22"/>
        </w:rPr>
        <w:t xml:space="preserve">OECD Insights </w:t>
      </w:r>
      <w:r w:rsidRPr="00A32897">
        <w:rPr>
          <w:rFonts w:ascii="Calibri" w:hAnsi="Calibri" w:cs="Calibri"/>
          <w:sz w:val="22"/>
          <w:szCs w:val="22"/>
        </w:rPr>
        <w:t>(</w:t>
      </w:r>
      <w:r w:rsidR="00613059">
        <w:rPr>
          <w:rFonts w:ascii="Calibri" w:hAnsi="Calibri" w:cs="Calibri"/>
          <w:sz w:val="22"/>
          <w:szCs w:val="22"/>
        </w:rPr>
        <w:t xml:space="preserve">online), </w:t>
      </w:r>
      <w:r w:rsidRPr="00A32897">
        <w:rPr>
          <w:rFonts w:ascii="Calibri" w:hAnsi="Calibri" w:cs="Calibri"/>
          <w:sz w:val="22"/>
          <w:szCs w:val="22"/>
        </w:rPr>
        <w:t>10 April 2014, &lt;http://oecdinsights.org/2014/04/10/fail-fast-learn-fast-and-innovate/&gt; [accessed 15 February 2018].</w:t>
      </w:r>
    </w:p>
    <w:p w14:paraId="17300149" w14:textId="77777777" w:rsidR="00145704" w:rsidRPr="00A32897" w:rsidRDefault="00145704" w:rsidP="00931CC1">
      <w:pPr>
        <w:ind w:left="360"/>
        <w:rPr>
          <w:rFonts w:ascii="Calibri" w:hAnsi="Calibri" w:cs="Calibri"/>
          <w:sz w:val="22"/>
          <w:szCs w:val="22"/>
        </w:rPr>
      </w:pPr>
    </w:p>
    <w:p w14:paraId="7F616E78" w14:textId="77777777" w:rsidR="00931CC1" w:rsidRPr="00A32897" w:rsidRDefault="00931CC1" w:rsidP="00931CC1">
      <w:pPr>
        <w:ind w:left="360"/>
        <w:rPr>
          <w:rFonts w:ascii="Calibri" w:hAnsi="Calibri" w:cs="Calibri"/>
          <w:sz w:val="22"/>
          <w:szCs w:val="22"/>
        </w:rPr>
      </w:pPr>
      <w:r w:rsidRPr="00A32897">
        <w:rPr>
          <w:rFonts w:ascii="Calibri" w:hAnsi="Calibri" w:cs="Calibri"/>
          <w:sz w:val="22"/>
          <w:szCs w:val="22"/>
        </w:rPr>
        <w:t xml:space="preserve">Madeley J, ‘Oncho, the password in the Volta basin’, </w:t>
      </w:r>
      <w:r w:rsidRPr="00A32897">
        <w:rPr>
          <w:rFonts w:ascii="Calibri" w:hAnsi="Calibri" w:cs="Calibri"/>
          <w:i/>
          <w:sz w:val="22"/>
          <w:szCs w:val="22"/>
        </w:rPr>
        <w:t xml:space="preserve">The Guardian </w:t>
      </w:r>
      <w:r w:rsidRPr="00A32897">
        <w:rPr>
          <w:rFonts w:ascii="Calibri" w:hAnsi="Calibri" w:cs="Calibri"/>
          <w:sz w:val="22"/>
          <w:szCs w:val="22"/>
        </w:rPr>
        <w:t>(26 March 1979).</w:t>
      </w:r>
    </w:p>
    <w:p w14:paraId="0B3C0070" w14:textId="77777777" w:rsidR="00613059" w:rsidRDefault="00613059" w:rsidP="00931CC1">
      <w:pPr>
        <w:ind w:left="360"/>
        <w:rPr>
          <w:rFonts w:ascii="Calibri" w:hAnsi="Calibri" w:cs="Calibri"/>
          <w:sz w:val="22"/>
          <w:szCs w:val="22"/>
        </w:rPr>
      </w:pPr>
    </w:p>
    <w:p w14:paraId="57D7F9E3" w14:textId="760725A4" w:rsidR="00931CC1" w:rsidRDefault="00931CC1" w:rsidP="00931CC1">
      <w:pPr>
        <w:ind w:left="360"/>
        <w:rPr>
          <w:rFonts w:ascii="Calibri" w:hAnsi="Calibri" w:cs="Calibri"/>
          <w:sz w:val="22"/>
          <w:szCs w:val="22"/>
        </w:rPr>
      </w:pPr>
      <w:r w:rsidRPr="00A32897">
        <w:rPr>
          <w:rFonts w:ascii="Calibri" w:hAnsi="Calibri" w:cs="Calibri"/>
          <w:sz w:val="22"/>
          <w:szCs w:val="22"/>
        </w:rPr>
        <w:t xml:space="preserve">McNamara RS, ‘Look how successful an aid partnership can be’, </w:t>
      </w:r>
      <w:r w:rsidRPr="00A32897">
        <w:rPr>
          <w:rFonts w:ascii="Calibri" w:hAnsi="Calibri" w:cs="Calibri"/>
          <w:i/>
          <w:sz w:val="22"/>
          <w:szCs w:val="22"/>
        </w:rPr>
        <w:t xml:space="preserve">International Herald Tribune </w:t>
      </w:r>
      <w:r w:rsidRPr="00A32897">
        <w:rPr>
          <w:rFonts w:ascii="Calibri" w:hAnsi="Calibri" w:cs="Calibri"/>
          <w:sz w:val="22"/>
          <w:szCs w:val="22"/>
        </w:rPr>
        <w:t>(20 December 2001).</w:t>
      </w:r>
    </w:p>
    <w:p w14:paraId="58CAEF6C" w14:textId="77777777" w:rsidR="00145704" w:rsidRPr="00A32897" w:rsidRDefault="00145704" w:rsidP="00931CC1">
      <w:pPr>
        <w:ind w:left="360"/>
        <w:rPr>
          <w:rFonts w:ascii="Calibri" w:hAnsi="Calibri" w:cs="Calibri"/>
          <w:sz w:val="22"/>
          <w:szCs w:val="22"/>
        </w:rPr>
      </w:pPr>
    </w:p>
    <w:p w14:paraId="139A7147" w14:textId="52BC3C97" w:rsidR="00931CC1" w:rsidRDefault="00931CC1" w:rsidP="00931CC1">
      <w:pPr>
        <w:ind w:left="360"/>
        <w:rPr>
          <w:rFonts w:ascii="Calibri" w:hAnsi="Calibri" w:cs="Calibri"/>
          <w:sz w:val="22"/>
          <w:szCs w:val="22"/>
        </w:rPr>
      </w:pPr>
      <w:r w:rsidRPr="00A32897">
        <w:rPr>
          <w:rFonts w:ascii="Calibri" w:hAnsi="Calibri" w:cs="Calibri"/>
          <w:sz w:val="22"/>
          <w:szCs w:val="22"/>
        </w:rPr>
        <w:t xml:space="preserve">Ministere des affairs étagères, </w:t>
      </w:r>
      <w:r w:rsidRPr="00A32897">
        <w:rPr>
          <w:rFonts w:ascii="Calibri" w:hAnsi="Calibri" w:cs="Calibri"/>
          <w:i/>
          <w:sz w:val="22"/>
          <w:szCs w:val="22"/>
        </w:rPr>
        <w:t xml:space="preserve">Half a </w:t>
      </w:r>
      <w:r w:rsidR="00DE42E7">
        <w:rPr>
          <w:rFonts w:ascii="Calibri" w:hAnsi="Calibri" w:cs="Calibri"/>
          <w:i/>
          <w:sz w:val="22"/>
          <w:szCs w:val="22"/>
        </w:rPr>
        <w:t>c</w:t>
      </w:r>
      <w:r w:rsidRPr="00A32897">
        <w:rPr>
          <w:rFonts w:ascii="Calibri" w:hAnsi="Calibri" w:cs="Calibri"/>
          <w:i/>
          <w:sz w:val="22"/>
          <w:szCs w:val="22"/>
        </w:rPr>
        <w:t xml:space="preserve">entury of </w:t>
      </w:r>
      <w:r w:rsidR="00DE42E7">
        <w:rPr>
          <w:rFonts w:ascii="Calibri" w:hAnsi="Calibri" w:cs="Calibri"/>
          <w:i/>
          <w:sz w:val="22"/>
          <w:szCs w:val="22"/>
        </w:rPr>
        <w:t>o</w:t>
      </w:r>
      <w:r w:rsidRPr="00A32897">
        <w:rPr>
          <w:rFonts w:ascii="Calibri" w:hAnsi="Calibri" w:cs="Calibri"/>
          <w:i/>
          <w:sz w:val="22"/>
          <w:szCs w:val="22"/>
        </w:rPr>
        <w:t xml:space="preserve">nchocerciasis </w:t>
      </w:r>
      <w:r w:rsidR="00DE42E7">
        <w:rPr>
          <w:rFonts w:ascii="Calibri" w:hAnsi="Calibri" w:cs="Calibri"/>
          <w:i/>
          <w:sz w:val="22"/>
          <w:szCs w:val="22"/>
        </w:rPr>
        <w:t>c</w:t>
      </w:r>
      <w:r w:rsidRPr="00A32897">
        <w:rPr>
          <w:rFonts w:ascii="Calibri" w:hAnsi="Calibri" w:cs="Calibri"/>
          <w:i/>
          <w:sz w:val="22"/>
          <w:szCs w:val="22"/>
        </w:rPr>
        <w:t xml:space="preserve">ontrol in West Africa: France’s </w:t>
      </w:r>
      <w:r w:rsidR="00DE42E7">
        <w:rPr>
          <w:rFonts w:ascii="Calibri" w:hAnsi="Calibri" w:cs="Calibri"/>
          <w:i/>
          <w:sz w:val="22"/>
          <w:szCs w:val="22"/>
        </w:rPr>
        <w:t>c</w:t>
      </w:r>
      <w:r w:rsidRPr="00A32897">
        <w:rPr>
          <w:rFonts w:ascii="Calibri" w:hAnsi="Calibri" w:cs="Calibri"/>
          <w:i/>
          <w:sz w:val="22"/>
          <w:szCs w:val="22"/>
        </w:rPr>
        <w:t xml:space="preserve">ommitment </w:t>
      </w:r>
      <w:r w:rsidRPr="00A32897">
        <w:rPr>
          <w:rFonts w:ascii="Calibri" w:hAnsi="Calibri" w:cs="Calibri"/>
          <w:sz w:val="22"/>
          <w:szCs w:val="22"/>
        </w:rPr>
        <w:t>(Paris: Institut de recherché pour le developpement, [2003]).</w:t>
      </w:r>
    </w:p>
    <w:p w14:paraId="1E223D6E" w14:textId="77777777" w:rsidR="00145704" w:rsidRPr="00A32897" w:rsidRDefault="00145704" w:rsidP="00931CC1">
      <w:pPr>
        <w:ind w:left="360"/>
        <w:rPr>
          <w:rFonts w:ascii="Calibri" w:hAnsi="Calibri" w:cs="Calibri"/>
          <w:sz w:val="22"/>
          <w:szCs w:val="22"/>
        </w:rPr>
      </w:pPr>
    </w:p>
    <w:p w14:paraId="26F87547" w14:textId="77777777" w:rsidR="00931CC1" w:rsidRPr="00A32897" w:rsidRDefault="00931CC1" w:rsidP="00931CC1">
      <w:pPr>
        <w:ind w:left="360"/>
        <w:rPr>
          <w:rFonts w:ascii="Calibri" w:hAnsi="Calibri" w:cs="Calibri"/>
          <w:sz w:val="22"/>
          <w:szCs w:val="22"/>
        </w:rPr>
      </w:pPr>
      <w:r w:rsidRPr="00A32897">
        <w:rPr>
          <w:rFonts w:ascii="Calibri" w:hAnsi="Calibri" w:cs="Calibri"/>
          <w:sz w:val="22"/>
          <w:szCs w:val="22"/>
        </w:rPr>
        <w:t xml:space="preserve">Nebehay S, ‘Gates backs big pharma push to wipe out tropical diseases’, </w:t>
      </w:r>
      <w:r w:rsidRPr="00A32897">
        <w:rPr>
          <w:rFonts w:ascii="Calibri" w:hAnsi="Calibri" w:cs="Calibri"/>
          <w:i/>
          <w:sz w:val="22"/>
          <w:szCs w:val="22"/>
        </w:rPr>
        <w:t xml:space="preserve">Reuters </w:t>
      </w:r>
      <w:r w:rsidRPr="00A32897">
        <w:rPr>
          <w:rFonts w:ascii="Calibri" w:hAnsi="Calibri" w:cs="Calibri"/>
          <w:sz w:val="22"/>
          <w:szCs w:val="22"/>
        </w:rPr>
        <w:t>(18 April 2017).</w:t>
      </w:r>
    </w:p>
    <w:p w14:paraId="74C2D81D" w14:textId="77777777" w:rsidR="00613059" w:rsidRDefault="00613059" w:rsidP="00931CC1">
      <w:pPr>
        <w:ind w:left="360"/>
        <w:rPr>
          <w:rFonts w:ascii="Calibri" w:hAnsi="Calibri" w:cs="Calibri"/>
          <w:sz w:val="22"/>
          <w:szCs w:val="22"/>
        </w:rPr>
      </w:pPr>
    </w:p>
    <w:p w14:paraId="24B7FF62" w14:textId="17E985E8" w:rsidR="00931CC1" w:rsidRDefault="00931CC1" w:rsidP="00931CC1">
      <w:pPr>
        <w:ind w:left="360"/>
        <w:rPr>
          <w:rFonts w:ascii="Calibri" w:hAnsi="Calibri" w:cs="Calibri"/>
          <w:sz w:val="22"/>
          <w:szCs w:val="22"/>
        </w:rPr>
      </w:pPr>
      <w:r w:rsidRPr="00A32897">
        <w:rPr>
          <w:rFonts w:ascii="Calibri" w:hAnsi="Calibri" w:cs="Calibri"/>
          <w:sz w:val="22"/>
          <w:szCs w:val="22"/>
        </w:rPr>
        <w:t xml:space="preserve">Recer P, ‘Company to donate medicine to treat river blindness in 11 countries’, </w:t>
      </w:r>
      <w:r w:rsidRPr="00A32897">
        <w:rPr>
          <w:rFonts w:ascii="Calibri" w:hAnsi="Calibri" w:cs="Calibri"/>
          <w:i/>
          <w:sz w:val="22"/>
          <w:szCs w:val="22"/>
        </w:rPr>
        <w:t xml:space="preserve">Associated Press </w:t>
      </w:r>
      <w:r w:rsidRPr="00A32897">
        <w:rPr>
          <w:rFonts w:ascii="Calibri" w:hAnsi="Calibri" w:cs="Calibri"/>
          <w:sz w:val="22"/>
          <w:szCs w:val="22"/>
        </w:rPr>
        <w:t>(2 November 1988).</w:t>
      </w:r>
    </w:p>
    <w:p w14:paraId="408AA518" w14:textId="77777777" w:rsidR="00145704" w:rsidRPr="00A32897" w:rsidRDefault="00145704" w:rsidP="00931CC1">
      <w:pPr>
        <w:ind w:left="360"/>
        <w:rPr>
          <w:rFonts w:ascii="Calibri" w:hAnsi="Calibri" w:cs="Calibri"/>
          <w:sz w:val="22"/>
          <w:szCs w:val="22"/>
        </w:rPr>
      </w:pPr>
    </w:p>
    <w:p w14:paraId="41CD1D3B" w14:textId="21EC728C" w:rsidR="00931CC1" w:rsidRDefault="00931CC1" w:rsidP="00931CC1">
      <w:pPr>
        <w:ind w:left="360"/>
        <w:rPr>
          <w:rFonts w:ascii="Calibri" w:hAnsi="Calibri" w:cs="Calibri"/>
          <w:sz w:val="22"/>
          <w:szCs w:val="22"/>
        </w:rPr>
      </w:pPr>
      <w:r w:rsidRPr="00A32897">
        <w:rPr>
          <w:rFonts w:ascii="Calibri" w:hAnsi="Calibri" w:cs="Calibri"/>
          <w:sz w:val="22"/>
          <w:szCs w:val="22"/>
        </w:rPr>
        <w:t xml:space="preserve">Rosenblum M, ‘Program halts ancient river blindness scourge in much of Africa’, </w:t>
      </w:r>
      <w:r w:rsidRPr="00A32897">
        <w:rPr>
          <w:rFonts w:ascii="Calibri" w:hAnsi="Calibri" w:cs="Calibri"/>
          <w:i/>
          <w:sz w:val="22"/>
          <w:szCs w:val="22"/>
        </w:rPr>
        <w:t xml:space="preserve">Associated Press </w:t>
      </w:r>
      <w:r w:rsidRPr="00A32897">
        <w:rPr>
          <w:rFonts w:ascii="Calibri" w:hAnsi="Calibri" w:cs="Calibri"/>
          <w:sz w:val="22"/>
          <w:szCs w:val="22"/>
        </w:rPr>
        <w:t>(19 October 1989).</w:t>
      </w:r>
    </w:p>
    <w:p w14:paraId="06F31CC2" w14:textId="77777777" w:rsidR="00145704" w:rsidRPr="00A32897" w:rsidRDefault="00145704" w:rsidP="00931CC1">
      <w:pPr>
        <w:ind w:left="360"/>
        <w:rPr>
          <w:rFonts w:ascii="Calibri" w:hAnsi="Calibri" w:cs="Calibri"/>
          <w:sz w:val="22"/>
          <w:szCs w:val="22"/>
        </w:rPr>
      </w:pPr>
    </w:p>
    <w:p w14:paraId="74E736F9" w14:textId="37A30549" w:rsidR="00931CC1" w:rsidRDefault="00931CC1" w:rsidP="00931CC1">
      <w:pPr>
        <w:ind w:left="360"/>
        <w:rPr>
          <w:rFonts w:ascii="Calibri" w:hAnsi="Calibri" w:cs="Calibri"/>
          <w:sz w:val="22"/>
          <w:szCs w:val="22"/>
        </w:rPr>
      </w:pPr>
      <w:r w:rsidRPr="00A32897">
        <w:rPr>
          <w:rFonts w:ascii="Calibri" w:hAnsi="Calibri" w:cs="Calibri"/>
          <w:sz w:val="22"/>
          <w:szCs w:val="22"/>
        </w:rPr>
        <w:t xml:space="preserve">s.a., ‘A pill for river blindness’, </w:t>
      </w:r>
      <w:r w:rsidRPr="00A32897">
        <w:rPr>
          <w:rFonts w:ascii="Calibri" w:hAnsi="Calibri" w:cs="Calibri"/>
          <w:i/>
          <w:sz w:val="22"/>
          <w:szCs w:val="22"/>
        </w:rPr>
        <w:t xml:space="preserve">Washington Post </w:t>
      </w:r>
      <w:r w:rsidRPr="00A32897">
        <w:rPr>
          <w:rFonts w:ascii="Calibri" w:hAnsi="Calibri" w:cs="Calibri"/>
          <w:sz w:val="22"/>
          <w:szCs w:val="22"/>
        </w:rPr>
        <w:t>(31 October 1987).</w:t>
      </w:r>
    </w:p>
    <w:p w14:paraId="040E8DF3" w14:textId="77777777" w:rsidR="00145704" w:rsidRPr="00A32897" w:rsidRDefault="00145704" w:rsidP="00931CC1">
      <w:pPr>
        <w:ind w:left="360"/>
        <w:rPr>
          <w:rFonts w:ascii="Calibri" w:hAnsi="Calibri" w:cs="Calibri"/>
          <w:sz w:val="22"/>
          <w:szCs w:val="22"/>
        </w:rPr>
      </w:pPr>
    </w:p>
    <w:p w14:paraId="6534E6CA" w14:textId="3D68613E" w:rsidR="00931CC1" w:rsidRDefault="00931CC1" w:rsidP="00931CC1">
      <w:pPr>
        <w:ind w:left="360"/>
        <w:rPr>
          <w:rFonts w:ascii="Calibri" w:hAnsi="Calibri" w:cs="Calibri"/>
          <w:sz w:val="22"/>
          <w:szCs w:val="22"/>
        </w:rPr>
      </w:pPr>
      <w:r w:rsidRPr="00A32897">
        <w:rPr>
          <w:rFonts w:ascii="Calibri" w:hAnsi="Calibri" w:cs="Calibri"/>
          <w:sz w:val="22"/>
          <w:szCs w:val="22"/>
        </w:rPr>
        <w:t xml:space="preserve">s.a., ‘Advances on 2 front are reported in fight on river blindness’, </w:t>
      </w:r>
      <w:r w:rsidRPr="00A32897">
        <w:rPr>
          <w:rFonts w:ascii="Calibri" w:hAnsi="Calibri" w:cs="Calibri"/>
          <w:i/>
          <w:sz w:val="22"/>
          <w:szCs w:val="22"/>
        </w:rPr>
        <w:t xml:space="preserve">New York Times </w:t>
      </w:r>
      <w:r w:rsidRPr="00A32897">
        <w:rPr>
          <w:rFonts w:ascii="Calibri" w:hAnsi="Calibri" w:cs="Calibri"/>
          <w:sz w:val="22"/>
          <w:szCs w:val="22"/>
        </w:rPr>
        <w:t>(11 June 1991).</w:t>
      </w:r>
    </w:p>
    <w:p w14:paraId="686769AD" w14:textId="77777777" w:rsidR="00145704" w:rsidRPr="00A32897" w:rsidRDefault="00145704" w:rsidP="00931CC1">
      <w:pPr>
        <w:ind w:left="360"/>
        <w:rPr>
          <w:rFonts w:ascii="Calibri" w:hAnsi="Calibri" w:cs="Calibri"/>
          <w:sz w:val="22"/>
          <w:szCs w:val="22"/>
        </w:rPr>
      </w:pPr>
    </w:p>
    <w:p w14:paraId="3986C8CC" w14:textId="624E101A" w:rsidR="00931CC1" w:rsidRDefault="00931CC1" w:rsidP="00931CC1">
      <w:pPr>
        <w:ind w:left="360"/>
        <w:rPr>
          <w:rFonts w:ascii="Calibri" w:hAnsi="Calibri" w:cs="Calibri"/>
          <w:sz w:val="22"/>
          <w:szCs w:val="22"/>
        </w:rPr>
      </w:pPr>
      <w:r w:rsidRPr="00A32897">
        <w:rPr>
          <w:rFonts w:ascii="Calibri" w:hAnsi="Calibri" w:cs="Calibri"/>
          <w:sz w:val="22"/>
          <w:szCs w:val="22"/>
        </w:rPr>
        <w:t xml:space="preserve">s.a., ‘AfDB approves U.S. $ 24.5 million for Onchocerciasis Control Program in Africa’, </w:t>
      </w:r>
      <w:r w:rsidRPr="00A32897">
        <w:rPr>
          <w:rFonts w:ascii="Calibri" w:hAnsi="Calibri" w:cs="Calibri"/>
          <w:i/>
          <w:sz w:val="22"/>
          <w:szCs w:val="22"/>
        </w:rPr>
        <w:t xml:space="preserve">All Africa Global Media </w:t>
      </w:r>
      <w:r w:rsidRPr="00A32897">
        <w:rPr>
          <w:rFonts w:ascii="Calibri" w:hAnsi="Calibri" w:cs="Calibri"/>
          <w:sz w:val="22"/>
          <w:szCs w:val="22"/>
        </w:rPr>
        <w:t>(16 July 2008).</w:t>
      </w:r>
    </w:p>
    <w:p w14:paraId="67CC91C1" w14:textId="77777777" w:rsidR="00145704" w:rsidRPr="00A32897" w:rsidRDefault="00145704" w:rsidP="00931CC1">
      <w:pPr>
        <w:ind w:left="360"/>
        <w:rPr>
          <w:rFonts w:ascii="Calibri" w:hAnsi="Calibri" w:cs="Calibri"/>
          <w:sz w:val="22"/>
          <w:szCs w:val="22"/>
        </w:rPr>
      </w:pPr>
    </w:p>
    <w:p w14:paraId="02D205CA" w14:textId="2E0090ED" w:rsidR="00931CC1" w:rsidRDefault="00931CC1" w:rsidP="00931CC1">
      <w:pPr>
        <w:ind w:left="360"/>
        <w:rPr>
          <w:rFonts w:ascii="Calibri" w:hAnsi="Calibri" w:cs="Calibri"/>
          <w:sz w:val="22"/>
          <w:szCs w:val="22"/>
        </w:rPr>
      </w:pPr>
      <w:r w:rsidRPr="00A32897">
        <w:rPr>
          <w:rFonts w:ascii="Calibri" w:hAnsi="Calibri" w:cs="Calibri"/>
          <w:sz w:val="22"/>
          <w:szCs w:val="22"/>
        </w:rPr>
        <w:t xml:space="preserve">s.a., ‘Attack on tropical blindness claims victory’, </w:t>
      </w:r>
      <w:r w:rsidRPr="00A32897">
        <w:rPr>
          <w:rFonts w:ascii="Calibri" w:hAnsi="Calibri" w:cs="Calibri"/>
          <w:i/>
          <w:sz w:val="22"/>
          <w:szCs w:val="22"/>
        </w:rPr>
        <w:t xml:space="preserve">Associated Press </w:t>
      </w:r>
      <w:r w:rsidRPr="00A32897">
        <w:rPr>
          <w:rFonts w:ascii="Calibri" w:hAnsi="Calibri" w:cs="Calibri"/>
          <w:sz w:val="22"/>
          <w:szCs w:val="22"/>
        </w:rPr>
        <w:t>(20 October 1989).</w:t>
      </w:r>
    </w:p>
    <w:p w14:paraId="6C576B78" w14:textId="77777777" w:rsidR="00145704" w:rsidRPr="00A32897" w:rsidRDefault="00145704" w:rsidP="002C3B2C">
      <w:pPr>
        <w:rPr>
          <w:rFonts w:ascii="Calibri" w:hAnsi="Calibri" w:cs="Calibri"/>
          <w:sz w:val="22"/>
          <w:szCs w:val="22"/>
        </w:rPr>
      </w:pPr>
    </w:p>
    <w:p w14:paraId="5CD17055" w14:textId="70C2D77F" w:rsidR="00931CC1" w:rsidRDefault="00931CC1" w:rsidP="00931CC1">
      <w:pPr>
        <w:ind w:left="360"/>
        <w:rPr>
          <w:rFonts w:ascii="Calibri" w:hAnsi="Calibri" w:cs="Calibri"/>
          <w:sz w:val="22"/>
          <w:szCs w:val="22"/>
        </w:rPr>
      </w:pPr>
      <w:r w:rsidRPr="00A32897">
        <w:rPr>
          <w:rFonts w:ascii="Calibri" w:hAnsi="Calibri" w:cs="Calibri"/>
          <w:sz w:val="22"/>
          <w:szCs w:val="22"/>
        </w:rPr>
        <w:t>s.a., ‘Deputy premier opens 17</w:t>
      </w:r>
      <w:r w:rsidRPr="00A32897">
        <w:rPr>
          <w:rFonts w:ascii="Calibri" w:hAnsi="Calibri" w:cs="Calibri"/>
          <w:sz w:val="22"/>
          <w:szCs w:val="22"/>
          <w:vertAlign w:val="superscript"/>
        </w:rPr>
        <w:t>th</w:t>
      </w:r>
      <w:r w:rsidRPr="00A32897">
        <w:rPr>
          <w:rFonts w:ascii="Calibri" w:hAnsi="Calibri" w:cs="Calibri"/>
          <w:sz w:val="22"/>
          <w:szCs w:val="22"/>
        </w:rPr>
        <w:t xml:space="preserve"> annual forum on river blindness’, </w:t>
      </w:r>
      <w:r w:rsidRPr="00A32897">
        <w:rPr>
          <w:rFonts w:ascii="Calibri" w:hAnsi="Calibri" w:cs="Calibri"/>
          <w:i/>
          <w:sz w:val="22"/>
          <w:szCs w:val="22"/>
        </w:rPr>
        <w:t xml:space="preserve">Kuwait News Agency </w:t>
      </w:r>
      <w:r w:rsidRPr="00A32897">
        <w:rPr>
          <w:rFonts w:ascii="Calibri" w:hAnsi="Calibri" w:cs="Calibri"/>
          <w:sz w:val="22"/>
          <w:szCs w:val="22"/>
        </w:rPr>
        <w:t>(12 December 2001).</w:t>
      </w:r>
    </w:p>
    <w:p w14:paraId="7DD21B8B" w14:textId="77777777" w:rsidR="00145704" w:rsidRPr="00A32897" w:rsidRDefault="00145704" w:rsidP="00931CC1">
      <w:pPr>
        <w:ind w:left="360"/>
        <w:rPr>
          <w:rFonts w:ascii="Calibri" w:hAnsi="Calibri" w:cs="Calibri"/>
          <w:sz w:val="22"/>
          <w:szCs w:val="22"/>
        </w:rPr>
      </w:pPr>
    </w:p>
    <w:p w14:paraId="69CF5806" w14:textId="00779FCE" w:rsidR="00931CC1" w:rsidRDefault="00931CC1" w:rsidP="00931CC1">
      <w:pPr>
        <w:ind w:left="360"/>
        <w:rPr>
          <w:rFonts w:ascii="Calibri" w:hAnsi="Calibri" w:cs="Calibri"/>
          <w:sz w:val="22"/>
          <w:szCs w:val="22"/>
        </w:rPr>
      </w:pPr>
      <w:r w:rsidRPr="00A32897">
        <w:rPr>
          <w:rFonts w:ascii="Calibri" w:hAnsi="Calibri" w:cs="Calibri"/>
          <w:sz w:val="22"/>
          <w:szCs w:val="22"/>
        </w:rPr>
        <w:t xml:space="preserve">s.a., ‘Donors hold back on funding for fight against Africa river blindness’, </w:t>
      </w:r>
      <w:r w:rsidRPr="00A32897">
        <w:rPr>
          <w:rFonts w:ascii="Calibri" w:hAnsi="Calibri" w:cs="Calibri"/>
          <w:i/>
          <w:sz w:val="22"/>
          <w:szCs w:val="22"/>
        </w:rPr>
        <w:t xml:space="preserve">Agence France-Presse </w:t>
      </w:r>
      <w:r w:rsidRPr="00A32897">
        <w:rPr>
          <w:rFonts w:ascii="Calibri" w:hAnsi="Calibri" w:cs="Calibri"/>
          <w:sz w:val="22"/>
          <w:szCs w:val="22"/>
        </w:rPr>
        <w:t>(14 October 1999).</w:t>
      </w:r>
    </w:p>
    <w:p w14:paraId="083A6281" w14:textId="77777777" w:rsidR="00145704" w:rsidRPr="00A32897" w:rsidRDefault="00145704" w:rsidP="00931CC1">
      <w:pPr>
        <w:ind w:left="360"/>
        <w:rPr>
          <w:rFonts w:ascii="Calibri" w:hAnsi="Calibri" w:cs="Calibri"/>
          <w:sz w:val="22"/>
          <w:szCs w:val="22"/>
        </w:rPr>
      </w:pPr>
    </w:p>
    <w:p w14:paraId="5270D4A4" w14:textId="42E198F9" w:rsidR="00931CC1" w:rsidRDefault="00931CC1" w:rsidP="00931CC1">
      <w:pPr>
        <w:ind w:left="360"/>
        <w:rPr>
          <w:rFonts w:ascii="Calibri" w:hAnsi="Calibri" w:cs="Calibri"/>
          <w:sz w:val="22"/>
          <w:szCs w:val="22"/>
        </w:rPr>
      </w:pPr>
      <w:r w:rsidRPr="00A32897">
        <w:rPr>
          <w:rFonts w:ascii="Calibri" w:hAnsi="Calibri" w:cs="Calibri"/>
          <w:sz w:val="22"/>
          <w:szCs w:val="22"/>
        </w:rPr>
        <w:t xml:space="preserve">s.a., ‘Donors meet on urgent funding for fight against Africa river blindness’, </w:t>
      </w:r>
      <w:r w:rsidRPr="00A32897">
        <w:rPr>
          <w:rFonts w:ascii="Calibri" w:hAnsi="Calibri" w:cs="Calibri"/>
          <w:i/>
          <w:sz w:val="22"/>
          <w:szCs w:val="22"/>
        </w:rPr>
        <w:t xml:space="preserve">Agence France-Presse </w:t>
      </w:r>
      <w:r w:rsidRPr="00A32897">
        <w:rPr>
          <w:rFonts w:ascii="Calibri" w:hAnsi="Calibri" w:cs="Calibri"/>
          <w:sz w:val="22"/>
          <w:szCs w:val="22"/>
        </w:rPr>
        <w:t>(12 October 1999).</w:t>
      </w:r>
    </w:p>
    <w:p w14:paraId="63B670F1" w14:textId="77777777" w:rsidR="00145704" w:rsidRPr="00A32897" w:rsidRDefault="00145704" w:rsidP="00931CC1">
      <w:pPr>
        <w:ind w:left="360"/>
        <w:rPr>
          <w:rFonts w:ascii="Calibri" w:hAnsi="Calibri" w:cs="Calibri"/>
          <w:sz w:val="22"/>
          <w:szCs w:val="22"/>
        </w:rPr>
      </w:pPr>
    </w:p>
    <w:p w14:paraId="4D9A7816" w14:textId="5E9F2733" w:rsidR="00931CC1" w:rsidRDefault="00931CC1" w:rsidP="00145704">
      <w:pPr>
        <w:ind w:left="360"/>
        <w:rPr>
          <w:rFonts w:ascii="Calibri" w:hAnsi="Calibri" w:cs="Calibri"/>
          <w:sz w:val="22"/>
          <w:szCs w:val="22"/>
        </w:rPr>
      </w:pPr>
      <w:r w:rsidRPr="00A32897">
        <w:rPr>
          <w:rFonts w:ascii="Calibri" w:hAnsi="Calibri" w:cs="Calibri"/>
          <w:sz w:val="22"/>
          <w:szCs w:val="22"/>
        </w:rPr>
        <w:t xml:space="preserve">s.a., ‘Forty years later: the extraordinary river blindness partnership sets its sights on new goals’, </w:t>
      </w:r>
      <w:r w:rsidRPr="00A32897">
        <w:rPr>
          <w:rFonts w:ascii="Calibri" w:hAnsi="Calibri" w:cs="Calibri"/>
          <w:i/>
          <w:sz w:val="22"/>
          <w:szCs w:val="22"/>
        </w:rPr>
        <w:t xml:space="preserve">World Bank Group News </w:t>
      </w:r>
      <w:r w:rsidRPr="00A32897">
        <w:rPr>
          <w:rFonts w:ascii="Calibri" w:hAnsi="Calibri" w:cs="Calibri"/>
          <w:sz w:val="22"/>
          <w:szCs w:val="22"/>
        </w:rPr>
        <w:t>(</w:t>
      </w:r>
      <w:r w:rsidR="00613059">
        <w:rPr>
          <w:rFonts w:ascii="Calibri" w:hAnsi="Calibri" w:cs="Calibri"/>
          <w:sz w:val="22"/>
          <w:szCs w:val="22"/>
        </w:rPr>
        <w:t xml:space="preserve">online), </w:t>
      </w:r>
      <w:r w:rsidRPr="00A32897">
        <w:rPr>
          <w:rFonts w:ascii="Calibri" w:hAnsi="Calibri" w:cs="Calibri"/>
          <w:sz w:val="22"/>
          <w:szCs w:val="22"/>
        </w:rPr>
        <w:t>3 July 2014, &lt;http://www.worldbank.org/en/news/feature/2014/07/03/forty-years-later-the-extraordinary-river-blindness-partnership-sets-its-sights-on-new-goals&gt; [accessed 15 February 2018].</w:t>
      </w:r>
    </w:p>
    <w:p w14:paraId="723EA02E" w14:textId="77777777" w:rsidR="00145704" w:rsidRPr="00A32897" w:rsidRDefault="00145704" w:rsidP="00145704">
      <w:pPr>
        <w:ind w:left="360"/>
        <w:rPr>
          <w:rFonts w:ascii="Calibri" w:hAnsi="Calibri" w:cs="Calibri"/>
          <w:sz w:val="22"/>
          <w:szCs w:val="22"/>
        </w:rPr>
      </w:pPr>
    </w:p>
    <w:p w14:paraId="39FDBC09" w14:textId="67940A28" w:rsidR="00931CC1" w:rsidRDefault="00931CC1" w:rsidP="00931CC1">
      <w:pPr>
        <w:ind w:left="360"/>
        <w:rPr>
          <w:rFonts w:ascii="Calibri" w:hAnsi="Calibri" w:cs="Calibri"/>
          <w:sz w:val="22"/>
          <w:szCs w:val="22"/>
        </w:rPr>
      </w:pPr>
      <w:r w:rsidRPr="00A32897">
        <w:rPr>
          <w:rFonts w:ascii="Calibri" w:hAnsi="Calibri" w:cs="Calibri"/>
          <w:sz w:val="22"/>
          <w:szCs w:val="22"/>
        </w:rPr>
        <w:lastRenderedPageBreak/>
        <w:t xml:space="preserve">s.a., ‘Global initiative for elimination of avoidable blindness: vision 2020 launched in French-speaking Africa’, </w:t>
      </w:r>
      <w:r w:rsidRPr="00A32897">
        <w:rPr>
          <w:rFonts w:ascii="Calibri" w:hAnsi="Calibri" w:cs="Calibri"/>
          <w:i/>
          <w:sz w:val="22"/>
          <w:szCs w:val="22"/>
        </w:rPr>
        <w:t>World</w:t>
      </w:r>
      <w:r w:rsidRPr="00A32897">
        <w:rPr>
          <w:rFonts w:ascii="Calibri" w:hAnsi="Calibri" w:cs="Calibri"/>
          <w:sz w:val="22"/>
          <w:szCs w:val="22"/>
        </w:rPr>
        <w:t xml:space="preserve"> </w:t>
      </w:r>
      <w:r w:rsidRPr="00A32897">
        <w:rPr>
          <w:rFonts w:ascii="Calibri" w:hAnsi="Calibri" w:cs="Calibri"/>
          <w:i/>
          <w:sz w:val="22"/>
          <w:szCs w:val="22"/>
        </w:rPr>
        <w:t xml:space="preserve">Disease Weekly Plus </w:t>
      </w:r>
      <w:r w:rsidRPr="00A32897">
        <w:rPr>
          <w:rFonts w:ascii="Calibri" w:hAnsi="Calibri" w:cs="Calibri"/>
          <w:sz w:val="22"/>
          <w:szCs w:val="22"/>
        </w:rPr>
        <w:t>(26 March 2000).</w:t>
      </w:r>
    </w:p>
    <w:p w14:paraId="35568DB4" w14:textId="77777777" w:rsidR="00145704" w:rsidRPr="00A32897" w:rsidRDefault="00145704" w:rsidP="00931CC1">
      <w:pPr>
        <w:ind w:left="360"/>
        <w:rPr>
          <w:rFonts w:ascii="Calibri" w:hAnsi="Calibri" w:cs="Calibri"/>
          <w:sz w:val="22"/>
          <w:szCs w:val="22"/>
        </w:rPr>
      </w:pPr>
    </w:p>
    <w:p w14:paraId="56236927" w14:textId="6D395D0C" w:rsidR="00931CC1" w:rsidRDefault="00931CC1" w:rsidP="00931CC1">
      <w:pPr>
        <w:ind w:left="360"/>
        <w:rPr>
          <w:rFonts w:ascii="Calibri" w:hAnsi="Calibri" w:cs="Calibri"/>
          <w:sz w:val="22"/>
          <w:szCs w:val="22"/>
        </w:rPr>
      </w:pPr>
      <w:r w:rsidRPr="00A32897">
        <w:rPr>
          <w:rFonts w:ascii="Calibri" w:hAnsi="Calibri" w:cs="Calibri"/>
          <w:sz w:val="22"/>
          <w:szCs w:val="22"/>
        </w:rPr>
        <w:t xml:space="preserve">s.a., ‘Global partners are taking the “neglect” out of “neglected tropical diseases”’, </w:t>
      </w:r>
      <w:r w:rsidRPr="00A32897">
        <w:rPr>
          <w:rFonts w:ascii="Calibri" w:hAnsi="Calibri" w:cs="Calibri"/>
          <w:i/>
          <w:sz w:val="22"/>
          <w:szCs w:val="22"/>
        </w:rPr>
        <w:t xml:space="preserve">Uniting to Combat Neglected Tropical Diseases News </w:t>
      </w:r>
      <w:r w:rsidRPr="00A32897">
        <w:rPr>
          <w:rFonts w:ascii="Calibri" w:hAnsi="Calibri" w:cs="Calibri"/>
          <w:sz w:val="22"/>
          <w:szCs w:val="22"/>
        </w:rPr>
        <w:t>(</w:t>
      </w:r>
      <w:r w:rsidR="00613059">
        <w:rPr>
          <w:rFonts w:ascii="Calibri" w:hAnsi="Calibri" w:cs="Calibri"/>
          <w:sz w:val="22"/>
          <w:szCs w:val="22"/>
        </w:rPr>
        <w:t xml:space="preserve">online), </w:t>
      </w:r>
      <w:r w:rsidRPr="00A32897">
        <w:rPr>
          <w:rFonts w:ascii="Calibri" w:hAnsi="Calibri" w:cs="Calibri"/>
          <w:sz w:val="22"/>
          <w:szCs w:val="22"/>
        </w:rPr>
        <w:t>2 April 2014, &lt;https://unitingtocombatntds.org/news/global-partners-are-taking-neglect-out-neglected-tropical-diseases/&gt; [accessed 15 February 2018].</w:t>
      </w:r>
    </w:p>
    <w:p w14:paraId="59EA7C41" w14:textId="77777777" w:rsidR="00145704" w:rsidRPr="00A32897" w:rsidRDefault="00145704" w:rsidP="00931CC1">
      <w:pPr>
        <w:ind w:left="360"/>
        <w:rPr>
          <w:rFonts w:ascii="Calibri" w:hAnsi="Calibri" w:cs="Calibri"/>
          <w:sz w:val="22"/>
          <w:szCs w:val="22"/>
        </w:rPr>
      </w:pPr>
    </w:p>
    <w:p w14:paraId="2785ECBD" w14:textId="13ADABC6" w:rsidR="00931CC1" w:rsidRDefault="00931CC1" w:rsidP="00931CC1">
      <w:pPr>
        <w:ind w:left="360"/>
        <w:rPr>
          <w:rFonts w:ascii="Calibri" w:hAnsi="Calibri" w:cs="Calibri"/>
          <w:sz w:val="22"/>
          <w:szCs w:val="22"/>
        </w:rPr>
      </w:pPr>
      <w:r w:rsidRPr="00A32897">
        <w:rPr>
          <w:rFonts w:ascii="Calibri" w:hAnsi="Calibri" w:cs="Calibri"/>
          <w:sz w:val="22"/>
          <w:szCs w:val="22"/>
        </w:rPr>
        <w:t xml:space="preserve">s.a., ‘Health authorities plan and pledge to overcome a horrible disease’, </w:t>
      </w:r>
      <w:r w:rsidRPr="00A32897">
        <w:rPr>
          <w:rFonts w:ascii="Calibri" w:hAnsi="Calibri" w:cs="Calibri"/>
          <w:i/>
          <w:sz w:val="22"/>
          <w:szCs w:val="22"/>
        </w:rPr>
        <w:t xml:space="preserve">PR Newswire </w:t>
      </w:r>
      <w:r w:rsidRPr="00A32897">
        <w:rPr>
          <w:rFonts w:ascii="Calibri" w:hAnsi="Calibri" w:cs="Calibri"/>
          <w:sz w:val="22"/>
          <w:szCs w:val="22"/>
        </w:rPr>
        <w:t>(5 November 1997).</w:t>
      </w:r>
    </w:p>
    <w:p w14:paraId="08A37C76" w14:textId="77777777" w:rsidR="00145704" w:rsidRPr="00A32897" w:rsidRDefault="00145704" w:rsidP="00931CC1">
      <w:pPr>
        <w:ind w:left="360"/>
        <w:rPr>
          <w:rFonts w:ascii="Calibri" w:hAnsi="Calibri" w:cs="Calibri"/>
          <w:sz w:val="22"/>
          <w:szCs w:val="22"/>
        </w:rPr>
      </w:pPr>
    </w:p>
    <w:p w14:paraId="57D7D3E5" w14:textId="02EA70D2" w:rsidR="00931CC1" w:rsidRDefault="00931CC1" w:rsidP="00931CC1">
      <w:pPr>
        <w:ind w:left="360"/>
        <w:rPr>
          <w:rFonts w:ascii="Calibri" w:hAnsi="Calibri" w:cs="Calibri"/>
          <w:sz w:val="22"/>
          <w:szCs w:val="22"/>
        </w:rPr>
      </w:pPr>
      <w:r w:rsidRPr="00A32897">
        <w:rPr>
          <w:rFonts w:ascii="Calibri" w:hAnsi="Calibri" w:cs="Calibri"/>
          <w:sz w:val="22"/>
          <w:szCs w:val="22"/>
        </w:rPr>
        <w:t xml:space="preserve">s.a., ‘Jimmy Carter and Roy Vagelos step up efforts to battle blindness in Africa: in Chad, they announce a new World Bank program that would double the number of people treated for river blindness each year’, </w:t>
      </w:r>
      <w:r w:rsidRPr="00A32897">
        <w:rPr>
          <w:rFonts w:ascii="Calibri" w:hAnsi="Calibri" w:cs="Calibri"/>
          <w:i/>
          <w:sz w:val="22"/>
          <w:szCs w:val="22"/>
        </w:rPr>
        <w:t xml:space="preserve">Business Wire </w:t>
      </w:r>
      <w:r w:rsidRPr="00A32897">
        <w:rPr>
          <w:rFonts w:ascii="Calibri" w:hAnsi="Calibri" w:cs="Calibri"/>
          <w:sz w:val="22"/>
          <w:szCs w:val="22"/>
        </w:rPr>
        <w:t>(8 September 1994).</w:t>
      </w:r>
    </w:p>
    <w:p w14:paraId="76F6D35F" w14:textId="77777777" w:rsidR="00145704" w:rsidRPr="00A32897" w:rsidRDefault="00145704" w:rsidP="00931CC1">
      <w:pPr>
        <w:ind w:left="360"/>
        <w:rPr>
          <w:rFonts w:ascii="Calibri" w:hAnsi="Calibri" w:cs="Calibri"/>
          <w:sz w:val="22"/>
          <w:szCs w:val="22"/>
        </w:rPr>
      </w:pPr>
    </w:p>
    <w:p w14:paraId="0DE8CBBD" w14:textId="29DCF8E9" w:rsidR="00931CC1" w:rsidRDefault="00931CC1" w:rsidP="00931CC1">
      <w:pPr>
        <w:ind w:left="360"/>
        <w:rPr>
          <w:rFonts w:ascii="Calibri" w:hAnsi="Calibri" w:cs="Calibri"/>
          <w:sz w:val="22"/>
          <w:szCs w:val="22"/>
        </w:rPr>
      </w:pPr>
      <w:r w:rsidRPr="00A32897">
        <w:rPr>
          <w:rFonts w:ascii="Calibri" w:hAnsi="Calibri" w:cs="Calibri"/>
          <w:sz w:val="22"/>
          <w:szCs w:val="22"/>
        </w:rPr>
        <w:t xml:space="preserve">s.a., ‘Life from a Wellcome Trust perspective – neglected tropical diseases: control, elimination or eradication’, </w:t>
      </w:r>
      <w:r w:rsidRPr="00A32897">
        <w:rPr>
          <w:rFonts w:ascii="Calibri" w:hAnsi="Calibri" w:cs="Calibri"/>
          <w:i/>
          <w:sz w:val="22"/>
          <w:szCs w:val="22"/>
        </w:rPr>
        <w:t xml:space="preserve">Wellcome Trust </w:t>
      </w:r>
      <w:r w:rsidR="00613059">
        <w:rPr>
          <w:rFonts w:ascii="Calibri" w:hAnsi="Calibri" w:cs="Calibri"/>
          <w:i/>
          <w:sz w:val="22"/>
          <w:szCs w:val="22"/>
        </w:rPr>
        <w:t>B</w:t>
      </w:r>
      <w:r w:rsidRPr="00A32897">
        <w:rPr>
          <w:rFonts w:ascii="Calibri" w:hAnsi="Calibri" w:cs="Calibri"/>
          <w:i/>
          <w:sz w:val="22"/>
          <w:szCs w:val="22"/>
        </w:rPr>
        <w:t xml:space="preserve">log </w:t>
      </w:r>
      <w:r w:rsidRPr="00A32897">
        <w:rPr>
          <w:rFonts w:ascii="Calibri" w:hAnsi="Calibri" w:cs="Calibri"/>
          <w:sz w:val="22"/>
          <w:szCs w:val="22"/>
        </w:rPr>
        <w:t>(</w:t>
      </w:r>
      <w:r w:rsidR="00613059">
        <w:rPr>
          <w:rFonts w:ascii="Calibri" w:hAnsi="Calibri" w:cs="Calibri"/>
          <w:sz w:val="22"/>
          <w:szCs w:val="22"/>
        </w:rPr>
        <w:t xml:space="preserve">online), </w:t>
      </w:r>
      <w:r w:rsidRPr="00A32897">
        <w:rPr>
          <w:rFonts w:ascii="Calibri" w:hAnsi="Calibri" w:cs="Calibri"/>
          <w:sz w:val="22"/>
          <w:szCs w:val="22"/>
        </w:rPr>
        <w:t>7 February 2012</w:t>
      </w:r>
      <w:r w:rsidR="00613059">
        <w:rPr>
          <w:rFonts w:ascii="Calibri" w:hAnsi="Calibri" w:cs="Calibri"/>
          <w:sz w:val="22"/>
          <w:szCs w:val="22"/>
        </w:rPr>
        <w:t>,</w:t>
      </w:r>
      <w:r w:rsidRPr="00A32897">
        <w:rPr>
          <w:rFonts w:ascii="Calibri" w:hAnsi="Calibri" w:cs="Calibri"/>
          <w:sz w:val="22"/>
          <w:szCs w:val="22"/>
        </w:rPr>
        <w:t xml:space="preserve"> &lt;https://blog.wellcome.ac.uk/page/62/?frame&gt; [accessed 15 February 2018].</w:t>
      </w:r>
    </w:p>
    <w:p w14:paraId="0A549117" w14:textId="77777777" w:rsidR="00145704" w:rsidRPr="00A32897" w:rsidRDefault="00145704" w:rsidP="00931CC1">
      <w:pPr>
        <w:ind w:left="360"/>
        <w:rPr>
          <w:rFonts w:ascii="Calibri" w:hAnsi="Calibri" w:cs="Calibri"/>
          <w:sz w:val="22"/>
          <w:szCs w:val="22"/>
        </w:rPr>
      </w:pPr>
    </w:p>
    <w:p w14:paraId="36DCD971" w14:textId="694EE7F5" w:rsidR="00931CC1" w:rsidRDefault="00931CC1" w:rsidP="00931CC1">
      <w:pPr>
        <w:ind w:left="360"/>
        <w:rPr>
          <w:rFonts w:ascii="Calibri" w:hAnsi="Calibri" w:cs="Calibri"/>
          <w:sz w:val="22"/>
          <w:szCs w:val="22"/>
        </w:rPr>
      </w:pPr>
      <w:r w:rsidRPr="00A32897">
        <w:rPr>
          <w:rFonts w:ascii="Calibri" w:hAnsi="Calibri" w:cs="Calibri"/>
          <w:sz w:val="22"/>
          <w:szCs w:val="22"/>
        </w:rPr>
        <w:t xml:space="preserve">s.a., ‘Merck chairman reaffirms pledge to donate Mectizan in effort to reach all who suffer from river blindness’, </w:t>
      </w:r>
      <w:r w:rsidRPr="00A32897">
        <w:rPr>
          <w:rFonts w:ascii="Calibri" w:hAnsi="Calibri" w:cs="Calibri"/>
          <w:i/>
          <w:sz w:val="22"/>
          <w:szCs w:val="22"/>
        </w:rPr>
        <w:t xml:space="preserve">PR Newswire </w:t>
      </w:r>
      <w:r w:rsidRPr="00A32897">
        <w:rPr>
          <w:rFonts w:ascii="Calibri" w:hAnsi="Calibri" w:cs="Calibri"/>
          <w:sz w:val="22"/>
          <w:szCs w:val="22"/>
        </w:rPr>
        <w:t>(23 September 1992).</w:t>
      </w:r>
    </w:p>
    <w:p w14:paraId="1325A295" w14:textId="77777777" w:rsidR="00145704" w:rsidRPr="00A32897" w:rsidRDefault="00145704" w:rsidP="00931CC1">
      <w:pPr>
        <w:ind w:left="360"/>
        <w:rPr>
          <w:rFonts w:ascii="Calibri" w:hAnsi="Calibri" w:cs="Calibri"/>
          <w:sz w:val="22"/>
          <w:szCs w:val="22"/>
        </w:rPr>
      </w:pPr>
    </w:p>
    <w:p w14:paraId="518E9E57" w14:textId="25DAFC48" w:rsidR="00931CC1" w:rsidRDefault="00931CC1" w:rsidP="00931CC1">
      <w:pPr>
        <w:ind w:left="360"/>
        <w:rPr>
          <w:rFonts w:ascii="Calibri" w:hAnsi="Calibri" w:cs="Calibri"/>
          <w:sz w:val="22"/>
          <w:szCs w:val="22"/>
        </w:rPr>
      </w:pPr>
      <w:r w:rsidRPr="00A32897">
        <w:rPr>
          <w:rFonts w:ascii="Calibri" w:hAnsi="Calibri" w:cs="Calibri"/>
          <w:sz w:val="22"/>
          <w:szCs w:val="22"/>
        </w:rPr>
        <w:t xml:space="preserve">s.a., ‘More than ever, aid is a catalyst for change; new study shows effects of development assistance over last 50 years – part 2 of 2’, </w:t>
      </w:r>
      <w:r w:rsidRPr="00A32897">
        <w:rPr>
          <w:rFonts w:ascii="Calibri" w:hAnsi="Calibri" w:cs="Calibri"/>
          <w:i/>
          <w:sz w:val="22"/>
          <w:szCs w:val="22"/>
        </w:rPr>
        <w:t xml:space="preserve">M2 Presswire </w:t>
      </w:r>
      <w:r w:rsidRPr="00A32897">
        <w:rPr>
          <w:rFonts w:ascii="Calibri" w:hAnsi="Calibri" w:cs="Calibri"/>
          <w:sz w:val="22"/>
          <w:szCs w:val="22"/>
        </w:rPr>
        <w:t>(11 March 2002).</w:t>
      </w:r>
    </w:p>
    <w:p w14:paraId="5D0D1AF0" w14:textId="77777777" w:rsidR="00145704" w:rsidRPr="00A32897" w:rsidRDefault="00145704" w:rsidP="00931CC1">
      <w:pPr>
        <w:ind w:left="360"/>
        <w:rPr>
          <w:rFonts w:ascii="Calibri" w:hAnsi="Calibri" w:cs="Calibri"/>
          <w:sz w:val="22"/>
          <w:szCs w:val="22"/>
        </w:rPr>
      </w:pPr>
    </w:p>
    <w:p w14:paraId="675D44B9" w14:textId="5ACF5FA6" w:rsidR="00931CC1" w:rsidRDefault="00931CC1" w:rsidP="00931CC1">
      <w:pPr>
        <w:ind w:left="360"/>
        <w:rPr>
          <w:rFonts w:ascii="Calibri" w:hAnsi="Calibri" w:cs="Calibri"/>
          <w:sz w:val="22"/>
          <w:szCs w:val="22"/>
        </w:rPr>
      </w:pPr>
      <w:r w:rsidRPr="00A32897">
        <w:rPr>
          <w:rFonts w:ascii="Calibri" w:hAnsi="Calibri" w:cs="Calibri"/>
          <w:sz w:val="22"/>
          <w:szCs w:val="22"/>
        </w:rPr>
        <w:t xml:space="preserve">s.a., ‘Obituaries: Rene Le Berre, entomologist, dies at 78; directed fight against river blindness’, </w:t>
      </w:r>
      <w:r w:rsidRPr="00A32897">
        <w:rPr>
          <w:rFonts w:ascii="Calibri" w:hAnsi="Calibri" w:cs="Calibri"/>
          <w:i/>
          <w:sz w:val="22"/>
          <w:szCs w:val="22"/>
        </w:rPr>
        <w:t xml:space="preserve">New York Times </w:t>
      </w:r>
      <w:r w:rsidRPr="00A32897">
        <w:rPr>
          <w:rFonts w:ascii="Calibri" w:hAnsi="Calibri" w:cs="Calibri"/>
          <w:sz w:val="22"/>
          <w:szCs w:val="22"/>
        </w:rPr>
        <w:t>(20 December 2010).</w:t>
      </w:r>
    </w:p>
    <w:p w14:paraId="609543D0" w14:textId="77777777" w:rsidR="00145704" w:rsidRPr="00A32897" w:rsidRDefault="00145704" w:rsidP="00931CC1">
      <w:pPr>
        <w:ind w:left="360"/>
        <w:rPr>
          <w:rFonts w:ascii="Calibri" w:hAnsi="Calibri" w:cs="Calibri"/>
          <w:sz w:val="22"/>
          <w:szCs w:val="22"/>
        </w:rPr>
      </w:pPr>
    </w:p>
    <w:p w14:paraId="0022543D" w14:textId="59575A9A" w:rsidR="00931CC1" w:rsidRDefault="00931CC1" w:rsidP="00931CC1">
      <w:pPr>
        <w:ind w:left="360"/>
        <w:rPr>
          <w:rFonts w:ascii="Calibri" w:hAnsi="Calibri" w:cs="Calibri"/>
          <w:sz w:val="22"/>
          <w:szCs w:val="22"/>
        </w:rPr>
      </w:pPr>
      <w:r w:rsidRPr="00A32897">
        <w:rPr>
          <w:rFonts w:ascii="Calibri" w:hAnsi="Calibri" w:cs="Calibri"/>
          <w:sz w:val="22"/>
          <w:szCs w:val="22"/>
        </w:rPr>
        <w:t xml:space="preserve">s.a., ‘Onchocerciasis treatment programs covering nearly 500,000 people approved by experts’, </w:t>
      </w:r>
      <w:r w:rsidRPr="00A32897">
        <w:rPr>
          <w:rFonts w:ascii="Calibri" w:hAnsi="Calibri" w:cs="Calibri"/>
          <w:i/>
          <w:sz w:val="22"/>
          <w:szCs w:val="22"/>
        </w:rPr>
        <w:t xml:space="preserve">Business Wire </w:t>
      </w:r>
      <w:r w:rsidRPr="00A32897">
        <w:rPr>
          <w:rFonts w:ascii="Calibri" w:hAnsi="Calibri" w:cs="Calibri"/>
          <w:sz w:val="22"/>
          <w:szCs w:val="22"/>
        </w:rPr>
        <w:t>(20 September 1989).</w:t>
      </w:r>
    </w:p>
    <w:p w14:paraId="073BB033" w14:textId="77777777" w:rsidR="00145704" w:rsidRPr="00A32897" w:rsidRDefault="00145704" w:rsidP="00931CC1">
      <w:pPr>
        <w:ind w:left="360"/>
        <w:rPr>
          <w:rFonts w:ascii="Calibri" w:hAnsi="Calibri" w:cs="Calibri"/>
          <w:sz w:val="22"/>
          <w:szCs w:val="22"/>
        </w:rPr>
      </w:pPr>
    </w:p>
    <w:p w14:paraId="40065245" w14:textId="5443B891" w:rsidR="00931CC1" w:rsidRDefault="00931CC1" w:rsidP="00931CC1">
      <w:pPr>
        <w:ind w:left="360"/>
        <w:rPr>
          <w:rFonts w:ascii="Calibri" w:hAnsi="Calibri" w:cs="Calibri"/>
          <w:sz w:val="22"/>
          <w:szCs w:val="22"/>
        </w:rPr>
      </w:pPr>
      <w:r w:rsidRPr="00A32897">
        <w:rPr>
          <w:rFonts w:ascii="Calibri" w:hAnsi="Calibri" w:cs="Calibri"/>
          <w:sz w:val="22"/>
          <w:szCs w:val="22"/>
        </w:rPr>
        <w:t xml:space="preserve">s.a., ‘Onchocercisais cooperative efforts and ivermectin working to combat river blindness’, </w:t>
      </w:r>
      <w:r w:rsidRPr="00A32897">
        <w:rPr>
          <w:rFonts w:ascii="Calibri" w:hAnsi="Calibri" w:cs="Calibri"/>
          <w:i/>
          <w:sz w:val="22"/>
          <w:szCs w:val="22"/>
        </w:rPr>
        <w:t xml:space="preserve">Disease Weekly Plus </w:t>
      </w:r>
      <w:r w:rsidRPr="00A32897">
        <w:rPr>
          <w:rFonts w:ascii="Calibri" w:hAnsi="Calibri" w:cs="Calibri"/>
          <w:sz w:val="22"/>
          <w:szCs w:val="22"/>
        </w:rPr>
        <w:t>(9 February 1988).</w:t>
      </w:r>
    </w:p>
    <w:p w14:paraId="450C7090" w14:textId="77777777" w:rsidR="00846FCD" w:rsidRPr="00A32897" w:rsidRDefault="00846FCD" w:rsidP="00931CC1">
      <w:pPr>
        <w:ind w:left="360"/>
        <w:rPr>
          <w:rFonts w:ascii="Calibri" w:hAnsi="Calibri" w:cs="Calibri"/>
          <w:sz w:val="22"/>
          <w:szCs w:val="22"/>
        </w:rPr>
      </w:pPr>
    </w:p>
    <w:p w14:paraId="4D8EFE0E" w14:textId="4AC92042" w:rsidR="00931CC1" w:rsidRDefault="00931CC1" w:rsidP="00931CC1">
      <w:pPr>
        <w:ind w:left="360"/>
        <w:rPr>
          <w:rFonts w:ascii="Calibri" w:hAnsi="Calibri" w:cs="Calibri"/>
          <w:sz w:val="22"/>
          <w:szCs w:val="22"/>
        </w:rPr>
      </w:pPr>
      <w:r w:rsidRPr="00A32897">
        <w:rPr>
          <w:rFonts w:ascii="Calibri" w:hAnsi="Calibri" w:cs="Calibri"/>
          <w:sz w:val="22"/>
          <w:szCs w:val="22"/>
        </w:rPr>
        <w:t xml:space="preserve">s.a., ‘Pushing back neglected tropical diseases in Africa’, </w:t>
      </w:r>
      <w:r w:rsidRPr="00A32897">
        <w:rPr>
          <w:rFonts w:ascii="Calibri" w:hAnsi="Calibri" w:cs="Calibri"/>
          <w:i/>
          <w:sz w:val="22"/>
          <w:szCs w:val="22"/>
        </w:rPr>
        <w:t>World Bank</w:t>
      </w:r>
      <w:r w:rsidR="00613059">
        <w:rPr>
          <w:rFonts w:ascii="Calibri" w:hAnsi="Calibri" w:cs="Calibri"/>
          <w:i/>
          <w:sz w:val="22"/>
          <w:szCs w:val="22"/>
        </w:rPr>
        <w:t xml:space="preserve"> News</w:t>
      </w:r>
      <w:r w:rsidRPr="00A32897">
        <w:rPr>
          <w:rFonts w:ascii="Calibri" w:hAnsi="Calibri" w:cs="Calibri"/>
          <w:i/>
          <w:sz w:val="22"/>
          <w:szCs w:val="22"/>
        </w:rPr>
        <w:t xml:space="preserve"> </w:t>
      </w:r>
      <w:r w:rsidRPr="00A32897">
        <w:rPr>
          <w:rFonts w:ascii="Calibri" w:hAnsi="Calibri" w:cs="Calibri"/>
          <w:sz w:val="22"/>
          <w:szCs w:val="22"/>
        </w:rPr>
        <w:t>(</w:t>
      </w:r>
      <w:r w:rsidR="00613059">
        <w:rPr>
          <w:rFonts w:ascii="Calibri" w:hAnsi="Calibri" w:cs="Calibri"/>
          <w:sz w:val="22"/>
          <w:szCs w:val="22"/>
        </w:rPr>
        <w:t xml:space="preserve">online), </w:t>
      </w:r>
      <w:r w:rsidRPr="00A32897">
        <w:rPr>
          <w:rFonts w:ascii="Calibri" w:hAnsi="Calibri" w:cs="Calibri"/>
          <w:sz w:val="22"/>
          <w:szCs w:val="22"/>
        </w:rPr>
        <w:t>20 November 2012, &lt; http://www.worldbank.org/en/news/feature/2012/11/17/pushing-back-neglected-tropical-diseases-in-africa&gt; [accessed 15 February 2018].</w:t>
      </w:r>
    </w:p>
    <w:p w14:paraId="06098A9D" w14:textId="77777777" w:rsidR="00846FCD" w:rsidRPr="00A32897" w:rsidRDefault="00846FCD" w:rsidP="00931CC1">
      <w:pPr>
        <w:ind w:left="360"/>
        <w:rPr>
          <w:rFonts w:ascii="Calibri" w:hAnsi="Calibri" w:cs="Calibri"/>
          <w:sz w:val="22"/>
          <w:szCs w:val="22"/>
        </w:rPr>
      </w:pPr>
    </w:p>
    <w:p w14:paraId="01B530E9" w14:textId="77777777" w:rsidR="00931CC1" w:rsidRPr="00A32897" w:rsidRDefault="00931CC1" w:rsidP="00931CC1">
      <w:pPr>
        <w:ind w:left="360"/>
        <w:rPr>
          <w:rFonts w:ascii="Calibri" w:hAnsi="Calibri" w:cs="Calibri"/>
          <w:sz w:val="22"/>
          <w:szCs w:val="22"/>
        </w:rPr>
      </w:pPr>
      <w:r w:rsidRPr="00A32897">
        <w:rPr>
          <w:rFonts w:ascii="Calibri" w:hAnsi="Calibri" w:cs="Calibri"/>
          <w:sz w:val="22"/>
          <w:szCs w:val="22"/>
        </w:rPr>
        <w:t xml:space="preserve">s.a., ‘River blindness coming down in W. Africa – WHO’, </w:t>
      </w:r>
      <w:r w:rsidRPr="00A32897">
        <w:rPr>
          <w:rFonts w:ascii="Calibri" w:hAnsi="Calibri" w:cs="Calibri"/>
          <w:i/>
          <w:sz w:val="22"/>
          <w:szCs w:val="22"/>
        </w:rPr>
        <w:t xml:space="preserve">Xinhua News Agency </w:t>
      </w:r>
      <w:r w:rsidRPr="00A32897">
        <w:rPr>
          <w:rFonts w:ascii="Calibri" w:hAnsi="Calibri" w:cs="Calibri"/>
          <w:sz w:val="22"/>
          <w:szCs w:val="22"/>
        </w:rPr>
        <w:t>(30 April 1998).</w:t>
      </w:r>
    </w:p>
    <w:p w14:paraId="1F221B9C" w14:textId="37176521" w:rsidR="00931CC1" w:rsidRDefault="00931CC1" w:rsidP="00931CC1">
      <w:pPr>
        <w:ind w:left="360"/>
        <w:rPr>
          <w:rFonts w:ascii="Calibri" w:hAnsi="Calibri" w:cs="Calibri"/>
          <w:sz w:val="22"/>
          <w:szCs w:val="22"/>
        </w:rPr>
      </w:pPr>
      <w:r w:rsidRPr="00A32897">
        <w:rPr>
          <w:rFonts w:ascii="Calibri" w:hAnsi="Calibri" w:cs="Calibri"/>
          <w:sz w:val="22"/>
          <w:szCs w:val="22"/>
        </w:rPr>
        <w:t xml:space="preserve">s.a., ‘River blindness near end’, </w:t>
      </w:r>
      <w:r w:rsidRPr="00A32897">
        <w:rPr>
          <w:rFonts w:ascii="Calibri" w:hAnsi="Calibri" w:cs="Calibri"/>
          <w:i/>
          <w:sz w:val="22"/>
          <w:szCs w:val="22"/>
        </w:rPr>
        <w:t xml:space="preserve">Cincinnati Post </w:t>
      </w:r>
      <w:r w:rsidRPr="00A32897">
        <w:rPr>
          <w:rFonts w:ascii="Calibri" w:hAnsi="Calibri" w:cs="Calibri"/>
          <w:sz w:val="22"/>
          <w:szCs w:val="22"/>
        </w:rPr>
        <w:t>(5 December 1997).</w:t>
      </w:r>
    </w:p>
    <w:p w14:paraId="178F7064" w14:textId="77777777" w:rsidR="00846FCD" w:rsidRPr="00A32897" w:rsidRDefault="00846FCD" w:rsidP="00931CC1">
      <w:pPr>
        <w:ind w:left="360"/>
        <w:rPr>
          <w:rFonts w:ascii="Calibri" w:hAnsi="Calibri" w:cs="Calibri"/>
          <w:sz w:val="22"/>
          <w:szCs w:val="22"/>
        </w:rPr>
      </w:pPr>
    </w:p>
    <w:p w14:paraId="7A89F5A7" w14:textId="74D77827" w:rsidR="00931CC1" w:rsidRDefault="00931CC1" w:rsidP="00931CC1">
      <w:pPr>
        <w:ind w:left="360"/>
        <w:rPr>
          <w:rFonts w:ascii="Calibri" w:hAnsi="Calibri" w:cs="Calibri"/>
          <w:sz w:val="22"/>
          <w:szCs w:val="22"/>
        </w:rPr>
      </w:pPr>
      <w:r w:rsidRPr="00A32897">
        <w:rPr>
          <w:rFonts w:ascii="Calibri" w:hAnsi="Calibri" w:cs="Calibri"/>
          <w:sz w:val="22"/>
          <w:szCs w:val="22"/>
        </w:rPr>
        <w:t xml:space="preserve">s.a., ‘Riverblindness partners pledge US$ 39 million to eliminate disease from Africa by 2010’, </w:t>
      </w:r>
      <w:r w:rsidRPr="00A32897">
        <w:rPr>
          <w:rFonts w:ascii="Calibri" w:hAnsi="Calibri" w:cs="Calibri"/>
          <w:i/>
          <w:sz w:val="22"/>
          <w:szCs w:val="22"/>
        </w:rPr>
        <w:t xml:space="preserve">All Africa Global Media </w:t>
      </w:r>
      <w:r w:rsidRPr="00A32897">
        <w:rPr>
          <w:rFonts w:ascii="Calibri" w:hAnsi="Calibri" w:cs="Calibri"/>
          <w:sz w:val="22"/>
          <w:szCs w:val="22"/>
        </w:rPr>
        <w:t>(14 December 2001).</w:t>
      </w:r>
    </w:p>
    <w:p w14:paraId="0929697B" w14:textId="77777777" w:rsidR="00846FCD" w:rsidRPr="00A32897" w:rsidRDefault="00846FCD" w:rsidP="00931CC1">
      <w:pPr>
        <w:ind w:left="360"/>
        <w:rPr>
          <w:rFonts w:ascii="Calibri" w:hAnsi="Calibri" w:cs="Calibri"/>
          <w:sz w:val="22"/>
          <w:szCs w:val="22"/>
        </w:rPr>
      </w:pPr>
    </w:p>
    <w:p w14:paraId="19A2118A" w14:textId="14C04A29" w:rsidR="00931CC1" w:rsidRDefault="00931CC1" w:rsidP="00931CC1">
      <w:pPr>
        <w:ind w:left="360"/>
        <w:rPr>
          <w:rFonts w:ascii="Calibri" w:hAnsi="Calibri" w:cs="Calibri"/>
          <w:sz w:val="22"/>
          <w:szCs w:val="22"/>
        </w:rPr>
      </w:pPr>
      <w:r w:rsidRPr="00A32897">
        <w:rPr>
          <w:rFonts w:ascii="Calibri" w:hAnsi="Calibri" w:cs="Calibri"/>
          <w:sz w:val="22"/>
          <w:szCs w:val="22"/>
        </w:rPr>
        <w:t xml:space="preserve">s.a., ‘Samba at World Bank to conclude negotiations for money to combat riverblindness’, </w:t>
      </w:r>
      <w:r w:rsidRPr="00A32897">
        <w:rPr>
          <w:rFonts w:ascii="Calibri" w:hAnsi="Calibri" w:cs="Calibri"/>
          <w:i/>
          <w:sz w:val="22"/>
          <w:szCs w:val="22"/>
        </w:rPr>
        <w:t xml:space="preserve">World Bank Watch </w:t>
      </w:r>
      <w:r w:rsidRPr="00A32897">
        <w:rPr>
          <w:rFonts w:ascii="Calibri" w:hAnsi="Calibri" w:cs="Calibri"/>
          <w:sz w:val="22"/>
          <w:szCs w:val="22"/>
        </w:rPr>
        <w:t>(2 March 1992).</w:t>
      </w:r>
    </w:p>
    <w:p w14:paraId="2FE9BC65" w14:textId="77777777" w:rsidR="00846FCD" w:rsidRPr="00A32897" w:rsidRDefault="00846FCD" w:rsidP="00931CC1">
      <w:pPr>
        <w:ind w:left="360"/>
        <w:rPr>
          <w:rFonts w:ascii="Calibri" w:hAnsi="Calibri" w:cs="Calibri"/>
          <w:sz w:val="22"/>
          <w:szCs w:val="22"/>
        </w:rPr>
      </w:pPr>
    </w:p>
    <w:p w14:paraId="798796FF" w14:textId="4BF15CA5" w:rsidR="00931CC1" w:rsidRDefault="00931CC1" w:rsidP="00931CC1">
      <w:pPr>
        <w:ind w:left="360"/>
        <w:rPr>
          <w:rFonts w:ascii="Calibri" w:hAnsi="Calibri" w:cs="Calibri"/>
          <w:sz w:val="22"/>
          <w:szCs w:val="22"/>
        </w:rPr>
      </w:pPr>
      <w:r w:rsidRPr="00A32897">
        <w:rPr>
          <w:rFonts w:ascii="Calibri" w:hAnsi="Calibri" w:cs="Calibri"/>
          <w:sz w:val="22"/>
          <w:szCs w:val="22"/>
        </w:rPr>
        <w:t xml:space="preserve">s.a., ‘The World Bank and neglected tropical diseases: building on a history of helping countries address diseases of the poor’, </w:t>
      </w:r>
      <w:r w:rsidRPr="00A32897">
        <w:rPr>
          <w:rFonts w:ascii="Calibri" w:hAnsi="Calibri" w:cs="Calibri"/>
          <w:i/>
          <w:sz w:val="22"/>
          <w:szCs w:val="22"/>
        </w:rPr>
        <w:t xml:space="preserve">World Bank </w:t>
      </w:r>
      <w:r w:rsidR="00613059">
        <w:rPr>
          <w:rFonts w:ascii="Calibri" w:hAnsi="Calibri" w:cs="Calibri"/>
          <w:i/>
          <w:sz w:val="22"/>
          <w:szCs w:val="22"/>
        </w:rPr>
        <w:t xml:space="preserve">Website </w:t>
      </w:r>
      <w:r w:rsidRPr="00A32897">
        <w:rPr>
          <w:rFonts w:ascii="Calibri" w:hAnsi="Calibri" w:cs="Calibri"/>
          <w:sz w:val="22"/>
          <w:szCs w:val="22"/>
        </w:rPr>
        <w:t>(</w:t>
      </w:r>
      <w:r w:rsidR="00613059">
        <w:rPr>
          <w:rFonts w:ascii="Calibri" w:hAnsi="Calibri" w:cs="Calibri"/>
          <w:sz w:val="22"/>
          <w:szCs w:val="22"/>
        </w:rPr>
        <w:t xml:space="preserve">online), </w:t>
      </w:r>
      <w:r w:rsidRPr="00A32897">
        <w:rPr>
          <w:rFonts w:ascii="Calibri" w:hAnsi="Calibri" w:cs="Calibri"/>
          <w:sz w:val="22"/>
          <w:szCs w:val="22"/>
        </w:rPr>
        <w:t>27 March 2014</w:t>
      </w:r>
      <w:r w:rsidR="00613059">
        <w:rPr>
          <w:rFonts w:ascii="Calibri" w:hAnsi="Calibri" w:cs="Calibri"/>
          <w:sz w:val="22"/>
          <w:szCs w:val="22"/>
        </w:rPr>
        <w:t>,</w:t>
      </w:r>
      <w:r w:rsidRPr="00A32897">
        <w:rPr>
          <w:rFonts w:ascii="Calibri" w:hAnsi="Calibri" w:cs="Calibri"/>
          <w:sz w:val="22"/>
          <w:szCs w:val="22"/>
        </w:rPr>
        <w:t xml:space="preserve"> &lt;http://www.worldbank.org/en/topic/health/brief/world-bank-neglected-tropical-diseases-</w:t>
      </w:r>
      <w:r w:rsidRPr="00A32897">
        <w:rPr>
          <w:rFonts w:ascii="Calibri" w:hAnsi="Calibri" w:cs="Calibri"/>
          <w:sz w:val="22"/>
          <w:szCs w:val="22"/>
        </w:rPr>
        <w:lastRenderedPageBreak/>
        <w:t>building-on-history-of-helping-countries-address-diseases-of-poor&gt; [accessed 15 February 2018].</w:t>
      </w:r>
    </w:p>
    <w:p w14:paraId="0C3E2F84" w14:textId="77777777" w:rsidR="00846FCD" w:rsidRPr="00A32897" w:rsidRDefault="00846FCD" w:rsidP="00931CC1">
      <w:pPr>
        <w:ind w:left="360"/>
        <w:rPr>
          <w:rFonts w:ascii="Calibri" w:hAnsi="Calibri" w:cs="Calibri"/>
          <w:sz w:val="22"/>
          <w:szCs w:val="22"/>
        </w:rPr>
      </w:pPr>
    </w:p>
    <w:p w14:paraId="61B8B9DC" w14:textId="48B18CEE" w:rsidR="00931CC1" w:rsidRDefault="00931CC1" w:rsidP="00931CC1">
      <w:pPr>
        <w:ind w:left="360"/>
        <w:rPr>
          <w:rFonts w:ascii="Calibri" w:hAnsi="Calibri" w:cs="Calibri"/>
          <w:sz w:val="22"/>
          <w:szCs w:val="22"/>
        </w:rPr>
      </w:pPr>
      <w:r w:rsidRPr="00A32897">
        <w:rPr>
          <w:rFonts w:ascii="Calibri" w:hAnsi="Calibri" w:cs="Calibri"/>
          <w:sz w:val="22"/>
          <w:szCs w:val="22"/>
        </w:rPr>
        <w:t xml:space="preserve">s.a., ‘The World Bank in Africa’, </w:t>
      </w:r>
      <w:r w:rsidRPr="00A32897">
        <w:rPr>
          <w:rFonts w:ascii="Calibri" w:hAnsi="Calibri" w:cs="Calibri"/>
          <w:i/>
          <w:sz w:val="22"/>
          <w:szCs w:val="22"/>
        </w:rPr>
        <w:t xml:space="preserve">All Africa Global Media </w:t>
      </w:r>
      <w:r w:rsidRPr="00A32897">
        <w:rPr>
          <w:rFonts w:ascii="Calibri" w:hAnsi="Calibri" w:cs="Calibri"/>
          <w:sz w:val="22"/>
          <w:szCs w:val="22"/>
        </w:rPr>
        <w:t>(23 September 2002).</w:t>
      </w:r>
    </w:p>
    <w:p w14:paraId="5E786638" w14:textId="77777777" w:rsidR="00846FCD" w:rsidRPr="00A32897" w:rsidRDefault="00846FCD" w:rsidP="00931CC1">
      <w:pPr>
        <w:ind w:left="360"/>
        <w:rPr>
          <w:rFonts w:ascii="Calibri" w:hAnsi="Calibri" w:cs="Calibri"/>
          <w:sz w:val="22"/>
          <w:szCs w:val="22"/>
        </w:rPr>
      </w:pPr>
    </w:p>
    <w:p w14:paraId="06BF0544" w14:textId="4BF6516D" w:rsidR="00931CC1" w:rsidRDefault="00931CC1" w:rsidP="00931CC1">
      <w:pPr>
        <w:ind w:left="360"/>
        <w:rPr>
          <w:rFonts w:ascii="Calibri" w:hAnsi="Calibri" w:cs="Calibri"/>
          <w:sz w:val="22"/>
          <w:szCs w:val="22"/>
        </w:rPr>
      </w:pPr>
      <w:r w:rsidRPr="00A32897">
        <w:rPr>
          <w:rFonts w:ascii="Calibri" w:hAnsi="Calibri" w:cs="Calibri"/>
          <w:sz w:val="22"/>
          <w:szCs w:val="22"/>
        </w:rPr>
        <w:t xml:space="preserve">s.a., ‘Tropical diseases: four tropical diseases can be eliminated, WHO says’, </w:t>
      </w:r>
      <w:r w:rsidRPr="00A32897">
        <w:rPr>
          <w:rFonts w:ascii="Calibri" w:hAnsi="Calibri" w:cs="Calibri"/>
          <w:i/>
          <w:sz w:val="22"/>
          <w:szCs w:val="22"/>
        </w:rPr>
        <w:t xml:space="preserve">Disease Weekly Plus </w:t>
      </w:r>
      <w:r w:rsidRPr="00A32897">
        <w:rPr>
          <w:rFonts w:ascii="Calibri" w:hAnsi="Calibri" w:cs="Calibri"/>
          <w:sz w:val="22"/>
          <w:szCs w:val="22"/>
        </w:rPr>
        <w:t>(5 May 1997).</w:t>
      </w:r>
    </w:p>
    <w:p w14:paraId="439EAFB1" w14:textId="77777777" w:rsidR="00846FCD" w:rsidRPr="00A32897" w:rsidRDefault="00846FCD" w:rsidP="00931CC1">
      <w:pPr>
        <w:ind w:left="360"/>
        <w:rPr>
          <w:rFonts w:ascii="Calibri" w:hAnsi="Calibri" w:cs="Calibri"/>
          <w:sz w:val="22"/>
          <w:szCs w:val="22"/>
        </w:rPr>
      </w:pPr>
    </w:p>
    <w:p w14:paraId="6939BB19" w14:textId="39C70520" w:rsidR="00931CC1" w:rsidRDefault="00931CC1" w:rsidP="00931CC1">
      <w:pPr>
        <w:ind w:left="360"/>
        <w:rPr>
          <w:rFonts w:ascii="Calibri" w:hAnsi="Calibri" w:cs="Calibri"/>
          <w:sz w:val="22"/>
          <w:szCs w:val="22"/>
        </w:rPr>
      </w:pPr>
      <w:r w:rsidRPr="00A32897">
        <w:rPr>
          <w:rFonts w:ascii="Calibri" w:hAnsi="Calibri" w:cs="Calibri"/>
          <w:sz w:val="22"/>
          <w:szCs w:val="22"/>
        </w:rPr>
        <w:t xml:space="preserve">s.a., ‘VISION 2020 sets sights on eliminating cataract blindness in Africa’, </w:t>
      </w:r>
      <w:r w:rsidRPr="00A32897">
        <w:rPr>
          <w:rFonts w:ascii="Calibri" w:hAnsi="Calibri" w:cs="Calibri"/>
          <w:i/>
          <w:sz w:val="22"/>
          <w:szCs w:val="22"/>
        </w:rPr>
        <w:t xml:space="preserve">World Disease Weekly Plus </w:t>
      </w:r>
      <w:r w:rsidRPr="00A32897">
        <w:rPr>
          <w:rFonts w:ascii="Calibri" w:hAnsi="Calibri" w:cs="Calibri"/>
          <w:sz w:val="22"/>
          <w:szCs w:val="22"/>
        </w:rPr>
        <w:t>(7 May 2000).</w:t>
      </w:r>
    </w:p>
    <w:p w14:paraId="231C5EB7" w14:textId="77777777" w:rsidR="00846FCD" w:rsidRPr="00A32897" w:rsidRDefault="00846FCD" w:rsidP="00931CC1">
      <w:pPr>
        <w:ind w:left="360"/>
        <w:rPr>
          <w:rFonts w:ascii="Calibri" w:hAnsi="Calibri" w:cs="Calibri"/>
          <w:sz w:val="22"/>
          <w:szCs w:val="22"/>
        </w:rPr>
      </w:pPr>
    </w:p>
    <w:p w14:paraId="66CB8D2A" w14:textId="126A4DE7" w:rsidR="00931CC1" w:rsidRDefault="00931CC1" w:rsidP="00931CC1">
      <w:pPr>
        <w:ind w:left="360"/>
        <w:rPr>
          <w:rFonts w:ascii="Calibri" w:hAnsi="Calibri" w:cs="Calibri"/>
          <w:sz w:val="22"/>
          <w:szCs w:val="22"/>
        </w:rPr>
      </w:pPr>
      <w:r w:rsidRPr="00A32897">
        <w:rPr>
          <w:rFonts w:ascii="Calibri" w:hAnsi="Calibri" w:cs="Calibri"/>
          <w:sz w:val="22"/>
          <w:szCs w:val="22"/>
        </w:rPr>
        <w:t xml:space="preserve">s.a., ‘W. Africa Conf on river blindness opens in Ghana’, </w:t>
      </w:r>
      <w:r w:rsidRPr="00A32897">
        <w:rPr>
          <w:rFonts w:ascii="Calibri" w:hAnsi="Calibri" w:cs="Calibri"/>
          <w:i/>
          <w:sz w:val="22"/>
          <w:szCs w:val="22"/>
        </w:rPr>
        <w:t xml:space="preserve">Xinhua News Agency </w:t>
      </w:r>
      <w:r w:rsidRPr="00A32897">
        <w:rPr>
          <w:rFonts w:ascii="Calibri" w:hAnsi="Calibri" w:cs="Calibri"/>
          <w:sz w:val="22"/>
          <w:szCs w:val="22"/>
        </w:rPr>
        <w:t>(7 December 1998).</w:t>
      </w:r>
    </w:p>
    <w:p w14:paraId="133B4BF8" w14:textId="77777777" w:rsidR="00846FCD" w:rsidRPr="00A32897" w:rsidRDefault="00846FCD" w:rsidP="00931CC1">
      <w:pPr>
        <w:ind w:left="360"/>
        <w:rPr>
          <w:rFonts w:ascii="Calibri" w:hAnsi="Calibri" w:cs="Calibri"/>
          <w:sz w:val="22"/>
          <w:szCs w:val="22"/>
        </w:rPr>
      </w:pPr>
    </w:p>
    <w:p w14:paraId="29F3715B" w14:textId="64DE33A5" w:rsidR="00931CC1" w:rsidRDefault="00931CC1" w:rsidP="00931CC1">
      <w:pPr>
        <w:ind w:left="360"/>
        <w:rPr>
          <w:rFonts w:ascii="Calibri" w:hAnsi="Calibri" w:cs="Calibri"/>
          <w:sz w:val="22"/>
          <w:szCs w:val="22"/>
        </w:rPr>
      </w:pPr>
      <w:r w:rsidRPr="00A32897">
        <w:rPr>
          <w:rFonts w:ascii="Calibri" w:hAnsi="Calibri" w:cs="Calibri"/>
          <w:sz w:val="22"/>
          <w:szCs w:val="22"/>
        </w:rPr>
        <w:t xml:space="preserve">s.a., ‘WHO confident of control of river blindness by 2002’, </w:t>
      </w:r>
      <w:r w:rsidRPr="00A32897">
        <w:rPr>
          <w:rFonts w:ascii="Calibri" w:hAnsi="Calibri" w:cs="Calibri"/>
          <w:i/>
          <w:sz w:val="22"/>
          <w:szCs w:val="22"/>
        </w:rPr>
        <w:t xml:space="preserve">Xinhua News Agency </w:t>
      </w:r>
      <w:r w:rsidRPr="00A32897">
        <w:rPr>
          <w:rFonts w:ascii="Calibri" w:hAnsi="Calibri" w:cs="Calibri"/>
          <w:sz w:val="22"/>
          <w:szCs w:val="22"/>
        </w:rPr>
        <w:t>(17 April 1998).</w:t>
      </w:r>
    </w:p>
    <w:p w14:paraId="3B7036E1" w14:textId="77777777" w:rsidR="00846FCD" w:rsidRPr="00A32897" w:rsidRDefault="00846FCD" w:rsidP="00931CC1">
      <w:pPr>
        <w:ind w:left="360"/>
        <w:rPr>
          <w:rFonts w:ascii="Calibri" w:hAnsi="Calibri" w:cs="Calibri"/>
          <w:sz w:val="22"/>
          <w:szCs w:val="22"/>
        </w:rPr>
      </w:pPr>
    </w:p>
    <w:p w14:paraId="7B507584" w14:textId="5AF62BD4" w:rsidR="00931CC1" w:rsidRDefault="00931CC1" w:rsidP="00931CC1">
      <w:pPr>
        <w:ind w:left="360"/>
        <w:rPr>
          <w:rFonts w:ascii="Calibri" w:hAnsi="Calibri" w:cs="Calibri"/>
          <w:sz w:val="22"/>
          <w:szCs w:val="22"/>
        </w:rPr>
      </w:pPr>
      <w:r w:rsidRPr="00A32897">
        <w:rPr>
          <w:rFonts w:ascii="Calibri" w:hAnsi="Calibri" w:cs="Calibri"/>
          <w:sz w:val="22"/>
          <w:szCs w:val="22"/>
        </w:rPr>
        <w:t xml:space="preserve">s.a., ‘World Ban aims to stamp out river blindness’, </w:t>
      </w:r>
      <w:r w:rsidRPr="00A32897">
        <w:rPr>
          <w:rFonts w:ascii="Calibri" w:hAnsi="Calibri" w:cs="Calibri"/>
          <w:i/>
          <w:sz w:val="22"/>
          <w:szCs w:val="22"/>
        </w:rPr>
        <w:t xml:space="preserve">Reuters News </w:t>
      </w:r>
      <w:r w:rsidRPr="00A32897">
        <w:rPr>
          <w:rFonts w:ascii="Calibri" w:hAnsi="Calibri" w:cs="Calibri"/>
          <w:sz w:val="22"/>
          <w:szCs w:val="22"/>
        </w:rPr>
        <w:t>(6 December 1995).</w:t>
      </w:r>
    </w:p>
    <w:p w14:paraId="418BA214" w14:textId="77777777" w:rsidR="00846FCD" w:rsidRPr="00A32897" w:rsidRDefault="00846FCD" w:rsidP="006E7F0A">
      <w:pPr>
        <w:rPr>
          <w:rFonts w:ascii="Calibri" w:hAnsi="Calibri" w:cs="Calibri"/>
          <w:sz w:val="22"/>
          <w:szCs w:val="22"/>
        </w:rPr>
      </w:pPr>
    </w:p>
    <w:p w14:paraId="53A91E59" w14:textId="187E5ECA" w:rsidR="00931CC1" w:rsidRDefault="00931CC1" w:rsidP="00931CC1">
      <w:pPr>
        <w:ind w:left="360"/>
        <w:rPr>
          <w:rFonts w:ascii="Calibri" w:hAnsi="Calibri" w:cs="Calibri"/>
          <w:sz w:val="22"/>
          <w:szCs w:val="22"/>
        </w:rPr>
      </w:pPr>
      <w:r w:rsidRPr="00A32897">
        <w:rPr>
          <w:rFonts w:ascii="Calibri" w:hAnsi="Calibri" w:cs="Calibri"/>
          <w:sz w:val="22"/>
          <w:szCs w:val="22"/>
        </w:rPr>
        <w:t xml:space="preserve">s.a., ‘World Health Organization to head new expanded programme to eliminate river blindness from African continent’, </w:t>
      </w:r>
      <w:r w:rsidRPr="00A32897">
        <w:rPr>
          <w:rFonts w:ascii="Calibri" w:hAnsi="Calibri" w:cs="Calibri"/>
          <w:i/>
          <w:sz w:val="22"/>
          <w:szCs w:val="22"/>
        </w:rPr>
        <w:t xml:space="preserve">United Nations Press Release </w:t>
      </w:r>
      <w:r w:rsidRPr="00A32897">
        <w:rPr>
          <w:rFonts w:ascii="Calibri" w:hAnsi="Calibri" w:cs="Calibri"/>
          <w:sz w:val="22"/>
          <w:szCs w:val="22"/>
        </w:rPr>
        <w:t>(</w:t>
      </w:r>
      <w:r w:rsidR="006D76F5">
        <w:rPr>
          <w:rFonts w:ascii="Calibri" w:hAnsi="Calibri" w:cs="Calibri"/>
          <w:sz w:val="22"/>
          <w:szCs w:val="22"/>
        </w:rPr>
        <w:t xml:space="preserve">online), </w:t>
      </w:r>
      <w:r w:rsidRPr="00A32897">
        <w:rPr>
          <w:rFonts w:ascii="Calibri" w:hAnsi="Calibri" w:cs="Calibri"/>
          <w:sz w:val="22"/>
          <w:szCs w:val="22"/>
        </w:rPr>
        <w:t>6 December 1995, &lt;https://www.un.org/press/en/1995/19951206.h2886.html&gt; [accessed 15 February 2018].</w:t>
      </w:r>
    </w:p>
    <w:p w14:paraId="325F45D9" w14:textId="77777777" w:rsidR="00846FCD" w:rsidRPr="00A32897" w:rsidRDefault="00846FCD" w:rsidP="00931CC1">
      <w:pPr>
        <w:ind w:left="360"/>
        <w:rPr>
          <w:rFonts w:ascii="Calibri" w:hAnsi="Calibri" w:cs="Calibri"/>
          <w:sz w:val="22"/>
          <w:szCs w:val="22"/>
        </w:rPr>
      </w:pPr>
    </w:p>
    <w:p w14:paraId="19FE25AF" w14:textId="0C076449" w:rsidR="00931CC1" w:rsidRDefault="00931CC1" w:rsidP="00931CC1">
      <w:pPr>
        <w:ind w:left="360"/>
        <w:rPr>
          <w:rFonts w:ascii="Calibri" w:hAnsi="Calibri" w:cs="Calibri"/>
          <w:sz w:val="22"/>
          <w:szCs w:val="22"/>
        </w:rPr>
      </w:pPr>
      <w:r w:rsidRPr="00A32897">
        <w:rPr>
          <w:rFonts w:ascii="Calibri" w:hAnsi="Calibri" w:cs="Calibri"/>
          <w:sz w:val="22"/>
          <w:szCs w:val="22"/>
        </w:rPr>
        <w:t xml:space="preserve">Tanouye E, ‘Merck’s “river blindness” gift hits snags’, </w:t>
      </w:r>
      <w:r w:rsidRPr="00A32897">
        <w:rPr>
          <w:rFonts w:ascii="Calibri" w:hAnsi="Calibri" w:cs="Calibri"/>
          <w:i/>
          <w:sz w:val="22"/>
          <w:szCs w:val="22"/>
        </w:rPr>
        <w:t xml:space="preserve">Wall Street Journal </w:t>
      </w:r>
      <w:r w:rsidRPr="00A32897">
        <w:rPr>
          <w:rFonts w:ascii="Calibri" w:hAnsi="Calibri" w:cs="Calibri"/>
          <w:sz w:val="22"/>
          <w:szCs w:val="22"/>
        </w:rPr>
        <w:t>(23 September 1992).</w:t>
      </w:r>
    </w:p>
    <w:p w14:paraId="129EFED1" w14:textId="77777777" w:rsidR="00846FCD" w:rsidRPr="00A32897" w:rsidRDefault="00846FCD" w:rsidP="00931CC1">
      <w:pPr>
        <w:ind w:left="360"/>
        <w:rPr>
          <w:rFonts w:ascii="Calibri" w:hAnsi="Calibri" w:cs="Calibri"/>
          <w:sz w:val="22"/>
          <w:szCs w:val="22"/>
        </w:rPr>
      </w:pPr>
    </w:p>
    <w:p w14:paraId="45F86CE3" w14:textId="430719B0" w:rsidR="00931CC1" w:rsidRDefault="00931CC1" w:rsidP="006D76F5">
      <w:pPr>
        <w:ind w:left="360"/>
        <w:rPr>
          <w:rFonts w:ascii="Calibri" w:hAnsi="Calibri" w:cs="Calibri"/>
          <w:sz w:val="22"/>
          <w:szCs w:val="22"/>
        </w:rPr>
      </w:pPr>
      <w:r w:rsidRPr="00A32897">
        <w:rPr>
          <w:rFonts w:ascii="Calibri" w:hAnsi="Calibri" w:cs="Calibri"/>
          <w:sz w:val="22"/>
          <w:szCs w:val="22"/>
        </w:rPr>
        <w:t xml:space="preserve">Vieta F, River blindness’, </w:t>
      </w:r>
      <w:r w:rsidRPr="00A32897">
        <w:rPr>
          <w:rFonts w:ascii="Calibri" w:hAnsi="Calibri" w:cs="Calibri"/>
          <w:i/>
          <w:sz w:val="22"/>
          <w:szCs w:val="22"/>
        </w:rPr>
        <w:t xml:space="preserve">UN Chronicle </w:t>
      </w:r>
      <w:r w:rsidRPr="00A32897">
        <w:rPr>
          <w:rFonts w:ascii="Calibri" w:hAnsi="Calibri" w:cs="Calibri"/>
          <w:sz w:val="22"/>
          <w:szCs w:val="22"/>
        </w:rPr>
        <w:t>(1 January 1998).</w:t>
      </w:r>
    </w:p>
    <w:p w14:paraId="07052B25" w14:textId="77777777" w:rsidR="00846FCD" w:rsidRPr="00A32897" w:rsidRDefault="00846FCD" w:rsidP="00931CC1">
      <w:pPr>
        <w:ind w:left="360"/>
        <w:rPr>
          <w:rFonts w:ascii="Calibri" w:hAnsi="Calibri" w:cs="Calibri"/>
          <w:sz w:val="22"/>
          <w:szCs w:val="22"/>
        </w:rPr>
      </w:pPr>
    </w:p>
    <w:p w14:paraId="667610C9" w14:textId="6C54CE08" w:rsidR="00931CC1" w:rsidRDefault="00931CC1" w:rsidP="00931CC1">
      <w:pPr>
        <w:ind w:left="360"/>
        <w:rPr>
          <w:rFonts w:ascii="Calibri" w:hAnsi="Calibri" w:cs="Calibri"/>
          <w:sz w:val="22"/>
          <w:szCs w:val="22"/>
        </w:rPr>
      </w:pPr>
      <w:r w:rsidRPr="00A32897">
        <w:rPr>
          <w:rFonts w:ascii="Calibri" w:hAnsi="Calibri" w:cs="Calibri"/>
          <w:sz w:val="22"/>
          <w:szCs w:val="22"/>
        </w:rPr>
        <w:t xml:space="preserve">Walsh J, ‘Merck donates drug for river blindness’, </w:t>
      </w:r>
      <w:r w:rsidRPr="00A32897">
        <w:rPr>
          <w:rFonts w:ascii="Calibri" w:hAnsi="Calibri" w:cs="Calibri"/>
          <w:i/>
          <w:sz w:val="22"/>
          <w:szCs w:val="22"/>
        </w:rPr>
        <w:t xml:space="preserve">Science </w:t>
      </w:r>
      <w:r w:rsidRPr="00A32897">
        <w:rPr>
          <w:rFonts w:ascii="Calibri" w:hAnsi="Calibri" w:cs="Calibri"/>
          <w:sz w:val="22"/>
          <w:szCs w:val="22"/>
        </w:rPr>
        <w:t>(30 October 1987).</w:t>
      </w:r>
    </w:p>
    <w:p w14:paraId="0C70ED77" w14:textId="77777777" w:rsidR="00846FCD" w:rsidRPr="00A32897" w:rsidRDefault="00846FCD" w:rsidP="00931CC1">
      <w:pPr>
        <w:ind w:left="360"/>
        <w:rPr>
          <w:rFonts w:ascii="Calibri" w:hAnsi="Calibri" w:cs="Calibri"/>
          <w:sz w:val="22"/>
          <w:szCs w:val="22"/>
        </w:rPr>
      </w:pPr>
    </w:p>
    <w:p w14:paraId="5A6EE46E" w14:textId="635298B7" w:rsidR="00931CC1" w:rsidRDefault="00931CC1" w:rsidP="00931CC1">
      <w:pPr>
        <w:ind w:left="360"/>
        <w:rPr>
          <w:rFonts w:ascii="Calibri" w:hAnsi="Calibri" w:cs="Calibri"/>
          <w:sz w:val="22"/>
          <w:szCs w:val="22"/>
        </w:rPr>
      </w:pPr>
      <w:r w:rsidRPr="00A32897">
        <w:rPr>
          <w:rFonts w:ascii="Calibri" w:hAnsi="Calibri" w:cs="Calibri"/>
          <w:sz w:val="22"/>
          <w:szCs w:val="22"/>
        </w:rPr>
        <w:t xml:space="preserve">Walsh J, ‘River blindness: a gamble pays off’, </w:t>
      </w:r>
      <w:r w:rsidRPr="00A32897">
        <w:rPr>
          <w:rFonts w:ascii="Calibri" w:hAnsi="Calibri" w:cs="Calibri"/>
          <w:i/>
          <w:sz w:val="22"/>
          <w:szCs w:val="22"/>
        </w:rPr>
        <w:t xml:space="preserve">Science </w:t>
      </w:r>
      <w:r w:rsidRPr="00A32897">
        <w:rPr>
          <w:rFonts w:ascii="Calibri" w:hAnsi="Calibri" w:cs="Calibri"/>
          <w:sz w:val="22"/>
          <w:szCs w:val="22"/>
        </w:rPr>
        <w:t>(23 May 1986).</w:t>
      </w:r>
    </w:p>
    <w:p w14:paraId="72B97DF1" w14:textId="77777777" w:rsidR="00846FCD" w:rsidRPr="00A32897" w:rsidRDefault="00846FCD" w:rsidP="00931CC1">
      <w:pPr>
        <w:ind w:left="360"/>
        <w:rPr>
          <w:rFonts w:ascii="Calibri" w:hAnsi="Calibri" w:cs="Calibri"/>
          <w:sz w:val="22"/>
          <w:szCs w:val="22"/>
        </w:rPr>
      </w:pPr>
    </w:p>
    <w:p w14:paraId="6B3E4200" w14:textId="5121821B" w:rsidR="00931CC1" w:rsidRDefault="00931CC1" w:rsidP="00931CC1">
      <w:pPr>
        <w:ind w:left="360"/>
        <w:rPr>
          <w:rFonts w:ascii="Calibri" w:hAnsi="Calibri" w:cs="Calibri"/>
          <w:sz w:val="22"/>
          <w:szCs w:val="22"/>
        </w:rPr>
      </w:pPr>
      <w:r w:rsidRPr="00A32897">
        <w:rPr>
          <w:rFonts w:ascii="Calibri" w:hAnsi="Calibri" w:cs="Calibri"/>
          <w:sz w:val="22"/>
          <w:szCs w:val="22"/>
        </w:rPr>
        <w:t xml:space="preserve">Walters DC, ‘Africa prize targets hunger’, </w:t>
      </w:r>
      <w:r w:rsidRPr="00A32897">
        <w:rPr>
          <w:rFonts w:ascii="Calibri" w:hAnsi="Calibri" w:cs="Calibri"/>
          <w:i/>
          <w:sz w:val="22"/>
          <w:szCs w:val="22"/>
        </w:rPr>
        <w:t xml:space="preserve">Christian Science Monitor </w:t>
      </w:r>
      <w:r w:rsidRPr="00A32897">
        <w:rPr>
          <w:rFonts w:ascii="Calibri" w:hAnsi="Calibri" w:cs="Calibri"/>
          <w:sz w:val="22"/>
          <w:szCs w:val="22"/>
        </w:rPr>
        <w:t>(10 July 1992).</w:t>
      </w:r>
    </w:p>
    <w:p w14:paraId="0D8933E2" w14:textId="77777777" w:rsidR="00846FCD" w:rsidRPr="00A32897" w:rsidRDefault="00846FCD" w:rsidP="00931CC1">
      <w:pPr>
        <w:ind w:left="360"/>
        <w:rPr>
          <w:rFonts w:ascii="Calibri" w:hAnsi="Calibri" w:cs="Calibri"/>
          <w:sz w:val="22"/>
          <w:szCs w:val="22"/>
        </w:rPr>
      </w:pPr>
    </w:p>
    <w:p w14:paraId="4E76E55F" w14:textId="77777777" w:rsidR="00931CC1" w:rsidRPr="00A32897" w:rsidRDefault="00931CC1" w:rsidP="00931CC1">
      <w:pPr>
        <w:ind w:left="360"/>
        <w:rPr>
          <w:rFonts w:ascii="Calibri" w:hAnsi="Calibri" w:cs="Calibri"/>
          <w:sz w:val="22"/>
          <w:szCs w:val="22"/>
        </w:rPr>
      </w:pPr>
    </w:p>
    <w:p w14:paraId="6E2DC9B0" w14:textId="6398120F" w:rsidR="00931CC1" w:rsidRDefault="00931CC1" w:rsidP="00931CC1">
      <w:pPr>
        <w:ind w:left="360"/>
        <w:rPr>
          <w:rFonts w:ascii="Calibri" w:hAnsi="Calibri" w:cs="Calibri"/>
          <w:sz w:val="22"/>
          <w:szCs w:val="22"/>
        </w:rPr>
      </w:pPr>
    </w:p>
    <w:p w14:paraId="5BF9A2B0" w14:textId="12E32098" w:rsidR="00846FCD" w:rsidRDefault="00846FCD" w:rsidP="00931CC1">
      <w:pPr>
        <w:ind w:left="360"/>
        <w:rPr>
          <w:rFonts w:ascii="Calibri" w:hAnsi="Calibri" w:cs="Calibri"/>
          <w:sz w:val="22"/>
          <w:szCs w:val="22"/>
        </w:rPr>
      </w:pPr>
    </w:p>
    <w:p w14:paraId="2E6614DA" w14:textId="5A7C6142" w:rsidR="00846FCD" w:rsidRDefault="00846FCD" w:rsidP="00931CC1">
      <w:pPr>
        <w:ind w:left="360"/>
        <w:rPr>
          <w:rFonts w:ascii="Calibri" w:hAnsi="Calibri" w:cs="Calibri"/>
          <w:sz w:val="22"/>
          <w:szCs w:val="22"/>
        </w:rPr>
      </w:pPr>
    </w:p>
    <w:p w14:paraId="70AC1962" w14:textId="2D64FC27" w:rsidR="00846FCD" w:rsidRDefault="00846FCD" w:rsidP="00931CC1">
      <w:pPr>
        <w:ind w:left="360"/>
        <w:rPr>
          <w:rFonts w:ascii="Calibri" w:hAnsi="Calibri" w:cs="Calibri"/>
          <w:sz w:val="22"/>
          <w:szCs w:val="22"/>
        </w:rPr>
      </w:pPr>
    </w:p>
    <w:p w14:paraId="162A3CA9" w14:textId="3DBA5E11" w:rsidR="00846FCD" w:rsidRDefault="00846FCD" w:rsidP="00931CC1">
      <w:pPr>
        <w:ind w:left="360"/>
        <w:rPr>
          <w:rFonts w:ascii="Calibri" w:hAnsi="Calibri" w:cs="Calibri"/>
          <w:sz w:val="22"/>
          <w:szCs w:val="22"/>
        </w:rPr>
      </w:pPr>
    </w:p>
    <w:p w14:paraId="31B777A3" w14:textId="4A5CE087" w:rsidR="00846FCD" w:rsidRDefault="00846FCD" w:rsidP="00931CC1">
      <w:pPr>
        <w:ind w:left="360"/>
        <w:rPr>
          <w:rFonts w:ascii="Calibri" w:hAnsi="Calibri" w:cs="Calibri"/>
          <w:sz w:val="22"/>
          <w:szCs w:val="22"/>
        </w:rPr>
      </w:pPr>
    </w:p>
    <w:p w14:paraId="681E6598" w14:textId="778C2AB9" w:rsidR="00846FCD" w:rsidRDefault="00846FCD" w:rsidP="00931CC1">
      <w:pPr>
        <w:ind w:left="360"/>
        <w:rPr>
          <w:rFonts w:ascii="Calibri" w:hAnsi="Calibri" w:cs="Calibri"/>
          <w:sz w:val="22"/>
          <w:szCs w:val="22"/>
        </w:rPr>
      </w:pPr>
    </w:p>
    <w:p w14:paraId="574FE9CD" w14:textId="23A48D01" w:rsidR="00846FCD" w:rsidRDefault="00846FCD" w:rsidP="00931CC1">
      <w:pPr>
        <w:ind w:left="360"/>
        <w:rPr>
          <w:rFonts w:ascii="Calibri" w:hAnsi="Calibri" w:cs="Calibri"/>
          <w:sz w:val="22"/>
          <w:szCs w:val="22"/>
        </w:rPr>
      </w:pPr>
    </w:p>
    <w:p w14:paraId="7AC21AB4" w14:textId="503456F6" w:rsidR="00846FCD" w:rsidRDefault="00846FCD" w:rsidP="00931CC1">
      <w:pPr>
        <w:ind w:left="360"/>
        <w:rPr>
          <w:rFonts w:ascii="Calibri" w:hAnsi="Calibri" w:cs="Calibri"/>
          <w:sz w:val="22"/>
          <w:szCs w:val="22"/>
        </w:rPr>
      </w:pPr>
    </w:p>
    <w:p w14:paraId="02F8F104" w14:textId="4298F949" w:rsidR="00846FCD" w:rsidRDefault="00846FCD" w:rsidP="00931CC1">
      <w:pPr>
        <w:ind w:left="360"/>
        <w:rPr>
          <w:rFonts w:ascii="Calibri" w:hAnsi="Calibri" w:cs="Calibri"/>
          <w:sz w:val="22"/>
          <w:szCs w:val="22"/>
        </w:rPr>
      </w:pPr>
    </w:p>
    <w:p w14:paraId="01A02D9B" w14:textId="0AFC23E2" w:rsidR="00846FCD" w:rsidRDefault="00846FCD" w:rsidP="00931CC1">
      <w:pPr>
        <w:ind w:left="360"/>
        <w:rPr>
          <w:rFonts w:ascii="Calibri" w:hAnsi="Calibri" w:cs="Calibri"/>
          <w:sz w:val="22"/>
          <w:szCs w:val="22"/>
        </w:rPr>
      </w:pPr>
    </w:p>
    <w:p w14:paraId="05F95671" w14:textId="58E13C00" w:rsidR="00846FCD" w:rsidRDefault="00846FCD" w:rsidP="00931CC1">
      <w:pPr>
        <w:ind w:left="360"/>
        <w:rPr>
          <w:rFonts w:ascii="Calibri" w:hAnsi="Calibri" w:cs="Calibri"/>
          <w:sz w:val="22"/>
          <w:szCs w:val="22"/>
        </w:rPr>
      </w:pPr>
    </w:p>
    <w:p w14:paraId="53C7BECA" w14:textId="011CC453" w:rsidR="00846FCD" w:rsidRDefault="00846FCD" w:rsidP="00931CC1">
      <w:pPr>
        <w:ind w:left="360"/>
        <w:rPr>
          <w:rFonts w:ascii="Calibri" w:hAnsi="Calibri" w:cs="Calibri"/>
          <w:sz w:val="22"/>
          <w:szCs w:val="22"/>
        </w:rPr>
      </w:pPr>
    </w:p>
    <w:p w14:paraId="47A45A1A" w14:textId="5519DCA6" w:rsidR="00846FCD" w:rsidRDefault="00846FCD" w:rsidP="00931CC1">
      <w:pPr>
        <w:ind w:left="360"/>
        <w:rPr>
          <w:rFonts w:ascii="Calibri" w:hAnsi="Calibri" w:cs="Calibri"/>
          <w:sz w:val="22"/>
          <w:szCs w:val="22"/>
        </w:rPr>
      </w:pPr>
    </w:p>
    <w:p w14:paraId="5C32AC96" w14:textId="7D1953C2" w:rsidR="00846FCD" w:rsidRDefault="00846FCD" w:rsidP="00931CC1">
      <w:pPr>
        <w:ind w:left="360"/>
        <w:rPr>
          <w:rFonts w:ascii="Calibri" w:hAnsi="Calibri" w:cs="Calibri"/>
          <w:sz w:val="22"/>
          <w:szCs w:val="22"/>
        </w:rPr>
      </w:pPr>
    </w:p>
    <w:p w14:paraId="4FAF2FA3" w14:textId="3067BAB8" w:rsidR="00846FCD" w:rsidRDefault="00846FCD" w:rsidP="00931CC1">
      <w:pPr>
        <w:ind w:left="360"/>
        <w:rPr>
          <w:rFonts w:ascii="Calibri" w:hAnsi="Calibri" w:cs="Calibri"/>
          <w:sz w:val="22"/>
          <w:szCs w:val="22"/>
        </w:rPr>
      </w:pPr>
    </w:p>
    <w:p w14:paraId="1672FC96" w14:textId="5F492757" w:rsidR="00846FCD" w:rsidRDefault="00846FCD" w:rsidP="00931CC1">
      <w:pPr>
        <w:ind w:left="360"/>
        <w:rPr>
          <w:rFonts w:ascii="Calibri" w:hAnsi="Calibri" w:cs="Calibri"/>
          <w:sz w:val="22"/>
          <w:szCs w:val="22"/>
        </w:rPr>
      </w:pPr>
    </w:p>
    <w:p w14:paraId="1477163D" w14:textId="56C028EA" w:rsidR="00846FCD" w:rsidRDefault="00846FCD" w:rsidP="00931CC1">
      <w:pPr>
        <w:ind w:left="360"/>
        <w:rPr>
          <w:rFonts w:ascii="Calibri" w:hAnsi="Calibri" w:cs="Calibri"/>
          <w:sz w:val="22"/>
          <w:szCs w:val="22"/>
        </w:rPr>
      </w:pPr>
    </w:p>
    <w:p w14:paraId="24EE7625" w14:textId="77777777" w:rsidR="00846FCD" w:rsidRPr="00A32897" w:rsidRDefault="00846FCD" w:rsidP="00931CC1">
      <w:pPr>
        <w:ind w:left="360"/>
        <w:rPr>
          <w:rFonts w:ascii="Calibri" w:hAnsi="Calibri" w:cs="Calibri"/>
          <w:sz w:val="22"/>
          <w:szCs w:val="22"/>
        </w:rPr>
      </w:pPr>
    </w:p>
    <w:p w14:paraId="6D9F522E" w14:textId="36FE24A2" w:rsidR="00931CC1" w:rsidRPr="00DB3887" w:rsidRDefault="00931CC1" w:rsidP="00931CC1">
      <w:pPr>
        <w:pStyle w:val="Heading2"/>
        <w:rPr>
          <w:rFonts w:ascii="Calibri" w:hAnsi="Calibri" w:cs="Calibri"/>
          <w:b/>
          <w:sz w:val="26"/>
          <w:szCs w:val="26"/>
        </w:rPr>
      </w:pPr>
      <w:bookmarkStart w:id="166" w:name="_Toc29580564"/>
      <w:bookmarkStart w:id="167" w:name="_Toc41505718"/>
      <w:r w:rsidRPr="00DB3887">
        <w:rPr>
          <w:rFonts w:ascii="Calibri" w:hAnsi="Calibri" w:cs="Calibri"/>
          <w:b/>
          <w:sz w:val="26"/>
          <w:szCs w:val="26"/>
        </w:rPr>
        <w:lastRenderedPageBreak/>
        <w:t>Appendix II. Examples of the use of the ‘onchocerciasis image’ in published materials</w:t>
      </w:r>
      <w:bookmarkEnd w:id="166"/>
      <w:bookmarkEnd w:id="167"/>
    </w:p>
    <w:p w14:paraId="1420A89F" w14:textId="77777777" w:rsidR="00931CC1" w:rsidRPr="00A32897" w:rsidRDefault="00931CC1" w:rsidP="00931CC1">
      <w:pPr>
        <w:rPr>
          <w:rFonts w:ascii="Calibri" w:hAnsi="Calibri" w:cs="Calibri"/>
          <w:sz w:val="22"/>
          <w:szCs w:val="22"/>
        </w:rPr>
      </w:pPr>
    </w:p>
    <w:p w14:paraId="43F1A39E" w14:textId="78740EF7" w:rsidR="00931CC1" w:rsidRDefault="00931CC1" w:rsidP="00931CC1">
      <w:pPr>
        <w:rPr>
          <w:rFonts w:ascii="Calibri" w:hAnsi="Calibri" w:cs="Calibri"/>
          <w:sz w:val="22"/>
          <w:szCs w:val="22"/>
        </w:rPr>
      </w:pPr>
      <w:r w:rsidRPr="00A32897">
        <w:rPr>
          <w:rFonts w:ascii="Calibri" w:hAnsi="Calibri" w:cs="Calibri"/>
          <w:sz w:val="22"/>
          <w:szCs w:val="22"/>
        </w:rPr>
        <w:t xml:space="preserve">These images show how frequently onchocerciasis-related news stories and articles showcased the image of a child leading a blind adult, both during the </w:t>
      </w:r>
      <w:r w:rsidR="006D76F5">
        <w:rPr>
          <w:rFonts w:ascii="Calibri" w:hAnsi="Calibri" w:cs="Calibri"/>
          <w:sz w:val="22"/>
          <w:szCs w:val="22"/>
        </w:rPr>
        <w:t>OCP</w:t>
      </w:r>
      <w:r w:rsidRPr="00A32897">
        <w:rPr>
          <w:rFonts w:ascii="Calibri" w:hAnsi="Calibri" w:cs="Calibri"/>
          <w:sz w:val="22"/>
          <w:szCs w:val="22"/>
        </w:rPr>
        <w:t xml:space="preserve"> and after it concluded. They are from various media published by OCP sponsoring agencies and the health/development community, and are non-comprehensive. Images are organized by date of publication. </w:t>
      </w:r>
    </w:p>
    <w:p w14:paraId="176F23C0" w14:textId="1DBB46B5" w:rsidR="00364DFD" w:rsidRDefault="00364DFD" w:rsidP="00931CC1">
      <w:pPr>
        <w:rPr>
          <w:rFonts w:ascii="Calibri" w:hAnsi="Calibri" w:cs="Calibri"/>
          <w:sz w:val="22"/>
          <w:szCs w:val="22"/>
        </w:rPr>
      </w:pPr>
    </w:p>
    <w:p w14:paraId="3832539D" w14:textId="7986E202" w:rsidR="00364DFD" w:rsidRPr="00CF189D" w:rsidRDefault="00364DFD" w:rsidP="00364DFD">
      <w:pPr>
        <w:rPr>
          <w:rFonts w:ascii="Calibri" w:hAnsi="Calibri"/>
          <w:sz w:val="22"/>
          <w:szCs w:val="22"/>
        </w:rPr>
      </w:pPr>
      <w:r w:rsidRPr="00CF189D">
        <w:rPr>
          <w:rFonts w:ascii="Calibri" w:hAnsi="Calibri"/>
          <w:sz w:val="22"/>
          <w:szCs w:val="22"/>
        </w:rPr>
        <w:t xml:space="preserve">The World Bank Group Archives contains a collection of newspaper clippings, compiled by Onchocerciasis Unit </w:t>
      </w:r>
      <w:r w:rsidR="0033493D">
        <w:rPr>
          <w:rFonts w:ascii="Calibri" w:hAnsi="Calibri"/>
          <w:sz w:val="22"/>
          <w:szCs w:val="22"/>
        </w:rPr>
        <w:t>and</w:t>
      </w:r>
      <w:r w:rsidRPr="00CF189D">
        <w:rPr>
          <w:rFonts w:ascii="Calibri" w:hAnsi="Calibri"/>
          <w:sz w:val="22"/>
          <w:szCs w:val="22"/>
        </w:rPr>
        <w:t xml:space="preserve"> Information and Public Affairs staff. These include many newspaper articles</w:t>
      </w:r>
      <w:r w:rsidR="00611878">
        <w:rPr>
          <w:rFonts w:ascii="Calibri" w:hAnsi="Calibri"/>
          <w:sz w:val="22"/>
          <w:szCs w:val="22"/>
        </w:rPr>
        <w:t xml:space="preserve"> from </w:t>
      </w:r>
      <w:r w:rsidRPr="00CF189D">
        <w:rPr>
          <w:rFonts w:ascii="Calibri" w:hAnsi="Calibri"/>
          <w:sz w:val="22"/>
          <w:szCs w:val="22"/>
        </w:rPr>
        <w:t xml:space="preserve">donor and participating nation countries, </w:t>
      </w:r>
      <w:r w:rsidR="00611878">
        <w:rPr>
          <w:rFonts w:ascii="Calibri" w:hAnsi="Calibri"/>
          <w:sz w:val="22"/>
          <w:szCs w:val="22"/>
        </w:rPr>
        <w:t>which</w:t>
      </w:r>
      <w:r w:rsidRPr="00CF189D">
        <w:rPr>
          <w:rFonts w:ascii="Calibri" w:hAnsi="Calibri"/>
          <w:sz w:val="22"/>
          <w:szCs w:val="22"/>
        </w:rPr>
        <w:t xml:space="preserve"> depict programme successes and the ‘onchocerciasis image’.</w:t>
      </w:r>
      <w:r w:rsidRPr="00CF189D">
        <w:rPr>
          <w:rStyle w:val="FootnoteReference"/>
          <w:rFonts w:ascii="Calibri" w:hAnsi="Calibri"/>
        </w:rPr>
        <w:footnoteReference w:id="979"/>
      </w:r>
      <w:r w:rsidRPr="00364DFD">
        <w:rPr>
          <w:rFonts w:ascii="Calibri" w:hAnsi="Calibri"/>
          <w:sz w:val="22"/>
          <w:szCs w:val="22"/>
        </w:rPr>
        <w:t xml:space="preserve"> Additionally, non-profits, Merck &amp; Co., and magazines or periodicals have consistently used the onchocerciasis image.</w:t>
      </w:r>
      <w:r w:rsidRPr="00CF189D">
        <w:rPr>
          <w:rStyle w:val="FootnoteReference"/>
          <w:rFonts w:ascii="Calibri" w:hAnsi="Calibri"/>
        </w:rPr>
        <w:footnoteReference w:id="980"/>
      </w:r>
      <w:r w:rsidR="005B3827">
        <w:rPr>
          <w:rFonts w:ascii="Calibri" w:hAnsi="Calibri"/>
          <w:sz w:val="22"/>
          <w:szCs w:val="22"/>
        </w:rPr>
        <w:t xml:space="preserve"> </w:t>
      </w:r>
    </w:p>
    <w:p w14:paraId="34944BF2" w14:textId="77777777" w:rsidR="00364DFD" w:rsidRPr="00A32897" w:rsidRDefault="00364DFD" w:rsidP="00931CC1">
      <w:pPr>
        <w:rPr>
          <w:rFonts w:ascii="Calibri" w:hAnsi="Calibri" w:cs="Calibri"/>
          <w:sz w:val="22"/>
          <w:szCs w:val="22"/>
        </w:rPr>
      </w:pPr>
    </w:p>
    <w:p w14:paraId="281EC5A8" w14:textId="77777777" w:rsidR="00931CC1" w:rsidRPr="00A32897" w:rsidRDefault="00931CC1" w:rsidP="00931CC1">
      <w:pPr>
        <w:rPr>
          <w:rFonts w:ascii="Calibri" w:hAnsi="Calibri" w:cs="Calibri"/>
          <w:sz w:val="22"/>
          <w:szCs w:val="22"/>
        </w:rPr>
      </w:pPr>
    </w:p>
    <w:p w14:paraId="3F918F07" w14:textId="77777777" w:rsidR="00931CC1" w:rsidRPr="00A32897" w:rsidRDefault="00931CC1" w:rsidP="00931CC1">
      <w:pPr>
        <w:jc w:val="center"/>
        <w:rPr>
          <w:rFonts w:ascii="Calibri" w:hAnsi="Calibri" w:cs="Calibri"/>
          <w:sz w:val="22"/>
          <w:szCs w:val="22"/>
        </w:rPr>
      </w:pPr>
      <w:r w:rsidRPr="00A32897">
        <w:rPr>
          <w:rFonts w:ascii="Calibri" w:hAnsi="Calibri" w:cs="Calibri"/>
          <w:noProof/>
          <w:sz w:val="22"/>
          <w:szCs w:val="22"/>
          <w:lang w:eastAsia="en-GB"/>
        </w:rPr>
        <w:lastRenderedPageBreak/>
        <w:drawing>
          <wp:inline distT="0" distB="0" distL="0" distR="0" wp14:anchorId="43946C01" wp14:editId="30002F64">
            <wp:extent cx="5681248" cy="41148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5735739" cy="4154267"/>
                    </a:xfrm>
                    <a:prstGeom prst="rect">
                      <a:avLst/>
                    </a:prstGeom>
                    <a:noFill/>
                    <a:ln>
                      <a:noFill/>
                    </a:ln>
                  </pic:spPr>
                </pic:pic>
              </a:graphicData>
            </a:graphic>
          </wp:inline>
        </w:drawing>
      </w:r>
      <w:r w:rsidRPr="00A32897">
        <w:rPr>
          <w:rStyle w:val="FootnoteReference"/>
          <w:rFonts w:ascii="Calibri" w:hAnsi="Calibri" w:cs="Calibri"/>
          <w:sz w:val="22"/>
          <w:szCs w:val="22"/>
        </w:rPr>
        <w:footnoteReference w:id="981"/>
      </w:r>
    </w:p>
    <w:p w14:paraId="4E28E6F2" w14:textId="77777777" w:rsidR="00931CC1" w:rsidRPr="00A32897" w:rsidRDefault="00931CC1" w:rsidP="00931CC1">
      <w:pPr>
        <w:jc w:val="center"/>
        <w:rPr>
          <w:rFonts w:ascii="Calibri" w:hAnsi="Calibri" w:cs="Calibri"/>
          <w:sz w:val="22"/>
          <w:szCs w:val="22"/>
        </w:rPr>
      </w:pPr>
      <w:r w:rsidRPr="00A32897">
        <w:rPr>
          <w:rFonts w:ascii="Calibri" w:hAnsi="Calibri" w:cs="Calibri"/>
          <w:noProof/>
          <w:sz w:val="22"/>
          <w:szCs w:val="22"/>
          <w:lang w:eastAsia="en-GB"/>
        </w:rPr>
        <w:drawing>
          <wp:inline distT="0" distB="0" distL="0" distR="0" wp14:anchorId="1226DEAE" wp14:editId="78397A65">
            <wp:extent cx="2587010" cy="3397623"/>
            <wp:effectExtent l="0" t="0" r="381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596280" cy="3409797"/>
                    </a:xfrm>
                    <a:prstGeom prst="rect">
                      <a:avLst/>
                    </a:prstGeom>
                    <a:noFill/>
                    <a:ln>
                      <a:noFill/>
                    </a:ln>
                  </pic:spPr>
                </pic:pic>
              </a:graphicData>
            </a:graphic>
          </wp:inline>
        </w:drawing>
      </w:r>
      <w:r w:rsidRPr="00A32897">
        <w:rPr>
          <w:rStyle w:val="FootnoteReference"/>
          <w:rFonts w:ascii="Calibri" w:hAnsi="Calibri" w:cs="Calibri"/>
          <w:sz w:val="22"/>
          <w:szCs w:val="22"/>
        </w:rPr>
        <w:footnoteReference w:id="982"/>
      </w:r>
    </w:p>
    <w:p w14:paraId="12309EDE" w14:textId="77777777" w:rsidR="00931CC1" w:rsidRPr="00A32897" w:rsidRDefault="00931CC1" w:rsidP="00931CC1">
      <w:pPr>
        <w:jc w:val="center"/>
        <w:rPr>
          <w:rFonts w:ascii="Calibri" w:hAnsi="Calibri" w:cs="Calibri"/>
          <w:sz w:val="22"/>
          <w:szCs w:val="22"/>
        </w:rPr>
      </w:pPr>
      <w:r w:rsidRPr="00A32897">
        <w:rPr>
          <w:rFonts w:ascii="Calibri" w:hAnsi="Calibri" w:cs="Calibri"/>
          <w:noProof/>
          <w:sz w:val="22"/>
          <w:szCs w:val="22"/>
          <w:lang w:eastAsia="en-GB"/>
        </w:rPr>
        <w:lastRenderedPageBreak/>
        <w:drawing>
          <wp:inline distT="0" distB="0" distL="0" distR="0" wp14:anchorId="501975F1" wp14:editId="7BCE8520">
            <wp:extent cx="4514335" cy="3409659"/>
            <wp:effectExtent l="0" t="0" r="635" b="635"/>
            <wp:docPr id="76" name="Picture 76" descr="C:\Users\s1684475\Downloads\Opening 'Plague upon the l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s1684475\Downloads\Opening 'Plague upon the land'.png"/>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4518232" cy="3412602"/>
                    </a:xfrm>
                    <a:prstGeom prst="rect">
                      <a:avLst/>
                    </a:prstGeom>
                    <a:noFill/>
                    <a:ln>
                      <a:noFill/>
                    </a:ln>
                  </pic:spPr>
                </pic:pic>
              </a:graphicData>
            </a:graphic>
          </wp:inline>
        </w:drawing>
      </w:r>
      <w:r w:rsidRPr="00A32897">
        <w:rPr>
          <w:rStyle w:val="FootnoteReference"/>
          <w:rFonts w:ascii="Calibri" w:hAnsi="Calibri" w:cs="Calibri"/>
          <w:sz w:val="22"/>
          <w:szCs w:val="22"/>
        </w:rPr>
        <w:footnoteReference w:id="983"/>
      </w:r>
    </w:p>
    <w:p w14:paraId="6E4B7307" w14:textId="77777777" w:rsidR="00931CC1" w:rsidRPr="00A32897" w:rsidRDefault="00931CC1" w:rsidP="00931CC1">
      <w:pPr>
        <w:rPr>
          <w:rFonts w:ascii="Calibri" w:hAnsi="Calibri" w:cs="Calibri"/>
          <w:sz w:val="22"/>
          <w:szCs w:val="22"/>
        </w:rPr>
      </w:pPr>
    </w:p>
    <w:p w14:paraId="5F88BF37" w14:textId="77777777" w:rsidR="00931CC1" w:rsidRPr="00A32897" w:rsidRDefault="00931CC1" w:rsidP="00931CC1">
      <w:pPr>
        <w:jc w:val="center"/>
        <w:rPr>
          <w:rFonts w:ascii="Calibri" w:hAnsi="Calibri" w:cs="Calibri"/>
          <w:sz w:val="22"/>
          <w:szCs w:val="22"/>
        </w:rPr>
      </w:pPr>
      <w:r w:rsidRPr="00A32897">
        <w:rPr>
          <w:rFonts w:ascii="Calibri" w:hAnsi="Calibri" w:cs="Calibri"/>
          <w:noProof/>
          <w:sz w:val="22"/>
          <w:szCs w:val="22"/>
          <w:lang w:eastAsia="en-GB"/>
        </w:rPr>
        <w:drawing>
          <wp:inline distT="0" distB="0" distL="0" distR="0" wp14:anchorId="3CD61004" wp14:editId="7B3138CD">
            <wp:extent cx="2425841" cy="3268042"/>
            <wp:effectExtent l="0" t="0" r="0" b="889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464233" cy="3319763"/>
                    </a:xfrm>
                    <a:prstGeom prst="rect">
                      <a:avLst/>
                    </a:prstGeom>
                    <a:noFill/>
                    <a:ln>
                      <a:noFill/>
                    </a:ln>
                  </pic:spPr>
                </pic:pic>
              </a:graphicData>
            </a:graphic>
          </wp:inline>
        </w:drawing>
      </w:r>
      <w:r w:rsidRPr="00A32897">
        <w:rPr>
          <w:rFonts w:ascii="Calibri" w:hAnsi="Calibri" w:cs="Calibri"/>
          <w:noProof/>
          <w:sz w:val="22"/>
          <w:szCs w:val="22"/>
          <w:lang w:eastAsia="en-GB"/>
        </w:rPr>
        <w:drawing>
          <wp:inline distT="0" distB="0" distL="0" distR="0" wp14:anchorId="2A5CF806" wp14:editId="4BA3D938">
            <wp:extent cx="2965621" cy="3265026"/>
            <wp:effectExtent l="0" t="0" r="635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rotWithShape="1">
                    <a:blip r:embed="rId127">
                      <a:extLst>
                        <a:ext uri="{28A0092B-C50C-407E-A947-70E740481C1C}">
                          <a14:useLocalDpi xmlns:a14="http://schemas.microsoft.com/office/drawing/2010/main" val="0"/>
                        </a:ext>
                      </a:extLst>
                    </a:blip>
                    <a:srcRect r="6267" b="7621"/>
                    <a:stretch/>
                  </pic:blipFill>
                  <pic:spPr bwMode="auto">
                    <a:xfrm>
                      <a:off x="0" y="0"/>
                      <a:ext cx="2980071" cy="3280934"/>
                    </a:xfrm>
                    <a:prstGeom prst="rect">
                      <a:avLst/>
                    </a:prstGeom>
                    <a:noFill/>
                    <a:ln>
                      <a:noFill/>
                    </a:ln>
                    <a:extLst>
                      <a:ext uri="{53640926-AAD7-44D8-BBD7-CCE9431645EC}">
                        <a14:shadowObscured xmlns:a14="http://schemas.microsoft.com/office/drawing/2010/main"/>
                      </a:ext>
                    </a:extLst>
                  </pic:spPr>
                </pic:pic>
              </a:graphicData>
            </a:graphic>
          </wp:inline>
        </w:drawing>
      </w:r>
      <w:r w:rsidRPr="00A32897">
        <w:rPr>
          <w:rStyle w:val="FootnoteReference"/>
          <w:rFonts w:ascii="Calibri" w:hAnsi="Calibri" w:cs="Calibri"/>
          <w:sz w:val="22"/>
          <w:szCs w:val="22"/>
        </w:rPr>
        <w:footnoteReference w:id="984"/>
      </w:r>
    </w:p>
    <w:p w14:paraId="1C1C7B92" w14:textId="77777777" w:rsidR="00931CC1" w:rsidRPr="00A32897" w:rsidRDefault="00931CC1" w:rsidP="00931CC1">
      <w:pPr>
        <w:jc w:val="center"/>
        <w:rPr>
          <w:rFonts w:ascii="Calibri" w:hAnsi="Calibri" w:cs="Calibri"/>
          <w:sz w:val="22"/>
          <w:szCs w:val="22"/>
        </w:rPr>
      </w:pPr>
      <w:r w:rsidRPr="00A32897">
        <w:rPr>
          <w:rFonts w:ascii="Calibri" w:hAnsi="Calibri" w:cs="Calibri"/>
          <w:noProof/>
          <w:sz w:val="22"/>
          <w:szCs w:val="22"/>
          <w:lang w:eastAsia="en-GB"/>
        </w:rPr>
        <w:lastRenderedPageBreak/>
        <w:drawing>
          <wp:inline distT="0" distB="0" distL="0" distR="0" wp14:anchorId="67D1076B" wp14:editId="5916780D">
            <wp:extent cx="2689411" cy="3489822"/>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705368" cy="3510528"/>
                    </a:xfrm>
                    <a:prstGeom prst="rect">
                      <a:avLst/>
                    </a:prstGeom>
                    <a:noFill/>
                    <a:ln>
                      <a:noFill/>
                    </a:ln>
                  </pic:spPr>
                </pic:pic>
              </a:graphicData>
            </a:graphic>
          </wp:inline>
        </w:drawing>
      </w:r>
      <w:r w:rsidRPr="00A32897">
        <w:rPr>
          <w:rStyle w:val="FootnoteReference"/>
          <w:rFonts w:ascii="Calibri" w:hAnsi="Calibri" w:cs="Calibri"/>
          <w:sz w:val="22"/>
          <w:szCs w:val="22"/>
        </w:rPr>
        <w:footnoteReference w:id="985"/>
      </w:r>
    </w:p>
    <w:p w14:paraId="0BBD5AAC" w14:textId="77777777" w:rsidR="00931CC1" w:rsidRPr="00A32897" w:rsidRDefault="00931CC1" w:rsidP="00931CC1">
      <w:pPr>
        <w:jc w:val="center"/>
        <w:rPr>
          <w:rFonts w:ascii="Calibri" w:hAnsi="Calibri" w:cs="Calibri"/>
          <w:sz w:val="22"/>
          <w:szCs w:val="22"/>
        </w:rPr>
      </w:pPr>
      <w:r w:rsidRPr="00A32897">
        <w:rPr>
          <w:rFonts w:ascii="Calibri" w:hAnsi="Calibri" w:cs="Calibri"/>
          <w:noProof/>
          <w:sz w:val="22"/>
          <w:szCs w:val="22"/>
          <w:lang w:eastAsia="en-GB"/>
        </w:rPr>
        <w:drawing>
          <wp:inline distT="0" distB="0" distL="0" distR="0" wp14:anchorId="4E085EF1" wp14:editId="322F23AF">
            <wp:extent cx="2403835" cy="3929899"/>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468398" cy="4035449"/>
                    </a:xfrm>
                    <a:prstGeom prst="rect">
                      <a:avLst/>
                    </a:prstGeom>
                    <a:noFill/>
                    <a:ln>
                      <a:noFill/>
                    </a:ln>
                  </pic:spPr>
                </pic:pic>
              </a:graphicData>
            </a:graphic>
          </wp:inline>
        </w:drawing>
      </w:r>
      <w:r w:rsidRPr="00A32897">
        <w:rPr>
          <w:rStyle w:val="FootnoteReference"/>
          <w:rFonts w:ascii="Calibri" w:hAnsi="Calibri" w:cs="Calibri"/>
          <w:sz w:val="22"/>
          <w:szCs w:val="22"/>
        </w:rPr>
        <w:footnoteReference w:id="986"/>
      </w:r>
    </w:p>
    <w:p w14:paraId="7A4C28A9" w14:textId="77777777" w:rsidR="00931CC1" w:rsidRPr="00A32897" w:rsidRDefault="00931CC1" w:rsidP="00931CC1">
      <w:pPr>
        <w:jc w:val="center"/>
        <w:rPr>
          <w:rFonts w:ascii="Calibri" w:hAnsi="Calibri" w:cs="Calibri"/>
          <w:sz w:val="22"/>
          <w:szCs w:val="22"/>
        </w:rPr>
      </w:pPr>
      <w:r w:rsidRPr="00A32897">
        <w:rPr>
          <w:rFonts w:ascii="Calibri" w:hAnsi="Calibri" w:cs="Calibri"/>
          <w:noProof/>
          <w:sz w:val="22"/>
          <w:szCs w:val="22"/>
          <w:lang w:eastAsia="en-GB"/>
        </w:rPr>
        <w:lastRenderedPageBreak/>
        <w:drawing>
          <wp:inline distT="0" distB="0" distL="0" distR="0" wp14:anchorId="5578CC23" wp14:editId="17EEC512">
            <wp:extent cx="3965417" cy="5418943"/>
            <wp:effectExtent l="0" t="0" r="0" b="4445"/>
            <wp:docPr id="92" name="Picture 92" descr="https://extranet.who.int/photolibrary/scripts/atlasweb.dll/photodb/WImg_WebImage?xSession_Id=ZJPlSiRmqNWz1&amp;xExemplaire=37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extranet.who.int/photolibrary/scripts/atlasweb.dll/photodb/WImg_WebImage?xSession_Id=ZJPlSiRmqNWz1&amp;xExemplaire=37348"/>
                    <pic:cNvPicPr>
                      <a:picLocks noChangeAspect="1" noChangeArrowheads="1"/>
                    </pic:cNvPicPr>
                  </pic:nvPicPr>
                  <pic:blipFill rotWithShape="1">
                    <a:blip r:embed="rId130">
                      <a:extLst>
                        <a:ext uri="{28A0092B-C50C-407E-A947-70E740481C1C}">
                          <a14:useLocalDpi xmlns:a14="http://schemas.microsoft.com/office/drawing/2010/main" val="0"/>
                        </a:ext>
                      </a:extLst>
                    </a:blip>
                    <a:srcRect t="7433" b="1856"/>
                    <a:stretch/>
                  </pic:blipFill>
                  <pic:spPr bwMode="auto">
                    <a:xfrm>
                      <a:off x="0" y="0"/>
                      <a:ext cx="4013487" cy="5484633"/>
                    </a:xfrm>
                    <a:prstGeom prst="rect">
                      <a:avLst/>
                    </a:prstGeom>
                    <a:noFill/>
                    <a:ln>
                      <a:noFill/>
                    </a:ln>
                    <a:extLst>
                      <a:ext uri="{53640926-AAD7-44D8-BBD7-CCE9431645EC}">
                        <a14:shadowObscured xmlns:a14="http://schemas.microsoft.com/office/drawing/2010/main"/>
                      </a:ext>
                    </a:extLst>
                  </pic:spPr>
                </pic:pic>
              </a:graphicData>
            </a:graphic>
          </wp:inline>
        </w:drawing>
      </w:r>
      <w:r w:rsidRPr="00A32897">
        <w:rPr>
          <w:rStyle w:val="FootnoteReference"/>
          <w:rFonts w:ascii="Calibri" w:hAnsi="Calibri" w:cs="Calibri"/>
          <w:sz w:val="22"/>
          <w:szCs w:val="22"/>
        </w:rPr>
        <w:footnoteReference w:id="987"/>
      </w:r>
    </w:p>
    <w:p w14:paraId="56C0D3BA" w14:textId="77777777" w:rsidR="00931CC1" w:rsidRPr="00A32897" w:rsidRDefault="00931CC1" w:rsidP="00931CC1">
      <w:pPr>
        <w:jc w:val="center"/>
        <w:rPr>
          <w:rFonts w:ascii="Calibri" w:hAnsi="Calibri" w:cs="Calibri"/>
          <w:sz w:val="22"/>
          <w:szCs w:val="22"/>
        </w:rPr>
      </w:pPr>
      <w:r w:rsidRPr="00A32897">
        <w:rPr>
          <w:rFonts w:ascii="Calibri" w:hAnsi="Calibri" w:cs="Calibri"/>
          <w:noProof/>
          <w:sz w:val="22"/>
          <w:szCs w:val="22"/>
          <w:lang w:eastAsia="en-GB"/>
        </w:rPr>
        <w:lastRenderedPageBreak/>
        <w:drawing>
          <wp:inline distT="0" distB="0" distL="0" distR="0" wp14:anchorId="1E853F97" wp14:editId="78E53455">
            <wp:extent cx="5528246" cy="7189694"/>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541403" cy="7206806"/>
                    </a:xfrm>
                    <a:prstGeom prst="rect">
                      <a:avLst/>
                    </a:prstGeom>
                    <a:noFill/>
                    <a:ln>
                      <a:noFill/>
                    </a:ln>
                  </pic:spPr>
                </pic:pic>
              </a:graphicData>
            </a:graphic>
          </wp:inline>
        </w:drawing>
      </w:r>
      <w:r w:rsidRPr="00A32897">
        <w:rPr>
          <w:rStyle w:val="FootnoteReference"/>
          <w:rFonts w:ascii="Calibri" w:hAnsi="Calibri" w:cs="Calibri"/>
          <w:sz w:val="22"/>
          <w:szCs w:val="22"/>
        </w:rPr>
        <w:footnoteReference w:id="988"/>
      </w:r>
    </w:p>
    <w:p w14:paraId="3E877BFC" w14:textId="77777777" w:rsidR="00931CC1" w:rsidRPr="00A32897" w:rsidRDefault="00931CC1" w:rsidP="00931CC1">
      <w:pPr>
        <w:jc w:val="center"/>
        <w:rPr>
          <w:rFonts w:ascii="Calibri" w:hAnsi="Calibri" w:cs="Calibri"/>
          <w:sz w:val="22"/>
          <w:szCs w:val="22"/>
        </w:rPr>
      </w:pPr>
    </w:p>
    <w:p w14:paraId="72627057" w14:textId="77777777" w:rsidR="00931CC1" w:rsidRPr="00A32897" w:rsidRDefault="00931CC1" w:rsidP="00931CC1">
      <w:pPr>
        <w:jc w:val="center"/>
        <w:rPr>
          <w:rFonts w:ascii="Calibri" w:hAnsi="Calibri" w:cs="Calibri"/>
          <w:sz w:val="22"/>
          <w:szCs w:val="22"/>
        </w:rPr>
      </w:pPr>
      <w:r w:rsidRPr="00A32897">
        <w:rPr>
          <w:rFonts w:ascii="Calibri" w:hAnsi="Calibri" w:cs="Calibri"/>
          <w:noProof/>
          <w:sz w:val="22"/>
          <w:szCs w:val="22"/>
          <w:lang w:eastAsia="en-GB"/>
        </w:rPr>
        <w:lastRenderedPageBreak/>
        <w:drawing>
          <wp:inline distT="0" distB="0" distL="0" distR="0" wp14:anchorId="0596C6D9" wp14:editId="6C103B94">
            <wp:extent cx="3992578" cy="5969577"/>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rotWithShape="1">
                    <a:blip r:embed="rId132">
                      <a:extLst>
                        <a:ext uri="{28A0092B-C50C-407E-A947-70E740481C1C}">
                          <a14:useLocalDpi xmlns:a14="http://schemas.microsoft.com/office/drawing/2010/main" val="0"/>
                        </a:ext>
                      </a:extLst>
                    </a:blip>
                    <a:srcRect t="4585" b="2451"/>
                    <a:stretch/>
                  </pic:blipFill>
                  <pic:spPr bwMode="auto">
                    <a:xfrm>
                      <a:off x="0" y="0"/>
                      <a:ext cx="4022127" cy="6013757"/>
                    </a:xfrm>
                    <a:prstGeom prst="rect">
                      <a:avLst/>
                    </a:prstGeom>
                    <a:noFill/>
                    <a:ln>
                      <a:noFill/>
                    </a:ln>
                    <a:extLst>
                      <a:ext uri="{53640926-AAD7-44D8-BBD7-CCE9431645EC}">
                        <a14:shadowObscured xmlns:a14="http://schemas.microsoft.com/office/drawing/2010/main"/>
                      </a:ext>
                    </a:extLst>
                  </pic:spPr>
                </pic:pic>
              </a:graphicData>
            </a:graphic>
          </wp:inline>
        </w:drawing>
      </w:r>
      <w:r w:rsidRPr="00A32897">
        <w:rPr>
          <w:rStyle w:val="FootnoteReference"/>
          <w:rFonts w:ascii="Calibri" w:hAnsi="Calibri" w:cs="Calibri"/>
          <w:sz w:val="22"/>
          <w:szCs w:val="22"/>
        </w:rPr>
        <w:footnoteReference w:id="989"/>
      </w:r>
    </w:p>
    <w:p w14:paraId="790E4B8A" w14:textId="3DE92884" w:rsidR="00931CC1" w:rsidRPr="00A32897" w:rsidRDefault="00931CC1" w:rsidP="00931CC1">
      <w:pPr>
        <w:rPr>
          <w:rFonts w:ascii="Calibri" w:hAnsi="Calibri" w:cs="Calibri"/>
          <w:sz w:val="22"/>
          <w:szCs w:val="22"/>
        </w:rPr>
      </w:pPr>
    </w:p>
    <w:p w14:paraId="3474E817" w14:textId="77777777" w:rsidR="00931CC1" w:rsidRPr="00A32897" w:rsidRDefault="00931CC1" w:rsidP="00931CC1">
      <w:pPr>
        <w:jc w:val="center"/>
        <w:rPr>
          <w:rFonts w:ascii="Calibri" w:hAnsi="Calibri" w:cs="Calibri"/>
          <w:noProof/>
          <w:sz w:val="22"/>
          <w:szCs w:val="22"/>
          <w:lang w:eastAsia="en-GB"/>
        </w:rPr>
      </w:pPr>
    </w:p>
    <w:p w14:paraId="632B89FA" w14:textId="3839FF00" w:rsidR="00931CC1" w:rsidRPr="00A32897" w:rsidRDefault="00931CC1">
      <w:pPr>
        <w:jc w:val="center"/>
        <w:rPr>
          <w:rFonts w:ascii="Calibri" w:hAnsi="Calibri" w:cs="Calibri"/>
          <w:sz w:val="22"/>
          <w:szCs w:val="22"/>
        </w:rPr>
      </w:pPr>
      <w:r w:rsidRPr="00A32897">
        <w:rPr>
          <w:rFonts w:ascii="Calibri" w:hAnsi="Calibri" w:cs="Calibri"/>
          <w:noProof/>
          <w:sz w:val="22"/>
          <w:szCs w:val="22"/>
          <w:lang w:eastAsia="en-GB"/>
        </w:rPr>
        <w:lastRenderedPageBreak/>
        <w:drawing>
          <wp:inline distT="0" distB="0" distL="0" distR="0" wp14:anchorId="2A107343" wp14:editId="502E7346">
            <wp:extent cx="5592139" cy="457200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5675052" cy="4639788"/>
                    </a:xfrm>
                    <a:prstGeom prst="rect">
                      <a:avLst/>
                    </a:prstGeom>
                    <a:noFill/>
                    <a:ln>
                      <a:noFill/>
                    </a:ln>
                  </pic:spPr>
                </pic:pic>
              </a:graphicData>
            </a:graphic>
          </wp:inline>
        </w:drawing>
      </w:r>
      <w:r w:rsidR="00644899">
        <w:rPr>
          <w:rStyle w:val="FootnoteReference"/>
          <w:rFonts w:cs="Calibri"/>
        </w:rPr>
        <w:footnoteReference w:id="990"/>
      </w:r>
      <w:r w:rsidRPr="007A123B">
        <w:rPr>
          <w:rFonts w:ascii="Calibri" w:hAnsi="Calibri" w:cs="Calibri"/>
          <w:noProof/>
          <w:sz w:val="22"/>
          <w:szCs w:val="22"/>
          <w:lang w:eastAsia="en-GB"/>
        </w:rPr>
        <w:drawing>
          <wp:inline distT="0" distB="0" distL="0" distR="0" wp14:anchorId="504D3E0C" wp14:editId="23B188FE">
            <wp:extent cx="5600715" cy="3811509"/>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5648399" cy="3843960"/>
                    </a:xfrm>
                    <a:prstGeom prst="rect">
                      <a:avLst/>
                    </a:prstGeom>
                    <a:noFill/>
                    <a:ln>
                      <a:noFill/>
                    </a:ln>
                  </pic:spPr>
                </pic:pic>
              </a:graphicData>
            </a:graphic>
          </wp:inline>
        </w:drawing>
      </w:r>
      <w:r w:rsidR="00644899" w:rsidRPr="00CF189D">
        <w:rPr>
          <w:rStyle w:val="FootnoteReference"/>
          <w:rFonts w:ascii="Calibri" w:hAnsi="Calibri" w:cs="Calibri"/>
        </w:rPr>
        <w:footnoteReference w:id="991"/>
      </w:r>
    </w:p>
    <w:p w14:paraId="1859185C" w14:textId="77777777" w:rsidR="00931CC1" w:rsidRPr="00A32897" w:rsidRDefault="00931CC1" w:rsidP="00931CC1">
      <w:pPr>
        <w:jc w:val="center"/>
        <w:rPr>
          <w:rFonts w:ascii="Calibri" w:hAnsi="Calibri" w:cs="Calibri"/>
          <w:sz w:val="22"/>
          <w:szCs w:val="22"/>
        </w:rPr>
      </w:pPr>
      <w:r w:rsidRPr="00A32897">
        <w:rPr>
          <w:rFonts w:ascii="Calibri" w:hAnsi="Calibri" w:cs="Calibri"/>
          <w:noProof/>
          <w:sz w:val="22"/>
          <w:szCs w:val="22"/>
          <w:lang w:eastAsia="en-GB"/>
        </w:rPr>
        <w:lastRenderedPageBreak/>
        <w:drawing>
          <wp:inline distT="0" distB="0" distL="0" distR="0" wp14:anchorId="728785E9" wp14:editId="196F1F56">
            <wp:extent cx="4988460" cy="7112940"/>
            <wp:effectExtent l="0" t="0" r="3175"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5009253" cy="7142589"/>
                    </a:xfrm>
                    <a:prstGeom prst="rect">
                      <a:avLst/>
                    </a:prstGeom>
                    <a:noFill/>
                    <a:ln>
                      <a:noFill/>
                    </a:ln>
                  </pic:spPr>
                </pic:pic>
              </a:graphicData>
            </a:graphic>
          </wp:inline>
        </w:drawing>
      </w:r>
      <w:r w:rsidRPr="00A32897">
        <w:rPr>
          <w:rStyle w:val="FootnoteReference"/>
          <w:rFonts w:ascii="Calibri" w:hAnsi="Calibri" w:cs="Calibri"/>
          <w:sz w:val="22"/>
          <w:szCs w:val="22"/>
        </w:rPr>
        <w:footnoteReference w:id="992"/>
      </w:r>
    </w:p>
    <w:p w14:paraId="30C237A1" w14:textId="2D153D08" w:rsidR="00931CC1" w:rsidRPr="00A32897" w:rsidRDefault="00931CC1" w:rsidP="00CF189D">
      <w:pPr>
        <w:rPr>
          <w:rFonts w:ascii="Calibri" w:hAnsi="Calibri" w:cs="Calibri"/>
          <w:sz w:val="22"/>
          <w:szCs w:val="22"/>
        </w:rPr>
      </w:pPr>
    </w:p>
    <w:p w14:paraId="25DCF734" w14:textId="77777777" w:rsidR="00931CC1" w:rsidRPr="00A32897" w:rsidRDefault="00931CC1" w:rsidP="00931CC1">
      <w:pPr>
        <w:jc w:val="center"/>
        <w:rPr>
          <w:rFonts w:ascii="Calibri" w:hAnsi="Calibri" w:cs="Calibri"/>
          <w:noProof/>
          <w:sz w:val="22"/>
          <w:szCs w:val="22"/>
          <w:lang w:eastAsia="en-GB"/>
        </w:rPr>
      </w:pPr>
    </w:p>
    <w:p w14:paraId="1ABEF694" w14:textId="24ADA9DA" w:rsidR="00931CC1" w:rsidRPr="00A32897" w:rsidRDefault="00931CC1" w:rsidP="00931CC1">
      <w:pPr>
        <w:jc w:val="center"/>
        <w:rPr>
          <w:rFonts w:ascii="Calibri" w:hAnsi="Calibri" w:cs="Calibri"/>
          <w:sz w:val="22"/>
          <w:szCs w:val="22"/>
        </w:rPr>
      </w:pPr>
    </w:p>
    <w:p w14:paraId="2B065772" w14:textId="54EE8D55" w:rsidR="00931CC1" w:rsidRPr="00A32897" w:rsidRDefault="00931CC1" w:rsidP="00CF189D">
      <w:pPr>
        <w:rPr>
          <w:rFonts w:ascii="Calibri" w:hAnsi="Calibri" w:cs="Calibri"/>
          <w:sz w:val="22"/>
          <w:szCs w:val="22"/>
        </w:rPr>
      </w:pPr>
    </w:p>
    <w:p w14:paraId="2D55756D" w14:textId="77777777" w:rsidR="00931CC1" w:rsidRPr="00A32897" w:rsidRDefault="00931CC1" w:rsidP="00931CC1">
      <w:pPr>
        <w:jc w:val="center"/>
        <w:rPr>
          <w:rFonts w:ascii="Calibri" w:hAnsi="Calibri" w:cs="Calibri"/>
          <w:sz w:val="22"/>
          <w:szCs w:val="22"/>
        </w:rPr>
      </w:pPr>
      <w:r w:rsidRPr="00A32897">
        <w:rPr>
          <w:rFonts w:ascii="Calibri" w:hAnsi="Calibri" w:cs="Calibri"/>
          <w:noProof/>
          <w:sz w:val="22"/>
          <w:szCs w:val="22"/>
          <w:lang w:eastAsia="en-GB"/>
        </w:rPr>
        <w:lastRenderedPageBreak/>
        <w:drawing>
          <wp:inline distT="0" distB="0" distL="0" distR="0" wp14:anchorId="1C475195" wp14:editId="019D927C">
            <wp:extent cx="4223308" cy="3521798"/>
            <wp:effectExtent l="0" t="0" r="6350" b="0"/>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136">
                      <a:extLst>
                        <a:ext uri="{28A0092B-C50C-407E-A947-70E740481C1C}">
                          <a14:useLocalDpi xmlns:a14="http://schemas.microsoft.com/office/drawing/2010/main" val="0"/>
                        </a:ext>
                      </a:extLst>
                    </a:blip>
                    <a:srcRect t="9010"/>
                    <a:stretch/>
                  </pic:blipFill>
                  <pic:spPr bwMode="auto">
                    <a:xfrm>
                      <a:off x="0" y="0"/>
                      <a:ext cx="4246498" cy="3541136"/>
                    </a:xfrm>
                    <a:prstGeom prst="rect">
                      <a:avLst/>
                    </a:prstGeom>
                    <a:noFill/>
                    <a:ln>
                      <a:noFill/>
                    </a:ln>
                    <a:extLst>
                      <a:ext uri="{53640926-AAD7-44D8-BBD7-CCE9431645EC}">
                        <a14:shadowObscured xmlns:a14="http://schemas.microsoft.com/office/drawing/2010/main"/>
                      </a:ext>
                    </a:extLst>
                  </pic:spPr>
                </pic:pic>
              </a:graphicData>
            </a:graphic>
          </wp:inline>
        </w:drawing>
      </w:r>
      <w:r w:rsidRPr="00A32897">
        <w:rPr>
          <w:rStyle w:val="FootnoteReference"/>
          <w:rFonts w:ascii="Calibri" w:hAnsi="Calibri" w:cs="Calibri"/>
          <w:sz w:val="22"/>
          <w:szCs w:val="22"/>
        </w:rPr>
        <w:footnoteReference w:id="993"/>
      </w:r>
    </w:p>
    <w:p w14:paraId="4286953D" w14:textId="77777777" w:rsidR="00931CC1" w:rsidRPr="00A32897" w:rsidRDefault="00931CC1" w:rsidP="00931CC1">
      <w:pPr>
        <w:jc w:val="center"/>
        <w:rPr>
          <w:rFonts w:ascii="Calibri" w:hAnsi="Calibri" w:cs="Calibri"/>
          <w:sz w:val="22"/>
          <w:szCs w:val="22"/>
        </w:rPr>
      </w:pPr>
      <w:r w:rsidRPr="00A32897">
        <w:rPr>
          <w:rFonts w:ascii="Calibri" w:hAnsi="Calibri" w:cs="Calibri"/>
          <w:noProof/>
          <w:sz w:val="22"/>
          <w:szCs w:val="22"/>
          <w:lang w:eastAsia="en-GB"/>
        </w:rPr>
        <w:drawing>
          <wp:inline distT="0" distB="0" distL="0" distR="0" wp14:anchorId="744E68FE" wp14:editId="1F9F67D4">
            <wp:extent cx="3340728" cy="4294589"/>
            <wp:effectExtent l="0" t="0" r="0" b="0"/>
            <wp:docPr id="79" name="Picture 79" descr="C:\Users\s1684475\Downloads\McMillan 1993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s1684475\Downloads\McMillan 1993 image.png"/>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3395393" cy="4364863"/>
                    </a:xfrm>
                    <a:prstGeom prst="rect">
                      <a:avLst/>
                    </a:prstGeom>
                    <a:noFill/>
                    <a:ln>
                      <a:noFill/>
                    </a:ln>
                  </pic:spPr>
                </pic:pic>
              </a:graphicData>
            </a:graphic>
          </wp:inline>
        </w:drawing>
      </w:r>
      <w:r w:rsidRPr="00A32897">
        <w:rPr>
          <w:rStyle w:val="FootnoteReference"/>
          <w:rFonts w:ascii="Calibri" w:hAnsi="Calibri" w:cs="Calibri"/>
          <w:sz w:val="22"/>
          <w:szCs w:val="22"/>
        </w:rPr>
        <w:footnoteReference w:id="994"/>
      </w:r>
    </w:p>
    <w:p w14:paraId="778F9E7F" w14:textId="77777777" w:rsidR="00931CC1" w:rsidRPr="00A32897" w:rsidRDefault="00931CC1" w:rsidP="00931CC1">
      <w:pPr>
        <w:jc w:val="center"/>
        <w:rPr>
          <w:rFonts w:ascii="Calibri" w:hAnsi="Calibri" w:cs="Calibri"/>
          <w:sz w:val="22"/>
          <w:szCs w:val="22"/>
        </w:rPr>
      </w:pPr>
    </w:p>
    <w:p w14:paraId="10C18D87" w14:textId="77777777" w:rsidR="00931CC1" w:rsidRPr="00A32897" w:rsidRDefault="00931CC1" w:rsidP="00931CC1">
      <w:pPr>
        <w:jc w:val="center"/>
        <w:rPr>
          <w:rFonts w:ascii="Calibri" w:hAnsi="Calibri" w:cs="Calibri"/>
          <w:sz w:val="22"/>
          <w:szCs w:val="22"/>
        </w:rPr>
      </w:pPr>
      <w:r w:rsidRPr="00A32897">
        <w:rPr>
          <w:rFonts w:ascii="Calibri" w:hAnsi="Calibri" w:cs="Calibri"/>
          <w:noProof/>
          <w:sz w:val="22"/>
          <w:szCs w:val="22"/>
          <w:lang w:eastAsia="en-GB"/>
        </w:rPr>
        <w:lastRenderedPageBreak/>
        <w:drawing>
          <wp:inline distT="0" distB="0" distL="0" distR="0" wp14:anchorId="7CA17117" wp14:editId="6B6030C2">
            <wp:extent cx="2942376" cy="3659045"/>
            <wp:effectExtent l="0" t="0" r="4445" b="0"/>
            <wp:docPr id="1029" name="Picture 1029" descr="C:\Users\s1684475\Downloads\Kim and Benton OCP co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s1684475\Downloads\Kim and Benton OCP cover.png"/>
                    <pic:cNvPicPr>
                      <a:picLocks noChangeAspect="1" noChangeArrowheads="1"/>
                    </pic:cNvPicPr>
                  </pic:nvPicPr>
                  <pic:blipFill rotWithShape="1">
                    <a:blip r:embed="rId138">
                      <a:extLst>
                        <a:ext uri="{28A0092B-C50C-407E-A947-70E740481C1C}">
                          <a14:useLocalDpi xmlns:a14="http://schemas.microsoft.com/office/drawing/2010/main" val="0"/>
                        </a:ext>
                      </a:extLst>
                    </a:blip>
                    <a:srcRect b="2419"/>
                    <a:stretch/>
                  </pic:blipFill>
                  <pic:spPr bwMode="auto">
                    <a:xfrm>
                      <a:off x="0" y="0"/>
                      <a:ext cx="2956260" cy="3676311"/>
                    </a:xfrm>
                    <a:prstGeom prst="rect">
                      <a:avLst/>
                    </a:prstGeom>
                    <a:noFill/>
                    <a:ln>
                      <a:noFill/>
                    </a:ln>
                    <a:extLst>
                      <a:ext uri="{53640926-AAD7-44D8-BBD7-CCE9431645EC}">
                        <a14:shadowObscured xmlns:a14="http://schemas.microsoft.com/office/drawing/2010/main"/>
                      </a:ext>
                    </a:extLst>
                  </pic:spPr>
                </pic:pic>
              </a:graphicData>
            </a:graphic>
          </wp:inline>
        </w:drawing>
      </w:r>
      <w:r w:rsidRPr="00A32897">
        <w:rPr>
          <w:rStyle w:val="FootnoteReference"/>
          <w:rFonts w:ascii="Calibri" w:hAnsi="Calibri" w:cs="Calibri"/>
          <w:sz w:val="22"/>
          <w:szCs w:val="22"/>
        </w:rPr>
        <w:footnoteReference w:id="995"/>
      </w:r>
    </w:p>
    <w:p w14:paraId="1B815F37" w14:textId="77777777" w:rsidR="00931CC1" w:rsidRPr="00A32897" w:rsidRDefault="00931CC1" w:rsidP="00931CC1">
      <w:pPr>
        <w:jc w:val="center"/>
        <w:rPr>
          <w:rFonts w:ascii="Calibri" w:hAnsi="Calibri" w:cs="Calibri"/>
          <w:sz w:val="22"/>
          <w:szCs w:val="22"/>
        </w:rPr>
      </w:pPr>
      <w:r w:rsidRPr="00A32897">
        <w:rPr>
          <w:rFonts w:ascii="Calibri" w:hAnsi="Calibri" w:cs="Calibri"/>
          <w:noProof/>
          <w:sz w:val="22"/>
          <w:szCs w:val="22"/>
          <w:lang w:eastAsia="en-GB"/>
        </w:rPr>
        <w:drawing>
          <wp:inline distT="0" distB="0" distL="0" distR="0" wp14:anchorId="1B57AA61" wp14:editId="7B8DF7CB">
            <wp:extent cx="3078178" cy="4156361"/>
            <wp:effectExtent l="0" t="0" r="0" b="0"/>
            <wp:docPr id="1035" name="Picture 1035" descr="C:\Users\s1684475\Downloads\Carter Center annual repo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s1684475\Downloads\Carter Center annual report.png"/>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3083780" cy="4163925"/>
                    </a:xfrm>
                    <a:prstGeom prst="rect">
                      <a:avLst/>
                    </a:prstGeom>
                    <a:noFill/>
                    <a:ln>
                      <a:noFill/>
                    </a:ln>
                  </pic:spPr>
                </pic:pic>
              </a:graphicData>
            </a:graphic>
          </wp:inline>
        </w:drawing>
      </w:r>
      <w:r w:rsidRPr="00A32897">
        <w:rPr>
          <w:rStyle w:val="FootnoteReference"/>
          <w:rFonts w:ascii="Calibri" w:hAnsi="Calibri" w:cs="Calibri"/>
          <w:sz w:val="22"/>
          <w:szCs w:val="22"/>
        </w:rPr>
        <w:footnoteReference w:id="996"/>
      </w:r>
    </w:p>
    <w:p w14:paraId="4D2E75CE" w14:textId="77777777" w:rsidR="00931CC1" w:rsidRPr="00A32897" w:rsidRDefault="00931CC1" w:rsidP="00931CC1">
      <w:pPr>
        <w:rPr>
          <w:rFonts w:ascii="Calibri" w:hAnsi="Calibri" w:cs="Calibri"/>
          <w:sz w:val="22"/>
          <w:szCs w:val="22"/>
        </w:rPr>
      </w:pPr>
    </w:p>
    <w:p w14:paraId="185080EB" w14:textId="636E7EED" w:rsidR="005B3827" w:rsidRDefault="005B3827" w:rsidP="00931CC1">
      <w:pPr>
        <w:jc w:val="center"/>
        <w:rPr>
          <w:rFonts w:ascii="Calibri" w:hAnsi="Calibri" w:cs="Calibri"/>
          <w:sz w:val="22"/>
          <w:szCs w:val="22"/>
        </w:rPr>
      </w:pPr>
    </w:p>
    <w:p w14:paraId="72808149" w14:textId="77777777" w:rsidR="005B3827" w:rsidRDefault="005B3827" w:rsidP="005B3827"/>
    <w:p w14:paraId="2D168662" w14:textId="3262187E" w:rsidR="005B3827" w:rsidRDefault="005B3827" w:rsidP="005B3827">
      <w:pPr>
        <w:jc w:val="center"/>
        <w:textAlignment w:val="center"/>
      </w:pPr>
    </w:p>
    <w:p w14:paraId="210835D9" w14:textId="06B9C130" w:rsidR="005B3827" w:rsidRDefault="005B3827" w:rsidP="00132077">
      <w:pPr>
        <w:spacing w:line="360" w:lineRule="atLeast"/>
        <w:jc w:val="center"/>
        <w:textAlignment w:val="center"/>
        <w:rPr>
          <w:rFonts w:ascii="Roboto" w:hAnsi="Roboto"/>
          <w:b/>
          <w:bCs/>
          <w:color w:val="FFFFFF"/>
          <w:sz w:val="17"/>
          <w:szCs w:val="17"/>
        </w:rPr>
      </w:pPr>
      <w:r>
        <w:rPr>
          <w:rFonts w:ascii="Roboto" w:hAnsi="Roboto"/>
          <w:b/>
          <w:bCs/>
          <w:noProof/>
          <w:color w:val="FFFFFF"/>
          <w:sz w:val="17"/>
          <w:szCs w:val="17"/>
          <w:lang w:eastAsia="en-GB"/>
        </w:rPr>
        <w:drawing>
          <wp:inline distT="0" distB="0" distL="0" distR="0" wp14:anchorId="1B773790" wp14:editId="4B1018F8">
            <wp:extent cx="5579871" cy="3186820"/>
            <wp:effectExtent l="0" t="0" r="0" b="1270"/>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 name="Screen Shot 2020-04-25 at 3.23.25 PM.png"/>
                    <pic:cNvPicPr/>
                  </pic:nvPicPr>
                  <pic:blipFill>
                    <a:blip r:embed="rId140" cstate="print">
                      <a:extLst>
                        <a:ext uri="{28A0092B-C50C-407E-A947-70E740481C1C}">
                          <a14:useLocalDpi xmlns:a14="http://schemas.microsoft.com/office/drawing/2010/main" val="0"/>
                        </a:ext>
                      </a:extLst>
                    </a:blip>
                    <a:stretch>
                      <a:fillRect/>
                    </a:stretch>
                  </pic:blipFill>
                  <pic:spPr>
                    <a:xfrm>
                      <a:off x="0" y="0"/>
                      <a:ext cx="5583195" cy="3188718"/>
                    </a:xfrm>
                    <a:prstGeom prst="rect">
                      <a:avLst/>
                    </a:prstGeom>
                  </pic:spPr>
                </pic:pic>
              </a:graphicData>
            </a:graphic>
          </wp:inline>
        </w:drawing>
      </w:r>
      <w:r>
        <w:rPr>
          <w:rStyle w:val="FootnoteReference"/>
          <w:b/>
          <w:bCs/>
          <w:color w:val="FFFFFF"/>
        </w:rPr>
        <w:footnoteReference w:id="997"/>
      </w:r>
    </w:p>
    <w:p w14:paraId="60012A8E" w14:textId="1499F55F" w:rsidR="005B3827" w:rsidRDefault="005B3827" w:rsidP="005B3827">
      <w:pPr>
        <w:spacing w:line="360" w:lineRule="atLeast"/>
        <w:jc w:val="center"/>
        <w:textAlignment w:val="center"/>
        <w:rPr>
          <w:rFonts w:ascii="Roboto" w:hAnsi="Roboto"/>
          <w:b/>
          <w:bCs/>
          <w:color w:val="FFFFFF"/>
          <w:sz w:val="17"/>
          <w:szCs w:val="17"/>
        </w:rPr>
      </w:pPr>
    </w:p>
    <w:p w14:paraId="7166ED2A" w14:textId="77777777" w:rsidR="005B3827" w:rsidRPr="00CF189D" w:rsidRDefault="005B3827" w:rsidP="00CF189D">
      <w:pPr>
        <w:spacing w:line="360" w:lineRule="atLeast"/>
        <w:jc w:val="center"/>
        <w:textAlignment w:val="center"/>
        <w:rPr>
          <w:rFonts w:ascii="Roboto" w:hAnsi="Roboto"/>
          <w:b/>
          <w:bCs/>
          <w:color w:val="FFFFFF"/>
          <w:sz w:val="17"/>
          <w:szCs w:val="17"/>
        </w:rPr>
      </w:pPr>
    </w:p>
    <w:p w14:paraId="2886CFC5" w14:textId="77777777" w:rsidR="00931CC1" w:rsidRPr="00A32897" w:rsidRDefault="00931CC1" w:rsidP="00931CC1">
      <w:pPr>
        <w:jc w:val="center"/>
        <w:rPr>
          <w:rFonts w:ascii="Calibri" w:hAnsi="Calibri" w:cs="Calibri"/>
          <w:sz w:val="22"/>
          <w:szCs w:val="22"/>
        </w:rPr>
      </w:pPr>
      <w:r w:rsidRPr="00A32897">
        <w:rPr>
          <w:rFonts w:ascii="Calibri" w:hAnsi="Calibri" w:cs="Calibri"/>
          <w:noProof/>
          <w:sz w:val="22"/>
          <w:szCs w:val="22"/>
          <w:lang w:eastAsia="en-GB"/>
        </w:rPr>
        <w:drawing>
          <wp:inline distT="0" distB="0" distL="0" distR="0" wp14:anchorId="3A4036E8" wp14:editId="4583A4B1">
            <wp:extent cx="5520451" cy="2027976"/>
            <wp:effectExtent l="0" t="0" r="4445" b="4445"/>
            <wp:docPr id="1037" name="Picture 1037" descr="C:\Users\s1684475\Downloads\BBC blind leading the bl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s1684475\Downloads\BBC blind leading the blind.png"/>
                    <pic:cNvPicPr>
                      <a:picLocks noChangeAspect="1" noChangeArrowheads="1"/>
                    </pic:cNvPicPr>
                  </pic:nvPicPr>
                  <pic:blipFill rotWithShape="1">
                    <a:blip r:embed="rId141">
                      <a:extLst>
                        <a:ext uri="{28A0092B-C50C-407E-A947-70E740481C1C}">
                          <a14:useLocalDpi xmlns:a14="http://schemas.microsoft.com/office/drawing/2010/main" val="0"/>
                        </a:ext>
                      </a:extLst>
                    </a:blip>
                    <a:srcRect b="62272"/>
                    <a:stretch/>
                  </pic:blipFill>
                  <pic:spPr bwMode="auto">
                    <a:xfrm>
                      <a:off x="0" y="0"/>
                      <a:ext cx="5559375" cy="2042275"/>
                    </a:xfrm>
                    <a:prstGeom prst="rect">
                      <a:avLst/>
                    </a:prstGeom>
                    <a:noFill/>
                    <a:ln>
                      <a:noFill/>
                    </a:ln>
                    <a:extLst>
                      <a:ext uri="{53640926-AAD7-44D8-BBD7-CCE9431645EC}">
                        <a14:shadowObscured xmlns:a14="http://schemas.microsoft.com/office/drawing/2010/main"/>
                      </a:ext>
                    </a:extLst>
                  </pic:spPr>
                </pic:pic>
              </a:graphicData>
            </a:graphic>
          </wp:inline>
        </w:drawing>
      </w:r>
      <w:r w:rsidRPr="00A32897">
        <w:rPr>
          <w:rStyle w:val="FootnoteReference"/>
          <w:rFonts w:ascii="Calibri" w:hAnsi="Calibri" w:cs="Calibri"/>
          <w:sz w:val="22"/>
          <w:szCs w:val="22"/>
        </w:rPr>
        <w:footnoteReference w:id="998"/>
      </w:r>
    </w:p>
    <w:p w14:paraId="5839FA73" w14:textId="77777777" w:rsidR="00931CC1" w:rsidRPr="00A32897" w:rsidRDefault="00931CC1" w:rsidP="00CF189D">
      <w:pPr>
        <w:rPr>
          <w:rFonts w:ascii="Calibri" w:hAnsi="Calibri" w:cs="Calibri"/>
          <w:sz w:val="22"/>
          <w:szCs w:val="22"/>
        </w:rPr>
      </w:pPr>
    </w:p>
    <w:p w14:paraId="4349FE9F" w14:textId="77777777" w:rsidR="00931CC1" w:rsidRPr="00A32897" w:rsidRDefault="00931CC1" w:rsidP="00931CC1">
      <w:pPr>
        <w:jc w:val="center"/>
        <w:rPr>
          <w:rFonts w:ascii="Calibri" w:hAnsi="Calibri" w:cs="Calibri"/>
          <w:sz w:val="22"/>
          <w:szCs w:val="22"/>
        </w:rPr>
      </w:pPr>
      <w:r w:rsidRPr="00A32897">
        <w:rPr>
          <w:rFonts w:ascii="Calibri" w:hAnsi="Calibri" w:cs="Calibri"/>
          <w:noProof/>
          <w:sz w:val="22"/>
          <w:szCs w:val="22"/>
          <w:lang w:eastAsia="en-GB"/>
        </w:rPr>
        <w:lastRenderedPageBreak/>
        <w:drawing>
          <wp:inline distT="0" distB="0" distL="0" distR="0" wp14:anchorId="7F641CBD" wp14:editId="4C352D5F">
            <wp:extent cx="5106154" cy="3736154"/>
            <wp:effectExtent l="0" t="0" r="0" b="0"/>
            <wp:docPr id="1039" name="Picture 1039" descr="C:\Users\s1684475\Downloads\2014 Bank vide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s1684475\Downloads\2014 Bank video.pn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153770" cy="3770994"/>
                    </a:xfrm>
                    <a:prstGeom prst="rect">
                      <a:avLst/>
                    </a:prstGeom>
                    <a:noFill/>
                    <a:ln>
                      <a:noFill/>
                    </a:ln>
                  </pic:spPr>
                </pic:pic>
              </a:graphicData>
            </a:graphic>
          </wp:inline>
        </w:drawing>
      </w:r>
      <w:r w:rsidRPr="00A32897">
        <w:rPr>
          <w:rStyle w:val="FootnoteReference"/>
          <w:rFonts w:ascii="Calibri" w:hAnsi="Calibri" w:cs="Calibri"/>
          <w:sz w:val="22"/>
          <w:szCs w:val="22"/>
        </w:rPr>
        <w:footnoteReference w:id="999"/>
      </w:r>
    </w:p>
    <w:p w14:paraId="08B9E25F" w14:textId="679CC88C" w:rsidR="00931CC1" w:rsidRDefault="00931CC1" w:rsidP="001F2866">
      <w:pPr>
        <w:rPr>
          <w:rFonts w:ascii="Calibri" w:hAnsi="Calibri" w:cs="Calibri"/>
          <w:sz w:val="22"/>
          <w:szCs w:val="22"/>
        </w:rPr>
      </w:pPr>
    </w:p>
    <w:p w14:paraId="50C03158" w14:textId="77777777" w:rsidR="00080641" w:rsidRDefault="00080641">
      <w:pPr>
        <w:spacing w:line="360" w:lineRule="auto"/>
        <w:rPr>
          <w:rFonts w:ascii="Calibri" w:hAnsi="Calibri" w:cs="Calibri"/>
          <w:b/>
          <w:sz w:val="26"/>
          <w:szCs w:val="26"/>
        </w:rPr>
      </w:pPr>
      <w:bookmarkStart w:id="168" w:name="_Toc29580566"/>
      <w:bookmarkStart w:id="169" w:name="_Toc41505719"/>
      <w:r>
        <w:rPr>
          <w:rFonts w:ascii="Calibri" w:hAnsi="Calibri" w:cs="Calibri"/>
          <w:b/>
          <w:sz w:val="26"/>
          <w:szCs w:val="26"/>
        </w:rPr>
        <w:br w:type="page"/>
      </w:r>
    </w:p>
    <w:p w14:paraId="6251865C" w14:textId="304B386B" w:rsidR="00931CC1" w:rsidRPr="00DB3887" w:rsidRDefault="00931CC1" w:rsidP="00931CC1">
      <w:pPr>
        <w:pStyle w:val="Heading2"/>
        <w:rPr>
          <w:rFonts w:ascii="Calibri" w:hAnsi="Calibri" w:cs="Calibri"/>
          <w:b/>
          <w:sz w:val="26"/>
          <w:szCs w:val="26"/>
        </w:rPr>
      </w:pPr>
      <w:r w:rsidRPr="00DB3887">
        <w:rPr>
          <w:rFonts w:ascii="Calibri" w:hAnsi="Calibri" w:cs="Calibri"/>
          <w:b/>
          <w:sz w:val="26"/>
          <w:szCs w:val="26"/>
        </w:rPr>
        <w:lastRenderedPageBreak/>
        <w:t>Appendix I</w:t>
      </w:r>
      <w:r w:rsidR="00E040F9">
        <w:rPr>
          <w:rFonts w:ascii="Calibri" w:hAnsi="Calibri" w:cs="Calibri"/>
          <w:b/>
          <w:sz w:val="26"/>
          <w:szCs w:val="26"/>
        </w:rPr>
        <w:t>II</w:t>
      </w:r>
      <w:r w:rsidRPr="00DB3887">
        <w:rPr>
          <w:rFonts w:ascii="Calibri" w:hAnsi="Calibri" w:cs="Calibri"/>
          <w:b/>
          <w:sz w:val="26"/>
          <w:szCs w:val="26"/>
        </w:rPr>
        <w:t>. Archives identifying information</w:t>
      </w:r>
      <w:bookmarkEnd w:id="168"/>
      <w:bookmarkEnd w:id="169"/>
    </w:p>
    <w:p w14:paraId="6C9C62A4" w14:textId="77777777" w:rsidR="00931CC1" w:rsidRPr="00A32897" w:rsidRDefault="00931CC1" w:rsidP="00931CC1">
      <w:pPr>
        <w:rPr>
          <w:rFonts w:ascii="Calibri" w:hAnsi="Calibri" w:cs="Calibri"/>
          <w:sz w:val="22"/>
          <w:szCs w:val="22"/>
        </w:rPr>
      </w:pPr>
    </w:p>
    <w:tbl>
      <w:tblPr>
        <w:tblStyle w:val="TableGrid"/>
        <w:tblW w:w="9351" w:type="dxa"/>
        <w:tblLayout w:type="fixed"/>
        <w:tblLook w:val="04A0" w:firstRow="1" w:lastRow="0" w:firstColumn="1" w:lastColumn="0" w:noHBand="0" w:noVBand="1"/>
      </w:tblPr>
      <w:tblGrid>
        <w:gridCol w:w="1696"/>
        <w:gridCol w:w="1701"/>
        <w:gridCol w:w="3402"/>
        <w:gridCol w:w="2552"/>
      </w:tblGrid>
      <w:tr w:rsidR="00931CC1" w:rsidRPr="00A32897" w14:paraId="178FA6BC" w14:textId="77777777" w:rsidTr="005047C7">
        <w:trPr>
          <w:trHeight w:val="529"/>
        </w:trPr>
        <w:tc>
          <w:tcPr>
            <w:tcW w:w="1696" w:type="dxa"/>
          </w:tcPr>
          <w:p w14:paraId="46812B02" w14:textId="77777777" w:rsidR="00931CC1" w:rsidRPr="00A32897" w:rsidRDefault="00931CC1" w:rsidP="005047C7">
            <w:pPr>
              <w:rPr>
                <w:rFonts w:ascii="Calibri" w:hAnsi="Calibri" w:cs="Calibri"/>
                <w:b/>
                <w:sz w:val="22"/>
                <w:szCs w:val="22"/>
              </w:rPr>
            </w:pPr>
            <w:r w:rsidRPr="00A32897">
              <w:rPr>
                <w:rFonts w:ascii="Calibri" w:hAnsi="Calibri" w:cs="Calibri"/>
                <w:b/>
                <w:sz w:val="22"/>
                <w:szCs w:val="22"/>
              </w:rPr>
              <w:t>Archive name</w:t>
            </w:r>
          </w:p>
        </w:tc>
        <w:tc>
          <w:tcPr>
            <w:tcW w:w="1701" w:type="dxa"/>
            <w:tcBorders>
              <w:bottom w:val="single" w:sz="4" w:space="0" w:color="auto"/>
            </w:tcBorders>
          </w:tcPr>
          <w:p w14:paraId="645BC843" w14:textId="77777777" w:rsidR="00931CC1" w:rsidRPr="00A32897" w:rsidRDefault="00931CC1" w:rsidP="005047C7">
            <w:pPr>
              <w:rPr>
                <w:rFonts w:ascii="Calibri" w:hAnsi="Calibri" w:cs="Calibri"/>
                <w:b/>
                <w:sz w:val="22"/>
                <w:szCs w:val="22"/>
              </w:rPr>
            </w:pPr>
            <w:r w:rsidRPr="00A32897">
              <w:rPr>
                <w:rFonts w:ascii="Calibri" w:hAnsi="Calibri" w:cs="Calibri"/>
                <w:b/>
                <w:sz w:val="22"/>
                <w:szCs w:val="22"/>
              </w:rPr>
              <w:t>Folder number</w:t>
            </w:r>
          </w:p>
        </w:tc>
        <w:tc>
          <w:tcPr>
            <w:tcW w:w="3402" w:type="dxa"/>
            <w:tcBorders>
              <w:bottom w:val="single" w:sz="4" w:space="0" w:color="auto"/>
            </w:tcBorders>
          </w:tcPr>
          <w:p w14:paraId="301E98B1" w14:textId="77777777" w:rsidR="00931CC1" w:rsidRPr="00A32897" w:rsidRDefault="00931CC1" w:rsidP="005047C7">
            <w:pPr>
              <w:rPr>
                <w:rFonts w:ascii="Calibri" w:hAnsi="Calibri" w:cs="Calibri"/>
                <w:b/>
                <w:sz w:val="22"/>
                <w:szCs w:val="22"/>
              </w:rPr>
            </w:pPr>
            <w:r w:rsidRPr="00A32897">
              <w:rPr>
                <w:rFonts w:ascii="Calibri" w:hAnsi="Calibri" w:cs="Calibri"/>
                <w:b/>
                <w:sz w:val="22"/>
                <w:szCs w:val="22"/>
              </w:rPr>
              <w:t>Folder name</w:t>
            </w:r>
          </w:p>
        </w:tc>
        <w:tc>
          <w:tcPr>
            <w:tcW w:w="2552" w:type="dxa"/>
            <w:tcBorders>
              <w:bottom w:val="single" w:sz="4" w:space="0" w:color="auto"/>
            </w:tcBorders>
          </w:tcPr>
          <w:p w14:paraId="20D49CCA" w14:textId="77777777" w:rsidR="00931CC1" w:rsidRPr="00A32897" w:rsidRDefault="00931CC1" w:rsidP="005047C7">
            <w:pPr>
              <w:rPr>
                <w:rFonts w:ascii="Calibri" w:hAnsi="Calibri" w:cs="Calibri"/>
                <w:b/>
                <w:sz w:val="22"/>
                <w:szCs w:val="22"/>
              </w:rPr>
            </w:pPr>
            <w:r w:rsidRPr="00A32897">
              <w:rPr>
                <w:rFonts w:ascii="Calibri" w:hAnsi="Calibri" w:cs="Calibri"/>
                <w:b/>
                <w:sz w:val="22"/>
                <w:szCs w:val="22"/>
              </w:rPr>
              <w:t>Dates</w:t>
            </w:r>
          </w:p>
        </w:tc>
      </w:tr>
      <w:tr w:rsidR="00931CC1" w:rsidRPr="00A32897" w14:paraId="7357C0DF" w14:textId="77777777" w:rsidTr="005047C7">
        <w:trPr>
          <w:trHeight w:val="422"/>
        </w:trPr>
        <w:tc>
          <w:tcPr>
            <w:tcW w:w="9351" w:type="dxa"/>
            <w:gridSpan w:val="4"/>
          </w:tcPr>
          <w:p w14:paraId="7CFC3A5B" w14:textId="77777777" w:rsidR="00931CC1" w:rsidRPr="00A32897" w:rsidRDefault="00931CC1" w:rsidP="005047C7">
            <w:pPr>
              <w:rPr>
                <w:rFonts w:ascii="Calibri" w:hAnsi="Calibri" w:cs="Calibri"/>
                <w:sz w:val="22"/>
                <w:szCs w:val="22"/>
              </w:rPr>
            </w:pPr>
            <w:r w:rsidRPr="00A32897">
              <w:rPr>
                <w:rFonts w:ascii="Calibri" w:hAnsi="Calibri" w:cs="Calibri"/>
                <w:b/>
                <w:i/>
                <w:sz w:val="22"/>
                <w:szCs w:val="22"/>
              </w:rPr>
              <w:t>World Bank Group Archives (WBGA)</w:t>
            </w:r>
          </w:p>
        </w:tc>
      </w:tr>
      <w:tr w:rsidR="00931CC1" w:rsidRPr="00A32897" w14:paraId="2BB43937" w14:textId="77777777" w:rsidTr="005047C7">
        <w:tc>
          <w:tcPr>
            <w:tcW w:w="1696" w:type="dxa"/>
          </w:tcPr>
          <w:p w14:paraId="088F291F"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77293258"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809925</w:t>
            </w:r>
          </w:p>
        </w:tc>
        <w:tc>
          <w:tcPr>
            <w:tcW w:w="3402" w:type="dxa"/>
          </w:tcPr>
          <w:p w14:paraId="027D60F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Socio-economic Development of Onchocerciasis Freed Zones (SED) – 01</w:t>
            </w:r>
          </w:p>
        </w:tc>
        <w:tc>
          <w:tcPr>
            <w:tcW w:w="2552" w:type="dxa"/>
          </w:tcPr>
          <w:p w14:paraId="1EFEB00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May 1986 – 30 September 1990</w:t>
            </w:r>
          </w:p>
        </w:tc>
      </w:tr>
      <w:tr w:rsidR="00931CC1" w:rsidRPr="00A32897" w14:paraId="76B02559" w14:textId="77777777" w:rsidTr="005047C7">
        <w:tc>
          <w:tcPr>
            <w:tcW w:w="1696" w:type="dxa"/>
          </w:tcPr>
          <w:p w14:paraId="3C03CBB2"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78AA47E6"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1046782</w:t>
            </w:r>
          </w:p>
        </w:tc>
        <w:tc>
          <w:tcPr>
            <w:tcW w:w="3402" w:type="dxa"/>
          </w:tcPr>
          <w:p w14:paraId="37953366"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 xml:space="preserve">Policy and Research Unit – 2.13.4 Onchocerciasis – set </w:t>
            </w:r>
          </w:p>
        </w:tc>
        <w:tc>
          <w:tcPr>
            <w:tcW w:w="2552" w:type="dxa"/>
          </w:tcPr>
          <w:p w14:paraId="71E198CF"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1980 – 31 December 1984</w:t>
            </w:r>
          </w:p>
        </w:tc>
      </w:tr>
      <w:tr w:rsidR="00931CC1" w:rsidRPr="00A32897" w14:paraId="56F28B55" w14:textId="77777777" w:rsidTr="005047C7">
        <w:tc>
          <w:tcPr>
            <w:tcW w:w="1696" w:type="dxa"/>
          </w:tcPr>
          <w:p w14:paraId="5E95B3C0"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301DC6A9"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1082632</w:t>
            </w:r>
          </w:p>
        </w:tc>
        <w:tc>
          <w:tcPr>
            <w:tcW w:w="3402" w:type="dxa"/>
          </w:tcPr>
          <w:p w14:paraId="015B092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Control Programme: Correspondence – 1v</w:t>
            </w:r>
          </w:p>
        </w:tc>
        <w:tc>
          <w:tcPr>
            <w:tcW w:w="2552" w:type="dxa"/>
          </w:tcPr>
          <w:p w14:paraId="1C7BDDA4"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1972 – 31 December 1984</w:t>
            </w:r>
          </w:p>
        </w:tc>
      </w:tr>
      <w:tr w:rsidR="00931CC1" w:rsidRPr="00A32897" w14:paraId="5F266E1A" w14:textId="77777777" w:rsidTr="005047C7">
        <w:tc>
          <w:tcPr>
            <w:tcW w:w="1696" w:type="dxa"/>
          </w:tcPr>
          <w:p w14:paraId="31D82E68"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 xml:space="preserve">WBGA </w:t>
            </w:r>
          </w:p>
        </w:tc>
        <w:tc>
          <w:tcPr>
            <w:tcW w:w="1701" w:type="dxa"/>
          </w:tcPr>
          <w:p w14:paraId="4D792AF1"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1082633</w:t>
            </w:r>
          </w:p>
        </w:tc>
        <w:tc>
          <w:tcPr>
            <w:tcW w:w="3402" w:type="dxa"/>
          </w:tcPr>
          <w:p w14:paraId="3C712D41"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Control Programme long term strategy – 1v</w:t>
            </w:r>
          </w:p>
        </w:tc>
        <w:tc>
          <w:tcPr>
            <w:tcW w:w="2552" w:type="dxa"/>
          </w:tcPr>
          <w:p w14:paraId="5CE1D7F3"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1984 – 31 December 1985</w:t>
            </w:r>
          </w:p>
        </w:tc>
      </w:tr>
      <w:tr w:rsidR="00931CC1" w:rsidRPr="00A32897" w14:paraId="76045110" w14:textId="77777777" w:rsidTr="005047C7">
        <w:tc>
          <w:tcPr>
            <w:tcW w:w="1696" w:type="dxa"/>
          </w:tcPr>
          <w:p w14:paraId="605AB9B4"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13931B90"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1082688</w:t>
            </w:r>
          </w:p>
        </w:tc>
        <w:tc>
          <w:tcPr>
            <w:tcW w:w="3402" w:type="dxa"/>
          </w:tcPr>
          <w:p w14:paraId="0D952FB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Control Programme chron file – 2v</w:t>
            </w:r>
          </w:p>
        </w:tc>
        <w:tc>
          <w:tcPr>
            <w:tcW w:w="2552" w:type="dxa"/>
          </w:tcPr>
          <w:p w14:paraId="2F5549F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1986 – 31 December 1988</w:t>
            </w:r>
          </w:p>
        </w:tc>
      </w:tr>
      <w:tr w:rsidR="00931CC1" w:rsidRPr="00A32897" w14:paraId="5EE3AD09" w14:textId="77777777" w:rsidTr="005047C7">
        <w:tc>
          <w:tcPr>
            <w:tcW w:w="1696" w:type="dxa"/>
          </w:tcPr>
          <w:p w14:paraId="1EA6D112"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00AF5591"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1082693</w:t>
            </w:r>
          </w:p>
        </w:tc>
        <w:tc>
          <w:tcPr>
            <w:tcW w:w="3402" w:type="dxa"/>
          </w:tcPr>
          <w:p w14:paraId="61724DB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Control Programme: Report of the preparatory assistance mission to the Volta River Basin (includes annexes and atlas) – 1v</w:t>
            </w:r>
          </w:p>
        </w:tc>
        <w:tc>
          <w:tcPr>
            <w:tcW w:w="2552" w:type="dxa"/>
          </w:tcPr>
          <w:p w14:paraId="791CBF4C"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1973 – 31 December 1973</w:t>
            </w:r>
          </w:p>
        </w:tc>
      </w:tr>
      <w:tr w:rsidR="00931CC1" w:rsidRPr="00A32897" w14:paraId="2AD2B31F" w14:textId="77777777" w:rsidTr="005047C7">
        <w:tc>
          <w:tcPr>
            <w:tcW w:w="1696" w:type="dxa"/>
          </w:tcPr>
          <w:p w14:paraId="5F7217CC"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3707CBAB"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1103166</w:t>
            </w:r>
          </w:p>
        </w:tc>
        <w:tc>
          <w:tcPr>
            <w:tcW w:w="3402" w:type="dxa"/>
          </w:tcPr>
          <w:p w14:paraId="411D41CD"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Population, Health and Nutrition [PHN] – Tropical Disease Research [TDR] Files – Background Materials for Bank Participation in Tropical Disease Research</w:t>
            </w:r>
          </w:p>
        </w:tc>
        <w:tc>
          <w:tcPr>
            <w:tcW w:w="2552" w:type="dxa"/>
          </w:tcPr>
          <w:p w14:paraId="1A7237C8"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13 December 1974 – 4 January 1980</w:t>
            </w:r>
          </w:p>
        </w:tc>
      </w:tr>
      <w:tr w:rsidR="00931CC1" w:rsidRPr="00A32897" w14:paraId="1E69E268" w14:textId="77777777" w:rsidTr="005047C7">
        <w:tc>
          <w:tcPr>
            <w:tcW w:w="1696" w:type="dxa"/>
          </w:tcPr>
          <w:p w14:paraId="702E8054"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42FE0F13"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1103228</w:t>
            </w:r>
          </w:p>
        </w:tc>
        <w:tc>
          <w:tcPr>
            <w:tcW w:w="3402" w:type="dxa"/>
          </w:tcPr>
          <w:p w14:paraId="27952FC9"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Population, Health and Nutrition [PHN] – Tropical Disease Research [TDR] Files – Background Materials for Bank Participation in Tropical Disease Research</w:t>
            </w:r>
          </w:p>
        </w:tc>
        <w:tc>
          <w:tcPr>
            <w:tcW w:w="2552" w:type="dxa"/>
          </w:tcPr>
          <w:p w14:paraId="2156EA5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4 July 1979 – 15 March 1982</w:t>
            </w:r>
          </w:p>
        </w:tc>
      </w:tr>
      <w:tr w:rsidR="00931CC1" w:rsidRPr="00A32897" w14:paraId="37066BB0" w14:textId="77777777" w:rsidTr="005047C7">
        <w:tc>
          <w:tcPr>
            <w:tcW w:w="1696" w:type="dxa"/>
          </w:tcPr>
          <w:p w14:paraId="5F1F637B"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52384C42"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1103301</w:t>
            </w:r>
          </w:p>
        </w:tc>
        <w:tc>
          <w:tcPr>
            <w:tcW w:w="3402" w:type="dxa"/>
          </w:tcPr>
          <w:p w14:paraId="54D2735D"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budget – set</w:t>
            </w:r>
          </w:p>
        </w:tc>
        <w:tc>
          <w:tcPr>
            <w:tcW w:w="2552" w:type="dxa"/>
          </w:tcPr>
          <w:p w14:paraId="28A0AC80"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1982 – 31 December 1987</w:t>
            </w:r>
          </w:p>
        </w:tc>
      </w:tr>
      <w:tr w:rsidR="00931CC1" w:rsidRPr="00A32897" w14:paraId="164A617B" w14:textId="77777777" w:rsidTr="005047C7">
        <w:tc>
          <w:tcPr>
            <w:tcW w:w="1696" w:type="dxa"/>
          </w:tcPr>
          <w:p w14:paraId="0C5E19D4"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11119A28"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1103302</w:t>
            </w:r>
          </w:p>
        </w:tc>
        <w:tc>
          <w:tcPr>
            <w:tcW w:w="3402" w:type="dxa"/>
          </w:tcPr>
          <w:p w14:paraId="6B53B696"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chemotherapy – set</w:t>
            </w:r>
          </w:p>
        </w:tc>
        <w:tc>
          <w:tcPr>
            <w:tcW w:w="2552" w:type="dxa"/>
          </w:tcPr>
          <w:p w14:paraId="05909254"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1981 – 31 December 1983</w:t>
            </w:r>
          </w:p>
        </w:tc>
      </w:tr>
      <w:tr w:rsidR="00931CC1" w:rsidRPr="00A32897" w14:paraId="12654A51" w14:textId="77777777" w:rsidTr="005047C7">
        <w:tc>
          <w:tcPr>
            <w:tcW w:w="1696" w:type="dxa"/>
          </w:tcPr>
          <w:p w14:paraId="3E8A71AB"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6037799F"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1103428</w:t>
            </w:r>
          </w:p>
        </w:tc>
        <w:tc>
          <w:tcPr>
            <w:tcW w:w="3402" w:type="dxa"/>
          </w:tcPr>
          <w:p w14:paraId="4B41B40F"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 Volume 1</w:t>
            </w:r>
          </w:p>
        </w:tc>
        <w:tc>
          <w:tcPr>
            <w:tcW w:w="2552" w:type="dxa"/>
          </w:tcPr>
          <w:p w14:paraId="32A5817C"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1973 – 31 December 1983</w:t>
            </w:r>
          </w:p>
        </w:tc>
      </w:tr>
      <w:tr w:rsidR="00931CC1" w:rsidRPr="00A32897" w14:paraId="0FC46D20" w14:textId="77777777" w:rsidTr="005047C7">
        <w:tc>
          <w:tcPr>
            <w:tcW w:w="1696" w:type="dxa"/>
          </w:tcPr>
          <w:p w14:paraId="52E0B7D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11FA0967"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1170231</w:t>
            </w:r>
          </w:p>
        </w:tc>
        <w:tc>
          <w:tcPr>
            <w:tcW w:w="3402" w:type="dxa"/>
          </w:tcPr>
          <w:p w14:paraId="40477AC7"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Economic Development Advisory Panel (EDAP) Project – c(1-3),YR</w:t>
            </w:r>
          </w:p>
        </w:tc>
        <w:tc>
          <w:tcPr>
            <w:tcW w:w="2552" w:type="dxa"/>
          </w:tcPr>
          <w:p w14:paraId="113DED47"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t>
            </w:r>
          </w:p>
        </w:tc>
      </w:tr>
      <w:tr w:rsidR="00931CC1" w:rsidRPr="00A32897" w14:paraId="1A1000B5" w14:textId="77777777" w:rsidTr="005047C7">
        <w:tc>
          <w:tcPr>
            <w:tcW w:w="1696" w:type="dxa"/>
          </w:tcPr>
          <w:p w14:paraId="7D9B1E2B"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42E144A4"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1300642</w:t>
            </w:r>
          </w:p>
        </w:tc>
        <w:tc>
          <w:tcPr>
            <w:tcW w:w="3402" w:type="dxa"/>
          </w:tcPr>
          <w:p w14:paraId="57132C81"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Control Programme – Donor Countries – January/December 1982</w:t>
            </w:r>
          </w:p>
        </w:tc>
        <w:tc>
          <w:tcPr>
            <w:tcW w:w="2552" w:type="dxa"/>
          </w:tcPr>
          <w:p w14:paraId="159F4468"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1982 – 31 December 1982</w:t>
            </w:r>
          </w:p>
        </w:tc>
      </w:tr>
      <w:tr w:rsidR="00931CC1" w:rsidRPr="00A32897" w14:paraId="11A852B2" w14:textId="77777777" w:rsidTr="005047C7">
        <w:tc>
          <w:tcPr>
            <w:tcW w:w="1696" w:type="dxa"/>
          </w:tcPr>
          <w:p w14:paraId="72F7D8B2"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294126AB"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1300655</w:t>
            </w:r>
          </w:p>
        </w:tc>
        <w:tc>
          <w:tcPr>
            <w:tcW w:w="3402" w:type="dxa"/>
          </w:tcPr>
          <w:p w14:paraId="4375274B"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 National Onchocerciasis Committees [NOC] – Lome – June 1983</w:t>
            </w:r>
          </w:p>
        </w:tc>
        <w:tc>
          <w:tcPr>
            <w:tcW w:w="2552" w:type="dxa"/>
          </w:tcPr>
          <w:p w14:paraId="0071326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7 June 1983 – 9 June 1983</w:t>
            </w:r>
          </w:p>
        </w:tc>
      </w:tr>
      <w:tr w:rsidR="00931CC1" w:rsidRPr="00A32897" w14:paraId="286C5DA6" w14:textId="77777777" w:rsidTr="005047C7">
        <w:tc>
          <w:tcPr>
            <w:tcW w:w="1696" w:type="dxa"/>
          </w:tcPr>
          <w:p w14:paraId="01793B01"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22D94728"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1300656</w:t>
            </w:r>
          </w:p>
          <w:p w14:paraId="048B84B1" w14:textId="77777777" w:rsidR="00931CC1" w:rsidRPr="00A32897" w:rsidRDefault="00931CC1" w:rsidP="005047C7">
            <w:pPr>
              <w:rPr>
                <w:rFonts w:ascii="Calibri" w:hAnsi="Calibri" w:cs="Calibri"/>
                <w:sz w:val="22"/>
                <w:szCs w:val="22"/>
              </w:rPr>
            </w:pPr>
          </w:p>
          <w:p w14:paraId="776E35A4" w14:textId="77777777" w:rsidR="00931CC1" w:rsidRPr="00A32897" w:rsidRDefault="00931CC1" w:rsidP="005047C7">
            <w:pPr>
              <w:jc w:val="center"/>
              <w:rPr>
                <w:rFonts w:ascii="Calibri" w:hAnsi="Calibri" w:cs="Calibri"/>
                <w:sz w:val="22"/>
                <w:szCs w:val="22"/>
              </w:rPr>
            </w:pPr>
          </w:p>
        </w:tc>
        <w:tc>
          <w:tcPr>
            <w:tcW w:w="3402" w:type="dxa"/>
          </w:tcPr>
          <w:p w14:paraId="5A0CCF62"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 xml:space="preserve">Onchocerciasis – World Health Organization [WHO] – Working Group of National Experts on </w:t>
            </w:r>
            <w:r w:rsidRPr="00A32897">
              <w:rPr>
                <w:rFonts w:ascii="Calibri" w:hAnsi="Calibri" w:cs="Calibri"/>
                <w:sz w:val="22"/>
                <w:szCs w:val="22"/>
              </w:rPr>
              <w:lastRenderedPageBreak/>
              <w:t>Devolution – Synthesis Report – April 1984</w:t>
            </w:r>
          </w:p>
        </w:tc>
        <w:tc>
          <w:tcPr>
            <w:tcW w:w="2552" w:type="dxa"/>
          </w:tcPr>
          <w:p w14:paraId="387CD7B7"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lastRenderedPageBreak/>
              <w:t>24 April 1984 – 25 May 1984</w:t>
            </w:r>
          </w:p>
        </w:tc>
      </w:tr>
      <w:tr w:rsidR="00931CC1" w:rsidRPr="00A32897" w14:paraId="7D537780" w14:textId="77777777" w:rsidTr="005047C7">
        <w:tc>
          <w:tcPr>
            <w:tcW w:w="1696" w:type="dxa"/>
          </w:tcPr>
          <w:p w14:paraId="60517ECC"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317A3B9E"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1300642</w:t>
            </w:r>
          </w:p>
        </w:tc>
        <w:tc>
          <w:tcPr>
            <w:tcW w:w="3402" w:type="dxa"/>
          </w:tcPr>
          <w:p w14:paraId="394DD844"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Donor Countries – 2v</w:t>
            </w:r>
          </w:p>
        </w:tc>
        <w:tc>
          <w:tcPr>
            <w:tcW w:w="2552" w:type="dxa"/>
          </w:tcPr>
          <w:p w14:paraId="7A6E878F"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1982 – 31 December 1983</w:t>
            </w:r>
          </w:p>
        </w:tc>
      </w:tr>
      <w:tr w:rsidR="00931CC1" w:rsidRPr="00A32897" w14:paraId="414129BE" w14:textId="77777777" w:rsidTr="005047C7">
        <w:tc>
          <w:tcPr>
            <w:tcW w:w="1696" w:type="dxa"/>
          </w:tcPr>
          <w:p w14:paraId="061C61C4"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09DF3DD9"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1300644</w:t>
            </w:r>
          </w:p>
        </w:tc>
        <w:tc>
          <w:tcPr>
            <w:tcW w:w="3402" w:type="dxa"/>
          </w:tcPr>
          <w:p w14:paraId="545476A9"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Socio Economic Development – 1v</w:t>
            </w:r>
          </w:p>
        </w:tc>
        <w:tc>
          <w:tcPr>
            <w:tcW w:w="2552" w:type="dxa"/>
          </w:tcPr>
          <w:p w14:paraId="47592083"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1974 – 31 December 1978</w:t>
            </w:r>
          </w:p>
        </w:tc>
      </w:tr>
      <w:tr w:rsidR="00931CC1" w:rsidRPr="00A32897" w14:paraId="2DD70CF9" w14:textId="77777777" w:rsidTr="005047C7">
        <w:tc>
          <w:tcPr>
            <w:tcW w:w="1696" w:type="dxa"/>
          </w:tcPr>
          <w:p w14:paraId="7BEB23E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06CE4D5D"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1300662</w:t>
            </w:r>
          </w:p>
        </w:tc>
        <w:tc>
          <w:tcPr>
            <w:tcW w:w="3402" w:type="dxa"/>
          </w:tcPr>
          <w:p w14:paraId="337A8B7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Socio Economic Development – 4v</w:t>
            </w:r>
          </w:p>
        </w:tc>
        <w:tc>
          <w:tcPr>
            <w:tcW w:w="2552" w:type="dxa"/>
          </w:tcPr>
          <w:p w14:paraId="7F45A4F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1973 – 31 December 1986</w:t>
            </w:r>
          </w:p>
        </w:tc>
      </w:tr>
      <w:tr w:rsidR="00931CC1" w:rsidRPr="00A32897" w14:paraId="1EA13480" w14:textId="77777777" w:rsidTr="005047C7">
        <w:tc>
          <w:tcPr>
            <w:tcW w:w="1696" w:type="dxa"/>
          </w:tcPr>
          <w:p w14:paraId="2E197391"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2173439D"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1300663</w:t>
            </w:r>
          </w:p>
        </w:tc>
        <w:tc>
          <w:tcPr>
            <w:tcW w:w="3402" w:type="dxa"/>
          </w:tcPr>
          <w:p w14:paraId="5DF5B1E1"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Preparatory Phase Work Program for Socio Economic Development – 1v</w:t>
            </w:r>
          </w:p>
        </w:tc>
        <w:tc>
          <w:tcPr>
            <w:tcW w:w="2552" w:type="dxa"/>
          </w:tcPr>
          <w:p w14:paraId="35B5E865"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1985 – 31 December 1989</w:t>
            </w:r>
          </w:p>
        </w:tc>
      </w:tr>
      <w:tr w:rsidR="00931CC1" w:rsidRPr="00A32897" w14:paraId="3DF058EF" w14:textId="77777777" w:rsidTr="005047C7">
        <w:tc>
          <w:tcPr>
            <w:tcW w:w="1696" w:type="dxa"/>
          </w:tcPr>
          <w:p w14:paraId="2967C2C1"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0CA73F0E"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1300664</w:t>
            </w:r>
          </w:p>
        </w:tc>
        <w:tc>
          <w:tcPr>
            <w:tcW w:w="3402" w:type="dxa"/>
          </w:tcPr>
          <w:p w14:paraId="072AC6D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Socio Economic Development Chron File – 1v</w:t>
            </w:r>
          </w:p>
        </w:tc>
        <w:tc>
          <w:tcPr>
            <w:tcW w:w="2552" w:type="dxa"/>
          </w:tcPr>
          <w:p w14:paraId="0F1BF0C4"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1987 – 31 December 1990</w:t>
            </w:r>
          </w:p>
        </w:tc>
      </w:tr>
      <w:tr w:rsidR="00931CC1" w:rsidRPr="00A32897" w14:paraId="24ABF72D" w14:textId="77777777" w:rsidTr="005047C7">
        <w:tc>
          <w:tcPr>
            <w:tcW w:w="1696" w:type="dxa"/>
          </w:tcPr>
          <w:p w14:paraId="48909879"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6E363704"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1300674</w:t>
            </w:r>
          </w:p>
        </w:tc>
        <w:tc>
          <w:tcPr>
            <w:tcW w:w="3402" w:type="dxa"/>
          </w:tcPr>
          <w:p w14:paraId="30E98539"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Control Programme: Donors Meetings – 2v</w:t>
            </w:r>
          </w:p>
        </w:tc>
        <w:tc>
          <w:tcPr>
            <w:tcW w:w="2552" w:type="dxa"/>
          </w:tcPr>
          <w:p w14:paraId="09A89D6C"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1979 – 31 December 1989</w:t>
            </w:r>
          </w:p>
        </w:tc>
      </w:tr>
      <w:tr w:rsidR="00931CC1" w:rsidRPr="00A32897" w14:paraId="1EFDA4F7" w14:textId="77777777" w:rsidTr="005047C7">
        <w:tc>
          <w:tcPr>
            <w:tcW w:w="1696" w:type="dxa"/>
          </w:tcPr>
          <w:p w14:paraId="74364300"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60B5460B"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1300677</w:t>
            </w:r>
          </w:p>
        </w:tc>
        <w:tc>
          <w:tcPr>
            <w:tcW w:w="3402" w:type="dxa"/>
          </w:tcPr>
          <w:p w14:paraId="254CF554"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Control Programme: Chemotherapy Project – 1v</w:t>
            </w:r>
          </w:p>
        </w:tc>
        <w:tc>
          <w:tcPr>
            <w:tcW w:w="2552" w:type="dxa"/>
          </w:tcPr>
          <w:p w14:paraId="146C6F7C"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1983 – 31 December 1990</w:t>
            </w:r>
          </w:p>
        </w:tc>
      </w:tr>
      <w:tr w:rsidR="00931CC1" w:rsidRPr="00A32897" w14:paraId="29C44646" w14:textId="77777777" w:rsidTr="005047C7">
        <w:tc>
          <w:tcPr>
            <w:tcW w:w="1696" w:type="dxa"/>
          </w:tcPr>
          <w:p w14:paraId="03AE650F"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5467B54F"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1300678</w:t>
            </w:r>
          </w:p>
        </w:tc>
        <w:tc>
          <w:tcPr>
            <w:tcW w:w="3402" w:type="dxa"/>
          </w:tcPr>
          <w:p w14:paraId="29A36EC5"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Control Programme; Devolution 23 – 1v</w:t>
            </w:r>
          </w:p>
        </w:tc>
        <w:tc>
          <w:tcPr>
            <w:tcW w:w="2552" w:type="dxa"/>
          </w:tcPr>
          <w:p w14:paraId="7DDD3196"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1988 – 31 December 1990</w:t>
            </w:r>
          </w:p>
        </w:tc>
      </w:tr>
      <w:tr w:rsidR="00931CC1" w:rsidRPr="00A32897" w14:paraId="3A1E1592" w14:textId="77777777" w:rsidTr="005047C7">
        <w:tc>
          <w:tcPr>
            <w:tcW w:w="1696" w:type="dxa"/>
          </w:tcPr>
          <w:p w14:paraId="69C8ABC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527365B5"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1300679</w:t>
            </w:r>
          </w:p>
        </w:tc>
        <w:tc>
          <w:tcPr>
            <w:tcW w:w="3402" w:type="dxa"/>
          </w:tcPr>
          <w:p w14:paraId="3011BE3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Control Programme: Devolution Participating Countries Correspondence – 1v</w:t>
            </w:r>
          </w:p>
        </w:tc>
        <w:tc>
          <w:tcPr>
            <w:tcW w:w="2552" w:type="dxa"/>
          </w:tcPr>
          <w:p w14:paraId="33BB7902"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1986 – 31 December 1991</w:t>
            </w:r>
          </w:p>
        </w:tc>
      </w:tr>
      <w:tr w:rsidR="00931CC1" w:rsidRPr="00A32897" w14:paraId="35130DCE" w14:textId="77777777" w:rsidTr="005047C7">
        <w:tc>
          <w:tcPr>
            <w:tcW w:w="1696" w:type="dxa"/>
          </w:tcPr>
          <w:p w14:paraId="2F2E65B2"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22002778"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1300687</w:t>
            </w:r>
          </w:p>
        </w:tc>
        <w:tc>
          <w:tcPr>
            <w:tcW w:w="3402" w:type="dxa"/>
          </w:tcPr>
          <w:p w14:paraId="7AF6FD35"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 xml:space="preserve">Onchocerciasis Control Programme: Press Clippings Prior to 1984 Publicity – 1v </w:t>
            </w:r>
          </w:p>
        </w:tc>
        <w:tc>
          <w:tcPr>
            <w:tcW w:w="2552" w:type="dxa"/>
          </w:tcPr>
          <w:p w14:paraId="705CD98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1974 – 31 December 1984</w:t>
            </w:r>
          </w:p>
        </w:tc>
      </w:tr>
      <w:tr w:rsidR="00931CC1" w:rsidRPr="00A32897" w14:paraId="5B3A8618" w14:textId="77777777" w:rsidTr="005047C7">
        <w:tc>
          <w:tcPr>
            <w:tcW w:w="1696" w:type="dxa"/>
          </w:tcPr>
          <w:p w14:paraId="37055CFF"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63CD6F36"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1300688</w:t>
            </w:r>
          </w:p>
        </w:tc>
        <w:tc>
          <w:tcPr>
            <w:tcW w:w="3402" w:type="dxa"/>
          </w:tcPr>
          <w:p w14:paraId="5B305CE2"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Control Programme: Press Releases, Communication with Media, IPA Reports, Film – 1v</w:t>
            </w:r>
          </w:p>
        </w:tc>
        <w:tc>
          <w:tcPr>
            <w:tcW w:w="2552" w:type="dxa"/>
          </w:tcPr>
          <w:p w14:paraId="69682403"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1983 – 31 December 1987</w:t>
            </w:r>
          </w:p>
        </w:tc>
      </w:tr>
      <w:tr w:rsidR="00931CC1" w:rsidRPr="00A32897" w14:paraId="35C284D4" w14:textId="77777777" w:rsidTr="005047C7">
        <w:tc>
          <w:tcPr>
            <w:tcW w:w="1696" w:type="dxa"/>
          </w:tcPr>
          <w:p w14:paraId="6F371BFC"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30398783"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1428489</w:t>
            </w:r>
          </w:p>
        </w:tc>
        <w:tc>
          <w:tcPr>
            <w:tcW w:w="3402" w:type="dxa"/>
          </w:tcPr>
          <w:p w14:paraId="2A1074E6"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Donor’s Conference Of The Onchocerciasis Control Programme – 1v</w:t>
            </w:r>
          </w:p>
        </w:tc>
        <w:tc>
          <w:tcPr>
            <w:tcW w:w="2552" w:type="dxa"/>
          </w:tcPr>
          <w:p w14:paraId="546159E5"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November 1994 – 31 December 1994</w:t>
            </w:r>
          </w:p>
        </w:tc>
      </w:tr>
      <w:tr w:rsidR="00931CC1" w:rsidRPr="00A32897" w14:paraId="22E58EB9" w14:textId="77777777" w:rsidTr="005047C7">
        <w:tc>
          <w:tcPr>
            <w:tcW w:w="1696" w:type="dxa"/>
          </w:tcPr>
          <w:p w14:paraId="026E7C4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63A37428"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1434979</w:t>
            </w:r>
          </w:p>
        </w:tc>
        <w:tc>
          <w:tcPr>
            <w:tcW w:w="3402" w:type="dxa"/>
          </w:tcPr>
          <w:p w14:paraId="10AC08BD"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Consultative Group – Onchocerciasis Control – 1v</w:t>
            </w:r>
          </w:p>
        </w:tc>
        <w:tc>
          <w:tcPr>
            <w:tcW w:w="2552" w:type="dxa"/>
          </w:tcPr>
          <w:p w14:paraId="32D7FBD9"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1973 – 31 December 1980</w:t>
            </w:r>
          </w:p>
        </w:tc>
      </w:tr>
      <w:tr w:rsidR="00931CC1" w:rsidRPr="00A32897" w14:paraId="2C6A15EE" w14:textId="77777777" w:rsidTr="005047C7">
        <w:tc>
          <w:tcPr>
            <w:tcW w:w="1696" w:type="dxa"/>
          </w:tcPr>
          <w:p w14:paraId="5BA10F58"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4CD68F64"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1438752</w:t>
            </w:r>
          </w:p>
        </w:tc>
        <w:tc>
          <w:tcPr>
            <w:tcW w:w="3402" w:type="dxa"/>
          </w:tcPr>
          <w:p w14:paraId="5E47C2CC"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RAF/79/008 – African River Blindness – Onchocerciasis</w:t>
            </w:r>
          </w:p>
        </w:tc>
        <w:tc>
          <w:tcPr>
            <w:tcW w:w="2552" w:type="dxa"/>
          </w:tcPr>
          <w:p w14:paraId="0208F34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March 1974 – 18 January 1989</w:t>
            </w:r>
          </w:p>
        </w:tc>
      </w:tr>
      <w:tr w:rsidR="00931CC1" w:rsidRPr="00A32897" w14:paraId="2BFE209C" w14:textId="77777777" w:rsidTr="005047C7">
        <w:tc>
          <w:tcPr>
            <w:tcW w:w="1696" w:type="dxa"/>
          </w:tcPr>
          <w:p w14:paraId="7CD82034"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0A586C72"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1633229</w:t>
            </w:r>
          </w:p>
        </w:tc>
        <w:tc>
          <w:tcPr>
            <w:tcW w:w="3402" w:type="dxa"/>
          </w:tcPr>
          <w:p w14:paraId="7D450722"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Claused Papers – World Health Organization [WHO] – Correspondence – Volume 1</w:t>
            </w:r>
          </w:p>
        </w:tc>
        <w:tc>
          <w:tcPr>
            <w:tcW w:w="2552" w:type="dxa"/>
          </w:tcPr>
          <w:p w14:paraId="5C2FAC9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4 August 1982 – 16 July 1985</w:t>
            </w:r>
          </w:p>
        </w:tc>
      </w:tr>
      <w:tr w:rsidR="00931CC1" w:rsidRPr="00A32897" w14:paraId="2EF233CE" w14:textId="77777777" w:rsidTr="005047C7">
        <w:tc>
          <w:tcPr>
            <w:tcW w:w="1696" w:type="dxa"/>
          </w:tcPr>
          <w:p w14:paraId="4F35DA23"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5FFE45E8"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1772444</w:t>
            </w:r>
          </w:p>
        </w:tc>
        <w:tc>
          <w:tcPr>
            <w:tcW w:w="3402" w:type="dxa"/>
          </w:tcPr>
          <w:p w14:paraId="38CCC347"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Robert S. McNamara Statements/Speeches – Statements 08</w:t>
            </w:r>
          </w:p>
        </w:tc>
        <w:tc>
          <w:tcPr>
            <w:tcW w:w="2552" w:type="dxa"/>
          </w:tcPr>
          <w:p w14:paraId="226C4726"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1975</w:t>
            </w:r>
          </w:p>
        </w:tc>
      </w:tr>
      <w:tr w:rsidR="00931CC1" w:rsidRPr="00A32897" w14:paraId="12BDD044" w14:textId="77777777" w:rsidTr="005047C7">
        <w:tc>
          <w:tcPr>
            <w:tcW w:w="1696" w:type="dxa"/>
          </w:tcPr>
          <w:p w14:paraId="1CBA25C1"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2C470E45"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1864992</w:t>
            </w:r>
          </w:p>
        </w:tc>
        <w:tc>
          <w:tcPr>
            <w:tcW w:w="3402" w:type="dxa"/>
          </w:tcPr>
          <w:p w14:paraId="3CFB2689"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Control Programme [OCP] – Donors - General</w:t>
            </w:r>
          </w:p>
        </w:tc>
        <w:tc>
          <w:tcPr>
            <w:tcW w:w="2552" w:type="dxa"/>
          </w:tcPr>
          <w:p w14:paraId="0A023BD3"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3 October 1989 – 3 March 2002</w:t>
            </w:r>
          </w:p>
        </w:tc>
      </w:tr>
      <w:tr w:rsidR="00931CC1" w:rsidRPr="00A32897" w14:paraId="56FAC7A8" w14:textId="77777777" w:rsidTr="005047C7">
        <w:tc>
          <w:tcPr>
            <w:tcW w:w="1696" w:type="dxa"/>
          </w:tcPr>
          <w:p w14:paraId="16EB868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64951AB2"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1865076</w:t>
            </w:r>
          </w:p>
        </w:tc>
        <w:tc>
          <w:tcPr>
            <w:tcW w:w="3402" w:type="dxa"/>
          </w:tcPr>
          <w:p w14:paraId="472E1234"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Control Programme [OCP] – Participating Countries – Benin – Devolution – Correspondence</w:t>
            </w:r>
          </w:p>
        </w:tc>
        <w:tc>
          <w:tcPr>
            <w:tcW w:w="2552" w:type="dxa"/>
          </w:tcPr>
          <w:p w14:paraId="4D7D322D"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September 1990 – 18 December 1995</w:t>
            </w:r>
          </w:p>
        </w:tc>
      </w:tr>
      <w:tr w:rsidR="00931CC1" w:rsidRPr="00A32897" w14:paraId="3872E365" w14:textId="77777777" w:rsidTr="005047C7">
        <w:tc>
          <w:tcPr>
            <w:tcW w:w="1696" w:type="dxa"/>
          </w:tcPr>
          <w:p w14:paraId="6DCA53AB"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lastRenderedPageBreak/>
              <w:t>WBGA</w:t>
            </w:r>
          </w:p>
        </w:tc>
        <w:tc>
          <w:tcPr>
            <w:tcW w:w="1701" w:type="dxa"/>
          </w:tcPr>
          <w:p w14:paraId="05F8A695"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1865309</w:t>
            </w:r>
          </w:p>
        </w:tc>
        <w:tc>
          <w:tcPr>
            <w:tcW w:w="3402" w:type="dxa"/>
          </w:tcPr>
          <w:p w14:paraId="2F1B657E"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15 Vols, Legals Documents for Programme Phases Files, From OCP Plan to OCP Business Plan</w:t>
            </w:r>
          </w:p>
        </w:tc>
        <w:tc>
          <w:tcPr>
            <w:tcW w:w="2552" w:type="dxa"/>
          </w:tcPr>
          <w:p w14:paraId="49115190"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1992 – 31 December 2002</w:t>
            </w:r>
          </w:p>
        </w:tc>
      </w:tr>
      <w:tr w:rsidR="00931CC1" w:rsidRPr="00A32897" w14:paraId="70143BD1" w14:textId="77777777" w:rsidTr="005047C7">
        <w:tc>
          <w:tcPr>
            <w:tcW w:w="1696" w:type="dxa"/>
          </w:tcPr>
          <w:p w14:paraId="2A8A6A9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1B28E978"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1865310</w:t>
            </w:r>
          </w:p>
        </w:tc>
        <w:tc>
          <w:tcPr>
            <w:tcW w:w="3402" w:type="dxa"/>
          </w:tcPr>
          <w:p w14:paraId="0B9171AB"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08 Vols, Legal Documents for Programme Phases Files, From OCP Business Plan to  Planning of APOC</w:t>
            </w:r>
          </w:p>
        </w:tc>
        <w:tc>
          <w:tcPr>
            <w:tcW w:w="2552" w:type="dxa"/>
          </w:tcPr>
          <w:p w14:paraId="65C27520"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1996 – 31 December 2001</w:t>
            </w:r>
          </w:p>
        </w:tc>
      </w:tr>
      <w:tr w:rsidR="00931CC1" w:rsidRPr="00A32897" w14:paraId="6549D018" w14:textId="77777777" w:rsidTr="005047C7">
        <w:tc>
          <w:tcPr>
            <w:tcW w:w="1696" w:type="dxa"/>
          </w:tcPr>
          <w:p w14:paraId="5347B00B"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00397E3A"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1865456</w:t>
            </w:r>
          </w:p>
        </w:tc>
        <w:tc>
          <w:tcPr>
            <w:tcW w:w="3402" w:type="dxa"/>
          </w:tcPr>
          <w:p w14:paraId="38AC1D96"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13 Vols, Expert Advisory Committee Files, From EAC General to EAC 9thMeeting</w:t>
            </w:r>
          </w:p>
        </w:tc>
        <w:tc>
          <w:tcPr>
            <w:tcW w:w="2552" w:type="dxa"/>
          </w:tcPr>
          <w:p w14:paraId="3DF7C4E8"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1982 – 31 December 1996</w:t>
            </w:r>
          </w:p>
        </w:tc>
      </w:tr>
      <w:tr w:rsidR="00931CC1" w:rsidRPr="00A32897" w14:paraId="664B313A" w14:textId="77777777" w:rsidTr="005047C7">
        <w:tc>
          <w:tcPr>
            <w:tcW w:w="1696" w:type="dxa"/>
          </w:tcPr>
          <w:p w14:paraId="5BC1246D"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1B9F3F2B"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1865707</w:t>
            </w:r>
          </w:p>
        </w:tc>
        <w:tc>
          <w:tcPr>
            <w:tcW w:w="3402" w:type="dxa"/>
          </w:tcPr>
          <w:p w14:paraId="474718BB"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20 Vols, Committee of Sponsoring Agencies Files, From CSA 55</w:t>
            </w:r>
            <w:r w:rsidRPr="00A32897">
              <w:rPr>
                <w:rFonts w:ascii="Calibri" w:hAnsi="Calibri" w:cs="Calibri"/>
                <w:sz w:val="22"/>
                <w:szCs w:val="22"/>
                <w:vertAlign w:val="superscript"/>
              </w:rPr>
              <w:t>th</w:t>
            </w:r>
            <w:r w:rsidRPr="00A32897">
              <w:rPr>
                <w:rFonts w:ascii="Calibri" w:hAnsi="Calibri" w:cs="Calibri"/>
                <w:sz w:val="22"/>
                <w:szCs w:val="22"/>
              </w:rPr>
              <w:t xml:space="preserve"> Meetings to CSA 74</w:t>
            </w:r>
            <w:r w:rsidRPr="00A32897">
              <w:rPr>
                <w:rFonts w:ascii="Calibri" w:hAnsi="Calibri" w:cs="Calibri"/>
                <w:sz w:val="22"/>
                <w:szCs w:val="22"/>
                <w:vertAlign w:val="superscript"/>
              </w:rPr>
              <w:t>th</w:t>
            </w:r>
            <w:r w:rsidRPr="00A32897">
              <w:rPr>
                <w:rFonts w:ascii="Calibri" w:hAnsi="Calibri" w:cs="Calibri"/>
                <w:sz w:val="22"/>
                <w:szCs w:val="22"/>
              </w:rPr>
              <w:t xml:space="preserve"> Meeting</w:t>
            </w:r>
          </w:p>
        </w:tc>
        <w:tc>
          <w:tcPr>
            <w:tcW w:w="2552" w:type="dxa"/>
          </w:tcPr>
          <w:p w14:paraId="0D8C9C0C"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1993 – 31 December 1997</w:t>
            </w:r>
          </w:p>
        </w:tc>
      </w:tr>
      <w:tr w:rsidR="00931CC1" w:rsidRPr="00A32897" w14:paraId="31A1ED47" w14:textId="77777777" w:rsidTr="005047C7">
        <w:tc>
          <w:tcPr>
            <w:tcW w:w="1696" w:type="dxa"/>
          </w:tcPr>
          <w:p w14:paraId="6DAC791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0CAEBE07"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1870887</w:t>
            </w:r>
          </w:p>
        </w:tc>
        <w:tc>
          <w:tcPr>
            <w:tcW w:w="3402" w:type="dxa"/>
          </w:tcPr>
          <w:p w14:paraId="26BCD575"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Africa – River Blindness in Tropical Africa – Correspondence 1</w:t>
            </w:r>
          </w:p>
        </w:tc>
        <w:tc>
          <w:tcPr>
            <w:tcW w:w="2552" w:type="dxa"/>
          </w:tcPr>
          <w:p w14:paraId="3555A4D9"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December 1966 – 1 December 1967</w:t>
            </w:r>
          </w:p>
        </w:tc>
      </w:tr>
      <w:tr w:rsidR="00931CC1" w:rsidRPr="00A32897" w14:paraId="7EA51D0C" w14:textId="77777777" w:rsidTr="005047C7">
        <w:tc>
          <w:tcPr>
            <w:tcW w:w="1696" w:type="dxa"/>
          </w:tcPr>
          <w:p w14:paraId="2C188B78"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44AB49CB"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1870888</w:t>
            </w:r>
          </w:p>
        </w:tc>
        <w:tc>
          <w:tcPr>
            <w:tcW w:w="3402" w:type="dxa"/>
          </w:tcPr>
          <w:p w14:paraId="7A3ACA5B"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Africa – River Blindness in Tropical Africa – Correspondence 02</w:t>
            </w:r>
          </w:p>
        </w:tc>
        <w:tc>
          <w:tcPr>
            <w:tcW w:w="2552" w:type="dxa"/>
          </w:tcPr>
          <w:p w14:paraId="3C720E8D"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1968 – 31 December 1968</w:t>
            </w:r>
          </w:p>
        </w:tc>
      </w:tr>
      <w:tr w:rsidR="00931CC1" w:rsidRPr="00A32897" w14:paraId="4416F241" w14:textId="77777777" w:rsidTr="005047C7">
        <w:tc>
          <w:tcPr>
            <w:tcW w:w="1696" w:type="dxa"/>
          </w:tcPr>
          <w:p w14:paraId="1F584FCB"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19F9F118"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1870889</w:t>
            </w:r>
          </w:p>
        </w:tc>
        <w:tc>
          <w:tcPr>
            <w:tcW w:w="3402" w:type="dxa"/>
          </w:tcPr>
          <w:p w14:paraId="24A2F119"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Africa – River Blindness in Tropical Africa – Correspondence 69/71-01</w:t>
            </w:r>
          </w:p>
        </w:tc>
        <w:tc>
          <w:tcPr>
            <w:tcW w:w="2552" w:type="dxa"/>
          </w:tcPr>
          <w:p w14:paraId="1A081B95"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1969 – 31 December 1970</w:t>
            </w:r>
          </w:p>
        </w:tc>
      </w:tr>
      <w:tr w:rsidR="00931CC1" w:rsidRPr="00A32897" w14:paraId="3FDAE6FA" w14:textId="77777777" w:rsidTr="005047C7">
        <w:tc>
          <w:tcPr>
            <w:tcW w:w="1696" w:type="dxa"/>
          </w:tcPr>
          <w:p w14:paraId="3F587A42"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40571D3A"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1870890</w:t>
            </w:r>
          </w:p>
        </w:tc>
        <w:tc>
          <w:tcPr>
            <w:tcW w:w="3402" w:type="dxa"/>
          </w:tcPr>
          <w:p w14:paraId="69091F72"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Africa – River Blindness in Tropical Africa – Correspondence 69/71-02</w:t>
            </w:r>
          </w:p>
        </w:tc>
        <w:tc>
          <w:tcPr>
            <w:tcW w:w="2552" w:type="dxa"/>
          </w:tcPr>
          <w:p w14:paraId="1E084F67"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1971 – 31 December 1971</w:t>
            </w:r>
          </w:p>
        </w:tc>
      </w:tr>
      <w:tr w:rsidR="00931CC1" w:rsidRPr="00A32897" w14:paraId="31C1BCAE" w14:textId="77777777" w:rsidTr="005047C7">
        <w:tc>
          <w:tcPr>
            <w:tcW w:w="1696" w:type="dxa"/>
          </w:tcPr>
          <w:p w14:paraId="4BDBE660"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4E21DDBF"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3030429</w:t>
            </w:r>
          </w:p>
        </w:tc>
        <w:tc>
          <w:tcPr>
            <w:tcW w:w="3402" w:type="dxa"/>
          </w:tcPr>
          <w:p w14:paraId="0444BF4F"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Control Programme – Donor Countries – January/December 1983</w:t>
            </w:r>
          </w:p>
        </w:tc>
        <w:tc>
          <w:tcPr>
            <w:tcW w:w="2552" w:type="dxa"/>
          </w:tcPr>
          <w:p w14:paraId="5C6BE1C9"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1983 – 31 December 1983</w:t>
            </w:r>
          </w:p>
        </w:tc>
      </w:tr>
      <w:tr w:rsidR="00931CC1" w:rsidRPr="00A32897" w14:paraId="40DDC385" w14:textId="77777777" w:rsidTr="005047C7">
        <w:tc>
          <w:tcPr>
            <w:tcW w:w="1696" w:type="dxa"/>
          </w:tcPr>
          <w:p w14:paraId="772CD8C8"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0E857475"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10300662</w:t>
            </w:r>
          </w:p>
        </w:tc>
        <w:tc>
          <w:tcPr>
            <w:tcW w:w="3402" w:type="dxa"/>
          </w:tcPr>
          <w:p w14:paraId="30D17376"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 Socio Economic Development – Volume 1</w:t>
            </w:r>
          </w:p>
        </w:tc>
        <w:tc>
          <w:tcPr>
            <w:tcW w:w="2552" w:type="dxa"/>
          </w:tcPr>
          <w:p w14:paraId="6E47503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 xml:space="preserve">1973 – 1975 </w:t>
            </w:r>
          </w:p>
        </w:tc>
      </w:tr>
      <w:tr w:rsidR="00931CC1" w:rsidRPr="00A32897" w14:paraId="6ACAD93D" w14:textId="77777777" w:rsidTr="005047C7">
        <w:tc>
          <w:tcPr>
            <w:tcW w:w="1696" w:type="dxa"/>
          </w:tcPr>
          <w:p w14:paraId="16A2A84D"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791F436C"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30137006</w:t>
            </w:r>
          </w:p>
        </w:tc>
        <w:tc>
          <w:tcPr>
            <w:tcW w:w="3402" w:type="dxa"/>
          </w:tcPr>
          <w:p w14:paraId="3F6A81F1"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Briefings, Public/Private Partnership Files – Chemotherapy (for ONCHO) – African Programme for Onchocerciasis Control [APOC]</w:t>
            </w:r>
          </w:p>
        </w:tc>
        <w:tc>
          <w:tcPr>
            <w:tcW w:w="2552" w:type="dxa"/>
          </w:tcPr>
          <w:p w14:paraId="7407D031"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1988 – 5 June 1996</w:t>
            </w:r>
          </w:p>
        </w:tc>
      </w:tr>
      <w:tr w:rsidR="00931CC1" w:rsidRPr="00A32897" w14:paraId="698FFB87" w14:textId="77777777" w:rsidTr="00B06002">
        <w:trPr>
          <w:trHeight w:val="1397"/>
        </w:trPr>
        <w:tc>
          <w:tcPr>
            <w:tcW w:w="1696" w:type="dxa"/>
          </w:tcPr>
          <w:p w14:paraId="02FCF9AB"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3E02B604"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30137028</w:t>
            </w:r>
          </w:p>
        </w:tc>
        <w:tc>
          <w:tcPr>
            <w:tcW w:w="3402" w:type="dxa"/>
          </w:tcPr>
          <w:p w14:paraId="090D8755"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Briefings, Public/Private Partnership Files - Macrofil (External Review) - African Programme for Onchocerciasis Control [APOC]</w:t>
            </w:r>
          </w:p>
          <w:p w14:paraId="670D841F" w14:textId="77777777" w:rsidR="00931CC1" w:rsidRPr="00A32897" w:rsidRDefault="00931CC1" w:rsidP="005047C7">
            <w:pPr>
              <w:rPr>
                <w:rFonts w:ascii="Calibri" w:hAnsi="Calibri" w:cs="Calibri"/>
                <w:sz w:val="22"/>
                <w:szCs w:val="22"/>
              </w:rPr>
            </w:pPr>
          </w:p>
        </w:tc>
        <w:tc>
          <w:tcPr>
            <w:tcW w:w="2552" w:type="dxa"/>
          </w:tcPr>
          <w:p w14:paraId="0C92749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3 May 1988 – 28 September 1998</w:t>
            </w:r>
          </w:p>
        </w:tc>
      </w:tr>
      <w:tr w:rsidR="00931CC1" w:rsidRPr="00A32897" w14:paraId="05C668E1" w14:textId="77777777" w:rsidTr="005047C7">
        <w:tc>
          <w:tcPr>
            <w:tcW w:w="1696" w:type="dxa"/>
          </w:tcPr>
          <w:p w14:paraId="53B1641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575A0F2A"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30137063</w:t>
            </w:r>
          </w:p>
        </w:tc>
        <w:tc>
          <w:tcPr>
            <w:tcW w:w="3402" w:type="dxa"/>
          </w:tcPr>
          <w:p w14:paraId="3504904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 xml:space="preserve">Onchocerciasis – J.R. Evans – Volume 2 </w:t>
            </w:r>
          </w:p>
        </w:tc>
        <w:tc>
          <w:tcPr>
            <w:tcW w:w="2552" w:type="dxa"/>
          </w:tcPr>
          <w:p w14:paraId="0B20D635"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July 2 1980 – September 24 1981</w:t>
            </w:r>
          </w:p>
        </w:tc>
      </w:tr>
      <w:tr w:rsidR="00931CC1" w:rsidRPr="00A32897" w14:paraId="2D67DE32" w14:textId="77777777" w:rsidTr="005047C7">
        <w:tc>
          <w:tcPr>
            <w:tcW w:w="1696" w:type="dxa"/>
          </w:tcPr>
          <w:p w14:paraId="27B22701"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788F0BBB"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30137064</w:t>
            </w:r>
          </w:p>
        </w:tc>
        <w:tc>
          <w:tcPr>
            <w:tcW w:w="3402" w:type="dxa"/>
          </w:tcPr>
          <w:p w14:paraId="22C1F1E2"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 J.R. Evans – Volume 3</w:t>
            </w:r>
          </w:p>
        </w:tc>
        <w:tc>
          <w:tcPr>
            <w:tcW w:w="2552" w:type="dxa"/>
          </w:tcPr>
          <w:p w14:paraId="056922C7"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29 September 1981 – 12 August 1982</w:t>
            </w:r>
          </w:p>
        </w:tc>
      </w:tr>
      <w:tr w:rsidR="00931CC1" w:rsidRPr="00A32897" w14:paraId="5B602D38" w14:textId="77777777" w:rsidTr="005047C7">
        <w:tc>
          <w:tcPr>
            <w:tcW w:w="1696" w:type="dxa"/>
          </w:tcPr>
          <w:p w14:paraId="04C3FCF5"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6DCBFFD8"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30137065</w:t>
            </w:r>
          </w:p>
        </w:tc>
        <w:tc>
          <w:tcPr>
            <w:tcW w:w="3402" w:type="dxa"/>
          </w:tcPr>
          <w:p w14:paraId="4622EE31"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 Front Office – Volume 4</w:t>
            </w:r>
          </w:p>
        </w:tc>
        <w:tc>
          <w:tcPr>
            <w:tcW w:w="2552" w:type="dxa"/>
          </w:tcPr>
          <w:p w14:paraId="451896DB"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April 1982 – 21 October 1983</w:t>
            </w:r>
          </w:p>
        </w:tc>
      </w:tr>
      <w:tr w:rsidR="00931CC1" w:rsidRPr="00A32897" w14:paraId="097F648A" w14:textId="77777777" w:rsidTr="005047C7">
        <w:tc>
          <w:tcPr>
            <w:tcW w:w="1696" w:type="dxa"/>
          </w:tcPr>
          <w:p w14:paraId="13B39922"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6C067462"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30137183</w:t>
            </w:r>
          </w:p>
        </w:tc>
        <w:tc>
          <w:tcPr>
            <w:tcW w:w="3402" w:type="dxa"/>
          </w:tcPr>
          <w:p w14:paraId="4EABB4EF"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 Onchocerciasis Control Programme [OCP] – OCP/82.4 – Report on Onchocerciasis Chemotherapy – Project Working Group – 1982</w:t>
            </w:r>
          </w:p>
        </w:tc>
        <w:tc>
          <w:tcPr>
            <w:tcW w:w="2552" w:type="dxa"/>
          </w:tcPr>
          <w:p w14:paraId="2C490CD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June 1982 – 1 June 1982</w:t>
            </w:r>
          </w:p>
        </w:tc>
      </w:tr>
      <w:tr w:rsidR="00931CC1" w:rsidRPr="00A32897" w14:paraId="0CFCA133" w14:textId="77777777" w:rsidTr="005047C7">
        <w:tc>
          <w:tcPr>
            <w:tcW w:w="1696" w:type="dxa"/>
          </w:tcPr>
          <w:p w14:paraId="7740A4F9"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0605D00F"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30303429</w:t>
            </w:r>
          </w:p>
        </w:tc>
        <w:tc>
          <w:tcPr>
            <w:tcW w:w="3402" w:type="dxa"/>
          </w:tcPr>
          <w:p w14:paraId="280B7CA2"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Control Programme – Donor Countries – January/December 1983 – Volume 2</w:t>
            </w:r>
          </w:p>
        </w:tc>
        <w:tc>
          <w:tcPr>
            <w:tcW w:w="2552" w:type="dxa"/>
          </w:tcPr>
          <w:p w14:paraId="5BB91AA2"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1982 – 1989</w:t>
            </w:r>
          </w:p>
          <w:p w14:paraId="673F9323" w14:textId="77777777" w:rsidR="00931CC1" w:rsidRPr="00A32897" w:rsidRDefault="00931CC1" w:rsidP="005047C7">
            <w:pPr>
              <w:rPr>
                <w:rFonts w:ascii="Calibri" w:hAnsi="Calibri" w:cs="Calibri"/>
                <w:sz w:val="22"/>
                <w:szCs w:val="22"/>
              </w:rPr>
            </w:pPr>
          </w:p>
        </w:tc>
      </w:tr>
      <w:tr w:rsidR="00931CC1" w:rsidRPr="00A32897" w14:paraId="6449E289" w14:textId="77777777" w:rsidTr="005047C7">
        <w:tc>
          <w:tcPr>
            <w:tcW w:w="1696" w:type="dxa"/>
          </w:tcPr>
          <w:p w14:paraId="52C0E231"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lastRenderedPageBreak/>
              <w:t>WBGA</w:t>
            </w:r>
          </w:p>
        </w:tc>
        <w:tc>
          <w:tcPr>
            <w:tcW w:w="1701" w:type="dxa"/>
          </w:tcPr>
          <w:p w14:paraId="4CB24246"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30303435</w:t>
            </w:r>
          </w:p>
        </w:tc>
        <w:tc>
          <w:tcPr>
            <w:tcW w:w="3402" w:type="dxa"/>
          </w:tcPr>
          <w:p w14:paraId="6DA5546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Control Programme [OCP] – Participating Countries – Burkina Faso – Devolution – CORRESPONDENCE</w:t>
            </w:r>
          </w:p>
        </w:tc>
        <w:tc>
          <w:tcPr>
            <w:tcW w:w="2552" w:type="dxa"/>
          </w:tcPr>
          <w:p w14:paraId="7AA4504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 xml:space="preserve">1978 – 1992 </w:t>
            </w:r>
          </w:p>
          <w:p w14:paraId="0CA9AC76" w14:textId="77777777" w:rsidR="00931CC1" w:rsidRPr="00A32897" w:rsidRDefault="00931CC1" w:rsidP="005047C7">
            <w:pPr>
              <w:rPr>
                <w:rFonts w:ascii="Calibri" w:hAnsi="Calibri" w:cs="Calibri"/>
                <w:sz w:val="22"/>
                <w:szCs w:val="22"/>
              </w:rPr>
            </w:pPr>
          </w:p>
        </w:tc>
      </w:tr>
      <w:tr w:rsidR="00931CC1" w:rsidRPr="00A32897" w14:paraId="44EDDB72" w14:textId="77777777" w:rsidTr="005047C7">
        <w:tc>
          <w:tcPr>
            <w:tcW w:w="1696" w:type="dxa"/>
          </w:tcPr>
          <w:p w14:paraId="0184A067"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580A41D8"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30303452</w:t>
            </w:r>
          </w:p>
        </w:tc>
        <w:tc>
          <w:tcPr>
            <w:tcW w:w="3402" w:type="dxa"/>
          </w:tcPr>
          <w:p w14:paraId="1C8CDEAD"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Control Programme [OCP] – Donors: Letters and Telex Sent to All</w:t>
            </w:r>
          </w:p>
        </w:tc>
        <w:tc>
          <w:tcPr>
            <w:tcW w:w="2552" w:type="dxa"/>
          </w:tcPr>
          <w:p w14:paraId="634764AB"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 xml:space="preserve">1984 – 1991 </w:t>
            </w:r>
          </w:p>
        </w:tc>
      </w:tr>
      <w:tr w:rsidR="00931CC1" w:rsidRPr="00A32897" w14:paraId="1A25BECD" w14:textId="77777777" w:rsidTr="005047C7">
        <w:tc>
          <w:tcPr>
            <w:tcW w:w="1696" w:type="dxa"/>
          </w:tcPr>
          <w:p w14:paraId="740890C2"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07A65558"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30303453</w:t>
            </w:r>
          </w:p>
        </w:tc>
        <w:tc>
          <w:tcPr>
            <w:tcW w:w="3402" w:type="dxa"/>
          </w:tcPr>
          <w:p w14:paraId="1324D5FB"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Control Programme [OCP] – Donors - Austria</w:t>
            </w:r>
          </w:p>
        </w:tc>
        <w:tc>
          <w:tcPr>
            <w:tcW w:w="2552" w:type="dxa"/>
          </w:tcPr>
          <w:p w14:paraId="0731BCD4"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 xml:space="preserve">1985 – 1986 </w:t>
            </w:r>
          </w:p>
        </w:tc>
      </w:tr>
      <w:tr w:rsidR="00931CC1" w:rsidRPr="00A32897" w14:paraId="5BE788C3" w14:textId="77777777" w:rsidTr="005047C7">
        <w:tc>
          <w:tcPr>
            <w:tcW w:w="1696" w:type="dxa"/>
          </w:tcPr>
          <w:p w14:paraId="35157146"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12A76A1E"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30303456</w:t>
            </w:r>
          </w:p>
        </w:tc>
        <w:tc>
          <w:tcPr>
            <w:tcW w:w="3402" w:type="dxa"/>
          </w:tcPr>
          <w:p w14:paraId="3B9EB2A7"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Control Programme [OCP] – Donors: African Development Bank [AFDB]</w:t>
            </w:r>
          </w:p>
        </w:tc>
        <w:tc>
          <w:tcPr>
            <w:tcW w:w="2552" w:type="dxa"/>
          </w:tcPr>
          <w:p w14:paraId="52387B85"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 xml:space="preserve">1985 – 1988 </w:t>
            </w:r>
          </w:p>
        </w:tc>
      </w:tr>
      <w:tr w:rsidR="00931CC1" w:rsidRPr="00A32897" w14:paraId="7A128F72" w14:textId="77777777" w:rsidTr="005047C7">
        <w:tc>
          <w:tcPr>
            <w:tcW w:w="1696" w:type="dxa"/>
          </w:tcPr>
          <w:p w14:paraId="5C768CCF"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4B04D796"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30303467</w:t>
            </w:r>
          </w:p>
        </w:tc>
        <w:tc>
          <w:tcPr>
            <w:tcW w:w="3402" w:type="dxa"/>
          </w:tcPr>
          <w:p w14:paraId="13CF6F09"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Control Programme [OCP] – Donors – Denmark</w:t>
            </w:r>
          </w:p>
        </w:tc>
        <w:tc>
          <w:tcPr>
            <w:tcW w:w="2552" w:type="dxa"/>
          </w:tcPr>
          <w:p w14:paraId="17E36212"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 xml:space="preserve">1990 – 1995 </w:t>
            </w:r>
          </w:p>
          <w:p w14:paraId="0936100E" w14:textId="77777777" w:rsidR="00931CC1" w:rsidRPr="00A32897" w:rsidRDefault="00931CC1" w:rsidP="005047C7">
            <w:pPr>
              <w:rPr>
                <w:rFonts w:ascii="Calibri" w:hAnsi="Calibri" w:cs="Calibri"/>
                <w:sz w:val="22"/>
                <w:szCs w:val="22"/>
              </w:rPr>
            </w:pPr>
          </w:p>
        </w:tc>
      </w:tr>
      <w:tr w:rsidR="00931CC1" w:rsidRPr="00A32897" w14:paraId="0AD539E5" w14:textId="77777777" w:rsidTr="005047C7">
        <w:tc>
          <w:tcPr>
            <w:tcW w:w="1696" w:type="dxa"/>
          </w:tcPr>
          <w:p w14:paraId="3516089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29556726"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30304879</w:t>
            </w:r>
          </w:p>
        </w:tc>
        <w:tc>
          <w:tcPr>
            <w:tcW w:w="3402" w:type="dxa"/>
          </w:tcPr>
          <w:p w14:paraId="4C62D6CC"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Coordination Unit [OCU] - Publications</w:t>
            </w:r>
          </w:p>
        </w:tc>
        <w:tc>
          <w:tcPr>
            <w:tcW w:w="2552" w:type="dxa"/>
          </w:tcPr>
          <w:p w14:paraId="06D74095"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1982</w:t>
            </w:r>
          </w:p>
        </w:tc>
      </w:tr>
      <w:tr w:rsidR="00931CC1" w:rsidRPr="00A32897" w14:paraId="4AA81F7E" w14:textId="77777777" w:rsidTr="005047C7">
        <w:tc>
          <w:tcPr>
            <w:tcW w:w="1696" w:type="dxa"/>
          </w:tcPr>
          <w:p w14:paraId="311ACEA6"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6C768294"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30304880</w:t>
            </w:r>
          </w:p>
        </w:tc>
        <w:tc>
          <w:tcPr>
            <w:tcW w:w="3402" w:type="dxa"/>
          </w:tcPr>
          <w:p w14:paraId="197C6486"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Coordination Unit [OCU] – 1980 Publications</w:t>
            </w:r>
          </w:p>
        </w:tc>
        <w:tc>
          <w:tcPr>
            <w:tcW w:w="2552" w:type="dxa"/>
          </w:tcPr>
          <w:p w14:paraId="54292CC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1980</w:t>
            </w:r>
          </w:p>
        </w:tc>
      </w:tr>
      <w:tr w:rsidR="00931CC1" w:rsidRPr="00A32897" w14:paraId="077DEA72" w14:textId="77777777" w:rsidTr="005047C7">
        <w:tc>
          <w:tcPr>
            <w:tcW w:w="1696" w:type="dxa"/>
          </w:tcPr>
          <w:p w14:paraId="2ECD0402"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0A1F9566"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30304881</w:t>
            </w:r>
          </w:p>
        </w:tc>
        <w:tc>
          <w:tcPr>
            <w:tcW w:w="3402" w:type="dxa"/>
          </w:tcPr>
          <w:p w14:paraId="78B32745"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Coordination Unit [OCU] – 1982 Publications</w:t>
            </w:r>
          </w:p>
        </w:tc>
        <w:tc>
          <w:tcPr>
            <w:tcW w:w="2552" w:type="dxa"/>
          </w:tcPr>
          <w:p w14:paraId="0BF66B45"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1982</w:t>
            </w:r>
          </w:p>
        </w:tc>
      </w:tr>
      <w:tr w:rsidR="00931CC1" w:rsidRPr="00A32897" w14:paraId="30B46192" w14:textId="77777777" w:rsidTr="005047C7">
        <w:tc>
          <w:tcPr>
            <w:tcW w:w="1696" w:type="dxa"/>
          </w:tcPr>
          <w:p w14:paraId="0497C99F"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4E1E80B3"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30304882</w:t>
            </w:r>
          </w:p>
        </w:tc>
        <w:tc>
          <w:tcPr>
            <w:tcW w:w="3402" w:type="dxa"/>
          </w:tcPr>
          <w:p w14:paraId="033C25C1" w14:textId="06D86924"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Coordination Unit [OCU] – 1983 Publications</w:t>
            </w:r>
          </w:p>
        </w:tc>
        <w:tc>
          <w:tcPr>
            <w:tcW w:w="2552" w:type="dxa"/>
          </w:tcPr>
          <w:p w14:paraId="3580FE9B"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1983</w:t>
            </w:r>
          </w:p>
        </w:tc>
      </w:tr>
      <w:tr w:rsidR="00931CC1" w:rsidRPr="00A32897" w14:paraId="44C97834" w14:textId="77777777" w:rsidTr="005047C7">
        <w:tc>
          <w:tcPr>
            <w:tcW w:w="1696" w:type="dxa"/>
          </w:tcPr>
          <w:p w14:paraId="130FDFA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6304CE2E"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30304883</w:t>
            </w:r>
          </w:p>
        </w:tc>
        <w:tc>
          <w:tcPr>
            <w:tcW w:w="3402" w:type="dxa"/>
          </w:tcPr>
          <w:p w14:paraId="4A66AED9"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Coordination Unit [OCU] – 1984 Publications</w:t>
            </w:r>
          </w:p>
        </w:tc>
        <w:tc>
          <w:tcPr>
            <w:tcW w:w="2552" w:type="dxa"/>
          </w:tcPr>
          <w:p w14:paraId="604EA980"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1984</w:t>
            </w:r>
          </w:p>
        </w:tc>
      </w:tr>
      <w:tr w:rsidR="00931CC1" w:rsidRPr="00A32897" w14:paraId="643B2071" w14:textId="77777777" w:rsidTr="005047C7">
        <w:tc>
          <w:tcPr>
            <w:tcW w:w="1696" w:type="dxa"/>
          </w:tcPr>
          <w:p w14:paraId="00154187"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4A7F9B54"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30304886</w:t>
            </w:r>
          </w:p>
        </w:tc>
        <w:tc>
          <w:tcPr>
            <w:tcW w:w="3402" w:type="dxa"/>
          </w:tcPr>
          <w:p w14:paraId="1C76C3B4"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Coordination Unit [OCU] – 1985 Publications</w:t>
            </w:r>
          </w:p>
        </w:tc>
        <w:tc>
          <w:tcPr>
            <w:tcW w:w="2552" w:type="dxa"/>
          </w:tcPr>
          <w:p w14:paraId="133E9DDF"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1985</w:t>
            </w:r>
          </w:p>
        </w:tc>
      </w:tr>
      <w:tr w:rsidR="00931CC1" w:rsidRPr="00A32897" w14:paraId="1788BE86" w14:textId="77777777" w:rsidTr="005047C7">
        <w:tc>
          <w:tcPr>
            <w:tcW w:w="1696" w:type="dxa"/>
          </w:tcPr>
          <w:p w14:paraId="4B58843D"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1DD5F54C"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30304887</w:t>
            </w:r>
          </w:p>
        </w:tc>
        <w:tc>
          <w:tcPr>
            <w:tcW w:w="3402" w:type="dxa"/>
          </w:tcPr>
          <w:p w14:paraId="343035FC"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Coordination Unit [OCU] – 1986 Publications</w:t>
            </w:r>
          </w:p>
        </w:tc>
        <w:tc>
          <w:tcPr>
            <w:tcW w:w="2552" w:type="dxa"/>
          </w:tcPr>
          <w:p w14:paraId="3893C210"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1986</w:t>
            </w:r>
          </w:p>
        </w:tc>
      </w:tr>
      <w:tr w:rsidR="00931CC1" w:rsidRPr="00A32897" w14:paraId="644C494F" w14:textId="77777777" w:rsidTr="005047C7">
        <w:tc>
          <w:tcPr>
            <w:tcW w:w="1696" w:type="dxa"/>
          </w:tcPr>
          <w:p w14:paraId="7401E4E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07B87EE4"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30304889</w:t>
            </w:r>
          </w:p>
        </w:tc>
        <w:tc>
          <w:tcPr>
            <w:tcW w:w="3402" w:type="dxa"/>
          </w:tcPr>
          <w:p w14:paraId="4BE8B131"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Coordination Unit [OCU] – 1987 Publications</w:t>
            </w:r>
          </w:p>
        </w:tc>
        <w:tc>
          <w:tcPr>
            <w:tcW w:w="2552" w:type="dxa"/>
          </w:tcPr>
          <w:p w14:paraId="38E27FC4"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1987</w:t>
            </w:r>
          </w:p>
        </w:tc>
      </w:tr>
      <w:tr w:rsidR="00931CC1" w:rsidRPr="00A32897" w14:paraId="7241E893" w14:textId="77777777" w:rsidTr="005047C7">
        <w:tc>
          <w:tcPr>
            <w:tcW w:w="1696" w:type="dxa"/>
          </w:tcPr>
          <w:p w14:paraId="5DA543FF"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282E87D9"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30304890</w:t>
            </w:r>
          </w:p>
        </w:tc>
        <w:tc>
          <w:tcPr>
            <w:tcW w:w="3402" w:type="dxa"/>
          </w:tcPr>
          <w:p w14:paraId="1C1E4D20"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Coordination Unit [OCU] – 1988 Publications</w:t>
            </w:r>
          </w:p>
        </w:tc>
        <w:tc>
          <w:tcPr>
            <w:tcW w:w="2552" w:type="dxa"/>
          </w:tcPr>
          <w:p w14:paraId="51818E6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1988</w:t>
            </w:r>
          </w:p>
        </w:tc>
      </w:tr>
      <w:tr w:rsidR="00931CC1" w:rsidRPr="00A32897" w14:paraId="3A02E117" w14:textId="77777777" w:rsidTr="005047C7">
        <w:tc>
          <w:tcPr>
            <w:tcW w:w="1696" w:type="dxa"/>
          </w:tcPr>
          <w:p w14:paraId="65844EB4"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1FCC409C"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30304891</w:t>
            </w:r>
          </w:p>
        </w:tc>
        <w:tc>
          <w:tcPr>
            <w:tcW w:w="3402" w:type="dxa"/>
          </w:tcPr>
          <w:p w14:paraId="79D765C1"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Coordination Unit [OCU] – 1989 Publications</w:t>
            </w:r>
          </w:p>
        </w:tc>
        <w:tc>
          <w:tcPr>
            <w:tcW w:w="2552" w:type="dxa"/>
          </w:tcPr>
          <w:p w14:paraId="57678915"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1989</w:t>
            </w:r>
          </w:p>
        </w:tc>
      </w:tr>
      <w:tr w:rsidR="00931CC1" w:rsidRPr="00A32897" w14:paraId="245BCE5C" w14:textId="77777777" w:rsidTr="005047C7">
        <w:tc>
          <w:tcPr>
            <w:tcW w:w="1696" w:type="dxa"/>
          </w:tcPr>
          <w:p w14:paraId="1B820FD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67A76953"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30304898</w:t>
            </w:r>
          </w:p>
        </w:tc>
        <w:tc>
          <w:tcPr>
            <w:tcW w:w="3402" w:type="dxa"/>
          </w:tcPr>
          <w:p w14:paraId="1C807F67"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Coordination Unit [OCU] – 1990 Publications</w:t>
            </w:r>
          </w:p>
        </w:tc>
        <w:tc>
          <w:tcPr>
            <w:tcW w:w="2552" w:type="dxa"/>
          </w:tcPr>
          <w:p w14:paraId="08A45BA0"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1990</w:t>
            </w:r>
          </w:p>
        </w:tc>
      </w:tr>
      <w:tr w:rsidR="00931CC1" w:rsidRPr="00A32897" w14:paraId="12B24C22" w14:textId="77777777" w:rsidTr="005047C7">
        <w:tc>
          <w:tcPr>
            <w:tcW w:w="1696" w:type="dxa"/>
          </w:tcPr>
          <w:p w14:paraId="710872F7"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6C2F5BDF"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30304899</w:t>
            </w:r>
          </w:p>
        </w:tc>
        <w:tc>
          <w:tcPr>
            <w:tcW w:w="3402" w:type="dxa"/>
          </w:tcPr>
          <w:p w14:paraId="6FE47AD0"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Coordination Unit [OCU] – 1991 Publications</w:t>
            </w:r>
          </w:p>
        </w:tc>
        <w:tc>
          <w:tcPr>
            <w:tcW w:w="2552" w:type="dxa"/>
          </w:tcPr>
          <w:p w14:paraId="2B4860B2"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1991</w:t>
            </w:r>
          </w:p>
        </w:tc>
      </w:tr>
      <w:tr w:rsidR="00931CC1" w:rsidRPr="00A32897" w14:paraId="0FDD975E" w14:textId="77777777" w:rsidTr="005047C7">
        <w:tc>
          <w:tcPr>
            <w:tcW w:w="1696" w:type="dxa"/>
          </w:tcPr>
          <w:p w14:paraId="5D1F620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1801ABA6"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30304900</w:t>
            </w:r>
          </w:p>
        </w:tc>
        <w:tc>
          <w:tcPr>
            <w:tcW w:w="3402" w:type="dxa"/>
          </w:tcPr>
          <w:p w14:paraId="1322BCC0"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Coordination Unit [OCU] – 1992 Publications</w:t>
            </w:r>
          </w:p>
        </w:tc>
        <w:tc>
          <w:tcPr>
            <w:tcW w:w="2552" w:type="dxa"/>
          </w:tcPr>
          <w:p w14:paraId="36AFC321"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1992</w:t>
            </w:r>
          </w:p>
        </w:tc>
      </w:tr>
      <w:tr w:rsidR="00931CC1" w:rsidRPr="00A32897" w14:paraId="0C1966BD" w14:textId="77777777" w:rsidTr="005047C7">
        <w:tc>
          <w:tcPr>
            <w:tcW w:w="1696" w:type="dxa"/>
          </w:tcPr>
          <w:p w14:paraId="4304A479"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2426A00F"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30304901</w:t>
            </w:r>
          </w:p>
        </w:tc>
        <w:tc>
          <w:tcPr>
            <w:tcW w:w="3402" w:type="dxa"/>
          </w:tcPr>
          <w:p w14:paraId="78D71AB7"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Coordination Unit [OCU] – 1993 Publications</w:t>
            </w:r>
          </w:p>
        </w:tc>
        <w:tc>
          <w:tcPr>
            <w:tcW w:w="2552" w:type="dxa"/>
          </w:tcPr>
          <w:p w14:paraId="6F28D251"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1993</w:t>
            </w:r>
          </w:p>
        </w:tc>
      </w:tr>
      <w:tr w:rsidR="00931CC1" w:rsidRPr="00A32897" w14:paraId="23B77B09" w14:textId="77777777" w:rsidTr="005047C7">
        <w:tc>
          <w:tcPr>
            <w:tcW w:w="1696" w:type="dxa"/>
          </w:tcPr>
          <w:p w14:paraId="45871722"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6A8F4F36"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30304902</w:t>
            </w:r>
          </w:p>
        </w:tc>
        <w:tc>
          <w:tcPr>
            <w:tcW w:w="3402" w:type="dxa"/>
          </w:tcPr>
          <w:p w14:paraId="16DEBEFC"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Coordination Unit [OCU] – 1993 Publications</w:t>
            </w:r>
          </w:p>
        </w:tc>
        <w:tc>
          <w:tcPr>
            <w:tcW w:w="2552" w:type="dxa"/>
          </w:tcPr>
          <w:p w14:paraId="7A518064"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1989</w:t>
            </w:r>
          </w:p>
        </w:tc>
      </w:tr>
      <w:tr w:rsidR="00931CC1" w:rsidRPr="00A32897" w14:paraId="38C1BC27" w14:textId="77777777" w:rsidTr="005047C7">
        <w:tc>
          <w:tcPr>
            <w:tcW w:w="1696" w:type="dxa"/>
          </w:tcPr>
          <w:p w14:paraId="50F7C1BD"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4BD055B6"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30304906</w:t>
            </w:r>
          </w:p>
        </w:tc>
        <w:tc>
          <w:tcPr>
            <w:tcW w:w="3402" w:type="dxa"/>
          </w:tcPr>
          <w:p w14:paraId="12751018"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Coordination Unit [OCU] – 1994 Publications</w:t>
            </w:r>
          </w:p>
        </w:tc>
        <w:tc>
          <w:tcPr>
            <w:tcW w:w="2552" w:type="dxa"/>
          </w:tcPr>
          <w:p w14:paraId="2FF72E8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1994</w:t>
            </w:r>
          </w:p>
        </w:tc>
      </w:tr>
      <w:tr w:rsidR="00931CC1" w:rsidRPr="00A32897" w14:paraId="58F9B8DC" w14:textId="77777777" w:rsidTr="005047C7">
        <w:tc>
          <w:tcPr>
            <w:tcW w:w="1696" w:type="dxa"/>
          </w:tcPr>
          <w:p w14:paraId="7B5BF157"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11469A42"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30304907</w:t>
            </w:r>
          </w:p>
        </w:tc>
        <w:tc>
          <w:tcPr>
            <w:tcW w:w="3402" w:type="dxa"/>
          </w:tcPr>
          <w:p w14:paraId="5C988EFF"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Coordination Unit [OCU] – 1995 Publications</w:t>
            </w:r>
          </w:p>
        </w:tc>
        <w:tc>
          <w:tcPr>
            <w:tcW w:w="2552" w:type="dxa"/>
          </w:tcPr>
          <w:p w14:paraId="63B2AF3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1995</w:t>
            </w:r>
          </w:p>
        </w:tc>
      </w:tr>
      <w:tr w:rsidR="00931CC1" w:rsidRPr="00A32897" w14:paraId="73ACA61E" w14:textId="77777777" w:rsidTr="005047C7">
        <w:tc>
          <w:tcPr>
            <w:tcW w:w="1696" w:type="dxa"/>
          </w:tcPr>
          <w:p w14:paraId="7F35B9D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4B2873B5"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30304908</w:t>
            </w:r>
          </w:p>
        </w:tc>
        <w:tc>
          <w:tcPr>
            <w:tcW w:w="3402" w:type="dxa"/>
          </w:tcPr>
          <w:p w14:paraId="69EBBC8B"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Coordination Unit [OCU] – 1996 Publications</w:t>
            </w:r>
          </w:p>
        </w:tc>
        <w:tc>
          <w:tcPr>
            <w:tcW w:w="2552" w:type="dxa"/>
          </w:tcPr>
          <w:p w14:paraId="13AD1FE1"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1996</w:t>
            </w:r>
          </w:p>
        </w:tc>
      </w:tr>
      <w:tr w:rsidR="00931CC1" w:rsidRPr="00A32897" w14:paraId="2000086F" w14:textId="77777777" w:rsidTr="005047C7">
        <w:tc>
          <w:tcPr>
            <w:tcW w:w="1696" w:type="dxa"/>
          </w:tcPr>
          <w:p w14:paraId="416DD39F"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lastRenderedPageBreak/>
              <w:t>WBGA</w:t>
            </w:r>
          </w:p>
        </w:tc>
        <w:tc>
          <w:tcPr>
            <w:tcW w:w="1701" w:type="dxa"/>
          </w:tcPr>
          <w:p w14:paraId="2D5C4504"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30304909</w:t>
            </w:r>
          </w:p>
        </w:tc>
        <w:tc>
          <w:tcPr>
            <w:tcW w:w="3402" w:type="dxa"/>
          </w:tcPr>
          <w:p w14:paraId="47D08484"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Coordination Unit [OCU] – 1997 Publications</w:t>
            </w:r>
          </w:p>
        </w:tc>
        <w:tc>
          <w:tcPr>
            <w:tcW w:w="2552" w:type="dxa"/>
          </w:tcPr>
          <w:p w14:paraId="2578A288"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1997</w:t>
            </w:r>
          </w:p>
        </w:tc>
      </w:tr>
      <w:tr w:rsidR="00931CC1" w:rsidRPr="00A32897" w14:paraId="20901333" w14:textId="77777777" w:rsidTr="005047C7">
        <w:tc>
          <w:tcPr>
            <w:tcW w:w="1696" w:type="dxa"/>
          </w:tcPr>
          <w:p w14:paraId="3C5059AD"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718D0308"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30304910</w:t>
            </w:r>
          </w:p>
        </w:tc>
        <w:tc>
          <w:tcPr>
            <w:tcW w:w="3402" w:type="dxa"/>
          </w:tcPr>
          <w:p w14:paraId="49BA4B28"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Coordination Unit [OCU] – 1998 Publications</w:t>
            </w:r>
          </w:p>
        </w:tc>
        <w:tc>
          <w:tcPr>
            <w:tcW w:w="2552" w:type="dxa"/>
          </w:tcPr>
          <w:p w14:paraId="0AE2241D"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1998</w:t>
            </w:r>
          </w:p>
        </w:tc>
      </w:tr>
      <w:tr w:rsidR="00931CC1" w:rsidRPr="00A32897" w14:paraId="429B3E20" w14:textId="77777777" w:rsidTr="005047C7">
        <w:tc>
          <w:tcPr>
            <w:tcW w:w="1696" w:type="dxa"/>
          </w:tcPr>
          <w:p w14:paraId="523D5AE0"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16D42AEE"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30304919</w:t>
            </w:r>
          </w:p>
        </w:tc>
        <w:tc>
          <w:tcPr>
            <w:tcW w:w="3402" w:type="dxa"/>
          </w:tcPr>
          <w:p w14:paraId="647FA0FC"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Coordination Unit [OCU] – Press Release Documents</w:t>
            </w:r>
          </w:p>
        </w:tc>
        <w:tc>
          <w:tcPr>
            <w:tcW w:w="2552" w:type="dxa"/>
          </w:tcPr>
          <w:p w14:paraId="0F4FCA0D"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September 18 1991 – October 22 1997</w:t>
            </w:r>
          </w:p>
          <w:p w14:paraId="03071AC9" w14:textId="77777777" w:rsidR="00931CC1" w:rsidRPr="00A32897" w:rsidRDefault="00931CC1" w:rsidP="005047C7">
            <w:pPr>
              <w:rPr>
                <w:rFonts w:ascii="Calibri" w:hAnsi="Calibri" w:cs="Calibri"/>
                <w:sz w:val="22"/>
                <w:szCs w:val="22"/>
              </w:rPr>
            </w:pPr>
          </w:p>
        </w:tc>
      </w:tr>
      <w:tr w:rsidR="00931CC1" w:rsidRPr="00A32897" w14:paraId="454999C8" w14:textId="77777777" w:rsidTr="005047C7">
        <w:tc>
          <w:tcPr>
            <w:tcW w:w="1696" w:type="dxa"/>
          </w:tcPr>
          <w:p w14:paraId="58AB38CD"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3BAF05E3"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30339647</w:t>
            </w:r>
          </w:p>
        </w:tc>
        <w:tc>
          <w:tcPr>
            <w:tcW w:w="3402" w:type="dxa"/>
          </w:tcPr>
          <w:p w14:paraId="4481A124" w14:textId="37464BCB" w:rsidR="00931CC1" w:rsidRPr="00A32897" w:rsidRDefault="00931CC1" w:rsidP="005047C7">
            <w:pPr>
              <w:rPr>
                <w:rFonts w:ascii="Calibri" w:hAnsi="Calibri" w:cs="Calibri"/>
                <w:sz w:val="22"/>
                <w:szCs w:val="22"/>
              </w:rPr>
            </w:pPr>
            <w:r w:rsidRPr="00A32897">
              <w:rPr>
                <w:rFonts w:ascii="Calibri" w:hAnsi="Calibri" w:cs="Calibri"/>
                <w:sz w:val="22"/>
                <w:szCs w:val="22"/>
              </w:rPr>
              <w:t xml:space="preserve">Onchocerciasis Economic Development Advisory Panel [EDAP] Project – </w:t>
            </w:r>
            <w:r w:rsidR="00A2292A">
              <w:rPr>
                <w:rFonts w:ascii="Calibri" w:hAnsi="Calibri" w:cs="Calibri"/>
                <w:sz w:val="22"/>
                <w:szCs w:val="22"/>
              </w:rPr>
              <w:t>Sub-Saharan</w:t>
            </w:r>
            <w:r w:rsidRPr="00A32897">
              <w:rPr>
                <w:rFonts w:ascii="Calibri" w:hAnsi="Calibri" w:cs="Calibri"/>
                <w:sz w:val="22"/>
                <w:szCs w:val="22"/>
              </w:rPr>
              <w:t xml:space="preserve"> Africa Region – PX01211 – Correspondence – Volume 2</w:t>
            </w:r>
          </w:p>
        </w:tc>
        <w:tc>
          <w:tcPr>
            <w:tcW w:w="2552" w:type="dxa"/>
          </w:tcPr>
          <w:p w14:paraId="3C0FCD73"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 xml:space="preserve">1976 – 1977 </w:t>
            </w:r>
          </w:p>
        </w:tc>
      </w:tr>
      <w:tr w:rsidR="00931CC1" w:rsidRPr="00A32897" w14:paraId="570C2CB0" w14:textId="77777777" w:rsidTr="005047C7">
        <w:tc>
          <w:tcPr>
            <w:tcW w:w="1696" w:type="dxa"/>
          </w:tcPr>
          <w:p w14:paraId="339D61CD"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37BDCEA3"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30339648</w:t>
            </w:r>
          </w:p>
        </w:tc>
        <w:tc>
          <w:tcPr>
            <w:tcW w:w="3402" w:type="dxa"/>
          </w:tcPr>
          <w:p w14:paraId="07AD22E7" w14:textId="1ED669B0" w:rsidR="00931CC1" w:rsidRPr="00A32897" w:rsidRDefault="00931CC1" w:rsidP="005047C7">
            <w:pPr>
              <w:rPr>
                <w:rFonts w:ascii="Calibri" w:hAnsi="Calibri" w:cs="Calibri"/>
                <w:sz w:val="22"/>
                <w:szCs w:val="22"/>
              </w:rPr>
            </w:pPr>
            <w:r w:rsidRPr="00A32897">
              <w:rPr>
                <w:rFonts w:ascii="Calibri" w:hAnsi="Calibri" w:cs="Calibri"/>
                <w:sz w:val="22"/>
                <w:szCs w:val="22"/>
              </w:rPr>
              <w:t xml:space="preserve">Onchocerciasis Economic Development Advisory Panel [EDAP] Project – </w:t>
            </w:r>
            <w:r w:rsidR="00A2292A">
              <w:rPr>
                <w:rFonts w:ascii="Calibri" w:hAnsi="Calibri" w:cs="Calibri"/>
                <w:sz w:val="22"/>
                <w:szCs w:val="22"/>
              </w:rPr>
              <w:t>Sub-Saharan</w:t>
            </w:r>
            <w:r w:rsidRPr="00A32897">
              <w:rPr>
                <w:rFonts w:ascii="Calibri" w:hAnsi="Calibri" w:cs="Calibri"/>
                <w:sz w:val="22"/>
                <w:szCs w:val="22"/>
              </w:rPr>
              <w:t xml:space="preserve"> Africa Region – PX01211 – Correspondence – Volume 3</w:t>
            </w:r>
          </w:p>
        </w:tc>
        <w:tc>
          <w:tcPr>
            <w:tcW w:w="2552" w:type="dxa"/>
          </w:tcPr>
          <w:p w14:paraId="1820A9AC"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1977 – 1979</w:t>
            </w:r>
          </w:p>
          <w:p w14:paraId="3819F657" w14:textId="77777777" w:rsidR="00931CC1" w:rsidRPr="00A32897" w:rsidRDefault="00931CC1" w:rsidP="005047C7">
            <w:pPr>
              <w:rPr>
                <w:rFonts w:ascii="Calibri" w:hAnsi="Calibri" w:cs="Calibri"/>
                <w:sz w:val="22"/>
                <w:szCs w:val="22"/>
              </w:rPr>
            </w:pPr>
          </w:p>
        </w:tc>
      </w:tr>
      <w:tr w:rsidR="00931CC1" w:rsidRPr="00A32897" w14:paraId="0A9CBE55" w14:textId="77777777" w:rsidTr="005047C7">
        <w:tc>
          <w:tcPr>
            <w:tcW w:w="1696" w:type="dxa"/>
          </w:tcPr>
          <w:p w14:paraId="091B47E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76A285AA"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30348069</w:t>
            </w:r>
          </w:p>
        </w:tc>
        <w:tc>
          <w:tcPr>
            <w:tcW w:w="3402" w:type="dxa"/>
          </w:tcPr>
          <w:p w14:paraId="53EECAA9"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Control Programme chron file – volume 1</w:t>
            </w:r>
          </w:p>
        </w:tc>
        <w:tc>
          <w:tcPr>
            <w:tcW w:w="2552" w:type="dxa"/>
          </w:tcPr>
          <w:p w14:paraId="0AE191A3"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 xml:space="preserve">1986 – 1987 </w:t>
            </w:r>
          </w:p>
        </w:tc>
      </w:tr>
      <w:tr w:rsidR="00931CC1" w:rsidRPr="00A32897" w14:paraId="1CFECA0D" w14:textId="77777777" w:rsidTr="005047C7">
        <w:tc>
          <w:tcPr>
            <w:tcW w:w="1696" w:type="dxa"/>
          </w:tcPr>
          <w:p w14:paraId="3A3E8B7C"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0C79EE44"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D65210</w:t>
            </w:r>
          </w:p>
        </w:tc>
        <w:tc>
          <w:tcPr>
            <w:tcW w:w="3402" w:type="dxa"/>
          </w:tcPr>
          <w:p w14:paraId="3CB64E7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OCP contributions to the Macrofil chemotherapy project 1992 – 1997 – DOC</w:t>
            </w:r>
          </w:p>
        </w:tc>
        <w:tc>
          <w:tcPr>
            <w:tcW w:w="2552" w:type="dxa"/>
          </w:tcPr>
          <w:p w14:paraId="38EDFC8F"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7 May 1992</w:t>
            </w:r>
          </w:p>
        </w:tc>
      </w:tr>
      <w:tr w:rsidR="00931CC1" w:rsidRPr="00A32897" w14:paraId="0F7E9319" w14:textId="77777777" w:rsidTr="005047C7">
        <w:tc>
          <w:tcPr>
            <w:tcW w:w="1696" w:type="dxa"/>
          </w:tcPr>
          <w:p w14:paraId="759A0EDD"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323932B1"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D65211</w:t>
            </w:r>
          </w:p>
        </w:tc>
        <w:tc>
          <w:tcPr>
            <w:tcW w:w="3402" w:type="dxa"/>
          </w:tcPr>
          <w:p w14:paraId="575A7442"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OCP Contributions from countries in the initial program area - DOC</w:t>
            </w:r>
          </w:p>
          <w:p w14:paraId="442AFE83" w14:textId="77777777" w:rsidR="00931CC1" w:rsidRPr="00A32897" w:rsidRDefault="00931CC1" w:rsidP="005047C7">
            <w:pPr>
              <w:rPr>
                <w:rFonts w:ascii="Calibri" w:hAnsi="Calibri" w:cs="Calibri"/>
                <w:sz w:val="22"/>
                <w:szCs w:val="22"/>
              </w:rPr>
            </w:pPr>
          </w:p>
        </w:tc>
        <w:tc>
          <w:tcPr>
            <w:tcW w:w="2552" w:type="dxa"/>
          </w:tcPr>
          <w:p w14:paraId="4072CF11"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13 June 1990</w:t>
            </w:r>
          </w:p>
        </w:tc>
      </w:tr>
      <w:tr w:rsidR="00931CC1" w:rsidRPr="00A32897" w14:paraId="5B17E819" w14:textId="77777777" w:rsidTr="005047C7">
        <w:tc>
          <w:tcPr>
            <w:tcW w:w="1696" w:type="dxa"/>
          </w:tcPr>
          <w:p w14:paraId="05DDEA58"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2D73F7A7"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D71884</w:t>
            </w:r>
          </w:p>
        </w:tc>
        <w:tc>
          <w:tcPr>
            <w:tcW w:w="3402" w:type="dxa"/>
          </w:tcPr>
          <w:p w14:paraId="54F098A9"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Devolution plan – control of onchocerciasis, yaws, leprosy &amp; guinea worm in Ghana – DOC</w:t>
            </w:r>
          </w:p>
        </w:tc>
        <w:tc>
          <w:tcPr>
            <w:tcW w:w="2552" w:type="dxa"/>
          </w:tcPr>
          <w:p w14:paraId="2D1D60D0"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September 1990</w:t>
            </w:r>
          </w:p>
        </w:tc>
      </w:tr>
      <w:tr w:rsidR="00931CC1" w:rsidRPr="00A32897" w14:paraId="005661FF" w14:textId="77777777" w:rsidTr="005047C7">
        <w:tc>
          <w:tcPr>
            <w:tcW w:w="1696" w:type="dxa"/>
          </w:tcPr>
          <w:p w14:paraId="3F2FED6F"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2CB499CF"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D75220</w:t>
            </w:r>
          </w:p>
        </w:tc>
        <w:tc>
          <w:tcPr>
            <w:tcW w:w="3402" w:type="dxa"/>
          </w:tcPr>
          <w:p w14:paraId="277D75EA"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Onchocerciasis control program in West Africa - committee of sponsoring agencies - DOC</w:t>
            </w:r>
          </w:p>
        </w:tc>
        <w:tc>
          <w:tcPr>
            <w:tcW w:w="2552" w:type="dxa"/>
          </w:tcPr>
          <w:p w14:paraId="13215213"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December 1993</w:t>
            </w:r>
          </w:p>
        </w:tc>
      </w:tr>
      <w:tr w:rsidR="00931CC1" w:rsidRPr="00A32897" w14:paraId="689A14FE" w14:textId="77777777" w:rsidTr="005047C7">
        <w:tc>
          <w:tcPr>
            <w:tcW w:w="1696" w:type="dxa"/>
          </w:tcPr>
          <w:p w14:paraId="0CFA24D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73651916"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D81042</w:t>
            </w:r>
          </w:p>
        </w:tc>
        <w:tc>
          <w:tcPr>
            <w:tcW w:w="3402" w:type="dxa"/>
          </w:tcPr>
          <w:p w14:paraId="0880514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 xml:space="preserve">Land settlement review – settlement experiences &amp; development strategies in the onchocerciasis controlled areas of West Africa – DOC </w:t>
            </w:r>
          </w:p>
        </w:tc>
        <w:tc>
          <w:tcPr>
            <w:tcW w:w="2552" w:type="dxa"/>
          </w:tcPr>
          <w:p w14:paraId="3DBBCC51"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July 1990</w:t>
            </w:r>
          </w:p>
        </w:tc>
      </w:tr>
      <w:tr w:rsidR="00931CC1" w:rsidRPr="00A32897" w14:paraId="3006634B" w14:textId="77777777" w:rsidTr="005047C7">
        <w:tc>
          <w:tcPr>
            <w:tcW w:w="1696" w:type="dxa"/>
          </w:tcPr>
          <w:p w14:paraId="7A243EB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Pr>
          <w:p w14:paraId="5B88037F"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D81087</w:t>
            </w:r>
          </w:p>
        </w:tc>
        <w:tc>
          <w:tcPr>
            <w:tcW w:w="3402" w:type="dxa"/>
          </w:tcPr>
          <w:p w14:paraId="0BFAFE60"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Socio Economic Development Studies in the Onchocerciasis Control Programme Area – Final Report – Volume 1 – Main Report – September 1988</w:t>
            </w:r>
          </w:p>
        </w:tc>
        <w:tc>
          <w:tcPr>
            <w:tcW w:w="2552" w:type="dxa"/>
          </w:tcPr>
          <w:p w14:paraId="36FD572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September 1988 – 30 September 1988</w:t>
            </w:r>
          </w:p>
        </w:tc>
      </w:tr>
      <w:tr w:rsidR="00931CC1" w:rsidRPr="00A32897" w14:paraId="6DEC498B" w14:textId="77777777" w:rsidTr="005047C7">
        <w:tc>
          <w:tcPr>
            <w:tcW w:w="1696" w:type="dxa"/>
            <w:tcBorders>
              <w:bottom w:val="single" w:sz="4" w:space="0" w:color="auto"/>
            </w:tcBorders>
          </w:tcPr>
          <w:p w14:paraId="001BF716"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WBGA</w:t>
            </w:r>
          </w:p>
        </w:tc>
        <w:tc>
          <w:tcPr>
            <w:tcW w:w="1701" w:type="dxa"/>
            <w:tcBorders>
              <w:bottom w:val="single" w:sz="4" w:space="0" w:color="auto"/>
            </w:tcBorders>
          </w:tcPr>
          <w:p w14:paraId="4BE2BB5E" w14:textId="77777777" w:rsidR="00931CC1" w:rsidRPr="00A32897" w:rsidRDefault="00931CC1" w:rsidP="005047C7">
            <w:pPr>
              <w:rPr>
                <w:rFonts w:ascii="Calibri" w:hAnsi="Calibri" w:cs="Calibri"/>
                <w:color w:val="000000"/>
                <w:sz w:val="22"/>
                <w:szCs w:val="22"/>
              </w:rPr>
            </w:pPr>
            <w:r w:rsidRPr="00A32897">
              <w:rPr>
                <w:rFonts w:ascii="Calibri" w:hAnsi="Calibri" w:cs="Calibri"/>
                <w:color w:val="000000"/>
                <w:sz w:val="22"/>
                <w:szCs w:val="22"/>
              </w:rPr>
              <w:t>D93672</w:t>
            </w:r>
          </w:p>
        </w:tc>
        <w:tc>
          <w:tcPr>
            <w:tcW w:w="3402" w:type="dxa"/>
            <w:tcBorders>
              <w:bottom w:val="single" w:sz="4" w:space="0" w:color="auto"/>
            </w:tcBorders>
          </w:tcPr>
          <w:p w14:paraId="543ADDB7"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Review of the economic impact of treatment with ivermectin – onchocerciasis – DOC</w:t>
            </w:r>
          </w:p>
        </w:tc>
        <w:tc>
          <w:tcPr>
            <w:tcW w:w="2552" w:type="dxa"/>
            <w:tcBorders>
              <w:bottom w:val="single" w:sz="4" w:space="0" w:color="auto"/>
            </w:tcBorders>
          </w:tcPr>
          <w:p w14:paraId="7158922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February 1994</w:t>
            </w:r>
          </w:p>
        </w:tc>
      </w:tr>
      <w:tr w:rsidR="00931CC1" w:rsidRPr="00A32897" w14:paraId="47E67D53" w14:textId="77777777" w:rsidTr="005047C7">
        <w:tc>
          <w:tcPr>
            <w:tcW w:w="1696" w:type="dxa"/>
            <w:tcBorders>
              <w:top w:val="single" w:sz="4" w:space="0" w:color="auto"/>
              <w:left w:val="single" w:sz="4" w:space="0" w:color="auto"/>
              <w:bottom w:val="single" w:sz="4" w:space="0" w:color="auto"/>
              <w:right w:val="nil"/>
            </w:tcBorders>
          </w:tcPr>
          <w:p w14:paraId="1CCE561B" w14:textId="77777777" w:rsidR="00931CC1" w:rsidRPr="00A32897" w:rsidRDefault="00931CC1" w:rsidP="005047C7">
            <w:pPr>
              <w:rPr>
                <w:rFonts w:ascii="Calibri" w:hAnsi="Calibri" w:cs="Calibri"/>
                <w:sz w:val="22"/>
                <w:szCs w:val="22"/>
              </w:rPr>
            </w:pPr>
          </w:p>
        </w:tc>
        <w:tc>
          <w:tcPr>
            <w:tcW w:w="1701" w:type="dxa"/>
            <w:tcBorders>
              <w:top w:val="single" w:sz="4" w:space="0" w:color="auto"/>
              <w:left w:val="nil"/>
              <w:bottom w:val="single" w:sz="4" w:space="0" w:color="auto"/>
              <w:right w:val="nil"/>
            </w:tcBorders>
          </w:tcPr>
          <w:p w14:paraId="32C9FFFC" w14:textId="77777777" w:rsidR="00931CC1" w:rsidRPr="00A32897" w:rsidRDefault="00931CC1" w:rsidP="005047C7">
            <w:pPr>
              <w:rPr>
                <w:rFonts w:ascii="Calibri" w:hAnsi="Calibri" w:cs="Calibri"/>
                <w:color w:val="000000"/>
                <w:sz w:val="22"/>
                <w:szCs w:val="22"/>
              </w:rPr>
            </w:pPr>
          </w:p>
        </w:tc>
        <w:tc>
          <w:tcPr>
            <w:tcW w:w="3402" w:type="dxa"/>
            <w:tcBorders>
              <w:top w:val="single" w:sz="4" w:space="0" w:color="auto"/>
              <w:left w:val="nil"/>
              <w:bottom w:val="single" w:sz="4" w:space="0" w:color="auto"/>
              <w:right w:val="nil"/>
            </w:tcBorders>
          </w:tcPr>
          <w:p w14:paraId="0A6E268A" w14:textId="77777777" w:rsidR="00931CC1" w:rsidRPr="00A32897" w:rsidRDefault="00931CC1" w:rsidP="005047C7">
            <w:pPr>
              <w:rPr>
                <w:rFonts w:ascii="Calibri" w:hAnsi="Calibri" w:cs="Calibri"/>
                <w:sz w:val="22"/>
                <w:szCs w:val="22"/>
              </w:rPr>
            </w:pPr>
          </w:p>
        </w:tc>
        <w:tc>
          <w:tcPr>
            <w:tcW w:w="2552" w:type="dxa"/>
            <w:tcBorders>
              <w:top w:val="single" w:sz="4" w:space="0" w:color="auto"/>
              <w:left w:val="nil"/>
              <w:bottom w:val="single" w:sz="4" w:space="0" w:color="auto"/>
              <w:right w:val="single" w:sz="4" w:space="0" w:color="auto"/>
            </w:tcBorders>
          </w:tcPr>
          <w:p w14:paraId="3EC93441" w14:textId="77777777" w:rsidR="00931CC1" w:rsidRPr="00A32897" w:rsidRDefault="00931CC1" w:rsidP="005047C7">
            <w:pPr>
              <w:rPr>
                <w:rFonts w:ascii="Calibri" w:hAnsi="Calibri" w:cs="Calibri"/>
                <w:sz w:val="22"/>
                <w:szCs w:val="22"/>
              </w:rPr>
            </w:pPr>
          </w:p>
        </w:tc>
      </w:tr>
      <w:tr w:rsidR="00931CC1" w:rsidRPr="00A32897" w14:paraId="175C7639" w14:textId="77777777" w:rsidTr="005047C7">
        <w:trPr>
          <w:trHeight w:val="471"/>
        </w:trPr>
        <w:tc>
          <w:tcPr>
            <w:tcW w:w="9351" w:type="dxa"/>
            <w:gridSpan w:val="4"/>
            <w:tcBorders>
              <w:top w:val="single" w:sz="4" w:space="0" w:color="auto"/>
            </w:tcBorders>
          </w:tcPr>
          <w:p w14:paraId="7062BF94" w14:textId="77777777" w:rsidR="00931CC1" w:rsidRPr="00A32897" w:rsidRDefault="00931CC1" w:rsidP="005047C7">
            <w:pPr>
              <w:rPr>
                <w:rFonts w:ascii="Calibri" w:hAnsi="Calibri" w:cs="Calibri"/>
                <w:sz w:val="22"/>
                <w:szCs w:val="22"/>
              </w:rPr>
            </w:pPr>
            <w:r w:rsidRPr="00A32897">
              <w:rPr>
                <w:rFonts w:ascii="Calibri" w:hAnsi="Calibri" w:cs="Calibri"/>
                <w:b/>
                <w:i/>
                <w:sz w:val="22"/>
                <w:szCs w:val="22"/>
              </w:rPr>
              <w:t>United Nations Archives (UNA)</w:t>
            </w:r>
          </w:p>
        </w:tc>
      </w:tr>
      <w:tr w:rsidR="00931CC1" w:rsidRPr="00A32897" w14:paraId="0FBAABBE" w14:textId="77777777" w:rsidTr="005047C7">
        <w:tc>
          <w:tcPr>
            <w:tcW w:w="1696" w:type="dxa"/>
            <w:tcBorders>
              <w:top w:val="single" w:sz="4" w:space="0" w:color="auto"/>
            </w:tcBorders>
          </w:tcPr>
          <w:p w14:paraId="51301A16"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UNA</w:t>
            </w:r>
          </w:p>
        </w:tc>
        <w:tc>
          <w:tcPr>
            <w:tcW w:w="1701" w:type="dxa"/>
            <w:tcBorders>
              <w:top w:val="single" w:sz="4" w:space="0" w:color="auto"/>
            </w:tcBorders>
          </w:tcPr>
          <w:p w14:paraId="3D658C5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s-0553-14-6</w:t>
            </w:r>
          </w:p>
        </w:tc>
        <w:tc>
          <w:tcPr>
            <w:tcW w:w="3402" w:type="dxa"/>
            <w:tcBorders>
              <w:top w:val="single" w:sz="4" w:space="0" w:color="auto"/>
            </w:tcBorders>
          </w:tcPr>
          <w:p w14:paraId="7BC6CBD6"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Control in the Volta River Basin Area – regional project</w:t>
            </w:r>
          </w:p>
        </w:tc>
        <w:tc>
          <w:tcPr>
            <w:tcW w:w="2552" w:type="dxa"/>
            <w:tcBorders>
              <w:top w:val="single" w:sz="4" w:space="0" w:color="auto"/>
            </w:tcBorders>
          </w:tcPr>
          <w:p w14:paraId="1486BAD8"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6 July 1970 – 14 January 1973</w:t>
            </w:r>
          </w:p>
        </w:tc>
      </w:tr>
      <w:tr w:rsidR="00931CC1" w:rsidRPr="00A32897" w14:paraId="4792A250" w14:textId="77777777" w:rsidTr="005047C7">
        <w:tc>
          <w:tcPr>
            <w:tcW w:w="1696" w:type="dxa"/>
          </w:tcPr>
          <w:p w14:paraId="075B3F24"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UNA</w:t>
            </w:r>
          </w:p>
        </w:tc>
        <w:tc>
          <w:tcPr>
            <w:tcW w:w="1701" w:type="dxa"/>
          </w:tcPr>
          <w:p w14:paraId="5291F483"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s-0553-14-7</w:t>
            </w:r>
          </w:p>
        </w:tc>
        <w:tc>
          <w:tcPr>
            <w:tcW w:w="3402" w:type="dxa"/>
          </w:tcPr>
          <w:p w14:paraId="445E146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in the Volta River Basin Area – regional project</w:t>
            </w:r>
          </w:p>
        </w:tc>
        <w:tc>
          <w:tcPr>
            <w:tcW w:w="2552" w:type="dxa"/>
          </w:tcPr>
          <w:p w14:paraId="684203A4"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July 1968 – 26 June 1970</w:t>
            </w:r>
          </w:p>
        </w:tc>
      </w:tr>
      <w:tr w:rsidR="00931CC1" w:rsidRPr="00A32897" w14:paraId="3C5E47AE" w14:textId="77777777" w:rsidTr="005047C7">
        <w:tc>
          <w:tcPr>
            <w:tcW w:w="1696" w:type="dxa"/>
          </w:tcPr>
          <w:p w14:paraId="5F69BAF1"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lastRenderedPageBreak/>
              <w:t>UNA</w:t>
            </w:r>
          </w:p>
        </w:tc>
        <w:tc>
          <w:tcPr>
            <w:tcW w:w="1701" w:type="dxa"/>
          </w:tcPr>
          <w:p w14:paraId="76358E42"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s-0553-14-8</w:t>
            </w:r>
          </w:p>
        </w:tc>
        <w:tc>
          <w:tcPr>
            <w:tcW w:w="3402" w:type="dxa"/>
          </w:tcPr>
          <w:p w14:paraId="7F9F6A97"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Steering Committee for Onchocerciasis Control in the Volta River Basin Area</w:t>
            </w:r>
          </w:p>
        </w:tc>
        <w:tc>
          <w:tcPr>
            <w:tcW w:w="2552" w:type="dxa"/>
          </w:tcPr>
          <w:p w14:paraId="21C9235C"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24 March 1972 – 8 February 1973</w:t>
            </w:r>
          </w:p>
        </w:tc>
      </w:tr>
      <w:tr w:rsidR="00931CC1" w:rsidRPr="00A32897" w14:paraId="4477E83C" w14:textId="77777777" w:rsidTr="005047C7">
        <w:tc>
          <w:tcPr>
            <w:tcW w:w="1696" w:type="dxa"/>
          </w:tcPr>
          <w:p w14:paraId="07F0AE17" w14:textId="77777777" w:rsidR="00931CC1" w:rsidRPr="00A32897" w:rsidRDefault="00931CC1" w:rsidP="005047C7">
            <w:pPr>
              <w:rPr>
                <w:rFonts w:ascii="Calibri" w:hAnsi="Calibri" w:cs="Calibri"/>
                <w:b/>
                <w:i/>
                <w:sz w:val="22"/>
                <w:szCs w:val="22"/>
              </w:rPr>
            </w:pPr>
            <w:r w:rsidRPr="00A32897">
              <w:rPr>
                <w:rFonts w:ascii="Calibri" w:hAnsi="Calibri" w:cs="Calibri"/>
                <w:sz w:val="22"/>
                <w:szCs w:val="22"/>
              </w:rPr>
              <w:t>UNA</w:t>
            </w:r>
          </w:p>
        </w:tc>
        <w:tc>
          <w:tcPr>
            <w:tcW w:w="1701" w:type="dxa"/>
          </w:tcPr>
          <w:p w14:paraId="37534D98"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s-0553-15-1</w:t>
            </w:r>
          </w:p>
        </w:tc>
        <w:tc>
          <w:tcPr>
            <w:tcW w:w="3402" w:type="dxa"/>
          </w:tcPr>
          <w:p w14:paraId="11D4A4A0"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Control in the Volta River Basin Area; Report of the Preparatory Assistance Mission to the Governments</w:t>
            </w:r>
          </w:p>
        </w:tc>
        <w:tc>
          <w:tcPr>
            <w:tcW w:w="2552" w:type="dxa"/>
          </w:tcPr>
          <w:p w14:paraId="25BC50E3"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20 August 1973 – 16 October 1973</w:t>
            </w:r>
          </w:p>
        </w:tc>
      </w:tr>
      <w:tr w:rsidR="00931CC1" w:rsidRPr="00A32897" w14:paraId="320DAFCC" w14:textId="77777777" w:rsidTr="005047C7">
        <w:tc>
          <w:tcPr>
            <w:tcW w:w="1696" w:type="dxa"/>
            <w:tcBorders>
              <w:bottom w:val="single" w:sz="4" w:space="0" w:color="auto"/>
            </w:tcBorders>
          </w:tcPr>
          <w:p w14:paraId="4715227C" w14:textId="77777777" w:rsidR="00931CC1" w:rsidRPr="00A32897" w:rsidRDefault="00931CC1" w:rsidP="005047C7">
            <w:pPr>
              <w:rPr>
                <w:rFonts w:ascii="Calibri" w:hAnsi="Calibri" w:cs="Calibri"/>
                <w:b/>
                <w:i/>
                <w:sz w:val="22"/>
                <w:szCs w:val="22"/>
              </w:rPr>
            </w:pPr>
            <w:r w:rsidRPr="00A32897">
              <w:rPr>
                <w:rFonts w:ascii="Calibri" w:hAnsi="Calibri" w:cs="Calibri"/>
                <w:sz w:val="22"/>
                <w:szCs w:val="22"/>
              </w:rPr>
              <w:t>UNA</w:t>
            </w:r>
          </w:p>
        </w:tc>
        <w:tc>
          <w:tcPr>
            <w:tcW w:w="1701" w:type="dxa"/>
            <w:tcBorders>
              <w:bottom w:val="single" w:sz="4" w:space="0" w:color="auto"/>
            </w:tcBorders>
          </w:tcPr>
          <w:p w14:paraId="10D8BCF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s-0553-15-3</w:t>
            </w:r>
          </w:p>
        </w:tc>
        <w:tc>
          <w:tcPr>
            <w:tcW w:w="3402" w:type="dxa"/>
            <w:tcBorders>
              <w:bottom w:val="single" w:sz="4" w:space="0" w:color="auto"/>
            </w:tcBorders>
          </w:tcPr>
          <w:p w14:paraId="65D672B3"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Review meeting on the Preparatory Assistance Mission to the Governments</w:t>
            </w:r>
          </w:p>
        </w:tc>
        <w:tc>
          <w:tcPr>
            <w:tcW w:w="2552" w:type="dxa"/>
            <w:tcBorders>
              <w:bottom w:val="single" w:sz="4" w:space="0" w:color="auto"/>
            </w:tcBorders>
          </w:tcPr>
          <w:p w14:paraId="6EFB197C"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10 July 1972 – 14 July 1972</w:t>
            </w:r>
          </w:p>
        </w:tc>
      </w:tr>
      <w:tr w:rsidR="00931CC1" w:rsidRPr="00A32897" w14:paraId="28B9C0B4" w14:textId="77777777" w:rsidTr="005047C7">
        <w:tc>
          <w:tcPr>
            <w:tcW w:w="1696" w:type="dxa"/>
            <w:tcBorders>
              <w:right w:val="nil"/>
            </w:tcBorders>
          </w:tcPr>
          <w:p w14:paraId="521DE16D" w14:textId="77777777" w:rsidR="00931CC1" w:rsidRPr="00A32897" w:rsidRDefault="00931CC1" w:rsidP="005047C7">
            <w:pPr>
              <w:rPr>
                <w:rFonts w:ascii="Calibri" w:hAnsi="Calibri" w:cs="Calibri"/>
                <w:sz w:val="22"/>
                <w:szCs w:val="22"/>
              </w:rPr>
            </w:pPr>
          </w:p>
        </w:tc>
        <w:tc>
          <w:tcPr>
            <w:tcW w:w="1701" w:type="dxa"/>
            <w:tcBorders>
              <w:left w:val="nil"/>
              <w:bottom w:val="single" w:sz="4" w:space="0" w:color="auto"/>
              <w:right w:val="nil"/>
            </w:tcBorders>
          </w:tcPr>
          <w:p w14:paraId="5F5DF4E7" w14:textId="77777777" w:rsidR="00931CC1" w:rsidRPr="00A32897" w:rsidRDefault="00931CC1" w:rsidP="005047C7">
            <w:pPr>
              <w:rPr>
                <w:rFonts w:ascii="Calibri" w:hAnsi="Calibri" w:cs="Calibri"/>
                <w:sz w:val="22"/>
                <w:szCs w:val="22"/>
              </w:rPr>
            </w:pPr>
          </w:p>
        </w:tc>
        <w:tc>
          <w:tcPr>
            <w:tcW w:w="3402" w:type="dxa"/>
            <w:tcBorders>
              <w:left w:val="nil"/>
              <w:bottom w:val="single" w:sz="4" w:space="0" w:color="auto"/>
              <w:right w:val="nil"/>
            </w:tcBorders>
          </w:tcPr>
          <w:p w14:paraId="328927BF" w14:textId="77777777" w:rsidR="00931CC1" w:rsidRPr="00A32897" w:rsidRDefault="00931CC1" w:rsidP="005047C7">
            <w:pPr>
              <w:rPr>
                <w:rFonts w:ascii="Calibri" w:hAnsi="Calibri" w:cs="Calibri"/>
                <w:sz w:val="22"/>
                <w:szCs w:val="22"/>
              </w:rPr>
            </w:pPr>
          </w:p>
        </w:tc>
        <w:tc>
          <w:tcPr>
            <w:tcW w:w="2552" w:type="dxa"/>
            <w:tcBorders>
              <w:left w:val="nil"/>
              <w:bottom w:val="single" w:sz="4" w:space="0" w:color="auto"/>
            </w:tcBorders>
          </w:tcPr>
          <w:p w14:paraId="52C69E75" w14:textId="77777777" w:rsidR="00931CC1" w:rsidRPr="00A32897" w:rsidRDefault="00931CC1" w:rsidP="005047C7">
            <w:pPr>
              <w:rPr>
                <w:rFonts w:ascii="Calibri" w:hAnsi="Calibri" w:cs="Calibri"/>
                <w:sz w:val="22"/>
                <w:szCs w:val="22"/>
              </w:rPr>
            </w:pPr>
          </w:p>
        </w:tc>
      </w:tr>
      <w:tr w:rsidR="00931CC1" w:rsidRPr="00A32897" w14:paraId="3A35A11F" w14:textId="77777777" w:rsidTr="005047C7">
        <w:trPr>
          <w:trHeight w:val="437"/>
        </w:trPr>
        <w:tc>
          <w:tcPr>
            <w:tcW w:w="9351" w:type="dxa"/>
            <w:gridSpan w:val="4"/>
          </w:tcPr>
          <w:p w14:paraId="792276D4" w14:textId="77777777" w:rsidR="00931CC1" w:rsidRPr="00A32897" w:rsidRDefault="00931CC1" w:rsidP="005047C7">
            <w:pPr>
              <w:rPr>
                <w:rFonts w:ascii="Calibri" w:hAnsi="Calibri" w:cs="Calibri"/>
                <w:sz w:val="22"/>
                <w:szCs w:val="22"/>
              </w:rPr>
            </w:pPr>
            <w:r w:rsidRPr="00A32897">
              <w:rPr>
                <w:rFonts w:ascii="Calibri" w:hAnsi="Calibri" w:cs="Calibri"/>
                <w:b/>
                <w:i/>
                <w:sz w:val="22"/>
                <w:szCs w:val="22"/>
              </w:rPr>
              <w:t>National Archives – Kew (NA)</w:t>
            </w:r>
          </w:p>
        </w:tc>
      </w:tr>
      <w:tr w:rsidR="00931CC1" w:rsidRPr="00A32897" w14:paraId="686595B5" w14:textId="77777777" w:rsidTr="005047C7">
        <w:tc>
          <w:tcPr>
            <w:tcW w:w="1696" w:type="dxa"/>
          </w:tcPr>
          <w:p w14:paraId="3672F0B6"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NA</w:t>
            </w:r>
          </w:p>
        </w:tc>
        <w:tc>
          <w:tcPr>
            <w:tcW w:w="1701" w:type="dxa"/>
          </w:tcPr>
          <w:p w14:paraId="728956C6"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CO 554/617</w:t>
            </w:r>
          </w:p>
        </w:tc>
        <w:tc>
          <w:tcPr>
            <w:tcW w:w="3402" w:type="dxa"/>
          </w:tcPr>
          <w:p w14:paraId="19D2CFE9"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British Empire Society for the blind ophthalmic survey in West Africa</w:t>
            </w:r>
          </w:p>
        </w:tc>
        <w:tc>
          <w:tcPr>
            <w:tcW w:w="2552" w:type="dxa"/>
          </w:tcPr>
          <w:p w14:paraId="477ED95D"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1951 – 1953</w:t>
            </w:r>
          </w:p>
        </w:tc>
      </w:tr>
      <w:tr w:rsidR="00931CC1" w:rsidRPr="00A32897" w14:paraId="6D243543" w14:textId="77777777" w:rsidTr="005047C7">
        <w:tc>
          <w:tcPr>
            <w:tcW w:w="1696" w:type="dxa"/>
          </w:tcPr>
          <w:p w14:paraId="1C2D2130" w14:textId="77777777" w:rsidR="00931CC1" w:rsidRPr="00A32897" w:rsidRDefault="00931CC1" w:rsidP="005047C7">
            <w:pPr>
              <w:rPr>
                <w:rFonts w:ascii="Calibri" w:hAnsi="Calibri" w:cs="Calibri"/>
                <w:b/>
                <w:i/>
                <w:sz w:val="22"/>
                <w:szCs w:val="22"/>
              </w:rPr>
            </w:pPr>
            <w:r w:rsidRPr="00A32897">
              <w:rPr>
                <w:rFonts w:ascii="Calibri" w:hAnsi="Calibri" w:cs="Calibri"/>
                <w:sz w:val="22"/>
                <w:szCs w:val="22"/>
              </w:rPr>
              <w:t>NA</w:t>
            </w:r>
          </w:p>
        </w:tc>
        <w:tc>
          <w:tcPr>
            <w:tcW w:w="1701" w:type="dxa"/>
          </w:tcPr>
          <w:p w14:paraId="0A5EFF83"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CO 533/523/5</w:t>
            </w:r>
          </w:p>
        </w:tc>
        <w:tc>
          <w:tcPr>
            <w:tcW w:w="3402" w:type="dxa"/>
          </w:tcPr>
          <w:p w14:paraId="797D0C98"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Filarial Disease (Onchocerciasis): South Kavirondo</w:t>
            </w:r>
          </w:p>
        </w:tc>
        <w:tc>
          <w:tcPr>
            <w:tcW w:w="2552" w:type="dxa"/>
          </w:tcPr>
          <w:p w14:paraId="4D591269"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1940</w:t>
            </w:r>
          </w:p>
        </w:tc>
      </w:tr>
      <w:tr w:rsidR="00931CC1" w:rsidRPr="00A32897" w14:paraId="009D7B24" w14:textId="77777777" w:rsidTr="005047C7">
        <w:tc>
          <w:tcPr>
            <w:tcW w:w="1696" w:type="dxa"/>
          </w:tcPr>
          <w:p w14:paraId="211C337E" w14:textId="77777777" w:rsidR="00931CC1" w:rsidRPr="00A32897" w:rsidRDefault="00931CC1" w:rsidP="005047C7">
            <w:pPr>
              <w:rPr>
                <w:rFonts w:ascii="Calibri" w:hAnsi="Calibri" w:cs="Calibri"/>
                <w:b/>
                <w:i/>
                <w:sz w:val="22"/>
                <w:szCs w:val="22"/>
              </w:rPr>
            </w:pPr>
            <w:r w:rsidRPr="00A32897">
              <w:rPr>
                <w:rFonts w:ascii="Calibri" w:hAnsi="Calibri" w:cs="Calibri"/>
                <w:sz w:val="22"/>
                <w:szCs w:val="22"/>
              </w:rPr>
              <w:t>NA</w:t>
            </w:r>
          </w:p>
        </w:tc>
        <w:tc>
          <w:tcPr>
            <w:tcW w:w="1701" w:type="dxa"/>
          </w:tcPr>
          <w:p w14:paraId="51F02ED5"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FD 23/4358</w:t>
            </w:r>
          </w:p>
        </w:tc>
        <w:tc>
          <w:tcPr>
            <w:tcW w:w="3402" w:type="dxa"/>
          </w:tcPr>
          <w:p w14:paraId="064174D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papers, notes and correspondence concerning the WHO onchocerciasis control programme in West Africa; minutes of meetings held on 6</w:t>
            </w:r>
            <w:r w:rsidRPr="00A32897">
              <w:rPr>
                <w:rFonts w:ascii="Calibri" w:hAnsi="Calibri" w:cs="Calibri"/>
                <w:sz w:val="22"/>
                <w:szCs w:val="22"/>
                <w:vertAlign w:val="superscript"/>
              </w:rPr>
              <w:t>th</w:t>
            </w:r>
            <w:r w:rsidRPr="00A32897">
              <w:rPr>
                <w:rFonts w:ascii="Calibri" w:hAnsi="Calibri" w:cs="Calibri"/>
                <w:sz w:val="22"/>
                <w:szCs w:val="22"/>
              </w:rPr>
              <w:t xml:space="preserve"> and 28</w:t>
            </w:r>
            <w:r w:rsidRPr="00A32897">
              <w:rPr>
                <w:rFonts w:ascii="Calibri" w:hAnsi="Calibri" w:cs="Calibri"/>
                <w:sz w:val="22"/>
                <w:szCs w:val="22"/>
                <w:vertAlign w:val="superscript"/>
              </w:rPr>
              <w:t>th</w:t>
            </w:r>
            <w:r w:rsidRPr="00A32897">
              <w:rPr>
                <w:rFonts w:ascii="Calibri" w:hAnsi="Calibri" w:cs="Calibri"/>
                <w:sz w:val="22"/>
                <w:szCs w:val="22"/>
              </w:rPr>
              <w:t xml:space="preserve"> November 1973</w:t>
            </w:r>
          </w:p>
        </w:tc>
        <w:tc>
          <w:tcPr>
            <w:tcW w:w="2552" w:type="dxa"/>
          </w:tcPr>
          <w:p w14:paraId="182C9003"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1973 – 31 December 1977</w:t>
            </w:r>
          </w:p>
        </w:tc>
      </w:tr>
      <w:tr w:rsidR="00931CC1" w:rsidRPr="00A32897" w14:paraId="5959A4C0" w14:textId="77777777" w:rsidTr="005047C7">
        <w:tc>
          <w:tcPr>
            <w:tcW w:w="1696" w:type="dxa"/>
          </w:tcPr>
          <w:p w14:paraId="3489C276" w14:textId="77777777" w:rsidR="00931CC1" w:rsidRPr="00A32897" w:rsidRDefault="00931CC1" w:rsidP="005047C7">
            <w:pPr>
              <w:rPr>
                <w:rFonts w:ascii="Calibri" w:hAnsi="Calibri" w:cs="Calibri"/>
                <w:b/>
                <w:i/>
                <w:sz w:val="22"/>
                <w:szCs w:val="22"/>
              </w:rPr>
            </w:pPr>
            <w:r w:rsidRPr="00A32897">
              <w:rPr>
                <w:rFonts w:ascii="Calibri" w:hAnsi="Calibri" w:cs="Calibri"/>
                <w:sz w:val="22"/>
                <w:szCs w:val="22"/>
              </w:rPr>
              <w:t>NA</w:t>
            </w:r>
          </w:p>
        </w:tc>
        <w:tc>
          <w:tcPr>
            <w:tcW w:w="1701" w:type="dxa"/>
          </w:tcPr>
          <w:p w14:paraId="23F5ED0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OD 113/21</w:t>
            </w:r>
          </w:p>
        </w:tc>
        <w:tc>
          <w:tcPr>
            <w:tcW w:w="3402" w:type="dxa"/>
          </w:tcPr>
          <w:p w14:paraId="2C93FC4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Western and Northern Africa: assistance to the World Health Organization (WHO) programme for the control of onchocerciasis (river blindness)</w:t>
            </w:r>
          </w:p>
        </w:tc>
        <w:tc>
          <w:tcPr>
            <w:tcW w:w="2552" w:type="dxa"/>
          </w:tcPr>
          <w:p w14:paraId="4442FFBC"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1979 – 31 December 1979</w:t>
            </w:r>
          </w:p>
        </w:tc>
      </w:tr>
      <w:tr w:rsidR="00931CC1" w:rsidRPr="00A32897" w14:paraId="3E4F6011" w14:textId="77777777" w:rsidTr="005047C7">
        <w:tc>
          <w:tcPr>
            <w:tcW w:w="1696" w:type="dxa"/>
          </w:tcPr>
          <w:p w14:paraId="5F124CFD" w14:textId="77777777" w:rsidR="00931CC1" w:rsidRPr="00A32897" w:rsidRDefault="00931CC1" w:rsidP="005047C7">
            <w:pPr>
              <w:rPr>
                <w:rFonts w:ascii="Calibri" w:hAnsi="Calibri" w:cs="Calibri"/>
                <w:b/>
                <w:i/>
                <w:sz w:val="22"/>
                <w:szCs w:val="22"/>
              </w:rPr>
            </w:pPr>
            <w:r w:rsidRPr="00A32897">
              <w:rPr>
                <w:rFonts w:ascii="Calibri" w:hAnsi="Calibri" w:cs="Calibri"/>
                <w:sz w:val="22"/>
                <w:szCs w:val="22"/>
              </w:rPr>
              <w:t>NA</w:t>
            </w:r>
          </w:p>
        </w:tc>
        <w:tc>
          <w:tcPr>
            <w:tcW w:w="1701" w:type="dxa"/>
          </w:tcPr>
          <w:p w14:paraId="5C206DAF"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OD 113/22</w:t>
            </w:r>
          </w:p>
        </w:tc>
        <w:tc>
          <w:tcPr>
            <w:tcW w:w="3402" w:type="dxa"/>
          </w:tcPr>
          <w:p w14:paraId="631CC25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Western and Northern Africa: assistance to the World Health Organization (WHO) programme for the control of onchocerciasis (river blindness)</w:t>
            </w:r>
          </w:p>
        </w:tc>
        <w:tc>
          <w:tcPr>
            <w:tcW w:w="2552" w:type="dxa"/>
          </w:tcPr>
          <w:p w14:paraId="61596A49"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1979 – 31 December 1979</w:t>
            </w:r>
          </w:p>
        </w:tc>
      </w:tr>
      <w:tr w:rsidR="00931CC1" w:rsidRPr="00A32897" w14:paraId="6C6FF291" w14:textId="77777777" w:rsidTr="005047C7">
        <w:tc>
          <w:tcPr>
            <w:tcW w:w="1696" w:type="dxa"/>
          </w:tcPr>
          <w:p w14:paraId="06253516" w14:textId="77777777" w:rsidR="00931CC1" w:rsidRPr="00A32897" w:rsidRDefault="00931CC1" w:rsidP="005047C7">
            <w:pPr>
              <w:rPr>
                <w:rFonts w:ascii="Calibri" w:hAnsi="Calibri" w:cs="Calibri"/>
                <w:b/>
                <w:i/>
                <w:sz w:val="22"/>
                <w:szCs w:val="22"/>
              </w:rPr>
            </w:pPr>
            <w:r w:rsidRPr="00A32897">
              <w:rPr>
                <w:rFonts w:ascii="Calibri" w:hAnsi="Calibri" w:cs="Calibri"/>
                <w:sz w:val="22"/>
                <w:szCs w:val="22"/>
              </w:rPr>
              <w:t>NA</w:t>
            </w:r>
          </w:p>
        </w:tc>
        <w:tc>
          <w:tcPr>
            <w:tcW w:w="1701" w:type="dxa"/>
          </w:tcPr>
          <w:p w14:paraId="5C72365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OD 113/23</w:t>
            </w:r>
          </w:p>
        </w:tc>
        <w:tc>
          <w:tcPr>
            <w:tcW w:w="3402" w:type="dxa"/>
          </w:tcPr>
          <w:p w14:paraId="249BFEB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Western and Northern Africa: assistance to the World Health Organization (WHO) programme for the control of onchocerciasis (river blindness)</w:t>
            </w:r>
          </w:p>
        </w:tc>
        <w:tc>
          <w:tcPr>
            <w:tcW w:w="2552" w:type="dxa"/>
          </w:tcPr>
          <w:p w14:paraId="0F87EBDB"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1979 – 31 December 1979</w:t>
            </w:r>
          </w:p>
        </w:tc>
      </w:tr>
      <w:tr w:rsidR="00931CC1" w:rsidRPr="00A32897" w14:paraId="110B20EE" w14:textId="77777777" w:rsidTr="005047C7">
        <w:tc>
          <w:tcPr>
            <w:tcW w:w="1696" w:type="dxa"/>
          </w:tcPr>
          <w:p w14:paraId="1DB9A5DB" w14:textId="77777777" w:rsidR="00931CC1" w:rsidRPr="00A32897" w:rsidRDefault="00931CC1" w:rsidP="005047C7">
            <w:pPr>
              <w:rPr>
                <w:rFonts w:ascii="Calibri" w:hAnsi="Calibri" w:cs="Calibri"/>
                <w:b/>
                <w:i/>
                <w:sz w:val="22"/>
                <w:szCs w:val="22"/>
              </w:rPr>
            </w:pPr>
            <w:r w:rsidRPr="00A32897">
              <w:rPr>
                <w:rFonts w:ascii="Calibri" w:hAnsi="Calibri" w:cs="Calibri"/>
                <w:sz w:val="22"/>
                <w:szCs w:val="22"/>
              </w:rPr>
              <w:t>NA</w:t>
            </w:r>
          </w:p>
        </w:tc>
        <w:tc>
          <w:tcPr>
            <w:tcW w:w="1701" w:type="dxa"/>
          </w:tcPr>
          <w:p w14:paraId="761C7BB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OD 113/24</w:t>
            </w:r>
          </w:p>
        </w:tc>
        <w:tc>
          <w:tcPr>
            <w:tcW w:w="3402" w:type="dxa"/>
          </w:tcPr>
          <w:p w14:paraId="3DC37F1D"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Western and Northern Africa: assistance to the World Health Organization (WHO) programme for the control of onchocerciasis (river blindness)</w:t>
            </w:r>
          </w:p>
        </w:tc>
        <w:tc>
          <w:tcPr>
            <w:tcW w:w="2552" w:type="dxa"/>
          </w:tcPr>
          <w:p w14:paraId="0FF04EC9"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1979 – 31 December 1980</w:t>
            </w:r>
          </w:p>
        </w:tc>
      </w:tr>
      <w:tr w:rsidR="00931CC1" w:rsidRPr="00A32897" w14:paraId="0B675108" w14:textId="77777777" w:rsidTr="005047C7">
        <w:tc>
          <w:tcPr>
            <w:tcW w:w="1696" w:type="dxa"/>
          </w:tcPr>
          <w:p w14:paraId="72FB0EDE" w14:textId="77777777" w:rsidR="00931CC1" w:rsidRPr="00A32897" w:rsidRDefault="00931CC1" w:rsidP="005047C7">
            <w:pPr>
              <w:rPr>
                <w:rFonts w:ascii="Calibri" w:hAnsi="Calibri" w:cs="Calibri"/>
                <w:b/>
                <w:i/>
                <w:sz w:val="22"/>
                <w:szCs w:val="22"/>
              </w:rPr>
            </w:pPr>
            <w:r w:rsidRPr="00A32897">
              <w:rPr>
                <w:rFonts w:ascii="Calibri" w:hAnsi="Calibri" w:cs="Calibri"/>
                <w:sz w:val="22"/>
                <w:szCs w:val="22"/>
              </w:rPr>
              <w:t>NA</w:t>
            </w:r>
          </w:p>
        </w:tc>
        <w:tc>
          <w:tcPr>
            <w:tcW w:w="1701" w:type="dxa"/>
          </w:tcPr>
          <w:p w14:paraId="247654A2"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OD 113/25</w:t>
            </w:r>
          </w:p>
        </w:tc>
        <w:tc>
          <w:tcPr>
            <w:tcW w:w="3402" w:type="dxa"/>
          </w:tcPr>
          <w:p w14:paraId="6A999999"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Western and Northern Africa: assistance to the World Health Organization (WHO) programme for the control of onchocerciasis (river blindness)</w:t>
            </w:r>
          </w:p>
        </w:tc>
        <w:tc>
          <w:tcPr>
            <w:tcW w:w="2552" w:type="dxa"/>
          </w:tcPr>
          <w:p w14:paraId="21A67F1D"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1980 – 31 December 1980</w:t>
            </w:r>
          </w:p>
        </w:tc>
      </w:tr>
      <w:tr w:rsidR="00931CC1" w:rsidRPr="00A32897" w14:paraId="4ECD564E" w14:textId="77777777" w:rsidTr="005047C7">
        <w:tc>
          <w:tcPr>
            <w:tcW w:w="1696" w:type="dxa"/>
          </w:tcPr>
          <w:p w14:paraId="159C5D0D" w14:textId="77777777" w:rsidR="00931CC1" w:rsidRPr="00A32897" w:rsidRDefault="00931CC1" w:rsidP="005047C7">
            <w:pPr>
              <w:rPr>
                <w:rFonts w:ascii="Calibri" w:hAnsi="Calibri" w:cs="Calibri"/>
                <w:b/>
                <w:i/>
                <w:sz w:val="22"/>
                <w:szCs w:val="22"/>
              </w:rPr>
            </w:pPr>
            <w:r w:rsidRPr="00A32897">
              <w:rPr>
                <w:rFonts w:ascii="Calibri" w:hAnsi="Calibri" w:cs="Calibri"/>
                <w:sz w:val="22"/>
                <w:szCs w:val="22"/>
              </w:rPr>
              <w:t>NA</w:t>
            </w:r>
          </w:p>
        </w:tc>
        <w:tc>
          <w:tcPr>
            <w:tcW w:w="1701" w:type="dxa"/>
          </w:tcPr>
          <w:p w14:paraId="2AAA7798"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OD 113/26</w:t>
            </w:r>
          </w:p>
        </w:tc>
        <w:tc>
          <w:tcPr>
            <w:tcW w:w="3402" w:type="dxa"/>
          </w:tcPr>
          <w:p w14:paraId="68BABAB6"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 xml:space="preserve">Western and Northern Africa: assistance to the World Health Organization (WHO) programme </w:t>
            </w:r>
            <w:r w:rsidRPr="00A32897">
              <w:rPr>
                <w:rFonts w:ascii="Calibri" w:hAnsi="Calibri" w:cs="Calibri"/>
                <w:sz w:val="22"/>
                <w:szCs w:val="22"/>
              </w:rPr>
              <w:lastRenderedPageBreak/>
              <w:t>for the control of onchocerciasis (river blindness)</w:t>
            </w:r>
          </w:p>
        </w:tc>
        <w:tc>
          <w:tcPr>
            <w:tcW w:w="2552" w:type="dxa"/>
          </w:tcPr>
          <w:p w14:paraId="5E99D6AB"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lastRenderedPageBreak/>
              <w:t>1 December 1980 – 31 December 1981</w:t>
            </w:r>
          </w:p>
        </w:tc>
      </w:tr>
      <w:tr w:rsidR="00931CC1" w:rsidRPr="00A32897" w14:paraId="0F6D44DC" w14:textId="77777777" w:rsidTr="005047C7">
        <w:tc>
          <w:tcPr>
            <w:tcW w:w="1696" w:type="dxa"/>
            <w:tcBorders>
              <w:bottom w:val="single" w:sz="4" w:space="0" w:color="auto"/>
            </w:tcBorders>
          </w:tcPr>
          <w:p w14:paraId="3674D5AA" w14:textId="77777777" w:rsidR="00931CC1" w:rsidRPr="00A32897" w:rsidRDefault="00931CC1" w:rsidP="005047C7">
            <w:pPr>
              <w:rPr>
                <w:rFonts w:ascii="Calibri" w:hAnsi="Calibri" w:cs="Calibri"/>
                <w:b/>
                <w:i/>
                <w:sz w:val="22"/>
                <w:szCs w:val="22"/>
              </w:rPr>
            </w:pPr>
            <w:r w:rsidRPr="00A32897">
              <w:rPr>
                <w:rFonts w:ascii="Calibri" w:hAnsi="Calibri" w:cs="Calibri"/>
                <w:sz w:val="22"/>
                <w:szCs w:val="22"/>
              </w:rPr>
              <w:t>NA</w:t>
            </w:r>
          </w:p>
        </w:tc>
        <w:tc>
          <w:tcPr>
            <w:tcW w:w="1701" w:type="dxa"/>
            <w:tcBorders>
              <w:bottom w:val="single" w:sz="4" w:space="0" w:color="auto"/>
            </w:tcBorders>
          </w:tcPr>
          <w:p w14:paraId="3B35A0B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T 317/2046</w:t>
            </w:r>
          </w:p>
        </w:tc>
        <w:tc>
          <w:tcPr>
            <w:tcW w:w="3402" w:type="dxa"/>
            <w:tcBorders>
              <w:bottom w:val="single" w:sz="4" w:space="0" w:color="auto"/>
            </w:tcBorders>
          </w:tcPr>
          <w:p w14:paraId="13646587"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International Bank for Reconstruction and Development (IBRD): control of onchocerciasis (river blindness) in Western Africa</w:t>
            </w:r>
          </w:p>
        </w:tc>
        <w:tc>
          <w:tcPr>
            <w:tcW w:w="2552" w:type="dxa"/>
            <w:tcBorders>
              <w:bottom w:val="single" w:sz="4" w:space="0" w:color="auto"/>
            </w:tcBorders>
          </w:tcPr>
          <w:p w14:paraId="0D97B0FB"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1973 – 31 December 1975</w:t>
            </w:r>
          </w:p>
        </w:tc>
      </w:tr>
      <w:tr w:rsidR="00931CC1" w:rsidRPr="00A32897" w14:paraId="017FFA1E" w14:textId="77777777" w:rsidTr="005047C7">
        <w:tc>
          <w:tcPr>
            <w:tcW w:w="1696" w:type="dxa"/>
            <w:tcBorders>
              <w:right w:val="nil"/>
            </w:tcBorders>
          </w:tcPr>
          <w:p w14:paraId="6DF75DD2" w14:textId="77777777" w:rsidR="00931CC1" w:rsidRPr="00A32897" w:rsidRDefault="00931CC1" w:rsidP="005047C7">
            <w:pPr>
              <w:rPr>
                <w:rFonts w:ascii="Calibri" w:hAnsi="Calibri" w:cs="Calibri"/>
                <w:b/>
                <w:i/>
                <w:sz w:val="22"/>
                <w:szCs w:val="22"/>
              </w:rPr>
            </w:pPr>
          </w:p>
        </w:tc>
        <w:tc>
          <w:tcPr>
            <w:tcW w:w="1701" w:type="dxa"/>
            <w:tcBorders>
              <w:left w:val="nil"/>
              <w:bottom w:val="single" w:sz="4" w:space="0" w:color="auto"/>
              <w:right w:val="nil"/>
            </w:tcBorders>
          </w:tcPr>
          <w:p w14:paraId="45D74071" w14:textId="77777777" w:rsidR="00931CC1" w:rsidRPr="00A32897" w:rsidRDefault="00931CC1" w:rsidP="005047C7">
            <w:pPr>
              <w:rPr>
                <w:rFonts w:ascii="Calibri" w:hAnsi="Calibri" w:cs="Calibri"/>
                <w:sz w:val="22"/>
                <w:szCs w:val="22"/>
              </w:rPr>
            </w:pPr>
          </w:p>
        </w:tc>
        <w:tc>
          <w:tcPr>
            <w:tcW w:w="3402" w:type="dxa"/>
            <w:tcBorders>
              <w:left w:val="nil"/>
              <w:bottom w:val="single" w:sz="4" w:space="0" w:color="auto"/>
              <w:right w:val="nil"/>
            </w:tcBorders>
          </w:tcPr>
          <w:p w14:paraId="6DD01254" w14:textId="77777777" w:rsidR="00931CC1" w:rsidRPr="00A32897" w:rsidRDefault="00931CC1" w:rsidP="005047C7">
            <w:pPr>
              <w:rPr>
                <w:rFonts w:ascii="Calibri" w:hAnsi="Calibri" w:cs="Calibri"/>
                <w:sz w:val="22"/>
                <w:szCs w:val="22"/>
              </w:rPr>
            </w:pPr>
          </w:p>
        </w:tc>
        <w:tc>
          <w:tcPr>
            <w:tcW w:w="2552" w:type="dxa"/>
            <w:tcBorders>
              <w:left w:val="nil"/>
              <w:bottom w:val="single" w:sz="4" w:space="0" w:color="auto"/>
            </w:tcBorders>
          </w:tcPr>
          <w:p w14:paraId="625C1434" w14:textId="77777777" w:rsidR="00931CC1" w:rsidRPr="00A32897" w:rsidRDefault="00931CC1" w:rsidP="005047C7">
            <w:pPr>
              <w:rPr>
                <w:rFonts w:ascii="Calibri" w:hAnsi="Calibri" w:cs="Calibri"/>
                <w:sz w:val="22"/>
                <w:szCs w:val="22"/>
              </w:rPr>
            </w:pPr>
          </w:p>
        </w:tc>
      </w:tr>
      <w:tr w:rsidR="00931CC1" w:rsidRPr="00A32897" w14:paraId="2C694D56" w14:textId="77777777" w:rsidTr="005047C7">
        <w:trPr>
          <w:trHeight w:val="375"/>
        </w:trPr>
        <w:tc>
          <w:tcPr>
            <w:tcW w:w="9351" w:type="dxa"/>
            <w:gridSpan w:val="4"/>
          </w:tcPr>
          <w:p w14:paraId="25AB019B" w14:textId="77777777" w:rsidR="00931CC1" w:rsidRPr="00A32897" w:rsidRDefault="00931CC1" w:rsidP="005047C7">
            <w:pPr>
              <w:rPr>
                <w:rFonts w:ascii="Calibri" w:hAnsi="Calibri" w:cs="Calibri"/>
                <w:sz w:val="22"/>
                <w:szCs w:val="22"/>
              </w:rPr>
            </w:pPr>
            <w:r w:rsidRPr="00A32897">
              <w:rPr>
                <w:rFonts w:ascii="Calibri" w:hAnsi="Calibri" w:cs="Calibri"/>
                <w:b/>
                <w:i/>
                <w:sz w:val="22"/>
                <w:szCs w:val="22"/>
              </w:rPr>
              <w:t>World Health Organization Archives, HQ (WHOA)</w:t>
            </w:r>
          </w:p>
        </w:tc>
      </w:tr>
      <w:tr w:rsidR="00931CC1" w:rsidRPr="00A32897" w14:paraId="798907FD" w14:textId="77777777" w:rsidTr="005047C7">
        <w:tc>
          <w:tcPr>
            <w:tcW w:w="1696" w:type="dxa"/>
          </w:tcPr>
          <w:p w14:paraId="5EC899CB"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WHOA</w:t>
            </w:r>
          </w:p>
        </w:tc>
        <w:tc>
          <w:tcPr>
            <w:tcW w:w="1701" w:type="dxa"/>
          </w:tcPr>
          <w:p w14:paraId="50C0F61F"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O8-370-4</w:t>
            </w:r>
          </w:p>
        </w:tc>
        <w:tc>
          <w:tcPr>
            <w:tcW w:w="3402" w:type="dxa"/>
          </w:tcPr>
          <w:p w14:paraId="15AEDEAD"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PROGRAMME PLANNING FOR THE ONCHOCERCIASIS CHEMOTHERAPY PROJECT</w:t>
            </w:r>
          </w:p>
        </w:tc>
        <w:tc>
          <w:tcPr>
            <w:tcW w:w="2552" w:type="dxa"/>
          </w:tcPr>
          <w:p w14:paraId="70A15D66"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1983 – 1 January 1991</w:t>
            </w:r>
          </w:p>
        </w:tc>
      </w:tr>
      <w:tr w:rsidR="00931CC1" w:rsidRPr="00A32897" w14:paraId="7F998891" w14:textId="77777777" w:rsidTr="005047C7">
        <w:tc>
          <w:tcPr>
            <w:tcW w:w="1696" w:type="dxa"/>
          </w:tcPr>
          <w:p w14:paraId="19047185"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WHOA</w:t>
            </w:r>
          </w:p>
        </w:tc>
        <w:tc>
          <w:tcPr>
            <w:tcW w:w="1701" w:type="dxa"/>
          </w:tcPr>
          <w:p w14:paraId="5A83B17D"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O8-372-3</w:t>
            </w:r>
          </w:p>
        </w:tc>
        <w:tc>
          <w:tcPr>
            <w:tcW w:w="3402" w:type="dxa"/>
          </w:tcPr>
          <w:p w14:paraId="093CEEC4"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OCP – COOPERATION WITH AGENCIES OR DONORS – INTERNATIONAL BANK FOR RECONSTRUCTION AND DEVELOPMENT</w:t>
            </w:r>
          </w:p>
        </w:tc>
        <w:tc>
          <w:tcPr>
            <w:tcW w:w="2552" w:type="dxa"/>
          </w:tcPr>
          <w:p w14:paraId="01A08D54"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JKT 1: 1 January 1967 – 1 January 1973</w:t>
            </w:r>
          </w:p>
          <w:p w14:paraId="075A84DE" w14:textId="77777777" w:rsidR="00931CC1" w:rsidRPr="00A32897" w:rsidRDefault="00931CC1" w:rsidP="005047C7">
            <w:pPr>
              <w:rPr>
                <w:rFonts w:ascii="Calibri" w:hAnsi="Calibri" w:cs="Calibri"/>
                <w:sz w:val="22"/>
                <w:szCs w:val="22"/>
              </w:rPr>
            </w:pPr>
          </w:p>
          <w:p w14:paraId="36A7F8B7"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JKT 2: 1 January 1974 – 1 January 1993</w:t>
            </w:r>
          </w:p>
          <w:p w14:paraId="64FD4F12" w14:textId="77777777" w:rsidR="00931CC1" w:rsidRPr="00A32897" w:rsidRDefault="00931CC1" w:rsidP="005047C7">
            <w:pPr>
              <w:rPr>
                <w:rFonts w:ascii="Calibri" w:hAnsi="Calibri" w:cs="Calibri"/>
                <w:sz w:val="22"/>
                <w:szCs w:val="22"/>
              </w:rPr>
            </w:pPr>
          </w:p>
          <w:p w14:paraId="64CF4BBD"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JKT 3: 1 January 1994 – 1 January 1994</w:t>
            </w:r>
          </w:p>
        </w:tc>
      </w:tr>
      <w:tr w:rsidR="00931CC1" w:rsidRPr="00A32897" w14:paraId="7BEC829B" w14:textId="77777777" w:rsidTr="005047C7">
        <w:tc>
          <w:tcPr>
            <w:tcW w:w="1696" w:type="dxa"/>
            <w:tcBorders>
              <w:bottom w:val="single" w:sz="4" w:space="0" w:color="auto"/>
            </w:tcBorders>
          </w:tcPr>
          <w:p w14:paraId="40192CF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WHOA</w:t>
            </w:r>
          </w:p>
        </w:tc>
        <w:tc>
          <w:tcPr>
            <w:tcW w:w="1701" w:type="dxa"/>
            <w:tcBorders>
              <w:bottom w:val="single" w:sz="4" w:space="0" w:color="auto"/>
            </w:tcBorders>
          </w:tcPr>
          <w:p w14:paraId="20DFF21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O8-446-6</w:t>
            </w:r>
          </w:p>
        </w:tc>
        <w:tc>
          <w:tcPr>
            <w:tcW w:w="3402" w:type="dxa"/>
            <w:tcBorders>
              <w:bottom w:val="single" w:sz="4" w:space="0" w:color="auto"/>
            </w:tcBorders>
          </w:tcPr>
          <w:p w14:paraId="4A57A384"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GENERAL CORRESPONDENCE ON ANTIFILARIAL SUBSTANCES</w:t>
            </w:r>
          </w:p>
        </w:tc>
        <w:tc>
          <w:tcPr>
            <w:tcW w:w="2552" w:type="dxa"/>
            <w:tcBorders>
              <w:bottom w:val="single" w:sz="4" w:space="0" w:color="auto"/>
            </w:tcBorders>
          </w:tcPr>
          <w:p w14:paraId="1F28D127"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1989 – 1 January 1991</w:t>
            </w:r>
          </w:p>
        </w:tc>
      </w:tr>
      <w:tr w:rsidR="00931CC1" w:rsidRPr="00A32897" w14:paraId="4573E485" w14:textId="77777777" w:rsidTr="005047C7">
        <w:tc>
          <w:tcPr>
            <w:tcW w:w="1696" w:type="dxa"/>
            <w:tcBorders>
              <w:bottom w:val="single" w:sz="4" w:space="0" w:color="auto"/>
            </w:tcBorders>
          </w:tcPr>
          <w:p w14:paraId="3B5B726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WHOA</w:t>
            </w:r>
          </w:p>
        </w:tc>
        <w:tc>
          <w:tcPr>
            <w:tcW w:w="1701" w:type="dxa"/>
            <w:tcBorders>
              <w:bottom w:val="single" w:sz="4" w:space="0" w:color="auto"/>
            </w:tcBorders>
          </w:tcPr>
          <w:p w14:paraId="3E411AF5"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08-446-6(I)9</w:t>
            </w:r>
          </w:p>
        </w:tc>
        <w:tc>
          <w:tcPr>
            <w:tcW w:w="3402" w:type="dxa"/>
            <w:tcBorders>
              <w:bottom w:val="single" w:sz="4" w:space="0" w:color="auto"/>
            </w:tcBorders>
          </w:tcPr>
          <w:p w14:paraId="62B409A9"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TRIALS OF IVERMECTIN IN THE TREATMENT OF ONCHOCERCIASIS</w:t>
            </w:r>
          </w:p>
        </w:tc>
        <w:tc>
          <w:tcPr>
            <w:tcW w:w="2552" w:type="dxa"/>
            <w:tcBorders>
              <w:bottom w:val="single" w:sz="4" w:space="0" w:color="auto"/>
            </w:tcBorders>
          </w:tcPr>
          <w:p w14:paraId="2FE37E60"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 January 1990 – 31 March 1997</w:t>
            </w:r>
          </w:p>
        </w:tc>
      </w:tr>
      <w:tr w:rsidR="00931CC1" w:rsidRPr="00A32897" w14:paraId="32278921" w14:textId="77777777" w:rsidTr="005047C7">
        <w:tc>
          <w:tcPr>
            <w:tcW w:w="1696" w:type="dxa"/>
            <w:tcBorders>
              <w:bottom w:val="single" w:sz="4" w:space="0" w:color="auto"/>
              <w:right w:val="nil"/>
            </w:tcBorders>
          </w:tcPr>
          <w:p w14:paraId="0A128C46" w14:textId="77777777" w:rsidR="00931CC1" w:rsidRPr="00A32897" w:rsidRDefault="00931CC1" w:rsidP="005047C7">
            <w:pPr>
              <w:rPr>
                <w:rFonts w:ascii="Calibri" w:hAnsi="Calibri" w:cs="Calibri"/>
                <w:sz w:val="22"/>
                <w:szCs w:val="22"/>
              </w:rPr>
            </w:pPr>
          </w:p>
        </w:tc>
        <w:tc>
          <w:tcPr>
            <w:tcW w:w="1701" w:type="dxa"/>
            <w:tcBorders>
              <w:left w:val="nil"/>
              <w:bottom w:val="single" w:sz="4" w:space="0" w:color="auto"/>
              <w:right w:val="nil"/>
            </w:tcBorders>
          </w:tcPr>
          <w:p w14:paraId="049C17A0" w14:textId="77777777" w:rsidR="00931CC1" w:rsidRPr="00A32897" w:rsidRDefault="00931CC1" w:rsidP="005047C7">
            <w:pPr>
              <w:rPr>
                <w:rFonts w:ascii="Calibri" w:hAnsi="Calibri" w:cs="Calibri"/>
                <w:sz w:val="22"/>
                <w:szCs w:val="22"/>
              </w:rPr>
            </w:pPr>
          </w:p>
        </w:tc>
        <w:tc>
          <w:tcPr>
            <w:tcW w:w="3402" w:type="dxa"/>
            <w:tcBorders>
              <w:left w:val="nil"/>
              <w:bottom w:val="single" w:sz="4" w:space="0" w:color="auto"/>
              <w:right w:val="nil"/>
            </w:tcBorders>
          </w:tcPr>
          <w:p w14:paraId="7342FF75" w14:textId="77777777" w:rsidR="00931CC1" w:rsidRPr="00A32897" w:rsidRDefault="00931CC1" w:rsidP="005047C7">
            <w:pPr>
              <w:rPr>
                <w:rFonts w:ascii="Calibri" w:hAnsi="Calibri" w:cs="Calibri"/>
                <w:sz w:val="22"/>
                <w:szCs w:val="22"/>
              </w:rPr>
            </w:pPr>
          </w:p>
        </w:tc>
        <w:tc>
          <w:tcPr>
            <w:tcW w:w="2552" w:type="dxa"/>
            <w:tcBorders>
              <w:left w:val="nil"/>
              <w:bottom w:val="single" w:sz="4" w:space="0" w:color="auto"/>
            </w:tcBorders>
          </w:tcPr>
          <w:p w14:paraId="6C4F1D64" w14:textId="77777777" w:rsidR="00931CC1" w:rsidRPr="00A32897" w:rsidRDefault="00931CC1" w:rsidP="005047C7">
            <w:pPr>
              <w:rPr>
                <w:rFonts w:ascii="Calibri" w:hAnsi="Calibri" w:cs="Calibri"/>
                <w:sz w:val="22"/>
                <w:szCs w:val="22"/>
              </w:rPr>
            </w:pPr>
          </w:p>
        </w:tc>
      </w:tr>
      <w:tr w:rsidR="00931CC1" w:rsidRPr="00A32897" w14:paraId="5A208747" w14:textId="77777777" w:rsidTr="005047C7">
        <w:trPr>
          <w:trHeight w:val="416"/>
        </w:trPr>
        <w:tc>
          <w:tcPr>
            <w:tcW w:w="9351" w:type="dxa"/>
            <w:gridSpan w:val="4"/>
          </w:tcPr>
          <w:p w14:paraId="31C47DF2" w14:textId="77777777" w:rsidR="00931CC1" w:rsidRPr="00A32897" w:rsidRDefault="00931CC1" w:rsidP="005047C7">
            <w:pPr>
              <w:rPr>
                <w:rFonts w:ascii="Calibri" w:hAnsi="Calibri" w:cs="Calibri"/>
                <w:b/>
                <w:i/>
                <w:sz w:val="22"/>
                <w:szCs w:val="22"/>
              </w:rPr>
            </w:pPr>
            <w:r w:rsidRPr="00A32897">
              <w:rPr>
                <w:rFonts w:ascii="Calibri" w:hAnsi="Calibri" w:cs="Calibri"/>
                <w:b/>
                <w:i/>
                <w:sz w:val="22"/>
                <w:szCs w:val="22"/>
              </w:rPr>
              <w:t>Food and Agriculture Organization Archives (FAOA)</w:t>
            </w:r>
          </w:p>
        </w:tc>
      </w:tr>
      <w:tr w:rsidR="00931CC1" w:rsidRPr="00A32897" w14:paraId="436B25E5" w14:textId="77777777" w:rsidTr="005047C7">
        <w:tc>
          <w:tcPr>
            <w:tcW w:w="1696" w:type="dxa"/>
          </w:tcPr>
          <w:p w14:paraId="2CF28AE2"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FAOA</w:t>
            </w:r>
          </w:p>
        </w:tc>
        <w:tc>
          <w:tcPr>
            <w:tcW w:w="1701" w:type="dxa"/>
          </w:tcPr>
          <w:p w14:paraId="6FC6BCA4"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10-AGD-405</w:t>
            </w:r>
          </w:p>
        </w:tc>
        <w:tc>
          <w:tcPr>
            <w:tcW w:w="3402" w:type="dxa"/>
          </w:tcPr>
          <w:p w14:paraId="363FD6C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Steering Committee for Onchocerciasis Control</w:t>
            </w:r>
          </w:p>
        </w:tc>
        <w:tc>
          <w:tcPr>
            <w:tcW w:w="2552" w:type="dxa"/>
          </w:tcPr>
          <w:p w14:paraId="4A1FDCEC"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September 1976 – November 1984</w:t>
            </w:r>
          </w:p>
        </w:tc>
      </w:tr>
      <w:tr w:rsidR="00931CC1" w:rsidRPr="00A32897" w14:paraId="0F29297D" w14:textId="77777777" w:rsidTr="005047C7">
        <w:tc>
          <w:tcPr>
            <w:tcW w:w="1696" w:type="dxa"/>
          </w:tcPr>
          <w:p w14:paraId="0099AC12"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FAOA</w:t>
            </w:r>
          </w:p>
        </w:tc>
        <w:tc>
          <w:tcPr>
            <w:tcW w:w="1701" w:type="dxa"/>
          </w:tcPr>
          <w:p w14:paraId="226AD4E8"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10-AGS-239</w:t>
            </w:r>
          </w:p>
        </w:tc>
        <w:tc>
          <w:tcPr>
            <w:tcW w:w="3402" w:type="dxa"/>
          </w:tcPr>
          <w:p w14:paraId="77767BC1"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Control Programme</w:t>
            </w:r>
          </w:p>
        </w:tc>
        <w:tc>
          <w:tcPr>
            <w:tcW w:w="2552" w:type="dxa"/>
          </w:tcPr>
          <w:p w14:paraId="17769EA7"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February 1979 – June 1979</w:t>
            </w:r>
          </w:p>
          <w:p w14:paraId="3CB12E61" w14:textId="77777777" w:rsidR="00931CC1" w:rsidRPr="00A32897" w:rsidRDefault="00931CC1" w:rsidP="005047C7">
            <w:pPr>
              <w:rPr>
                <w:rFonts w:ascii="Calibri" w:hAnsi="Calibri" w:cs="Calibri"/>
                <w:sz w:val="22"/>
                <w:szCs w:val="22"/>
              </w:rPr>
            </w:pPr>
          </w:p>
          <w:p w14:paraId="744D248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July 1979 – August 1979</w:t>
            </w:r>
          </w:p>
          <w:p w14:paraId="4E7FB226" w14:textId="77777777" w:rsidR="00931CC1" w:rsidRPr="00A32897" w:rsidRDefault="00931CC1" w:rsidP="005047C7">
            <w:pPr>
              <w:rPr>
                <w:rFonts w:ascii="Calibri" w:hAnsi="Calibri" w:cs="Calibri"/>
                <w:sz w:val="22"/>
                <w:szCs w:val="22"/>
              </w:rPr>
            </w:pPr>
          </w:p>
          <w:p w14:paraId="13E24AED"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September 1979 – September 1979</w:t>
            </w:r>
          </w:p>
          <w:p w14:paraId="6B6127E2" w14:textId="77777777" w:rsidR="00931CC1" w:rsidRPr="00A32897" w:rsidRDefault="00931CC1" w:rsidP="005047C7">
            <w:pPr>
              <w:rPr>
                <w:rFonts w:ascii="Calibri" w:hAnsi="Calibri" w:cs="Calibri"/>
                <w:sz w:val="22"/>
                <w:szCs w:val="22"/>
              </w:rPr>
            </w:pPr>
          </w:p>
          <w:p w14:paraId="0943F560"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October 1979 – October 1979</w:t>
            </w:r>
          </w:p>
        </w:tc>
      </w:tr>
      <w:tr w:rsidR="00931CC1" w:rsidRPr="00A32897" w14:paraId="0E793C41" w14:textId="77777777" w:rsidTr="005047C7">
        <w:tc>
          <w:tcPr>
            <w:tcW w:w="1696" w:type="dxa"/>
          </w:tcPr>
          <w:p w14:paraId="39294A12"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FAOA</w:t>
            </w:r>
          </w:p>
        </w:tc>
        <w:tc>
          <w:tcPr>
            <w:tcW w:w="1701" w:type="dxa"/>
          </w:tcPr>
          <w:p w14:paraId="000B6E15"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10-AGS-240</w:t>
            </w:r>
          </w:p>
        </w:tc>
        <w:tc>
          <w:tcPr>
            <w:tcW w:w="3402" w:type="dxa"/>
          </w:tcPr>
          <w:p w14:paraId="518AD16D"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Control Programme</w:t>
            </w:r>
          </w:p>
        </w:tc>
        <w:tc>
          <w:tcPr>
            <w:tcW w:w="2552" w:type="dxa"/>
          </w:tcPr>
          <w:p w14:paraId="55912C79"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November 1979 – January 1980</w:t>
            </w:r>
          </w:p>
          <w:p w14:paraId="3D63F852" w14:textId="77777777" w:rsidR="00931CC1" w:rsidRPr="00A32897" w:rsidRDefault="00931CC1" w:rsidP="005047C7">
            <w:pPr>
              <w:rPr>
                <w:rFonts w:ascii="Calibri" w:hAnsi="Calibri" w:cs="Calibri"/>
                <w:sz w:val="22"/>
                <w:szCs w:val="22"/>
              </w:rPr>
            </w:pPr>
          </w:p>
          <w:p w14:paraId="3F3A3DE0"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February 1980 – April 1980</w:t>
            </w:r>
          </w:p>
          <w:p w14:paraId="38649D48" w14:textId="77777777" w:rsidR="00931CC1" w:rsidRPr="00A32897" w:rsidRDefault="00931CC1" w:rsidP="005047C7">
            <w:pPr>
              <w:rPr>
                <w:rFonts w:ascii="Calibri" w:hAnsi="Calibri" w:cs="Calibri"/>
                <w:sz w:val="22"/>
                <w:szCs w:val="22"/>
              </w:rPr>
            </w:pPr>
          </w:p>
          <w:p w14:paraId="06F2A402"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July 1980 – October 1980</w:t>
            </w:r>
          </w:p>
          <w:p w14:paraId="258A93D4" w14:textId="77777777" w:rsidR="00931CC1" w:rsidRPr="00A32897" w:rsidRDefault="00931CC1" w:rsidP="005047C7">
            <w:pPr>
              <w:rPr>
                <w:rFonts w:ascii="Calibri" w:hAnsi="Calibri" w:cs="Calibri"/>
                <w:sz w:val="22"/>
                <w:szCs w:val="22"/>
              </w:rPr>
            </w:pPr>
          </w:p>
          <w:p w14:paraId="50560135"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March 1981 – May 1981</w:t>
            </w:r>
          </w:p>
        </w:tc>
      </w:tr>
      <w:tr w:rsidR="00931CC1" w:rsidRPr="00A32897" w14:paraId="505DDC12" w14:textId="77777777" w:rsidTr="005047C7">
        <w:tc>
          <w:tcPr>
            <w:tcW w:w="1696" w:type="dxa"/>
          </w:tcPr>
          <w:p w14:paraId="5C092F9A"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FAOA</w:t>
            </w:r>
          </w:p>
        </w:tc>
        <w:tc>
          <w:tcPr>
            <w:tcW w:w="1701" w:type="dxa"/>
          </w:tcPr>
          <w:p w14:paraId="6774044E"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10-AGS-241</w:t>
            </w:r>
          </w:p>
        </w:tc>
        <w:tc>
          <w:tcPr>
            <w:tcW w:w="3402" w:type="dxa"/>
          </w:tcPr>
          <w:p w14:paraId="68D60A9C"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Onchocerciasis Control Programme</w:t>
            </w:r>
          </w:p>
        </w:tc>
        <w:tc>
          <w:tcPr>
            <w:tcW w:w="2552" w:type="dxa"/>
          </w:tcPr>
          <w:p w14:paraId="7662008C"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June 1981 – September 1981</w:t>
            </w:r>
          </w:p>
          <w:p w14:paraId="28BC010F" w14:textId="77777777" w:rsidR="00931CC1" w:rsidRPr="00A32897" w:rsidRDefault="00931CC1" w:rsidP="005047C7">
            <w:pPr>
              <w:rPr>
                <w:rFonts w:ascii="Calibri" w:hAnsi="Calibri" w:cs="Calibri"/>
                <w:sz w:val="22"/>
                <w:szCs w:val="22"/>
              </w:rPr>
            </w:pPr>
          </w:p>
          <w:p w14:paraId="4F815C36"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October 1981</w:t>
            </w:r>
          </w:p>
          <w:p w14:paraId="30BB7390" w14:textId="77777777" w:rsidR="00931CC1" w:rsidRPr="00A32897" w:rsidRDefault="00931CC1" w:rsidP="005047C7">
            <w:pPr>
              <w:rPr>
                <w:rFonts w:ascii="Calibri" w:hAnsi="Calibri" w:cs="Calibri"/>
                <w:sz w:val="22"/>
                <w:szCs w:val="22"/>
              </w:rPr>
            </w:pPr>
          </w:p>
          <w:p w14:paraId="224D1D07"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November 1981 – March 1982</w:t>
            </w:r>
          </w:p>
          <w:p w14:paraId="035F547D" w14:textId="77777777" w:rsidR="00931CC1" w:rsidRPr="00A32897" w:rsidRDefault="00931CC1" w:rsidP="005047C7">
            <w:pPr>
              <w:rPr>
                <w:rFonts w:ascii="Calibri" w:hAnsi="Calibri" w:cs="Calibri"/>
                <w:sz w:val="22"/>
                <w:szCs w:val="22"/>
              </w:rPr>
            </w:pPr>
          </w:p>
          <w:p w14:paraId="7B38E2B3" w14:textId="77777777" w:rsidR="00931CC1" w:rsidRPr="00A32897" w:rsidRDefault="00931CC1" w:rsidP="005047C7">
            <w:pPr>
              <w:rPr>
                <w:rFonts w:ascii="Calibri" w:hAnsi="Calibri" w:cs="Calibri"/>
                <w:sz w:val="22"/>
                <w:szCs w:val="22"/>
              </w:rPr>
            </w:pPr>
            <w:r w:rsidRPr="00A32897">
              <w:rPr>
                <w:rFonts w:ascii="Calibri" w:hAnsi="Calibri" w:cs="Calibri"/>
                <w:sz w:val="22"/>
                <w:szCs w:val="22"/>
              </w:rPr>
              <w:t>April 1982 – August 1982</w:t>
            </w:r>
          </w:p>
        </w:tc>
      </w:tr>
    </w:tbl>
    <w:p w14:paraId="3BD07FDF" w14:textId="1E3FC7A4" w:rsidR="00931CC1" w:rsidRDefault="00931CC1" w:rsidP="00931CC1">
      <w:pPr>
        <w:rPr>
          <w:rFonts w:ascii="Calibri" w:hAnsi="Calibri" w:cs="Calibri"/>
          <w:sz w:val="22"/>
          <w:szCs w:val="22"/>
        </w:rPr>
      </w:pPr>
    </w:p>
    <w:p w14:paraId="14A0DEEE" w14:textId="7A95171D" w:rsidR="00B8225C" w:rsidRDefault="00B8225C" w:rsidP="00931CC1">
      <w:pPr>
        <w:rPr>
          <w:rFonts w:ascii="Calibri" w:hAnsi="Calibri" w:cs="Calibri"/>
          <w:sz w:val="22"/>
          <w:szCs w:val="22"/>
        </w:rPr>
      </w:pPr>
    </w:p>
    <w:p w14:paraId="44A4BEC1" w14:textId="1BF64808" w:rsidR="00B8225C" w:rsidRDefault="00B8225C" w:rsidP="00931CC1">
      <w:pPr>
        <w:rPr>
          <w:rFonts w:ascii="Calibri" w:hAnsi="Calibri" w:cs="Calibri"/>
          <w:sz w:val="22"/>
          <w:szCs w:val="22"/>
        </w:rPr>
      </w:pPr>
    </w:p>
    <w:p w14:paraId="52362276" w14:textId="132209DC" w:rsidR="00B8225C" w:rsidRDefault="00B8225C" w:rsidP="00931CC1">
      <w:pPr>
        <w:rPr>
          <w:rFonts w:ascii="Calibri" w:hAnsi="Calibri" w:cs="Calibri"/>
          <w:sz w:val="22"/>
          <w:szCs w:val="22"/>
        </w:rPr>
      </w:pPr>
    </w:p>
    <w:p w14:paraId="1BE1089A" w14:textId="32BCCF16" w:rsidR="00B8225C" w:rsidRDefault="00B8225C" w:rsidP="00931CC1">
      <w:pPr>
        <w:rPr>
          <w:rFonts w:ascii="Calibri" w:hAnsi="Calibri" w:cs="Calibri"/>
          <w:sz w:val="22"/>
          <w:szCs w:val="22"/>
        </w:rPr>
      </w:pPr>
    </w:p>
    <w:p w14:paraId="10615829" w14:textId="4B5A8DF0" w:rsidR="00B8225C" w:rsidRDefault="00B8225C" w:rsidP="00931CC1">
      <w:pPr>
        <w:rPr>
          <w:rFonts w:ascii="Calibri" w:hAnsi="Calibri" w:cs="Calibri"/>
          <w:sz w:val="22"/>
          <w:szCs w:val="22"/>
        </w:rPr>
      </w:pPr>
    </w:p>
    <w:p w14:paraId="6C0400C5" w14:textId="2367FFD4" w:rsidR="00B8225C" w:rsidRDefault="00B8225C" w:rsidP="00931CC1">
      <w:pPr>
        <w:rPr>
          <w:rFonts w:ascii="Calibri" w:hAnsi="Calibri" w:cs="Calibri"/>
          <w:sz w:val="22"/>
          <w:szCs w:val="22"/>
        </w:rPr>
      </w:pPr>
    </w:p>
    <w:p w14:paraId="67CE211C" w14:textId="6AE3B444" w:rsidR="00B8225C" w:rsidRDefault="00B8225C" w:rsidP="00931CC1">
      <w:pPr>
        <w:rPr>
          <w:rFonts w:ascii="Calibri" w:hAnsi="Calibri" w:cs="Calibri"/>
          <w:sz w:val="22"/>
          <w:szCs w:val="22"/>
        </w:rPr>
      </w:pPr>
    </w:p>
    <w:p w14:paraId="3C878B3D" w14:textId="3F78CDC2" w:rsidR="00B8225C" w:rsidRDefault="00B8225C" w:rsidP="00931CC1">
      <w:pPr>
        <w:rPr>
          <w:rFonts w:ascii="Calibri" w:hAnsi="Calibri" w:cs="Calibri"/>
          <w:sz w:val="22"/>
          <w:szCs w:val="22"/>
        </w:rPr>
      </w:pPr>
    </w:p>
    <w:p w14:paraId="187A51E9" w14:textId="674659AA" w:rsidR="00B8225C" w:rsidRDefault="00B8225C" w:rsidP="00931CC1">
      <w:pPr>
        <w:rPr>
          <w:rFonts w:ascii="Calibri" w:hAnsi="Calibri" w:cs="Calibri"/>
          <w:sz w:val="22"/>
          <w:szCs w:val="22"/>
        </w:rPr>
      </w:pPr>
    </w:p>
    <w:p w14:paraId="10EAB843" w14:textId="51E288F7" w:rsidR="00B8225C" w:rsidRDefault="00B8225C" w:rsidP="00931CC1">
      <w:pPr>
        <w:rPr>
          <w:rFonts w:ascii="Calibri" w:hAnsi="Calibri" w:cs="Calibri"/>
          <w:sz w:val="22"/>
          <w:szCs w:val="22"/>
        </w:rPr>
      </w:pPr>
    </w:p>
    <w:p w14:paraId="7AAD56BA" w14:textId="3C8645C2" w:rsidR="00B8225C" w:rsidRDefault="00B8225C" w:rsidP="00931CC1">
      <w:pPr>
        <w:rPr>
          <w:rFonts w:ascii="Calibri" w:hAnsi="Calibri" w:cs="Calibri"/>
          <w:sz w:val="22"/>
          <w:szCs w:val="22"/>
        </w:rPr>
      </w:pPr>
    </w:p>
    <w:p w14:paraId="062EEA70" w14:textId="01A38317" w:rsidR="00B8225C" w:rsidRDefault="00B8225C" w:rsidP="00931CC1">
      <w:pPr>
        <w:rPr>
          <w:rFonts w:ascii="Calibri" w:hAnsi="Calibri" w:cs="Calibri"/>
          <w:sz w:val="22"/>
          <w:szCs w:val="22"/>
        </w:rPr>
      </w:pPr>
    </w:p>
    <w:p w14:paraId="78E8B3D6" w14:textId="1BC36784" w:rsidR="00B8225C" w:rsidRDefault="00B8225C" w:rsidP="00931CC1">
      <w:pPr>
        <w:rPr>
          <w:rFonts w:ascii="Calibri" w:hAnsi="Calibri" w:cs="Calibri"/>
          <w:sz w:val="22"/>
          <w:szCs w:val="22"/>
        </w:rPr>
      </w:pPr>
    </w:p>
    <w:p w14:paraId="3266EAA0" w14:textId="0391371C" w:rsidR="00B8225C" w:rsidRDefault="00B8225C" w:rsidP="00931CC1">
      <w:pPr>
        <w:rPr>
          <w:rFonts w:ascii="Calibri" w:hAnsi="Calibri" w:cs="Calibri"/>
          <w:sz w:val="22"/>
          <w:szCs w:val="22"/>
        </w:rPr>
      </w:pPr>
    </w:p>
    <w:p w14:paraId="74FBCD2A" w14:textId="7DF099F0" w:rsidR="00B8225C" w:rsidRDefault="00B8225C" w:rsidP="00931CC1">
      <w:pPr>
        <w:rPr>
          <w:rFonts w:ascii="Calibri" w:hAnsi="Calibri" w:cs="Calibri"/>
          <w:sz w:val="22"/>
          <w:szCs w:val="22"/>
        </w:rPr>
      </w:pPr>
    </w:p>
    <w:p w14:paraId="124E7803" w14:textId="63014C4A" w:rsidR="00B8225C" w:rsidRDefault="00B8225C" w:rsidP="00931CC1">
      <w:pPr>
        <w:rPr>
          <w:rFonts w:ascii="Calibri" w:hAnsi="Calibri" w:cs="Calibri"/>
          <w:sz w:val="22"/>
          <w:szCs w:val="22"/>
        </w:rPr>
      </w:pPr>
    </w:p>
    <w:p w14:paraId="43D8A42D" w14:textId="082192AF" w:rsidR="00B8225C" w:rsidRDefault="00B8225C" w:rsidP="00931CC1">
      <w:pPr>
        <w:rPr>
          <w:rFonts w:ascii="Calibri" w:hAnsi="Calibri" w:cs="Calibri"/>
          <w:sz w:val="22"/>
          <w:szCs w:val="22"/>
        </w:rPr>
      </w:pPr>
    </w:p>
    <w:p w14:paraId="0B04F33B" w14:textId="01CB3C84" w:rsidR="00B8225C" w:rsidRDefault="00B8225C" w:rsidP="00931CC1">
      <w:pPr>
        <w:rPr>
          <w:rFonts w:ascii="Calibri" w:hAnsi="Calibri" w:cs="Calibri"/>
          <w:sz w:val="22"/>
          <w:szCs w:val="22"/>
        </w:rPr>
      </w:pPr>
    </w:p>
    <w:p w14:paraId="6CDD537D" w14:textId="746879B1" w:rsidR="00B8225C" w:rsidRDefault="00B8225C" w:rsidP="00931CC1">
      <w:pPr>
        <w:rPr>
          <w:rFonts w:ascii="Calibri" w:hAnsi="Calibri" w:cs="Calibri"/>
          <w:sz w:val="22"/>
          <w:szCs w:val="22"/>
        </w:rPr>
      </w:pPr>
    </w:p>
    <w:p w14:paraId="6711676C" w14:textId="53B6E0AB" w:rsidR="00B8225C" w:rsidRDefault="00B8225C" w:rsidP="00931CC1">
      <w:pPr>
        <w:rPr>
          <w:rFonts w:ascii="Calibri" w:hAnsi="Calibri" w:cs="Calibri"/>
          <w:sz w:val="22"/>
          <w:szCs w:val="22"/>
        </w:rPr>
      </w:pPr>
    </w:p>
    <w:p w14:paraId="29D5E354" w14:textId="03A7D6C1" w:rsidR="00B8225C" w:rsidRDefault="00B8225C" w:rsidP="00931CC1">
      <w:pPr>
        <w:rPr>
          <w:rFonts w:ascii="Calibri" w:hAnsi="Calibri" w:cs="Calibri"/>
          <w:sz w:val="22"/>
          <w:szCs w:val="22"/>
        </w:rPr>
      </w:pPr>
    </w:p>
    <w:p w14:paraId="58E663A8" w14:textId="4E6567F9" w:rsidR="00B8225C" w:rsidRDefault="00B8225C" w:rsidP="00931CC1">
      <w:pPr>
        <w:rPr>
          <w:rFonts w:ascii="Calibri" w:hAnsi="Calibri" w:cs="Calibri"/>
          <w:sz w:val="22"/>
          <w:szCs w:val="22"/>
        </w:rPr>
      </w:pPr>
    </w:p>
    <w:p w14:paraId="23529CDE" w14:textId="762D2A90" w:rsidR="00B8225C" w:rsidRDefault="00B8225C" w:rsidP="00931CC1">
      <w:pPr>
        <w:rPr>
          <w:rFonts w:ascii="Calibri" w:hAnsi="Calibri" w:cs="Calibri"/>
          <w:sz w:val="22"/>
          <w:szCs w:val="22"/>
        </w:rPr>
      </w:pPr>
    </w:p>
    <w:p w14:paraId="3DC6BE17" w14:textId="1C8AD3F8" w:rsidR="00B8225C" w:rsidRDefault="00B8225C" w:rsidP="00931CC1">
      <w:pPr>
        <w:rPr>
          <w:rFonts w:ascii="Calibri" w:hAnsi="Calibri" w:cs="Calibri"/>
          <w:sz w:val="22"/>
          <w:szCs w:val="22"/>
        </w:rPr>
      </w:pPr>
    </w:p>
    <w:p w14:paraId="14F29A60" w14:textId="12910D76" w:rsidR="00B8225C" w:rsidRDefault="00B8225C" w:rsidP="00931CC1">
      <w:pPr>
        <w:rPr>
          <w:rFonts w:ascii="Calibri" w:hAnsi="Calibri" w:cs="Calibri"/>
          <w:sz w:val="22"/>
          <w:szCs w:val="22"/>
        </w:rPr>
      </w:pPr>
    </w:p>
    <w:p w14:paraId="61BE1858" w14:textId="69DBFC35" w:rsidR="00B8225C" w:rsidRDefault="00B8225C" w:rsidP="00931CC1">
      <w:pPr>
        <w:rPr>
          <w:rFonts w:ascii="Calibri" w:hAnsi="Calibri" w:cs="Calibri"/>
          <w:sz w:val="22"/>
          <w:szCs w:val="22"/>
        </w:rPr>
      </w:pPr>
    </w:p>
    <w:p w14:paraId="376762C8" w14:textId="12858EB4" w:rsidR="00B8225C" w:rsidRDefault="00B8225C" w:rsidP="00931CC1">
      <w:pPr>
        <w:rPr>
          <w:rFonts w:ascii="Calibri" w:hAnsi="Calibri" w:cs="Calibri"/>
          <w:sz w:val="22"/>
          <w:szCs w:val="22"/>
        </w:rPr>
      </w:pPr>
    </w:p>
    <w:p w14:paraId="28C04EDB" w14:textId="6AD81A74" w:rsidR="00B8225C" w:rsidRDefault="00B8225C" w:rsidP="00931CC1">
      <w:pPr>
        <w:rPr>
          <w:rFonts w:ascii="Calibri" w:hAnsi="Calibri" w:cs="Calibri"/>
          <w:sz w:val="22"/>
          <w:szCs w:val="22"/>
        </w:rPr>
      </w:pPr>
    </w:p>
    <w:p w14:paraId="7F7BB2EC" w14:textId="655AB0A5" w:rsidR="00B8225C" w:rsidRDefault="00B8225C" w:rsidP="00931CC1">
      <w:pPr>
        <w:rPr>
          <w:rFonts w:ascii="Calibri" w:hAnsi="Calibri" w:cs="Calibri"/>
          <w:sz w:val="22"/>
          <w:szCs w:val="22"/>
        </w:rPr>
      </w:pPr>
    </w:p>
    <w:p w14:paraId="63379610" w14:textId="47CB7FFB" w:rsidR="00B8225C" w:rsidRDefault="00B8225C" w:rsidP="00931CC1">
      <w:pPr>
        <w:rPr>
          <w:rFonts w:ascii="Calibri" w:hAnsi="Calibri" w:cs="Calibri"/>
          <w:sz w:val="22"/>
          <w:szCs w:val="22"/>
        </w:rPr>
      </w:pPr>
    </w:p>
    <w:p w14:paraId="64F9A303" w14:textId="1619860D" w:rsidR="00B8225C" w:rsidRDefault="00B8225C" w:rsidP="00931CC1">
      <w:pPr>
        <w:rPr>
          <w:rFonts w:ascii="Calibri" w:hAnsi="Calibri" w:cs="Calibri"/>
          <w:sz w:val="22"/>
          <w:szCs w:val="22"/>
        </w:rPr>
      </w:pPr>
    </w:p>
    <w:p w14:paraId="6C386BE0" w14:textId="51507869" w:rsidR="00B8225C" w:rsidRDefault="00B8225C" w:rsidP="00931CC1">
      <w:pPr>
        <w:rPr>
          <w:rFonts w:ascii="Calibri" w:hAnsi="Calibri" w:cs="Calibri"/>
          <w:sz w:val="22"/>
          <w:szCs w:val="22"/>
        </w:rPr>
      </w:pPr>
    </w:p>
    <w:p w14:paraId="17283DB9" w14:textId="1930CC2E" w:rsidR="00B8225C" w:rsidRDefault="00B8225C" w:rsidP="00931CC1">
      <w:pPr>
        <w:rPr>
          <w:rFonts w:ascii="Calibri" w:hAnsi="Calibri" w:cs="Calibri"/>
          <w:sz w:val="22"/>
          <w:szCs w:val="22"/>
        </w:rPr>
      </w:pPr>
    </w:p>
    <w:p w14:paraId="0015C8CC" w14:textId="19E975F0" w:rsidR="00B8225C" w:rsidRDefault="00B8225C" w:rsidP="00931CC1">
      <w:pPr>
        <w:rPr>
          <w:rFonts w:ascii="Calibri" w:hAnsi="Calibri" w:cs="Calibri"/>
          <w:sz w:val="22"/>
          <w:szCs w:val="22"/>
        </w:rPr>
      </w:pPr>
    </w:p>
    <w:p w14:paraId="2C5E3CD3" w14:textId="2E82A45B" w:rsidR="00B8225C" w:rsidRDefault="00B8225C" w:rsidP="00931CC1">
      <w:pPr>
        <w:rPr>
          <w:rFonts w:ascii="Calibri" w:hAnsi="Calibri" w:cs="Calibri"/>
          <w:sz w:val="22"/>
          <w:szCs w:val="22"/>
        </w:rPr>
      </w:pPr>
    </w:p>
    <w:p w14:paraId="64E801FC" w14:textId="4128E7BE" w:rsidR="00B8225C" w:rsidRDefault="00B8225C" w:rsidP="00931CC1">
      <w:pPr>
        <w:rPr>
          <w:rFonts w:ascii="Calibri" w:hAnsi="Calibri" w:cs="Calibri"/>
          <w:sz w:val="22"/>
          <w:szCs w:val="22"/>
        </w:rPr>
      </w:pPr>
    </w:p>
    <w:p w14:paraId="594F3A0A" w14:textId="2E011E94" w:rsidR="00B8225C" w:rsidRDefault="00B8225C" w:rsidP="00931CC1">
      <w:pPr>
        <w:rPr>
          <w:rFonts w:ascii="Calibri" w:hAnsi="Calibri" w:cs="Calibri"/>
          <w:sz w:val="22"/>
          <w:szCs w:val="22"/>
        </w:rPr>
      </w:pPr>
    </w:p>
    <w:p w14:paraId="7BFED360" w14:textId="043450BD" w:rsidR="00B8225C" w:rsidRDefault="00B8225C" w:rsidP="00931CC1">
      <w:pPr>
        <w:rPr>
          <w:rFonts w:ascii="Calibri" w:hAnsi="Calibri" w:cs="Calibri"/>
          <w:sz w:val="22"/>
          <w:szCs w:val="22"/>
        </w:rPr>
      </w:pPr>
    </w:p>
    <w:p w14:paraId="660A1409" w14:textId="3C2B3C9B" w:rsidR="00B8225C" w:rsidRDefault="00B8225C" w:rsidP="00931CC1">
      <w:pPr>
        <w:rPr>
          <w:rFonts w:ascii="Calibri" w:hAnsi="Calibri" w:cs="Calibri"/>
          <w:sz w:val="22"/>
          <w:szCs w:val="22"/>
        </w:rPr>
      </w:pPr>
    </w:p>
    <w:p w14:paraId="61C0E7F0" w14:textId="4C61E16E" w:rsidR="00B8225C" w:rsidRDefault="00B8225C" w:rsidP="00931CC1">
      <w:pPr>
        <w:rPr>
          <w:rFonts w:ascii="Calibri" w:hAnsi="Calibri" w:cs="Calibri"/>
          <w:sz w:val="22"/>
          <w:szCs w:val="22"/>
        </w:rPr>
      </w:pPr>
    </w:p>
    <w:p w14:paraId="62121618" w14:textId="77777777" w:rsidR="00B8225C" w:rsidRPr="00A32897" w:rsidRDefault="00B8225C" w:rsidP="00931CC1">
      <w:pPr>
        <w:rPr>
          <w:rFonts w:ascii="Calibri" w:hAnsi="Calibri" w:cs="Calibri"/>
          <w:sz w:val="22"/>
          <w:szCs w:val="22"/>
        </w:rPr>
      </w:pPr>
    </w:p>
    <w:p w14:paraId="57978626" w14:textId="77777777" w:rsidR="008F0AA2" w:rsidRPr="00A32897" w:rsidRDefault="008F0AA2" w:rsidP="00931CC1">
      <w:pPr>
        <w:spacing w:before="100" w:beforeAutospacing="1" w:after="100" w:afterAutospacing="1"/>
        <w:rPr>
          <w:rFonts w:ascii="Calibri" w:hAnsi="Calibri" w:cs="Calibri"/>
          <w:sz w:val="22"/>
          <w:szCs w:val="22"/>
        </w:rPr>
      </w:pPr>
    </w:p>
    <w:p w14:paraId="1207656B" w14:textId="2353CF12" w:rsidR="00931CC1" w:rsidRPr="00DB3887" w:rsidRDefault="00931CC1" w:rsidP="00931CC1">
      <w:pPr>
        <w:pStyle w:val="Heading2"/>
        <w:rPr>
          <w:rFonts w:ascii="Calibri" w:hAnsi="Calibri" w:cs="Calibri"/>
          <w:b/>
          <w:sz w:val="26"/>
          <w:szCs w:val="26"/>
        </w:rPr>
      </w:pPr>
      <w:bookmarkStart w:id="170" w:name="_Toc29580568"/>
      <w:bookmarkStart w:id="171" w:name="_Toc41505720"/>
      <w:r w:rsidRPr="00DB3887">
        <w:rPr>
          <w:rFonts w:ascii="Calibri" w:hAnsi="Calibri" w:cs="Calibri"/>
          <w:b/>
          <w:sz w:val="26"/>
          <w:szCs w:val="26"/>
        </w:rPr>
        <w:lastRenderedPageBreak/>
        <w:t xml:space="preserve">Appendix </w:t>
      </w:r>
      <w:r w:rsidR="004A3773">
        <w:rPr>
          <w:rFonts w:ascii="Calibri" w:hAnsi="Calibri" w:cs="Calibri"/>
          <w:b/>
          <w:sz w:val="26"/>
          <w:szCs w:val="26"/>
        </w:rPr>
        <w:t>I</w:t>
      </w:r>
      <w:r w:rsidRPr="00DB3887">
        <w:rPr>
          <w:rFonts w:ascii="Calibri" w:hAnsi="Calibri" w:cs="Calibri"/>
          <w:b/>
          <w:sz w:val="26"/>
          <w:szCs w:val="26"/>
        </w:rPr>
        <w:t>V. Making lending decisions at the Bank</w:t>
      </w:r>
      <w:bookmarkEnd w:id="170"/>
      <w:bookmarkEnd w:id="171"/>
    </w:p>
    <w:p w14:paraId="40CA6AF3" w14:textId="77777777" w:rsidR="00931CC1" w:rsidRPr="00A32897" w:rsidRDefault="00931CC1" w:rsidP="00931CC1">
      <w:pPr>
        <w:rPr>
          <w:rFonts w:ascii="Calibri" w:hAnsi="Calibri" w:cs="Calibri"/>
          <w:sz w:val="22"/>
          <w:szCs w:val="22"/>
        </w:rPr>
      </w:pPr>
    </w:p>
    <w:p w14:paraId="433F7BA9" w14:textId="1A140CB2" w:rsidR="00D86F5A" w:rsidRDefault="00931CC1" w:rsidP="00B8225C">
      <w:pPr>
        <w:ind w:firstLine="720"/>
        <w:rPr>
          <w:rFonts w:ascii="Calibri" w:hAnsi="Calibri" w:cs="Calibri"/>
          <w:sz w:val="22"/>
          <w:szCs w:val="22"/>
        </w:rPr>
      </w:pPr>
      <w:r w:rsidRPr="00A32897">
        <w:rPr>
          <w:rFonts w:ascii="Calibri" w:hAnsi="Calibri" w:cs="Calibri"/>
          <w:sz w:val="22"/>
          <w:szCs w:val="22"/>
        </w:rPr>
        <w:t>Over the past seventy years, the Bank has ballooned in both size and global influence, particularly in the health and social services sector. The World Bank Group’s staff grew from 72 in 1946 to over 10,000 in 2017.</w:t>
      </w:r>
      <w:r w:rsidRPr="00A32897">
        <w:rPr>
          <w:rStyle w:val="FootnoteReference"/>
          <w:rFonts w:ascii="Calibri" w:hAnsi="Calibri" w:cs="Calibri"/>
          <w:sz w:val="22"/>
          <w:szCs w:val="22"/>
        </w:rPr>
        <w:footnoteReference w:id="1000"/>
      </w:r>
      <w:r w:rsidRPr="00A32897">
        <w:rPr>
          <w:rFonts w:ascii="Calibri" w:hAnsi="Calibri" w:cs="Calibri"/>
          <w:sz w:val="22"/>
          <w:szCs w:val="22"/>
        </w:rPr>
        <w:t xml:space="preserve"> Similarly, the International Bank for Reconstruction and Development (IBRD)’s member states rose from 38 to 189 countries between 1946 and 2017.</w:t>
      </w:r>
      <w:r w:rsidRPr="00A32897">
        <w:rPr>
          <w:rStyle w:val="FootnoteReference"/>
          <w:rFonts w:ascii="Calibri" w:hAnsi="Calibri" w:cs="Calibri"/>
          <w:sz w:val="22"/>
          <w:szCs w:val="22"/>
        </w:rPr>
        <w:footnoteReference w:id="1001"/>
      </w:r>
      <w:r w:rsidRPr="00A32897">
        <w:rPr>
          <w:rFonts w:ascii="Calibri" w:hAnsi="Calibri" w:cs="Calibri"/>
          <w:sz w:val="22"/>
          <w:szCs w:val="22"/>
        </w:rPr>
        <w:t xml:space="preserve"> In fiscal year (FY) 2017, IBRD and the International Development Agency (IDA) committed a total of 42.1 billion to development financing projects, of which about 12 percent was for the health and social services sector.</w:t>
      </w:r>
      <w:r w:rsidRPr="00A32897">
        <w:rPr>
          <w:rStyle w:val="FootnoteReference"/>
          <w:rFonts w:ascii="Calibri" w:hAnsi="Calibri" w:cs="Calibri"/>
          <w:sz w:val="22"/>
          <w:szCs w:val="22"/>
        </w:rPr>
        <w:footnoteReference w:id="1002"/>
      </w:r>
      <w:r w:rsidRPr="00A32897">
        <w:rPr>
          <w:rFonts w:ascii="Calibri" w:hAnsi="Calibri" w:cs="Calibri"/>
          <w:sz w:val="22"/>
          <w:szCs w:val="22"/>
        </w:rPr>
        <w:t xml:space="preserve"> Yet, the seminal Bank governance structures – its Board of Governors, Board of Executive Directors, and Presidency – have been retained across these years. IBRD and IDA have essentially the same governance structure, and differ primarily in the sources of their funding and terms of lending.</w:t>
      </w:r>
      <w:r w:rsidRPr="00A32897">
        <w:rPr>
          <w:rStyle w:val="FootnoteReference"/>
          <w:rFonts w:ascii="Calibri" w:hAnsi="Calibri" w:cs="Calibri"/>
          <w:sz w:val="22"/>
          <w:szCs w:val="22"/>
        </w:rPr>
        <w:footnoteReference w:id="1003"/>
      </w:r>
      <w:r w:rsidRPr="00A32897">
        <w:rPr>
          <w:rFonts w:ascii="Calibri" w:hAnsi="Calibri" w:cs="Calibri"/>
          <w:sz w:val="22"/>
          <w:szCs w:val="22"/>
        </w:rPr>
        <w:t xml:space="preserve"> The below figures provide a general schematic of the Bank’s governance structure in 1974 and today (units involving in the OCP are in red).</w:t>
      </w:r>
      <w:r w:rsidRPr="00A32897">
        <w:rPr>
          <w:rStyle w:val="FootnoteReference"/>
          <w:rFonts w:ascii="Calibri" w:hAnsi="Calibri" w:cs="Calibri"/>
          <w:sz w:val="22"/>
          <w:szCs w:val="22"/>
        </w:rPr>
        <w:footnoteReference w:id="1004"/>
      </w:r>
    </w:p>
    <w:p w14:paraId="4EE858C9" w14:textId="77777777" w:rsidR="00D86F5A" w:rsidRPr="00A32897" w:rsidRDefault="00D86F5A" w:rsidP="00D86F5A">
      <w:pPr>
        <w:spacing w:before="100" w:beforeAutospacing="1" w:after="100" w:afterAutospacing="1"/>
        <w:ind w:firstLine="720"/>
        <w:rPr>
          <w:rFonts w:ascii="Calibri" w:hAnsi="Calibri" w:cs="Calibri"/>
          <w:sz w:val="22"/>
          <w:szCs w:val="22"/>
        </w:rPr>
      </w:pPr>
      <w:r w:rsidRPr="00A32897">
        <w:rPr>
          <w:rFonts w:ascii="Calibri" w:hAnsi="Calibri" w:cs="Calibri"/>
          <w:sz w:val="22"/>
          <w:szCs w:val="22"/>
        </w:rPr>
        <w:t>The ultimate decision-makers at the Bank are technically the Board of Governors.</w:t>
      </w:r>
      <w:r w:rsidRPr="00A32897">
        <w:rPr>
          <w:rStyle w:val="FootnoteReference"/>
          <w:rFonts w:ascii="Calibri" w:hAnsi="Calibri" w:cs="Calibri"/>
          <w:sz w:val="22"/>
          <w:szCs w:val="22"/>
        </w:rPr>
        <w:footnoteReference w:id="1005"/>
      </w:r>
      <w:r w:rsidRPr="00A32897">
        <w:rPr>
          <w:rFonts w:ascii="Calibri" w:hAnsi="Calibri" w:cs="Calibri"/>
          <w:sz w:val="22"/>
          <w:szCs w:val="22"/>
        </w:rPr>
        <w:t xml:space="preserve"> Each member country – as of 2019, there are 189 member countries in IBRD and 173 in IDA – has a senior level representative on the Board, typically a Minister of Finance or Minister of Development. However, the Board only meets once a year, and has relinquished most day-to-day decision-making to a second body, the Board of Executive Directors.</w:t>
      </w:r>
      <w:r w:rsidRPr="00A32897">
        <w:rPr>
          <w:rStyle w:val="FootnoteReference"/>
          <w:rFonts w:ascii="Calibri" w:hAnsi="Calibri" w:cs="Calibri"/>
          <w:sz w:val="22"/>
          <w:szCs w:val="22"/>
        </w:rPr>
        <w:footnoteReference w:id="1006"/>
      </w:r>
      <w:r w:rsidRPr="00A32897">
        <w:rPr>
          <w:rFonts w:ascii="Calibri" w:hAnsi="Calibri" w:cs="Calibri"/>
          <w:sz w:val="22"/>
          <w:szCs w:val="22"/>
        </w:rPr>
        <w:t xml:space="preserve"> The Executive Board therefore forms what Sridhar has called the ‘political heart’ of the Bank.</w:t>
      </w:r>
      <w:r w:rsidRPr="00A32897">
        <w:rPr>
          <w:rStyle w:val="FootnoteReference"/>
          <w:rFonts w:ascii="Calibri" w:hAnsi="Calibri" w:cs="Calibri"/>
          <w:sz w:val="22"/>
          <w:szCs w:val="22"/>
        </w:rPr>
        <w:footnoteReference w:id="1007"/>
      </w:r>
      <w:r w:rsidRPr="00A32897">
        <w:rPr>
          <w:rFonts w:ascii="Calibri" w:hAnsi="Calibri" w:cs="Calibri"/>
          <w:sz w:val="22"/>
          <w:szCs w:val="22"/>
        </w:rPr>
        <w:t xml:space="preserve"> Executive Directors are full-time employees of the Bank and usually meet two or more times a week. The Board of Directors is responsible for loan approvals and guarantees, forming operational policies, and managing the Bank’s administrative budget, among other business tasks.</w:t>
      </w:r>
      <w:r w:rsidRPr="00A32897">
        <w:rPr>
          <w:rStyle w:val="FootnoteReference"/>
          <w:rFonts w:ascii="Calibri" w:hAnsi="Calibri" w:cs="Calibri"/>
          <w:sz w:val="22"/>
          <w:szCs w:val="22"/>
        </w:rPr>
        <w:footnoteReference w:id="1008"/>
      </w:r>
      <w:r w:rsidRPr="00A32897">
        <w:rPr>
          <w:rFonts w:ascii="Calibri" w:hAnsi="Calibri" w:cs="Calibri"/>
          <w:sz w:val="22"/>
          <w:szCs w:val="22"/>
        </w:rPr>
        <w:t xml:space="preserve"> IBRD’s Executive Board, which had 20 members at the start of the OCP</w:t>
      </w:r>
      <w:r w:rsidRPr="00A32897">
        <w:rPr>
          <w:rStyle w:val="FootnoteReference"/>
          <w:rFonts w:ascii="Calibri" w:hAnsi="Calibri" w:cs="Calibri"/>
          <w:sz w:val="22"/>
          <w:szCs w:val="22"/>
        </w:rPr>
        <w:footnoteReference w:id="1009"/>
      </w:r>
      <w:r w:rsidRPr="00A32897">
        <w:rPr>
          <w:rFonts w:ascii="Calibri" w:hAnsi="Calibri" w:cs="Calibri"/>
          <w:sz w:val="22"/>
          <w:szCs w:val="22"/>
        </w:rPr>
        <w:t xml:space="preserve"> and now has 25 members, is also appointed </w:t>
      </w:r>
      <w:r w:rsidRPr="00A32897">
        <w:rPr>
          <w:rFonts w:ascii="Calibri" w:hAnsi="Calibri" w:cs="Calibri"/>
          <w:i/>
          <w:sz w:val="22"/>
          <w:szCs w:val="22"/>
        </w:rPr>
        <w:t xml:space="preserve">ex officio </w:t>
      </w:r>
      <w:r w:rsidRPr="00A32897">
        <w:rPr>
          <w:rFonts w:ascii="Calibri" w:hAnsi="Calibri" w:cs="Calibri"/>
          <w:sz w:val="22"/>
          <w:szCs w:val="22"/>
        </w:rPr>
        <w:t>to oversee IDA and International Finance Corporation (IFC) operations. The Executive Directors were therefore the major body that had to be ‘won over’ for the Bank to sponsor and provide grants to the OCP.</w:t>
      </w:r>
    </w:p>
    <w:p w14:paraId="0D09E023" w14:textId="77777777" w:rsidR="00D86F5A" w:rsidRPr="00A32897" w:rsidRDefault="00D86F5A" w:rsidP="00931CC1">
      <w:pPr>
        <w:ind w:firstLine="720"/>
        <w:rPr>
          <w:rFonts w:ascii="Calibri" w:hAnsi="Calibri" w:cs="Calibri"/>
          <w:sz w:val="22"/>
          <w:szCs w:val="22"/>
        </w:rPr>
      </w:pPr>
    </w:p>
    <w:p w14:paraId="3118E041" w14:textId="77777777" w:rsidR="00931CC1" w:rsidRPr="00A32897" w:rsidRDefault="00931CC1" w:rsidP="00CF189D">
      <w:pPr>
        <w:ind w:firstLine="720"/>
        <w:rPr>
          <w:rFonts w:ascii="Calibri" w:hAnsi="Calibri" w:cs="Calibri"/>
          <w:sz w:val="22"/>
          <w:szCs w:val="22"/>
        </w:rPr>
      </w:pPr>
    </w:p>
    <w:p w14:paraId="225FDFDA" w14:textId="77777777" w:rsidR="00931CC1" w:rsidRPr="00A32897" w:rsidRDefault="00931CC1" w:rsidP="00931CC1">
      <w:pPr>
        <w:rPr>
          <w:rFonts w:ascii="Calibri" w:hAnsi="Calibri" w:cs="Calibri"/>
          <w:sz w:val="22"/>
          <w:szCs w:val="22"/>
        </w:rPr>
      </w:pPr>
      <w:r w:rsidRPr="00A32897">
        <w:rPr>
          <w:rFonts w:ascii="Calibri" w:hAnsi="Calibri" w:cs="Calibri"/>
          <w:noProof/>
          <w:sz w:val="22"/>
          <w:szCs w:val="22"/>
          <w:lang w:eastAsia="en-GB"/>
        </w:rPr>
        <w:lastRenderedPageBreak/>
        <w:drawing>
          <wp:inline distT="0" distB="0" distL="0" distR="0" wp14:anchorId="1A90DD07" wp14:editId="1AE05BB7">
            <wp:extent cx="5704840" cy="6563290"/>
            <wp:effectExtent l="0" t="38100" r="0" b="47625"/>
            <wp:docPr id="1044" name="Diagram 104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3" r:lo="rId144" r:qs="rId145" r:cs="rId146"/>
              </a:graphicData>
            </a:graphic>
          </wp:inline>
        </w:drawing>
      </w:r>
    </w:p>
    <w:p w14:paraId="531B778D" w14:textId="77777777" w:rsidR="00931CC1" w:rsidRPr="00A32897" w:rsidRDefault="00931CC1" w:rsidP="00931CC1">
      <w:pPr>
        <w:rPr>
          <w:rFonts w:ascii="Calibri" w:hAnsi="Calibri" w:cs="Calibri"/>
          <w:sz w:val="22"/>
          <w:szCs w:val="22"/>
        </w:rPr>
      </w:pPr>
      <w:r w:rsidRPr="00A32897">
        <w:rPr>
          <w:rFonts w:ascii="Calibri" w:hAnsi="Calibri" w:cs="Calibri"/>
          <w:noProof/>
          <w:sz w:val="22"/>
          <w:szCs w:val="22"/>
          <w:lang w:eastAsia="en-GB"/>
        </w:rPr>
        <w:lastRenderedPageBreak/>
        <w:drawing>
          <wp:inline distT="0" distB="0" distL="0" distR="0" wp14:anchorId="2FD6C3EC" wp14:editId="624ABE40">
            <wp:extent cx="5495290" cy="7362334"/>
            <wp:effectExtent l="38100" t="0" r="48260" b="0"/>
            <wp:docPr id="1045" name="Diagram 104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8" r:lo="rId149" r:qs="rId150" r:cs="rId151"/>
              </a:graphicData>
            </a:graphic>
          </wp:inline>
        </w:drawing>
      </w:r>
    </w:p>
    <w:p w14:paraId="4F6A409D" w14:textId="77777777" w:rsidR="008F0AA2" w:rsidRDefault="008F0AA2" w:rsidP="00B06002">
      <w:pPr>
        <w:spacing w:before="100" w:beforeAutospacing="1" w:after="100" w:afterAutospacing="1"/>
        <w:ind w:firstLine="720"/>
        <w:rPr>
          <w:rFonts w:ascii="Calibri" w:hAnsi="Calibri" w:cs="Calibri"/>
          <w:sz w:val="22"/>
          <w:szCs w:val="22"/>
        </w:rPr>
      </w:pPr>
    </w:p>
    <w:p w14:paraId="69460390" w14:textId="77777777" w:rsidR="008F0AA2" w:rsidRDefault="008F0AA2" w:rsidP="00B06002">
      <w:pPr>
        <w:spacing w:before="100" w:beforeAutospacing="1" w:after="100" w:afterAutospacing="1"/>
        <w:ind w:firstLine="720"/>
        <w:rPr>
          <w:rFonts w:ascii="Calibri" w:hAnsi="Calibri" w:cs="Calibri"/>
          <w:sz w:val="22"/>
          <w:szCs w:val="22"/>
        </w:rPr>
      </w:pPr>
    </w:p>
    <w:p w14:paraId="533F0AE9" w14:textId="77777777" w:rsidR="00D86F5A" w:rsidRDefault="00D86F5A" w:rsidP="004B6B24">
      <w:pPr>
        <w:spacing w:before="100" w:beforeAutospacing="1" w:after="100" w:afterAutospacing="1"/>
        <w:ind w:firstLine="720"/>
        <w:rPr>
          <w:rFonts w:ascii="Calibri" w:hAnsi="Calibri" w:cs="Calibri"/>
          <w:sz w:val="22"/>
          <w:szCs w:val="22"/>
        </w:rPr>
      </w:pPr>
    </w:p>
    <w:p w14:paraId="2DD3FF2B" w14:textId="21DD84FE" w:rsidR="00931CC1" w:rsidRPr="00A32897" w:rsidRDefault="00931CC1" w:rsidP="004B6B24">
      <w:pPr>
        <w:spacing w:before="100" w:beforeAutospacing="1" w:after="100" w:afterAutospacing="1"/>
        <w:ind w:firstLine="720"/>
        <w:rPr>
          <w:rFonts w:ascii="Calibri" w:hAnsi="Calibri" w:cs="Calibri"/>
          <w:sz w:val="22"/>
          <w:szCs w:val="22"/>
        </w:rPr>
      </w:pPr>
      <w:r w:rsidRPr="00A32897">
        <w:rPr>
          <w:rFonts w:ascii="Calibri" w:hAnsi="Calibri" w:cs="Calibri"/>
          <w:sz w:val="22"/>
          <w:szCs w:val="22"/>
        </w:rPr>
        <w:lastRenderedPageBreak/>
        <w:t xml:space="preserve">How are decisions made by the Executive Board? For most decisions, including electing the Bank president, a 50 percent majority (‘consensus’) of Executive Directors is required. Five Directors are appointed by the largest Bank shareholders – today, the United States, Japan, Germany, China, and France – and two are elected by the next largest donors, the United Kingdom and Saudi Arabia. The remainder of the 18 Directors are elected and shared by all other countries. For example, </w:t>
      </w:r>
      <w:r w:rsidR="00A2292A">
        <w:rPr>
          <w:rFonts w:ascii="Calibri" w:hAnsi="Calibri" w:cs="Calibri"/>
          <w:sz w:val="22"/>
          <w:szCs w:val="22"/>
        </w:rPr>
        <w:t>Sub-Saharan</w:t>
      </w:r>
      <w:r w:rsidRPr="00A32897">
        <w:rPr>
          <w:rFonts w:ascii="Calibri" w:hAnsi="Calibri" w:cs="Calibri"/>
          <w:sz w:val="22"/>
          <w:szCs w:val="22"/>
        </w:rPr>
        <w:t xml:space="preserve"> African countries collectively hold three Director seats. When a vote is called, the ‘voting power’ of each country is used to determine how the Directors vote, since (unlike the WHO’s World Health Assembly) each country does not have its own representative. Voting power is based on the voting shares that a country holds, which in turns is loosely based on the country’s economic size and capital stock in the Bank.</w:t>
      </w:r>
      <w:r w:rsidRPr="00A32897">
        <w:rPr>
          <w:rStyle w:val="FootnoteReference"/>
          <w:rFonts w:ascii="Calibri" w:hAnsi="Calibri" w:cs="Calibri"/>
          <w:sz w:val="22"/>
          <w:szCs w:val="22"/>
        </w:rPr>
        <w:footnoteReference w:id="1010"/>
      </w:r>
      <w:r w:rsidR="004B6B24">
        <w:rPr>
          <w:rFonts w:ascii="Calibri" w:hAnsi="Calibri" w:cs="Calibri"/>
          <w:sz w:val="22"/>
          <w:szCs w:val="22"/>
        </w:rPr>
        <w:t xml:space="preserve"> </w:t>
      </w:r>
      <w:r w:rsidRPr="00A32897">
        <w:rPr>
          <w:rFonts w:ascii="Calibri" w:hAnsi="Calibri" w:cs="Calibri"/>
          <w:sz w:val="22"/>
          <w:szCs w:val="22"/>
        </w:rPr>
        <w:t xml:space="preserve">During a vote, the voting shares of each country are tallied for each Executive Director; the Director’s vote is based on the majority of its constituents’ voting shares. </w:t>
      </w:r>
    </w:p>
    <w:p w14:paraId="38F0E7DE" w14:textId="77777777" w:rsidR="00931CC1" w:rsidRPr="00A32897" w:rsidRDefault="00931CC1" w:rsidP="00B06002">
      <w:pPr>
        <w:spacing w:before="100" w:beforeAutospacing="1" w:after="100" w:afterAutospacing="1"/>
        <w:ind w:firstLine="720"/>
        <w:rPr>
          <w:rFonts w:ascii="Calibri" w:hAnsi="Calibri" w:cs="Calibri"/>
          <w:sz w:val="22"/>
          <w:szCs w:val="22"/>
        </w:rPr>
      </w:pPr>
      <w:r w:rsidRPr="00A32897">
        <w:rPr>
          <w:rFonts w:ascii="Calibri" w:hAnsi="Calibri" w:cs="Calibri"/>
          <w:sz w:val="22"/>
          <w:szCs w:val="22"/>
        </w:rPr>
        <w:t>While the Bank President is elected through a 50 percent majority of the Executive Board,</w:t>
      </w:r>
      <w:r w:rsidRPr="00A32897">
        <w:rPr>
          <w:rStyle w:val="FootnoteReference"/>
          <w:rFonts w:ascii="Calibri" w:hAnsi="Calibri" w:cs="Calibri"/>
          <w:sz w:val="22"/>
          <w:szCs w:val="22"/>
        </w:rPr>
        <w:footnoteReference w:id="1011"/>
      </w:r>
      <w:r w:rsidRPr="00A32897">
        <w:rPr>
          <w:rFonts w:ascii="Calibri" w:hAnsi="Calibri" w:cs="Calibri"/>
          <w:sz w:val="22"/>
          <w:szCs w:val="22"/>
        </w:rPr>
        <w:t xml:space="preserve"> by tradition he is nominated by the United States President. The Bank President is the Chairman of the Board of Executive Directors, only votes in the case of a tie, and serves a five-year term, which can be renewed by the Executive Board. He is also the </w:t>
      </w:r>
      <w:r w:rsidRPr="00A32897">
        <w:rPr>
          <w:rFonts w:ascii="Calibri" w:hAnsi="Calibri" w:cs="Calibri"/>
          <w:i/>
          <w:sz w:val="22"/>
          <w:szCs w:val="22"/>
        </w:rPr>
        <w:t xml:space="preserve">ex officio </w:t>
      </w:r>
      <w:r w:rsidRPr="00A32897">
        <w:rPr>
          <w:rFonts w:ascii="Calibri" w:hAnsi="Calibri" w:cs="Calibri"/>
          <w:sz w:val="22"/>
          <w:szCs w:val="22"/>
        </w:rPr>
        <w:t>President of the World Bank Group. Bank Presidents have generally had significant influence on the Bank’s definition of ‘development’ and organizational governance at the divisional level. McNamara, who served as President from 1968-1982 (for roughly a third of the OCP), is often seen as its most influential leader to-date.</w:t>
      </w:r>
      <w:r w:rsidRPr="00A32897">
        <w:rPr>
          <w:rStyle w:val="FootnoteReference"/>
          <w:rFonts w:ascii="Calibri" w:hAnsi="Calibri" w:cs="Calibri"/>
          <w:sz w:val="22"/>
          <w:szCs w:val="22"/>
        </w:rPr>
        <w:footnoteReference w:id="1012"/>
      </w:r>
      <w:r w:rsidRPr="00A32897">
        <w:rPr>
          <w:rFonts w:ascii="Calibri" w:hAnsi="Calibri" w:cs="Calibri"/>
          <w:sz w:val="22"/>
          <w:szCs w:val="22"/>
        </w:rPr>
        <w:t xml:space="preserve"> A total of five Bank presidents were in office over the span of the OCP.</w:t>
      </w:r>
    </w:p>
    <w:p w14:paraId="0CFC01EC" w14:textId="498822E9" w:rsidR="00931CC1" w:rsidRPr="00A32897" w:rsidRDefault="00931CC1" w:rsidP="00B06002">
      <w:pPr>
        <w:spacing w:before="100" w:beforeAutospacing="1" w:after="100" w:afterAutospacing="1"/>
        <w:ind w:firstLine="720"/>
        <w:rPr>
          <w:rFonts w:ascii="Calibri" w:hAnsi="Calibri" w:cs="Calibri"/>
          <w:sz w:val="22"/>
          <w:szCs w:val="22"/>
        </w:rPr>
      </w:pPr>
      <w:r w:rsidRPr="00A32897">
        <w:rPr>
          <w:rFonts w:ascii="Calibri" w:hAnsi="Calibri" w:cs="Calibri"/>
          <w:sz w:val="22"/>
          <w:szCs w:val="22"/>
        </w:rPr>
        <w:t>Since the 1960s, some Bank lending has taken place outside of this traditional IBRD/IDA voting and allocation system.</w:t>
      </w:r>
      <w:r w:rsidRPr="00A32897">
        <w:rPr>
          <w:rStyle w:val="FootnoteReference"/>
          <w:rFonts w:ascii="Calibri" w:hAnsi="Calibri" w:cs="Calibri"/>
          <w:sz w:val="22"/>
          <w:szCs w:val="22"/>
        </w:rPr>
        <w:footnoteReference w:id="1013"/>
      </w:r>
      <w:r w:rsidRPr="00A32897">
        <w:rPr>
          <w:rFonts w:ascii="Calibri" w:hAnsi="Calibri" w:cs="Calibri"/>
          <w:sz w:val="22"/>
          <w:szCs w:val="22"/>
        </w:rPr>
        <w:t xml:space="preserve"> ‘Special Programmes’ are funded either by grants from the Bank or donors. Each of these program</w:t>
      </w:r>
      <w:r w:rsidR="008039C9">
        <w:rPr>
          <w:rFonts w:ascii="Calibri" w:hAnsi="Calibri" w:cs="Calibri"/>
          <w:sz w:val="22"/>
          <w:szCs w:val="22"/>
        </w:rPr>
        <w:t>me</w:t>
      </w:r>
      <w:r w:rsidRPr="00A32897">
        <w:rPr>
          <w:rFonts w:ascii="Calibri" w:hAnsi="Calibri" w:cs="Calibri"/>
          <w:sz w:val="22"/>
          <w:szCs w:val="22"/>
        </w:rPr>
        <w:t>s has customized financing and approval processes, and can forgo policies from the Bank’s Articles of Agreement or Operations manual, such as that prohibiting the tying of aid (i.e. linking financing to the purchase of particular goods or services).</w:t>
      </w:r>
      <w:r w:rsidRPr="00A32897">
        <w:rPr>
          <w:rStyle w:val="FootnoteReference"/>
          <w:rFonts w:ascii="Calibri" w:hAnsi="Calibri" w:cs="Calibri"/>
          <w:sz w:val="22"/>
          <w:szCs w:val="22"/>
        </w:rPr>
        <w:footnoteReference w:id="1014"/>
      </w:r>
      <w:r w:rsidRPr="00A32897">
        <w:rPr>
          <w:rFonts w:ascii="Calibri" w:hAnsi="Calibri" w:cs="Calibri"/>
          <w:sz w:val="22"/>
          <w:szCs w:val="22"/>
        </w:rPr>
        <w:t xml:space="preserve"> The OCP was the first health programme to be funded through the Bank’s ‘Special Grant Programme’. Special Programmes offer several advantages to donors, particularly those with lower voting power than the United States, as explored in Chapter 5.</w:t>
      </w:r>
    </w:p>
    <w:p w14:paraId="3AE27F25" w14:textId="0B7E85DF" w:rsidR="00931CC1" w:rsidRDefault="00931CC1" w:rsidP="00931CC1">
      <w:pPr>
        <w:rPr>
          <w:rFonts w:ascii="Calibri" w:hAnsi="Calibri" w:cs="Calibri"/>
          <w:sz w:val="22"/>
          <w:szCs w:val="22"/>
        </w:rPr>
      </w:pPr>
    </w:p>
    <w:p w14:paraId="0FE2788F" w14:textId="7E37B06E" w:rsidR="00B8225C" w:rsidRDefault="00B8225C" w:rsidP="00931CC1">
      <w:pPr>
        <w:rPr>
          <w:rFonts w:ascii="Calibri" w:hAnsi="Calibri" w:cs="Calibri"/>
          <w:sz w:val="22"/>
          <w:szCs w:val="22"/>
        </w:rPr>
      </w:pPr>
    </w:p>
    <w:p w14:paraId="39786BCA" w14:textId="74B56B2F" w:rsidR="00B8225C" w:rsidRDefault="00B8225C" w:rsidP="00931CC1">
      <w:pPr>
        <w:rPr>
          <w:rFonts w:ascii="Calibri" w:hAnsi="Calibri" w:cs="Calibri"/>
          <w:sz w:val="22"/>
          <w:szCs w:val="22"/>
        </w:rPr>
      </w:pPr>
    </w:p>
    <w:p w14:paraId="6EDDEE8B" w14:textId="0810026B" w:rsidR="00B8225C" w:rsidRDefault="00B8225C" w:rsidP="00931CC1">
      <w:pPr>
        <w:rPr>
          <w:rFonts w:ascii="Calibri" w:hAnsi="Calibri" w:cs="Calibri"/>
          <w:sz w:val="22"/>
          <w:szCs w:val="22"/>
        </w:rPr>
      </w:pPr>
    </w:p>
    <w:p w14:paraId="693981BC" w14:textId="756CB228" w:rsidR="00B8225C" w:rsidRDefault="00B8225C" w:rsidP="00931CC1">
      <w:pPr>
        <w:rPr>
          <w:rFonts w:ascii="Calibri" w:hAnsi="Calibri" w:cs="Calibri"/>
          <w:sz w:val="22"/>
          <w:szCs w:val="22"/>
        </w:rPr>
      </w:pPr>
    </w:p>
    <w:p w14:paraId="65FB9C71" w14:textId="24416FEA" w:rsidR="00B8225C" w:rsidRDefault="00B8225C" w:rsidP="00931CC1">
      <w:pPr>
        <w:rPr>
          <w:rFonts w:ascii="Calibri" w:hAnsi="Calibri" w:cs="Calibri"/>
          <w:sz w:val="22"/>
          <w:szCs w:val="22"/>
        </w:rPr>
      </w:pPr>
    </w:p>
    <w:p w14:paraId="7D6F175E" w14:textId="79F76885" w:rsidR="00B8225C" w:rsidRDefault="00B8225C" w:rsidP="00931CC1">
      <w:pPr>
        <w:rPr>
          <w:rFonts w:ascii="Calibri" w:hAnsi="Calibri" w:cs="Calibri"/>
          <w:sz w:val="22"/>
          <w:szCs w:val="22"/>
        </w:rPr>
      </w:pPr>
    </w:p>
    <w:p w14:paraId="2371BAB7" w14:textId="3094A972" w:rsidR="00B8225C" w:rsidRDefault="00B8225C" w:rsidP="00931CC1">
      <w:pPr>
        <w:rPr>
          <w:rFonts w:ascii="Calibri" w:hAnsi="Calibri" w:cs="Calibri"/>
          <w:sz w:val="22"/>
          <w:szCs w:val="22"/>
        </w:rPr>
      </w:pPr>
    </w:p>
    <w:p w14:paraId="52354125" w14:textId="4F99C52A" w:rsidR="00B8225C" w:rsidRDefault="00B8225C" w:rsidP="00931CC1">
      <w:pPr>
        <w:rPr>
          <w:rFonts w:ascii="Calibri" w:hAnsi="Calibri" w:cs="Calibri"/>
          <w:sz w:val="22"/>
          <w:szCs w:val="22"/>
        </w:rPr>
      </w:pPr>
    </w:p>
    <w:p w14:paraId="592DB7AB" w14:textId="5232E659" w:rsidR="00B8225C" w:rsidRDefault="00B8225C" w:rsidP="00931CC1">
      <w:pPr>
        <w:rPr>
          <w:rFonts w:ascii="Calibri" w:hAnsi="Calibri" w:cs="Calibri"/>
          <w:sz w:val="22"/>
          <w:szCs w:val="22"/>
        </w:rPr>
      </w:pPr>
    </w:p>
    <w:p w14:paraId="05BBB2F0" w14:textId="7EF7540B" w:rsidR="00B8225C" w:rsidRDefault="00B8225C" w:rsidP="00931CC1">
      <w:pPr>
        <w:rPr>
          <w:rFonts w:ascii="Calibri" w:hAnsi="Calibri" w:cs="Calibri"/>
          <w:sz w:val="22"/>
          <w:szCs w:val="22"/>
        </w:rPr>
      </w:pPr>
    </w:p>
    <w:p w14:paraId="71601345" w14:textId="5720524F" w:rsidR="00B8225C" w:rsidRDefault="00B8225C" w:rsidP="00931CC1">
      <w:pPr>
        <w:rPr>
          <w:rFonts w:ascii="Calibri" w:hAnsi="Calibri" w:cs="Calibri"/>
          <w:sz w:val="22"/>
          <w:szCs w:val="22"/>
        </w:rPr>
      </w:pPr>
    </w:p>
    <w:p w14:paraId="0E029285" w14:textId="2317B12F" w:rsidR="00B8225C" w:rsidRDefault="00B8225C" w:rsidP="00931CC1">
      <w:pPr>
        <w:rPr>
          <w:rFonts w:ascii="Calibri" w:hAnsi="Calibri" w:cs="Calibri"/>
          <w:sz w:val="22"/>
          <w:szCs w:val="22"/>
        </w:rPr>
      </w:pPr>
    </w:p>
    <w:p w14:paraId="742BC46B" w14:textId="3BF62362" w:rsidR="00931CC1" w:rsidRPr="00DB3887" w:rsidRDefault="00931CC1" w:rsidP="00931CC1">
      <w:pPr>
        <w:pStyle w:val="Heading2"/>
        <w:rPr>
          <w:rFonts w:ascii="Calibri" w:hAnsi="Calibri" w:cs="Calibri"/>
          <w:b/>
          <w:sz w:val="26"/>
          <w:szCs w:val="26"/>
        </w:rPr>
      </w:pPr>
      <w:bookmarkStart w:id="172" w:name="_Toc29580570"/>
      <w:bookmarkStart w:id="173" w:name="_Toc41505721"/>
      <w:r w:rsidRPr="00DB3887">
        <w:rPr>
          <w:rFonts w:ascii="Calibri" w:hAnsi="Calibri" w:cs="Calibri"/>
          <w:b/>
          <w:sz w:val="26"/>
          <w:szCs w:val="26"/>
        </w:rPr>
        <w:lastRenderedPageBreak/>
        <w:t>Appendix V. Summary of OCP program</w:t>
      </w:r>
      <w:r w:rsidR="008039C9">
        <w:rPr>
          <w:rFonts w:ascii="Calibri" w:hAnsi="Calibri" w:cs="Calibri"/>
          <w:b/>
          <w:sz w:val="26"/>
          <w:szCs w:val="26"/>
        </w:rPr>
        <w:t>me</w:t>
      </w:r>
      <w:r w:rsidRPr="00DB3887">
        <w:rPr>
          <w:rFonts w:ascii="Calibri" w:hAnsi="Calibri" w:cs="Calibri"/>
          <w:b/>
          <w:sz w:val="26"/>
          <w:szCs w:val="26"/>
        </w:rPr>
        <w:t xml:space="preserve"> objectives</w:t>
      </w:r>
      <w:bookmarkEnd w:id="172"/>
      <w:bookmarkEnd w:id="173"/>
    </w:p>
    <w:p w14:paraId="4E1B41A5" w14:textId="77777777" w:rsidR="00931CC1" w:rsidRPr="00A32897" w:rsidRDefault="00931CC1" w:rsidP="00931CC1">
      <w:pPr>
        <w:rPr>
          <w:rFonts w:ascii="Calibri" w:hAnsi="Calibri" w:cs="Calibri"/>
          <w:i/>
          <w:sz w:val="22"/>
          <w:szCs w:val="22"/>
        </w:rPr>
      </w:pPr>
    </w:p>
    <w:p w14:paraId="06B22BB0" w14:textId="5E3019D8" w:rsidR="00931CC1" w:rsidRDefault="00931CC1" w:rsidP="00931CC1">
      <w:pPr>
        <w:rPr>
          <w:rFonts w:ascii="Calibri" w:hAnsi="Calibri" w:cs="Calibri"/>
          <w:sz w:val="22"/>
          <w:szCs w:val="22"/>
        </w:rPr>
      </w:pPr>
      <w:r w:rsidRPr="00A32897">
        <w:rPr>
          <w:rFonts w:ascii="Calibri" w:hAnsi="Calibri" w:cs="Calibri"/>
          <w:sz w:val="22"/>
          <w:szCs w:val="22"/>
        </w:rPr>
        <w:t>The table below provides examples of evolving language used for objectives during the OCP.</w:t>
      </w:r>
    </w:p>
    <w:p w14:paraId="765C5ACB" w14:textId="77777777" w:rsidR="00B06002" w:rsidRPr="00A32897" w:rsidRDefault="00B06002" w:rsidP="00931CC1">
      <w:pPr>
        <w:rPr>
          <w:rFonts w:ascii="Calibri" w:hAnsi="Calibri" w:cs="Calibri"/>
          <w:sz w:val="22"/>
          <w:szCs w:val="22"/>
        </w:rPr>
      </w:pPr>
    </w:p>
    <w:tbl>
      <w:tblPr>
        <w:tblStyle w:val="GridTable7Colorful"/>
        <w:tblW w:w="0" w:type="auto"/>
        <w:tblLook w:val="04A0" w:firstRow="1" w:lastRow="0" w:firstColumn="1" w:lastColumn="0" w:noHBand="0" w:noVBand="1"/>
      </w:tblPr>
      <w:tblGrid>
        <w:gridCol w:w="1705"/>
        <w:gridCol w:w="7305"/>
      </w:tblGrid>
      <w:tr w:rsidR="00931CC1" w:rsidRPr="00A32897" w14:paraId="43B844C2" w14:textId="77777777" w:rsidTr="005047C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05" w:type="dxa"/>
          </w:tcPr>
          <w:p w14:paraId="7C42C31E" w14:textId="77777777" w:rsidR="00931CC1" w:rsidRPr="00A32897" w:rsidRDefault="00931CC1" w:rsidP="005047C7">
            <w:pPr>
              <w:rPr>
                <w:rFonts w:ascii="Calibri" w:hAnsi="Calibri" w:cs="Calibri"/>
                <w:sz w:val="18"/>
                <w:szCs w:val="18"/>
              </w:rPr>
            </w:pPr>
          </w:p>
        </w:tc>
        <w:tc>
          <w:tcPr>
            <w:tcW w:w="7305" w:type="dxa"/>
          </w:tcPr>
          <w:p w14:paraId="28446157" w14:textId="77777777" w:rsidR="00931CC1" w:rsidRPr="00A32897" w:rsidRDefault="00931CC1" w:rsidP="005047C7">
            <w:pPr>
              <w:cnfStyle w:val="100000000000" w:firstRow="1" w:lastRow="0" w:firstColumn="0" w:lastColumn="0" w:oddVBand="0" w:evenVBand="0" w:oddHBand="0" w:evenHBand="0" w:firstRowFirstColumn="0" w:firstRowLastColumn="0" w:lastRowFirstColumn="0" w:lastRowLastColumn="0"/>
              <w:rPr>
                <w:rFonts w:ascii="Calibri" w:hAnsi="Calibri" w:cs="Calibri"/>
                <w:i/>
                <w:sz w:val="18"/>
                <w:szCs w:val="18"/>
              </w:rPr>
            </w:pPr>
            <w:r w:rsidRPr="00A32897">
              <w:rPr>
                <w:rFonts w:ascii="Calibri" w:hAnsi="Calibri" w:cs="Calibri"/>
                <w:i/>
                <w:sz w:val="18"/>
                <w:szCs w:val="18"/>
              </w:rPr>
              <w:t>Objectives &amp; Comments</w:t>
            </w:r>
          </w:p>
          <w:p w14:paraId="625721CB" w14:textId="77777777" w:rsidR="00931CC1" w:rsidRPr="00A32897" w:rsidRDefault="00931CC1" w:rsidP="005047C7">
            <w:pP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rPr>
            </w:pPr>
          </w:p>
        </w:tc>
      </w:tr>
      <w:tr w:rsidR="00931CC1" w:rsidRPr="00A32897" w14:paraId="7E1086A8" w14:textId="77777777" w:rsidTr="005047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tcBorders>
              <w:top w:val="single" w:sz="4" w:space="0" w:color="666666" w:themeColor="text1" w:themeTint="99"/>
              <w:bottom w:val="single" w:sz="4" w:space="0" w:color="auto"/>
            </w:tcBorders>
          </w:tcPr>
          <w:p w14:paraId="0F32A26B" w14:textId="77777777" w:rsidR="00931CC1" w:rsidRPr="00A32897" w:rsidRDefault="00931CC1" w:rsidP="005047C7">
            <w:pPr>
              <w:rPr>
                <w:rFonts w:ascii="Calibri" w:hAnsi="Calibri" w:cs="Calibri"/>
                <w:b/>
                <w:sz w:val="18"/>
                <w:szCs w:val="18"/>
              </w:rPr>
            </w:pPr>
            <w:r w:rsidRPr="00A32897">
              <w:rPr>
                <w:rFonts w:ascii="Calibri" w:hAnsi="Calibri" w:cs="Calibri"/>
                <w:b/>
                <w:sz w:val="18"/>
                <w:szCs w:val="18"/>
              </w:rPr>
              <w:t>Onchocerciasis Fund (1975)</w:t>
            </w:r>
          </w:p>
        </w:tc>
        <w:tc>
          <w:tcPr>
            <w:tcW w:w="7305" w:type="dxa"/>
          </w:tcPr>
          <w:p w14:paraId="248D917A" w14:textId="77777777" w:rsidR="00931CC1" w:rsidRPr="00A32897"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 xml:space="preserve">Official </w:t>
            </w:r>
            <w:r w:rsidRPr="00A32897">
              <w:rPr>
                <w:rFonts w:ascii="Calibri" w:hAnsi="Calibri" w:cs="Calibri"/>
                <w:sz w:val="18"/>
                <w:szCs w:val="18"/>
                <w:u w:val="single"/>
              </w:rPr>
              <w:t>general objective</w:t>
            </w:r>
            <w:r w:rsidRPr="00A32897">
              <w:rPr>
                <w:rFonts w:ascii="Calibri" w:hAnsi="Calibri" w:cs="Calibri"/>
                <w:sz w:val="18"/>
                <w:szCs w:val="18"/>
              </w:rPr>
              <w:t xml:space="preserve">: ‘to </w:t>
            </w:r>
            <w:r w:rsidRPr="00A32897">
              <w:rPr>
                <w:rFonts w:ascii="Calibri" w:hAnsi="Calibri" w:cs="Calibri"/>
                <w:i/>
                <w:iCs/>
                <w:sz w:val="18"/>
                <w:szCs w:val="18"/>
              </w:rPr>
              <w:t>eliminate the disease</w:t>
            </w:r>
            <w:r w:rsidRPr="00A32897">
              <w:rPr>
                <w:rFonts w:ascii="Calibri" w:hAnsi="Calibri" w:cs="Calibri"/>
                <w:sz w:val="18"/>
                <w:szCs w:val="18"/>
              </w:rPr>
              <w:t xml:space="preserve"> </w:t>
            </w:r>
            <w:r w:rsidRPr="00A32897">
              <w:rPr>
                <w:rFonts w:ascii="Calibri" w:hAnsi="Calibri" w:cs="Calibri"/>
                <w:i/>
                <w:iCs/>
                <w:sz w:val="18"/>
                <w:szCs w:val="18"/>
              </w:rPr>
              <w:t>as an obstacle to socio-economic development in the region concerned</w:t>
            </w:r>
            <w:r w:rsidRPr="00A32897">
              <w:rPr>
                <w:rFonts w:ascii="Calibri" w:hAnsi="Calibri" w:cs="Calibri"/>
                <w:sz w:val="18"/>
                <w:szCs w:val="18"/>
              </w:rPr>
              <w:t>’</w:t>
            </w:r>
          </w:p>
          <w:p w14:paraId="6612CE68" w14:textId="77777777" w:rsidR="00931CC1" w:rsidRPr="00A32897"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u w:val="single"/>
              </w:rPr>
              <w:t>Immediate objectives</w:t>
            </w:r>
            <w:r w:rsidRPr="00A32897">
              <w:rPr>
                <w:rFonts w:ascii="Calibri" w:hAnsi="Calibri" w:cs="Calibri"/>
                <w:sz w:val="18"/>
                <w:szCs w:val="18"/>
              </w:rPr>
              <w:t xml:space="preserve">: </w:t>
            </w:r>
          </w:p>
          <w:p w14:paraId="7A856ADB" w14:textId="77777777" w:rsidR="00931CC1" w:rsidRPr="00A32897" w:rsidRDefault="00931CC1" w:rsidP="00931CC1">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 xml:space="preserve">‘to </w:t>
            </w:r>
            <w:r w:rsidRPr="00A32897">
              <w:rPr>
                <w:rFonts w:ascii="Calibri" w:hAnsi="Calibri" w:cs="Calibri"/>
                <w:i/>
                <w:iCs/>
                <w:sz w:val="18"/>
                <w:szCs w:val="18"/>
              </w:rPr>
              <w:t>interrupt transmission</w:t>
            </w:r>
            <w:r w:rsidRPr="00A32897">
              <w:rPr>
                <w:rFonts w:ascii="Calibri" w:hAnsi="Calibri" w:cs="Calibri"/>
                <w:sz w:val="18"/>
                <w:szCs w:val="18"/>
              </w:rPr>
              <w:t xml:space="preserve"> of the disease by eliminating the vector through periodic aerial applications of larvicides </w:t>
            </w:r>
            <w:r w:rsidRPr="00A32897">
              <w:rPr>
                <w:rFonts w:ascii="Calibri" w:hAnsi="Calibri" w:cs="Calibri"/>
                <w:i/>
                <w:iCs/>
                <w:sz w:val="18"/>
                <w:szCs w:val="18"/>
              </w:rPr>
              <w:t>involving</w:t>
            </w:r>
            <w:r w:rsidRPr="00A32897">
              <w:rPr>
                <w:rFonts w:ascii="Calibri" w:hAnsi="Calibri" w:cs="Calibri"/>
                <w:sz w:val="18"/>
                <w:szCs w:val="18"/>
              </w:rPr>
              <w:t xml:space="preserve"> </w:t>
            </w:r>
            <w:r w:rsidRPr="00A32897">
              <w:rPr>
                <w:rFonts w:ascii="Calibri" w:hAnsi="Calibri" w:cs="Calibri"/>
                <w:i/>
                <w:iCs/>
                <w:sz w:val="18"/>
                <w:szCs w:val="18"/>
              </w:rPr>
              <w:t>no risk of lasting contamination of the environment</w:t>
            </w:r>
            <w:r w:rsidRPr="00A32897">
              <w:rPr>
                <w:rFonts w:ascii="Calibri" w:hAnsi="Calibri" w:cs="Calibri"/>
                <w:sz w:val="18"/>
                <w:szCs w:val="18"/>
              </w:rPr>
              <w:t>’</w:t>
            </w:r>
          </w:p>
          <w:p w14:paraId="6B615628" w14:textId="77777777" w:rsidR="00931CC1" w:rsidRPr="00A32897" w:rsidRDefault="00931CC1" w:rsidP="00931CC1">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 xml:space="preserve">‘to implement </w:t>
            </w:r>
            <w:r w:rsidRPr="00A32897">
              <w:rPr>
                <w:rFonts w:ascii="Calibri" w:hAnsi="Calibri" w:cs="Calibri"/>
                <w:i/>
                <w:iCs/>
                <w:sz w:val="18"/>
                <w:szCs w:val="18"/>
              </w:rPr>
              <w:t>the applied research and training programmes</w:t>
            </w:r>
            <w:r w:rsidRPr="00A32897">
              <w:rPr>
                <w:rFonts w:ascii="Calibri" w:hAnsi="Calibri" w:cs="Calibri"/>
                <w:sz w:val="18"/>
                <w:szCs w:val="18"/>
              </w:rPr>
              <w:t xml:space="preserve"> required for pursuing the long-term objectives of the programme’</w:t>
            </w:r>
          </w:p>
          <w:p w14:paraId="10332D74" w14:textId="77777777" w:rsidR="00931CC1" w:rsidRPr="00A32897" w:rsidRDefault="00931CC1" w:rsidP="00931CC1">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 xml:space="preserve">‘to </w:t>
            </w:r>
            <w:r w:rsidRPr="00A32897">
              <w:rPr>
                <w:rFonts w:ascii="Calibri" w:hAnsi="Calibri" w:cs="Calibri"/>
                <w:i/>
                <w:iCs/>
                <w:sz w:val="18"/>
                <w:szCs w:val="18"/>
              </w:rPr>
              <w:t>help the participating Governments in preparing requests to multilateral and bilateral sources for the subsequent socio-economic development</w:t>
            </w:r>
            <w:r w:rsidRPr="00A32897">
              <w:rPr>
                <w:rFonts w:ascii="Calibri" w:hAnsi="Calibri" w:cs="Calibri"/>
                <w:sz w:val="18"/>
                <w:szCs w:val="18"/>
              </w:rPr>
              <w:t xml:space="preserve"> of the fertile areas from the disease’</w:t>
            </w:r>
          </w:p>
          <w:p w14:paraId="1663646E" w14:textId="77777777" w:rsidR="00931CC1" w:rsidRPr="00A32897"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u w:val="single"/>
              </w:rPr>
              <w:t>Long-term objectives</w:t>
            </w:r>
            <w:r w:rsidRPr="00A32897">
              <w:rPr>
                <w:rFonts w:ascii="Calibri" w:hAnsi="Calibri" w:cs="Calibri"/>
                <w:sz w:val="18"/>
                <w:szCs w:val="18"/>
              </w:rPr>
              <w:t xml:space="preserve">: ‘the Programme will comprise </w:t>
            </w:r>
            <w:r w:rsidRPr="00A32897">
              <w:rPr>
                <w:rFonts w:ascii="Calibri" w:hAnsi="Calibri" w:cs="Calibri"/>
                <w:i/>
                <w:iCs/>
                <w:sz w:val="18"/>
                <w:szCs w:val="18"/>
              </w:rPr>
              <w:t>applied research and manpower training</w:t>
            </w:r>
            <w:r w:rsidRPr="00A32897">
              <w:rPr>
                <w:rFonts w:ascii="Calibri" w:hAnsi="Calibri" w:cs="Calibri"/>
                <w:sz w:val="18"/>
                <w:szCs w:val="18"/>
              </w:rPr>
              <w:t xml:space="preserve"> components guaranteeing a high level of operational effectiveness and the training of the national personnel necessary for the proper execution of the programme and the subsequent maintenance operations’ (including ‘substantial development of activities in the field of chemotherapy’)</w:t>
            </w:r>
          </w:p>
        </w:tc>
      </w:tr>
      <w:tr w:rsidR="00931CC1" w:rsidRPr="00A32897" w14:paraId="5653A560" w14:textId="77777777" w:rsidTr="005047C7">
        <w:tc>
          <w:tcPr>
            <w:cnfStyle w:val="001000000000" w:firstRow="0" w:lastRow="0" w:firstColumn="1" w:lastColumn="0" w:oddVBand="0" w:evenVBand="0" w:oddHBand="0" w:evenHBand="0" w:firstRowFirstColumn="0" w:firstRowLastColumn="0" w:lastRowFirstColumn="0" w:lastRowLastColumn="0"/>
            <w:tcW w:w="1705" w:type="dxa"/>
            <w:tcBorders>
              <w:top w:val="single" w:sz="4" w:space="0" w:color="auto"/>
              <w:bottom w:val="single" w:sz="4" w:space="0" w:color="auto"/>
            </w:tcBorders>
          </w:tcPr>
          <w:p w14:paraId="5B0ACBCC" w14:textId="77777777" w:rsidR="00931CC1" w:rsidRPr="00A32897" w:rsidRDefault="00931CC1" w:rsidP="005047C7">
            <w:pPr>
              <w:rPr>
                <w:rFonts w:ascii="Calibri" w:hAnsi="Calibri" w:cs="Calibri"/>
                <w:b/>
                <w:sz w:val="18"/>
                <w:szCs w:val="18"/>
              </w:rPr>
            </w:pPr>
            <w:r w:rsidRPr="00A32897">
              <w:rPr>
                <w:rFonts w:ascii="Calibri" w:hAnsi="Calibri" w:cs="Calibri"/>
                <w:b/>
                <w:sz w:val="18"/>
                <w:szCs w:val="18"/>
              </w:rPr>
              <w:t>STAC Report to the JPC (1977)</w:t>
            </w:r>
          </w:p>
        </w:tc>
        <w:tc>
          <w:tcPr>
            <w:tcW w:w="7305" w:type="dxa"/>
          </w:tcPr>
          <w:p w14:paraId="4839392F" w14:textId="77777777" w:rsidR="00931CC1" w:rsidRPr="00A32897" w:rsidRDefault="00931CC1" w:rsidP="005047C7">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 xml:space="preserve">Suggested objective highlights maintenance: ‘to </w:t>
            </w:r>
            <w:r w:rsidRPr="00A32897">
              <w:rPr>
                <w:rFonts w:ascii="Calibri" w:hAnsi="Calibri" w:cs="Calibri"/>
                <w:i/>
                <w:iCs/>
                <w:sz w:val="18"/>
                <w:szCs w:val="18"/>
              </w:rPr>
              <w:t>reduce the impact</w:t>
            </w:r>
            <w:r w:rsidRPr="00A32897">
              <w:rPr>
                <w:rFonts w:ascii="Calibri" w:hAnsi="Calibri" w:cs="Calibri"/>
                <w:sz w:val="18"/>
                <w:szCs w:val="18"/>
              </w:rPr>
              <w:t xml:space="preserve"> </w:t>
            </w:r>
            <w:r w:rsidRPr="00A32897">
              <w:rPr>
                <w:rFonts w:ascii="Calibri" w:hAnsi="Calibri" w:cs="Calibri"/>
                <w:i/>
                <w:iCs/>
                <w:sz w:val="18"/>
                <w:szCs w:val="18"/>
              </w:rPr>
              <w:t>of onchocerciasis</w:t>
            </w:r>
            <w:r w:rsidRPr="00A32897">
              <w:rPr>
                <w:rFonts w:ascii="Calibri" w:hAnsi="Calibri" w:cs="Calibri"/>
                <w:sz w:val="18"/>
                <w:szCs w:val="18"/>
              </w:rPr>
              <w:t xml:space="preserve"> to a sufficiently low level so that it no longer represents either a public health problem or an obstacle to socio economic development, and also to maintain and adjust control activities so as to </w:t>
            </w:r>
            <w:r w:rsidRPr="00A32897">
              <w:rPr>
                <w:rFonts w:ascii="Calibri" w:hAnsi="Calibri" w:cs="Calibri"/>
                <w:i/>
                <w:iCs/>
                <w:sz w:val="18"/>
                <w:szCs w:val="18"/>
              </w:rPr>
              <w:t>stabalize the disease at a tolerable level’</w:t>
            </w:r>
          </w:p>
        </w:tc>
      </w:tr>
      <w:tr w:rsidR="00931CC1" w:rsidRPr="00A32897" w14:paraId="2287FC32" w14:textId="77777777" w:rsidTr="005047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tcBorders>
              <w:top w:val="single" w:sz="4" w:space="0" w:color="auto"/>
              <w:bottom w:val="single" w:sz="4" w:space="0" w:color="auto"/>
            </w:tcBorders>
          </w:tcPr>
          <w:p w14:paraId="61FC43E4" w14:textId="77777777" w:rsidR="00931CC1" w:rsidRPr="00A32897" w:rsidRDefault="00931CC1" w:rsidP="005047C7">
            <w:pPr>
              <w:rPr>
                <w:rFonts w:ascii="Calibri" w:hAnsi="Calibri" w:cs="Calibri"/>
                <w:b/>
                <w:sz w:val="18"/>
                <w:szCs w:val="18"/>
              </w:rPr>
            </w:pPr>
            <w:r w:rsidRPr="00A32897">
              <w:rPr>
                <w:rFonts w:ascii="Calibri" w:hAnsi="Calibri" w:cs="Calibri"/>
                <w:b/>
                <w:sz w:val="18"/>
                <w:szCs w:val="18"/>
              </w:rPr>
              <w:t>France (formal request, 1979)</w:t>
            </w:r>
          </w:p>
        </w:tc>
        <w:tc>
          <w:tcPr>
            <w:tcW w:w="7305" w:type="dxa"/>
          </w:tcPr>
          <w:p w14:paraId="25C570E0" w14:textId="77777777" w:rsidR="00931CC1" w:rsidRPr="00A32897"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 xml:space="preserve">Suggested objective highlighting maintenance: </w:t>
            </w:r>
            <w:r w:rsidRPr="00A32897">
              <w:rPr>
                <w:rFonts w:ascii="Calibri" w:hAnsi="Calibri" w:cs="Calibri"/>
                <w:i/>
                <w:iCs/>
                <w:sz w:val="18"/>
                <w:szCs w:val="18"/>
              </w:rPr>
              <w:t>Devolution</w:t>
            </w:r>
            <w:r w:rsidRPr="00A32897">
              <w:rPr>
                <w:rFonts w:ascii="Calibri" w:hAnsi="Calibri" w:cs="Calibri"/>
                <w:sz w:val="18"/>
                <w:szCs w:val="18"/>
              </w:rPr>
              <w:t xml:space="preserve"> (transferring responsibility to participating countries) should be an </w:t>
            </w:r>
            <w:r w:rsidRPr="00A32897">
              <w:rPr>
                <w:rFonts w:ascii="Calibri" w:hAnsi="Calibri" w:cs="Calibri"/>
                <w:i/>
                <w:iCs/>
                <w:sz w:val="18"/>
                <w:szCs w:val="18"/>
              </w:rPr>
              <w:t>objective on its own</w:t>
            </w:r>
            <w:r w:rsidRPr="00A32897">
              <w:rPr>
                <w:rFonts w:ascii="Calibri" w:hAnsi="Calibri" w:cs="Calibri"/>
                <w:sz w:val="18"/>
                <w:szCs w:val="18"/>
              </w:rPr>
              <w:t>, equal to main objective</w:t>
            </w:r>
          </w:p>
        </w:tc>
      </w:tr>
      <w:tr w:rsidR="00931CC1" w:rsidRPr="00A32897" w14:paraId="06A95CFD" w14:textId="77777777" w:rsidTr="005047C7">
        <w:tc>
          <w:tcPr>
            <w:cnfStyle w:val="001000000000" w:firstRow="0" w:lastRow="0" w:firstColumn="1" w:lastColumn="0" w:oddVBand="0" w:evenVBand="0" w:oddHBand="0" w:evenHBand="0" w:firstRowFirstColumn="0" w:firstRowLastColumn="0" w:lastRowFirstColumn="0" w:lastRowLastColumn="0"/>
            <w:tcW w:w="1705" w:type="dxa"/>
            <w:tcBorders>
              <w:top w:val="single" w:sz="4" w:space="0" w:color="auto"/>
              <w:bottom w:val="single" w:sz="4" w:space="0" w:color="auto"/>
            </w:tcBorders>
          </w:tcPr>
          <w:p w14:paraId="55E2D431" w14:textId="77777777" w:rsidR="00931CC1" w:rsidRPr="00A32897" w:rsidRDefault="00931CC1" w:rsidP="005047C7">
            <w:pPr>
              <w:rPr>
                <w:rFonts w:ascii="Calibri" w:hAnsi="Calibri" w:cs="Calibri"/>
                <w:b/>
                <w:sz w:val="18"/>
                <w:szCs w:val="18"/>
              </w:rPr>
            </w:pPr>
            <w:r w:rsidRPr="00A32897">
              <w:rPr>
                <w:rFonts w:ascii="Calibri" w:hAnsi="Calibri" w:cs="Calibri"/>
                <w:b/>
                <w:sz w:val="18"/>
                <w:szCs w:val="18"/>
              </w:rPr>
              <w:t>Onchocerciasis Fund Agreement (1979)</w:t>
            </w:r>
          </w:p>
        </w:tc>
        <w:tc>
          <w:tcPr>
            <w:tcW w:w="7305" w:type="dxa"/>
          </w:tcPr>
          <w:p w14:paraId="79F34752" w14:textId="77777777" w:rsidR="00931CC1" w:rsidRPr="00A32897" w:rsidRDefault="00931CC1" w:rsidP="005047C7">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Official general objective: ‘planned for a period of twenty years is to reduce the impact of onchocerciasis to a sufficiently low level so that it no longer represents either a public health problem or an obstacle to socio-economic development and also to maintain and adjust control activities so as to stabalize the disease at a tolerable level’</w:t>
            </w:r>
          </w:p>
          <w:p w14:paraId="050407BC" w14:textId="77777777" w:rsidR="00931CC1" w:rsidRPr="00A32897" w:rsidRDefault="00931CC1" w:rsidP="005047C7">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Activity list, but no sub-objectives, given.</w:t>
            </w:r>
            <w:r w:rsidRPr="00A32897">
              <w:rPr>
                <w:rStyle w:val="FootnoteReference"/>
                <w:rFonts w:ascii="Calibri" w:hAnsi="Calibri" w:cs="Calibri"/>
              </w:rPr>
              <w:footnoteReference w:id="1015"/>
            </w:r>
          </w:p>
        </w:tc>
      </w:tr>
      <w:tr w:rsidR="00931CC1" w:rsidRPr="00A32897" w14:paraId="3D3F5C29" w14:textId="77777777" w:rsidTr="005047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tcBorders>
              <w:top w:val="single" w:sz="4" w:space="0" w:color="auto"/>
              <w:bottom w:val="single" w:sz="4" w:space="0" w:color="auto"/>
            </w:tcBorders>
          </w:tcPr>
          <w:p w14:paraId="2A611766" w14:textId="77777777" w:rsidR="00931CC1" w:rsidRPr="00A32897" w:rsidRDefault="00931CC1" w:rsidP="005047C7">
            <w:pPr>
              <w:rPr>
                <w:rFonts w:ascii="Calibri" w:hAnsi="Calibri" w:cs="Calibri"/>
                <w:b/>
                <w:sz w:val="18"/>
                <w:szCs w:val="18"/>
              </w:rPr>
            </w:pPr>
            <w:r w:rsidRPr="00A32897">
              <w:rPr>
                <w:rFonts w:ascii="Calibri" w:hAnsi="Calibri" w:cs="Calibri"/>
                <w:b/>
                <w:sz w:val="18"/>
                <w:szCs w:val="18"/>
              </w:rPr>
              <w:t>JPC 3</w:t>
            </w:r>
            <w:r w:rsidRPr="00A32897">
              <w:rPr>
                <w:rFonts w:ascii="Calibri" w:hAnsi="Calibri" w:cs="Calibri"/>
                <w:b/>
                <w:sz w:val="18"/>
                <w:szCs w:val="18"/>
                <w:vertAlign w:val="superscript"/>
              </w:rPr>
              <w:t>rd</w:t>
            </w:r>
            <w:r w:rsidRPr="00A32897">
              <w:rPr>
                <w:rFonts w:ascii="Calibri" w:hAnsi="Calibri" w:cs="Calibri"/>
                <w:b/>
                <w:sz w:val="18"/>
                <w:szCs w:val="18"/>
              </w:rPr>
              <w:t xml:space="preserve"> session (1982)</w:t>
            </w:r>
          </w:p>
        </w:tc>
        <w:tc>
          <w:tcPr>
            <w:tcW w:w="7305" w:type="dxa"/>
          </w:tcPr>
          <w:p w14:paraId="69CB7473" w14:textId="77777777" w:rsidR="00931CC1" w:rsidRPr="00A32897"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Clarifies that objective is not eradication: ‘</w:t>
            </w:r>
            <w:r w:rsidRPr="00A32897">
              <w:rPr>
                <w:rFonts w:ascii="Calibri" w:hAnsi="Calibri" w:cs="Calibri"/>
                <w:i/>
                <w:iCs/>
                <w:sz w:val="18"/>
                <w:szCs w:val="18"/>
              </w:rPr>
              <w:t>The objective of the programme was not to eradicate onchocerciasis</w:t>
            </w:r>
            <w:r w:rsidRPr="00A32897">
              <w:rPr>
                <w:rFonts w:ascii="Calibri" w:hAnsi="Calibri" w:cs="Calibri"/>
                <w:sz w:val="18"/>
                <w:szCs w:val="18"/>
              </w:rPr>
              <w:t xml:space="preserve">, or to eliminate the blackfly from Africa – a completely impossible undertaking – but to </w:t>
            </w:r>
            <w:r w:rsidRPr="00A32897">
              <w:rPr>
                <w:rFonts w:ascii="Calibri" w:hAnsi="Calibri" w:cs="Calibri"/>
                <w:i/>
                <w:iCs/>
                <w:sz w:val="18"/>
                <w:szCs w:val="18"/>
              </w:rPr>
              <w:t>reduce transmission to such a level that the disease no longer presented a socio-economic problem’</w:t>
            </w:r>
          </w:p>
        </w:tc>
      </w:tr>
      <w:tr w:rsidR="00931CC1" w:rsidRPr="00A32897" w14:paraId="43133929" w14:textId="77777777" w:rsidTr="005047C7">
        <w:trPr>
          <w:trHeight w:val="701"/>
        </w:trPr>
        <w:tc>
          <w:tcPr>
            <w:cnfStyle w:val="001000000000" w:firstRow="0" w:lastRow="0" w:firstColumn="1" w:lastColumn="0" w:oddVBand="0" w:evenVBand="0" w:oddHBand="0" w:evenHBand="0" w:firstRowFirstColumn="0" w:firstRowLastColumn="0" w:lastRowFirstColumn="0" w:lastRowLastColumn="0"/>
            <w:tcW w:w="1705" w:type="dxa"/>
            <w:tcBorders>
              <w:top w:val="single" w:sz="4" w:space="0" w:color="auto"/>
              <w:bottom w:val="single" w:sz="4" w:space="0" w:color="auto"/>
            </w:tcBorders>
          </w:tcPr>
          <w:p w14:paraId="42BF5874" w14:textId="77777777" w:rsidR="00931CC1" w:rsidRPr="00A32897" w:rsidRDefault="00931CC1" w:rsidP="005047C7">
            <w:pPr>
              <w:rPr>
                <w:rFonts w:ascii="Calibri" w:hAnsi="Calibri" w:cs="Calibri"/>
                <w:b/>
                <w:sz w:val="18"/>
                <w:szCs w:val="18"/>
              </w:rPr>
            </w:pPr>
            <w:r w:rsidRPr="00A32897">
              <w:rPr>
                <w:rFonts w:ascii="Calibri" w:hAnsi="Calibri" w:cs="Calibri"/>
                <w:b/>
                <w:sz w:val="18"/>
                <w:szCs w:val="18"/>
              </w:rPr>
              <w:t>EAC 4</w:t>
            </w:r>
            <w:r w:rsidRPr="00A32897">
              <w:rPr>
                <w:rFonts w:ascii="Calibri" w:hAnsi="Calibri" w:cs="Calibri"/>
                <w:b/>
                <w:sz w:val="18"/>
                <w:szCs w:val="18"/>
                <w:vertAlign w:val="superscript"/>
              </w:rPr>
              <w:t>th</w:t>
            </w:r>
            <w:r w:rsidRPr="00A32897">
              <w:rPr>
                <w:rFonts w:ascii="Calibri" w:hAnsi="Calibri" w:cs="Calibri"/>
                <w:b/>
                <w:sz w:val="18"/>
                <w:szCs w:val="18"/>
              </w:rPr>
              <w:t xml:space="preserve"> session (1984)</w:t>
            </w:r>
          </w:p>
        </w:tc>
        <w:tc>
          <w:tcPr>
            <w:tcW w:w="7305" w:type="dxa"/>
          </w:tcPr>
          <w:p w14:paraId="41B11F86" w14:textId="77777777" w:rsidR="00931CC1" w:rsidRPr="00A32897" w:rsidRDefault="00931CC1" w:rsidP="005047C7">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 xml:space="preserve">States that objectives need to be more specific and operational: Need to distinguish between </w:t>
            </w:r>
            <w:r w:rsidRPr="00A32897">
              <w:rPr>
                <w:rFonts w:ascii="Calibri" w:hAnsi="Calibri" w:cs="Calibri"/>
                <w:sz w:val="18"/>
                <w:szCs w:val="18"/>
                <w:u w:val="single"/>
              </w:rPr>
              <w:t>overall final objective</w:t>
            </w:r>
            <w:r w:rsidRPr="00A32897">
              <w:rPr>
                <w:rFonts w:ascii="Calibri" w:hAnsi="Calibri" w:cs="Calibri"/>
                <w:sz w:val="18"/>
                <w:szCs w:val="18"/>
              </w:rPr>
              <w:t xml:space="preserve"> (</w:t>
            </w:r>
            <w:r w:rsidRPr="00A32897">
              <w:rPr>
                <w:rFonts w:ascii="Calibri" w:hAnsi="Calibri" w:cs="Calibri"/>
                <w:i/>
                <w:iCs/>
                <w:sz w:val="18"/>
                <w:szCs w:val="18"/>
              </w:rPr>
              <w:t>elimination of onchocerciasis and removal of reinfestation risk</w:t>
            </w:r>
            <w:r w:rsidRPr="00A32897">
              <w:rPr>
                <w:rFonts w:ascii="Calibri" w:hAnsi="Calibri" w:cs="Calibri"/>
                <w:sz w:val="18"/>
                <w:szCs w:val="18"/>
              </w:rPr>
              <w:t xml:space="preserve">); </w:t>
            </w:r>
            <w:r w:rsidRPr="00A32897">
              <w:rPr>
                <w:rFonts w:ascii="Calibri" w:hAnsi="Calibri" w:cs="Calibri"/>
                <w:sz w:val="18"/>
                <w:szCs w:val="18"/>
                <w:u w:val="single"/>
              </w:rPr>
              <w:t>general supporting objectives</w:t>
            </w:r>
            <w:r w:rsidRPr="00A32897">
              <w:rPr>
                <w:rFonts w:ascii="Calibri" w:hAnsi="Calibri" w:cs="Calibri"/>
                <w:sz w:val="18"/>
                <w:szCs w:val="18"/>
              </w:rPr>
              <w:t xml:space="preserve"> (</w:t>
            </w:r>
            <w:r w:rsidRPr="00A32897">
              <w:rPr>
                <w:rFonts w:ascii="Calibri" w:hAnsi="Calibri" w:cs="Calibri"/>
                <w:i/>
                <w:iCs/>
                <w:sz w:val="18"/>
                <w:szCs w:val="18"/>
              </w:rPr>
              <w:t>during OCP and post-OCP</w:t>
            </w:r>
            <w:r w:rsidRPr="00A32897">
              <w:rPr>
                <w:rFonts w:ascii="Calibri" w:hAnsi="Calibri" w:cs="Calibri"/>
                <w:sz w:val="18"/>
                <w:szCs w:val="18"/>
              </w:rPr>
              <w:t xml:space="preserve">); and </w:t>
            </w:r>
            <w:r w:rsidRPr="00A32897">
              <w:rPr>
                <w:rFonts w:ascii="Calibri" w:hAnsi="Calibri" w:cs="Calibri"/>
                <w:sz w:val="18"/>
                <w:szCs w:val="18"/>
                <w:u w:val="single"/>
              </w:rPr>
              <w:t>sub-objectives</w:t>
            </w:r>
            <w:r w:rsidRPr="00A32897">
              <w:rPr>
                <w:rFonts w:ascii="Calibri" w:hAnsi="Calibri" w:cs="Calibri"/>
                <w:sz w:val="18"/>
                <w:szCs w:val="18"/>
              </w:rPr>
              <w:t xml:space="preserve"> (</w:t>
            </w:r>
            <w:r w:rsidRPr="00A32897">
              <w:rPr>
                <w:rFonts w:ascii="Calibri" w:hAnsi="Calibri" w:cs="Calibri"/>
                <w:i/>
                <w:iCs/>
                <w:sz w:val="18"/>
                <w:szCs w:val="18"/>
              </w:rPr>
              <w:t>operational approach</w:t>
            </w:r>
            <w:r w:rsidRPr="00A32897">
              <w:rPr>
                <w:rFonts w:ascii="Calibri" w:hAnsi="Calibri" w:cs="Calibri"/>
                <w:sz w:val="18"/>
                <w:szCs w:val="18"/>
              </w:rPr>
              <w:t>)</w:t>
            </w:r>
          </w:p>
        </w:tc>
      </w:tr>
      <w:tr w:rsidR="00931CC1" w:rsidRPr="00A32897" w14:paraId="01440FE2" w14:textId="77777777" w:rsidTr="005047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tcBorders>
              <w:top w:val="single" w:sz="4" w:space="0" w:color="auto"/>
              <w:bottom w:val="single" w:sz="4" w:space="0" w:color="auto"/>
            </w:tcBorders>
          </w:tcPr>
          <w:p w14:paraId="5384BFCC" w14:textId="77777777" w:rsidR="00931CC1" w:rsidRPr="00A32897" w:rsidRDefault="00931CC1" w:rsidP="005047C7">
            <w:pPr>
              <w:rPr>
                <w:rFonts w:ascii="Calibri" w:hAnsi="Calibri" w:cs="Calibri"/>
                <w:b/>
                <w:sz w:val="18"/>
                <w:szCs w:val="18"/>
              </w:rPr>
            </w:pPr>
            <w:r w:rsidRPr="00A32897">
              <w:rPr>
                <w:rFonts w:ascii="Calibri" w:hAnsi="Calibri" w:cs="Calibri"/>
                <w:b/>
                <w:sz w:val="18"/>
                <w:szCs w:val="18"/>
              </w:rPr>
              <w:t>OCP (1984)</w:t>
            </w:r>
          </w:p>
        </w:tc>
        <w:tc>
          <w:tcPr>
            <w:tcW w:w="7305" w:type="dxa"/>
          </w:tcPr>
          <w:p w14:paraId="26BED026" w14:textId="77777777" w:rsidR="00931CC1" w:rsidRPr="00A32897"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 xml:space="preserve">Gives two objectives: ‘The objectives of OCP are, </w:t>
            </w:r>
            <w:r w:rsidRPr="00A32897">
              <w:rPr>
                <w:rFonts w:ascii="Calibri" w:hAnsi="Calibri" w:cs="Calibri"/>
                <w:i/>
                <w:iCs/>
                <w:sz w:val="18"/>
                <w:szCs w:val="18"/>
              </w:rPr>
              <w:t xml:space="preserve">firstly, the disappearance of the disease </w:t>
            </w:r>
            <w:r w:rsidRPr="00A32897">
              <w:rPr>
                <w:rFonts w:ascii="Calibri" w:hAnsi="Calibri" w:cs="Calibri"/>
                <w:sz w:val="18"/>
                <w:szCs w:val="18"/>
              </w:rPr>
              <w:t xml:space="preserve">and of its ocular manifestations and, </w:t>
            </w:r>
            <w:r w:rsidRPr="00A32897">
              <w:rPr>
                <w:rFonts w:ascii="Calibri" w:hAnsi="Calibri" w:cs="Calibri"/>
                <w:i/>
                <w:iCs/>
                <w:sz w:val="18"/>
                <w:szCs w:val="18"/>
              </w:rPr>
              <w:t xml:space="preserve">secondly the social and economic development of the regions </w:t>
            </w:r>
            <w:r w:rsidRPr="00A32897">
              <w:rPr>
                <w:rFonts w:ascii="Calibri" w:hAnsi="Calibri" w:cs="Calibri"/>
                <w:sz w:val="18"/>
                <w:szCs w:val="18"/>
              </w:rPr>
              <w:t>protected from onchocerciasis’</w:t>
            </w:r>
          </w:p>
        </w:tc>
      </w:tr>
      <w:tr w:rsidR="00931CC1" w:rsidRPr="00A32897" w14:paraId="40436AA9" w14:textId="77777777" w:rsidTr="005047C7">
        <w:trPr>
          <w:trHeight w:val="845"/>
        </w:trPr>
        <w:tc>
          <w:tcPr>
            <w:cnfStyle w:val="001000000000" w:firstRow="0" w:lastRow="0" w:firstColumn="1" w:lastColumn="0" w:oddVBand="0" w:evenVBand="0" w:oddHBand="0" w:evenHBand="0" w:firstRowFirstColumn="0" w:firstRowLastColumn="0" w:lastRowFirstColumn="0" w:lastRowLastColumn="0"/>
            <w:tcW w:w="1705" w:type="dxa"/>
            <w:tcBorders>
              <w:top w:val="single" w:sz="4" w:space="0" w:color="auto"/>
              <w:bottom w:val="single" w:sz="4" w:space="0" w:color="auto"/>
            </w:tcBorders>
          </w:tcPr>
          <w:p w14:paraId="2B220EEB" w14:textId="77777777" w:rsidR="00931CC1" w:rsidRPr="00A32897" w:rsidRDefault="00931CC1" w:rsidP="005047C7">
            <w:pPr>
              <w:rPr>
                <w:rFonts w:ascii="Calibri" w:hAnsi="Calibri" w:cs="Calibri"/>
                <w:b/>
                <w:sz w:val="18"/>
                <w:szCs w:val="18"/>
              </w:rPr>
            </w:pPr>
            <w:r w:rsidRPr="00A32897">
              <w:rPr>
                <w:rFonts w:ascii="Calibri" w:hAnsi="Calibri" w:cs="Calibri"/>
                <w:b/>
                <w:sz w:val="18"/>
                <w:szCs w:val="18"/>
              </w:rPr>
              <w:t>Onchocerciasis Fund Agreement (1986)</w:t>
            </w:r>
          </w:p>
        </w:tc>
        <w:tc>
          <w:tcPr>
            <w:tcW w:w="7305" w:type="dxa"/>
          </w:tcPr>
          <w:p w14:paraId="54A32197" w14:textId="77777777" w:rsidR="00931CC1" w:rsidRPr="00A32897" w:rsidRDefault="00931CC1" w:rsidP="005047C7">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 xml:space="preserve">Official general objective: ‘planned to be achieved by 1997, is </w:t>
            </w:r>
            <w:r w:rsidRPr="00A32897">
              <w:rPr>
                <w:rFonts w:ascii="Calibri" w:hAnsi="Calibri" w:cs="Calibri"/>
                <w:i/>
                <w:iCs/>
                <w:sz w:val="18"/>
                <w:szCs w:val="18"/>
              </w:rPr>
              <w:t>to eliminate onchocerciasis as a disease of public health and socioeconomic importance</w:t>
            </w:r>
            <w:r w:rsidRPr="00A32897">
              <w:rPr>
                <w:rFonts w:ascii="Calibri" w:hAnsi="Calibri" w:cs="Calibri"/>
                <w:sz w:val="18"/>
                <w:szCs w:val="18"/>
              </w:rPr>
              <w:t xml:space="preserve"> throughout the Programme area and </w:t>
            </w:r>
            <w:r w:rsidRPr="00A32897">
              <w:rPr>
                <w:rFonts w:ascii="Calibri" w:hAnsi="Calibri" w:cs="Calibri"/>
                <w:i/>
                <w:iCs/>
                <w:sz w:val="18"/>
                <w:szCs w:val="18"/>
              </w:rPr>
              <w:t>to ensure that there is no recrudescence</w:t>
            </w:r>
            <w:r w:rsidRPr="00A32897">
              <w:rPr>
                <w:rFonts w:ascii="Calibri" w:hAnsi="Calibri" w:cs="Calibri"/>
                <w:sz w:val="18"/>
                <w:szCs w:val="18"/>
              </w:rPr>
              <w:t xml:space="preserve"> of the disease thereafter’</w:t>
            </w:r>
          </w:p>
          <w:p w14:paraId="114C897E" w14:textId="77777777" w:rsidR="00931CC1" w:rsidRPr="00A32897" w:rsidRDefault="00931CC1" w:rsidP="005047C7">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Activity list, but no sub-objectives, given.</w:t>
            </w:r>
            <w:r w:rsidRPr="00A32897">
              <w:rPr>
                <w:rStyle w:val="FootnoteReference"/>
                <w:rFonts w:ascii="Calibri" w:hAnsi="Calibri" w:cs="Calibri"/>
              </w:rPr>
              <w:footnoteReference w:id="1016"/>
            </w:r>
          </w:p>
        </w:tc>
      </w:tr>
      <w:tr w:rsidR="00931CC1" w:rsidRPr="00A32897" w14:paraId="4438FAD5" w14:textId="77777777" w:rsidTr="005047C7">
        <w:trPr>
          <w:cnfStyle w:val="000000100000" w:firstRow="0" w:lastRow="0" w:firstColumn="0" w:lastColumn="0" w:oddVBand="0" w:evenVBand="0" w:oddHBand="1" w:evenHBand="0" w:firstRowFirstColumn="0" w:firstRowLastColumn="0" w:lastRowFirstColumn="0" w:lastRowLastColumn="0"/>
          <w:trHeight w:val="845"/>
        </w:trPr>
        <w:tc>
          <w:tcPr>
            <w:cnfStyle w:val="001000000000" w:firstRow="0" w:lastRow="0" w:firstColumn="1" w:lastColumn="0" w:oddVBand="0" w:evenVBand="0" w:oddHBand="0" w:evenHBand="0" w:firstRowFirstColumn="0" w:firstRowLastColumn="0" w:lastRowFirstColumn="0" w:lastRowLastColumn="0"/>
            <w:tcW w:w="1705" w:type="dxa"/>
            <w:tcBorders>
              <w:top w:val="single" w:sz="4" w:space="0" w:color="auto"/>
            </w:tcBorders>
          </w:tcPr>
          <w:p w14:paraId="755F9E99" w14:textId="77777777" w:rsidR="00931CC1" w:rsidRPr="00A32897" w:rsidRDefault="00931CC1" w:rsidP="005047C7">
            <w:pPr>
              <w:rPr>
                <w:rFonts w:ascii="Calibri" w:hAnsi="Calibri" w:cs="Calibri"/>
                <w:b/>
                <w:sz w:val="18"/>
                <w:szCs w:val="18"/>
              </w:rPr>
            </w:pPr>
            <w:r w:rsidRPr="00A32897">
              <w:rPr>
                <w:rFonts w:ascii="Calibri" w:hAnsi="Calibri" w:cs="Calibri"/>
                <w:b/>
                <w:sz w:val="18"/>
                <w:szCs w:val="18"/>
              </w:rPr>
              <w:lastRenderedPageBreak/>
              <w:t>Onchocerciasis Fund Agreement (1992)</w:t>
            </w:r>
          </w:p>
        </w:tc>
        <w:tc>
          <w:tcPr>
            <w:tcW w:w="7305" w:type="dxa"/>
          </w:tcPr>
          <w:p w14:paraId="70543F2D" w14:textId="77777777" w:rsidR="00931CC1" w:rsidRPr="00A32897"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Official general objective: ‘is to eliminate onchocerciasis as a disease of public health importance and as an obstacle to socioeconomic development throughout the Programme area and for the Participating Governments to maintain this achievement’</w:t>
            </w:r>
          </w:p>
          <w:p w14:paraId="6B089B41" w14:textId="77777777" w:rsidR="00931CC1" w:rsidRPr="00A32897"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Activity list, but no sub-objectives, given.</w:t>
            </w:r>
            <w:r w:rsidRPr="00A32897">
              <w:rPr>
                <w:rStyle w:val="FootnoteReference"/>
                <w:rFonts w:ascii="Calibri" w:hAnsi="Calibri" w:cs="Calibri"/>
              </w:rPr>
              <w:footnoteReference w:id="1017"/>
            </w:r>
          </w:p>
        </w:tc>
      </w:tr>
    </w:tbl>
    <w:p w14:paraId="58FB9EB6" w14:textId="77777777" w:rsidR="00931CC1" w:rsidRPr="00A32897" w:rsidRDefault="00931CC1" w:rsidP="00931CC1">
      <w:pPr>
        <w:rPr>
          <w:rFonts w:ascii="Calibri" w:hAnsi="Calibri" w:cs="Calibri"/>
          <w:sz w:val="22"/>
          <w:szCs w:val="22"/>
        </w:rPr>
      </w:pPr>
    </w:p>
    <w:p w14:paraId="2BD4075F" w14:textId="5094B02F" w:rsidR="00B06002" w:rsidRDefault="00B06002" w:rsidP="00931CC1">
      <w:pPr>
        <w:rPr>
          <w:rFonts w:ascii="Calibri" w:hAnsi="Calibri" w:cs="Calibri"/>
          <w:sz w:val="22"/>
          <w:szCs w:val="22"/>
        </w:rPr>
      </w:pPr>
    </w:p>
    <w:p w14:paraId="7337D5F6" w14:textId="77777777" w:rsidR="00B8225C" w:rsidRDefault="00B8225C" w:rsidP="00931CC1">
      <w:pPr>
        <w:rPr>
          <w:rFonts w:ascii="Calibri" w:hAnsi="Calibri" w:cs="Calibri"/>
          <w:sz w:val="22"/>
          <w:szCs w:val="22"/>
        </w:rPr>
      </w:pPr>
    </w:p>
    <w:p w14:paraId="48048415" w14:textId="50140A17" w:rsidR="00931CC1" w:rsidRPr="00A32897" w:rsidRDefault="00931CC1" w:rsidP="00931CC1">
      <w:pPr>
        <w:rPr>
          <w:rFonts w:ascii="Calibri" w:hAnsi="Calibri" w:cs="Calibri"/>
          <w:sz w:val="22"/>
          <w:szCs w:val="22"/>
        </w:rPr>
      </w:pPr>
      <w:r w:rsidRPr="00A32897">
        <w:rPr>
          <w:rFonts w:ascii="Calibri" w:hAnsi="Calibri" w:cs="Calibri"/>
          <w:sz w:val="22"/>
          <w:szCs w:val="22"/>
        </w:rPr>
        <w:t xml:space="preserve">The figure below depicts the Expert Advisory Commission (EAC)’s suggested objectives (1984). The committee divided objectives into three categories: a final objective (orange), general supporting objectives (during the OCP and after completion, green), and operational sub-objectives (blue). The OCP ultimately did not adopt the operational objectives as suggested. </w:t>
      </w:r>
    </w:p>
    <w:p w14:paraId="2A7F1F2A" w14:textId="77777777" w:rsidR="008F0AA2" w:rsidRDefault="00931CC1" w:rsidP="00B06002">
      <w:pPr>
        <w:rPr>
          <w:rFonts w:ascii="Calibri" w:hAnsi="Calibri" w:cs="Calibri"/>
          <w:b/>
          <w:sz w:val="26"/>
          <w:szCs w:val="26"/>
        </w:rPr>
      </w:pPr>
      <w:r w:rsidRPr="00A32897">
        <w:rPr>
          <w:rFonts w:ascii="Calibri" w:hAnsi="Calibri" w:cs="Calibri"/>
          <w:noProof/>
          <w:sz w:val="22"/>
          <w:szCs w:val="22"/>
          <w:lang w:eastAsia="en-GB"/>
        </w:rPr>
        <w:drawing>
          <wp:inline distT="0" distB="0" distL="0" distR="0" wp14:anchorId="3E52CFFB" wp14:editId="0A01A010">
            <wp:extent cx="6062345" cy="3458817"/>
            <wp:effectExtent l="0" t="0" r="14605" b="27940"/>
            <wp:docPr id="1046" name="Diagram 104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3" r:lo="rId154" r:qs="rId155" r:cs="rId156"/>
              </a:graphicData>
            </a:graphic>
          </wp:inline>
        </w:drawing>
      </w:r>
      <w:bookmarkStart w:id="174" w:name="_Toc29580571"/>
    </w:p>
    <w:p w14:paraId="213558C2" w14:textId="77777777" w:rsidR="008F0AA2" w:rsidRDefault="008F0AA2" w:rsidP="00B06002">
      <w:pPr>
        <w:rPr>
          <w:rFonts w:ascii="Calibri" w:hAnsi="Calibri" w:cs="Calibri"/>
          <w:b/>
          <w:sz w:val="26"/>
          <w:szCs w:val="26"/>
        </w:rPr>
      </w:pPr>
    </w:p>
    <w:p w14:paraId="4964CC17" w14:textId="77777777" w:rsidR="008F0AA2" w:rsidRDefault="008F0AA2" w:rsidP="00B06002">
      <w:pPr>
        <w:rPr>
          <w:rFonts w:ascii="Calibri" w:hAnsi="Calibri" w:cs="Calibri"/>
          <w:b/>
          <w:sz w:val="26"/>
          <w:szCs w:val="26"/>
        </w:rPr>
      </w:pPr>
    </w:p>
    <w:p w14:paraId="069F0F0E" w14:textId="77777777" w:rsidR="00B8225C" w:rsidRDefault="00B8225C" w:rsidP="00B06002">
      <w:pPr>
        <w:rPr>
          <w:rFonts w:ascii="Calibri" w:hAnsi="Calibri" w:cs="Calibri"/>
          <w:b/>
          <w:sz w:val="26"/>
          <w:szCs w:val="26"/>
        </w:rPr>
      </w:pPr>
    </w:p>
    <w:p w14:paraId="7686490A" w14:textId="77777777" w:rsidR="00B8225C" w:rsidRDefault="00B8225C" w:rsidP="00B06002">
      <w:pPr>
        <w:rPr>
          <w:rFonts w:ascii="Calibri" w:hAnsi="Calibri" w:cs="Calibri"/>
          <w:b/>
          <w:sz w:val="26"/>
          <w:szCs w:val="26"/>
        </w:rPr>
      </w:pPr>
    </w:p>
    <w:p w14:paraId="3D7D5B7F" w14:textId="77777777" w:rsidR="00B8225C" w:rsidRDefault="00B8225C" w:rsidP="00B06002">
      <w:pPr>
        <w:rPr>
          <w:rFonts w:ascii="Calibri" w:hAnsi="Calibri" w:cs="Calibri"/>
          <w:b/>
          <w:sz w:val="26"/>
          <w:szCs w:val="26"/>
        </w:rPr>
      </w:pPr>
    </w:p>
    <w:p w14:paraId="698C1B35" w14:textId="77777777" w:rsidR="00B8225C" w:rsidRDefault="00B8225C" w:rsidP="00B06002">
      <w:pPr>
        <w:rPr>
          <w:rFonts w:ascii="Calibri" w:hAnsi="Calibri" w:cs="Calibri"/>
          <w:b/>
          <w:sz w:val="26"/>
          <w:szCs w:val="26"/>
        </w:rPr>
      </w:pPr>
    </w:p>
    <w:p w14:paraId="7D17AC39" w14:textId="77777777" w:rsidR="00B8225C" w:rsidRDefault="00B8225C" w:rsidP="00B06002">
      <w:pPr>
        <w:rPr>
          <w:rFonts w:ascii="Calibri" w:hAnsi="Calibri" w:cs="Calibri"/>
          <w:b/>
          <w:sz w:val="26"/>
          <w:szCs w:val="26"/>
        </w:rPr>
      </w:pPr>
    </w:p>
    <w:p w14:paraId="2E3243F9" w14:textId="789A2366" w:rsidR="00931CC1" w:rsidRPr="00165407" w:rsidRDefault="00931CC1" w:rsidP="00CF189D">
      <w:pPr>
        <w:pStyle w:val="Heading2"/>
        <w:rPr>
          <w:rFonts w:ascii="Calibri" w:hAnsi="Calibri" w:cs="Calibri"/>
          <w:b/>
          <w:bCs/>
          <w:sz w:val="26"/>
          <w:szCs w:val="26"/>
        </w:rPr>
      </w:pPr>
      <w:bookmarkStart w:id="175" w:name="_Toc41505722"/>
      <w:r w:rsidRPr="00165407">
        <w:rPr>
          <w:rFonts w:ascii="Calibri" w:hAnsi="Calibri" w:cs="Calibri"/>
          <w:b/>
          <w:bCs/>
          <w:sz w:val="26"/>
          <w:szCs w:val="26"/>
        </w:rPr>
        <w:lastRenderedPageBreak/>
        <w:t xml:space="preserve">Appendix </w:t>
      </w:r>
      <w:r w:rsidR="00E040F9" w:rsidRPr="00165407">
        <w:rPr>
          <w:rFonts w:ascii="Calibri" w:hAnsi="Calibri" w:cs="Calibri"/>
          <w:b/>
          <w:bCs/>
          <w:sz w:val="26"/>
          <w:szCs w:val="26"/>
        </w:rPr>
        <w:t>V</w:t>
      </w:r>
      <w:r w:rsidR="00F8472B" w:rsidRPr="00165407">
        <w:rPr>
          <w:rFonts w:ascii="Calibri" w:hAnsi="Calibri" w:cs="Calibri"/>
          <w:b/>
          <w:bCs/>
          <w:sz w:val="26"/>
          <w:szCs w:val="26"/>
        </w:rPr>
        <w:t>I</w:t>
      </w:r>
      <w:r w:rsidRPr="00165407">
        <w:rPr>
          <w:rFonts w:ascii="Calibri" w:hAnsi="Calibri" w:cs="Calibri"/>
          <w:b/>
          <w:bCs/>
          <w:sz w:val="26"/>
          <w:szCs w:val="26"/>
        </w:rPr>
        <w:t xml:space="preserve">. Collection of </w:t>
      </w:r>
      <w:r w:rsidR="008F0AA2" w:rsidRPr="00165407">
        <w:rPr>
          <w:rFonts w:ascii="Calibri" w:hAnsi="Calibri" w:cs="Calibri"/>
          <w:b/>
          <w:bCs/>
          <w:sz w:val="26"/>
          <w:szCs w:val="26"/>
        </w:rPr>
        <w:t xml:space="preserve">OCP </w:t>
      </w:r>
      <w:r w:rsidRPr="00165407">
        <w:rPr>
          <w:rFonts w:ascii="Calibri" w:hAnsi="Calibri" w:cs="Calibri"/>
          <w:b/>
          <w:bCs/>
          <w:sz w:val="26"/>
          <w:szCs w:val="26"/>
        </w:rPr>
        <w:t>epidemiological data</w:t>
      </w:r>
      <w:bookmarkEnd w:id="174"/>
      <w:bookmarkEnd w:id="175"/>
    </w:p>
    <w:p w14:paraId="59666C51" w14:textId="77777777" w:rsidR="00931CC1" w:rsidRPr="00A32897" w:rsidRDefault="00931CC1" w:rsidP="00B06002">
      <w:pPr>
        <w:spacing w:before="100" w:beforeAutospacing="1" w:after="100" w:afterAutospacing="1"/>
        <w:ind w:firstLine="720"/>
        <w:rPr>
          <w:rFonts w:ascii="Calibri" w:hAnsi="Calibri" w:cs="Calibri"/>
          <w:sz w:val="22"/>
          <w:szCs w:val="22"/>
        </w:rPr>
      </w:pPr>
      <w:r w:rsidRPr="00A32897">
        <w:rPr>
          <w:rFonts w:ascii="Calibri" w:hAnsi="Calibri" w:cs="Calibri"/>
          <w:sz w:val="22"/>
          <w:szCs w:val="22"/>
        </w:rPr>
        <w:t>The OCP Preparatory (PAG) Mission took a first stab at estimating the prevalence of onchocerciasis, which would be a critical benchmark for progress in controlling transmission. It compiled data on 2,407 ‘population units’, typically individual villages or towns, which included 5.6 million people (about 1.7 percent of the total population in the original seven countries). These population units were selected based on existing data from previous health service surveys, undertaken in the seven countries largely from 1968-1972. Because the data was collected by diverse teams using different diagnostic criteria, it was considered imprecise and had to be adjusted and standardized. Based on data from these population units, the Mission crudely estimated that 850,000 or ‘perhaps a million’ individuals had onchocerciasis in the seven countries. However, they admitted that ‘incomplete information on blindness poses a much more serious problem’, as there were several ‘blank areas’ and the data was ‘severely without’ information on age and gender. The mission guessed that, of those infected, about 35,000 people were blind and a similar number had severely impaired vision.</w:t>
      </w:r>
      <w:r w:rsidRPr="00A32897">
        <w:rPr>
          <w:rStyle w:val="FootnoteReference"/>
          <w:rFonts w:ascii="Calibri" w:hAnsi="Calibri" w:cs="Calibri"/>
          <w:sz w:val="22"/>
          <w:szCs w:val="22"/>
        </w:rPr>
        <w:footnoteReference w:id="1018"/>
      </w:r>
    </w:p>
    <w:p w14:paraId="4956367E" w14:textId="77777777" w:rsidR="00931CC1" w:rsidRPr="00A32897" w:rsidRDefault="00931CC1" w:rsidP="00B06002">
      <w:pPr>
        <w:spacing w:before="100" w:beforeAutospacing="1" w:after="100" w:afterAutospacing="1"/>
        <w:ind w:firstLine="720"/>
        <w:rPr>
          <w:rFonts w:ascii="Calibri" w:hAnsi="Calibri" w:cs="Calibri"/>
          <w:bCs/>
          <w:sz w:val="22"/>
          <w:szCs w:val="22"/>
        </w:rPr>
      </w:pPr>
      <w:r w:rsidRPr="00A32897">
        <w:rPr>
          <w:rFonts w:ascii="Calibri" w:hAnsi="Calibri" w:cs="Calibri"/>
          <w:sz w:val="22"/>
          <w:szCs w:val="22"/>
        </w:rPr>
        <w:t>OCP stakeholders recognized the need to develop a more systematic approach for collecting transmission data. One of the major difficulties was that the programme spanned both Francophone and Anglophone (Ghana) countries. This meant that epidemiological analysis could not be contracted-out to a post-colonial research organization. In the words of a United Kingdom medical doctor, the OCP’s wide geographic scope meant that it ‘became a big international operation – perhaps too big to manage for anybody, not least the WHO’, which ‘explains many committees, additions to OCP/HQ…and the fact that the field operators often feel they play an insignificant role in the big political game’.</w:t>
      </w:r>
      <w:r w:rsidRPr="00A32897">
        <w:rPr>
          <w:rStyle w:val="FootnoteReference"/>
          <w:rFonts w:ascii="Calibri" w:hAnsi="Calibri" w:cs="Calibri"/>
          <w:sz w:val="22"/>
          <w:szCs w:val="22"/>
        </w:rPr>
        <w:footnoteReference w:id="1019"/>
      </w:r>
      <w:r w:rsidRPr="00A32897">
        <w:rPr>
          <w:rFonts w:ascii="Calibri" w:hAnsi="Calibri" w:cs="Calibri"/>
          <w:sz w:val="22"/>
          <w:szCs w:val="22"/>
        </w:rPr>
        <w:t xml:space="preserve"> </w:t>
      </w:r>
    </w:p>
    <w:p w14:paraId="0B755C2A" w14:textId="77777777" w:rsidR="00931CC1" w:rsidRPr="00A32897" w:rsidRDefault="00931CC1" w:rsidP="00B06002">
      <w:pPr>
        <w:spacing w:before="100" w:beforeAutospacing="1" w:after="100" w:afterAutospacing="1"/>
        <w:ind w:firstLine="720"/>
        <w:rPr>
          <w:rFonts w:ascii="Calibri" w:hAnsi="Calibri" w:cs="Calibri"/>
          <w:sz w:val="22"/>
          <w:szCs w:val="22"/>
        </w:rPr>
      </w:pPr>
      <w:r w:rsidRPr="00A32897">
        <w:rPr>
          <w:rFonts w:ascii="Calibri" w:hAnsi="Calibri" w:cs="Calibri"/>
          <w:sz w:val="22"/>
          <w:szCs w:val="22"/>
        </w:rPr>
        <w:t>Active surveillance began in 1974. It was coordinated by two Ouagadougou-based units: the Vector Control Unit (VCU) and Epidemiology Evaluation Unit (EPI). The VCU trained entomologists and fly-catchers to coordinate systematic larviciding (conducted by a contracted helicopter company), catch and dissect flies at specified sites, and perform applied research like hydrobiological data collection. The Epidemiology Evaluation Unit relied primarily on national mobile teams and two cross-country evaluation teams to perform continuous epidemiological surveys.</w:t>
      </w:r>
      <w:r w:rsidRPr="00A32897">
        <w:rPr>
          <w:rStyle w:val="FootnoteReference"/>
          <w:rFonts w:ascii="Calibri" w:hAnsi="Calibri" w:cs="Calibri"/>
          <w:sz w:val="22"/>
          <w:szCs w:val="22"/>
        </w:rPr>
        <w:footnoteReference w:id="1020"/>
      </w:r>
      <w:r w:rsidRPr="00A32897">
        <w:rPr>
          <w:rFonts w:ascii="Calibri" w:hAnsi="Calibri" w:cs="Calibri"/>
          <w:sz w:val="22"/>
          <w:szCs w:val="22"/>
        </w:rPr>
        <w:t xml:space="preserve"> </w:t>
      </w:r>
    </w:p>
    <w:p w14:paraId="305D6950" w14:textId="77777777" w:rsidR="00931CC1" w:rsidRPr="00A32897" w:rsidRDefault="00931CC1" w:rsidP="00B06002">
      <w:pPr>
        <w:spacing w:before="100" w:beforeAutospacing="1" w:after="100" w:afterAutospacing="1"/>
        <w:ind w:firstLine="720"/>
        <w:rPr>
          <w:rFonts w:ascii="Calibri" w:hAnsi="Calibri" w:cs="Calibri"/>
          <w:sz w:val="22"/>
          <w:szCs w:val="22"/>
        </w:rPr>
      </w:pPr>
      <w:r w:rsidRPr="00A32897">
        <w:rPr>
          <w:rFonts w:ascii="Calibri" w:hAnsi="Calibri" w:cs="Calibri"/>
          <w:sz w:val="22"/>
          <w:szCs w:val="22"/>
        </w:rPr>
        <w:t>The Vector Control Unit was frequently likened to a tiered ‘military operation’.</w:t>
      </w:r>
      <w:r w:rsidRPr="00A32897">
        <w:rPr>
          <w:rStyle w:val="FootnoteReference"/>
          <w:rFonts w:ascii="Calibri" w:hAnsi="Calibri" w:cs="Calibri"/>
          <w:sz w:val="22"/>
          <w:szCs w:val="22"/>
        </w:rPr>
        <w:footnoteReference w:id="1021"/>
      </w:r>
      <w:r w:rsidRPr="00A32897">
        <w:rPr>
          <w:rFonts w:ascii="Calibri" w:hAnsi="Calibri" w:cs="Calibri"/>
          <w:sz w:val="22"/>
          <w:szCs w:val="22"/>
        </w:rPr>
        <w:t xml:space="preserve"> The operation’s basic entomological unit was a vector collection team, composed of two local fly catchers, a vehicle, and a driver.</w:t>
      </w:r>
      <w:r w:rsidRPr="00A32897">
        <w:rPr>
          <w:rStyle w:val="FootnoteReference"/>
          <w:rFonts w:ascii="Calibri" w:hAnsi="Calibri" w:cs="Calibri"/>
          <w:sz w:val="22"/>
          <w:szCs w:val="22"/>
        </w:rPr>
        <w:t xml:space="preserve"> </w:t>
      </w:r>
      <w:r w:rsidRPr="00A32897">
        <w:rPr>
          <w:rStyle w:val="FootnoteReference"/>
          <w:rFonts w:ascii="Calibri" w:hAnsi="Calibri" w:cs="Calibri"/>
          <w:sz w:val="22"/>
          <w:szCs w:val="22"/>
        </w:rPr>
        <w:footnoteReference w:id="1022"/>
      </w:r>
      <w:r w:rsidRPr="00A32897">
        <w:rPr>
          <w:rStyle w:val="FootnoteReference"/>
          <w:rFonts w:ascii="Calibri" w:hAnsi="Calibri" w:cs="Calibri"/>
          <w:sz w:val="22"/>
          <w:szCs w:val="22"/>
        </w:rPr>
        <w:t xml:space="preserve"> </w:t>
      </w:r>
      <w:r w:rsidRPr="00A32897">
        <w:rPr>
          <w:rFonts w:ascii="Calibri" w:hAnsi="Calibri" w:cs="Calibri"/>
          <w:sz w:val="22"/>
          <w:szCs w:val="22"/>
        </w:rPr>
        <w:t>Three or four vector collection teams made up a sub-sector, which also had a small laboratory and entomological technician. And, three to five sub-sectors were grouped into each sector, which was supervised by a graduate entomologist and had an administrative office.</w:t>
      </w:r>
      <w:r w:rsidRPr="00A32897">
        <w:rPr>
          <w:rStyle w:val="FootnoteReference"/>
          <w:rFonts w:ascii="Calibri" w:hAnsi="Calibri" w:cs="Calibri"/>
          <w:sz w:val="22"/>
          <w:szCs w:val="22"/>
        </w:rPr>
        <w:footnoteReference w:id="1023"/>
      </w:r>
      <w:r w:rsidRPr="00A32897">
        <w:rPr>
          <w:rFonts w:ascii="Calibri" w:hAnsi="Calibri" w:cs="Calibri"/>
          <w:sz w:val="22"/>
          <w:szCs w:val="22"/>
        </w:rPr>
        <w:t xml:space="preserve"> The fly catchers were placed at catching locations, which they manned for 11 hours on designated days. Pairs of catchers rotated hours during their watch, during which they exposed their feet and legs below the knee, caught all flies that attempted to bite, and stored the flies in plastic tubes. Fly catches were recorded each hour. The stored flies were then sent to the sub-sector laboratory for classification by species (as known) and prompt dissection. By the late 1970s, about 258 catch-points were established across the OCP, most of them near villages selected </w:t>
      </w:r>
      <w:r w:rsidRPr="00A32897">
        <w:rPr>
          <w:rFonts w:ascii="Calibri" w:hAnsi="Calibri" w:cs="Calibri"/>
          <w:sz w:val="22"/>
          <w:szCs w:val="22"/>
        </w:rPr>
        <w:lastRenderedPageBreak/>
        <w:t>for epidemiological surveys. These sites were typically visited 2-4 times per month.</w:t>
      </w:r>
      <w:r w:rsidRPr="00A32897">
        <w:rPr>
          <w:rStyle w:val="FootnoteReference"/>
          <w:rFonts w:ascii="Calibri" w:hAnsi="Calibri" w:cs="Calibri"/>
          <w:sz w:val="22"/>
          <w:szCs w:val="22"/>
        </w:rPr>
        <w:t xml:space="preserve"> </w:t>
      </w:r>
      <w:r w:rsidRPr="00A32897">
        <w:rPr>
          <w:rStyle w:val="FootnoteReference"/>
          <w:rFonts w:ascii="Calibri" w:hAnsi="Calibri" w:cs="Calibri"/>
          <w:sz w:val="22"/>
          <w:szCs w:val="22"/>
        </w:rPr>
        <w:footnoteReference w:id="1024"/>
      </w:r>
      <w:r w:rsidRPr="00A32897">
        <w:rPr>
          <w:rFonts w:ascii="Calibri" w:hAnsi="Calibri" w:cs="Calibri"/>
          <w:sz w:val="22"/>
          <w:szCs w:val="22"/>
        </w:rPr>
        <w:t xml:space="preserve"> Fly catching data could be combined two produce three types of information critical to measuring the progress of the OCP: the </w:t>
      </w:r>
      <w:r w:rsidRPr="00A32897">
        <w:rPr>
          <w:rFonts w:ascii="Calibri" w:hAnsi="Calibri" w:cs="Calibri"/>
          <w:sz w:val="22"/>
          <w:szCs w:val="22"/>
          <w:u w:val="single"/>
        </w:rPr>
        <w:t>number of black flies</w:t>
      </w:r>
      <w:r w:rsidRPr="00A32897">
        <w:rPr>
          <w:rFonts w:ascii="Calibri" w:hAnsi="Calibri" w:cs="Calibri"/>
          <w:sz w:val="22"/>
          <w:szCs w:val="22"/>
        </w:rPr>
        <w:t xml:space="preserve"> in a particular area, the </w:t>
      </w:r>
      <w:r w:rsidRPr="00A32897">
        <w:rPr>
          <w:rFonts w:ascii="Calibri" w:hAnsi="Calibri" w:cs="Calibri"/>
          <w:sz w:val="22"/>
          <w:szCs w:val="22"/>
          <w:u w:val="single"/>
        </w:rPr>
        <w:t>infectivity</w:t>
      </w:r>
      <w:r w:rsidRPr="00A32897">
        <w:rPr>
          <w:rFonts w:ascii="Calibri" w:hAnsi="Calibri" w:cs="Calibri"/>
          <w:sz w:val="22"/>
          <w:szCs w:val="22"/>
        </w:rPr>
        <w:t xml:space="preserve"> of these biting flies (i.e. the infective worm larvae – ‘L3’ – load in the fly), and the estimated </w:t>
      </w:r>
      <w:r w:rsidRPr="00A32897">
        <w:rPr>
          <w:rFonts w:ascii="Calibri" w:hAnsi="Calibri" w:cs="Calibri"/>
          <w:i/>
          <w:sz w:val="22"/>
          <w:szCs w:val="22"/>
        </w:rPr>
        <w:t xml:space="preserve">O. volvulus </w:t>
      </w:r>
      <w:r w:rsidRPr="00A32897">
        <w:rPr>
          <w:rFonts w:ascii="Calibri" w:hAnsi="Calibri" w:cs="Calibri"/>
          <w:sz w:val="22"/>
          <w:szCs w:val="22"/>
          <w:u w:val="single"/>
        </w:rPr>
        <w:t>transmission</w:t>
      </w:r>
      <w:r w:rsidRPr="00A32897">
        <w:rPr>
          <w:rFonts w:ascii="Calibri" w:hAnsi="Calibri" w:cs="Calibri"/>
          <w:sz w:val="22"/>
          <w:szCs w:val="22"/>
        </w:rPr>
        <w:t xml:space="preserve"> possible from flies to humans in the given area. </w:t>
      </w:r>
    </w:p>
    <w:p w14:paraId="66044A8F" w14:textId="33D7E907" w:rsidR="00931CC1" w:rsidRPr="00A32897" w:rsidRDefault="00931CC1" w:rsidP="00B06002">
      <w:pPr>
        <w:spacing w:before="100" w:beforeAutospacing="1" w:after="100" w:afterAutospacing="1"/>
        <w:ind w:firstLine="720"/>
        <w:rPr>
          <w:rFonts w:ascii="Calibri" w:hAnsi="Calibri" w:cs="Calibri"/>
          <w:sz w:val="22"/>
          <w:szCs w:val="22"/>
        </w:rPr>
      </w:pPr>
      <w:r w:rsidRPr="00A32897">
        <w:rPr>
          <w:rFonts w:ascii="Calibri" w:hAnsi="Calibri" w:cs="Calibri"/>
          <w:sz w:val="22"/>
          <w:szCs w:val="22"/>
        </w:rPr>
        <w:t>Two metrics were developed during the early years of the programme to measure and link this entomological information to epidemiological progress (see diagram below). First, the annual bite rate (ABR) estimated the number of black flies (</w:t>
      </w:r>
      <w:r w:rsidRPr="00A32897">
        <w:rPr>
          <w:rFonts w:ascii="Calibri" w:hAnsi="Calibri" w:cs="Calibri"/>
          <w:i/>
          <w:sz w:val="22"/>
          <w:szCs w:val="22"/>
        </w:rPr>
        <w:t>Simulium damnosum</w:t>
      </w:r>
      <w:r w:rsidRPr="00A32897">
        <w:rPr>
          <w:rFonts w:ascii="Calibri" w:hAnsi="Calibri" w:cs="Calibri"/>
          <w:sz w:val="22"/>
          <w:szCs w:val="22"/>
        </w:rPr>
        <w:t>) that would theoretically bite a man, if he was exposed to biting for most daylight hours every day for a year. The ABR said nothing about onchocerciasis transmission, as it summed all black fly bites, regardless of whether they were infectious. The Vector Control Unit used the general ‘fly catchers’ method developed by British entomologists Roger Crosskey and John B. Davies in the 1950s to capture required data for the ABR.</w:t>
      </w:r>
      <w:r w:rsidRPr="00A32897">
        <w:rPr>
          <w:rStyle w:val="FootnoteReference"/>
          <w:rFonts w:ascii="Calibri" w:hAnsi="Calibri" w:cs="Calibri"/>
          <w:sz w:val="22"/>
          <w:szCs w:val="22"/>
        </w:rPr>
        <w:footnoteReference w:id="1025"/>
      </w:r>
      <w:r w:rsidRPr="00A32897">
        <w:rPr>
          <w:rFonts w:ascii="Calibri" w:hAnsi="Calibri" w:cs="Calibri"/>
          <w:sz w:val="22"/>
          <w:szCs w:val="22"/>
        </w:rPr>
        <w:t xml:space="preserve">  Dissecting flies allowed the entomologists to determine the number of L3 larvae present in each fly’s head. They could then calculate the second major vector control metric, which was first used in 1968:</w:t>
      </w:r>
      <w:r w:rsidRPr="00A32897">
        <w:rPr>
          <w:rStyle w:val="FootnoteReference"/>
          <w:rFonts w:ascii="Calibri" w:hAnsi="Calibri" w:cs="Calibri"/>
          <w:sz w:val="22"/>
          <w:szCs w:val="22"/>
        </w:rPr>
        <w:footnoteReference w:id="1026"/>
      </w:r>
      <w:r w:rsidRPr="00A32897">
        <w:rPr>
          <w:rFonts w:ascii="Calibri" w:hAnsi="Calibri" w:cs="Calibri"/>
          <w:sz w:val="22"/>
          <w:szCs w:val="22"/>
        </w:rPr>
        <w:t xml:space="preserve"> the annual transmission potential (ATP). The ATP estimated transmission in a given area, by linking bite rates with infectivity:</w:t>
      </w:r>
    </w:p>
    <w:p w14:paraId="0A1A1A2D" w14:textId="7D138A2E" w:rsidR="00931CC1" w:rsidRPr="00B06002" w:rsidRDefault="00931CC1" w:rsidP="00B06002">
      <w:pPr>
        <w:spacing w:before="100" w:beforeAutospacing="1" w:after="100" w:afterAutospacing="1"/>
        <w:ind w:firstLine="360"/>
        <w:jc w:val="center"/>
        <w:rPr>
          <w:rFonts w:ascii="Calibri" w:eastAsiaTheme="minorEastAsia" w:hAnsi="Calibri" w:cs="Calibri"/>
          <w:sz w:val="22"/>
          <w:szCs w:val="22"/>
        </w:rPr>
      </w:pPr>
      <w:r w:rsidRPr="00A32897">
        <w:rPr>
          <w:rFonts w:ascii="Calibri" w:hAnsi="Calibri" w:cs="Calibri"/>
          <w:sz w:val="22"/>
          <w:szCs w:val="22"/>
        </w:rPr>
        <w:t xml:space="preserve">ATP: </w:t>
      </w:r>
      <m:oMath>
        <m:d>
          <m:dPr>
            <m:begChr m:val="["/>
            <m:endChr m:val="]"/>
            <m:ctrlPr>
              <w:rPr>
                <w:rFonts w:ascii="Cambria Math" w:hAnsi="Cambria Math" w:cs="Calibri"/>
                <w:i/>
                <w:sz w:val="22"/>
                <w:szCs w:val="22"/>
              </w:rPr>
            </m:ctrlPr>
          </m:dPr>
          <m:e>
            <m:f>
              <m:fPr>
                <m:ctrlPr>
                  <w:rPr>
                    <w:rFonts w:ascii="Cambria Math" w:hAnsi="Cambria Math" w:cs="Calibri"/>
                    <w:i/>
                    <w:sz w:val="22"/>
                    <w:szCs w:val="22"/>
                  </w:rPr>
                </m:ctrlPr>
              </m:fPr>
              <m:num>
                <m:r>
                  <w:rPr>
                    <w:rFonts w:ascii="Cambria Math" w:hAnsi="Cambria Math" w:cs="Calibri"/>
                    <w:sz w:val="22"/>
                    <w:szCs w:val="22"/>
                  </w:rPr>
                  <m:t>(# days in month)×(# infective Onchocerca larvae)</m:t>
                </m:r>
              </m:num>
              <m:den>
                <m:r>
                  <w:rPr>
                    <w:rFonts w:ascii="Cambria Math" w:hAnsi="Cambria Math" w:cs="Calibri"/>
                    <w:sz w:val="22"/>
                    <w:szCs w:val="22"/>
                  </w:rPr>
                  <m:t>number of catch days</m:t>
                </m:r>
              </m:den>
            </m:f>
          </m:e>
        </m:d>
        <m:r>
          <w:rPr>
            <w:rFonts w:ascii="Cambria Math" w:hAnsi="Cambria Math" w:cs="Calibri"/>
            <w:sz w:val="22"/>
            <w:szCs w:val="22"/>
          </w:rPr>
          <m:t xml:space="preserve">× </m:t>
        </m:r>
        <m:d>
          <m:dPr>
            <m:begChr m:val="["/>
            <m:endChr m:val="]"/>
            <m:ctrlPr>
              <w:rPr>
                <w:rFonts w:ascii="Cambria Math" w:hAnsi="Cambria Math" w:cs="Calibri"/>
                <w:i/>
                <w:sz w:val="22"/>
                <w:szCs w:val="22"/>
              </w:rPr>
            </m:ctrlPr>
          </m:dPr>
          <m:e>
            <m:f>
              <m:fPr>
                <m:ctrlPr>
                  <w:rPr>
                    <w:rFonts w:ascii="Cambria Math" w:hAnsi="Cambria Math" w:cs="Calibri"/>
                    <w:i/>
                    <w:sz w:val="22"/>
                    <w:szCs w:val="22"/>
                  </w:rPr>
                </m:ctrlPr>
              </m:fPr>
              <m:num>
                <m:r>
                  <w:rPr>
                    <w:rFonts w:ascii="Cambria Math" w:hAnsi="Cambria Math" w:cs="Calibri"/>
                    <w:sz w:val="22"/>
                    <w:szCs w:val="22"/>
                  </w:rPr>
                  <m:t>(# flies caught)</m:t>
                </m:r>
              </m:num>
              <m:den>
                <m:r>
                  <w:rPr>
                    <w:rFonts w:ascii="Cambria Math" w:hAnsi="Cambria Math" w:cs="Calibri"/>
                    <w:sz w:val="22"/>
                    <w:szCs w:val="22"/>
                  </w:rPr>
                  <m:t>(# flies dissected)</m:t>
                </m:r>
              </m:den>
            </m:f>
          </m:e>
        </m:d>
      </m:oMath>
      <w:r w:rsidRPr="00A32897">
        <w:rPr>
          <w:rFonts w:ascii="Calibri" w:eastAsiaTheme="minorEastAsia" w:hAnsi="Calibri" w:cs="Calibri"/>
          <w:sz w:val="22"/>
          <w:szCs w:val="22"/>
        </w:rPr>
        <w:t xml:space="preserve">  </w:t>
      </w:r>
    </w:p>
    <w:p w14:paraId="266ADDD5" w14:textId="20755108" w:rsidR="00931CC1" w:rsidRPr="00A32897" w:rsidRDefault="00931CC1" w:rsidP="00B06002">
      <w:pPr>
        <w:spacing w:before="100" w:beforeAutospacing="1" w:after="100" w:afterAutospacing="1"/>
        <w:ind w:firstLine="720"/>
        <w:rPr>
          <w:rFonts w:ascii="Calibri" w:hAnsi="Calibri" w:cs="Calibri"/>
          <w:sz w:val="22"/>
          <w:szCs w:val="22"/>
        </w:rPr>
      </w:pPr>
      <w:r w:rsidRPr="00A32897">
        <w:rPr>
          <w:rFonts w:ascii="Calibri" w:hAnsi="Calibri" w:cs="Calibri"/>
          <w:sz w:val="22"/>
          <w:szCs w:val="22"/>
        </w:rPr>
        <w:t>The goal of the OCP was never to eliminate black flies entirely from the region. Programme stakeholders understood that (uninfected) flies would likely recolonize ‘liberated’ zones in the future because they were widespread in areas outside the programme’s boundaries.</w:t>
      </w:r>
      <w:r w:rsidRPr="00A32897">
        <w:rPr>
          <w:rStyle w:val="FootnoteReference"/>
          <w:rFonts w:ascii="Calibri" w:hAnsi="Calibri" w:cs="Calibri"/>
          <w:sz w:val="22"/>
          <w:szCs w:val="22"/>
        </w:rPr>
        <w:footnoteReference w:id="1027"/>
      </w:r>
      <w:r w:rsidRPr="00A32897">
        <w:rPr>
          <w:rFonts w:ascii="Calibri" w:hAnsi="Calibri" w:cs="Calibri"/>
          <w:sz w:val="22"/>
          <w:szCs w:val="22"/>
        </w:rPr>
        <w:t xml:space="preserve"> The number of flies present could therefore not be used to judge progress towards the program</w:t>
      </w:r>
      <w:r w:rsidR="008039C9">
        <w:rPr>
          <w:rFonts w:ascii="Calibri" w:hAnsi="Calibri" w:cs="Calibri"/>
          <w:sz w:val="22"/>
          <w:szCs w:val="22"/>
        </w:rPr>
        <w:t>me</w:t>
      </w:r>
      <w:r w:rsidRPr="00A32897">
        <w:rPr>
          <w:rFonts w:ascii="Calibri" w:hAnsi="Calibri" w:cs="Calibri"/>
          <w:sz w:val="22"/>
          <w:szCs w:val="22"/>
        </w:rPr>
        <w:t xml:space="preserve"> objective, to </w:t>
      </w:r>
      <w:r w:rsidRPr="00A32897">
        <w:rPr>
          <w:rFonts w:ascii="Calibri" w:hAnsi="Calibri" w:cs="Calibri"/>
          <w:i/>
          <w:sz w:val="22"/>
          <w:szCs w:val="22"/>
        </w:rPr>
        <w:t xml:space="preserve">reduce the impact of onchocerciasis to a sufficiently low level </w:t>
      </w:r>
      <w:r w:rsidRPr="00A32897">
        <w:rPr>
          <w:rFonts w:ascii="Calibri" w:hAnsi="Calibri" w:cs="Calibri"/>
          <w:sz w:val="22"/>
          <w:szCs w:val="22"/>
        </w:rPr>
        <w:t>and to stabilize it at this</w:t>
      </w:r>
      <w:r w:rsidRPr="00A32897">
        <w:rPr>
          <w:rFonts w:ascii="Calibri" w:hAnsi="Calibri" w:cs="Calibri"/>
          <w:i/>
          <w:sz w:val="22"/>
          <w:szCs w:val="22"/>
        </w:rPr>
        <w:t xml:space="preserve"> </w:t>
      </w:r>
      <w:r w:rsidRPr="00A32897">
        <w:rPr>
          <w:rFonts w:ascii="Calibri" w:hAnsi="Calibri" w:cs="Calibri"/>
          <w:i/>
          <w:sz w:val="22"/>
          <w:szCs w:val="22"/>
          <w:u w:val="single"/>
        </w:rPr>
        <w:t>tolerable level</w:t>
      </w:r>
      <w:r w:rsidRPr="00A32897">
        <w:rPr>
          <w:rFonts w:ascii="Calibri" w:hAnsi="Calibri" w:cs="Calibri"/>
          <w:i/>
          <w:sz w:val="22"/>
          <w:szCs w:val="22"/>
        </w:rPr>
        <w:t xml:space="preserve">. </w:t>
      </w:r>
      <w:r w:rsidRPr="00A32897">
        <w:rPr>
          <w:rFonts w:ascii="Calibri" w:hAnsi="Calibri" w:cs="Calibri"/>
          <w:sz w:val="22"/>
          <w:szCs w:val="22"/>
        </w:rPr>
        <w:t>The ATP provided an index for when vector control was successful in eliminating transmission, but what was a ‘tolerable level’</w:t>
      </w:r>
      <w:r w:rsidRPr="00A32897">
        <w:rPr>
          <w:rFonts w:ascii="Calibri" w:hAnsi="Calibri" w:cs="Calibri"/>
          <w:i/>
          <w:sz w:val="22"/>
          <w:szCs w:val="22"/>
        </w:rPr>
        <w:t xml:space="preserve"> </w:t>
      </w:r>
      <w:r w:rsidRPr="00A32897">
        <w:rPr>
          <w:rFonts w:ascii="Calibri" w:hAnsi="Calibri" w:cs="Calibri"/>
          <w:sz w:val="22"/>
          <w:szCs w:val="22"/>
        </w:rPr>
        <w:t>of transmission to deem an area to be under control and safe for settlement? In 1977, an OCP scientific working group discussed this issue and set transmission thresholds.</w:t>
      </w:r>
      <w:r w:rsidRPr="00A32897">
        <w:rPr>
          <w:rStyle w:val="FootnoteReference"/>
          <w:rFonts w:ascii="Calibri" w:hAnsi="Calibri" w:cs="Calibri"/>
          <w:sz w:val="22"/>
          <w:szCs w:val="22"/>
        </w:rPr>
        <w:footnoteReference w:id="1028"/>
      </w:r>
      <w:r w:rsidRPr="00A32897">
        <w:rPr>
          <w:rFonts w:ascii="Calibri" w:hAnsi="Calibri" w:cs="Calibri"/>
          <w:sz w:val="22"/>
          <w:szCs w:val="22"/>
        </w:rPr>
        <w:t xml:space="preserve"> A tolerable level of disease for resettlement would be a reduction in the ATP to less than 100 and the ABR to less than 1000.</w:t>
      </w:r>
      <w:r w:rsidRPr="00A32897">
        <w:rPr>
          <w:rStyle w:val="FootnoteReference"/>
          <w:rFonts w:ascii="Calibri" w:hAnsi="Calibri" w:cs="Calibri"/>
          <w:sz w:val="22"/>
          <w:szCs w:val="22"/>
        </w:rPr>
        <w:t xml:space="preserve"> </w:t>
      </w:r>
      <w:r w:rsidRPr="00A32897">
        <w:rPr>
          <w:rStyle w:val="FootnoteReference"/>
          <w:rFonts w:ascii="Calibri" w:hAnsi="Calibri" w:cs="Calibri"/>
          <w:sz w:val="22"/>
          <w:szCs w:val="22"/>
        </w:rPr>
        <w:footnoteReference w:id="1029"/>
      </w:r>
    </w:p>
    <w:p w14:paraId="6CCCF1AB" w14:textId="77777777" w:rsidR="00931CC1" w:rsidRPr="00A32897" w:rsidRDefault="00931CC1" w:rsidP="00B06002">
      <w:pPr>
        <w:spacing w:before="100" w:beforeAutospacing="1" w:after="100" w:afterAutospacing="1"/>
        <w:ind w:firstLine="720"/>
        <w:rPr>
          <w:rFonts w:ascii="Calibri" w:hAnsi="Calibri" w:cs="Calibri"/>
          <w:sz w:val="22"/>
          <w:szCs w:val="22"/>
        </w:rPr>
      </w:pPr>
      <w:r w:rsidRPr="00A32897">
        <w:rPr>
          <w:rFonts w:ascii="Calibri" w:hAnsi="Calibri" w:cs="Calibri"/>
          <w:sz w:val="22"/>
          <w:szCs w:val="22"/>
        </w:rPr>
        <w:t>Epidemiology Evaluation Unit surveys were launched in 1975. The seven-country OCP area was divided into sector clusters, which were randomly selected after taking into account a variety of variables.</w:t>
      </w:r>
      <w:r w:rsidRPr="00A32897">
        <w:rPr>
          <w:rStyle w:val="FootnoteReference"/>
          <w:rFonts w:ascii="Calibri" w:hAnsi="Calibri" w:cs="Calibri"/>
          <w:sz w:val="22"/>
          <w:szCs w:val="22"/>
        </w:rPr>
        <w:footnoteReference w:id="1030"/>
      </w:r>
      <w:r w:rsidRPr="00A32897">
        <w:rPr>
          <w:rFonts w:ascii="Calibri" w:hAnsi="Calibri" w:cs="Calibri"/>
          <w:sz w:val="22"/>
          <w:szCs w:val="22"/>
        </w:rPr>
        <w:t xml:space="preserve"> Indicator villages were then selected within each cluster, and surveyed by two mobile teams every two to three years.</w:t>
      </w:r>
      <w:r w:rsidRPr="00A32897">
        <w:rPr>
          <w:rStyle w:val="FootnoteReference"/>
          <w:rFonts w:ascii="Calibri" w:hAnsi="Calibri" w:cs="Calibri"/>
          <w:sz w:val="22"/>
          <w:szCs w:val="22"/>
        </w:rPr>
        <w:footnoteReference w:id="1031"/>
      </w:r>
      <w:r w:rsidRPr="00A32897">
        <w:rPr>
          <w:rFonts w:ascii="Calibri" w:hAnsi="Calibri" w:cs="Calibri"/>
          <w:sz w:val="22"/>
          <w:szCs w:val="22"/>
        </w:rPr>
        <w:t xml:space="preserve"> Surveys were either ‘simple’ (consisting of a population census, skin snips, simple visual acuity measurement, and nodule examination) or ‘complex’ (adding in </w:t>
      </w:r>
      <w:r w:rsidRPr="00A32897">
        <w:rPr>
          <w:rFonts w:ascii="Calibri" w:hAnsi="Calibri" w:cs="Calibri"/>
          <w:sz w:val="22"/>
          <w:szCs w:val="22"/>
        </w:rPr>
        <w:lastRenderedPageBreak/>
        <w:t>simple medical and ophthalmological examinations). Based on these medical evaluations, the prevalence of disease was calculated, by age group, sex, and across each village.</w:t>
      </w:r>
      <w:r w:rsidRPr="00A32897">
        <w:rPr>
          <w:rStyle w:val="FootnoteReference"/>
          <w:rFonts w:ascii="Calibri" w:hAnsi="Calibri" w:cs="Calibri"/>
          <w:bCs/>
          <w:sz w:val="22"/>
          <w:szCs w:val="22"/>
        </w:rPr>
        <w:footnoteReference w:id="1032"/>
      </w:r>
      <w:r w:rsidRPr="00A32897">
        <w:rPr>
          <w:rFonts w:ascii="Calibri" w:hAnsi="Calibri" w:cs="Calibri"/>
          <w:sz w:val="22"/>
          <w:szCs w:val="22"/>
        </w:rPr>
        <w:t xml:space="preserve"> </w:t>
      </w:r>
    </w:p>
    <w:p w14:paraId="0D601D4B" w14:textId="77777777" w:rsidR="00931CC1" w:rsidRPr="00A32897" w:rsidRDefault="00931CC1" w:rsidP="00B06002">
      <w:pPr>
        <w:spacing w:before="100" w:beforeAutospacing="1" w:after="100" w:afterAutospacing="1"/>
        <w:ind w:firstLine="720"/>
        <w:rPr>
          <w:rFonts w:ascii="Calibri" w:hAnsi="Calibri" w:cs="Calibri"/>
          <w:sz w:val="22"/>
          <w:szCs w:val="22"/>
        </w:rPr>
      </w:pPr>
      <w:r w:rsidRPr="00A32897">
        <w:rPr>
          <w:rFonts w:ascii="Calibri" w:hAnsi="Calibri" w:cs="Calibri"/>
          <w:sz w:val="22"/>
          <w:szCs w:val="22"/>
        </w:rPr>
        <w:t>However, prevalence itself was not a sensitive metric. Adult worms had a long lifespan (now understood to be about 11 years), and humans would remain positive cases until the adult female worms died and no longer produced detectable microfilariae. As such, prevalence was poorly correlated with transmission, intensity of infection and, therefore, ocular pathology. This was especially true in areas of high endemnicity.</w:t>
      </w:r>
      <w:r w:rsidRPr="00A32897">
        <w:rPr>
          <w:rStyle w:val="FootnoteReference"/>
          <w:rFonts w:ascii="Calibri" w:hAnsi="Calibri" w:cs="Calibri"/>
          <w:sz w:val="22"/>
          <w:szCs w:val="22"/>
        </w:rPr>
        <w:footnoteReference w:id="1033"/>
      </w:r>
      <w:r w:rsidRPr="00A32897">
        <w:rPr>
          <w:rFonts w:ascii="Calibri" w:hAnsi="Calibri" w:cs="Calibri"/>
          <w:sz w:val="22"/>
          <w:szCs w:val="22"/>
        </w:rPr>
        <w:t xml:space="preserve"> Understanding the incidence of disease was similarly insensitive in the early years of vector control, since it required previous census and disease status information and gave no information about the intensity of infection.</w:t>
      </w:r>
    </w:p>
    <w:p w14:paraId="3B507693" w14:textId="77777777" w:rsidR="00931CC1" w:rsidRPr="00A32897" w:rsidRDefault="00931CC1" w:rsidP="00B06002">
      <w:pPr>
        <w:spacing w:before="100" w:beforeAutospacing="1" w:after="100" w:afterAutospacing="1"/>
        <w:ind w:firstLine="720"/>
        <w:rPr>
          <w:rFonts w:ascii="Calibri" w:hAnsi="Calibri" w:cs="Calibri"/>
          <w:sz w:val="22"/>
          <w:szCs w:val="22"/>
        </w:rPr>
      </w:pPr>
      <w:r w:rsidRPr="00A32897">
        <w:rPr>
          <w:rFonts w:ascii="Calibri" w:hAnsi="Calibri" w:cs="Calibri"/>
          <w:sz w:val="22"/>
          <w:szCs w:val="22"/>
        </w:rPr>
        <w:t>The OCP therefore developed a new, more sensitive metric: the Community Microfilarial Load (CMFL). The CMFL is the geometric mean microfilarial load in a cohort of adults. Because it is based on the number of microfilariae found in a skin snip – the standard diagnostic method for onchocerciasis – it measures the actual intensity of infection. Unlike the prevalence, it also reflects the risk of eye lesions and blindness, and begins to decrease before all of the adult worms in an individual have died off. The CMFL was developed during the 1980s, and data was first published by the WHO in 1986.</w:t>
      </w:r>
      <w:r w:rsidRPr="00A32897">
        <w:rPr>
          <w:rStyle w:val="FootnoteReference"/>
          <w:rFonts w:ascii="Calibri" w:hAnsi="Calibri" w:cs="Calibri"/>
          <w:sz w:val="22"/>
          <w:szCs w:val="22"/>
        </w:rPr>
        <w:footnoteReference w:id="1034"/>
      </w:r>
      <w:r w:rsidRPr="00A32897">
        <w:rPr>
          <w:rFonts w:ascii="Calibri" w:hAnsi="Calibri" w:cs="Calibri"/>
          <w:sz w:val="22"/>
          <w:szCs w:val="22"/>
        </w:rPr>
        <w:t xml:space="preserve"> </w:t>
      </w:r>
    </w:p>
    <w:p w14:paraId="18E1C550" w14:textId="3605AF4E" w:rsidR="00931CC1" w:rsidRDefault="00931CC1" w:rsidP="00931CC1">
      <w:pPr>
        <w:rPr>
          <w:rFonts w:ascii="Calibri" w:hAnsi="Calibri" w:cs="Calibri"/>
          <w:sz w:val="22"/>
          <w:szCs w:val="22"/>
        </w:rPr>
      </w:pPr>
    </w:p>
    <w:p w14:paraId="132308DF" w14:textId="42181C11" w:rsidR="003F7EB5" w:rsidRDefault="003F7EB5" w:rsidP="00931CC1">
      <w:pPr>
        <w:rPr>
          <w:rFonts w:ascii="Calibri" w:hAnsi="Calibri" w:cs="Calibri"/>
          <w:sz w:val="22"/>
          <w:szCs w:val="22"/>
        </w:rPr>
      </w:pPr>
    </w:p>
    <w:p w14:paraId="31F995D6" w14:textId="7BA03004" w:rsidR="003F7EB5" w:rsidRDefault="003F7EB5" w:rsidP="00931CC1">
      <w:pPr>
        <w:rPr>
          <w:rFonts w:ascii="Calibri" w:hAnsi="Calibri" w:cs="Calibri"/>
          <w:sz w:val="22"/>
          <w:szCs w:val="22"/>
        </w:rPr>
      </w:pPr>
    </w:p>
    <w:p w14:paraId="4B5F07C8" w14:textId="1036F60E" w:rsidR="003F7EB5" w:rsidRDefault="003F7EB5" w:rsidP="00931CC1">
      <w:pPr>
        <w:rPr>
          <w:rFonts w:ascii="Calibri" w:hAnsi="Calibri" w:cs="Calibri"/>
          <w:sz w:val="22"/>
          <w:szCs w:val="22"/>
        </w:rPr>
      </w:pPr>
    </w:p>
    <w:p w14:paraId="278A2791" w14:textId="7A1CAD27" w:rsidR="00B8225C" w:rsidRDefault="00B8225C" w:rsidP="00931CC1">
      <w:pPr>
        <w:rPr>
          <w:rFonts w:ascii="Calibri" w:hAnsi="Calibri" w:cs="Calibri"/>
          <w:sz w:val="22"/>
          <w:szCs w:val="22"/>
        </w:rPr>
      </w:pPr>
    </w:p>
    <w:p w14:paraId="392BBC50" w14:textId="5DE40860" w:rsidR="00B8225C" w:rsidRDefault="00B8225C" w:rsidP="00931CC1">
      <w:pPr>
        <w:rPr>
          <w:rFonts w:ascii="Calibri" w:hAnsi="Calibri" w:cs="Calibri"/>
          <w:sz w:val="22"/>
          <w:szCs w:val="22"/>
        </w:rPr>
      </w:pPr>
    </w:p>
    <w:p w14:paraId="10223760" w14:textId="0BB311F4" w:rsidR="00B8225C" w:rsidRDefault="00B8225C" w:rsidP="00931CC1">
      <w:pPr>
        <w:rPr>
          <w:rFonts w:ascii="Calibri" w:hAnsi="Calibri" w:cs="Calibri"/>
          <w:sz w:val="22"/>
          <w:szCs w:val="22"/>
        </w:rPr>
      </w:pPr>
    </w:p>
    <w:p w14:paraId="6FC47A54" w14:textId="5F95EDA9" w:rsidR="00B8225C" w:rsidRDefault="00B8225C" w:rsidP="00931CC1">
      <w:pPr>
        <w:rPr>
          <w:rFonts w:ascii="Calibri" w:hAnsi="Calibri" w:cs="Calibri"/>
          <w:sz w:val="22"/>
          <w:szCs w:val="22"/>
        </w:rPr>
      </w:pPr>
    </w:p>
    <w:p w14:paraId="15CB640F" w14:textId="36CA49FF" w:rsidR="00B8225C" w:rsidRDefault="00B8225C" w:rsidP="00931CC1">
      <w:pPr>
        <w:rPr>
          <w:rFonts w:ascii="Calibri" w:hAnsi="Calibri" w:cs="Calibri"/>
          <w:sz w:val="22"/>
          <w:szCs w:val="22"/>
        </w:rPr>
      </w:pPr>
    </w:p>
    <w:p w14:paraId="09859E79" w14:textId="661D2B79" w:rsidR="00B8225C" w:rsidRDefault="00B8225C" w:rsidP="00931CC1">
      <w:pPr>
        <w:rPr>
          <w:rFonts w:ascii="Calibri" w:hAnsi="Calibri" w:cs="Calibri"/>
          <w:sz w:val="22"/>
          <w:szCs w:val="22"/>
        </w:rPr>
      </w:pPr>
    </w:p>
    <w:p w14:paraId="08199E8C" w14:textId="59E40F50" w:rsidR="00B8225C" w:rsidRDefault="00B8225C" w:rsidP="00931CC1">
      <w:pPr>
        <w:rPr>
          <w:rFonts w:ascii="Calibri" w:hAnsi="Calibri" w:cs="Calibri"/>
          <w:sz w:val="22"/>
          <w:szCs w:val="22"/>
        </w:rPr>
      </w:pPr>
    </w:p>
    <w:p w14:paraId="1D2C6195" w14:textId="4AA84BB9" w:rsidR="00B8225C" w:rsidRDefault="00B8225C" w:rsidP="00931CC1">
      <w:pPr>
        <w:rPr>
          <w:rFonts w:ascii="Calibri" w:hAnsi="Calibri" w:cs="Calibri"/>
          <w:sz w:val="22"/>
          <w:szCs w:val="22"/>
        </w:rPr>
      </w:pPr>
    </w:p>
    <w:p w14:paraId="356DD3B2" w14:textId="515F252F" w:rsidR="00B8225C" w:rsidRDefault="00B8225C" w:rsidP="00931CC1">
      <w:pPr>
        <w:rPr>
          <w:rFonts w:ascii="Calibri" w:hAnsi="Calibri" w:cs="Calibri"/>
          <w:sz w:val="22"/>
          <w:szCs w:val="22"/>
        </w:rPr>
      </w:pPr>
    </w:p>
    <w:p w14:paraId="4A226DE4" w14:textId="25DE9A4C" w:rsidR="00B8225C" w:rsidRDefault="00B8225C" w:rsidP="00931CC1">
      <w:pPr>
        <w:rPr>
          <w:rFonts w:ascii="Calibri" w:hAnsi="Calibri" w:cs="Calibri"/>
          <w:sz w:val="22"/>
          <w:szCs w:val="22"/>
        </w:rPr>
      </w:pPr>
    </w:p>
    <w:p w14:paraId="67D2209C" w14:textId="0339FA0F" w:rsidR="00B8225C" w:rsidRDefault="00B8225C" w:rsidP="00931CC1">
      <w:pPr>
        <w:rPr>
          <w:rFonts w:ascii="Calibri" w:hAnsi="Calibri" w:cs="Calibri"/>
          <w:sz w:val="22"/>
          <w:szCs w:val="22"/>
        </w:rPr>
      </w:pPr>
    </w:p>
    <w:p w14:paraId="623ACED0" w14:textId="051CF8B4" w:rsidR="00B8225C" w:rsidRDefault="00B8225C" w:rsidP="00931CC1">
      <w:pPr>
        <w:rPr>
          <w:rFonts w:ascii="Calibri" w:hAnsi="Calibri" w:cs="Calibri"/>
          <w:sz w:val="22"/>
          <w:szCs w:val="22"/>
        </w:rPr>
      </w:pPr>
    </w:p>
    <w:p w14:paraId="437DD487" w14:textId="4D4F0F4A" w:rsidR="00B8225C" w:rsidRDefault="00B8225C" w:rsidP="00931CC1">
      <w:pPr>
        <w:rPr>
          <w:rFonts w:ascii="Calibri" w:hAnsi="Calibri" w:cs="Calibri"/>
          <w:sz w:val="22"/>
          <w:szCs w:val="22"/>
        </w:rPr>
      </w:pPr>
    </w:p>
    <w:p w14:paraId="6D0A7853" w14:textId="45B6FE50" w:rsidR="00B8225C" w:rsidRDefault="00B8225C" w:rsidP="00931CC1">
      <w:pPr>
        <w:rPr>
          <w:rFonts w:ascii="Calibri" w:hAnsi="Calibri" w:cs="Calibri"/>
          <w:sz w:val="22"/>
          <w:szCs w:val="22"/>
        </w:rPr>
      </w:pPr>
    </w:p>
    <w:p w14:paraId="18472E23" w14:textId="7DC1BDD7" w:rsidR="00B8225C" w:rsidRDefault="00B8225C" w:rsidP="00931CC1">
      <w:pPr>
        <w:rPr>
          <w:rFonts w:ascii="Calibri" w:hAnsi="Calibri" w:cs="Calibri"/>
          <w:sz w:val="22"/>
          <w:szCs w:val="22"/>
        </w:rPr>
      </w:pPr>
    </w:p>
    <w:p w14:paraId="0C9CEC1A" w14:textId="7B1A52D2" w:rsidR="00B8225C" w:rsidRDefault="00B8225C" w:rsidP="00931CC1">
      <w:pPr>
        <w:rPr>
          <w:rFonts w:ascii="Calibri" w:hAnsi="Calibri" w:cs="Calibri"/>
          <w:sz w:val="22"/>
          <w:szCs w:val="22"/>
        </w:rPr>
      </w:pPr>
    </w:p>
    <w:p w14:paraId="3BE83707" w14:textId="5693E162" w:rsidR="00B8225C" w:rsidRDefault="00B8225C" w:rsidP="00931CC1">
      <w:pPr>
        <w:rPr>
          <w:rFonts w:ascii="Calibri" w:hAnsi="Calibri" w:cs="Calibri"/>
          <w:sz w:val="22"/>
          <w:szCs w:val="22"/>
        </w:rPr>
      </w:pPr>
    </w:p>
    <w:p w14:paraId="023A3E47" w14:textId="0F73DCD3" w:rsidR="00B8225C" w:rsidRDefault="00B8225C" w:rsidP="00931CC1">
      <w:pPr>
        <w:rPr>
          <w:rFonts w:ascii="Calibri" w:hAnsi="Calibri" w:cs="Calibri"/>
          <w:sz w:val="22"/>
          <w:szCs w:val="22"/>
        </w:rPr>
      </w:pPr>
    </w:p>
    <w:p w14:paraId="6AEB3284" w14:textId="5BFDD4B5" w:rsidR="00B8225C" w:rsidRDefault="00B8225C" w:rsidP="00931CC1">
      <w:pPr>
        <w:rPr>
          <w:rFonts w:ascii="Calibri" w:hAnsi="Calibri" w:cs="Calibri"/>
          <w:sz w:val="22"/>
          <w:szCs w:val="22"/>
        </w:rPr>
      </w:pPr>
    </w:p>
    <w:p w14:paraId="33D60D2E" w14:textId="35C466FE" w:rsidR="00B8225C" w:rsidRDefault="00B8225C" w:rsidP="00931CC1">
      <w:pPr>
        <w:rPr>
          <w:rFonts w:ascii="Calibri" w:hAnsi="Calibri" w:cs="Calibri"/>
          <w:sz w:val="22"/>
          <w:szCs w:val="22"/>
        </w:rPr>
      </w:pPr>
    </w:p>
    <w:p w14:paraId="4AAFEA7A" w14:textId="77777777" w:rsidR="00B8225C" w:rsidRDefault="00B8225C" w:rsidP="00931CC1">
      <w:pPr>
        <w:rPr>
          <w:rFonts w:ascii="Calibri" w:hAnsi="Calibri" w:cs="Calibri"/>
          <w:sz w:val="22"/>
          <w:szCs w:val="22"/>
        </w:rPr>
      </w:pPr>
    </w:p>
    <w:p w14:paraId="0FB1610A" w14:textId="77777777" w:rsidR="003F7EB5" w:rsidRPr="00A32897" w:rsidRDefault="003F7EB5" w:rsidP="00931CC1">
      <w:pPr>
        <w:rPr>
          <w:rFonts w:ascii="Calibri" w:hAnsi="Calibri" w:cs="Calibri"/>
          <w:sz w:val="22"/>
          <w:szCs w:val="22"/>
        </w:rPr>
      </w:pPr>
    </w:p>
    <w:p w14:paraId="285B54B9" w14:textId="43F229A3" w:rsidR="00931CC1" w:rsidRPr="00DB3887" w:rsidRDefault="00931CC1" w:rsidP="00931CC1">
      <w:pPr>
        <w:pStyle w:val="Heading2"/>
        <w:rPr>
          <w:rFonts w:ascii="Calibri" w:hAnsi="Calibri" w:cs="Calibri"/>
          <w:b/>
          <w:sz w:val="26"/>
          <w:szCs w:val="26"/>
        </w:rPr>
      </w:pPr>
      <w:bookmarkStart w:id="176" w:name="_Toc29580572"/>
      <w:bookmarkStart w:id="177" w:name="_Toc41505723"/>
      <w:r w:rsidRPr="00DB3887">
        <w:rPr>
          <w:rFonts w:ascii="Calibri" w:hAnsi="Calibri" w:cs="Calibri"/>
          <w:b/>
          <w:sz w:val="26"/>
          <w:szCs w:val="26"/>
        </w:rPr>
        <w:lastRenderedPageBreak/>
        <w:t xml:space="preserve">Appendix </w:t>
      </w:r>
      <w:r w:rsidR="00E040F9">
        <w:rPr>
          <w:rFonts w:ascii="Calibri" w:hAnsi="Calibri" w:cs="Calibri"/>
          <w:b/>
          <w:sz w:val="26"/>
          <w:szCs w:val="26"/>
        </w:rPr>
        <w:t>V</w:t>
      </w:r>
      <w:r w:rsidR="00F8472B">
        <w:rPr>
          <w:rFonts w:ascii="Calibri" w:hAnsi="Calibri" w:cs="Calibri"/>
          <w:b/>
          <w:sz w:val="26"/>
          <w:szCs w:val="26"/>
        </w:rPr>
        <w:t>I</w:t>
      </w:r>
      <w:r w:rsidR="00E040F9">
        <w:rPr>
          <w:rFonts w:ascii="Calibri" w:hAnsi="Calibri" w:cs="Calibri"/>
          <w:b/>
          <w:sz w:val="26"/>
          <w:szCs w:val="26"/>
        </w:rPr>
        <w:t>I</w:t>
      </w:r>
      <w:r w:rsidRPr="00DB3887">
        <w:rPr>
          <w:rFonts w:ascii="Calibri" w:hAnsi="Calibri" w:cs="Calibri"/>
          <w:b/>
          <w:sz w:val="26"/>
          <w:szCs w:val="26"/>
        </w:rPr>
        <w:t>. Details about economic models developed during the OCP</w:t>
      </w:r>
      <w:bookmarkEnd w:id="176"/>
      <w:bookmarkEnd w:id="177"/>
    </w:p>
    <w:p w14:paraId="52CDFBB2" w14:textId="77777777" w:rsidR="00931CC1" w:rsidRPr="00A32897" w:rsidRDefault="00931CC1" w:rsidP="00931CC1">
      <w:pPr>
        <w:rPr>
          <w:rFonts w:ascii="Calibri" w:hAnsi="Calibri" w:cs="Calibri"/>
        </w:rPr>
      </w:pPr>
    </w:p>
    <w:p w14:paraId="433DC83C" w14:textId="77777777" w:rsidR="00931CC1" w:rsidRPr="00A32897" w:rsidRDefault="00931CC1" w:rsidP="00931CC1">
      <w:pPr>
        <w:rPr>
          <w:rFonts w:ascii="Calibri" w:hAnsi="Calibri" w:cs="Calibri"/>
          <w:sz w:val="22"/>
          <w:szCs w:val="22"/>
        </w:rPr>
      </w:pPr>
      <w:r w:rsidRPr="00A32897">
        <w:rPr>
          <w:rFonts w:ascii="Calibri" w:hAnsi="Calibri" w:cs="Calibri"/>
          <w:sz w:val="22"/>
          <w:szCs w:val="22"/>
        </w:rPr>
        <w:tab/>
        <w:t>The figure below summarises Bank economist Nicholas Prescott’s suggestions for the specific variants and questions that should be considered when analysing the socio-economic benefits of the OCP (and other health programmes).</w:t>
      </w:r>
      <w:r w:rsidRPr="00A32897">
        <w:rPr>
          <w:rStyle w:val="FootnoteReference"/>
          <w:rFonts w:ascii="Calibri" w:hAnsi="Calibri" w:cs="Calibri"/>
          <w:sz w:val="22"/>
          <w:szCs w:val="22"/>
        </w:rPr>
        <w:footnoteReference w:id="1035"/>
      </w:r>
    </w:p>
    <w:p w14:paraId="34378734" w14:textId="77777777" w:rsidR="00931CC1" w:rsidRPr="00A32897" w:rsidRDefault="00931CC1" w:rsidP="00931CC1">
      <w:pPr>
        <w:ind w:firstLine="360"/>
        <w:rPr>
          <w:rFonts w:ascii="Calibri" w:hAnsi="Calibri" w:cs="Calibri"/>
          <w:sz w:val="22"/>
          <w:szCs w:val="22"/>
        </w:rPr>
      </w:pPr>
      <w:r w:rsidRPr="00A32897">
        <w:rPr>
          <w:rFonts w:ascii="Calibri" w:hAnsi="Calibri" w:cs="Calibri"/>
          <w:noProof/>
          <w:sz w:val="22"/>
          <w:szCs w:val="22"/>
          <w:lang w:eastAsia="en-GB"/>
        </w:rPr>
        <w:drawing>
          <wp:inline distT="0" distB="0" distL="0" distR="0" wp14:anchorId="7B662B0C" wp14:editId="198E7621">
            <wp:extent cx="5824220" cy="2901371"/>
            <wp:effectExtent l="57150" t="0" r="24130" b="0"/>
            <wp:docPr id="1047" name="Diagram 104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8" r:lo="rId159" r:qs="rId160" r:cs="rId161"/>
              </a:graphicData>
            </a:graphic>
          </wp:inline>
        </w:drawing>
      </w:r>
    </w:p>
    <w:p w14:paraId="514AB4D3" w14:textId="796E0FC8" w:rsidR="00931CC1" w:rsidRDefault="00931CC1" w:rsidP="00931CC1">
      <w:pPr>
        <w:ind w:firstLine="720"/>
        <w:rPr>
          <w:rFonts w:ascii="Calibri" w:hAnsi="Calibri" w:cs="Calibri"/>
          <w:sz w:val="22"/>
          <w:szCs w:val="22"/>
        </w:rPr>
      </w:pPr>
      <w:r w:rsidRPr="00A32897">
        <w:rPr>
          <w:rFonts w:ascii="Calibri" w:hAnsi="Calibri" w:cs="Calibri"/>
          <w:sz w:val="22"/>
          <w:szCs w:val="22"/>
        </w:rPr>
        <w:t xml:space="preserve">Six years later, in 1990, Younger and Zongo again attempted to correct errors with the assumptions of the OCP Economic Review Mission. For instance, the 1978, the Mission had estimated programme costs to be $25 million a year, which turned out to be too high. The Mission’s estimates for two variables – that there would be a three percent labour productivity growth per year and that the percent of the population who were blind in the OCP would be instantly saved from blindness – were also overly optimistic. According to Younger and Zongo, a one percent growth in labour productivity per year was more realistic in the rural sector of </w:t>
      </w:r>
      <w:r w:rsidR="00A2292A">
        <w:rPr>
          <w:rFonts w:ascii="Calibri" w:hAnsi="Calibri" w:cs="Calibri"/>
          <w:sz w:val="22"/>
          <w:szCs w:val="22"/>
        </w:rPr>
        <w:t>Sub-Saharan</w:t>
      </w:r>
      <w:r w:rsidRPr="00A32897">
        <w:rPr>
          <w:rFonts w:ascii="Calibri" w:hAnsi="Calibri" w:cs="Calibri"/>
          <w:sz w:val="22"/>
          <w:szCs w:val="22"/>
        </w:rPr>
        <w:t xml:space="preserve"> Africa. And, it was unreasonable to assume that the programme instantly saved people from blindness; each year after 1975, the number of workers saved would only be the number that would have gone blind that year alone. Updating the numbers used for these variables meant that reaping the economic (labour) benefits of the OCP would be significantly delayed over time. Younger and Zongo’s recalculation of labour benefits required numerous estimates, which, like those in the original Economic Review Mission, were beyond the scope of available empirical data. The table below shows the variables that needed to be estimated for Younger and Zongo’s model.</w:t>
      </w:r>
      <w:r w:rsidRPr="00A32897">
        <w:rPr>
          <w:rStyle w:val="FootnoteReference"/>
          <w:rFonts w:ascii="Calibri" w:hAnsi="Calibri" w:cs="Calibri"/>
          <w:sz w:val="22"/>
          <w:szCs w:val="22"/>
        </w:rPr>
        <w:footnoteReference w:id="1036"/>
      </w:r>
    </w:p>
    <w:p w14:paraId="2CBF7C8B" w14:textId="4919B743" w:rsidR="00B8225C" w:rsidRDefault="00B8225C" w:rsidP="00931CC1">
      <w:pPr>
        <w:ind w:firstLine="720"/>
        <w:rPr>
          <w:rFonts w:ascii="Calibri" w:hAnsi="Calibri" w:cs="Calibri"/>
          <w:sz w:val="22"/>
          <w:szCs w:val="22"/>
        </w:rPr>
      </w:pPr>
    </w:p>
    <w:p w14:paraId="7A986C37" w14:textId="447C62E1" w:rsidR="00B8225C" w:rsidRDefault="00B8225C" w:rsidP="00931CC1">
      <w:pPr>
        <w:ind w:firstLine="720"/>
        <w:rPr>
          <w:rFonts w:ascii="Calibri" w:hAnsi="Calibri" w:cs="Calibri"/>
          <w:sz w:val="22"/>
          <w:szCs w:val="22"/>
        </w:rPr>
      </w:pPr>
    </w:p>
    <w:p w14:paraId="72EA36F7" w14:textId="1E4B8AC8" w:rsidR="00B8225C" w:rsidRDefault="00B8225C" w:rsidP="00931CC1">
      <w:pPr>
        <w:ind w:firstLine="720"/>
        <w:rPr>
          <w:rFonts w:ascii="Calibri" w:hAnsi="Calibri" w:cs="Calibri"/>
          <w:sz w:val="22"/>
          <w:szCs w:val="22"/>
        </w:rPr>
      </w:pPr>
    </w:p>
    <w:p w14:paraId="5317E79B" w14:textId="571D140D" w:rsidR="00B8225C" w:rsidRDefault="00B8225C" w:rsidP="00931CC1">
      <w:pPr>
        <w:ind w:firstLine="720"/>
        <w:rPr>
          <w:rFonts w:ascii="Calibri" w:hAnsi="Calibri" w:cs="Calibri"/>
          <w:sz w:val="22"/>
          <w:szCs w:val="22"/>
        </w:rPr>
      </w:pPr>
    </w:p>
    <w:p w14:paraId="11972266" w14:textId="6E0F5734" w:rsidR="00B8225C" w:rsidRDefault="00B8225C" w:rsidP="00931CC1">
      <w:pPr>
        <w:ind w:firstLine="720"/>
        <w:rPr>
          <w:rFonts w:ascii="Calibri" w:hAnsi="Calibri" w:cs="Calibri"/>
          <w:sz w:val="22"/>
          <w:szCs w:val="22"/>
        </w:rPr>
      </w:pPr>
    </w:p>
    <w:p w14:paraId="5D914FEA" w14:textId="2AB39EBF" w:rsidR="00B8225C" w:rsidRDefault="00B8225C" w:rsidP="00931CC1">
      <w:pPr>
        <w:ind w:firstLine="720"/>
        <w:rPr>
          <w:rFonts w:ascii="Calibri" w:hAnsi="Calibri" w:cs="Calibri"/>
          <w:sz w:val="22"/>
          <w:szCs w:val="22"/>
        </w:rPr>
      </w:pPr>
    </w:p>
    <w:p w14:paraId="47DDDDF4" w14:textId="2598A7F1" w:rsidR="00B8225C" w:rsidRDefault="00B8225C" w:rsidP="00931CC1">
      <w:pPr>
        <w:ind w:firstLine="720"/>
        <w:rPr>
          <w:rFonts w:ascii="Calibri" w:hAnsi="Calibri" w:cs="Calibri"/>
          <w:sz w:val="22"/>
          <w:szCs w:val="22"/>
        </w:rPr>
      </w:pPr>
    </w:p>
    <w:p w14:paraId="6C6F9B45" w14:textId="10A4944A" w:rsidR="00B8225C" w:rsidRDefault="00B8225C" w:rsidP="00931CC1">
      <w:pPr>
        <w:ind w:firstLine="720"/>
        <w:rPr>
          <w:rFonts w:ascii="Calibri" w:hAnsi="Calibri" w:cs="Calibri"/>
          <w:sz w:val="22"/>
          <w:szCs w:val="22"/>
        </w:rPr>
      </w:pPr>
    </w:p>
    <w:p w14:paraId="14D995DB" w14:textId="77777777" w:rsidR="00B8225C" w:rsidRDefault="00B8225C" w:rsidP="00931CC1">
      <w:pPr>
        <w:ind w:firstLine="720"/>
        <w:rPr>
          <w:rFonts w:ascii="Calibri" w:hAnsi="Calibri" w:cs="Calibri"/>
          <w:sz w:val="22"/>
          <w:szCs w:val="22"/>
        </w:rPr>
      </w:pPr>
    </w:p>
    <w:p w14:paraId="310E47B9" w14:textId="77777777" w:rsidR="008F0AA2" w:rsidRDefault="008F0AA2" w:rsidP="00931CC1">
      <w:pPr>
        <w:ind w:firstLine="720"/>
        <w:rPr>
          <w:rFonts w:ascii="Calibri" w:hAnsi="Calibri" w:cs="Calibri"/>
          <w:sz w:val="22"/>
          <w:szCs w:val="22"/>
        </w:rPr>
      </w:pPr>
    </w:p>
    <w:p w14:paraId="7BCBB8B7" w14:textId="77777777" w:rsidR="00B06002" w:rsidRPr="00A32897" w:rsidRDefault="00B06002" w:rsidP="00931CC1">
      <w:pPr>
        <w:ind w:firstLine="720"/>
        <w:rPr>
          <w:rFonts w:ascii="Calibri" w:hAnsi="Calibri" w:cs="Calibri"/>
          <w:sz w:val="22"/>
          <w:szCs w:val="22"/>
        </w:rPr>
      </w:pPr>
    </w:p>
    <w:tbl>
      <w:tblPr>
        <w:tblStyle w:val="ListTable6Colorful"/>
        <w:tblW w:w="9639" w:type="dxa"/>
        <w:tblLayout w:type="fixed"/>
        <w:tblLook w:val="04A0" w:firstRow="1" w:lastRow="0" w:firstColumn="1" w:lastColumn="0" w:noHBand="0" w:noVBand="1"/>
      </w:tblPr>
      <w:tblGrid>
        <w:gridCol w:w="1413"/>
        <w:gridCol w:w="3827"/>
        <w:gridCol w:w="142"/>
        <w:gridCol w:w="4257"/>
      </w:tblGrid>
      <w:tr w:rsidR="00931CC1" w:rsidRPr="00A32897" w14:paraId="2A9B3876" w14:textId="77777777" w:rsidTr="005047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3A07E1D0" w14:textId="77777777" w:rsidR="00931CC1" w:rsidRPr="008F0AA2" w:rsidRDefault="00931CC1" w:rsidP="005047C7">
            <w:pPr>
              <w:rPr>
                <w:rFonts w:ascii="Calibri" w:hAnsi="Calibri" w:cs="Calibri"/>
                <w:i/>
                <w:sz w:val="18"/>
                <w:szCs w:val="18"/>
              </w:rPr>
            </w:pPr>
          </w:p>
        </w:tc>
        <w:tc>
          <w:tcPr>
            <w:tcW w:w="3969" w:type="dxa"/>
            <w:gridSpan w:val="2"/>
          </w:tcPr>
          <w:p w14:paraId="5B6EB643" w14:textId="77777777" w:rsidR="00931CC1" w:rsidRPr="008F0AA2" w:rsidRDefault="00931CC1" w:rsidP="005047C7">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bCs w:val="0"/>
                <w:sz w:val="18"/>
                <w:szCs w:val="18"/>
              </w:rPr>
            </w:pPr>
            <w:r w:rsidRPr="008F0AA2">
              <w:rPr>
                <w:rFonts w:ascii="Calibri" w:eastAsia="Calibri" w:hAnsi="Calibri" w:cs="Calibri"/>
                <w:bCs w:val="0"/>
                <w:sz w:val="18"/>
                <w:szCs w:val="18"/>
              </w:rPr>
              <w:t>Benefits formula used</w:t>
            </w:r>
          </w:p>
        </w:tc>
        <w:tc>
          <w:tcPr>
            <w:tcW w:w="4257" w:type="dxa"/>
          </w:tcPr>
          <w:p w14:paraId="4153100A" w14:textId="77777777" w:rsidR="00931CC1" w:rsidRPr="008F0AA2" w:rsidRDefault="00931CC1" w:rsidP="005047C7">
            <w:pPr>
              <w:ind w:left="31" w:hanging="148"/>
              <w:cnfStyle w:val="100000000000" w:firstRow="1" w:lastRow="0" w:firstColumn="0" w:lastColumn="0" w:oddVBand="0" w:evenVBand="0" w:oddHBand="0" w:evenHBand="0" w:firstRowFirstColumn="0" w:firstRowLastColumn="0" w:lastRowFirstColumn="0" w:lastRowLastColumn="0"/>
              <w:rPr>
                <w:rFonts w:ascii="Calibri" w:eastAsia="Calibri" w:hAnsi="Calibri" w:cs="Calibri"/>
                <w:bCs w:val="0"/>
                <w:sz w:val="18"/>
                <w:szCs w:val="18"/>
              </w:rPr>
            </w:pPr>
            <w:r w:rsidRPr="008F0AA2">
              <w:rPr>
                <w:rFonts w:ascii="Calibri" w:eastAsia="Calibri" w:hAnsi="Calibri" w:cs="Calibri"/>
                <w:bCs w:val="0"/>
                <w:sz w:val="18"/>
                <w:szCs w:val="18"/>
              </w:rPr>
              <w:t>Variables for formula</w:t>
            </w:r>
          </w:p>
        </w:tc>
      </w:tr>
      <w:tr w:rsidR="00931CC1" w:rsidRPr="00A32897" w14:paraId="12203EBA" w14:textId="77777777" w:rsidTr="005047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1FD1BEC4" w14:textId="77777777" w:rsidR="00931CC1" w:rsidRPr="008F0AA2" w:rsidRDefault="00931CC1" w:rsidP="005047C7">
            <w:pPr>
              <w:rPr>
                <w:rFonts w:ascii="Calibri" w:hAnsi="Calibri" w:cs="Calibri"/>
                <w:i/>
                <w:iCs/>
                <w:sz w:val="18"/>
                <w:szCs w:val="18"/>
              </w:rPr>
            </w:pPr>
            <w:r w:rsidRPr="008F0AA2">
              <w:rPr>
                <w:rFonts w:ascii="Calibri" w:hAnsi="Calibri" w:cs="Calibri"/>
                <w:i/>
                <w:iCs/>
                <w:sz w:val="18"/>
                <w:szCs w:val="18"/>
              </w:rPr>
              <w:t>Economic Review Mission 1978: NPV (Labour)</w:t>
            </w:r>
          </w:p>
        </w:tc>
        <w:tc>
          <w:tcPr>
            <w:tcW w:w="3827" w:type="dxa"/>
          </w:tcPr>
          <w:p w14:paraId="4C902C03" w14:textId="77777777" w:rsidR="00931CC1" w:rsidRPr="008F0AA2" w:rsidRDefault="00573B45" w:rsidP="005047C7">
            <w:pPr>
              <w:cnfStyle w:val="000000100000" w:firstRow="0" w:lastRow="0" w:firstColumn="0" w:lastColumn="0" w:oddVBand="0" w:evenVBand="0" w:oddHBand="1" w:evenHBand="0" w:firstRowFirstColumn="0" w:firstRowLastColumn="0" w:lastRowFirstColumn="0" w:lastRowLastColumn="0"/>
              <w:rPr>
                <w:rFonts w:ascii="Calibri" w:hAnsi="Calibri" w:cs="Calibri"/>
                <w:b/>
                <w:sz w:val="18"/>
                <w:szCs w:val="18"/>
              </w:rPr>
            </w:pPr>
            <m:oMathPara>
              <m:oMath>
                <m:nary>
                  <m:naryPr>
                    <m:chr m:val="∑"/>
                    <m:limLoc m:val="subSup"/>
                    <m:grow m:val="1"/>
                    <m:ctrlPr>
                      <w:rPr>
                        <w:rFonts w:ascii="Cambria Math" w:hAnsi="Cambria Math" w:cs="Calibri"/>
                        <w:b/>
                        <w:i/>
                        <w:sz w:val="18"/>
                        <w:szCs w:val="18"/>
                      </w:rPr>
                    </m:ctrlPr>
                  </m:naryPr>
                  <m:sub>
                    <m:r>
                      <m:rPr>
                        <m:nor/>
                      </m:rPr>
                      <w:rPr>
                        <w:rFonts w:ascii="Calibri" w:hAnsi="Calibri" w:cs="Calibri"/>
                        <w:b/>
                        <w:sz w:val="18"/>
                        <w:szCs w:val="18"/>
                      </w:rPr>
                      <m:t>t=1</m:t>
                    </m:r>
                  </m:sub>
                  <m:sup>
                    <m:r>
                      <m:rPr>
                        <m:nor/>
                      </m:rPr>
                      <w:rPr>
                        <w:rFonts w:ascii="Calibri" w:hAnsi="Calibri" w:cs="Calibri"/>
                        <w:b/>
                        <w:sz w:val="18"/>
                        <w:szCs w:val="18"/>
                      </w:rPr>
                      <m:t xml:space="preserve">n </m:t>
                    </m:r>
                  </m:sup>
                  <m:e>
                    <m:eqArr>
                      <m:eqArrPr>
                        <m:ctrlPr>
                          <w:rPr>
                            <w:rFonts w:ascii="Cambria Math" w:hAnsi="Cambria Math" w:cs="Calibri"/>
                            <w:b/>
                            <w:i/>
                            <w:sz w:val="18"/>
                            <w:szCs w:val="18"/>
                          </w:rPr>
                        </m:ctrlPr>
                      </m:eqArrPr>
                      <m:e>
                        <m:d>
                          <m:dPr>
                            <m:begChr m:val="["/>
                            <m:endChr m:val="]"/>
                            <m:ctrlPr>
                              <w:rPr>
                                <w:rFonts w:ascii="Cambria Math" w:hAnsi="Cambria Math" w:cs="Calibri"/>
                                <w:b/>
                                <w:sz w:val="18"/>
                                <w:szCs w:val="18"/>
                              </w:rPr>
                            </m:ctrlPr>
                          </m:dPr>
                          <m:e>
                            <m:d>
                              <m:dPr>
                                <m:ctrlPr>
                                  <w:rPr>
                                    <w:rFonts w:ascii="Cambria Math" w:hAnsi="Cambria Math" w:cs="Calibri"/>
                                    <w:b/>
                                    <w:sz w:val="18"/>
                                    <w:szCs w:val="18"/>
                                  </w:rPr>
                                </m:ctrlPr>
                              </m:dPr>
                              <m:e>
                                <m:r>
                                  <m:rPr>
                                    <m:nor/>
                                  </m:rPr>
                                  <w:rPr>
                                    <w:rFonts w:ascii="Calibri" w:hAnsi="Calibri" w:cs="Calibri"/>
                                    <w:b/>
                                    <w:sz w:val="18"/>
                                    <w:szCs w:val="18"/>
                                  </w:rPr>
                                  <m:t>P x</m:t>
                                </m:r>
                                <m:func>
                                  <m:funcPr>
                                    <m:ctrlPr>
                                      <w:rPr>
                                        <w:rFonts w:ascii="Cambria Math" w:hAnsi="Cambria Math" w:cs="Calibri"/>
                                        <w:b/>
                                        <w:sz w:val="18"/>
                                        <w:szCs w:val="18"/>
                                      </w:rPr>
                                    </m:ctrlPr>
                                  </m:funcPr>
                                  <m:fName>
                                    <m:r>
                                      <m:rPr>
                                        <m:nor/>
                                      </m:rPr>
                                      <w:rPr>
                                        <w:rFonts w:ascii="Calibri" w:hAnsi="Calibri" w:cs="Calibri"/>
                                        <w:b/>
                                        <w:sz w:val="18"/>
                                        <w:szCs w:val="18"/>
                                      </w:rPr>
                                      <m:t>P</m:t>
                                    </m:r>
                                    <m:r>
                                      <m:rPr>
                                        <m:nor/>
                                      </m:rPr>
                                      <w:rPr>
                                        <w:rFonts w:ascii="Calibri" w:hAnsi="Calibri" w:cs="Calibri"/>
                                        <w:b/>
                                        <w:sz w:val="18"/>
                                        <w:szCs w:val="18"/>
                                        <w:vertAlign w:val="subscript"/>
                                      </w:rPr>
                                      <m:t>r</m:t>
                                    </m:r>
                                  </m:fName>
                                  <m:e>
                                    <m:r>
                                      <m:rPr>
                                        <m:nor/>
                                      </m:rPr>
                                      <w:rPr>
                                        <w:rFonts w:ascii="Calibri" w:hAnsi="Calibri" w:cs="Calibri"/>
                                        <w:b/>
                                        <w:sz w:val="18"/>
                                        <w:szCs w:val="18"/>
                                      </w:rPr>
                                      <m:t>x</m:t>
                                    </m:r>
                                  </m:e>
                                </m:func>
                                <m:r>
                                  <m:rPr>
                                    <m:nor/>
                                  </m:rPr>
                                  <w:rPr>
                                    <w:rFonts w:ascii="Calibri" w:hAnsi="Calibri" w:cs="Calibri"/>
                                    <w:b/>
                                    <w:sz w:val="18"/>
                                    <w:szCs w:val="18"/>
                                  </w:rPr>
                                  <m:t>P</m:t>
                                </m:r>
                                <m:r>
                                  <m:rPr>
                                    <m:nor/>
                                  </m:rPr>
                                  <w:rPr>
                                    <w:rFonts w:ascii="Calibri" w:hAnsi="Calibri" w:cs="Calibri"/>
                                    <w:b/>
                                    <w:sz w:val="18"/>
                                    <w:szCs w:val="18"/>
                                    <w:vertAlign w:val="subscript"/>
                                  </w:rPr>
                                  <m:t>a</m:t>
                                </m:r>
                              </m:e>
                            </m:d>
                            <m:d>
                              <m:dPr>
                                <m:ctrlPr>
                                  <w:rPr>
                                    <w:rFonts w:ascii="Cambria Math" w:hAnsi="Cambria Math" w:cs="Calibri"/>
                                    <w:b/>
                                    <w:sz w:val="18"/>
                                    <w:szCs w:val="18"/>
                                  </w:rPr>
                                </m:ctrlPr>
                              </m:dPr>
                              <m:e>
                                <m:r>
                                  <m:rPr>
                                    <m:nor/>
                                  </m:rPr>
                                  <w:rPr>
                                    <w:rFonts w:ascii="Calibri" w:hAnsi="Calibri" w:cs="Calibri"/>
                                    <w:b/>
                                    <w:sz w:val="18"/>
                                    <w:szCs w:val="18"/>
                                  </w:rPr>
                                  <m:t>1+g</m:t>
                                </m:r>
                              </m:e>
                            </m:d>
                            <m:r>
                              <m:rPr>
                                <m:nor/>
                              </m:rPr>
                              <w:rPr>
                                <w:rFonts w:ascii="Calibri" w:hAnsi="Calibri" w:cs="Calibri"/>
                                <w:b/>
                                <w:sz w:val="18"/>
                                <w:szCs w:val="18"/>
                                <w:vertAlign w:val="superscript"/>
                              </w:rPr>
                              <m:t>t</m:t>
                            </m:r>
                          </m:e>
                        </m:d>
                        <m:d>
                          <m:dPr>
                            <m:begChr m:val="["/>
                            <m:endChr m:val="]"/>
                            <m:ctrlPr>
                              <w:rPr>
                                <w:rFonts w:ascii="Cambria Math" w:hAnsi="Cambria Math" w:cs="Calibri"/>
                                <w:b/>
                                <w:sz w:val="18"/>
                                <w:szCs w:val="18"/>
                              </w:rPr>
                            </m:ctrlPr>
                          </m:dPr>
                          <m:e>
                            <m:r>
                              <m:rPr>
                                <m:nor/>
                              </m:rPr>
                              <w:rPr>
                                <w:rFonts w:ascii="Calibri" w:hAnsi="Calibri" w:cs="Calibri"/>
                                <w:b/>
                                <w:sz w:val="18"/>
                                <w:szCs w:val="18"/>
                              </w:rPr>
                              <m:t>v</m:t>
                            </m:r>
                            <m:d>
                              <m:dPr>
                                <m:ctrlPr>
                                  <w:rPr>
                                    <w:rFonts w:ascii="Cambria Math" w:hAnsi="Cambria Math" w:cs="Calibri"/>
                                    <w:b/>
                                    <w:sz w:val="18"/>
                                    <w:szCs w:val="18"/>
                                  </w:rPr>
                                </m:ctrlPr>
                              </m:dPr>
                              <m:e>
                                <m:r>
                                  <m:rPr>
                                    <m:nor/>
                                  </m:rPr>
                                  <w:rPr>
                                    <w:rFonts w:ascii="Calibri" w:hAnsi="Calibri" w:cs="Calibri"/>
                                    <w:b/>
                                    <w:sz w:val="18"/>
                                    <w:szCs w:val="18"/>
                                  </w:rPr>
                                  <m:t>1+r</m:t>
                                </m:r>
                              </m:e>
                            </m:d>
                            <m:r>
                              <m:rPr>
                                <m:nor/>
                              </m:rPr>
                              <w:rPr>
                                <w:rFonts w:ascii="Calibri" w:hAnsi="Calibri" w:cs="Calibri"/>
                                <w:b/>
                                <w:sz w:val="18"/>
                                <w:szCs w:val="18"/>
                                <w:vertAlign w:val="superscript"/>
                              </w:rPr>
                              <m:t>t</m:t>
                            </m:r>
                          </m:e>
                        </m:d>
                      </m:e>
                      <m:e>
                        <m:d>
                          <m:dPr>
                            <m:ctrlPr>
                              <w:rPr>
                                <w:rFonts w:ascii="Cambria Math" w:hAnsi="Cambria Math" w:cs="Calibri"/>
                                <w:b/>
                                <w:sz w:val="18"/>
                                <w:szCs w:val="18"/>
                              </w:rPr>
                            </m:ctrlPr>
                          </m:dPr>
                          <m:e>
                            <m:r>
                              <m:rPr>
                                <m:nor/>
                              </m:rPr>
                              <w:rPr>
                                <w:rFonts w:ascii="Calibri" w:hAnsi="Calibri" w:cs="Calibri"/>
                                <w:b/>
                                <w:sz w:val="18"/>
                                <w:szCs w:val="18"/>
                              </w:rPr>
                              <m:t>P</m:t>
                            </m:r>
                            <m:r>
                              <m:rPr>
                                <m:nor/>
                              </m:rPr>
                              <w:rPr>
                                <w:rFonts w:ascii="Calibri" w:hAnsi="Calibri" w:cs="Calibri"/>
                                <w:b/>
                                <w:sz w:val="18"/>
                                <w:szCs w:val="18"/>
                                <w:vertAlign w:val="subscript"/>
                              </w:rPr>
                              <m:t>1</m:t>
                            </m:r>
                            <m:r>
                              <m:rPr>
                                <m:nor/>
                              </m:rPr>
                              <w:rPr>
                                <w:rFonts w:ascii="Calibri" w:hAnsi="Calibri" w:cs="Calibri"/>
                                <w:b/>
                                <w:sz w:val="18"/>
                                <w:szCs w:val="18"/>
                              </w:rPr>
                              <m:t>L</m:t>
                            </m:r>
                            <m:r>
                              <m:rPr>
                                <m:nor/>
                              </m:rPr>
                              <w:rPr>
                                <w:rFonts w:ascii="Calibri" w:hAnsi="Calibri" w:cs="Calibri"/>
                                <w:b/>
                                <w:sz w:val="18"/>
                                <w:szCs w:val="18"/>
                                <w:vertAlign w:val="subscript"/>
                              </w:rPr>
                              <m:t>1</m:t>
                            </m:r>
                            <m:r>
                              <m:rPr>
                                <m:nor/>
                              </m:rPr>
                              <w:rPr>
                                <w:rFonts w:ascii="Calibri" w:hAnsi="Calibri" w:cs="Calibri"/>
                                <w:b/>
                                <w:sz w:val="18"/>
                                <w:szCs w:val="18"/>
                              </w:rPr>
                              <m:t xml:space="preserve"> + P</m:t>
                            </m:r>
                            <m:r>
                              <m:rPr>
                                <m:nor/>
                              </m:rPr>
                              <w:rPr>
                                <w:rFonts w:ascii="Calibri" w:hAnsi="Calibri" w:cs="Calibri"/>
                                <w:b/>
                                <w:sz w:val="18"/>
                                <w:szCs w:val="18"/>
                                <w:vertAlign w:val="subscript"/>
                              </w:rPr>
                              <m:t>2</m:t>
                            </m:r>
                            <m:r>
                              <m:rPr>
                                <m:nor/>
                              </m:rPr>
                              <w:rPr>
                                <w:rFonts w:ascii="Calibri" w:hAnsi="Calibri" w:cs="Calibri"/>
                                <w:b/>
                                <w:sz w:val="18"/>
                                <w:szCs w:val="18"/>
                              </w:rPr>
                              <m:t>L</m:t>
                            </m:r>
                            <m:r>
                              <m:rPr>
                                <m:nor/>
                              </m:rPr>
                              <w:rPr>
                                <w:rFonts w:ascii="Calibri" w:hAnsi="Calibri" w:cs="Calibri"/>
                                <w:b/>
                                <w:sz w:val="18"/>
                                <w:szCs w:val="18"/>
                                <w:vertAlign w:val="subscript"/>
                              </w:rPr>
                              <m:t>2</m:t>
                            </m:r>
                            <m:r>
                              <m:rPr>
                                <m:nor/>
                              </m:rPr>
                              <w:rPr>
                                <w:rFonts w:ascii="Calibri" w:hAnsi="Calibri" w:cs="Calibri"/>
                                <w:b/>
                                <w:sz w:val="18"/>
                                <w:szCs w:val="18"/>
                              </w:rPr>
                              <m:t xml:space="preserve"> + P</m:t>
                            </m:r>
                            <m:r>
                              <m:rPr>
                                <m:nor/>
                              </m:rPr>
                              <w:rPr>
                                <w:rFonts w:ascii="Calibri" w:hAnsi="Calibri" w:cs="Calibri"/>
                                <w:b/>
                                <w:sz w:val="18"/>
                                <w:szCs w:val="18"/>
                                <w:vertAlign w:val="subscript"/>
                              </w:rPr>
                              <m:t>3</m:t>
                            </m:r>
                            <m:r>
                              <m:rPr>
                                <m:nor/>
                              </m:rPr>
                              <w:rPr>
                                <w:rFonts w:ascii="Calibri" w:hAnsi="Calibri" w:cs="Calibri"/>
                                <w:b/>
                                <w:sz w:val="18"/>
                                <w:szCs w:val="18"/>
                              </w:rPr>
                              <m:t>L</m:t>
                            </m:r>
                            <m:r>
                              <m:rPr>
                                <m:nor/>
                              </m:rPr>
                              <w:rPr>
                                <w:rFonts w:ascii="Calibri" w:hAnsi="Calibri" w:cs="Calibri"/>
                                <w:b/>
                                <w:sz w:val="18"/>
                                <w:szCs w:val="18"/>
                                <w:vertAlign w:val="subscript"/>
                              </w:rPr>
                              <m:t xml:space="preserve">3 </m:t>
                            </m:r>
                            <m:r>
                              <m:rPr>
                                <m:nor/>
                              </m:rPr>
                              <w:rPr>
                                <w:rFonts w:ascii="Calibri" w:hAnsi="Calibri" w:cs="Calibri"/>
                                <w:b/>
                                <w:sz w:val="18"/>
                                <w:szCs w:val="18"/>
                              </w:rPr>
                              <m:t>+ P</m:t>
                            </m:r>
                            <m:r>
                              <m:rPr>
                                <m:nor/>
                              </m:rPr>
                              <w:rPr>
                                <w:rFonts w:ascii="Calibri" w:hAnsi="Calibri" w:cs="Calibri"/>
                                <w:b/>
                                <w:sz w:val="18"/>
                                <w:szCs w:val="18"/>
                                <w:vertAlign w:val="subscript"/>
                              </w:rPr>
                              <m:t>4</m:t>
                            </m:r>
                            <m:r>
                              <m:rPr>
                                <m:nor/>
                              </m:rPr>
                              <w:rPr>
                                <w:rFonts w:ascii="Calibri" w:hAnsi="Calibri" w:cs="Calibri"/>
                                <w:b/>
                                <w:sz w:val="18"/>
                                <w:szCs w:val="18"/>
                              </w:rPr>
                              <m:t>L</m:t>
                            </m:r>
                            <m:r>
                              <m:rPr>
                                <m:nor/>
                              </m:rPr>
                              <w:rPr>
                                <w:rFonts w:ascii="Calibri" w:hAnsi="Calibri" w:cs="Calibri"/>
                                <w:b/>
                                <w:sz w:val="18"/>
                                <w:szCs w:val="18"/>
                                <w:vertAlign w:val="subscript"/>
                              </w:rPr>
                              <m:t>4</m:t>
                            </m:r>
                          </m:e>
                        </m:d>
                        <m:r>
                          <m:rPr>
                            <m:nor/>
                          </m:rPr>
                          <w:rPr>
                            <w:rFonts w:ascii="Calibri" w:hAnsi="Calibri" w:cs="Calibri"/>
                            <w:b/>
                            <w:sz w:val="18"/>
                            <w:szCs w:val="18"/>
                          </w:rPr>
                          <m:t>]/</m:t>
                        </m:r>
                        <m:d>
                          <m:dPr>
                            <m:shp m:val="match"/>
                            <m:ctrlPr>
                              <w:rPr>
                                <w:rFonts w:ascii="Cambria Math" w:hAnsi="Cambria Math" w:cs="Calibri"/>
                                <w:b/>
                                <w:sz w:val="18"/>
                                <w:szCs w:val="18"/>
                              </w:rPr>
                            </m:ctrlPr>
                          </m:dPr>
                          <m:e>
                            <m:r>
                              <m:rPr>
                                <m:nor/>
                              </m:rPr>
                              <w:rPr>
                                <w:rFonts w:ascii="Calibri" w:hAnsi="Calibri" w:cs="Calibri"/>
                                <w:b/>
                                <w:sz w:val="18"/>
                                <w:szCs w:val="18"/>
                              </w:rPr>
                              <m:t>1+d</m:t>
                            </m:r>
                          </m:e>
                        </m:d>
                      </m:e>
                    </m:eqArr>
                  </m:e>
                </m:nary>
              </m:oMath>
            </m:oMathPara>
          </w:p>
        </w:tc>
        <w:tc>
          <w:tcPr>
            <w:tcW w:w="4399" w:type="dxa"/>
            <w:gridSpan w:val="2"/>
          </w:tcPr>
          <w:p w14:paraId="51F53B84" w14:textId="77777777" w:rsidR="00931CC1" w:rsidRPr="008F0AA2"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8F0AA2">
              <w:rPr>
                <w:rFonts w:ascii="Calibri" w:eastAsiaTheme="minorEastAsia" w:hAnsi="Calibri" w:cs="Calibri"/>
                <w:b/>
                <w:bCs/>
                <w:sz w:val="18"/>
                <w:szCs w:val="18"/>
              </w:rPr>
              <w:t xml:space="preserve">t </w:t>
            </w:r>
            <w:r w:rsidRPr="008F0AA2">
              <w:rPr>
                <w:rFonts w:ascii="Calibri" w:eastAsiaTheme="minorEastAsia" w:hAnsi="Calibri" w:cs="Calibri"/>
                <w:sz w:val="18"/>
                <w:szCs w:val="18"/>
              </w:rPr>
              <w:t>= current year</w:t>
            </w:r>
          </w:p>
          <w:p w14:paraId="47F91B48" w14:textId="77777777" w:rsidR="00931CC1" w:rsidRPr="008F0AA2" w:rsidRDefault="00931CC1" w:rsidP="005047C7">
            <w:pPr>
              <w:cnfStyle w:val="000000100000" w:firstRow="0" w:lastRow="0" w:firstColumn="0" w:lastColumn="0" w:oddVBand="0" w:evenVBand="0" w:oddHBand="1" w:evenHBand="0" w:firstRowFirstColumn="0" w:firstRowLastColumn="0" w:lastRowFirstColumn="0" w:lastRowLastColumn="0"/>
              <w:rPr>
                <w:rFonts w:ascii="Calibri" w:eastAsiaTheme="minorEastAsia" w:hAnsi="Calibri" w:cs="Calibri"/>
                <w:sz w:val="18"/>
                <w:szCs w:val="18"/>
              </w:rPr>
            </w:pPr>
            <w:r w:rsidRPr="008F0AA2">
              <w:rPr>
                <w:rFonts w:ascii="Calibri" w:eastAsiaTheme="minorEastAsia" w:hAnsi="Calibri" w:cs="Calibri"/>
                <w:b/>
                <w:bCs/>
                <w:sz w:val="18"/>
                <w:szCs w:val="18"/>
              </w:rPr>
              <w:t xml:space="preserve">n </w:t>
            </w:r>
            <w:r w:rsidRPr="008F0AA2">
              <w:rPr>
                <w:rFonts w:ascii="Calibri" w:eastAsiaTheme="minorEastAsia" w:hAnsi="Calibri" w:cs="Calibri"/>
                <w:sz w:val="18"/>
                <w:szCs w:val="18"/>
              </w:rPr>
              <w:t>= length of time analysed (25 or 50 years)</w:t>
            </w:r>
          </w:p>
          <w:p w14:paraId="3A987B50" w14:textId="77777777" w:rsidR="00931CC1" w:rsidRPr="008F0AA2"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8F0AA2">
              <w:rPr>
                <w:rFonts w:ascii="Calibri" w:eastAsiaTheme="minorEastAsia" w:hAnsi="Calibri" w:cs="Calibri"/>
                <w:b/>
                <w:bCs/>
                <w:sz w:val="18"/>
                <w:szCs w:val="18"/>
              </w:rPr>
              <w:t>g</w:t>
            </w:r>
            <w:r w:rsidRPr="008F0AA2">
              <w:rPr>
                <w:rFonts w:ascii="Calibri" w:eastAsiaTheme="minorEastAsia" w:hAnsi="Calibri" w:cs="Calibri"/>
                <w:sz w:val="18"/>
                <w:szCs w:val="18"/>
              </w:rPr>
              <w:t xml:space="preserve"> = population growth rate (est. 2.5%)</w:t>
            </w:r>
          </w:p>
          <w:p w14:paraId="06BF83F5" w14:textId="77777777" w:rsidR="00931CC1" w:rsidRPr="008F0AA2" w:rsidRDefault="00931CC1" w:rsidP="005047C7">
            <w:pPr>
              <w:cnfStyle w:val="000000100000" w:firstRow="0" w:lastRow="0" w:firstColumn="0" w:lastColumn="0" w:oddVBand="0" w:evenVBand="0" w:oddHBand="1" w:evenHBand="0" w:firstRowFirstColumn="0" w:firstRowLastColumn="0" w:lastRowFirstColumn="0" w:lastRowLastColumn="0"/>
              <w:rPr>
                <w:rFonts w:ascii="Calibri" w:eastAsiaTheme="minorEastAsia" w:hAnsi="Calibri" w:cs="Calibri"/>
                <w:sz w:val="18"/>
                <w:szCs w:val="18"/>
              </w:rPr>
            </w:pPr>
            <w:r w:rsidRPr="008F0AA2">
              <w:rPr>
                <w:rFonts w:ascii="Calibri" w:eastAsiaTheme="minorEastAsia" w:hAnsi="Calibri" w:cs="Calibri"/>
                <w:b/>
                <w:bCs/>
                <w:sz w:val="18"/>
                <w:szCs w:val="18"/>
              </w:rPr>
              <w:t>P</w:t>
            </w:r>
            <w:r w:rsidRPr="008F0AA2">
              <w:rPr>
                <w:rFonts w:ascii="Calibri" w:eastAsiaTheme="minorEastAsia" w:hAnsi="Calibri" w:cs="Calibri"/>
                <w:sz w:val="18"/>
                <w:szCs w:val="18"/>
              </w:rPr>
              <w:t xml:space="preserve"> = population of OCP area (original area)</w:t>
            </w:r>
          </w:p>
          <w:p w14:paraId="7C3603F3" w14:textId="77777777" w:rsidR="00931CC1" w:rsidRPr="008F0AA2"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8F0AA2">
              <w:rPr>
                <w:rFonts w:ascii="Calibri" w:eastAsiaTheme="minorEastAsia" w:hAnsi="Calibri" w:cs="Calibri"/>
                <w:b/>
                <w:bCs/>
                <w:sz w:val="18"/>
                <w:szCs w:val="18"/>
              </w:rPr>
              <w:t xml:space="preserve">v </w:t>
            </w:r>
            <w:r w:rsidRPr="008F0AA2">
              <w:rPr>
                <w:rFonts w:ascii="Calibri" w:eastAsiaTheme="minorEastAsia" w:hAnsi="Calibri" w:cs="Calibri"/>
                <w:sz w:val="18"/>
                <w:szCs w:val="18"/>
              </w:rPr>
              <w:t>= value of the marginal product of labor (per capita income: est. $40-75 1978 USD)</w:t>
            </w:r>
          </w:p>
          <w:p w14:paraId="3F427917" w14:textId="77777777" w:rsidR="00931CC1" w:rsidRPr="008F0AA2"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8F0AA2">
              <w:rPr>
                <w:rFonts w:ascii="Calibri" w:eastAsiaTheme="minorEastAsia" w:hAnsi="Calibri" w:cs="Calibri"/>
                <w:b/>
                <w:bCs/>
                <w:sz w:val="18"/>
                <w:szCs w:val="18"/>
              </w:rPr>
              <w:t xml:space="preserve">r </w:t>
            </w:r>
            <w:r w:rsidRPr="008F0AA2">
              <w:rPr>
                <w:rFonts w:ascii="Calibri" w:eastAsiaTheme="minorEastAsia" w:hAnsi="Calibri" w:cs="Calibri"/>
                <w:sz w:val="18"/>
                <w:szCs w:val="18"/>
              </w:rPr>
              <w:t>= growth rate of the marginal product of labor (est. 3%/year)</w:t>
            </w:r>
          </w:p>
          <w:p w14:paraId="742C2BE9" w14:textId="77777777" w:rsidR="00931CC1" w:rsidRPr="008F0AA2"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8F0AA2">
              <w:rPr>
                <w:rFonts w:ascii="Calibri" w:eastAsiaTheme="minorEastAsia" w:hAnsi="Calibri" w:cs="Calibri"/>
                <w:b/>
                <w:bCs/>
                <w:sz w:val="18"/>
                <w:szCs w:val="18"/>
              </w:rPr>
              <w:t>Pr</w:t>
            </w:r>
            <w:r w:rsidRPr="008F0AA2">
              <w:rPr>
                <w:rFonts w:ascii="Calibri" w:eastAsiaTheme="minorEastAsia" w:hAnsi="Calibri" w:cs="Calibri"/>
                <w:sz w:val="18"/>
                <w:szCs w:val="18"/>
              </w:rPr>
              <w:t xml:space="preserve"> = proportion of population at risk of contracting onchocerciasis (est. 10%)</w:t>
            </w:r>
          </w:p>
          <w:p w14:paraId="5D9D9190" w14:textId="77777777" w:rsidR="00931CC1" w:rsidRPr="008F0AA2"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8F0AA2">
              <w:rPr>
                <w:rFonts w:ascii="Calibri" w:eastAsiaTheme="minorEastAsia" w:hAnsi="Calibri" w:cs="Calibri"/>
                <w:b/>
                <w:bCs/>
                <w:sz w:val="18"/>
                <w:szCs w:val="18"/>
              </w:rPr>
              <w:t>Pa</w:t>
            </w:r>
            <w:r w:rsidRPr="008F0AA2">
              <w:rPr>
                <w:rFonts w:ascii="Calibri" w:eastAsiaTheme="minorEastAsia" w:hAnsi="Calibri" w:cs="Calibri"/>
                <w:sz w:val="18"/>
                <w:szCs w:val="18"/>
              </w:rPr>
              <w:t xml:space="preserve"> = proportion of at risk population active in the workforce (est. 70%)</w:t>
            </w:r>
          </w:p>
          <w:p w14:paraId="00E62E56" w14:textId="77777777" w:rsidR="00931CC1" w:rsidRPr="008F0AA2"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8F0AA2">
              <w:rPr>
                <w:rFonts w:ascii="Calibri" w:eastAsiaTheme="minorEastAsia" w:hAnsi="Calibri" w:cs="Calibri"/>
                <w:b/>
                <w:bCs/>
                <w:sz w:val="18"/>
                <w:szCs w:val="18"/>
              </w:rPr>
              <w:t>P</w:t>
            </w:r>
            <w:r w:rsidRPr="008F0AA2">
              <w:rPr>
                <w:rFonts w:ascii="Calibri" w:eastAsiaTheme="minorEastAsia" w:hAnsi="Calibri" w:cs="Calibri"/>
                <w:b/>
                <w:bCs/>
                <w:sz w:val="18"/>
                <w:szCs w:val="18"/>
                <w:vertAlign w:val="subscript"/>
              </w:rPr>
              <w:t>1</w:t>
            </w:r>
            <w:r w:rsidRPr="008F0AA2">
              <w:rPr>
                <w:rFonts w:ascii="Calibri" w:eastAsiaTheme="minorEastAsia" w:hAnsi="Calibri" w:cs="Calibri"/>
                <w:sz w:val="18"/>
                <w:szCs w:val="18"/>
              </w:rPr>
              <w:t xml:space="preserve"> = proportion of the at risk population disabled by onchocerciasis (not disclosed)</w:t>
            </w:r>
          </w:p>
          <w:p w14:paraId="198C57BC" w14:textId="77777777" w:rsidR="00931CC1" w:rsidRPr="008F0AA2"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8F0AA2">
              <w:rPr>
                <w:rFonts w:ascii="Calibri" w:eastAsiaTheme="minorEastAsia" w:hAnsi="Calibri" w:cs="Calibri"/>
                <w:b/>
                <w:bCs/>
                <w:sz w:val="18"/>
                <w:szCs w:val="18"/>
              </w:rPr>
              <w:t>P</w:t>
            </w:r>
            <w:r w:rsidRPr="008F0AA2">
              <w:rPr>
                <w:rFonts w:ascii="Calibri" w:eastAsiaTheme="minorEastAsia" w:hAnsi="Calibri" w:cs="Calibri"/>
                <w:b/>
                <w:bCs/>
                <w:sz w:val="18"/>
                <w:szCs w:val="18"/>
                <w:vertAlign w:val="subscript"/>
              </w:rPr>
              <w:t>2</w:t>
            </w:r>
            <w:r w:rsidRPr="008F0AA2">
              <w:rPr>
                <w:rFonts w:ascii="Calibri" w:eastAsiaTheme="minorEastAsia" w:hAnsi="Calibri" w:cs="Calibri"/>
                <w:sz w:val="18"/>
                <w:szCs w:val="18"/>
              </w:rPr>
              <w:t xml:space="preserve"> = proportion of the at risk population debilitated by onchocerciasis (not disclosed)</w:t>
            </w:r>
          </w:p>
          <w:p w14:paraId="380E8D82" w14:textId="77777777" w:rsidR="00931CC1" w:rsidRPr="008F0AA2"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8F0AA2">
              <w:rPr>
                <w:rFonts w:ascii="Calibri" w:eastAsiaTheme="minorEastAsia" w:hAnsi="Calibri" w:cs="Calibri"/>
                <w:b/>
                <w:bCs/>
                <w:sz w:val="18"/>
                <w:szCs w:val="18"/>
              </w:rPr>
              <w:t>P</w:t>
            </w:r>
            <w:r w:rsidRPr="008F0AA2">
              <w:rPr>
                <w:rFonts w:ascii="Calibri" w:eastAsiaTheme="minorEastAsia" w:hAnsi="Calibri" w:cs="Calibri"/>
                <w:b/>
                <w:bCs/>
                <w:sz w:val="18"/>
                <w:szCs w:val="18"/>
                <w:vertAlign w:val="subscript"/>
              </w:rPr>
              <w:t>3</w:t>
            </w:r>
            <w:r w:rsidRPr="008F0AA2">
              <w:rPr>
                <w:rFonts w:ascii="Calibri" w:eastAsiaTheme="minorEastAsia" w:hAnsi="Calibri" w:cs="Calibri"/>
                <w:sz w:val="18"/>
                <w:szCs w:val="18"/>
              </w:rPr>
              <w:t xml:space="preserve"> = proportion of the at risk population suffering a nuisance effect (not disclosed)</w:t>
            </w:r>
          </w:p>
          <w:p w14:paraId="21577AC6" w14:textId="77777777" w:rsidR="00931CC1" w:rsidRPr="008F0AA2"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8F0AA2">
              <w:rPr>
                <w:rFonts w:ascii="Calibri" w:eastAsiaTheme="minorEastAsia" w:hAnsi="Calibri" w:cs="Calibri"/>
                <w:b/>
                <w:bCs/>
                <w:sz w:val="18"/>
                <w:szCs w:val="18"/>
              </w:rPr>
              <w:t>L</w:t>
            </w:r>
            <w:r w:rsidRPr="008F0AA2">
              <w:rPr>
                <w:rFonts w:ascii="Calibri" w:eastAsiaTheme="minorEastAsia" w:hAnsi="Calibri" w:cs="Calibri"/>
                <w:b/>
                <w:bCs/>
                <w:sz w:val="18"/>
                <w:szCs w:val="18"/>
                <w:vertAlign w:val="subscript"/>
              </w:rPr>
              <w:t>1</w:t>
            </w:r>
            <w:r w:rsidRPr="008F0AA2">
              <w:rPr>
                <w:rFonts w:ascii="Calibri" w:eastAsiaTheme="minorEastAsia" w:hAnsi="Calibri" w:cs="Calibri"/>
                <w:sz w:val="18"/>
                <w:szCs w:val="18"/>
              </w:rPr>
              <w:t xml:space="preserve"> = percentage loss of output per worker due to disability (est. 2.5%)</w:t>
            </w:r>
          </w:p>
          <w:p w14:paraId="340DC51D" w14:textId="77777777" w:rsidR="00931CC1" w:rsidRPr="008F0AA2"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8F0AA2">
              <w:rPr>
                <w:rFonts w:ascii="Calibri" w:eastAsiaTheme="minorEastAsia" w:hAnsi="Calibri" w:cs="Calibri"/>
                <w:b/>
                <w:bCs/>
                <w:sz w:val="18"/>
                <w:szCs w:val="18"/>
              </w:rPr>
              <w:t>L</w:t>
            </w:r>
            <w:r w:rsidRPr="008F0AA2">
              <w:rPr>
                <w:rFonts w:ascii="Calibri" w:eastAsiaTheme="minorEastAsia" w:hAnsi="Calibri" w:cs="Calibri"/>
                <w:b/>
                <w:bCs/>
                <w:sz w:val="18"/>
                <w:szCs w:val="18"/>
                <w:vertAlign w:val="subscript"/>
              </w:rPr>
              <w:t>2</w:t>
            </w:r>
            <w:r w:rsidRPr="008F0AA2">
              <w:rPr>
                <w:rFonts w:ascii="Calibri" w:eastAsiaTheme="minorEastAsia" w:hAnsi="Calibri" w:cs="Calibri"/>
                <w:sz w:val="18"/>
                <w:szCs w:val="18"/>
              </w:rPr>
              <w:t xml:space="preserve"> = percentage loss of output per worker due to debility (est. 5%)</w:t>
            </w:r>
          </w:p>
          <w:p w14:paraId="0F4FB272" w14:textId="77777777" w:rsidR="00931CC1" w:rsidRPr="008F0AA2"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8F0AA2">
              <w:rPr>
                <w:rFonts w:ascii="Calibri" w:eastAsiaTheme="minorEastAsia" w:hAnsi="Calibri" w:cs="Calibri"/>
                <w:b/>
                <w:bCs/>
                <w:sz w:val="18"/>
                <w:szCs w:val="18"/>
              </w:rPr>
              <w:t>L</w:t>
            </w:r>
            <w:r w:rsidRPr="008F0AA2">
              <w:rPr>
                <w:rFonts w:ascii="Calibri" w:eastAsiaTheme="minorEastAsia" w:hAnsi="Calibri" w:cs="Calibri"/>
                <w:b/>
                <w:bCs/>
                <w:sz w:val="18"/>
                <w:szCs w:val="18"/>
                <w:vertAlign w:val="subscript"/>
              </w:rPr>
              <w:t>3</w:t>
            </w:r>
            <w:r w:rsidRPr="008F0AA2">
              <w:rPr>
                <w:rFonts w:ascii="Calibri" w:eastAsiaTheme="minorEastAsia" w:hAnsi="Calibri" w:cs="Calibri"/>
                <w:sz w:val="18"/>
                <w:szCs w:val="18"/>
              </w:rPr>
              <w:t xml:space="preserve"> = percentage loss of output per worker due to blindness (est. 100%)</w:t>
            </w:r>
          </w:p>
          <w:p w14:paraId="7F7D68C5" w14:textId="77777777" w:rsidR="00931CC1" w:rsidRPr="008F0AA2"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8F0AA2">
              <w:rPr>
                <w:rFonts w:ascii="Calibri" w:eastAsiaTheme="minorEastAsia" w:hAnsi="Calibri" w:cs="Calibri"/>
                <w:b/>
                <w:bCs/>
                <w:sz w:val="18"/>
                <w:szCs w:val="18"/>
              </w:rPr>
              <w:t>L</w:t>
            </w:r>
            <w:r w:rsidRPr="008F0AA2">
              <w:rPr>
                <w:rFonts w:ascii="Calibri" w:eastAsiaTheme="minorEastAsia" w:hAnsi="Calibri" w:cs="Calibri"/>
                <w:b/>
                <w:bCs/>
                <w:sz w:val="18"/>
                <w:szCs w:val="18"/>
                <w:vertAlign w:val="subscript"/>
              </w:rPr>
              <w:t>4</w:t>
            </w:r>
            <w:r w:rsidRPr="008F0AA2">
              <w:rPr>
                <w:rFonts w:ascii="Calibri" w:eastAsiaTheme="minorEastAsia" w:hAnsi="Calibri" w:cs="Calibri"/>
                <w:sz w:val="18"/>
                <w:szCs w:val="18"/>
              </w:rPr>
              <w:t xml:space="preserve"> = percentage loss of output per worker due to nuisance (est. 0.5-1%)</w:t>
            </w:r>
          </w:p>
          <w:p w14:paraId="092957F6" w14:textId="77777777" w:rsidR="00931CC1" w:rsidRPr="008F0AA2"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8F0AA2">
              <w:rPr>
                <w:rFonts w:ascii="Calibri" w:eastAsiaTheme="minorEastAsia" w:hAnsi="Calibri" w:cs="Calibri"/>
                <w:b/>
                <w:bCs/>
                <w:sz w:val="18"/>
                <w:szCs w:val="18"/>
              </w:rPr>
              <w:t>d</w:t>
            </w:r>
            <w:r w:rsidRPr="008F0AA2">
              <w:rPr>
                <w:rFonts w:ascii="Calibri" w:eastAsiaTheme="minorEastAsia" w:hAnsi="Calibri" w:cs="Calibri"/>
                <w:sz w:val="18"/>
                <w:szCs w:val="18"/>
              </w:rPr>
              <w:t xml:space="preserve"> = discount rate (3-15%)</w:t>
            </w:r>
          </w:p>
        </w:tc>
      </w:tr>
      <w:tr w:rsidR="00931CC1" w:rsidRPr="00A32897" w14:paraId="50224C9E" w14:textId="77777777" w:rsidTr="005047C7">
        <w:tc>
          <w:tcPr>
            <w:cnfStyle w:val="001000000000" w:firstRow="0" w:lastRow="0" w:firstColumn="1" w:lastColumn="0" w:oddVBand="0" w:evenVBand="0" w:oddHBand="0" w:evenHBand="0" w:firstRowFirstColumn="0" w:firstRowLastColumn="0" w:lastRowFirstColumn="0" w:lastRowLastColumn="0"/>
            <w:tcW w:w="1413" w:type="dxa"/>
          </w:tcPr>
          <w:p w14:paraId="7A132E8C" w14:textId="77777777" w:rsidR="00931CC1" w:rsidRPr="008F0AA2" w:rsidRDefault="00931CC1" w:rsidP="005047C7">
            <w:pPr>
              <w:rPr>
                <w:rFonts w:ascii="Calibri" w:hAnsi="Calibri" w:cs="Calibri"/>
                <w:i/>
                <w:iCs/>
                <w:sz w:val="18"/>
                <w:szCs w:val="18"/>
              </w:rPr>
            </w:pPr>
            <w:r w:rsidRPr="008F0AA2">
              <w:rPr>
                <w:rFonts w:ascii="Calibri" w:hAnsi="Calibri" w:cs="Calibri"/>
                <w:i/>
                <w:iCs/>
                <w:sz w:val="18"/>
                <w:szCs w:val="18"/>
              </w:rPr>
              <w:t>Revised 1989 NPV (Labour due to reduced blindness)</w:t>
            </w:r>
          </w:p>
        </w:tc>
        <w:tc>
          <w:tcPr>
            <w:tcW w:w="3827" w:type="dxa"/>
          </w:tcPr>
          <w:p w14:paraId="4CEDADEA" w14:textId="77777777" w:rsidR="00931CC1" w:rsidRPr="008F0AA2" w:rsidRDefault="00573B45" w:rsidP="005047C7">
            <w:pPr>
              <w:cnfStyle w:val="000000000000" w:firstRow="0" w:lastRow="0" w:firstColumn="0" w:lastColumn="0" w:oddVBand="0" w:evenVBand="0" w:oddHBand="0" w:evenHBand="0" w:firstRowFirstColumn="0" w:firstRowLastColumn="0" w:lastRowFirstColumn="0" w:lastRowLastColumn="0"/>
              <w:rPr>
                <w:rFonts w:ascii="Calibri" w:eastAsiaTheme="minorEastAsia" w:hAnsi="Calibri" w:cs="Calibri"/>
                <w:b/>
                <w:i/>
                <w:sz w:val="18"/>
                <w:szCs w:val="18"/>
              </w:rPr>
            </w:pPr>
            <m:oMathPara>
              <m:oMath>
                <m:nary>
                  <m:naryPr>
                    <m:chr m:val="∑"/>
                    <m:limLoc m:val="subSup"/>
                    <m:grow m:val="1"/>
                    <m:ctrlPr>
                      <w:rPr>
                        <w:rFonts w:ascii="Cambria Math" w:hAnsi="Cambria Math" w:cs="Calibri"/>
                        <w:b/>
                        <w:i/>
                        <w:sz w:val="18"/>
                        <w:szCs w:val="18"/>
                      </w:rPr>
                    </m:ctrlPr>
                  </m:naryPr>
                  <m:sub>
                    <m:r>
                      <m:rPr>
                        <m:nor/>
                      </m:rPr>
                      <w:rPr>
                        <w:rFonts w:ascii="Calibri" w:hAnsi="Calibri" w:cs="Calibri"/>
                        <w:b/>
                        <w:sz w:val="18"/>
                        <w:szCs w:val="18"/>
                      </w:rPr>
                      <m:t>t=1</m:t>
                    </m:r>
                  </m:sub>
                  <m:sup>
                    <m:r>
                      <m:rPr>
                        <m:nor/>
                      </m:rPr>
                      <w:rPr>
                        <w:rFonts w:ascii="Calibri" w:hAnsi="Calibri" w:cs="Calibri"/>
                        <w:b/>
                        <w:sz w:val="18"/>
                        <w:szCs w:val="18"/>
                      </w:rPr>
                      <m:t>n</m:t>
                    </m:r>
                  </m:sup>
                  <m:e>
                    <m:r>
                      <m:rPr>
                        <m:nor/>
                      </m:rPr>
                      <w:rPr>
                        <w:rFonts w:ascii="Calibri" w:hAnsi="Calibri" w:cs="Calibri"/>
                        <w:b/>
                        <w:sz w:val="18"/>
                        <w:szCs w:val="18"/>
                      </w:rPr>
                      <m:t>v(1+r)</m:t>
                    </m:r>
                    <m:r>
                      <m:rPr>
                        <m:nor/>
                      </m:rPr>
                      <w:rPr>
                        <w:rFonts w:ascii="Calibri" w:hAnsi="Calibri" w:cs="Calibri"/>
                        <w:b/>
                        <w:sz w:val="18"/>
                        <w:szCs w:val="18"/>
                        <w:vertAlign w:val="superscript"/>
                      </w:rPr>
                      <m:t>t</m:t>
                    </m:r>
                    <m:r>
                      <m:rPr>
                        <m:nor/>
                      </m:rPr>
                      <w:rPr>
                        <w:rFonts w:ascii="Calibri" w:hAnsi="Calibri" w:cs="Calibri"/>
                        <w:b/>
                        <w:sz w:val="18"/>
                        <w:szCs w:val="18"/>
                      </w:rPr>
                      <m:t xml:space="preserve"> </m:t>
                    </m:r>
                    <m:d>
                      <m:dPr>
                        <m:ctrlPr>
                          <w:rPr>
                            <w:rFonts w:ascii="Cambria Math" w:hAnsi="Cambria Math" w:cs="Calibri"/>
                            <w:b/>
                            <w:sz w:val="18"/>
                            <w:szCs w:val="18"/>
                          </w:rPr>
                        </m:ctrlPr>
                      </m:dPr>
                      <m:e>
                        <m:r>
                          <m:rPr>
                            <m:nor/>
                          </m:rPr>
                          <w:rPr>
                            <w:rFonts w:ascii="Calibri" w:hAnsi="Calibri" w:cs="Calibri"/>
                            <w:b/>
                            <w:sz w:val="18"/>
                            <w:szCs w:val="18"/>
                          </w:rPr>
                          <m:t>P</m:t>
                        </m:r>
                        <m:r>
                          <m:rPr>
                            <m:nor/>
                          </m:rPr>
                          <w:rPr>
                            <w:rFonts w:ascii="Calibri" w:hAnsi="Calibri" w:cs="Calibri"/>
                            <w:b/>
                            <w:sz w:val="18"/>
                            <w:szCs w:val="18"/>
                            <w:vertAlign w:val="subscript"/>
                          </w:rPr>
                          <m:t>t</m:t>
                        </m:r>
                        <m:r>
                          <m:rPr>
                            <m:nor/>
                          </m:rPr>
                          <w:rPr>
                            <w:rFonts w:ascii="Calibri" w:hAnsi="Calibri" w:cs="Calibri"/>
                            <w:b/>
                            <w:sz w:val="18"/>
                            <w:szCs w:val="18"/>
                            <w:vertAlign w:val="superscript"/>
                          </w:rPr>
                          <m:t xml:space="preserve">sg </m:t>
                        </m:r>
                        <m:r>
                          <m:rPr>
                            <m:nor/>
                          </m:rPr>
                          <w:rPr>
                            <w:rFonts w:ascii="Calibri" w:hAnsi="Calibri" w:cs="Calibri"/>
                            <w:b/>
                            <w:sz w:val="18"/>
                            <w:szCs w:val="18"/>
                          </w:rPr>
                          <m:t>x P</m:t>
                        </m:r>
                        <m:r>
                          <m:rPr>
                            <m:nor/>
                          </m:rPr>
                          <w:rPr>
                            <w:rFonts w:ascii="Calibri" w:hAnsi="Calibri" w:cs="Calibri"/>
                            <w:b/>
                            <w:sz w:val="18"/>
                            <w:szCs w:val="18"/>
                            <w:vertAlign w:val="subscript"/>
                          </w:rPr>
                          <m:t>t</m:t>
                        </m:r>
                        <m:r>
                          <m:rPr>
                            <m:nor/>
                          </m:rPr>
                          <w:rPr>
                            <w:rFonts w:ascii="Calibri" w:hAnsi="Calibri" w:cs="Calibri"/>
                            <w:b/>
                            <w:sz w:val="18"/>
                            <w:szCs w:val="18"/>
                            <w:vertAlign w:val="superscript"/>
                          </w:rPr>
                          <m:t>old</m:t>
                        </m:r>
                      </m:e>
                    </m:d>
                    <m:r>
                      <m:rPr>
                        <m:nor/>
                      </m:rPr>
                      <w:rPr>
                        <w:rFonts w:ascii="Calibri" w:hAnsi="Calibri" w:cs="Calibri"/>
                        <w:b/>
                        <w:sz w:val="18"/>
                        <w:szCs w:val="18"/>
                      </w:rPr>
                      <m:t>/(1+d)</m:t>
                    </m:r>
                    <m:r>
                      <m:rPr>
                        <m:nor/>
                      </m:rPr>
                      <w:rPr>
                        <w:rFonts w:ascii="Calibri" w:hAnsi="Calibri" w:cs="Calibri"/>
                        <w:b/>
                        <w:sz w:val="18"/>
                        <w:szCs w:val="18"/>
                        <w:vertAlign w:val="superscript"/>
                      </w:rPr>
                      <m:t>t</m:t>
                    </m:r>
                  </m:e>
                </m:nary>
                <m:r>
                  <m:rPr>
                    <m:nor/>
                  </m:rPr>
                  <w:rPr>
                    <w:rFonts w:ascii="Calibri" w:hAnsi="Calibri" w:cs="Calibri"/>
                    <w:b/>
                    <w:sz w:val="18"/>
                    <w:szCs w:val="18"/>
                  </w:rPr>
                  <m:t xml:space="preserve">   </m:t>
                </m:r>
              </m:oMath>
            </m:oMathPara>
          </w:p>
          <w:p w14:paraId="5535C9FD" w14:textId="77777777" w:rsidR="00931CC1" w:rsidRPr="008F0AA2" w:rsidRDefault="00931CC1" w:rsidP="005047C7">
            <w:pPr>
              <w:cnfStyle w:val="000000000000" w:firstRow="0" w:lastRow="0" w:firstColumn="0" w:lastColumn="0" w:oddVBand="0" w:evenVBand="0" w:oddHBand="0" w:evenHBand="0" w:firstRowFirstColumn="0" w:firstRowLastColumn="0" w:lastRowFirstColumn="0" w:lastRowLastColumn="0"/>
              <w:rPr>
                <w:rFonts w:ascii="Calibri" w:eastAsiaTheme="minorEastAsia" w:hAnsi="Calibri" w:cs="Calibri"/>
                <w:b/>
                <w:i/>
                <w:sz w:val="18"/>
                <w:szCs w:val="18"/>
              </w:rPr>
            </w:pPr>
            <m:oMathPara>
              <m:oMath>
                <m:r>
                  <m:rPr>
                    <m:nor/>
                  </m:rPr>
                  <w:rPr>
                    <w:rFonts w:ascii="Calibri" w:hAnsi="Calibri" w:cs="Calibri"/>
                    <w:b/>
                    <w:sz w:val="18"/>
                    <w:szCs w:val="18"/>
                  </w:rPr>
                  <m:t xml:space="preserve">  </m:t>
                </m:r>
                <m:r>
                  <m:rPr>
                    <m:sty m:val="bi"/>
                  </m:rPr>
                  <w:rPr>
                    <w:rFonts w:ascii="Cambria Math" w:hAnsi="Cambria Math" w:cs="Calibri"/>
                    <w:sz w:val="18"/>
                    <w:szCs w:val="18"/>
                  </w:rPr>
                  <m:t xml:space="preserve"> </m:t>
                </m:r>
              </m:oMath>
            </m:oMathPara>
          </w:p>
          <w:p w14:paraId="0B92E2E7" w14:textId="77777777" w:rsidR="00931CC1" w:rsidRPr="008F0AA2" w:rsidRDefault="00931CC1" w:rsidP="005047C7">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8F0AA2">
              <w:rPr>
                <w:rFonts w:ascii="Calibri" w:eastAsiaTheme="minorEastAsia" w:hAnsi="Calibri" w:cs="Calibri"/>
                <w:b/>
                <w:bCs/>
                <w:sz w:val="18"/>
                <w:szCs w:val="18"/>
              </w:rPr>
              <w:t xml:space="preserve">            where </w:t>
            </w:r>
            <m:oMath>
              <m:sSubSup>
                <m:sSubSupPr>
                  <m:ctrlPr>
                    <w:rPr>
                      <w:rFonts w:ascii="Cambria Math" w:eastAsiaTheme="minorEastAsia" w:hAnsi="Cambria Math" w:cs="Calibri"/>
                      <w:b/>
                      <w:i/>
                      <w:sz w:val="18"/>
                      <w:szCs w:val="18"/>
                    </w:rPr>
                  </m:ctrlPr>
                </m:sSubSupPr>
                <m:e>
                  <m:r>
                    <m:rPr>
                      <m:nor/>
                    </m:rPr>
                    <w:rPr>
                      <w:rFonts w:ascii="Calibri" w:eastAsiaTheme="minorEastAsia" w:hAnsi="Calibri" w:cs="Calibri"/>
                      <w:b/>
                      <w:sz w:val="18"/>
                      <w:szCs w:val="18"/>
                    </w:rPr>
                    <m:t>p</m:t>
                  </m:r>
                </m:e>
                <m:sub>
                  <m:r>
                    <m:rPr>
                      <m:nor/>
                    </m:rPr>
                    <w:rPr>
                      <w:rFonts w:ascii="Calibri" w:eastAsiaTheme="minorEastAsia" w:hAnsi="Calibri" w:cs="Calibri"/>
                      <w:b/>
                      <w:sz w:val="18"/>
                      <w:szCs w:val="18"/>
                    </w:rPr>
                    <m:t>t</m:t>
                  </m:r>
                </m:sub>
                <m:sup>
                  <m:r>
                    <m:rPr>
                      <m:nor/>
                    </m:rPr>
                    <w:rPr>
                      <w:rFonts w:ascii="Calibri" w:eastAsiaTheme="minorEastAsia" w:hAnsi="Calibri" w:cs="Calibri"/>
                      <w:b/>
                      <w:sz w:val="18"/>
                      <w:szCs w:val="18"/>
                    </w:rPr>
                    <m:t>i</m:t>
                  </m:r>
                </m:sup>
              </m:sSubSup>
              <m:r>
                <m:rPr>
                  <m:nor/>
                </m:rPr>
                <w:rPr>
                  <w:rFonts w:ascii="Calibri" w:eastAsiaTheme="minorEastAsia" w:hAnsi="Calibri" w:cs="Calibri"/>
                  <w:b/>
                  <w:sz w:val="18"/>
                  <w:szCs w:val="18"/>
                </w:rPr>
                <m:t>=</m:t>
              </m:r>
              <m:nary>
                <m:naryPr>
                  <m:chr m:val="∑"/>
                  <m:limLoc m:val="undOvr"/>
                  <m:ctrlPr>
                    <w:rPr>
                      <w:rFonts w:ascii="Cambria Math" w:hAnsi="Cambria Math" w:cs="Calibri"/>
                      <w:b/>
                      <w:i/>
                      <w:sz w:val="18"/>
                      <w:szCs w:val="18"/>
                    </w:rPr>
                  </m:ctrlPr>
                </m:naryPr>
                <m:sub>
                  <m:r>
                    <m:rPr>
                      <m:nor/>
                    </m:rPr>
                    <w:rPr>
                      <w:rFonts w:ascii="Calibri" w:hAnsi="Calibri" w:cs="Calibri"/>
                      <w:b/>
                      <w:sz w:val="18"/>
                      <w:szCs w:val="18"/>
                    </w:rPr>
                    <m:t>j=1</m:t>
                  </m:r>
                </m:sub>
                <m:sup>
                  <m:r>
                    <m:rPr>
                      <m:sty m:val="bi"/>
                    </m:rPr>
                    <w:rPr>
                      <w:rFonts w:ascii="Cambria Math" w:hAnsi="Cambria Math" w:cs="Calibri"/>
                      <w:sz w:val="18"/>
                      <w:szCs w:val="18"/>
                    </w:rPr>
                    <m:t>t</m:t>
                  </m:r>
                </m:sup>
                <m:e>
                  <m:d>
                    <m:dPr>
                      <m:begChr m:val="["/>
                      <m:endChr m:val="]"/>
                      <m:ctrlPr>
                        <w:rPr>
                          <w:rFonts w:ascii="Cambria Math" w:hAnsi="Cambria Math" w:cs="Calibri"/>
                          <w:b/>
                          <w:sz w:val="18"/>
                          <w:szCs w:val="18"/>
                        </w:rPr>
                      </m:ctrlPr>
                    </m:dPr>
                    <m:e>
                      <m:r>
                        <m:rPr>
                          <m:sty m:val="b"/>
                        </m:rPr>
                        <w:rPr>
                          <w:rFonts w:ascii="Cambria Math" w:hAnsi="Cambria Math" w:cs="Calibri"/>
                          <w:sz w:val="18"/>
                          <w:szCs w:val="18"/>
                        </w:rPr>
                        <m:t>q</m:t>
                      </m:r>
                      <m:r>
                        <m:rPr>
                          <m:nor/>
                        </m:rPr>
                        <w:rPr>
                          <w:rFonts w:ascii="Calibri" w:hAnsi="Calibri" w:cs="Calibri"/>
                          <w:b/>
                          <w:sz w:val="18"/>
                          <w:szCs w:val="18"/>
                          <w:vertAlign w:val="subscript"/>
                        </w:rPr>
                        <m:t>j</m:t>
                      </m:r>
                      <m:r>
                        <m:rPr>
                          <m:nor/>
                        </m:rPr>
                        <w:rPr>
                          <w:rFonts w:ascii="Calibri" w:hAnsi="Calibri" w:cs="Calibri"/>
                          <w:b/>
                          <w:sz w:val="18"/>
                          <w:szCs w:val="18"/>
                        </w:rPr>
                        <m:t>pop</m:t>
                      </m:r>
                      <m:r>
                        <m:rPr>
                          <m:nor/>
                        </m:rPr>
                        <w:rPr>
                          <w:rFonts w:ascii="Calibri" w:hAnsi="Calibri" w:cs="Calibri"/>
                          <w:b/>
                          <w:sz w:val="18"/>
                          <w:szCs w:val="18"/>
                          <w:vertAlign w:val="subscript"/>
                        </w:rPr>
                        <m:t>j</m:t>
                      </m:r>
                      <m:r>
                        <m:rPr>
                          <m:nor/>
                        </m:rPr>
                        <w:rPr>
                          <w:rFonts w:ascii="Calibri" w:hAnsi="Calibri" w:cs="Calibri"/>
                          <w:b/>
                          <w:sz w:val="18"/>
                          <w:szCs w:val="18"/>
                          <w:vertAlign w:val="superscript"/>
                        </w:rPr>
                        <m:t>t</m:t>
                      </m:r>
                    </m:e>
                  </m:d>
                </m:e>
              </m:nary>
            </m:oMath>
          </w:p>
          <w:p w14:paraId="1D17724A" w14:textId="77777777" w:rsidR="00931CC1" w:rsidRPr="008F0AA2" w:rsidRDefault="00931CC1" w:rsidP="005047C7">
            <w:pPr>
              <w:cnfStyle w:val="000000000000" w:firstRow="0" w:lastRow="0" w:firstColumn="0" w:lastColumn="0" w:oddVBand="0" w:evenVBand="0" w:oddHBand="0" w:evenHBand="0" w:firstRowFirstColumn="0" w:firstRowLastColumn="0" w:lastRowFirstColumn="0" w:lastRowLastColumn="0"/>
              <w:rPr>
                <w:rFonts w:ascii="Calibri" w:eastAsiaTheme="minorEastAsia" w:hAnsi="Calibri" w:cs="Calibri"/>
                <w:b/>
                <w:i/>
                <w:sz w:val="18"/>
                <w:szCs w:val="18"/>
              </w:rPr>
            </w:pPr>
          </w:p>
        </w:tc>
        <w:tc>
          <w:tcPr>
            <w:tcW w:w="4399" w:type="dxa"/>
            <w:gridSpan w:val="2"/>
          </w:tcPr>
          <w:p w14:paraId="27884778" w14:textId="77777777" w:rsidR="00931CC1" w:rsidRPr="008F0AA2" w:rsidRDefault="00931CC1" w:rsidP="005047C7">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8F0AA2">
              <w:rPr>
                <w:rFonts w:ascii="Calibri" w:eastAsiaTheme="minorEastAsia" w:hAnsi="Calibri" w:cs="Calibri"/>
                <w:b/>
                <w:bCs/>
                <w:sz w:val="18"/>
                <w:szCs w:val="18"/>
              </w:rPr>
              <w:t xml:space="preserve">t </w:t>
            </w:r>
            <w:r w:rsidRPr="008F0AA2">
              <w:rPr>
                <w:rFonts w:ascii="Calibri" w:eastAsiaTheme="minorEastAsia" w:hAnsi="Calibri" w:cs="Calibri"/>
                <w:sz w:val="18"/>
                <w:szCs w:val="18"/>
              </w:rPr>
              <w:t>= current year</w:t>
            </w:r>
          </w:p>
          <w:p w14:paraId="322A7E1E" w14:textId="77777777" w:rsidR="00931CC1" w:rsidRPr="008F0AA2" w:rsidRDefault="00931CC1" w:rsidP="005047C7">
            <w:pPr>
              <w:cnfStyle w:val="000000000000" w:firstRow="0" w:lastRow="0" w:firstColumn="0" w:lastColumn="0" w:oddVBand="0" w:evenVBand="0" w:oddHBand="0" w:evenHBand="0" w:firstRowFirstColumn="0" w:firstRowLastColumn="0" w:lastRowFirstColumn="0" w:lastRowLastColumn="0"/>
              <w:rPr>
                <w:rFonts w:ascii="Calibri" w:eastAsiaTheme="minorEastAsia" w:hAnsi="Calibri" w:cs="Calibri"/>
                <w:sz w:val="18"/>
                <w:szCs w:val="18"/>
              </w:rPr>
            </w:pPr>
            <w:r w:rsidRPr="008F0AA2">
              <w:rPr>
                <w:rFonts w:ascii="Calibri" w:eastAsiaTheme="minorEastAsia" w:hAnsi="Calibri" w:cs="Calibri"/>
                <w:b/>
                <w:bCs/>
                <w:sz w:val="18"/>
                <w:szCs w:val="18"/>
              </w:rPr>
              <w:t xml:space="preserve">n </w:t>
            </w:r>
            <w:r w:rsidRPr="008F0AA2">
              <w:rPr>
                <w:rFonts w:ascii="Calibri" w:eastAsiaTheme="minorEastAsia" w:hAnsi="Calibri" w:cs="Calibri"/>
                <w:sz w:val="18"/>
                <w:szCs w:val="18"/>
              </w:rPr>
              <w:t>= length of time analysed (25 or 50 years)</w:t>
            </w:r>
          </w:p>
          <w:p w14:paraId="23350F3B" w14:textId="77777777" w:rsidR="00931CC1" w:rsidRPr="008F0AA2" w:rsidRDefault="00931CC1" w:rsidP="005047C7">
            <w:pPr>
              <w:cnfStyle w:val="000000000000" w:firstRow="0" w:lastRow="0" w:firstColumn="0" w:lastColumn="0" w:oddVBand="0" w:evenVBand="0" w:oddHBand="0" w:evenHBand="0" w:firstRowFirstColumn="0" w:firstRowLastColumn="0" w:lastRowFirstColumn="0" w:lastRowLastColumn="0"/>
              <w:rPr>
                <w:rFonts w:ascii="Calibri" w:eastAsiaTheme="minorEastAsia" w:hAnsi="Calibri" w:cs="Calibri"/>
                <w:sz w:val="18"/>
                <w:szCs w:val="18"/>
              </w:rPr>
            </w:pPr>
            <w:r w:rsidRPr="008F0AA2">
              <w:rPr>
                <w:rFonts w:ascii="Calibri" w:eastAsiaTheme="minorEastAsia" w:hAnsi="Calibri" w:cs="Calibri"/>
                <w:b/>
                <w:bCs/>
                <w:sz w:val="18"/>
                <w:szCs w:val="18"/>
              </w:rPr>
              <w:t>P</w:t>
            </w:r>
            <w:r w:rsidRPr="008F0AA2">
              <w:rPr>
                <w:rFonts w:ascii="Calibri" w:eastAsiaTheme="minorEastAsia" w:hAnsi="Calibri" w:cs="Calibri"/>
                <w:b/>
                <w:bCs/>
                <w:sz w:val="18"/>
                <w:szCs w:val="18"/>
                <w:vertAlign w:val="subscript"/>
              </w:rPr>
              <w:t>t</w:t>
            </w:r>
            <w:r w:rsidRPr="008F0AA2">
              <w:rPr>
                <w:rFonts w:ascii="Calibri" w:eastAsiaTheme="minorEastAsia" w:hAnsi="Calibri" w:cs="Calibri"/>
                <w:sz w:val="18"/>
                <w:szCs w:val="18"/>
                <w:vertAlign w:val="subscript"/>
              </w:rPr>
              <w:t xml:space="preserve"> </w:t>
            </w:r>
            <w:r w:rsidRPr="008F0AA2">
              <w:rPr>
                <w:rFonts w:ascii="Calibri" w:eastAsiaTheme="minorEastAsia" w:hAnsi="Calibri" w:cs="Calibri"/>
                <w:sz w:val="18"/>
                <w:szCs w:val="18"/>
              </w:rPr>
              <w:t>= total number saved from blindness by OCP up to time ‘t’ in Senegambia (P</w:t>
            </w:r>
            <w:r w:rsidRPr="008F0AA2">
              <w:rPr>
                <w:rFonts w:ascii="Calibri" w:eastAsiaTheme="minorEastAsia" w:hAnsi="Calibri" w:cs="Calibri"/>
                <w:sz w:val="18"/>
                <w:szCs w:val="18"/>
                <w:vertAlign w:val="subscript"/>
              </w:rPr>
              <w:t>t</w:t>
            </w:r>
            <w:r w:rsidRPr="008F0AA2">
              <w:rPr>
                <w:rFonts w:ascii="Calibri" w:eastAsiaTheme="minorEastAsia" w:hAnsi="Calibri" w:cs="Calibri"/>
                <w:sz w:val="18"/>
                <w:szCs w:val="18"/>
                <w:vertAlign w:val="superscript"/>
              </w:rPr>
              <w:t>sg</w:t>
            </w:r>
            <w:r w:rsidRPr="008F0AA2">
              <w:rPr>
                <w:rFonts w:ascii="Calibri" w:eastAsiaTheme="minorEastAsia" w:hAnsi="Calibri" w:cs="Calibri"/>
                <w:sz w:val="18"/>
                <w:szCs w:val="18"/>
              </w:rPr>
              <w:t>) and the original OCP area (P</w:t>
            </w:r>
            <w:r w:rsidRPr="008F0AA2">
              <w:rPr>
                <w:rFonts w:ascii="Calibri" w:eastAsiaTheme="minorEastAsia" w:hAnsi="Calibri" w:cs="Calibri"/>
                <w:sz w:val="18"/>
                <w:szCs w:val="18"/>
                <w:vertAlign w:val="subscript"/>
              </w:rPr>
              <w:t>t</w:t>
            </w:r>
            <w:r w:rsidRPr="008F0AA2">
              <w:rPr>
                <w:rFonts w:ascii="Calibri" w:eastAsiaTheme="minorEastAsia" w:hAnsi="Calibri" w:cs="Calibri"/>
                <w:sz w:val="18"/>
                <w:szCs w:val="18"/>
                <w:vertAlign w:val="superscript"/>
              </w:rPr>
              <w:t>old</w:t>
            </w:r>
            <w:r w:rsidRPr="008F0AA2">
              <w:rPr>
                <w:rFonts w:ascii="Calibri" w:eastAsiaTheme="minorEastAsia" w:hAnsi="Calibri" w:cs="Calibri"/>
                <w:sz w:val="18"/>
                <w:szCs w:val="18"/>
              </w:rPr>
              <w:t xml:space="preserve">) </w:t>
            </w:r>
          </w:p>
          <w:p w14:paraId="4596051A" w14:textId="77777777" w:rsidR="00931CC1" w:rsidRPr="008F0AA2" w:rsidRDefault="00931CC1" w:rsidP="005047C7">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8F0AA2">
              <w:rPr>
                <w:rFonts w:ascii="Calibri" w:eastAsiaTheme="minorEastAsia" w:hAnsi="Calibri" w:cs="Calibri"/>
                <w:b/>
                <w:bCs/>
                <w:sz w:val="18"/>
                <w:szCs w:val="18"/>
              </w:rPr>
              <w:t xml:space="preserve">v </w:t>
            </w:r>
            <w:r w:rsidRPr="008F0AA2">
              <w:rPr>
                <w:rFonts w:ascii="Calibri" w:eastAsiaTheme="minorEastAsia" w:hAnsi="Calibri" w:cs="Calibri"/>
                <w:sz w:val="18"/>
                <w:szCs w:val="18"/>
              </w:rPr>
              <w:t>= value of output per worker (est. $57-107 in 1978 USD)</w:t>
            </w:r>
          </w:p>
          <w:p w14:paraId="274E98E7" w14:textId="77777777" w:rsidR="00931CC1" w:rsidRPr="008F0AA2" w:rsidRDefault="00931CC1" w:rsidP="005047C7">
            <w:pPr>
              <w:cnfStyle w:val="000000000000" w:firstRow="0" w:lastRow="0" w:firstColumn="0" w:lastColumn="0" w:oddVBand="0" w:evenVBand="0" w:oddHBand="0" w:evenHBand="0" w:firstRowFirstColumn="0" w:firstRowLastColumn="0" w:lastRowFirstColumn="0" w:lastRowLastColumn="0"/>
              <w:rPr>
                <w:rFonts w:ascii="Calibri" w:eastAsiaTheme="minorEastAsia" w:hAnsi="Calibri" w:cs="Calibri"/>
                <w:sz w:val="18"/>
                <w:szCs w:val="18"/>
              </w:rPr>
            </w:pPr>
            <w:r w:rsidRPr="008F0AA2">
              <w:rPr>
                <w:rFonts w:ascii="Calibri" w:eastAsiaTheme="minorEastAsia" w:hAnsi="Calibri" w:cs="Calibri"/>
                <w:b/>
                <w:bCs/>
                <w:sz w:val="18"/>
                <w:szCs w:val="18"/>
              </w:rPr>
              <w:t xml:space="preserve">r </w:t>
            </w:r>
            <w:r w:rsidRPr="008F0AA2">
              <w:rPr>
                <w:rFonts w:ascii="Calibri" w:eastAsiaTheme="minorEastAsia" w:hAnsi="Calibri" w:cs="Calibri"/>
                <w:sz w:val="18"/>
                <w:szCs w:val="18"/>
              </w:rPr>
              <w:t>= growth rate of the marginal product of labor (est. 1-3%/year)</w:t>
            </w:r>
          </w:p>
          <w:p w14:paraId="0D4CA353" w14:textId="77777777" w:rsidR="00931CC1" w:rsidRPr="008F0AA2" w:rsidRDefault="00931CC1" w:rsidP="005047C7">
            <w:pPr>
              <w:cnfStyle w:val="000000000000" w:firstRow="0" w:lastRow="0" w:firstColumn="0" w:lastColumn="0" w:oddVBand="0" w:evenVBand="0" w:oddHBand="0" w:evenHBand="0" w:firstRowFirstColumn="0" w:firstRowLastColumn="0" w:lastRowFirstColumn="0" w:lastRowLastColumn="0"/>
              <w:rPr>
                <w:rFonts w:ascii="Calibri" w:eastAsiaTheme="minorEastAsia" w:hAnsi="Calibri" w:cs="Calibri"/>
                <w:sz w:val="18"/>
                <w:szCs w:val="18"/>
              </w:rPr>
            </w:pPr>
            <w:r w:rsidRPr="008F0AA2">
              <w:rPr>
                <w:rFonts w:ascii="Calibri" w:eastAsiaTheme="minorEastAsia" w:hAnsi="Calibri" w:cs="Calibri"/>
                <w:b/>
                <w:bCs/>
                <w:sz w:val="18"/>
                <w:szCs w:val="18"/>
              </w:rPr>
              <w:t xml:space="preserve">d </w:t>
            </w:r>
            <w:r w:rsidRPr="008F0AA2">
              <w:rPr>
                <w:rFonts w:ascii="Calibri" w:eastAsiaTheme="minorEastAsia" w:hAnsi="Calibri" w:cs="Calibri"/>
                <w:sz w:val="18"/>
                <w:szCs w:val="18"/>
              </w:rPr>
              <w:t>= discount rate (3-15%)</w:t>
            </w:r>
          </w:p>
        </w:tc>
      </w:tr>
      <w:tr w:rsidR="00931CC1" w:rsidRPr="00A32897" w14:paraId="053ABF7D" w14:textId="77777777" w:rsidTr="005047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4EE21C58" w14:textId="77777777" w:rsidR="00931CC1" w:rsidRPr="008F0AA2" w:rsidRDefault="00931CC1" w:rsidP="005047C7">
            <w:pPr>
              <w:rPr>
                <w:rFonts w:ascii="Calibri" w:hAnsi="Calibri" w:cs="Calibri"/>
                <w:i/>
                <w:iCs/>
                <w:sz w:val="18"/>
                <w:szCs w:val="18"/>
              </w:rPr>
            </w:pPr>
            <w:r w:rsidRPr="008F0AA2">
              <w:rPr>
                <w:rFonts w:ascii="Calibri" w:hAnsi="Calibri" w:cs="Calibri"/>
                <w:i/>
                <w:iCs/>
                <w:sz w:val="18"/>
                <w:szCs w:val="18"/>
              </w:rPr>
              <w:t>New 1989 NPV (Land)</w:t>
            </w:r>
          </w:p>
        </w:tc>
        <w:tc>
          <w:tcPr>
            <w:tcW w:w="3827" w:type="dxa"/>
          </w:tcPr>
          <w:p w14:paraId="536638BB" w14:textId="77777777" w:rsidR="00931CC1" w:rsidRPr="008F0AA2" w:rsidRDefault="00573B45" w:rsidP="005047C7">
            <w:pPr>
              <w:cnfStyle w:val="000000100000" w:firstRow="0" w:lastRow="0" w:firstColumn="0" w:lastColumn="0" w:oddVBand="0" w:evenVBand="0" w:oddHBand="1" w:evenHBand="0" w:firstRowFirstColumn="0" w:firstRowLastColumn="0" w:lastRowFirstColumn="0" w:lastRowLastColumn="0"/>
              <w:rPr>
                <w:rFonts w:ascii="Calibri" w:eastAsiaTheme="minorEastAsia" w:hAnsi="Calibri" w:cs="Calibri"/>
                <w:b/>
                <w:i/>
                <w:sz w:val="18"/>
                <w:szCs w:val="18"/>
              </w:rPr>
            </w:pPr>
            <m:oMathPara>
              <m:oMath>
                <m:nary>
                  <m:naryPr>
                    <m:chr m:val="∑"/>
                    <m:limLoc m:val="subSup"/>
                    <m:grow m:val="1"/>
                    <m:ctrlPr>
                      <w:rPr>
                        <w:rFonts w:ascii="Cambria Math" w:hAnsi="Cambria Math" w:cs="Calibri"/>
                        <w:b/>
                        <w:i/>
                        <w:sz w:val="18"/>
                        <w:szCs w:val="18"/>
                      </w:rPr>
                    </m:ctrlPr>
                  </m:naryPr>
                  <m:sub>
                    <m:r>
                      <m:rPr>
                        <m:nor/>
                      </m:rPr>
                      <w:rPr>
                        <w:rFonts w:ascii="Calibri" w:hAnsi="Calibri" w:cs="Calibri"/>
                        <w:b/>
                        <w:sz w:val="18"/>
                        <w:szCs w:val="18"/>
                      </w:rPr>
                      <m:t>t=1</m:t>
                    </m:r>
                  </m:sub>
                  <m:sup>
                    <m:r>
                      <m:rPr>
                        <m:nor/>
                      </m:rPr>
                      <w:rPr>
                        <w:rFonts w:ascii="Calibri" w:hAnsi="Calibri" w:cs="Calibri"/>
                        <w:b/>
                        <w:sz w:val="18"/>
                        <w:szCs w:val="18"/>
                      </w:rPr>
                      <m:t>n</m:t>
                    </m:r>
                  </m:sup>
                  <m:e>
                    <m:eqArr>
                      <m:eqArrPr>
                        <m:ctrlPr>
                          <w:rPr>
                            <w:rFonts w:ascii="Cambria Math" w:hAnsi="Cambria Math" w:cs="Calibri"/>
                            <w:b/>
                            <w:sz w:val="18"/>
                            <w:szCs w:val="18"/>
                          </w:rPr>
                        </m:ctrlPr>
                      </m:eqArrPr>
                      <m:e>
                        <m:r>
                          <m:rPr>
                            <m:nor/>
                          </m:rPr>
                          <w:rPr>
                            <w:rFonts w:ascii="Calibri" w:hAnsi="Calibri" w:cs="Calibri"/>
                            <w:b/>
                            <w:sz w:val="18"/>
                            <w:szCs w:val="18"/>
                          </w:rPr>
                          <m:t>[new</m:t>
                        </m:r>
                        <m:r>
                          <m:rPr>
                            <m:nor/>
                          </m:rPr>
                          <w:rPr>
                            <w:rFonts w:ascii="Calibri" w:hAnsi="Calibri" w:cs="Calibri"/>
                            <w:b/>
                            <w:sz w:val="18"/>
                            <w:szCs w:val="18"/>
                            <w:vertAlign w:val="subscript"/>
                          </w:rPr>
                          <m:t>t</m:t>
                        </m:r>
                        <m:r>
                          <m:rPr>
                            <m:nor/>
                          </m:rPr>
                          <w:rPr>
                            <w:rFonts w:ascii="Calibri" w:hAnsi="Calibri" w:cs="Calibri"/>
                            <w:b/>
                            <w:sz w:val="18"/>
                            <w:szCs w:val="18"/>
                          </w:rPr>
                          <m:t>(4/9) - P</m:t>
                        </m:r>
                        <m:r>
                          <m:rPr>
                            <m:nor/>
                          </m:rPr>
                          <w:rPr>
                            <w:rFonts w:ascii="Calibri" w:hAnsi="Calibri" w:cs="Calibri"/>
                            <w:b/>
                            <w:sz w:val="18"/>
                            <w:szCs w:val="18"/>
                            <w:vertAlign w:val="subscript"/>
                          </w:rPr>
                          <m:t>t</m:t>
                        </m:r>
                        <m:r>
                          <m:rPr>
                            <m:nor/>
                          </m:rPr>
                          <w:rPr>
                            <w:rFonts w:ascii="Calibri" w:hAnsi="Calibri" w:cs="Calibri"/>
                            <w:b/>
                            <w:sz w:val="18"/>
                            <w:szCs w:val="18"/>
                            <w:vertAlign w:val="superscript"/>
                          </w:rPr>
                          <m:t xml:space="preserve">sg </m:t>
                        </m:r>
                        <m:r>
                          <m:rPr>
                            <m:nor/>
                          </m:rPr>
                          <w:rPr>
                            <w:rFonts w:ascii="Calibri" w:hAnsi="Calibri" w:cs="Calibri"/>
                            <w:b/>
                            <w:sz w:val="18"/>
                            <w:szCs w:val="18"/>
                          </w:rPr>
                          <m:t>+ P</m:t>
                        </m:r>
                        <m:r>
                          <m:rPr>
                            <m:nor/>
                          </m:rPr>
                          <w:rPr>
                            <w:rFonts w:ascii="Calibri" w:hAnsi="Calibri" w:cs="Calibri"/>
                            <w:b/>
                            <w:sz w:val="18"/>
                            <w:szCs w:val="18"/>
                            <w:vertAlign w:val="subscript"/>
                          </w:rPr>
                          <m:t>t</m:t>
                        </m:r>
                        <m:r>
                          <m:rPr>
                            <m:nor/>
                          </m:rPr>
                          <w:rPr>
                            <w:rFonts w:ascii="Calibri" w:hAnsi="Calibri" w:cs="Calibri"/>
                            <w:b/>
                            <w:sz w:val="18"/>
                            <w:szCs w:val="18"/>
                            <w:vertAlign w:val="superscript"/>
                          </w:rPr>
                          <m:t>old</m:t>
                        </m:r>
                        <m:r>
                          <m:rPr>
                            <m:nor/>
                          </m:rPr>
                          <w:rPr>
                            <w:rFonts w:ascii="Calibri" w:hAnsi="Calibri" w:cs="Calibri"/>
                            <w:b/>
                            <w:sz w:val="18"/>
                            <w:szCs w:val="18"/>
                          </w:rPr>
                          <m:t xml:space="preserve">] x  </m:t>
                        </m:r>
                      </m:e>
                      <m:e>
                        <m:r>
                          <m:rPr>
                            <m:nor/>
                          </m:rPr>
                          <w:rPr>
                            <w:rFonts w:ascii="Calibri" w:hAnsi="Calibri" w:cs="Calibri"/>
                            <w:b/>
                            <w:sz w:val="18"/>
                            <w:szCs w:val="18"/>
                          </w:rPr>
                          <m:t>dif/(1+d)</m:t>
                        </m:r>
                        <m:r>
                          <m:rPr>
                            <m:nor/>
                          </m:rPr>
                          <w:rPr>
                            <w:rFonts w:ascii="Calibri" w:hAnsi="Calibri" w:cs="Calibri"/>
                            <w:b/>
                            <w:sz w:val="18"/>
                            <w:szCs w:val="18"/>
                            <w:vertAlign w:val="superscript"/>
                          </w:rPr>
                          <m:t>t</m:t>
                        </m:r>
                        <m:ctrlPr>
                          <w:rPr>
                            <w:rFonts w:ascii="Cambria Math" w:hAnsi="Cambria Math" w:cs="Calibri"/>
                            <w:b/>
                            <w:sz w:val="18"/>
                            <w:szCs w:val="18"/>
                            <w:vertAlign w:val="superscript"/>
                          </w:rPr>
                        </m:ctrlPr>
                      </m:e>
                    </m:eqArr>
                  </m:e>
                </m:nary>
                <m:r>
                  <m:rPr>
                    <m:nor/>
                  </m:rPr>
                  <w:rPr>
                    <w:rFonts w:ascii="Calibri" w:hAnsi="Calibri" w:cs="Calibri"/>
                    <w:b/>
                    <w:sz w:val="18"/>
                    <w:szCs w:val="18"/>
                  </w:rPr>
                  <m:t xml:space="preserve"> </m:t>
                </m:r>
              </m:oMath>
            </m:oMathPara>
          </w:p>
          <w:p w14:paraId="139B32D5" w14:textId="77777777" w:rsidR="00931CC1" w:rsidRPr="008F0AA2" w:rsidRDefault="00931CC1" w:rsidP="005047C7">
            <w:pPr>
              <w:cnfStyle w:val="000000100000" w:firstRow="0" w:lastRow="0" w:firstColumn="0" w:lastColumn="0" w:oddVBand="0" w:evenVBand="0" w:oddHBand="1" w:evenHBand="0" w:firstRowFirstColumn="0" w:firstRowLastColumn="0" w:lastRowFirstColumn="0" w:lastRowLastColumn="0"/>
              <w:rPr>
                <w:rFonts w:ascii="Calibri" w:eastAsiaTheme="minorEastAsia" w:hAnsi="Calibri" w:cs="Calibri"/>
                <w:b/>
                <w:i/>
                <w:sz w:val="18"/>
                <w:szCs w:val="18"/>
              </w:rPr>
            </w:pPr>
          </w:p>
          <w:p w14:paraId="43F9C123" w14:textId="77777777" w:rsidR="00931CC1" w:rsidRPr="008F0AA2"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m:oMathPara>
              <m:oMath>
                <m:r>
                  <m:rPr>
                    <m:nor/>
                  </m:rPr>
                  <w:rPr>
                    <w:rFonts w:ascii="Calibri" w:hAnsi="Calibri" w:cs="Calibri"/>
                    <w:b/>
                    <w:sz w:val="18"/>
                    <w:szCs w:val="18"/>
                  </w:rPr>
                  <m:t xml:space="preserve">       where new</m:t>
                </m:r>
                <m:r>
                  <m:rPr>
                    <m:nor/>
                  </m:rPr>
                  <w:rPr>
                    <w:rFonts w:ascii="Calibri" w:hAnsi="Calibri" w:cs="Calibri"/>
                    <w:b/>
                    <w:sz w:val="18"/>
                    <w:szCs w:val="18"/>
                    <w:vertAlign w:val="subscript"/>
                  </w:rPr>
                  <m:t>t =</m:t>
                </m:r>
                <m:r>
                  <m:rPr>
                    <m:sty m:val="bi"/>
                  </m:rPr>
                  <w:rPr>
                    <w:rFonts w:ascii="Cambria Math" w:hAnsi="Cambria Math" w:cs="Calibri"/>
                    <w:sz w:val="18"/>
                    <w:szCs w:val="18"/>
                  </w:rPr>
                  <m:t xml:space="preserve"> </m:t>
                </m:r>
                <m:nary>
                  <m:naryPr>
                    <m:chr m:val="∑"/>
                    <m:limLoc m:val="subSup"/>
                    <m:grow m:val="1"/>
                    <m:ctrlPr>
                      <w:rPr>
                        <w:rFonts w:ascii="Cambria Math" w:hAnsi="Cambria Math" w:cs="Calibri"/>
                        <w:b/>
                        <w:i/>
                        <w:sz w:val="18"/>
                        <w:szCs w:val="18"/>
                      </w:rPr>
                    </m:ctrlPr>
                  </m:naryPr>
                  <m:sub>
                    <m:r>
                      <m:rPr>
                        <m:nor/>
                      </m:rPr>
                      <w:rPr>
                        <w:rFonts w:ascii="Calibri" w:hAnsi="Calibri" w:cs="Calibri"/>
                        <w:b/>
                        <w:sz w:val="18"/>
                        <w:szCs w:val="18"/>
                      </w:rPr>
                      <m:t>j=1</m:t>
                    </m:r>
                  </m:sub>
                  <m:sup>
                    <m:r>
                      <m:rPr>
                        <m:nor/>
                      </m:rPr>
                      <w:rPr>
                        <w:rFonts w:ascii="Calibri" w:hAnsi="Calibri" w:cs="Calibri"/>
                        <w:b/>
                        <w:sz w:val="18"/>
                        <w:szCs w:val="18"/>
                      </w:rPr>
                      <m:t>t</m:t>
                    </m:r>
                  </m:sup>
                  <m:e>
                    <m:r>
                      <m:rPr>
                        <m:nor/>
                      </m:rPr>
                      <w:rPr>
                        <w:rFonts w:ascii="Calibri" w:hAnsi="Calibri" w:cs="Calibri"/>
                        <w:b/>
                        <w:sz w:val="18"/>
                        <w:szCs w:val="18"/>
                      </w:rPr>
                      <m:t>0.01620 x total</m:t>
                    </m:r>
                  </m:e>
                </m:nary>
              </m:oMath>
            </m:oMathPara>
          </w:p>
        </w:tc>
        <w:tc>
          <w:tcPr>
            <w:tcW w:w="4399" w:type="dxa"/>
            <w:gridSpan w:val="2"/>
          </w:tcPr>
          <w:p w14:paraId="5F73388D" w14:textId="77777777" w:rsidR="00931CC1" w:rsidRPr="008F0AA2"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i/>
                <w:iCs/>
                <w:sz w:val="18"/>
                <w:szCs w:val="18"/>
              </w:rPr>
            </w:pPr>
            <w:r w:rsidRPr="008F0AA2">
              <w:rPr>
                <w:rFonts w:ascii="Calibri" w:hAnsi="Calibri" w:cs="Calibri"/>
                <w:i/>
                <w:iCs/>
                <w:sz w:val="18"/>
                <w:szCs w:val="18"/>
              </w:rPr>
              <w:t>With the same variables as NPV (Labour) 1989, except:</w:t>
            </w:r>
          </w:p>
          <w:p w14:paraId="624D5515" w14:textId="77777777" w:rsidR="00931CC1" w:rsidRPr="008F0AA2"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8F0AA2">
              <w:rPr>
                <w:rFonts w:ascii="Calibri" w:hAnsi="Calibri" w:cs="Calibri"/>
                <w:b/>
                <w:bCs/>
                <w:sz w:val="18"/>
                <w:szCs w:val="18"/>
              </w:rPr>
              <w:t xml:space="preserve">dif </w:t>
            </w:r>
            <w:r w:rsidRPr="008F0AA2">
              <w:rPr>
                <w:rFonts w:ascii="Calibri" w:hAnsi="Calibri" w:cs="Calibri"/>
                <w:sz w:val="18"/>
                <w:szCs w:val="18"/>
              </w:rPr>
              <w:t>= income differential between old and new lands (est. $10-30/worker)</w:t>
            </w:r>
          </w:p>
          <w:p w14:paraId="4BC5FAFE" w14:textId="77777777" w:rsidR="00931CC1" w:rsidRPr="008F0AA2"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8F0AA2">
              <w:rPr>
                <w:rFonts w:ascii="Calibri" w:hAnsi="Calibri" w:cs="Calibri"/>
                <w:b/>
                <w:bCs/>
                <w:sz w:val="18"/>
                <w:szCs w:val="18"/>
              </w:rPr>
              <w:t xml:space="preserve">tot </w:t>
            </w:r>
            <w:r w:rsidRPr="008F0AA2">
              <w:rPr>
                <w:rFonts w:ascii="Calibri" w:hAnsi="Calibri" w:cs="Calibri"/>
                <w:sz w:val="18"/>
                <w:szCs w:val="18"/>
              </w:rPr>
              <w:t>– total amount of land freed by OCP (excluding Senegambia extension, est. 99,000 or 182,000 km</w:t>
            </w:r>
            <w:r w:rsidRPr="008F0AA2">
              <w:rPr>
                <w:rFonts w:ascii="Calibri" w:hAnsi="Calibri" w:cs="Calibri"/>
                <w:sz w:val="18"/>
                <w:szCs w:val="18"/>
                <w:vertAlign w:val="superscript"/>
              </w:rPr>
              <w:t>2</w:t>
            </w:r>
            <w:r w:rsidRPr="008F0AA2">
              <w:rPr>
                <w:rFonts w:ascii="Calibri" w:hAnsi="Calibri" w:cs="Calibri"/>
                <w:sz w:val="18"/>
                <w:szCs w:val="18"/>
              </w:rPr>
              <w:t>)</w:t>
            </w:r>
          </w:p>
        </w:tc>
      </w:tr>
    </w:tbl>
    <w:p w14:paraId="103EA259" w14:textId="77777777" w:rsidR="008F0AA2" w:rsidRPr="008F0AA2" w:rsidRDefault="008F0AA2" w:rsidP="008F0AA2">
      <w:bookmarkStart w:id="178" w:name="_Toc29580573"/>
    </w:p>
    <w:bookmarkEnd w:id="178"/>
    <w:p w14:paraId="68E49C2C" w14:textId="1CDFD82D" w:rsidR="00B8225C" w:rsidRDefault="00B8225C" w:rsidP="00B8225C"/>
    <w:p w14:paraId="52750399" w14:textId="54976A8C" w:rsidR="00B8225C" w:rsidRDefault="00B8225C" w:rsidP="00B8225C"/>
    <w:p w14:paraId="4FDF5FC4" w14:textId="4769B30D" w:rsidR="00B8225C" w:rsidRDefault="00B8225C" w:rsidP="00B8225C"/>
    <w:p w14:paraId="3D06D330" w14:textId="49E0ADA1" w:rsidR="00B8225C" w:rsidRDefault="00B8225C" w:rsidP="00B8225C"/>
    <w:p w14:paraId="4B71E77C" w14:textId="6BCA4C65" w:rsidR="00B8225C" w:rsidRDefault="00B8225C" w:rsidP="00B8225C"/>
    <w:p w14:paraId="4AE1C26A" w14:textId="51EC42EF" w:rsidR="00B8225C" w:rsidRDefault="00B8225C" w:rsidP="00B8225C"/>
    <w:p w14:paraId="6FD0B046" w14:textId="34076B63" w:rsidR="00B8225C" w:rsidRDefault="00B8225C" w:rsidP="00B8225C"/>
    <w:p w14:paraId="1BAF757B" w14:textId="353AB239" w:rsidR="00B8225C" w:rsidRDefault="00B8225C" w:rsidP="00B8225C"/>
    <w:p w14:paraId="27D3F393" w14:textId="22C6D385" w:rsidR="00B8225C" w:rsidRDefault="00B8225C" w:rsidP="00B8225C"/>
    <w:p w14:paraId="40AD5D9F" w14:textId="77777777" w:rsidR="00B8225C" w:rsidRDefault="00B8225C" w:rsidP="00B8225C"/>
    <w:p w14:paraId="2D806C29" w14:textId="32C21B57" w:rsidR="00B8225C" w:rsidRDefault="00B8225C" w:rsidP="00B8225C"/>
    <w:p w14:paraId="5B9FA628" w14:textId="16B6264C" w:rsidR="00B8225C" w:rsidRDefault="00B8225C" w:rsidP="00B8225C"/>
    <w:p w14:paraId="64E7FC50" w14:textId="77777777" w:rsidR="00B8225C" w:rsidRPr="00CF189D" w:rsidRDefault="00B8225C" w:rsidP="00CF189D"/>
    <w:p w14:paraId="7ED093E6" w14:textId="71EE946B" w:rsidR="00B8225C" w:rsidRPr="00165407" w:rsidRDefault="00931CC1">
      <w:pPr>
        <w:pStyle w:val="Heading2"/>
        <w:rPr>
          <w:rFonts w:ascii="Calibri" w:hAnsi="Calibri" w:cs="Calibri"/>
        </w:rPr>
      </w:pPr>
      <w:bookmarkStart w:id="179" w:name="_Toc29580574"/>
      <w:r w:rsidRPr="00165407">
        <w:rPr>
          <w:rFonts w:ascii="Calibri" w:hAnsi="Calibri" w:cs="Calibri"/>
          <w:b/>
          <w:bCs/>
          <w:sz w:val="26"/>
          <w:szCs w:val="26"/>
        </w:rPr>
        <w:lastRenderedPageBreak/>
        <w:t xml:space="preserve">Appendix </w:t>
      </w:r>
      <w:r w:rsidR="004A3773" w:rsidRPr="00165407">
        <w:rPr>
          <w:rFonts w:ascii="Calibri" w:hAnsi="Calibri" w:cs="Calibri"/>
          <w:b/>
          <w:bCs/>
          <w:sz w:val="26"/>
          <w:szCs w:val="26"/>
        </w:rPr>
        <w:t>VI</w:t>
      </w:r>
      <w:r w:rsidR="00F8472B" w:rsidRPr="00165407">
        <w:rPr>
          <w:rFonts w:ascii="Calibri" w:hAnsi="Calibri" w:cs="Calibri"/>
          <w:b/>
          <w:bCs/>
          <w:sz w:val="26"/>
          <w:szCs w:val="26"/>
        </w:rPr>
        <w:t>I</w:t>
      </w:r>
      <w:r w:rsidR="004A3773" w:rsidRPr="00165407">
        <w:rPr>
          <w:rFonts w:ascii="Calibri" w:hAnsi="Calibri" w:cs="Calibri"/>
          <w:b/>
          <w:bCs/>
          <w:sz w:val="26"/>
          <w:szCs w:val="26"/>
        </w:rPr>
        <w:t>I</w:t>
      </w:r>
      <w:r w:rsidRPr="00165407">
        <w:rPr>
          <w:rFonts w:ascii="Calibri" w:hAnsi="Calibri" w:cs="Calibri"/>
          <w:b/>
          <w:bCs/>
          <w:sz w:val="26"/>
          <w:szCs w:val="26"/>
        </w:rPr>
        <w:t>. Challenges of tracking onchocerciasis expenditures using archival source</w:t>
      </w:r>
      <w:bookmarkEnd w:id="179"/>
    </w:p>
    <w:p w14:paraId="7A31B3CE" w14:textId="77777777" w:rsidR="00B8225C" w:rsidRPr="00A32897" w:rsidRDefault="00B8225C" w:rsidP="00CF189D">
      <w:pPr>
        <w:pStyle w:val="Heading2"/>
      </w:pPr>
    </w:p>
    <w:p w14:paraId="68BA37F7" w14:textId="09D8AB7C" w:rsidR="00931CC1" w:rsidRDefault="00931CC1" w:rsidP="00CF189D">
      <w:pPr>
        <w:ind w:firstLine="720"/>
        <w:rPr>
          <w:rFonts w:ascii="Calibri" w:hAnsi="Calibri" w:cs="Calibri"/>
          <w:sz w:val="22"/>
          <w:szCs w:val="22"/>
        </w:rPr>
      </w:pPr>
      <w:r w:rsidRPr="00A32897">
        <w:rPr>
          <w:rFonts w:ascii="Calibri" w:hAnsi="Calibri" w:cs="Calibri"/>
          <w:sz w:val="22"/>
          <w:szCs w:val="22"/>
        </w:rPr>
        <w:t xml:space="preserve">First and foremost, the World Bank’s </w:t>
      </w:r>
      <w:r w:rsidR="002F7EC2">
        <w:rPr>
          <w:rFonts w:ascii="Calibri" w:hAnsi="Calibri" w:cs="Calibri"/>
          <w:sz w:val="22"/>
          <w:szCs w:val="22"/>
        </w:rPr>
        <w:t xml:space="preserve">20 year </w:t>
      </w:r>
      <w:r w:rsidRPr="00A32897">
        <w:rPr>
          <w:rFonts w:ascii="Calibri" w:hAnsi="Calibri" w:cs="Calibri"/>
          <w:sz w:val="22"/>
          <w:szCs w:val="22"/>
        </w:rPr>
        <w:t xml:space="preserve">Access to Information restrictions mean that little archival data </w:t>
      </w:r>
      <w:r w:rsidR="002F7EC2">
        <w:rPr>
          <w:rFonts w:ascii="Calibri" w:hAnsi="Calibri" w:cs="Calibri"/>
          <w:sz w:val="22"/>
          <w:szCs w:val="22"/>
        </w:rPr>
        <w:t>wa</w:t>
      </w:r>
      <w:r w:rsidRPr="00A32897">
        <w:rPr>
          <w:rFonts w:ascii="Calibri" w:hAnsi="Calibri" w:cs="Calibri"/>
          <w:sz w:val="22"/>
          <w:szCs w:val="22"/>
        </w:rPr>
        <w:t>s available after 1997.</w:t>
      </w:r>
      <w:r w:rsidRPr="00A32897">
        <w:rPr>
          <w:rStyle w:val="FootnoteReference"/>
          <w:rFonts w:ascii="Calibri" w:hAnsi="Calibri" w:cs="Calibri"/>
          <w:sz w:val="22"/>
          <w:szCs w:val="22"/>
        </w:rPr>
        <w:footnoteReference w:id="1037"/>
      </w:r>
      <w:r w:rsidRPr="00A32897">
        <w:rPr>
          <w:rFonts w:ascii="Calibri" w:hAnsi="Calibri" w:cs="Calibri"/>
          <w:sz w:val="22"/>
          <w:szCs w:val="22"/>
        </w:rPr>
        <w:t xml:space="preserve"> Second, the Bank does not have a single archival collection with Onchocerciasis Fund information; finding aides are not available for folders, financial records are scattered across numerous folders, and the Bank limits the number of folders that researchers can request. Third, the available financial records report commitments and disbursements vary in many different ways. For instance, commitments (cash receipts from donors) are variously tabulated based on the year in which they were received </w:t>
      </w:r>
      <w:r w:rsidRPr="00A32897">
        <w:rPr>
          <w:rFonts w:ascii="Calibri" w:hAnsi="Calibri" w:cs="Calibri"/>
          <w:i/>
          <w:sz w:val="22"/>
          <w:szCs w:val="22"/>
        </w:rPr>
        <w:t xml:space="preserve">or </w:t>
      </w:r>
      <w:r w:rsidRPr="00A32897">
        <w:rPr>
          <w:rFonts w:ascii="Calibri" w:hAnsi="Calibri" w:cs="Calibri"/>
          <w:sz w:val="22"/>
          <w:szCs w:val="22"/>
        </w:rPr>
        <w:t>the year to which they were allocated. Some are given by fiscal year and others by calendar year. They also vary based on whether they were compiled before or after audits, and whether they are restricted to commitments or include interest accrued on these commitments. Furthermore, sometimes commitment information includes only donations designated for the Onchocerciasis Fund, while other times it also includes commitments from the United Nations Development Programme (UNDP)/Organization of Petroleum Exporting Countries (OPEC) Fund and beneficiary countries.</w:t>
      </w:r>
      <w:r w:rsidRPr="00A32897">
        <w:rPr>
          <w:rStyle w:val="FootnoteReference"/>
          <w:rFonts w:ascii="Calibri" w:hAnsi="Calibri" w:cs="Calibri"/>
          <w:sz w:val="22"/>
          <w:szCs w:val="22"/>
        </w:rPr>
        <w:footnoteReference w:id="1038"/>
      </w:r>
      <w:r w:rsidRPr="00A32897">
        <w:rPr>
          <w:rFonts w:ascii="Calibri" w:hAnsi="Calibri" w:cs="Calibri"/>
          <w:sz w:val="22"/>
          <w:szCs w:val="22"/>
        </w:rPr>
        <w:t xml:space="preserve"> Similarly, expenditure data can either be pre- or post-audit. Tracking expenditures is complicated by the fact that expenditures are variously given as net amounts that the Bank transferred from the Fund to the World Health Organization (WHO) for programme implementation each year (roughly equal to the budget for the year) and actual receipts of expenses from the WHO.</w:t>
      </w:r>
    </w:p>
    <w:p w14:paraId="18209D10" w14:textId="747092CE" w:rsidR="00B8225C" w:rsidRDefault="00B8225C" w:rsidP="00CF189D">
      <w:pPr>
        <w:spacing w:line="360" w:lineRule="auto"/>
        <w:rPr>
          <w:rFonts w:ascii="Calibri" w:hAnsi="Calibri" w:cs="Calibri"/>
          <w:sz w:val="22"/>
          <w:szCs w:val="22"/>
        </w:rPr>
      </w:pPr>
      <w:r>
        <w:rPr>
          <w:rFonts w:ascii="Calibri" w:hAnsi="Calibri" w:cs="Calibri"/>
          <w:sz w:val="22"/>
          <w:szCs w:val="22"/>
        </w:rPr>
        <w:br w:type="page"/>
      </w:r>
    </w:p>
    <w:p w14:paraId="7F2FD5B4" w14:textId="1C9EC57A" w:rsidR="00931CC1" w:rsidRPr="00DB3887" w:rsidRDefault="00931CC1" w:rsidP="00931CC1">
      <w:pPr>
        <w:pStyle w:val="Heading2"/>
        <w:rPr>
          <w:rFonts w:ascii="Calibri" w:hAnsi="Calibri" w:cs="Calibri"/>
          <w:b/>
          <w:sz w:val="26"/>
          <w:szCs w:val="26"/>
        </w:rPr>
      </w:pPr>
      <w:bookmarkStart w:id="180" w:name="_Toc29580576"/>
      <w:bookmarkStart w:id="181" w:name="_Toc41505724"/>
      <w:r w:rsidRPr="00DB3887">
        <w:rPr>
          <w:rFonts w:ascii="Calibri" w:hAnsi="Calibri" w:cs="Calibri"/>
          <w:b/>
          <w:sz w:val="26"/>
          <w:szCs w:val="26"/>
        </w:rPr>
        <w:lastRenderedPageBreak/>
        <w:t xml:space="preserve">Appendix </w:t>
      </w:r>
      <w:r w:rsidR="00F8472B">
        <w:rPr>
          <w:rFonts w:ascii="Calibri" w:hAnsi="Calibri" w:cs="Calibri"/>
          <w:b/>
          <w:sz w:val="26"/>
          <w:szCs w:val="26"/>
        </w:rPr>
        <w:t>IX</w:t>
      </w:r>
      <w:r w:rsidRPr="00DB3887">
        <w:rPr>
          <w:rFonts w:ascii="Calibri" w:hAnsi="Calibri" w:cs="Calibri"/>
          <w:b/>
          <w:sz w:val="26"/>
          <w:szCs w:val="26"/>
        </w:rPr>
        <w:t>. The formal mandates and major activities of each sponsoring agency</w:t>
      </w:r>
      <w:bookmarkEnd w:id="180"/>
      <w:bookmarkEnd w:id="181"/>
    </w:p>
    <w:p w14:paraId="692664EE" w14:textId="77777777" w:rsidR="00931CC1" w:rsidRPr="00A32897" w:rsidRDefault="00931CC1" w:rsidP="00931CC1">
      <w:pPr>
        <w:rPr>
          <w:rFonts w:ascii="Calibri" w:hAnsi="Calibri" w:cs="Calibri"/>
          <w:sz w:val="22"/>
          <w:szCs w:val="22"/>
        </w:rPr>
      </w:pPr>
    </w:p>
    <w:tbl>
      <w:tblPr>
        <w:tblStyle w:val="GridTable7Colorful"/>
        <w:tblpPr w:leftFromText="180" w:rightFromText="180" w:vertAnchor="text" w:horzAnchor="page" w:tblpX="1238" w:tblpY="172"/>
        <w:tblW w:w="9351" w:type="dxa"/>
        <w:tblLook w:val="04A0" w:firstRow="1" w:lastRow="0" w:firstColumn="1" w:lastColumn="0" w:noHBand="0" w:noVBand="1"/>
      </w:tblPr>
      <w:tblGrid>
        <w:gridCol w:w="1248"/>
        <w:gridCol w:w="3850"/>
        <w:gridCol w:w="4253"/>
      </w:tblGrid>
      <w:tr w:rsidR="00931CC1" w:rsidRPr="00A32897" w14:paraId="5C17E161" w14:textId="77777777" w:rsidTr="005047C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48" w:type="dxa"/>
          </w:tcPr>
          <w:p w14:paraId="00FAF91F" w14:textId="77777777" w:rsidR="00931CC1" w:rsidRPr="00A32897" w:rsidRDefault="00931CC1" w:rsidP="005047C7">
            <w:pPr>
              <w:rPr>
                <w:rFonts w:ascii="Calibri" w:hAnsi="Calibri" w:cs="Calibri"/>
                <w:sz w:val="18"/>
                <w:szCs w:val="18"/>
              </w:rPr>
            </w:pPr>
            <w:r w:rsidRPr="00A32897">
              <w:rPr>
                <w:rFonts w:ascii="Calibri" w:hAnsi="Calibri" w:cs="Calibri"/>
                <w:sz w:val="18"/>
                <w:szCs w:val="18"/>
              </w:rPr>
              <w:t>Sponsoring Agency</w:t>
            </w:r>
          </w:p>
        </w:tc>
        <w:tc>
          <w:tcPr>
            <w:tcW w:w="3850" w:type="dxa"/>
          </w:tcPr>
          <w:p w14:paraId="3733DB00" w14:textId="77777777" w:rsidR="00931CC1" w:rsidRPr="00A32897" w:rsidRDefault="00931CC1" w:rsidP="005047C7">
            <w:pP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General Mandate</w:t>
            </w:r>
          </w:p>
        </w:tc>
        <w:tc>
          <w:tcPr>
            <w:tcW w:w="4253" w:type="dxa"/>
          </w:tcPr>
          <w:p w14:paraId="5B656671" w14:textId="77777777" w:rsidR="00931CC1" w:rsidRPr="00A32897" w:rsidRDefault="00931CC1" w:rsidP="005047C7">
            <w:pP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Major Functions</w:t>
            </w:r>
          </w:p>
        </w:tc>
      </w:tr>
      <w:tr w:rsidR="00931CC1" w:rsidRPr="00A32897" w14:paraId="222506B9" w14:textId="77777777" w:rsidTr="005047C7">
        <w:trPr>
          <w:cnfStyle w:val="000000100000" w:firstRow="0" w:lastRow="0" w:firstColumn="0" w:lastColumn="0" w:oddVBand="0" w:evenVBand="0" w:oddHBand="1" w:evenHBand="0" w:firstRowFirstColumn="0" w:firstRowLastColumn="0" w:lastRowFirstColumn="0" w:lastRowLastColumn="0"/>
          <w:trHeight w:val="1946"/>
        </w:trPr>
        <w:tc>
          <w:tcPr>
            <w:cnfStyle w:val="001000000000" w:firstRow="0" w:lastRow="0" w:firstColumn="1" w:lastColumn="0" w:oddVBand="0" w:evenVBand="0" w:oddHBand="0" w:evenHBand="0" w:firstRowFirstColumn="0" w:firstRowLastColumn="0" w:lastRowFirstColumn="0" w:lastRowLastColumn="0"/>
            <w:tcW w:w="1248" w:type="dxa"/>
          </w:tcPr>
          <w:p w14:paraId="1B2E2866" w14:textId="77777777" w:rsidR="00931CC1" w:rsidRPr="00A32897" w:rsidRDefault="00931CC1" w:rsidP="005047C7">
            <w:pPr>
              <w:rPr>
                <w:rFonts w:ascii="Calibri" w:hAnsi="Calibri" w:cs="Calibri"/>
                <w:b/>
                <w:sz w:val="18"/>
                <w:szCs w:val="18"/>
              </w:rPr>
            </w:pPr>
            <w:r w:rsidRPr="00A32897">
              <w:rPr>
                <w:rFonts w:ascii="Calibri" w:hAnsi="Calibri" w:cs="Calibri"/>
                <w:b/>
                <w:sz w:val="18"/>
                <w:szCs w:val="18"/>
              </w:rPr>
              <w:t>Food and Agriculture Organization (FAO)</w:t>
            </w:r>
          </w:p>
        </w:tc>
        <w:tc>
          <w:tcPr>
            <w:tcW w:w="3850" w:type="dxa"/>
          </w:tcPr>
          <w:p w14:paraId="54D08295" w14:textId="77777777" w:rsidR="00931CC1" w:rsidRPr="00A32897"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FAO Constitution Preamble (1945):</w:t>
            </w:r>
            <w:r w:rsidRPr="00A32897">
              <w:rPr>
                <w:rStyle w:val="FootnoteReference"/>
                <w:rFonts w:ascii="Calibri" w:hAnsi="Calibri" w:cs="Calibri"/>
              </w:rPr>
              <w:footnoteReference w:id="1039"/>
            </w:r>
          </w:p>
          <w:p w14:paraId="5E2E6A70" w14:textId="77777777" w:rsidR="00931CC1" w:rsidRPr="00A32897" w:rsidRDefault="00931CC1" w:rsidP="00931CC1">
            <w:pPr>
              <w:pStyle w:val="ListParagraph"/>
              <w:numPr>
                <w:ilvl w:val="0"/>
                <w:numId w:val="16"/>
              </w:numPr>
              <w:ind w:left="205" w:hanging="142"/>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32897">
              <w:rPr>
                <w:rFonts w:ascii="Calibri" w:hAnsi="Calibri" w:cs="Calibri"/>
                <w:bCs/>
                <w:sz w:val="18"/>
                <w:szCs w:val="18"/>
              </w:rPr>
              <w:t>Raise the levels of</w:t>
            </w:r>
            <w:r w:rsidRPr="00A32897">
              <w:rPr>
                <w:rFonts w:ascii="Calibri" w:hAnsi="Calibri" w:cs="Calibri"/>
                <w:sz w:val="18"/>
                <w:szCs w:val="18"/>
              </w:rPr>
              <w:t xml:space="preserve"> </w:t>
            </w:r>
            <w:r w:rsidRPr="00A32897">
              <w:rPr>
                <w:rFonts w:ascii="Calibri" w:hAnsi="Calibri" w:cs="Calibri"/>
                <w:bCs/>
                <w:sz w:val="18"/>
                <w:szCs w:val="18"/>
              </w:rPr>
              <w:t>nutrition and standards of living</w:t>
            </w:r>
            <w:r w:rsidRPr="00A32897">
              <w:rPr>
                <w:rFonts w:ascii="Calibri" w:hAnsi="Calibri" w:cs="Calibri"/>
                <w:sz w:val="18"/>
                <w:szCs w:val="18"/>
              </w:rPr>
              <w:t xml:space="preserve"> of the peoples under their respective jurisdictions</w:t>
            </w:r>
          </w:p>
          <w:p w14:paraId="35B64280" w14:textId="77777777" w:rsidR="00931CC1" w:rsidRPr="00A32897" w:rsidRDefault="00931CC1" w:rsidP="00931CC1">
            <w:pPr>
              <w:pStyle w:val="ListParagraph"/>
              <w:numPr>
                <w:ilvl w:val="0"/>
                <w:numId w:val="16"/>
              </w:numPr>
              <w:ind w:left="205" w:hanging="142"/>
              <w:cnfStyle w:val="000000100000" w:firstRow="0" w:lastRow="0" w:firstColumn="0" w:lastColumn="0" w:oddVBand="0" w:evenVBand="0" w:oddHBand="1" w:evenHBand="0" w:firstRowFirstColumn="0" w:firstRowLastColumn="0" w:lastRowFirstColumn="0" w:lastRowLastColumn="0"/>
              <w:rPr>
                <w:rFonts w:ascii="Calibri" w:hAnsi="Calibri" w:cs="Calibri"/>
                <w:bCs/>
                <w:sz w:val="18"/>
                <w:szCs w:val="18"/>
              </w:rPr>
            </w:pPr>
            <w:r w:rsidRPr="00A32897">
              <w:rPr>
                <w:rFonts w:ascii="Calibri" w:hAnsi="Calibri" w:cs="Calibri"/>
                <w:sz w:val="18"/>
                <w:szCs w:val="18"/>
              </w:rPr>
              <w:t xml:space="preserve">Secure </w:t>
            </w:r>
            <w:r w:rsidRPr="00A32897">
              <w:rPr>
                <w:rFonts w:ascii="Calibri" w:hAnsi="Calibri" w:cs="Calibri"/>
                <w:bCs/>
                <w:sz w:val="18"/>
                <w:szCs w:val="18"/>
              </w:rPr>
              <w:t>improvements in the</w:t>
            </w:r>
            <w:r w:rsidRPr="00A32897">
              <w:rPr>
                <w:rFonts w:ascii="Calibri" w:hAnsi="Calibri" w:cs="Calibri"/>
                <w:sz w:val="18"/>
                <w:szCs w:val="18"/>
              </w:rPr>
              <w:t xml:space="preserve"> </w:t>
            </w:r>
            <w:r w:rsidRPr="00A32897">
              <w:rPr>
                <w:rFonts w:ascii="Calibri" w:hAnsi="Calibri" w:cs="Calibri"/>
                <w:bCs/>
                <w:sz w:val="18"/>
                <w:szCs w:val="18"/>
              </w:rPr>
              <w:t>efficiency of the production and distribution of all food and agricultural products</w:t>
            </w:r>
          </w:p>
          <w:p w14:paraId="2C21ECFC" w14:textId="4E2BB7EC" w:rsidR="00931CC1" w:rsidRDefault="00931CC1" w:rsidP="00931CC1">
            <w:pPr>
              <w:pStyle w:val="ListParagraph"/>
              <w:numPr>
                <w:ilvl w:val="0"/>
                <w:numId w:val="16"/>
              </w:numPr>
              <w:ind w:left="205" w:hanging="142"/>
              <w:cnfStyle w:val="000000100000" w:firstRow="0" w:lastRow="0" w:firstColumn="0" w:lastColumn="0" w:oddVBand="0" w:evenVBand="0" w:oddHBand="1" w:evenHBand="0" w:firstRowFirstColumn="0" w:firstRowLastColumn="0" w:lastRowFirstColumn="0" w:lastRowLastColumn="0"/>
              <w:rPr>
                <w:rFonts w:ascii="Calibri" w:hAnsi="Calibri" w:cs="Calibri"/>
                <w:bCs/>
                <w:sz w:val="18"/>
                <w:szCs w:val="18"/>
              </w:rPr>
            </w:pPr>
            <w:r w:rsidRPr="00A32897">
              <w:rPr>
                <w:rFonts w:ascii="Calibri" w:hAnsi="Calibri" w:cs="Calibri"/>
                <w:bCs/>
                <w:sz w:val="18"/>
                <w:szCs w:val="18"/>
              </w:rPr>
              <w:t>Better the condition of rural populations</w:t>
            </w:r>
          </w:p>
          <w:p w14:paraId="7E3BC72D" w14:textId="77777777" w:rsidR="00BD059A" w:rsidRPr="00A32897" w:rsidRDefault="00BD059A" w:rsidP="00CF189D">
            <w:pPr>
              <w:pStyle w:val="ListParagraph"/>
              <w:ind w:left="205"/>
              <w:cnfStyle w:val="000000100000" w:firstRow="0" w:lastRow="0" w:firstColumn="0" w:lastColumn="0" w:oddVBand="0" w:evenVBand="0" w:oddHBand="1" w:evenHBand="0" w:firstRowFirstColumn="0" w:firstRowLastColumn="0" w:lastRowFirstColumn="0" w:lastRowLastColumn="0"/>
              <w:rPr>
                <w:rFonts w:ascii="Calibri" w:hAnsi="Calibri" w:cs="Calibri"/>
                <w:bCs/>
                <w:sz w:val="18"/>
                <w:szCs w:val="18"/>
              </w:rPr>
            </w:pPr>
          </w:p>
          <w:p w14:paraId="2C8D5A23" w14:textId="77777777" w:rsidR="00931CC1" w:rsidRPr="00A32897" w:rsidRDefault="00931CC1" w:rsidP="005047C7">
            <w:pPr>
              <w:ind w:left="205" w:hanging="142"/>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Added in 1965:</w:t>
            </w:r>
          </w:p>
          <w:p w14:paraId="45C7BB58" w14:textId="77777777" w:rsidR="00931CC1" w:rsidRPr="00A32897" w:rsidRDefault="00931CC1" w:rsidP="00931CC1">
            <w:pPr>
              <w:pStyle w:val="ListParagraph"/>
              <w:numPr>
                <w:ilvl w:val="0"/>
                <w:numId w:val="16"/>
              </w:numPr>
              <w:ind w:left="205" w:hanging="142"/>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 xml:space="preserve">Contribute toward an </w:t>
            </w:r>
            <w:r w:rsidRPr="00A32897">
              <w:rPr>
                <w:rFonts w:ascii="Calibri" w:hAnsi="Calibri" w:cs="Calibri"/>
                <w:bCs/>
                <w:sz w:val="18"/>
                <w:szCs w:val="18"/>
              </w:rPr>
              <w:t>expanding world economy</w:t>
            </w:r>
            <w:r w:rsidRPr="00A32897">
              <w:rPr>
                <w:rFonts w:ascii="Calibri" w:hAnsi="Calibri" w:cs="Calibri"/>
                <w:sz w:val="18"/>
                <w:szCs w:val="18"/>
              </w:rPr>
              <w:t xml:space="preserve"> and ensuring humanity's </w:t>
            </w:r>
            <w:r w:rsidRPr="00A32897">
              <w:rPr>
                <w:rFonts w:ascii="Calibri" w:hAnsi="Calibri" w:cs="Calibri"/>
                <w:bCs/>
                <w:sz w:val="18"/>
                <w:szCs w:val="18"/>
              </w:rPr>
              <w:t>freedom from hunger’</w:t>
            </w:r>
          </w:p>
        </w:tc>
        <w:tc>
          <w:tcPr>
            <w:tcW w:w="4253" w:type="dxa"/>
          </w:tcPr>
          <w:p w14:paraId="1A6AF583" w14:textId="77777777" w:rsidR="00931CC1" w:rsidRPr="00A32897" w:rsidRDefault="00931CC1" w:rsidP="00931CC1">
            <w:pPr>
              <w:pStyle w:val="ListParagraph"/>
              <w:numPr>
                <w:ilvl w:val="0"/>
                <w:numId w:val="16"/>
              </w:numPr>
              <w:ind w:left="320" w:hanging="116"/>
              <w:cnfStyle w:val="000000100000" w:firstRow="0" w:lastRow="0" w:firstColumn="0" w:lastColumn="0" w:oddVBand="0" w:evenVBand="0" w:oddHBand="1" w:evenHBand="0" w:firstRowFirstColumn="0" w:firstRowLastColumn="0" w:lastRowFirstColumn="0" w:lastRowLastColumn="0"/>
              <w:rPr>
                <w:rFonts w:ascii="Calibri" w:hAnsi="Calibri" w:cs="Calibri"/>
                <w:bCs/>
                <w:sz w:val="18"/>
                <w:szCs w:val="18"/>
              </w:rPr>
            </w:pPr>
            <w:r w:rsidRPr="00A32897">
              <w:rPr>
                <w:rFonts w:ascii="Calibri" w:hAnsi="Calibri" w:cs="Calibri"/>
                <w:bCs/>
                <w:sz w:val="18"/>
                <w:szCs w:val="18"/>
              </w:rPr>
              <w:t>Collect, analyse, interpret, and disseminate information related to nutrition, food and agriculture</w:t>
            </w:r>
          </w:p>
          <w:p w14:paraId="14597490" w14:textId="77777777" w:rsidR="00931CC1" w:rsidRPr="00A32897" w:rsidRDefault="00931CC1" w:rsidP="00931CC1">
            <w:pPr>
              <w:pStyle w:val="ListParagraph"/>
              <w:numPr>
                <w:ilvl w:val="0"/>
                <w:numId w:val="16"/>
              </w:numPr>
              <w:ind w:left="320" w:hanging="116"/>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Promote and recommend national and international action with respect to nutrition, food, and agriculture.</w:t>
            </w:r>
          </w:p>
          <w:p w14:paraId="46D98736" w14:textId="77777777" w:rsidR="00931CC1" w:rsidRPr="00A32897" w:rsidRDefault="00931CC1" w:rsidP="00931CC1">
            <w:pPr>
              <w:pStyle w:val="ListParagraph"/>
              <w:numPr>
                <w:ilvl w:val="0"/>
                <w:numId w:val="16"/>
              </w:numPr>
              <w:ind w:left="320" w:hanging="116"/>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 xml:space="preserve">Provide </w:t>
            </w:r>
            <w:r w:rsidRPr="00A32897">
              <w:rPr>
                <w:rFonts w:ascii="Calibri" w:hAnsi="Calibri" w:cs="Calibri"/>
                <w:bCs/>
                <w:sz w:val="18"/>
                <w:szCs w:val="18"/>
              </w:rPr>
              <w:t>technical assistance</w:t>
            </w:r>
            <w:r w:rsidRPr="00A32897">
              <w:rPr>
                <w:rFonts w:ascii="Calibri" w:hAnsi="Calibri" w:cs="Calibri"/>
                <w:sz w:val="18"/>
                <w:szCs w:val="18"/>
              </w:rPr>
              <w:t xml:space="preserve"> as requested by governments, and undertake missions as needed to help governments fulfil obligations of the UN Conference on Food and Agriculture</w:t>
            </w:r>
          </w:p>
        </w:tc>
      </w:tr>
      <w:tr w:rsidR="00931CC1" w:rsidRPr="00A32897" w14:paraId="36E36AA6" w14:textId="77777777" w:rsidTr="005047C7">
        <w:trPr>
          <w:trHeight w:val="2006"/>
        </w:trPr>
        <w:tc>
          <w:tcPr>
            <w:cnfStyle w:val="001000000000" w:firstRow="0" w:lastRow="0" w:firstColumn="1" w:lastColumn="0" w:oddVBand="0" w:evenVBand="0" w:oddHBand="0" w:evenHBand="0" w:firstRowFirstColumn="0" w:firstRowLastColumn="0" w:lastRowFirstColumn="0" w:lastRowLastColumn="0"/>
            <w:tcW w:w="1248" w:type="dxa"/>
          </w:tcPr>
          <w:p w14:paraId="017FB476" w14:textId="77777777" w:rsidR="00931CC1" w:rsidRPr="00A32897" w:rsidRDefault="00931CC1" w:rsidP="005047C7">
            <w:pPr>
              <w:rPr>
                <w:rFonts w:ascii="Calibri" w:hAnsi="Calibri" w:cs="Calibri"/>
                <w:b/>
                <w:sz w:val="18"/>
                <w:szCs w:val="18"/>
              </w:rPr>
            </w:pPr>
            <w:r w:rsidRPr="00A32897">
              <w:rPr>
                <w:rFonts w:ascii="Calibri" w:hAnsi="Calibri" w:cs="Calibri"/>
                <w:b/>
                <w:sz w:val="18"/>
                <w:szCs w:val="18"/>
              </w:rPr>
              <w:t>United Nations Development Programme (UNDP)</w:t>
            </w:r>
          </w:p>
        </w:tc>
        <w:tc>
          <w:tcPr>
            <w:tcW w:w="3850" w:type="dxa"/>
          </w:tcPr>
          <w:p w14:paraId="1B3AD0C3" w14:textId="62467568" w:rsidR="00931CC1" w:rsidRPr="00A32897" w:rsidRDefault="00931CC1" w:rsidP="005047C7">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The UNDP was formed by the UN General Assembly as a merger of the Expanded programme for Technical Assistance and the UN Special Fund in 196</w:t>
            </w:r>
            <w:r w:rsidR="002F3D72">
              <w:rPr>
                <w:rFonts w:ascii="Calibri" w:hAnsi="Calibri" w:cs="Calibri"/>
                <w:sz w:val="18"/>
                <w:szCs w:val="18"/>
              </w:rPr>
              <w:t>5</w:t>
            </w:r>
            <w:r w:rsidRPr="00A32897">
              <w:rPr>
                <w:rFonts w:ascii="Calibri" w:hAnsi="Calibri" w:cs="Calibri"/>
                <w:sz w:val="18"/>
                <w:szCs w:val="18"/>
              </w:rPr>
              <w:t>, and was purposefully not given a constitution or specific mandate.</w:t>
            </w:r>
            <w:r w:rsidRPr="00A32897">
              <w:rPr>
                <w:rStyle w:val="FootnoteReference"/>
                <w:rFonts w:ascii="Calibri" w:hAnsi="Calibri" w:cs="Calibri"/>
              </w:rPr>
              <w:t xml:space="preserve"> </w:t>
            </w:r>
            <w:r w:rsidRPr="00A32897">
              <w:rPr>
                <w:rStyle w:val="FootnoteReference"/>
                <w:rFonts w:ascii="Calibri" w:hAnsi="Calibri" w:cs="Calibri"/>
              </w:rPr>
              <w:footnoteReference w:id="1040"/>
            </w:r>
            <w:r w:rsidRPr="00A32897">
              <w:rPr>
                <w:rFonts w:ascii="Calibri" w:hAnsi="Calibri" w:cs="Calibri"/>
                <w:sz w:val="18"/>
                <w:szCs w:val="18"/>
              </w:rPr>
              <w:t xml:space="preserve"> </w:t>
            </w:r>
          </w:p>
          <w:p w14:paraId="3A677DAB" w14:textId="77777777" w:rsidR="00931CC1" w:rsidRPr="00A32897" w:rsidRDefault="00931CC1" w:rsidP="00931CC1">
            <w:pPr>
              <w:pStyle w:val="ListParagraph"/>
              <w:numPr>
                <w:ilvl w:val="0"/>
                <w:numId w:val="19"/>
              </w:numPr>
              <w:ind w:left="205" w:right="-99" w:hanging="142"/>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General UNDP framework: universality, neutrality, and multilateralism</w:t>
            </w:r>
          </w:p>
          <w:p w14:paraId="2F4CCA46" w14:textId="77777777" w:rsidR="00931CC1" w:rsidRPr="00A32897" w:rsidRDefault="00931CC1" w:rsidP="00931CC1">
            <w:pPr>
              <w:pStyle w:val="ListParagraph"/>
              <w:numPr>
                <w:ilvl w:val="0"/>
                <w:numId w:val="19"/>
              </w:numPr>
              <w:ind w:left="205" w:hanging="142"/>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 xml:space="preserve">Expected activities: large country field presence (Resident Representatives) to </w:t>
            </w:r>
            <w:r w:rsidRPr="00A32897">
              <w:rPr>
                <w:rFonts w:ascii="Calibri" w:hAnsi="Calibri" w:cs="Calibri"/>
                <w:bCs/>
                <w:sz w:val="18"/>
                <w:szCs w:val="18"/>
              </w:rPr>
              <w:t>identify and fund activities, based on countries’ own development plans</w:t>
            </w:r>
            <w:r w:rsidRPr="00A32897">
              <w:rPr>
                <w:rStyle w:val="FootnoteReference"/>
                <w:rFonts w:ascii="Calibri" w:hAnsi="Calibri" w:cs="Calibri"/>
              </w:rPr>
              <w:footnoteReference w:id="1041"/>
            </w:r>
          </w:p>
        </w:tc>
        <w:tc>
          <w:tcPr>
            <w:tcW w:w="4253" w:type="dxa"/>
          </w:tcPr>
          <w:p w14:paraId="2FF8A39E" w14:textId="77777777" w:rsidR="00931CC1" w:rsidRPr="00A32897" w:rsidRDefault="00931CC1" w:rsidP="00931CC1">
            <w:pPr>
              <w:pStyle w:val="ListParagraph"/>
              <w:numPr>
                <w:ilvl w:val="0"/>
                <w:numId w:val="16"/>
              </w:numPr>
              <w:ind w:left="320" w:hanging="116"/>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 xml:space="preserve">Organise UN technical assistance in developing countries: </w:t>
            </w:r>
            <w:r w:rsidRPr="00A32897">
              <w:rPr>
                <w:rFonts w:ascii="Calibri" w:hAnsi="Calibri" w:cs="Calibri"/>
                <w:bCs/>
                <w:sz w:val="18"/>
                <w:szCs w:val="18"/>
              </w:rPr>
              <w:t>facilitate overall planning and coordination of technical assistance programmes carried out within the UN system</w:t>
            </w:r>
          </w:p>
          <w:p w14:paraId="70A9A31C" w14:textId="77777777" w:rsidR="00931CC1" w:rsidRPr="00A32897" w:rsidRDefault="00931CC1" w:rsidP="00931CC1">
            <w:pPr>
              <w:pStyle w:val="ListParagraph"/>
              <w:numPr>
                <w:ilvl w:val="0"/>
                <w:numId w:val="16"/>
              </w:numPr>
              <w:ind w:left="320" w:hanging="116"/>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 xml:space="preserve">Perform the functions of the previous UN Special Fund and Technical Assistance Committee, including considering or approving projects/programmes and </w:t>
            </w:r>
            <w:r w:rsidRPr="00A32897">
              <w:rPr>
                <w:rFonts w:ascii="Calibri" w:hAnsi="Calibri" w:cs="Calibri"/>
                <w:bCs/>
                <w:sz w:val="18"/>
                <w:szCs w:val="18"/>
              </w:rPr>
              <w:t>acting as a funding agency</w:t>
            </w:r>
            <w:r w:rsidRPr="00A32897">
              <w:rPr>
                <w:rFonts w:ascii="Calibri" w:hAnsi="Calibri" w:cs="Calibri"/>
                <w:sz w:val="18"/>
                <w:szCs w:val="18"/>
              </w:rPr>
              <w:t xml:space="preserve"> for these programmes (typically to be executed by specialised UN agencies) </w:t>
            </w:r>
          </w:p>
        </w:tc>
      </w:tr>
      <w:tr w:rsidR="00931CC1" w:rsidRPr="00A32897" w14:paraId="19B52535" w14:textId="77777777" w:rsidTr="005047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dxa"/>
          </w:tcPr>
          <w:p w14:paraId="4D7F3759" w14:textId="77777777" w:rsidR="00931CC1" w:rsidRPr="00A32897" w:rsidRDefault="00931CC1" w:rsidP="005047C7">
            <w:pPr>
              <w:rPr>
                <w:rFonts w:ascii="Calibri" w:hAnsi="Calibri" w:cs="Calibri"/>
                <w:b/>
                <w:sz w:val="18"/>
                <w:szCs w:val="18"/>
              </w:rPr>
            </w:pPr>
            <w:r w:rsidRPr="00A32897">
              <w:rPr>
                <w:rFonts w:ascii="Calibri" w:hAnsi="Calibri" w:cs="Calibri"/>
                <w:b/>
                <w:sz w:val="18"/>
                <w:szCs w:val="18"/>
              </w:rPr>
              <w:t>World Health Organization (WHO)</w:t>
            </w:r>
          </w:p>
        </w:tc>
        <w:tc>
          <w:tcPr>
            <w:tcW w:w="3850" w:type="dxa"/>
          </w:tcPr>
          <w:p w14:paraId="247B3164" w14:textId="77777777" w:rsidR="00931CC1" w:rsidRPr="00A32897" w:rsidRDefault="00931CC1" w:rsidP="005047C7">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WHO Constitution (1948):</w:t>
            </w:r>
            <w:r w:rsidRPr="00A32897">
              <w:rPr>
                <w:rStyle w:val="FootnoteReference"/>
                <w:rFonts w:ascii="Calibri" w:hAnsi="Calibri" w:cs="Calibri"/>
              </w:rPr>
              <w:footnoteReference w:id="1042"/>
            </w:r>
            <w:r w:rsidRPr="00A32897">
              <w:rPr>
                <w:rFonts w:ascii="Calibri" w:hAnsi="Calibri" w:cs="Calibri"/>
                <w:sz w:val="18"/>
                <w:szCs w:val="18"/>
              </w:rPr>
              <w:t xml:space="preserve"> </w:t>
            </w:r>
          </w:p>
          <w:p w14:paraId="25229DED" w14:textId="77777777" w:rsidR="00931CC1" w:rsidRPr="00A32897" w:rsidRDefault="00931CC1" w:rsidP="00931CC1">
            <w:pPr>
              <w:pStyle w:val="ListParagraph"/>
              <w:numPr>
                <w:ilvl w:val="0"/>
                <w:numId w:val="18"/>
              </w:numPr>
              <w:ind w:left="205" w:hanging="142"/>
              <w:cnfStyle w:val="000000100000" w:firstRow="0" w:lastRow="0" w:firstColumn="0" w:lastColumn="0" w:oddVBand="0" w:evenVBand="0" w:oddHBand="1" w:evenHBand="0" w:firstRowFirstColumn="0" w:firstRowLastColumn="0" w:lastRowFirstColumn="0" w:lastRowLastColumn="0"/>
              <w:rPr>
                <w:rFonts w:ascii="Calibri" w:hAnsi="Calibri" w:cs="Calibri"/>
                <w:bCs/>
                <w:sz w:val="18"/>
                <w:szCs w:val="18"/>
              </w:rPr>
            </w:pPr>
            <w:r w:rsidRPr="00A32897">
              <w:rPr>
                <w:rFonts w:ascii="Calibri" w:hAnsi="Calibri" w:cs="Calibri"/>
                <w:bCs/>
                <w:sz w:val="18"/>
                <w:szCs w:val="18"/>
              </w:rPr>
              <w:t>The attainment of all people of the highest possible level of health</w:t>
            </w:r>
          </w:p>
        </w:tc>
        <w:tc>
          <w:tcPr>
            <w:tcW w:w="4253" w:type="dxa"/>
          </w:tcPr>
          <w:p w14:paraId="3C114359" w14:textId="77777777" w:rsidR="00931CC1" w:rsidRPr="00A32897" w:rsidRDefault="00931CC1" w:rsidP="00931CC1">
            <w:pPr>
              <w:pStyle w:val="ListParagraph"/>
              <w:numPr>
                <w:ilvl w:val="0"/>
                <w:numId w:val="17"/>
              </w:numPr>
              <w:tabs>
                <w:tab w:val="left" w:pos="3408"/>
                <w:tab w:val="left" w:pos="3783"/>
              </w:tabs>
              <w:ind w:left="320" w:hanging="116"/>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 xml:space="preserve">Act as the </w:t>
            </w:r>
            <w:r w:rsidRPr="00A32897">
              <w:rPr>
                <w:rFonts w:ascii="Calibri" w:hAnsi="Calibri" w:cs="Calibri"/>
                <w:bCs/>
                <w:sz w:val="18"/>
                <w:szCs w:val="18"/>
              </w:rPr>
              <w:t>directing and coordinating authority on international health work</w:t>
            </w:r>
          </w:p>
          <w:p w14:paraId="7D517449" w14:textId="44130CCB" w:rsidR="00931CC1" w:rsidRPr="00A32897" w:rsidRDefault="00931CC1" w:rsidP="00931CC1">
            <w:pPr>
              <w:pStyle w:val="ListParagraph"/>
              <w:numPr>
                <w:ilvl w:val="0"/>
                <w:numId w:val="17"/>
              </w:numPr>
              <w:tabs>
                <w:tab w:val="left" w:pos="3408"/>
                <w:tab w:val="left" w:pos="3783"/>
              </w:tabs>
              <w:ind w:left="320" w:hanging="116"/>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 xml:space="preserve">Assist </w:t>
            </w:r>
            <w:r w:rsidR="002F3D72">
              <w:rPr>
                <w:rFonts w:ascii="Calibri" w:hAnsi="Calibri" w:cs="Calibri"/>
                <w:sz w:val="18"/>
                <w:szCs w:val="18"/>
              </w:rPr>
              <w:t>g</w:t>
            </w:r>
            <w:r w:rsidRPr="00A32897">
              <w:rPr>
                <w:rFonts w:ascii="Calibri" w:hAnsi="Calibri" w:cs="Calibri"/>
                <w:sz w:val="18"/>
                <w:szCs w:val="18"/>
              </w:rPr>
              <w:t xml:space="preserve">overnments in </w:t>
            </w:r>
            <w:r w:rsidRPr="00A32897">
              <w:rPr>
                <w:rFonts w:ascii="Calibri" w:hAnsi="Calibri" w:cs="Calibri"/>
                <w:bCs/>
                <w:sz w:val="18"/>
                <w:szCs w:val="18"/>
              </w:rPr>
              <w:t>strengthening health services</w:t>
            </w:r>
          </w:p>
          <w:p w14:paraId="38E7153F" w14:textId="77777777" w:rsidR="00931CC1" w:rsidRPr="00A32897" w:rsidRDefault="00931CC1" w:rsidP="00931CC1">
            <w:pPr>
              <w:pStyle w:val="ListParagraph"/>
              <w:numPr>
                <w:ilvl w:val="0"/>
                <w:numId w:val="17"/>
              </w:numPr>
              <w:tabs>
                <w:tab w:val="left" w:pos="3408"/>
                <w:tab w:val="left" w:pos="3783"/>
              </w:tabs>
              <w:ind w:left="320" w:hanging="116"/>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 xml:space="preserve">Furnish appropriate </w:t>
            </w:r>
            <w:r w:rsidRPr="00A32897">
              <w:rPr>
                <w:rFonts w:ascii="Calibri" w:hAnsi="Calibri" w:cs="Calibri"/>
                <w:bCs/>
                <w:sz w:val="18"/>
                <w:szCs w:val="18"/>
              </w:rPr>
              <w:t>technical assistance</w:t>
            </w:r>
            <w:r w:rsidRPr="00A32897">
              <w:rPr>
                <w:rFonts w:ascii="Calibri" w:hAnsi="Calibri" w:cs="Calibri"/>
                <w:sz w:val="18"/>
                <w:szCs w:val="18"/>
              </w:rPr>
              <w:t xml:space="preserve"> and, in emergencies, necessary aid </w:t>
            </w:r>
          </w:p>
          <w:p w14:paraId="1426EE20" w14:textId="77777777" w:rsidR="00931CC1" w:rsidRPr="00A32897" w:rsidRDefault="00931CC1" w:rsidP="00931CC1">
            <w:pPr>
              <w:pStyle w:val="ListParagraph"/>
              <w:numPr>
                <w:ilvl w:val="0"/>
                <w:numId w:val="17"/>
              </w:numPr>
              <w:tabs>
                <w:tab w:val="left" w:pos="3408"/>
                <w:tab w:val="left" w:pos="3783"/>
              </w:tabs>
              <w:ind w:left="320" w:hanging="116"/>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32897">
              <w:rPr>
                <w:rFonts w:ascii="Calibri" w:hAnsi="Calibri" w:cs="Calibri"/>
                <w:bCs/>
                <w:sz w:val="18"/>
                <w:szCs w:val="18"/>
              </w:rPr>
              <w:t>Provide health services and facilities</w:t>
            </w:r>
            <w:r w:rsidRPr="00A32897">
              <w:rPr>
                <w:rFonts w:ascii="Calibri" w:hAnsi="Calibri" w:cs="Calibri"/>
                <w:sz w:val="18"/>
                <w:szCs w:val="18"/>
              </w:rPr>
              <w:t xml:space="preserve"> to special groups, such as the peoples of trust territories</w:t>
            </w:r>
          </w:p>
          <w:p w14:paraId="348A0C1B" w14:textId="77777777" w:rsidR="00931CC1" w:rsidRPr="00A32897" w:rsidRDefault="00931CC1" w:rsidP="00931CC1">
            <w:pPr>
              <w:pStyle w:val="ListParagraph"/>
              <w:numPr>
                <w:ilvl w:val="0"/>
                <w:numId w:val="17"/>
              </w:numPr>
              <w:tabs>
                <w:tab w:val="left" w:pos="3408"/>
                <w:tab w:val="left" w:pos="3783"/>
              </w:tabs>
              <w:ind w:left="320" w:hanging="116"/>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 xml:space="preserve">Establish and maintain administrative and technical services as required, including </w:t>
            </w:r>
            <w:r w:rsidRPr="00A32897">
              <w:rPr>
                <w:rFonts w:ascii="Calibri" w:hAnsi="Calibri" w:cs="Calibri"/>
                <w:bCs/>
                <w:sz w:val="18"/>
                <w:szCs w:val="18"/>
              </w:rPr>
              <w:t>epidemiological and statistical services</w:t>
            </w:r>
          </w:p>
          <w:p w14:paraId="2EFF306A" w14:textId="77777777" w:rsidR="00931CC1" w:rsidRPr="00A32897" w:rsidRDefault="00931CC1" w:rsidP="00931CC1">
            <w:pPr>
              <w:pStyle w:val="ListParagraph"/>
              <w:numPr>
                <w:ilvl w:val="0"/>
                <w:numId w:val="17"/>
              </w:numPr>
              <w:tabs>
                <w:tab w:val="left" w:pos="3408"/>
                <w:tab w:val="left" w:pos="3783"/>
              </w:tabs>
              <w:ind w:left="320" w:hanging="116"/>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 xml:space="preserve">Stimulate and advance </w:t>
            </w:r>
            <w:r w:rsidRPr="00A32897">
              <w:rPr>
                <w:rFonts w:ascii="Calibri" w:hAnsi="Calibri" w:cs="Calibri"/>
                <w:bCs/>
                <w:sz w:val="18"/>
                <w:szCs w:val="18"/>
              </w:rPr>
              <w:t>work to eradicate epidemic, endemic and other diseases</w:t>
            </w:r>
          </w:p>
          <w:p w14:paraId="0EF12CBA" w14:textId="77777777" w:rsidR="00931CC1" w:rsidRPr="00A32897" w:rsidRDefault="00931CC1" w:rsidP="00931CC1">
            <w:pPr>
              <w:pStyle w:val="ListParagraph"/>
              <w:numPr>
                <w:ilvl w:val="0"/>
                <w:numId w:val="17"/>
              </w:numPr>
              <w:tabs>
                <w:tab w:val="left" w:pos="3408"/>
                <w:tab w:val="left" w:pos="3783"/>
              </w:tabs>
              <w:ind w:left="320" w:hanging="116"/>
              <w:cnfStyle w:val="000000100000" w:firstRow="0" w:lastRow="0" w:firstColumn="0" w:lastColumn="0" w:oddVBand="0" w:evenVBand="0" w:oddHBand="1" w:evenHBand="0" w:firstRowFirstColumn="0" w:firstRowLastColumn="0" w:lastRowFirstColumn="0" w:lastRowLastColumn="0"/>
              <w:rPr>
                <w:rFonts w:ascii="Calibri" w:hAnsi="Calibri" w:cs="Calibri"/>
                <w:bCs/>
                <w:sz w:val="18"/>
                <w:szCs w:val="18"/>
              </w:rPr>
            </w:pPr>
            <w:r w:rsidRPr="00A32897">
              <w:rPr>
                <w:rFonts w:ascii="Calibri" w:hAnsi="Calibri" w:cs="Calibri"/>
                <w:bCs/>
                <w:sz w:val="18"/>
                <w:szCs w:val="18"/>
              </w:rPr>
              <w:t>Promote and conduct research in the field of health</w:t>
            </w:r>
          </w:p>
          <w:p w14:paraId="554D835B" w14:textId="77777777" w:rsidR="00931CC1" w:rsidRPr="00A32897" w:rsidRDefault="00931CC1" w:rsidP="00931CC1">
            <w:pPr>
              <w:pStyle w:val="ListParagraph"/>
              <w:numPr>
                <w:ilvl w:val="0"/>
                <w:numId w:val="17"/>
              </w:numPr>
              <w:tabs>
                <w:tab w:val="left" w:pos="3408"/>
                <w:tab w:val="left" w:pos="3783"/>
              </w:tabs>
              <w:ind w:left="320" w:hanging="116"/>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32897">
              <w:rPr>
                <w:rFonts w:ascii="Calibri" w:hAnsi="Calibri" w:cs="Calibri"/>
                <w:bCs/>
                <w:sz w:val="18"/>
                <w:szCs w:val="18"/>
              </w:rPr>
              <w:t>Develop, establish and promote international standards</w:t>
            </w:r>
            <w:r w:rsidRPr="00A32897">
              <w:rPr>
                <w:rFonts w:ascii="Calibri" w:hAnsi="Calibri" w:cs="Calibri"/>
                <w:sz w:val="18"/>
                <w:szCs w:val="18"/>
              </w:rPr>
              <w:t xml:space="preserve"> with respect to food, biological, pharmaceutical and similar products</w:t>
            </w:r>
          </w:p>
        </w:tc>
      </w:tr>
      <w:tr w:rsidR="00931CC1" w:rsidRPr="00A32897" w14:paraId="57AB478E" w14:textId="77777777" w:rsidTr="005047C7">
        <w:tc>
          <w:tcPr>
            <w:cnfStyle w:val="001000000000" w:firstRow="0" w:lastRow="0" w:firstColumn="1" w:lastColumn="0" w:oddVBand="0" w:evenVBand="0" w:oddHBand="0" w:evenHBand="0" w:firstRowFirstColumn="0" w:firstRowLastColumn="0" w:lastRowFirstColumn="0" w:lastRowLastColumn="0"/>
            <w:tcW w:w="1248" w:type="dxa"/>
          </w:tcPr>
          <w:p w14:paraId="5561325A" w14:textId="77777777" w:rsidR="00931CC1" w:rsidRPr="00A32897" w:rsidRDefault="00931CC1" w:rsidP="005047C7">
            <w:pPr>
              <w:rPr>
                <w:rFonts w:ascii="Calibri" w:hAnsi="Calibri" w:cs="Calibri"/>
                <w:b/>
                <w:color w:val="auto"/>
                <w:sz w:val="18"/>
                <w:szCs w:val="18"/>
              </w:rPr>
            </w:pPr>
            <w:r w:rsidRPr="00A32897">
              <w:rPr>
                <w:rFonts w:ascii="Calibri" w:hAnsi="Calibri" w:cs="Calibri"/>
                <w:b/>
                <w:color w:val="auto"/>
                <w:sz w:val="18"/>
                <w:szCs w:val="18"/>
              </w:rPr>
              <w:t xml:space="preserve">World Bank </w:t>
            </w:r>
          </w:p>
        </w:tc>
        <w:tc>
          <w:tcPr>
            <w:tcW w:w="3850" w:type="dxa"/>
          </w:tcPr>
          <w:p w14:paraId="0CD58735" w14:textId="77777777" w:rsidR="00931CC1" w:rsidRPr="00A32897" w:rsidRDefault="00931CC1" w:rsidP="005047C7">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Articles of Agreement for the International Bank for Reconstruction and Development (1945):</w:t>
            </w:r>
            <w:r w:rsidRPr="00A32897">
              <w:rPr>
                <w:rStyle w:val="FootnoteReference"/>
                <w:rFonts w:ascii="Calibri" w:hAnsi="Calibri" w:cs="Calibri"/>
              </w:rPr>
              <w:footnoteReference w:id="1043"/>
            </w:r>
            <w:r w:rsidRPr="00A32897">
              <w:rPr>
                <w:rFonts w:ascii="Calibri" w:hAnsi="Calibri" w:cs="Calibri"/>
                <w:sz w:val="18"/>
                <w:szCs w:val="18"/>
              </w:rPr>
              <w:t xml:space="preserve"> </w:t>
            </w:r>
          </w:p>
          <w:p w14:paraId="76B0ADEE" w14:textId="77777777" w:rsidR="00931CC1" w:rsidRPr="00A32897" w:rsidRDefault="00931CC1" w:rsidP="00931CC1">
            <w:pPr>
              <w:pStyle w:val="ListParagraph"/>
              <w:numPr>
                <w:ilvl w:val="0"/>
                <w:numId w:val="22"/>
              </w:numPr>
              <w:ind w:left="205" w:hanging="142"/>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32897">
              <w:rPr>
                <w:rFonts w:ascii="Calibri" w:hAnsi="Calibri" w:cs="Calibri"/>
                <w:bCs/>
                <w:sz w:val="18"/>
                <w:szCs w:val="18"/>
              </w:rPr>
              <w:t>Assist in the reconstruction and development of territories of members by facilitating the investment of capital for productive purposes,</w:t>
            </w:r>
            <w:r w:rsidRPr="00A32897">
              <w:rPr>
                <w:rFonts w:ascii="Calibri" w:hAnsi="Calibri" w:cs="Calibri"/>
                <w:sz w:val="18"/>
                <w:szCs w:val="18"/>
              </w:rPr>
              <w:t xml:space="preserve"> including the restoration of economies destroyed or disrupted by war, the </w:t>
            </w:r>
            <w:r w:rsidRPr="00A32897">
              <w:rPr>
                <w:rFonts w:ascii="Calibri" w:hAnsi="Calibri" w:cs="Calibri"/>
                <w:sz w:val="18"/>
                <w:szCs w:val="18"/>
              </w:rPr>
              <w:lastRenderedPageBreak/>
              <w:t xml:space="preserve">reconversion of productive facilities to peacetime needs and the </w:t>
            </w:r>
            <w:r w:rsidRPr="00A32897">
              <w:rPr>
                <w:rFonts w:ascii="Calibri" w:hAnsi="Calibri" w:cs="Calibri"/>
                <w:bCs/>
                <w:sz w:val="18"/>
                <w:szCs w:val="18"/>
              </w:rPr>
              <w:t>encouragement of the development of productive facilities and resources in less developed countries</w:t>
            </w:r>
          </w:p>
        </w:tc>
        <w:tc>
          <w:tcPr>
            <w:tcW w:w="4253" w:type="dxa"/>
          </w:tcPr>
          <w:p w14:paraId="730D6DB5" w14:textId="77777777" w:rsidR="00931CC1" w:rsidRPr="00A32897" w:rsidRDefault="00931CC1" w:rsidP="005047C7">
            <w:pPr>
              <w:ind w:left="320" w:hanging="116"/>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lastRenderedPageBreak/>
              <w:t>IBRD:</w:t>
            </w:r>
          </w:p>
          <w:p w14:paraId="6536A878" w14:textId="77777777" w:rsidR="00931CC1" w:rsidRPr="00A32897" w:rsidRDefault="00931CC1" w:rsidP="00931CC1">
            <w:pPr>
              <w:pStyle w:val="ListParagraph"/>
              <w:numPr>
                <w:ilvl w:val="0"/>
                <w:numId w:val="21"/>
              </w:numPr>
              <w:ind w:left="320" w:hanging="116"/>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32897">
              <w:rPr>
                <w:rFonts w:ascii="Calibri" w:hAnsi="Calibri" w:cs="Calibri"/>
                <w:bCs/>
                <w:sz w:val="18"/>
                <w:szCs w:val="18"/>
              </w:rPr>
              <w:t>Promote private foreign investment</w:t>
            </w:r>
            <w:r w:rsidRPr="00A32897">
              <w:rPr>
                <w:rFonts w:ascii="Calibri" w:hAnsi="Calibri" w:cs="Calibri"/>
                <w:sz w:val="18"/>
                <w:szCs w:val="18"/>
              </w:rPr>
              <w:t xml:space="preserve"> through guarantees or participating in loans/investments made by private investors. When private capital is not available on reasonable terms, supplement private investment by providing finance for </w:t>
            </w:r>
            <w:r w:rsidRPr="00A32897">
              <w:rPr>
                <w:rFonts w:ascii="Calibri" w:hAnsi="Calibri" w:cs="Calibri"/>
                <w:sz w:val="18"/>
                <w:szCs w:val="18"/>
              </w:rPr>
              <w:lastRenderedPageBreak/>
              <w:t>productive purposes out of the Bank’s own capital or resources</w:t>
            </w:r>
          </w:p>
          <w:p w14:paraId="7CE9FD33" w14:textId="77777777" w:rsidR="00931CC1" w:rsidRPr="00A32897" w:rsidRDefault="00931CC1" w:rsidP="00931CC1">
            <w:pPr>
              <w:pStyle w:val="ListParagraph"/>
              <w:numPr>
                <w:ilvl w:val="0"/>
                <w:numId w:val="21"/>
              </w:numPr>
              <w:ind w:left="320" w:hanging="116"/>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32897">
              <w:rPr>
                <w:rFonts w:ascii="Calibri" w:hAnsi="Calibri" w:cs="Calibri"/>
                <w:bCs/>
                <w:sz w:val="18"/>
                <w:szCs w:val="18"/>
              </w:rPr>
              <w:t>Promote the long-range balanced growth of international trade</w:t>
            </w:r>
            <w:r w:rsidRPr="00A32897">
              <w:rPr>
                <w:rFonts w:ascii="Calibri" w:hAnsi="Calibri" w:cs="Calibri"/>
                <w:sz w:val="18"/>
                <w:szCs w:val="18"/>
              </w:rPr>
              <w:t xml:space="preserve"> and the maintenance of equilibrium in balances of payments, by </w:t>
            </w:r>
            <w:r w:rsidRPr="00A32897">
              <w:rPr>
                <w:rFonts w:ascii="Calibri" w:hAnsi="Calibri" w:cs="Calibri"/>
                <w:bCs/>
                <w:sz w:val="18"/>
                <w:szCs w:val="18"/>
              </w:rPr>
              <w:t>encouraging international investment for the development of the productive resources of members</w:t>
            </w:r>
            <w:r w:rsidRPr="00A32897">
              <w:rPr>
                <w:rFonts w:ascii="Calibri" w:hAnsi="Calibri" w:cs="Calibri"/>
                <w:sz w:val="18"/>
                <w:szCs w:val="18"/>
              </w:rPr>
              <w:t xml:space="preserve">, </w:t>
            </w:r>
            <w:r w:rsidRPr="00A32897">
              <w:rPr>
                <w:rFonts w:ascii="Calibri" w:hAnsi="Calibri" w:cs="Calibri"/>
                <w:bCs/>
                <w:sz w:val="18"/>
                <w:szCs w:val="18"/>
              </w:rPr>
              <w:t>to assist in raising productivity, the standard of living and conditions of labor internationally</w:t>
            </w:r>
          </w:p>
          <w:p w14:paraId="37A3862A" w14:textId="77777777" w:rsidR="00931CC1" w:rsidRPr="00A32897" w:rsidRDefault="00931CC1" w:rsidP="005047C7">
            <w:pPr>
              <w:ind w:left="320" w:hanging="116"/>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32897">
              <w:rPr>
                <w:rFonts w:ascii="Calibri" w:hAnsi="Calibri" w:cs="Calibri"/>
                <w:sz w:val="18"/>
                <w:szCs w:val="18"/>
              </w:rPr>
              <w:t>IDA:</w:t>
            </w:r>
            <w:r w:rsidRPr="00A32897">
              <w:rPr>
                <w:rStyle w:val="FootnoteReference"/>
                <w:rFonts w:ascii="Calibri" w:hAnsi="Calibri" w:cs="Calibri"/>
              </w:rPr>
              <w:footnoteReference w:id="1044"/>
            </w:r>
          </w:p>
          <w:p w14:paraId="175EBDD2" w14:textId="77777777" w:rsidR="00931CC1" w:rsidRPr="00A32897" w:rsidRDefault="00931CC1" w:rsidP="00931CC1">
            <w:pPr>
              <w:pStyle w:val="ListParagraph"/>
              <w:numPr>
                <w:ilvl w:val="0"/>
                <w:numId w:val="20"/>
              </w:numPr>
              <w:ind w:left="320" w:hanging="116"/>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32897">
              <w:rPr>
                <w:rFonts w:ascii="Calibri" w:hAnsi="Calibri" w:cs="Calibri"/>
                <w:bCs/>
                <w:sz w:val="18"/>
                <w:szCs w:val="18"/>
              </w:rPr>
              <w:t xml:space="preserve">Promote economic development, increase productivity and thus raise standards of living in the less-developed areas of the world </w:t>
            </w:r>
            <w:r w:rsidRPr="00A32897">
              <w:rPr>
                <w:rFonts w:ascii="Calibri" w:hAnsi="Calibri" w:cs="Calibri"/>
                <w:sz w:val="18"/>
                <w:szCs w:val="18"/>
              </w:rPr>
              <w:t>included within IDA’s membership</w:t>
            </w:r>
          </w:p>
          <w:p w14:paraId="6EF4132B" w14:textId="77777777" w:rsidR="00931CC1" w:rsidRDefault="00931CC1" w:rsidP="00931CC1">
            <w:pPr>
              <w:pStyle w:val="ListParagraph"/>
              <w:numPr>
                <w:ilvl w:val="0"/>
                <w:numId w:val="20"/>
              </w:numPr>
              <w:ind w:left="320" w:hanging="116"/>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32897">
              <w:rPr>
                <w:rFonts w:ascii="Calibri" w:hAnsi="Calibri" w:cs="Calibri"/>
                <w:bCs/>
                <w:sz w:val="18"/>
                <w:szCs w:val="18"/>
              </w:rPr>
              <w:t>Provide finance to meet these countries’ important developmental requirements on terms which are more flexible and bear less heavily on the balance of payments than those of conventional loans</w:t>
            </w:r>
            <w:r w:rsidRPr="00A32897">
              <w:rPr>
                <w:rFonts w:ascii="Calibri" w:hAnsi="Calibri" w:cs="Calibri"/>
                <w:sz w:val="18"/>
                <w:szCs w:val="18"/>
              </w:rPr>
              <w:t xml:space="preserve">, thereby furthering the developmental objectives of IBRD </w:t>
            </w:r>
          </w:p>
          <w:p w14:paraId="28A4DC7C" w14:textId="6ADB024C" w:rsidR="00B06002" w:rsidRPr="00A32897" w:rsidRDefault="00B06002" w:rsidP="00B06002">
            <w:pPr>
              <w:pStyle w:val="ListParagraph"/>
              <w:ind w:left="320"/>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tc>
      </w:tr>
    </w:tbl>
    <w:p w14:paraId="207775E7" w14:textId="4DD8B052" w:rsidR="00B06002" w:rsidRDefault="00931CC1" w:rsidP="00CF189D">
      <w:r w:rsidRPr="00A32897">
        <w:rPr>
          <w:rFonts w:ascii="Calibri" w:eastAsia="Calibri" w:hAnsi="Calibri" w:cs="Calibri"/>
          <w:noProof/>
          <w:sz w:val="22"/>
          <w:szCs w:val="22"/>
          <w:lang w:eastAsia="en-GB"/>
        </w:rPr>
        <w:lastRenderedPageBreak/>
        <w:t xml:space="preserve"> </w:t>
      </w:r>
      <w:bookmarkStart w:id="182" w:name="_Toc29580578"/>
    </w:p>
    <w:p w14:paraId="71005080" w14:textId="77777777" w:rsidR="00B8225C" w:rsidRDefault="00B8225C">
      <w:pPr>
        <w:spacing w:line="360" w:lineRule="auto"/>
        <w:rPr>
          <w:rFonts w:ascii="Calibri" w:hAnsi="Calibri" w:cs="Calibri"/>
          <w:b/>
          <w:sz w:val="26"/>
          <w:szCs w:val="26"/>
        </w:rPr>
      </w:pPr>
      <w:r>
        <w:rPr>
          <w:rFonts w:ascii="Calibri" w:hAnsi="Calibri" w:cs="Calibri"/>
          <w:b/>
          <w:sz w:val="26"/>
          <w:szCs w:val="26"/>
        </w:rPr>
        <w:br w:type="page"/>
      </w:r>
    </w:p>
    <w:p w14:paraId="66F536EA" w14:textId="1A0EBC32" w:rsidR="00931CC1" w:rsidRPr="00DB3887" w:rsidRDefault="00931CC1" w:rsidP="00931CC1">
      <w:pPr>
        <w:pStyle w:val="Heading2"/>
        <w:spacing w:before="0"/>
        <w:rPr>
          <w:rFonts w:ascii="Calibri" w:hAnsi="Calibri" w:cs="Calibri"/>
          <w:b/>
          <w:sz w:val="26"/>
          <w:szCs w:val="26"/>
        </w:rPr>
      </w:pPr>
      <w:bookmarkStart w:id="183" w:name="_Toc41505725"/>
      <w:r w:rsidRPr="00DB3887">
        <w:rPr>
          <w:rFonts w:ascii="Calibri" w:hAnsi="Calibri" w:cs="Calibri"/>
          <w:b/>
          <w:sz w:val="26"/>
          <w:szCs w:val="26"/>
        </w:rPr>
        <w:lastRenderedPageBreak/>
        <w:t>Appendix X. Drivers of the Onchocerciasis Chemotherapy Project (OCT)</w:t>
      </w:r>
      <w:bookmarkEnd w:id="182"/>
      <w:bookmarkEnd w:id="183"/>
    </w:p>
    <w:p w14:paraId="6848ABB0" w14:textId="77777777" w:rsidR="00931CC1" w:rsidRPr="00A32897" w:rsidRDefault="00931CC1" w:rsidP="00931CC1">
      <w:pPr>
        <w:spacing w:before="100" w:beforeAutospacing="1" w:after="100" w:afterAutospacing="1"/>
        <w:ind w:firstLine="709"/>
        <w:rPr>
          <w:rFonts w:ascii="Calibri" w:hAnsi="Calibri" w:cs="Calibri"/>
          <w:sz w:val="22"/>
          <w:szCs w:val="22"/>
        </w:rPr>
      </w:pPr>
      <w:r w:rsidRPr="00A32897">
        <w:rPr>
          <w:rFonts w:ascii="Calibri" w:hAnsi="Calibri" w:cs="Calibri"/>
          <w:sz w:val="22"/>
          <w:szCs w:val="22"/>
        </w:rPr>
        <w:t>A 1972 UNDP-financed meeting, the WHO Consultation on the Chemotherapy of Onchocerciasis, highlighted the risks associated with the two existing onchocerciasis drugs.</w:t>
      </w:r>
      <w:r w:rsidRPr="00A32897">
        <w:rPr>
          <w:rStyle w:val="FootnoteReference"/>
          <w:rFonts w:ascii="Calibri" w:hAnsi="Calibri" w:cs="Calibri"/>
          <w:sz w:val="22"/>
          <w:szCs w:val="22"/>
        </w:rPr>
        <w:footnoteReference w:id="1045"/>
      </w:r>
      <w:r w:rsidRPr="00A32897">
        <w:rPr>
          <w:rFonts w:ascii="Calibri" w:hAnsi="Calibri" w:cs="Calibri"/>
          <w:sz w:val="22"/>
          <w:szCs w:val="22"/>
        </w:rPr>
        <w:t xml:space="preserve"> The first drug, diethylcarbamazine (DEC), was a microfilaricide. It worked against worm larvae, not adults, had recently caused fatalities in Ethiopia, and was only considered suitable for patients without severe malnutrition or co-morbidities, as it caused a powerful immune reaction (the Mazzotti reaction) that could put patients into a coma. This toxicity, and the fact that the drug had to be taken at regular intervals, meant that it could only be safely administered by trained medical professionals to patients who could be actively monitored.</w:t>
      </w:r>
      <w:r w:rsidRPr="00A32897">
        <w:rPr>
          <w:rStyle w:val="FootnoteReference"/>
          <w:rFonts w:ascii="Calibri" w:hAnsi="Calibri" w:cs="Calibri"/>
          <w:sz w:val="22"/>
          <w:szCs w:val="22"/>
        </w:rPr>
        <w:footnoteReference w:id="1046"/>
      </w:r>
      <w:r w:rsidRPr="00A32897">
        <w:rPr>
          <w:rFonts w:ascii="Calibri" w:hAnsi="Calibri" w:cs="Calibri"/>
          <w:sz w:val="22"/>
          <w:szCs w:val="22"/>
        </w:rPr>
        <w:t xml:space="preserve"> The second drug, suramin, was a macrofilaricide, which made it more useful for curing onchocerciasis (although existing ocular damage was irreversible). However, it also had the potential to be highly toxic, and patients needed to be carefully monitored in a hospital environment.</w:t>
      </w:r>
      <w:r w:rsidRPr="00A32897">
        <w:rPr>
          <w:rStyle w:val="FootnoteReference"/>
          <w:rFonts w:ascii="Calibri" w:hAnsi="Calibri" w:cs="Calibri"/>
          <w:sz w:val="22"/>
          <w:szCs w:val="22"/>
        </w:rPr>
        <w:footnoteReference w:id="1047"/>
      </w:r>
      <w:r w:rsidRPr="00A32897">
        <w:rPr>
          <w:rFonts w:ascii="Calibri" w:hAnsi="Calibri" w:cs="Calibri"/>
          <w:sz w:val="22"/>
          <w:szCs w:val="22"/>
        </w:rPr>
        <w:t xml:space="preserve"> While it had been applied at a large-scale in Venezuela without problems, little data was available on suramin’s safety in Africa, and a treatment campaign in Ghana was halted in the 1960s after three sudden deaths.</w:t>
      </w:r>
      <w:r w:rsidRPr="00A32897">
        <w:rPr>
          <w:rStyle w:val="FootnoteReference"/>
          <w:rFonts w:ascii="Calibri" w:hAnsi="Calibri" w:cs="Calibri"/>
          <w:sz w:val="22"/>
          <w:szCs w:val="22"/>
        </w:rPr>
        <w:footnoteReference w:id="1048"/>
      </w:r>
      <w:r w:rsidRPr="00A32897">
        <w:rPr>
          <w:rFonts w:ascii="Calibri" w:hAnsi="Calibri" w:cs="Calibri"/>
          <w:sz w:val="22"/>
          <w:szCs w:val="22"/>
        </w:rPr>
        <w:t xml:space="preserve"> Other drugs in the pipeline at the start of the OCP either showed little promise of efficacy or were similarly toxic.</w:t>
      </w:r>
      <w:r w:rsidRPr="00A32897">
        <w:rPr>
          <w:rStyle w:val="FootnoteReference"/>
          <w:rFonts w:ascii="Calibri" w:hAnsi="Calibri" w:cs="Calibri"/>
          <w:sz w:val="22"/>
          <w:szCs w:val="22"/>
        </w:rPr>
        <w:footnoteReference w:id="1049"/>
      </w:r>
      <w:r w:rsidRPr="00A32897">
        <w:rPr>
          <w:rFonts w:ascii="Calibri" w:hAnsi="Calibri" w:cs="Calibri"/>
          <w:sz w:val="22"/>
          <w:szCs w:val="22"/>
        </w:rPr>
        <w:t xml:space="preserve"> In short, the consultation underscored that ‘the risks of adverse reactions and the incomplete knowledge of the toxicity of these drugs in the treatment of onchocerciasis are such that a mass campaign could not immediately be launched with any degree of safety under the conditions obtaining in West Africa’.</w:t>
      </w:r>
      <w:r w:rsidRPr="00A32897">
        <w:rPr>
          <w:rStyle w:val="FootnoteReference"/>
          <w:rFonts w:ascii="Calibri" w:hAnsi="Calibri" w:cs="Calibri"/>
          <w:sz w:val="22"/>
          <w:szCs w:val="22"/>
        </w:rPr>
        <w:footnoteReference w:id="1050"/>
      </w:r>
    </w:p>
    <w:p w14:paraId="46EF625E" w14:textId="77777777" w:rsidR="00931CC1" w:rsidRPr="00A32897" w:rsidRDefault="00931CC1" w:rsidP="00931CC1">
      <w:pPr>
        <w:spacing w:before="100" w:beforeAutospacing="1" w:after="100" w:afterAutospacing="1"/>
        <w:ind w:firstLine="709"/>
        <w:rPr>
          <w:rFonts w:ascii="Calibri" w:hAnsi="Calibri" w:cs="Calibri"/>
          <w:sz w:val="22"/>
          <w:szCs w:val="22"/>
        </w:rPr>
      </w:pPr>
      <w:r w:rsidRPr="00A32897">
        <w:rPr>
          <w:rFonts w:ascii="Calibri" w:hAnsi="Calibri" w:cs="Calibri"/>
          <w:sz w:val="22"/>
          <w:szCs w:val="22"/>
        </w:rPr>
        <w:t>The Special Programme for Research and Training in Tropical Diseases (TDR) began to fund chemotherapy research two years after the OCP was launched, and its filariasis unit invested about $1 million a year on onchocerciasis drug screening and clinical trials.</w:t>
      </w:r>
      <w:r w:rsidRPr="00A32897">
        <w:rPr>
          <w:rStyle w:val="FootnoteReference"/>
          <w:rFonts w:ascii="Calibri" w:hAnsi="Calibri" w:cs="Calibri"/>
          <w:sz w:val="22"/>
          <w:szCs w:val="22"/>
        </w:rPr>
        <w:footnoteReference w:id="1051"/>
      </w:r>
      <w:r w:rsidRPr="00A32897">
        <w:rPr>
          <w:rFonts w:ascii="Calibri" w:hAnsi="Calibri" w:cs="Calibri"/>
          <w:sz w:val="22"/>
          <w:szCs w:val="22"/>
        </w:rPr>
        <w:t xml:space="preserve"> While TDR did develop some clinical research centres in West Africa,</w:t>
      </w:r>
      <w:r w:rsidRPr="00A32897">
        <w:rPr>
          <w:rStyle w:val="FootnoteReference"/>
          <w:rFonts w:ascii="Calibri" w:hAnsi="Calibri" w:cs="Calibri"/>
          <w:sz w:val="22"/>
          <w:szCs w:val="22"/>
        </w:rPr>
        <w:footnoteReference w:id="1052"/>
      </w:r>
      <w:r w:rsidRPr="00A32897">
        <w:rPr>
          <w:rFonts w:ascii="Calibri" w:hAnsi="Calibri" w:cs="Calibri"/>
          <w:sz w:val="22"/>
          <w:szCs w:val="22"/>
        </w:rPr>
        <w:t xml:space="preserve"> the Bank viewed TDR’s competitive advantage to be in basic (not applied) research.</w:t>
      </w:r>
      <w:r w:rsidRPr="00A32897">
        <w:rPr>
          <w:rStyle w:val="FootnoteReference"/>
          <w:rFonts w:ascii="Calibri" w:hAnsi="Calibri" w:cs="Calibri"/>
          <w:sz w:val="22"/>
          <w:szCs w:val="22"/>
        </w:rPr>
        <w:footnoteReference w:id="1053"/>
      </w:r>
      <w:r w:rsidRPr="00A32897">
        <w:rPr>
          <w:rFonts w:ascii="Calibri" w:hAnsi="Calibri" w:cs="Calibri"/>
          <w:sz w:val="22"/>
          <w:szCs w:val="22"/>
        </w:rPr>
        <w:t xml:space="preserve"> In 1980, two OCP reports ‘disquietingly’ argued that chemotherapy research needed to be urgently accelerated to protect the OCP’s public health gains. One of these reports, authored by the Independent Commission and endorsed by the Expert Advisory Committee, stated that ‘the major factor restraining industry is the relatively limited world sales potential, which had to be set against a financial commitment of 20 or more million dollars for drug development’. This meant that a chemotherapy fund needed to be ‘of this magnitude to be effective in stimulating additional drug development by private firms’.</w:t>
      </w:r>
      <w:r w:rsidRPr="00A32897">
        <w:rPr>
          <w:rStyle w:val="FootnoteReference"/>
          <w:rFonts w:ascii="Calibri" w:hAnsi="Calibri" w:cs="Calibri"/>
          <w:sz w:val="22"/>
          <w:szCs w:val="22"/>
        </w:rPr>
        <w:footnoteReference w:id="1054"/>
      </w:r>
      <w:r w:rsidRPr="00A32897">
        <w:rPr>
          <w:rFonts w:ascii="Calibri" w:hAnsi="Calibri" w:cs="Calibri"/>
          <w:sz w:val="22"/>
          <w:szCs w:val="22"/>
        </w:rPr>
        <w:t xml:space="preserve"> James Lee, one of the earliest health specialists at the Bank (and the Bank’s champion of the Ecological Panel) reacted strongly to the second report, the WHO’s Fifth Report to the Expert Committee on Vector Biology and Control, and stated that:</w:t>
      </w:r>
    </w:p>
    <w:p w14:paraId="689D8B69" w14:textId="77777777" w:rsidR="00931CC1" w:rsidRPr="00B06002" w:rsidRDefault="00931CC1" w:rsidP="00931CC1">
      <w:pPr>
        <w:pStyle w:val="Quote"/>
        <w:ind w:left="862" w:right="862"/>
        <w:rPr>
          <w:rFonts w:cs="Calibri"/>
          <w:i/>
          <w:iCs w:val="0"/>
          <w:color w:val="auto"/>
          <w:sz w:val="22"/>
          <w:szCs w:val="22"/>
          <w:lang w:val="en-GB"/>
        </w:rPr>
      </w:pPr>
      <w:r w:rsidRPr="00B06002">
        <w:rPr>
          <w:rFonts w:cs="Calibri"/>
          <w:i/>
          <w:sz w:val="22"/>
          <w:szCs w:val="22"/>
          <w:lang w:val="en-GB"/>
        </w:rPr>
        <w:lastRenderedPageBreak/>
        <w:t>‘Unless and until a suitable prophylactic is developed, mid- and long-term control of onchocerciasis becomes very questionable. And, frankly, the TDR Programme is not expected to provide such a compound in the foreseeable future. If the pharmaceutical sector were actively involved in this R&amp;D, the outcome might possibly be different – but, alas, the private sector is on the periphery of this endeavour…with no immediate hope for either a suitable prophylactic or chemotherapeutic compound, I cannot be hopeful about the ultimate success of the OCP.’</w:t>
      </w:r>
      <w:r w:rsidRPr="00B06002">
        <w:rPr>
          <w:rStyle w:val="FootnoteReference"/>
          <w:rFonts w:cs="Calibri"/>
          <w:i/>
          <w:sz w:val="22"/>
          <w:szCs w:val="22"/>
          <w:lang w:val="en-GB"/>
        </w:rPr>
        <w:footnoteReference w:id="1055"/>
      </w:r>
    </w:p>
    <w:p w14:paraId="7EFA1E1F" w14:textId="77777777" w:rsidR="00931CC1" w:rsidRPr="00A32897" w:rsidRDefault="00931CC1" w:rsidP="00931CC1">
      <w:pPr>
        <w:spacing w:before="100" w:beforeAutospacing="1" w:after="100" w:afterAutospacing="1"/>
        <w:ind w:firstLine="720"/>
        <w:rPr>
          <w:rFonts w:ascii="Calibri" w:hAnsi="Calibri" w:cs="Calibri"/>
          <w:sz w:val="22"/>
          <w:szCs w:val="22"/>
        </w:rPr>
      </w:pPr>
      <w:r w:rsidRPr="00A32897">
        <w:rPr>
          <w:rFonts w:ascii="Calibri" w:hAnsi="Calibri" w:cs="Calibri"/>
          <w:sz w:val="22"/>
          <w:szCs w:val="22"/>
        </w:rPr>
        <w:t>Like it had questioned the WHO’s management and planning abilities for the OCP as a whole, the Bank questioned if WHO’s technical expertise could sufficiently guide TDR and OCP chemotherapy research. In 1982, West African department staff member Stephen Denning argued internally that:</w:t>
      </w:r>
    </w:p>
    <w:p w14:paraId="5C628971" w14:textId="77777777" w:rsidR="00931CC1" w:rsidRPr="00B06002" w:rsidRDefault="00931CC1" w:rsidP="00931CC1">
      <w:pPr>
        <w:pStyle w:val="Quote"/>
        <w:ind w:left="862" w:right="862"/>
        <w:rPr>
          <w:rFonts w:cs="Calibri"/>
          <w:i/>
          <w:sz w:val="22"/>
          <w:szCs w:val="22"/>
          <w:lang w:val="en-GB"/>
        </w:rPr>
      </w:pPr>
      <w:r w:rsidRPr="00B06002">
        <w:rPr>
          <w:rFonts w:cs="Calibri"/>
          <w:i/>
          <w:sz w:val="22"/>
          <w:szCs w:val="22"/>
          <w:lang w:val="en-GB"/>
        </w:rPr>
        <w:t>‘It is fair to point out that the technical advice we received from WHO in 1974 was fundamentally flawed on the basic issue as to whether a larviciding campaign could in principle succeed.  Whatever the reason, I have a growing feeling that it is increasingly hazardous to rely totally on WHO’s technical advice, though it is not clear that there is any better advice available… Bank cannot rely only on WHO advice due to the politicization, interim of original WHO office of Brazzaville, absence of technical staff in Geneva committed to supervision of OCP. There is an obvious problem of decreasing technical competence mainly due to the weakness of the team spirit.’</w:t>
      </w:r>
      <w:r w:rsidRPr="00B06002">
        <w:rPr>
          <w:rStyle w:val="FootnoteReference"/>
          <w:rFonts w:cs="Calibri"/>
          <w:i/>
          <w:sz w:val="22"/>
          <w:szCs w:val="22"/>
          <w:lang w:val="en-GB"/>
        </w:rPr>
        <w:t xml:space="preserve"> </w:t>
      </w:r>
      <w:r w:rsidRPr="00B06002">
        <w:rPr>
          <w:rStyle w:val="FootnoteReference"/>
          <w:rFonts w:cs="Calibri"/>
          <w:i/>
          <w:sz w:val="22"/>
          <w:szCs w:val="22"/>
          <w:lang w:val="en-GB"/>
        </w:rPr>
        <w:footnoteReference w:id="1056"/>
      </w:r>
    </w:p>
    <w:p w14:paraId="4B3F8965" w14:textId="77777777" w:rsidR="00931CC1" w:rsidRPr="00A32897" w:rsidRDefault="00931CC1" w:rsidP="00931CC1">
      <w:pPr>
        <w:spacing w:before="100" w:beforeAutospacing="1" w:after="100" w:afterAutospacing="1"/>
        <w:rPr>
          <w:rFonts w:ascii="Calibri" w:hAnsi="Calibri" w:cs="Calibri"/>
          <w:sz w:val="22"/>
          <w:szCs w:val="22"/>
        </w:rPr>
      </w:pPr>
      <w:r w:rsidRPr="00A32897">
        <w:rPr>
          <w:rFonts w:ascii="Calibri" w:hAnsi="Calibri" w:cs="Calibri"/>
          <w:sz w:val="22"/>
          <w:szCs w:val="22"/>
        </w:rPr>
        <w:t>Later that year, the Bank decided that it should become technically involved in chemotherapy research. TDR was the only international programme able to coordinate drug development for onchocerciasis, but it was ‘academically inclined towards pure research with little experience in managing such a process in a business-like fashion’. Because metabolic knowledge of the onchocerciasis parasite was very limited, the best approach to take would be ‘a trial and error method using chemical compounds in the “library” of drug firms’. Primary animal screens for drug candidates from this library would have to be improved; the often prohibitive costs of toxicity testing (up to $500,000 per compound) would have to be subsidized; TDR could provide the clinical research centres necessary for testing; and the OCP could foot the bill required for clinical/field testing.</w:t>
      </w:r>
      <w:r w:rsidRPr="00A32897">
        <w:rPr>
          <w:rStyle w:val="FootnoteReference"/>
          <w:rFonts w:ascii="Calibri" w:hAnsi="Calibri" w:cs="Calibri"/>
          <w:sz w:val="22"/>
          <w:szCs w:val="22"/>
        </w:rPr>
        <w:footnoteReference w:id="1057"/>
      </w:r>
      <w:r w:rsidRPr="00A32897">
        <w:rPr>
          <w:rFonts w:ascii="Calibri" w:hAnsi="Calibri" w:cs="Calibri"/>
          <w:sz w:val="22"/>
          <w:szCs w:val="22"/>
        </w:rPr>
        <w:t xml:space="preserve"> Using its budgetary prowess and burgeoning technical expertise, the Bank could guard these funds and provide the much needed business-link to TDR.</w:t>
      </w:r>
      <w:r w:rsidRPr="00A32897">
        <w:rPr>
          <w:rStyle w:val="FootnoteReference"/>
          <w:rFonts w:ascii="Calibri" w:hAnsi="Calibri" w:cs="Calibri"/>
          <w:sz w:val="22"/>
          <w:szCs w:val="22"/>
        </w:rPr>
        <w:footnoteReference w:id="1058"/>
      </w:r>
    </w:p>
    <w:p w14:paraId="6E452ADD" w14:textId="77777777" w:rsidR="00691BB4" w:rsidRPr="00691BB4" w:rsidRDefault="00691BB4" w:rsidP="00CF189D">
      <w:pPr>
        <w:spacing w:before="100" w:beforeAutospacing="1" w:after="100" w:afterAutospacing="1"/>
        <w:rPr>
          <w:rFonts w:ascii="Calibri" w:hAnsi="Calibri" w:cs="Calibri"/>
          <w:sz w:val="22"/>
          <w:szCs w:val="22"/>
        </w:rPr>
      </w:pPr>
      <w:bookmarkStart w:id="184" w:name="_Toc29580581"/>
    </w:p>
    <w:p w14:paraId="603AB9BA" w14:textId="77777777" w:rsidR="00B8225C" w:rsidRDefault="00B8225C">
      <w:pPr>
        <w:spacing w:line="360" w:lineRule="auto"/>
        <w:rPr>
          <w:rFonts w:ascii="Calibri" w:hAnsi="Calibri" w:cs="Calibri"/>
          <w:b/>
          <w:sz w:val="26"/>
          <w:szCs w:val="26"/>
        </w:rPr>
      </w:pPr>
      <w:r>
        <w:rPr>
          <w:rFonts w:ascii="Calibri" w:hAnsi="Calibri" w:cs="Calibri"/>
          <w:b/>
          <w:sz w:val="26"/>
          <w:szCs w:val="26"/>
        </w:rPr>
        <w:br w:type="page"/>
      </w:r>
    </w:p>
    <w:p w14:paraId="32AC5A2E" w14:textId="1C4A4289" w:rsidR="00931CC1" w:rsidRPr="00DB3887" w:rsidRDefault="00931CC1" w:rsidP="00691BB4">
      <w:pPr>
        <w:pStyle w:val="Heading2"/>
        <w:spacing w:before="100" w:beforeAutospacing="1" w:after="100" w:afterAutospacing="1"/>
        <w:rPr>
          <w:rFonts w:ascii="Calibri" w:hAnsi="Calibri" w:cs="Calibri"/>
          <w:b/>
          <w:sz w:val="26"/>
          <w:szCs w:val="26"/>
        </w:rPr>
      </w:pPr>
      <w:bookmarkStart w:id="185" w:name="_Toc41505726"/>
      <w:r w:rsidRPr="00DB3887">
        <w:rPr>
          <w:rFonts w:ascii="Calibri" w:hAnsi="Calibri" w:cs="Calibri"/>
          <w:b/>
          <w:sz w:val="26"/>
          <w:szCs w:val="26"/>
        </w:rPr>
        <w:lastRenderedPageBreak/>
        <w:t>Appendix X</w:t>
      </w:r>
      <w:r w:rsidR="00F8472B">
        <w:rPr>
          <w:rFonts w:ascii="Calibri" w:hAnsi="Calibri" w:cs="Calibri"/>
          <w:b/>
          <w:sz w:val="26"/>
          <w:szCs w:val="26"/>
        </w:rPr>
        <w:t>I</w:t>
      </w:r>
      <w:r w:rsidRPr="00DB3887">
        <w:rPr>
          <w:rFonts w:ascii="Calibri" w:hAnsi="Calibri" w:cs="Calibri"/>
          <w:b/>
          <w:sz w:val="26"/>
          <w:szCs w:val="26"/>
        </w:rPr>
        <w:t>. The Bank’s evolving trust fund model for health</w:t>
      </w:r>
      <w:bookmarkEnd w:id="184"/>
      <w:r w:rsidR="00B966A9">
        <w:rPr>
          <w:rFonts w:ascii="Calibri" w:hAnsi="Calibri" w:cs="Calibri"/>
          <w:b/>
          <w:sz w:val="26"/>
          <w:szCs w:val="26"/>
        </w:rPr>
        <w:t xml:space="preserve"> during the OCP era</w:t>
      </w:r>
      <w:bookmarkEnd w:id="185"/>
    </w:p>
    <w:p w14:paraId="190C6FBA" w14:textId="77777777" w:rsidR="00931CC1" w:rsidRPr="00A32897" w:rsidRDefault="00931CC1" w:rsidP="00931CC1">
      <w:pPr>
        <w:spacing w:before="100" w:beforeAutospacing="1" w:after="100" w:afterAutospacing="1"/>
        <w:ind w:firstLine="720"/>
        <w:rPr>
          <w:rFonts w:ascii="Calibri" w:hAnsi="Calibri" w:cs="Calibri"/>
          <w:sz w:val="22"/>
          <w:szCs w:val="22"/>
        </w:rPr>
      </w:pPr>
      <w:r w:rsidRPr="00A32897">
        <w:rPr>
          <w:rFonts w:ascii="Calibri" w:hAnsi="Calibri" w:cs="Calibri"/>
          <w:sz w:val="22"/>
          <w:szCs w:val="22"/>
        </w:rPr>
        <w:t>The rise of the health sector Special Grant Programme at the Bank is inseparable from the history of other Bretton Woods institutions. Special programmes at the Bank were largely an opportunistic response to the World Health Organization (WHO)’s perceived financial weaknesses during the 1980s and 1990s. Unlike the Bank, which has weighted voting rules and a supermajority requirement (which give the United States de facto veto power), the United Nations (UN) General Assembly had a one-country, one-vote policy.</w:t>
      </w:r>
      <w:r w:rsidRPr="00A32897">
        <w:rPr>
          <w:rStyle w:val="FootnoteReference"/>
          <w:rFonts w:ascii="Calibri" w:hAnsi="Calibri" w:cs="Calibri"/>
          <w:sz w:val="22"/>
          <w:szCs w:val="22"/>
        </w:rPr>
        <w:footnoteReference w:id="1059"/>
      </w:r>
      <w:r w:rsidRPr="00A32897">
        <w:rPr>
          <w:rFonts w:ascii="Calibri" w:hAnsi="Calibri" w:cs="Calibri"/>
          <w:sz w:val="22"/>
          <w:szCs w:val="22"/>
        </w:rPr>
        <w:t xml:space="preserve"> This meant that, in the 1950s and 1960s, powerful states – particularly the United States – had to work harder to build majorities and exert their will. Graham uses principal-agent theory to explain why these UN member states have turned to a voluntary ‘pick and pay’ or ‘a la carte’ system of contributions at UN agencies. She argues that two major issues, East-West and North-South power dynamics, have historically prompted donors to look for UN influence through voluntary channels.</w:t>
      </w:r>
      <w:r w:rsidRPr="00A32897">
        <w:rPr>
          <w:rStyle w:val="FootnoteReference"/>
          <w:rFonts w:ascii="Calibri" w:hAnsi="Calibri" w:cs="Calibri"/>
          <w:sz w:val="22"/>
          <w:szCs w:val="22"/>
        </w:rPr>
        <w:footnoteReference w:id="1060"/>
      </w:r>
      <w:r w:rsidRPr="00A32897">
        <w:rPr>
          <w:rFonts w:ascii="Calibri" w:hAnsi="Calibri" w:cs="Calibri"/>
          <w:sz w:val="22"/>
          <w:szCs w:val="22"/>
        </w:rPr>
        <w:t xml:space="preserve"> </w:t>
      </w:r>
    </w:p>
    <w:p w14:paraId="0D270452" w14:textId="7B518D0E" w:rsidR="00931CC1" w:rsidRPr="00A32897" w:rsidRDefault="00931CC1" w:rsidP="00931CC1">
      <w:pPr>
        <w:spacing w:before="120" w:after="120"/>
        <w:ind w:firstLine="720"/>
        <w:rPr>
          <w:rStyle w:val="FootnoteReference"/>
          <w:rFonts w:ascii="Calibri" w:hAnsi="Calibri" w:cs="Calibri"/>
          <w:sz w:val="22"/>
          <w:szCs w:val="22"/>
        </w:rPr>
      </w:pPr>
      <w:r w:rsidRPr="00A32897">
        <w:rPr>
          <w:rFonts w:ascii="Calibri" w:hAnsi="Calibri" w:cs="Calibri"/>
          <w:sz w:val="22"/>
          <w:szCs w:val="22"/>
        </w:rPr>
        <w:t>First, according to Graham, Western nations created the Expanded Program of Technical Assistance in response to Soviet rejections of wider UN investment in economic and social program</w:t>
      </w:r>
      <w:r w:rsidR="008039C9">
        <w:rPr>
          <w:rFonts w:ascii="Calibri" w:hAnsi="Calibri" w:cs="Calibri"/>
          <w:sz w:val="22"/>
          <w:szCs w:val="22"/>
        </w:rPr>
        <w:t>me</w:t>
      </w:r>
      <w:r w:rsidRPr="00A32897">
        <w:rPr>
          <w:rFonts w:ascii="Calibri" w:hAnsi="Calibri" w:cs="Calibri"/>
          <w:sz w:val="22"/>
          <w:szCs w:val="22"/>
        </w:rPr>
        <w:t>s in the early 1950s. This program</w:t>
      </w:r>
      <w:r w:rsidR="008039C9">
        <w:rPr>
          <w:rFonts w:ascii="Calibri" w:hAnsi="Calibri" w:cs="Calibri"/>
          <w:sz w:val="22"/>
          <w:szCs w:val="22"/>
        </w:rPr>
        <w:t>me</w:t>
      </w:r>
      <w:r w:rsidRPr="00A32897">
        <w:rPr>
          <w:rFonts w:ascii="Calibri" w:hAnsi="Calibri" w:cs="Calibri"/>
          <w:sz w:val="22"/>
          <w:szCs w:val="22"/>
        </w:rPr>
        <w:t xml:space="preserve"> was funded voluntarily, and effectively created a funding system outside of normal UN rules. As early as 1960, such voluntary contributions roughly equalled the mandatory assessments provided by member states. The United States was the major driver of this surge extra-budgetary funding, and it contributed roughly 70 percent of the voluntary funding to the UN.</w:t>
      </w:r>
      <w:r w:rsidRPr="00A32897">
        <w:rPr>
          <w:rStyle w:val="FootnoteReference"/>
          <w:rFonts w:ascii="Calibri" w:hAnsi="Calibri" w:cs="Calibri"/>
          <w:sz w:val="22"/>
          <w:szCs w:val="22"/>
        </w:rPr>
        <w:footnoteReference w:id="1061"/>
      </w:r>
      <w:r w:rsidRPr="00A32897">
        <w:rPr>
          <w:rStyle w:val="FootnoteReference"/>
          <w:rFonts w:ascii="Calibri" w:hAnsi="Calibri" w:cs="Calibri"/>
          <w:sz w:val="22"/>
          <w:szCs w:val="22"/>
        </w:rPr>
        <w:t xml:space="preserve"> </w:t>
      </w:r>
      <w:r w:rsidRPr="00A32897">
        <w:rPr>
          <w:rFonts w:ascii="Calibri" w:hAnsi="Calibri" w:cs="Calibri"/>
          <w:sz w:val="22"/>
          <w:szCs w:val="22"/>
        </w:rPr>
        <w:t>During this era, numerous UN programmes were founded through voluntary funding. For example, the UN Development Programme (UNDP), UN International Children’s Fund (UNICEF), UN Population Fund (UNFP), and World Food Programme were financed entirely through voluntary contributions. Other major UN agencies, like the UN Environmental Programme (UNEP), UN High Committee on Refugees (UNHCR), and UN Relief Works Administration were also funded voluntarily, except for small core-funded administrative budgets.</w:t>
      </w:r>
      <w:r w:rsidRPr="00A32897">
        <w:rPr>
          <w:rStyle w:val="FootnoteReference"/>
          <w:rFonts w:ascii="Calibri" w:hAnsi="Calibri" w:cs="Calibri"/>
          <w:sz w:val="22"/>
          <w:szCs w:val="22"/>
        </w:rPr>
        <w:footnoteReference w:id="1062"/>
      </w:r>
    </w:p>
    <w:p w14:paraId="2CDD77C9" w14:textId="77777777" w:rsidR="00931CC1" w:rsidRPr="00A32897" w:rsidRDefault="00931CC1" w:rsidP="00931CC1">
      <w:pPr>
        <w:spacing w:before="120" w:after="120"/>
        <w:ind w:firstLine="720"/>
        <w:rPr>
          <w:rFonts w:ascii="Calibri" w:hAnsi="Calibri" w:cs="Calibri"/>
          <w:sz w:val="22"/>
          <w:szCs w:val="22"/>
        </w:rPr>
      </w:pPr>
      <w:r w:rsidRPr="00A32897">
        <w:rPr>
          <w:rFonts w:ascii="Calibri" w:hAnsi="Calibri" w:cs="Calibri"/>
          <w:sz w:val="22"/>
          <w:szCs w:val="22"/>
        </w:rPr>
        <w:t>Second, Graham argues that this trend towards voluntary funding was accelerated by fears of diluted Western power at the UN General Assembly, as African states gained independence during the 1960s.</w:t>
      </w:r>
      <w:r w:rsidRPr="00A32897">
        <w:rPr>
          <w:rStyle w:val="FootnoteReference"/>
          <w:rFonts w:ascii="Calibri" w:hAnsi="Calibri" w:cs="Calibri"/>
          <w:sz w:val="22"/>
          <w:szCs w:val="22"/>
        </w:rPr>
        <w:footnoteReference w:id="1063"/>
      </w:r>
      <w:r w:rsidRPr="00A32897">
        <w:rPr>
          <w:rFonts w:ascii="Calibri" w:hAnsi="Calibri" w:cs="Calibri"/>
          <w:sz w:val="22"/>
          <w:szCs w:val="22"/>
        </w:rPr>
        <w:t xml:space="preserve"> The United States declared its authority to withhold portions of its mandatory assessments for projects with which it disagreed in 1966, and began withholding these assessments in 1985. When the weakened UN General Assembly responded by approving new consensus-based procedures, the United States’ authority over its budget increased. Assessed contributions to the UN and its specialized agencies declined throughout the 1980s and 1990s,</w:t>
      </w:r>
      <w:r w:rsidRPr="00A32897">
        <w:rPr>
          <w:rStyle w:val="FootnoteReference"/>
          <w:rFonts w:ascii="Calibri" w:hAnsi="Calibri" w:cs="Calibri"/>
          <w:sz w:val="22"/>
          <w:szCs w:val="22"/>
        </w:rPr>
        <w:footnoteReference w:id="1064"/>
      </w:r>
      <w:r w:rsidRPr="00A32897">
        <w:rPr>
          <w:rFonts w:ascii="Calibri" w:hAnsi="Calibri" w:cs="Calibri"/>
          <w:sz w:val="22"/>
          <w:szCs w:val="22"/>
        </w:rPr>
        <w:t xml:space="preserve"> and voluntary contributions surpassed assessed contributions at the WHO in 1991.</w:t>
      </w:r>
      <w:r w:rsidRPr="00A32897">
        <w:rPr>
          <w:rStyle w:val="FootnoteReference"/>
          <w:rFonts w:ascii="Calibri" w:hAnsi="Calibri" w:cs="Calibri"/>
          <w:sz w:val="22"/>
          <w:szCs w:val="22"/>
        </w:rPr>
        <w:footnoteReference w:id="1065"/>
      </w:r>
      <w:r w:rsidRPr="00A32897">
        <w:rPr>
          <w:rStyle w:val="FootnoteReference"/>
          <w:rFonts w:ascii="Calibri" w:hAnsi="Calibri" w:cs="Calibri"/>
          <w:sz w:val="22"/>
          <w:szCs w:val="22"/>
        </w:rPr>
        <w:t xml:space="preserve"> </w:t>
      </w:r>
      <w:r w:rsidRPr="00A32897">
        <w:rPr>
          <w:rFonts w:ascii="Calibri" w:hAnsi="Calibri" w:cs="Calibri"/>
          <w:sz w:val="22"/>
          <w:szCs w:val="22"/>
        </w:rPr>
        <w:t xml:space="preserve"> In 2000-2005, the percentage of resources arriving through voluntary channels at UN agencies ranged from 35-40 percent (at the International Labor Organization) to 60-70 percent (at the WHO). By the 2000s, about 80 percent of the voluntary funds at the WHO were earmarked to non-core projects, undermining the WHO General Assembly’s ability to set its own priorities.</w:t>
      </w:r>
      <w:r w:rsidRPr="00A32897">
        <w:rPr>
          <w:rStyle w:val="FootnoteReference"/>
          <w:rFonts w:ascii="Calibri" w:hAnsi="Calibri" w:cs="Calibri"/>
          <w:sz w:val="22"/>
          <w:szCs w:val="22"/>
        </w:rPr>
        <w:footnoteReference w:id="1066"/>
      </w:r>
    </w:p>
    <w:p w14:paraId="47492420" w14:textId="361063B2" w:rsidR="00931CC1" w:rsidRDefault="00931CC1" w:rsidP="00931CC1">
      <w:pPr>
        <w:spacing w:before="120" w:after="120"/>
        <w:ind w:firstLine="720"/>
        <w:rPr>
          <w:rFonts w:ascii="Calibri" w:hAnsi="Calibri" w:cs="Calibri"/>
          <w:sz w:val="22"/>
          <w:szCs w:val="22"/>
        </w:rPr>
      </w:pPr>
      <w:r w:rsidRPr="00A32897">
        <w:rPr>
          <w:rFonts w:ascii="Calibri" w:hAnsi="Calibri" w:cs="Calibri"/>
          <w:sz w:val="22"/>
          <w:szCs w:val="22"/>
        </w:rPr>
        <w:lastRenderedPageBreak/>
        <w:t>The Bank capitalized on the ‘WHO’s failure to provide adequate budgetary support for priority factors’ and the ‘all-time low’ donor confidence in WHO top management in the mid-1980s.</w:t>
      </w:r>
      <w:r w:rsidRPr="00A32897">
        <w:rPr>
          <w:rFonts w:ascii="Calibri" w:hAnsi="Calibri" w:cs="Calibri"/>
        </w:rPr>
        <w:t xml:space="preserve"> </w:t>
      </w:r>
      <w:r w:rsidRPr="00A32897">
        <w:rPr>
          <w:rFonts w:ascii="Calibri" w:hAnsi="Calibri" w:cs="Calibri"/>
          <w:sz w:val="22"/>
          <w:szCs w:val="22"/>
        </w:rPr>
        <w:t xml:space="preserve"> </w:t>
      </w:r>
      <w:r w:rsidR="00B966A9">
        <w:rPr>
          <w:rFonts w:ascii="Calibri" w:hAnsi="Calibri" w:cs="Calibri"/>
          <w:sz w:val="22"/>
          <w:szCs w:val="22"/>
        </w:rPr>
        <w:t>This</w:t>
      </w:r>
      <w:r w:rsidRPr="00A32897">
        <w:rPr>
          <w:rFonts w:ascii="Calibri" w:hAnsi="Calibri" w:cs="Calibri"/>
          <w:sz w:val="22"/>
          <w:szCs w:val="22"/>
        </w:rPr>
        <w:t xml:space="preserve"> funding was a long-term commitment from the Bank to multi-donor and multi-country projects, either for research and technology transfer (i.e. the Early Childhood Development Program), global public goods (i.e. the OCP/African Programme for Onchocerciasis Control [APOC] and Global Micronutrient Initiative), or strengthening ties between non-governmental organizations (NGOs) and the Bank (i.e. the Population NGOs Program).</w:t>
      </w:r>
      <w:r w:rsidRPr="00A32897">
        <w:rPr>
          <w:rStyle w:val="FootnoteReference"/>
          <w:rFonts w:ascii="Calibri" w:hAnsi="Calibri" w:cs="Calibri"/>
          <w:sz w:val="22"/>
          <w:szCs w:val="22"/>
        </w:rPr>
        <w:footnoteReference w:id="1067"/>
      </w:r>
      <w:r w:rsidRPr="00A32897">
        <w:rPr>
          <w:rFonts w:ascii="Calibri" w:hAnsi="Calibri" w:cs="Calibri"/>
          <w:sz w:val="22"/>
          <w:szCs w:val="22"/>
        </w:rPr>
        <w:t xml:space="preserve"> The WHO received over half of the Special Grant Programme health sector financing ($12 of $20 million in PHN grants in FY1996). In essence, as it had for the first time during the OCP, the Bank became a channel through which donors – including itself – could contribute voluntarily to the WHO for health areas that they prioritised, while benefitting from the Bank’s low-risk financial status.</w:t>
      </w:r>
    </w:p>
    <w:p w14:paraId="4656E1DD" w14:textId="4330AF07" w:rsidR="00931CC1" w:rsidRDefault="00931CC1" w:rsidP="00931CC1">
      <w:pPr>
        <w:ind w:firstLine="720"/>
        <w:rPr>
          <w:rFonts w:ascii="Calibri" w:hAnsi="Calibri" w:cs="Calibri"/>
          <w:sz w:val="22"/>
          <w:szCs w:val="22"/>
        </w:rPr>
      </w:pPr>
      <w:r w:rsidRPr="00A32897">
        <w:rPr>
          <w:rFonts w:ascii="Calibri" w:hAnsi="Calibri" w:cs="Calibri"/>
          <w:sz w:val="22"/>
          <w:szCs w:val="22"/>
        </w:rPr>
        <w:t>In the late 1990s and early 2000s, investments in health continued to be financed through Bank trust funds (through the Development Grant Facility, which replaced the Special Grant Programme), which received grants from the Bank (and other donors), and supported regional or global-level projects. While many of these programmes received Bank grants, they were less focused on the WHO and UN specialized agencies, as the Bank created its own umbrella trust fund facilities</w:t>
      </w:r>
      <w:r w:rsidR="00B966A9">
        <w:rPr>
          <w:rFonts w:ascii="Calibri" w:hAnsi="Calibri" w:cs="Calibri"/>
          <w:sz w:val="22"/>
          <w:szCs w:val="22"/>
        </w:rPr>
        <w:t>.</w:t>
      </w:r>
      <w:r w:rsidRPr="00A32897">
        <w:rPr>
          <w:rStyle w:val="FootnoteReference"/>
          <w:rFonts w:ascii="Calibri" w:hAnsi="Calibri" w:cs="Calibri"/>
          <w:sz w:val="22"/>
          <w:szCs w:val="22"/>
        </w:rPr>
        <w:footnoteReference w:id="1068"/>
      </w:r>
      <w:r w:rsidRPr="00A32897">
        <w:rPr>
          <w:rFonts w:ascii="Calibri" w:hAnsi="Calibri" w:cs="Calibri"/>
          <w:sz w:val="22"/>
          <w:szCs w:val="22"/>
        </w:rPr>
        <w:t xml:space="preserve"> Like during the OCP, donors often initially elected to invest in trust funds supporting regional or global programmes because they wanted to apply cost-effectiveness strategies to WHO operations.</w:t>
      </w:r>
      <w:r w:rsidRPr="00A32897">
        <w:rPr>
          <w:rStyle w:val="FootnoteReference"/>
          <w:rFonts w:ascii="Calibri" w:hAnsi="Calibri" w:cs="Calibri"/>
          <w:sz w:val="22"/>
          <w:szCs w:val="22"/>
        </w:rPr>
        <w:footnoteReference w:id="1069"/>
      </w:r>
      <w:r w:rsidRPr="00A32897">
        <w:rPr>
          <w:rFonts w:ascii="Calibri" w:hAnsi="Calibri" w:cs="Calibri"/>
          <w:sz w:val="22"/>
          <w:szCs w:val="22"/>
        </w:rPr>
        <w:t xml:space="preserve"> </w:t>
      </w:r>
    </w:p>
    <w:p w14:paraId="6838F856" w14:textId="77777777" w:rsidR="00691BB4" w:rsidRPr="00A32897" w:rsidRDefault="00691BB4" w:rsidP="00931CC1">
      <w:pPr>
        <w:ind w:firstLine="720"/>
        <w:rPr>
          <w:rFonts w:ascii="Calibri" w:hAnsi="Calibri" w:cs="Calibri"/>
          <w:color w:val="000000" w:themeColor="text1"/>
          <w:sz w:val="22"/>
          <w:szCs w:val="22"/>
        </w:rPr>
      </w:pPr>
    </w:p>
    <w:p w14:paraId="751F1787" w14:textId="77777777" w:rsidR="00B8225C" w:rsidRDefault="00B8225C" w:rsidP="0038701F">
      <w:pPr>
        <w:pStyle w:val="Heading2"/>
        <w:spacing w:before="100" w:beforeAutospacing="1" w:after="100" w:afterAutospacing="1"/>
        <w:rPr>
          <w:rFonts w:ascii="Calibri" w:hAnsi="Calibri" w:cs="Calibri"/>
          <w:b/>
          <w:sz w:val="26"/>
          <w:szCs w:val="26"/>
        </w:rPr>
      </w:pPr>
    </w:p>
    <w:p w14:paraId="760FAEE9" w14:textId="77777777" w:rsidR="00B8225C" w:rsidRDefault="00B8225C">
      <w:pPr>
        <w:spacing w:line="360" w:lineRule="auto"/>
        <w:rPr>
          <w:rFonts w:ascii="Calibri" w:hAnsi="Calibri" w:cs="Calibri"/>
          <w:b/>
          <w:sz w:val="26"/>
          <w:szCs w:val="26"/>
        </w:rPr>
      </w:pPr>
      <w:r>
        <w:rPr>
          <w:rFonts w:ascii="Calibri" w:hAnsi="Calibri" w:cs="Calibri"/>
          <w:b/>
          <w:sz w:val="26"/>
          <w:szCs w:val="26"/>
        </w:rPr>
        <w:br w:type="page"/>
      </w:r>
    </w:p>
    <w:p w14:paraId="066FC24C" w14:textId="44D68DEE" w:rsidR="0038701F" w:rsidRPr="00DB3887" w:rsidRDefault="0038701F" w:rsidP="0038701F">
      <w:pPr>
        <w:pStyle w:val="Heading2"/>
        <w:spacing w:before="100" w:beforeAutospacing="1" w:after="100" w:afterAutospacing="1"/>
        <w:rPr>
          <w:rFonts w:ascii="Calibri" w:hAnsi="Calibri" w:cs="Calibri"/>
          <w:b/>
          <w:sz w:val="26"/>
          <w:szCs w:val="26"/>
        </w:rPr>
      </w:pPr>
      <w:bookmarkStart w:id="186" w:name="_Toc41505727"/>
      <w:r w:rsidRPr="00DB3887">
        <w:rPr>
          <w:rFonts w:ascii="Calibri" w:hAnsi="Calibri" w:cs="Calibri"/>
          <w:b/>
          <w:sz w:val="26"/>
          <w:szCs w:val="26"/>
        </w:rPr>
        <w:lastRenderedPageBreak/>
        <w:t>Appendix X</w:t>
      </w:r>
      <w:r w:rsidR="00191ADA">
        <w:rPr>
          <w:rFonts w:ascii="Calibri" w:hAnsi="Calibri" w:cs="Calibri"/>
          <w:b/>
          <w:sz w:val="26"/>
          <w:szCs w:val="26"/>
        </w:rPr>
        <w:t>I</w:t>
      </w:r>
      <w:r w:rsidR="00BD059A">
        <w:rPr>
          <w:rFonts w:ascii="Calibri" w:hAnsi="Calibri" w:cs="Calibri"/>
          <w:b/>
          <w:sz w:val="26"/>
          <w:szCs w:val="26"/>
        </w:rPr>
        <w:t>I</w:t>
      </w:r>
      <w:r w:rsidRPr="00DB3887">
        <w:rPr>
          <w:rFonts w:ascii="Calibri" w:hAnsi="Calibri" w:cs="Calibri"/>
          <w:b/>
          <w:sz w:val="26"/>
          <w:szCs w:val="26"/>
        </w:rPr>
        <w:t>. The rise of public-private partnerships for neglected tropical disease control</w:t>
      </w:r>
      <w:bookmarkEnd w:id="186"/>
      <w:r w:rsidRPr="00DB3887">
        <w:rPr>
          <w:rFonts w:ascii="Calibri" w:hAnsi="Calibri" w:cs="Calibri"/>
          <w:b/>
          <w:sz w:val="26"/>
          <w:szCs w:val="26"/>
        </w:rPr>
        <w:t xml:space="preserve"> </w:t>
      </w:r>
    </w:p>
    <w:p w14:paraId="6CE4124B" w14:textId="0802B0F2" w:rsidR="0038701F" w:rsidRDefault="0038701F" w:rsidP="0038701F">
      <w:pPr>
        <w:spacing w:before="100" w:beforeAutospacing="1" w:after="100" w:afterAutospacing="1"/>
        <w:ind w:firstLine="720"/>
        <w:rPr>
          <w:rFonts w:ascii="Calibri" w:hAnsi="Calibri" w:cs="Calibri"/>
          <w:sz w:val="22"/>
          <w:szCs w:val="22"/>
        </w:rPr>
      </w:pPr>
      <w:r w:rsidRPr="00691BB4">
        <w:rPr>
          <w:rFonts w:ascii="Calibri" w:hAnsi="Calibri" w:cs="Calibri"/>
          <w:sz w:val="22"/>
          <w:szCs w:val="22"/>
        </w:rPr>
        <w:t>The surge in extra-budgetary aid since 1990 financed a particular type governance structure within global health: the public-private partnership (PPP). In the case of neglected tropical diseases like onchocerciasis, most PPPs are either product development (PD) or access to medicine (access) PPPs.</w:t>
      </w:r>
      <w:r w:rsidRPr="00691BB4">
        <w:rPr>
          <w:rStyle w:val="FootnoteReference"/>
          <w:rFonts w:ascii="Calibri" w:hAnsi="Calibri" w:cs="Calibri"/>
          <w:sz w:val="22"/>
          <w:szCs w:val="22"/>
        </w:rPr>
        <w:footnoteReference w:id="1070"/>
      </w:r>
      <w:r>
        <w:rPr>
          <w:rFonts w:ascii="Calibri" w:hAnsi="Calibri" w:cs="Calibri"/>
          <w:sz w:val="22"/>
          <w:szCs w:val="22"/>
        </w:rPr>
        <w:t xml:space="preserve"> </w:t>
      </w:r>
      <w:r w:rsidRPr="00A32897">
        <w:rPr>
          <w:rFonts w:ascii="Calibri" w:hAnsi="Calibri" w:cs="Calibri"/>
          <w:sz w:val="22"/>
          <w:szCs w:val="22"/>
        </w:rPr>
        <w:t>PPPs grew quickly towards the end of the OCP.</w:t>
      </w:r>
      <w:r>
        <w:rPr>
          <w:rFonts w:ascii="Calibri" w:hAnsi="Calibri" w:cs="Calibri"/>
          <w:sz w:val="22"/>
          <w:szCs w:val="22"/>
        </w:rPr>
        <w:t xml:space="preserve"> </w:t>
      </w:r>
      <w:r w:rsidRPr="00A32897">
        <w:rPr>
          <w:rFonts w:ascii="Calibri" w:hAnsi="Calibri" w:cs="Calibri"/>
          <w:sz w:val="22"/>
          <w:szCs w:val="22"/>
        </w:rPr>
        <w:t xml:space="preserve"> By 2002, the Gates Foundation-sponsored Initiative on Public-Private Partnerships for Health (IPPPH) described over 75 PPPs for health initiatives, of which sixty percent were formed after 1996.</w:t>
      </w:r>
      <w:r w:rsidRPr="00A32897">
        <w:rPr>
          <w:rStyle w:val="FootnoteReference"/>
          <w:rFonts w:ascii="Calibri" w:hAnsi="Calibri" w:cs="Calibri"/>
          <w:sz w:val="22"/>
          <w:szCs w:val="22"/>
        </w:rPr>
        <w:footnoteReference w:id="1071"/>
      </w:r>
      <w:r w:rsidRPr="00A32897">
        <w:rPr>
          <w:rFonts w:ascii="Calibri" w:hAnsi="Calibri" w:cs="Calibri"/>
          <w:sz w:val="22"/>
          <w:szCs w:val="22"/>
        </w:rPr>
        <w:t xml:space="preserve"> Just two years later, Nishtar and IPPPH identified 96 health sector PPPs, of which the majority (76) were dedicated to infectious disease prevention or control, mostly for the ‘big three’ (HIV/AIDS, tuberculosis, and malaria).</w:t>
      </w:r>
      <w:r w:rsidRPr="00A32897">
        <w:rPr>
          <w:rStyle w:val="FootnoteReference"/>
          <w:rFonts w:ascii="Calibri" w:hAnsi="Calibri" w:cs="Calibri"/>
          <w:sz w:val="22"/>
          <w:szCs w:val="22"/>
        </w:rPr>
        <w:footnoteReference w:id="1072"/>
      </w:r>
      <w:r w:rsidRPr="00A32897">
        <w:rPr>
          <w:rFonts w:ascii="Calibri" w:hAnsi="Calibri" w:cs="Calibri"/>
          <w:sz w:val="22"/>
          <w:szCs w:val="22"/>
        </w:rPr>
        <w:t xml:space="preserve"> An IPPPH analysis of early PPPs declared that the first PD PPP was established in 1996 (the International AIDS Vaccine Initiative), while the first drug development PD PPP was launched three years later at the behest of the United Nations Development Programme (UNDP), World Bank, and TDR (the Medicines for Malaria Venture).</w:t>
      </w:r>
      <w:r w:rsidRPr="00A32897">
        <w:rPr>
          <w:rStyle w:val="FootnoteReference"/>
          <w:rFonts w:ascii="Calibri" w:hAnsi="Calibri" w:cs="Calibri"/>
          <w:sz w:val="22"/>
          <w:szCs w:val="22"/>
        </w:rPr>
        <w:footnoteReference w:id="1073"/>
      </w:r>
    </w:p>
    <w:p w14:paraId="334265A3" w14:textId="73D3FE95" w:rsidR="0038701F" w:rsidRPr="00A32897" w:rsidRDefault="0038701F" w:rsidP="00CF189D">
      <w:pPr>
        <w:spacing w:before="100" w:beforeAutospacing="1" w:after="100" w:afterAutospacing="1"/>
        <w:ind w:firstLine="720"/>
        <w:rPr>
          <w:rFonts w:ascii="Calibri" w:hAnsi="Calibri" w:cs="Calibri"/>
          <w:sz w:val="22"/>
          <w:szCs w:val="22"/>
        </w:rPr>
      </w:pPr>
      <w:r w:rsidRPr="00A32897">
        <w:rPr>
          <w:rFonts w:ascii="Calibri" w:hAnsi="Calibri" w:cs="Calibri"/>
          <w:sz w:val="22"/>
          <w:szCs w:val="22"/>
        </w:rPr>
        <w:t>PD PPPs have accelerated even further over the last decade. According to the International Federation of Pharmaceutical Manufacturers Association’s World Health Partnership Directory, as of 2017 there were more than 200 pharmaceutical PD PPPs in operation or completed since 2010, targeting low and middle income countries. About 70 of these PPPs targeted neglected tropical diseases (NTDs).</w:t>
      </w:r>
      <w:r w:rsidRPr="00A32897">
        <w:rPr>
          <w:rStyle w:val="FootnoteReference"/>
          <w:rFonts w:ascii="Calibri" w:hAnsi="Calibri" w:cs="Calibri"/>
          <w:sz w:val="22"/>
          <w:szCs w:val="22"/>
        </w:rPr>
        <w:footnoteReference w:id="1074"/>
      </w:r>
      <w:r w:rsidRPr="00A32897">
        <w:rPr>
          <w:rFonts w:ascii="Calibri" w:hAnsi="Calibri" w:cs="Calibri"/>
          <w:sz w:val="22"/>
          <w:szCs w:val="22"/>
        </w:rPr>
        <w:tab/>
      </w:r>
    </w:p>
    <w:p w14:paraId="1B580AFB" w14:textId="77777777" w:rsidR="0038701F" w:rsidRPr="00A32897" w:rsidRDefault="0038701F" w:rsidP="0038701F">
      <w:pPr>
        <w:spacing w:before="240" w:after="240"/>
        <w:ind w:firstLine="720"/>
        <w:jc w:val="both"/>
        <w:rPr>
          <w:rFonts w:ascii="Calibri" w:hAnsi="Calibri" w:cs="Calibri"/>
          <w:sz w:val="22"/>
          <w:szCs w:val="22"/>
        </w:rPr>
      </w:pPr>
      <w:r w:rsidRPr="00A32897">
        <w:rPr>
          <w:rFonts w:ascii="Calibri" w:hAnsi="Calibri" w:cs="Calibri"/>
          <w:sz w:val="22"/>
          <w:szCs w:val="22"/>
        </w:rPr>
        <w:t>The Gates Foundation and, to a lesser extent, the Rockefeller Foundation, have been central to spearheading the PPP model, and have often used World Bank efficiency statistics in the process. Bill Gates’s interest in PPPs was at least partially motivated by the OCP and Mectizan Donation Programmes’ focuses on new technology and public relations value. For instance, Gates cited Merck CEO Roy Vagelos’s decision to donate ivermectin as being ‘as important to the history of global health as the breaching of the Berlin Wall was to democracy…the moment when a corporation had the audacity to make social need more than profits’.</w:t>
      </w:r>
      <w:r w:rsidRPr="00A32897">
        <w:rPr>
          <w:rStyle w:val="FootnoteReference"/>
          <w:rFonts w:ascii="Calibri" w:hAnsi="Calibri" w:cs="Calibri"/>
          <w:sz w:val="22"/>
          <w:szCs w:val="22"/>
        </w:rPr>
        <w:footnoteReference w:id="1075"/>
      </w:r>
      <w:r w:rsidRPr="00A32897">
        <w:rPr>
          <w:rFonts w:ascii="Calibri" w:hAnsi="Calibri" w:cs="Calibri"/>
          <w:sz w:val="22"/>
          <w:szCs w:val="22"/>
        </w:rPr>
        <w:t xml:space="preserve"> Bank Health, Nutrition</w:t>
      </w:r>
      <w:r>
        <w:rPr>
          <w:rFonts w:ascii="Calibri" w:hAnsi="Calibri" w:cs="Calibri"/>
          <w:sz w:val="22"/>
          <w:szCs w:val="22"/>
        </w:rPr>
        <w:t>,</w:t>
      </w:r>
      <w:r w:rsidRPr="00A32897">
        <w:rPr>
          <w:rFonts w:ascii="Calibri" w:hAnsi="Calibri" w:cs="Calibri"/>
          <w:sz w:val="22"/>
          <w:szCs w:val="22"/>
        </w:rPr>
        <w:t xml:space="preserve"> and Population Director Tim Evans has similar argued that Merck’s ‘unparalleled donation has triggered a transformation in pharmaceutical donations for NTDs’.</w:t>
      </w:r>
      <w:r w:rsidRPr="00A32897">
        <w:rPr>
          <w:rStyle w:val="FootnoteReference"/>
          <w:rFonts w:ascii="Calibri" w:hAnsi="Calibri" w:cs="Calibri"/>
          <w:sz w:val="22"/>
          <w:szCs w:val="22"/>
        </w:rPr>
        <w:footnoteReference w:id="1076"/>
      </w:r>
      <w:r w:rsidRPr="00A32897">
        <w:rPr>
          <w:rFonts w:ascii="Calibri" w:hAnsi="Calibri" w:cs="Calibri"/>
          <w:sz w:val="22"/>
          <w:szCs w:val="22"/>
        </w:rPr>
        <w:t xml:space="preserve"> Bank articles often present the OCP and the African Programme for Onchocerciasis Control as pioneering PPPs, and sometimes incorrectly attribute OCP metrics (like the 25 million hectares figure) to the APOC partnership.</w:t>
      </w:r>
      <w:r w:rsidRPr="00A32897">
        <w:rPr>
          <w:rStyle w:val="FootnoteReference"/>
          <w:rFonts w:ascii="Calibri" w:hAnsi="Calibri" w:cs="Calibri"/>
          <w:sz w:val="22"/>
          <w:szCs w:val="22"/>
        </w:rPr>
        <w:footnoteReference w:id="1077"/>
      </w:r>
    </w:p>
    <w:p w14:paraId="1BAA01DF" w14:textId="77777777" w:rsidR="0038701F" w:rsidRPr="00A32897" w:rsidRDefault="0038701F" w:rsidP="0038701F">
      <w:pPr>
        <w:spacing w:before="240" w:after="240"/>
        <w:ind w:firstLine="720"/>
        <w:jc w:val="both"/>
        <w:rPr>
          <w:rFonts w:ascii="Calibri" w:hAnsi="Calibri" w:cs="Calibri"/>
          <w:sz w:val="22"/>
          <w:szCs w:val="22"/>
        </w:rPr>
      </w:pPr>
      <w:r w:rsidRPr="00A32897">
        <w:rPr>
          <w:rFonts w:ascii="Calibri" w:hAnsi="Calibri" w:cs="Calibri"/>
          <w:sz w:val="22"/>
          <w:szCs w:val="22"/>
        </w:rPr>
        <w:t xml:space="preserve">Both foundations have been heavily involved in setting-up PD PPPs for neglected diseases in the Global South. These PPPs are less ‘ad hoc’ than the earlier OCT and TDR drug development models, typically rely on business drug development models and medium-term secured budgets, and include </w:t>
      </w:r>
      <w:r w:rsidRPr="00A32897">
        <w:rPr>
          <w:rFonts w:ascii="Calibri" w:hAnsi="Calibri" w:cs="Calibri"/>
          <w:sz w:val="22"/>
          <w:szCs w:val="22"/>
        </w:rPr>
        <w:lastRenderedPageBreak/>
        <w:t>industrial partners on governance boards or as development partners.</w:t>
      </w:r>
      <w:r w:rsidRPr="00A32897">
        <w:rPr>
          <w:rStyle w:val="FootnoteReference"/>
          <w:rFonts w:ascii="Calibri" w:hAnsi="Calibri" w:cs="Calibri"/>
          <w:sz w:val="22"/>
          <w:szCs w:val="22"/>
        </w:rPr>
        <w:footnoteReference w:id="1078"/>
      </w:r>
      <w:r w:rsidRPr="00A32897">
        <w:rPr>
          <w:rFonts w:ascii="Calibri" w:hAnsi="Calibri" w:cs="Calibri"/>
          <w:sz w:val="22"/>
          <w:szCs w:val="22"/>
        </w:rPr>
        <w:t xml:space="preserve"> For instance, the International AIDS Vaccine Initiative was ‘incubated’ by the Rockefeller Foundation, and later infused with funds from the Gates Foundation. One or both foundations were similarly seminal in either launching or providing financing to the Medicines for Malaria Venture, TB Alliance (est. 2000), International Partnership for Microbicides (est. 2001), Paediatric Dengue Vaccine Initiative (est. 2001), and the Schistosomiasis Control Initiative (est. 2002).</w:t>
      </w:r>
      <w:r w:rsidRPr="00A32897">
        <w:rPr>
          <w:rStyle w:val="FootnoteReference"/>
          <w:rFonts w:ascii="Calibri" w:hAnsi="Calibri" w:cs="Calibri"/>
          <w:sz w:val="22"/>
          <w:szCs w:val="22"/>
        </w:rPr>
        <w:footnoteReference w:id="1079"/>
      </w:r>
      <w:r w:rsidRPr="00A32897">
        <w:rPr>
          <w:rFonts w:ascii="Calibri" w:hAnsi="Calibri" w:cs="Calibri"/>
          <w:sz w:val="22"/>
          <w:szCs w:val="22"/>
        </w:rPr>
        <w:t xml:space="preserve"> By 2011, half of the new drug formulations for NTDs worldwide were sponsored through PPPs, charities, foundations, and philanthropic institutions.</w:t>
      </w:r>
      <w:r w:rsidRPr="00A32897">
        <w:rPr>
          <w:rStyle w:val="FootnoteReference"/>
          <w:rFonts w:ascii="Calibri" w:hAnsi="Calibri" w:cs="Calibri"/>
          <w:sz w:val="22"/>
          <w:szCs w:val="22"/>
        </w:rPr>
        <w:footnoteReference w:id="1080"/>
      </w:r>
      <w:r w:rsidRPr="00A32897">
        <w:rPr>
          <w:rFonts w:ascii="Calibri" w:hAnsi="Calibri" w:cs="Calibri"/>
          <w:sz w:val="22"/>
          <w:szCs w:val="22"/>
        </w:rPr>
        <w:t xml:space="preserve"> This is largely reflective of the fact that, as described in Chapter 7, NTD drug development is a high risk and low reward enterprise, in terms of profit.</w:t>
      </w:r>
      <w:r w:rsidRPr="00A32897">
        <w:rPr>
          <w:rStyle w:val="FootnoteReference"/>
          <w:rFonts w:ascii="Calibri" w:hAnsi="Calibri" w:cs="Calibri"/>
          <w:sz w:val="22"/>
          <w:szCs w:val="22"/>
        </w:rPr>
        <w:footnoteReference w:id="1081"/>
      </w:r>
      <w:r w:rsidRPr="00A32897">
        <w:rPr>
          <w:rFonts w:ascii="Calibri" w:hAnsi="Calibri" w:cs="Calibri"/>
          <w:sz w:val="22"/>
          <w:szCs w:val="22"/>
        </w:rPr>
        <w:t xml:space="preserve"> The Gates Foundation has pushed for ‘creative capitalism’ for NTD PPPs, relying on a variety of push and pull mechanisms, which show similarities to the four options proposed for the OCT (see Chapter 7).</w:t>
      </w:r>
      <w:r w:rsidRPr="00A32897">
        <w:rPr>
          <w:rStyle w:val="FootnoteReference"/>
          <w:rFonts w:ascii="Calibri" w:hAnsi="Calibri" w:cs="Calibri"/>
          <w:sz w:val="22"/>
          <w:szCs w:val="22"/>
        </w:rPr>
        <w:footnoteReference w:id="1082"/>
      </w:r>
    </w:p>
    <w:p w14:paraId="641694D0" w14:textId="77777777" w:rsidR="0038701F" w:rsidRPr="00A32897" w:rsidRDefault="0038701F" w:rsidP="0038701F">
      <w:pPr>
        <w:spacing w:before="240" w:after="240"/>
        <w:ind w:firstLine="720"/>
        <w:jc w:val="both"/>
        <w:rPr>
          <w:rFonts w:ascii="Calibri" w:hAnsi="Calibri" w:cs="Calibri"/>
          <w:sz w:val="22"/>
          <w:szCs w:val="22"/>
        </w:rPr>
      </w:pPr>
      <w:r w:rsidRPr="00A32897">
        <w:rPr>
          <w:rFonts w:ascii="Calibri" w:hAnsi="Calibri" w:cs="Calibri"/>
          <w:sz w:val="22"/>
          <w:szCs w:val="22"/>
        </w:rPr>
        <w:t>In 2010, the Gates Foundation and 10 pharmaceutical company CEOs signed onto the ‘London Declaration’, which formalized their commitment to expanding PD PPPs for NTDs. The pledge was similar to that that Merck made more onchocerciasis over twenty years previously; companies would ‘guarantee the donation of an unlimited amount of medicines’ for ten NTDs ‘for the foreseeable future’. In other words, ‘strong public-private partnerships’ were to ‘be key for continuing progress’ with disease control and wider health system strengthening.</w:t>
      </w:r>
      <w:r w:rsidRPr="00A32897">
        <w:rPr>
          <w:rStyle w:val="FootnoteReference"/>
          <w:rFonts w:ascii="Calibri" w:hAnsi="Calibri" w:cs="Calibri"/>
          <w:sz w:val="22"/>
          <w:szCs w:val="22"/>
        </w:rPr>
        <w:footnoteReference w:id="1083"/>
      </w:r>
      <w:r w:rsidRPr="00A32897">
        <w:rPr>
          <w:rFonts w:ascii="Calibri" w:hAnsi="Calibri" w:cs="Calibri"/>
          <w:sz w:val="22"/>
          <w:szCs w:val="22"/>
        </w:rPr>
        <w:t xml:space="preserve"> The Bank and WHO were both fully on-board with the declaration. A Bank news item, for instance, declared that integrated disease control PPPs ‘presents an exceptional opportunity for development partners to build on the success of river blindness programs and expand the effort to address all preventable NTDs using a common community delivery system to distribute medicines’.</w:t>
      </w:r>
      <w:r w:rsidRPr="00A32897">
        <w:rPr>
          <w:rStyle w:val="FootnoteReference"/>
          <w:rFonts w:ascii="Calibri" w:hAnsi="Calibri" w:cs="Calibri"/>
          <w:sz w:val="22"/>
          <w:szCs w:val="22"/>
        </w:rPr>
        <w:footnoteReference w:id="1084"/>
      </w:r>
      <w:r w:rsidRPr="00A32897">
        <w:rPr>
          <w:rFonts w:ascii="Calibri" w:hAnsi="Calibri" w:cs="Calibri"/>
          <w:sz w:val="22"/>
          <w:szCs w:val="22"/>
        </w:rPr>
        <w:t xml:space="preserve"> Again, it linked PPPs with innovative financing and the idea of catalysis; every new dollar invested in NTD program</w:t>
      </w:r>
      <w:r>
        <w:rPr>
          <w:rFonts w:ascii="Calibri" w:hAnsi="Calibri" w:cs="Calibri"/>
          <w:sz w:val="22"/>
          <w:szCs w:val="22"/>
        </w:rPr>
        <w:t>me</w:t>
      </w:r>
      <w:r w:rsidRPr="00A32897">
        <w:rPr>
          <w:rFonts w:ascii="Calibri" w:hAnsi="Calibri" w:cs="Calibri"/>
          <w:sz w:val="22"/>
          <w:szCs w:val="22"/>
        </w:rPr>
        <w:t xml:space="preserve"> implementation was projected to prompt the delivery of up to ten dollars in donated drugs.</w:t>
      </w:r>
      <w:r w:rsidRPr="00A32897">
        <w:rPr>
          <w:rStyle w:val="FootnoteReference"/>
          <w:rFonts w:ascii="Calibri" w:hAnsi="Calibri" w:cs="Calibri"/>
          <w:sz w:val="22"/>
          <w:szCs w:val="22"/>
        </w:rPr>
        <w:footnoteReference w:id="1085"/>
      </w:r>
      <w:r w:rsidRPr="00A32897">
        <w:rPr>
          <w:rFonts w:ascii="Calibri" w:hAnsi="Calibri" w:cs="Calibri"/>
          <w:sz w:val="22"/>
          <w:szCs w:val="22"/>
        </w:rPr>
        <w:t xml:space="preserve"> The 2012 United to Combat NTDs conference, which was convened by the Gates Foundation, Bank, WHO, United Kingdom Department for International Development (DFID), United States International Development Agency (USAID), and Global Alliance for the Elimination of Lymphatic Filariasis (a PPP involving the WHO and Bank), translated the London Declaration into action, bringing in close to $20 billion in drug pledges from the pharmaceutical industry.</w:t>
      </w:r>
      <w:r w:rsidRPr="00A32897">
        <w:rPr>
          <w:rStyle w:val="FootnoteReference"/>
          <w:rFonts w:ascii="Calibri" w:hAnsi="Calibri" w:cs="Calibri"/>
          <w:sz w:val="22"/>
          <w:szCs w:val="22"/>
        </w:rPr>
        <w:footnoteReference w:id="1086"/>
      </w:r>
    </w:p>
    <w:p w14:paraId="5157D05E" w14:textId="77777777" w:rsidR="0038701F" w:rsidRPr="00A32897" w:rsidRDefault="0038701F" w:rsidP="0038701F">
      <w:pPr>
        <w:spacing w:before="240" w:after="240"/>
        <w:ind w:firstLine="720"/>
        <w:jc w:val="both"/>
        <w:rPr>
          <w:rFonts w:ascii="Calibri" w:hAnsi="Calibri" w:cs="Calibri"/>
          <w:sz w:val="22"/>
          <w:szCs w:val="22"/>
        </w:rPr>
      </w:pPr>
      <w:r w:rsidRPr="00A32897">
        <w:rPr>
          <w:rFonts w:ascii="Calibri" w:hAnsi="Calibri" w:cs="Calibri"/>
          <w:sz w:val="22"/>
          <w:szCs w:val="22"/>
        </w:rPr>
        <w:t xml:space="preserve">Taken together, funding from private foundations like the Gates Foundation, pledges from pharmaceutical agencies, and interest from the Bank and WHO, has made PD PPPs the major vehicles for financing NTD control. The Regional Strategy for NTDs (2014-2020), based on the WHO’s Global </w:t>
      </w:r>
      <w:r w:rsidRPr="00A32897">
        <w:rPr>
          <w:rFonts w:ascii="Calibri" w:hAnsi="Calibri" w:cs="Calibri"/>
          <w:sz w:val="22"/>
          <w:szCs w:val="22"/>
        </w:rPr>
        <w:lastRenderedPageBreak/>
        <w:t>Roadmap for NTDs and adopted by African ministers in 2013, is centred firmly on drug donation. By 2014, more than 70 countries had designed these plans for multiple NTDs, with pharmaceutical companies ‘fulfilling commitments’ to expand drug donations valued at $19 billion through 2020.</w:t>
      </w:r>
      <w:r w:rsidRPr="00A32897">
        <w:rPr>
          <w:rStyle w:val="FootnoteReference"/>
          <w:rFonts w:ascii="Calibri" w:hAnsi="Calibri" w:cs="Calibri"/>
          <w:sz w:val="22"/>
          <w:szCs w:val="22"/>
        </w:rPr>
        <w:footnoteReference w:id="1087"/>
      </w:r>
      <w:r w:rsidRPr="00A32897">
        <w:rPr>
          <w:rFonts w:ascii="Calibri" w:hAnsi="Calibri" w:cs="Calibri"/>
          <w:sz w:val="22"/>
          <w:szCs w:val="22"/>
        </w:rPr>
        <w:t xml:space="preserve"> While Liese et al. have reflected that such integrated NTD control arrangements often ‘result in a high amount of donor dependence, high transaction costs, and difficulties with sustainability’,</w:t>
      </w:r>
      <w:r w:rsidRPr="00A32897">
        <w:rPr>
          <w:rStyle w:val="FootnoteReference"/>
          <w:rFonts w:ascii="Calibri" w:hAnsi="Calibri" w:cs="Calibri"/>
          <w:sz w:val="22"/>
          <w:szCs w:val="22"/>
        </w:rPr>
        <w:footnoteReference w:id="1088"/>
      </w:r>
      <w:r w:rsidRPr="00A32897">
        <w:rPr>
          <w:rFonts w:ascii="Calibri" w:hAnsi="Calibri" w:cs="Calibri"/>
          <w:sz w:val="22"/>
          <w:szCs w:val="22"/>
        </w:rPr>
        <w:t xml:space="preserve"> these arrangements continue to be embraced by the Gates Foundation, WHO, and Bank. Preventative chemotherapy distribution reached 1 billion tablets in 2015, and WHO Director General Margaret Chan wrote in 2017 that ‘the SDGs [Sustainable Development Goals] can be realized only through strong commitments to building global partnership and cooperation, including partnerships among governments, the private sector and civil society’.</w:t>
      </w:r>
      <w:r w:rsidRPr="00A32897">
        <w:rPr>
          <w:rStyle w:val="FootnoteReference"/>
          <w:rFonts w:ascii="Calibri" w:hAnsi="Calibri" w:cs="Calibri"/>
          <w:sz w:val="22"/>
          <w:szCs w:val="22"/>
        </w:rPr>
        <w:footnoteReference w:id="1089"/>
      </w:r>
      <w:r w:rsidRPr="00A32897">
        <w:rPr>
          <w:rFonts w:ascii="Calibri" w:hAnsi="Calibri" w:cs="Calibri"/>
          <w:sz w:val="22"/>
          <w:szCs w:val="22"/>
        </w:rPr>
        <w:t xml:space="preserve"> In spite of its pro-poor agenda, the Bank has also invested limited IDA/IBRD core funding towards NTDs.</w:t>
      </w:r>
      <w:r w:rsidRPr="00A32897">
        <w:rPr>
          <w:rStyle w:val="FootnoteReference"/>
          <w:rFonts w:ascii="Calibri" w:hAnsi="Calibri" w:cs="Calibri"/>
          <w:sz w:val="22"/>
          <w:szCs w:val="22"/>
        </w:rPr>
        <w:footnoteReference w:id="1090"/>
      </w:r>
    </w:p>
    <w:p w14:paraId="010F6B83" w14:textId="77777777" w:rsidR="00691BB4" w:rsidRPr="00A32897" w:rsidRDefault="00691BB4" w:rsidP="00931CC1">
      <w:pPr>
        <w:spacing w:before="240" w:after="240"/>
        <w:rPr>
          <w:rFonts w:ascii="Calibri" w:hAnsi="Calibri" w:cs="Calibri"/>
          <w:sz w:val="22"/>
          <w:szCs w:val="22"/>
        </w:rPr>
      </w:pPr>
    </w:p>
    <w:p w14:paraId="76E3C09E" w14:textId="77777777" w:rsidR="00691BB4" w:rsidRPr="00A32897" w:rsidRDefault="00691BB4" w:rsidP="00691BB4">
      <w:pPr>
        <w:spacing w:before="100" w:beforeAutospacing="1" w:after="100" w:afterAutospacing="1"/>
        <w:rPr>
          <w:rFonts w:ascii="Calibri" w:hAnsi="Calibri" w:cs="Calibri"/>
          <w:sz w:val="22"/>
          <w:szCs w:val="22"/>
        </w:rPr>
      </w:pPr>
    </w:p>
    <w:p w14:paraId="7418E692" w14:textId="77777777" w:rsidR="00931CC1" w:rsidRPr="00A32897" w:rsidRDefault="00931CC1" w:rsidP="00931CC1">
      <w:pPr>
        <w:rPr>
          <w:rFonts w:ascii="Calibri" w:hAnsi="Calibri" w:cs="Calibri"/>
          <w:sz w:val="22"/>
          <w:szCs w:val="22"/>
        </w:rPr>
      </w:pPr>
    </w:p>
    <w:p w14:paraId="7A527036" w14:textId="77777777" w:rsidR="00931CC1" w:rsidRPr="00A32897" w:rsidRDefault="00931CC1" w:rsidP="00931CC1">
      <w:pPr>
        <w:rPr>
          <w:rFonts w:ascii="Calibri" w:hAnsi="Calibri" w:cs="Calibri"/>
          <w:sz w:val="22"/>
          <w:szCs w:val="22"/>
        </w:rPr>
      </w:pPr>
    </w:p>
    <w:p w14:paraId="47A7CD84" w14:textId="77777777" w:rsidR="00931CC1" w:rsidRPr="00A32897" w:rsidRDefault="00931CC1" w:rsidP="00931CC1">
      <w:pPr>
        <w:rPr>
          <w:rFonts w:ascii="Calibri" w:hAnsi="Calibri" w:cs="Calibri"/>
        </w:rPr>
      </w:pPr>
    </w:p>
    <w:p w14:paraId="0B840B36" w14:textId="77777777" w:rsidR="00931CC1" w:rsidRPr="00A32897" w:rsidRDefault="00931CC1" w:rsidP="00931CC1">
      <w:pPr>
        <w:jc w:val="both"/>
        <w:rPr>
          <w:rFonts w:ascii="Calibri" w:hAnsi="Calibri" w:cs="Calibri"/>
          <w:color w:val="767171" w:themeColor="background2" w:themeShade="80"/>
        </w:rPr>
      </w:pPr>
    </w:p>
    <w:p w14:paraId="63AECA51" w14:textId="77777777" w:rsidR="00931CC1" w:rsidRPr="00A32897" w:rsidRDefault="00931CC1" w:rsidP="00931CC1">
      <w:pPr>
        <w:rPr>
          <w:rFonts w:ascii="Calibri" w:hAnsi="Calibri" w:cs="Calibri"/>
          <w:sz w:val="22"/>
          <w:szCs w:val="22"/>
        </w:rPr>
      </w:pPr>
    </w:p>
    <w:p w14:paraId="6DAE63AE" w14:textId="61222442" w:rsidR="00932BBA" w:rsidRPr="00D9152B" w:rsidRDefault="00932BBA" w:rsidP="00C46E81">
      <w:pPr>
        <w:spacing w:after="160" w:line="360" w:lineRule="auto"/>
        <w:rPr>
          <w:rFonts w:ascii="Calibri" w:hAnsi="Calibri" w:cs="Calibri"/>
          <w:sz w:val="22"/>
          <w:szCs w:val="22"/>
        </w:rPr>
      </w:pPr>
    </w:p>
    <w:sectPr w:rsidR="00932BBA" w:rsidRPr="00D9152B">
      <w:footnotePr>
        <w:numRestart w:val="eachSect"/>
      </w:foot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B2B42E" w14:textId="77777777" w:rsidR="002C6AE1" w:rsidRDefault="002C6AE1" w:rsidP="009D7BFB">
      <w:r>
        <w:separator/>
      </w:r>
    </w:p>
  </w:endnote>
  <w:endnote w:type="continuationSeparator" w:id="0">
    <w:p w14:paraId="53F84378" w14:textId="77777777" w:rsidR="002C6AE1" w:rsidRDefault="002C6AE1" w:rsidP="009D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libri" w:hAnsi="Calibri" w:cs="Calibri"/>
        <w:sz w:val="22"/>
        <w:szCs w:val="22"/>
      </w:rPr>
      <w:id w:val="-779018665"/>
      <w:docPartObj>
        <w:docPartGallery w:val="Page Numbers (Bottom of Page)"/>
        <w:docPartUnique/>
      </w:docPartObj>
    </w:sdtPr>
    <w:sdtEndPr>
      <w:rPr>
        <w:noProof/>
      </w:rPr>
    </w:sdtEndPr>
    <w:sdtContent>
      <w:p w14:paraId="770D0451" w14:textId="1FB170E6" w:rsidR="00CF189D" w:rsidRPr="00DB5AC6" w:rsidRDefault="00CF189D">
        <w:pPr>
          <w:pStyle w:val="Footer"/>
          <w:jc w:val="right"/>
          <w:rPr>
            <w:rFonts w:ascii="Calibri" w:hAnsi="Calibri" w:cs="Calibri"/>
            <w:sz w:val="22"/>
            <w:szCs w:val="22"/>
          </w:rPr>
        </w:pPr>
        <w:r w:rsidRPr="00DB5AC6">
          <w:rPr>
            <w:rFonts w:ascii="Calibri" w:hAnsi="Calibri" w:cs="Calibri"/>
            <w:sz w:val="22"/>
            <w:szCs w:val="22"/>
          </w:rPr>
          <w:fldChar w:fldCharType="begin"/>
        </w:r>
        <w:r w:rsidRPr="00DB5AC6">
          <w:rPr>
            <w:rFonts w:ascii="Calibri" w:hAnsi="Calibri" w:cs="Calibri"/>
            <w:sz w:val="22"/>
            <w:szCs w:val="22"/>
          </w:rPr>
          <w:instrText xml:space="preserve"> PAGE   \* MERGEFORMAT </w:instrText>
        </w:r>
        <w:r w:rsidRPr="00DB5AC6">
          <w:rPr>
            <w:rFonts w:ascii="Calibri" w:hAnsi="Calibri" w:cs="Calibri"/>
            <w:sz w:val="22"/>
            <w:szCs w:val="22"/>
          </w:rPr>
          <w:fldChar w:fldCharType="separate"/>
        </w:r>
        <w:r w:rsidR="00573B45">
          <w:rPr>
            <w:rFonts w:ascii="Calibri" w:hAnsi="Calibri" w:cs="Calibri"/>
            <w:noProof/>
            <w:sz w:val="22"/>
            <w:szCs w:val="22"/>
          </w:rPr>
          <w:t>251</w:t>
        </w:r>
        <w:r w:rsidRPr="00DB5AC6">
          <w:rPr>
            <w:rFonts w:ascii="Calibri" w:hAnsi="Calibri" w:cs="Calibri"/>
            <w:noProof/>
            <w:sz w:val="22"/>
            <w:szCs w:val="22"/>
          </w:rPr>
          <w:fldChar w:fldCharType="end"/>
        </w:r>
      </w:p>
    </w:sdtContent>
  </w:sdt>
  <w:p w14:paraId="4651FED0" w14:textId="77777777" w:rsidR="00CF189D" w:rsidRDefault="00CF189D" w:rsidP="00AC7848">
    <w:pPr>
      <w:pStyle w:val="Footer"/>
    </w:pPr>
  </w:p>
  <w:p w14:paraId="7A8DEFDC" w14:textId="77777777" w:rsidR="00CF189D" w:rsidRDefault="00CF189D"/>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libri" w:hAnsi="Calibri" w:cs="Calibri"/>
        <w:sz w:val="22"/>
        <w:szCs w:val="22"/>
      </w:rPr>
      <w:id w:val="1049040914"/>
      <w:docPartObj>
        <w:docPartGallery w:val="Page Numbers (Bottom of Page)"/>
        <w:docPartUnique/>
      </w:docPartObj>
    </w:sdtPr>
    <w:sdtEndPr>
      <w:rPr>
        <w:noProof/>
      </w:rPr>
    </w:sdtEndPr>
    <w:sdtContent>
      <w:p w14:paraId="5A3C3FA6" w14:textId="7B928B0C" w:rsidR="00CF189D" w:rsidRPr="007A2232" w:rsidRDefault="00CF189D">
        <w:pPr>
          <w:pStyle w:val="Footer"/>
          <w:jc w:val="right"/>
          <w:rPr>
            <w:rFonts w:ascii="Calibri" w:hAnsi="Calibri" w:cs="Calibri"/>
            <w:sz w:val="22"/>
            <w:szCs w:val="22"/>
          </w:rPr>
        </w:pPr>
        <w:r w:rsidRPr="007A2232">
          <w:rPr>
            <w:rFonts w:ascii="Calibri" w:hAnsi="Calibri" w:cs="Calibri"/>
            <w:sz w:val="22"/>
            <w:szCs w:val="22"/>
          </w:rPr>
          <w:fldChar w:fldCharType="begin"/>
        </w:r>
        <w:r w:rsidRPr="007A2232">
          <w:rPr>
            <w:rFonts w:ascii="Calibri" w:hAnsi="Calibri" w:cs="Calibri"/>
            <w:sz w:val="22"/>
            <w:szCs w:val="22"/>
          </w:rPr>
          <w:instrText xml:space="preserve"> PAGE   \* MERGEFORMAT </w:instrText>
        </w:r>
        <w:r w:rsidRPr="007A2232">
          <w:rPr>
            <w:rFonts w:ascii="Calibri" w:hAnsi="Calibri" w:cs="Calibri"/>
            <w:sz w:val="22"/>
            <w:szCs w:val="22"/>
          </w:rPr>
          <w:fldChar w:fldCharType="separate"/>
        </w:r>
        <w:r w:rsidR="00573B45">
          <w:rPr>
            <w:rFonts w:ascii="Calibri" w:hAnsi="Calibri" w:cs="Calibri"/>
            <w:noProof/>
            <w:sz w:val="22"/>
            <w:szCs w:val="22"/>
          </w:rPr>
          <w:t>431</w:t>
        </w:r>
        <w:r w:rsidRPr="007A2232">
          <w:rPr>
            <w:rFonts w:ascii="Calibri" w:hAnsi="Calibri" w:cs="Calibri"/>
            <w:noProof/>
            <w:sz w:val="22"/>
            <w:szCs w:val="22"/>
          </w:rPr>
          <w:fldChar w:fldCharType="end"/>
        </w:r>
      </w:p>
    </w:sdtContent>
  </w:sdt>
  <w:p w14:paraId="69DC276D" w14:textId="77777777" w:rsidR="00CF189D" w:rsidRDefault="00CF189D" w:rsidP="00AC78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A64E77" w14:textId="77777777" w:rsidR="002C6AE1" w:rsidRDefault="002C6AE1" w:rsidP="009D7BFB">
      <w:r>
        <w:separator/>
      </w:r>
    </w:p>
  </w:footnote>
  <w:footnote w:type="continuationSeparator" w:id="0">
    <w:p w14:paraId="5153F18D" w14:textId="77777777" w:rsidR="002C6AE1" w:rsidRDefault="002C6AE1" w:rsidP="009D7BFB">
      <w:r>
        <w:continuationSeparator/>
      </w:r>
    </w:p>
  </w:footnote>
  <w:footnote w:id="1">
    <w:p w14:paraId="2B1971B8" w14:textId="7F976657"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By 1987, the OCP Documentation Centre had processed more than 1700 articles or reports and 1324 book references to onchocerciasis and the OCP. See OCP, </w:t>
      </w:r>
      <w:r w:rsidRPr="00546CBA">
        <w:rPr>
          <w:rFonts w:ascii="Calibri" w:hAnsi="Calibri" w:cs="Calibri"/>
          <w:i/>
          <w:color w:val="000000" w:themeColor="text1"/>
          <w:sz w:val="18"/>
          <w:szCs w:val="18"/>
        </w:rPr>
        <w:t xml:space="preserve">Joint Programme Committee, eighth session, Rome, 30 November – 3 December 1987 </w:t>
      </w:r>
      <w:r w:rsidRPr="00546CBA">
        <w:rPr>
          <w:rFonts w:ascii="Calibri" w:hAnsi="Calibri" w:cs="Calibri"/>
          <w:color w:val="000000" w:themeColor="text1"/>
          <w:sz w:val="18"/>
          <w:szCs w:val="18"/>
        </w:rPr>
        <w:t>(Geneva: WHO, October 1987). Appendix I provides a list of some of the newspaper articles, websites, and blogs that feature the OCP’s success. Appendix II includes photographs from these articles.</w:t>
      </w:r>
    </w:p>
  </w:footnote>
  <w:footnote w:id="2">
    <w:p w14:paraId="32F8C1FD" w14:textId="1DBF5C69" w:rsidR="00CF189D" w:rsidRPr="00546CBA" w:rsidRDefault="00CF189D" w:rsidP="0090298E">
      <w:pPr>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Major films produced by OCP partners include ‘A plague upon the land’ (1974 and 1983) and ‘Mara, the lion’s look’ (1985). Examples of these films and media showcasing the OCP are available through the World Bank Group Archives and website. See, for instance, World Bank Group, ‘Treating river blindness and other neglected tropical diseases’, 30 Jun 2014 (online), &lt;https://www.worldbank.org/en/news/video/2014/06/30/treating-river-blindness-and-other-neglected-tropical-diseases&gt; [accessed 10 May 2019]; WBGA, 1772444, ‘Bill Moyers’ journal: international report, “A conversation with Robert McNamara”’, 6 February 1975. For more on the types of audiovisuals featuring the OCP, see African Programme for Onchocerciasis Control, </w:t>
      </w:r>
      <w:r w:rsidRPr="00546CBA">
        <w:rPr>
          <w:rFonts w:ascii="Calibri" w:hAnsi="Calibri" w:cs="Calibri"/>
          <w:i/>
          <w:color w:val="000000" w:themeColor="text1"/>
          <w:sz w:val="18"/>
          <w:szCs w:val="18"/>
        </w:rPr>
        <w:t>Curriculum and training module on the Community-Directed Intervention (CDI) strategy for faculties of medicine and health sciences</w:t>
      </w:r>
      <w:r w:rsidRPr="00546CBA">
        <w:rPr>
          <w:rFonts w:ascii="Calibri" w:hAnsi="Calibri" w:cs="Calibri"/>
          <w:color w:val="000000" w:themeColor="text1"/>
          <w:sz w:val="18"/>
          <w:szCs w:val="18"/>
        </w:rPr>
        <w:t>, 2</w:t>
      </w:r>
      <w:r w:rsidRPr="00546CBA">
        <w:rPr>
          <w:rFonts w:ascii="Calibri" w:hAnsi="Calibri" w:cs="Calibri"/>
          <w:color w:val="000000" w:themeColor="text1"/>
          <w:sz w:val="18"/>
          <w:szCs w:val="18"/>
          <w:vertAlign w:val="superscript"/>
        </w:rPr>
        <w:t>nd</w:t>
      </w:r>
      <w:r w:rsidRPr="00546CBA">
        <w:rPr>
          <w:rFonts w:ascii="Calibri" w:hAnsi="Calibri" w:cs="Calibri"/>
          <w:color w:val="000000" w:themeColor="text1"/>
          <w:sz w:val="18"/>
          <w:szCs w:val="18"/>
        </w:rPr>
        <w:t xml:space="preserve"> ed (Geneva: WHO, 2012), 26, and section 9.4 of this dissertation.</w:t>
      </w:r>
    </w:p>
  </w:footnote>
  <w:footnote w:id="3">
    <w:p w14:paraId="67082127" w14:textId="52C10727"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Examples of newspaper articles featuring the OCP include Brooke J, ‘Ancient scourge loses ground in West Africa’, </w:t>
      </w:r>
      <w:r w:rsidRPr="00546CBA">
        <w:rPr>
          <w:rFonts w:ascii="Calibri" w:hAnsi="Calibri" w:cs="Calibri"/>
          <w:i/>
          <w:color w:val="000000" w:themeColor="text1"/>
          <w:sz w:val="18"/>
          <w:szCs w:val="18"/>
        </w:rPr>
        <w:t xml:space="preserve">Special to the New York Times </w:t>
      </w:r>
      <w:r w:rsidRPr="00546CBA">
        <w:rPr>
          <w:rFonts w:ascii="Calibri" w:hAnsi="Calibri" w:cs="Calibri"/>
          <w:color w:val="000000" w:themeColor="text1"/>
          <w:sz w:val="18"/>
          <w:szCs w:val="18"/>
        </w:rPr>
        <w:t xml:space="preserve">(3 September 1987); Eckholm E, ‘River blindness: conquering an ancient scourge’, </w:t>
      </w:r>
      <w:r w:rsidRPr="00546CBA">
        <w:rPr>
          <w:rFonts w:ascii="Calibri" w:hAnsi="Calibri" w:cs="Calibri"/>
          <w:i/>
          <w:color w:val="000000" w:themeColor="text1"/>
          <w:sz w:val="18"/>
          <w:szCs w:val="18"/>
        </w:rPr>
        <w:t xml:space="preserve">New York Times </w:t>
      </w:r>
      <w:r w:rsidRPr="00546CBA">
        <w:rPr>
          <w:rFonts w:ascii="Calibri" w:hAnsi="Calibri" w:cs="Calibri"/>
          <w:color w:val="000000" w:themeColor="text1"/>
          <w:sz w:val="18"/>
          <w:szCs w:val="18"/>
        </w:rPr>
        <w:t xml:space="preserve">(8 January 1989); and Duff-Brown B, ‘Taming the lion’s look: world health agency trying to stop river blindness’, </w:t>
      </w:r>
      <w:r w:rsidRPr="00546CBA">
        <w:rPr>
          <w:rFonts w:ascii="Calibri" w:hAnsi="Calibri" w:cs="Calibri"/>
          <w:i/>
          <w:color w:val="000000" w:themeColor="text1"/>
          <w:sz w:val="18"/>
          <w:szCs w:val="18"/>
        </w:rPr>
        <w:t xml:space="preserve">Associated Press </w:t>
      </w:r>
      <w:r w:rsidRPr="00546CBA">
        <w:rPr>
          <w:rFonts w:ascii="Calibri" w:hAnsi="Calibri" w:cs="Calibri"/>
          <w:color w:val="000000" w:themeColor="text1"/>
          <w:sz w:val="18"/>
          <w:szCs w:val="18"/>
        </w:rPr>
        <w:t>(22 October 1995).</w:t>
      </w:r>
    </w:p>
  </w:footnote>
  <w:footnote w:id="4">
    <w:p w14:paraId="33DF0755" w14:textId="41191346"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Ministere des affairs étragères, </w:t>
      </w:r>
      <w:r w:rsidRPr="00546CBA">
        <w:rPr>
          <w:rFonts w:ascii="Calibri" w:hAnsi="Calibri" w:cs="Calibri"/>
          <w:i/>
          <w:color w:val="000000" w:themeColor="text1"/>
          <w:sz w:val="18"/>
          <w:szCs w:val="18"/>
        </w:rPr>
        <w:t xml:space="preserve">Half a century of onchocerciasis control in West Africa: France’s commitment </w:t>
      </w:r>
      <w:r w:rsidRPr="00546CBA">
        <w:rPr>
          <w:rFonts w:ascii="Calibri" w:hAnsi="Calibri" w:cs="Calibri"/>
          <w:color w:val="000000" w:themeColor="text1"/>
          <w:sz w:val="18"/>
          <w:szCs w:val="18"/>
        </w:rPr>
        <w:t>(Paris: Institut de recherché pour le developpement, [2003]).</w:t>
      </w:r>
    </w:p>
  </w:footnote>
  <w:footnote w:id="5">
    <w:p w14:paraId="4CD8D075" w14:textId="288CD762" w:rsidR="00CF189D" w:rsidRPr="00546CBA" w:rsidRDefault="00CF189D" w:rsidP="00B86D8C">
      <w:pPr>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s.a., ‘Forty years later: the extraordinary river blindness partnership sets its sights on new goals’, </w:t>
      </w:r>
      <w:r w:rsidRPr="00546CBA">
        <w:rPr>
          <w:rFonts w:ascii="Calibri" w:hAnsi="Calibri" w:cs="Calibri"/>
          <w:i/>
          <w:color w:val="000000" w:themeColor="text1"/>
          <w:sz w:val="18"/>
          <w:szCs w:val="18"/>
        </w:rPr>
        <w:t xml:space="preserve">World Bank Group News </w:t>
      </w:r>
      <w:r w:rsidRPr="00546CBA">
        <w:rPr>
          <w:rFonts w:ascii="Calibri" w:hAnsi="Calibri" w:cs="Calibri"/>
          <w:color w:val="000000" w:themeColor="text1"/>
          <w:sz w:val="18"/>
          <w:szCs w:val="18"/>
        </w:rPr>
        <w:t>(3 July 2014).</w:t>
      </w:r>
    </w:p>
  </w:footnote>
  <w:footnote w:id="6">
    <w:p w14:paraId="133009C9" w14:textId="5C943268"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Brooke, ‘Ancient scourge’ (1987).</w:t>
      </w:r>
    </w:p>
  </w:footnote>
  <w:footnote w:id="7">
    <w:p w14:paraId="44546E05" w14:textId="587BDC6B"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Appendix II.</w:t>
      </w:r>
    </w:p>
  </w:footnote>
  <w:footnote w:id="8">
    <w:p w14:paraId="00B96973" w14:textId="4748F003"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1772444, ‘Bill Moyers’ journal: international report, “A conversation with Robert McNamara”’, 6 February 1975.</w:t>
      </w:r>
    </w:p>
  </w:footnote>
  <w:footnote w:id="9">
    <w:p w14:paraId="091C4BEB" w14:textId="6D7D7C0C"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WHO PL, WHO_A_011918, ‘In many villages the ravages of onchocerciasis are such that one guide has to lead 3 or 4 blind neighbours’. The WHO dates the photograph to 1960-1969 in Chad (UNA, s-0553-15-1, ‘Onchocerciasis control in the Volta River basin area: report of the preparatory assistance mission’, Geneva, 1973). Reproduced with permission from the WHO Photo Library. </w:t>
      </w:r>
      <w:r w:rsidRPr="00681100">
        <w:rPr>
          <w:rFonts w:ascii="Calibri" w:hAnsi="Calibri" w:cs="Calibri"/>
          <w:color w:val="000000" w:themeColor="text1"/>
          <w:sz w:val="18"/>
          <w:szCs w:val="18"/>
        </w:rPr>
        <w:t>See also WHOA, 08-370-4, C.D. Ginger to D.A. Denham, ‘Request for photograp</w:t>
      </w:r>
      <w:r w:rsidRPr="000045FB">
        <w:rPr>
          <w:rFonts w:ascii="Calibri" w:hAnsi="Calibri" w:cs="Calibri"/>
          <w:color w:val="000000" w:themeColor="text1"/>
          <w:sz w:val="18"/>
          <w:szCs w:val="18"/>
        </w:rPr>
        <w:t>h’, 11 January 1993; Wikipedia, ‘Onchocerciasis’ (online), &lt;https://en.wikipedia.org/wiki/Onchocerciasis&gt; [accessed 19 June 2019].</w:t>
      </w:r>
    </w:p>
  </w:footnote>
  <w:footnote w:id="10">
    <w:p w14:paraId="523C9A23" w14:textId="41248066" w:rsidR="00CF189D" w:rsidRPr="00DE5E29"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Examples include s.a., ‘Forty years later’ (2014); Evans T, ‘Eliminating river blindness: clear and bold vision required’, </w:t>
      </w:r>
      <w:r w:rsidRPr="000045FB">
        <w:rPr>
          <w:rFonts w:ascii="Calibri" w:hAnsi="Calibri" w:cs="Calibri"/>
          <w:i/>
          <w:color w:val="000000" w:themeColor="text1"/>
          <w:sz w:val="18"/>
          <w:szCs w:val="18"/>
        </w:rPr>
        <w:t xml:space="preserve">World Bank Blogs </w:t>
      </w:r>
      <w:r w:rsidRPr="000045FB">
        <w:rPr>
          <w:rFonts w:ascii="Calibri" w:hAnsi="Calibri" w:cs="Calibri"/>
          <w:color w:val="000000" w:themeColor="text1"/>
          <w:sz w:val="18"/>
          <w:szCs w:val="18"/>
        </w:rPr>
        <w:t xml:space="preserve">(23 June 2014); </w:t>
      </w:r>
      <w:r w:rsidRPr="000045FB">
        <w:rPr>
          <w:rFonts w:ascii="Calibri" w:hAnsi="Calibri" w:cs="Calibri"/>
          <w:color w:val="000000" w:themeColor="text1"/>
          <w:sz w:val="18"/>
          <w:szCs w:val="18"/>
          <w:shd w:val="clear" w:color="auto" w:fill="FFFFFF"/>
        </w:rPr>
        <w:t xml:space="preserve">Kim A and Benton B, </w:t>
      </w:r>
      <w:r w:rsidRPr="00581494">
        <w:rPr>
          <w:rFonts w:ascii="Calibri" w:hAnsi="Calibri" w:cs="Calibri"/>
          <w:i/>
          <w:color w:val="000000" w:themeColor="text1"/>
          <w:sz w:val="18"/>
          <w:szCs w:val="18"/>
          <w:shd w:val="clear" w:color="auto" w:fill="FFFFFF"/>
        </w:rPr>
        <w:t xml:space="preserve">Cost-benefit analysis of the Onchocerciasis Control Program (OCP) </w:t>
      </w:r>
      <w:r w:rsidRPr="00581494">
        <w:rPr>
          <w:rFonts w:ascii="Calibri" w:hAnsi="Calibri" w:cs="Calibri"/>
          <w:color w:val="000000" w:themeColor="text1"/>
          <w:sz w:val="18"/>
          <w:szCs w:val="18"/>
          <w:shd w:val="clear" w:color="auto" w:fill="FFFFFF"/>
        </w:rPr>
        <w:t>(</w:t>
      </w:r>
      <w:r w:rsidRPr="00581494">
        <w:rPr>
          <w:rFonts w:ascii="Calibri" w:hAnsi="Calibri" w:cs="Calibri"/>
          <w:color w:val="000000" w:themeColor="text1"/>
          <w:sz w:val="18"/>
          <w:szCs w:val="18"/>
        </w:rPr>
        <w:t>Washington DC: World Bank</w:t>
      </w:r>
      <w:r w:rsidRPr="00E259AA">
        <w:rPr>
          <w:rFonts w:ascii="Calibri" w:hAnsi="Calibri" w:cs="Calibri"/>
          <w:color w:val="000000" w:themeColor="text1"/>
          <w:sz w:val="18"/>
          <w:szCs w:val="18"/>
          <w:shd w:val="clear" w:color="auto" w:fill="FFFFFF"/>
        </w:rPr>
        <w:t>, 1995)</w:t>
      </w:r>
      <w:r w:rsidRPr="00E259AA">
        <w:rPr>
          <w:rFonts w:ascii="Calibri" w:hAnsi="Calibri" w:cs="Calibri"/>
          <w:color w:val="000000" w:themeColor="text1"/>
          <w:sz w:val="18"/>
          <w:szCs w:val="18"/>
        </w:rPr>
        <w:t xml:space="preserve">; Bundy et al., ‘Investing in onchocerciasis control: financial management of the African Programme for Onchocerciasis Control (APOC)’, </w:t>
      </w:r>
      <w:r w:rsidRPr="00E259AA">
        <w:rPr>
          <w:rFonts w:ascii="Calibri" w:hAnsi="Calibri" w:cs="Calibri"/>
          <w:i/>
          <w:color w:val="000000" w:themeColor="text1"/>
          <w:sz w:val="18"/>
          <w:szCs w:val="18"/>
        </w:rPr>
        <w:t xml:space="preserve">PLoS Neglected Tropical Diseases </w:t>
      </w:r>
      <w:r w:rsidRPr="00E259AA">
        <w:rPr>
          <w:rFonts w:ascii="Calibri" w:hAnsi="Calibri" w:cs="Calibri"/>
          <w:color w:val="000000" w:themeColor="text1"/>
          <w:sz w:val="18"/>
          <w:szCs w:val="18"/>
        </w:rPr>
        <w:t xml:space="preserve">9:5 (2015), e003508; Chi Tembon A and Brooke Schultz L, ‘Ending suffering from neglected tropical diseases: mission possible’, </w:t>
      </w:r>
      <w:r w:rsidRPr="00E259AA">
        <w:rPr>
          <w:rFonts w:ascii="Calibri" w:hAnsi="Calibri" w:cs="Calibri"/>
          <w:i/>
          <w:color w:val="000000" w:themeColor="text1"/>
          <w:sz w:val="18"/>
          <w:szCs w:val="18"/>
        </w:rPr>
        <w:t xml:space="preserve">World Bank Blogs </w:t>
      </w:r>
      <w:r w:rsidRPr="00E259AA">
        <w:rPr>
          <w:rFonts w:ascii="Calibri" w:hAnsi="Calibri" w:cs="Calibri"/>
          <w:color w:val="000000" w:themeColor="text1"/>
          <w:sz w:val="18"/>
          <w:szCs w:val="18"/>
        </w:rPr>
        <w:t xml:space="preserve">(2 February 2017); s.a., ‘Obituaries: Rene Le Berre, entomologist, dies at 78; directed fight against river blindness’, </w:t>
      </w:r>
      <w:r w:rsidRPr="00E259AA">
        <w:rPr>
          <w:rFonts w:ascii="Calibri" w:hAnsi="Calibri" w:cs="Calibri"/>
          <w:i/>
          <w:color w:val="000000" w:themeColor="text1"/>
          <w:sz w:val="18"/>
          <w:szCs w:val="18"/>
        </w:rPr>
        <w:t xml:space="preserve">New York Times </w:t>
      </w:r>
      <w:r w:rsidRPr="00DE5E29">
        <w:rPr>
          <w:rFonts w:ascii="Calibri" w:hAnsi="Calibri" w:cs="Calibri"/>
          <w:color w:val="000000" w:themeColor="text1"/>
          <w:sz w:val="18"/>
          <w:szCs w:val="18"/>
        </w:rPr>
        <w:t xml:space="preserve">(20 December 2010). </w:t>
      </w:r>
    </w:p>
  </w:footnote>
  <w:footnote w:id="11">
    <w:p w14:paraId="57466757" w14:textId="4F41CD2E"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McNamara RS, ‘Look how successful an aid partnership can be’, </w:t>
      </w:r>
      <w:r w:rsidRPr="00681100">
        <w:rPr>
          <w:rFonts w:ascii="Calibri" w:hAnsi="Calibri" w:cs="Calibri"/>
          <w:i/>
          <w:color w:val="000000" w:themeColor="text1"/>
          <w:sz w:val="18"/>
          <w:szCs w:val="18"/>
        </w:rPr>
        <w:t>International Herald Tribun</w:t>
      </w:r>
      <w:r w:rsidRPr="000045FB">
        <w:rPr>
          <w:rFonts w:ascii="Calibri" w:hAnsi="Calibri" w:cs="Calibri"/>
          <w:i/>
          <w:color w:val="000000" w:themeColor="text1"/>
          <w:sz w:val="18"/>
          <w:szCs w:val="18"/>
        </w:rPr>
        <w:t xml:space="preserve">e </w:t>
      </w:r>
      <w:r w:rsidRPr="000045FB">
        <w:rPr>
          <w:rFonts w:ascii="Calibri" w:hAnsi="Calibri" w:cs="Calibri"/>
          <w:color w:val="000000" w:themeColor="text1"/>
          <w:sz w:val="18"/>
          <w:szCs w:val="18"/>
        </w:rPr>
        <w:t>(20 December 2001).</w:t>
      </w:r>
    </w:p>
  </w:footnote>
  <w:footnote w:id="12">
    <w:p w14:paraId="6F02D0A3" w14:textId="0A4BC91C"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Cobb C, ‘Elimination of river blindness “possible within ten years”’, </w:t>
      </w:r>
      <w:r w:rsidRPr="000045FB">
        <w:rPr>
          <w:rFonts w:ascii="Calibri" w:hAnsi="Calibri" w:cs="Calibri"/>
          <w:i/>
          <w:color w:val="000000" w:themeColor="text1"/>
          <w:sz w:val="18"/>
          <w:szCs w:val="18"/>
        </w:rPr>
        <w:t xml:space="preserve">All Africa Global Media </w:t>
      </w:r>
      <w:r w:rsidRPr="000045FB">
        <w:rPr>
          <w:rFonts w:ascii="Calibri" w:hAnsi="Calibri" w:cs="Calibri"/>
          <w:color w:val="000000" w:themeColor="text1"/>
          <w:sz w:val="18"/>
          <w:szCs w:val="18"/>
        </w:rPr>
        <w:t>(15 December 2001).</w:t>
      </w:r>
    </w:p>
  </w:footnote>
  <w:footnote w:id="13">
    <w:p w14:paraId="091D5C87" w14:textId="50C83586" w:rsidR="00CF189D" w:rsidRPr="00681100" w:rsidRDefault="00CF189D" w:rsidP="00B86D8C">
      <w:pPr>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See, for instance, s.a., ‘Forty years later’ (2014); Evans, ‘Eliminating river blindness’ (2014).</w:t>
      </w:r>
    </w:p>
  </w:footnote>
  <w:footnote w:id="14">
    <w:p w14:paraId="42F75F87" w14:textId="4305BD99"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Australian Broadcasting Corporation, ‘River blindness – a good news stor</w:t>
      </w:r>
      <w:r w:rsidRPr="000045FB">
        <w:rPr>
          <w:rFonts w:ascii="Calibri" w:hAnsi="Calibri" w:cs="Calibri"/>
          <w:color w:val="000000" w:themeColor="text1"/>
          <w:sz w:val="18"/>
          <w:szCs w:val="18"/>
        </w:rPr>
        <w:t xml:space="preserve">ies [sic]’, </w:t>
      </w:r>
      <w:r w:rsidRPr="000045FB">
        <w:rPr>
          <w:rFonts w:ascii="Calibri" w:hAnsi="Calibri" w:cs="Calibri"/>
          <w:i/>
          <w:color w:val="000000" w:themeColor="text1"/>
          <w:sz w:val="18"/>
          <w:szCs w:val="18"/>
        </w:rPr>
        <w:t xml:space="preserve">Ockham’s Razor, ABC Radio National </w:t>
      </w:r>
      <w:r w:rsidRPr="000045FB">
        <w:rPr>
          <w:rFonts w:ascii="Calibri" w:hAnsi="Calibri" w:cs="Calibri"/>
          <w:color w:val="000000" w:themeColor="text1"/>
          <w:sz w:val="18"/>
          <w:szCs w:val="18"/>
        </w:rPr>
        <w:t>(21 July 2002).</w:t>
      </w:r>
    </w:p>
  </w:footnote>
  <w:footnote w:id="15">
    <w:p w14:paraId="27189F9A" w14:textId="22E7D0FB"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Kakonga JO, ‘How mass media helped to defeat river blindness in West Africa’, </w:t>
      </w:r>
      <w:r w:rsidRPr="00681100">
        <w:rPr>
          <w:rFonts w:ascii="Calibri" w:hAnsi="Calibri" w:cs="Calibri"/>
          <w:i/>
          <w:color w:val="000000" w:themeColor="text1"/>
          <w:sz w:val="18"/>
          <w:szCs w:val="18"/>
        </w:rPr>
        <w:t xml:space="preserve">Global Policy Blog </w:t>
      </w:r>
      <w:r w:rsidRPr="000045FB">
        <w:rPr>
          <w:rFonts w:ascii="Calibri" w:hAnsi="Calibri" w:cs="Calibri"/>
          <w:color w:val="000000" w:themeColor="text1"/>
          <w:sz w:val="18"/>
          <w:szCs w:val="18"/>
        </w:rPr>
        <w:t>(11 July 2012).</w:t>
      </w:r>
    </w:p>
  </w:footnote>
  <w:footnote w:id="16">
    <w:p w14:paraId="4A38420F" w14:textId="6B8B7017"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s.a., ‘Front matter’, </w:t>
      </w:r>
      <w:r w:rsidRPr="00681100">
        <w:rPr>
          <w:rFonts w:ascii="Calibri" w:hAnsi="Calibri" w:cs="Calibri"/>
          <w:i/>
          <w:color w:val="000000" w:themeColor="text1"/>
          <w:sz w:val="18"/>
          <w:szCs w:val="18"/>
        </w:rPr>
        <w:t xml:space="preserve">Clinical Infectious Diseases </w:t>
      </w:r>
      <w:r w:rsidRPr="000045FB">
        <w:rPr>
          <w:rFonts w:ascii="Calibri" w:hAnsi="Calibri" w:cs="Calibri"/>
          <w:color w:val="000000" w:themeColor="text1"/>
          <w:sz w:val="18"/>
          <w:szCs w:val="18"/>
        </w:rPr>
        <w:t xml:space="preserve">53:4 (2001); Vieta F, ‘River blindness’ </w:t>
      </w:r>
      <w:r w:rsidRPr="000045FB">
        <w:rPr>
          <w:rFonts w:ascii="Calibri" w:hAnsi="Calibri" w:cs="Calibri"/>
          <w:i/>
          <w:color w:val="000000" w:themeColor="text1"/>
          <w:sz w:val="18"/>
          <w:szCs w:val="18"/>
        </w:rPr>
        <w:t xml:space="preserve">UN Chronicle </w:t>
      </w:r>
      <w:r w:rsidRPr="00581494">
        <w:rPr>
          <w:rFonts w:ascii="Calibri" w:hAnsi="Calibri" w:cs="Calibri"/>
          <w:color w:val="000000" w:themeColor="text1"/>
          <w:sz w:val="18"/>
          <w:szCs w:val="18"/>
        </w:rPr>
        <w:t>(1 January 1998).</w:t>
      </w:r>
    </w:p>
  </w:footnote>
  <w:footnote w:id="17">
    <w:p w14:paraId="4B635274" w14:textId="365F0982"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Gates B, ‘A story from one of my heroes’, </w:t>
      </w:r>
      <w:r w:rsidRPr="000045FB">
        <w:rPr>
          <w:rFonts w:ascii="Calibri" w:hAnsi="Calibri" w:cs="Calibri"/>
          <w:i/>
          <w:color w:val="000000" w:themeColor="text1"/>
          <w:sz w:val="18"/>
          <w:szCs w:val="18"/>
        </w:rPr>
        <w:t xml:space="preserve">Gates Notes </w:t>
      </w:r>
      <w:r w:rsidRPr="000045FB">
        <w:rPr>
          <w:rFonts w:ascii="Calibri" w:hAnsi="Calibri" w:cs="Calibri"/>
          <w:color w:val="000000" w:themeColor="text1"/>
          <w:sz w:val="18"/>
          <w:szCs w:val="18"/>
        </w:rPr>
        <w:t>(16 May 2014).</w:t>
      </w:r>
    </w:p>
  </w:footnote>
  <w:footnote w:id="18">
    <w:p w14:paraId="6B4B07E6" w14:textId="79E9FE8E"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From World Bank Ghana Office, ‘Pushing back neglected tropical diseases in Africa’, </w:t>
      </w:r>
      <w:r w:rsidRPr="00681100">
        <w:rPr>
          <w:rFonts w:ascii="Calibri" w:hAnsi="Calibri" w:cs="Calibri"/>
          <w:i/>
          <w:color w:val="000000" w:themeColor="text1"/>
          <w:sz w:val="18"/>
          <w:szCs w:val="18"/>
        </w:rPr>
        <w:t xml:space="preserve">World Bank News </w:t>
      </w:r>
      <w:r w:rsidRPr="000045FB">
        <w:rPr>
          <w:rFonts w:ascii="Calibri" w:hAnsi="Calibri" w:cs="Calibri"/>
          <w:color w:val="000000" w:themeColor="text1"/>
          <w:sz w:val="18"/>
          <w:szCs w:val="18"/>
        </w:rPr>
        <w:t>(20 November 2012). Reproduced under license CC BY-NC-SA 4.0.</w:t>
      </w:r>
    </w:p>
  </w:footnote>
  <w:footnote w:id="19">
    <w:p w14:paraId="387AE337" w14:textId="27839191" w:rsidR="00CF189D" w:rsidRPr="00E259A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See, for example, a Bank article on how the OCP was seen as one of the most successful health projects since smallpox control by the 1980s (Bump et al., ‘Defeating riverblindness: thirty years of success in Africa’, in ML Fox and</w:t>
      </w:r>
      <w:r w:rsidRPr="000045FB">
        <w:rPr>
          <w:rFonts w:ascii="Calibri" w:hAnsi="Calibri" w:cs="Calibri"/>
          <w:color w:val="000000" w:themeColor="text1"/>
          <w:sz w:val="18"/>
          <w:szCs w:val="18"/>
        </w:rPr>
        <w:t xml:space="preserve"> R Liebehthal (Eds.), </w:t>
      </w:r>
      <w:r w:rsidRPr="000045FB">
        <w:rPr>
          <w:rFonts w:ascii="Calibri" w:hAnsi="Calibri" w:cs="Calibri"/>
          <w:i/>
          <w:color w:val="000000" w:themeColor="text1"/>
          <w:sz w:val="18"/>
          <w:szCs w:val="18"/>
        </w:rPr>
        <w:t>Attacking Africa’s poverty: experience from the ground</w:t>
      </w:r>
      <w:r w:rsidRPr="00581494">
        <w:rPr>
          <w:rFonts w:ascii="Calibri" w:hAnsi="Calibri" w:cs="Calibri"/>
          <w:color w:val="000000" w:themeColor="text1"/>
          <w:sz w:val="18"/>
          <w:szCs w:val="18"/>
        </w:rPr>
        <w:t xml:space="preserve"> (Washington DC: World Bank, 2006), 285-318). For more depictions of the OCP’s success relative to smallpox, see Duff-Brown, ‘Taming the lion’s look’ (1995); WBGA, 1428489, ‘Points for consideration (Chairman)’, 6 May 1994; Guillory M, ‘In 40 years, WHO helps an ill world’, </w:t>
      </w:r>
      <w:r w:rsidRPr="00E259AA">
        <w:rPr>
          <w:rFonts w:ascii="Calibri" w:hAnsi="Calibri" w:cs="Calibri"/>
          <w:i/>
          <w:color w:val="000000" w:themeColor="text1"/>
          <w:sz w:val="18"/>
          <w:szCs w:val="18"/>
        </w:rPr>
        <w:t xml:space="preserve">USA Today </w:t>
      </w:r>
      <w:r w:rsidRPr="00E259AA">
        <w:rPr>
          <w:rFonts w:ascii="Calibri" w:hAnsi="Calibri" w:cs="Calibri"/>
          <w:color w:val="000000" w:themeColor="text1"/>
          <w:sz w:val="18"/>
          <w:szCs w:val="18"/>
        </w:rPr>
        <w:t>(26 Sept 1989).</w:t>
      </w:r>
    </w:p>
  </w:footnote>
  <w:footnote w:id="20">
    <w:p w14:paraId="5D6B74BE" w14:textId="580AE49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Rodogno D and David T, ‘All the world loves a picture’, in H Fehrenbach and D Rodogno (Eds.), </w:t>
      </w:r>
      <w:r w:rsidRPr="00681100">
        <w:rPr>
          <w:rFonts w:ascii="Calibri" w:hAnsi="Calibri" w:cs="Calibri"/>
          <w:i/>
          <w:color w:val="000000" w:themeColor="text1"/>
          <w:sz w:val="18"/>
          <w:szCs w:val="18"/>
        </w:rPr>
        <w:t xml:space="preserve">Humanitarian photography: a history </w:t>
      </w:r>
      <w:r w:rsidRPr="000045FB">
        <w:rPr>
          <w:rFonts w:ascii="Calibri" w:hAnsi="Calibri" w:cs="Calibri"/>
          <w:color w:val="000000" w:themeColor="text1"/>
          <w:sz w:val="18"/>
          <w:szCs w:val="18"/>
        </w:rPr>
        <w:t xml:space="preserve">(Cambridge: Cambridge University Press, 2015), 223-248. </w:t>
      </w:r>
    </w:p>
  </w:footnote>
  <w:footnote w:id="21">
    <w:p w14:paraId="7E6A8CF6" w14:textId="73522031" w:rsidR="00CF189D" w:rsidRPr="00E259A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See </w:t>
      </w:r>
      <w:r w:rsidRPr="00681100">
        <w:rPr>
          <w:rFonts w:ascii="Calibri" w:hAnsi="Calibri" w:cs="Calibri"/>
          <w:i/>
          <w:color w:val="000000" w:themeColor="text1"/>
          <w:sz w:val="18"/>
          <w:szCs w:val="18"/>
        </w:rPr>
        <w:t xml:space="preserve">World Health </w:t>
      </w:r>
      <w:r w:rsidRPr="000045FB">
        <w:rPr>
          <w:rFonts w:ascii="Calibri" w:hAnsi="Calibri" w:cs="Calibri"/>
          <w:color w:val="000000" w:themeColor="text1"/>
          <w:sz w:val="18"/>
          <w:szCs w:val="18"/>
        </w:rPr>
        <w:t xml:space="preserve">magazine issue specifically on OCP successes (WBGA 30304884, </w:t>
      </w:r>
      <w:r w:rsidRPr="000045FB">
        <w:rPr>
          <w:rFonts w:ascii="Calibri" w:hAnsi="Calibri" w:cs="Calibri"/>
          <w:i/>
          <w:color w:val="000000" w:themeColor="text1"/>
          <w:sz w:val="18"/>
          <w:szCs w:val="18"/>
        </w:rPr>
        <w:t xml:space="preserve">World Health </w:t>
      </w:r>
      <w:r w:rsidRPr="000045FB">
        <w:rPr>
          <w:rFonts w:ascii="Calibri" w:hAnsi="Calibri" w:cs="Calibri"/>
          <w:color w:val="000000" w:themeColor="text1"/>
          <w:sz w:val="18"/>
          <w:szCs w:val="18"/>
        </w:rPr>
        <w:t xml:space="preserve">[October 1985]). For other </w:t>
      </w:r>
      <w:r w:rsidRPr="00581494">
        <w:rPr>
          <w:rFonts w:ascii="Calibri" w:hAnsi="Calibri" w:cs="Calibri"/>
          <w:i/>
          <w:color w:val="000000" w:themeColor="text1"/>
          <w:sz w:val="18"/>
          <w:szCs w:val="18"/>
        </w:rPr>
        <w:t xml:space="preserve">World Health </w:t>
      </w:r>
      <w:r w:rsidRPr="00581494">
        <w:rPr>
          <w:rFonts w:ascii="Calibri" w:hAnsi="Calibri" w:cs="Calibri"/>
          <w:color w:val="000000" w:themeColor="text1"/>
          <w:sz w:val="18"/>
          <w:szCs w:val="18"/>
        </w:rPr>
        <w:t xml:space="preserve">articles on the OCP, see: WHOL, </w:t>
      </w:r>
      <w:r w:rsidRPr="00581494">
        <w:rPr>
          <w:rFonts w:ascii="Calibri" w:hAnsi="Calibri" w:cs="Calibri"/>
          <w:i/>
          <w:color w:val="000000" w:themeColor="text1"/>
          <w:sz w:val="18"/>
          <w:szCs w:val="18"/>
        </w:rPr>
        <w:t xml:space="preserve">World Health </w:t>
      </w:r>
      <w:r w:rsidRPr="00E259AA">
        <w:rPr>
          <w:rFonts w:ascii="Calibri" w:hAnsi="Calibri" w:cs="Calibri"/>
          <w:color w:val="000000" w:themeColor="text1"/>
          <w:sz w:val="18"/>
          <w:szCs w:val="18"/>
        </w:rPr>
        <w:t xml:space="preserve">(October 1973, May 1974, June 1975, February-March 1976, May 1976, December 1976, January 1978, July 1980, January 1983, March 1986, May 1986, January-February 1989, June-July-August 1990). </w:t>
      </w:r>
    </w:p>
  </w:footnote>
  <w:footnote w:id="22">
    <w:p w14:paraId="0CFAC75D" w14:textId="4906C108"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t>
      </w:r>
      <w:r w:rsidRPr="00681100">
        <w:rPr>
          <w:rFonts w:ascii="Calibri" w:hAnsi="Calibri" w:cs="Calibri"/>
          <w:color w:val="000000" w:themeColor="text1"/>
          <w:sz w:val="18"/>
          <w:szCs w:val="18"/>
          <w:shd w:val="clear" w:color="auto" w:fill="FFFFFF"/>
        </w:rPr>
        <w:t xml:space="preserve">Samba, EM, </w:t>
      </w:r>
      <w:r w:rsidRPr="000045FB">
        <w:rPr>
          <w:rFonts w:ascii="Calibri" w:hAnsi="Calibri" w:cs="Calibri"/>
          <w:i/>
          <w:color w:val="000000" w:themeColor="text1"/>
          <w:sz w:val="18"/>
          <w:szCs w:val="18"/>
          <w:shd w:val="clear" w:color="auto" w:fill="FFFFFF"/>
        </w:rPr>
        <w:t xml:space="preserve">The Onchocerciasis Control Programme in West Africa: an example of effective public health management </w:t>
      </w:r>
      <w:r w:rsidRPr="000045FB">
        <w:rPr>
          <w:rFonts w:ascii="Calibri" w:hAnsi="Calibri" w:cs="Calibri"/>
          <w:color w:val="000000" w:themeColor="text1"/>
          <w:sz w:val="18"/>
          <w:szCs w:val="18"/>
          <w:shd w:val="clear" w:color="auto" w:fill="FFFFFF"/>
        </w:rPr>
        <w:t xml:space="preserve">(Geneva: WHO, 1994). </w:t>
      </w:r>
    </w:p>
  </w:footnote>
  <w:footnote w:id="23">
    <w:p w14:paraId="44340F37" w14:textId="2D10D9EA"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s.a., ‘Riverblindness partners pledge US$ 39 million to eliminate disease from Africa by 2010’, </w:t>
      </w:r>
      <w:r w:rsidRPr="00681100">
        <w:rPr>
          <w:rFonts w:ascii="Calibri" w:hAnsi="Calibri" w:cs="Calibri"/>
          <w:i/>
          <w:color w:val="000000" w:themeColor="text1"/>
          <w:sz w:val="18"/>
          <w:szCs w:val="18"/>
        </w:rPr>
        <w:t xml:space="preserve">All Africa Global Media </w:t>
      </w:r>
      <w:r w:rsidRPr="000045FB">
        <w:rPr>
          <w:rFonts w:ascii="Calibri" w:hAnsi="Calibri" w:cs="Calibri"/>
          <w:color w:val="000000" w:themeColor="text1"/>
          <w:sz w:val="18"/>
          <w:szCs w:val="18"/>
        </w:rPr>
        <w:t>(14 December 2001).</w:t>
      </w:r>
    </w:p>
  </w:footnote>
  <w:footnote w:id="24">
    <w:p w14:paraId="1C38819B" w14:textId="43495ED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OCP, </w:t>
      </w:r>
      <w:r w:rsidRPr="00681100">
        <w:rPr>
          <w:rFonts w:ascii="Calibri" w:hAnsi="Calibri" w:cs="Calibri"/>
          <w:i/>
          <w:color w:val="000000" w:themeColor="text1"/>
          <w:sz w:val="18"/>
          <w:szCs w:val="18"/>
        </w:rPr>
        <w:t>Mid-term (Phase IV) prospective evaluation of the Onchocerc</w:t>
      </w:r>
      <w:r w:rsidRPr="000045FB">
        <w:rPr>
          <w:rFonts w:ascii="Calibri" w:hAnsi="Calibri" w:cs="Calibri"/>
          <w:i/>
          <w:color w:val="000000" w:themeColor="text1"/>
          <w:sz w:val="18"/>
          <w:szCs w:val="18"/>
        </w:rPr>
        <w:t xml:space="preserve">iasis Control Programme in West Africa </w:t>
      </w:r>
      <w:r w:rsidRPr="000045FB">
        <w:rPr>
          <w:rFonts w:ascii="Calibri" w:hAnsi="Calibri" w:cs="Calibri"/>
          <w:color w:val="000000" w:themeColor="text1"/>
          <w:sz w:val="18"/>
          <w:szCs w:val="18"/>
        </w:rPr>
        <w:t>(Yamoussoukro: WHO, 1994).</w:t>
      </w:r>
    </w:p>
  </w:footnote>
  <w:footnote w:id="25">
    <w:p w14:paraId="4FE6AD97" w14:textId="7E211023"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See footnote 1 and WBGA, 1428489, Bruce Benton to Jean Louis Sarbib, ‘Briefing on donors’ conference/annotated agenda’, 25 October 1994. </w:t>
      </w:r>
    </w:p>
  </w:footnote>
  <w:footnote w:id="26">
    <w:p w14:paraId="5017667A" w14:textId="2C905E2C" w:rsidR="00CF189D" w:rsidRPr="00681100" w:rsidRDefault="00CF189D" w:rsidP="00B86D8C">
      <w:pPr>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Vieta, ‘River blindness’ (1998).</w:t>
      </w:r>
    </w:p>
  </w:footnote>
  <w:footnote w:id="27">
    <w:p w14:paraId="3ED0DBDE" w14:textId="77008227"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t>
      </w:r>
      <w:r w:rsidRPr="00681100">
        <w:rPr>
          <w:rFonts w:ascii="Calibri" w:hAnsi="Calibri" w:cs="Calibri"/>
          <w:color w:val="000000" w:themeColor="text1"/>
          <w:sz w:val="18"/>
          <w:szCs w:val="18"/>
          <w:shd w:val="clear" w:color="auto" w:fill="FFFFFF"/>
        </w:rPr>
        <w:t>Basáñez et al</w:t>
      </w:r>
      <w:r w:rsidRPr="000045FB">
        <w:rPr>
          <w:rFonts w:ascii="Calibri" w:hAnsi="Calibri" w:cs="Calibri"/>
          <w:color w:val="000000" w:themeColor="text1"/>
          <w:sz w:val="18"/>
          <w:szCs w:val="18"/>
          <w:shd w:val="clear" w:color="auto" w:fill="FFFFFF"/>
        </w:rPr>
        <w:t xml:space="preserve">., ‘River blindness: a success story under threat?’, </w:t>
      </w:r>
      <w:r w:rsidRPr="000045FB">
        <w:rPr>
          <w:rFonts w:ascii="Calibri" w:hAnsi="Calibri" w:cs="Calibri"/>
          <w:i/>
          <w:color w:val="000000" w:themeColor="text1"/>
          <w:sz w:val="18"/>
          <w:szCs w:val="18"/>
          <w:shd w:val="clear" w:color="auto" w:fill="FFFFFF"/>
        </w:rPr>
        <w:t xml:space="preserve">PLoS Medicine </w:t>
      </w:r>
      <w:r w:rsidRPr="000045FB">
        <w:rPr>
          <w:rFonts w:ascii="Calibri" w:hAnsi="Calibri" w:cs="Calibri"/>
          <w:color w:val="000000" w:themeColor="text1"/>
          <w:sz w:val="18"/>
          <w:szCs w:val="18"/>
          <w:shd w:val="clear" w:color="auto" w:fill="FFFFFF"/>
        </w:rPr>
        <w:t>3:9 (2006), e371.</w:t>
      </w:r>
    </w:p>
  </w:footnote>
  <w:footnote w:id="28">
    <w:p w14:paraId="40138F91" w14:textId="4E933D47" w:rsidR="00CF189D" w:rsidRPr="000045FB" w:rsidRDefault="00CF189D" w:rsidP="006E7F0A">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s.a., ‘World Bank hosts river blindness summit’, </w:t>
      </w:r>
      <w:r w:rsidRPr="00681100">
        <w:rPr>
          <w:rFonts w:ascii="Calibri" w:hAnsi="Calibri" w:cs="Calibri"/>
          <w:i/>
          <w:color w:val="000000" w:themeColor="text1"/>
          <w:sz w:val="18"/>
          <w:szCs w:val="18"/>
        </w:rPr>
        <w:t xml:space="preserve">Sightsavers News, </w:t>
      </w:r>
      <w:r w:rsidRPr="000045FB">
        <w:rPr>
          <w:rFonts w:ascii="Calibri" w:hAnsi="Calibri" w:cs="Calibri"/>
          <w:color w:val="000000" w:themeColor="text1"/>
          <w:sz w:val="18"/>
          <w:szCs w:val="18"/>
        </w:rPr>
        <w:t>20 June 2014.</w:t>
      </w:r>
    </w:p>
  </w:footnote>
  <w:footnote w:id="29">
    <w:p w14:paraId="2A59DC86" w14:textId="1D4629DA" w:rsidR="00CF189D" w:rsidRPr="00546CB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Reproduced</w:t>
      </w:r>
      <w:r w:rsidRPr="000045FB">
        <w:rPr>
          <w:rFonts w:ascii="Calibri" w:hAnsi="Calibri" w:cs="Calibri"/>
          <w:color w:val="000000" w:themeColor="text1"/>
          <w:sz w:val="18"/>
          <w:szCs w:val="18"/>
        </w:rPr>
        <w:t xml:space="preserve"> with permission from the WHO Press</w:t>
      </w:r>
      <w:r>
        <w:rPr>
          <w:rFonts w:ascii="Calibri" w:hAnsi="Calibri" w:cs="Calibri"/>
          <w:color w:val="000000" w:themeColor="text1"/>
          <w:sz w:val="18"/>
          <w:szCs w:val="18"/>
        </w:rPr>
        <w:t xml:space="preserve"> (May 2020)</w:t>
      </w:r>
      <w:r w:rsidRPr="000045FB">
        <w:rPr>
          <w:rFonts w:ascii="Calibri" w:hAnsi="Calibri" w:cs="Calibri"/>
          <w:color w:val="000000" w:themeColor="text1"/>
          <w:sz w:val="18"/>
          <w:szCs w:val="18"/>
        </w:rPr>
        <w:t xml:space="preserve">, from </w:t>
      </w:r>
      <w:r w:rsidRPr="00546CBA">
        <w:rPr>
          <w:rFonts w:ascii="Calibri" w:hAnsi="Calibri" w:cs="Calibri"/>
          <w:i/>
          <w:color w:val="000000" w:themeColor="text1"/>
          <w:sz w:val="18"/>
          <w:szCs w:val="18"/>
        </w:rPr>
        <w:t xml:space="preserve">Success in Africa: the Onchocerciasis Control Programme in West Africa, 1974-2002, </w:t>
      </w:r>
      <w:r w:rsidRPr="00546CBA">
        <w:rPr>
          <w:rFonts w:ascii="Calibri" w:hAnsi="Calibri" w:cs="Calibri"/>
          <w:iCs/>
          <w:color w:val="000000" w:themeColor="text1"/>
          <w:sz w:val="18"/>
          <w:szCs w:val="18"/>
        </w:rPr>
        <w:t>OCP/WHO, cover-page, copyright 2002.</w:t>
      </w:r>
      <w:r w:rsidRPr="00546CBA">
        <w:rPr>
          <w:rFonts w:ascii="Calibri" w:hAnsi="Calibri" w:cs="Calibri"/>
          <w:color w:val="000000" w:themeColor="text1"/>
          <w:sz w:val="18"/>
          <w:szCs w:val="18"/>
        </w:rPr>
        <w:t xml:space="preserve"> </w:t>
      </w:r>
    </w:p>
  </w:footnote>
  <w:footnote w:id="30">
    <w:p w14:paraId="7296DDB8" w14:textId="240F0B2E"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The failure of global malaria eradication activities in the 1960s, in particular, contributed to concerns about vertical programmes. See section 8.1.</w:t>
      </w:r>
    </w:p>
  </w:footnote>
  <w:footnote w:id="31">
    <w:p w14:paraId="30DD42E5" w14:textId="1A9CB95C" w:rsidR="00CF189D" w:rsidRPr="00546CB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t>
      </w:r>
      <w:r w:rsidRPr="00546CBA">
        <w:rPr>
          <w:rFonts w:ascii="Calibri" w:hAnsi="Calibri" w:cs="Calibri"/>
          <w:color w:val="000000" w:themeColor="text1"/>
          <w:sz w:val="18"/>
          <w:szCs w:val="18"/>
        </w:rPr>
        <w:t xml:space="preserve">See WHO, </w:t>
      </w:r>
      <w:r w:rsidRPr="00546CBA">
        <w:rPr>
          <w:rFonts w:ascii="Calibri" w:hAnsi="Calibri" w:cs="Calibri"/>
          <w:i/>
          <w:color w:val="000000" w:themeColor="text1"/>
          <w:sz w:val="18"/>
          <w:szCs w:val="18"/>
        </w:rPr>
        <w:t>Fourth report on the world health situation, 1965-1968</w:t>
      </w:r>
      <w:r w:rsidRPr="00546CBA">
        <w:rPr>
          <w:rFonts w:ascii="Calibri" w:hAnsi="Calibri" w:cs="Calibri"/>
          <w:color w:val="000000" w:themeColor="text1"/>
          <w:sz w:val="18"/>
          <w:szCs w:val="18"/>
        </w:rPr>
        <w:t xml:space="preserve"> (</w:t>
      </w:r>
      <w:r>
        <w:rPr>
          <w:rFonts w:ascii="Calibri" w:hAnsi="Calibri" w:cs="Calibri"/>
          <w:color w:val="000000" w:themeColor="text1"/>
          <w:sz w:val="18"/>
          <w:szCs w:val="18"/>
        </w:rPr>
        <w:t>Geneva: WHO</w:t>
      </w:r>
      <w:r w:rsidRPr="00546CBA">
        <w:rPr>
          <w:rFonts w:ascii="Calibri" w:hAnsi="Calibri" w:cs="Calibri"/>
          <w:color w:val="000000" w:themeColor="text1"/>
          <w:sz w:val="18"/>
          <w:szCs w:val="18"/>
        </w:rPr>
        <w:t>, 1971), 88-90.</w:t>
      </w:r>
    </w:p>
  </w:footnote>
  <w:footnote w:id="32">
    <w:p w14:paraId="7CE90F1E" w14:textId="77777777" w:rsidR="00CF189D" w:rsidRPr="00E259A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Hotez P, ‘Enlarging the “audacious goal”: elimination of the world’s high prevalence neglected tropical diseases’, </w:t>
      </w:r>
      <w:r w:rsidRPr="000045FB">
        <w:rPr>
          <w:rFonts w:ascii="Calibri" w:hAnsi="Calibri" w:cs="Calibri"/>
          <w:i/>
          <w:color w:val="000000" w:themeColor="text1"/>
          <w:sz w:val="18"/>
          <w:szCs w:val="18"/>
        </w:rPr>
        <w:t xml:space="preserve">Vaccine </w:t>
      </w:r>
      <w:r w:rsidRPr="000045FB">
        <w:rPr>
          <w:rFonts w:ascii="Calibri" w:hAnsi="Calibri" w:cs="Calibri"/>
          <w:color w:val="000000" w:themeColor="text1"/>
          <w:sz w:val="18"/>
          <w:szCs w:val="18"/>
        </w:rPr>
        <w:t xml:space="preserve">29 (2011), D104-110; Brady et al., ‘Projected benefits from integrating NTD programs in sub-Saharan Africa’, </w:t>
      </w:r>
      <w:r w:rsidRPr="00581494">
        <w:rPr>
          <w:rFonts w:ascii="Calibri" w:hAnsi="Calibri" w:cs="Calibri"/>
          <w:i/>
          <w:color w:val="000000" w:themeColor="text1"/>
          <w:sz w:val="18"/>
          <w:szCs w:val="18"/>
        </w:rPr>
        <w:t xml:space="preserve">Trends in Parasitology </w:t>
      </w:r>
      <w:r w:rsidRPr="00581494">
        <w:rPr>
          <w:rFonts w:ascii="Calibri" w:hAnsi="Calibri" w:cs="Calibri"/>
          <w:color w:val="000000" w:themeColor="text1"/>
          <w:sz w:val="18"/>
          <w:szCs w:val="18"/>
        </w:rPr>
        <w:t>22:7 (2006), 285-291.</w:t>
      </w:r>
    </w:p>
  </w:footnote>
  <w:footnote w:id="33">
    <w:p w14:paraId="208B4DA6" w14:textId="14F245F8"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Hunter JM, ‘Progress and concerns in the World Health Organization Onchocerciasis Control Program in West Africa’, </w:t>
      </w:r>
      <w:r w:rsidRPr="00681100">
        <w:rPr>
          <w:rFonts w:ascii="Calibri" w:hAnsi="Calibri" w:cs="Calibri"/>
          <w:i/>
          <w:color w:val="000000" w:themeColor="text1"/>
          <w:sz w:val="18"/>
          <w:szCs w:val="18"/>
        </w:rPr>
        <w:t xml:space="preserve">Social Science and Medicine </w:t>
      </w:r>
      <w:r w:rsidRPr="000045FB">
        <w:rPr>
          <w:rFonts w:ascii="Calibri" w:hAnsi="Calibri" w:cs="Calibri"/>
          <w:color w:val="000000" w:themeColor="text1"/>
          <w:sz w:val="18"/>
          <w:szCs w:val="18"/>
        </w:rPr>
        <w:t>15:2 (1981), 261-275.</w:t>
      </w:r>
    </w:p>
  </w:footnote>
  <w:footnote w:id="34">
    <w:p w14:paraId="0617EB7E" w14:textId="30CC1F75"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OCP, </w:t>
      </w:r>
      <w:r w:rsidRPr="00681100">
        <w:rPr>
          <w:rFonts w:ascii="Calibri" w:hAnsi="Calibri" w:cs="Calibri"/>
          <w:i/>
          <w:color w:val="000000" w:themeColor="text1"/>
          <w:sz w:val="18"/>
          <w:szCs w:val="18"/>
        </w:rPr>
        <w:t>Ten years of onchocerciasis control in West Africa: evaluation of the activities</w:t>
      </w:r>
      <w:r w:rsidRPr="000045FB">
        <w:rPr>
          <w:rFonts w:ascii="Calibri" w:hAnsi="Calibri" w:cs="Calibri"/>
          <w:i/>
          <w:color w:val="000000" w:themeColor="text1"/>
          <w:sz w:val="18"/>
          <w:szCs w:val="18"/>
        </w:rPr>
        <w:t xml:space="preserve"> of the Onchocerciasis Control Programme in the Volta basin area </w:t>
      </w:r>
      <w:r w:rsidRPr="000045FB">
        <w:rPr>
          <w:rFonts w:ascii="Calibri" w:hAnsi="Calibri" w:cs="Calibri"/>
          <w:color w:val="000000" w:themeColor="text1"/>
          <w:sz w:val="18"/>
          <w:szCs w:val="18"/>
        </w:rPr>
        <w:t>(Geneva: WHO, 1984).</w:t>
      </w:r>
    </w:p>
  </w:footnote>
  <w:footnote w:id="35">
    <w:p w14:paraId="1B2E994C" w14:textId="097FBD71" w:rsidR="00CF189D" w:rsidRPr="00546CB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As done with the ‘ONCHOSIM’ model; see Plaisier et al., ‘Required duration of combined annual ivermectin treatment and vector control in the </w:t>
      </w:r>
      <w:r w:rsidRPr="00546CBA">
        <w:rPr>
          <w:rFonts w:ascii="Calibri" w:hAnsi="Calibri" w:cs="Calibri"/>
          <w:color w:val="000000" w:themeColor="text1"/>
          <w:sz w:val="18"/>
          <w:szCs w:val="18"/>
        </w:rPr>
        <w:t xml:space="preserve">Onchocerciasis Control Programme in West Africa’, </w:t>
      </w:r>
      <w:r w:rsidRPr="00546CBA">
        <w:rPr>
          <w:rFonts w:ascii="Calibri" w:hAnsi="Calibri" w:cs="Calibri"/>
          <w:i/>
          <w:color w:val="000000" w:themeColor="text1"/>
          <w:sz w:val="18"/>
          <w:szCs w:val="18"/>
        </w:rPr>
        <w:t xml:space="preserve">Bulletin of the WHO </w:t>
      </w:r>
      <w:r w:rsidRPr="00546CBA">
        <w:rPr>
          <w:rFonts w:ascii="Calibri" w:hAnsi="Calibri" w:cs="Calibri"/>
          <w:color w:val="000000" w:themeColor="text1"/>
          <w:sz w:val="18"/>
          <w:szCs w:val="18"/>
        </w:rPr>
        <w:t xml:space="preserve">75 (1997), 237-245; Coffeng et al., ‘Onchocerciasis: the pre-control associated between prevalence of palpable nodules and skin microfilariae’, </w:t>
      </w:r>
      <w:r w:rsidRPr="00546CBA">
        <w:rPr>
          <w:rFonts w:ascii="Calibri" w:hAnsi="Calibri" w:cs="Calibri"/>
          <w:i/>
          <w:color w:val="000000" w:themeColor="text1"/>
          <w:sz w:val="18"/>
          <w:szCs w:val="18"/>
        </w:rPr>
        <w:t xml:space="preserve">PLoS Neglected Tropical Diseases </w:t>
      </w:r>
      <w:r w:rsidRPr="00546CBA">
        <w:rPr>
          <w:rFonts w:ascii="Calibri" w:hAnsi="Calibri" w:cs="Calibri"/>
          <w:color w:val="000000" w:themeColor="text1"/>
          <w:sz w:val="18"/>
          <w:szCs w:val="18"/>
        </w:rPr>
        <w:t>7:4 (2013): e2168.</w:t>
      </w:r>
    </w:p>
  </w:footnote>
  <w:footnote w:id="36">
    <w:p w14:paraId="65BBB0BB" w14:textId="1F1995D1" w:rsidR="00CF189D" w:rsidRPr="00E259A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For </w:t>
      </w:r>
      <w:r w:rsidRPr="000045FB">
        <w:rPr>
          <w:rFonts w:ascii="Calibri" w:hAnsi="Calibri" w:cs="Calibri"/>
          <w:color w:val="000000" w:themeColor="text1"/>
          <w:sz w:val="18"/>
          <w:szCs w:val="18"/>
        </w:rPr>
        <w:t xml:space="preserve">more on the reproductive lifespan of  </w:t>
      </w:r>
      <w:r w:rsidRPr="000045FB">
        <w:rPr>
          <w:rFonts w:ascii="Calibri" w:hAnsi="Calibri" w:cs="Calibri"/>
          <w:i/>
          <w:color w:val="000000" w:themeColor="text1"/>
          <w:sz w:val="18"/>
          <w:szCs w:val="18"/>
        </w:rPr>
        <w:t>Onchocerca volvulus</w:t>
      </w:r>
      <w:r w:rsidRPr="000045FB">
        <w:rPr>
          <w:rFonts w:ascii="Calibri" w:hAnsi="Calibri" w:cs="Calibri"/>
          <w:color w:val="000000" w:themeColor="text1"/>
          <w:sz w:val="18"/>
          <w:szCs w:val="18"/>
        </w:rPr>
        <w:t xml:space="preserve">, see Plaisier et al., ‘The reproductive lifespan of </w:t>
      </w:r>
      <w:r w:rsidRPr="00581494">
        <w:rPr>
          <w:rFonts w:ascii="Calibri" w:hAnsi="Calibri" w:cs="Calibri"/>
          <w:i/>
          <w:color w:val="000000" w:themeColor="text1"/>
          <w:sz w:val="18"/>
          <w:szCs w:val="18"/>
        </w:rPr>
        <w:t xml:space="preserve">Onchocerca volvulus </w:t>
      </w:r>
      <w:r w:rsidRPr="00581494">
        <w:rPr>
          <w:rFonts w:ascii="Calibri" w:hAnsi="Calibri" w:cs="Calibri"/>
          <w:color w:val="000000" w:themeColor="text1"/>
          <w:sz w:val="18"/>
          <w:szCs w:val="18"/>
        </w:rPr>
        <w:t xml:space="preserve">in West African savanna’, </w:t>
      </w:r>
      <w:r w:rsidRPr="00581494">
        <w:rPr>
          <w:rFonts w:ascii="Calibri" w:hAnsi="Calibri" w:cs="Calibri"/>
          <w:i/>
          <w:color w:val="000000" w:themeColor="text1"/>
          <w:sz w:val="18"/>
          <w:szCs w:val="18"/>
        </w:rPr>
        <w:t xml:space="preserve">Acta Tropica </w:t>
      </w:r>
      <w:r w:rsidRPr="00E259AA">
        <w:rPr>
          <w:rFonts w:ascii="Calibri" w:hAnsi="Calibri" w:cs="Calibri"/>
          <w:color w:val="000000" w:themeColor="text1"/>
          <w:sz w:val="18"/>
          <w:szCs w:val="18"/>
        </w:rPr>
        <w:t>48 (1991), 271-284.</w:t>
      </w:r>
    </w:p>
  </w:footnote>
  <w:footnote w:id="37">
    <w:p w14:paraId="6C77D1A5" w14:textId="2F7935FF"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From WBGA, 1082693, ‘Report of the preparatory assistance mission</w:t>
      </w:r>
      <w:r w:rsidRPr="000045FB">
        <w:rPr>
          <w:rFonts w:ascii="Calibri" w:hAnsi="Calibri" w:cs="Calibri"/>
          <w:color w:val="000000" w:themeColor="text1"/>
          <w:sz w:val="18"/>
          <w:szCs w:val="18"/>
        </w:rPr>
        <w:t xml:space="preserve"> to the Volta River basin’, 1973. Reproduced under CC BY-NC-SA 4.0.</w:t>
      </w:r>
    </w:p>
  </w:footnote>
  <w:footnote w:id="38">
    <w:p w14:paraId="46326CD3" w14:textId="6777F38E"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Duke BOL and Anderson J, ‘Onchocerciasis and its treatment’, </w:t>
      </w:r>
      <w:r w:rsidRPr="00681100">
        <w:rPr>
          <w:rFonts w:ascii="Calibri" w:hAnsi="Calibri" w:cs="Calibri"/>
          <w:i/>
          <w:color w:val="000000" w:themeColor="text1"/>
          <w:sz w:val="18"/>
          <w:szCs w:val="18"/>
        </w:rPr>
        <w:t xml:space="preserve">Tropical Doctor </w:t>
      </w:r>
      <w:r w:rsidRPr="000045FB">
        <w:rPr>
          <w:rFonts w:ascii="Calibri" w:hAnsi="Calibri" w:cs="Calibri"/>
          <w:color w:val="000000" w:themeColor="text1"/>
          <w:sz w:val="18"/>
          <w:szCs w:val="18"/>
        </w:rPr>
        <w:t>2:3 (1972), 107-114.</w:t>
      </w:r>
    </w:p>
  </w:footnote>
  <w:footnote w:id="39">
    <w:p w14:paraId="164C0AE2" w14:textId="4E9158AF"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Duff-Brown, ‘Taming the lion’s look’ (1995). </w:t>
      </w:r>
    </w:p>
  </w:footnote>
  <w:footnote w:id="40">
    <w:p w14:paraId="4D1DC56F" w14:textId="3904032C"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Ministere des affairs étrangères, </w:t>
      </w:r>
      <w:r w:rsidRPr="00681100">
        <w:rPr>
          <w:rFonts w:ascii="Calibri" w:hAnsi="Calibri" w:cs="Calibri"/>
          <w:i/>
          <w:color w:val="000000" w:themeColor="text1"/>
          <w:sz w:val="18"/>
          <w:szCs w:val="18"/>
        </w:rPr>
        <w:t>H</w:t>
      </w:r>
      <w:r w:rsidRPr="000045FB">
        <w:rPr>
          <w:rFonts w:ascii="Calibri" w:hAnsi="Calibri" w:cs="Calibri"/>
          <w:i/>
          <w:color w:val="000000" w:themeColor="text1"/>
          <w:sz w:val="18"/>
          <w:szCs w:val="18"/>
        </w:rPr>
        <w:t xml:space="preserve">alf a century </w:t>
      </w:r>
      <w:r w:rsidRPr="000045FB">
        <w:rPr>
          <w:rFonts w:ascii="Calibri" w:hAnsi="Calibri" w:cs="Calibri"/>
          <w:color w:val="000000" w:themeColor="text1"/>
          <w:sz w:val="18"/>
          <w:szCs w:val="18"/>
        </w:rPr>
        <w:t xml:space="preserve">[2003]; Samba, </w:t>
      </w:r>
      <w:r w:rsidRPr="000045FB">
        <w:rPr>
          <w:rFonts w:ascii="Calibri" w:hAnsi="Calibri" w:cs="Calibri"/>
          <w:i/>
          <w:color w:val="000000" w:themeColor="text1"/>
          <w:sz w:val="18"/>
          <w:szCs w:val="18"/>
        </w:rPr>
        <w:t xml:space="preserve">The Onchocerciasis </w:t>
      </w:r>
      <w:r w:rsidRPr="00581494">
        <w:rPr>
          <w:rFonts w:ascii="Calibri" w:hAnsi="Calibri" w:cs="Calibri"/>
          <w:color w:val="000000" w:themeColor="text1"/>
          <w:sz w:val="18"/>
          <w:szCs w:val="18"/>
        </w:rPr>
        <w:t>(1994).</w:t>
      </w:r>
    </w:p>
  </w:footnote>
  <w:footnote w:id="41">
    <w:p w14:paraId="240499AE" w14:textId="7961DE3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Thylefors B, ‘Ocular onchocerciasis’, </w:t>
      </w:r>
      <w:r w:rsidRPr="00681100">
        <w:rPr>
          <w:rFonts w:ascii="Calibri" w:hAnsi="Calibri" w:cs="Calibri"/>
          <w:i/>
          <w:color w:val="000000" w:themeColor="text1"/>
          <w:sz w:val="18"/>
          <w:szCs w:val="18"/>
        </w:rPr>
        <w:t xml:space="preserve">Bulletin of the WHO </w:t>
      </w:r>
      <w:r w:rsidRPr="000045FB">
        <w:rPr>
          <w:rFonts w:ascii="Calibri" w:hAnsi="Calibri" w:cs="Calibri"/>
          <w:color w:val="000000" w:themeColor="text1"/>
          <w:sz w:val="18"/>
          <w:szCs w:val="18"/>
        </w:rPr>
        <w:t>56:1 (1978), 63-73.</w:t>
      </w:r>
    </w:p>
  </w:footnote>
  <w:footnote w:id="42">
    <w:p w14:paraId="7385F338" w14:textId="6BF8A3FA"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Walsh et al., ‘Standardization of criteria for assessing the effect of Simulium control in onchocerciasis control prog</w:t>
      </w:r>
      <w:r w:rsidRPr="000045FB">
        <w:rPr>
          <w:rFonts w:ascii="Calibri" w:hAnsi="Calibri" w:cs="Calibri"/>
          <w:color w:val="000000" w:themeColor="text1"/>
          <w:sz w:val="18"/>
          <w:szCs w:val="18"/>
        </w:rPr>
        <w:t xml:space="preserve">rammes’, </w:t>
      </w:r>
      <w:r w:rsidRPr="000045FB">
        <w:rPr>
          <w:rFonts w:ascii="Calibri" w:hAnsi="Calibri" w:cs="Calibri"/>
          <w:i/>
          <w:color w:val="000000" w:themeColor="text1"/>
          <w:sz w:val="18"/>
          <w:szCs w:val="18"/>
        </w:rPr>
        <w:t xml:space="preserve">Transactions of the Royal Society of Tropical Medicine and Hygiene </w:t>
      </w:r>
      <w:r w:rsidRPr="000045FB">
        <w:rPr>
          <w:rFonts w:ascii="Calibri" w:hAnsi="Calibri" w:cs="Calibri"/>
          <w:color w:val="000000" w:themeColor="text1"/>
          <w:sz w:val="18"/>
          <w:szCs w:val="18"/>
        </w:rPr>
        <w:t>72:6 (1978), 675-676.</w:t>
      </w:r>
    </w:p>
  </w:footnote>
  <w:footnote w:id="43">
    <w:p w14:paraId="00B03D1E" w14:textId="0E967B86"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See Plaisier et al., ‘The reproductive lifespan’ (1991).</w:t>
      </w:r>
    </w:p>
  </w:footnote>
  <w:footnote w:id="44">
    <w:p w14:paraId="4BB28D5E" w14:textId="4006AB8D"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See Bump JB, </w:t>
      </w:r>
      <w:r w:rsidRPr="00681100">
        <w:rPr>
          <w:rFonts w:ascii="Calibri" w:hAnsi="Calibri" w:cs="Calibri"/>
          <w:i/>
          <w:color w:val="000000" w:themeColor="text1"/>
          <w:sz w:val="18"/>
          <w:szCs w:val="18"/>
        </w:rPr>
        <w:t>The lion’s gaze: African river blindness from tr</w:t>
      </w:r>
      <w:r w:rsidRPr="000045FB">
        <w:rPr>
          <w:rFonts w:ascii="Calibri" w:hAnsi="Calibri" w:cs="Calibri"/>
          <w:i/>
          <w:color w:val="000000" w:themeColor="text1"/>
          <w:sz w:val="18"/>
          <w:szCs w:val="18"/>
        </w:rPr>
        <w:t xml:space="preserve">opical curiosity to international development </w:t>
      </w:r>
      <w:r w:rsidRPr="000045FB">
        <w:rPr>
          <w:rFonts w:ascii="Calibri" w:hAnsi="Calibri" w:cs="Calibri"/>
          <w:color w:val="000000" w:themeColor="text1"/>
          <w:sz w:val="18"/>
          <w:szCs w:val="18"/>
        </w:rPr>
        <w:t>(PhD dissertation, Baltimore: Johns Hopkins University, 2004), 176-238.</w:t>
      </w:r>
    </w:p>
  </w:footnote>
  <w:footnote w:id="45">
    <w:p w14:paraId="1BE634AE" w14:textId="5C92BB3B"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Waddy BB, </w:t>
      </w:r>
      <w:r w:rsidRPr="00681100">
        <w:rPr>
          <w:rFonts w:ascii="Calibri" w:hAnsi="Calibri" w:cs="Calibri"/>
          <w:i/>
          <w:color w:val="000000" w:themeColor="text1"/>
          <w:sz w:val="18"/>
          <w:szCs w:val="18"/>
        </w:rPr>
        <w:t xml:space="preserve">Onchocerciasis and blindness in the northern territories of the Gold Coast </w:t>
      </w:r>
      <w:r w:rsidRPr="000045FB">
        <w:rPr>
          <w:rFonts w:ascii="Calibri" w:hAnsi="Calibri" w:cs="Calibri"/>
          <w:color w:val="000000" w:themeColor="text1"/>
          <w:sz w:val="18"/>
          <w:szCs w:val="18"/>
        </w:rPr>
        <w:t xml:space="preserve">(Accra: Ministry of Health, 1949); NA, CO 554/617, ‘British Empire Society for the Blind ophthalmic survey in West Africa’, 1951-1953. </w:t>
      </w:r>
    </w:p>
  </w:footnote>
  <w:footnote w:id="46">
    <w:p w14:paraId="697FAF68" w14:textId="23356882" w:rsidR="00CF189D" w:rsidRPr="00E259A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t>
      </w:r>
      <w:r w:rsidRPr="00681100">
        <w:rPr>
          <w:rFonts w:ascii="Calibri" w:hAnsi="Calibri" w:cs="Calibri"/>
          <w:color w:val="000000" w:themeColor="text1"/>
          <w:sz w:val="18"/>
          <w:szCs w:val="18"/>
          <w:shd w:val="clear" w:color="auto" w:fill="FFFFFF"/>
        </w:rPr>
        <w:t xml:space="preserve">Blinkhorn TA, </w:t>
      </w:r>
      <w:r w:rsidRPr="000045FB">
        <w:rPr>
          <w:rFonts w:ascii="Calibri" w:hAnsi="Calibri" w:cs="Calibri"/>
          <w:i/>
          <w:color w:val="000000" w:themeColor="text1"/>
          <w:sz w:val="18"/>
          <w:szCs w:val="18"/>
          <w:shd w:val="clear" w:color="auto" w:fill="FFFFFF"/>
        </w:rPr>
        <w:t xml:space="preserve">Rivers of disease </w:t>
      </w:r>
      <w:r w:rsidRPr="000045FB">
        <w:rPr>
          <w:rFonts w:ascii="Calibri" w:hAnsi="Calibri" w:cs="Calibri"/>
          <w:color w:val="000000" w:themeColor="text1"/>
          <w:sz w:val="18"/>
          <w:szCs w:val="18"/>
          <w:shd w:val="clear" w:color="auto" w:fill="FFFFFF"/>
        </w:rPr>
        <w:t>(</w:t>
      </w:r>
      <w:r w:rsidRPr="000045FB">
        <w:rPr>
          <w:rFonts w:ascii="Calibri" w:hAnsi="Calibri" w:cs="Calibri"/>
          <w:color w:val="000000" w:themeColor="text1"/>
          <w:sz w:val="18"/>
          <w:szCs w:val="18"/>
        </w:rPr>
        <w:t>Washington DC: World Bank</w:t>
      </w:r>
      <w:r w:rsidRPr="00581494">
        <w:rPr>
          <w:rFonts w:ascii="Calibri" w:hAnsi="Calibri" w:cs="Calibri"/>
          <w:color w:val="000000" w:themeColor="text1"/>
          <w:sz w:val="18"/>
          <w:szCs w:val="18"/>
          <w:shd w:val="clear" w:color="auto" w:fill="FFFFFF"/>
        </w:rPr>
        <w:t>, 1982)</w:t>
      </w:r>
      <w:r w:rsidRPr="00581494">
        <w:rPr>
          <w:rFonts w:ascii="Calibri" w:hAnsi="Calibri" w:cs="Calibri"/>
          <w:color w:val="000000" w:themeColor="text1"/>
          <w:sz w:val="18"/>
          <w:szCs w:val="18"/>
        </w:rPr>
        <w:t xml:space="preserve">; Norgbey SW, ‘Control of onchocerciasis (river blindness) in West Africa: ecology, risk, and resettlement’, </w:t>
      </w:r>
      <w:r w:rsidRPr="00E259AA">
        <w:rPr>
          <w:rFonts w:ascii="Calibri" w:hAnsi="Calibri" w:cs="Calibri"/>
          <w:i/>
          <w:color w:val="000000" w:themeColor="text1"/>
          <w:sz w:val="18"/>
          <w:szCs w:val="18"/>
        </w:rPr>
        <w:t xml:space="preserve">Journal of Environment &amp; Development </w:t>
      </w:r>
      <w:r w:rsidRPr="00E259AA">
        <w:rPr>
          <w:rFonts w:ascii="Calibri" w:hAnsi="Calibri" w:cs="Calibri"/>
          <w:color w:val="000000" w:themeColor="text1"/>
          <w:sz w:val="18"/>
          <w:szCs w:val="18"/>
        </w:rPr>
        <w:t>6:1 (1997), 6-24.</w:t>
      </w:r>
    </w:p>
  </w:footnote>
  <w:footnote w:id="47">
    <w:p w14:paraId="62790B76" w14:textId="31FFCD4D"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Hunter, ‘Progress and Concerns’ (1982). </w:t>
      </w:r>
    </w:p>
  </w:footnote>
  <w:footnote w:id="48">
    <w:p w14:paraId="58B9902C" w14:textId="55850F22"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See, for instance, Levine R, </w:t>
      </w:r>
      <w:r w:rsidRPr="00681100">
        <w:rPr>
          <w:rFonts w:ascii="Calibri" w:hAnsi="Calibri" w:cs="Calibri"/>
          <w:i/>
          <w:color w:val="000000" w:themeColor="text1"/>
          <w:sz w:val="18"/>
          <w:szCs w:val="18"/>
        </w:rPr>
        <w:t xml:space="preserve">Case studies in global health: millions saved </w:t>
      </w:r>
      <w:r w:rsidRPr="000045FB">
        <w:rPr>
          <w:rFonts w:ascii="Calibri" w:hAnsi="Calibri" w:cs="Calibri"/>
          <w:color w:val="000000" w:themeColor="text1"/>
          <w:sz w:val="18"/>
          <w:szCs w:val="18"/>
        </w:rPr>
        <w:t>(Burlington: Jones &amp; Bartlett, 2007), 51.</w:t>
      </w:r>
    </w:p>
  </w:footnote>
  <w:footnote w:id="49">
    <w:p w14:paraId="6ED078A1" w14:textId="396165ED"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WBGA, 30339647, Stephen Denning to Distribution, ‘Riverblindness working group’ [attached map], 25 August 1977; WBGA, 1438752, ‘Onchocerciasis Fund Agreement 1979’, Table 3, 19 September 1979. (Based on data from c. 1972.)</w:t>
      </w:r>
    </w:p>
  </w:footnote>
  <w:footnote w:id="50">
    <w:p w14:paraId="4EB0B10C" w14:textId="67381746"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UNA, s-0553-15-1, ‘Onchocerciasis Control in the Volta River basin area: report of the preparatory </w:t>
      </w:r>
      <w:r w:rsidRPr="000045FB">
        <w:rPr>
          <w:rFonts w:ascii="Calibri" w:hAnsi="Calibri" w:cs="Calibri"/>
          <w:color w:val="000000" w:themeColor="text1"/>
          <w:sz w:val="18"/>
          <w:szCs w:val="18"/>
        </w:rPr>
        <w:t>assistance mission’, 1973. (Based on data from 1970 or 1971 censuses.)</w:t>
      </w:r>
    </w:p>
  </w:footnote>
  <w:footnote w:id="51">
    <w:p w14:paraId="6B84FD3D" w14:textId="7D9193EB"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By relating this caseload to the total population size of the countries from 1970-1971, a crude estimate is that between about one percent and eight percent of the population in OCP c</w:t>
      </w:r>
      <w:r w:rsidRPr="000045FB">
        <w:rPr>
          <w:rFonts w:ascii="Calibri" w:hAnsi="Calibri" w:cs="Calibri"/>
          <w:color w:val="000000" w:themeColor="text1"/>
          <w:sz w:val="18"/>
          <w:szCs w:val="18"/>
        </w:rPr>
        <w:t xml:space="preserve">ountries was infected with </w:t>
      </w:r>
      <w:r w:rsidRPr="000045FB">
        <w:rPr>
          <w:rFonts w:ascii="Calibri" w:hAnsi="Calibri" w:cs="Calibri"/>
          <w:i/>
          <w:color w:val="000000" w:themeColor="text1"/>
          <w:sz w:val="18"/>
          <w:szCs w:val="18"/>
        </w:rPr>
        <w:t xml:space="preserve">Onchocerca volvulus. </w:t>
      </w:r>
      <w:r w:rsidRPr="000045FB">
        <w:rPr>
          <w:rFonts w:ascii="Calibri" w:hAnsi="Calibri" w:cs="Calibri"/>
          <w:color w:val="000000" w:themeColor="text1"/>
          <w:sz w:val="18"/>
          <w:szCs w:val="18"/>
        </w:rPr>
        <w:t>Only particular regions of each country in which onchocerciasis was prevalent were included in the control programme, and Upper Volta had t</w:t>
      </w:r>
      <w:r w:rsidRPr="00581494">
        <w:rPr>
          <w:rFonts w:ascii="Calibri" w:hAnsi="Calibri" w:cs="Calibri"/>
          <w:color w:val="000000" w:themeColor="text1"/>
          <w:sz w:val="18"/>
          <w:szCs w:val="18"/>
        </w:rPr>
        <w:t>he highest prevalence.</w:t>
      </w:r>
    </w:p>
  </w:footnote>
  <w:footnote w:id="52">
    <w:p w14:paraId="08D7BB42" w14:textId="726A70E8"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WBGA, 1103428, John R. Evans to Files, ‘Visit to London July 8, 1980 – back-to-office report’, 31 July 1980.</w:t>
      </w:r>
    </w:p>
  </w:footnote>
  <w:footnote w:id="53">
    <w:p w14:paraId="3CA7F521" w14:textId="1E19B8C8"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World Bank/IFC Archives Oral History Program, </w:t>
      </w:r>
      <w:r w:rsidRPr="00681100">
        <w:rPr>
          <w:rFonts w:ascii="Calibri" w:hAnsi="Calibri" w:cs="Calibri"/>
          <w:i/>
          <w:color w:val="000000" w:themeColor="text1"/>
          <w:sz w:val="18"/>
          <w:szCs w:val="18"/>
        </w:rPr>
        <w:t>Transcript of interview with Alexander Storrar</w:t>
      </w:r>
      <w:r w:rsidRPr="000045FB">
        <w:rPr>
          <w:rFonts w:ascii="Calibri" w:hAnsi="Calibri" w:cs="Calibri"/>
          <w:color w:val="000000" w:themeColor="text1"/>
          <w:sz w:val="18"/>
          <w:szCs w:val="18"/>
        </w:rPr>
        <w:t>, (Washington DC: World Bank, 1986), 27-28.</w:t>
      </w:r>
    </w:p>
  </w:footnote>
  <w:footnote w:id="54">
    <w:p w14:paraId="7C592950" w14:textId="3D95AD13" w:rsidR="00CF189D" w:rsidRPr="000045FB" w:rsidRDefault="00CF189D" w:rsidP="00B86D8C">
      <w:pPr>
        <w:rPr>
          <w:rFonts w:ascii="Calibri" w:hAnsi="Calibri" w:cs="Calibri"/>
          <w:color w:val="000000" w:themeColor="text1"/>
          <w:sz w:val="18"/>
          <w:szCs w:val="18"/>
          <w:lang w:val="en-US"/>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OCP, </w:t>
      </w:r>
      <w:r w:rsidRPr="00681100">
        <w:rPr>
          <w:rFonts w:ascii="Calibri" w:hAnsi="Calibri" w:cs="Calibri"/>
          <w:i/>
          <w:color w:val="000000" w:themeColor="text1"/>
          <w:sz w:val="18"/>
          <w:szCs w:val="18"/>
        </w:rPr>
        <w:t xml:space="preserve">Ten years </w:t>
      </w:r>
      <w:r w:rsidRPr="000045FB">
        <w:rPr>
          <w:rFonts w:ascii="Calibri" w:hAnsi="Calibri" w:cs="Calibri"/>
          <w:color w:val="000000" w:themeColor="text1"/>
          <w:sz w:val="18"/>
          <w:szCs w:val="18"/>
        </w:rPr>
        <w:t xml:space="preserve">(1984). See also WBGA, 1082693, ‘Report of the preparatory assistance mission to the Volta River basin’, 1973, Figure 67. </w:t>
      </w:r>
    </w:p>
  </w:footnote>
  <w:footnote w:id="55">
    <w:p w14:paraId="0392EC3C" w14:textId="68C5BF7A"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For citations for OCP financing, see Chapter 5, footnote 76. </w:t>
      </w:r>
    </w:p>
  </w:footnote>
  <w:footnote w:id="56">
    <w:p w14:paraId="367D6B2D" w14:textId="02FFF508"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Benton et al., ‘Partnership and promise: evolution of the African river-blindness campaigns’, </w:t>
      </w:r>
      <w:r w:rsidRPr="000045FB">
        <w:rPr>
          <w:rFonts w:ascii="Calibri" w:hAnsi="Calibri" w:cs="Calibri"/>
          <w:i/>
          <w:color w:val="000000" w:themeColor="text1"/>
          <w:sz w:val="18"/>
          <w:szCs w:val="18"/>
        </w:rPr>
        <w:t xml:space="preserve">Annals of Tropical Medicine &amp; Parasitology </w:t>
      </w:r>
      <w:r w:rsidRPr="000045FB">
        <w:rPr>
          <w:rFonts w:ascii="Calibri" w:hAnsi="Calibri" w:cs="Calibri"/>
          <w:color w:val="000000" w:themeColor="text1"/>
          <w:sz w:val="18"/>
          <w:szCs w:val="18"/>
        </w:rPr>
        <w:t xml:space="preserve">96:1 (2002), s5-s14; Samba, </w:t>
      </w:r>
      <w:r w:rsidRPr="00581494">
        <w:rPr>
          <w:rFonts w:ascii="Calibri" w:hAnsi="Calibri" w:cs="Calibri"/>
          <w:i/>
          <w:color w:val="000000" w:themeColor="text1"/>
          <w:sz w:val="18"/>
          <w:szCs w:val="18"/>
        </w:rPr>
        <w:t xml:space="preserve">The Onchocerciasis </w:t>
      </w:r>
      <w:r w:rsidRPr="00581494">
        <w:rPr>
          <w:rFonts w:ascii="Calibri" w:hAnsi="Calibri" w:cs="Calibri"/>
          <w:color w:val="000000" w:themeColor="text1"/>
          <w:sz w:val="18"/>
          <w:szCs w:val="18"/>
        </w:rPr>
        <w:t>(1994).</w:t>
      </w:r>
    </w:p>
  </w:footnote>
  <w:footnote w:id="57">
    <w:p w14:paraId="04856BBA" w14:textId="2D21A452" w:rsidR="00CF189D" w:rsidRPr="00546CB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Reproduced with permission from the WHO Press</w:t>
      </w:r>
      <w:r>
        <w:rPr>
          <w:rFonts w:ascii="Calibri" w:hAnsi="Calibri" w:cs="Calibri"/>
          <w:color w:val="000000" w:themeColor="text1"/>
          <w:sz w:val="18"/>
          <w:szCs w:val="18"/>
        </w:rPr>
        <w:t xml:space="preserve"> (May 2020)</w:t>
      </w:r>
      <w:r w:rsidRPr="00681100">
        <w:rPr>
          <w:rFonts w:ascii="Calibri" w:hAnsi="Calibri" w:cs="Calibri"/>
          <w:color w:val="000000" w:themeColor="text1"/>
          <w:sz w:val="18"/>
          <w:szCs w:val="18"/>
        </w:rPr>
        <w:t xml:space="preserve">, from </w:t>
      </w:r>
      <w:r w:rsidRPr="00546CBA">
        <w:rPr>
          <w:rFonts w:ascii="Calibri" w:hAnsi="Calibri" w:cs="Calibri"/>
          <w:i/>
          <w:color w:val="000000" w:themeColor="text1"/>
          <w:sz w:val="18"/>
          <w:szCs w:val="18"/>
        </w:rPr>
        <w:t xml:space="preserve">20 years of onchocerciasis control in West Africa, </w:t>
      </w:r>
      <w:r w:rsidRPr="00546CBA">
        <w:rPr>
          <w:rFonts w:ascii="Calibri" w:hAnsi="Calibri" w:cs="Calibri"/>
          <w:iCs/>
          <w:color w:val="000000" w:themeColor="text1"/>
          <w:sz w:val="18"/>
          <w:szCs w:val="18"/>
        </w:rPr>
        <w:t xml:space="preserve">OCP/WHO, page 2, copyright 1994. </w:t>
      </w:r>
    </w:p>
  </w:footnote>
  <w:footnote w:id="58">
    <w:p w14:paraId="1CC85E07" w14:textId="1E3A51E4"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Bump et al., ‘West Africa: defeating riverblindness – success in scaling up and lessons learned’, in </w:t>
      </w:r>
      <w:r w:rsidRPr="000045FB">
        <w:rPr>
          <w:rFonts w:ascii="Calibri" w:hAnsi="Calibri" w:cs="Calibri"/>
          <w:i/>
          <w:color w:val="000000" w:themeColor="text1"/>
          <w:sz w:val="18"/>
          <w:szCs w:val="18"/>
        </w:rPr>
        <w:t xml:space="preserve">Reducing poverty, sustaining growth – what works, what doesn’t, and why: a global exchange for scaling up success </w:t>
      </w:r>
      <w:r w:rsidRPr="000045FB">
        <w:rPr>
          <w:rFonts w:ascii="Calibri" w:hAnsi="Calibri" w:cs="Calibri"/>
          <w:color w:val="000000" w:themeColor="text1"/>
          <w:sz w:val="18"/>
          <w:szCs w:val="18"/>
        </w:rPr>
        <w:t>(Washington DC: World Bank, 2004).</w:t>
      </w:r>
    </w:p>
  </w:footnote>
  <w:footnote w:id="59">
    <w:p w14:paraId="0D8271E6" w14:textId="7777777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Vieta, ‘River blindness’ (1998).</w:t>
      </w:r>
    </w:p>
  </w:footnote>
  <w:footnote w:id="60">
    <w:p w14:paraId="6058484A" w14:textId="7777777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See, for example, World Bank, </w:t>
      </w:r>
      <w:r w:rsidRPr="00681100">
        <w:rPr>
          <w:rFonts w:ascii="Calibri" w:hAnsi="Calibri" w:cs="Calibri"/>
          <w:i/>
          <w:color w:val="000000" w:themeColor="text1"/>
          <w:sz w:val="18"/>
          <w:szCs w:val="18"/>
        </w:rPr>
        <w:t xml:space="preserve">A successful public-private partnership model </w:t>
      </w:r>
      <w:r w:rsidRPr="000045FB">
        <w:rPr>
          <w:rFonts w:ascii="Calibri" w:hAnsi="Calibri" w:cs="Calibri"/>
          <w:color w:val="000000" w:themeColor="text1"/>
          <w:sz w:val="18"/>
          <w:szCs w:val="18"/>
        </w:rPr>
        <w:t>(Washington DC: World Bank Group, 2014).</w:t>
      </w:r>
    </w:p>
  </w:footnote>
  <w:footnote w:id="61">
    <w:p w14:paraId="35DA2084" w14:textId="4349676A" w:rsidR="00CF189D" w:rsidRPr="00E259A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See WHO, </w:t>
      </w:r>
      <w:r w:rsidRPr="00681100">
        <w:rPr>
          <w:rFonts w:ascii="Calibri" w:hAnsi="Calibri" w:cs="Calibri"/>
          <w:i/>
          <w:color w:val="000000" w:themeColor="text1"/>
          <w:sz w:val="18"/>
          <w:szCs w:val="18"/>
        </w:rPr>
        <w:t>Framework for the establishment of the Expanded Special Project for Elimination of Neglected</w:t>
      </w:r>
      <w:r w:rsidRPr="000045FB">
        <w:rPr>
          <w:rFonts w:ascii="Calibri" w:hAnsi="Calibri" w:cs="Calibri"/>
          <w:i/>
          <w:color w:val="000000" w:themeColor="text1"/>
          <w:sz w:val="18"/>
          <w:szCs w:val="18"/>
        </w:rPr>
        <w:t xml:space="preserve"> Tropical Diseases </w:t>
      </w:r>
      <w:r w:rsidRPr="000045FB">
        <w:rPr>
          <w:rFonts w:ascii="Calibri" w:hAnsi="Calibri" w:cs="Calibri"/>
          <w:color w:val="000000" w:themeColor="text1"/>
          <w:sz w:val="18"/>
          <w:szCs w:val="18"/>
        </w:rPr>
        <w:t xml:space="preserve">(Brazzaville: WHO AFRO, [2016]); Expanded Special Project for Elimination of Neglected Tropical Diseases, </w:t>
      </w:r>
      <w:r w:rsidRPr="00581494">
        <w:rPr>
          <w:rFonts w:ascii="Calibri" w:hAnsi="Calibri" w:cs="Calibri"/>
          <w:i/>
          <w:color w:val="000000" w:themeColor="text1"/>
          <w:sz w:val="18"/>
          <w:szCs w:val="18"/>
        </w:rPr>
        <w:t xml:space="preserve">2017 annual report </w:t>
      </w:r>
      <w:r w:rsidRPr="00581494">
        <w:rPr>
          <w:rFonts w:ascii="Calibri" w:hAnsi="Calibri" w:cs="Calibri"/>
          <w:color w:val="000000" w:themeColor="text1"/>
          <w:sz w:val="18"/>
          <w:szCs w:val="18"/>
        </w:rPr>
        <w:t xml:space="preserve">(Brazzaville: WHO AFRO, 2018); Department for International Development, </w:t>
      </w:r>
      <w:r w:rsidRPr="00581494">
        <w:rPr>
          <w:rFonts w:ascii="Calibri" w:hAnsi="Calibri" w:cs="Calibri"/>
          <w:i/>
          <w:color w:val="000000" w:themeColor="text1"/>
          <w:sz w:val="18"/>
          <w:szCs w:val="18"/>
        </w:rPr>
        <w:t xml:space="preserve">Annual review – summary sheet, support </w:t>
      </w:r>
      <w:r w:rsidRPr="00E259AA">
        <w:rPr>
          <w:rFonts w:ascii="Calibri" w:hAnsi="Calibri" w:cs="Calibri"/>
          <w:i/>
          <w:color w:val="000000" w:themeColor="text1"/>
          <w:sz w:val="18"/>
          <w:szCs w:val="18"/>
        </w:rPr>
        <w:t xml:space="preserve">for onchocerciasis elimination work in Africa </w:t>
      </w:r>
      <w:r w:rsidRPr="00E259AA">
        <w:rPr>
          <w:rFonts w:ascii="Calibri" w:hAnsi="Calibri" w:cs="Calibri"/>
          <w:color w:val="000000" w:themeColor="text1"/>
          <w:sz w:val="18"/>
          <w:szCs w:val="18"/>
        </w:rPr>
        <w:t>(London: United Kingdom, November 2016).</w:t>
      </w:r>
    </w:p>
  </w:footnote>
  <w:footnote w:id="62">
    <w:p w14:paraId="7DF48FC1" w14:textId="7777777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s.a., ‘The billionth treatment for river blindness – photo essay’, </w:t>
      </w:r>
      <w:r w:rsidRPr="00681100">
        <w:rPr>
          <w:rFonts w:ascii="Calibri" w:hAnsi="Calibri" w:cs="Calibri"/>
          <w:i/>
          <w:color w:val="000000" w:themeColor="text1"/>
          <w:sz w:val="18"/>
          <w:szCs w:val="18"/>
        </w:rPr>
        <w:t xml:space="preserve">The Guardian </w:t>
      </w:r>
      <w:r w:rsidRPr="000045FB">
        <w:rPr>
          <w:rFonts w:ascii="Calibri" w:hAnsi="Calibri" w:cs="Calibri"/>
          <w:color w:val="000000" w:themeColor="text1"/>
          <w:sz w:val="18"/>
          <w:szCs w:val="18"/>
        </w:rPr>
        <w:t>(12 December 2017).</w:t>
      </w:r>
    </w:p>
  </w:footnote>
  <w:footnote w:id="63">
    <w:p w14:paraId="112AC77B" w14:textId="30730B02" w:rsidR="00CF189D" w:rsidRPr="00E259AA" w:rsidRDefault="00CF189D" w:rsidP="00B86D8C">
      <w:pPr>
        <w:rPr>
          <w:rFonts w:ascii="Calibri" w:hAnsi="Calibri" w:cs="Calibri"/>
          <w:color w:val="000000" w:themeColor="text1"/>
          <w:sz w:val="18"/>
          <w:szCs w:val="18"/>
          <w:lang w:val="en-US"/>
        </w:rPr>
      </w:pPr>
      <w:r w:rsidRPr="000045FB">
        <w:rPr>
          <w:rStyle w:val="FootnoteReference"/>
          <w:rFonts w:ascii="Calibri" w:hAnsi="Calibri" w:cs="Calibri"/>
          <w:color w:val="000000" w:themeColor="text1"/>
          <w:sz w:val="18"/>
          <w:szCs w:val="18"/>
        </w:rPr>
        <w:t>63</w:t>
      </w:r>
      <w:r w:rsidRPr="000045FB">
        <w:rPr>
          <w:rFonts w:ascii="Calibri" w:hAnsi="Calibri" w:cs="Calibri"/>
          <w:color w:val="000000" w:themeColor="text1"/>
          <w:sz w:val="18"/>
          <w:szCs w:val="18"/>
        </w:rPr>
        <w:t xml:space="preserve"> Figure based on WBGA, 30304908, Hopkins DR and Richards F, ‘Visi</w:t>
      </w:r>
      <w:r w:rsidRPr="00581494">
        <w:rPr>
          <w:rFonts w:ascii="Calibri" w:hAnsi="Calibri" w:cs="Calibri"/>
          <w:color w:val="000000" w:themeColor="text1"/>
          <w:sz w:val="18"/>
          <w:szCs w:val="18"/>
        </w:rPr>
        <w:t xml:space="preserve">onary campaign: eliminating river blindness’, </w:t>
      </w:r>
      <w:r w:rsidRPr="00581494">
        <w:rPr>
          <w:rFonts w:ascii="Calibri" w:hAnsi="Calibri" w:cs="Calibri"/>
          <w:i/>
          <w:color w:val="000000" w:themeColor="text1"/>
          <w:sz w:val="18"/>
          <w:szCs w:val="18"/>
        </w:rPr>
        <w:t xml:space="preserve">Reprint from the 1997 medical and health annual </w:t>
      </w:r>
      <w:r w:rsidRPr="00E259AA">
        <w:rPr>
          <w:rFonts w:ascii="Calibri" w:hAnsi="Calibri" w:cs="Calibri"/>
          <w:color w:val="000000" w:themeColor="text1"/>
          <w:sz w:val="18"/>
          <w:szCs w:val="18"/>
        </w:rPr>
        <w:t xml:space="preserve">(Chicago: Encyclopedia Brittanica, 1996); Davies JB, ‘Sixty years of onchocerciasis vector control: a chronological summary with comments on eradication, reinvasion, and insecticide resistance’, </w:t>
      </w:r>
      <w:r w:rsidRPr="00E259AA">
        <w:rPr>
          <w:rFonts w:ascii="Calibri" w:hAnsi="Calibri" w:cs="Calibri"/>
          <w:i/>
          <w:color w:val="000000" w:themeColor="text1"/>
          <w:sz w:val="18"/>
          <w:szCs w:val="18"/>
        </w:rPr>
        <w:t xml:space="preserve">Annual Review of Entomology </w:t>
      </w:r>
      <w:r w:rsidRPr="00E259AA">
        <w:rPr>
          <w:rFonts w:ascii="Calibri" w:hAnsi="Calibri" w:cs="Calibri"/>
          <w:color w:val="000000" w:themeColor="text1"/>
          <w:sz w:val="18"/>
          <w:szCs w:val="18"/>
        </w:rPr>
        <w:t>39 (1994), 23-45</w:t>
      </w:r>
      <w:r w:rsidRPr="00E259AA">
        <w:rPr>
          <w:rFonts w:ascii="Calibri" w:hAnsi="Calibri" w:cs="Calibri"/>
          <w:color w:val="000000" w:themeColor="text1"/>
          <w:sz w:val="18"/>
          <w:szCs w:val="18"/>
          <w:lang w:val="en-US"/>
        </w:rPr>
        <w:t xml:space="preserve">; Le Berre et al., ‘The WHO Onchocerciasis Control Programme: retrospect and prospects’, </w:t>
      </w:r>
      <w:r w:rsidRPr="00E259AA">
        <w:rPr>
          <w:rFonts w:ascii="Calibri" w:hAnsi="Calibri" w:cs="Calibri"/>
          <w:i/>
          <w:color w:val="000000" w:themeColor="text1"/>
          <w:sz w:val="18"/>
          <w:szCs w:val="18"/>
          <w:lang w:val="en-US"/>
        </w:rPr>
        <w:t xml:space="preserve">Philosophical Transactions of the Royal Society London </w:t>
      </w:r>
      <w:r w:rsidRPr="00E259AA">
        <w:rPr>
          <w:rFonts w:ascii="Calibri" w:hAnsi="Calibri" w:cs="Calibri"/>
          <w:color w:val="000000" w:themeColor="text1"/>
          <w:sz w:val="18"/>
          <w:szCs w:val="18"/>
          <w:lang w:val="en-US"/>
        </w:rPr>
        <w:t xml:space="preserve">238 (1990), 721-729; OCP, </w:t>
      </w:r>
      <w:r w:rsidRPr="00E259AA">
        <w:rPr>
          <w:rFonts w:ascii="Calibri" w:hAnsi="Calibri" w:cs="Calibri"/>
          <w:i/>
          <w:color w:val="000000" w:themeColor="text1"/>
          <w:sz w:val="18"/>
          <w:szCs w:val="18"/>
          <w:lang w:val="en-US"/>
        </w:rPr>
        <w:t xml:space="preserve">20 years </w:t>
      </w:r>
      <w:r w:rsidRPr="00E259AA">
        <w:rPr>
          <w:rFonts w:ascii="Calibri" w:hAnsi="Calibri" w:cs="Calibri"/>
          <w:color w:val="000000" w:themeColor="text1"/>
          <w:sz w:val="18"/>
          <w:szCs w:val="18"/>
          <w:lang w:val="en-US"/>
        </w:rPr>
        <w:t>(1994).</w:t>
      </w:r>
    </w:p>
  </w:footnote>
  <w:footnote w:id="64">
    <w:p w14:paraId="44E94C12" w14:textId="5714FD77" w:rsidR="00CF189D" w:rsidRPr="00471293" w:rsidRDefault="00CF189D" w:rsidP="00B86D8C">
      <w:pPr>
        <w:pStyle w:val="FootnoteText"/>
        <w:rPr>
          <w:rFonts w:ascii="Calibri" w:hAnsi="Calibri" w:cs="Calibri"/>
          <w:color w:val="000000" w:themeColor="text1"/>
          <w:sz w:val="18"/>
          <w:szCs w:val="18"/>
        </w:rPr>
      </w:pPr>
      <w:r w:rsidRPr="00E259AA">
        <w:rPr>
          <w:rStyle w:val="FootnoteReference"/>
          <w:rFonts w:ascii="Calibri" w:hAnsi="Calibri" w:cs="Calibri"/>
          <w:color w:val="000000" w:themeColor="text1"/>
          <w:sz w:val="18"/>
          <w:szCs w:val="18"/>
        </w:rPr>
        <w:t>64</w:t>
      </w:r>
      <w:r w:rsidRPr="00DE5E29">
        <w:rPr>
          <w:rFonts w:ascii="Calibri" w:hAnsi="Calibri" w:cs="Calibri"/>
          <w:color w:val="000000" w:themeColor="text1"/>
          <w:sz w:val="18"/>
          <w:szCs w:val="18"/>
        </w:rPr>
        <w:t xml:space="preserve"> Figure based on </w:t>
      </w:r>
      <w:r w:rsidRPr="00DE5E29">
        <w:rPr>
          <w:rFonts w:ascii="Calibri" w:hAnsi="Calibri" w:cs="Calibri"/>
          <w:color w:val="000000" w:themeColor="text1"/>
          <w:sz w:val="18"/>
          <w:szCs w:val="18"/>
          <w:lang w:val="en-US"/>
        </w:rPr>
        <w:t xml:space="preserve">OCP, </w:t>
      </w:r>
      <w:r w:rsidRPr="00DE5E29">
        <w:rPr>
          <w:rFonts w:ascii="Calibri" w:hAnsi="Calibri" w:cs="Calibri"/>
          <w:i/>
          <w:color w:val="000000" w:themeColor="text1"/>
          <w:sz w:val="18"/>
          <w:szCs w:val="18"/>
          <w:lang w:val="en-US"/>
        </w:rPr>
        <w:t xml:space="preserve">20 years </w:t>
      </w:r>
      <w:r w:rsidRPr="00DE5E29">
        <w:rPr>
          <w:rFonts w:ascii="Calibri" w:hAnsi="Calibri" w:cs="Calibri"/>
          <w:color w:val="000000" w:themeColor="text1"/>
          <w:sz w:val="18"/>
          <w:szCs w:val="18"/>
          <w:lang w:val="en-US"/>
        </w:rPr>
        <w:t xml:space="preserve">(Geneva: WHO, 1994); </w:t>
      </w:r>
      <w:r w:rsidRPr="00DE5E29">
        <w:rPr>
          <w:rFonts w:ascii="Calibri" w:hAnsi="Calibri" w:cs="Calibri"/>
          <w:color w:val="000000" w:themeColor="text1"/>
          <w:sz w:val="18"/>
          <w:szCs w:val="18"/>
        </w:rPr>
        <w:t xml:space="preserve">Bump et al., ‘West Africa’ (2004); World Bank, </w:t>
      </w:r>
      <w:r w:rsidRPr="00DE5E29">
        <w:rPr>
          <w:rFonts w:ascii="Calibri" w:hAnsi="Calibri" w:cs="Calibri"/>
          <w:i/>
          <w:color w:val="000000" w:themeColor="text1"/>
          <w:sz w:val="18"/>
          <w:szCs w:val="18"/>
        </w:rPr>
        <w:t xml:space="preserve">A successful </w:t>
      </w:r>
      <w:r w:rsidRPr="00DE5E29">
        <w:rPr>
          <w:rFonts w:ascii="Calibri" w:hAnsi="Calibri" w:cs="Calibri"/>
          <w:color w:val="000000" w:themeColor="text1"/>
          <w:sz w:val="18"/>
          <w:szCs w:val="18"/>
        </w:rPr>
        <w:t xml:space="preserve">(2014); World Bank, ‘The World Bank and neglected tropical diseases: building on a history of helping countries address resources of the poor’, </w:t>
      </w:r>
      <w:r w:rsidRPr="00DE5E29">
        <w:rPr>
          <w:rFonts w:ascii="Calibri" w:hAnsi="Calibri" w:cs="Calibri"/>
          <w:i/>
          <w:color w:val="000000" w:themeColor="text1"/>
          <w:sz w:val="18"/>
          <w:szCs w:val="18"/>
        </w:rPr>
        <w:t xml:space="preserve">World Bank Brief, </w:t>
      </w:r>
      <w:r w:rsidRPr="00BD6EE4">
        <w:rPr>
          <w:rFonts w:ascii="Calibri" w:hAnsi="Calibri" w:cs="Calibri"/>
          <w:color w:val="000000" w:themeColor="text1"/>
          <w:sz w:val="18"/>
          <w:szCs w:val="18"/>
        </w:rPr>
        <w:t xml:space="preserve">27 March 2014; WHO, </w:t>
      </w:r>
      <w:r w:rsidRPr="00471293">
        <w:rPr>
          <w:rFonts w:ascii="Calibri" w:hAnsi="Calibri" w:cs="Calibri"/>
          <w:i/>
          <w:color w:val="000000" w:themeColor="text1"/>
          <w:sz w:val="18"/>
          <w:szCs w:val="18"/>
        </w:rPr>
        <w:t xml:space="preserve">Framework for the establishment </w:t>
      </w:r>
      <w:r w:rsidRPr="00471293">
        <w:rPr>
          <w:rFonts w:ascii="Calibri" w:hAnsi="Calibri" w:cs="Calibri"/>
          <w:color w:val="000000" w:themeColor="text1"/>
          <w:sz w:val="18"/>
          <w:szCs w:val="18"/>
        </w:rPr>
        <w:t>(2016).</w:t>
      </w:r>
    </w:p>
  </w:footnote>
  <w:footnote w:id="65">
    <w:p w14:paraId="6AFEB9F6" w14:textId="7C2B9694" w:rsidR="00CF189D" w:rsidRPr="00471293" w:rsidRDefault="00CF189D" w:rsidP="00B86D8C">
      <w:pPr>
        <w:pStyle w:val="FootnoteText"/>
        <w:rPr>
          <w:rFonts w:ascii="Calibri" w:hAnsi="Calibri" w:cs="Calibri"/>
          <w:color w:val="000000" w:themeColor="text1"/>
          <w:sz w:val="18"/>
          <w:szCs w:val="18"/>
        </w:rPr>
      </w:pPr>
      <w:r w:rsidRPr="00471293">
        <w:rPr>
          <w:rStyle w:val="FootnoteReference"/>
          <w:rFonts w:ascii="Calibri" w:hAnsi="Calibri" w:cs="Calibri"/>
          <w:color w:val="000000" w:themeColor="text1"/>
          <w:sz w:val="18"/>
          <w:szCs w:val="18"/>
        </w:rPr>
        <w:t>65</w:t>
      </w:r>
      <w:r w:rsidRPr="00471293">
        <w:rPr>
          <w:rFonts w:ascii="Calibri" w:hAnsi="Calibri" w:cs="Calibri"/>
          <w:color w:val="000000" w:themeColor="text1"/>
          <w:sz w:val="18"/>
          <w:szCs w:val="18"/>
        </w:rPr>
        <w:t xml:space="preserve"> See Appendix I.</w:t>
      </w:r>
    </w:p>
  </w:footnote>
  <w:footnote w:id="66">
    <w:p w14:paraId="31A37E35" w14:textId="7468BE46" w:rsidR="00CF189D" w:rsidRPr="008E1EA6" w:rsidRDefault="00CF189D" w:rsidP="00B86D8C">
      <w:pPr>
        <w:pStyle w:val="FootnoteText"/>
        <w:rPr>
          <w:rFonts w:ascii="Calibri" w:hAnsi="Calibri" w:cs="Calibri"/>
          <w:color w:val="000000" w:themeColor="text1"/>
          <w:sz w:val="18"/>
          <w:szCs w:val="18"/>
        </w:rPr>
      </w:pPr>
      <w:r w:rsidRPr="008E1EA6">
        <w:rPr>
          <w:rStyle w:val="FootnoteReference"/>
          <w:rFonts w:ascii="Calibri" w:hAnsi="Calibri" w:cs="Calibri"/>
          <w:color w:val="000000" w:themeColor="text1"/>
          <w:sz w:val="18"/>
          <w:szCs w:val="18"/>
        </w:rPr>
        <w:t>66</w:t>
      </w:r>
      <w:r w:rsidRPr="008E1EA6">
        <w:rPr>
          <w:rFonts w:ascii="Calibri" w:hAnsi="Calibri" w:cs="Calibri"/>
          <w:color w:val="000000" w:themeColor="text1"/>
          <w:sz w:val="18"/>
          <w:szCs w:val="18"/>
        </w:rPr>
        <w:t xml:space="preserve"> The search strategy is described in depth in section 2.3 (especially Figure 2.2) and sources are listed in Appendix I.</w:t>
      </w:r>
    </w:p>
  </w:footnote>
  <w:footnote w:id="67">
    <w:p w14:paraId="4A1A6214" w14:textId="11C74422"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World Bank Group Historian’s Office Oral History Program, </w:t>
      </w:r>
      <w:r w:rsidRPr="000045FB">
        <w:rPr>
          <w:rFonts w:ascii="Calibri" w:hAnsi="Calibri" w:cs="Calibri"/>
          <w:i/>
          <w:color w:val="000000" w:themeColor="text1"/>
          <w:sz w:val="18"/>
          <w:szCs w:val="18"/>
        </w:rPr>
        <w:t xml:space="preserve">Transcript of interview with Edward V.K. Jaycox, February 3, March 9, April 27 &amp; May 27, 1995 </w:t>
      </w:r>
      <w:r w:rsidRPr="000045FB">
        <w:rPr>
          <w:rFonts w:ascii="Calibri" w:hAnsi="Calibri" w:cs="Calibri"/>
          <w:color w:val="000000" w:themeColor="text1"/>
          <w:sz w:val="18"/>
          <w:szCs w:val="18"/>
        </w:rPr>
        <w:t>(Washington DC: World Bank, 1995), 21-22.</w:t>
      </w:r>
    </w:p>
  </w:footnote>
  <w:footnote w:id="68">
    <w:p w14:paraId="7131822A" w14:textId="59D6E6E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 xml:space="preserve">Transcript of interview with Edward V.K. Jaycox </w:t>
      </w:r>
      <w:r w:rsidRPr="000045FB">
        <w:rPr>
          <w:rFonts w:ascii="Calibri" w:hAnsi="Calibri" w:cs="Calibri"/>
          <w:color w:val="000000" w:themeColor="text1"/>
          <w:sz w:val="18"/>
          <w:szCs w:val="18"/>
        </w:rPr>
        <w:t>(1995), 23.</w:t>
      </w:r>
    </w:p>
  </w:footnote>
  <w:footnote w:id="69">
    <w:p w14:paraId="135B6A7D" w14:textId="74447AFA"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Woods N, ‘Good governance in international organizations’, </w:t>
      </w:r>
      <w:r w:rsidRPr="000045FB">
        <w:rPr>
          <w:rFonts w:ascii="Calibri" w:hAnsi="Calibri" w:cs="Calibri"/>
          <w:i/>
          <w:color w:val="000000" w:themeColor="text1"/>
          <w:sz w:val="18"/>
          <w:szCs w:val="18"/>
        </w:rPr>
        <w:t xml:space="preserve">Global Governance </w:t>
      </w:r>
      <w:r w:rsidRPr="000045FB">
        <w:rPr>
          <w:rFonts w:ascii="Calibri" w:hAnsi="Calibri" w:cs="Calibri"/>
          <w:color w:val="000000" w:themeColor="text1"/>
          <w:sz w:val="18"/>
          <w:szCs w:val="18"/>
        </w:rPr>
        <w:t>5:1 (1999), 39-61.</w:t>
      </w:r>
    </w:p>
  </w:footnote>
  <w:footnote w:id="70">
    <w:p w14:paraId="3511002C" w14:textId="2A74D202"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Kaufmann et al., </w:t>
      </w:r>
      <w:r w:rsidRPr="00681100">
        <w:rPr>
          <w:rFonts w:ascii="Calibri" w:hAnsi="Calibri" w:cs="Calibri"/>
          <w:i/>
          <w:color w:val="000000" w:themeColor="text1"/>
          <w:sz w:val="18"/>
          <w:szCs w:val="18"/>
        </w:rPr>
        <w:t>The worldwide gove</w:t>
      </w:r>
      <w:r w:rsidRPr="000045FB">
        <w:rPr>
          <w:rFonts w:ascii="Calibri" w:hAnsi="Calibri" w:cs="Calibri"/>
          <w:i/>
          <w:color w:val="000000" w:themeColor="text1"/>
          <w:sz w:val="18"/>
          <w:szCs w:val="18"/>
        </w:rPr>
        <w:t xml:space="preserve">rnance indicators: methodology and analytical issues, draft policy research working paper </w:t>
      </w:r>
      <w:r w:rsidRPr="000045FB">
        <w:rPr>
          <w:rFonts w:ascii="Calibri" w:hAnsi="Calibri" w:cs="Calibri"/>
          <w:color w:val="000000" w:themeColor="text1"/>
          <w:sz w:val="18"/>
          <w:szCs w:val="18"/>
        </w:rPr>
        <w:t>(Washington DC: World Bank and Brookings Institution, 2010).</w:t>
      </w:r>
    </w:p>
  </w:footnote>
  <w:footnote w:id="71">
    <w:p w14:paraId="68406BC1" w14:textId="67CA7478"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See Woods, ‘Good governance’ (1999).</w:t>
      </w:r>
    </w:p>
  </w:footnote>
  <w:footnote w:id="72">
    <w:p w14:paraId="0A72A7CE" w14:textId="266DF008" w:rsidR="00CF189D" w:rsidRPr="00E259A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United Nations, </w:t>
      </w:r>
      <w:r w:rsidRPr="00681100">
        <w:rPr>
          <w:rFonts w:ascii="Calibri" w:hAnsi="Calibri" w:cs="Calibri"/>
          <w:i/>
          <w:color w:val="000000" w:themeColor="text1"/>
          <w:sz w:val="18"/>
          <w:szCs w:val="18"/>
        </w:rPr>
        <w:t>Deputy secretary-general reviews options for ins</w:t>
      </w:r>
      <w:r w:rsidRPr="000045FB">
        <w:rPr>
          <w:rFonts w:ascii="Calibri" w:hAnsi="Calibri" w:cs="Calibri"/>
          <w:i/>
          <w:color w:val="000000" w:themeColor="text1"/>
          <w:sz w:val="18"/>
          <w:szCs w:val="18"/>
        </w:rPr>
        <w:t>titutional changes, to meet growing challenge of global governance: press release DSG/SM/39 ECO/9</w:t>
      </w:r>
      <w:r w:rsidRPr="000045FB">
        <w:rPr>
          <w:rFonts w:ascii="Calibri" w:hAnsi="Calibri" w:cs="Calibri"/>
          <w:color w:val="000000" w:themeColor="text1"/>
          <w:sz w:val="18"/>
          <w:szCs w:val="18"/>
        </w:rPr>
        <w:t xml:space="preserve"> (8 December 1998). See also Massicotte MJ, ‘Global governance and the global political economy: three texts in search of a synthesis’, </w:t>
      </w:r>
      <w:r w:rsidRPr="00581494">
        <w:rPr>
          <w:rFonts w:ascii="Calibri" w:hAnsi="Calibri" w:cs="Calibri"/>
          <w:i/>
          <w:color w:val="000000" w:themeColor="text1"/>
          <w:sz w:val="18"/>
          <w:szCs w:val="18"/>
        </w:rPr>
        <w:t xml:space="preserve">Global Governance </w:t>
      </w:r>
      <w:r w:rsidRPr="00581494">
        <w:rPr>
          <w:rFonts w:ascii="Calibri" w:hAnsi="Calibri" w:cs="Calibri"/>
          <w:color w:val="000000" w:themeColor="text1"/>
          <w:sz w:val="18"/>
          <w:szCs w:val="18"/>
        </w:rPr>
        <w:t xml:space="preserve">5 (1999), 127-148. For a concise discussion on the uses of the terms ‘governance’ and ‘global governance’, see Dodgson et al., </w:t>
      </w:r>
      <w:r w:rsidRPr="00E259AA">
        <w:rPr>
          <w:rFonts w:ascii="Calibri" w:hAnsi="Calibri" w:cs="Calibri"/>
          <w:i/>
          <w:color w:val="000000" w:themeColor="text1"/>
          <w:sz w:val="18"/>
          <w:szCs w:val="18"/>
        </w:rPr>
        <w:t xml:space="preserve">Global health governance: a conceptual review </w:t>
      </w:r>
      <w:r w:rsidRPr="00E259AA">
        <w:rPr>
          <w:rFonts w:ascii="Calibri" w:hAnsi="Calibri" w:cs="Calibri"/>
          <w:color w:val="000000" w:themeColor="text1"/>
          <w:sz w:val="18"/>
          <w:szCs w:val="18"/>
        </w:rPr>
        <w:t>(Geneva: WHO, 2002), 14-17.</w:t>
      </w:r>
    </w:p>
  </w:footnote>
  <w:footnote w:id="73">
    <w:p w14:paraId="621FEC4C" w14:textId="3652FABE" w:rsidR="00CF189D" w:rsidRPr="00E259A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Dodgson et al., </w:t>
      </w:r>
      <w:r w:rsidRPr="00681100">
        <w:rPr>
          <w:rFonts w:ascii="Calibri" w:hAnsi="Calibri" w:cs="Calibri"/>
          <w:i/>
          <w:color w:val="000000" w:themeColor="text1"/>
          <w:sz w:val="18"/>
          <w:szCs w:val="18"/>
        </w:rPr>
        <w:t xml:space="preserve">Global health governance </w:t>
      </w:r>
      <w:r w:rsidRPr="000045FB">
        <w:rPr>
          <w:rFonts w:ascii="Calibri" w:hAnsi="Calibri" w:cs="Calibri"/>
          <w:color w:val="000000" w:themeColor="text1"/>
          <w:sz w:val="18"/>
          <w:szCs w:val="18"/>
        </w:rPr>
        <w:t xml:space="preserve">(2002), 17-24; Lee K and Kamradt-Scott A, ‘The multiple meanings of global health governance: a call for conceptual clarity’, </w:t>
      </w:r>
      <w:r w:rsidRPr="000045FB">
        <w:rPr>
          <w:rFonts w:ascii="Calibri" w:hAnsi="Calibri" w:cs="Calibri"/>
          <w:i/>
          <w:color w:val="000000" w:themeColor="text1"/>
          <w:sz w:val="18"/>
          <w:szCs w:val="18"/>
        </w:rPr>
        <w:t xml:space="preserve">Globalization and Health </w:t>
      </w:r>
      <w:r w:rsidRPr="00581494">
        <w:rPr>
          <w:rFonts w:ascii="Calibri" w:hAnsi="Calibri" w:cs="Calibri"/>
          <w:color w:val="000000" w:themeColor="text1"/>
          <w:sz w:val="18"/>
          <w:szCs w:val="18"/>
        </w:rPr>
        <w:t xml:space="preserve">10:28 (2014), 1-10; Frenk J and Moon S, ‘Governance challenges in global health’, </w:t>
      </w:r>
      <w:r w:rsidRPr="00581494">
        <w:rPr>
          <w:rFonts w:ascii="Calibri" w:hAnsi="Calibri" w:cs="Calibri"/>
          <w:i/>
          <w:color w:val="000000" w:themeColor="text1"/>
          <w:sz w:val="18"/>
          <w:szCs w:val="18"/>
        </w:rPr>
        <w:t xml:space="preserve">New England Journal of Medicine </w:t>
      </w:r>
      <w:r w:rsidRPr="00E259AA">
        <w:rPr>
          <w:rFonts w:ascii="Calibri" w:hAnsi="Calibri" w:cs="Calibri"/>
          <w:color w:val="000000" w:themeColor="text1"/>
          <w:sz w:val="18"/>
          <w:szCs w:val="18"/>
        </w:rPr>
        <w:t xml:space="preserve">368:10 (2013), 936-942; Harman S, </w:t>
      </w:r>
      <w:r w:rsidRPr="00E259AA">
        <w:rPr>
          <w:rFonts w:ascii="Calibri" w:hAnsi="Calibri" w:cs="Calibri"/>
          <w:i/>
          <w:color w:val="000000" w:themeColor="text1"/>
          <w:sz w:val="18"/>
          <w:szCs w:val="18"/>
        </w:rPr>
        <w:t xml:space="preserve">Global health governance </w:t>
      </w:r>
      <w:r w:rsidRPr="00E259AA">
        <w:rPr>
          <w:rFonts w:ascii="Calibri" w:hAnsi="Calibri" w:cs="Calibri"/>
          <w:color w:val="000000" w:themeColor="text1"/>
          <w:sz w:val="18"/>
          <w:szCs w:val="18"/>
        </w:rPr>
        <w:t>(New York: Routledge, 2012).</w:t>
      </w:r>
    </w:p>
  </w:footnote>
  <w:footnote w:id="74">
    <w:p w14:paraId="24E3C433" w14:textId="48128460"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Ng NY and Ruger JP, ‘Global health governance at a crossroads’, </w:t>
      </w:r>
      <w:r w:rsidRPr="00681100">
        <w:rPr>
          <w:rFonts w:ascii="Calibri" w:hAnsi="Calibri" w:cs="Calibri"/>
          <w:i/>
          <w:color w:val="000000" w:themeColor="text1"/>
          <w:sz w:val="18"/>
          <w:szCs w:val="18"/>
        </w:rPr>
        <w:t>G</w:t>
      </w:r>
      <w:r w:rsidRPr="000045FB">
        <w:rPr>
          <w:rFonts w:ascii="Calibri" w:hAnsi="Calibri" w:cs="Calibri"/>
          <w:i/>
          <w:color w:val="000000" w:themeColor="text1"/>
          <w:sz w:val="18"/>
          <w:szCs w:val="18"/>
        </w:rPr>
        <w:t xml:space="preserve">lobal Health Governance </w:t>
      </w:r>
      <w:r w:rsidRPr="000045FB">
        <w:rPr>
          <w:rFonts w:ascii="Calibri" w:hAnsi="Calibri" w:cs="Calibri"/>
          <w:color w:val="000000" w:themeColor="text1"/>
          <w:sz w:val="18"/>
          <w:szCs w:val="18"/>
        </w:rPr>
        <w:t>3:2 (2011), 1-37.</w:t>
      </w:r>
    </w:p>
  </w:footnote>
  <w:footnote w:id="75">
    <w:p w14:paraId="3CADFDCB" w14:textId="7BB98BA0"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For example, Global Health Security Agenda, </w:t>
      </w:r>
      <w:r w:rsidRPr="00681100">
        <w:rPr>
          <w:rFonts w:ascii="Calibri" w:hAnsi="Calibri" w:cs="Calibri"/>
          <w:i/>
          <w:color w:val="000000" w:themeColor="text1"/>
          <w:sz w:val="18"/>
          <w:szCs w:val="18"/>
        </w:rPr>
        <w:t>Success stori</w:t>
      </w:r>
      <w:r w:rsidRPr="000045FB">
        <w:rPr>
          <w:rFonts w:ascii="Calibri" w:hAnsi="Calibri" w:cs="Calibri"/>
          <w:i/>
          <w:color w:val="000000" w:themeColor="text1"/>
          <w:sz w:val="18"/>
          <w:szCs w:val="18"/>
        </w:rPr>
        <w:t xml:space="preserve">es </w:t>
      </w:r>
      <w:r w:rsidRPr="000045FB">
        <w:rPr>
          <w:rFonts w:ascii="Calibri" w:hAnsi="Calibri" w:cs="Calibri"/>
          <w:color w:val="000000" w:themeColor="text1"/>
          <w:sz w:val="18"/>
          <w:szCs w:val="18"/>
        </w:rPr>
        <w:t xml:space="preserve">(Kampala: U.S. Centers for Disease Control and Prevention, 2017); Bill &amp; Melinda Gates Foundation, </w:t>
      </w:r>
      <w:r w:rsidRPr="000045FB">
        <w:rPr>
          <w:rFonts w:ascii="Calibri" w:hAnsi="Calibri" w:cs="Calibri"/>
          <w:i/>
          <w:color w:val="000000" w:themeColor="text1"/>
          <w:sz w:val="18"/>
          <w:szCs w:val="18"/>
        </w:rPr>
        <w:t xml:space="preserve">Goalkeepers: the stories behind the data </w:t>
      </w:r>
      <w:r w:rsidRPr="00581494">
        <w:rPr>
          <w:rFonts w:ascii="Calibri" w:hAnsi="Calibri" w:cs="Calibri"/>
          <w:color w:val="000000" w:themeColor="text1"/>
          <w:sz w:val="18"/>
          <w:szCs w:val="18"/>
        </w:rPr>
        <w:t>(Seattle: Gates Foundation, 2018).</w:t>
      </w:r>
    </w:p>
  </w:footnote>
  <w:footnote w:id="76">
    <w:p w14:paraId="21BE2AD2" w14:textId="182E84A5"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For instance, in his recent sweeping history of global health, Packard mentions success in passing five times, but does not define it. Packard R, </w:t>
      </w:r>
      <w:r w:rsidRPr="00681100">
        <w:rPr>
          <w:rFonts w:ascii="Calibri" w:hAnsi="Calibri" w:cs="Calibri"/>
          <w:i/>
          <w:color w:val="000000" w:themeColor="text1"/>
          <w:sz w:val="18"/>
          <w:szCs w:val="18"/>
        </w:rPr>
        <w:t xml:space="preserve">A history of global health: interventions into the lives of other peoples </w:t>
      </w:r>
      <w:r w:rsidRPr="000045FB">
        <w:rPr>
          <w:rFonts w:ascii="Calibri" w:hAnsi="Calibri" w:cs="Calibri"/>
          <w:color w:val="000000" w:themeColor="text1"/>
          <w:sz w:val="18"/>
          <w:szCs w:val="18"/>
        </w:rPr>
        <w:t>(Baltimore: Johns Hopkins University Press, 2016), 59, 107, 165, 177, 253.</w:t>
      </w:r>
    </w:p>
  </w:footnote>
  <w:footnote w:id="77">
    <w:p w14:paraId="0A6D2F26" w14:textId="0FA6E98C"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Birn AE, ‘The stages of international (global) health: histories of success or successes of history?’, </w:t>
      </w:r>
      <w:r w:rsidRPr="00681100">
        <w:rPr>
          <w:rFonts w:ascii="Calibri" w:hAnsi="Calibri" w:cs="Calibri"/>
          <w:i/>
          <w:color w:val="000000" w:themeColor="text1"/>
          <w:sz w:val="18"/>
          <w:szCs w:val="18"/>
        </w:rPr>
        <w:t xml:space="preserve">Global Public Health </w:t>
      </w:r>
      <w:r w:rsidRPr="000045FB">
        <w:rPr>
          <w:rFonts w:ascii="Calibri" w:hAnsi="Calibri" w:cs="Calibri"/>
          <w:color w:val="000000" w:themeColor="text1"/>
          <w:sz w:val="18"/>
          <w:szCs w:val="18"/>
        </w:rPr>
        <w:t xml:space="preserve">4:1 (2009), 50-68; Birn AE, ‘Small(pox) success?’, </w:t>
      </w:r>
      <w:r w:rsidRPr="000045FB">
        <w:rPr>
          <w:rFonts w:ascii="Calibri" w:hAnsi="Calibri" w:cs="Calibri"/>
          <w:i/>
          <w:color w:val="000000" w:themeColor="text1"/>
          <w:sz w:val="18"/>
          <w:szCs w:val="18"/>
        </w:rPr>
        <w:t xml:space="preserve">SciELO Public Health </w:t>
      </w:r>
      <w:r w:rsidRPr="00581494">
        <w:rPr>
          <w:rFonts w:ascii="Calibri" w:hAnsi="Calibri" w:cs="Calibri"/>
          <w:color w:val="000000" w:themeColor="text1"/>
          <w:sz w:val="18"/>
          <w:szCs w:val="18"/>
        </w:rPr>
        <w:t>(2011), 591-596.</w:t>
      </w:r>
    </w:p>
  </w:footnote>
  <w:footnote w:id="78">
    <w:p w14:paraId="4235F9E3" w14:textId="372378D7"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There are numerous publications in the project management field (not specific to global health) about how success is defined and its dimensions, like project efficiency, impact on customers, business success, and preparing for the future. These ideas can </w:t>
      </w:r>
      <w:r w:rsidRPr="000045FB">
        <w:rPr>
          <w:rFonts w:ascii="Calibri" w:hAnsi="Calibri" w:cs="Calibri"/>
          <w:color w:val="000000" w:themeColor="text1"/>
          <w:sz w:val="18"/>
          <w:szCs w:val="18"/>
        </w:rPr>
        <w:t xml:space="preserve">be useful for understanding global health success, and some aspects of project management success are included in the frameworks (including the time-dependent nature of understanding success). For an overview of project management success theory, see Shenhar et al., ‘Mapping the dimensions of project success’, </w:t>
      </w:r>
      <w:r w:rsidRPr="00581494">
        <w:rPr>
          <w:rFonts w:ascii="Calibri" w:hAnsi="Calibri" w:cs="Calibri"/>
          <w:i/>
          <w:color w:val="000000" w:themeColor="text1"/>
          <w:sz w:val="18"/>
          <w:szCs w:val="18"/>
        </w:rPr>
        <w:t xml:space="preserve">Project Management Institute </w:t>
      </w:r>
      <w:r w:rsidRPr="00581494">
        <w:rPr>
          <w:rFonts w:ascii="Calibri" w:hAnsi="Calibri" w:cs="Calibri"/>
          <w:color w:val="000000" w:themeColor="text1"/>
          <w:sz w:val="18"/>
          <w:szCs w:val="18"/>
        </w:rPr>
        <w:t>28:2 (1997), 5-13.</w:t>
      </w:r>
    </w:p>
  </w:footnote>
  <w:footnote w:id="79">
    <w:p w14:paraId="0865B760" w14:textId="0827ED4D"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For instance, the campaign pointed to the Global Fund’s success in delivering 88 million bed-nets to protect children from malaria; the President’s Ma</w:t>
      </w:r>
      <w:r w:rsidRPr="000045FB">
        <w:rPr>
          <w:rFonts w:ascii="Calibri" w:hAnsi="Calibri" w:cs="Calibri"/>
          <w:color w:val="000000" w:themeColor="text1"/>
          <w:sz w:val="18"/>
          <w:szCs w:val="18"/>
        </w:rPr>
        <w:t>laria initiative’s ability to reach approximately 32 million people at risk in 2009; the President’s Emergency Plan for AIDS Relief (PEPFAR)’s progress in saving an estimated 1.2 million lives; and the Global Alliance for Improved Nutrition (GAIN)’s ability to ensure that ‘tens of millions’ of children received essential nutrients through fortified products. See Bill &amp; Melinda Gates Foundation, ‘Press room: Campaign to highlight success of U.S. global health investments’, 2009 (onlin</w:t>
      </w:r>
      <w:r w:rsidRPr="00581494">
        <w:rPr>
          <w:rFonts w:ascii="Calibri" w:hAnsi="Calibri" w:cs="Calibri"/>
          <w:color w:val="000000" w:themeColor="text1"/>
          <w:sz w:val="18"/>
          <w:szCs w:val="18"/>
        </w:rPr>
        <w:t>e), &lt;</w:t>
      </w:r>
      <w:hyperlink r:id="rId1" w:history="1">
        <w:r w:rsidRPr="00546CBA">
          <w:rPr>
            <w:rStyle w:val="Hyperlink"/>
            <w:rFonts w:ascii="Calibri" w:hAnsi="Calibri" w:cs="Calibri"/>
            <w:color w:val="000000" w:themeColor="text1"/>
            <w:sz w:val="18"/>
            <w:szCs w:val="18"/>
            <w:u w:val="none"/>
          </w:rPr>
          <w:t>https://www.gatesfoundatio.org/media-center/press-releases/2009/09/campaign-to-highlight-success-of-US-global-health-investments</w:t>
        </w:r>
      </w:hyperlink>
      <w:r w:rsidRPr="00681100">
        <w:rPr>
          <w:rFonts w:ascii="Calibri" w:hAnsi="Calibri" w:cs="Calibri"/>
          <w:color w:val="000000" w:themeColor="text1"/>
          <w:sz w:val="18"/>
          <w:szCs w:val="18"/>
        </w:rPr>
        <w:t xml:space="preserve">&gt; [accessed 18 June 2019]. </w:t>
      </w:r>
    </w:p>
  </w:footnote>
  <w:footnote w:id="80">
    <w:p w14:paraId="0CF52140" w14:textId="6A74654D"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Levine R and the What Works Working Group, </w:t>
      </w:r>
      <w:r w:rsidRPr="00681100">
        <w:rPr>
          <w:rFonts w:ascii="Calibri" w:hAnsi="Calibri" w:cs="Calibri"/>
          <w:i/>
          <w:color w:val="000000" w:themeColor="text1"/>
          <w:sz w:val="18"/>
          <w:szCs w:val="18"/>
        </w:rPr>
        <w:t xml:space="preserve">Millions saved: proven successes in global health </w:t>
      </w:r>
      <w:r w:rsidRPr="000045FB">
        <w:rPr>
          <w:rFonts w:ascii="Calibri" w:hAnsi="Calibri" w:cs="Calibri"/>
          <w:color w:val="000000" w:themeColor="text1"/>
          <w:sz w:val="18"/>
          <w:szCs w:val="18"/>
        </w:rPr>
        <w:t xml:space="preserve">(Washington DC: Center for Global Development, 2004); Center for Global Development, </w:t>
      </w:r>
      <w:r w:rsidRPr="000045FB">
        <w:rPr>
          <w:rFonts w:ascii="Calibri" w:hAnsi="Calibri" w:cs="Calibri"/>
          <w:i/>
          <w:color w:val="000000" w:themeColor="text1"/>
          <w:sz w:val="18"/>
          <w:szCs w:val="18"/>
        </w:rPr>
        <w:t>CGD brief - millions saved: proven successes in gl</w:t>
      </w:r>
      <w:r w:rsidRPr="00581494">
        <w:rPr>
          <w:rFonts w:ascii="Calibri" w:hAnsi="Calibri" w:cs="Calibri"/>
          <w:i/>
          <w:color w:val="000000" w:themeColor="text1"/>
          <w:sz w:val="18"/>
          <w:szCs w:val="18"/>
        </w:rPr>
        <w:t xml:space="preserve">obal health </w:t>
      </w:r>
      <w:r w:rsidRPr="00581494">
        <w:rPr>
          <w:rFonts w:ascii="Calibri" w:hAnsi="Calibri" w:cs="Calibri"/>
          <w:color w:val="000000" w:themeColor="text1"/>
          <w:sz w:val="18"/>
          <w:szCs w:val="18"/>
        </w:rPr>
        <w:t>(Washington DC: CDG, March 2007).</w:t>
      </w:r>
    </w:p>
  </w:footnote>
  <w:footnote w:id="81">
    <w:p w14:paraId="33095C8F" w14:textId="07998D26"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Six (of 16) members of the What Works Working Group, which selected the initial case studies for </w:t>
      </w:r>
      <w:r w:rsidRPr="00681100">
        <w:rPr>
          <w:rFonts w:ascii="Calibri" w:hAnsi="Calibri" w:cs="Calibri"/>
          <w:i/>
          <w:color w:val="000000" w:themeColor="text1"/>
          <w:sz w:val="18"/>
          <w:szCs w:val="18"/>
        </w:rPr>
        <w:t>Millions saved</w:t>
      </w:r>
      <w:r w:rsidRPr="000045FB">
        <w:rPr>
          <w:rFonts w:ascii="Calibri" w:hAnsi="Calibri" w:cs="Calibri"/>
          <w:color w:val="000000" w:themeColor="text1"/>
          <w:sz w:val="18"/>
          <w:szCs w:val="18"/>
        </w:rPr>
        <w:t>, were former long-term Bank staff, and another two were former Bank advisors or consultants. See Center for Global Development, ‘About: the What Works Working Group’ (online), &lt;</w:t>
      </w:r>
      <w:hyperlink r:id="rId2" w:history="1">
        <w:r w:rsidRPr="00546CBA">
          <w:rPr>
            <w:rStyle w:val="Hyperlink"/>
            <w:rFonts w:ascii="Calibri" w:hAnsi="Calibri" w:cs="Calibri"/>
            <w:color w:val="000000" w:themeColor="text1"/>
            <w:sz w:val="18"/>
            <w:szCs w:val="18"/>
            <w:u w:val="none"/>
          </w:rPr>
          <w:t>https://www.cgdev.org/page/about-0</w:t>
        </w:r>
      </w:hyperlink>
      <w:r w:rsidRPr="00681100">
        <w:rPr>
          <w:rFonts w:ascii="Calibri" w:hAnsi="Calibri" w:cs="Calibri"/>
          <w:color w:val="000000" w:themeColor="text1"/>
          <w:sz w:val="18"/>
          <w:szCs w:val="18"/>
        </w:rPr>
        <w:t>&gt; [accessed 18 June 2019].</w:t>
      </w:r>
    </w:p>
  </w:footnote>
  <w:footnote w:id="82">
    <w:p w14:paraId="0930984B" w14:textId="7723862A" w:rsidR="00CF189D" w:rsidRPr="00E259A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Levine and What Works, </w:t>
      </w:r>
      <w:r w:rsidRPr="00681100">
        <w:rPr>
          <w:rFonts w:ascii="Calibri" w:hAnsi="Calibri" w:cs="Calibri"/>
          <w:i/>
          <w:color w:val="000000" w:themeColor="text1"/>
          <w:sz w:val="18"/>
          <w:szCs w:val="18"/>
        </w:rPr>
        <w:t>Millions saved</w:t>
      </w:r>
      <w:r w:rsidRPr="000045FB">
        <w:rPr>
          <w:rFonts w:ascii="Calibri" w:hAnsi="Calibri" w:cs="Calibri"/>
          <w:i/>
          <w:color w:val="000000" w:themeColor="text1"/>
          <w:sz w:val="18"/>
          <w:szCs w:val="18"/>
        </w:rPr>
        <w:t xml:space="preserve"> </w:t>
      </w:r>
      <w:r w:rsidRPr="000045FB">
        <w:rPr>
          <w:rFonts w:ascii="Calibri" w:hAnsi="Calibri" w:cs="Calibri"/>
          <w:color w:val="000000" w:themeColor="text1"/>
          <w:sz w:val="18"/>
          <w:szCs w:val="18"/>
        </w:rPr>
        <w:t xml:space="preserve">(2004); Levine, </w:t>
      </w:r>
      <w:r w:rsidRPr="000045FB">
        <w:rPr>
          <w:rFonts w:ascii="Calibri" w:hAnsi="Calibri" w:cs="Calibri"/>
          <w:i/>
          <w:color w:val="000000" w:themeColor="text1"/>
          <w:sz w:val="18"/>
          <w:szCs w:val="18"/>
        </w:rPr>
        <w:t xml:space="preserve">Case studies </w:t>
      </w:r>
      <w:r w:rsidRPr="00581494">
        <w:rPr>
          <w:rFonts w:ascii="Calibri" w:hAnsi="Calibri" w:cs="Calibri"/>
          <w:color w:val="000000" w:themeColor="text1"/>
          <w:sz w:val="18"/>
          <w:szCs w:val="18"/>
        </w:rPr>
        <w:t xml:space="preserve">(2007); Glassman A and Temin M, </w:t>
      </w:r>
      <w:r w:rsidRPr="00581494">
        <w:rPr>
          <w:rFonts w:ascii="Calibri" w:hAnsi="Calibri" w:cs="Calibri"/>
          <w:i/>
          <w:color w:val="000000" w:themeColor="text1"/>
          <w:sz w:val="18"/>
          <w:szCs w:val="18"/>
        </w:rPr>
        <w:t xml:space="preserve">Millions saved: new cases of proven success in global health </w:t>
      </w:r>
      <w:r w:rsidRPr="00581494">
        <w:rPr>
          <w:rFonts w:ascii="Calibri" w:hAnsi="Calibri" w:cs="Calibri"/>
          <w:color w:val="000000" w:themeColor="text1"/>
          <w:sz w:val="18"/>
          <w:szCs w:val="18"/>
        </w:rPr>
        <w:t>(Washington DC: Center for Global Development, 2016). See also Center for Global Development ‘Millions saved’ (online), &lt;http://www.m</w:t>
      </w:r>
      <w:r w:rsidRPr="00E259AA">
        <w:rPr>
          <w:rFonts w:ascii="Calibri" w:hAnsi="Calibri" w:cs="Calibri"/>
          <w:color w:val="000000" w:themeColor="text1"/>
          <w:sz w:val="18"/>
          <w:szCs w:val="18"/>
        </w:rPr>
        <w:t>illionssaved.cgd.org&gt; [accessed 18 June 2019].</w:t>
      </w:r>
    </w:p>
  </w:footnote>
  <w:footnote w:id="83">
    <w:p w14:paraId="284F2D85" w14:textId="5EB68A55"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The group stipulated that its success stories had to be for programmes that operated at the national level or above (although it conceded that successes were very possible at local levels, it was interested i</w:t>
      </w:r>
      <w:r w:rsidRPr="000045FB">
        <w:rPr>
          <w:rFonts w:ascii="Calibri" w:hAnsi="Calibri" w:cs="Calibri"/>
          <w:color w:val="000000" w:themeColor="text1"/>
          <w:sz w:val="18"/>
          <w:szCs w:val="18"/>
        </w:rPr>
        <w:t xml:space="preserve">n health success stories that impacted large groups of people). See Levine, </w:t>
      </w:r>
      <w:r w:rsidRPr="000045FB">
        <w:rPr>
          <w:rFonts w:ascii="Calibri" w:hAnsi="Calibri" w:cs="Calibri"/>
          <w:i/>
          <w:color w:val="000000" w:themeColor="text1"/>
          <w:sz w:val="18"/>
          <w:szCs w:val="18"/>
        </w:rPr>
        <w:t xml:space="preserve">Case studies </w:t>
      </w:r>
      <w:r w:rsidRPr="000045FB">
        <w:rPr>
          <w:rFonts w:ascii="Calibri" w:hAnsi="Calibri" w:cs="Calibri"/>
          <w:color w:val="000000" w:themeColor="text1"/>
          <w:sz w:val="18"/>
          <w:szCs w:val="18"/>
        </w:rPr>
        <w:t>(2007), Chapter 1.</w:t>
      </w:r>
    </w:p>
  </w:footnote>
  <w:footnote w:id="84">
    <w:p w14:paraId="00920A9B" w14:textId="6CE4092A"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Projects had to be long-term, lasting at least 5 years, to be included. See Levine, </w:t>
      </w:r>
      <w:r w:rsidRPr="00681100">
        <w:rPr>
          <w:rFonts w:ascii="Calibri" w:hAnsi="Calibri" w:cs="Calibri"/>
          <w:i/>
          <w:color w:val="000000" w:themeColor="text1"/>
          <w:sz w:val="18"/>
          <w:szCs w:val="18"/>
        </w:rPr>
        <w:t xml:space="preserve">Case studies </w:t>
      </w:r>
      <w:r w:rsidRPr="000045FB">
        <w:rPr>
          <w:rFonts w:ascii="Calibri" w:hAnsi="Calibri" w:cs="Calibri"/>
          <w:color w:val="000000" w:themeColor="text1"/>
          <w:sz w:val="18"/>
          <w:szCs w:val="18"/>
        </w:rPr>
        <w:t>(2007), Chapter 1.</w:t>
      </w:r>
    </w:p>
  </w:footnote>
  <w:footnote w:id="85">
    <w:p w14:paraId="7DAD9420" w14:textId="3B83CD3F"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The DALY threshold of $100/D</w:t>
      </w:r>
      <w:r w:rsidRPr="000045FB">
        <w:rPr>
          <w:rFonts w:ascii="Calibri" w:hAnsi="Calibri" w:cs="Calibri"/>
          <w:color w:val="000000" w:themeColor="text1"/>
          <w:sz w:val="18"/>
          <w:szCs w:val="18"/>
        </w:rPr>
        <w:t xml:space="preserve">ALY saved was used to judge cost-effectiveness. See Levine, </w:t>
      </w:r>
      <w:r w:rsidRPr="000045FB">
        <w:rPr>
          <w:rFonts w:ascii="Calibri" w:hAnsi="Calibri" w:cs="Calibri"/>
          <w:i/>
          <w:color w:val="000000" w:themeColor="text1"/>
          <w:sz w:val="18"/>
          <w:szCs w:val="18"/>
        </w:rPr>
        <w:t xml:space="preserve">Case studies </w:t>
      </w:r>
      <w:r w:rsidRPr="000045FB">
        <w:rPr>
          <w:rFonts w:ascii="Calibri" w:hAnsi="Calibri" w:cs="Calibri"/>
          <w:color w:val="000000" w:themeColor="text1"/>
          <w:sz w:val="18"/>
          <w:szCs w:val="18"/>
        </w:rPr>
        <w:t>(2007), Chapter 1.</w:t>
      </w:r>
    </w:p>
  </w:footnote>
  <w:footnote w:id="86">
    <w:p w14:paraId="53C4FA3C" w14:textId="0ACD2C0C"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Levine and What Works, </w:t>
      </w:r>
      <w:r w:rsidRPr="00681100">
        <w:rPr>
          <w:rFonts w:ascii="Calibri" w:hAnsi="Calibri" w:cs="Calibri"/>
          <w:i/>
          <w:color w:val="000000" w:themeColor="text1"/>
          <w:sz w:val="18"/>
          <w:szCs w:val="18"/>
        </w:rPr>
        <w:t xml:space="preserve">Millions saved </w:t>
      </w:r>
      <w:r w:rsidRPr="000045FB">
        <w:rPr>
          <w:rFonts w:ascii="Calibri" w:hAnsi="Calibri" w:cs="Calibri"/>
          <w:color w:val="000000" w:themeColor="text1"/>
          <w:sz w:val="18"/>
          <w:szCs w:val="18"/>
        </w:rPr>
        <w:t xml:space="preserve">(2004); Levine, </w:t>
      </w:r>
      <w:r w:rsidRPr="000045FB">
        <w:rPr>
          <w:rFonts w:ascii="Calibri" w:hAnsi="Calibri" w:cs="Calibri"/>
          <w:i/>
          <w:color w:val="000000" w:themeColor="text1"/>
          <w:sz w:val="18"/>
          <w:szCs w:val="18"/>
        </w:rPr>
        <w:t xml:space="preserve">Case studies </w:t>
      </w:r>
      <w:r w:rsidRPr="000045FB">
        <w:rPr>
          <w:rFonts w:ascii="Calibri" w:hAnsi="Calibri" w:cs="Calibri"/>
          <w:color w:val="000000" w:themeColor="text1"/>
          <w:sz w:val="18"/>
          <w:szCs w:val="18"/>
        </w:rPr>
        <w:t>(2007).</w:t>
      </w:r>
    </w:p>
  </w:footnote>
  <w:footnote w:id="87">
    <w:p w14:paraId="66B150E4" w14:textId="67594171"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Glassman and Temin, </w:t>
      </w:r>
      <w:r w:rsidRPr="00681100">
        <w:rPr>
          <w:rFonts w:ascii="Calibri" w:hAnsi="Calibri" w:cs="Calibri"/>
          <w:i/>
          <w:color w:val="000000" w:themeColor="text1"/>
          <w:sz w:val="18"/>
          <w:szCs w:val="18"/>
        </w:rPr>
        <w:t>Millions saved</w:t>
      </w:r>
      <w:r w:rsidRPr="000045FB">
        <w:rPr>
          <w:rFonts w:ascii="Calibri" w:hAnsi="Calibri" w:cs="Calibri"/>
          <w:color w:val="000000" w:themeColor="text1"/>
          <w:sz w:val="18"/>
          <w:szCs w:val="18"/>
        </w:rPr>
        <w:t xml:space="preserve"> (2016).</w:t>
      </w:r>
    </w:p>
  </w:footnote>
  <w:footnote w:id="88">
    <w:p w14:paraId="562CDFE3" w14:textId="062A537C"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Center for Global Development, ‘Impacts </w:t>
      </w:r>
      <w:r w:rsidRPr="000045FB">
        <w:rPr>
          <w:rFonts w:ascii="Calibri" w:hAnsi="Calibri" w:cs="Calibri"/>
          <w:color w:val="000000" w:themeColor="text1"/>
          <w:sz w:val="18"/>
          <w:szCs w:val="18"/>
        </w:rPr>
        <w:t>and influence: millions saved’ (online), &lt;</w:t>
      </w:r>
      <w:hyperlink r:id="rId3" w:history="1">
        <w:r w:rsidRPr="00546CBA">
          <w:rPr>
            <w:rStyle w:val="Hyperlink"/>
            <w:rFonts w:ascii="Calibri" w:hAnsi="Calibri" w:cs="Calibri"/>
            <w:color w:val="000000" w:themeColor="text1"/>
            <w:sz w:val="18"/>
            <w:szCs w:val="18"/>
            <w:u w:val="none"/>
          </w:rPr>
          <w:t>https://www.cgdev.org/impacts-and-influence/millions-saved</w:t>
        </w:r>
      </w:hyperlink>
      <w:r w:rsidRPr="00681100">
        <w:rPr>
          <w:rFonts w:ascii="Calibri" w:hAnsi="Calibri" w:cs="Calibri"/>
          <w:color w:val="000000" w:themeColor="text1"/>
          <w:sz w:val="18"/>
          <w:szCs w:val="18"/>
        </w:rPr>
        <w:t xml:space="preserve">&gt; [accessed 18 June 2019]; Center for Global Development, </w:t>
      </w:r>
      <w:r w:rsidRPr="00681100">
        <w:rPr>
          <w:rFonts w:ascii="Calibri" w:hAnsi="Calibri" w:cs="Calibri"/>
          <w:i/>
          <w:color w:val="000000" w:themeColor="text1"/>
          <w:sz w:val="18"/>
          <w:szCs w:val="18"/>
        </w:rPr>
        <w:t>Instructor guide – Mil</w:t>
      </w:r>
      <w:r w:rsidRPr="000045FB">
        <w:rPr>
          <w:rFonts w:ascii="Calibri" w:hAnsi="Calibri" w:cs="Calibri"/>
          <w:i/>
          <w:color w:val="000000" w:themeColor="text1"/>
          <w:sz w:val="18"/>
          <w:szCs w:val="18"/>
        </w:rPr>
        <w:t xml:space="preserve">lions saved: proven successes in global health </w:t>
      </w:r>
      <w:r w:rsidRPr="000045FB">
        <w:rPr>
          <w:rFonts w:ascii="Calibri" w:hAnsi="Calibri" w:cs="Calibri"/>
          <w:color w:val="000000" w:themeColor="text1"/>
          <w:sz w:val="18"/>
          <w:szCs w:val="18"/>
        </w:rPr>
        <w:t>(Washington DC: CGD, s.d.).</w:t>
      </w:r>
    </w:p>
  </w:footnote>
  <w:footnote w:id="89">
    <w:p w14:paraId="1295EA60" w14:textId="1F14A951" w:rsidR="00CF189D" w:rsidRPr="00E259A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The Bank’s Onchocerciasis Coordinator, Bruce Benton, was asked to go through the first volume of </w:t>
      </w:r>
      <w:r w:rsidRPr="00681100">
        <w:rPr>
          <w:rFonts w:ascii="Calibri" w:hAnsi="Calibri" w:cs="Calibri"/>
          <w:i/>
          <w:color w:val="000000" w:themeColor="text1"/>
          <w:sz w:val="18"/>
          <w:szCs w:val="18"/>
        </w:rPr>
        <w:t>Millions saved</w:t>
      </w:r>
      <w:r w:rsidRPr="000045FB">
        <w:rPr>
          <w:rFonts w:ascii="Calibri" w:hAnsi="Calibri" w:cs="Calibri"/>
          <w:color w:val="000000" w:themeColor="text1"/>
          <w:sz w:val="18"/>
          <w:szCs w:val="18"/>
        </w:rPr>
        <w:t xml:space="preserve"> (World Bank Group Archives Oral History Program, </w:t>
      </w:r>
      <w:r w:rsidRPr="000045FB">
        <w:rPr>
          <w:rFonts w:ascii="Calibri" w:hAnsi="Calibri" w:cs="Calibri"/>
          <w:i/>
          <w:color w:val="000000" w:themeColor="text1"/>
          <w:sz w:val="18"/>
          <w:szCs w:val="18"/>
        </w:rPr>
        <w:t>Transcript of an in</w:t>
      </w:r>
      <w:r w:rsidRPr="00581494">
        <w:rPr>
          <w:rFonts w:ascii="Calibri" w:hAnsi="Calibri" w:cs="Calibri"/>
          <w:i/>
          <w:color w:val="000000" w:themeColor="text1"/>
          <w:sz w:val="18"/>
          <w:szCs w:val="18"/>
        </w:rPr>
        <w:t xml:space="preserve">terview with Bruce Benton </w:t>
      </w:r>
      <w:r w:rsidRPr="00581494">
        <w:rPr>
          <w:rFonts w:ascii="Calibri" w:hAnsi="Calibri" w:cs="Calibri"/>
          <w:color w:val="000000" w:themeColor="text1"/>
          <w:sz w:val="18"/>
          <w:szCs w:val="18"/>
        </w:rPr>
        <w:t xml:space="preserve">[Washington DC: World Bank, 2006], 86), and the 2004 </w:t>
      </w:r>
      <w:r w:rsidRPr="00581494">
        <w:rPr>
          <w:rFonts w:ascii="Calibri" w:hAnsi="Calibri" w:cs="Calibri"/>
          <w:i/>
          <w:color w:val="000000" w:themeColor="text1"/>
          <w:sz w:val="18"/>
          <w:szCs w:val="18"/>
        </w:rPr>
        <w:t xml:space="preserve">Millions saved </w:t>
      </w:r>
      <w:r w:rsidRPr="00E259AA">
        <w:rPr>
          <w:rFonts w:ascii="Calibri" w:hAnsi="Calibri" w:cs="Calibri"/>
          <w:color w:val="000000" w:themeColor="text1"/>
          <w:sz w:val="18"/>
          <w:szCs w:val="18"/>
        </w:rPr>
        <w:t xml:space="preserve">edition was disseminated to leaders throughout the development and health field, including at the United Nations (UNA s-1096-0103-06-00007, Nancy Birdsall to Colleague, 30 November 2004). </w:t>
      </w:r>
    </w:p>
  </w:footnote>
  <w:footnote w:id="90">
    <w:p w14:paraId="72BCE44C" w14:textId="2CEF4C9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World Bank Group, ‘Improving development results through excellence in evaluation’ [Independent Evaluation Group Brochure], (online), s.d., &lt;http://siteresources.worldbank.org/EXTOED/Resources/ieg_brochure.pdf&gt; [accessed 16 June 2019].</w:t>
      </w:r>
    </w:p>
  </w:footnote>
  <w:footnote w:id="91">
    <w:p w14:paraId="5EB71420" w14:textId="7BE87A6F"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Liese et al., </w:t>
      </w:r>
      <w:r w:rsidRPr="00681100">
        <w:rPr>
          <w:rFonts w:ascii="Calibri" w:hAnsi="Calibri" w:cs="Calibri"/>
          <w:i/>
          <w:color w:val="000000" w:themeColor="text1"/>
          <w:sz w:val="18"/>
          <w:szCs w:val="18"/>
        </w:rPr>
        <w:t>Org</w:t>
      </w:r>
      <w:r w:rsidRPr="000045FB">
        <w:rPr>
          <w:rFonts w:ascii="Calibri" w:hAnsi="Calibri" w:cs="Calibri"/>
          <w:i/>
          <w:color w:val="000000" w:themeColor="text1"/>
          <w:sz w:val="18"/>
          <w:szCs w:val="18"/>
        </w:rPr>
        <w:t xml:space="preserve">anizing and managing tropical disease control programs: lessons of success </w:t>
      </w:r>
      <w:r w:rsidRPr="000045FB">
        <w:rPr>
          <w:rFonts w:ascii="Calibri" w:hAnsi="Calibri" w:cs="Calibri"/>
          <w:color w:val="000000" w:themeColor="text1"/>
          <w:sz w:val="18"/>
          <w:szCs w:val="18"/>
        </w:rPr>
        <w:t>(Washington DC: World Bank, 1991).</w:t>
      </w:r>
    </w:p>
  </w:footnote>
  <w:footnote w:id="92">
    <w:p w14:paraId="5001A916" w14:textId="0B9A0B82" w:rsidR="00CF189D" w:rsidRPr="00E259A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These include a literature review on factors of project success not specific to its health portfolio (Independent Evaluation Group, </w:t>
      </w:r>
      <w:r w:rsidRPr="000045FB">
        <w:rPr>
          <w:rFonts w:ascii="Calibri" w:hAnsi="Calibri" w:cs="Calibri"/>
          <w:i/>
          <w:color w:val="000000" w:themeColor="text1"/>
          <w:sz w:val="18"/>
          <w:szCs w:val="18"/>
        </w:rPr>
        <w:t xml:space="preserve">Results and performance of the World Bank Group 2017: an independent evaluation </w:t>
      </w:r>
      <w:r w:rsidRPr="000045FB">
        <w:rPr>
          <w:rFonts w:ascii="Calibri" w:hAnsi="Calibri" w:cs="Calibri"/>
          <w:color w:val="000000" w:themeColor="text1"/>
          <w:sz w:val="18"/>
          <w:szCs w:val="18"/>
        </w:rPr>
        <w:t xml:space="preserve">[Washington DC: World Bank, 2018]), and a study of the Bank’s support for health services (Independent Evaluation Group, </w:t>
      </w:r>
      <w:r w:rsidRPr="00581494">
        <w:rPr>
          <w:rFonts w:ascii="Calibri" w:hAnsi="Calibri" w:cs="Calibri"/>
          <w:i/>
          <w:color w:val="000000" w:themeColor="text1"/>
          <w:sz w:val="18"/>
          <w:szCs w:val="18"/>
        </w:rPr>
        <w:t xml:space="preserve">World Bank Group support to health services: achievements and challenges: an independent evaluation </w:t>
      </w:r>
      <w:r w:rsidRPr="00E259AA">
        <w:rPr>
          <w:rFonts w:ascii="Calibri" w:hAnsi="Calibri" w:cs="Calibri"/>
          <w:color w:val="000000" w:themeColor="text1"/>
          <w:sz w:val="18"/>
          <w:szCs w:val="18"/>
        </w:rPr>
        <w:t>[Washington DC: World Bank, 2018]).</w:t>
      </w:r>
    </w:p>
  </w:footnote>
  <w:footnote w:id="93">
    <w:p w14:paraId="6C21A3A5" w14:textId="01FE724E"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While the Independent Evaluation Group reports do not explicitly define success (or failure), they identified and evaluated ‘successful’ projects using empirical project-level outcomes.</w:t>
      </w:r>
      <w:r w:rsidRPr="000045FB">
        <w:rPr>
          <w:rFonts w:ascii="Calibri" w:hAnsi="Calibri" w:cs="Calibri"/>
          <w:color w:val="000000" w:themeColor="text1"/>
          <w:sz w:val="18"/>
          <w:szCs w:val="18"/>
        </w:rPr>
        <w:t xml:space="preserve"> The central question guiding an extensive Bank literature review on project performance was, ‘What do empirical studies identify as explanatory factors of World Bank project outcomes?’ Factors identified were at the country, political economy, and project level. For more on the methodologies employed by the Independent Evaluation Group to determine project outcomes, see Independent Evaluation Group, </w:t>
      </w:r>
      <w:r w:rsidRPr="00581494">
        <w:rPr>
          <w:rFonts w:ascii="Calibri" w:hAnsi="Calibri" w:cs="Calibri"/>
          <w:i/>
          <w:color w:val="000000" w:themeColor="text1"/>
          <w:sz w:val="18"/>
          <w:szCs w:val="18"/>
        </w:rPr>
        <w:t>Results and performance</w:t>
      </w:r>
      <w:r w:rsidRPr="00581494">
        <w:rPr>
          <w:rFonts w:ascii="Calibri" w:hAnsi="Calibri" w:cs="Calibri"/>
          <w:color w:val="000000" w:themeColor="text1"/>
          <w:sz w:val="18"/>
          <w:szCs w:val="18"/>
        </w:rPr>
        <w:t xml:space="preserve"> (2018), 171.</w:t>
      </w:r>
    </w:p>
  </w:footnote>
  <w:footnote w:id="94">
    <w:p w14:paraId="4378F9B4" w14:textId="45DB39CA"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Rajkotia Y, ‘Beware of the success cartel: a plea for rational progre</w:t>
      </w:r>
      <w:r w:rsidRPr="000045FB">
        <w:rPr>
          <w:rFonts w:ascii="Calibri" w:hAnsi="Calibri" w:cs="Calibri"/>
          <w:color w:val="000000" w:themeColor="text1"/>
          <w:sz w:val="18"/>
          <w:szCs w:val="18"/>
        </w:rPr>
        <w:t xml:space="preserve">ss in global health’, </w:t>
      </w:r>
      <w:r w:rsidRPr="000045FB">
        <w:rPr>
          <w:rFonts w:ascii="Calibri" w:hAnsi="Calibri" w:cs="Calibri"/>
          <w:i/>
          <w:color w:val="000000" w:themeColor="text1"/>
          <w:sz w:val="18"/>
          <w:szCs w:val="18"/>
        </w:rPr>
        <w:t xml:space="preserve">BMJ </w:t>
      </w:r>
      <w:r w:rsidRPr="000045FB">
        <w:rPr>
          <w:rFonts w:ascii="Calibri" w:hAnsi="Calibri" w:cs="Calibri"/>
          <w:color w:val="000000" w:themeColor="text1"/>
          <w:sz w:val="18"/>
          <w:szCs w:val="18"/>
        </w:rPr>
        <w:t>3 (2018), e001197.</w:t>
      </w:r>
    </w:p>
  </w:footnote>
  <w:footnote w:id="95">
    <w:p w14:paraId="13105173" w14:textId="77777777"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Tichenor M and Sridhar D, ‘Metric partnerships: global burden of disease estimates within the World Bank, the World Health Organisation and the Institute for Health Metrics and Evaluation’, </w:t>
      </w:r>
      <w:r w:rsidRPr="000045FB">
        <w:rPr>
          <w:rFonts w:ascii="Calibri" w:hAnsi="Calibri" w:cs="Calibri"/>
          <w:i/>
          <w:color w:val="000000" w:themeColor="text1"/>
          <w:sz w:val="18"/>
          <w:szCs w:val="18"/>
        </w:rPr>
        <w:t xml:space="preserve">Wellcome Open Research </w:t>
      </w:r>
      <w:r w:rsidRPr="000045FB">
        <w:rPr>
          <w:rFonts w:ascii="Calibri" w:hAnsi="Calibri" w:cs="Calibri"/>
          <w:color w:val="000000" w:themeColor="text1"/>
          <w:sz w:val="18"/>
          <w:szCs w:val="18"/>
        </w:rPr>
        <w:t>4:35 (2019).</w:t>
      </w:r>
    </w:p>
  </w:footnote>
  <w:footnote w:id="96">
    <w:p w14:paraId="74116132" w14:textId="7D893270"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Storeng KT and Palmer JJ, ‘When ethics and politics collide in global health research’, </w:t>
      </w:r>
      <w:r w:rsidRPr="00681100">
        <w:rPr>
          <w:rFonts w:ascii="Calibri" w:hAnsi="Calibri" w:cs="Calibri"/>
          <w:i/>
          <w:color w:val="000000" w:themeColor="text1"/>
          <w:sz w:val="18"/>
          <w:szCs w:val="18"/>
        </w:rPr>
        <w:t xml:space="preserve">The Lancet </w:t>
      </w:r>
      <w:r w:rsidRPr="000045FB">
        <w:rPr>
          <w:rFonts w:ascii="Calibri" w:hAnsi="Calibri" w:cs="Calibri"/>
          <w:color w:val="000000" w:themeColor="text1"/>
          <w:sz w:val="18"/>
          <w:szCs w:val="18"/>
        </w:rPr>
        <w:t>394:10193 (2019), 184-186.</w:t>
      </w:r>
    </w:p>
  </w:footnote>
  <w:footnote w:id="97">
    <w:p w14:paraId="535315E3" w14:textId="14394EEA"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See Shiffman J and Smith S, ‘Generation of political priority for global health initiatives: a framework and </w:t>
      </w:r>
      <w:r w:rsidRPr="000045FB">
        <w:rPr>
          <w:rFonts w:ascii="Calibri" w:hAnsi="Calibri" w:cs="Calibri"/>
          <w:color w:val="000000" w:themeColor="text1"/>
          <w:sz w:val="18"/>
          <w:szCs w:val="18"/>
        </w:rPr>
        <w:t xml:space="preserve">case study of maternal mortality’, </w:t>
      </w:r>
      <w:r w:rsidRPr="000045FB">
        <w:rPr>
          <w:rFonts w:ascii="Calibri" w:hAnsi="Calibri" w:cs="Calibri"/>
          <w:i/>
          <w:color w:val="000000" w:themeColor="text1"/>
          <w:sz w:val="18"/>
          <w:szCs w:val="18"/>
        </w:rPr>
        <w:t xml:space="preserve">Lancet </w:t>
      </w:r>
      <w:r w:rsidRPr="000045FB">
        <w:rPr>
          <w:rFonts w:ascii="Calibri" w:hAnsi="Calibri" w:cs="Calibri"/>
          <w:color w:val="000000" w:themeColor="text1"/>
          <w:sz w:val="18"/>
          <w:szCs w:val="18"/>
        </w:rPr>
        <w:t xml:space="preserve">370:9595 (2006), 1370-1379; Shiffman et al., ‘The emergence of global disease control priorities’, </w:t>
      </w:r>
      <w:r w:rsidRPr="00581494">
        <w:rPr>
          <w:rFonts w:ascii="Calibri" w:hAnsi="Calibri" w:cs="Calibri"/>
          <w:i/>
          <w:color w:val="000000" w:themeColor="text1"/>
          <w:sz w:val="18"/>
          <w:szCs w:val="18"/>
        </w:rPr>
        <w:t xml:space="preserve">Health Policy and Planning, </w:t>
      </w:r>
      <w:r w:rsidRPr="00581494">
        <w:rPr>
          <w:rFonts w:ascii="Calibri" w:hAnsi="Calibri" w:cs="Calibri"/>
          <w:color w:val="000000" w:themeColor="text1"/>
          <w:sz w:val="18"/>
          <w:szCs w:val="18"/>
        </w:rPr>
        <w:t>17:3 (2002), 225-234.</w:t>
      </w:r>
    </w:p>
  </w:footnote>
  <w:footnote w:id="98">
    <w:p w14:paraId="217C90C1" w14:textId="7777777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Shiffman et al., ‘The emergence’ (2002).</w:t>
      </w:r>
    </w:p>
  </w:footnote>
  <w:footnote w:id="99">
    <w:p w14:paraId="663B4E05" w14:textId="5F891576"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Sridhar D, </w:t>
      </w:r>
      <w:r w:rsidRPr="00681100">
        <w:rPr>
          <w:rFonts w:ascii="Calibri" w:hAnsi="Calibri" w:cs="Calibri"/>
          <w:i/>
          <w:color w:val="000000" w:themeColor="text1"/>
          <w:sz w:val="18"/>
          <w:szCs w:val="18"/>
        </w:rPr>
        <w:t>The battl</w:t>
      </w:r>
      <w:r w:rsidRPr="000045FB">
        <w:rPr>
          <w:rFonts w:ascii="Calibri" w:hAnsi="Calibri" w:cs="Calibri"/>
          <w:i/>
          <w:color w:val="000000" w:themeColor="text1"/>
          <w:sz w:val="18"/>
          <w:szCs w:val="18"/>
        </w:rPr>
        <w:t xml:space="preserve">e against hunger: choice, circumstance, and the World Bank </w:t>
      </w:r>
      <w:r w:rsidRPr="000045FB">
        <w:rPr>
          <w:rFonts w:ascii="Calibri" w:hAnsi="Calibri" w:cs="Calibri"/>
          <w:color w:val="000000" w:themeColor="text1"/>
          <w:sz w:val="18"/>
          <w:szCs w:val="18"/>
        </w:rPr>
        <w:t xml:space="preserve">(Oxford: Oxford University Press, 2008), 5, 6, 85-98. </w:t>
      </w:r>
    </w:p>
  </w:footnote>
  <w:footnote w:id="100">
    <w:p w14:paraId="71C1D24A" w14:textId="2A225824"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Bhattacharya S, ‘Reflections on the eradication of smallpox’, </w:t>
      </w:r>
      <w:r w:rsidRPr="00681100">
        <w:rPr>
          <w:rFonts w:ascii="Calibri" w:hAnsi="Calibri" w:cs="Calibri"/>
          <w:i/>
          <w:color w:val="000000" w:themeColor="text1"/>
          <w:sz w:val="18"/>
          <w:szCs w:val="18"/>
        </w:rPr>
        <w:t xml:space="preserve">Lancet </w:t>
      </w:r>
      <w:r w:rsidRPr="000045FB">
        <w:rPr>
          <w:rFonts w:ascii="Calibri" w:hAnsi="Calibri" w:cs="Calibri"/>
          <w:color w:val="000000" w:themeColor="text1"/>
          <w:sz w:val="18"/>
          <w:szCs w:val="18"/>
        </w:rPr>
        <w:t>375:9726 (2010), 1602-1603.</w:t>
      </w:r>
    </w:p>
  </w:footnote>
  <w:footnote w:id="101">
    <w:p w14:paraId="4CEC71E5" w14:textId="0BC416B4"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Storeng K, ‘The GAVI Alliance and the “Ga</w:t>
      </w:r>
      <w:r w:rsidRPr="000045FB">
        <w:rPr>
          <w:rFonts w:ascii="Calibri" w:hAnsi="Calibri" w:cs="Calibri"/>
          <w:color w:val="000000" w:themeColor="text1"/>
          <w:sz w:val="18"/>
          <w:szCs w:val="18"/>
        </w:rPr>
        <w:t xml:space="preserve">tes approach” to health systems strengthening’, </w:t>
      </w:r>
      <w:r w:rsidRPr="000045FB">
        <w:rPr>
          <w:rFonts w:ascii="Calibri" w:hAnsi="Calibri" w:cs="Calibri"/>
          <w:i/>
          <w:color w:val="000000" w:themeColor="text1"/>
          <w:sz w:val="18"/>
          <w:szCs w:val="18"/>
        </w:rPr>
        <w:t xml:space="preserve">Global Public Health </w:t>
      </w:r>
      <w:r w:rsidRPr="000045FB">
        <w:rPr>
          <w:rFonts w:ascii="Calibri" w:hAnsi="Calibri" w:cs="Calibri"/>
          <w:color w:val="000000" w:themeColor="text1"/>
          <w:sz w:val="18"/>
          <w:szCs w:val="18"/>
        </w:rPr>
        <w:t>9:8 (2014), 865-879.</w:t>
      </w:r>
    </w:p>
  </w:footnote>
  <w:footnote w:id="102">
    <w:p w14:paraId="25DA3B8E" w14:textId="56B3693D"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Harman S, ‘The World Bank: failing the multi-country AIDS program, failing HIV/AIDS’, </w:t>
      </w:r>
      <w:r w:rsidRPr="00681100">
        <w:rPr>
          <w:rFonts w:ascii="Calibri" w:hAnsi="Calibri" w:cs="Calibri"/>
          <w:i/>
          <w:color w:val="000000" w:themeColor="text1"/>
          <w:sz w:val="18"/>
          <w:szCs w:val="18"/>
        </w:rPr>
        <w:t xml:space="preserve">Global Governance </w:t>
      </w:r>
      <w:r w:rsidRPr="000045FB">
        <w:rPr>
          <w:rFonts w:ascii="Calibri" w:hAnsi="Calibri" w:cs="Calibri"/>
          <w:color w:val="000000" w:themeColor="text1"/>
          <w:sz w:val="18"/>
          <w:szCs w:val="18"/>
        </w:rPr>
        <w:t>13 (2007), 485-492.</w:t>
      </w:r>
    </w:p>
  </w:footnote>
  <w:footnote w:id="103">
    <w:p w14:paraId="35FBAD04" w14:textId="79EF6319"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Birn AE, ‘The stages’ (2009).</w:t>
      </w:r>
    </w:p>
  </w:footnote>
  <w:footnote w:id="104">
    <w:p w14:paraId="17F58F63" w14:textId="567763BC"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Birn, ‘Small(pox) success?’ (2011).</w:t>
      </w:r>
    </w:p>
  </w:footnote>
  <w:footnote w:id="105">
    <w:p w14:paraId="38EAB26B" w14:textId="36B174BA"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See Thomas J and Harden A, </w:t>
      </w:r>
      <w:r w:rsidRPr="00681100">
        <w:rPr>
          <w:rFonts w:ascii="Calibri" w:hAnsi="Calibri" w:cs="Calibri"/>
          <w:i/>
          <w:color w:val="000000" w:themeColor="text1"/>
          <w:sz w:val="18"/>
          <w:szCs w:val="18"/>
        </w:rPr>
        <w:t xml:space="preserve">Methods for the thematic synthesis of qualitative research in systematic reviews </w:t>
      </w:r>
      <w:r w:rsidRPr="000045FB">
        <w:rPr>
          <w:rFonts w:ascii="Calibri" w:hAnsi="Calibri" w:cs="Calibri"/>
          <w:color w:val="000000" w:themeColor="text1"/>
          <w:sz w:val="18"/>
          <w:szCs w:val="18"/>
        </w:rPr>
        <w:t>(London: Economic and Social Research Council, s.d.).</w:t>
      </w:r>
    </w:p>
  </w:footnote>
  <w:footnote w:id="106">
    <w:p w14:paraId="1ECB9255" w14:textId="4B0D23C9"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World Bank, ‘Documents &amp; Reports’ (online), &lt;http://documents.worldbank.org/curated/en/home&gt; [accessed 15 June 2017].</w:t>
      </w:r>
    </w:p>
  </w:footnote>
  <w:footnote w:id="107">
    <w:p w14:paraId="02B98A18" w14:textId="5C398B74"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World Health Organization, ‘Institutional repository for information sharing (Iris)’ (online), &lt;http://apps.who.int/iris/&gt; [accessed 15 June 2017].</w:t>
      </w:r>
    </w:p>
  </w:footnote>
  <w:footnote w:id="108">
    <w:p w14:paraId="22F36B93" w14:textId="3E981FEA"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United Nations, ‘Official document system’ (online), &lt; https://documents.un.org/prod/ods.nsf/home.xsp&gt; [accessed 15 June 2017].</w:t>
      </w:r>
    </w:p>
  </w:footnote>
  <w:footnote w:id="109">
    <w:p w14:paraId="6F72AA5D" w14:textId="68BB8C96"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Food and Agriculture Organization, ‘Publications: search publications’ (online), &lt;http://www.fao.org/publications/en/&gt; [accessed 15 June 2017].</w:t>
      </w:r>
    </w:p>
  </w:footnote>
  <w:footnote w:id="110">
    <w:p w14:paraId="1CFE98F7" w14:textId="7777777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A truncated version of both search terms was used, to capture the OCP using both British and American spellings and to capture derivatives of success, like ‘successful’. Both search terms (OCP and success) had to be present in a document for it to be in</w:t>
      </w:r>
      <w:r w:rsidRPr="000045FB">
        <w:rPr>
          <w:rFonts w:ascii="Calibri" w:hAnsi="Calibri" w:cs="Calibri"/>
          <w:color w:val="000000" w:themeColor="text1"/>
          <w:sz w:val="18"/>
          <w:szCs w:val="18"/>
        </w:rPr>
        <w:t>cluded in the literature review. No limits were placed on years or type of document in databases searched.</w:t>
      </w:r>
    </w:p>
  </w:footnote>
  <w:footnote w:id="111">
    <w:p w14:paraId="6E3EF3D9" w14:textId="11D2828A"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Based on the WBGA’s onchocerciasis press collections.</w:t>
      </w:r>
    </w:p>
  </w:footnote>
  <w:footnote w:id="112">
    <w:p w14:paraId="001DCDE9" w14:textId="411103B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Search terms included ‘Onchocerciasis Control Program’, ‘Onchocerciasis Control Programme’, ‘OCP’, ‘onchocerciasis’, ‘river blindness’, and ‘riverblindness’. See World Health Organization, ‘Photo library’ (online), &lt;</w:t>
      </w:r>
      <w:hyperlink r:id="rId4" w:history="1">
        <w:r w:rsidRPr="00546CBA">
          <w:rPr>
            <w:rStyle w:val="Hyperlink"/>
            <w:rFonts w:ascii="Calibri" w:hAnsi="Calibri" w:cs="Calibri"/>
            <w:color w:val="000000" w:themeColor="text1"/>
            <w:sz w:val="18"/>
            <w:szCs w:val="18"/>
            <w:u w:val="none"/>
          </w:rPr>
          <w:t>https://extranet.who.int/photolibrary/</w:t>
        </w:r>
      </w:hyperlink>
      <w:r w:rsidRPr="00681100">
        <w:rPr>
          <w:rFonts w:ascii="Calibri" w:hAnsi="Calibri" w:cs="Calibri"/>
          <w:color w:val="000000" w:themeColor="text1"/>
          <w:sz w:val="18"/>
          <w:szCs w:val="18"/>
        </w:rPr>
        <w:t>&gt;; World Bank, ‘World Bank Group archives holdings’ (online), &lt;https://archivesholdings.worldbank.org/informationobject/browse?view=card&amp;onlyMedia=1&amp;topLod=0&gt;; United States Agency for International Dev</w:t>
      </w:r>
      <w:r w:rsidRPr="000045FB">
        <w:rPr>
          <w:rFonts w:ascii="Calibri" w:hAnsi="Calibri" w:cs="Calibri"/>
          <w:color w:val="000000" w:themeColor="text1"/>
          <w:sz w:val="18"/>
          <w:szCs w:val="18"/>
        </w:rPr>
        <w:t>elopment, ‘Development experience clearinghouse DEC API’ (online), &lt;https://dec.usaid.gov&gt;.</w:t>
      </w:r>
      <w:r w:rsidRPr="000045FB">
        <w:rPr>
          <w:rFonts w:ascii="Calibri" w:hAnsi="Calibri" w:cs="Calibri"/>
          <w:color w:val="000000" w:themeColor="text1"/>
          <w:sz w:val="18"/>
          <w:szCs w:val="18"/>
          <w:shd w:val="clear" w:color="auto" w:fill="FFFFFF"/>
        </w:rPr>
        <w:t xml:space="preserve"> </w:t>
      </w:r>
    </w:p>
  </w:footnote>
  <w:footnote w:id="113">
    <w:p w14:paraId="127123B6" w14:textId="62BF179D"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Transcripts were identified using identical search terms (see footnote 46).</w:t>
      </w:r>
    </w:p>
  </w:footnote>
  <w:footnote w:id="114">
    <w:p w14:paraId="1973BC36" w14:textId="362B10D7" w:rsidR="00CF189D" w:rsidRPr="00E259A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 xml:space="preserve">Transcript of an interview with Bruce Benton </w:t>
      </w:r>
      <w:r w:rsidRPr="000045FB">
        <w:rPr>
          <w:rFonts w:ascii="Calibri" w:hAnsi="Calibri" w:cs="Calibri"/>
          <w:color w:val="000000" w:themeColor="text1"/>
          <w:sz w:val="18"/>
          <w:szCs w:val="18"/>
        </w:rPr>
        <w:t xml:space="preserve">(2006); World Bank/IFC Archives Oral History Program, </w:t>
      </w:r>
      <w:r w:rsidRPr="000045FB">
        <w:rPr>
          <w:rFonts w:ascii="Calibri" w:hAnsi="Calibri" w:cs="Calibri"/>
          <w:i/>
          <w:color w:val="000000" w:themeColor="text1"/>
          <w:sz w:val="18"/>
          <w:szCs w:val="18"/>
        </w:rPr>
        <w:t>Transcript of interview with Alexander Storrar</w:t>
      </w:r>
      <w:r w:rsidRPr="00581494">
        <w:rPr>
          <w:rFonts w:ascii="Calibri" w:hAnsi="Calibri" w:cs="Calibri"/>
          <w:color w:val="000000" w:themeColor="text1"/>
          <w:sz w:val="18"/>
          <w:szCs w:val="18"/>
        </w:rPr>
        <w:t xml:space="preserve"> (Washington DC: World Bank, 1986); World Bank, </w:t>
      </w:r>
      <w:r w:rsidRPr="00581494">
        <w:rPr>
          <w:rFonts w:ascii="Calibri" w:hAnsi="Calibri" w:cs="Calibri"/>
          <w:i/>
          <w:color w:val="000000" w:themeColor="text1"/>
          <w:sz w:val="18"/>
          <w:szCs w:val="18"/>
        </w:rPr>
        <w:t xml:space="preserve">Transcript of interview with Edward V.K. Jaycox </w:t>
      </w:r>
      <w:r w:rsidRPr="00E259AA">
        <w:rPr>
          <w:rFonts w:ascii="Calibri" w:hAnsi="Calibri" w:cs="Calibri"/>
          <w:color w:val="000000" w:themeColor="text1"/>
          <w:sz w:val="18"/>
          <w:szCs w:val="18"/>
        </w:rPr>
        <w:t xml:space="preserve">(1995); World Bank Group Archives Oral History Program, </w:t>
      </w:r>
      <w:r w:rsidRPr="00E259AA">
        <w:rPr>
          <w:rFonts w:ascii="Calibri" w:hAnsi="Calibri" w:cs="Calibri"/>
          <w:i/>
          <w:color w:val="000000" w:themeColor="text1"/>
          <w:sz w:val="18"/>
          <w:szCs w:val="18"/>
        </w:rPr>
        <w:t xml:space="preserve">Transcript of an interview with Georges R. Delaume </w:t>
      </w:r>
      <w:r w:rsidRPr="00E259AA">
        <w:rPr>
          <w:rFonts w:ascii="Calibri" w:hAnsi="Calibri" w:cs="Calibri"/>
          <w:color w:val="000000" w:themeColor="text1"/>
          <w:sz w:val="18"/>
          <w:szCs w:val="18"/>
        </w:rPr>
        <w:t xml:space="preserve">(Arlington: World Bank, 2004); World Bank/IFC Archives Oral History Program, </w:t>
      </w:r>
      <w:r w:rsidRPr="00E259AA">
        <w:rPr>
          <w:rFonts w:ascii="Calibri" w:hAnsi="Calibri" w:cs="Calibri"/>
          <w:i/>
          <w:color w:val="000000" w:themeColor="text1"/>
          <w:sz w:val="18"/>
          <w:szCs w:val="18"/>
        </w:rPr>
        <w:t xml:space="preserve">Transcript of interview with Roger Chaufournier </w:t>
      </w:r>
      <w:r w:rsidRPr="00E259AA">
        <w:rPr>
          <w:rFonts w:ascii="Calibri" w:hAnsi="Calibri" w:cs="Calibri"/>
          <w:color w:val="000000" w:themeColor="text1"/>
          <w:sz w:val="18"/>
          <w:szCs w:val="18"/>
        </w:rPr>
        <w:t xml:space="preserve">(Washington DC: World Bank, 1986); World Bank Group Archives Oral History Program, </w:t>
      </w:r>
      <w:r w:rsidRPr="00E259AA">
        <w:rPr>
          <w:rFonts w:ascii="Calibri" w:hAnsi="Calibri" w:cs="Calibri"/>
          <w:i/>
          <w:color w:val="000000" w:themeColor="text1"/>
          <w:sz w:val="18"/>
          <w:szCs w:val="18"/>
        </w:rPr>
        <w:t xml:space="preserve">Transcript of interview with Thomas Ambrose Blinkhorn </w:t>
      </w:r>
      <w:r w:rsidRPr="00E259AA">
        <w:rPr>
          <w:rFonts w:ascii="Calibri" w:hAnsi="Calibri" w:cs="Calibri"/>
          <w:color w:val="000000" w:themeColor="text1"/>
          <w:sz w:val="18"/>
          <w:szCs w:val="18"/>
        </w:rPr>
        <w:t>(Washington DC: World Bank, 2008).</w:t>
      </w:r>
    </w:p>
  </w:footnote>
  <w:footnote w:id="115">
    <w:p w14:paraId="1EAA4AEE" w14:textId="2D31D91B"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Benton is currently writing a book on the OCP, and decided after our lengthy interview to restrict my use of interview materials in this dissertation. I therefore deleted our interview transcr</w:t>
      </w:r>
      <w:r w:rsidRPr="000045FB">
        <w:rPr>
          <w:rFonts w:ascii="Calibri" w:hAnsi="Calibri" w:cs="Calibri"/>
          <w:color w:val="000000" w:themeColor="text1"/>
          <w:sz w:val="18"/>
          <w:szCs w:val="18"/>
        </w:rPr>
        <w:t>ipt, and have only used broad information obtained from Benton before this interview in my analysis. I do not quote Benton or use any of the information from his book draft that he shared with me. I interviewed both Benton and Dailly in July 2018.</w:t>
      </w:r>
    </w:p>
  </w:footnote>
  <w:footnote w:id="116">
    <w:p w14:paraId="3B3BB879" w14:textId="0617F676"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Ruger JP, ‘The changing role of the World Bank in global health’, </w:t>
      </w:r>
      <w:r w:rsidRPr="000045FB">
        <w:rPr>
          <w:rFonts w:ascii="Calibri" w:hAnsi="Calibri" w:cs="Calibri"/>
          <w:i/>
          <w:color w:val="000000" w:themeColor="text1"/>
          <w:sz w:val="18"/>
          <w:szCs w:val="18"/>
        </w:rPr>
        <w:t xml:space="preserve">American Journal of Public Health </w:t>
      </w:r>
      <w:r w:rsidRPr="000045FB">
        <w:rPr>
          <w:rFonts w:ascii="Calibri" w:hAnsi="Calibri" w:cs="Calibri"/>
          <w:color w:val="000000" w:themeColor="text1"/>
          <w:sz w:val="18"/>
          <w:szCs w:val="18"/>
        </w:rPr>
        <w:t>95:1 (2005), 60-70.</w:t>
      </w:r>
    </w:p>
  </w:footnote>
  <w:footnote w:id="117">
    <w:p w14:paraId="7D20CE87" w14:textId="71F2FD19"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Birn, ‘Small(pox) success?’ (2011); Birn, ‘The stages’ (2009).</w:t>
      </w:r>
    </w:p>
  </w:footnote>
  <w:footnote w:id="118">
    <w:p w14:paraId="71F09EDE" w14:textId="77777777" w:rsidR="00CF189D" w:rsidRPr="00E259AA" w:rsidRDefault="00CF189D" w:rsidP="0004533F">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Bhattacharya’s work is specifically on the WHO. See </w:t>
      </w:r>
      <w:r w:rsidRPr="00681100">
        <w:rPr>
          <w:rFonts w:ascii="Calibri" w:hAnsi="Calibri" w:cs="Calibri"/>
          <w:color w:val="000000" w:themeColor="text1"/>
          <w:sz w:val="18"/>
          <w:szCs w:val="18"/>
          <w:shd w:val="clear" w:color="auto" w:fill="FFFFFF"/>
        </w:rPr>
        <w:t>Bhattacharya S, ‘The Wo</w:t>
      </w:r>
      <w:r w:rsidRPr="000045FB">
        <w:rPr>
          <w:rFonts w:ascii="Calibri" w:hAnsi="Calibri" w:cs="Calibri"/>
          <w:color w:val="000000" w:themeColor="text1"/>
          <w:sz w:val="18"/>
          <w:szCs w:val="18"/>
          <w:shd w:val="clear" w:color="auto" w:fill="FFFFFF"/>
        </w:rPr>
        <w:t xml:space="preserve">rld Health Organization and global smallpox eradication’, </w:t>
      </w:r>
      <w:r w:rsidRPr="000045FB">
        <w:rPr>
          <w:rFonts w:ascii="Calibri" w:hAnsi="Calibri" w:cs="Calibri"/>
          <w:i/>
          <w:iCs/>
          <w:color w:val="000000" w:themeColor="text1"/>
          <w:sz w:val="18"/>
          <w:szCs w:val="18"/>
          <w:shd w:val="clear" w:color="auto" w:fill="FFFFFF"/>
        </w:rPr>
        <w:t>Journal of Epidemiology &amp; Community Health</w:t>
      </w:r>
      <w:r w:rsidRPr="00581494">
        <w:rPr>
          <w:rFonts w:ascii="Calibri" w:hAnsi="Calibri" w:cs="Calibri"/>
          <w:color w:val="000000" w:themeColor="text1"/>
          <w:sz w:val="18"/>
          <w:szCs w:val="18"/>
          <w:shd w:val="clear" w:color="auto" w:fill="FFFFFF"/>
        </w:rPr>
        <w:t>, </w:t>
      </w:r>
      <w:r w:rsidRPr="00581494">
        <w:rPr>
          <w:rFonts w:ascii="Calibri" w:hAnsi="Calibri" w:cs="Calibri"/>
          <w:iCs/>
          <w:color w:val="000000" w:themeColor="text1"/>
          <w:sz w:val="18"/>
          <w:szCs w:val="18"/>
          <w:shd w:val="clear" w:color="auto" w:fill="FFFFFF"/>
        </w:rPr>
        <w:t>62:10</w:t>
      </w:r>
      <w:r w:rsidRPr="00581494">
        <w:rPr>
          <w:rFonts w:ascii="Calibri" w:hAnsi="Calibri" w:cs="Calibri"/>
          <w:color w:val="000000" w:themeColor="text1"/>
          <w:sz w:val="18"/>
          <w:szCs w:val="18"/>
          <w:shd w:val="clear" w:color="auto" w:fill="FFFFFF"/>
        </w:rPr>
        <w:t xml:space="preserve"> (2008), 909-912; Bhattacharya S, ‘Uncertain advances: a review of the final phases of the smallpox eradication program in India, 1960–1980’, </w:t>
      </w:r>
      <w:r w:rsidRPr="00E259AA">
        <w:rPr>
          <w:rFonts w:ascii="Calibri" w:hAnsi="Calibri" w:cs="Calibri"/>
          <w:i/>
          <w:iCs/>
          <w:color w:val="000000" w:themeColor="text1"/>
          <w:sz w:val="18"/>
          <w:szCs w:val="18"/>
          <w:shd w:val="clear" w:color="auto" w:fill="FFFFFF"/>
        </w:rPr>
        <w:t>American Journal of Public Health</w:t>
      </w:r>
      <w:r w:rsidRPr="00E259AA">
        <w:rPr>
          <w:rFonts w:ascii="Calibri" w:hAnsi="Calibri" w:cs="Calibri"/>
          <w:color w:val="000000" w:themeColor="text1"/>
          <w:sz w:val="18"/>
          <w:szCs w:val="18"/>
          <w:shd w:val="clear" w:color="auto" w:fill="FFFFFF"/>
        </w:rPr>
        <w:t>, </w:t>
      </w:r>
      <w:r w:rsidRPr="00E259AA">
        <w:rPr>
          <w:rFonts w:ascii="Calibri" w:hAnsi="Calibri" w:cs="Calibri"/>
          <w:iCs/>
          <w:color w:val="000000" w:themeColor="text1"/>
          <w:sz w:val="18"/>
          <w:szCs w:val="18"/>
          <w:shd w:val="clear" w:color="auto" w:fill="FFFFFF"/>
        </w:rPr>
        <w:t>94</w:t>
      </w:r>
      <w:r w:rsidRPr="00E259AA">
        <w:rPr>
          <w:rFonts w:ascii="Calibri" w:hAnsi="Calibri" w:cs="Calibri"/>
          <w:color w:val="000000" w:themeColor="text1"/>
          <w:sz w:val="18"/>
          <w:szCs w:val="18"/>
          <w:shd w:val="clear" w:color="auto" w:fill="FFFFFF"/>
        </w:rPr>
        <w:t>:11 (2004), 1875-1883.</w:t>
      </w:r>
    </w:p>
  </w:footnote>
  <w:footnote w:id="119">
    <w:p w14:paraId="6EA01BE2" w14:textId="390BD41C"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For instance, Bundy et al. provide an excellent over</w:t>
      </w:r>
      <w:r w:rsidRPr="000045FB">
        <w:rPr>
          <w:rFonts w:ascii="Calibri" w:hAnsi="Calibri" w:cs="Calibri"/>
          <w:color w:val="000000" w:themeColor="text1"/>
          <w:sz w:val="18"/>
          <w:szCs w:val="18"/>
        </w:rPr>
        <w:t>view of the APOC financing mechanism, although the authors are associated closely with the World Bank (Bundy et al., ‘Investing in onchocerciasis’ [2015]).</w:t>
      </w:r>
    </w:p>
  </w:footnote>
  <w:footnote w:id="120">
    <w:p w14:paraId="0F5A9D46" w14:textId="14633FBF"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Chapter 5, especially footnotes 72, 76, 77, and 97-99, provides more details on the precise source</w:t>
      </w:r>
      <w:r w:rsidRPr="000045FB">
        <w:rPr>
          <w:rFonts w:ascii="Calibri" w:hAnsi="Calibri" w:cs="Calibri"/>
          <w:color w:val="000000" w:themeColor="text1"/>
          <w:sz w:val="18"/>
          <w:szCs w:val="18"/>
        </w:rPr>
        <w:t>s used for this analysis of OCP commitments. The major sources include AidFlows (Aidflows, ‘Donor/Financier view’ [online], &lt;http://www.aidflows.org&gt; [accessed 15 June 2017]; the World Bank Group Open Finances Financial Intermediary Funds dataset (World Bank, ‘Financial Intermediary Fund Commitments’ [online], &lt;https://finances.worldbank.org/Trust-Funds-and-FIFs/Financial-Intermediary-Funds-Commitments/fie8-6fxn&gt;, [accessed 15 June 2017]); World Bank Trust Fund Annual Reports (available inter</w:t>
      </w:r>
      <w:r w:rsidRPr="00581494">
        <w:rPr>
          <w:rFonts w:ascii="Calibri" w:hAnsi="Calibri" w:cs="Calibri"/>
          <w:color w:val="000000" w:themeColor="text1"/>
          <w:sz w:val="18"/>
          <w:szCs w:val="18"/>
        </w:rPr>
        <w:t>mittent years); and financial documents within WBGA onchocerciasis-related folders.</w:t>
      </w:r>
    </w:p>
  </w:footnote>
  <w:footnote w:id="121">
    <w:p w14:paraId="225036C3" w14:textId="542ABC7B"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For more on the Bank’s use of trust funds for its health portfolio and available data sources, see Winters J and Sridhar D, ‘Earmarking for global health: benefits and perils of the Wor</w:t>
      </w:r>
      <w:r w:rsidRPr="000045FB">
        <w:rPr>
          <w:rFonts w:ascii="Calibri" w:hAnsi="Calibri" w:cs="Calibri"/>
          <w:color w:val="000000" w:themeColor="text1"/>
          <w:sz w:val="18"/>
          <w:szCs w:val="18"/>
        </w:rPr>
        <w:t xml:space="preserve">ld Bank’s trust fund model’, </w:t>
      </w:r>
      <w:r w:rsidRPr="000045FB">
        <w:rPr>
          <w:rFonts w:ascii="Calibri" w:hAnsi="Calibri" w:cs="Calibri"/>
          <w:i/>
          <w:color w:val="000000" w:themeColor="text1"/>
          <w:sz w:val="18"/>
          <w:szCs w:val="18"/>
        </w:rPr>
        <w:t xml:space="preserve">BMJ </w:t>
      </w:r>
      <w:r w:rsidRPr="000045FB">
        <w:rPr>
          <w:rFonts w:ascii="Calibri" w:hAnsi="Calibri" w:cs="Calibri"/>
          <w:color w:val="000000" w:themeColor="text1"/>
          <w:sz w:val="18"/>
          <w:szCs w:val="18"/>
        </w:rPr>
        <w:t>358</w:t>
      </w:r>
      <w:r w:rsidRPr="00581494">
        <w:rPr>
          <w:rFonts w:ascii="Calibri" w:hAnsi="Calibri" w:cs="Calibri"/>
          <w:i/>
          <w:color w:val="000000" w:themeColor="text1"/>
          <w:sz w:val="18"/>
          <w:szCs w:val="18"/>
        </w:rPr>
        <w:t xml:space="preserve"> </w:t>
      </w:r>
      <w:r w:rsidRPr="00581494">
        <w:rPr>
          <w:rFonts w:ascii="Calibri" w:hAnsi="Calibri" w:cs="Calibri"/>
          <w:color w:val="000000" w:themeColor="text1"/>
          <w:sz w:val="18"/>
          <w:szCs w:val="18"/>
        </w:rPr>
        <w:t>(2017), j3394.</w:t>
      </w:r>
    </w:p>
  </w:footnote>
  <w:footnote w:id="122">
    <w:p w14:paraId="7A519062" w14:textId="09FF620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Sridhar D and Woods N, ‘Trojan multilateralism: global cooperation in health’, </w:t>
      </w:r>
      <w:r w:rsidRPr="00681100">
        <w:rPr>
          <w:rFonts w:ascii="Calibri" w:hAnsi="Calibri" w:cs="Calibri"/>
          <w:i/>
          <w:color w:val="000000" w:themeColor="text1"/>
          <w:sz w:val="18"/>
          <w:szCs w:val="18"/>
        </w:rPr>
        <w:t xml:space="preserve">Global Policy </w:t>
      </w:r>
      <w:r w:rsidRPr="000045FB">
        <w:rPr>
          <w:rFonts w:ascii="Calibri" w:hAnsi="Calibri" w:cs="Calibri"/>
          <w:color w:val="000000" w:themeColor="text1"/>
          <w:sz w:val="18"/>
          <w:szCs w:val="18"/>
        </w:rPr>
        <w:t>4:4 (2013), 325-335.</w:t>
      </w:r>
    </w:p>
  </w:footnote>
  <w:footnote w:id="123">
    <w:p w14:paraId="261CECA0" w14:textId="4AD62917"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Winters and Sridhar, ‘Earmarking’ (2017).</w:t>
      </w:r>
    </w:p>
  </w:footnote>
  <w:footnote w:id="124">
    <w:p w14:paraId="3EAE74B1" w14:textId="2BC10F07" w:rsidR="00CF189D" w:rsidRPr="00E259A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Reinsberg et al., ‘The rise of multi-bi ai</w:t>
      </w:r>
      <w:r w:rsidRPr="000045FB">
        <w:rPr>
          <w:rFonts w:ascii="Calibri" w:hAnsi="Calibri" w:cs="Calibri"/>
          <w:color w:val="000000" w:themeColor="text1"/>
          <w:sz w:val="18"/>
          <w:szCs w:val="18"/>
        </w:rPr>
        <w:t xml:space="preserve">d and the proliferation of trust funds’, in B Mak Arvin and B Lew (Eds.), </w:t>
      </w:r>
      <w:r w:rsidRPr="000045FB">
        <w:rPr>
          <w:rFonts w:ascii="Calibri" w:hAnsi="Calibri" w:cs="Calibri"/>
          <w:i/>
          <w:color w:val="000000" w:themeColor="text1"/>
          <w:sz w:val="18"/>
          <w:szCs w:val="18"/>
        </w:rPr>
        <w:t xml:space="preserve">Handbook on the economics of foreign aid </w:t>
      </w:r>
      <w:r w:rsidRPr="000045FB">
        <w:rPr>
          <w:rFonts w:ascii="Calibri" w:hAnsi="Calibri" w:cs="Calibri"/>
          <w:color w:val="000000" w:themeColor="text1"/>
          <w:sz w:val="18"/>
          <w:szCs w:val="18"/>
        </w:rPr>
        <w:t>(Cheltenham, Elgar, 2015), 527-554; Eichenauer VZ and Reinsberg B, ‘What determines earmarked funding to international develop</w:t>
      </w:r>
      <w:r w:rsidRPr="00581494">
        <w:rPr>
          <w:rFonts w:ascii="Calibri" w:hAnsi="Calibri" w:cs="Calibri"/>
          <w:color w:val="000000" w:themeColor="text1"/>
          <w:sz w:val="18"/>
          <w:szCs w:val="18"/>
        </w:rPr>
        <w:t xml:space="preserve">ment organizations? Evidence from the new multi-bi aid data’, </w:t>
      </w:r>
      <w:r w:rsidRPr="00581494">
        <w:rPr>
          <w:rFonts w:ascii="Calibri" w:hAnsi="Calibri" w:cs="Calibri"/>
          <w:i/>
          <w:color w:val="000000" w:themeColor="text1"/>
          <w:sz w:val="18"/>
          <w:szCs w:val="18"/>
        </w:rPr>
        <w:t xml:space="preserve">Review of International Organizations </w:t>
      </w:r>
      <w:r w:rsidRPr="00E259AA">
        <w:rPr>
          <w:rFonts w:ascii="Calibri" w:hAnsi="Calibri" w:cs="Calibri"/>
          <w:color w:val="000000" w:themeColor="text1"/>
          <w:sz w:val="18"/>
          <w:szCs w:val="18"/>
        </w:rPr>
        <w:t xml:space="preserve">12:2 (2017), 171-197; Reinsberg B, ‘The implications of multi-bi financing for multilateral agencies: the example of the World Bank’, in Klingebiel et al. (Eds.), </w:t>
      </w:r>
      <w:r w:rsidRPr="00E259AA">
        <w:rPr>
          <w:rFonts w:ascii="Calibri" w:hAnsi="Calibri" w:cs="Calibri"/>
          <w:i/>
          <w:color w:val="000000" w:themeColor="text1"/>
          <w:sz w:val="18"/>
          <w:szCs w:val="18"/>
        </w:rPr>
        <w:t xml:space="preserve">The Fragmentation of Aid: Concepts, Measurements and Implications for Development Cooperation </w:t>
      </w:r>
      <w:r w:rsidRPr="00E259AA">
        <w:rPr>
          <w:rFonts w:ascii="Calibri" w:hAnsi="Calibri" w:cs="Calibri"/>
          <w:color w:val="000000" w:themeColor="text1"/>
          <w:sz w:val="18"/>
          <w:szCs w:val="18"/>
        </w:rPr>
        <w:t xml:space="preserve">(London: Palgrave Macmillan, 2016), 185-198; Buse K and Walt L, ‘Global public-private partnerships: part I – a new development in health?’, </w:t>
      </w:r>
      <w:r w:rsidRPr="00E259AA">
        <w:rPr>
          <w:rFonts w:ascii="Calibri" w:hAnsi="Calibri" w:cs="Calibri"/>
          <w:i/>
          <w:color w:val="000000" w:themeColor="text1"/>
          <w:sz w:val="18"/>
          <w:szCs w:val="18"/>
        </w:rPr>
        <w:t xml:space="preserve">Bulletin of the WHO </w:t>
      </w:r>
      <w:r w:rsidRPr="00E259AA">
        <w:rPr>
          <w:rFonts w:ascii="Calibri" w:hAnsi="Calibri" w:cs="Calibri"/>
          <w:color w:val="000000" w:themeColor="text1"/>
          <w:sz w:val="18"/>
          <w:szCs w:val="18"/>
        </w:rPr>
        <w:t>78 (2000), 549-561.</w:t>
      </w:r>
    </w:p>
  </w:footnote>
  <w:footnote w:id="125">
    <w:p w14:paraId="45BF777A" w14:textId="4121E0A5"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See Birn, ‘The stages’ (2009).</w:t>
      </w:r>
    </w:p>
  </w:footnote>
  <w:footnote w:id="126">
    <w:p w14:paraId="5D57609B" w14:textId="36DD4E9C"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Birn, ‘The stages’ (2009); Birn, ‘Smallpox success’ (2011); Bhattacharya, ‘The World Health Organization’ (2008); Ruger, ‘The changing role’ (2005).</w:t>
      </w:r>
    </w:p>
  </w:footnote>
  <w:footnote w:id="127">
    <w:p w14:paraId="7C21F99D" w14:textId="12E2970D"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Bump, </w:t>
      </w:r>
      <w:r w:rsidRPr="00681100">
        <w:rPr>
          <w:rFonts w:ascii="Calibri" w:hAnsi="Calibri" w:cs="Calibri"/>
          <w:i/>
          <w:color w:val="000000" w:themeColor="text1"/>
          <w:sz w:val="18"/>
          <w:szCs w:val="18"/>
        </w:rPr>
        <w:t>Lion’s gaze</w:t>
      </w:r>
      <w:r w:rsidRPr="000045FB">
        <w:rPr>
          <w:rFonts w:ascii="Calibri" w:hAnsi="Calibri" w:cs="Calibri"/>
          <w:color w:val="000000" w:themeColor="text1"/>
          <w:sz w:val="18"/>
          <w:szCs w:val="18"/>
        </w:rPr>
        <w:t xml:space="preserve"> (2002).</w:t>
      </w:r>
    </w:p>
  </w:footnote>
  <w:footnote w:id="128">
    <w:p w14:paraId="3E71FE09" w14:textId="7A87A474"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Bhattacharya writes about the difference between rhetoric and practice in the context of smallpox control, using an archives-focused approach (Bhattacharya, ‘The World Health Organization’ [2008]).</w:t>
      </w:r>
    </w:p>
  </w:footnote>
  <w:footnote w:id="129">
    <w:p w14:paraId="23383389" w14:textId="77777777"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World Bank Group Archives Oral History Program, </w:t>
      </w:r>
      <w:r w:rsidRPr="00681100">
        <w:rPr>
          <w:rFonts w:ascii="Calibri" w:hAnsi="Calibri" w:cs="Calibri"/>
          <w:i/>
          <w:color w:val="000000" w:themeColor="text1"/>
          <w:sz w:val="18"/>
          <w:szCs w:val="18"/>
        </w:rPr>
        <w:t>Transcr</w:t>
      </w:r>
      <w:r w:rsidRPr="000045FB">
        <w:rPr>
          <w:rFonts w:ascii="Calibri" w:hAnsi="Calibri" w:cs="Calibri"/>
          <w:i/>
          <w:color w:val="000000" w:themeColor="text1"/>
          <w:sz w:val="18"/>
          <w:szCs w:val="18"/>
        </w:rPr>
        <w:t xml:space="preserve">ipt of oral history interview with Bernhard H. Liese </w:t>
      </w:r>
      <w:r w:rsidRPr="000045FB">
        <w:rPr>
          <w:rFonts w:ascii="Calibri" w:hAnsi="Calibri" w:cs="Calibri"/>
          <w:color w:val="000000" w:themeColor="text1"/>
          <w:sz w:val="18"/>
          <w:szCs w:val="18"/>
        </w:rPr>
        <w:t xml:space="preserve">(Washington DC: World Bank, 2008), 51. </w:t>
      </w:r>
    </w:p>
  </w:footnote>
  <w:footnote w:id="130">
    <w:p w14:paraId="3E1DD73A" w14:textId="0696F898" w:rsidR="00CF189D" w:rsidRPr="00E259A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As described in the next section, there are exceptions – particularly since 2000 – to this minimisation of the Bank’s governance, including the works of Woods, Harman, and Sridha</w:t>
      </w:r>
      <w:r w:rsidRPr="000045FB">
        <w:rPr>
          <w:rFonts w:ascii="Calibri" w:hAnsi="Calibri" w:cs="Calibri"/>
          <w:color w:val="000000" w:themeColor="text1"/>
          <w:sz w:val="18"/>
          <w:szCs w:val="18"/>
        </w:rPr>
        <w:t xml:space="preserve">r. See, for instance, Woods N, </w:t>
      </w:r>
      <w:r w:rsidRPr="000045FB">
        <w:rPr>
          <w:rFonts w:ascii="Calibri" w:hAnsi="Calibri" w:cs="Calibri"/>
          <w:i/>
          <w:color w:val="000000" w:themeColor="text1"/>
          <w:sz w:val="18"/>
          <w:szCs w:val="18"/>
        </w:rPr>
        <w:t xml:space="preserve">The globalizers: the IMF, the World Bank, and their borrowers </w:t>
      </w:r>
      <w:r w:rsidRPr="000045FB">
        <w:rPr>
          <w:rFonts w:ascii="Calibri" w:hAnsi="Calibri" w:cs="Calibri"/>
          <w:color w:val="000000" w:themeColor="text1"/>
          <w:sz w:val="18"/>
          <w:szCs w:val="18"/>
        </w:rPr>
        <w:t xml:space="preserve">(Ithaca: Cornell University Press, 2006); Harman S, </w:t>
      </w:r>
      <w:r w:rsidRPr="00581494">
        <w:rPr>
          <w:rFonts w:ascii="Calibri" w:hAnsi="Calibri" w:cs="Calibri"/>
          <w:i/>
          <w:color w:val="000000" w:themeColor="text1"/>
          <w:sz w:val="18"/>
          <w:szCs w:val="18"/>
        </w:rPr>
        <w:t xml:space="preserve">The World Bank and HIV/AIDS: setting a global agenda </w:t>
      </w:r>
      <w:r w:rsidRPr="00581494">
        <w:rPr>
          <w:rFonts w:ascii="Calibri" w:hAnsi="Calibri" w:cs="Calibri"/>
          <w:color w:val="000000" w:themeColor="text1"/>
          <w:sz w:val="18"/>
          <w:szCs w:val="18"/>
        </w:rPr>
        <w:t xml:space="preserve">(New York: Routledge, 2008); Clinton C and Sridhar D, </w:t>
      </w:r>
      <w:r w:rsidRPr="00E259AA">
        <w:rPr>
          <w:rFonts w:ascii="Calibri" w:hAnsi="Calibri" w:cs="Calibri"/>
          <w:i/>
          <w:color w:val="000000" w:themeColor="text1"/>
          <w:sz w:val="18"/>
          <w:szCs w:val="18"/>
        </w:rPr>
        <w:t xml:space="preserve">Governing global health </w:t>
      </w:r>
      <w:r w:rsidRPr="00E259AA">
        <w:rPr>
          <w:rFonts w:ascii="Calibri" w:hAnsi="Calibri" w:cs="Calibri"/>
          <w:color w:val="000000" w:themeColor="text1"/>
          <w:sz w:val="18"/>
          <w:szCs w:val="18"/>
        </w:rPr>
        <w:t xml:space="preserve">(Oxford: Oxford University Press, 2017); Sridhar D, </w:t>
      </w:r>
      <w:r w:rsidRPr="00E259AA">
        <w:rPr>
          <w:rFonts w:ascii="Calibri" w:hAnsi="Calibri" w:cs="Calibri"/>
          <w:i/>
          <w:color w:val="000000" w:themeColor="text1"/>
          <w:sz w:val="18"/>
          <w:szCs w:val="18"/>
        </w:rPr>
        <w:t xml:space="preserve">The battle against hunger: choice, circumstance, and the World Bank </w:t>
      </w:r>
      <w:r w:rsidRPr="00E259AA">
        <w:rPr>
          <w:rFonts w:ascii="Calibri" w:hAnsi="Calibri" w:cs="Calibri"/>
          <w:color w:val="000000" w:themeColor="text1"/>
          <w:sz w:val="18"/>
          <w:szCs w:val="18"/>
        </w:rPr>
        <w:t>(Oxford: Oxford University Press, 2008).</w:t>
      </w:r>
    </w:p>
  </w:footnote>
  <w:footnote w:id="131">
    <w:p w14:paraId="180140F1" w14:textId="7777777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Sridhar, </w:t>
      </w:r>
      <w:r w:rsidRPr="00681100">
        <w:rPr>
          <w:rFonts w:ascii="Calibri" w:hAnsi="Calibri" w:cs="Calibri"/>
          <w:i/>
          <w:color w:val="000000" w:themeColor="text1"/>
          <w:sz w:val="18"/>
          <w:szCs w:val="18"/>
        </w:rPr>
        <w:t>The battle</w:t>
      </w:r>
      <w:r w:rsidRPr="000045FB">
        <w:rPr>
          <w:rFonts w:ascii="Calibri" w:hAnsi="Calibri" w:cs="Calibri"/>
          <w:color w:val="000000" w:themeColor="text1"/>
          <w:sz w:val="18"/>
          <w:szCs w:val="18"/>
        </w:rPr>
        <w:t xml:space="preserve"> (2008), 37-38. </w:t>
      </w:r>
    </w:p>
  </w:footnote>
  <w:footnote w:id="132">
    <w:p w14:paraId="03252722" w14:textId="7777777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t>
      </w:r>
      <w:r w:rsidRPr="00681100">
        <w:rPr>
          <w:rFonts w:ascii="Calibri" w:hAnsi="Calibri" w:cs="Calibri"/>
          <w:color w:val="000000" w:themeColor="text1"/>
          <w:sz w:val="18"/>
          <w:szCs w:val="18"/>
          <w:shd w:val="clear" w:color="auto" w:fill="FFFFFF"/>
        </w:rPr>
        <w:t>Ruger JP, ‘The cha</w:t>
      </w:r>
      <w:r w:rsidRPr="000045FB">
        <w:rPr>
          <w:rFonts w:ascii="Calibri" w:hAnsi="Calibri" w:cs="Calibri"/>
          <w:color w:val="000000" w:themeColor="text1"/>
          <w:sz w:val="18"/>
          <w:szCs w:val="18"/>
          <w:shd w:val="clear" w:color="auto" w:fill="FFFFFF"/>
        </w:rPr>
        <w:t>nging role of the World Bank in global health’, American Journal of Public Health 95:1 (2005), 60-70.</w:t>
      </w:r>
    </w:p>
  </w:footnote>
  <w:footnote w:id="133">
    <w:p w14:paraId="435B0510" w14:textId="55C624A1" w:rsidR="00CF189D" w:rsidRPr="00E259A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Sridhar, </w:t>
      </w:r>
      <w:r w:rsidRPr="00681100">
        <w:rPr>
          <w:rFonts w:ascii="Calibri" w:hAnsi="Calibri" w:cs="Calibri"/>
          <w:i/>
          <w:color w:val="000000" w:themeColor="text1"/>
          <w:sz w:val="18"/>
          <w:szCs w:val="18"/>
        </w:rPr>
        <w:t>The battle</w:t>
      </w:r>
      <w:r w:rsidRPr="000045FB">
        <w:rPr>
          <w:rFonts w:ascii="Calibri" w:hAnsi="Calibri" w:cs="Calibri"/>
          <w:color w:val="000000" w:themeColor="text1"/>
          <w:sz w:val="18"/>
          <w:szCs w:val="18"/>
        </w:rPr>
        <w:t xml:space="preserve"> (2008), 37; Woods N, ‘The IMF and the World Bank’, </w:t>
      </w:r>
      <w:r w:rsidRPr="000045FB">
        <w:rPr>
          <w:rFonts w:ascii="Calibri" w:hAnsi="Calibri" w:cs="Calibri"/>
          <w:i/>
          <w:color w:val="000000" w:themeColor="text1"/>
          <w:sz w:val="18"/>
          <w:szCs w:val="18"/>
        </w:rPr>
        <w:t xml:space="preserve">Encyclopaedia of Government and Politics </w:t>
      </w:r>
      <w:r w:rsidRPr="000045FB">
        <w:rPr>
          <w:rFonts w:ascii="Calibri" w:hAnsi="Calibri" w:cs="Calibri"/>
          <w:color w:val="000000" w:themeColor="text1"/>
          <w:sz w:val="18"/>
          <w:szCs w:val="18"/>
        </w:rPr>
        <w:t xml:space="preserve">(London: Routledge, 2002), 953; World Bank, </w:t>
      </w:r>
      <w:r w:rsidRPr="00581494">
        <w:rPr>
          <w:rFonts w:ascii="Calibri" w:hAnsi="Calibri" w:cs="Calibri"/>
          <w:i/>
          <w:color w:val="000000" w:themeColor="text1"/>
          <w:sz w:val="18"/>
          <w:szCs w:val="18"/>
        </w:rPr>
        <w:t>Policies and operations, the World Bank Group</w:t>
      </w:r>
      <w:r w:rsidRPr="00581494">
        <w:rPr>
          <w:rFonts w:ascii="Calibri" w:hAnsi="Calibri" w:cs="Calibri"/>
          <w:color w:val="000000" w:themeColor="text1"/>
          <w:sz w:val="18"/>
          <w:szCs w:val="18"/>
        </w:rPr>
        <w:t xml:space="preserve"> (Washington DC: IBRD, 1974), 5-6. </w:t>
      </w:r>
    </w:p>
  </w:footnote>
  <w:footnote w:id="134">
    <w:p w14:paraId="15DE1C1F" w14:textId="45273586"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Sridhar, </w:t>
      </w:r>
      <w:r w:rsidRPr="00681100">
        <w:rPr>
          <w:rFonts w:ascii="Calibri" w:hAnsi="Calibri" w:cs="Calibri"/>
          <w:i/>
          <w:color w:val="000000" w:themeColor="text1"/>
          <w:sz w:val="18"/>
          <w:szCs w:val="18"/>
        </w:rPr>
        <w:t xml:space="preserve">The battle </w:t>
      </w:r>
      <w:r w:rsidRPr="000045FB">
        <w:rPr>
          <w:rFonts w:ascii="Calibri" w:hAnsi="Calibri" w:cs="Calibri"/>
          <w:color w:val="000000" w:themeColor="text1"/>
          <w:sz w:val="18"/>
          <w:szCs w:val="18"/>
        </w:rPr>
        <w:t>(2008), 37-38; Ruger, ‘The changing role’ (2005).</w:t>
      </w:r>
    </w:p>
  </w:footnote>
  <w:footnote w:id="135">
    <w:p w14:paraId="04E98B8F" w14:textId="77777777"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Marshall K, </w:t>
      </w:r>
      <w:r w:rsidRPr="00681100">
        <w:rPr>
          <w:rFonts w:ascii="Calibri" w:hAnsi="Calibri" w:cs="Calibri"/>
          <w:i/>
          <w:color w:val="000000" w:themeColor="text1"/>
          <w:sz w:val="18"/>
          <w:szCs w:val="18"/>
        </w:rPr>
        <w:t xml:space="preserve">The </w:t>
      </w:r>
      <w:r w:rsidRPr="000045FB">
        <w:rPr>
          <w:rFonts w:ascii="Calibri" w:hAnsi="Calibri" w:cs="Calibri"/>
          <w:i/>
          <w:color w:val="000000" w:themeColor="text1"/>
          <w:sz w:val="18"/>
          <w:szCs w:val="18"/>
        </w:rPr>
        <w:t xml:space="preserve">World Bank: from reconstruction to development to equity </w:t>
      </w:r>
      <w:r w:rsidRPr="000045FB">
        <w:rPr>
          <w:rFonts w:ascii="Calibri" w:hAnsi="Calibri" w:cs="Calibri"/>
          <w:color w:val="000000" w:themeColor="text1"/>
          <w:sz w:val="18"/>
          <w:szCs w:val="18"/>
        </w:rPr>
        <w:t xml:space="preserve">(New York: Routledge, 2008), especially 36-39. </w:t>
      </w:r>
    </w:p>
  </w:footnote>
  <w:footnote w:id="136">
    <w:p w14:paraId="0E9BAC91" w14:textId="7777777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World Bank</w:t>
      </w:r>
      <w:r w:rsidRPr="00681100">
        <w:rPr>
          <w:rFonts w:ascii="Calibri" w:hAnsi="Calibri" w:cs="Calibri"/>
          <w:i/>
          <w:color w:val="000000" w:themeColor="text1"/>
          <w:sz w:val="18"/>
          <w:szCs w:val="18"/>
        </w:rPr>
        <w:t xml:space="preserve">, Policies </w:t>
      </w:r>
      <w:r w:rsidRPr="000045FB">
        <w:rPr>
          <w:rFonts w:ascii="Calibri" w:hAnsi="Calibri" w:cs="Calibri"/>
          <w:color w:val="000000" w:themeColor="text1"/>
          <w:sz w:val="18"/>
          <w:szCs w:val="18"/>
        </w:rPr>
        <w:t xml:space="preserve">(1974), 36-40. </w:t>
      </w:r>
    </w:p>
  </w:footnote>
  <w:footnote w:id="137">
    <w:p w14:paraId="0537F253" w14:textId="7777777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Sridhar, </w:t>
      </w:r>
      <w:r w:rsidRPr="00681100">
        <w:rPr>
          <w:rFonts w:ascii="Calibri" w:hAnsi="Calibri" w:cs="Calibri"/>
          <w:i/>
          <w:color w:val="000000" w:themeColor="text1"/>
          <w:sz w:val="18"/>
          <w:szCs w:val="18"/>
        </w:rPr>
        <w:t xml:space="preserve">The battle </w:t>
      </w:r>
      <w:r w:rsidRPr="000045FB">
        <w:rPr>
          <w:rFonts w:ascii="Calibri" w:hAnsi="Calibri" w:cs="Calibri"/>
          <w:color w:val="000000" w:themeColor="text1"/>
          <w:sz w:val="18"/>
          <w:szCs w:val="18"/>
        </w:rPr>
        <w:t>(2008), 38.</w:t>
      </w:r>
    </w:p>
  </w:footnote>
  <w:footnote w:id="138">
    <w:p w14:paraId="77A6AC44" w14:textId="06077C62" w:rsidR="00CF189D" w:rsidRPr="00581494" w:rsidRDefault="00CF189D" w:rsidP="00C117C7">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World Bank Group Archives Oral History Project, </w:t>
      </w:r>
      <w:r w:rsidRPr="00681100">
        <w:rPr>
          <w:rFonts w:ascii="Calibri" w:hAnsi="Calibri" w:cs="Calibri"/>
          <w:i/>
          <w:color w:val="000000" w:themeColor="text1"/>
          <w:sz w:val="18"/>
          <w:szCs w:val="18"/>
        </w:rPr>
        <w:t>Transcript of oral history interview with Georges R. Delaume</w:t>
      </w:r>
      <w:r w:rsidRPr="000045FB">
        <w:rPr>
          <w:rFonts w:ascii="Calibri" w:hAnsi="Calibri" w:cs="Calibri"/>
          <w:color w:val="000000" w:themeColor="text1"/>
          <w:sz w:val="18"/>
          <w:szCs w:val="18"/>
        </w:rPr>
        <w:t xml:space="preserve"> (</w:t>
      </w:r>
      <w:r>
        <w:rPr>
          <w:rFonts w:ascii="Calibri" w:hAnsi="Calibri" w:cs="Calibri"/>
          <w:color w:val="000000" w:themeColor="text1"/>
          <w:sz w:val="18"/>
          <w:szCs w:val="18"/>
        </w:rPr>
        <w:t xml:space="preserve">Washington DC: World Bank, </w:t>
      </w:r>
      <w:r w:rsidRPr="000045FB">
        <w:rPr>
          <w:rFonts w:ascii="Calibri" w:hAnsi="Calibri" w:cs="Calibri"/>
          <w:color w:val="000000" w:themeColor="text1"/>
          <w:sz w:val="18"/>
          <w:szCs w:val="18"/>
        </w:rPr>
        <w:t>2004), 30; World Bank</w:t>
      </w:r>
      <w:r w:rsidRPr="000045FB">
        <w:rPr>
          <w:rFonts w:ascii="Calibri" w:hAnsi="Calibri" w:cs="Calibri"/>
          <w:i/>
          <w:color w:val="000000" w:themeColor="text1"/>
          <w:sz w:val="18"/>
          <w:szCs w:val="18"/>
        </w:rPr>
        <w:t xml:space="preserve">, Policies </w:t>
      </w:r>
      <w:r w:rsidRPr="000045FB">
        <w:rPr>
          <w:rFonts w:ascii="Calibri" w:hAnsi="Calibri" w:cs="Calibri"/>
          <w:color w:val="000000" w:themeColor="text1"/>
          <w:sz w:val="18"/>
          <w:szCs w:val="18"/>
        </w:rPr>
        <w:t>(1974), 20.</w:t>
      </w:r>
    </w:p>
  </w:footnote>
  <w:footnote w:id="139">
    <w:p w14:paraId="502B929B" w14:textId="77777777" w:rsidR="00CF189D" w:rsidRPr="000045FB" w:rsidRDefault="00CF189D" w:rsidP="00C117C7">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Transc</w:t>
      </w:r>
      <w:r w:rsidRPr="000045FB">
        <w:rPr>
          <w:rFonts w:ascii="Calibri" w:hAnsi="Calibri" w:cs="Calibri"/>
          <w:i/>
          <w:color w:val="000000" w:themeColor="text1"/>
          <w:sz w:val="18"/>
          <w:szCs w:val="18"/>
        </w:rPr>
        <w:t>ript of oral history interview with Georges R. Delaume</w:t>
      </w:r>
      <w:r w:rsidRPr="000045FB">
        <w:rPr>
          <w:rFonts w:ascii="Calibri" w:hAnsi="Calibri" w:cs="Calibri"/>
          <w:color w:val="000000" w:themeColor="text1"/>
          <w:sz w:val="18"/>
          <w:szCs w:val="18"/>
        </w:rPr>
        <w:t xml:space="preserve"> (2004), 30.</w:t>
      </w:r>
    </w:p>
  </w:footnote>
  <w:footnote w:id="140">
    <w:p w14:paraId="47B1B4EC" w14:textId="2BFA8686" w:rsidR="00CF189D" w:rsidRPr="00CF189D" w:rsidRDefault="00CF189D" w:rsidP="00324980">
      <w:pPr>
        <w:rPr>
          <w:rFonts w:ascii="Calibri" w:hAnsi="Calibri" w:cs="Calibri"/>
          <w:sz w:val="18"/>
          <w:szCs w:val="18"/>
        </w:rPr>
      </w:pPr>
      <w:r w:rsidRPr="00CF189D">
        <w:rPr>
          <w:rStyle w:val="FootnoteReference"/>
          <w:rFonts w:ascii="Calibri" w:eastAsiaTheme="majorEastAsia" w:hAnsi="Calibri" w:cs="Calibri"/>
          <w:color w:val="000000" w:themeColor="text1"/>
          <w:sz w:val="18"/>
          <w:szCs w:val="18"/>
        </w:rPr>
        <w:footnoteRef/>
      </w:r>
      <w:r w:rsidRPr="00CF189D">
        <w:rPr>
          <w:rFonts w:ascii="Calibri" w:hAnsi="Calibri" w:cs="Calibri"/>
          <w:color w:val="000000" w:themeColor="text1"/>
          <w:sz w:val="18"/>
          <w:szCs w:val="18"/>
        </w:rPr>
        <w:t xml:space="preserve"> Woods N, ‘The challenges of multilateralism and governance’, in CL Gilbert and D Vines (Eds.), </w:t>
      </w:r>
      <w:r w:rsidRPr="00CF189D">
        <w:rPr>
          <w:rFonts w:ascii="Calibri" w:hAnsi="Calibri" w:cs="Calibri"/>
          <w:i/>
          <w:iCs/>
          <w:color w:val="000000" w:themeColor="text1"/>
          <w:sz w:val="18"/>
          <w:szCs w:val="18"/>
        </w:rPr>
        <w:t xml:space="preserve">The World Bank: Structures and Policies, </w:t>
      </w:r>
      <w:r w:rsidRPr="00CF189D">
        <w:rPr>
          <w:rFonts w:ascii="Calibri" w:hAnsi="Calibri" w:cs="Calibri"/>
          <w:color w:val="000000" w:themeColor="text1"/>
          <w:sz w:val="18"/>
          <w:szCs w:val="18"/>
        </w:rPr>
        <w:t xml:space="preserve">Vol 3 (Cambridge: Cambridge University Press, 2006), 132-156; </w:t>
      </w:r>
      <w:r w:rsidRPr="00CF189D">
        <w:rPr>
          <w:rFonts w:ascii="Calibri" w:hAnsi="Calibri" w:cs="Calibri"/>
          <w:bCs/>
          <w:color w:val="000000" w:themeColor="text1"/>
          <w:sz w:val="18"/>
          <w:szCs w:val="18"/>
        </w:rPr>
        <w:t xml:space="preserve">Griffith Jones S, </w:t>
      </w:r>
      <w:r w:rsidRPr="00CF189D">
        <w:rPr>
          <w:rFonts w:ascii="Calibri" w:hAnsi="Calibri" w:cs="Calibri"/>
          <w:bCs/>
          <w:i/>
          <w:color w:val="000000" w:themeColor="text1"/>
          <w:sz w:val="18"/>
          <w:szCs w:val="18"/>
        </w:rPr>
        <w:t xml:space="preserve">Governance of the World Bank </w:t>
      </w:r>
      <w:r w:rsidRPr="00CF189D">
        <w:rPr>
          <w:rFonts w:ascii="Calibri" w:hAnsi="Calibri" w:cs="Calibri"/>
          <w:bCs/>
          <w:color w:val="000000" w:themeColor="text1"/>
          <w:sz w:val="18"/>
          <w:szCs w:val="18"/>
        </w:rPr>
        <w:t xml:space="preserve">(London: </w:t>
      </w:r>
      <w:r>
        <w:rPr>
          <w:rFonts w:ascii="Calibri" w:hAnsi="Calibri" w:cs="Calibri"/>
          <w:bCs/>
          <w:color w:val="000000" w:themeColor="text1"/>
          <w:sz w:val="18"/>
          <w:szCs w:val="18"/>
        </w:rPr>
        <w:t>Department for International Development</w:t>
      </w:r>
      <w:r w:rsidRPr="00CF189D">
        <w:rPr>
          <w:rFonts w:ascii="Calibri" w:hAnsi="Calibri" w:cs="Calibri"/>
          <w:bCs/>
          <w:color w:val="000000" w:themeColor="text1"/>
          <w:sz w:val="18"/>
          <w:szCs w:val="18"/>
        </w:rPr>
        <w:t xml:space="preserve">, 2002), 3; </w:t>
      </w:r>
      <w:r w:rsidRPr="00CF189D">
        <w:rPr>
          <w:rFonts w:ascii="Calibri" w:hAnsi="Calibri" w:cs="Calibri"/>
          <w:color w:val="000000" w:themeColor="text1"/>
          <w:sz w:val="18"/>
          <w:szCs w:val="18"/>
        </w:rPr>
        <w:t>Bretton Woods Project, ‘IMF and World Bank decision-making and governance’ (online), 31 March 2016, &lt;</w:t>
      </w:r>
      <w:r w:rsidRPr="00CF189D">
        <w:rPr>
          <w:rFonts w:ascii="Calibri" w:hAnsi="Calibri" w:cs="Calibri"/>
          <w:sz w:val="18"/>
          <w:szCs w:val="18"/>
        </w:rPr>
        <w:t>https://www.brettonwoodsproject.org/2016/03/imf-world-bank-decision-making-and-governance-existing-structures-and-reform-processes/&gt; [accessed 20 September 2016].</w:t>
      </w:r>
    </w:p>
  </w:footnote>
  <w:footnote w:id="141">
    <w:p w14:paraId="0776AC70" w14:textId="77777777" w:rsidR="00CF189D" w:rsidRPr="00CF189D" w:rsidRDefault="00CF189D" w:rsidP="00324980">
      <w:pPr>
        <w:pStyle w:val="FootnoteText"/>
        <w:rPr>
          <w:rFonts w:ascii="Calibri" w:hAnsi="Calibri" w:cs="Calibri"/>
          <w:color w:val="000000" w:themeColor="text1"/>
          <w:sz w:val="18"/>
          <w:szCs w:val="18"/>
        </w:rPr>
      </w:pPr>
      <w:r w:rsidRPr="00CF189D">
        <w:rPr>
          <w:rStyle w:val="FootnoteReference"/>
          <w:rFonts w:ascii="Calibri" w:eastAsiaTheme="majorEastAsia" w:hAnsi="Calibri" w:cs="Calibri"/>
          <w:color w:val="000000" w:themeColor="text1"/>
          <w:sz w:val="18"/>
          <w:szCs w:val="18"/>
        </w:rPr>
        <w:footnoteRef/>
      </w:r>
      <w:r w:rsidRPr="00CF189D">
        <w:rPr>
          <w:rFonts w:ascii="Calibri" w:hAnsi="Calibri" w:cs="Calibri"/>
          <w:color w:val="000000" w:themeColor="text1"/>
          <w:sz w:val="18"/>
          <w:szCs w:val="18"/>
        </w:rPr>
        <w:t xml:space="preserve"> World Bank, ‘Voting powers’ (online). </w:t>
      </w:r>
    </w:p>
  </w:footnote>
  <w:footnote w:id="142">
    <w:p w14:paraId="6EC1EAF9" w14:textId="77777777" w:rsidR="00CF189D" w:rsidRPr="00CF189D" w:rsidRDefault="00CF189D" w:rsidP="00324980">
      <w:pPr>
        <w:pStyle w:val="FootnoteText"/>
        <w:rPr>
          <w:rFonts w:ascii="Calibri" w:hAnsi="Calibri" w:cs="Calibri"/>
          <w:color w:val="000000" w:themeColor="text1"/>
          <w:sz w:val="18"/>
          <w:szCs w:val="18"/>
          <w:lang w:val="de-CH"/>
        </w:rPr>
      </w:pPr>
      <w:r w:rsidRPr="00CF189D">
        <w:rPr>
          <w:rStyle w:val="FootnoteReference"/>
          <w:rFonts w:ascii="Calibri" w:eastAsiaTheme="majorEastAsia" w:hAnsi="Calibri" w:cs="Calibri"/>
          <w:color w:val="000000" w:themeColor="text1"/>
          <w:sz w:val="18"/>
          <w:szCs w:val="18"/>
        </w:rPr>
        <w:footnoteRef/>
      </w:r>
      <w:r w:rsidRPr="00CF189D">
        <w:rPr>
          <w:rFonts w:ascii="Calibri" w:hAnsi="Calibri" w:cs="Calibri"/>
          <w:color w:val="000000" w:themeColor="text1"/>
          <w:sz w:val="18"/>
          <w:szCs w:val="18"/>
          <w:lang w:val="de-CH"/>
        </w:rPr>
        <w:t xml:space="preserve"> </w:t>
      </w:r>
      <w:r w:rsidRPr="00CF189D">
        <w:rPr>
          <w:rFonts w:ascii="Calibri" w:hAnsi="Calibri" w:cs="Calibri"/>
          <w:bCs/>
          <w:color w:val="000000" w:themeColor="text1"/>
          <w:sz w:val="18"/>
          <w:szCs w:val="18"/>
        </w:rPr>
        <w:t xml:space="preserve">Griffith Jones, </w:t>
      </w:r>
      <w:r w:rsidRPr="00CF189D">
        <w:rPr>
          <w:rFonts w:ascii="Calibri" w:hAnsi="Calibri" w:cs="Calibri"/>
          <w:bCs/>
          <w:i/>
          <w:color w:val="000000" w:themeColor="text1"/>
          <w:sz w:val="18"/>
          <w:szCs w:val="18"/>
        </w:rPr>
        <w:t xml:space="preserve">Governance </w:t>
      </w:r>
      <w:r w:rsidRPr="00CF189D">
        <w:rPr>
          <w:rFonts w:ascii="Calibri" w:hAnsi="Calibri" w:cs="Calibri"/>
          <w:bCs/>
          <w:color w:val="000000" w:themeColor="text1"/>
          <w:sz w:val="18"/>
          <w:szCs w:val="18"/>
        </w:rPr>
        <w:t xml:space="preserve">(2002), </w:t>
      </w:r>
      <w:r w:rsidRPr="00CF189D">
        <w:rPr>
          <w:rFonts w:ascii="Calibri" w:hAnsi="Calibri" w:cs="Calibri"/>
          <w:color w:val="000000" w:themeColor="text1"/>
          <w:sz w:val="18"/>
          <w:szCs w:val="18"/>
          <w:lang w:val="de-CH"/>
        </w:rPr>
        <w:t xml:space="preserve">4; Sridhar, </w:t>
      </w:r>
      <w:r w:rsidRPr="00CF189D">
        <w:rPr>
          <w:rFonts w:ascii="Calibri" w:hAnsi="Calibri" w:cs="Calibri"/>
          <w:i/>
          <w:color w:val="000000" w:themeColor="text1"/>
          <w:sz w:val="18"/>
          <w:szCs w:val="18"/>
          <w:lang w:val="de-CH"/>
        </w:rPr>
        <w:t xml:space="preserve">The battle </w:t>
      </w:r>
      <w:r w:rsidRPr="00CF189D">
        <w:rPr>
          <w:rFonts w:ascii="Calibri" w:hAnsi="Calibri" w:cs="Calibri"/>
          <w:color w:val="000000" w:themeColor="text1"/>
          <w:sz w:val="18"/>
          <w:szCs w:val="18"/>
          <w:lang w:val="de-CH"/>
        </w:rPr>
        <w:t>(2008), 39.</w:t>
      </w:r>
    </w:p>
  </w:footnote>
  <w:footnote w:id="143">
    <w:p w14:paraId="20604BB1" w14:textId="77777777" w:rsidR="00CF189D" w:rsidRPr="00CF189D" w:rsidRDefault="00CF189D" w:rsidP="00324980">
      <w:pPr>
        <w:pStyle w:val="FootnoteText"/>
        <w:rPr>
          <w:rFonts w:ascii="Calibri" w:hAnsi="Calibri" w:cs="Calibri"/>
          <w:color w:val="000000" w:themeColor="text1"/>
          <w:sz w:val="18"/>
          <w:szCs w:val="18"/>
        </w:rPr>
      </w:pPr>
      <w:r w:rsidRPr="00CF189D">
        <w:rPr>
          <w:rStyle w:val="FootnoteReference"/>
          <w:rFonts w:ascii="Calibri" w:eastAsiaTheme="majorEastAsia" w:hAnsi="Calibri" w:cs="Calibri"/>
          <w:color w:val="000000" w:themeColor="text1"/>
          <w:sz w:val="18"/>
          <w:szCs w:val="18"/>
        </w:rPr>
        <w:footnoteRef/>
      </w:r>
      <w:r w:rsidRPr="00CF189D">
        <w:rPr>
          <w:rFonts w:ascii="Calibri" w:hAnsi="Calibri" w:cs="Calibri"/>
          <w:color w:val="000000" w:themeColor="text1"/>
          <w:sz w:val="18"/>
          <w:szCs w:val="18"/>
        </w:rPr>
        <w:t xml:space="preserve"> World Bank Group Archives Oral History Program, </w:t>
      </w:r>
      <w:r w:rsidRPr="00CF189D">
        <w:rPr>
          <w:rFonts w:ascii="Calibri" w:hAnsi="Calibri" w:cs="Calibri"/>
          <w:i/>
          <w:color w:val="000000" w:themeColor="text1"/>
          <w:sz w:val="18"/>
          <w:szCs w:val="18"/>
        </w:rPr>
        <w:t xml:space="preserve">Transcript of an interview with Bruce Benton </w:t>
      </w:r>
      <w:r w:rsidRPr="00CF189D">
        <w:rPr>
          <w:rFonts w:ascii="Calibri" w:hAnsi="Calibri" w:cs="Calibri"/>
          <w:color w:val="000000" w:themeColor="text1"/>
          <w:sz w:val="18"/>
          <w:szCs w:val="18"/>
        </w:rPr>
        <w:t>(Washington DC: World Bank, 2006), 14.</w:t>
      </w:r>
    </w:p>
  </w:footnote>
  <w:footnote w:id="144">
    <w:p w14:paraId="66A86067" w14:textId="1AE0FAB7"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16</w:t>
      </w:r>
      <w:r w:rsidRPr="00CF189D">
        <w:rPr>
          <w:rFonts w:ascii="Calibri" w:hAnsi="Calibri" w:cs="Calibri"/>
          <w:sz w:val="18"/>
          <w:szCs w:val="18"/>
        </w:rPr>
        <w:t xml:space="preserve"> </w:t>
      </w:r>
      <w:r w:rsidRPr="00681100">
        <w:rPr>
          <w:rFonts w:ascii="Calibri" w:hAnsi="Calibri" w:cs="Calibri"/>
          <w:color w:val="000000" w:themeColor="text1"/>
          <w:sz w:val="18"/>
          <w:szCs w:val="18"/>
        </w:rPr>
        <w:t xml:space="preserve">Based on World Bank, </w:t>
      </w:r>
      <w:r w:rsidRPr="00681100">
        <w:rPr>
          <w:rFonts w:ascii="Calibri" w:hAnsi="Calibri" w:cs="Calibri"/>
          <w:i/>
          <w:color w:val="000000" w:themeColor="text1"/>
          <w:sz w:val="18"/>
          <w:szCs w:val="18"/>
        </w:rPr>
        <w:t xml:space="preserve">Onchocerciasis Fund Agreement </w:t>
      </w:r>
      <w:r w:rsidRPr="000045FB">
        <w:rPr>
          <w:rFonts w:ascii="Calibri" w:hAnsi="Calibri" w:cs="Calibri"/>
          <w:color w:val="000000" w:themeColor="text1"/>
          <w:sz w:val="18"/>
          <w:szCs w:val="18"/>
        </w:rPr>
        <w:t xml:space="preserve">(Washington DC, 7 May 1975); World Bank, </w:t>
      </w:r>
      <w:r w:rsidRPr="000045FB">
        <w:rPr>
          <w:rFonts w:ascii="Calibri" w:hAnsi="Calibri" w:cs="Calibri"/>
          <w:i/>
          <w:color w:val="000000" w:themeColor="text1"/>
          <w:sz w:val="18"/>
          <w:szCs w:val="18"/>
        </w:rPr>
        <w:t xml:space="preserve">Onchocerciasis Fund Agreement </w:t>
      </w:r>
      <w:r w:rsidRPr="000045FB">
        <w:rPr>
          <w:rFonts w:ascii="Calibri" w:hAnsi="Calibri" w:cs="Calibri"/>
          <w:color w:val="000000" w:themeColor="text1"/>
          <w:sz w:val="18"/>
          <w:szCs w:val="18"/>
        </w:rPr>
        <w:t xml:space="preserve">(Washington DC, </w:t>
      </w:r>
      <w:r w:rsidRPr="00581494">
        <w:rPr>
          <w:rFonts w:ascii="Calibri" w:hAnsi="Calibri" w:cs="Calibri"/>
          <w:color w:val="000000" w:themeColor="text1"/>
          <w:sz w:val="18"/>
          <w:szCs w:val="18"/>
        </w:rPr>
        <w:t xml:space="preserve">4 February 1986); Samba EM, </w:t>
      </w:r>
      <w:r w:rsidRPr="00581494">
        <w:rPr>
          <w:rFonts w:ascii="Calibri" w:hAnsi="Calibri" w:cs="Calibri"/>
          <w:i/>
          <w:color w:val="000000" w:themeColor="text1"/>
          <w:sz w:val="18"/>
          <w:szCs w:val="18"/>
        </w:rPr>
        <w:t xml:space="preserve">The Onchocerciasis Control Programme in West Africa: an example of effective public health management </w:t>
      </w:r>
      <w:r w:rsidRPr="00E259AA">
        <w:rPr>
          <w:rFonts w:ascii="Calibri" w:hAnsi="Calibri" w:cs="Calibri"/>
          <w:color w:val="000000" w:themeColor="text1"/>
          <w:sz w:val="18"/>
          <w:szCs w:val="18"/>
        </w:rPr>
        <w:t xml:space="preserve">(Geneva: WHO, 1994); World Health Organization, </w:t>
      </w:r>
      <w:r w:rsidRPr="00E259AA">
        <w:rPr>
          <w:rFonts w:ascii="Calibri" w:hAnsi="Calibri" w:cs="Calibri"/>
          <w:i/>
          <w:color w:val="000000" w:themeColor="text1"/>
          <w:sz w:val="18"/>
          <w:szCs w:val="18"/>
        </w:rPr>
        <w:t>Ten years of onchocerciasis control in West Africa: evaluation of the activities of the Onchocerciasis Control Programme in the Volta basin area (until June 1984)</w:t>
      </w:r>
      <w:r w:rsidRPr="00E259AA">
        <w:rPr>
          <w:rFonts w:ascii="Calibri" w:hAnsi="Calibri" w:cs="Calibri"/>
          <w:color w:val="000000" w:themeColor="text1"/>
          <w:sz w:val="18"/>
          <w:szCs w:val="18"/>
        </w:rPr>
        <w:t xml:space="preserve"> (Geneva: WHO, 1994).</w:t>
      </w:r>
    </w:p>
  </w:footnote>
  <w:footnote w:id="145">
    <w:p w14:paraId="5DA46015" w14:textId="5A31C1B0"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Based on Samba, </w:t>
      </w:r>
      <w:r w:rsidRPr="00681100">
        <w:rPr>
          <w:rFonts w:ascii="Calibri" w:hAnsi="Calibri" w:cs="Calibri"/>
          <w:i/>
          <w:color w:val="000000" w:themeColor="text1"/>
          <w:sz w:val="18"/>
          <w:szCs w:val="18"/>
        </w:rPr>
        <w:t xml:space="preserve">The Onchocerciasis </w:t>
      </w:r>
      <w:r w:rsidRPr="000045FB">
        <w:rPr>
          <w:rFonts w:ascii="Calibri" w:hAnsi="Calibri" w:cs="Calibri"/>
          <w:color w:val="000000" w:themeColor="text1"/>
          <w:sz w:val="18"/>
          <w:szCs w:val="18"/>
        </w:rPr>
        <w:t xml:space="preserve">(1994); WHO, </w:t>
      </w:r>
      <w:r w:rsidRPr="000045FB">
        <w:rPr>
          <w:rFonts w:ascii="Calibri" w:hAnsi="Calibri" w:cs="Calibri"/>
          <w:i/>
          <w:color w:val="000000" w:themeColor="text1"/>
          <w:sz w:val="18"/>
          <w:szCs w:val="18"/>
        </w:rPr>
        <w:t xml:space="preserve">Ten years </w:t>
      </w:r>
      <w:r w:rsidRPr="000045FB">
        <w:rPr>
          <w:rFonts w:ascii="Calibri" w:hAnsi="Calibri" w:cs="Calibri"/>
          <w:color w:val="000000" w:themeColor="text1"/>
          <w:sz w:val="18"/>
          <w:szCs w:val="18"/>
        </w:rPr>
        <w:t>(1994).</w:t>
      </w:r>
    </w:p>
  </w:footnote>
  <w:footnote w:id="146">
    <w:p w14:paraId="0F41F52A" w14:textId="55798CF5"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Transcript of an inter</w:t>
      </w:r>
      <w:r w:rsidRPr="000045FB">
        <w:rPr>
          <w:rFonts w:ascii="Calibri" w:hAnsi="Calibri" w:cs="Calibri"/>
          <w:i/>
          <w:color w:val="000000" w:themeColor="text1"/>
          <w:sz w:val="18"/>
          <w:szCs w:val="18"/>
        </w:rPr>
        <w:t>view with Bruce Benton</w:t>
      </w:r>
      <w:r w:rsidRPr="000045FB">
        <w:rPr>
          <w:rFonts w:ascii="Calibri" w:hAnsi="Calibri" w:cs="Calibri"/>
          <w:color w:val="000000" w:themeColor="text1"/>
          <w:sz w:val="18"/>
          <w:szCs w:val="18"/>
        </w:rPr>
        <w:t xml:space="preserve"> (2006), 59.</w:t>
      </w:r>
    </w:p>
  </w:footnote>
  <w:footnote w:id="147">
    <w:p w14:paraId="7066F64A" w14:textId="12143831"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World Bank, </w:t>
      </w:r>
      <w:r w:rsidRPr="000045FB">
        <w:rPr>
          <w:rFonts w:ascii="Calibri" w:hAnsi="Calibri" w:cs="Calibri"/>
          <w:i/>
          <w:color w:val="000000" w:themeColor="text1"/>
          <w:sz w:val="18"/>
          <w:szCs w:val="18"/>
        </w:rPr>
        <w:t>Transcript of an interview with Bruce Benton</w:t>
      </w:r>
      <w:r w:rsidRPr="000045FB">
        <w:rPr>
          <w:rFonts w:ascii="Calibri" w:hAnsi="Calibri" w:cs="Calibri"/>
          <w:color w:val="000000" w:themeColor="text1"/>
          <w:sz w:val="18"/>
          <w:szCs w:val="18"/>
        </w:rPr>
        <w:t xml:space="preserve"> (2006)</w:t>
      </w:r>
      <w:r w:rsidRPr="000045FB">
        <w:rPr>
          <w:rFonts w:ascii="Calibri" w:hAnsi="Calibri" w:cs="Calibri"/>
          <w:i/>
          <w:color w:val="000000" w:themeColor="text1"/>
          <w:sz w:val="18"/>
          <w:szCs w:val="18"/>
        </w:rPr>
        <w:t xml:space="preserve">, </w:t>
      </w:r>
      <w:r w:rsidRPr="00581494">
        <w:rPr>
          <w:rFonts w:ascii="Calibri" w:hAnsi="Calibri" w:cs="Calibri"/>
          <w:color w:val="000000" w:themeColor="text1"/>
          <w:sz w:val="18"/>
          <w:szCs w:val="18"/>
        </w:rPr>
        <w:t>35; WBGA, 30137065, Bilsel Alisbah to David Knox, ‘Riverblindness – Joint Program Committee meeting in Bamako, December 6-10, 1982’, 13 December 1982.</w:t>
      </w:r>
    </w:p>
  </w:footnote>
  <w:footnote w:id="148">
    <w:p w14:paraId="39037144" w14:textId="7777777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WBGA, 30137064, Stephen Denning to Bilsel Alisb</w:t>
      </w:r>
      <w:r w:rsidRPr="000045FB">
        <w:rPr>
          <w:rFonts w:ascii="Calibri" w:hAnsi="Calibri" w:cs="Calibri"/>
          <w:color w:val="000000" w:themeColor="text1"/>
          <w:sz w:val="18"/>
          <w:szCs w:val="18"/>
        </w:rPr>
        <w:t>ah, ‘Work implications of the Onchocerciasis Control Programme (OCP)’, 19 January 1982.</w:t>
      </w:r>
    </w:p>
  </w:footnote>
  <w:footnote w:id="149">
    <w:p w14:paraId="541D0542" w14:textId="16B65D4C"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WBGA, 30137064, Stephen Denning to Bilsel Alisbah, ‘Work implications of the Onchocerciasis Control Programme (OCP)’, 19 January 1982.</w:t>
      </w:r>
    </w:p>
  </w:footnote>
  <w:footnote w:id="150">
    <w:p w14:paraId="785FA0B8" w14:textId="66E7EBA1"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WBGA, 1103302, Stephen Denning to Bilsel Alisbah, ‘Work implications of the Onchocerciasis Control Programme (OCP)’, 26 May 1982, Attachment 3. </w:t>
      </w:r>
    </w:p>
  </w:footnote>
  <w:footnote w:id="151">
    <w:p w14:paraId="07A5BAB1" w14:textId="7705D273"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WBGA, 30137064, Stephen Denning to Bilsel Alisbah, ‘Work implications of the Onchocerciasis Control Programme (OCP)’, 19 January 1982.</w:t>
      </w:r>
    </w:p>
  </w:footnote>
  <w:footnote w:id="152">
    <w:p w14:paraId="160CA48B" w14:textId="7185AB1F"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WBGA, 30137064, Stephen Denning to Bilsel Alisbah, ‘Work implications of the Onchocerciasis Control Programme (OCP)’, 19 January 1982.</w:t>
      </w:r>
    </w:p>
  </w:footnote>
  <w:footnote w:id="153">
    <w:p w14:paraId="20F0F5B4" w14:textId="77777777"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 xml:space="preserve">Transcript of oral history interview with Bernhard H. Liese </w:t>
      </w:r>
      <w:r w:rsidRPr="000045FB">
        <w:rPr>
          <w:rFonts w:ascii="Calibri" w:hAnsi="Calibri" w:cs="Calibri"/>
          <w:color w:val="000000" w:themeColor="text1"/>
          <w:sz w:val="18"/>
          <w:szCs w:val="18"/>
        </w:rPr>
        <w:t>(2008), 29; WBGA, 30137064, Stephen Denning to Bilsel Alisbah, ‘Work implications of the Onchocerciasis Control Programme (OCP)’, 19 January 1982; WBGA 30137065, David Knox to L.E. Hinkle, ‘Riverblindness: Resource Requirements’, 24 January 1983.</w:t>
      </w:r>
    </w:p>
  </w:footnote>
  <w:footnote w:id="154">
    <w:p w14:paraId="7E11331F" w14:textId="77777777"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OCP, </w:t>
      </w:r>
      <w:r w:rsidRPr="00681100">
        <w:rPr>
          <w:rFonts w:ascii="Calibri" w:hAnsi="Calibri" w:cs="Calibri"/>
          <w:i/>
          <w:color w:val="000000" w:themeColor="text1"/>
          <w:sz w:val="18"/>
          <w:szCs w:val="18"/>
        </w:rPr>
        <w:t>Succ</w:t>
      </w:r>
      <w:r w:rsidRPr="000045FB">
        <w:rPr>
          <w:rFonts w:ascii="Calibri" w:hAnsi="Calibri" w:cs="Calibri"/>
          <w:i/>
          <w:color w:val="000000" w:themeColor="text1"/>
          <w:sz w:val="18"/>
          <w:szCs w:val="18"/>
        </w:rPr>
        <w:t xml:space="preserve">ess in Africa: the Onchocerciasis Control Programme in West Africa, 1974-2002 </w:t>
      </w:r>
      <w:r w:rsidRPr="000045FB">
        <w:rPr>
          <w:rFonts w:ascii="Calibri" w:hAnsi="Calibri" w:cs="Calibri"/>
          <w:color w:val="000000" w:themeColor="text1"/>
          <w:sz w:val="18"/>
          <w:szCs w:val="18"/>
        </w:rPr>
        <w:t xml:space="preserve">(Geneva: WHO, 2002); World Bank, </w:t>
      </w:r>
      <w:r w:rsidRPr="00581494">
        <w:rPr>
          <w:rFonts w:ascii="Calibri" w:hAnsi="Calibri" w:cs="Calibri"/>
          <w:i/>
          <w:color w:val="000000" w:themeColor="text1"/>
          <w:sz w:val="18"/>
          <w:szCs w:val="18"/>
        </w:rPr>
        <w:t>Roger Chaufournier and the Onchocerciasis Program</w:t>
      </w:r>
      <w:r w:rsidRPr="00581494">
        <w:rPr>
          <w:rFonts w:ascii="Calibri" w:hAnsi="Calibri" w:cs="Calibri"/>
          <w:color w:val="000000" w:themeColor="text1"/>
          <w:sz w:val="18"/>
          <w:szCs w:val="18"/>
        </w:rPr>
        <w:t xml:space="preserve"> (Washington DC: World Bank, 1994).</w:t>
      </w:r>
    </w:p>
  </w:footnote>
  <w:footnote w:id="155">
    <w:p w14:paraId="47E1F984" w14:textId="58A39F1D" w:rsidR="00CF189D" w:rsidRPr="00E259A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At the Bank, there has typically been a distinction between programmes departments (e.g. the Africa regional department) and technical units (e.g. the Population, Health and Nutrition department). See WBGA, 30137065, ‘PHN position paper – Onchocerciasis C</w:t>
      </w:r>
      <w:r w:rsidRPr="000045FB">
        <w:rPr>
          <w:rFonts w:ascii="Calibri" w:hAnsi="Calibri" w:cs="Calibri"/>
          <w:color w:val="000000" w:themeColor="text1"/>
          <w:sz w:val="18"/>
          <w:szCs w:val="18"/>
        </w:rPr>
        <w:t>ontrol Program (OCP)’, 4 February 1983; WBGA, 30137065, André Prost and J.P. Dailly to Isharat Husain and Larry Hinkle, ‘The resource requirements for the implementation of Bank strategy on onchocerciasis control: the role of the Bank and staffing implications’, 15 February 1983; WBGA, 1103302, Stephen Denning to Bilsel Alisbah, ‘Work implications of the Onch</w:t>
      </w:r>
      <w:r w:rsidRPr="00581494">
        <w:rPr>
          <w:rFonts w:ascii="Calibri" w:hAnsi="Calibri" w:cs="Calibri"/>
          <w:color w:val="000000" w:themeColor="text1"/>
          <w:sz w:val="18"/>
          <w:szCs w:val="18"/>
        </w:rPr>
        <w:t xml:space="preserve">ocerciasis Control Programme (OCP)’, 26 May 1982; WBGA, 30304879, TA Taylor, ‘The curse of the lion’s stare: alumnus Bruce Benton ’64 leads a World Bank effort to bring an end to one of Africa’s most devastating health problems’, [s.d.]; World Bank, </w:t>
      </w:r>
      <w:r w:rsidRPr="00581494">
        <w:rPr>
          <w:rFonts w:ascii="Calibri" w:hAnsi="Calibri" w:cs="Calibri"/>
          <w:i/>
          <w:color w:val="000000" w:themeColor="text1"/>
          <w:sz w:val="18"/>
          <w:szCs w:val="18"/>
        </w:rPr>
        <w:t>Transc</w:t>
      </w:r>
      <w:r w:rsidRPr="00E259AA">
        <w:rPr>
          <w:rFonts w:ascii="Calibri" w:hAnsi="Calibri" w:cs="Calibri"/>
          <w:i/>
          <w:color w:val="000000" w:themeColor="text1"/>
          <w:sz w:val="18"/>
          <w:szCs w:val="18"/>
        </w:rPr>
        <w:t>ript of an interview with Bruce Benton</w:t>
      </w:r>
      <w:r w:rsidRPr="00E259AA">
        <w:rPr>
          <w:rFonts w:ascii="Calibri" w:hAnsi="Calibri" w:cs="Calibri"/>
          <w:color w:val="000000" w:themeColor="text1"/>
          <w:sz w:val="18"/>
          <w:szCs w:val="18"/>
        </w:rPr>
        <w:t xml:space="preserve"> (2006), 108.</w:t>
      </w:r>
    </w:p>
  </w:footnote>
  <w:footnote w:id="156">
    <w:p w14:paraId="7BF7D7E9" w14:textId="7777777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WBGA, 30137065, David Knox to L.E. Hinkle, ‘Riverblindness: resource requirements’, 24 January 1983.</w:t>
      </w:r>
    </w:p>
  </w:footnote>
  <w:footnote w:id="157">
    <w:p w14:paraId="6E230E03" w14:textId="77777777"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WBGA, 1300874, JP Dailly to Files, ‘Back to office report donors meeting 1984’, 2 November 1984.</w:t>
      </w:r>
    </w:p>
  </w:footnote>
  <w:footnote w:id="158">
    <w:p w14:paraId="51DD7968" w14:textId="14C8DA9E"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WBGA, 9082688, J. Gillette to Distribution, ‘Transfer of riverblindness (onchocerciasis) unit from AF5CO to AF4PH’, 20 January 1988; WBGA, 1865310, ‘OC</w:t>
      </w:r>
      <w:r w:rsidRPr="000045FB">
        <w:rPr>
          <w:rFonts w:ascii="Calibri" w:hAnsi="Calibri" w:cs="Calibri"/>
          <w:color w:val="000000" w:themeColor="text1"/>
          <w:sz w:val="18"/>
          <w:szCs w:val="18"/>
        </w:rPr>
        <w:t>P business plan 1995-1996-1998’, [1994].</w:t>
      </w:r>
    </w:p>
  </w:footnote>
  <w:footnote w:id="159">
    <w:p w14:paraId="3EC9E6D0" w14:textId="7777777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World Bank Group Archives Oral History Program, </w:t>
      </w:r>
      <w:r w:rsidRPr="00681100">
        <w:rPr>
          <w:rFonts w:ascii="Calibri" w:hAnsi="Calibri" w:cs="Calibri"/>
          <w:i/>
          <w:color w:val="000000" w:themeColor="text1"/>
          <w:sz w:val="18"/>
          <w:szCs w:val="18"/>
        </w:rPr>
        <w:t xml:space="preserve">Transcript of </w:t>
      </w:r>
      <w:r w:rsidRPr="000045FB">
        <w:rPr>
          <w:rFonts w:ascii="Calibri" w:hAnsi="Calibri" w:cs="Calibri"/>
          <w:i/>
          <w:color w:val="000000" w:themeColor="text1"/>
          <w:sz w:val="18"/>
          <w:szCs w:val="18"/>
        </w:rPr>
        <w:t xml:space="preserve">interview with Georges R. Delaume </w:t>
      </w:r>
      <w:r w:rsidRPr="000045FB">
        <w:rPr>
          <w:rFonts w:ascii="Calibri" w:hAnsi="Calibri" w:cs="Calibri"/>
          <w:color w:val="000000" w:themeColor="text1"/>
          <w:sz w:val="18"/>
          <w:szCs w:val="18"/>
        </w:rPr>
        <w:t>(Washington DC: World Bank, 2004), 30.</w:t>
      </w:r>
    </w:p>
  </w:footnote>
  <w:footnote w:id="160">
    <w:p w14:paraId="35F82BB2" w14:textId="77777777"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WBGA, 1082688, J. Gilette to E. Jaycox, ‘Medium term budget framework for the West African riverblindness programme’, 3 November 1988.</w:t>
      </w:r>
    </w:p>
  </w:footnote>
  <w:footnote w:id="161">
    <w:p w14:paraId="62A880F8" w14:textId="082C0742"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Bundy et al., ‘Investing in onchocerciasis control: financial management of the African Programme for Onchocerciasis C</w:t>
      </w:r>
      <w:r w:rsidRPr="000045FB">
        <w:rPr>
          <w:rFonts w:ascii="Calibri" w:hAnsi="Calibri" w:cs="Calibri"/>
          <w:color w:val="000000" w:themeColor="text1"/>
          <w:sz w:val="18"/>
          <w:szCs w:val="18"/>
        </w:rPr>
        <w:t xml:space="preserve">ontrol (APOC)’, </w:t>
      </w:r>
      <w:r w:rsidRPr="000045FB">
        <w:rPr>
          <w:rFonts w:ascii="Calibri" w:hAnsi="Calibri" w:cs="Calibri"/>
          <w:i/>
          <w:color w:val="000000" w:themeColor="text1"/>
          <w:sz w:val="18"/>
          <w:szCs w:val="18"/>
        </w:rPr>
        <w:t xml:space="preserve">PLoS Neglected Tropical Diseases </w:t>
      </w:r>
      <w:r w:rsidRPr="000045FB">
        <w:rPr>
          <w:rFonts w:ascii="Calibri" w:hAnsi="Calibri" w:cs="Calibri"/>
          <w:color w:val="000000" w:themeColor="text1"/>
          <w:sz w:val="18"/>
          <w:szCs w:val="18"/>
        </w:rPr>
        <w:t>9:5 (2015), e003508.</w:t>
      </w:r>
    </w:p>
  </w:footnote>
  <w:footnote w:id="162">
    <w:p w14:paraId="5AF9925E" w14:textId="63FFB3C1"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References considered for the global health community include 178 publications and 70 online materials (news stories, blogs, and websites). See Appendix I for a full list of sources in</w:t>
      </w:r>
      <w:r w:rsidRPr="000045FB">
        <w:rPr>
          <w:rFonts w:ascii="Calibri" w:hAnsi="Calibri" w:cs="Calibri"/>
          <w:color w:val="000000" w:themeColor="text1"/>
          <w:sz w:val="18"/>
          <w:szCs w:val="18"/>
        </w:rPr>
        <w:t>cluded in this literature review and section 2.3 for a detailed description of the search strategy.</w:t>
      </w:r>
    </w:p>
  </w:footnote>
  <w:footnote w:id="163">
    <w:p w14:paraId="33711689" w14:textId="720FCBA1"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As discussed in Chapter 10, these surges tend to correspond to major events in global health and OCP/African Programme for Onchocerciasis Control funding,</w:t>
      </w:r>
      <w:r w:rsidRPr="000045FB">
        <w:rPr>
          <w:rFonts w:ascii="Calibri" w:hAnsi="Calibri" w:cs="Calibri"/>
          <w:color w:val="000000" w:themeColor="text1"/>
          <w:sz w:val="18"/>
          <w:szCs w:val="18"/>
        </w:rPr>
        <w:t xml:space="preserve"> such as the start of the fourth OCP financial phase and launch of the African Programme (1994-1995), the end of the OCP and launch of a new African Programme financial phase (2002-2004), and the launch of the London Declaration for NTD control (2012).</w:t>
      </w:r>
    </w:p>
  </w:footnote>
  <w:footnote w:id="164">
    <w:p w14:paraId="08163200" w14:textId="64E9554B"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See Figure 2.2 for details about the search strategy and inclusion criteria.</w:t>
      </w:r>
    </w:p>
  </w:footnote>
  <w:footnote w:id="165">
    <w:p w14:paraId="3B4BAAA7" w14:textId="0E83336F"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This figure is based on formal publications and grey literature that contain references; it excludes online materials, news, and grey literature without referencing. See Appendix</w:t>
      </w:r>
      <w:r w:rsidRPr="000045FB">
        <w:rPr>
          <w:rFonts w:ascii="Calibri" w:hAnsi="Calibri" w:cs="Calibri"/>
          <w:color w:val="000000" w:themeColor="text1"/>
          <w:sz w:val="18"/>
          <w:szCs w:val="18"/>
        </w:rPr>
        <w:t xml:space="preserve"> I for a list of all sources included in this analysis.</w:t>
      </w:r>
    </w:p>
  </w:footnote>
  <w:footnote w:id="166">
    <w:p w14:paraId="4D0D6A8C" w14:textId="75C3C861"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See Figure 2.3 for details about the search strategy and inclusion criteria.</w:t>
      </w:r>
    </w:p>
  </w:footnote>
  <w:footnote w:id="167">
    <w:p w14:paraId="7019799D" w14:textId="7A8C6A5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Each publication that gave a reason for the OCP’s success was assigned to at least one rationale; publications were ass</w:t>
      </w:r>
      <w:r w:rsidRPr="000045FB">
        <w:rPr>
          <w:rFonts w:ascii="Calibri" w:hAnsi="Calibri" w:cs="Calibri"/>
          <w:color w:val="000000" w:themeColor="text1"/>
          <w:sz w:val="18"/>
          <w:szCs w:val="18"/>
        </w:rPr>
        <w:t>igned to up to four rationales each.</w:t>
      </w:r>
    </w:p>
  </w:footnote>
  <w:footnote w:id="168">
    <w:p w14:paraId="2C4AE154" w14:textId="16F58491"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This figure is based on an analysis of over 150 folders in the Bank archives, Bank publications, and publications by Bank-affiliated authors, from 1974-2017.</w:t>
      </w:r>
      <w:r w:rsidRPr="000045FB">
        <w:rPr>
          <w:rStyle w:val="FootnoteReference"/>
          <w:rFonts w:ascii="Calibri" w:hAnsi="Calibri" w:cs="Calibri"/>
          <w:color w:val="000000" w:themeColor="text1"/>
          <w:sz w:val="18"/>
          <w:szCs w:val="18"/>
        </w:rPr>
        <w:t xml:space="preserve"> </w:t>
      </w:r>
      <w:r w:rsidRPr="000045FB">
        <w:rPr>
          <w:rFonts w:ascii="Calibri" w:hAnsi="Calibri" w:cs="Calibri"/>
          <w:color w:val="000000" w:themeColor="text1"/>
          <w:sz w:val="18"/>
          <w:szCs w:val="18"/>
        </w:rPr>
        <w:t xml:space="preserve"> See Figure 2.3 for a description of the inclusion criteria, and the dissertation reference list for a list of Bank folders consulted.</w:t>
      </w:r>
    </w:p>
  </w:footnote>
  <w:footnote w:id="169">
    <w:p w14:paraId="4FB3147A" w14:textId="31DD05AB"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The inclusion criteria for this figure is given in section 2.3.</w:t>
      </w:r>
    </w:p>
  </w:footnote>
  <w:footnote w:id="170">
    <w:p w14:paraId="2819F000" w14:textId="29DAA02D" w:rsidR="00CF189D" w:rsidRPr="000045FB" w:rsidRDefault="00CF189D" w:rsidP="00B86D8C">
      <w:pPr>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These components are identified in 48 Bank publications that reference the OCP’s success, from 1982-2016; see Ch</w:t>
      </w:r>
      <w:r w:rsidRPr="000045FB">
        <w:rPr>
          <w:rFonts w:ascii="Calibri" w:hAnsi="Calibri" w:cs="Calibri"/>
          <w:color w:val="000000" w:themeColor="text1"/>
          <w:sz w:val="18"/>
          <w:szCs w:val="18"/>
        </w:rPr>
        <w:t>apter 2, section 3 for a description of the inclusion criteria. Some publications provided more than one rationale, and about one-third provided no rationale.</w:t>
      </w:r>
    </w:p>
  </w:footnote>
  <w:footnote w:id="171">
    <w:p w14:paraId="5EBB8066" w14:textId="7EE6722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This figure, and all subsequent figures in the chapter that describe components of success, are</w:t>
      </w:r>
      <w:r w:rsidRPr="000045FB">
        <w:rPr>
          <w:rFonts w:ascii="Calibri" w:hAnsi="Calibri" w:cs="Calibri"/>
          <w:color w:val="000000" w:themeColor="text1"/>
          <w:sz w:val="18"/>
          <w:szCs w:val="18"/>
        </w:rPr>
        <w:t xml:space="preserve"> based on the literature review described in section 2.3.</w:t>
      </w:r>
    </w:p>
  </w:footnote>
  <w:footnote w:id="172">
    <w:p w14:paraId="4D6DB5E4" w14:textId="008124CD"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Bump et al., ‘West Africa: defeating riverblindness – success in scaling up and lessons learned’, in </w:t>
      </w:r>
      <w:r w:rsidRPr="00681100">
        <w:rPr>
          <w:rFonts w:ascii="Calibri" w:hAnsi="Calibri" w:cs="Calibri"/>
          <w:i/>
          <w:color w:val="000000" w:themeColor="text1"/>
          <w:sz w:val="18"/>
          <w:szCs w:val="18"/>
        </w:rPr>
        <w:t>Reducing poverty, sus</w:t>
      </w:r>
      <w:r w:rsidRPr="000045FB">
        <w:rPr>
          <w:rFonts w:ascii="Calibri" w:hAnsi="Calibri" w:cs="Calibri"/>
          <w:i/>
          <w:color w:val="000000" w:themeColor="text1"/>
          <w:sz w:val="18"/>
          <w:szCs w:val="18"/>
        </w:rPr>
        <w:t xml:space="preserve">taining growth – what works, what doesn’t, and why: a global exchange for scaling up success </w:t>
      </w:r>
      <w:r w:rsidRPr="000045FB">
        <w:rPr>
          <w:rFonts w:ascii="Calibri" w:hAnsi="Calibri" w:cs="Calibri"/>
          <w:color w:val="000000" w:themeColor="text1"/>
          <w:sz w:val="18"/>
          <w:szCs w:val="18"/>
        </w:rPr>
        <w:t>(Washington DC: World Bank, 2004), 5.</w:t>
      </w:r>
    </w:p>
  </w:footnote>
  <w:footnote w:id="173">
    <w:p w14:paraId="363DB5DD" w14:textId="77777777"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WBGA, 30304919, ‘World Bank press conference: new program to wipe out riverblindness in Africa’, 5 December 1995.</w:t>
      </w:r>
    </w:p>
  </w:footnote>
  <w:footnote w:id="174">
    <w:p w14:paraId="7876C0EA" w14:textId="7777777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t>
      </w:r>
      <w:r w:rsidRPr="00681100">
        <w:rPr>
          <w:rFonts w:ascii="Calibri" w:hAnsi="Calibri" w:cs="Calibri"/>
          <w:color w:val="000000" w:themeColor="text1"/>
          <w:sz w:val="18"/>
          <w:szCs w:val="18"/>
          <w:shd w:val="clear" w:color="auto" w:fill="FFFFFF"/>
        </w:rPr>
        <w:t xml:space="preserve">Samba, </w:t>
      </w:r>
      <w:r w:rsidRPr="000045FB">
        <w:rPr>
          <w:rFonts w:ascii="Calibri" w:hAnsi="Calibri" w:cs="Calibri"/>
          <w:i/>
          <w:color w:val="000000" w:themeColor="text1"/>
          <w:sz w:val="18"/>
          <w:szCs w:val="18"/>
          <w:shd w:val="clear" w:color="auto" w:fill="FFFFFF"/>
        </w:rPr>
        <w:t xml:space="preserve">The Onchocerciasis </w:t>
      </w:r>
      <w:r w:rsidRPr="000045FB">
        <w:rPr>
          <w:rFonts w:ascii="Calibri" w:hAnsi="Calibri" w:cs="Calibri"/>
          <w:color w:val="000000" w:themeColor="text1"/>
          <w:sz w:val="18"/>
          <w:szCs w:val="18"/>
          <w:shd w:val="clear" w:color="auto" w:fill="FFFFFF"/>
        </w:rPr>
        <w:t>(1994), 61.</w:t>
      </w:r>
    </w:p>
  </w:footnote>
  <w:footnote w:id="175">
    <w:p w14:paraId="5D862E21" w14:textId="7777777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Nawaz S, ‘Riverblindness controlled’, </w:t>
      </w:r>
      <w:r w:rsidRPr="00681100">
        <w:rPr>
          <w:rFonts w:ascii="Calibri" w:hAnsi="Calibri" w:cs="Calibri"/>
          <w:i/>
          <w:color w:val="000000" w:themeColor="text1"/>
          <w:sz w:val="18"/>
          <w:szCs w:val="18"/>
        </w:rPr>
        <w:t xml:space="preserve">Finance and development </w:t>
      </w:r>
      <w:r w:rsidRPr="000045FB">
        <w:rPr>
          <w:rFonts w:ascii="Calibri" w:hAnsi="Calibri" w:cs="Calibri"/>
          <w:color w:val="000000" w:themeColor="text1"/>
          <w:sz w:val="18"/>
          <w:szCs w:val="18"/>
        </w:rPr>
        <w:t>23:2 (1986), 32-34.</w:t>
      </w:r>
    </w:p>
  </w:footnote>
  <w:footnote w:id="176">
    <w:p w14:paraId="7FA483D9" w14:textId="6351BA66"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Benton B, ‘The onchocerciasis (river blindness) programs: visionary partnerships’, </w:t>
      </w:r>
      <w:r w:rsidRPr="00681100">
        <w:rPr>
          <w:rFonts w:ascii="Calibri" w:hAnsi="Calibri" w:cs="Calibri"/>
          <w:i/>
          <w:color w:val="000000" w:themeColor="text1"/>
          <w:sz w:val="18"/>
          <w:szCs w:val="18"/>
        </w:rPr>
        <w:t xml:space="preserve">Findings </w:t>
      </w:r>
      <w:r w:rsidRPr="000045FB">
        <w:rPr>
          <w:rFonts w:ascii="Calibri" w:hAnsi="Calibri" w:cs="Calibri"/>
          <w:color w:val="000000" w:themeColor="text1"/>
          <w:sz w:val="18"/>
          <w:szCs w:val="18"/>
        </w:rPr>
        <w:t>174 (2001), 54-85.</w:t>
      </w:r>
    </w:p>
  </w:footnote>
  <w:footnote w:id="177">
    <w:p w14:paraId="65631032" w14:textId="2EC951CE" w:rsidR="00CF189D" w:rsidRPr="00E259A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See, for example, Wolfensohn J, </w:t>
      </w:r>
      <w:r w:rsidRPr="000045FB">
        <w:rPr>
          <w:rFonts w:ascii="Calibri" w:hAnsi="Calibri" w:cs="Calibri"/>
          <w:i/>
          <w:color w:val="000000" w:themeColor="text1"/>
          <w:sz w:val="18"/>
          <w:szCs w:val="18"/>
        </w:rPr>
        <w:t xml:space="preserve">A case for aid: building a consensus for development assistance </w:t>
      </w:r>
      <w:r w:rsidRPr="000045FB">
        <w:rPr>
          <w:rFonts w:ascii="Calibri" w:hAnsi="Calibri" w:cs="Calibri"/>
          <w:color w:val="000000" w:themeColor="text1"/>
          <w:sz w:val="18"/>
          <w:szCs w:val="18"/>
        </w:rPr>
        <w:t xml:space="preserve">(Washington DC: World Bank, 2002); Benton et al., ‘Partnership and promise: evolution of the African river-blindness campaigns’, </w:t>
      </w:r>
      <w:r w:rsidRPr="00581494">
        <w:rPr>
          <w:rFonts w:ascii="Calibri" w:hAnsi="Calibri" w:cs="Calibri"/>
          <w:i/>
          <w:color w:val="000000" w:themeColor="text1"/>
          <w:sz w:val="18"/>
          <w:szCs w:val="18"/>
        </w:rPr>
        <w:t xml:space="preserve">Annals of Tropical Medicine &amp; Parasitology </w:t>
      </w:r>
      <w:r w:rsidRPr="00581494">
        <w:rPr>
          <w:rFonts w:ascii="Calibri" w:hAnsi="Calibri" w:cs="Calibri"/>
          <w:color w:val="000000" w:themeColor="text1"/>
          <w:sz w:val="18"/>
          <w:szCs w:val="18"/>
        </w:rPr>
        <w:t xml:space="preserve">96:1 (2002), s5-s14; Samba, </w:t>
      </w:r>
      <w:r w:rsidRPr="00E259AA">
        <w:rPr>
          <w:rFonts w:ascii="Calibri" w:hAnsi="Calibri" w:cs="Calibri"/>
          <w:i/>
          <w:color w:val="000000" w:themeColor="text1"/>
          <w:sz w:val="18"/>
          <w:szCs w:val="18"/>
        </w:rPr>
        <w:t xml:space="preserve">The Onchocerciasis </w:t>
      </w:r>
      <w:r w:rsidRPr="00E259AA">
        <w:rPr>
          <w:rFonts w:ascii="Calibri" w:hAnsi="Calibri" w:cs="Calibri"/>
          <w:color w:val="000000" w:themeColor="text1"/>
          <w:sz w:val="18"/>
          <w:szCs w:val="18"/>
        </w:rPr>
        <w:t>(1994).</w:t>
      </w:r>
    </w:p>
  </w:footnote>
  <w:footnote w:id="178">
    <w:p w14:paraId="24712B74" w14:textId="577875A2" w:rsidR="00CF189D" w:rsidRPr="00CF189D" w:rsidRDefault="00CF189D" w:rsidP="00DD4818">
      <w:pPr>
        <w:pStyle w:val="Footnotes"/>
        <w:rPr>
          <w:rFonts w:ascii="Calibri" w:hAnsi="Calibri" w:cs="Calibri"/>
          <w:sz w:val="18"/>
          <w:szCs w:val="18"/>
          <w:lang w:eastAsia="en-GB"/>
        </w:rPr>
      </w:pPr>
      <w:r w:rsidRPr="00E259A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t>
      </w:r>
      <w:r w:rsidRPr="00CF189D">
        <w:rPr>
          <w:rFonts w:ascii="Calibri" w:hAnsi="Calibri" w:cs="Calibri"/>
          <w:sz w:val="18"/>
          <w:szCs w:val="18"/>
          <w:lang w:eastAsia="en-GB"/>
        </w:rPr>
        <w:t>Ferroni M, Reforming foreign aid: the role of international public goods (Washington DC: World Bank, 2000), 17.</w:t>
      </w:r>
    </w:p>
  </w:footnote>
  <w:footnote w:id="179">
    <w:p w14:paraId="249CBA17" w14:textId="05B49527"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Bump et al., ‘Defeating riverblindness: thirty years of success in Africa’, in Fox ML and Liebenthal R (Eds.), </w:t>
      </w:r>
      <w:r w:rsidRPr="000045FB">
        <w:rPr>
          <w:rFonts w:ascii="Calibri" w:hAnsi="Calibri" w:cs="Calibri"/>
          <w:i/>
          <w:color w:val="000000" w:themeColor="text1"/>
          <w:sz w:val="18"/>
          <w:szCs w:val="18"/>
        </w:rPr>
        <w:t>Attacking Africa’s poverty: experience from the ground</w:t>
      </w:r>
      <w:r w:rsidRPr="000045FB">
        <w:rPr>
          <w:rFonts w:ascii="Calibri" w:hAnsi="Calibri" w:cs="Calibri"/>
          <w:color w:val="000000" w:themeColor="text1"/>
          <w:sz w:val="18"/>
          <w:szCs w:val="18"/>
        </w:rPr>
        <w:t xml:space="preserve"> (Washington DC: World Bank, 2006), 285-318. </w:t>
      </w:r>
    </w:p>
  </w:footnote>
  <w:footnote w:id="180">
    <w:p w14:paraId="2B9BB9A2" w14:textId="0073094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 xml:space="preserve">The impact of river blindness control programs in Africa: better health, more wealth </w:t>
      </w:r>
      <w:r w:rsidRPr="000045FB">
        <w:rPr>
          <w:rFonts w:ascii="Calibri" w:hAnsi="Calibri" w:cs="Calibri"/>
          <w:color w:val="000000" w:themeColor="text1"/>
          <w:sz w:val="18"/>
          <w:szCs w:val="18"/>
        </w:rPr>
        <w:t>(Washington DC: World Bank, 2014).</w:t>
      </w:r>
    </w:p>
  </w:footnote>
  <w:footnote w:id="181">
    <w:p w14:paraId="7917B024" w14:textId="3E2D3194" w:rsidR="00CF189D" w:rsidRPr="00E259A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t>
      </w:r>
      <w:r w:rsidRPr="00681100">
        <w:rPr>
          <w:rFonts w:ascii="Calibri" w:hAnsi="Calibri" w:cs="Calibri"/>
          <w:color w:val="000000" w:themeColor="text1"/>
          <w:sz w:val="18"/>
          <w:szCs w:val="18"/>
          <w:shd w:val="clear" w:color="auto" w:fill="FFFFFF"/>
        </w:rPr>
        <w:t>Kim A an</w:t>
      </w:r>
      <w:r w:rsidRPr="000045FB">
        <w:rPr>
          <w:rFonts w:ascii="Calibri" w:hAnsi="Calibri" w:cs="Calibri"/>
          <w:color w:val="000000" w:themeColor="text1"/>
          <w:sz w:val="18"/>
          <w:szCs w:val="18"/>
          <w:shd w:val="clear" w:color="auto" w:fill="FFFFFF"/>
        </w:rPr>
        <w:t xml:space="preserve">d Benton B, </w:t>
      </w:r>
      <w:r w:rsidRPr="000045FB">
        <w:rPr>
          <w:rFonts w:ascii="Calibri" w:hAnsi="Calibri" w:cs="Calibri"/>
          <w:i/>
          <w:color w:val="000000" w:themeColor="text1"/>
          <w:sz w:val="18"/>
          <w:szCs w:val="18"/>
          <w:shd w:val="clear" w:color="auto" w:fill="FFFFFF"/>
        </w:rPr>
        <w:t xml:space="preserve">Cost-benefit analysis of the Onchocerciasis Control Program (OCP) </w:t>
      </w:r>
      <w:r w:rsidRPr="00581494">
        <w:rPr>
          <w:rFonts w:ascii="Calibri" w:hAnsi="Calibri" w:cs="Calibri"/>
          <w:color w:val="000000" w:themeColor="text1"/>
          <w:sz w:val="18"/>
          <w:szCs w:val="18"/>
          <w:shd w:val="clear" w:color="auto" w:fill="FFFFFF"/>
        </w:rPr>
        <w:t>(</w:t>
      </w:r>
      <w:r w:rsidRPr="00581494">
        <w:rPr>
          <w:rFonts w:ascii="Calibri" w:hAnsi="Calibri" w:cs="Calibri"/>
          <w:color w:val="000000" w:themeColor="text1"/>
          <w:sz w:val="18"/>
          <w:szCs w:val="18"/>
        </w:rPr>
        <w:t>Washington DC: World Bank</w:t>
      </w:r>
      <w:r w:rsidRPr="00581494">
        <w:rPr>
          <w:rFonts w:ascii="Calibri" w:hAnsi="Calibri" w:cs="Calibri"/>
          <w:color w:val="000000" w:themeColor="text1"/>
          <w:sz w:val="18"/>
          <w:szCs w:val="18"/>
          <w:shd w:val="clear" w:color="auto" w:fill="FFFFFF"/>
        </w:rPr>
        <w:t>, 1995).</w:t>
      </w:r>
    </w:p>
  </w:footnote>
  <w:footnote w:id="182">
    <w:p w14:paraId="0A9785B4" w14:textId="7A50C4E8"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See Figure 2.2 for a description of the inclusion criteria for this analysis.</w:t>
      </w:r>
    </w:p>
  </w:footnote>
  <w:footnote w:id="183">
    <w:p w14:paraId="09EF03A3" w14:textId="7777777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Strong E, </w:t>
      </w:r>
      <w:r w:rsidRPr="00681100">
        <w:rPr>
          <w:rFonts w:ascii="Calibri" w:hAnsi="Calibri" w:cs="Calibri"/>
          <w:i/>
          <w:color w:val="000000" w:themeColor="text1"/>
          <w:sz w:val="18"/>
          <w:szCs w:val="18"/>
        </w:rPr>
        <w:t>Analysing World Bank health funding themes in the p</w:t>
      </w:r>
      <w:r w:rsidRPr="000045FB">
        <w:rPr>
          <w:rFonts w:ascii="Calibri" w:hAnsi="Calibri" w:cs="Calibri"/>
          <w:i/>
          <w:color w:val="000000" w:themeColor="text1"/>
          <w:sz w:val="18"/>
          <w:szCs w:val="18"/>
        </w:rPr>
        <w:t xml:space="preserve">eriod of 1985-2015 </w:t>
      </w:r>
      <w:r w:rsidRPr="000045FB">
        <w:rPr>
          <w:rFonts w:ascii="Calibri" w:hAnsi="Calibri" w:cs="Calibri"/>
          <w:color w:val="000000" w:themeColor="text1"/>
          <w:sz w:val="18"/>
          <w:szCs w:val="18"/>
        </w:rPr>
        <w:t>[unpublished dissertation] (Edinburgh: University of Edinburgh School of Medicine, 2016).</w:t>
      </w:r>
    </w:p>
  </w:footnote>
  <w:footnote w:id="184">
    <w:p w14:paraId="316B367E" w14:textId="75AA41A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World Bank, ‘Health, Nutrition and Population (HNP) lending’ (online), &lt;https://datacatalog.worldbank.org/dataset/health-nutrition-population-hnp-lending&gt; [accessed</w:t>
      </w:r>
      <w:r w:rsidRPr="000045FB">
        <w:rPr>
          <w:rFonts w:ascii="Calibri" w:hAnsi="Calibri" w:cs="Calibri"/>
          <w:color w:val="000000" w:themeColor="text1"/>
          <w:sz w:val="18"/>
          <w:szCs w:val="18"/>
        </w:rPr>
        <w:t xml:space="preserve"> 1 May 2019].</w:t>
      </w:r>
    </w:p>
  </w:footnote>
  <w:footnote w:id="185">
    <w:p w14:paraId="7916550A" w14:textId="710B6DA9"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See, for instance, Fair M, </w:t>
      </w:r>
      <w:r w:rsidRPr="00681100">
        <w:rPr>
          <w:rFonts w:ascii="Calibri" w:hAnsi="Calibri" w:cs="Calibri"/>
          <w:i/>
          <w:color w:val="000000" w:themeColor="text1"/>
          <w:sz w:val="18"/>
          <w:szCs w:val="18"/>
        </w:rPr>
        <w:t xml:space="preserve">From population lending to HNP results: the evolution of the World Bank’s strategies in Health, Nutrition and Population </w:t>
      </w:r>
      <w:r w:rsidRPr="000045FB">
        <w:rPr>
          <w:rFonts w:ascii="Calibri" w:hAnsi="Calibri" w:cs="Calibri"/>
          <w:color w:val="000000" w:themeColor="text1"/>
          <w:sz w:val="18"/>
          <w:szCs w:val="18"/>
        </w:rPr>
        <w:t>(Washington DC: World Bank, 2008).</w:t>
      </w:r>
    </w:p>
  </w:footnote>
  <w:footnote w:id="186">
    <w:p w14:paraId="72D750E3" w14:textId="3935337F"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58</w:t>
      </w:r>
      <w:r w:rsidRPr="00CF189D">
        <w:rPr>
          <w:rFonts w:ascii="Calibri" w:hAnsi="Calibri" w:cs="Calibri"/>
          <w:sz w:val="18"/>
          <w:szCs w:val="18"/>
        </w:rPr>
        <w:t xml:space="preserve"> </w:t>
      </w:r>
      <w:r w:rsidRPr="00681100">
        <w:rPr>
          <w:rFonts w:ascii="Calibri" w:hAnsi="Calibri" w:cs="Calibri"/>
          <w:color w:val="000000" w:themeColor="text1"/>
          <w:sz w:val="18"/>
          <w:szCs w:val="18"/>
        </w:rPr>
        <w:t xml:space="preserve">Based on Fair M, </w:t>
      </w:r>
      <w:r w:rsidRPr="00681100">
        <w:rPr>
          <w:rFonts w:ascii="Calibri" w:hAnsi="Calibri" w:cs="Calibri"/>
          <w:i/>
          <w:color w:val="000000" w:themeColor="text1"/>
          <w:sz w:val="18"/>
          <w:szCs w:val="18"/>
        </w:rPr>
        <w:t>From population le</w:t>
      </w:r>
      <w:r w:rsidRPr="000045FB">
        <w:rPr>
          <w:rFonts w:ascii="Calibri" w:hAnsi="Calibri" w:cs="Calibri"/>
          <w:i/>
          <w:color w:val="000000" w:themeColor="text1"/>
          <w:sz w:val="18"/>
          <w:szCs w:val="18"/>
        </w:rPr>
        <w:t xml:space="preserve">nding </w:t>
      </w:r>
      <w:r w:rsidRPr="000045FB">
        <w:rPr>
          <w:rFonts w:ascii="Calibri" w:hAnsi="Calibri" w:cs="Calibri"/>
          <w:color w:val="000000" w:themeColor="text1"/>
          <w:sz w:val="18"/>
          <w:szCs w:val="18"/>
        </w:rPr>
        <w:t>(2008).</w:t>
      </w:r>
    </w:p>
  </w:footnote>
  <w:footnote w:id="187">
    <w:p w14:paraId="62217AE9" w14:textId="2E70E71E"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59</w:t>
      </w:r>
      <w:r w:rsidRPr="00CF189D">
        <w:rPr>
          <w:rFonts w:ascii="Calibri" w:hAnsi="Calibri" w:cs="Calibri"/>
          <w:sz w:val="18"/>
          <w:szCs w:val="18"/>
        </w:rPr>
        <w:t xml:space="preserve"> </w:t>
      </w:r>
      <w:r w:rsidRPr="00681100">
        <w:rPr>
          <w:rFonts w:ascii="Calibri" w:hAnsi="Calibri" w:cs="Calibri"/>
          <w:color w:val="000000" w:themeColor="text1"/>
          <w:sz w:val="18"/>
          <w:szCs w:val="18"/>
        </w:rPr>
        <w:t xml:space="preserve">Based on Fair M, </w:t>
      </w:r>
      <w:r w:rsidRPr="00681100">
        <w:rPr>
          <w:rFonts w:ascii="Calibri" w:hAnsi="Calibri" w:cs="Calibri"/>
          <w:i/>
          <w:color w:val="000000" w:themeColor="text1"/>
          <w:sz w:val="18"/>
          <w:szCs w:val="18"/>
        </w:rPr>
        <w:t xml:space="preserve">From population lending </w:t>
      </w:r>
      <w:r w:rsidRPr="000045FB">
        <w:rPr>
          <w:rFonts w:ascii="Calibri" w:hAnsi="Calibri" w:cs="Calibri"/>
          <w:color w:val="000000" w:themeColor="text1"/>
          <w:sz w:val="18"/>
          <w:szCs w:val="18"/>
        </w:rPr>
        <w:t>(2008).</w:t>
      </w:r>
    </w:p>
  </w:footnote>
  <w:footnote w:id="188">
    <w:p w14:paraId="32107860" w14:textId="70F764DC"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60</w:t>
      </w:r>
      <w:r w:rsidRPr="00CF189D">
        <w:rPr>
          <w:rFonts w:ascii="Calibri" w:hAnsi="Calibri" w:cs="Calibri"/>
          <w:sz w:val="18"/>
          <w:szCs w:val="18"/>
        </w:rPr>
        <w:t xml:space="preserve"> </w:t>
      </w:r>
      <w:r w:rsidRPr="00681100">
        <w:rPr>
          <w:rFonts w:ascii="Calibri" w:hAnsi="Calibri" w:cs="Calibri"/>
          <w:sz w:val="18"/>
          <w:szCs w:val="18"/>
        </w:rPr>
        <w:t xml:space="preserve">Most sweeping works on the Bank </w:t>
      </w:r>
      <w:r w:rsidRPr="000045FB">
        <w:rPr>
          <w:rFonts w:ascii="Calibri" w:hAnsi="Calibri" w:cs="Calibri"/>
          <w:color w:val="000000" w:themeColor="text1"/>
          <w:sz w:val="18"/>
          <w:szCs w:val="18"/>
        </w:rPr>
        <w:t xml:space="preserve">and international development have very few references to health (and position it within the wider poverty focuses of the Bank). See Kapur et al., </w:t>
      </w:r>
      <w:r w:rsidRPr="000045FB">
        <w:rPr>
          <w:rFonts w:ascii="Calibri" w:hAnsi="Calibri" w:cs="Calibri"/>
          <w:i/>
          <w:color w:val="000000" w:themeColor="text1"/>
          <w:sz w:val="18"/>
          <w:szCs w:val="18"/>
        </w:rPr>
        <w:t>The Worl</w:t>
      </w:r>
      <w:r w:rsidRPr="00581494">
        <w:rPr>
          <w:rFonts w:ascii="Calibri" w:hAnsi="Calibri" w:cs="Calibri"/>
          <w:i/>
          <w:color w:val="000000" w:themeColor="text1"/>
          <w:sz w:val="18"/>
          <w:szCs w:val="18"/>
        </w:rPr>
        <w:t xml:space="preserve">d Bank: its first half century </w:t>
      </w:r>
      <w:r w:rsidRPr="00581494">
        <w:rPr>
          <w:rFonts w:ascii="Calibri" w:hAnsi="Calibri" w:cs="Calibri"/>
          <w:color w:val="000000" w:themeColor="text1"/>
          <w:sz w:val="18"/>
          <w:szCs w:val="18"/>
        </w:rPr>
        <w:t xml:space="preserve">(Washington DC: Brookings Institution Press, 1997), especially 250-254, 265, 345-346; Rist G, </w:t>
      </w:r>
      <w:r w:rsidRPr="00581494">
        <w:rPr>
          <w:rFonts w:ascii="Calibri" w:hAnsi="Calibri" w:cs="Calibri"/>
          <w:i/>
          <w:color w:val="000000" w:themeColor="text1"/>
          <w:sz w:val="18"/>
          <w:szCs w:val="18"/>
        </w:rPr>
        <w:t xml:space="preserve">The history of development: from Western origins to global faith </w:t>
      </w:r>
      <w:r w:rsidRPr="00E259AA">
        <w:rPr>
          <w:rFonts w:ascii="Calibri" w:hAnsi="Calibri" w:cs="Calibri"/>
          <w:color w:val="000000" w:themeColor="text1"/>
          <w:sz w:val="18"/>
          <w:szCs w:val="18"/>
        </w:rPr>
        <w:t>(London: Zed Books, 1997), especially 251-255.</w:t>
      </w:r>
    </w:p>
  </w:footnote>
  <w:footnote w:id="189">
    <w:p w14:paraId="6C6D945B" w14:textId="324A245C"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61</w:t>
      </w:r>
      <w:r w:rsidRPr="00CF189D">
        <w:rPr>
          <w:rFonts w:ascii="Calibri" w:hAnsi="Calibri" w:cs="Calibri"/>
          <w:sz w:val="18"/>
          <w:szCs w:val="18"/>
        </w:rPr>
        <w:t xml:space="preserve"> </w:t>
      </w:r>
      <w:r w:rsidRPr="00681100">
        <w:rPr>
          <w:rFonts w:ascii="Calibri" w:hAnsi="Calibri" w:cs="Calibri"/>
          <w:color w:val="000000" w:themeColor="text1"/>
          <w:sz w:val="18"/>
          <w:szCs w:val="18"/>
        </w:rPr>
        <w:t>See, for instanc</w:t>
      </w:r>
      <w:r w:rsidRPr="000045FB">
        <w:rPr>
          <w:rFonts w:ascii="Calibri" w:hAnsi="Calibri" w:cs="Calibri"/>
          <w:color w:val="000000" w:themeColor="text1"/>
          <w:sz w:val="18"/>
          <w:szCs w:val="18"/>
        </w:rPr>
        <w:t xml:space="preserve">e, Measham A, ‘Health and development: the Bank’s experience’, </w:t>
      </w:r>
      <w:r w:rsidRPr="000045FB">
        <w:rPr>
          <w:rFonts w:ascii="Calibri" w:hAnsi="Calibri" w:cs="Calibri"/>
          <w:i/>
          <w:color w:val="000000" w:themeColor="text1"/>
          <w:sz w:val="18"/>
          <w:szCs w:val="18"/>
        </w:rPr>
        <w:t xml:space="preserve">Finance and Development </w:t>
      </w:r>
      <w:r w:rsidRPr="000045FB">
        <w:rPr>
          <w:rFonts w:ascii="Calibri" w:hAnsi="Calibri" w:cs="Calibri"/>
          <w:color w:val="000000" w:themeColor="text1"/>
          <w:sz w:val="18"/>
          <w:szCs w:val="18"/>
        </w:rPr>
        <w:t xml:space="preserve">23:4 (1986); Fair, </w:t>
      </w:r>
      <w:r w:rsidRPr="00581494">
        <w:rPr>
          <w:rFonts w:ascii="Calibri" w:hAnsi="Calibri" w:cs="Calibri"/>
          <w:i/>
          <w:color w:val="000000" w:themeColor="text1"/>
          <w:sz w:val="18"/>
          <w:szCs w:val="18"/>
        </w:rPr>
        <w:t xml:space="preserve">From population lending </w:t>
      </w:r>
      <w:r w:rsidRPr="00581494">
        <w:rPr>
          <w:rFonts w:ascii="Calibri" w:hAnsi="Calibri" w:cs="Calibri"/>
          <w:color w:val="000000" w:themeColor="text1"/>
          <w:sz w:val="18"/>
          <w:szCs w:val="18"/>
        </w:rPr>
        <w:t xml:space="preserve">(2008); World Bank, </w:t>
      </w:r>
      <w:r w:rsidRPr="00581494">
        <w:rPr>
          <w:rFonts w:ascii="Calibri" w:hAnsi="Calibri" w:cs="Calibri"/>
          <w:i/>
          <w:color w:val="000000" w:themeColor="text1"/>
          <w:sz w:val="18"/>
          <w:szCs w:val="18"/>
        </w:rPr>
        <w:t xml:space="preserve">Health sector policy paper </w:t>
      </w:r>
      <w:r w:rsidRPr="00E259AA">
        <w:rPr>
          <w:rFonts w:ascii="Calibri" w:hAnsi="Calibri" w:cs="Calibri"/>
          <w:color w:val="000000" w:themeColor="text1"/>
          <w:sz w:val="18"/>
          <w:szCs w:val="18"/>
        </w:rPr>
        <w:t>(Washington DC: World Bank, 1980).</w:t>
      </w:r>
    </w:p>
  </w:footnote>
  <w:footnote w:id="190">
    <w:p w14:paraId="65776993" w14:textId="5269D1F3"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62</w:t>
      </w:r>
      <w:r w:rsidRPr="00CF189D">
        <w:rPr>
          <w:rFonts w:ascii="Calibri" w:hAnsi="Calibri" w:cs="Calibri"/>
          <w:sz w:val="18"/>
          <w:szCs w:val="18"/>
        </w:rPr>
        <w:t xml:space="preserve"> </w:t>
      </w:r>
      <w:r w:rsidRPr="00681100">
        <w:rPr>
          <w:rFonts w:ascii="Calibri" w:hAnsi="Calibri" w:cs="Calibri"/>
          <w:color w:val="000000" w:themeColor="text1"/>
          <w:sz w:val="18"/>
          <w:szCs w:val="18"/>
        </w:rPr>
        <w:t>Abbasi K, ‘The World Bank and world healt</w:t>
      </w:r>
      <w:r w:rsidRPr="000045FB">
        <w:rPr>
          <w:rFonts w:ascii="Calibri" w:hAnsi="Calibri" w:cs="Calibri"/>
          <w:color w:val="000000" w:themeColor="text1"/>
          <w:sz w:val="18"/>
          <w:szCs w:val="18"/>
        </w:rPr>
        <w:t xml:space="preserve">h: changing sides’, </w:t>
      </w:r>
      <w:r w:rsidRPr="000045FB">
        <w:rPr>
          <w:rFonts w:ascii="Calibri" w:hAnsi="Calibri" w:cs="Calibri"/>
          <w:i/>
          <w:color w:val="000000" w:themeColor="text1"/>
          <w:sz w:val="18"/>
          <w:szCs w:val="18"/>
        </w:rPr>
        <w:t xml:space="preserve">BMJ </w:t>
      </w:r>
      <w:r w:rsidRPr="000045FB">
        <w:rPr>
          <w:rFonts w:ascii="Calibri" w:hAnsi="Calibri" w:cs="Calibri"/>
          <w:color w:val="000000" w:themeColor="text1"/>
          <w:sz w:val="18"/>
          <w:szCs w:val="18"/>
        </w:rPr>
        <w:t>318:7187 (1999), 865-869.</w:t>
      </w:r>
    </w:p>
  </w:footnote>
  <w:footnote w:id="191">
    <w:p w14:paraId="66068721" w14:textId="10C8F652"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63</w:t>
      </w:r>
      <w:r w:rsidRPr="00CF189D">
        <w:rPr>
          <w:rFonts w:ascii="Calibri" w:hAnsi="Calibri" w:cs="Calibri"/>
          <w:sz w:val="18"/>
          <w:szCs w:val="18"/>
        </w:rPr>
        <w:t xml:space="preserve"> </w:t>
      </w:r>
      <w:r w:rsidRPr="00681100">
        <w:rPr>
          <w:rFonts w:ascii="Calibri" w:hAnsi="Calibri" w:cs="Calibri"/>
          <w:color w:val="000000" w:themeColor="text1"/>
          <w:sz w:val="18"/>
          <w:szCs w:val="18"/>
        </w:rPr>
        <w:t xml:space="preserve">Abbasi specifically points to the role of the Bank’s 1993 </w:t>
      </w:r>
      <w:r w:rsidRPr="00681100">
        <w:rPr>
          <w:rFonts w:ascii="Calibri" w:hAnsi="Calibri" w:cs="Calibri"/>
          <w:i/>
          <w:color w:val="000000" w:themeColor="text1"/>
          <w:sz w:val="18"/>
          <w:szCs w:val="18"/>
        </w:rPr>
        <w:t>World development report</w:t>
      </w:r>
      <w:r w:rsidRPr="000045FB">
        <w:rPr>
          <w:rFonts w:ascii="Calibri" w:hAnsi="Calibri" w:cs="Calibri"/>
          <w:color w:val="000000" w:themeColor="text1"/>
          <w:sz w:val="18"/>
          <w:szCs w:val="18"/>
        </w:rPr>
        <w:t xml:space="preserve"> in putting forward DALYs and a private-sector approach to health provision. See Abbasi, ‘The World Bank’ (1999); Abbasi K, ‘Under fire’, </w:t>
      </w:r>
      <w:r w:rsidRPr="00581494">
        <w:rPr>
          <w:rFonts w:ascii="Calibri" w:hAnsi="Calibri" w:cs="Calibri"/>
          <w:i/>
          <w:color w:val="000000" w:themeColor="text1"/>
          <w:sz w:val="18"/>
          <w:szCs w:val="18"/>
        </w:rPr>
        <w:t xml:space="preserve">BMJ </w:t>
      </w:r>
      <w:r w:rsidRPr="00581494">
        <w:rPr>
          <w:rFonts w:ascii="Calibri" w:hAnsi="Calibri" w:cs="Calibri"/>
          <w:color w:val="000000" w:themeColor="text1"/>
          <w:sz w:val="18"/>
          <w:szCs w:val="18"/>
        </w:rPr>
        <w:t>318:7189 (1999), 1003-1006.</w:t>
      </w:r>
    </w:p>
  </w:footnote>
  <w:footnote w:id="192">
    <w:p w14:paraId="249D97B9" w14:textId="3B104B83"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64</w:t>
      </w:r>
      <w:r w:rsidRPr="00CF189D">
        <w:rPr>
          <w:rFonts w:ascii="Calibri" w:hAnsi="Calibri" w:cs="Calibri"/>
          <w:sz w:val="18"/>
          <w:szCs w:val="18"/>
        </w:rPr>
        <w:t xml:space="preserve"> </w:t>
      </w:r>
      <w:r w:rsidRPr="00681100">
        <w:rPr>
          <w:rFonts w:ascii="Calibri" w:hAnsi="Calibri" w:cs="Calibri"/>
          <w:color w:val="000000" w:themeColor="text1"/>
          <w:sz w:val="18"/>
          <w:szCs w:val="18"/>
        </w:rPr>
        <w:t>Ruger, ‘The changing role’ (2005).</w:t>
      </w:r>
    </w:p>
  </w:footnote>
  <w:footnote w:id="193">
    <w:p w14:paraId="68F74375" w14:textId="1ADBB530"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65</w:t>
      </w:r>
      <w:r w:rsidRPr="00CF189D">
        <w:rPr>
          <w:rFonts w:ascii="Calibri" w:hAnsi="Calibri" w:cs="Calibri"/>
          <w:sz w:val="18"/>
          <w:szCs w:val="18"/>
        </w:rPr>
        <w:t xml:space="preserve"> </w:t>
      </w:r>
      <w:r w:rsidRPr="00681100">
        <w:rPr>
          <w:rFonts w:ascii="Calibri" w:hAnsi="Calibri" w:cs="Calibri"/>
          <w:color w:val="000000" w:themeColor="text1"/>
          <w:sz w:val="18"/>
          <w:szCs w:val="18"/>
        </w:rPr>
        <w:t xml:space="preserve">Johnston T and Stout S, </w:t>
      </w:r>
      <w:r w:rsidRPr="00681100">
        <w:rPr>
          <w:rFonts w:ascii="Calibri" w:hAnsi="Calibri" w:cs="Calibri"/>
          <w:i/>
          <w:color w:val="000000" w:themeColor="text1"/>
          <w:sz w:val="18"/>
          <w:szCs w:val="18"/>
        </w:rPr>
        <w:t xml:space="preserve">Investing in health: development effectiveness in the health, nutrition, and population sector </w:t>
      </w:r>
      <w:r w:rsidRPr="000045FB">
        <w:rPr>
          <w:rFonts w:ascii="Calibri" w:hAnsi="Calibri" w:cs="Calibri"/>
          <w:color w:val="000000" w:themeColor="text1"/>
          <w:sz w:val="18"/>
          <w:szCs w:val="18"/>
        </w:rPr>
        <w:t>(Washington DC: World Bank, 1999).</w:t>
      </w:r>
    </w:p>
  </w:footnote>
  <w:footnote w:id="194">
    <w:p w14:paraId="705ABBCA" w14:textId="3257D20D"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66</w:t>
      </w:r>
      <w:r w:rsidRPr="00CF189D">
        <w:rPr>
          <w:rFonts w:ascii="Calibri" w:hAnsi="Calibri" w:cs="Calibri"/>
          <w:sz w:val="18"/>
          <w:szCs w:val="18"/>
        </w:rPr>
        <w:t xml:space="preserve"> Stein H, </w:t>
      </w:r>
      <w:r w:rsidRPr="00CF189D">
        <w:rPr>
          <w:rFonts w:ascii="Calibri" w:hAnsi="Calibri" w:cs="Calibri"/>
          <w:i/>
          <w:iCs/>
          <w:sz w:val="18"/>
          <w:szCs w:val="18"/>
        </w:rPr>
        <w:t xml:space="preserve">Beyond the World Bank agenda: an institutional approach to development </w:t>
      </w:r>
      <w:r w:rsidRPr="00CF189D">
        <w:rPr>
          <w:rFonts w:ascii="Calibri" w:hAnsi="Calibri" w:cs="Calibri"/>
          <w:sz w:val="18"/>
          <w:szCs w:val="18"/>
        </w:rPr>
        <w:t>(Chicago: University of Chicago Press, 2008), 207-248.</w:t>
      </w:r>
    </w:p>
  </w:footnote>
  <w:footnote w:id="195">
    <w:p w14:paraId="411295CA" w14:textId="50C93189"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67</w:t>
      </w:r>
      <w:r w:rsidRPr="00CF189D">
        <w:rPr>
          <w:rFonts w:ascii="Calibri" w:hAnsi="Calibri" w:cs="Calibri"/>
          <w:sz w:val="18"/>
          <w:szCs w:val="18"/>
        </w:rPr>
        <w:t xml:space="preserve"> </w:t>
      </w:r>
      <w:r w:rsidRPr="00CF189D">
        <w:rPr>
          <w:rFonts w:ascii="Calibri" w:hAnsi="Calibri" w:cs="Calibri"/>
          <w:sz w:val="18"/>
          <w:szCs w:val="18"/>
          <w:lang w:val="en-US"/>
        </w:rPr>
        <w:t xml:space="preserve">Stein, </w:t>
      </w:r>
      <w:r w:rsidRPr="00CF189D">
        <w:rPr>
          <w:rFonts w:ascii="Calibri" w:hAnsi="Calibri" w:cs="Calibri"/>
          <w:i/>
          <w:iCs/>
          <w:sz w:val="18"/>
          <w:szCs w:val="18"/>
          <w:lang w:val="en-US"/>
        </w:rPr>
        <w:t>Beyond the World Bank</w:t>
      </w:r>
      <w:r w:rsidRPr="00CF189D">
        <w:rPr>
          <w:rFonts w:ascii="Calibri" w:hAnsi="Calibri" w:cs="Calibri"/>
          <w:sz w:val="18"/>
          <w:szCs w:val="18"/>
          <w:lang w:val="en-US"/>
        </w:rPr>
        <w:t xml:space="preserve"> (2008), 219-220.</w:t>
      </w:r>
    </w:p>
  </w:footnote>
  <w:footnote w:id="196">
    <w:p w14:paraId="7D5A9C11" w14:textId="0EB327DB"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68</w:t>
      </w:r>
      <w:r w:rsidRPr="00CF189D">
        <w:rPr>
          <w:rFonts w:ascii="Calibri" w:hAnsi="Calibri" w:cs="Calibri"/>
          <w:sz w:val="18"/>
          <w:szCs w:val="18"/>
        </w:rPr>
        <w:t xml:space="preserve"> </w:t>
      </w:r>
      <w:r w:rsidRPr="00681100">
        <w:rPr>
          <w:rFonts w:ascii="Calibri" w:hAnsi="Calibri" w:cs="Calibri"/>
          <w:color w:val="000000" w:themeColor="text1"/>
          <w:sz w:val="18"/>
          <w:szCs w:val="18"/>
        </w:rPr>
        <w:t>Harman S, ‘The World Bank and health’</w:t>
      </w:r>
      <w:r w:rsidRPr="00681100">
        <w:rPr>
          <w:rFonts w:ascii="Calibri" w:hAnsi="Calibri" w:cs="Calibri"/>
          <w:i/>
          <w:color w:val="000000" w:themeColor="text1"/>
          <w:sz w:val="18"/>
          <w:szCs w:val="18"/>
        </w:rPr>
        <w:t xml:space="preserve"> </w:t>
      </w:r>
      <w:r w:rsidRPr="000045FB">
        <w:rPr>
          <w:rFonts w:ascii="Calibri" w:hAnsi="Calibri" w:cs="Calibri"/>
          <w:color w:val="000000" w:themeColor="text1"/>
          <w:sz w:val="18"/>
          <w:szCs w:val="18"/>
        </w:rPr>
        <w:t>(2009).</w:t>
      </w:r>
    </w:p>
  </w:footnote>
  <w:footnote w:id="197">
    <w:p w14:paraId="5BF49328" w14:textId="34845FE7"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69</w:t>
      </w:r>
      <w:r w:rsidRPr="00CF189D">
        <w:rPr>
          <w:rFonts w:ascii="Calibri" w:hAnsi="Calibri" w:cs="Calibri"/>
          <w:sz w:val="18"/>
          <w:szCs w:val="18"/>
        </w:rPr>
        <w:t xml:space="preserve"> </w:t>
      </w:r>
      <w:r w:rsidRPr="00681100">
        <w:rPr>
          <w:rFonts w:ascii="Calibri" w:hAnsi="Calibri" w:cs="Calibri"/>
          <w:color w:val="000000" w:themeColor="text1"/>
          <w:sz w:val="18"/>
          <w:szCs w:val="18"/>
        </w:rPr>
        <w:t>See Harman S, ‘The World Bank: failing’ (2007).</w:t>
      </w:r>
    </w:p>
  </w:footnote>
  <w:footnote w:id="198">
    <w:p w14:paraId="43998E3C" w14:textId="27B3EC21"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70</w:t>
      </w:r>
      <w:r w:rsidRPr="00CF189D">
        <w:rPr>
          <w:rFonts w:ascii="Calibri" w:hAnsi="Calibri" w:cs="Calibri"/>
          <w:sz w:val="18"/>
          <w:szCs w:val="18"/>
        </w:rPr>
        <w:t xml:space="preserve"> </w:t>
      </w:r>
      <w:r w:rsidRPr="00681100">
        <w:rPr>
          <w:rFonts w:ascii="Calibri" w:hAnsi="Calibri" w:cs="Calibri"/>
          <w:color w:val="000000" w:themeColor="text1"/>
          <w:sz w:val="18"/>
          <w:szCs w:val="18"/>
        </w:rPr>
        <w:t xml:space="preserve">Brennan K, ‘Review of </w:t>
      </w:r>
      <w:r w:rsidRPr="00681100">
        <w:rPr>
          <w:rFonts w:ascii="Calibri" w:hAnsi="Calibri" w:cs="Calibri"/>
          <w:i/>
          <w:color w:val="000000" w:themeColor="text1"/>
          <w:sz w:val="18"/>
          <w:szCs w:val="18"/>
        </w:rPr>
        <w:t xml:space="preserve">The World Bank and HIV/AIDS: setting a global agenda </w:t>
      </w:r>
      <w:r w:rsidRPr="000045FB">
        <w:rPr>
          <w:rFonts w:ascii="Calibri" w:hAnsi="Calibri" w:cs="Calibri"/>
          <w:color w:val="000000" w:themeColor="text1"/>
          <w:sz w:val="18"/>
          <w:szCs w:val="18"/>
        </w:rPr>
        <w:t xml:space="preserve">by Sophie Harman’, </w:t>
      </w:r>
      <w:r w:rsidRPr="000045FB">
        <w:rPr>
          <w:rFonts w:ascii="Calibri" w:hAnsi="Calibri" w:cs="Calibri"/>
          <w:i/>
          <w:color w:val="000000" w:themeColor="text1"/>
          <w:sz w:val="18"/>
          <w:szCs w:val="18"/>
        </w:rPr>
        <w:t xml:space="preserve">Journal of Modern African Studies </w:t>
      </w:r>
      <w:r w:rsidRPr="000045FB">
        <w:rPr>
          <w:rFonts w:ascii="Calibri" w:hAnsi="Calibri" w:cs="Calibri"/>
          <w:color w:val="000000" w:themeColor="text1"/>
          <w:sz w:val="18"/>
          <w:szCs w:val="18"/>
        </w:rPr>
        <w:t>49:2 (2011), 340-341.</w:t>
      </w:r>
    </w:p>
  </w:footnote>
  <w:footnote w:id="199">
    <w:p w14:paraId="0294FAF4" w14:textId="183B3F65"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t>64</w:t>
      </w:r>
      <w:r w:rsidRPr="00681100">
        <w:rPr>
          <w:rFonts w:ascii="Calibri" w:hAnsi="Calibri" w:cs="Calibri"/>
          <w:color w:val="000000" w:themeColor="text1"/>
          <w:sz w:val="18"/>
          <w:szCs w:val="18"/>
        </w:rPr>
        <w:t xml:space="preserve"> Sridhar, </w:t>
      </w:r>
      <w:r w:rsidRPr="000045FB">
        <w:rPr>
          <w:rFonts w:ascii="Calibri" w:hAnsi="Calibri" w:cs="Calibri"/>
          <w:i/>
          <w:color w:val="000000" w:themeColor="text1"/>
          <w:sz w:val="18"/>
          <w:szCs w:val="18"/>
        </w:rPr>
        <w:t xml:space="preserve">The battle </w:t>
      </w:r>
      <w:r w:rsidRPr="000045FB">
        <w:rPr>
          <w:rFonts w:ascii="Calibri" w:hAnsi="Calibri" w:cs="Calibri"/>
          <w:color w:val="000000" w:themeColor="text1"/>
          <w:sz w:val="18"/>
          <w:szCs w:val="18"/>
        </w:rPr>
        <w:t xml:space="preserve">(2008), 99; Sridhar D, ‘Health policy: from the clinical to the economic gaze’, </w:t>
      </w:r>
      <w:r w:rsidRPr="00581494">
        <w:rPr>
          <w:rFonts w:ascii="Calibri" w:hAnsi="Calibri" w:cs="Calibri"/>
          <w:i/>
          <w:color w:val="000000" w:themeColor="text1"/>
          <w:sz w:val="18"/>
          <w:szCs w:val="18"/>
        </w:rPr>
        <w:t xml:space="preserve">The Lancet </w:t>
      </w:r>
      <w:r w:rsidRPr="00581494">
        <w:rPr>
          <w:rFonts w:ascii="Calibri" w:hAnsi="Calibri" w:cs="Calibri"/>
          <w:color w:val="000000" w:themeColor="text1"/>
          <w:sz w:val="18"/>
          <w:szCs w:val="18"/>
        </w:rPr>
        <w:t>378:9807 (2011), 1909.</w:t>
      </w:r>
    </w:p>
  </w:footnote>
  <w:footnote w:id="200">
    <w:p w14:paraId="48E1E60E" w14:textId="14A96DE7"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71</w:t>
      </w:r>
      <w:r w:rsidRPr="00CF189D">
        <w:rPr>
          <w:rFonts w:ascii="Calibri" w:hAnsi="Calibri" w:cs="Calibri"/>
          <w:sz w:val="18"/>
          <w:szCs w:val="18"/>
        </w:rPr>
        <w:t xml:space="preserve"> </w:t>
      </w:r>
      <w:r w:rsidRPr="00681100">
        <w:rPr>
          <w:rFonts w:ascii="Calibri" w:hAnsi="Calibri" w:cs="Calibri"/>
          <w:color w:val="000000" w:themeColor="text1"/>
          <w:sz w:val="18"/>
          <w:szCs w:val="18"/>
        </w:rPr>
        <w:t xml:space="preserve">Sridhar, </w:t>
      </w:r>
      <w:r w:rsidRPr="00681100">
        <w:rPr>
          <w:rFonts w:ascii="Calibri" w:hAnsi="Calibri" w:cs="Calibri"/>
          <w:i/>
          <w:color w:val="000000" w:themeColor="text1"/>
          <w:sz w:val="18"/>
          <w:szCs w:val="18"/>
        </w:rPr>
        <w:t xml:space="preserve">The battle </w:t>
      </w:r>
      <w:r w:rsidRPr="000045FB">
        <w:rPr>
          <w:rFonts w:ascii="Calibri" w:hAnsi="Calibri" w:cs="Calibri"/>
          <w:color w:val="000000" w:themeColor="text1"/>
          <w:sz w:val="18"/>
          <w:szCs w:val="18"/>
        </w:rPr>
        <w:t>(2008)</w:t>
      </w:r>
      <w:r w:rsidRPr="000045FB">
        <w:rPr>
          <w:rFonts w:ascii="Calibri" w:hAnsi="Calibri" w:cs="Calibri"/>
          <w:i/>
          <w:color w:val="000000" w:themeColor="text1"/>
          <w:sz w:val="18"/>
          <w:szCs w:val="18"/>
        </w:rPr>
        <w:t xml:space="preserve">, </w:t>
      </w:r>
      <w:r w:rsidRPr="000045FB">
        <w:rPr>
          <w:rFonts w:ascii="Calibri" w:hAnsi="Calibri" w:cs="Calibri"/>
          <w:color w:val="000000" w:themeColor="text1"/>
          <w:sz w:val="18"/>
          <w:szCs w:val="18"/>
        </w:rPr>
        <w:t>100.</w:t>
      </w:r>
    </w:p>
  </w:footnote>
  <w:footnote w:id="201">
    <w:p w14:paraId="158C2791" w14:textId="3B05F983"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72</w:t>
      </w:r>
      <w:r w:rsidRPr="00CF189D">
        <w:rPr>
          <w:rFonts w:ascii="Calibri" w:hAnsi="Calibri" w:cs="Calibri"/>
          <w:sz w:val="18"/>
          <w:szCs w:val="18"/>
        </w:rPr>
        <w:t xml:space="preserve"> </w:t>
      </w:r>
      <w:r w:rsidRPr="00681100">
        <w:rPr>
          <w:rFonts w:ascii="Calibri" w:hAnsi="Calibri" w:cs="Calibri"/>
          <w:color w:val="000000" w:themeColor="text1"/>
          <w:sz w:val="18"/>
          <w:szCs w:val="18"/>
        </w:rPr>
        <w:t xml:space="preserve">Sridhar et al., ‘World Bank’s financing, priorities, and lending structures for global health’, </w:t>
      </w:r>
      <w:r w:rsidRPr="00681100">
        <w:rPr>
          <w:rFonts w:ascii="Calibri" w:hAnsi="Calibri" w:cs="Calibri"/>
          <w:i/>
          <w:color w:val="000000" w:themeColor="text1"/>
          <w:sz w:val="18"/>
          <w:szCs w:val="18"/>
        </w:rPr>
        <w:t xml:space="preserve">BMJ </w:t>
      </w:r>
      <w:r w:rsidRPr="000045FB">
        <w:rPr>
          <w:rFonts w:ascii="Calibri" w:hAnsi="Calibri" w:cs="Calibri"/>
          <w:color w:val="000000" w:themeColor="text1"/>
          <w:sz w:val="18"/>
          <w:szCs w:val="18"/>
        </w:rPr>
        <w:t xml:space="preserve">358 (2017): j3339; Clinton C and Sridhar D, ‘Who pays for cooperation in global health? A comparative analysis of WHO, the World Bank, the Global Fund to Fight HIV/AIDS, Tuberculosis and Malaria, and Gavi, the Vaccine Alliance’, </w:t>
      </w:r>
      <w:r w:rsidRPr="00581494">
        <w:rPr>
          <w:rFonts w:ascii="Calibri" w:hAnsi="Calibri" w:cs="Calibri"/>
          <w:i/>
          <w:color w:val="000000" w:themeColor="text1"/>
          <w:sz w:val="18"/>
          <w:szCs w:val="18"/>
        </w:rPr>
        <w:t xml:space="preserve">Lancet </w:t>
      </w:r>
      <w:r w:rsidRPr="00581494">
        <w:rPr>
          <w:rFonts w:ascii="Calibri" w:hAnsi="Calibri" w:cs="Calibri"/>
          <w:color w:val="000000" w:themeColor="text1"/>
          <w:sz w:val="18"/>
          <w:szCs w:val="18"/>
        </w:rPr>
        <w:t>390:11091 (2017), 324-332; Tichenor M and Sridhar D, ‘Universal heal</w:t>
      </w:r>
      <w:r w:rsidRPr="00E259AA">
        <w:rPr>
          <w:rFonts w:ascii="Calibri" w:hAnsi="Calibri" w:cs="Calibri"/>
          <w:color w:val="000000" w:themeColor="text1"/>
          <w:sz w:val="18"/>
          <w:szCs w:val="18"/>
        </w:rPr>
        <w:t xml:space="preserve">th coverage, health system strengthening, and the World Bank’, </w:t>
      </w:r>
      <w:r w:rsidRPr="00E259AA">
        <w:rPr>
          <w:rFonts w:ascii="Calibri" w:hAnsi="Calibri" w:cs="Calibri"/>
          <w:i/>
          <w:color w:val="000000" w:themeColor="text1"/>
          <w:sz w:val="18"/>
          <w:szCs w:val="18"/>
        </w:rPr>
        <w:t xml:space="preserve">BMJ </w:t>
      </w:r>
      <w:r w:rsidRPr="00E259AA">
        <w:rPr>
          <w:rFonts w:ascii="Calibri" w:hAnsi="Calibri" w:cs="Calibri"/>
          <w:color w:val="000000" w:themeColor="text1"/>
          <w:sz w:val="18"/>
          <w:szCs w:val="18"/>
        </w:rPr>
        <w:t>358 (2017), j3347.</w:t>
      </w:r>
    </w:p>
  </w:footnote>
  <w:footnote w:id="202">
    <w:p w14:paraId="356770A1" w14:textId="3922F9D0"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73</w:t>
      </w:r>
      <w:r w:rsidRPr="00CF189D">
        <w:rPr>
          <w:rFonts w:ascii="Calibri" w:hAnsi="Calibri" w:cs="Calibri"/>
          <w:sz w:val="18"/>
          <w:szCs w:val="18"/>
        </w:rPr>
        <w:t xml:space="preserve"> </w:t>
      </w:r>
      <w:r w:rsidRPr="00681100">
        <w:rPr>
          <w:rFonts w:ascii="Calibri" w:hAnsi="Calibri" w:cs="Calibri"/>
          <w:color w:val="000000" w:themeColor="text1"/>
          <w:sz w:val="18"/>
          <w:szCs w:val="18"/>
        </w:rPr>
        <w:t xml:space="preserve">See </w:t>
      </w:r>
      <w:r w:rsidRPr="00681100">
        <w:rPr>
          <w:rFonts w:ascii="Calibri" w:hAnsi="Calibri" w:cs="Calibri"/>
          <w:color w:val="000000" w:themeColor="text1"/>
          <w:sz w:val="18"/>
          <w:szCs w:val="18"/>
          <w:shd w:val="clear" w:color="auto" w:fill="FFFFFF"/>
        </w:rPr>
        <w:t>Ruger JP, ‘The changing role’ (2005); Ruger JP, ‘Health and development’, </w:t>
      </w:r>
      <w:r w:rsidRPr="000045FB">
        <w:rPr>
          <w:rFonts w:ascii="Calibri" w:hAnsi="Calibri" w:cs="Calibri"/>
          <w:i/>
          <w:iCs/>
          <w:color w:val="000000" w:themeColor="text1"/>
          <w:sz w:val="18"/>
          <w:szCs w:val="18"/>
          <w:shd w:val="clear" w:color="auto" w:fill="FFFFFF"/>
        </w:rPr>
        <w:t>Lancet</w:t>
      </w:r>
      <w:r w:rsidRPr="000045FB">
        <w:rPr>
          <w:rFonts w:ascii="Calibri" w:hAnsi="Calibri" w:cs="Calibri"/>
          <w:color w:val="000000" w:themeColor="text1"/>
          <w:sz w:val="18"/>
          <w:szCs w:val="18"/>
          <w:shd w:val="clear" w:color="auto" w:fill="FFFFFF"/>
        </w:rPr>
        <w:t>, </w:t>
      </w:r>
      <w:r w:rsidRPr="000045FB">
        <w:rPr>
          <w:rFonts w:ascii="Calibri" w:hAnsi="Calibri" w:cs="Calibri"/>
          <w:iCs/>
          <w:color w:val="000000" w:themeColor="text1"/>
          <w:sz w:val="18"/>
          <w:szCs w:val="18"/>
          <w:shd w:val="clear" w:color="auto" w:fill="FFFFFF"/>
        </w:rPr>
        <w:t>362</w:t>
      </w:r>
      <w:r w:rsidRPr="00581494">
        <w:rPr>
          <w:rFonts w:ascii="Calibri" w:hAnsi="Calibri" w:cs="Calibri"/>
          <w:color w:val="000000" w:themeColor="text1"/>
          <w:sz w:val="18"/>
          <w:szCs w:val="18"/>
          <w:shd w:val="clear" w:color="auto" w:fill="FFFFFF"/>
        </w:rPr>
        <w:t>:9385 (2003), 678; Ruger JP, ‘Global health governance and the World Bank’, </w:t>
      </w:r>
      <w:r w:rsidRPr="00581494">
        <w:rPr>
          <w:rFonts w:ascii="Calibri" w:hAnsi="Calibri" w:cs="Calibri"/>
          <w:i/>
          <w:iCs/>
          <w:color w:val="000000" w:themeColor="text1"/>
          <w:sz w:val="18"/>
          <w:szCs w:val="18"/>
          <w:shd w:val="clear" w:color="auto" w:fill="FFFFFF"/>
        </w:rPr>
        <w:t>La</w:t>
      </w:r>
      <w:r w:rsidRPr="00E259AA">
        <w:rPr>
          <w:rFonts w:ascii="Calibri" w:hAnsi="Calibri" w:cs="Calibri"/>
          <w:i/>
          <w:iCs/>
          <w:color w:val="000000" w:themeColor="text1"/>
          <w:sz w:val="18"/>
          <w:szCs w:val="18"/>
          <w:shd w:val="clear" w:color="auto" w:fill="FFFFFF"/>
        </w:rPr>
        <w:t>ncet</w:t>
      </w:r>
      <w:r w:rsidRPr="00E259AA">
        <w:rPr>
          <w:rFonts w:ascii="Calibri" w:hAnsi="Calibri" w:cs="Calibri"/>
          <w:color w:val="000000" w:themeColor="text1"/>
          <w:sz w:val="18"/>
          <w:szCs w:val="18"/>
          <w:shd w:val="clear" w:color="auto" w:fill="FFFFFF"/>
        </w:rPr>
        <w:t>, </w:t>
      </w:r>
      <w:r w:rsidRPr="00E259AA">
        <w:rPr>
          <w:rFonts w:ascii="Calibri" w:hAnsi="Calibri" w:cs="Calibri"/>
          <w:iCs/>
          <w:color w:val="000000" w:themeColor="text1"/>
          <w:sz w:val="18"/>
          <w:szCs w:val="18"/>
          <w:shd w:val="clear" w:color="auto" w:fill="FFFFFF"/>
        </w:rPr>
        <w:t>370</w:t>
      </w:r>
      <w:r w:rsidRPr="00E259AA">
        <w:rPr>
          <w:rFonts w:ascii="Calibri" w:hAnsi="Calibri" w:cs="Calibri"/>
          <w:color w:val="000000" w:themeColor="text1"/>
          <w:sz w:val="18"/>
          <w:szCs w:val="18"/>
          <w:shd w:val="clear" w:color="auto" w:fill="FFFFFF"/>
        </w:rPr>
        <w:t xml:space="preserve">:9597 (2007), 1471; Harman S, </w:t>
      </w:r>
      <w:r w:rsidRPr="00E259AA">
        <w:rPr>
          <w:rFonts w:ascii="Calibri" w:hAnsi="Calibri" w:cs="Calibri"/>
          <w:i/>
          <w:iCs/>
          <w:color w:val="000000" w:themeColor="text1"/>
          <w:sz w:val="18"/>
          <w:szCs w:val="18"/>
          <w:shd w:val="clear" w:color="auto" w:fill="FFFFFF"/>
        </w:rPr>
        <w:t>The World Bank and HIV/AIDS: setting a global agenda</w:t>
      </w:r>
      <w:r w:rsidRPr="00E259AA">
        <w:rPr>
          <w:rFonts w:ascii="Calibri" w:hAnsi="Calibri" w:cs="Calibri"/>
          <w:color w:val="000000" w:themeColor="text1"/>
          <w:sz w:val="18"/>
          <w:szCs w:val="18"/>
          <w:shd w:val="clear" w:color="auto" w:fill="FFFFFF"/>
        </w:rPr>
        <w:t xml:space="preserve"> (New York: Routledge, 2010); Harman S, </w:t>
      </w:r>
      <w:r w:rsidRPr="00E259AA">
        <w:rPr>
          <w:rFonts w:ascii="Calibri" w:hAnsi="Calibri" w:cs="Calibri"/>
          <w:i/>
          <w:iCs/>
          <w:color w:val="000000" w:themeColor="text1"/>
          <w:sz w:val="18"/>
          <w:szCs w:val="18"/>
          <w:shd w:val="clear" w:color="auto" w:fill="FFFFFF"/>
        </w:rPr>
        <w:t xml:space="preserve">Global health governance </w:t>
      </w:r>
      <w:r w:rsidRPr="00E259AA">
        <w:rPr>
          <w:rFonts w:ascii="Calibri" w:hAnsi="Calibri" w:cs="Calibri"/>
          <w:iCs/>
          <w:color w:val="000000" w:themeColor="text1"/>
          <w:sz w:val="18"/>
          <w:szCs w:val="18"/>
          <w:shd w:val="clear" w:color="auto" w:fill="FFFFFF"/>
        </w:rPr>
        <w:t>(New York:</w:t>
      </w:r>
      <w:r w:rsidRPr="00E259AA">
        <w:rPr>
          <w:rFonts w:ascii="Calibri" w:hAnsi="Calibri" w:cs="Calibri"/>
          <w:color w:val="000000" w:themeColor="text1"/>
          <w:sz w:val="18"/>
          <w:szCs w:val="18"/>
          <w:shd w:val="clear" w:color="auto" w:fill="FFFFFF"/>
        </w:rPr>
        <w:t xml:space="preserve"> Routledge, 2012); Sridhar, </w:t>
      </w:r>
      <w:r w:rsidRPr="00E259AA">
        <w:rPr>
          <w:rFonts w:ascii="Calibri" w:hAnsi="Calibri" w:cs="Calibri"/>
          <w:i/>
          <w:color w:val="000000" w:themeColor="text1"/>
          <w:sz w:val="18"/>
          <w:szCs w:val="18"/>
          <w:shd w:val="clear" w:color="auto" w:fill="FFFFFF"/>
        </w:rPr>
        <w:t xml:space="preserve">The battle </w:t>
      </w:r>
      <w:r w:rsidRPr="00E259AA">
        <w:rPr>
          <w:rFonts w:ascii="Calibri" w:hAnsi="Calibri" w:cs="Calibri"/>
          <w:color w:val="000000" w:themeColor="text1"/>
          <w:sz w:val="18"/>
          <w:szCs w:val="18"/>
          <w:shd w:val="clear" w:color="auto" w:fill="FFFFFF"/>
        </w:rPr>
        <w:t>(2008)</w:t>
      </w:r>
      <w:r w:rsidRPr="00DE5E29">
        <w:rPr>
          <w:rFonts w:ascii="Calibri" w:hAnsi="Calibri" w:cs="Calibri"/>
          <w:i/>
          <w:color w:val="000000" w:themeColor="text1"/>
          <w:sz w:val="18"/>
          <w:szCs w:val="18"/>
          <w:shd w:val="clear" w:color="auto" w:fill="FFFFFF"/>
        </w:rPr>
        <w:t xml:space="preserve">; </w:t>
      </w:r>
      <w:r w:rsidRPr="00DE5E29">
        <w:rPr>
          <w:rFonts w:ascii="Calibri" w:hAnsi="Calibri" w:cs="Calibri"/>
          <w:color w:val="000000" w:themeColor="text1"/>
          <w:sz w:val="18"/>
          <w:szCs w:val="18"/>
          <w:shd w:val="clear" w:color="auto" w:fill="FFFFFF"/>
        </w:rPr>
        <w:t xml:space="preserve">Anand S and Sen A, ‘Human development and economic sustainability’, </w:t>
      </w:r>
      <w:r w:rsidRPr="00DE5E29">
        <w:rPr>
          <w:rFonts w:ascii="Calibri" w:hAnsi="Calibri" w:cs="Calibri"/>
          <w:i/>
          <w:color w:val="000000" w:themeColor="text1"/>
          <w:sz w:val="18"/>
          <w:szCs w:val="18"/>
          <w:shd w:val="clear" w:color="auto" w:fill="FFFFFF"/>
        </w:rPr>
        <w:t>World Development</w:t>
      </w:r>
      <w:r w:rsidRPr="00DE5E29">
        <w:rPr>
          <w:rFonts w:ascii="Calibri" w:hAnsi="Calibri" w:cs="Calibri"/>
          <w:color w:val="000000" w:themeColor="text1"/>
          <w:sz w:val="18"/>
          <w:szCs w:val="18"/>
          <w:shd w:val="clear" w:color="auto" w:fill="FFFFFF"/>
        </w:rPr>
        <w:t xml:space="preserve"> 1:28 (2000), 2029-49.</w:t>
      </w:r>
    </w:p>
  </w:footnote>
  <w:footnote w:id="203">
    <w:p w14:paraId="594BC145" w14:textId="393B72B2"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74</w:t>
      </w:r>
      <w:r w:rsidRPr="00CF189D">
        <w:rPr>
          <w:rFonts w:ascii="Calibri" w:hAnsi="Calibri" w:cs="Calibri"/>
          <w:sz w:val="18"/>
          <w:szCs w:val="18"/>
        </w:rPr>
        <w:t xml:space="preserve"> </w:t>
      </w:r>
      <w:r w:rsidRPr="00681100">
        <w:rPr>
          <w:rFonts w:ascii="Calibri" w:hAnsi="Calibri" w:cs="Calibri"/>
          <w:color w:val="000000" w:themeColor="text1"/>
          <w:sz w:val="18"/>
          <w:szCs w:val="18"/>
        </w:rPr>
        <w:t xml:space="preserve">See Sridhar, </w:t>
      </w:r>
      <w:r w:rsidRPr="00681100">
        <w:rPr>
          <w:rFonts w:ascii="Calibri" w:hAnsi="Calibri" w:cs="Calibri"/>
          <w:i/>
          <w:color w:val="000000" w:themeColor="text1"/>
          <w:sz w:val="18"/>
          <w:szCs w:val="18"/>
        </w:rPr>
        <w:t xml:space="preserve">The battle </w:t>
      </w:r>
      <w:r w:rsidRPr="000045FB">
        <w:rPr>
          <w:rFonts w:ascii="Calibri" w:hAnsi="Calibri" w:cs="Calibri"/>
          <w:color w:val="000000" w:themeColor="text1"/>
          <w:sz w:val="18"/>
          <w:szCs w:val="18"/>
        </w:rPr>
        <w:t>(2008), 89-94.</w:t>
      </w:r>
    </w:p>
  </w:footnote>
  <w:footnote w:id="204">
    <w:p w14:paraId="092510BB" w14:textId="216339F3"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75</w:t>
      </w:r>
      <w:r w:rsidRPr="00CF189D">
        <w:rPr>
          <w:rFonts w:ascii="Calibri" w:hAnsi="Calibri" w:cs="Calibri"/>
          <w:sz w:val="18"/>
          <w:szCs w:val="18"/>
        </w:rPr>
        <w:t xml:space="preserve"> </w:t>
      </w:r>
      <w:r w:rsidRPr="00681100">
        <w:rPr>
          <w:rFonts w:ascii="Calibri" w:hAnsi="Calibri" w:cs="Calibri"/>
          <w:color w:val="000000" w:themeColor="text1"/>
          <w:sz w:val="18"/>
          <w:szCs w:val="18"/>
        </w:rPr>
        <w:t xml:space="preserve">Bloom DE and Canning D, ‘Population health and economic growth’, in M Spence and M Lewis (Eds.), </w:t>
      </w:r>
      <w:r w:rsidRPr="00681100">
        <w:rPr>
          <w:rFonts w:ascii="Calibri" w:hAnsi="Calibri" w:cs="Calibri"/>
          <w:i/>
          <w:color w:val="000000" w:themeColor="text1"/>
          <w:sz w:val="18"/>
          <w:szCs w:val="18"/>
        </w:rPr>
        <w:t>Heal</w:t>
      </w:r>
      <w:r w:rsidRPr="000045FB">
        <w:rPr>
          <w:rFonts w:ascii="Calibri" w:hAnsi="Calibri" w:cs="Calibri"/>
          <w:i/>
          <w:color w:val="000000" w:themeColor="text1"/>
          <w:sz w:val="18"/>
          <w:szCs w:val="18"/>
        </w:rPr>
        <w:t xml:space="preserve">th and growth </w:t>
      </w:r>
      <w:r w:rsidRPr="000045FB">
        <w:rPr>
          <w:rFonts w:ascii="Calibri" w:hAnsi="Calibri" w:cs="Calibri"/>
          <w:color w:val="000000" w:themeColor="text1"/>
          <w:sz w:val="18"/>
          <w:szCs w:val="18"/>
        </w:rPr>
        <w:t>(Washington DC: World Bank, 2009), 53-75.</w:t>
      </w:r>
    </w:p>
  </w:footnote>
  <w:footnote w:id="205">
    <w:p w14:paraId="4C272F66" w14:textId="6DE87472"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76</w:t>
      </w:r>
      <w:r w:rsidRPr="00CF189D">
        <w:rPr>
          <w:rFonts w:ascii="Calibri" w:hAnsi="Calibri" w:cs="Calibri"/>
          <w:sz w:val="18"/>
          <w:szCs w:val="18"/>
        </w:rPr>
        <w:t xml:space="preserve"> </w:t>
      </w:r>
      <w:r w:rsidRPr="00681100">
        <w:rPr>
          <w:rFonts w:ascii="Calibri" w:hAnsi="Calibri" w:cs="Calibri"/>
          <w:color w:val="000000" w:themeColor="text1"/>
          <w:sz w:val="18"/>
          <w:szCs w:val="18"/>
        </w:rPr>
        <w:t xml:space="preserve">Sridhar, </w:t>
      </w:r>
      <w:r w:rsidRPr="00681100">
        <w:rPr>
          <w:rFonts w:ascii="Calibri" w:hAnsi="Calibri" w:cs="Calibri"/>
          <w:i/>
          <w:color w:val="000000" w:themeColor="text1"/>
          <w:sz w:val="18"/>
          <w:szCs w:val="18"/>
        </w:rPr>
        <w:t xml:space="preserve">The battle </w:t>
      </w:r>
      <w:r w:rsidRPr="000045FB">
        <w:rPr>
          <w:rFonts w:ascii="Calibri" w:hAnsi="Calibri" w:cs="Calibri"/>
          <w:color w:val="000000" w:themeColor="text1"/>
          <w:sz w:val="18"/>
          <w:szCs w:val="18"/>
        </w:rPr>
        <w:t>(2008), 90.</w:t>
      </w:r>
    </w:p>
  </w:footnote>
  <w:footnote w:id="206">
    <w:p w14:paraId="464024BC" w14:textId="68BE8462"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77</w:t>
      </w:r>
      <w:r w:rsidRPr="00CF189D">
        <w:rPr>
          <w:rFonts w:ascii="Calibri" w:hAnsi="Calibri" w:cs="Calibri"/>
          <w:sz w:val="18"/>
          <w:szCs w:val="18"/>
        </w:rPr>
        <w:t xml:space="preserve"> </w:t>
      </w:r>
      <w:r w:rsidRPr="00681100">
        <w:rPr>
          <w:rFonts w:ascii="Calibri" w:hAnsi="Calibri" w:cs="Calibri"/>
          <w:color w:val="000000" w:themeColor="text1"/>
          <w:sz w:val="18"/>
          <w:szCs w:val="18"/>
        </w:rPr>
        <w:t xml:space="preserve">See Bump, </w:t>
      </w:r>
      <w:r w:rsidRPr="00681100">
        <w:rPr>
          <w:rFonts w:ascii="Calibri" w:hAnsi="Calibri" w:cs="Calibri"/>
          <w:i/>
          <w:color w:val="000000" w:themeColor="text1"/>
          <w:sz w:val="18"/>
          <w:szCs w:val="18"/>
        </w:rPr>
        <w:t xml:space="preserve">Lion’s gaze </w:t>
      </w:r>
      <w:r w:rsidRPr="000045FB">
        <w:rPr>
          <w:rFonts w:ascii="Calibri" w:hAnsi="Calibri" w:cs="Calibri"/>
          <w:color w:val="000000" w:themeColor="text1"/>
          <w:sz w:val="18"/>
          <w:szCs w:val="18"/>
        </w:rPr>
        <w:t>(2004).</w:t>
      </w:r>
    </w:p>
  </w:footnote>
  <w:footnote w:id="207">
    <w:p w14:paraId="198E0EF6" w14:textId="7BA91ECC"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78</w:t>
      </w:r>
      <w:r w:rsidRPr="00CF189D">
        <w:rPr>
          <w:rFonts w:ascii="Calibri" w:hAnsi="Calibri" w:cs="Calibri"/>
          <w:sz w:val="18"/>
          <w:szCs w:val="18"/>
        </w:rPr>
        <w:t xml:space="preserve"> </w:t>
      </w:r>
      <w:r w:rsidRPr="00681100">
        <w:rPr>
          <w:rFonts w:ascii="Calibri" w:hAnsi="Calibri" w:cs="Calibri"/>
          <w:color w:val="000000" w:themeColor="text1"/>
          <w:sz w:val="18"/>
          <w:szCs w:val="18"/>
        </w:rPr>
        <w:t>This United States’ impatience centred on issues over infant formulas and drug marketing, within a wi</w:t>
      </w:r>
      <w:r w:rsidRPr="000045FB">
        <w:rPr>
          <w:rFonts w:ascii="Calibri" w:hAnsi="Calibri" w:cs="Calibri"/>
          <w:color w:val="000000" w:themeColor="text1"/>
          <w:sz w:val="18"/>
          <w:szCs w:val="18"/>
        </w:rPr>
        <w:t>der context of the relative decline of western power at the WHO (due to the post-colonial new economic order).</w:t>
      </w:r>
    </w:p>
  </w:footnote>
  <w:footnote w:id="208">
    <w:p w14:paraId="16A27D6D" w14:textId="2AA0307D"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79</w:t>
      </w:r>
      <w:r w:rsidRPr="00CF189D">
        <w:rPr>
          <w:rFonts w:ascii="Calibri" w:hAnsi="Calibri" w:cs="Calibri"/>
          <w:sz w:val="18"/>
          <w:szCs w:val="18"/>
        </w:rPr>
        <w:t xml:space="preserve"> </w:t>
      </w:r>
      <w:r w:rsidRPr="00681100">
        <w:rPr>
          <w:rFonts w:ascii="Calibri" w:hAnsi="Calibri" w:cs="Calibri"/>
          <w:color w:val="000000" w:themeColor="text1"/>
          <w:sz w:val="18"/>
          <w:szCs w:val="18"/>
        </w:rPr>
        <w:t xml:space="preserve">Gorsky M and Sirrs C, ‘World health by place: the politics of international health system metrics, 1924-c. 2010’, </w:t>
      </w:r>
      <w:r w:rsidRPr="000045FB">
        <w:rPr>
          <w:rFonts w:ascii="Calibri" w:hAnsi="Calibri" w:cs="Calibri"/>
          <w:i/>
          <w:color w:val="000000" w:themeColor="text1"/>
          <w:sz w:val="18"/>
          <w:szCs w:val="18"/>
        </w:rPr>
        <w:t xml:space="preserve">Journal of Global History </w:t>
      </w:r>
      <w:r w:rsidRPr="000045FB">
        <w:rPr>
          <w:rFonts w:ascii="Calibri" w:hAnsi="Calibri" w:cs="Calibri"/>
          <w:color w:val="000000" w:themeColor="text1"/>
          <w:sz w:val="18"/>
          <w:szCs w:val="18"/>
        </w:rPr>
        <w:t>12 (2017), 361-385.</w:t>
      </w:r>
    </w:p>
  </w:footnote>
  <w:footnote w:id="209">
    <w:p w14:paraId="247585F0" w14:textId="65F33675"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80</w:t>
      </w:r>
      <w:r w:rsidRPr="00CF189D">
        <w:rPr>
          <w:rFonts w:ascii="Calibri" w:hAnsi="Calibri" w:cs="Calibri"/>
          <w:sz w:val="18"/>
          <w:szCs w:val="18"/>
        </w:rPr>
        <w:t xml:space="preserve"> </w:t>
      </w:r>
      <w:r w:rsidRPr="00681100">
        <w:rPr>
          <w:rFonts w:ascii="Calibri" w:hAnsi="Calibri" w:cs="Calibri"/>
          <w:color w:val="000000" w:themeColor="text1"/>
          <w:sz w:val="18"/>
          <w:szCs w:val="18"/>
        </w:rPr>
        <w:t xml:space="preserve">Tichenor M and Sridhar D, ‘Metric partnerships: global burden of disease estimates within the World Bank, the World Health Organisation and the Institute for Health Metrics and Evaluation’, </w:t>
      </w:r>
      <w:r w:rsidRPr="000045FB">
        <w:rPr>
          <w:rFonts w:ascii="Calibri" w:hAnsi="Calibri" w:cs="Calibri"/>
          <w:i/>
          <w:color w:val="000000" w:themeColor="text1"/>
          <w:sz w:val="18"/>
          <w:szCs w:val="18"/>
        </w:rPr>
        <w:t xml:space="preserve">Wellcome Open Research </w:t>
      </w:r>
      <w:r w:rsidRPr="000045FB">
        <w:rPr>
          <w:rFonts w:ascii="Calibri" w:hAnsi="Calibri" w:cs="Calibri"/>
          <w:color w:val="000000" w:themeColor="text1"/>
          <w:sz w:val="18"/>
          <w:szCs w:val="18"/>
        </w:rPr>
        <w:t>4:35 (2019).</w:t>
      </w:r>
    </w:p>
  </w:footnote>
  <w:footnote w:id="210">
    <w:p w14:paraId="3AD54EDF" w14:textId="291F3CBF"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81</w:t>
      </w:r>
      <w:r w:rsidRPr="00CF189D">
        <w:rPr>
          <w:rFonts w:ascii="Calibri" w:hAnsi="Calibri" w:cs="Calibri"/>
          <w:sz w:val="18"/>
          <w:szCs w:val="18"/>
        </w:rPr>
        <w:t xml:space="preserve"> </w:t>
      </w:r>
      <w:r w:rsidRPr="00681100">
        <w:rPr>
          <w:rFonts w:ascii="Calibri" w:hAnsi="Calibri" w:cs="Calibri"/>
          <w:color w:val="000000" w:themeColor="text1"/>
          <w:sz w:val="18"/>
          <w:szCs w:val="18"/>
        </w:rPr>
        <w:t xml:space="preserve">Buse K and Gwin C, ‘The World Bank and global cooperation in health: the case of Bangladesh’, </w:t>
      </w:r>
      <w:r w:rsidRPr="000045FB">
        <w:rPr>
          <w:rFonts w:ascii="Calibri" w:hAnsi="Calibri" w:cs="Calibri"/>
          <w:i/>
          <w:color w:val="000000" w:themeColor="text1"/>
          <w:sz w:val="18"/>
          <w:szCs w:val="18"/>
        </w:rPr>
        <w:t xml:space="preserve">The Lancet </w:t>
      </w:r>
      <w:r w:rsidRPr="000045FB">
        <w:rPr>
          <w:rFonts w:ascii="Calibri" w:hAnsi="Calibri" w:cs="Calibri"/>
          <w:color w:val="000000" w:themeColor="text1"/>
          <w:sz w:val="18"/>
          <w:szCs w:val="18"/>
        </w:rPr>
        <w:t xml:space="preserve">351:9103 (1998), 665-669; Robert E and Riddie V, ‘Global health actors no longer in favour of user fees: a documentary study’, </w:t>
      </w:r>
      <w:r w:rsidRPr="00581494">
        <w:rPr>
          <w:rFonts w:ascii="Calibri" w:hAnsi="Calibri" w:cs="Calibri"/>
          <w:i/>
          <w:color w:val="000000" w:themeColor="text1"/>
          <w:sz w:val="18"/>
          <w:szCs w:val="18"/>
        </w:rPr>
        <w:t xml:space="preserve">Globalization and Health </w:t>
      </w:r>
      <w:r w:rsidRPr="00581494">
        <w:rPr>
          <w:rFonts w:ascii="Calibri" w:hAnsi="Calibri" w:cs="Calibri"/>
          <w:color w:val="000000" w:themeColor="text1"/>
          <w:sz w:val="18"/>
          <w:szCs w:val="18"/>
        </w:rPr>
        <w:t xml:space="preserve">9:29 (2013); </w:t>
      </w:r>
      <w:r w:rsidRPr="00E259AA">
        <w:rPr>
          <w:rFonts w:ascii="Calibri" w:hAnsi="Calibri" w:cs="Calibri"/>
          <w:iCs/>
          <w:color w:val="000000" w:themeColor="text1"/>
          <w:sz w:val="18"/>
          <w:szCs w:val="18"/>
        </w:rPr>
        <w:t>Walker A,</w:t>
      </w:r>
      <w:r w:rsidRPr="00E259AA">
        <w:rPr>
          <w:rFonts w:ascii="Calibri" w:hAnsi="Calibri" w:cs="Calibri"/>
          <w:i/>
          <w:color w:val="000000" w:themeColor="text1"/>
          <w:sz w:val="18"/>
          <w:szCs w:val="18"/>
        </w:rPr>
        <w:t xml:space="preserve"> Valuing life at the Bank: contested expertise, racial politics and development bank interventions in global public health</w:t>
      </w:r>
      <w:r w:rsidRPr="00E259AA">
        <w:rPr>
          <w:rFonts w:ascii="Calibri" w:hAnsi="Calibri" w:cs="Calibri"/>
          <w:color w:val="000000" w:themeColor="text1"/>
          <w:sz w:val="18"/>
          <w:szCs w:val="18"/>
        </w:rPr>
        <w:t xml:space="preserve"> (PhD dissertation, Ithaca: Cornell University, 2017).</w:t>
      </w:r>
    </w:p>
  </w:footnote>
  <w:footnote w:id="211">
    <w:p w14:paraId="5BEE5307" w14:textId="639BE41B"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82</w:t>
      </w:r>
      <w:r w:rsidRPr="00CF189D">
        <w:rPr>
          <w:rFonts w:ascii="Calibri" w:hAnsi="Calibri" w:cs="Calibri"/>
          <w:sz w:val="18"/>
          <w:szCs w:val="18"/>
        </w:rPr>
        <w:t xml:space="preserve"> This literature has generally become more critical over time, and ranges from economic analyses that suggest user fees may have a sound theoretical basis to historical analyses that present them as continent-wide drivers of poor health outcomes and inequalities. For example, in a 1993 review of user fee economic outcomes, McPake argued that user fees typically raise revenue (although these raises may not be substantial or efficient), and that they may improve the overall welfare for the majority if their implementation is improved through reinvesting resources and exemption policies (McPake B, ‘User charges for health services in delivery: a review of the economic literature’, </w:t>
      </w:r>
      <w:r w:rsidRPr="00CF189D">
        <w:rPr>
          <w:rFonts w:ascii="Calibri" w:hAnsi="Calibri" w:cs="Calibri"/>
          <w:i/>
          <w:iCs/>
          <w:sz w:val="18"/>
          <w:szCs w:val="18"/>
        </w:rPr>
        <w:t xml:space="preserve">Social Science and Medicine </w:t>
      </w:r>
      <w:r w:rsidRPr="00CF189D">
        <w:rPr>
          <w:rFonts w:ascii="Calibri" w:hAnsi="Calibri" w:cs="Calibri"/>
          <w:sz w:val="18"/>
          <w:szCs w:val="18"/>
        </w:rPr>
        <w:t xml:space="preserve">36:11 (1993), 1397-1405). Three years later, an analysis of user fee systems in Sub-Saharan Africa acknowledged these potential impacts, but argued that fees systems had been implemented narrowly as a response to financial constraints, and lacked long-term action plans for sustainment within wider health systems (Gibson L, ‘The lessons of user fee experience in Africa’, </w:t>
      </w:r>
      <w:r w:rsidRPr="00CF189D">
        <w:rPr>
          <w:rFonts w:ascii="Calibri" w:hAnsi="Calibri" w:cs="Calibri"/>
          <w:i/>
          <w:iCs/>
          <w:sz w:val="18"/>
          <w:szCs w:val="18"/>
        </w:rPr>
        <w:t xml:space="preserve">Health Policy and Planning </w:t>
      </w:r>
      <w:r w:rsidRPr="00CF189D">
        <w:rPr>
          <w:rFonts w:ascii="Calibri" w:hAnsi="Calibri" w:cs="Calibri"/>
          <w:sz w:val="18"/>
          <w:szCs w:val="18"/>
        </w:rPr>
        <w:t xml:space="preserve">12:4 (1997), 273-285.) More recently, Stein has argued that user fees raised ultimately negligible revenue in African countries, collectively led to significant drops in attendance at healthcare facilities in Sub-Saharan Africa, and exacerbated inequities in access to care (Stein, </w:t>
      </w:r>
      <w:r w:rsidRPr="00CF189D">
        <w:rPr>
          <w:rFonts w:ascii="Calibri" w:hAnsi="Calibri" w:cs="Calibri"/>
          <w:i/>
          <w:iCs/>
          <w:sz w:val="18"/>
          <w:szCs w:val="18"/>
        </w:rPr>
        <w:t xml:space="preserve">Beyond the World Bank </w:t>
      </w:r>
      <w:r w:rsidRPr="00CF189D">
        <w:rPr>
          <w:rFonts w:ascii="Calibri" w:hAnsi="Calibri" w:cs="Calibri"/>
          <w:sz w:val="18"/>
          <w:szCs w:val="18"/>
        </w:rPr>
        <w:t xml:space="preserve">(2008), 216, 227-228). </w:t>
      </w:r>
    </w:p>
  </w:footnote>
  <w:footnote w:id="212">
    <w:p w14:paraId="5D330D91" w14:textId="73B27011"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83</w:t>
      </w:r>
      <w:r w:rsidRPr="00CF189D">
        <w:rPr>
          <w:rFonts w:ascii="Calibri" w:hAnsi="Calibri" w:cs="Calibri"/>
          <w:sz w:val="18"/>
          <w:szCs w:val="18"/>
        </w:rPr>
        <w:t xml:space="preserve"> A WHO Commission on Macroeconomics and Health (2001) literature review identified three major types of analyses of the impact of structural adjustment on health, including empirical, theoretical, and normative studies. It concluded that, across these studies, Africa was depicted the most negatively of all regions, that normative articles were typically more negative than theoretical or empirical articles, and that the most commonly used health variables for impact measurement were health expenditures and child mortality. Interestingly, the review also indicated that case studies were usually more likely to find negative outcomes than cross-country studies (Breman A and Shelton C, ‘Structural adjustment and health: a literature review of the debate, its role-players and presented empirical evidence’, </w:t>
      </w:r>
      <w:r w:rsidRPr="00CF189D">
        <w:rPr>
          <w:rFonts w:ascii="Calibri" w:hAnsi="Calibri" w:cs="Calibri"/>
          <w:i/>
          <w:iCs/>
          <w:sz w:val="18"/>
          <w:szCs w:val="18"/>
        </w:rPr>
        <w:t xml:space="preserve">CMH Working Paper Series, No. WG6:6 </w:t>
      </w:r>
      <w:r w:rsidRPr="00CF189D">
        <w:rPr>
          <w:rFonts w:ascii="Calibri" w:hAnsi="Calibri" w:cs="Calibri"/>
          <w:sz w:val="18"/>
          <w:szCs w:val="18"/>
        </w:rPr>
        <w:t xml:space="preserve">[Geneva: Commission on Macroeconomics and Health, 2001]). Examples of Sub-Saharan Africa-focused studies showing negative impacts on health expenditures (or dependence on external support), demand for health services, and/or infant and childhood mortality include Woodward D, </w:t>
      </w:r>
      <w:r w:rsidRPr="00CF189D">
        <w:rPr>
          <w:rFonts w:ascii="Calibri" w:hAnsi="Calibri" w:cs="Calibri"/>
          <w:i/>
          <w:iCs/>
          <w:sz w:val="18"/>
          <w:szCs w:val="18"/>
        </w:rPr>
        <w:t xml:space="preserve">Debt adjustment and poverty in developing countries vol 2: the impact of debt and adjustment at the household level in developing countries </w:t>
      </w:r>
      <w:r w:rsidRPr="00CF189D">
        <w:rPr>
          <w:rFonts w:ascii="Calibri" w:hAnsi="Calibri" w:cs="Calibri"/>
          <w:sz w:val="18"/>
          <w:szCs w:val="18"/>
        </w:rPr>
        <w:t xml:space="preserve">(London: Save the Children/Pinter Publishers, 1992); Lowenson R, ‘Structural adjustment and health policy in Africa’, </w:t>
      </w:r>
      <w:r w:rsidRPr="00CF189D">
        <w:rPr>
          <w:rFonts w:ascii="Calibri" w:hAnsi="Calibri" w:cs="Calibri"/>
          <w:i/>
          <w:iCs/>
          <w:sz w:val="18"/>
          <w:szCs w:val="18"/>
        </w:rPr>
        <w:t xml:space="preserve">International Journal of Health Services </w:t>
      </w:r>
      <w:r w:rsidRPr="00CF189D">
        <w:rPr>
          <w:rFonts w:ascii="Calibri" w:hAnsi="Calibri" w:cs="Calibri"/>
          <w:sz w:val="18"/>
          <w:szCs w:val="18"/>
        </w:rPr>
        <w:t xml:space="preserve">23:4 (1993), 717-730; Thiesen JK, ‘A study of the effects of structural adjustment on education and health in Africa’, in GW Shepard and KNM Sonoko (Eds.), </w:t>
      </w:r>
      <w:r w:rsidRPr="00CF189D">
        <w:rPr>
          <w:rFonts w:ascii="Calibri" w:hAnsi="Calibri" w:cs="Calibri"/>
          <w:i/>
          <w:iCs/>
          <w:sz w:val="18"/>
          <w:szCs w:val="18"/>
        </w:rPr>
        <w:t xml:space="preserve">Economic justice in Africa – adjustment and sustainable development </w:t>
      </w:r>
      <w:r w:rsidRPr="00CF189D">
        <w:rPr>
          <w:rFonts w:ascii="Calibri" w:hAnsi="Calibri" w:cs="Calibri"/>
          <w:sz w:val="18"/>
          <w:szCs w:val="18"/>
        </w:rPr>
        <w:t xml:space="preserve">(Westport: Greenwood Press, 1994); Thomson M, ‘Structural adjustment programmes adversely affect vulnerable populations: a systematic-narrative review of their effect on child and maternal health’, </w:t>
      </w:r>
      <w:r w:rsidRPr="00CF189D">
        <w:rPr>
          <w:rFonts w:ascii="Calibri" w:hAnsi="Calibri" w:cs="Calibri"/>
          <w:i/>
          <w:iCs/>
          <w:sz w:val="18"/>
          <w:szCs w:val="18"/>
        </w:rPr>
        <w:t xml:space="preserve">Public Health Reviews </w:t>
      </w:r>
      <w:r w:rsidRPr="00CF189D">
        <w:rPr>
          <w:rFonts w:ascii="Calibri" w:hAnsi="Calibri" w:cs="Calibri"/>
          <w:sz w:val="18"/>
          <w:szCs w:val="18"/>
        </w:rPr>
        <w:t xml:space="preserve">38:13 (2017). Less critical works on the Bank and IMF point to small increases in African countries’ national health expenditures, but indicate that these may be linked to declines in health status indicators or a continued inability to address pressing health needs (see Sahn D and Bernier R, ‘Have structural adjustment led to health sector reform in Africa?’, </w:t>
      </w:r>
      <w:r w:rsidRPr="00CF189D">
        <w:rPr>
          <w:rFonts w:ascii="Calibri" w:hAnsi="Calibri" w:cs="Calibri"/>
          <w:i/>
          <w:iCs/>
          <w:sz w:val="18"/>
          <w:szCs w:val="18"/>
        </w:rPr>
        <w:t xml:space="preserve">Health Policy </w:t>
      </w:r>
      <w:r w:rsidRPr="00CF189D">
        <w:rPr>
          <w:rFonts w:ascii="Calibri" w:hAnsi="Calibri" w:cs="Calibri"/>
          <w:sz w:val="18"/>
          <w:szCs w:val="18"/>
        </w:rPr>
        <w:t>32:1-3 (1995), 193-214</w:t>
      </w:r>
      <w:r>
        <w:rPr>
          <w:rFonts w:ascii="Calibri" w:hAnsi="Calibri" w:cs="Calibri"/>
          <w:sz w:val="18"/>
          <w:szCs w:val="18"/>
        </w:rPr>
        <w:t>)</w:t>
      </w:r>
      <w:r w:rsidRPr="00681100">
        <w:rPr>
          <w:rFonts w:ascii="Calibri" w:hAnsi="Calibri" w:cs="Calibri"/>
          <w:sz w:val="18"/>
          <w:szCs w:val="18"/>
        </w:rPr>
        <w:t>.</w:t>
      </w:r>
    </w:p>
  </w:footnote>
  <w:footnote w:id="213">
    <w:p w14:paraId="48AA916E" w14:textId="501C4F09"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84</w:t>
      </w:r>
      <w:r w:rsidRPr="00CF189D">
        <w:rPr>
          <w:rFonts w:ascii="Calibri" w:hAnsi="Calibri" w:cs="Calibri"/>
          <w:sz w:val="18"/>
          <w:szCs w:val="18"/>
        </w:rPr>
        <w:t xml:space="preserve"> </w:t>
      </w:r>
      <w:r w:rsidRPr="00681100">
        <w:rPr>
          <w:rFonts w:ascii="Calibri" w:hAnsi="Calibri" w:cs="Calibri"/>
          <w:color w:val="000000" w:themeColor="text1"/>
          <w:sz w:val="18"/>
          <w:szCs w:val="18"/>
        </w:rPr>
        <w:t xml:space="preserve">Stein F and Sridhar D, ‘Health as a “global public good”: creating a market for pandemic risk’, </w:t>
      </w:r>
      <w:r w:rsidRPr="00681100">
        <w:rPr>
          <w:rFonts w:ascii="Calibri" w:hAnsi="Calibri" w:cs="Calibri"/>
          <w:i/>
          <w:color w:val="000000" w:themeColor="text1"/>
          <w:sz w:val="18"/>
          <w:szCs w:val="18"/>
        </w:rPr>
        <w:t xml:space="preserve">BMJ </w:t>
      </w:r>
      <w:r w:rsidRPr="000045FB">
        <w:rPr>
          <w:rFonts w:ascii="Calibri" w:hAnsi="Calibri" w:cs="Calibri"/>
          <w:color w:val="000000" w:themeColor="text1"/>
          <w:sz w:val="18"/>
          <w:szCs w:val="18"/>
        </w:rPr>
        <w:t xml:space="preserve">358 (2017), j3397; Winters J and Sridhar D, ‘Earmarking for global health: benefits and perils of the World Bank’s trust fund model’, </w:t>
      </w:r>
      <w:r w:rsidRPr="00581494">
        <w:rPr>
          <w:rFonts w:ascii="Calibri" w:hAnsi="Calibri" w:cs="Calibri"/>
          <w:i/>
          <w:color w:val="000000" w:themeColor="text1"/>
          <w:sz w:val="18"/>
          <w:szCs w:val="18"/>
        </w:rPr>
        <w:t xml:space="preserve">BMJ </w:t>
      </w:r>
      <w:r w:rsidRPr="00581494">
        <w:rPr>
          <w:rFonts w:ascii="Calibri" w:hAnsi="Calibri" w:cs="Calibri"/>
          <w:color w:val="000000" w:themeColor="text1"/>
          <w:sz w:val="18"/>
          <w:szCs w:val="18"/>
        </w:rPr>
        <w:t>358</w:t>
      </w:r>
      <w:r w:rsidRPr="00581494">
        <w:rPr>
          <w:rFonts w:ascii="Calibri" w:hAnsi="Calibri" w:cs="Calibri"/>
          <w:i/>
          <w:color w:val="000000" w:themeColor="text1"/>
          <w:sz w:val="18"/>
          <w:szCs w:val="18"/>
        </w:rPr>
        <w:t xml:space="preserve"> </w:t>
      </w:r>
      <w:r w:rsidRPr="00E259AA">
        <w:rPr>
          <w:rFonts w:ascii="Calibri" w:hAnsi="Calibri" w:cs="Calibri"/>
          <w:color w:val="000000" w:themeColor="text1"/>
          <w:sz w:val="18"/>
          <w:szCs w:val="18"/>
        </w:rPr>
        <w:t xml:space="preserve">(2017), j3394; Stein F and Sridhar D, ‘The financialisation of global health’, </w:t>
      </w:r>
      <w:r w:rsidRPr="00E259AA">
        <w:rPr>
          <w:rFonts w:ascii="Calibri" w:hAnsi="Calibri" w:cs="Calibri"/>
          <w:i/>
          <w:color w:val="000000" w:themeColor="text1"/>
          <w:sz w:val="18"/>
          <w:szCs w:val="18"/>
        </w:rPr>
        <w:t xml:space="preserve">Wellcome Open Research </w:t>
      </w:r>
      <w:r w:rsidRPr="00E259AA">
        <w:rPr>
          <w:rFonts w:ascii="Calibri" w:hAnsi="Calibri" w:cs="Calibri"/>
          <w:color w:val="000000" w:themeColor="text1"/>
          <w:sz w:val="18"/>
          <w:szCs w:val="18"/>
        </w:rPr>
        <w:t xml:space="preserve">3:17 (2018); Winters et al., ‘Mainstreaming as rhetoric or reality? Gender and global health at the World Bank’, </w:t>
      </w:r>
      <w:r w:rsidRPr="00E259AA">
        <w:rPr>
          <w:rFonts w:ascii="Calibri" w:hAnsi="Calibri" w:cs="Calibri"/>
          <w:i/>
          <w:color w:val="000000" w:themeColor="text1"/>
          <w:sz w:val="18"/>
          <w:szCs w:val="18"/>
        </w:rPr>
        <w:t xml:space="preserve">Wellcome Open Research, </w:t>
      </w:r>
      <w:r w:rsidRPr="00E259AA">
        <w:rPr>
          <w:rFonts w:ascii="Calibri" w:hAnsi="Calibri" w:cs="Calibri"/>
          <w:color w:val="000000" w:themeColor="text1"/>
          <w:sz w:val="18"/>
          <w:szCs w:val="18"/>
        </w:rPr>
        <w:t xml:space="preserve">3:18 (2018); Mukaigawara et al., ‘Balancing science and political economy: tobacco control and global health’, </w:t>
      </w:r>
      <w:r w:rsidRPr="00E259AA">
        <w:rPr>
          <w:rFonts w:ascii="Calibri" w:hAnsi="Calibri" w:cs="Calibri"/>
          <w:i/>
          <w:color w:val="000000" w:themeColor="text1"/>
          <w:sz w:val="18"/>
          <w:szCs w:val="18"/>
        </w:rPr>
        <w:t xml:space="preserve">Wellcome Open Research </w:t>
      </w:r>
      <w:r w:rsidRPr="00E259AA">
        <w:rPr>
          <w:rFonts w:ascii="Calibri" w:hAnsi="Calibri" w:cs="Calibri"/>
          <w:color w:val="000000" w:themeColor="text1"/>
          <w:sz w:val="18"/>
          <w:szCs w:val="18"/>
        </w:rPr>
        <w:t xml:space="preserve">3:40 (2018); Rahi et al., ‘The World Bank &amp; financing tuberculosis control, 1986-2017’, </w:t>
      </w:r>
      <w:r w:rsidRPr="00DE5E29">
        <w:rPr>
          <w:rFonts w:ascii="Calibri" w:hAnsi="Calibri" w:cs="Calibri"/>
          <w:i/>
          <w:color w:val="000000" w:themeColor="text1"/>
          <w:sz w:val="18"/>
          <w:szCs w:val="18"/>
        </w:rPr>
        <w:t xml:space="preserve">Wellcome Open Research </w:t>
      </w:r>
      <w:r w:rsidRPr="00DE5E29">
        <w:rPr>
          <w:rFonts w:ascii="Calibri" w:hAnsi="Calibri" w:cs="Calibri"/>
          <w:color w:val="000000" w:themeColor="text1"/>
          <w:sz w:val="18"/>
          <w:szCs w:val="18"/>
        </w:rPr>
        <w:t>3:103 (2018).</w:t>
      </w:r>
    </w:p>
  </w:footnote>
  <w:footnote w:id="214">
    <w:p w14:paraId="1EB0043A" w14:textId="15E5800C"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85</w:t>
      </w:r>
      <w:r w:rsidRPr="00CF189D">
        <w:rPr>
          <w:rFonts w:ascii="Calibri" w:hAnsi="Calibri" w:cs="Calibri"/>
          <w:sz w:val="18"/>
          <w:szCs w:val="18"/>
        </w:rPr>
        <w:t xml:space="preserve"> </w:t>
      </w:r>
      <w:r w:rsidRPr="00681100">
        <w:rPr>
          <w:rFonts w:ascii="Calibri" w:hAnsi="Calibri" w:cs="Calibri"/>
          <w:color w:val="000000" w:themeColor="text1"/>
          <w:sz w:val="18"/>
          <w:szCs w:val="18"/>
        </w:rPr>
        <w:t xml:space="preserve">Smyth S and Triponel A, ‘Funding global health’, </w:t>
      </w:r>
      <w:r w:rsidRPr="00681100">
        <w:rPr>
          <w:rFonts w:ascii="Calibri" w:hAnsi="Calibri" w:cs="Calibri"/>
          <w:i/>
          <w:color w:val="000000" w:themeColor="text1"/>
          <w:sz w:val="18"/>
          <w:szCs w:val="18"/>
        </w:rPr>
        <w:t xml:space="preserve">Health and Human Rights Journal </w:t>
      </w:r>
      <w:r w:rsidRPr="000045FB">
        <w:rPr>
          <w:rFonts w:ascii="Calibri" w:hAnsi="Calibri" w:cs="Calibri"/>
          <w:color w:val="000000" w:themeColor="text1"/>
          <w:sz w:val="18"/>
          <w:szCs w:val="18"/>
        </w:rPr>
        <w:t>15:1 (2013), 1-16.</w:t>
      </w:r>
    </w:p>
  </w:footnote>
  <w:footnote w:id="215">
    <w:p w14:paraId="2F076926" w14:textId="2C0B9514"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86</w:t>
      </w:r>
      <w:r w:rsidRPr="00CF189D">
        <w:rPr>
          <w:rFonts w:ascii="Calibri" w:hAnsi="Calibri" w:cs="Calibri"/>
          <w:sz w:val="18"/>
          <w:szCs w:val="18"/>
        </w:rPr>
        <w:t xml:space="preserve"> </w:t>
      </w:r>
      <w:r w:rsidRPr="00681100">
        <w:rPr>
          <w:rFonts w:ascii="Calibri" w:hAnsi="Calibri" w:cs="Calibri"/>
          <w:color w:val="000000" w:themeColor="text1"/>
          <w:sz w:val="18"/>
          <w:szCs w:val="18"/>
        </w:rPr>
        <w:t xml:space="preserve">Hall JJ and Taylor R, ‘Health for all beyond 2000: the demise of the Alma-Ata Declaration and primary health care in developing countries’, </w:t>
      </w:r>
      <w:r w:rsidRPr="000045FB">
        <w:rPr>
          <w:rFonts w:ascii="Calibri" w:hAnsi="Calibri" w:cs="Calibri"/>
          <w:i/>
          <w:color w:val="000000" w:themeColor="text1"/>
          <w:sz w:val="18"/>
          <w:szCs w:val="18"/>
        </w:rPr>
        <w:t xml:space="preserve">MJA </w:t>
      </w:r>
      <w:r w:rsidRPr="000045FB">
        <w:rPr>
          <w:rFonts w:ascii="Calibri" w:hAnsi="Calibri" w:cs="Calibri"/>
          <w:color w:val="000000" w:themeColor="text1"/>
          <w:sz w:val="18"/>
          <w:szCs w:val="18"/>
        </w:rPr>
        <w:t>178 (2003), 17-20.</w:t>
      </w:r>
    </w:p>
  </w:footnote>
  <w:footnote w:id="216">
    <w:p w14:paraId="5322FD76" w14:textId="18423E45"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87</w:t>
      </w:r>
      <w:r w:rsidRPr="00CF189D">
        <w:rPr>
          <w:rFonts w:ascii="Calibri" w:hAnsi="Calibri" w:cs="Calibri"/>
          <w:sz w:val="18"/>
          <w:szCs w:val="18"/>
        </w:rPr>
        <w:t xml:space="preserve"> </w:t>
      </w:r>
      <w:r w:rsidRPr="00681100">
        <w:rPr>
          <w:rFonts w:ascii="Calibri" w:hAnsi="Calibri" w:cs="Calibri"/>
          <w:color w:val="000000" w:themeColor="text1"/>
          <w:sz w:val="18"/>
          <w:szCs w:val="18"/>
        </w:rPr>
        <w:t>Cueto M, ‘T</w:t>
      </w:r>
      <w:r w:rsidRPr="000045FB">
        <w:rPr>
          <w:rFonts w:ascii="Calibri" w:hAnsi="Calibri" w:cs="Calibri"/>
          <w:color w:val="000000" w:themeColor="text1"/>
          <w:sz w:val="18"/>
          <w:szCs w:val="18"/>
        </w:rPr>
        <w:t xml:space="preserve">he history of international health: medicine, politics, and two socio-medical perspectives, 1851 to 2000’, in McInnes et al. (Eds.), </w:t>
      </w:r>
      <w:r w:rsidRPr="000045FB">
        <w:rPr>
          <w:rFonts w:ascii="Calibri" w:hAnsi="Calibri" w:cs="Calibri"/>
          <w:i/>
          <w:color w:val="000000" w:themeColor="text1"/>
          <w:sz w:val="18"/>
          <w:szCs w:val="18"/>
        </w:rPr>
        <w:t xml:space="preserve">The Oxford Handbook of Global Health Policies </w:t>
      </w:r>
      <w:r w:rsidRPr="00581494">
        <w:rPr>
          <w:rFonts w:ascii="Calibri" w:hAnsi="Calibri" w:cs="Calibri"/>
          <w:color w:val="000000" w:themeColor="text1"/>
          <w:sz w:val="18"/>
          <w:szCs w:val="18"/>
        </w:rPr>
        <w:t>(Oxford: Oxford University Press, 2018); Bryant JH and Richmond JB, ‘Alma-Ata and primary health care: an evolving story’ (2008), 152-174.</w:t>
      </w:r>
    </w:p>
  </w:footnote>
  <w:footnote w:id="217">
    <w:p w14:paraId="1AF7730C" w14:textId="355A2429"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88</w:t>
      </w:r>
      <w:r w:rsidRPr="00CF189D">
        <w:rPr>
          <w:rFonts w:ascii="Calibri" w:hAnsi="Calibri" w:cs="Calibri"/>
          <w:sz w:val="18"/>
          <w:szCs w:val="18"/>
        </w:rPr>
        <w:t xml:space="preserve"> </w:t>
      </w:r>
      <w:r w:rsidRPr="00681100">
        <w:rPr>
          <w:rFonts w:ascii="Calibri" w:hAnsi="Calibri" w:cs="Calibri"/>
          <w:color w:val="000000" w:themeColor="text1"/>
          <w:sz w:val="18"/>
          <w:szCs w:val="18"/>
        </w:rPr>
        <w:t xml:space="preserve">s.a., ‘Primary health care comes full circle. An interview with Dr Halfdan Mahler’, </w:t>
      </w:r>
      <w:r w:rsidRPr="00681100">
        <w:rPr>
          <w:rFonts w:ascii="Calibri" w:hAnsi="Calibri" w:cs="Calibri"/>
          <w:i/>
          <w:color w:val="000000" w:themeColor="text1"/>
          <w:sz w:val="18"/>
          <w:szCs w:val="18"/>
        </w:rPr>
        <w:t>Bulletin of the</w:t>
      </w:r>
      <w:r w:rsidRPr="000045FB">
        <w:rPr>
          <w:rFonts w:ascii="Calibri" w:hAnsi="Calibri" w:cs="Calibri"/>
          <w:i/>
          <w:color w:val="000000" w:themeColor="text1"/>
          <w:sz w:val="18"/>
          <w:szCs w:val="18"/>
        </w:rPr>
        <w:t xml:space="preserve"> WHO </w:t>
      </w:r>
      <w:r w:rsidRPr="000045FB">
        <w:rPr>
          <w:rFonts w:ascii="Calibri" w:hAnsi="Calibri" w:cs="Calibri"/>
          <w:color w:val="000000" w:themeColor="text1"/>
          <w:sz w:val="18"/>
          <w:szCs w:val="18"/>
        </w:rPr>
        <w:t>86:10 (2008), 747-748.</w:t>
      </w:r>
    </w:p>
  </w:footnote>
  <w:footnote w:id="218">
    <w:p w14:paraId="41D6A02A" w14:textId="37A7D1B2"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89</w:t>
      </w:r>
      <w:r w:rsidRPr="00CF189D">
        <w:rPr>
          <w:rFonts w:ascii="Calibri" w:hAnsi="Calibri" w:cs="Calibri"/>
          <w:sz w:val="18"/>
          <w:szCs w:val="18"/>
        </w:rPr>
        <w:t xml:space="preserve"> </w:t>
      </w:r>
      <w:r w:rsidRPr="00681100">
        <w:rPr>
          <w:rFonts w:ascii="Calibri" w:hAnsi="Calibri" w:cs="Calibri"/>
          <w:color w:val="000000" w:themeColor="text1"/>
          <w:sz w:val="18"/>
          <w:szCs w:val="18"/>
        </w:rPr>
        <w:t xml:space="preserve">Storeng KT, ‘The GAVI Alliance and the “Gates approach” to health system strengthening’, </w:t>
      </w:r>
      <w:r w:rsidRPr="000045FB">
        <w:rPr>
          <w:rFonts w:ascii="Calibri" w:hAnsi="Calibri" w:cs="Calibri"/>
          <w:i/>
          <w:color w:val="000000" w:themeColor="text1"/>
          <w:sz w:val="18"/>
          <w:szCs w:val="18"/>
        </w:rPr>
        <w:t xml:space="preserve">Global Public Health </w:t>
      </w:r>
      <w:r w:rsidRPr="000045FB">
        <w:rPr>
          <w:rFonts w:ascii="Calibri" w:hAnsi="Calibri" w:cs="Calibri"/>
          <w:color w:val="000000" w:themeColor="text1"/>
          <w:sz w:val="18"/>
          <w:szCs w:val="18"/>
        </w:rPr>
        <w:t>9:8 (2014), 865-879.</w:t>
      </w:r>
    </w:p>
  </w:footnote>
  <w:footnote w:id="219">
    <w:p w14:paraId="373839FE" w14:textId="0801E855"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90</w:t>
      </w:r>
      <w:r w:rsidRPr="00CF189D">
        <w:rPr>
          <w:rFonts w:ascii="Calibri" w:hAnsi="Calibri" w:cs="Calibri"/>
          <w:sz w:val="18"/>
          <w:szCs w:val="18"/>
        </w:rPr>
        <w:t xml:space="preserve"> </w:t>
      </w:r>
      <w:r w:rsidRPr="00681100">
        <w:rPr>
          <w:rFonts w:ascii="Calibri" w:hAnsi="Calibri" w:cs="Calibri"/>
          <w:color w:val="000000" w:themeColor="text1"/>
          <w:sz w:val="18"/>
          <w:szCs w:val="18"/>
        </w:rPr>
        <w:t xml:space="preserve">See Sridhar, </w:t>
      </w:r>
      <w:r w:rsidRPr="00681100">
        <w:rPr>
          <w:rFonts w:ascii="Calibri" w:hAnsi="Calibri" w:cs="Calibri"/>
          <w:i/>
          <w:color w:val="000000" w:themeColor="text1"/>
          <w:sz w:val="18"/>
          <w:szCs w:val="18"/>
        </w:rPr>
        <w:t xml:space="preserve">The battle </w:t>
      </w:r>
      <w:r w:rsidRPr="000045FB">
        <w:rPr>
          <w:rFonts w:ascii="Calibri" w:hAnsi="Calibri" w:cs="Calibri"/>
          <w:color w:val="000000" w:themeColor="text1"/>
          <w:sz w:val="18"/>
          <w:szCs w:val="18"/>
        </w:rPr>
        <w:t>(2008), 58-59.</w:t>
      </w:r>
    </w:p>
  </w:footnote>
  <w:footnote w:id="220">
    <w:p w14:paraId="143DD0F8" w14:textId="6D71469E"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t>91</w:t>
      </w:r>
      <w:r w:rsidRPr="00CF189D">
        <w:rPr>
          <w:rFonts w:ascii="Calibri" w:hAnsi="Calibri" w:cs="Calibri"/>
          <w:sz w:val="18"/>
          <w:szCs w:val="18"/>
        </w:rPr>
        <w:t xml:space="preserve"> </w:t>
      </w:r>
      <w:r w:rsidRPr="00681100">
        <w:rPr>
          <w:rFonts w:ascii="Calibri" w:hAnsi="Calibri" w:cs="Calibri"/>
          <w:color w:val="000000" w:themeColor="text1"/>
          <w:sz w:val="18"/>
          <w:szCs w:val="18"/>
        </w:rPr>
        <w:t xml:space="preserve">Younger SD and Zongo JB, ‘West Africa: The Onchocerciasis Control Program’, in </w:t>
      </w:r>
      <w:r w:rsidRPr="000045FB">
        <w:rPr>
          <w:rFonts w:ascii="Calibri" w:hAnsi="Calibri" w:cs="Calibri"/>
          <w:i/>
          <w:color w:val="000000" w:themeColor="text1"/>
          <w:sz w:val="18"/>
          <w:szCs w:val="18"/>
        </w:rPr>
        <w:t xml:space="preserve">Successful development in Africa: case studies of projects, programs, and policies </w:t>
      </w:r>
      <w:r w:rsidRPr="000045FB">
        <w:rPr>
          <w:rFonts w:ascii="Calibri" w:hAnsi="Calibri" w:cs="Calibri"/>
          <w:color w:val="000000" w:themeColor="text1"/>
          <w:sz w:val="18"/>
          <w:szCs w:val="18"/>
        </w:rPr>
        <w:t>(Washington DC: World Bank, 1989), 44.</w:t>
      </w:r>
    </w:p>
  </w:footnote>
  <w:footnote w:id="221">
    <w:p w14:paraId="541467C2" w14:textId="7EA9A44B" w:rsidR="00CF189D" w:rsidRPr="00546CB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WBGA, ‘Oncho AV for Janelle Winters’, [video c. 1990s, digitized September 2018]. </w:t>
      </w:r>
    </w:p>
  </w:footnote>
  <w:footnote w:id="222">
    <w:p w14:paraId="1FDE8AED" w14:textId="4920297B"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World Bank Group Archives Oral History Program, </w:t>
      </w:r>
      <w:r w:rsidRPr="00681100">
        <w:rPr>
          <w:rFonts w:ascii="Calibri" w:hAnsi="Calibri" w:cs="Calibri"/>
          <w:i/>
          <w:color w:val="000000" w:themeColor="text1"/>
          <w:sz w:val="18"/>
          <w:szCs w:val="18"/>
        </w:rPr>
        <w:t>Transcript of inte</w:t>
      </w:r>
      <w:r w:rsidRPr="000045FB">
        <w:rPr>
          <w:rFonts w:ascii="Calibri" w:hAnsi="Calibri" w:cs="Calibri"/>
          <w:i/>
          <w:color w:val="000000" w:themeColor="text1"/>
          <w:sz w:val="18"/>
          <w:szCs w:val="18"/>
        </w:rPr>
        <w:t xml:space="preserve">rview with Thomas Ambrose Blinkhorn </w:t>
      </w:r>
      <w:r w:rsidRPr="000045FB">
        <w:rPr>
          <w:rFonts w:ascii="Calibri" w:hAnsi="Calibri" w:cs="Calibri"/>
          <w:color w:val="000000" w:themeColor="text1"/>
          <w:sz w:val="18"/>
          <w:szCs w:val="18"/>
        </w:rPr>
        <w:t>(Washington DC: World Bank, 2008), 21.</w:t>
      </w:r>
    </w:p>
  </w:footnote>
  <w:footnote w:id="223">
    <w:p w14:paraId="37847419" w14:textId="2623F8CC"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For example, at a WHO African Region (AFRO) conference on onchocerciasis in Leopoldville in 1954, the proposed agenda included an evaluation of the social and economic importance of the disease (UNA, s-0053-14-7, ‘Proposed agenda for African conference on</w:t>
      </w:r>
      <w:r w:rsidRPr="000045FB">
        <w:rPr>
          <w:rFonts w:ascii="Calibri" w:hAnsi="Calibri" w:cs="Calibri"/>
          <w:color w:val="000000" w:themeColor="text1"/>
          <w:sz w:val="18"/>
          <w:szCs w:val="18"/>
        </w:rPr>
        <w:t xml:space="preserve"> onchocerciasis’, [c. 1954]). See also NA, CO 533/523/5, Wilson Sameson, ‘RE: Onchocerciasis’, 7 May 1940; UNA, s-0053-14-7, Arne Barkhuss to A.V. Kunst, ‘African conference on onchocerciasis in Leopoldville, 1-6 October 1954’, 21 July 1954.</w:t>
      </w:r>
    </w:p>
  </w:footnote>
  <w:footnote w:id="224">
    <w:p w14:paraId="6F66C04A" w14:textId="0DB7DA45"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Bump JB, </w:t>
      </w:r>
      <w:r w:rsidRPr="00681100">
        <w:rPr>
          <w:rFonts w:ascii="Calibri" w:hAnsi="Calibri" w:cs="Calibri"/>
          <w:i/>
          <w:color w:val="000000" w:themeColor="text1"/>
          <w:sz w:val="18"/>
          <w:szCs w:val="18"/>
        </w:rPr>
        <w:t>The</w:t>
      </w:r>
      <w:r w:rsidRPr="000045FB">
        <w:rPr>
          <w:rFonts w:ascii="Calibri" w:hAnsi="Calibri" w:cs="Calibri"/>
          <w:i/>
          <w:color w:val="000000" w:themeColor="text1"/>
          <w:sz w:val="18"/>
          <w:szCs w:val="18"/>
        </w:rPr>
        <w:t xml:space="preserve"> lion’s gaze: African river blindness from tropical curiosity to international development </w:t>
      </w:r>
      <w:r w:rsidRPr="000045FB">
        <w:rPr>
          <w:rFonts w:ascii="Calibri" w:hAnsi="Calibri" w:cs="Calibri"/>
          <w:color w:val="000000" w:themeColor="text1"/>
          <w:sz w:val="18"/>
          <w:szCs w:val="18"/>
        </w:rPr>
        <w:t xml:space="preserve">(PhD dissertation, Baltimore: Johns Hopkins University, 2004), 299-306. </w:t>
      </w:r>
    </w:p>
  </w:footnote>
  <w:footnote w:id="225">
    <w:p w14:paraId="196DBB54" w14:textId="38BD14D4"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Onchocerciasis Fund Agreement</w:t>
      </w:r>
      <w:r w:rsidRPr="000045FB">
        <w:rPr>
          <w:rFonts w:ascii="Calibri" w:hAnsi="Calibri" w:cs="Calibri"/>
          <w:color w:val="000000" w:themeColor="text1"/>
          <w:sz w:val="18"/>
          <w:szCs w:val="18"/>
        </w:rPr>
        <w:t xml:space="preserve"> (Washington DC: World Bank, 1975). </w:t>
      </w:r>
    </w:p>
  </w:footnote>
  <w:footnote w:id="226">
    <w:p w14:paraId="3717E463" w14:textId="4B432CF0"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footnoteRef/>
      </w:r>
      <w:r w:rsidRPr="00CF189D">
        <w:rPr>
          <w:rFonts w:ascii="Calibri" w:hAnsi="Calibri" w:cs="Calibri"/>
          <w:sz w:val="18"/>
          <w:szCs w:val="18"/>
        </w:rPr>
        <w:t xml:space="preserve"> Schmidt and Hazard explain that former French colonies, including Mali and Guinea, embraced Socialist ideologies in the mid-1960s. With the French no longer in a position to finance large-scale regional control efforts in francophone West Africa, Bump argues that the United States viewed aid to West Africa as an ideal mechanism for capitalising on natural resources and promoting capitalist development. Some USAID staff eagerly looked to the Bank as a vehicle for disease control, due to its position as a ‘skilled, apolitical international arbiter’ and because they could not increase contributions to the WHO for political reasons. See </w:t>
      </w:r>
      <w:r w:rsidRPr="00CF189D">
        <w:rPr>
          <w:rFonts w:ascii="Calibri" w:hAnsi="Calibri" w:cs="Calibri"/>
          <w:color w:val="000000" w:themeColor="text1"/>
          <w:sz w:val="18"/>
          <w:szCs w:val="18"/>
        </w:rPr>
        <w:t xml:space="preserve">Schmidt E, </w:t>
      </w:r>
      <w:r w:rsidRPr="00CF189D">
        <w:rPr>
          <w:rFonts w:ascii="Calibri" w:hAnsi="Calibri" w:cs="Calibri"/>
          <w:i/>
          <w:color w:val="000000" w:themeColor="text1"/>
          <w:sz w:val="18"/>
          <w:szCs w:val="18"/>
        </w:rPr>
        <w:t xml:space="preserve">Cold War and Decolonization in Guinea, 1946-1958 </w:t>
      </w:r>
      <w:r w:rsidRPr="00CF189D">
        <w:rPr>
          <w:rFonts w:ascii="Calibri" w:hAnsi="Calibri" w:cs="Calibri"/>
          <w:color w:val="000000" w:themeColor="text1"/>
          <w:sz w:val="18"/>
          <w:szCs w:val="18"/>
        </w:rPr>
        <w:t xml:space="preserve">(Athens: Ohio University Press, 2007); Hazard JN, ‘Marxian socialism in Africa: the case of Mali’, </w:t>
      </w:r>
      <w:r w:rsidRPr="00CF189D">
        <w:rPr>
          <w:rFonts w:ascii="Calibri" w:hAnsi="Calibri" w:cs="Calibri"/>
          <w:i/>
          <w:color w:val="000000" w:themeColor="text1"/>
          <w:sz w:val="18"/>
          <w:szCs w:val="18"/>
        </w:rPr>
        <w:t xml:space="preserve">Comparative Politics </w:t>
      </w:r>
      <w:r w:rsidRPr="00CF189D">
        <w:rPr>
          <w:rFonts w:ascii="Calibri" w:hAnsi="Calibri" w:cs="Calibri"/>
          <w:color w:val="000000" w:themeColor="text1"/>
          <w:sz w:val="18"/>
          <w:szCs w:val="18"/>
        </w:rPr>
        <w:t xml:space="preserve">2:1 (1969), 1-15; Bump, </w:t>
      </w:r>
      <w:r w:rsidRPr="00CF189D">
        <w:rPr>
          <w:rFonts w:ascii="Calibri" w:hAnsi="Calibri" w:cs="Calibri"/>
          <w:i/>
          <w:iCs/>
          <w:color w:val="000000" w:themeColor="text1"/>
          <w:sz w:val="18"/>
          <w:szCs w:val="18"/>
        </w:rPr>
        <w:t xml:space="preserve">Lion’s gaze </w:t>
      </w:r>
      <w:r w:rsidRPr="00CF189D">
        <w:rPr>
          <w:rFonts w:ascii="Calibri" w:hAnsi="Calibri" w:cs="Calibri"/>
          <w:color w:val="000000" w:themeColor="text1"/>
          <w:sz w:val="18"/>
          <w:szCs w:val="18"/>
        </w:rPr>
        <w:t>(2004), 308.</w:t>
      </w:r>
    </w:p>
  </w:footnote>
  <w:footnote w:id="227">
    <w:p w14:paraId="09D6F5C0" w14:textId="7ABF97FD"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footnoteRef/>
      </w:r>
      <w:r w:rsidRPr="00CF189D">
        <w:rPr>
          <w:rFonts w:ascii="Calibri" w:hAnsi="Calibri" w:cs="Calibri"/>
          <w:sz w:val="18"/>
          <w:szCs w:val="18"/>
        </w:rPr>
        <w:t xml:space="preserve"> McNamara adopted a poverty alleviation agenda and new management approach, in which poverty was re-conceptualised as a condition of individuals (rather than a product of states and poor national economic growth) and institutionalised within new geographic departments at the Bank (Bump, </w:t>
      </w:r>
      <w:r w:rsidRPr="00CF189D">
        <w:rPr>
          <w:rFonts w:ascii="Calibri" w:hAnsi="Calibri" w:cs="Calibri"/>
          <w:i/>
          <w:iCs/>
          <w:sz w:val="18"/>
          <w:szCs w:val="18"/>
        </w:rPr>
        <w:t xml:space="preserve">Lion’s gaze </w:t>
      </w:r>
      <w:r w:rsidRPr="00CF189D">
        <w:rPr>
          <w:rFonts w:ascii="Calibri" w:hAnsi="Calibri" w:cs="Calibri"/>
          <w:sz w:val="18"/>
          <w:szCs w:val="18"/>
        </w:rPr>
        <w:t xml:space="preserve">[2004], 311). </w:t>
      </w:r>
      <w:r w:rsidRPr="00681100">
        <w:rPr>
          <w:rFonts w:ascii="Calibri" w:hAnsi="Calibri" w:cs="Calibri"/>
          <w:color w:val="000000" w:themeColor="text1"/>
          <w:sz w:val="18"/>
          <w:szCs w:val="18"/>
        </w:rPr>
        <w:t xml:space="preserve">For more on the McNamara’s administration’s transition in viewing international development and poverty alleviation from a ‘trickle down’ to a human capital perspective, see Sharma PA, </w:t>
      </w:r>
      <w:r w:rsidRPr="00681100">
        <w:rPr>
          <w:rFonts w:ascii="Calibri" w:hAnsi="Calibri" w:cs="Calibri"/>
          <w:i/>
          <w:color w:val="000000" w:themeColor="text1"/>
          <w:sz w:val="18"/>
          <w:szCs w:val="18"/>
        </w:rPr>
        <w:t>Robert M</w:t>
      </w:r>
      <w:r w:rsidRPr="000045FB">
        <w:rPr>
          <w:rFonts w:ascii="Calibri" w:hAnsi="Calibri" w:cs="Calibri"/>
          <w:i/>
          <w:color w:val="000000" w:themeColor="text1"/>
          <w:sz w:val="18"/>
          <w:szCs w:val="18"/>
        </w:rPr>
        <w:t xml:space="preserve">cNamara’s other war: the World Bank and international development </w:t>
      </w:r>
      <w:r w:rsidRPr="000045FB">
        <w:rPr>
          <w:rFonts w:ascii="Calibri" w:hAnsi="Calibri" w:cs="Calibri"/>
          <w:color w:val="000000" w:themeColor="text1"/>
          <w:sz w:val="18"/>
          <w:szCs w:val="18"/>
        </w:rPr>
        <w:t xml:space="preserve">(Philadelphia: University of Pennsylvania, 2017), 54-75; Kapur  et al., </w:t>
      </w:r>
      <w:r w:rsidRPr="00581494">
        <w:rPr>
          <w:rFonts w:ascii="Calibri" w:hAnsi="Calibri" w:cs="Calibri"/>
          <w:i/>
          <w:color w:val="000000" w:themeColor="text1"/>
          <w:sz w:val="18"/>
          <w:szCs w:val="18"/>
        </w:rPr>
        <w:t xml:space="preserve">The World Bank: its first half century, Vol. 1 </w:t>
      </w:r>
      <w:r w:rsidRPr="00581494">
        <w:rPr>
          <w:rFonts w:ascii="Calibri" w:hAnsi="Calibri" w:cs="Calibri"/>
          <w:color w:val="000000" w:themeColor="text1"/>
          <w:sz w:val="18"/>
          <w:szCs w:val="18"/>
        </w:rPr>
        <w:t>(Washington DC: Brookings Institution Press, 1997), 51-55, 215-330; Kanbur R and Vines D, ‘The World Bank and poverty reduction: past,</w:t>
      </w:r>
      <w:r w:rsidRPr="00E259AA">
        <w:rPr>
          <w:rFonts w:ascii="Calibri" w:hAnsi="Calibri" w:cs="Calibri"/>
          <w:color w:val="000000" w:themeColor="text1"/>
          <w:sz w:val="18"/>
          <w:szCs w:val="18"/>
        </w:rPr>
        <w:t xml:space="preserve"> present and future’, in CL Gilbert and D Vines (Eds.), </w:t>
      </w:r>
      <w:r w:rsidRPr="00E259AA">
        <w:rPr>
          <w:rFonts w:ascii="Calibri" w:hAnsi="Calibri" w:cs="Calibri"/>
          <w:i/>
          <w:color w:val="000000" w:themeColor="text1"/>
          <w:sz w:val="18"/>
          <w:szCs w:val="18"/>
        </w:rPr>
        <w:t xml:space="preserve">The World Bank: structure and policies </w:t>
      </w:r>
      <w:r w:rsidRPr="00E259AA">
        <w:rPr>
          <w:rFonts w:ascii="Calibri" w:hAnsi="Calibri" w:cs="Calibri"/>
          <w:color w:val="000000" w:themeColor="text1"/>
          <w:sz w:val="18"/>
          <w:szCs w:val="18"/>
        </w:rPr>
        <w:t xml:space="preserve">(Cambridge University Press: 2000), 87-107; Gibbon P, ‘The World Bank and African Poverty, 1973-91’, </w:t>
      </w:r>
      <w:r w:rsidRPr="00E259AA">
        <w:rPr>
          <w:rFonts w:ascii="Calibri" w:hAnsi="Calibri" w:cs="Calibri"/>
          <w:i/>
          <w:color w:val="000000" w:themeColor="text1"/>
          <w:sz w:val="18"/>
          <w:szCs w:val="18"/>
        </w:rPr>
        <w:t xml:space="preserve">Journal of Modern African Studies </w:t>
      </w:r>
      <w:r w:rsidRPr="00E259AA">
        <w:rPr>
          <w:rFonts w:ascii="Calibri" w:hAnsi="Calibri" w:cs="Calibri"/>
          <w:color w:val="000000" w:themeColor="text1"/>
          <w:sz w:val="18"/>
          <w:szCs w:val="18"/>
        </w:rPr>
        <w:t xml:space="preserve">30:2 (1992), 193-220; Clark W, ‘Robert McNamara at the World Bank’, </w:t>
      </w:r>
      <w:r w:rsidRPr="00E259AA">
        <w:rPr>
          <w:rFonts w:ascii="Calibri" w:hAnsi="Calibri" w:cs="Calibri"/>
          <w:i/>
          <w:color w:val="000000" w:themeColor="text1"/>
          <w:sz w:val="18"/>
          <w:szCs w:val="18"/>
        </w:rPr>
        <w:t xml:space="preserve">Foreign Affairs </w:t>
      </w:r>
      <w:r w:rsidRPr="00E259AA">
        <w:rPr>
          <w:rFonts w:ascii="Calibri" w:hAnsi="Calibri" w:cs="Calibri"/>
          <w:color w:val="000000" w:themeColor="text1"/>
          <w:sz w:val="18"/>
          <w:szCs w:val="18"/>
        </w:rPr>
        <w:t xml:space="preserve">60:1 (1981), 167-184; Finnemore M, ‘Redefining Development at the World Bank’, in F Cooper and R Packard (Eds.), </w:t>
      </w:r>
      <w:r w:rsidRPr="00E259AA">
        <w:rPr>
          <w:rFonts w:ascii="Calibri" w:hAnsi="Calibri" w:cs="Calibri"/>
          <w:i/>
          <w:color w:val="000000" w:themeColor="text1"/>
          <w:sz w:val="18"/>
          <w:szCs w:val="18"/>
        </w:rPr>
        <w:t>International development and the social sciences: essays on the history and politics</w:t>
      </w:r>
      <w:r w:rsidRPr="00DE5E29">
        <w:rPr>
          <w:rFonts w:ascii="Calibri" w:hAnsi="Calibri" w:cs="Calibri"/>
          <w:i/>
          <w:color w:val="000000" w:themeColor="text1"/>
          <w:sz w:val="18"/>
          <w:szCs w:val="18"/>
        </w:rPr>
        <w:t xml:space="preserve"> of knowledge </w:t>
      </w:r>
      <w:r w:rsidRPr="00DE5E29">
        <w:rPr>
          <w:rFonts w:ascii="Calibri" w:hAnsi="Calibri" w:cs="Calibri"/>
          <w:color w:val="000000" w:themeColor="text1"/>
          <w:sz w:val="18"/>
          <w:szCs w:val="18"/>
        </w:rPr>
        <w:t xml:space="preserve">(Berkeley: University of California Press, 1997), 203-227. </w:t>
      </w:r>
    </w:p>
  </w:footnote>
  <w:footnote w:id="228">
    <w:p w14:paraId="32A22583" w14:textId="144D318E"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footnoteRef/>
      </w:r>
      <w:r w:rsidRPr="00CF189D">
        <w:rPr>
          <w:rFonts w:ascii="Calibri" w:hAnsi="Calibri" w:cs="Calibri"/>
          <w:sz w:val="18"/>
          <w:szCs w:val="18"/>
        </w:rPr>
        <w:t xml:space="preserve"> Some senior staff at the Bank, USAID, </w:t>
      </w:r>
      <w:r w:rsidRPr="00681100">
        <w:rPr>
          <w:rFonts w:ascii="Calibri" w:hAnsi="Calibri" w:cs="Calibri"/>
          <w:sz w:val="18"/>
          <w:szCs w:val="18"/>
        </w:rPr>
        <w:t xml:space="preserve">UNDP, FAO, </w:t>
      </w:r>
      <w:r w:rsidRPr="00CF189D">
        <w:rPr>
          <w:rFonts w:ascii="Calibri" w:hAnsi="Calibri" w:cs="Calibri"/>
          <w:sz w:val="18"/>
          <w:szCs w:val="18"/>
        </w:rPr>
        <w:t xml:space="preserve">and WHO were interested in quantifying the link between health and economic development. Representatives from these agencies began to meet about onchocerciasis and economic models in 1966, at the suggestion of the WHO and USAID. See Bump, </w:t>
      </w:r>
      <w:r w:rsidRPr="00CF189D">
        <w:rPr>
          <w:rFonts w:ascii="Calibri" w:hAnsi="Calibri" w:cs="Calibri"/>
          <w:i/>
          <w:iCs/>
          <w:sz w:val="18"/>
          <w:szCs w:val="18"/>
        </w:rPr>
        <w:t xml:space="preserve">Lion’s gaze </w:t>
      </w:r>
      <w:r w:rsidRPr="00CF189D">
        <w:rPr>
          <w:rFonts w:ascii="Calibri" w:hAnsi="Calibri" w:cs="Calibri"/>
          <w:sz w:val="18"/>
          <w:szCs w:val="18"/>
        </w:rPr>
        <w:t>(2004), 332, 335, 346-347.</w:t>
      </w:r>
    </w:p>
  </w:footnote>
  <w:footnote w:id="229">
    <w:p w14:paraId="21B84535" w14:textId="66509843"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Bump, </w:t>
      </w:r>
      <w:r w:rsidRPr="00681100">
        <w:rPr>
          <w:rFonts w:ascii="Calibri" w:hAnsi="Calibri" w:cs="Calibri"/>
          <w:i/>
          <w:color w:val="000000" w:themeColor="text1"/>
          <w:sz w:val="18"/>
          <w:szCs w:val="18"/>
        </w:rPr>
        <w:t xml:space="preserve">Lion’s gaze </w:t>
      </w:r>
      <w:r w:rsidRPr="000045FB">
        <w:rPr>
          <w:rFonts w:ascii="Calibri" w:hAnsi="Calibri" w:cs="Calibri"/>
          <w:color w:val="000000" w:themeColor="text1"/>
          <w:sz w:val="18"/>
          <w:szCs w:val="18"/>
        </w:rPr>
        <w:t>(2004), 304-305, 324-325.</w:t>
      </w:r>
    </w:p>
  </w:footnote>
  <w:footnote w:id="230">
    <w:p w14:paraId="03E43E7C" w14:textId="7901117D"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Bump, </w:t>
      </w:r>
      <w:r w:rsidRPr="00681100">
        <w:rPr>
          <w:rFonts w:ascii="Calibri" w:hAnsi="Calibri" w:cs="Calibri"/>
          <w:i/>
          <w:color w:val="000000" w:themeColor="text1"/>
          <w:sz w:val="18"/>
          <w:szCs w:val="18"/>
        </w:rPr>
        <w:t xml:space="preserve">Lion’s gaze </w:t>
      </w:r>
      <w:r w:rsidRPr="000045FB">
        <w:rPr>
          <w:rFonts w:ascii="Calibri" w:hAnsi="Calibri" w:cs="Calibri"/>
          <w:color w:val="000000" w:themeColor="text1"/>
          <w:sz w:val="18"/>
          <w:szCs w:val="18"/>
        </w:rPr>
        <w:t>(2004)</w:t>
      </w:r>
      <w:r w:rsidRPr="000045FB">
        <w:rPr>
          <w:rFonts w:ascii="Calibri" w:hAnsi="Calibri" w:cs="Calibri"/>
          <w:i/>
          <w:color w:val="000000" w:themeColor="text1"/>
          <w:sz w:val="18"/>
          <w:szCs w:val="18"/>
        </w:rPr>
        <w:t>,</w:t>
      </w:r>
      <w:r w:rsidRPr="000045FB">
        <w:rPr>
          <w:rFonts w:ascii="Calibri" w:hAnsi="Calibri" w:cs="Calibri"/>
          <w:color w:val="000000" w:themeColor="text1"/>
          <w:sz w:val="18"/>
          <w:szCs w:val="18"/>
        </w:rPr>
        <w:t xml:space="preserve"> 306-308.</w:t>
      </w:r>
    </w:p>
  </w:footnote>
  <w:footnote w:id="231">
    <w:p w14:paraId="663DD99C" w14:textId="29CCA3AD"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Bump, </w:t>
      </w:r>
      <w:r w:rsidRPr="00681100">
        <w:rPr>
          <w:rFonts w:ascii="Calibri" w:hAnsi="Calibri" w:cs="Calibri"/>
          <w:i/>
          <w:color w:val="000000" w:themeColor="text1"/>
          <w:sz w:val="18"/>
          <w:szCs w:val="18"/>
        </w:rPr>
        <w:t xml:space="preserve">Lion’s gaze </w:t>
      </w:r>
      <w:r w:rsidRPr="000045FB">
        <w:rPr>
          <w:rFonts w:ascii="Calibri" w:hAnsi="Calibri" w:cs="Calibri"/>
          <w:color w:val="000000" w:themeColor="text1"/>
          <w:sz w:val="18"/>
          <w:szCs w:val="18"/>
        </w:rPr>
        <w:t>(2004)</w:t>
      </w:r>
      <w:r w:rsidRPr="000045FB">
        <w:rPr>
          <w:rFonts w:ascii="Calibri" w:hAnsi="Calibri" w:cs="Calibri"/>
          <w:i/>
          <w:color w:val="000000" w:themeColor="text1"/>
          <w:sz w:val="18"/>
          <w:szCs w:val="18"/>
        </w:rPr>
        <w:t>,</w:t>
      </w:r>
      <w:r w:rsidRPr="000045FB">
        <w:rPr>
          <w:rFonts w:ascii="Calibri" w:hAnsi="Calibri" w:cs="Calibri"/>
          <w:color w:val="000000" w:themeColor="text1"/>
          <w:sz w:val="18"/>
          <w:szCs w:val="18"/>
        </w:rPr>
        <w:t xml:space="preserve"> 317-318.</w:t>
      </w:r>
    </w:p>
  </w:footnote>
  <w:footnote w:id="232">
    <w:p w14:paraId="6DD22935" w14:textId="6BABF7B3"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WHOA, O8-372-3, Leonard Rist to N. Ansari, 8 February 1967.</w:t>
      </w:r>
    </w:p>
  </w:footnote>
  <w:footnote w:id="233">
    <w:p w14:paraId="074B524E" w14:textId="4560AC09"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See Bump, </w:t>
      </w:r>
      <w:r w:rsidRPr="00681100">
        <w:rPr>
          <w:rFonts w:ascii="Calibri" w:hAnsi="Calibri" w:cs="Calibri"/>
          <w:i/>
          <w:color w:val="000000" w:themeColor="text1"/>
          <w:sz w:val="18"/>
          <w:szCs w:val="18"/>
        </w:rPr>
        <w:t xml:space="preserve">Lion’s gaze </w:t>
      </w:r>
      <w:r w:rsidRPr="000045FB">
        <w:rPr>
          <w:rFonts w:ascii="Calibri" w:hAnsi="Calibri" w:cs="Calibri"/>
          <w:color w:val="000000" w:themeColor="text1"/>
          <w:sz w:val="18"/>
          <w:szCs w:val="18"/>
        </w:rPr>
        <w:t>(2004), 328.</w:t>
      </w:r>
    </w:p>
  </w:footnote>
  <w:footnote w:id="234">
    <w:p w14:paraId="6FA13693" w14:textId="73DDA889"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Bump, </w:t>
      </w:r>
      <w:r w:rsidRPr="00681100">
        <w:rPr>
          <w:rFonts w:ascii="Calibri" w:hAnsi="Calibri" w:cs="Calibri"/>
          <w:i/>
          <w:color w:val="000000" w:themeColor="text1"/>
          <w:sz w:val="18"/>
          <w:szCs w:val="18"/>
        </w:rPr>
        <w:t xml:space="preserve">Lion’s gaze </w:t>
      </w:r>
      <w:r w:rsidRPr="000045FB">
        <w:rPr>
          <w:rFonts w:ascii="Calibri" w:hAnsi="Calibri" w:cs="Calibri"/>
          <w:color w:val="000000" w:themeColor="text1"/>
          <w:sz w:val="18"/>
          <w:szCs w:val="18"/>
        </w:rPr>
        <w:t>(2004), 327.</w:t>
      </w:r>
    </w:p>
  </w:footnote>
  <w:footnote w:id="235">
    <w:p w14:paraId="16B7A71B" w14:textId="4A0892D0"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Bump</w:t>
      </w:r>
      <w:r w:rsidRPr="000045FB">
        <w:rPr>
          <w:rFonts w:ascii="Calibri" w:hAnsi="Calibri" w:cs="Calibri"/>
          <w:color w:val="000000" w:themeColor="text1"/>
          <w:sz w:val="18"/>
          <w:szCs w:val="18"/>
        </w:rPr>
        <w:t xml:space="preserve">, </w:t>
      </w:r>
      <w:r w:rsidRPr="000045FB">
        <w:rPr>
          <w:rFonts w:ascii="Calibri" w:hAnsi="Calibri" w:cs="Calibri"/>
          <w:i/>
          <w:color w:val="000000" w:themeColor="text1"/>
          <w:sz w:val="18"/>
          <w:szCs w:val="18"/>
        </w:rPr>
        <w:t xml:space="preserve">Lion’s gaze </w:t>
      </w:r>
      <w:r w:rsidRPr="000045FB">
        <w:rPr>
          <w:rFonts w:ascii="Calibri" w:hAnsi="Calibri" w:cs="Calibri"/>
          <w:color w:val="000000" w:themeColor="text1"/>
          <w:sz w:val="18"/>
          <w:szCs w:val="18"/>
        </w:rPr>
        <w:t>(2004)</w:t>
      </w:r>
      <w:r w:rsidRPr="00581494">
        <w:rPr>
          <w:rFonts w:ascii="Calibri" w:hAnsi="Calibri" w:cs="Calibri"/>
          <w:i/>
          <w:color w:val="000000" w:themeColor="text1"/>
          <w:sz w:val="18"/>
          <w:szCs w:val="18"/>
        </w:rPr>
        <w:t>,</w:t>
      </w:r>
      <w:r w:rsidRPr="00581494">
        <w:rPr>
          <w:rFonts w:ascii="Calibri" w:hAnsi="Calibri" w:cs="Calibri"/>
          <w:color w:val="000000" w:themeColor="text1"/>
          <w:sz w:val="18"/>
          <w:szCs w:val="18"/>
        </w:rPr>
        <w:t xml:space="preserve"> 329.</w:t>
      </w:r>
    </w:p>
  </w:footnote>
  <w:footnote w:id="236">
    <w:p w14:paraId="74712841" w14:textId="2D20C023"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See, for instance, WHOA, O8-372-3, N. Ansari to Leonard Rist, 14 March 1967; WHOA, O8-372-</w:t>
      </w:r>
      <w:r w:rsidRPr="000045FB">
        <w:rPr>
          <w:rFonts w:ascii="Calibri" w:hAnsi="Calibri" w:cs="Calibri"/>
          <w:color w:val="000000" w:themeColor="text1"/>
          <w:sz w:val="18"/>
          <w:szCs w:val="18"/>
        </w:rPr>
        <w:t>3, N. Ansari to Leonard Rist, 16 February 1968; WHOA, O8-372-3, N. Ansari to André Maillard, 21 January 1970; UNA, s-0553-14-6, N. Ansari to Ralph Townley, 1 February 1972.</w:t>
      </w:r>
    </w:p>
  </w:footnote>
  <w:footnote w:id="237">
    <w:p w14:paraId="34223D93" w14:textId="734F5879"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Bump, </w:t>
      </w:r>
      <w:r w:rsidRPr="00681100">
        <w:rPr>
          <w:rFonts w:ascii="Calibri" w:hAnsi="Calibri" w:cs="Calibri"/>
          <w:i/>
          <w:color w:val="000000" w:themeColor="text1"/>
          <w:sz w:val="18"/>
          <w:szCs w:val="18"/>
        </w:rPr>
        <w:t xml:space="preserve">Lion’s gaze </w:t>
      </w:r>
      <w:r w:rsidRPr="000045FB">
        <w:rPr>
          <w:rFonts w:ascii="Calibri" w:hAnsi="Calibri" w:cs="Calibri"/>
          <w:color w:val="000000" w:themeColor="text1"/>
          <w:sz w:val="18"/>
          <w:szCs w:val="18"/>
        </w:rPr>
        <w:t>(2004), 333; WHOA, O8-372-3, Jkt 1, C.W. Gockel to Mr. Steward, 4 March 1968.</w:t>
      </w:r>
    </w:p>
  </w:footnote>
  <w:footnote w:id="238">
    <w:p w14:paraId="20A102E7" w14:textId="2F838FA7"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Bump, </w:t>
      </w:r>
      <w:r w:rsidRPr="00681100">
        <w:rPr>
          <w:rFonts w:ascii="Calibri" w:hAnsi="Calibri" w:cs="Calibri"/>
          <w:i/>
          <w:color w:val="000000" w:themeColor="text1"/>
          <w:sz w:val="18"/>
          <w:szCs w:val="18"/>
        </w:rPr>
        <w:t xml:space="preserve">Lion’s gaze </w:t>
      </w:r>
      <w:r w:rsidRPr="000045FB">
        <w:rPr>
          <w:rFonts w:ascii="Calibri" w:hAnsi="Calibri" w:cs="Calibri"/>
          <w:color w:val="000000" w:themeColor="text1"/>
          <w:sz w:val="18"/>
          <w:szCs w:val="18"/>
        </w:rPr>
        <w:t>(2004)</w:t>
      </w:r>
      <w:r w:rsidRPr="000045FB">
        <w:rPr>
          <w:rFonts w:ascii="Calibri" w:hAnsi="Calibri" w:cs="Calibri"/>
          <w:i/>
          <w:color w:val="000000" w:themeColor="text1"/>
          <w:sz w:val="18"/>
          <w:szCs w:val="18"/>
        </w:rPr>
        <w:t>,</w:t>
      </w:r>
      <w:r w:rsidRPr="000045FB">
        <w:rPr>
          <w:rFonts w:ascii="Calibri" w:hAnsi="Calibri" w:cs="Calibri"/>
          <w:color w:val="000000" w:themeColor="text1"/>
          <w:sz w:val="18"/>
          <w:szCs w:val="18"/>
        </w:rPr>
        <w:t xml:space="preserve"> 335.</w:t>
      </w:r>
    </w:p>
  </w:footnote>
  <w:footnote w:id="239">
    <w:p w14:paraId="5F362AF0" w14:textId="5B380191"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Bump, </w:t>
      </w:r>
      <w:r w:rsidRPr="00681100">
        <w:rPr>
          <w:rFonts w:ascii="Calibri" w:hAnsi="Calibri" w:cs="Calibri"/>
          <w:i/>
          <w:color w:val="000000" w:themeColor="text1"/>
          <w:sz w:val="18"/>
          <w:szCs w:val="18"/>
        </w:rPr>
        <w:t xml:space="preserve">Lion’s gaze </w:t>
      </w:r>
      <w:r w:rsidRPr="000045FB">
        <w:rPr>
          <w:rFonts w:ascii="Calibri" w:hAnsi="Calibri" w:cs="Calibri"/>
          <w:color w:val="000000" w:themeColor="text1"/>
          <w:sz w:val="18"/>
          <w:szCs w:val="18"/>
        </w:rPr>
        <w:t>(2004)</w:t>
      </w:r>
      <w:r w:rsidRPr="000045FB">
        <w:rPr>
          <w:rFonts w:ascii="Calibri" w:hAnsi="Calibri" w:cs="Calibri"/>
          <w:i/>
          <w:color w:val="000000" w:themeColor="text1"/>
          <w:sz w:val="18"/>
          <w:szCs w:val="18"/>
        </w:rPr>
        <w:t>,</w:t>
      </w:r>
      <w:r w:rsidRPr="000045FB">
        <w:rPr>
          <w:rFonts w:ascii="Calibri" w:hAnsi="Calibri" w:cs="Calibri"/>
          <w:color w:val="000000" w:themeColor="text1"/>
          <w:sz w:val="18"/>
          <w:szCs w:val="18"/>
        </w:rPr>
        <w:t xml:space="preserve"> 348.</w:t>
      </w:r>
    </w:p>
  </w:footnote>
  <w:footnote w:id="240">
    <w:p w14:paraId="10E79470" w14:textId="1511610F"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Major prospective donors with funds earmarked for development included Canada, France, and the United States. Bump, </w:t>
      </w:r>
      <w:r w:rsidRPr="000045FB">
        <w:rPr>
          <w:rFonts w:ascii="Calibri" w:hAnsi="Calibri" w:cs="Calibri"/>
          <w:i/>
          <w:color w:val="000000" w:themeColor="text1"/>
          <w:sz w:val="18"/>
          <w:szCs w:val="18"/>
        </w:rPr>
        <w:t xml:space="preserve">Lion’s gaze </w:t>
      </w:r>
      <w:r w:rsidRPr="000045FB">
        <w:rPr>
          <w:rFonts w:ascii="Calibri" w:hAnsi="Calibri" w:cs="Calibri"/>
          <w:color w:val="000000" w:themeColor="text1"/>
          <w:sz w:val="18"/>
          <w:szCs w:val="18"/>
        </w:rPr>
        <w:t>(2004), 356-356, 350-352.</w:t>
      </w:r>
    </w:p>
  </w:footnote>
  <w:footnote w:id="241">
    <w:p w14:paraId="1F363BF8" w14:textId="4F14CBFF"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Bump, </w:t>
      </w:r>
      <w:r w:rsidRPr="00681100">
        <w:rPr>
          <w:rFonts w:ascii="Calibri" w:hAnsi="Calibri" w:cs="Calibri"/>
          <w:i/>
          <w:color w:val="000000" w:themeColor="text1"/>
          <w:sz w:val="18"/>
          <w:szCs w:val="18"/>
        </w:rPr>
        <w:t>Lion’s gaze</w:t>
      </w:r>
      <w:r w:rsidRPr="000045FB">
        <w:rPr>
          <w:rFonts w:ascii="Calibri" w:hAnsi="Calibri" w:cs="Calibri"/>
          <w:i/>
          <w:color w:val="000000" w:themeColor="text1"/>
          <w:sz w:val="18"/>
          <w:szCs w:val="18"/>
        </w:rPr>
        <w:t xml:space="preserve"> </w:t>
      </w:r>
      <w:r w:rsidRPr="000045FB">
        <w:rPr>
          <w:rFonts w:ascii="Calibri" w:hAnsi="Calibri" w:cs="Calibri"/>
          <w:color w:val="000000" w:themeColor="text1"/>
          <w:sz w:val="18"/>
          <w:szCs w:val="18"/>
        </w:rPr>
        <w:t>(2004), 357.</w:t>
      </w:r>
    </w:p>
  </w:footnote>
  <w:footnote w:id="242">
    <w:p w14:paraId="7EA7642B" w14:textId="4CF615BD"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WHOA, O8-372-3, John C. de Wilde to N. Ansari, 29 April 1972 and 1 June 1971; WHOA, O8-372-3, N. Ansari to John C. de Wilde, 1 July 1971; Bump, </w:t>
      </w:r>
      <w:r w:rsidRPr="00681100">
        <w:rPr>
          <w:rFonts w:ascii="Calibri" w:hAnsi="Calibri" w:cs="Calibri"/>
          <w:i/>
          <w:color w:val="000000" w:themeColor="text1"/>
          <w:sz w:val="18"/>
          <w:szCs w:val="18"/>
        </w:rPr>
        <w:t xml:space="preserve">Lion’s gaze </w:t>
      </w:r>
      <w:r w:rsidRPr="000045FB">
        <w:rPr>
          <w:rFonts w:ascii="Calibri" w:hAnsi="Calibri" w:cs="Calibri"/>
          <w:color w:val="000000" w:themeColor="text1"/>
          <w:sz w:val="18"/>
          <w:szCs w:val="18"/>
        </w:rPr>
        <w:t>(2004), 360-361.</w:t>
      </w:r>
    </w:p>
  </w:footnote>
  <w:footnote w:id="243">
    <w:p w14:paraId="782ADAF6" w14:textId="6A8F9808"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UNA, s-0553-14-6, Leon Segal, Memorandum, 3 April 1972.</w:t>
      </w:r>
    </w:p>
  </w:footnote>
  <w:footnote w:id="244">
    <w:p w14:paraId="3E4E96B1" w14:textId="77777777" w:rsidR="00CF189D" w:rsidRPr="000045FB" w:rsidRDefault="00CF189D" w:rsidP="00806523">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Bump, </w:t>
      </w:r>
      <w:r w:rsidRPr="00681100">
        <w:rPr>
          <w:rFonts w:ascii="Calibri" w:hAnsi="Calibri" w:cs="Calibri"/>
          <w:i/>
          <w:color w:val="000000" w:themeColor="text1"/>
          <w:sz w:val="18"/>
          <w:szCs w:val="18"/>
        </w:rPr>
        <w:t>The lion’s gaze</w:t>
      </w:r>
      <w:r w:rsidRPr="000045FB">
        <w:rPr>
          <w:rFonts w:ascii="Calibri" w:hAnsi="Calibri" w:cs="Calibri"/>
          <w:color w:val="000000" w:themeColor="text1"/>
          <w:sz w:val="18"/>
          <w:szCs w:val="18"/>
        </w:rPr>
        <w:t xml:space="preserve"> (2004), 335.</w:t>
      </w:r>
    </w:p>
  </w:footnote>
  <w:footnote w:id="245">
    <w:p w14:paraId="1F1EFDAA" w14:textId="43CF9B20"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See WBGA, 1082632, ‘From the President, control of oncho in Western Africa’, 16 April 1973; WBGA, 1434979, ‘IBRD press release - grand strategy against river blindness: Volta river basin target for $120 million campaign’, 5 September 1973.</w:t>
      </w:r>
    </w:p>
  </w:footnote>
  <w:footnote w:id="246">
    <w:p w14:paraId="51067197" w14:textId="7777777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Bump, </w:t>
      </w:r>
      <w:r w:rsidRPr="00681100">
        <w:rPr>
          <w:rFonts w:ascii="Calibri" w:hAnsi="Calibri" w:cs="Calibri"/>
          <w:i/>
          <w:color w:val="000000" w:themeColor="text1"/>
          <w:sz w:val="18"/>
          <w:szCs w:val="18"/>
        </w:rPr>
        <w:t xml:space="preserve">Lion’s </w:t>
      </w:r>
      <w:r w:rsidRPr="000045FB">
        <w:rPr>
          <w:rFonts w:ascii="Calibri" w:hAnsi="Calibri" w:cs="Calibri"/>
          <w:i/>
          <w:color w:val="000000" w:themeColor="text1"/>
          <w:sz w:val="18"/>
          <w:szCs w:val="18"/>
        </w:rPr>
        <w:t xml:space="preserve">gaze </w:t>
      </w:r>
      <w:r w:rsidRPr="000045FB">
        <w:rPr>
          <w:rFonts w:ascii="Calibri" w:hAnsi="Calibri" w:cs="Calibri"/>
          <w:color w:val="000000" w:themeColor="text1"/>
          <w:sz w:val="18"/>
          <w:szCs w:val="18"/>
        </w:rPr>
        <w:t>(2004), 364.</w:t>
      </w:r>
    </w:p>
  </w:footnote>
  <w:footnote w:id="247">
    <w:p w14:paraId="4F09B8FE" w14:textId="49F99299"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See, for instance, Fair M, </w:t>
      </w:r>
      <w:r w:rsidRPr="00681100">
        <w:rPr>
          <w:rFonts w:ascii="Calibri" w:hAnsi="Calibri" w:cs="Calibri"/>
          <w:i/>
          <w:color w:val="000000" w:themeColor="text1"/>
          <w:sz w:val="18"/>
          <w:szCs w:val="18"/>
        </w:rPr>
        <w:t>From population lending to HNP results: the evolution of the World Bank’s strategies in Health, Nutrition</w:t>
      </w:r>
      <w:r w:rsidRPr="000045FB">
        <w:rPr>
          <w:rFonts w:ascii="Calibri" w:hAnsi="Calibri" w:cs="Calibri"/>
          <w:i/>
          <w:color w:val="000000" w:themeColor="text1"/>
          <w:sz w:val="18"/>
          <w:szCs w:val="18"/>
        </w:rPr>
        <w:t xml:space="preserve"> and Population </w:t>
      </w:r>
      <w:r w:rsidRPr="000045FB">
        <w:rPr>
          <w:rFonts w:ascii="Calibri" w:hAnsi="Calibri" w:cs="Calibri"/>
          <w:color w:val="000000" w:themeColor="text1"/>
          <w:sz w:val="18"/>
          <w:szCs w:val="18"/>
        </w:rPr>
        <w:t xml:space="preserve">(Washington DC: World Bank, 2008); World Bank, </w:t>
      </w:r>
      <w:r w:rsidRPr="000045FB">
        <w:rPr>
          <w:rFonts w:ascii="Calibri" w:hAnsi="Calibri" w:cs="Calibri"/>
          <w:i/>
          <w:color w:val="000000" w:themeColor="text1"/>
          <w:sz w:val="18"/>
          <w:szCs w:val="18"/>
        </w:rPr>
        <w:t xml:space="preserve">Health sector policy paper </w:t>
      </w:r>
      <w:r w:rsidRPr="00581494">
        <w:rPr>
          <w:rFonts w:ascii="Calibri" w:hAnsi="Calibri" w:cs="Calibri"/>
          <w:color w:val="000000" w:themeColor="text1"/>
          <w:sz w:val="18"/>
          <w:szCs w:val="18"/>
        </w:rPr>
        <w:t>(Washington DC: World Bank, 1980).</w:t>
      </w:r>
    </w:p>
  </w:footnote>
  <w:footnote w:id="248">
    <w:p w14:paraId="430AC8B5" w14:textId="0BCF0BD9"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WBGA, 1082693, ‘Report of the preparatory assistance mission to the Volta River basin’, 1973, 2; WHOL, OCP/EAC4.1 (OCP 83.11), Annex 93, ‘Objectives’, 1983.</w:t>
      </w:r>
    </w:p>
  </w:footnote>
  <w:footnote w:id="249">
    <w:p w14:paraId="0FC298D4" w14:textId="1D42A8AC"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Terms of reference for the preparatory mission were initially agreed upon in July 1970, including by the Bank. See WBGA, 1082632, ‘From the president: control of oncho in Western Africa’, 16 April 1973.</w:t>
      </w:r>
    </w:p>
  </w:footnote>
  <w:footnote w:id="250">
    <w:p w14:paraId="376DC506" w14:textId="45564D2C"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WHOA, O8-372-3, John C. de Wilde to N. Ansari, 29 April 1972 and 1 June 1971.</w:t>
      </w:r>
    </w:p>
  </w:footnote>
  <w:footnote w:id="251">
    <w:p w14:paraId="387EEAA4" w14:textId="77777777" w:rsidR="00CF189D" w:rsidRPr="00CF189D" w:rsidRDefault="00CF189D" w:rsidP="0040520E">
      <w:pPr>
        <w:pStyle w:val="FootnoteText"/>
        <w:rPr>
          <w:rFonts w:ascii="Calibri" w:hAnsi="Calibri" w:cs="Calibri"/>
          <w:sz w:val="18"/>
          <w:szCs w:val="18"/>
          <w:lang w:val="en-US"/>
        </w:rPr>
      </w:pPr>
      <w:r w:rsidRPr="00CF189D">
        <w:rPr>
          <w:rStyle w:val="FootnoteReference"/>
          <w:rFonts w:ascii="Calibri" w:hAnsi="Calibri" w:cs="Calibri"/>
          <w:sz w:val="18"/>
          <w:szCs w:val="18"/>
        </w:rPr>
        <w:footnoteRef/>
      </w:r>
      <w:r w:rsidRPr="00CF189D">
        <w:rPr>
          <w:rFonts w:ascii="Calibri" w:hAnsi="Calibri" w:cs="Calibri"/>
          <w:sz w:val="18"/>
          <w:szCs w:val="18"/>
        </w:rPr>
        <w:t xml:space="preserve"> Mills A, ‘Leopard or chameleon? The changing character of international health economics’, </w:t>
      </w:r>
      <w:r w:rsidRPr="00CF189D">
        <w:rPr>
          <w:rFonts w:ascii="Calibri" w:hAnsi="Calibri" w:cs="Calibri"/>
          <w:i/>
          <w:iCs/>
          <w:sz w:val="18"/>
          <w:szCs w:val="18"/>
        </w:rPr>
        <w:t xml:space="preserve">Tropical Medicine and International Health </w:t>
      </w:r>
      <w:r w:rsidRPr="00CF189D">
        <w:rPr>
          <w:rFonts w:ascii="Calibri" w:hAnsi="Calibri" w:cs="Calibri"/>
          <w:sz w:val="18"/>
          <w:szCs w:val="18"/>
        </w:rPr>
        <w:t>2:10 (1997), 963-977.</w:t>
      </w:r>
    </w:p>
  </w:footnote>
  <w:footnote w:id="252">
    <w:p w14:paraId="5E3DEB90" w14:textId="0F8901B6"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footnoteRef/>
      </w:r>
      <w:r w:rsidRPr="00CF189D">
        <w:rPr>
          <w:rFonts w:ascii="Calibri" w:hAnsi="Calibri" w:cs="Calibri"/>
          <w:sz w:val="18"/>
          <w:szCs w:val="18"/>
        </w:rPr>
        <w:t xml:space="preserve"> </w:t>
      </w:r>
      <w:r w:rsidRPr="00CF189D">
        <w:rPr>
          <w:rFonts w:ascii="Calibri" w:hAnsi="Calibri" w:cs="Calibri"/>
          <w:sz w:val="18"/>
          <w:szCs w:val="18"/>
          <w:lang w:val="en-US"/>
        </w:rPr>
        <w:t>Mills A, ‘Leopard or chameleon?’ (1997), 966-967.</w:t>
      </w:r>
    </w:p>
  </w:footnote>
  <w:footnote w:id="253">
    <w:p w14:paraId="04BBF59F" w14:textId="746BAE2F"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WHOA, O8-372-3, Peter F. Betsche to John Lawton, [1972].</w:t>
      </w:r>
    </w:p>
  </w:footnote>
  <w:footnote w:id="254">
    <w:p w14:paraId="39CA9AAC" w14:textId="619AF200"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WBGA, 1082693, ‘Report of the preparatory assistance mission to the Volta River basin’, 1973, 33-36.</w:t>
      </w:r>
    </w:p>
  </w:footnote>
  <w:footnote w:id="255">
    <w:p w14:paraId="2C9C8984" w14:textId="69C3266E"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For details on this calculation, see WBGA, 1082693, ‘Report of the preparatory assistance mission to the Volta River basin, 1973, 72; WBGA,</w:t>
      </w:r>
      <w:r w:rsidRPr="000045FB">
        <w:rPr>
          <w:rFonts w:ascii="Calibri" w:hAnsi="Calibri" w:cs="Calibri"/>
          <w:color w:val="000000" w:themeColor="text1"/>
          <w:sz w:val="18"/>
          <w:szCs w:val="18"/>
        </w:rPr>
        <w:t xml:space="preserve"> 1046782, Nick Prescott to J. Warford, 5 January 1981.</w:t>
      </w:r>
    </w:p>
  </w:footnote>
  <w:footnote w:id="256">
    <w:p w14:paraId="0C545D0E" w14:textId="1763F609"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WBGA, 1082693, ‘Report of the preparatory assistance mission to the Volta River basin’, 1973, 66-72; WBGA, 1082632, ‘Meeting on control of onchocerciasis in West Africa, chairman’s report of proceedi</w:t>
      </w:r>
      <w:r w:rsidRPr="000045FB">
        <w:rPr>
          <w:rFonts w:ascii="Calibri" w:hAnsi="Calibri" w:cs="Calibri"/>
          <w:color w:val="000000" w:themeColor="text1"/>
          <w:sz w:val="18"/>
          <w:szCs w:val="18"/>
        </w:rPr>
        <w:t>ngs’, 11 September 1973.</w:t>
      </w:r>
    </w:p>
  </w:footnote>
  <w:footnote w:id="257">
    <w:p w14:paraId="680DF8D7" w14:textId="084BD148"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WHOA, O8-372-3, ‘McNamara – from the president, control of onchocerciasis in Western Africa, draft EPWright:Vr’, 16 November 1973.</w:t>
      </w:r>
    </w:p>
  </w:footnote>
  <w:footnote w:id="258">
    <w:p w14:paraId="7B1041C5" w14:textId="53325E51"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WBGA, 1434979, ‘IBRD press release - grand strategy against river blindness: Volta River basin t</w:t>
      </w:r>
      <w:r w:rsidRPr="000045FB">
        <w:rPr>
          <w:rFonts w:ascii="Calibri" w:hAnsi="Calibri" w:cs="Calibri"/>
          <w:color w:val="000000" w:themeColor="text1"/>
          <w:sz w:val="18"/>
          <w:szCs w:val="18"/>
        </w:rPr>
        <w:t>arget for $120 million campaign’, 5 September 1973.</w:t>
      </w:r>
    </w:p>
  </w:footnote>
  <w:footnote w:id="259">
    <w:p w14:paraId="39B81176" w14:textId="5AEB443C"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Bump, </w:t>
      </w:r>
      <w:r w:rsidRPr="00681100">
        <w:rPr>
          <w:rFonts w:ascii="Calibri" w:hAnsi="Calibri" w:cs="Calibri"/>
          <w:i/>
          <w:color w:val="000000" w:themeColor="text1"/>
          <w:sz w:val="18"/>
          <w:szCs w:val="18"/>
        </w:rPr>
        <w:t xml:space="preserve">Lion’s gaze </w:t>
      </w:r>
      <w:r w:rsidRPr="000045FB">
        <w:rPr>
          <w:rFonts w:ascii="Calibri" w:hAnsi="Calibri" w:cs="Calibri"/>
          <w:color w:val="000000" w:themeColor="text1"/>
          <w:sz w:val="18"/>
          <w:szCs w:val="18"/>
        </w:rPr>
        <w:t>(2004), 371.</w:t>
      </w:r>
    </w:p>
  </w:footnote>
  <w:footnote w:id="260">
    <w:p w14:paraId="4D042E3E" w14:textId="48F6DF68"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footnoteRef/>
      </w:r>
      <w:r w:rsidRPr="00CF189D">
        <w:rPr>
          <w:rFonts w:ascii="Calibri" w:hAnsi="Calibri" w:cs="Calibri"/>
          <w:sz w:val="18"/>
          <w:szCs w:val="18"/>
        </w:rPr>
        <w:t xml:space="preserve"> </w:t>
      </w:r>
      <w:r w:rsidRPr="00CF189D">
        <w:rPr>
          <w:rFonts w:ascii="Calibri" w:hAnsi="Calibri" w:cs="Calibri"/>
          <w:sz w:val="18"/>
          <w:szCs w:val="18"/>
          <w:lang w:val="en-US"/>
        </w:rPr>
        <w:t xml:space="preserve">See </w:t>
      </w:r>
      <w:r w:rsidRPr="00681100">
        <w:rPr>
          <w:rFonts w:ascii="Calibri" w:hAnsi="Calibri" w:cs="Calibri"/>
          <w:color w:val="000000" w:themeColor="text1"/>
          <w:sz w:val="18"/>
          <w:szCs w:val="18"/>
        </w:rPr>
        <w:t xml:space="preserve">McNamara R, ‘To the Board of Governors, Washington DC, September 30, 1968’ in </w:t>
      </w:r>
      <w:r w:rsidRPr="00681100">
        <w:rPr>
          <w:rFonts w:ascii="Calibri" w:hAnsi="Calibri" w:cs="Calibri"/>
          <w:i/>
          <w:color w:val="000000" w:themeColor="text1"/>
          <w:sz w:val="18"/>
          <w:szCs w:val="18"/>
        </w:rPr>
        <w:t>The McNamara years at the Wor</w:t>
      </w:r>
      <w:r w:rsidRPr="000045FB">
        <w:rPr>
          <w:rFonts w:ascii="Calibri" w:hAnsi="Calibri" w:cs="Calibri"/>
          <w:i/>
          <w:color w:val="000000" w:themeColor="text1"/>
          <w:sz w:val="18"/>
          <w:szCs w:val="18"/>
        </w:rPr>
        <w:t>ld Bank: major policy addresses of Robert S. McNamara 1968-1981</w:t>
      </w:r>
      <w:r w:rsidRPr="000045FB">
        <w:rPr>
          <w:rFonts w:ascii="Calibri" w:hAnsi="Calibri" w:cs="Calibri"/>
          <w:color w:val="000000" w:themeColor="text1"/>
          <w:sz w:val="18"/>
          <w:szCs w:val="18"/>
        </w:rPr>
        <w:t xml:space="preserve"> (Baltimore: Johns Hopkins University Press and the World Bank, 1981), 12; </w:t>
      </w:r>
      <w:r w:rsidRPr="00581494">
        <w:rPr>
          <w:rFonts w:ascii="Calibri" w:hAnsi="Calibri" w:cs="Calibri"/>
          <w:color w:val="000000" w:themeColor="text1"/>
          <w:sz w:val="18"/>
          <w:szCs w:val="18"/>
        </w:rPr>
        <w:t xml:space="preserve">Bump, </w:t>
      </w:r>
      <w:r w:rsidRPr="00581494">
        <w:rPr>
          <w:rFonts w:ascii="Calibri" w:hAnsi="Calibri" w:cs="Calibri"/>
          <w:i/>
          <w:iCs/>
          <w:color w:val="000000" w:themeColor="text1"/>
          <w:sz w:val="18"/>
          <w:szCs w:val="18"/>
        </w:rPr>
        <w:t xml:space="preserve">Lion’s gaze </w:t>
      </w:r>
      <w:r w:rsidRPr="00581494">
        <w:rPr>
          <w:rFonts w:ascii="Calibri" w:hAnsi="Calibri" w:cs="Calibri"/>
          <w:color w:val="000000" w:themeColor="text1"/>
          <w:sz w:val="18"/>
          <w:szCs w:val="18"/>
        </w:rPr>
        <w:t>(2004), 346-37.</w:t>
      </w:r>
      <w:r w:rsidRPr="00E259AA">
        <w:rPr>
          <w:rFonts w:ascii="Calibri" w:hAnsi="Calibri" w:cs="Calibri"/>
          <w:color w:val="000000" w:themeColor="text1"/>
          <w:sz w:val="18"/>
          <w:szCs w:val="18"/>
        </w:rPr>
        <w:t xml:space="preserve"> Sharma describes the Bank’s struggle to reconcile its poverty lending and growth promotion agendas in the 1970s, and its push of the concepts of political will and productivity (Sharma, </w:t>
      </w:r>
      <w:r w:rsidRPr="00E259AA">
        <w:rPr>
          <w:rFonts w:ascii="Calibri" w:hAnsi="Calibri" w:cs="Calibri"/>
          <w:i/>
          <w:iCs/>
          <w:color w:val="000000" w:themeColor="text1"/>
          <w:sz w:val="18"/>
          <w:szCs w:val="18"/>
        </w:rPr>
        <w:t xml:space="preserve">Robert McNamara’s </w:t>
      </w:r>
      <w:r w:rsidRPr="00E259AA">
        <w:rPr>
          <w:rFonts w:ascii="Calibri" w:hAnsi="Calibri" w:cs="Calibri"/>
          <w:color w:val="000000" w:themeColor="text1"/>
          <w:sz w:val="18"/>
          <w:szCs w:val="18"/>
        </w:rPr>
        <w:t>[2017], 68-72). Kanbur and Vines further describe the role of McNamara in the rapid growth of ‘poverty projects’ and the 1976 ‘basic needs’ approach; they argue that this approac</w:t>
      </w:r>
      <w:r w:rsidRPr="00DE5E29">
        <w:rPr>
          <w:rFonts w:ascii="Calibri" w:hAnsi="Calibri" w:cs="Calibri"/>
          <w:color w:val="000000" w:themeColor="text1"/>
          <w:sz w:val="18"/>
          <w:szCs w:val="18"/>
        </w:rPr>
        <w:t>h shifted towards the adjustment period in the early 1980s, due to a change in Bank presidents, poor performance of poverty lending, and external shocks (Kanbur and Vines, ‘The World Bank’ [2000], 96-98).</w:t>
      </w:r>
    </w:p>
  </w:footnote>
  <w:footnote w:id="261">
    <w:p w14:paraId="6184BDCE" w14:textId="32085CB5"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See, for instance, WHOA, O8-372-3, Peter F. Betsche to John Lawton, [1972].</w:t>
      </w:r>
    </w:p>
  </w:footnote>
  <w:footnote w:id="262">
    <w:p w14:paraId="75D467BB" w14:textId="649C2E2A"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Figure 3.1 and Table 3.1 summarise the relationships and general functions of each OCP structural body.</w:t>
      </w:r>
    </w:p>
  </w:footnote>
  <w:footnote w:id="263">
    <w:p w14:paraId="67AE19CD" w14:textId="18CFDF7F" w:rsidR="00CF189D" w:rsidRPr="00546CB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 xml:space="preserve">Onchocerciasis Fund Agreement </w:t>
      </w:r>
      <w:r w:rsidRPr="000045FB">
        <w:rPr>
          <w:rFonts w:ascii="Calibri" w:hAnsi="Calibri" w:cs="Calibri"/>
          <w:color w:val="000000" w:themeColor="text1"/>
          <w:sz w:val="18"/>
          <w:szCs w:val="18"/>
        </w:rPr>
        <w:t>(Washington DC: World Bank, 1975); Appendix V</w:t>
      </w:r>
      <w:r w:rsidRPr="00546CBA">
        <w:rPr>
          <w:rFonts w:ascii="Calibri" w:hAnsi="Calibri" w:cs="Calibri"/>
          <w:color w:val="000000" w:themeColor="text1"/>
          <w:sz w:val="18"/>
          <w:szCs w:val="18"/>
        </w:rPr>
        <w:t>.</w:t>
      </w:r>
    </w:p>
  </w:footnote>
  <w:footnote w:id="264">
    <w:p w14:paraId="1D20C955" w14:textId="004BF2F1" w:rsidR="00CF189D" w:rsidRPr="00546CB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 xml:space="preserve">Onchocerciasis Fund Agreement </w:t>
      </w:r>
      <w:r w:rsidRPr="000045FB">
        <w:rPr>
          <w:rFonts w:ascii="Calibri" w:hAnsi="Calibri" w:cs="Calibri"/>
          <w:color w:val="000000" w:themeColor="text1"/>
          <w:sz w:val="18"/>
          <w:szCs w:val="18"/>
        </w:rPr>
        <w:t>(Washington DC: World Bank, 1979); Appendix V</w:t>
      </w:r>
      <w:r w:rsidRPr="00546CBA">
        <w:rPr>
          <w:rFonts w:ascii="Calibri" w:hAnsi="Calibri" w:cs="Calibri"/>
          <w:color w:val="000000" w:themeColor="text1"/>
          <w:sz w:val="18"/>
          <w:szCs w:val="18"/>
        </w:rPr>
        <w:t>.</w:t>
      </w:r>
    </w:p>
  </w:footnote>
  <w:footnote w:id="265">
    <w:p w14:paraId="0DD87F06" w14:textId="3237EE7C"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WHOL, OCP/EAC4.1 (OCP 83.11), Annex 93, ‘Objectives’, 1983.</w:t>
      </w:r>
    </w:p>
  </w:footnote>
  <w:footnote w:id="266">
    <w:p w14:paraId="458DC50C" w14:textId="1756FEFE" w:rsidR="00CF189D" w:rsidRPr="00546CB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 xml:space="preserve">Onchocerciasis Fund Agreement </w:t>
      </w:r>
      <w:r w:rsidRPr="000045FB">
        <w:rPr>
          <w:rFonts w:ascii="Calibri" w:hAnsi="Calibri" w:cs="Calibri"/>
          <w:color w:val="000000" w:themeColor="text1"/>
          <w:sz w:val="18"/>
          <w:szCs w:val="18"/>
        </w:rPr>
        <w:t>(Washington DC: World Bank, 1986); Appendix V</w:t>
      </w:r>
      <w:r w:rsidRPr="00546CBA">
        <w:rPr>
          <w:rFonts w:ascii="Calibri" w:hAnsi="Calibri" w:cs="Calibri"/>
          <w:color w:val="000000" w:themeColor="text1"/>
          <w:sz w:val="18"/>
          <w:szCs w:val="18"/>
        </w:rPr>
        <w:t>.</w:t>
      </w:r>
    </w:p>
  </w:footnote>
  <w:footnote w:id="267">
    <w:p w14:paraId="6ACD3C37" w14:textId="1784B837" w:rsidR="00CF189D" w:rsidRPr="00546CB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 xml:space="preserve">Onchocerciasis Fund Agreement </w:t>
      </w:r>
      <w:r w:rsidRPr="000045FB">
        <w:rPr>
          <w:rFonts w:ascii="Calibri" w:hAnsi="Calibri" w:cs="Calibri"/>
          <w:color w:val="000000" w:themeColor="text1"/>
          <w:sz w:val="18"/>
          <w:szCs w:val="18"/>
        </w:rPr>
        <w:t>(Washington DC: World Bank, 1992); Appendix V</w:t>
      </w:r>
      <w:r w:rsidRPr="00546CBA">
        <w:rPr>
          <w:rFonts w:ascii="Calibri" w:hAnsi="Calibri" w:cs="Calibri"/>
          <w:color w:val="000000" w:themeColor="text1"/>
          <w:sz w:val="18"/>
          <w:szCs w:val="18"/>
        </w:rPr>
        <w:t>.</w:t>
      </w:r>
    </w:p>
  </w:footnote>
  <w:footnote w:id="268">
    <w:p w14:paraId="3D3041AB" w14:textId="480DE4DE" w:rsidR="00CF189D" w:rsidRPr="00546CB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 xml:space="preserve">Onchocerciasis Fund Agreement </w:t>
      </w:r>
      <w:r w:rsidRPr="000045FB">
        <w:rPr>
          <w:rFonts w:ascii="Calibri" w:hAnsi="Calibri" w:cs="Calibri"/>
          <w:color w:val="000000" w:themeColor="text1"/>
          <w:sz w:val="18"/>
          <w:szCs w:val="18"/>
        </w:rPr>
        <w:t>(1975); Appendix V</w:t>
      </w:r>
      <w:r w:rsidRPr="00546CBA">
        <w:rPr>
          <w:rFonts w:ascii="Calibri" w:hAnsi="Calibri" w:cs="Calibri"/>
          <w:color w:val="000000" w:themeColor="text1"/>
          <w:sz w:val="18"/>
          <w:szCs w:val="18"/>
        </w:rPr>
        <w:t>.</w:t>
      </w:r>
    </w:p>
  </w:footnote>
  <w:footnote w:id="269">
    <w:p w14:paraId="7F54050C" w14:textId="4C55C491"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WHOL, OCP/EAC4.1 (OCP 83.11), Annex 93, ‘Objectives’, 1983.</w:t>
      </w:r>
    </w:p>
  </w:footnote>
  <w:footnote w:id="270">
    <w:p w14:paraId="5552ABF2" w14:textId="41ECC9F7" w:rsidR="00CF189D" w:rsidRPr="00546CB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Onchocercias</w:t>
      </w:r>
      <w:r w:rsidRPr="000045FB">
        <w:rPr>
          <w:rFonts w:ascii="Calibri" w:hAnsi="Calibri" w:cs="Calibri"/>
          <w:i/>
          <w:color w:val="000000" w:themeColor="text1"/>
          <w:sz w:val="18"/>
          <w:szCs w:val="18"/>
        </w:rPr>
        <w:t xml:space="preserve">is Fund Agreement </w:t>
      </w:r>
      <w:r w:rsidRPr="000045FB">
        <w:rPr>
          <w:rFonts w:ascii="Calibri" w:hAnsi="Calibri" w:cs="Calibri"/>
          <w:color w:val="000000" w:themeColor="text1"/>
          <w:sz w:val="18"/>
          <w:szCs w:val="18"/>
        </w:rPr>
        <w:t>(1979); Appendix V</w:t>
      </w:r>
      <w:r w:rsidRPr="00546CBA">
        <w:rPr>
          <w:rFonts w:ascii="Calibri" w:hAnsi="Calibri" w:cs="Calibri"/>
          <w:color w:val="000000" w:themeColor="text1"/>
          <w:sz w:val="18"/>
          <w:szCs w:val="18"/>
        </w:rPr>
        <w:t>.</w:t>
      </w:r>
    </w:p>
  </w:footnote>
  <w:footnote w:id="271">
    <w:p w14:paraId="6547DDD0" w14:textId="6228DC70"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WHOL, OCP/EAC4.1 (OCP 83.11), Annex 93, ‘Objectives’, 1983.</w:t>
      </w:r>
    </w:p>
  </w:footnote>
  <w:footnote w:id="272">
    <w:p w14:paraId="1115603D" w14:textId="6B79E26F" w:rsidR="00CF189D" w:rsidRPr="00546CB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 xml:space="preserve">Onchocerciasis Fund Agreement </w:t>
      </w:r>
      <w:r w:rsidRPr="000045FB">
        <w:rPr>
          <w:rFonts w:ascii="Calibri" w:hAnsi="Calibri" w:cs="Calibri"/>
          <w:color w:val="000000" w:themeColor="text1"/>
          <w:sz w:val="18"/>
          <w:szCs w:val="18"/>
        </w:rPr>
        <w:t>(1986); Appendix V</w:t>
      </w:r>
      <w:r w:rsidRPr="00546CBA">
        <w:rPr>
          <w:rFonts w:ascii="Calibri" w:hAnsi="Calibri" w:cs="Calibri"/>
          <w:color w:val="000000" w:themeColor="text1"/>
          <w:sz w:val="18"/>
          <w:szCs w:val="18"/>
        </w:rPr>
        <w:t>.</w:t>
      </w:r>
    </w:p>
  </w:footnote>
  <w:footnote w:id="273">
    <w:p w14:paraId="6E6B7CF5" w14:textId="77EE3A95" w:rsidR="00CF189D" w:rsidRPr="000045FB" w:rsidRDefault="00CF189D">
      <w:pPr>
        <w:pStyle w:val="FootnoteText"/>
        <w:rPr>
          <w:rFonts w:ascii="Calibri" w:hAnsi="Calibri" w:cs="Calibri"/>
          <w: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 xml:space="preserve">Onchocerciasis Fund Agreement </w:t>
      </w:r>
      <w:r w:rsidRPr="000045FB">
        <w:rPr>
          <w:rFonts w:ascii="Calibri" w:hAnsi="Calibri" w:cs="Calibri"/>
          <w:color w:val="000000" w:themeColor="text1"/>
          <w:sz w:val="18"/>
          <w:szCs w:val="18"/>
        </w:rPr>
        <w:t>(1992).</w:t>
      </w:r>
    </w:p>
  </w:footnote>
  <w:footnote w:id="274">
    <w:p w14:paraId="36120552" w14:textId="7E44FBEA" w:rsidR="00CF189D" w:rsidRPr="00E259AA"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NA, OD 13/22, ‘Independent Commission on the long-term prospects of the Onchocerciasis Control Programme, strategy paper: the task of the commission’, [1979]; WBGA, 1300656, ‘WHO working group of national experts on </w:t>
      </w:r>
      <w:r w:rsidRPr="000045FB">
        <w:rPr>
          <w:rFonts w:ascii="Calibri" w:hAnsi="Calibri" w:cs="Calibri"/>
          <w:color w:val="000000" w:themeColor="text1"/>
          <w:sz w:val="18"/>
          <w:szCs w:val="18"/>
        </w:rPr>
        <w:t xml:space="preserve">devolution, third meeting, Ouagadougou – synthesis report’, 24-26 April 1984, Annex I; Remme et al., ‘A force-of-infection model for onchocerciasis and its applications in the epidemiological evaluation of the Onchocerciasis Control Programme in the Volta River basin area’, </w:t>
      </w:r>
      <w:r w:rsidRPr="00581494">
        <w:rPr>
          <w:rFonts w:ascii="Calibri" w:hAnsi="Calibri" w:cs="Calibri"/>
          <w:i/>
          <w:color w:val="000000" w:themeColor="text1"/>
          <w:sz w:val="18"/>
          <w:szCs w:val="18"/>
        </w:rPr>
        <w:t>Bulletin of the WHO</w:t>
      </w:r>
      <w:r w:rsidRPr="00581494">
        <w:rPr>
          <w:rFonts w:ascii="Calibri" w:hAnsi="Calibri" w:cs="Calibri"/>
          <w:color w:val="000000" w:themeColor="text1"/>
          <w:sz w:val="18"/>
          <w:szCs w:val="18"/>
        </w:rPr>
        <w:t xml:space="preserve"> 64:5 (1986), 667-681; WHO, ‘Onchocerciasis Control Programme (OCP) in West Africa: a summary of the WHO progress report for 1987’, </w:t>
      </w:r>
      <w:r w:rsidRPr="00E259AA">
        <w:rPr>
          <w:rFonts w:ascii="Calibri" w:hAnsi="Calibri" w:cs="Calibri"/>
          <w:i/>
          <w:color w:val="000000" w:themeColor="text1"/>
          <w:sz w:val="18"/>
          <w:szCs w:val="18"/>
        </w:rPr>
        <w:t xml:space="preserve">Weekly Epidemiology Record </w:t>
      </w:r>
      <w:r w:rsidRPr="00E259AA">
        <w:rPr>
          <w:rFonts w:ascii="Calibri" w:hAnsi="Calibri" w:cs="Calibri"/>
          <w:color w:val="000000" w:themeColor="text1"/>
          <w:sz w:val="18"/>
          <w:szCs w:val="18"/>
        </w:rPr>
        <w:t>31 (29 July 1988), 233-236.</w:t>
      </w:r>
    </w:p>
  </w:footnote>
  <w:footnote w:id="275">
    <w:p w14:paraId="5412CB3D" w14:textId="77772D07"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Based on descriptions from WBGA, 1300656, ‘WHO working group of national experts on devolution, third</w:t>
      </w:r>
      <w:r w:rsidRPr="000045FB">
        <w:rPr>
          <w:rFonts w:ascii="Calibri" w:hAnsi="Calibri" w:cs="Calibri"/>
          <w:color w:val="000000" w:themeColor="text1"/>
          <w:sz w:val="18"/>
          <w:szCs w:val="18"/>
        </w:rPr>
        <w:t xml:space="preserve"> meeting, Ouagadougou – synthesis report’, 24-26 April 1984, Annex I.</w:t>
      </w:r>
    </w:p>
  </w:footnote>
  <w:footnote w:id="276">
    <w:p w14:paraId="03045080" w14:textId="7E327956" w:rsidR="00CF189D" w:rsidRPr="00581494"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Based on information from Remme et al., ‘A force-of-infection’ (1986); WHO, ‘Onchocerciasis Control Programme (OCP) in West Africa: a summary of the WHO progress report for 1987’, </w:t>
      </w:r>
      <w:r w:rsidRPr="000045FB">
        <w:rPr>
          <w:rFonts w:ascii="Calibri" w:hAnsi="Calibri" w:cs="Calibri"/>
          <w:i/>
          <w:color w:val="000000" w:themeColor="text1"/>
          <w:sz w:val="18"/>
          <w:szCs w:val="18"/>
        </w:rPr>
        <w:t xml:space="preserve">Weekly Epidemiology Record </w:t>
      </w:r>
      <w:r w:rsidRPr="000045FB">
        <w:rPr>
          <w:rFonts w:ascii="Calibri" w:hAnsi="Calibri" w:cs="Calibri"/>
          <w:color w:val="000000" w:themeColor="text1"/>
          <w:sz w:val="18"/>
          <w:szCs w:val="18"/>
        </w:rPr>
        <w:t>31 (1988), 233-236.</w:t>
      </w:r>
    </w:p>
  </w:footnote>
  <w:footnote w:id="277">
    <w:p w14:paraId="59537CFA" w14:textId="5B1CE940"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FAOA, 10-AGS-240, November 1980-February 1981, ‘Joint Programme Commission, 1</w:t>
      </w:r>
      <w:r w:rsidRPr="00681100">
        <w:rPr>
          <w:rFonts w:ascii="Calibri" w:hAnsi="Calibri" w:cs="Calibri"/>
          <w:color w:val="000000" w:themeColor="text1"/>
          <w:sz w:val="18"/>
          <w:szCs w:val="18"/>
          <w:vertAlign w:val="superscript"/>
        </w:rPr>
        <w:t>st</w:t>
      </w:r>
      <w:r w:rsidRPr="000045FB">
        <w:rPr>
          <w:rFonts w:ascii="Calibri" w:hAnsi="Calibri" w:cs="Calibri"/>
          <w:color w:val="000000" w:themeColor="text1"/>
          <w:sz w:val="18"/>
          <w:szCs w:val="18"/>
        </w:rPr>
        <w:t xml:space="preserve"> Session, Yamoussoukro, Ivory Coast, 25-27 November 1980, draft report’, 1980. </w:t>
      </w:r>
    </w:p>
  </w:footnote>
  <w:footnote w:id="278">
    <w:p w14:paraId="72EE7B14" w14:textId="06E64E1C" w:rsidR="00CF189D" w:rsidRPr="000045FB" w:rsidRDefault="00CF189D" w:rsidP="00B86D8C">
      <w:pPr>
        <w:rPr>
          <w:rFonts w:ascii="Calibri" w:hAnsi="Calibri" w:cs="Calibri"/>
          <w:bCs/>
          <w:color w:val="000000" w:themeColor="text1"/>
          <w:sz w:val="18"/>
          <w:szCs w:val="18"/>
        </w:rPr>
      </w:pPr>
      <w:r w:rsidRPr="00681100">
        <w:rPr>
          <w:rStyle w:val="FootnoteReference"/>
          <w:rFonts w:ascii="Calibri" w:hAnsi="Calibri" w:cs="Calibri"/>
          <w:color w:val="000000" w:themeColor="text1"/>
          <w:sz w:val="18"/>
          <w:szCs w:val="18"/>
        </w:rPr>
        <w:footnoteRef/>
      </w:r>
      <w:r w:rsidRPr="00681100">
        <w:rPr>
          <w:rFonts w:ascii="Calibri" w:hAnsi="Calibri" w:cs="Calibri"/>
          <w:color w:val="000000" w:themeColor="text1"/>
          <w:sz w:val="18"/>
          <w:szCs w:val="18"/>
        </w:rPr>
        <w:t xml:space="preserve"> Kelly et al., </w:t>
      </w:r>
      <w:r w:rsidRPr="00681100">
        <w:rPr>
          <w:rFonts w:ascii="Calibri" w:hAnsi="Calibri" w:cs="Calibri"/>
          <w:i/>
          <w:color w:val="000000" w:themeColor="text1"/>
          <w:sz w:val="18"/>
          <w:szCs w:val="18"/>
        </w:rPr>
        <w:t xml:space="preserve">Impact review of the Onchocerciasis </w:t>
      </w:r>
      <w:r w:rsidRPr="000045FB">
        <w:rPr>
          <w:rFonts w:ascii="Calibri" w:hAnsi="Calibri" w:cs="Calibri"/>
          <w:i/>
          <w:color w:val="000000" w:themeColor="text1"/>
          <w:sz w:val="18"/>
          <w:szCs w:val="18"/>
        </w:rPr>
        <w:t xml:space="preserve">Control Program </w:t>
      </w:r>
      <w:r w:rsidRPr="000045FB">
        <w:rPr>
          <w:rFonts w:ascii="Calibri" w:hAnsi="Calibri" w:cs="Calibri"/>
          <w:color w:val="000000" w:themeColor="text1"/>
          <w:sz w:val="18"/>
          <w:szCs w:val="18"/>
        </w:rPr>
        <w:t>(Washington DC: USAID, 1986), Appendix B.</w:t>
      </w:r>
    </w:p>
  </w:footnote>
  <w:footnote w:id="279">
    <w:p w14:paraId="760F5B33" w14:textId="7165E721"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De Sole et al., ‘Onchocerciasis distribution and severity in five West African countries’, </w:t>
      </w:r>
      <w:r w:rsidRPr="00681100">
        <w:rPr>
          <w:rFonts w:ascii="Calibri" w:hAnsi="Calibri" w:cs="Calibri"/>
          <w:i/>
          <w:color w:val="000000" w:themeColor="text1"/>
          <w:sz w:val="18"/>
          <w:szCs w:val="18"/>
        </w:rPr>
        <w:t xml:space="preserve">Bulletin of the WHO </w:t>
      </w:r>
      <w:r w:rsidRPr="00681100">
        <w:rPr>
          <w:rFonts w:ascii="Calibri" w:hAnsi="Calibri" w:cs="Calibri"/>
          <w:color w:val="000000" w:themeColor="text1"/>
          <w:sz w:val="18"/>
          <w:szCs w:val="18"/>
        </w:rPr>
        <w:t xml:space="preserve">69:6 </w:t>
      </w:r>
      <w:r w:rsidRPr="000045FB">
        <w:rPr>
          <w:rFonts w:ascii="Calibri" w:hAnsi="Calibri" w:cs="Calibri"/>
          <w:color w:val="000000" w:themeColor="text1"/>
          <w:sz w:val="18"/>
          <w:szCs w:val="18"/>
        </w:rPr>
        <w:t>(1991), 689-698.</w:t>
      </w:r>
    </w:p>
  </w:footnote>
  <w:footnote w:id="280">
    <w:p w14:paraId="462AB514" w14:textId="2F63B74D"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UNA, s-0553-14-6, Ralph Townley, ‘Memorandum on Accra Meeting</w:t>
      </w:r>
      <w:r w:rsidRPr="00681100">
        <w:rPr>
          <w:rFonts w:ascii="Calibri" w:hAnsi="Calibri" w:cs="Calibri"/>
          <w:color w:val="000000" w:themeColor="text1"/>
          <w:sz w:val="18"/>
          <w:szCs w:val="18"/>
        </w:rPr>
        <w:t xml:space="preserve">, 10-13 October 1972’, 1972. </w:t>
      </w:r>
    </w:p>
  </w:footnote>
  <w:footnote w:id="281">
    <w:p w14:paraId="6F719C5A" w14:textId="4F514F4C"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1082632, Marc Candau to Robert S. McNamara, 8 August 1974.</w:t>
      </w:r>
    </w:p>
  </w:footnote>
  <w:footnote w:id="282">
    <w:p w14:paraId="74880B99" w14:textId="6D60C5CF"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10300662, ‘The Economics of the eradication program’, [s.d.].</w:t>
      </w:r>
    </w:p>
  </w:footnote>
  <w:footnote w:id="283">
    <w:p w14:paraId="6EFCBC48" w14:textId="03053BE1"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FAOA, 1</w:t>
      </w:r>
      <w:r w:rsidRPr="00681100">
        <w:rPr>
          <w:rFonts w:ascii="Calibri" w:hAnsi="Calibri" w:cs="Calibri"/>
          <w:color w:val="000000" w:themeColor="text1"/>
          <w:sz w:val="18"/>
          <w:szCs w:val="18"/>
        </w:rPr>
        <w:t>0-AGD-405, September 1976-November 1984, David Carney, ‘Development or economic development of the oncho-freed zones of the Volta River basin – or options in-between’, 1976.</w:t>
      </w:r>
    </w:p>
  </w:footnote>
  <w:footnote w:id="284">
    <w:p w14:paraId="70D018AE" w14:textId="5EA8272A"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1170231, FAO Agricultural Services Division, ‘An introduction to socio-eco</w:t>
      </w:r>
      <w:r w:rsidRPr="00681100">
        <w:rPr>
          <w:rFonts w:ascii="Calibri" w:hAnsi="Calibri" w:cs="Calibri"/>
          <w:color w:val="000000" w:themeColor="text1"/>
          <w:sz w:val="18"/>
          <w:szCs w:val="18"/>
        </w:rPr>
        <w:t>nomic development planning and technical assistance to the onchocerciasis freed zones of the Volta River basin area (OCP)’, May 1976.</w:t>
      </w:r>
    </w:p>
  </w:footnote>
  <w:footnote w:id="285">
    <w:p w14:paraId="1C56F56A" w14:textId="14A09394"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10300662, ‘Draft, oncho control in the Volta River basin area, preparation of master plans for economic developmen</w:t>
      </w:r>
      <w:r w:rsidRPr="00681100">
        <w:rPr>
          <w:rFonts w:ascii="Calibri" w:hAnsi="Calibri" w:cs="Calibri"/>
          <w:color w:val="000000" w:themeColor="text1"/>
          <w:sz w:val="18"/>
          <w:szCs w:val="18"/>
        </w:rPr>
        <w:t>t of cleared land and of investment project proposals’, 9 August 1974.</w:t>
      </w:r>
    </w:p>
  </w:footnote>
  <w:footnote w:id="286">
    <w:p w14:paraId="4F11926A" w14:textId="371AC74F"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w:t>
      </w:r>
      <w:r w:rsidRPr="00681100">
        <w:rPr>
          <w:rFonts w:ascii="Calibri" w:hAnsi="Calibri" w:cs="Calibri"/>
          <w:color w:val="000000" w:themeColor="text1"/>
          <w:sz w:val="18"/>
          <w:szCs w:val="18"/>
        </w:rPr>
        <w:t>0339647, Samuel C. Adams, ‘EDAP 2</w:t>
      </w:r>
      <w:r w:rsidRPr="00681100">
        <w:rPr>
          <w:rFonts w:ascii="Calibri" w:hAnsi="Calibri" w:cs="Calibri"/>
          <w:color w:val="000000" w:themeColor="text1"/>
          <w:sz w:val="18"/>
          <w:szCs w:val="18"/>
          <w:vertAlign w:val="superscript"/>
        </w:rPr>
        <w:t>nd</w:t>
      </w:r>
      <w:r w:rsidRPr="000045FB">
        <w:rPr>
          <w:rFonts w:ascii="Calibri" w:hAnsi="Calibri" w:cs="Calibri"/>
          <w:color w:val="000000" w:themeColor="text1"/>
          <w:sz w:val="18"/>
          <w:szCs w:val="18"/>
        </w:rPr>
        <w:t xml:space="preserve"> meeting, Paris, October 1-2’, 1976.</w:t>
      </w:r>
    </w:p>
  </w:footnote>
  <w:footnote w:id="287">
    <w:p w14:paraId="702ABB1B" w14:textId="70572CD1"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10300662, ‘Draft, oncho control in the Volta River basin area, preparation of master plans for e</w:t>
      </w:r>
      <w:r w:rsidRPr="00681100">
        <w:rPr>
          <w:rFonts w:ascii="Calibri" w:hAnsi="Calibri" w:cs="Calibri"/>
          <w:color w:val="000000" w:themeColor="text1"/>
          <w:sz w:val="18"/>
          <w:szCs w:val="18"/>
        </w:rPr>
        <w:t>conomic development of cleared land and of investment project proposals’, 9 August 1974.</w:t>
      </w:r>
    </w:p>
  </w:footnote>
  <w:footnote w:id="288">
    <w:p w14:paraId="3258E967" w14:textId="3CFA7FDF"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10300662, C.H. Bonte-Friedheim to R.W. Phillips, [1975].</w:t>
      </w:r>
    </w:p>
  </w:footnote>
  <w:footnote w:id="289">
    <w:p w14:paraId="2A9CA4ED" w14:textId="6ACE2502"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1082632, E. Peter Wright to R. McNamara, ‘Paris Meeting on Riverblindness’, 2 July 1974.</w:t>
      </w:r>
    </w:p>
  </w:footnote>
  <w:footnote w:id="290">
    <w:p w14:paraId="566FDB02" w14:textId="51025805"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w:t>
      </w:r>
      <w:r w:rsidRPr="00681100">
        <w:rPr>
          <w:rFonts w:ascii="Calibri" w:hAnsi="Calibri" w:cs="Calibri"/>
          <w:color w:val="000000" w:themeColor="text1"/>
          <w:sz w:val="18"/>
          <w:szCs w:val="18"/>
        </w:rPr>
        <w:t>A, 1082632, E. Peter Wright to R. McNamara, ‘Paris Meeting on Riverblindness’, 2 July 1974. See also WBGA, 10300662, Dennis R. Garff to Files, ‘Onchocerciasis – Back-to-office report’, July 1975.</w:t>
      </w:r>
    </w:p>
  </w:footnote>
  <w:footnote w:id="291">
    <w:p w14:paraId="6F8F36D2" w14:textId="1D59DA69"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1082632, E. Peter Wright to R. McNamara, ‘Paris Meet</w:t>
      </w:r>
      <w:r w:rsidRPr="00681100">
        <w:rPr>
          <w:rFonts w:ascii="Calibri" w:hAnsi="Calibri" w:cs="Calibri"/>
          <w:color w:val="000000" w:themeColor="text1"/>
          <w:sz w:val="18"/>
          <w:szCs w:val="18"/>
        </w:rPr>
        <w:t>ing on Riverblindness’, 2 July 1974.</w:t>
      </w:r>
    </w:p>
  </w:footnote>
  <w:footnote w:id="292">
    <w:p w14:paraId="2C0B63B3" w14:textId="532EFFEB"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1170231, FAO Agricultural Services </w:t>
      </w:r>
      <w:r w:rsidRPr="00681100">
        <w:rPr>
          <w:rFonts w:ascii="Calibri" w:hAnsi="Calibri" w:cs="Calibri"/>
          <w:color w:val="000000" w:themeColor="text1"/>
          <w:sz w:val="18"/>
          <w:szCs w:val="18"/>
        </w:rPr>
        <w:t>Division, ‘An introduction to socio-economic development planning and technical assistance to the onchocerciasis freed zones of the Volta River basin area (OCP)’, May 1976.</w:t>
      </w:r>
    </w:p>
  </w:footnote>
  <w:footnote w:id="293">
    <w:p w14:paraId="4BFC9E19" w14:textId="09440B41"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P</w:t>
      </w:r>
      <w:r w:rsidRPr="00681100">
        <w:rPr>
          <w:rFonts w:ascii="Calibri" w:hAnsi="Calibri" w:cs="Calibri"/>
          <w:color w:val="000000" w:themeColor="text1"/>
          <w:sz w:val="18"/>
          <w:szCs w:val="18"/>
        </w:rPr>
        <w:t>aul-Marc Henry, a veteran economist from the Organisation for Economic Cooperation and Development (OECD), was selected as chairman in January 1975, but he was an ‘admiral without a fleet’ until the EDAP members were selected in 1976. See WBGA, 30339647, M</w:t>
      </w:r>
      <w:r w:rsidRPr="000045FB">
        <w:rPr>
          <w:rFonts w:ascii="Calibri" w:hAnsi="Calibri" w:cs="Calibri"/>
          <w:color w:val="000000" w:themeColor="text1"/>
          <w:sz w:val="18"/>
          <w:szCs w:val="18"/>
        </w:rPr>
        <w:t>ichael Sharpston to Stephen Denning, ‘The role of the EDAP’, 24 November 1976.</w:t>
      </w:r>
    </w:p>
  </w:footnote>
  <w:footnote w:id="294">
    <w:p w14:paraId="3549F748" w14:textId="363348AA"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10300662, Dennis R. Garff to Files, ‘Onchocerciasis – back-to-office report’, July 1975. See also WBGA, 1300644, Stephen Denning, ‘Back-to-office report’, 18 July 1975. </w:t>
      </w:r>
    </w:p>
  </w:footnote>
  <w:footnote w:id="295">
    <w:p w14:paraId="36BB719B" w14:textId="53D4069C"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1170231, FAO Agricultural Services Division, ‘An introduction to socio-</w:t>
      </w:r>
      <w:r w:rsidRPr="00681100">
        <w:rPr>
          <w:rFonts w:ascii="Calibri" w:hAnsi="Calibri" w:cs="Calibri"/>
          <w:color w:val="000000" w:themeColor="text1"/>
          <w:sz w:val="18"/>
          <w:szCs w:val="18"/>
        </w:rPr>
        <w:t>economic development planning and technical assistance to the onchocerciasis freed zones of the Volta River basin area (OCP)’, May 1976.</w:t>
      </w:r>
    </w:p>
  </w:footnote>
  <w:footnote w:id="296">
    <w:p w14:paraId="500206EC" w14:textId="1961A46E"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IBRD/IDA loans were for $900,000 to G</w:t>
      </w:r>
      <w:r w:rsidRPr="00681100">
        <w:rPr>
          <w:rFonts w:ascii="Calibri" w:hAnsi="Calibri" w:cs="Calibri"/>
          <w:color w:val="000000" w:themeColor="text1"/>
          <w:sz w:val="18"/>
          <w:szCs w:val="18"/>
        </w:rPr>
        <w:t>hana, $1.1 million to Mali, $3,000 to Togo, and $1.2 million to Upper Volta. See WBGA, 1170231, FAO Agricultural Services Division, ‘An introduction to socio-economic development planning and technical assistance to the onchocerciasis freed zones of the Vo</w:t>
      </w:r>
      <w:r w:rsidRPr="000045FB">
        <w:rPr>
          <w:rFonts w:ascii="Calibri" w:hAnsi="Calibri" w:cs="Calibri"/>
          <w:color w:val="000000" w:themeColor="text1"/>
          <w:sz w:val="18"/>
          <w:szCs w:val="18"/>
        </w:rPr>
        <w:t>lta River basin area (OCP)’, May 1976.</w:t>
      </w:r>
    </w:p>
  </w:footnote>
  <w:footnote w:id="297">
    <w:p w14:paraId="78D06DBD" w14:textId="6A1B7EAC"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USAID’s proposed planning project was ‘</w:t>
      </w:r>
      <w:r w:rsidRPr="00681100">
        <w:rPr>
          <w:rFonts w:ascii="Calibri" w:hAnsi="Calibri" w:cs="Calibri"/>
          <w:color w:val="000000" w:themeColor="text1"/>
          <w:sz w:val="18"/>
          <w:szCs w:val="18"/>
        </w:rPr>
        <w:t xml:space="preserve">ROAP’ (the Regional Onchocerciasis Assistance Program). See WBGA, 1170231, FAO Agricultural Services Division, ‘An introduction to socio-economic development planning and technical assistance to the onchocerciasis freed zones of the Volta River basin area </w:t>
      </w:r>
      <w:r w:rsidRPr="000045FB">
        <w:rPr>
          <w:rFonts w:ascii="Calibri" w:hAnsi="Calibri" w:cs="Calibri"/>
          <w:color w:val="000000" w:themeColor="text1"/>
          <w:sz w:val="18"/>
          <w:szCs w:val="18"/>
        </w:rPr>
        <w:t>(OCP)’, May 1976.</w:t>
      </w:r>
    </w:p>
  </w:footnote>
  <w:footnote w:id="298">
    <w:p w14:paraId="2819EA73" w14:textId="3DF0BDE0"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The gross investment required for full development of the Sahel over thirty years was estimated at $15 billion. See WBGA, 30339647, Samuel C. Adams, ‘EDAP 2</w:t>
      </w:r>
      <w:r w:rsidRPr="00546CBA">
        <w:rPr>
          <w:rFonts w:ascii="Calibri" w:hAnsi="Calibri" w:cs="Calibri"/>
          <w:color w:val="000000" w:themeColor="text1"/>
          <w:sz w:val="18"/>
          <w:szCs w:val="18"/>
          <w:vertAlign w:val="superscript"/>
        </w:rPr>
        <w:t>nd</w:t>
      </w:r>
      <w:r w:rsidRPr="00546CBA">
        <w:rPr>
          <w:rFonts w:ascii="Calibri" w:hAnsi="Calibri" w:cs="Calibri"/>
          <w:color w:val="000000" w:themeColor="text1"/>
          <w:sz w:val="18"/>
          <w:szCs w:val="18"/>
        </w:rPr>
        <w:t xml:space="preserve"> meeting, Paris, October 1-2 1976’, 1976.</w:t>
      </w:r>
    </w:p>
  </w:footnote>
  <w:footnote w:id="299">
    <w:p w14:paraId="05441586" w14:textId="406E90C5"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1170231, E. Peter Wri</w:t>
      </w:r>
      <w:r w:rsidRPr="00681100">
        <w:rPr>
          <w:rFonts w:ascii="Calibri" w:hAnsi="Calibri" w:cs="Calibri"/>
          <w:color w:val="000000" w:themeColor="text1"/>
          <w:sz w:val="18"/>
          <w:szCs w:val="18"/>
        </w:rPr>
        <w:t>ght to Paul-Marc Henry, 14 January 1976.</w:t>
      </w:r>
    </w:p>
  </w:footnote>
  <w:footnote w:id="300">
    <w:p w14:paraId="1FFA5DB2" w14:textId="4DFB225F"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The exact details of this fiasco are unclear; it appears that Henry offered unsolicited advice about development to Malian authorities, and was dramatically rebuffed.</w:t>
      </w:r>
    </w:p>
  </w:footnote>
  <w:footnote w:id="301">
    <w:p w14:paraId="62E928FD" w14:textId="5298ECDF"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1170231, F</w:t>
      </w:r>
      <w:r w:rsidRPr="00681100">
        <w:rPr>
          <w:rFonts w:ascii="Calibri" w:hAnsi="Calibri" w:cs="Calibri"/>
          <w:color w:val="000000" w:themeColor="text1"/>
          <w:sz w:val="18"/>
          <w:szCs w:val="18"/>
        </w:rPr>
        <w:t>AO Agricultural Services Division, ‘An introduction to socio-economic development planning and technical assistance to the onchocerciasis freed zones of the Volta River basin area (OCP)’, May 1976.</w:t>
      </w:r>
    </w:p>
  </w:footnote>
  <w:footnote w:id="302">
    <w:p w14:paraId="2B949A5C" w14:textId="4DDFC48C"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30339647, Michael Sharpston to Stephen Denning, ‘T</w:t>
      </w:r>
      <w:r w:rsidRPr="00681100">
        <w:rPr>
          <w:rFonts w:ascii="Calibri" w:hAnsi="Calibri" w:cs="Calibri"/>
          <w:color w:val="000000" w:themeColor="text1"/>
          <w:sz w:val="18"/>
          <w:szCs w:val="18"/>
        </w:rPr>
        <w:t>he role of the EDAP’, 24 November 1976.</w:t>
      </w:r>
    </w:p>
  </w:footnote>
  <w:footnote w:id="303">
    <w:p w14:paraId="51D836DA" w14:textId="2D0A78E8"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1170231, FAO Agricultural Services Division, ‘An introduction to socio-economic development planning and technical assistance to the onchocerciasis freed zones of the Volta River basin area (OCP)’, May 1976.</w:t>
      </w:r>
    </w:p>
  </w:footnote>
  <w:footnote w:id="304">
    <w:p w14:paraId="3318F599" w14:textId="1BBE32CC"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WBGA, D81087, Huntley </w:t>
      </w:r>
      <w:r w:rsidRPr="00681100">
        <w:rPr>
          <w:rFonts w:ascii="Calibri" w:hAnsi="Calibri" w:cs="Calibri"/>
          <w:color w:val="000000" w:themeColor="text1"/>
          <w:sz w:val="18"/>
          <w:szCs w:val="18"/>
        </w:rPr>
        <w:t>Consultants, ‘SED studies in the OCP area – final report’, 1986.</w:t>
      </w:r>
    </w:p>
  </w:footnote>
  <w:footnote w:id="305">
    <w:p w14:paraId="18E9B968" w14:textId="00EFB1B7"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1170231, FAO Agricultural Services Division, ‘An introduction to socio-economic development planning and technical assistance to the onchocerciasis freed z</w:t>
      </w:r>
      <w:r w:rsidRPr="00681100">
        <w:rPr>
          <w:rFonts w:ascii="Calibri" w:hAnsi="Calibri" w:cs="Calibri"/>
          <w:color w:val="000000" w:themeColor="text1"/>
          <w:sz w:val="18"/>
          <w:szCs w:val="18"/>
        </w:rPr>
        <w:t>ones of the Volta River basin area (OCP)’, May 1976.</w:t>
      </w:r>
    </w:p>
  </w:footnote>
  <w:footnote w:id="306">
    <w:p w14:paraId="597A88AC" w14:textId="670FCCD0"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The Chairman cited the failure of schemes in Kainji, Nigeria and Gonja, Ghana, in particular. WBGA, 1300644, Robert Smith, ‘Comments on aspects of land settlement in areas freed from onchocerciasis’, A</w:t>
      </w:r>
      <w:r w:rsidRPr="00681100">
        <w:rPr>
          <w:rFonts w:ascii="Calibri" w:hAnsi="Calibri" w:cs="Calibri"/>
          <w:color w:val="000000" w:themeColor="text1"/>
          <w:sz w:val="18"/>
          <w:szCs w:val="18"/>
        </w:rPr>
        <w:t>pril 1976.</w:t>
      </w:r>
    </w:p>
  </w:footnote>
  <w:footnote w:id="307">
    <w:p w14:paraId="4CDA09AC" w14:textId="4ABF084E"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1170231, </w:t>
      </w:r>
      <w:r w:rsidRPr="00681100">
        <w:rPr>
          <w:rFonts w:ascii="Calibri" w:hAnsi="Calibri" w:cs="Calibri"/>
          <w:color w:val="000000" w:themeColor="text1"/>
          <w:sz w:val="18"/>
          <w:szCs w:val="18"/>
        </w:rPr>
        <w:t>Robert Smith, ‘Report on visit to Onchocerciasis Control Programme, West Africa, March 30 – April 11, 1976’, April 1976.</w:t>
      </w:r>
    </w:p>
  </w:footnote>
  <w:footnote w:id="308">
    <w:p w14:paraId="63B1E77F" w14:textId="32B80AB4"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FAOA, 10-AGD-405, September 1976-November 1984, David Carney, ‘Development or economic development of the</w:t>
      </w:r>
      <w:r w:rsidRPr="00681100">
        <w:rPr>
          <w:rFonts w:ascii="Calibri" w:hAnsi="Calibri" w:cs="Calibri"/>
          <w:color w:val="000000" w:themeColor="text1"/>
          <w:sz w:val="18"/>
          <w:szCs w:val="18"/>
        </w:rPr>
        <w:t xml:space="preserve"> oncho-freed zones of the Volta river basin – or options in-between’, 1976.</w:t>
      </w:r>
    </w:p>
  </w:footnote>
  <w:footnote w:id="309">
    <w:p w14:paraId="3B0ACF13" w14:textId="70F770FC"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1170231, FAO Agricultural Services Division, ‘An introduction to socio-economic development planning and technical assistance to the onchocerciasis freed zones of the Volta</w:t>
      </w:r>
      <w:r w:rsidRPr="00681100">
        <w:rPr>
          <w:rFonts w:ascii="Calibri" w:hAnsi="Calibri" w:cs="Calibri"/>
          <w:color w:val="000000" w:themeColor="text1"/>
          <w:sz w:val="18"/>
          <w:szCs w:val="18"/>
        </w:rPr>
        <w:t xml:space="preserve"> River basin area (OCP)’, May 1976.</w:t>
      </w:r>
    </w:p>
  </w:footnote>
  <w:footnote w:id="310">
    <w:p w14:paraId="28B6E0DF" w14:textId="4AD3DA03"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FAOA, 10-AGD-405, September 1976-November 1984, David Carney, ‘Development or economic development of the oncho-freed zones of the Volta river basin – or options in-between’, 1976.</w:t>
      </w:r>
    </w:p>
  </w:footnote>
  <w:footnote w:id="311">
    <w:p w14:paraId="0ADDA41B" w14:textId="55317990"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for instance, a Bank document </w:t>
      </w:r>
      <w:r w:rsidRPr="00681100">
        <w:rPr>
          <w:rFonts w:ascii="Calibri" w:hAnsi="Calibri" w:cs="Calibri"/>
          <w:color w:val="000000" w:themeColor="text1"/>
          <w:sz w:val="18"/>
          <w:szCs w:val="18"/>
        </w:rPr>
        <w:t>referring to countries’ view that socio-economic development is linked to general development, and should not be approached in a regional context. WBGA, 1170231, ‘Reporting on preliminary mission to countries concerned with the onchocerciasis projects’, Ju</w:t>
      </w:r>
      <w:r w:rsidRPr="000045FB">
        <w:rPr>
          <w:rFonts w:ascii="Calibri" w:hAnsi="Calibri" w:cs="Calibri"/>
          <w:color w:val="000000" w:themeColor="text1"/>
          <w:sz w:val="18"/>
          <w:szCs w:val="18"/>
        </w:rPr>
        <w:t>ne 1975.</w:t>
      </w:r>
    </w:p>
  </w:footnote>
  <w:footnote w:id="312">
    <w:p w14:paraId="73ED5228" w14:textId="55E43C0F"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WBGA, 1170231</w:t>
      </w:r>
      <w:r w:rsidRPr="00681100">
        <w:rPr>
          <w:rFonts w:ascii="Calibri" w:hAnsi="Calibri" w:cs="Calibri"/>
          <w:color w:val="000000" w:themeColor="text1"/>
          <w:sz w:val="18"/>
          <w:szCs w:val="18"/>
        </w:rPr>
        <w:t>, ‘Reporting on preliminary mission to countries concerned with the onchocerciasis projects’, June 1975; WBGA, 1170231, FAO Agricultural Services Division, ‘An introduction to socio-economic development planning and technical assistance to the onchocercias</w:t>
      </w:r>
      <w:r w:rsidRPr="000045FB">
        <w:rPr>
          <w:rFonts w:ascii="Calibri" w:hAnsi="Calibri" w:cs="Calibri"/>
          <w:color w:val="000000" w:themeColor="text1"/>
          <w:sz w:val="18"/>
          <w:szCs w:val="18"/>
        </w:rPr>
        <w:t>is freed zones of the Volta River basin area (OCP)’, May 1976.</w:t>
      </w:r>
    </w:p>
  </w:footnote>
  <w:footnote w:id="313">
    <w:p w14:paraId="7275CB21" w14:textId="7D5F4C39"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FAOA, 10-AGD-405, September 1976-November 1984, David Carney, ‘Development or economic development of the oncho-freed zones of the Volta river basin – or options i</w:t>
      </w:r>
      <w:r w:rsidRPr="00681100">
        <w:rPr>
          <w:rFonts w:ascii="Calibri" w:hAnsi="Calibri" w:cs="Calibri"/>
          <w:color w:val="000000" w:themeColor="text1"/>
          <w:sz w:val="18"/>
          <w:szCs w:val="18"/>
        </w:rPr>
        <w:t>n-between’, 1976.</w:t>
      </w:r>
    </w:p>
  </w:footnote>
  <w:footnote w:id="314">
    <w:p w14:paraId="2BFEA1E8" w14:textId="01ECA295"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11</w:t>
      </w:r>
      <w:r w:rsidRPr="00681100">
        <w:rPr>
          <w:rFonts w:ascii="Calibri" w:hAnsi="Calibri" w:cs="Calibri"/>
          <w:color w:val="000000" w:themeColor="text1"/>
          <w:sz w:val="18"/>
          <w:szCs w:val="18"/>
        </w:rPr>
        <w:t>70231, Robert Smith, ‘Report on visit to Onchocerciasis Control Programme, West Africa, March 30 - April 11, 1976’, April 1976.</w:t>
      </w:r>
    </w:p>
  </w:footnote>
  <w:footnote w:id="315">
    <w:p w14:paraId="629610EE" w14:textId="3F78826E" w:rsidR="00CF189D" w:rsidRPr="00581494"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for example, early uses of the term ‘economic blindness’ during the colonial era (Budden FH, </w:t>
      </w:r>
      <w:r w:rsidRPr="00681100">
        <w:rPr>
          <w:rFonts w:ascii="Calibri" w:hAnsi="Calibri" w:cs="Calibri"/>
          <w:color w:val="000000" w:themeColor="text1"/>
          <w:sz w:val="18"/>
          <w:szCs w:val="18"/>
        </w:rPr>
        <w:t xml:space="preserve">‘A standard of blindness for primitive people’, </w:t>
      </w:r>
      <w:r w:rsidRPr="000045FB">
        <w:rPr>
          <w:rFonts w:ascii="Calibri" w:hAnsi="Calibri" w:cs="Calibri"/>
          <w:i/>
          <w:color w:val="000000" w:themeColor="text1"/>
          <w:sz w:val="18"/>
          <w:szCs w:val="18"/>
        </w:rPr>
        <w:t xml:space="preserve">Transactions of the Royal Society for Tropical Medicine and Hygiene </w:t>
      </w:r>
      <w:r w:rsidRPr="000045FB">
        <w:rPr>
          <w:rFonts w:ascii="Calibri" w:hAnsi="Calibri" w:cs="Calibri"/>
          <w:color w:val="000000" w:themeColor="text1"/>
          <w:sz w:val="18"/>
          <w:szCs w:val="18"/>
        </w:rPr>
        <w:t>50:3 [1956], 243-245) and references to the economic nature of the disease by UNDP and Bank representatives (UNA, s-0053-14-7, Ralph Townley, ‘Onchocerciasis’, 20 Octob</w:t>
      </w:r>
      <w:r w:rsidRPr="00581494">
        <w:rPr>
          <w:rFonts w:ascii="Calibri" w:hAnsi="Calibri" w:cs="Calibri"/>
          <w:color w:val="000000" w:themeColor="text1"/>
          <w:sz w:val="18"/>
          <w:szCs w:val="18"/>
        </w:rPr>
        <w:t xml:space="preserve">er 1972; UNA, s-0053-14-7, ‘Joint US-AID/OCCGE/WHO technical meeting on the feasibility of onchocerciasis control, Tunis, 1-8 July’, 1968; UNA, s-0053-14-7, John C. de Wilde, ‘The campaign against onchocerciasis in West Africa’, [1968]). </w:t>
      </w:r>
    </w:p>
  </w:footnote>
  <w:footnote w:id="316">
    <w:p w14:paraId="32145786" w14:textId="3A23D799"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1170231, </w:t>
      </w:r>
      <w:r w:rsidRPr="00681100">
        <w:rPr>
          <w:rFonts w:ascii="Calibri" w:hAnsi="Calibri" w:cs="Calibri"/>
          <w:color w:val="000000" w:themeColor="text1"/>
          <w:sz w:val="18"/>
          <w:szCs w:val="18"/>
        </w:rPr>
        <w:t>Robert Smith, ‘Report on visit to Onchocerciasis Control Programme, West Africa, March 30-April 11, 1976’, April 1976.</w:t>
      </w:r>
    </w:p>
  </w:footnote>
  <w:footnote w:id="317">
    <w:p w14:paraId="516E7A15" w14:textId="66A0474C"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30339647, ‘EDAP 3</w:t>
      </w:r>
      <w:r w:rsidRPr="00681100">
        <w:rPr>
          <w:rFonts w:ascii="Calibri" w:hAnsi="Calibri" w:cs="Calibri"/>
          <w:color w:val="000000" w:themeColor="text1"/>
          <w:sz w:val="18"/>
          <w:szCs w:val="18"/>
          <w:vertAlign w:val="superscript"/>
        </w:rPr>
        <w:t>rd</w:t>
      </w:r>
      <w:r w:rsidRPr="00681100">
        <w:rPr>
          <w:rFonts w:ascii="Calibri" w:hAnsi="Calibri" w:cs="Calibri"/>
          <w:color w:val="000000" w:themeColor="text1"/>
          <w:sz w:val="18"/>
          <w:szCs w:val="18"/>
        </w:rPr>
        <w:t xml:space="preserve"> meeting, Ouaga, March 8-10’, 1977.</w:t>
      </w:r>
    </w:p>
  </w:footnote>
  <w:footnote w:id="318">
    <w:p w14:paraId="57B781D2" w14:textId="746729EA"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30339648, M.J. Sharpston to S. Denning</w:t>
      </w:r>
      <w:r w:rsidRPr="00681100">
        <w:rPr>
          <w:rFonts w:ascii="Calibri" w:hAnsi="Calibri" w:cs="Calibri"/>
          <w:color w:val="000000" w:themeColor="text1"/>
          <w:sz w:val="18"/>
          <w:szCs w:val="18"/>
        </w:rPr>
        <w:t>, ‘Annual report of the Economic Development Advisory Panel: a comment’, 20 October 1977.</w:t>
      </w:r>
    </w:p>
  </w:footnote>
  <w:footnote w:id="319">
    <w:p w14:paraId="35FC496E" w14:textId="364144CF"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30339648, ‘Some aspects of developing the OCP areas, draft’, 30 August 1977. </w:t>
      </w:r>
    </w:p>
  </w:footnote>
  <w:footnote w:id="320">
    <w:p w14:paraId="2A99C945" w14:textId="370573D1"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30339648, Michael Sharpston to Files, ‘Some thoughts on problems related</w:t>
      </w:r>
      <w:r w:rsidRPr="00681100">
        <w:rPr>
          <w:rFonts w:ascii="Calibri" w:hAnsi="Calibri" w:cs="Calibri"/>
          <w:color w:val="000000" w:themeColor="text1"/>
          <w:sz w:val="18"/>
          <w:szCs w:val="18"/>
        </w:rPr>
        <w:t xml:space="preserve"> to oncho’, 21 November 1977.</w:t>
      </w:r>
    </w:p>
  </w:footnote>
  <w:footnote w:id="321">
    <w:p w14:paraId="52C0E66A" w14:textId="6044ECF5"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30339648, M.J. Sharpston to S. Denning, ‘Annual report of the Economic Development Advisory Panel: a comment’, 20 October 1977.</w:t>
      </w:r>
    </w:p>
  </w:footnote>
  <w:footnote w:id="322">
    <w:p w14:paraId="4D545A28" w14:textId="5546C2AE"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30339648, ‘Some aspects of developing the OCP areas, draft’, 30 August 1977.</w:t>
      </w:r>
    </w:p>
  </w:footnote>
  <w:footnote w:id="323">
    <w:p w14:paraId="38138EB8" w14:textId="3C935CEE"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The EDAP’s budget was approxima</w:t>
      </w:r>
      <w:r w:rsidRPr="00681100">
        <w:rPr>
          <w:rFonts w:ascii="Calibri" w:hAnsi="Calibri" w:cs="Calibri"/>
          <w:color w:val="000000" w:themeColor="text1"/>
          <w:sz w:val="18"/>
          <w:szCs w:val="18"/>
        </w:rPr>
        <w:t>tely $40,000-$50,000 a year.</w:t>
      </w:r>
    </w:p>
  </w:footnote>
  <w:footnote w:id="324">
    <w:p w14:paraId="5E29521F" w14:textId="7CDF93B3"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30339647, ‘EDAP meeting in Rome (minutes), draft’, 29 August 1977.</w:t>
      </w:r>
    </w:p>
  </w:footnote>
  <w:footnote w:id="325">
    <w:p w14:paraId="72405337" w14:textId="27619A84"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30339648, Charles Weiss to </w:t>
      </w:r>
      <w:r w:rsidRPr="00681100">
        <w:rPr>
          <w:rFonts w:ascii="Calibri" w:hAnsi="Calibri" w:cs="Calibri"/>
          <w:color w:val="000000" w:themeColor="text1"/>
          <w:sz w:val="18"/>
          <w:szCs w:val="18"/>
        </w:rPr>
        <w:t xml:space="preserve">Roger Chaufournier, ‘Economic Development Advisory Panel (EDAP) to the Onchocerciasis Control Program’, 15 September 1977. </w:t>
      </w:r>
    </w:p>
  </w:footnote>
  <w:footnote w:id="326">
    <w:p w14:paraId="28C54AA9" w14:textId="7103CE7F"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30339648, Stephen Denning to André Gué, ‘EDAP options’, 21 November 1977.</w:t>
      </w:r>
    </w:p>
  </w:footnote>
  <w:footnote w:id="327">
    <w:p w14:paraId="33CDFB9A" w14:textId="13941023"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30339648, Charles Weiss to Roger Chaufournier, ‘Economic Development Advisory Panel (EDAP) to the Onchocerciasis Control Program’, 15 September 1977.</w:t>
      </w:r>
    </w:p>
  </w:footnote>
  <w:footnote w:id="328">
    <w:p w14:paraId="003A245B" w14:textId="6D4C453A"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w:t>
      </w:r>
      <w:r w:rsidRPr="00681100">
        <w:rPr>
          <w:rFonts w:ascii="Calibri" w:hAnsi="Calibri" w:cs="Calibri"/>
          <w:color w:val="000000" w:themeColor="text1"/>
          <w:sz w:val="18"/>
          <w:szCs w:val="18"/>
        </w:rPr>
        <w:t>0339647, ‘EDAP 3</w:t>
      </w:r>
      <w:r w:rsidRPr="00681100">
        <w:rPr>
          <w:rFonts w:ascii="Calibri" w:hAnsi="Calibri" w:cs="Calibri"/>
          <w:color w:val="000000" w:themeColor="text1"/>
          <w:sz w:val="18"/>
          <w:szCs w:val="18"/>
          <w:vertAlign w:val="superscript"/>
        </w:rPr>
        <w:t>rd</w:t>
      </w:r>
      <w:r w:rsidRPr="000045FB">
        <w:rPr>
          <w:rFonts w:ascii="Calibri" w:hAnsi="Calibri" w:cs="Calibri"/>
          <w:color w:val="000000" w:themeColor="text1"/>
          <w:sz w:val="18"/>
          <w:szCs w:val="18"/>
        </w:rPr>
        <w:t xml:space="preserve"> meeting, Ouaga, March 8-10’, 1977.</w:t>
      </w:r>
    </w:p>
  </w:footnote>
  <w:footnote w:id="329">
    <w:p w14:paraId="51916FA1" w14:textId="781240F1"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30339648, Stephen Denning to</w:t>
      </w:r>
      <w:r w:rsidRPr="00681100">
        <w:rPr>
          <w:rFonts w:ascii="Calibri" w:hAnsi="Calibri" w:cs="Calibri"/>
          <w:color w:val="000000" w:themeColor="text1"/>
          <w:sz w:val="18"/>
          <w:szCs w:val="18"/>
        </w:rPr>
        <w:t xml:space="preserve"> André Gué, ‘EDAP options’, 21 November 1977.</w:t>
      </w:r>
    </w:p>
  </w:footnote>
  <w:footnote w:id="330">
    <w:p w14:paraId="537452A6" w14:textId="4E81DBB0"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for instance, WBGA, 1434979, Bilsel Alisbah to Roger Chaufournier, ‘Onchocerciasis Control Program JCC meeting of</w:t>
      </w:r>
      <w:r w:rsidRPr="00681100">
        <w:rPr>
          <w:rFonts w:ascii="Calibri" w:hAnsi="Calibri" w:cs="Calibri"/>
          <w:color w:val="000000" w:themeColor="text1"/>
          <w:sz w:val="18"/>
          <w:szCs w:val="18"/>
        </w:rPr>
        <w:t xml:space="preserve"> December 5-8’, 12 December 1978.</w:t>
      </w:r>
    </w:p>
  </w:footnote>
  <w:footnote w:id="331">
    <w:p w14:paraId="30938665" w14:textId="3A77BAF4"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FAOA, 10-AGD-405, T.S.E. Aribisala to Oncho Task Force</w:t>
      </w:r>
      <w:r w:rsidRPr="00681100">
        <w:rPr>
          <w:rFonts w:ascii="Calibri" w:hAnsi="Calibri" w:cs="Calibri"/>
          <w:color w:val="000000" w:themeColor="text1"/>
          <w:sz w:val="18"/>
          <w:szCs w:val="18"/>
        </w:rPr>
        <w:t xml:space="preserve"> Members, ‘Proposal to review/revise the PAG mission report in the light of progress and developments in the Onchocerciasis Control Programme’, 2 December 1977.</w:t>
      </w:r>
    </w:p>
  </w:footnote>
  <w:footnote w:id="332">
    <w:p w14:paraId="4088E646" w14:textId="63DB5323"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footnoteRef/>
      </w:r>
      <w:r w:rsidRPr="00CF189D">
        <w:rPr>
          <w:rFonts w:ascii="Calibri" w:hAnsi="Calibri" w:cs="Calibri"/>
          <w:sz w:val="18"/>
          <w:szCs w:val="18"/>
        </w:rPr>
        <w:t xml:space="preserve"> Berg et al., </w:t>
      </w:r>
      <w:r w:rsidRPr="00CF189D">
        <w:rPr>
          <w:rFonts w:ascii="Calibri" w:hAnsi="Calibri" w:cs="Calibri"/>
          <w:i/>
          <w:iCs/>
          <w:sz w:val="18"/>
          <w:szCs w:val="18"/>
        </w:rPr>
        <w:t xml:space="preserve">Accelerated development in Sub-Saharan Africa: an agenda for action </w:t>
      </w:r>
      <w:r w:rsidRPr="00CF189D">
        <w:rPr>
          <w:rFonts w:ascii="Calibri" w:hAnsi="Calibri" w:cs="Calibri"/>
          <w:sz w:val="18"/>
          <w:szCs w:val="18"/>
        </w:rPr>
        <w:t>(Washington DC: World Bank, 1982).</w:t>
      </w:r>
    </w:p>
  </w:footnote>
  <w:footnote w:id="333">
    <w:p w14:paraId="26978D3C" w14:textId="49BF0B1B"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1082632, Roger Chaufournier to Robert McNamara through Ernest Stern, 21 September 1978.</w:t>
      </w:r>
    </w:p>
  </w:footnote>
  <w:footnote w:id="334">
    <w:p w14:paraId="11BC1E69" w14:textId="13969E97"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Younger SD and Zongo JB, ‘West Africa: the On</w:t>
      </w:r>
      <w:r w:rsidRPr="00681100">
        <w:rPr>
          <w:rFonts w:ascii="Calibri" w:hAnsi="Calibri" w:cs="Calibri"/>
          <w:color w:val="000000" w:themeColor="text1"/>
          <w:sz w:val="18"/>
          <w:szCs w:val="18"/>
        </w:rPr>
        <w:t xml:space="preserve">chocerciasis Control Program’, in </w:t>
      </w:r>
      <w:r w:rsidRPr="00681100">
        <w:rPr>
          <w:rFonts w:ascii="Calibri" w:hAnsi="Calibri" w:cs="Calibri"/>
          <w:i/>
          <w:color w:val="000000" w:themeColor="text1"/>
          <w:sz w:val="18"/>
          <w:szCs w:val="18"/>
        </w:rPr>
        <w:t>Successful development in Africa: case studies of projec</w:t>
      </w:r>
      <w:r w:rsidRPr="000045FB">
        <w:rPr>
          <w:rFonts w:ascii="Calibri" w:hAnsi="Calibri" w:cs="Calibri"/>
          <w:i/>
          <w:color w:val="000000" w:themeColor="text1"/>
          <w:sz w:val="18"/>
          <w:szCs w:val="18"/>
        </w:rPr>
        <w:t xml:space="preserve">ts, programs, and policies </w:t>
      </w:r>
      <w:r w:rsidRPr="000045FB">
        <w:rPr>
          <w:rFonts w:ascii="Calibri" w:hAnsi="Calibri" w:cs="Calibri"/>
          <w:color w:val="000000" w:themeColor="text1"/>
          <w:sz w:val="18"/>
          <w:szCs w:val="18"/>
        </w:rPr>
        <w:t>(Washington DC: World Bank, 1989), 27-56.</w:t>
      </w:r>
    </w:p>
  </w:footnote>
  <w:footnote w:id="335">
    <w:p w14:paraId="78E750F9" w14:textId="7DE1944C" w:rsidR="00CF189D" w:rsidRPr="00581494"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This reduction was based on soil impurities, and lack of water, firewood, and necessary infrast</w:t>
      </w:r>
      <w:r w:rsidRPr="00681100">
        <w:rPr>
          <w:rFonts w:ascii="Calibri" w:hAnsi="Calibri" w:cs="Calibri"/>
          <w:color w:val="000000" w:themeColor="text1"/>
          <w:sz w:val="18"/>
          <w:szCs w:val="18"/>
        </w:rPr>
        <w:t>ructure. In proposed extension zones (southern and western), Berg estimated that 48,440 additional km</w:t>
      </w:r>
      <w:r w:rsidRPr="000045FB">
        <w:rPr>
          <w:rFonts w:ascii="Calibri" w:hAnsi="Calibri" w:cs="Calibri"/>
          <w:color w:val="000000" w:themeColor="text1"/>
          <w:sz w:val="18"/>
          <w:szCs w:val="18"/>
          <w:vertAlign w:val="superscript"/>
        </w:rPr>
        <w:t>2</w:t>
      </w:r>
      <w:r w:rsidRPr="000045FB">
        <w:rPr>
          <w:rFonts w:ascii="Calibri" w:hAnsi="Calibri" w:cs="Calibri"/>
          <w:color w:val="000000" w:themeColor="text1"/>
          <w:sz w:val="18"/>
          <w:szCs w:val="18"/>
        </w:rPr>
        <w:t xml:space="preserve"> would be cultivatable. Younger and Zongo (1989)</w:t>
      </w:r>
      <w:r w:rsidRPr="000045FB">
        <w:rPr>
          <w:rFonts w:ascii="Calibri" w:hAnsi="Calibri" w:cs="Calibri"/>
          <w:i/>
          <w:color w:val="000000" w:themeColor="text1"/>
          <w:sz w:val="18"/>
          <w:szCs w:val="18"/>
        </w:rPr>
        <w:t>,</w:t>
      </w:r>
      <w:r w:rsidRPr="00581494">
        <w:rPr>
          <w:rFonts w:ascii="Calibri" w:hAnsi="Calibri" w:cs="Calibri"/>
          <w:color w:val="000000" w:themeColor="text1"/>
          <w:sz w:val="18"/>
          <w:szCs w:val="18"/>
        </w:rPr>
        <w:t xml:space="preserve"> 34.</w:t>
      </w:r>
    </w:p>
  </w:footnote>
  <w:footnote w:id="336">
    <w:p w14:paraId="5D1A4E73" w14:textId="5F8408BD"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1434979, Bilsel Alisbah to Roger Chaufournier, ‘Onchocerciasis Control Program JCC meeting o</w:t>
      </w:r>
      <w:r w:rsidRPr="00681100">
        <w:rPr>
          <w:rFonts w:ascii="Calibri" w:hAnsi="Calibri" w:cs="Calibri"/>
          <w:color w:val="000000" w:themeColor="text1"/>
          <w:sz w:val="18"/>
          <w:szCs w:val="18"/>
        </w:rPr>
        <w:t>f December 5-8’, 12 December 1978.</w:t>
      </w:r>
    </w:p>
  </w:footnote>
  <w:footnote w:id="337">
    <w:p w14:paraId="2727B323" w14:textId="183FCE29"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FAOA, 10-AGS-239, February-June 1979, T.S.B. Aribisala to D.F.R. Bommer, ‘Back-to-office report after attendance in Paris at the 5</w:t>
      </w:r>
      <w:r w:rsidRPr="00681100">
        <w:rPr>
          <w:rFonts w:ascii="Calibri" w:hAnsi="Calibri" w:cs="Calibri"/>
          <w:color w:val="000000" w:themeColor="text1"/>
          <w:sz w:val="18"/>
          <w:szCs w:val="18"/>
          <w:vertAlign w:val="superscript"/>
        </w:rPr>
        <w:t>th</w:t>
      </w:r>
      <w:r w:rsidRPr="00681100">
        <w:rPr>
          <w:rFonts w:ascii="Calibri" w:hAnsi="Calibri" w:cs="Calibri"/>
          <w:color w:val="000000" w:themeColor="text1"/>
          <w:sz w:val="18"/>
          <w:szCs w:val="18"/>
        </w:rPr>
        <w:t xml:space="preserve"> meeting of EDAP (11-13 September 1978)…’, 9 February 1979.</w:t>
      </w:r>
    </w:p>
  </w:footnote>
  <w:footnote w:id="338">
    <w:p w14:paraId="391005A1" w14:textId="4BCD0A4D"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FAOA, 10-AGS-239, Februar</w:t>
      </w:r>
      <w:r w:rsidRPr="00681100">
        <w:rPr>
          <w:rFonts w:ascii="Calibri" w:hAnsi="Calibri" w:cs="Calibri"/>
          <w:color w:val="000000" w:themeColor="text1"/>
          <w:sz w:val="18"/>
          <w:szCs w:val="18"/>
        </w:rPr>
        <w:t>y-June 1979, T.S.B. Aribisala to D.F.R. Bommer, ‘Back-to-office report after attendance in Paris at the 5</w:t>
      </w:r>
      <w:r w:rsidRPr="000045FB">
        <w:rPr>
          <w:rFonts w:ascii="Calibri" w:hAnsi="Calibri" w:cs="Calibri"/>
          <w:color w:val="000000" w:themeColor="text1"/>
          <w:sz w:val="18"/>
          <w:szCs w:val="18"/>
          <w:vertAlign w:val="superscript"/>
        </w:rPr>
        <w:t>th</w:t>
      </w:r>
      <w:r w:rsidRPr="000045FB">
        <w:rPr>
          <w:rFonts w:ascii="Calibri" w:hAnsi="Calibri" w:cs="Calibri"/>
          <w:color w:val="000000" w:themeColor="text1"/>
          <w:sz w:val="18"/>
          <w:szCs w:val="18"/>
        </w:rPr>
        <w:t xml:space="preserve"> meeting of EDAP (11-13 September 1978)…’, 9 February 1979.</w:t>
      </w:r>
    </w:p>
  </w:footnote>
  <w:footnote w:id="339">
    <w:p w14:paraId="36B4C901" w14:textId="14111673" w:rsidR="00CF189D" w:rsidRPr="00581494"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FAO, 10-AGS-239, October 1979, ‘JCC 6</w:t>
      </w:r>
      <w:r w:rsidRPr="00681100">
        <w:rPr>
          <w:rFonts w:ascii="Calibri" w:hAnsi="Calibri" w:cs="Calibri"/>
          <w:color w:val="000000" w:themeColor="text1"/>
          <w:sz w:val="18"/>
          <w:szCs w:val="18"/>
          <w:vertAlign w:val="superscript"/>
        </w:rPr>
        <w:t>th</w:t>
      </w:r>
      <w:r w:rsidRPr="00681100">
        <w:rPr>
          <w:rFonts w:ascii="Calibri" w:hAnsi="Calibri" w:cs="Calibri"/>
          <w:color w:val="000000" w:themeColor="text1"/>
          <w:sz w:val="18"/>
          <w:szCs w:val="18"/>
        </w:rPr>
        <w:t xml:space="preserve"> session, provisional agenda item 7’, 25 October</w:t>
      </w:r>
      <w:r w:rsidRPr="000045FB">
        <w:rPr>
          <w:rFonts w:ascii="Calibri" w:hAnsi="Calibri" w:cs="Calibri"/>
          <w:color w:val="000000" w:themeColor="text1"/>
          <w:sz w:val="18"/>
          <w:szCs w:val="18"/>
        </w:rPr>
        <w:t xml:space="preserve"> 1979. See also FAOA, 10AGS240, November 1979-January 1980, ‘Speech by Bonte-Friedham, JCC 6</w:t>
      </w:r>
      <w:r w:rsidRPr="000045FB">
        <w:rPr>
          <w:rFonts w:ascii="Calibri" w:hAnsi="Calibri" w:cs="Calibri"/>
          <w:color w:val="000000" w:themeColor="text1"/>
          <w:sz w:val="18"/>
          <w:szCs w:val="18"/>
          <w:vertAlign w:val="superscript"/>
        </w:rPr>
        <w:t>th</w:t>
      </w:r>
      <w:r w:rsidRPr="00581494">
        <w:rPr>
          <w:rFonts w:ascii="Calibri" w:hAnsi="Calibri" w:cs="Calibri"/>
          <w:color w:val="000000" w:themeColor="text1"/>
          <w:sz w:val="18"/>
          <w:szCs w:val="18"/>
        </w:rPr>
        <w:t xml:space="preserve"> session’, [1979].</w:t>
      </w:r>
    </w:p>
  </w:footnote>
  <w:footnote w:id="340">
    <w:p w14:paraId="50900B32" w14:textId="29760BDB"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FAOA, 10-AGS-240, February-June 1979, Marie Randriamamojy to Ludmilla A Marin, ‘Proposals for the follow-up of Mrs. Bisilliat’s recommendatio</w:t>
      </w:r>
      <w:r w:rsidRPr="00681100">
        <w:rPr>
          <w:rFonts w:ascii="Calibri" w:hAnsi="Calibri" w:cs="Calibri"/>
          <w:color w:val="000000" w:themeColor="text1"/>
          <w:sz w:val="18"/>
          <w:szCs w:val="18"/>
        </w:rPr>
        <w:t>ns concerning women promotion in Onchocerciasis Control Programme area’, 18 April 1979.</w:t>
      </w:r>
    </w:p>
  </w:footnote>
  <w:footnote w:id="341">
    <w:p w14:paraId="0AC3C7AD" w14:textId="4E72C8C9"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WBGA, 1300644, Stephen Denning to Luis de Azcarate, ‘Oncho – Professor Berg’s report; first draft’, 21 June 1978.</w:t>
      </w:r>
    </w:p>
  </w:footnote>
  <w:footnote w:id="342">
    <w:p w14:paraId="13CFDEAA" w14:textId="7B060D45"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31037064, ‘Bank’s involvement/OCP’, [1981].</w:t>
      </w:r>
    </w:p>
  </w:footnote>
  <w:footnote w:id="343">
    <w:p w14:paraId="289DD6AF" w14:textId="69407609"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FAOA, 10-AGS-239, February-June 197</w:t>
      </w:r>
      <w:r w:rsidRPr="00681100">
        <w:rPr>
          <w:rFonts w:ascii="Calibri" w:hAnsi="Calibri" w:cs="Calibri"/>
          <w:color w:val="000000" w:themeColor="text1"/>
          <w:sz w:val="18"/>
          <w:szCs w:val="18"/>
        </w:rPr>
        <w:t>9, Declan Walton to S. Flache, 18 June 1979. See also FAOA, 10-AGS-239, February-June 1979, T.S.B. Aribisala to Marc Bazin, 29 May 1979.</w:t>
      </w:r>
    </w:p>
  </w:footnote>
  <w:footnote w:id="344">
    <w:p w14:paraId="4A41B085" w14:textId="1180DDE5"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NA, OD 13/22, ‘Independent Commission on the long-term prospects of the Onchocerc</w:t>
      </w:r>
      <w:r w:rsidRPr="00681100">
        <w:rPr>
          <w:rFonts w:ascii="Calibri" w:hAnsi="Calibri" w:cs="Calibri"/>
          <w:color w:val="000000" w:themeColor="text1"/>
          <w:sz w:val="18"/>
          <w:szCs w:val="18"/>
        </w:rPr>
        <w:t>iasis Control Programme, strategy paper: the task of the commission’, [1979]. See also FAOA, 10-AGS-240, November 1980-February 1981, J.D.M. Marr to Files, ‘Joint discussions CSA/EAC, Yamoussoukro, 29 November’, 5 December 1980.</w:t>
      </w:r>
    </w:p>
  </w:footnote>
  <w:footnote w:id="345">
    <w:p w14:paraId="551DB9F4" w14:textId="0AE4D327"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30137063, Stephen D</w:t>
      </w:r>
      <w:r w:rsidRPr="00681100">
        <w:rPr>
          <w:rFonts w:ascii="Calibri" w:hAnsi="Calibri" w:cs="Calibri"/>
          <w:color w:val="000000" w:themeColor="text1"/>
          <w:sz w:val="18"/>
          <w:szCs w:val="18"/>
        </w:rPr>
        <w:t>enning to Bilsel Alisbah, 1 July 1981.</w:t>
      </w:r>
    </w:p>
  </w:footnote>
  <w:footnote w:id="346">
    <w:p w14:paraId="7073A519" w14:textId="3ECB94F0"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FAOA, 10-AGS-241, June-September 1981, ‘Committee of Sponsoring Agencies, report of the fourth meeting, Niamey’, 9 June 1981.</w:t>
      </w:r>
    </w:p>
  </w:footnote>
  <w:footnote w:id="347">
    <w:p w14:paraId="2FC09953" w14:textId="78DCE9B3"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FAOA, 10-AGS-241, October 1981, C.G. Groom to M.S.O. Nicholas, ‘Back-to-office report o</w:t>
      </w:r>
      <w:r w:rsidRPr="00681100">
        <w:rPr>
          <w:rFonts w:ascii="Calibri" w:hAnsi="Calibri" w:cs="Calibri"/>
          <w:color w:val="000000" w:themeColor="text1"/>
          <w:sz w:val="18"/>
          <w:szCs w:val="18"/>
        </w:rPr>
        <w:t>n duty trip to Geneva 12 to 16 June’, 19 October 1981.</w:t>
      </w:r>
    </w:p>
  </w:footnote>
  <w:footnote w:id="348">
    <w:p w14:paraId="0AC6D016" w14:textId="68B8AB15"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FAOA, 10-AGS-240, November 1980-February 1981, Leon Segal to Stephen Denning, 9 February 1981.</w:t>
      </w:r>
    </w:p>
  </w:footnote>
  <w:footnote w:id="349">
    <w:p w14:paraId="082981AF" w14:textId="22F82202"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FAOA, 10-AGS-240, November 1979-January 1980, C.H. Bonte-Friedheim to Noise Mensah, ‘Oncho-programme –</w:t>
      </w:r>
      <w:r w:rsidRPr="00681100">
        <w:rPr>
          <w:rFonts w:ascii="Calibri" w:hAnsi="Calibri" w:cs="Calibri"/>
          <w:color w:val="000000" w:themeColor="text1"/>
          <w:sz w:val="18"/>
          <w:szCs w:val="18"/>
        </w:rPr>
        <w:t xml:space="preserve"> West Africa’, 11 January 1980.</w:t>
      </w:r>
    </w:p>
  </w:footnote>
  <w:footnote w:id="350">
    <w:p w14:paraId="3B60D810" w14:textId="5D12F375"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FA</w:t>
      </w:r>
      <w:r w:rsidRPr="00681100">
        <w:rPr>
          <w:rFonts w:ascii="Calibri" w:hAnsi="Calibri" w:cs="Calibri"/>
          <w:color w:val="000000" w:themeColor="text1"/>
          <w:sz w:val="18"/>
          <w:szCs w:val="18"/>
        </w:rPr>
        <w:t xml:space="preserve">OA, 10-AGS-241, April-August 1982, C.G. Groom to M.S.O. Nicholas, ‘Duty travel to Geneva 28-30 June 1982 – back-to-office report’, 30 June 1982. </w:t>
      </w:r>
    </w:p>
  </w:footnote>
  <w:footnote w:id="351">
    <w:p w14:paraId="0D4DAE37" w14:textId="092F985F"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30303429, J.P. Dailly to Files, ‘Onchocerciasis Control Programme:</w:t>
      </w:r>
      <w:r w:rsidRPr="00681100">
        <w:rPr>
          <w:rFonts w:ascii="Calibri" w:hAnsi="Calibri" w:cs="Calibri"/>
          <w:color w:val="000000" w:themeColor="text1"/>
          <w:sz w:val="18"/>
          <w:szCs w:val="18"/>
        </w:rPr>
        <w:t xml:space="preserve"> visit to donor countries back-to-office report’, 16 November 1983.</w:t>
      </w:r>
    </w:p>
  </w:footnote>
  <w:footnote w:id="352">
    <w:p w14:paraId="782123A2" w14:textId="15D664B9"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1300674, J.P. Dailly to Files, ‘Back-to-office report, donors meeting 1984’, 2 November 1984.</w:t>
      </w:r>
    </w:p>
  </w:footnote>
  <w:footnote w:id="353">
    <w:p w14:paraId="2A60EBC6" w14:textId="7A964BCA"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0146782, Nick Prescott to J. Westford, ‘Interim report of the Gordon Smith ind</w:t>
      </w:r>
      <w:r w:rsidRPr="00681100">
        <w:rPr>
          <w:rFonts w:ascii="Calibri" w:hAnsi="Calibri" w:cs="Calibri"/>
          <w:color w:val="000000" w:themeColor="text1"/>
          <w:sz w:val="18"/>
          <w:szCs w:val="18"/>
        </w:rPr>
        <w:t>ependent commission on the Onchocerciasis Control Program’, 7 January 1983.</w:t>
      </w:r>
    </w:p>
  </w:footnote>
  <w:footnote w:id="354">
    <w:p w14:paraId="6341D063" w14:textId="5091CE91"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Less ideally, a cost-effectiveness analysis could also help programme leaders choose the variant with the minimum cost per some unit of effectiveness (such as a quality-adjusted </w:t>
      </w:r>
      <w:r w:rsidRPr="00681100">
        <w:rPr>
          <w:rFonts w:ascii="Calibri" w:hAnsi="Calibri" w:cs="Calibri"/>
          <w:color w:val="000000" w:themeColor="text1"/>
          <w:sz w:val="18"/>
          <w:szCs w:val="18"/>
        </w:rPr>
        <w:t>life year [QALY]).</w:t>
      </w:r>
    </w:p>
  </w:footnote>
  <w:footnote w:id="355">
    <w:p w14:paraId="47A11A4A" w14:textId="4ADA8687"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Prost A and Prescott N, ‘Cost-effectiveness of blindness prevention by the Onchocerciasis Control Programme in Upper Volta’, </w:t>
      </w:r>
      <w:r w:rsidRPr="00681100">
        <w:rPr>
          <w:rFonts w:ascii="Calibri" w:hAnsi="Calibri" w:cs="Calibri"/>
          <w:i/>
          <w:iCs/>
          <w:color w:val="000000" w:themeColor="text1"/>
          <w:sz w:val="18"/>
          <w:szCs w:val="18"/>
        </w:rPr>
        <w:t xml:space="preserve">Bulletin of the WHO, </w:t>
      </w:r>
      <w:r w:rsidRPr="00681100">
        <w:rPr>
          <w:rFonts w:ascii="Calibri" w:hAnsi="Calibri" w:cs="Calibri"/>
          <w:iCs/>
          <w:color w:val="000000" w:themeColor="text1"/>
          <w:sz w:val="18"/>
          <w:szCs w:val="18"/>
        </w:rPr>
        <w:t>62:5 (1984), 795.</w:t>
      </w:r>
    </w:p>
  </w:footnote>
  <w:footnote w:id="356">
    <w:p w14:paraId="0A7A6460" w14:textId="6A41019C" w:rsidR="00CF189D" w:rsidRPr="00581494"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The first use of the healthy years of life metric was by the Ghana He</w:t>
      </w:r>
      <w:r w:rsidRPr="00681100">
        <w:rPr>
          <w:rFonts w:ascii="Calibri" w:hAnsi="Calibri" w:cs="Calibri"/>
          <w:color w:val="000000" w:themeColor="text1"/>
          <w:sz w:val="18"/>
          <w:szCs w:val="18"/>
        </w:rPr>
        <w:t xml:space="preserve">alth Assessment Project Team. See Feldstein et al., ‘Resource allocation model for public health planning’, </w:t>
      </w:r>
      <w:r w:rsidRPr="000045FB">
        <w:rPr>
          <w:rFonts w:ascii="Calibri" w:hAnsi="Calibri" w:cs="Calibri"/>
          <w:i/>
          <w:color w:val="000000" w:themeColor="text1"/>
          <w:sz w:val="18"/>
          <w:szCs w:val="18"/>
        </w:rPr>
        <w:t xml:space="preserve">Bulletin of the WHO </w:t>
      </w:r>
      <w:r w:rsidRPr="000045FB">
        <w:rPr>
          <w:rFonts w:ascii="Calibri" w:hAnsi="Calibri" w:cs="Calibri"/>
          <w:color w:val="000000" w:themeColor="text1"/>
          <w:sz w:val="18"/>
          <w:szCs w:val="18"/>
        </w:rPr>
        <w:t xml:space="preserve">48 (1973), 5; Torrance GW, ‘Health status index models: a unified mathematical view’, </w:t>
      </w:r>
      <w:r w:rsidRPr="000045FB">
        <w:rPr>
          <w:rFonts w:ascii="Calibri" w:hAnsi="Calibri" w:cs="Calibri"/>
          <w:i/>
          <w:color w:val="000000" w:themeColor="text1"/>
          <w:sz w:val="18"/>
          <w:szCs w:val="18"/>
        </w:rPr>
        <w:t xml:space="preserve">Management Science </w:t>
      </w:r>
      <w:r w:rsidRPr="00581494">
        <w:rPr>
          <w:rFonts w:ascii="Calibri" w:hAnsi="Calibri" w:cs="Calibri"/>
          <w:color w:val="000000" w:themeColor="text1"/>
          <w:sz w:val="18"/>
          <w:szCs w:val="18"/>
        </w:rPr>
        <w:t>22 (1976), 990-1001.</w:t>
      </w:r>
    </w:p>
  </w:footnote>
  <w:footnote w:id="357">
    <w:p w14:paraId="14696209" w14:textId="068E7DC4"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681100">
        <w:rPr>
          <w:rFonts w:ascii="Calibri" w:hAnsi="Calibri" w:cs="Calibri"/>
          <w:color w:val="000000" w:themeColor="text1"/>
          <w:sz w:val="18"/>
          <w:szCs w:val="18"/>
        </w:rPr>
        <w:t>Prost and Prescott, ‘Cost-effectiveness’, (1983). See also Younger and Zongo, ‘West Africa’ (1989).</w:t>
      </w:r>
    </w:p>
  </w:footnote>
  <w:footnote w:id="358">
    <w:p w14:paraId="29E2BEB9" w14:textId="2712D825"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1300674, E. Skinner, ‘Notes on tapes of 1985 donors conference’, October 1987.</w:t>
      </w:r>
    </w:p>
  </w:footnote>
  <w:footnote w:id="359">
    <w:p w14:paraId="7ABB95AC" w14:textId="21415639"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For more on donors’ concerns, see WBGA, 30303465, Michael Sperber </w:t>
      </w:r>
      <w:r w:rsidRPr="00681100">
        <w:rPr>
          <w:rFonts w:ascii="Calibri" w:hAnsi="Calibri" w:cs="Calibri"/>
          <w:color w:val="000000" w:themeColor="text1"/>
          <w:sz w:val="18"/>
          <w:szCs w:val="18"/>
        </w:rPr>
        <w:t>to Bruce Benton, ‘Onchocerciasis Control Programme – report on socio-economic development’, 23 April 1986.</w:t>
      </w:r>
    </w:p>
  </w:footnote>
  <w:footnote w:id="360">
    <w:p w14:paraId="0969D8DB" w14:textId="0859C443"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1300674, ‘Briefing: OCP donors’ seminar’, [1985].</w:t>
      </w:r>
    </w:p>
  </w:footnote>
  <w:footnote w:id="361">
    <w:p w14:paraId="3CB0F64B" w14:textId="1D6D339E"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30304887, John Walsh, ‘River blindness: a gamble pays off’, </w:t>
      </w:r>
      <w:r w:rsidRPr="00681100">
        <w:rPr>
          <w:rFonts w:ascii="Calibri" w:hAnsi="Calibri" w:cs="Calibri"/>
          <w:i/>
          <w:color w:val="000000" w:themeColor="text1"/>
          <w:sz w:val="18"/>
          <w:szCs w:val="18"/>
        </w:rPr>
        <w:t>Science</w:t>
      </w:r>
      <w:r w:rsidRPr="00681100">
        <w:rPr>
          <w:rFonts w:ascii="Calibri" w:hAnsi="Calibri" w:cs="Calibri"/>
          <w:color w:val="000000" w:themeColor="text1"/>
          <w:sz w:val="18"/>
          <w:szCs w:val="18"/>
        </w:rPr>
        <w:t>, 23 May 1986.</w:t>
      </w:r>
    </w:p>
  </w:footnote>
  <w:footnote w:id="362">
    <w:p w14:paraId="6BE55F94" w14:textId="420FCD2D"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681100">
        <w:rPr>
          <w:rFonts w:ascii="Calibri" w:hAnsi="Calibri" w:cs="Calibri"/>
          <w:color w:val="000000" w:themeColor="text1"/>
          <w:sz w:val="18"/>
          <w:szCs w:val="18"/>
        </w:rPr>
        <w:t>WBGA, 1300674, E. Skinner, ‘Notes on tapes of 1985 donors conference’, October 1987.</w:t>
      </w:r>
    </w:p>
  </w:footnote>
  <w:footnote w:id="363">
    <w:p w14:paraId="5990A3C8" w14:textId="2968E14F"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D81087, Huntley Consultants, ‘SED studies in the OCP area – final report’, 1986.</w:t>
      </w:r>
    </w:p>
  </w:footnote>
  <w:footnote w:id="364">
    <w:p w14:paraId="1CE8029B" w14:textId="3FFCDF5A"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The impact review stated that these participating countries ‘worried about what</w:t>
      </w:r>
      <w:r w:rsidRPr="00681100">
        <w:rPr>
          <w:rFonts w:ascii="Calibri" w:hAnsi="Calibri" w:cs="Calibri"/>
          <w:color w:val="000000" w:themeColor="text1"/>
          <w:sz w:val="18"/>
          <w:szCs w:val="18"/>
        </w:rPr>
        <w:t xml:space="preserve"> they considered a disproportionate amount of development financing being tied up in onchocerciasis control schemes even though onchocerciasis was only one of many diseases affecting their populations’. Kelly et al., </w:t>
      </w:r>
      <w:r w:rsidRPr="000045FB">
        <w:rPr>
          <w:rFonts w:ascii="Calibri" w:hAnsi="Calibri" w:cs="Calibri"/>
          <w:i/>
          <w:color w:val="000000" w:themeColor="text1"/>
          <w:sz w:val="18"/>
          <w:szCs w:val="18"/>
        </w:rPr>
        <w:t xml:space="preserve">Impact review </w:t>
      </w:r>
      <w:r w:rsidRPr="000045FB">
        <w:rPr>
          <w:rFonts w:ascii="Calibri" w:hAnsi="Calibri" w:cs="Calibri"/>
          <w:color w:val="000000" w:themeColor="text1"/>
          <w:sz w:val="18"/>
          <w:szCs w:val="18"/>
        </w:rPr>
        <w:t>(1986).</w:t>
      </w:r>
    </w:p>
  </w:footnote>
  <w:footnote w:id="365">
    <w:p w14:paraId="0BB8AAB6" w14:textId="5AB9D962"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Kelly et al., </w:t>
      </w:r>
      <w:r w:rsidRPr="00681100">
        <w:rPr>
          <w:rFonts w:ascii="Calibri" w:hAnsi="Calibri" w:cs="Calibri"/>
          <w:i/>
          <w:color w:val="000000" w:themeColor="text1"/>
          <w:sz w:val="18"/>
          <w:szCs w:val="18"/>
        </w:rPr>
        <w:t>Im</w:t>
      </w:r>
      <w:r w:rsidRPr="000045FB">
        <w:rPr>
          <w:rFonts w:ascii="Calibri" w:hAnsi="Calibri" w:cs="Calibri"/>
          <w:i/>
          <w:color w:val="000000" w:themeColor="text1"/>
          <w:sz w:val="18"/>
          <w:szCs w:val="18"/>
        </w:rPr>
        <w:t xml:space="preserve">pact review </w:t>
      </w:r>
      <w:r w:rsidRPr="000045FB">
        <w:rPr>
          <w:rFonts w:ascii="Calibri" w:hAnsi="Calibri" w:cs="Calibri"/>
          <w:color w:val="000000" w:themeColor="text1"/>
          <w:sz w:val="18"/>
          <w:szCs w:val="18"/>
        </w:rPr>
        <w:t>(1986), 25.</w:t>
      </w:r>
    </w:p>
  </w:footnote>
  <w:footnote w:id="366">
    <w:p w14:paraId="4679B6A6" w14:textId="448CFA20"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Kelly et al., </w:t>
      </w:r>
      <w:r w:rsidRPr="00681100">
        <w:rPr>
          <w:rFonts w:ascii="Calibri" w:hAnsi="Calibri" w:cs="Calibri"/>
          <w:i/>
          <w:color w:val="000000" w:themeColor="text1"/>
          <w:sz w:val="18"/>
          <w:szCs w:val="18"/>
        </w:rPr>
        <w:t xml:space="preserve">Impact review </w:t>
      </w:r>
      <w:r w:rsidRPr="00681100">
        <w:rPr>
          <w:rFonts w:ascii="Calibri" w:hAnsi="Calibri" w:cs="Calibri"/>
          <w:color w:val="000000" w:themeColor="text1"/>
          <w:sz w:val="18"/>
          <w:szCs w:val="18"/>
        </w:rPr>
        <w:t>(1986), 33.</w:t>
      </w:r>
    </w:p>
  </w:footnote>
  <w:footnote w:id="367">
    <w:p w14:paraId="4660D06D" w14:textId="7A4B18CA"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Kelly et al., </w:t>
      </w:r>
      <w:r w:rsidRPr="00681100">
        <w:rPr>
          <w:rFonts w:ascii="Calibri" w:hAnsi="Calibri" w:cs="Calibri"/>
          <w:i/>
          <w:color w:val="000000" w:themeColor="text1"/>
          <w:sz w:val="18"/>
          <w:szCs w:val="18"/>
        </w:rPr>
        <w:t xml:space="preserve">Impact review </w:t>
      </w:r>
      <w:r w:rsidRPr="00681100">
        <w:rPr>
          <w:rFonts w:ascii="Calibri" w:hAnsi="Calibri" w:cs="Calibri"/>
          <w:color w:val="000000" w:themeColor="text1"/>
          <w:sz w:val="18"/>
          <w:szCs w:val="18"/>
        </w:rPr>
        <w:t>(1986), 27.</w:t>
      </w:r>
    </w:p>
  </w:footnote>
  <w:footnote w:id="368">
    <w:p w14:paraId="0B28C270" w14:textId="11DA69D4" w:rsidR="00CF189D" w:rsidRPr="00581494"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Suitability was defined by the PAG report based on water availability (i.e. of the 276,000 km</w:t>
      </w:r>
      <w:r w:rsidRPr="00681100">
        <w:rPr>
          <w:rFonts w:ascii="Calibri" w:hAnsi="Calibri" w:cs="Calibri"/>
          <w:color w:val="000000" w:themeColor="text1"/>
          <w:sz w:val="18"/>
          <w:szCs w:val="18"/>
          <w:vertAlign w:val="superscript"/>
        </w:rPr>
        <w:t>2</w:t>
      </w:r>
      <w:r w:rsidRPr="00681100">
        <w:rPr>
          <w:rFonts w:ascii="Calibri" w:hAnsi="Calibri" w:cs="Calibri"/>
          <w:color w:val="000000" w:themeColor="text1"/>
          <w:sz w:val="18"/>
          <w:szCs w:val="18"/>
        </w:rPr>
        <w:t xml:space="preserve"> of land made available by the OCP, about 150,000 k</w:t>
      </w:r>
      <w:r w:rsidRPr="000045FB">
        <w:rPr>
          <w:rFonts w:ascii="Calibri" w:hAnsi="Calibri" w:cs="Calibri"/>
          <w:color w:val="000000" w:themeColor="text1"/>
          <w:sz w:val="18"/>
          <w:szCs w:val="18"/>
        </w:rPr>
        <w:t>m</w:t>
      </w:r>
      <w:r w:rsidRPr="000045FB">
        <w:rPr>
          <w:rFonts w:ascii="Calibri" w:hAnsi="Calibri" w:cs="Calibri"/>
          <w:color w:val="000000" w:themeColor="text1"/>
          <w:sz w:val="18"/>
          <w:szCs w:val="18"/>
          <w:vertAlign w:val="superscript"/>
        </w:rPr>
        <w:t>2</w:t>
      </w:r>
      <w:r w:rsidRPr="000045FB">
        <w:rPr>
          <w:rFonts w:ascii="Calibri" w:hAnsi="Calibri" w:cs="Calibri"/>
          <w:color w:val="000000" w:themeColor="text1"/>
          <w:sz w:val="18"/>
          <w:szCs w:val="18"/>
        </w:rPr>
        <w:t xml:space="preserve"> was located in the 800-1,000 mm/year rainfall zone). See OCP, </w:t>
      </w:r>
      <w:r w:rsidRPr="00581494">
        <w:rPr>
          <w:rFonts w:ascii="Calibri" w:hAnsi="Calibri" w:cs="Calibri"/>
          <w:i/>
          <w:color w:val="000000" w:themeColor="text1"/>
          <w:sz w:val="18"/>
          <w:szCs w:val="18"/>
        </w:rPr>
        <w:t xml:space="preserve">WHO independent commission of the long-term prospects of the Onchocerciasis Control Program, final report </w:t>
      </w:r>
      <w:r w:rsidRPr="00581494">
        <w:rPr>
          <w:rFonts w:ascii="Calibri" w:hAnsi="Calibri" w:cs="Calibri"/>
          <w:color w:val="000000" w:themeColor="text1"/>
          <w:sz w:val="18"/>
          <w:szCs w:val="18"/>
        </w:rPr>
        <w:t>(Geneva: WHO, 1981), c-4.</w:t>
      </w:r>
    </w:p>
  </w:footnote>
  <w:footnote w:id="369">
    <w:p w14:paraId="6DB9176F" w14:textId="157B92B5"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Based on Kelly et al., </w:t>
      </w:r>
      <w:r w:rsidRPr="00681100">
        <w:rPr>
          <w:rFonts w:ascii="Calibri" w:hAnsi="Calibri" w:cs="Calibri"/>
          <w:i/>
          <w:color w:val="000000" w:themeColor="text1"/>
          <w:sz w:val="18"/>
          <w:szCs w:val="18"/>
        </w:rPr>
        <w:t xml:space="preserve">Impact review </w:t>
      </w:r>
      <w:r w:rsidRPr="00681100">
        <w:rPr>
          <w:rFonts w:ascii="Calibri" w:hAnsi="Calibri" w:cs="Calibri"/>
          <w:color w:val="000000" w:themeColor="text1"/>
          <w:sz w:val="18"/>
          <w:szCs w:val="18"/>
        </w:rPr>
        <w:t>(1986), c-8, which u</w:t>
      </w:r>
      <w:r w:rsidRPr="000045FB">
        <w:rPr>
          <w:rFonts w:ascii="Calibri" w:hAnsi="Calibri" w:cs="Calibri"/>
          <w:color w:val="000000" w:themeColor="text1"/>
          <w:sz w:val="18"/>
          <w:szCs w:val="18"/>
        </w:rPr>
        <w:t>sed data presented to the 1984 Joint Program Committee.</w:t>
      </w:r>
    </w:p>
  </w:footnote>
  <w:footnote w:id="370">
    <w:p w14:paraId="70C500E5" w14:textId="4F431C67"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809925, ‘CSA report on mechanisms for promoting SED in oncho controlled zones’, 24 October 1986.</w:t>
      </w:r>
    </w:p>
  </w:footnote>
  <w:footnote w:id="371">
    <w:p w14:paraId="50C04FE5" w14:textId="53B1A372"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D81042, Institute for Development Anthropology, ‘Land settlement review’, 1990. The fun</w:t>
      </w:r>
      <w:r w:rsidRPr="00681100">
        <w:rPr>
          <w:rFonts w:ascii="Calibri" w:hAnsi="Calibri" w:cs="Calibri"/>
          <w:color w:val="000000" w:themeColor="text1"/>
          <w:sz w:val="18"/>
          <w:szCs w:val="18"/>
        </w:rPr>
        <w:t>ding provided for this large task was relatively low ($427,000).</w:t>
      </w:r>
    </w:p>
  </w:footnote>
  <w:footnote w:id="372">
    <w:p w14:paraId="7CC5E405" w14:textId="0C2FF21C"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1300663, Jorgen Lissner to Nicole Glineur, 1986.</w:t>
      </w:r>
    </w:p>
  </w:footnote>
  <w:footnote w:id="373">
    <w:p w14:paraId="4EC9A03B" w14:textId="7D6642E0"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809925, ‘Terms of reference: regional pre-preparation project for studies on socio economic development in the Onchocerciasis </w:t>
      </w:r>
      <w:r w:rsidRPr="00681100">
        <w:rPr>
          <w:rFonts w:ascii="Calibri" w:hAnsi="Calibri" w:cs="Calibri"/>
          <w:color w:val="000000" w:themeColor="text1"/>
          <w:sz w:val="18"/>
          <w:szCs w:val="18"/>
        </w:rPr>
        <w:t>Control Program area’, 6 May 1986.</w:t>
      </w:r>
    </w:p>
  </w:footnote>
  <w:footnote w:id="374">
    <w:p w14:paraId="2814E08F" w14:textId="7007C678"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D81042, Institute for Development Anthropology, ‘Land settlement review’, 1990.</w:t>
      </w:r>
    </w:p>
  </w:footnote>
  <w:footnote w:id="375">
    <w:p w14:paraId="4795EB55" w14:textId="4CEECD24"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1300663, Jorgen Lissner to Nicole Glineur, 1986.</w:t>
      </w:r>
    </w:p>
  </w:footnote>
  <w:footnote w:id="376">
    <w:p w14:paraId="5D71F21F" w14:textId="5A2F70B7"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1300678, Bruce Benton to E. Samba and Dr. Baldry, ‘Onchocerciasis Co</w:t>
      </w:r>
      <w:r w:rsidRPr="00681100">
        <w:rPr>
          <w:rFonts w:ascii="Calibri" w:hAnsi="Calibri" w:cs="Calibri"/>
          <w:color w:val="000000" w:themeColor="text1"/>
          <w:sz w:val="18"/>
          <w:szCs w:val="18"/>
        </w:rPr>
        <w:t>ntrol Program’, 3 August 1989.</w:t>
      </w:r>
    </w:p>
  </w:footnote>
  <w:footnote w:id="377">
    <w:p w14:paraId="74C982A8" w14:textId="005D11A4"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Based on Younger and Zongo, ‘West Africa’ (1989).</w:t>
      </w:r>
    </w:p>
  </w:footnote>
  <w:footnote w:id="378">
    <w:p w14:paraId="15CB7798" w14:textId="76332C56"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Herouvet et al., </w:t>
      </w:r>
      <w:r w:rsidRPr="00681100">
        <w:rPr>
          <w:rFonts w:ascii="Calibri" w:hAnsi="Calibri" w:cs="Calibri"/>
          <w:i/>
          <w:color w:val="000000" w:themeColor="text1"/>
          <w:sz w:val="18"/>
          <w:szCs w:val="18"/>
        </w:rPr>
        <w:t>Peuplement des vallees proteges de l’onchocercose après dix ans de lutte anti-vectorielle au Burkina Faso</w:t>
      </w:r>
      <w:r w:rsidRPr="00681100">
        <w:rPr>
          <w:rFonts w:ascii="Calibri" w:hAnsi="Calibri" w:cs="Calibri"/>
          <w:color w:val="000000" w:themeColor="text1"/>
          <w:sz w:val="18"/>
          <w:szCs w:val="18"/>
        </w:rPr>
        <w:t xml:space="preserve"> (Ouagadougou: OCP, 1984).</w:t>
      </w:r>
    </w:p>
  </w:footnote>
  <w:footnote w:id="379">
    <w:p w14:paraId="4E14A7DF" w14:textId="478ED75C"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Based on Younger and </w:t>
      </w:r>
      <w:r w:rsidRPr="00681100">
        <w:rPr>
          <w:rFonts w:ascii="Calibri" w:hAnsi="Calibri" w:cs="Calibri"/>
          <w:color w:val="000000" w:themeColor="text1"/>
          <w:sz w:val="18"/>
          <w:szCs w:val="18"/>
        </w:rPr>
        <w:t>Zongo, ‘West Africa’ (1989).</w:t>
      </w:r>
    </w:p>
  </w:footnote>
  <w:footnote w:id="380">
    <w:p w14:paraId="39B7BE89" w14:textId="1DBB11D4"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Younger and Zongo, ‘West Africa’ (1989), 39.</w:t>
      </w:r>
    </w:p>
  </w:footnote>
  <w:footnote w:id="381">
    <w:p w14:paraId="59157013" w14:textId="17EE0275"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1300688, Bruce Benton and Elizabeth Skinner, ‘Cost-benefits of onchocerciasis control (draft)’, September 1989.</w:t>
      </w:r>
    </w:p>
  </w:footnote>
  <w:footnote w:id="382">
    <w:p w14:paraId="26796EBB" w14:textId="0659534D"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This per</w:t>
      </w:r>
      <w:r w:rsidRPr="00681100">
        <w:rPr>
          <w:rFonts w:ascii="Calibri" w:hAnsi="Calibri" w:cs="Calibri"/>
          <w:color w:val="000000" w:themeColor="text1"/>
          <w:sz w:val="18"/>
          <w:szCs w:val="18"/>
        </w:rPr>
        <w:t xml:space="preserve">centage at risk was based on estimates in the 1985 OCP plan of operations. See OCP, </w:t>
      </w:r>
      <w:r w:rsidRPr="000045FB">
        <w:rPr>
          <w:rFonts w:ascii="Calibri" w:hAnsi="Calibri" w:cs="Calibri"/>
          <w:i/>
          <w:color w:val="000000" w:themeColor="text1"/>
          <w:sz w:val="18"/>
          <w:szCs w:val="18"/>
        </w:rPr>
        <w:t xml:space="preserve">Plan of operations for the third programme phase (1986-1991) </w:t>
      </w:r>
      <w:r w:rsidRPr="000045FB">
        <w:rPr>
          <w:rFonts w:ascii="Calibri" w:hAnsi="Calibri" w:cs="Calibri"/>
          <w:color w:val="000000" w:themeColor="text1"/>
          <w:sz w:val="18"/>
          <w:szCs w:val="18"/>
        </w:rPr>
        <w:t>(Geneva: WHO, 1985), Annex 2, 1.</w:t>
      </w:r>
    </w:p>
  </w:footnote>
  <w:footnote w:id="383">
    <w:p w14:paraId="76CD888E" w14:textId="788980F9"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Peters et al., ‘Health expenditures, services, and outcomes in Africa: basic</w:t>
      </w:r>
      <w:r w:rsidRPr="00681100">
        <w:rPr>
          <w:rFonts w:ascii="Calibri" w:hAnsi="Calibri" w:cs="Calibri"/>
          <w:color w:val="000000" w:themeColor="text1"/>
          <w:sz w:val="18"/>
          <w:szCs w:val="18"/>
        </w:rPr>
        <w:t xml:space="preserve"> data and cross-national comparisons, 1990-1996’, </w:t>
      </w:r>
      <w:r w:rsidRPr="00681100">
        <w:rPr>
          <w:rFonts w:ascii="Calibri" w:hAnsi="Calibri" w:cs="Calibri"/>
          <w:i/>
          <w:color w:val="000000" w:themeColor="text1"/>
          <w:sz w:val="18"/>
          <w:szCs w:val="18"/>
        </w:rPr>
        <w:t xml:space="preserve">Human development network (HNP series) </w:t>
      </w:r>
      <w:r w:rsidRPr="000045FB">
        <w:rPr>
          <w:rFonts w:ascii="Calibri" w:hAnsi="Calibri" w:cs="Calibri"/>
          <w:color w:val="000000" w:themeColor="text1"/>
          <w:sz w:val="18"/>
          <w:szCs w:val="18"/>
        </w:rPr>
        <w:t>(Washington DC: World Bank, 1999).</w:t>
      </w:r>
    </w:p>
  </w:footnote>
  <w:footnote w:id="384">
    <w:p w14:paraId="45FCB9C1" w14:textId="038FA8B9" w:rsidR="00CF189D" w:rsidRPr="000045FB" w:rsidRDefault="00CF189D" w:rsidP="00B86D8C">
      <w:pPr>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Like Prost and Prescott, Benton and Skinner assume that a saved life adds 20 years of productivity. Given an estimated 2 pecent population growth rate and assuming that about 0.8 p</w:t>
      </w:r>
      <w:r w:rsidRPr="00681100">
        <w:rPr>
          <w:rFonts w:ascii="Calibri" w:hAnsi="Calibri" w:cs="Calibri"/>
          <w:color w:val="000000" w:themeColor="text1"/>
          <w:sz w:val="18"/>
          <w:szCs w:val="18"/>
        </w:rPr>
        <w:t>ercent of the OCP population would have become blind without the OCP, Benton and Skinner estimate that 89,000 cases of blindness would be prevented by the end of 1990, 296,000 by 2004, and 690,000 by 2023. These numbers are estimates based on reported coun</w:t>
      </w:r>
      <w:r w:rsidRPr="000045FB">
        <w:rPr>
          <w:rFonts w:ascii="Calibri" w:hAnsi="Calibri" w:cs="Calibri"/>
          <w:color w:val="000000" w:themeColor="text1"/>
          <w:sz w:val="18"/>
          <w:szCs w:val="18"/>
        </w:rPr>
        <w:t xml:space="preserve">try populations and assumed an average growth rate. </w:t>
      </w:r>
    </w:p>
  </w:footnote>
  <w:footnote w:id="385">
    <w:p w14:paraId="3B4DB7EF" w14:textId="2DBBCD4A"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1300688, Bruce</w:t>
      </w:r>
      <w:r w:rsidRPr="00681100">
        <w:rPr>
          <w:rFonts w:ascii="Calibri" w:hAnsi="Calibri" w:cs="Calibri"/>
          <w:color w:val="000000" w:themeColor="text1"/>
          <w:sz w:val="18"/>
          <w:szCs w:val="18"/>
        </w:rPr>
        <w:t xml:space="preserve"> Benton and Elizabeth Skinner, ‘Cost-benefits of onchocerciasis control (draft)’, September 1989.</w:t>
      </w:r>
    </w:p>
  </w:footnote>
  <w:footnote w:id="386">
    <w:p w14:paraId="2F962584" w14:textId="30F9D010"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Benton and Skinner give the sources for this data as the ‘Berg report’ (</w:t>
      </w:r>
      <w:r w:rsidRPr="00681100">
        <w:rPr>
          <w:rFonts w:ascii="Calibri" w:hAnsi="Calibri" w:cs="Calibri"/>
          <w:color w:val="000000" w:themeColor="text1"/>
          <w:sz w:val="18"/>
          <w:szCs w:val="18"/>
        </w:rPr>
        <w:t xml:space="preserve">referring to the </w:t>
      </w:r>
      <w:r w:rsidRPr="000045FB">
        <w:rPr>
          <w:rFonts w:ascii="Calibri" w:hAnsi="Calibri" w:cs="Calibri"/>
          <w:color w:val="000000" w:themeColor="text1"/>
          <w:sz w:val="18"/>
          <w:szCs w:val="18"/>
        </w:rPr>
        <w:t>Economic Review mission, 1978) for the original and southern extension, and ‘other World Bank estimates’ for the Western extension.</w:t>
      </w:r>
    </w:p>
  </w:footnote>
  <w:footnote w:id="387">
    <w:p w14:paraId="1BCFCD92" w14:textId="573D97F6"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1300688, Bruce Benton and Elizabeth Skinner, ‘Cost-benefits of onchocerciasis control (draft)’, September 19</w:t>
      </w:r>
      <w:r w:rsidRPr="00681100">
        <w:rPr>
          <w:rFonts w:ascii="Calibri" w:hAnsi="Calibri" w:cs="Calibri"/>
          <w:color w:val="000000" w:themeColor="text1"/>
          <w:sz w:val="18"/>
          <w:szCs w:val="18"/>
        </w:rPr>
        <w:t xml:space="preserve">89. Benton and Skinner decided to reduce land-related benefits to 15 million hectares, ‘to be consistently conservative’. Their calculation assumed that about 3 percent of this land would be settled per year, beginning 5 years after the start of programme </w:t>
      </w:r>
      <w:r w:rsidRPr="000045FB">
        <w:rPr>
          <w:rFonts w:ascii="Calibri" w:hAnsi="Calibri" w:cs="Calibri"/>
          <w:color w:val="000000" w:themeColor="text1"/>
          <w:sz w:val="18"/>
          <w:szCs w:val="18"/>
        </w:rPr>
        <w:t>operations in that area. They then ‘conservatively’ estimated land use needs at 3-4 hectares per worker, and borrowed Younger and Zongo’s (1989) methodology for calculating increased production from land, based on additional output of $10/annum/worker.</w:t>
      </w:r>
    </w:p>
  </w:footnote>
  <w:footnote w:id="388">
    <w:p w14:paraId="0E0E2785" w14:textId="5AA48C42"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w:t>
      </w:r>
      <w:r w:rsidRPr="00681100">
        <w:rPr>
          <w:rFonts w:ascii="Calibri" w:hAnsi="Calibri" w:cs="Calibri"/>
          <w:color w:val="000000" w:themeColor="text1"/>
          <w:sz w:val="18"/>
          <w:szCs w:val="18"/>
        </w:rPr>
        <w:t>BGA, 1300688, Bruce Benton and Elizabeth Skinner, ‘Cost-benefits of onchocerciasis control (draft)’, September 1989.</w:t>
      </w:r>
    </w:p>
  </w:footnote>
  <w:footnote w:id="389">
    <w:p w14:paraId="61C52593" w14:textId="3148ECD1"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for example, WBGA, 30303467, ‘Annual riverblindness (onchocerciasis) control meeting statement by Mr. Agueh’, 15 January 1991.</w:t>
      </w:r>
    </w:p>
  </w:footnote>
  <w:footnote w:id="390">
    <w:p w14:paraId="633F5589" w14:textId="5E29B0AB"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OCP</w:t>
      </w:r>
      <w:r w:rsidRPr="00681100">
        <w:rPr>
          <w:rFonts w:ascii="Calibri" w:hAnsi="Calibri" w:cs="Calibri"/>
          <w:color w:val="000000" w:themeColor="text1"/>
          <w:sz w:val="18"/>
          <w:szCs w:val="18"/>
        </w:rPr>
        <w:t xml:space="preserve">, </w:t>
      </w:r>
      <w:r w:rsidRPr="00681100">
        <w:rPr>
          <w:rFonts w:ascii="Calibri" w:hAnsi="Calibri" w:cs="Calibri"/>
          <w:i/>
          <w:color w:val="000000" w:themeColor="text1"/>
          <w:sz w:val="18"/>
          <w:szCs w:val="18"/>
        </w:rPr>
        <w:t xml:space="preserve">External review of the Onchocerciasis Control Programme </w:t>
      </w:r>
      <w:r w:rsidRPr="000045FB">
        <w:rPr>
          <w:rFonts w:ascii="Calibri" w:hAnsi="Calibri" w:cs="Calibri"/>
          <w:color w:val="000000" w:themeColor="text1"/>
          <w:sz w:val="18"/>
          <w:szCs w:val="18"/>
        </w:rPr>
        <w:t>(Geneva: WHO, 1990).</w:t>
      </w:r>
    </w:p>
  </w:footnote>
  <w:footnote w:id="391">
    <w:p w14:paraId="08A018BF" w14:textId="5CD40971"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Cost per treatment could be as high as $10.00, and as low as $0.07. McFarland and Murray selected a delivery cost of $3 per treatment in the first year, scaling down to $2.25 </w:t>
      </w:r>
      <w:r w:rsidRPr="00681100">
        <w:rPr>
          <w:rFonts w:ascii="Calibri" w:hAnsi="Calibri" w:cs="Calibri"/>
          <w:color w:val="000000" w:themeColor="text1"/>
          <w:sz w:val="18"/>
          <w:szCs w:val="18"/>
        </w:rPr>
        <w:t>in the second year, and $1.60 in the third and subsequent years. These costs were based on formal country estimates for mobile-team mediated delivery. WBGA, D93672, Deborah McFarland and John Murray, ‘A review of the economic impact of treatment with iverm</w:t>
      </w:r>
      <w:r w:rsidRPr="000045FB">
        <w:rPr>
          <w:rFonts w:ascii="Calibri" w:hAnsi="Calibri" w:cs="Calibri"/>
          <w:color w:val="000000" w:themeColor="text1"/>
          <w:sz w:val="18"/>
          <w:szCs w:val="18"/>
        </w:rPr>
        <w:t>ectin for onchocerciasis’, February 1994.</w:t>
      </w:r>
    </w:p>
  </w:footnote>
  <w:footnote w:id="392">
    <w:p w14:paraId="00E20FBD" w14:textId="2624C580"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Waters et al., ‘Economic evalua</w:t>
      </w:r>
      <w:r w:rsidRPr="00681100">
        <w:rPr>
          <w:rFonts w:ascii="Calibri" w:hAnsi="Calibri" w:cs="Calibri"/>
          <w:color w:val="000000" w:themeColor="text1"/>
          <w:sz w:val="18"/>
          <w:szCs w:val="18"/>
        </w:rPr>
        <w:t xml:space="preserve">tion of Mectizan distribution’, </w:t>
      </w:r>
      <w:r w:rsidRPr="00681100">
        <w:rPr>
          <w:rFonts w:ascii="Calibri" w:hAnsi="Calibri" w:cs="Calibri"/>
          <w:i/>
          <w:color w:val="000000" w:themeColor="text1"/>
          <w:sz w:val="18"/>
          <w:szCs w:val="18"/>
        </w:rPr>
        <w:t xml:space="preserve">Tropical Medicine and International Health </w:t>
      </w:r>
      <w:r w:rsidRPr="000045FB">
        <w:rPr>
          <w:rFonts w:ascii="Calibri" w:hAnsi="Calibri" w:cs="Calibri"/>
          <w:color w:val="000000" w:themeColor="text1"/>
          <w:sz w:val="18"/>
          <w:szCs w:val="18"/>
        </w:rPr>
        <w:t>9:4 (2004), A16-A25.</w:t>
      </w:r>
    </w:p>
  </w:footnote>
  <w:footnote w:id="393">
    <w:p w14:paraId="7B82698C" w14:textId="6374A986"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1428489, Cost-benefit analysis presentation slides, [November 1994].</w:t>
      </w:r>
    </w:p>
  </w:footnote>
  <w:footnote w:id="394">
    <w:p w14:paraId="55182049" w14:textId="172D497F"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Kim A </w:t>
      </w:r>
      <w:r w:rsidRPr="00681100">
        <w:rPr>
          <w:rFonts w:ascii="Calibri" w:hAnsi="Calibri" w:cs="Calibri"/>
          <w:color w:val="000000" w:themeColor="text1"/>
          <w:sz w:val="18"/>
          <w:szCs w:val="18"/>
        </w:rPr>
        <w:t xml:space="preserve">and Benton B, </w:t>
      </w:r>
      <w:r w:rsidRPr="00681100">
        <w:rPr>
          <w:rFonts w:ascii="Calibri" w:hAnsi="Calibri" w:cs="Calibri"/>
          <w:i/>
          <w:color w:val="000000" w:themeColor="text1"/>
          <w:sz w:val="18"/>
          <w:szCs w:val="18"/>
        </w:rPr>
        <w:t>Cost-benefit analysis of the Onchocerciasis Control Program (</w:t>
      </w:r>
      <w:r w:rsidRPr="000045FB">
        <w:rPr>
          <w:rFonts w:ascii="Calibri" w:hAnsi="Calibri" w:cs="Calibri"/>
          <w:i/>
          <w:color w:val="000000" w:themeColor="text1"/>
          <w:sz w:val="18"/>
          <w:szCs w:val="18"/>
        </w:rPr>
        <w:t>OCP)</w:t>
      </w:r>
      <w:r w:rsidRPr="000045FB">
        <w:rPr>
          <w:rFonts w:ascii="Calibri" w:hAnsi="Calibri" w:cs="Calibri"/>
          <w:color w:val="000000" w:themeColor="text1"/>
          <w:sz w:val="18"/>
          <w:szCs w:val="18"/>
        </w:rPr>
        <w:t xml:space="preserve"> (Washington DC: World Bank, 1995). </w:t>
      </w:r>
    </w:p>
  </w:footnote>
  <w:footnote w:id="395">
    <w:p w14:paraId="199B82A3" w14:textId="114E84DC"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This was lower than the 2.4 percent average rural growth rate in OCP countries, since new settlements had grown slowly in liberated areas.</w:t>
      </w:r>
    </w:p>
  </w:footnote>
  <w:footnote w:id="396">
    <w:p w14:paraId="321B4F22" w14:textId="2A76DE36"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They assumed that 85 percent of healthy workers would participate in the</w:t>
      </w:r>
      <w:r w:rsidRPr="00681100">
        <w:rPr>
          <w:rFonts w:ascii="Calibri" w:hAnsi="Calibri" w:cs="Calibri"/>
          <w:color w:val="000000" w:themeColor="text1"/>
          <w:sz w:val="18"/>
          <w:szCs w:val="18"/>
        </w:rPr>
        <w:t xml:space="preserve"> labour pool, and estimated that the ‘output elasticity of labour’ would be 0.66 (i.e. that a one percent increase in the number of workers would only realistically increase output by 0.66 percent).</w:t>
      </w:r>
    </w:p>
  </w:footnote>
  <w:footnote w:id="397">
    <w:p w14:paraId="0B37B242" w14:textId="39318D40" w:rsidR="00CF189D" w:rsidRPr="00681100" w:rsidRDefault="00CF189D" w:rsidP="00B86D8C">
      <w:pPr>
        <w:pStyle w:val="FootnoteText"/>
        <w:rPr>
          <w:rFonts w:ascii="Calibri" w:hAnsi="Calibri" w:cs="Calibri"/>
          <w: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Adapted from Kim and Benton, </w:t>
      </w:r>
      <w:r w:rsidRPr="00546CBA">
        <w:rPr>
          <w:rFonts w:ascii="Calibri" w:hAnsi="Calibri" w:cs="Calibri"/>
          <w:i/>
          <w:color w:val="000000" w:themeColor="text1"/>
          <w:sz w:val="18"/>
          <w:szCs w:val="18"/>
        </w:rPr>
        <w:t>Cost-benefit</w:t>
      </w:r>
      <w:r w:rsidRPr="00681100">
        <w:rPr>
          <w:rFonts w:ascii="Calibri" w:hAnsi="Calibri" w:cs="Calibri"/>
          <w:color w:val="000000" w:themeColor="text1"/>
          <w:sz w:val="18"/>
          <w:szCs w:val="18"/>
        </w:rPr>
        <w:t xml:space="preserve"> (1995).</w:t>
      </w:r>
    </w:p>
  </w:footnote>
  <w:footnote w:id="398">
    <w:p w14:paraId="2FEDD5CD" w14:textId="21EF2837"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individual citations for each study, given throughout section 4.5.</w:t>
      </w:r>
    </w:p>
  </w:footnote>
  <w:footnote w:id="399">
    <w:p w14:paraId="6622FFAE" w14:textId="036D10E2"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Evans TG, ‘Socioeconomic consequences of blinding onchocerciasis in West Africa’, </w:t>
      </w:r>
      <w:r w:rsidRPr="00681100">
        <w:rPr>
          <w:rFonts w:ascii="Calibri" w:hAnsi="Calibri" w:cs="Calibri"/>
          <w:i/>
          <w:color w:val="000000" w:themeColor="text1"/>
          <w:sz w:val="18"/>
          <w:szCs w:val="18"/>
        </w:rPr>
        <w:t>Bulletin of the WHO</w:t>
      </w:r>
      <w:r w:rsidRPr="00681100">
        <w:rPr>
          <w:rFonts w:ascii="Calibri" w:hAnsi="Calibri" w:cs="Calibri"/>
          <w:color w:val="000000" w:themeColor="text1"/>
          <w:sz w:val="18"/>
          <w:szCs w:val="18"/>
        </w:rPr>
        <w:t xml:space="preserve"> 73:4 (199</w:t>
      </w:r>
      <w:r w:rsidRPr="000045FB">
        <w:rPr>
          <w:rFonts w:ascii="Calibri" w:hAnsi="Calibri" w:cs="Calibri"/>
          <w:color w:val="000000" w:themeColor="text1"/>
          <w:sz w:val="18"/>
          <w:szCs w:val="18"/>
        </w:rPr>
        <w:t>5), 495-506.</w:t>
      </w:r>
    </w:p>
  </w:footnote>
  <w:footnote w:id="400">
    <w:p w14:paraId="7008AC39" w14:textId="2DD94E0F"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individual study citations in section 4.5.</w:t>
      </w:r>
    </w:p>
  </w:footnote>
  <w:footnote w:id="401">
    <w:p w14:paraId="67B7B12B" w14:textId="07246C89"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Packard RM, “‘Roll back malaria, roll in development”? Reassessing the economic burden of malaria’, </w:t>
      </w:r>
      <w:r w:rsidRPr="00681100">
        <w:rPr>
          <w:rFonts w:ascii="Calibri" w:hAnsi="Calibri" w:cs="Calibri"/>
          <w:i/>
          <w:color w:val="000000" w:themeColor="text1"/>
          <w:sz w:val="18"/>
          <w:szCs w:val="18"/>
        </w:rPr>
        <w:t xml:space="preserve">Population and Development Review </w:t>
      </w:r>
      <w:r w:rsidRPr="00681100">
        <w:rPr>
          <w:rFonts w:ascii="Calibri" w:hAnsi="Calibri" w:cs="Calibri"/>
          <w:color w:val="000000" w:themeColor="text1"/>
          <w:sz w:val="18"/>
          <w:szCs w:val="18"/>
        </w:rPr>
        <w:t>35:1 (2009), 53-87.</w:t>
      </w:r>
    </w:p>
  </w:footnote>
  <w:footnote w:id="402">
    <w:p w14:paraId="0D149B3C" w14:textId="73DF4FC1" w:rsidR="00CF189D" w:rsidRPr="00581494"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for instance, </w:t>
      </w:r>
      <w:r w:rsidRPr="00681100">
        <w:rPr>
          <w:rFonts w:ascii="Calibri" w:hAnsi="Calibri" w:cs="Calibri"/>
          <w:color w:val="000000" w:themeColor="text1"/>
          <w:spacing w:val="3"/>
          <w:sz w:val="18"/>
          <w:szCs w:val="18"/>
          <w:shd w:val="clear" w:color="auto" w:fill="FFFFFF"/>
        </w:rPr>
        <w:t xml:space="preserve">Gallup J and Sachs J, ‘The economic burden of malaria’, </w:t>
      </w:r>
      <w:r w:rsidRPr="000045FB">
        <w:rPr>
          <w:rFonts w:ascii="Calibri" w:hAnsi="Calibri" w:cs="Calibri"/>
          <w:i/>
          <w:color w:val="000000" w:themeColor="text1"/>
          <w:spacing w:val="3"/>
          <w:sz w:val="18"/>
          <w:szCs w:val="18"/>
          <w:shd w:val="clear" w:color="auto" w:fill="FFFFFF"/>
        </w:rPr>
        <w:t xml:space="preserve">American Journal of Tropical Medicine and Hygiene </w:t>
      </w:r>
      <w:r w:rsidRPr="000045FB">
        <w:rPr>
          <w:rFonts w:ascii="Calibri" w:hAnsi="Calibri" w:cs="Calibri"/>
          <w:color w:val="000000" w:themeColor="text1"/>
          <w:spacing w:val="3"/>
          <w:sz w:val="18"/>
          <w:szCs w:val="18"/>
          <w:shd w:val="clear" w:color="auto" w:fill="FFFFFF"/>
        </w:rPr>
        <w:t>64:1 (2001), 85-96.</w:t>
      </w:r>
    </w:p>
  </w:footnote>
  <w:footnote w:id="403">
    <w:p w14:paraId="6A9413C0" w14:textId="37A956A8"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Packard, ‘Roll back’ (2009).</w:t>
      </w:r>
    </w:p>
  </w:footnote>
  <w:footnote w:id="404">
    <w:p w14:paraId="4DC6AD7A" w14:textId="214F943B"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Evidence of positive rates of return for other helminthic diseases has not emerged; for example, experts have </w:t>
      </w:r>
      <w:r w:rsidRPr="00681100">
        <w:rPr>
          <w:rFonts w:ascii="Calibri" w:hAnsi="Calibri" w:cs="Calibri"/>
          <w:color w:val="000000" w:themeColor="text1"/>
          <w:sz w:val="18"/>
          <w:szCs w:val="18"/>
        </w:rPr>
        <w:t xml:space="preserve">been unable to show a consistent relationship between schistosomiasis infection and labour productivity or labour output. See Guyatt HL and Evans D, ‘Economic considerations for helminth control’, </w:t>
      </w:r>
      <w:r w:rsidRPr="000045FB">
        <w:rPr>
          <w:rFonts w:ascii="Calibri" w:hAnsi="Calibri" w:cs="Calibri"/>
          <w:i/>
          <w:color w:val="000000" w:themeColor="text1"/>
          <w:sz w:val="18"/>
          <w:szCs w:val="18"/>
        </w:rPr>
        <w:t xml:space="preserve">Parasitology Today </w:t>
      </w:r>
      <w:r w:rsidRPr="000045FB">
        <w:rPr>
          <w:rFonts w:ascii="Calibri" w:hAnsi="Calibri" w:cs="Calibri"/>
          <w:color w:val="000000" w:themeColor="text1"/>
          <w:sz w:val="18"/>
          <w:szCs w:val="18"/>
        </w:rPr>
        <w:t>8:12 (1992), 397-402.</w:t>
      </w:r>
    </w:p>
  </w:footnote>
  <w:footnote w:id="405">
    <w:p w14:paraId="59F9FD68" w14:textId="167F94DA"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30304898, </w:t>
      </w:r>
      <w:r w:rsidRPr="00681100">
        <w:rPr>
          <w:rFonts w:ascii="Calibri" w:hAnsi="Calibri" w:cs="Calibri"/>
          <w:color w:val="000000" w:themeColor="text1"/>
          <w:sz w:val="18"/>
          <w:szCs w:val="18"/>
        </w:rPr>
        <w:t xml:space="preserve">‘Good health care pays off, World Bank says’, </w:t>
      </w:r>
      <w:r w:rsidRPr="00681100">
        <w:rPr>
          <w:rFonts w:ascii="Calibri" w:hAnsi="Calibri" w:cs="Calibri"/>
          <w:i/>
          <w:color w:val="000000" w:themeColor="text1"/>
          <w:sz w:val="18"/>
          <w:szCs w:val="18"/>
        </w:rPr>
        <w:t>Washington Post</w:t>
      </w:r>
      <w:r w:rsidRPr="000045FB">
        <w:rPr>
          <w:rFonts w:ascii="Calibri" w:hAnsi="Calibri" w:cs="Calibri"/>
          <w:color w:val="000000" w:themeColor="text1"/>
          <w:sz w:val="18"/>
          <w:szCs w:val="18"/>
        </w:rPr>
        <w:t>, 7 July 1993. Reproduced under CC BY-NC-SA 4.0.</w:t>
      </w:r>
    </w:p>
  </w:footnote>
  <w:footnote w:id="406">
    <w:p w14:paraId="39752096" w14:textId="3447C54E"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10300662, ‘Statement by Mr. McNamara on signing the Oncho Fund Agreement, draft’, 7 May 1975.</w:t>
      </w:r>
    </w:p>
  </w:footnote>
  <w:footnote w:id="407">
    <w:p w14:paraId="5D6FF095" w14:textId="6E0C1529"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30137065, Bilsel Alisbah to J.P. Dailly, 18 November 1982.</w:t>
      </w:r>
    </w:p>
  </w:footnote>
  <w:footnote w:id="408">
    <w:p w14:paraId="3F72B7A1" w14:textId="77777777" w:rsidR="00CF189D" w:rsidRPr="00681100" w:rsidRDefault="00CF189D" w:rsidP="00C90019">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546CBA">
        <w:rPr>
          <w:rFonts w:ascii="Calibri" w:hAnsi="Calibri" w:cs="Calibri"/>
          <w:i/>
          <w:color w:val="000000" w:themeColor="text1"/>
          <w:sz w:val="18"/>
          <w:szCs w:val="18"/>
        </w:rPr>
        <w:t xml:space="preserve">The International Bank for Reconstruction and Development 1946-1953 </w:t>
      </w:r>
      <w:r w:rsidRPr="00681100">
        <w:rPr>
          <w:rFonts w:ascii="Calibri" w:hAnsi="Calibri" w:cs="Calibri"/>
          <w:color w:val="000000" w:themeColor="text1"/>
          <w:sz w:val="18"/>
          <w:szCs w:val="18"/>
        </w:rPr>
        <w:t>(Baltimore: Johns Hopkins Press for the IBRD, 1954), 73, 77</w:t>
      </w:r>
    </w:p>
  </w:footnote>
  <w:footnote w:id="409">
    <w:p w14:paraId="2EFB69DD" w14:textId="77777777" w:rsidR="00CF189D" w:rsidRPr="00681100" w:rsidRDefault="00CF189D" w:rsidP="00C90019">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546CBA">
        <w:rPr>
          <w:rFonts w:ascii="Calibri" w:hAnsi="Calibri" w:cs="Calibri"/>
          <w:i/>
          <w:color w:val="000000" w:themeColor="text1"/>
          <w:sz w:val="18"/>
          <w:szCs w:val="18"/>
        </w:rPr>
        <w:t xml:space="preserve">The International Bank </w:t>
      </w:r>
      <w:r w:rsidRPr="00681100">
        <w:rPr>
          <w:rFonts w:ascii="Calibri" w:hAnsi="Calibri" w:cs="Calibri"/>
          <w:color w:val="000000" w:themeColor="text1"/>
          <w:sz w:val="18"/>
          <w:szCs w:val="18"/>
        </w:rPr>
        <w:t>(1954), 73.</w:t>
      </w:r>
    </w:p>
  </w:footnote>
  <w:footnote w:id="410">
    <w:p w14:paraId="7E191CF9" w14:textId="77777777" w:rsidR="00CF189D" w:rsidRPr="00681100" w:rsidRDefault="00CF189D" w:rsidP="00C90019">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1082632, ‘Facts of the World Bank as of April 30’, 1979.</w:t>
      </w:r>
    </w:p>
  </w:footnote>
  <w:footnote w:id="411">
    <w:p w14:paraId="498F51C5" w14:textId="3D6F1989"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546CBA">
        <w:rPr>
          <w:rFonts w:ascii="Calibri" w:hAnsi="Calibri" w:cs="Calibri"/>
          <w:i/>
          <w:color w:val="000000" w:themeColor="text1"/>
          <w:sz w:val="18"/>
          <w:szCs w:val="18"/>
        </w:rPr>
        <w:t xml:space="preserve">Health sector policy paper </w:t>
      </w:r>
      <w:r w:rsidRPr="00681100">
        <w:rPr>
          <w:rFonts w:ascii="Calibri" w:hAnsi="Calibri" w:cs="Calibri"/>
          <w:color w:val="000000" w:themeColor="text1"/>
          <w:sz w:val="18"/>
          <w:szCs w:val="18"/>
        </w:rPr>
        <w:t xml:space="preserve">(Washington DC: World Bank, 1975), 48-49; World Bank, </w:t>
      </w:r>
      <w:r w:rsidRPr="00681100">
        <w:rPr>
          <w:rFonts w:ascii="Calibri" w:hAnsi="Calibri" w:cs="Calibri"/>
          <w:i/>
          <w:color w:val="000000" w:themeColor="text1"/>
          <w:sz w:val="18"/>
          <w:szCs w:val="18"/>
        </w:rPr>
        <w:t xml:space="preserve">Health sector policy paper </w:t>
      </w:r>
      <w:r w:rsidRPr="000045FB">
        <w:rPr>
          <w:rFonts w:ascii="Calibri" w:hAnsi="Calibri" w:cs="Calibri"/>
          <w:color w:val="000000" w:themeColor="text1"/>
          <w:sz w:val="18"/>
          <w:szCs w:val="18"/>
        </w:rPr>
        <w:t>(Washington DC: World Bank, 1980), 55-57.</w:t>
      </w:r>
    </w:p>
  </w:footnote>
  <w:footnote w:id="412">
    <w:p w14:paraId="78A15701" w14:textId="77777777" w:rsidR="00CF189D" w:rsidRPr="00CF189D" w:rsidRDefault="00CF189D" w:rsidP="00C90019">
      <w:pPr>
        <w:rPr>
          <w:rFonts w:ascii="Calibri" w:hAnsi="Calibri" w:cs="Calibri"/>
          <w:color w:val="000000" w:themeColor="text1"/>
          <w:sz w:val="18"/>
          <w:szCs w:val="18"/>
          <w:lang w:eastAsia="en-GB"/>
        </w:rPr>
      </w:pPr>
      <w:r w:rsidRPr="00CF189D">
        <w:rPr>
          <w:rStyle w:val="FootnoteReference"/>
          <w:rFonts w:ascii="Calibri" w:hAnsi="Calibri" w:cs="Calibri"/>
          <w:color w:val="000000" w:themeColor="text1"/>
          <w:sz w:val="18"/>
          <w:szCs w:val="18"/>
        </w:rPr>
        <w:footnoteRef/>
      </w:r>
      <w:r w:rsidRPr="00CF189D">
        <w:rPr>
          <w:rFonts w:ascii="Calibri" w:hAnsi="Calibri" w:cs="Calibri"/>
          <w:color w:val="000000" w:themeColor="text1"/>
          <w:sz w:val="18"/>
          <w:szCs w:val="18"/>
        </w:rPr>
        <w:t xml:space="preserve"> Based on World Bank, </w:t>
      </w:r>
      <w:r w:rsidRPr="00CF189D">
        <w:rPr>
          <w:rFonts w:ascii="Calibri" w:hAnsi="Calibri" w:cs="Calibri"/>
          <w:i/>
          <w:color w:val="000000" w:themeColor="text1"/>
          <w:sz w:val="18"/>
          <w:szCs w:val="18"/>
          <w:lang w:eastAsia="en-GB"/>
        </w:rPr>
        <w:t>The assault on world poverty: problems of rural development, education and health</w:t>
      </w:r>
      <w:r w:rsidRPr="00CF189D">
        <w:rPr>
          <w:rFonts w:ascii="Calibri" w:hAnsi="Calibri" w:cs="Calibri"/>
          <w:color w:val="000000" w:themeColor="text1"/>
          <w:sz w:val="18"/>
          <w:szCs w:val="18"/>
          <w:lang w:eastAsia="en-GB"/>
        </w:rPr>
        <w:t xml:space="preserve"> (Baltimore: Johns Hopkins University Press, 1975), 389-398.</w:t>
      </w:r>
    </w:p>
  </w:footnote>
  <w:footnote w:id="413">
    <w:p w14:paraId="2FF324FE" w14:textId="77777777" w:rsidR="00CF189D" w:rsidRPr="000045FB" w:rsidRDefault="00CF189D" w:rsidP="00C90019">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WHOL, </w:t>
      </w:r>
      <w:r w:rsidRPr="00681100">
        <w:rPr>
          <w:rFonts w:ascii="Calibri" w:hAnsi="Calibri" w:cs="Calibri"/>
          <w:i/>
          <w:color w:val="000000" w:themeColor="text1"/>
          <w:sz w:val="18"/>
          <w:szCs w:val="18"/>
        </w:rPr>
        <w:t xml:space="preserve">World Health, </w:t>
      </w:r>
      <w:r w:rsidRPr="00681100">
        <w:rPr>
          <w:rFonts w:ascii="Calibri" w:hAnsi="Calibri" w:cs="Calibri"/>
          <w:color w:val="000000" w:themeColor="text1"/>
          <w:sz w:val="18"/>
          <w:szCs w:val="18"/>
        </w:rPr>
        <w:t>‘World Bank: a powerful partnership’, Bernhard Liese, June-July-August 1990.</w:t>
      </w:r>
    </w:p>
  </w:footnote>
  <w:footnote w:id="414">
    <w:p w14:paraId="3A15357D" w14:textId="77777777" w:rsidR="00CF189D" w:rsidRPr="00581494" w:rsidRDefault="00CF189D" w:rsidP="00C90019">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Edwin L Dale Jr, ‘World Bank Moves to Lend $22-Billion to P</w:t>
      </w:r>
      <w:r w:rsidRPr="00681100">
        <w:rPr>
          <w:rFonts w:ascii="Calibri" w:hAnsi="Calibri" w:cs="Calibri"/>
          <w:color w:val="000000" w:themeColor="text1"/>
          <w:sz w:val="18"/>
          <w:szCs w:val="18"/>
        </w:rPr>
        <w:t xml:space="preserve">oor Lands, </w:t>
      </w:r>
      <w:r w:rsidRPr="00681100">
        <w:rPr>
          <w:rFonts w:ascii="Calibri" w:hAnsi="Calibri" w:cs="Calibri"/>
          <w:i/>
          <w:color w:val="000000" w:themeColor="text1"/>
          <w:sz w:val="18"/>
          <w:szCs w:val="18"/>
        </w:rPr>
        <w:t>New York Times</w:t>
      </w:r>
      <w:r w:rsidRPr="000045FB">
        <w:rPr>
          <w:rFonts w:ascii="Calibri" w:hAnsi="Calibri" w:cs="Calibri"/>
          <w:color w:val="000000" w:themeColor="text1"/>
          <w:sz w:val="18"/>
          <w:szCs w:val="18"/>
        </w:rPr>
        <w:t xml:space="preserve">, Sept 25 1973. See also IBRD, </w:t>
      </w:r>
      <w:r w:rsidRPr="000045FB">
        <w:rPr>
          <w:rFonts w:ascii="Calibri" w:hAnsi="Calibri" w:cs="Calibri"/>
          <w:i/>
          <w:color w:val="000000" w:themeColor="text1"/>
          <w:sz w:val="18"/>
          <w:szCs w:val="18"/>
        </w:rPr>
        <w:t xml:space="preserve">The McNamara </w:t>
      </w:r>
      <w:r w:rsidRPr="000045FB">
        <w:rPr>
          <w:rFonts w:ascii="Calibri" w:hAnsi="Calibri" w:cs="Calibri"/>
          <w:color w:val="000000" w:themeColor="text1"/>
          <w:sz w:val="18"/>
          <w:szCs w:val="18"/>
        </w:rPr>
        <w:t>(1981), 265-294.</w:t>
      </w:r>
    </w:p>
  </w:footnote>
  <w:footnote w:id="415">
    <w:p w14:paraId="71DFD927" w14:textId="77777777" w:rsidR="00CF189D" w:rsidRPr="00681100" w:rsidRDefault="00CF189D" w:rsidP="00C90019">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1082632, Facts of the World Bank as of </w:t>
      </w:r>
      <w:r w:rsidRPr="00681100">
        <w:rPr>
          <w:rFonts w:ascii="Calibri" w:hAnsi="Calibri" w:cs="Calibri"/>
          <w:color w:val="000000" w:themeColor="text1"/>
          <w:sz w:val="18"/>
          <w:szCs w:val="18"/>
        </w:rPr>
        <w:t>April 30, 1979.</w:t>
      </w:r>
    </w:p>
  </w:footnote>
  <w:footnote w:id="416">
    <w:p w14:paraId="443634B6" w14:textId="7EEBCE2A"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 xml:space="preserve">Health sector </w:t>
      </w:r>
      <w:r w:rsidRPr="00681100">
        <w:rPr>
          <w:rFonts w:ascii="Calibri" w:hAnsi="Calibri" w:cs="Calibri"/>
          <w:color w:val="000000" w:themeColor="text1"/>
          <w:sz w:val="18"/>
          <w:szCs w:val="18"/>
        </w:rPr>
        <w:t>(1975), 61-63.</w:t>
      </w:r>
    </w:p>
  </w:footnote>
  <w:footnote w:id="417">
    <w:p w14:paraId="3586700E" w14:textId="57B11676"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For instance, a total of $12 million was committed to Sub</w:t>
      </w:r>
      <w:r w:rsidRPr="00681100">
        <w:rPr>
          <w:rFonts w:ascii="Calibri" w:hAnsi="Calibri" w:cs="Calibri"/>
          <w:color w:val="000000" w:themeColor="text1"/>
          <w:sz w:val="18"/>
          <w:szCs w:val="18"/>
        </w:rPr>
        <w:t xml:space="preserve"> </w:t>
      </w:r>
      <w:r w:rsidRPr="00546CBA">
        <w:rPr>
          <w:rFonts w:ascii="Calibri" w:hAnsi="Calibri" w:cs="Calibri"/>
          <w:color w:val="000000" w:themeColor="text1"/>
          <w:sz w:val="18"/>
          <w:szCs w:val="18"/>
        </w:rPr>
        <w:t>Saharan Africa for health component, population, or nutrition projects from 1970-1981, compared to $231 million in East Asia and the Pacific, $125 million in South Asia, and $186 million in Latin America and the Pacific. See World Bank, ‘New HNP sectoral commitments by fiscal year and region’, 2017 (online), &lt;http://datatopics.worldbank.org/health/lending&gt; [accessed 15 July 2019].</w:t>
      </w:r>
    </w:p>
  </w:footnote>
  <w:footnote w:id="418">
    <w:p w14:paraId="4F7500FB" w14:textId="5F3C5050"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UNA, s-0053-14-7, John C. De Wilde, ‘The campaign against onchocerciasis in West Africa’, [1969].</w:t>
      </w:r>
    </w:p>
  </w:footnote>
  <w:footnote w:id="419">
    <w:p w14:paraId="56B36B08" w14:textId="771F2939"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Bump JB, </w:t>
      </w:r>
      <w:r w:rsidRPr="00681100">
        <w:rPr>
          <w:rFonts w:ascii="Calibri" w:hAnsi="Calibri" w:cs="Calibri"/>
          <w:i/>
          <w:color w:val="000000" w:themeColor="text1"/>
          <w:sz w:val="18"/>
          <w:szCs w:val="18"/>
        </w:rPr>
        <w:t xml:space="preserve">The lion’s gaze: African river blindness from tropical curiosity to international development </w:t>
      </w:r>
      <w:r w:rsidRPr="000045FB">
        <w:rPr>
          <w:rFonts w:ascii="Calibri" w:hAnsi="Calibri" w:cs="Calibri"/>
          <w:color w:val="000000" w:themeColor="text1"/>
          <w:sz w:val="18"/>
          <w:szCs w:val="18"/>
        </w:rPr>
        <w:t>(PhD dissertation, Baltimore: Johns Hopkins University, 2004), 399.</w:t>
      </w:r>
    </w:p>
  </w:footnote>
  <w:footnote w:id="420">
    <w:p w14:paraId="417FEE52" w14:textId="3FB78FC6"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UNA, s-0553-14-6, Ralph Townley, ‘Memorandum on Accra meeting’, 10-13 November 1972.</w:t>
      </w:r>
    </w:p>
  </w:footnote>
  <w:footnote w:id="421">
    <w:p w14:paraId="57EC9568" w14:textId="3F22FDD5"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NA, T 317/2046, ‘Note for the record: IBR</w:t>
      </w:r>
      <w:r w:rsidRPr="00681100">
        <w:rPr>
          <w:rFonts w:ascii="Calibri" w:hAnsi="Calibri" w:cs="Calibri"/>
          <w:color w:val="000000" w:themeColor="text1"/>
          <w:sz w:val="18"/>
          <w:szCs w:val="18"/>
        </w:rPr>
        <w:t>D/IDA board meeting, onchocerciasis (river blindness) in Western Africa’, 1 May 1973.</w:t>
      </w:r>
    </w:p>
  </w:footnote>
  <w:footnote w:id="422">
    <w:p w14:paraId="509337B0" w14:textId="766293A9"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UNA, s-0553-14-8, ‘Steering Committee for Onchocerciasis Control in th</w:t>
      </w:r>
      <w:r w:rsidRPr="00681100">
        <w:rPr>
          <w:rFonts w:ascii="Calibri" w:hAnsi="Calibri" w:cs="Calibri"/>
          <w:color w:val="000000" w:themeColor="text1"/>
          <w:sz w:val="18"/>
          <w:szCs w:val="18"/>
        </w:rPr>
        <w:t>e Volta River basin area, report of its first session, Geneva, 17-19 July’, 1972.</w:t>
      </w:r>
    </w:p>
  </w:footnote>
  <w:footnote w:id="423">
    <w:p w14:paraId="244B3954" w14:textId="621DBE85"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UNA, s-0553-14</w:t>
      </w:r>
      <w:r w:rsidRPr="00681100">
        <w:rPr>
          <w:rFonts w:ascii="Calibri" w:hAnsi="Calibri" w:cs="Calibri"/>
          <w:color w:val="000000" w:themeColor="text1"/>
          <w:sz w:val="18"/>
          <w:szCs w:val="18"/>
        </w:rPr>
        <w:t>-6, Ralph Townley to Sture Linner, ‘Onchocerciasis: Accra meeting, 10-13 October’, 30 October 1972.</w:t>
      </w:r>
    </w:p>
  </w:footnote>
  <w:footnote w:id="424">
    <w:p w14:paraId="683194AA" w14:textId="0142B2BE"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NA, T 317/2046, ‘Note for the record: IBRD/IDA board mee</w:t>
      </w:r>
      <w:r w:rsidRPr="00681100">
        <w:rPr>
          <w:rFonts w:ascii="Calibri" w:hAnsi="Calibri" w:cs="Calibri"/>
          <w:color w:val="000000" w:themeColor="text1"/>
          <w:sz w:val="18"/>
          <w:szCs w:val="18"/>
        </w:rPr>
        <w:t>ting, onchocerciasis (river blindness) in Western Africa’, 1 May 1973.</w:t>
      </w:r>
    </w:p>
  </w:footnote>
  <w:footnote w:id="425">
    <w:p w14:paraId="512119EB" w14:textId="420376A1"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1103228, John Evans</w:t>
      </w:r>
      <w:r w:rsidRPr="00681100">
        <w:rPr>
          <w:rFonts w:ascii="Calibri" w:hAnsi="Calibri" w:cs="Calibri"/>
          <w:color w:val="000000" w:themeColor="text1"/>
          <w:sz w:val="18"/>
          <w:szCs w:val="18"/>
        </w:rPr>
        <w:t xml:space="preserve"> to Warren Baum, ‘PHN-TDR-Bank participation in JCP AR’, 11 March 1980. </w:t>
      </w:r>
    </w:p>
  </w:footnote>
  <w:footnote w:id="426">
    <w:p w14:paraId="7DEC363E" w14:textId="19FBD0D9"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WBGA, 1103166, Arlene Fonaroff to John Evans, ‘Special Programme for Research a</w:t>
      </w:r>
      <w:r w:rsidRPr="00681100">
        <w:rPr>
          <w:rFonts w:ascii="Calibri" w:hAnsi="Calibri" w:cs="Calibri"/>
          <w:color w:val="000000" w:themeColor="text1"/>
          <w:sz w:val="18"/>
          <w:szCs w:val="18"/>
        </w:rPr>
        <w:t>nd Training in Tropical Diseases (TDR)’, 6 November 1979.</w:t>
      </w:r>
    </w:p>
  </w:footnote>
  <w:footnote w:id="427">
    <w:p w14:paraId="07EB3076" w14:textId="4E0C3A99"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NA, FD 23/4358, ‘Note of meeting on 3 </w:t>
      </w:r>
      <w:r w:rsidRPr="00681100">
        <w:rPr>
          <w:rFonts w:ascii="Calibri" w:hAnsi="Calibri" w:cs="Calibri"/>
          <w:color w:val="000000" w:themeColor="text1"/>
          <w:sz w:val="18"/>
          <w:szCs w:val="18"/>
        </w:rPr>
        <w:t>August 1973 in Mr. Williams’s Office’, 1973.</w:t>
      </w:r>
    </w:p>
  </w:footnote>
  <w:footnote w:id="428">
    <w:p w14:paraId="64AECD8C" w14:textId="4CFB002C"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In the Office of Development Assistance’s words, an internal meeting ‘recognized that since the scheme apparent</w:t>
      </w:r>
      <w:r w:rsidRPr="00681100">
        <w:rPr>
          <w:rFonts w:ascii="Calibri" w:hAnsi="Calibri" w:cs="Calibri"/>
          <w:color w:val="000000" w:themeColor="text1"/>
          <w:sz w:val="18"/>
          <w:szCs w:val="18"/>
        </w:rPr>
        <w:t xml:space="preserve">ly had the backing of the WHO and World Bank, there would be considerable pressure upon HMG [Her Majesty’s Government] to participate’ (NA, FD 23/4358, ‘Note of meeting on 3 August 1973 in Mr. Williams’s Office’, 1973). There were also reports of E. Peter </w:t>
      </w:r>
      <w:r w:rsidRPr="000045FB">
        <w:rPr>
          <w:rFonts w:ascii="Calibri" w:hAnsi="Calibri" w:cs="Calibri"/>
          <w:color w:val="000000" w:themeColor="text1"/>
          <w:sz w:val="18"/>
          <w:szCs w:val="18"/>
        </w:rPr>
        <w:t>Wright finding ODA representatives at various conferences and forcing the subject of onchocerciasis contributions. See NA, T 317/2046, DJ Kirkness to Hester Boothroyd, ‘IBRD control of onchocerciasis in West Africa’, 7 December 1973.</w:t>
      </w:r>
    </w:p>
  </w:footnote>
  <w:footnote w:id="429">
    <w:p w14:paraId="211053EB" w14:textId="2C9AACDB"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NA, FD 23/4358, ‘Not</w:t>
      </w:r>
      <w:r w:rsidRPr="00681100">
        <w:rPr>
          <w:rFonts w:ascii="Calibri" w:hAnsi="Calibri" w:cs="Calibri"/>
          <w:color w:val="000000" w:themeColor="text1"/>
          <w:sz w:val="18"/>
          <w:szCs w:val="18"/>
        </w:rPr>
        <w:t>e of meeting on 3 August 1973 in Mr. Williams’s Office’, 1973</w:t>
      </w:r>
      <w:r w:rsidRPr="00681100">
        <w:rPr>
          <w:rFonts w:ascii="Calibri" w:hAnsi="Calibri" w:cs="Calibri"/>
          <w:i/>
          <w:color w:val="000000" w:themeColor="text1"/>
          <w:sz w:val="18"/>
          <w:szCs w:val="18"/>
        </w:rPr>
        <w:t>.</w:t>
      </w:r>
    </w:p>
  </w:footnote>
  <w:footnote w:id="430">
    <w:p w14:paraId="0A7032F8" w14:textId="7FC64711"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NA, FD 23/4358, DA Pott, ‘Consult</w:t>
      </w:r>
      <w:r w:rsidRPr="00681100">
        <w:rPr>
          <w:rFonts w:ascii="Calibri" w:hAnsi="Calibri" w:cs="Calibri"/>
          <w:color w:val="000000" w:themeColor="text1"/>
          <w:sz w:val="18"/>
          <w:szCs w:val="18"/>
        </w:rPr>
        <w:t>ative meeting with donors 1973’, 2 July 1973.</w:t>
      </w:r>
    </w:p>
  </w:footnote>
  <w:footnote w:id="431">
    <w:p w14:paraId="0D600A58" w14:textId="0476F44E"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NA, FD 23/4358, ‘Note of meeting on 3 August 1973 in Mr. Williams’s Office’, 1973.</w:t>
      </w:r>
    </w:p>
  </w:footnote>
  <w:footnote w:id="432">
    <w:p w14:paraId="387998ED" w14:textId="76E62367"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1300662, Robert McN</w:t>
      </w:r>
      <w:r w:rsidRPr="00681100">
        <w:rPr>
          <w:rFonts w:ascii="Calibri" w:hAnsi="Calibri" w:cs="Calibri"/>
          <w:color w:val="000000" w:themeColor="text1"/>
          <w:sz w:val="18"/>
          <w:szCs w:val="18"/>
        </w:rPr>
        <w:t>amara, ‘From the president, control of onchocerciasis in West Africa’, 16 April 1973.</w:t>
      </w:r>
    </w:p>
  </w:footnote>
  <w:footnote w:id="433">
    <w:p w14:paraId="2BEC9676" w14:textId="5E7DC3BD"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NA, FD 23/4358, DA Pott, ‘Consultative meeting with donors 1973’, 2 July 1973.</w:t>
      </w:r>
    </w:p>
  </w:footnote>
  <w:footnote w:id="434">
    <w:p w14:paraId="2E5508F5" w14:textId="6ECDCD18"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NA, FD 23/4358, D.S. Bertram, [1973].</w:t>
      </w:r>
    </w:p>
  </w:footnote>
  <w:footnote w:id="435">
    <w:p w14:paraId="0F455B8D" w14:textId="260C1222"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NA, T 317/2046, P.H.R. Marshall to E.Q. Bullock, 21 December 1973.</w:t>
      </w:r>
    </w:p>
  </w:footnote>
  <w:footnote w:id="436">
    <w:p w14:paraId="72D5DAB4" w14:textId="0DB25608"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NA, FD 23/4358, Mr. Whitecross to Mr. Blackford, 28 November 1973. </w:t>
      </w:r>
    </w:p>
  </w:footnote>
  <w:footnote w:id="437">
    <w:p w14:paraId="5C03B0BD" w14:textId="568B351F"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for example, WBGA, 30348069, Bruce Benton to Charles Gladson, 8 October 1987.</w:t>
      </w:r>
    </w:p>
  </w:footnote>
  <w:footnote w:id="438">
    <w:p w14:paraId="14A02B30" w14:textId="26A4BB39"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1633229, Alden Clausen to Halfdan Mahler, 25 June 1984.</w:t>
      </w:r>
    </w:p>
  </w:footnote>
  <w:footnote w:id="439">
    <w:p w14:paraId="5FA592D3" w14:textId="214FF369"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1300674, </w:t>
      </w:r>
      <w:r w:rsidRPr="00681100">
        <w:rPr>
          <w:rFonts w:ascii="Calibri" w:hAnsi="Calibri" w:cs="Calibri"/>
          <w:color w:val="000000" w:themeColor="text1"/>
          <w:sz w:val="18"/>
          <w:szCs w:val="18"/>
        </w:rPr>
        <w:t>J.P. Dailly to Files, ‘Back-to-office report donors meeting 1984’, 2 November 1984.</w:t>
      </w:r>
    </w:p>
  </w:footnote>
  <w:footnote w:id="440">
    <w:p w14:paraId="6DFE7FF1" w14:textId="289E93DE"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1082632, Stephen Denning to Wilfried Thalwitz, ‘Onchocerciasis Control Program: meetings with donors’, 18 October 1978.</w:t>
      </w:r>
    </w:p>
  </w:footnote>
  <w:footnote w:id="441">
    <w:p w14:paraId="577F31D7" w14:textId="4D675383"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Evans refers to special pr</w:t>
      </w:r>
      <w:r w:rsidRPr="00681100">
        <w:rPr>
          <w:rFonts w:ascii="Calibri" w:hAnsi="Calibri" w:cs="Calibri"/>
          <w:color w:val="000000" w:themeColor="text1"/>
          <w:sz w:val="18"/>
          <w:szCs w:val="18"/>
        </w:rPr>
        <w:t>ogrammes for health at the Bank, including the OCP, and wrote to McNamara to express his deep worries about the Bank’s decision not to provide financial support to the Special Programme for Research and Training in Tropical Diseases (TDR) and a proposed He</w:t>
      </w:r>
      <w:r w:rsidRPr="000045FB">
        <w:rPr>
          <w:rFonts w:ascii="Calibri" w:hAnsi="Calibri" w:cs="Calibri"/>
          <w:color w:val="000000" w:themeColor="text1"/>
          <w:sz w:val="18"/>
          <w:szCs w:val="18"/>
        </w:rPr>
        <w:t>alth Services Research trust fund. WBGA, 30137065, John Evans, ‘Draft 9/20/80 to McNamara’, 1980. See also WBGA, 30137065, Warren Baum to K. Georg Gabriel, ‘Proposal for World Bank participation in international health research program’, 23 May 1980.</w:t>
      </w:r>
    </w:p>
  </w:footnote>
  <w:footnote w:id="442">
    <w:p w14:paraId="45A7F785" w14:textId="4F7D0A30" w:rsidR="00CF189D" w:rsidRPr="00581494"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w:t>
      </w:r>
      <w:r w:rsidRPr="00681100">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Onc</w:t>
      </w:r>
      <w:r w:rsidRPr="000045FB">
        <w:rPr>
          <w:rFonts w:ascii="Calibri" w:hAnsi="Calibri" w:cs="Calibri"/>
          <w:i/>
          <w:color w:val="000000" w:themeColor="text1"/>
          <w:sz w:val="18"/>
          <w:szCs w:val="18"/>
        </w:rPr>
        <w:t>hocerciasis Fund</w:t>
      </w:r>
      <w:r w:rsidRPr="000045FB">
        <w:rPr>
          <w:rFonts w:ascii="Calibri" w:hAnsi="Calibri" w:cs="Calibri"/>
          <w:color w:val="000000" w:themeColor="text1"/>
          <w:sz w:val="18"/>
          <w:szCs w:val="18"/>
        </w:rPr>
        <w:t xml:space="preserve"> </w:t>
      </w:r>
      <w:r w:rsidRPr="000045FB">
        <w:rPr>
          <w:rFonts w:ascii="Calibri" w:hAnsi="Calibri" w:cs="Calibri"/>
          <w:i/>
          <w:color w:val="000000" w:themeColor="text1"/>
          <w:sz w:val="18"/>
          <w:szCs w:val="18"/>
        </w:rPr>
        <w:t>Agreement</w:t>
      </w:r>
      <w:r w:rsidRPr="00581494">
        <w:rPr>
          <w:rFonts w:ascii="Calibri" w:hAnsi="Calibri" w:cs="Calibri"/>
          <w:color w:val="000000" w:themeColor="text1"/>
          <w:sz w:val="18"/>
          <w:szCs w:val="18"/>
        </w:rPr>
        <w:t xml:space="preserve"> (Washington DC: World Bank, 1975, 1981, 1986, 1992). See also NA, OD 113/21, Robert McNamara, ‘From the president, grants for control of onchocerciasis in West Africa’, 10 May 1979 [includes MOU for second fund agreement].</w:t>
      </w:r>
    </w:p>
  </w:footnote>
  <w:footnote w:id="443">
    <w:p w14:paraId="1045B2B6" w14:textId="0FB50B64"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UNA,</w:t>
      </w:r>
      <w:r w:rsidRPr="00681100">
        <w:rPr>
          <w:rFonts w:ascii="Calibri" w:hAnsi="Calibri" w:cs="Calibri"/>
          <w:color w:val="000000" w:themeColor="text1"/>
          <w:sz w:val="18"/>
          <w:szCs w:val="18"/>
        </w:rPr>
        <w:t xml:space="preserve"> s-0053-14-7, John C. De Wilde, ‘The campaign against onchocerciasis in West Africa’, [1969].</w:t>
      </w:r>
    </w:p>
  </w:footnote>
  <w:footnote w:id="444">
    <w:p w14:paraId="5CE59E32" w14:textId="3321DFBC"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Archives Oral History Program, </w:t>
      </w:r>
      <w:r w:rsidRPr="00681100">
        <w:rPr>
          <w:rFonts w:ascii="Calibri" w:hAnsi="Calibri" w:cs="Calibri"/>
          <w:i/>
          <w:color w:val="000000" w:themeColor="text1"/>
          <w:sz w:val="18"/>
          <w:szCs w:val="18"/>
        </w:rPr>
        <w:t xml:space="preserve">Transcript of an interview with Bruce Benton </w:t>
      </w:r>
      <w:r w:rsidRPr="00681100">
        <w:rPr>
          <w:rFonts w:ascii="Calibri" w:hAnsi="Calibri" w:cs="Calibri"/>
          <w:color w:val="000000" w:themeColor="text1"/>
          <w:sz w:val="18"/>
          <w:szCs w:val="18"/>
        </w:rPr>
        <w:t>(Washington DC: World Bank, 2006), 35.</w:t>
      </w:r>
    </w:p>
  </w:footnote>
  <w:footnote w:id="445">
    <w:p w14:paraId="6FF2D933" w14:textId="3FA2C964"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UNA, s-0553-14-8</w:t>
      </w:r>
      <w:r w:rsidRPr="00681100">
        <w:rPr>
          <w:rFonts w:ascii="Calibri" w:hAnsi="Calibri" w:cs="Calibri"/>
          <w:color w:val="000000" w:themeColor="text1"/>
          <w:sz w:val="18"/>
          <w:szCs w:val="18"/>
        </w:rPr>
        <w:t>, ‘Steering Committee for onchocerciasis control in the Volta River basin area, report of its first session, Geneva, 17-19 July’, 1972.</w:t>
      </w:r>
    </w:p>
  </w:footnote>
  <w:footnote w:id="446">
    <w:p w14:paraId="52836F17" w14:textId="42429FCB"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1300662, E. Peter Wright to Robert McNamara, ‘Abidjan meeting on river blindness’, 20 February 1975.</w:t>
      </w:r>
    </w:p>
  </w:footnote>
  <w:footnote w:id="447">
    <w:p w14:paraId="62A9040F" w14:textId="5464333E"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w:t>
      </w:r>
      <w:r w:rsidRPr="00681100">
        <w:rPr>
          <w:rFonts w:ascii="Calibri" w:hAnsi="Calibri" w:cs="Calibri"/>
          <w:color w:val="000000" w:themeColor="text1"/>
          <w:sz w:val="18"/>
          <w:szCs w:val="18"/>
        </w:rPr>
        <w:t xml:space="preserve">k, </w:t>
      </w:r>
      <w:r w:rsidRPr="00681100">
        <w:rPr>
          <w:rFonts w:ascii="Calibri" w:hAnsi="Calibri" w:cs="Calibri"/>
          <w:i/>
          <w:color w:val="000000" w:themeColor="text1"/>
          <w:sz w:val="18"/>
          <w:szCs w:val="18"/>
        </w:rPr>
        <w:t>Transcript of</w:t>
      </w:r>
      <w:r w:rsidRPr="000045FB">
        <w:rPr>
          <w:rFonts w:ascii="Calibri" w:hAnsi="Calibri" w:cs="Calibri"/>
          <w:i/>
          <w:color w:val="000000" w:themeColor="text1"/>
          <w:sz w:val="18"/>
          <w:szCs w:val="18"/>
        </w:rPr>
        <w:t xml:space="preserve"> an interview with Bruce Benton</w:t>
      </w:r>
      <w:r w:rsidRPr="000045FB">
        <w:rPr>
          <w:rFonts w:ascii="Calibri" w:hAnsi="Calibri" w:cs="Calibri"/>
          <w:color w:val="000000" w:themeColor="text1"/>
          <w:sz w:val="18"/>
          <w:szCs w:val="18"/>
        </w:rPr>
        <w:t xml:space="preserve"> (2006), 57.</w:t>
      </w:r>
    </w:p>
  </w:footnote>
  <w:footnote w:id="448">
    <w:p w14:paraId="1C7952AA" w14:textId="12BA9F96"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NA, T 317/2046, D.J. Kirkness to Hester Boothroyd, 7 December 1973.</w:t>
      </w:r>
    </w:p>
  </w:footnote>
  <w:footnote w:id="449">
    <w:p w14:paraId="6898DA0D" w14:textId="0FAE7510"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NA, T 317/2046, D.J. Kirkness to Hester Boothroyd, 7 December 1973.</w:t>
      </w:r>
    </w:p>
  </w:footnote>
  <w:footnote w:id="450">
    <w:p w14:paraId="4AF21BA2" w14:textId="571A77AF"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1300642, J.P. Dailly to A. Moqui, 13 July 1982.</w:t>
      </w:r>
    </w:p>
  </w:footnote>
  <w:footnote w:id="451">
    <w:p w14:paraId="6A83F9D7" w14:textId="6BA3EA33"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1300642,</w:t>
      </w:r>
      <w:r w:rsidRPr="00681100">
        <w:rPr>
          <w:rFonts w:ascii="Calibri" w:hAnsi="Calibri" w:cs="Calibri"/>
          <w:color w:val="000000" w:themeColor="text1"/>
          <w:sz w:val="18"/>
          <w:szCs w:val="18"/>
        </w:rPr>
        <w:t xml:space="preserve"> ‘Aide memoire on Italian participation to OCP fund [handwritten]’ [1982]; WBGA, 1300642, Guiseppe Pennisi to Bilsel Alisbah, ‘Onchocerciasis – Italian contribution’, 26 May 1982. </w:t>
      </w:r>
    </w:p>
  </w:footnote>
  <w:footnote w:id="452">
    <w:p w14:paraId="74811277" w14:textId="700495B4"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Group Archives Oral History Program, </w:t>
      </w:r>
      <w:r w:rsidRPr="00681100">
        <w:rPr>
          <w:rFonts w:ascii="Calibri" w:hAnsi="Calibri" w:cs="Calibri"/>
          <w:i/>
          <w:color w:val="000000" w:themeColor="text1"/>
          <w:sz w:val="18"/>
          <w:szCs w:val="18"/>
        </w:rPr>
        <w:t>Transcript of interview w</w:t>
      </w:r>
      <w:r w:rsidRPr="000045FB">
        <w:rPr>
          <w:rFonts w:ascii="Calibri" w:hAnsi="Calibri" w:cs="Calibri"/>
          <w:i/>
          <w:color w:val="000000" w:themeColor="text1"/>
          <w:sz w:val="18"/>
          <w:szCs w:val="18"/>
        </w:rPr>
        <w:t xml:space="preserve">ith Thomas Ambrose Blinkhorn </w:t>
      </w:r>
      <w:r w:rsidRPr="000045FB">
        <w:rPr>
          <w:rFonts w:ascii="Calibri" w:hAnsi="Calibri" w:cs="Calibri"/>
          <w:color w:val="000000" w:themeColor="text1"/>
          <w:sz w:val="18"/>
          <w:szCs w:val="18"/>
        </w:rPr>
        <w:t>(Washington DC: World Bank, 2008), 21.</w:t>
      </w:r>
    </w:p>
  </w:footnote>
  <w:footnote w:id="453">
    <w:p w14:paraId="16AE4656" w14:textId="6450B5FC"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Transcript of an interview with Bruce Benton</w:t>
      </w:r>
      <w:r w:rsidRPr="00681100">
        <w:rPr>
          <w:rFonts w:ascii="Calibri" w:hAnsi="Calibri" w:cs="Calibri"/>
          <w:color w:val="000000" w:themeColor="text1"/>
          <w:sz w:val="18"/>
          <w:szCs w:val="18"/>
        </w:rPr>
        <w:t xml:space="preserve"> (2006), 97-99.</w:t>
      </w:r>
    </w:p>
  </w:footnote>
  <w:footnote w:id="454">
    <w:p w14:paraId="36CD0252" w14:textId="441BD0DD"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30303456, Ibrahim F.I. Shihata, ‘Memorandum from the vice president and general counsel, t</w:t>
      </w:r>
      <w:r w:rsidRPr="00681100">
        <w:rPr>
          <w:rFonts w:ascii="Calibri" w:hAnsi="Calibri" w:cs="Calibri"/>
          <w:color w:val="000000" w:themeColor="text1"/>
          <w:sz w:val="18"/>
          <w:szCs w:val="18"/>
        </w:rPr>
        <w:t>he power of the Bank to make grants’, 15 February 1985.</w:t>
      </w:r>
    </w:p>
  </w:footnote>
  <w:footnote w:id="455">
    <w:p w14:paraId="71DEDCA7" w14:textId="05A8AA9B"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30303456, Ibrahim F.I. Shihata, ‘Memorandum from the vice president and general counsel, the power of the Bank to make grants’, 15 February 1985.</w:t>
      </w:r>
    </w:p>
  </w:footnote>
  <w:footnote w:id="456">
    <w:p w14:paraId="0DC3DCD8" w14:textId="1EAAFC04"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Transcript of an interview with Bruce Benton</w:t>
      </w:r>
      <w:r w:rsidRPr="000045FB">
        <w:rPr>
          <w:rFonts w:ascii="Calibri" w:hAnsi="Calibri" w:cs="Calibri"/>
          <w:color w:val="000000" w:themeColor="text1"/>
          <w:sz w:val="18"/>
          <w:szCs w:val="18"/>
        </w:rPr>
        <w:t xml:space="preserve"> (2006), 97-99.</w:t>
      </w:r>
    </w:p>
  </w:footnote>
  <w:footnote w:id="457">
    <w:p w14:paraId="2DFC0CC8" w14:textId="0606322D"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CGIAR was founded in May 1971 at the Bank’s initiative and was initially sponsored by the FAO, UNDP, and Bank. It is a collaboration of countries, multilateral organizations and private institutions, which collectively support</w:t>
      </w:r>
      <w:r w:rsidRPr="00681100">
        <w:rPr>
          <w:rFonts w:ascii="Calibri" w:hAnsi="Calibri" w:cs="Calibri"/>
          <w:color w:val="000000" w:themeColor="text1"/>
          <w:sz w:val="18"/>
          <w:szCs w:val="18"/>
        </w:rPr>
        <w:t>s international programs and training/assistance to increase the quantity and quality of food production in developing countries. WBGA, 1103166, Robert McNamara, ‘From the president, Bank group financial support in 1979 for international agricultural resea</w:t>
      </w:r>
      <w:r w:rsidRPr="000045FB">
        <w:rPr>
          <w:rFonts w:ascii="Calibri" w:hAnsi="Calibri" w:cs="Calibri"/>
          <w:color w:val="000000" w:themeColor="text1"/>
          <w:sz w:val="18"/>
          <w:szCs w:val="18"/>
        </w:rPr>
        <w:t>rch’, [1979].</w:t>
      </w:r>
    </w:p>
  </w:footnote>
  <w:footnote w:id="458">
    <w:p w14:paraId="398324FB" w14:textId="677F093D"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681100">
        <w:rPr>
          <w:rFonts w:ascii="Calibri" w:hAnsi="Calibri" w:cs="Calibri"/>
          <w:color w:val="000000" w:themeColor="text1"/>
          <w:sz w:val="18"/>
          <w:szCs w:val="18"/>
        </w:rPr>
        <w:t xml:space="preserve">The Bank began discussions with the WHO and UNDP about creating TDR in 1974, and entered into a formal agreement in 1978 to be its fiscal manager (and open a TDR trust fund, similar to the Onchocerciasis Fund). It became a donor to the programme, at a cap </w:t>
      </w:r>
      <w:r w:rsidRPr="000045FB">
        <w:rPr>
          <w:rFonts w:ascii="Calibri" w:hAnsi="Calibri" w:cs="Calibri"/>
          <w:color w:val="000000" w:themeColor="text1"/>
          <w:sz w:val="18"/>
          <w:szCs w:val="18"/>
        </w:rPr>
        <w:t>of 15 percent, after 1979, but did not serve a fundraising role for TDR. WBGA, 1103166, Arlene Fonaroff to John Evans, ‘Special Programme for Research and Training in Tropical Diseases (TDR)’, 6 November 1979.</w:t>
      </w:r>
    </w:p>
  </w:footnote>
  <w:footnote w:id="459">
    <w:p w14:paraId="772E803B" w14:textId="6303561F"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 xml:space="preserve">Transcript of an interview with </w:t>
      </w:r>
      <w:r w:rsidRPr="000045FB">
        <w:rPr>
          <w:rFonts w:ascii="Calibri" w:hAnsi="Calibri" w:cs="Calibri"/>
          <w:i/>
          <w:color w:val="000000" w:themeColor="text1"/>
          <w:sz w:val="18"/>
          <w:szCs w:val="18"/>
        </w:rPr>
        <w:t>Bruce Benton</w:t>
      </w:r>
      <w:r w:rsidRPr="000045FB">
        <w:rPr>
          <w:rFonts w:ascii="Calibri" w:hAnsi="Calibri" w:cs="Calibri"/>
          <w:color w:val="000000" w:themeColor="text1"/>
          <w:sz w:val="18"/>
          <w:szCs w:val="18"/>
        </w:rPr>
        <w:t xml:space="preserve"> (2006), 35.</w:t>
      </w:r>
    </w:p>
  </w:footnote>
  <w:footnote w:id="460">
    <w:p w14:paraId="4DFA4979" w14:textId="70F95A46"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Transcript of an interview with Bruce Benton</w:t>
      </w:r>
      <w:r w:rsidRPr="00681100">
        <w:rPr>
          <w:rFonts w:ascii="Calibri" w:hAnsi="Calibri" w:cs="Calibri"/>
          <w:color w:val="000000" w:themeColor="text1"/>
          <w:sz w:val="18"/>
          <w:szCs w:val="18"/>
        </w:rPr>
        <w:t xml:space="preserve"> (2006), 97-99.</w:t>
      </w:r>
    </w:p>
  </w:footnote>
  <w:footnote w:id="461">
    <w:p w14:paraId="15E1927B" w14:textId="0BE6CA42"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30303456, Ibrahim F.I. Shihata, ‘Memorandum from the vice president and general counsel, the power of the Bank to make grants’, 15 Fe</w:t>
      </w:r>
      <w:r w:rsidRPr="00681100">
        <w:rPr>
          <w:rFonts w:ascii="Calibri" w:hAnsi="Calibri" w:cs="Calibri"/>
          <w:color w:val="000000" w:themeColor="text1"/>
          <w:sz w:val="18"/>
          <w:szCs w:val="18"/>
        </w:rPr>
        <w:t>bruary 1985.</w:t>
      </w:r>
    </w:p>
  </w:footnote>
  <w:footnote w:id="462">
    <w:p w14:paraId="09BD4544" w14:textId="7CCA4B68"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C</w:t>
      </w:r>
      <w:r w:rsidRPr="00681100">
        <w:rPr>
          <w:rFonts w:ascii="Calibri" w:hAnsi="Calibri" w:cs="Calibri"/>
          <w:color w:val="000000" w:themeColor="text1"/>
          <w:sz w:val="18"/>
          <w:szCs w:val="18"/>
        </w:rPr>
        <w:t xml:space="preserve">ountries signing the first Fund Agreement included Belgium, Canada, France, Germany, Japan, Kuwait, the Netherlands, the United States, and the United Kingdom. See World Bank, </w:t>
      </w:r>
      <w:r w:rsidRPr="00681100">
        <w:rPr>
          <w:rFonts w:ascii="Calibri" w:hAnsi="Calibri" w:cs="Calibri"/>
          <w:i/>
          <w:color w:val="000000" w:themeColor="text1"/>
          <w:sz w:val="18"/>
          <w:szCs w:val="18"/>
        </w:rPr>
        <w:t>Onchocerciasis Fund Agreement</w:t>
      </w:r>
      <w:r w:rsidRPr="000045FB">
        <w:rPr>
          <w:rFonts w:ascii="Calibri" w:hAnsi="Calibri" w:cs="Calibri"/>
          <w:color w:val="000000" w:themeColor="text1"/>
          <w:sz w:val="18"/>
          <w:szCs w:val="18"/>
        </w:rPr>
        <w:t xml:space="preserve"> (1975).</w:t>
      </w:r>
    </w:p>
  </w:footnote>
  <w:footnote w:id="463">
    <w:p w14:paraId="32B20F70" w14:textId="2FB4338C"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NA, OD 113/24, ‘Joint Co</w:t>
      </w:r>
      <w:r w:rsidRPr="00681100">
        <w:rPr>
          <w:rFonts w:ascii="Calibri" w:hAnsi="Calibri" w:cs="Calibri"/>
          <w:color w:val="000000" w:themeColor="text1"/>
          <w:sz w:val="18"/>
          <w:szCs w:val="18"/>
        </w:rPr>
        <w:t>-ordinating Committee meeting, Geneva’, 3-5 December 1979.</w:t>
      </w:r>
    </w:p>
  </w:footnote>
  <w:footnote w:id="464">
    <w:p w14:paraId="74071453" w14:textId="4A71F60C"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1300642, ‘General overview of financial arrangements’, [1982].</w:t>
      </w:r>
    </w:p>
  </w:footnote>
  <w:footnote w:id="465">
    <w:p w14:paraId="4EA3AFC9" w14:textId="6F1AC99D"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Transcript of an interview with Bruce Benton</w:t>
      </w:r>
      <w:r w:rsidRPr="00681100">
        <w:rPr>
          <w:rFonts w:ascii="Calibri" w:hAnsi="Calibri" w:cs="Calibri"/>
          <w:color w:val="000000" w:themeColor="text1"/>
          <w:sz w:val="18"/>
          <w:szCs w:val="18"/>
        </w:rPr>
        <w:t xml:space="preserve"> (2006), 102.</w:t>
      </w:r>
    </w:p>
  </w:footnote>
  <w:footnote w:id="466">
    <w:p w14:paraId="789B80C4" w14:textId="4799110A"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for example, WBGA, 30303429, A.R. Love to David Knox, 28 July 1</w:t>
      </w:r>
      <w:r w:rsidRPr="00681100">
        <w:rPr>
          <w:rFonts w:ascii="Calibri" w:hAnsi="Calibri" w:cs="Calibri"/>
          <w:color w:val="000000" w:themeColor="text1"/>
          <w:sz w:val="18"/>
          <w:szCs w:val="18"/>
        </w:rPr>
        <w:t>983.</w:t>
      </w:r>
    </w:p>
  </w:footnote>
  <w:footnote w:id="467">
    <w:p w14:paraId="00A7DBBD" w14:textId="3F8AF278"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30303452, ‘International Bank for Reconstruction and Development as administrator for the special account for Onchocerciasis (river blindness) Control Programme – phase III n</w:t>
      </w:r>
      <w:r w:rsidRPr="00681100">
        <w:rPr>
          <w:rFonts w:ascii="Calibri" w:hAnsi="Calibri" w:cs="Calibri"/>
          <w:color w:val="000000" w:themeColor="text1"/>
          <w:sz w:val="18"/>
          <w:szCs w:val="18"/>
        </w:rPr>
        <w:t>otes to financial statement’, 31 December 1989.</w:t>
      </w:r>
    </w:p>
  </w:footnote>
  <w:footnote w:id="468">
    <w:p w14:paraId="42A590F1" w14:textId="71A7DB34"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Transcript of an interview with Bruce Benton</w:t>
      </w:r>
      <w:r w:rsidRPr="000045FB">
        <w:rPr>
          <w:rFonts w:ascii="Calibri" w:hAnsi="Calibri" w:cs="Calibri"/>
          <w:color w:val="000000" w:themeColor="text1"/>
          <w:sz w:val="18"/>
          <w:szCs w:val="18"/>
        </w:rPr>
        <w:t xml:space="preserve"> (2006), 62.</w:t>
      </w:r>
    </w:p>
  </w:footnote>
  <w:footnote w:id="469">
    <w:p w14:paraId="64B638A1" w14:textId="39780F47"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30303452, ‘Donors conference, Bonn, Germany, September 23-24 1991, World Bank presentation, financing the Onchocerciasis Control </w:t>
      </w:r>
      <w:r w:rsidRPr="00681100">
        <w:rPr>
          <w:rFonts w:ascii="Calibri" w:hAnsi="Calibri" w:cs="Calibri"/>
          <w:color w:val="000000" w:themeColor="text1"/>
          <w:sz w:val="18"/>
          <w:szCs w:val="18"/>
        </w:rPr>
        <w:t>Programme’, 1991.</w:t>
      </w:r>
    </w:p>
  </w:footnote>
  <w:footnote w:id="470">
    <w:p w14:paraId="61A3091F" w14:textId="62EA001B" w:rsidR="00CF189D" w:rsidRPr="00581494"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Based on Bundy et al., ‘Investing in onchocercias</w:t>
      </w:r>
      <w:r w:rsidRPr="00681100">
        <w:rPr>
          <w:rFonts w:ascii="Calibri" w:hAnsi="Calibri" w:cs="Calibri"/>
          <w:color w:val="000000" w:themeColor="text1"/>
          <w:sz w:val="18"/>
          <w:szCs w:val="18"/>
        </w:rPr>
        <w:t xml:space="preserve">is control: financial management of the African Programme for Onchocerciasis Control (APOC)’, </w:t>
      </w:r>
      <w:r w:rsidRPr="00681100">
        <w:rPr>
          <w:rFonts w:ascii="Calibri" w:hAnsi="Calibri" w:cs="Calibri"/>
          <w:i/>
          <w:color w:val="000000" w:themeColor="text1"/>
          <w:sz w:val="18"/>
          <w:szCs w:val="18"/>
        </w:rPr>
        <w:t xml:space="preserve">PLoS Neglected Tropical Diseases </w:t>
      </w:r>
      <w:r w:rsidRPr="000045FB">
        <w:rPr>
          <w:rFonts w:ascii="Calibri" w:hAnsi="Calibri" w:cs="Calibri"/>
          <w:color w:val="000000" w:themeColor="text1"/>
          <w:sz w:val="18"/>
          <w:szCs w:val="18"/>
        </w:rPr>
        <w:t xml:space="preserve">9:5 (2015), e003508; OCP, </w:t>
      </w:r>
      <w:r w:rsidRPr="000045FB">
        <w:rPr>
          <w:rFonts w:ascii="Calibri" w:hAnsi="Calibri" w:cs="Calibri"/>
          <w:i/>
          <w:color w:val="000000" w:themeColor="text1"/>
          <w:sz w:val="18"/>
          <w:szCs w:val="18"/>
        </w:rPr>
        <w:t xml:space="preserve">Success in Africa: the Onchocerciasis Control Programme in West Africa, 1974-2002 </w:t>
      </w:r>
      <w:r w:rsidRPr="00581494">
        <w:rPr>
          <w:rFonts w:ascii="Calibri" w:hAnsi="Calibri" w:cs="Calibri"/>
          <w:color w:val="000000" w:themeColor="text1"/>
          <w:sz w:val="18"/>
          <w:szCs w:val="18"/>
        </w:rPr>
        <w:t>(Geneva: WHO, 2002), 59.</w:t>
      </w:r>
    </w:p>
  </w:footnote>
  <w:footnote w:id="471">
    <w:p w14:paraId="3DA75DF1" w14:textId="225E8637"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809925, ‘Statement to the board on the annual riverblindness (oncho) control program meeting, November 29 – December 2 1980’, 10 January 1980.</w:t>
      </w:r>
    </w:p>
  </w:footnote>
  <w:footnote w:id="472">
    <w:p w14:paraId="58CBBE24" w14:textId="1E7082B2"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1300674, Alden Clausen, </w:t>
      </w:r>
      <w:r w:rsidRPr="00681100">
        <w:rPr>
          <w:rFonts w:ascii="Calibri" w:hAnsi="Calibri" w:cs="Calibri"/>
          <w:color w:val="000000" w:themeColor="text1"/>
          <w:sz w:val="18"/>
          <w:szCs w:val="18"/>
        </w:rPr>
        <w:t>‘From the president, grants for control of oncho in West Africa’, 1985.</w:t>
      </w:r>
    </w:p>
  </w:footnote>
  <w:footnote w:id="473">
    <w:p w14:paraId="0D3406AC" w14:textId="000F6F93"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1103166, Arlene Fonaroff to John Evans, ‘Special Programme for Reseach and Training in Tropical Diseases (TDR)’, 6 November 1979.</w:t>
      </w:r>
    </w:p>
  </w:footnote>
  <w:footnote w:id="474">
    <w:p w14:paraId="1FF0B779" w14:textId="6DBEAE63"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Transcript of an interview with Bruce Benton</w:t>
      </w:r>
      <w:r w:rsidRPr="000045FB">
        <w:rPr>
          <w:rFonts w:ascii="Calibri" w:hAnsi="Calibri" w:cs="Calibri"/>
          <w:color w:val="000000" w:themeColor="text1"/>
          <w:sz w:val="18"/>
          <w:szCs w:val="18"/>
        </w:rPr>
        <w:t xml:space="preserve"> (2006), 100-101.</w:t>
      </w:r>
    </w:p>
  </w:footnote>
  <w:footnote w:id="475">
    <w:p w14:paraId="70BB5F44" w14:textId="5716C135"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The Executive Directors did not vote </w:t>
      </w:r>
      <w:r w:rsidRPr="00681100">
        <w:rPr>
          <w:rFonts w:ascii="Calibri" w:hAnsi="Calibri" w:cs="Calibri"/>
          <w:color w:val="000000" w:themeColor="text1"/>
          <w:sz w:val="18"/>
          <w:szCs w:val="18"/>
        </w:rPr>
        <w:t>on the Bank assuming the role of fiscal guardian of the programme; they did vote on making a Bank donation to the fund itself.</w:t>
      </w:r>
    </w:p>
  </w:footnote>
  <w:footnote w:id="476">
    <w:p w14:paraId="5F42AA63" w14:textId="6A5FFBA0" w:rsidR="00CF189D" w:rsidRPr="00E259A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The OCP attempted to hold to environmental standards of th</w:t>
      </w:r>
      <w:r w:rsidRPr="00681100">
        <w:rPr>
          <w:rFonts w:ascii="Calibri" w:hAnsi="Calibri" w:cs="Calibri"/>
          <w:color w:val="000000" w:themeColor="text1"/>
          <w:sz w:val="18"/>
          <w:szCs w:val="18"/>
        </w:rPr>
        <w:t>e Stockholm Convention by including an Ecological Group and performing environmental testing. However, this was a personal decision of programme leaders and was specific to the OCP trust fund; trust funds themselves are not mandated to uphold the Bank’s ad</w:t>
      </w:r>
      <w:r w:rsidRPr="000045FB">
        <w:rPr>
          <w:rFonts w:ascii="Calibri" w:hAnsi="Calibri" w:cs="Calibri"/>
          <w:color w:val="000000" w:themeColor="text1"/>
          <w:sz w:val="18"/>
          <w:szCs w:val="18"/>
        </w:rPr>
        <w:t xml:space="preserve">ministrative safeguards. See Winters J and Sridhar D, ‘Earmarking for global health: benefits and perils of the World Bank’s trust fund model’, </w:t>
      </w:r>
      <w:r w:rsidRPr="000045FB">
        <w:rPr>
          <w:rFonts w:ascii="Calibri" w:hAnsi="Calibri" w:cs="Calibri"/>
          <w:i/>
          <w:color w:val="000000" w:themeColor="text1"/>
          <w:sz w:val="18"/>
          <w:szCs w:val="18"/>
        </w:rPr>
        <w:t xml:space="preserve">BMJ </w:t>
      </w:r>
      <w:r w:rsidRPr="00581494">
        <w:rPr>
          <w:rFonts w:ascii="Calibri" w:hAnsi="Calibri" w:cs="Calibri"/>
          <w:color w:val="000000" w:themeColor="text1"/>
          <w:sz w:val="18"/>
          <w:szCs w:val="18"/>
        </w:rPr>
        <w:t>358</w:t>
      </w:r>
      <w:r w:rsidRPr="00581494">
        <w:rPr>
          <w:rFonts w:ascii="Calibri" w:hAnsi="Calibri" w:cs="Calibri"/>
          <w:i/>
          <w:color w:val="000000" w:themeColor="text1"/>
          <w:sz w:val="18"/>
          <w:szCs w:val="18"/>
        </w:rPr>
        <w:t xml:space="preserve"> </w:t>
      </w:r>
      <w:r w:rsidRPr="00581494">
        <w:rPr>
          <w:rFonts w:ascii="Calibri" w:hAnsi="Calibri" w:cs="Calibri"/>
          <w:color w:val="000000" w:themeColor="text1"/>
          <w:sz w:val="18"/>
          <w:szCs w:val="18"/>
        </w:rPr>
        <w:t>(2017), j3394.</w:t>
      </w:r>
    </w:p>
  </w:footnote>
  <w:footnote w:id="477">
    <w:p w14:paraId="1B8F8D61" w14:textId="18C8E8B4"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OCP, </w:t>
      </w:r>
      <w:r w:rsidRPr="00681100">
        <w:rPr>
          <w:rFonts w:ascii="Calibri" w:hAnsi="Calibri" w:cs="Calibri"/>
          <w:i/>
          <w:color w:val="000000" w:themeColor="text1"/>
          <w:sz w:val="18"/>
          <w:szCs w:val="18"/>
        </w:rPr>
        <w:t xml:space="preserve">Success in Africa </w:t>
      </w:r>
      <w:r w:rsidRPr="00681100">
        <w:rPr>
          <w:rFonts w:ascii="Calibri" w:hAnsi="Calibri" w:cs="Calibri"/>
          <w:color w:val="000000" w:themeColor="text1"/>
          <w:sz w:val="18"/>
          <w:szCs w:val="18"/>
        </w:rPr>
        <w:t>(2002)</w:t>
      </w:r>
      <w:r w:rsidRPr="000045FB">
        <w:rPr>
          <w:rFonts w:ascii="Calibri" w:hAnsi="Calibri" w:cs="Calibri"/>
          <w:i/>
          <w:color w:val="000000" w:themeColor="text1"/>
          <w:sz w:val="18"/>
          <w:szCs w:val="18"/>
        </w:rPr>
        <w:t>.</w:t>
      </w:r>
    </w:p>
  </w:footnote>
  <w:footnote w:id="478">
    <w:p w14:paraId="6D2F8DEA" w14:textId="70969421"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Totals by phase were $56 million (Phase I), $105 milli</w:t>
      </w:r>
      <w:r w:rsidRPr="00681100">
        <w:rPr>
          <w:rFonts w:ascii="Calibri" w:hAnsi="Calibri" w:cs="Calibri"/>
          <w:color w:val="000000" w:themeColor="text1"/>
          <w:sz w:val="18"/>
          <w:szCs w:val="18"/>
        </w:rPr>
        <w:t xml:space="preserve">on (Phase II) and $177 million (Phase III). OCP, </w:t>
      </w:r>
      <w:r w:rsidRPr="00681100">
        <w:rPr>
          <w:rFonts w:ascii="Calibri" w:hAnsi="Calibri" w:cs="Calibri"/>
          <w:i/>
          <w:color w:val="000000" w:themeColor="text1"/>
          <w:sz w:val="18"/>
          <w:szCs w:val="18"/>
        </w:rPr>
        <w:t>20 Years of Onchocer</w:t>
      </w:r>
      <w:r w:rsidRPr="000045FB">
        <w:rPr>
          <w:rFonts w:ascii="Calibri" w:hAnsi="Calibri" w:cs="Calibri"/>
          <w:i/>
          <w:color w:val="000000" w:themeColor="text1"/>
          <w:sz w:val="18"/>
          <w:szCs w:val="18"/>
        </w:rPr>
        <w:t xml:space="preserve">ciasis control in West Africa </w:t>
      </w:r>
      <w:r w:rsidRPr="000045FB">
        <w:rPr>
          <w:rFonts w:ascii="Calibri" w:hAnsi="Calibri" w:cs="Calibri"/>
          <w:color w:val="000000" w:themeColor="text1"/>
          <w:sz w:val="18"/>
          <w:szCs w:val="18"/>
        </w:rPr>
        <w:t xml:space="preserve">(Geneva: WHO, 1994). </w:t>
      </w:r>
    </w:p>
  </w:footnote>
  <w:footnote w:id="479">
    <w:p w14:paraId="2B1BB99D" w14:textId="7F29257F"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Bundy et al., ‘Investing in onchocerciasis control’ (2015). </w:t>
      </w:r>
    </w:p>
  </w:footnote>
  <w:footnote w:id="480">
    <w:p w14:paraId="4F32918A" w14:textId="184C6638"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The OCP and APOC are not listed in the Projects and Operation database</w:t>
      </w:r>
      <w:r w:rsidRPr="00681100">
        <w:rPr>
          <w:rFonts w:ascii="Calibri" w:hAnsi="Calibri" w:cs="Calibri"/>
          <w:color w:val="000000" w:themeColor="text1"/>
          <w:sz w:val="18"/>
          <w:szCs w:val="18"/>
        </w:rPr>
        <w:t>, as of June 2019. For more on trust funds, databases, and transparency at the Bank, see Winters and Sridhar, ‘Earmarking’ (2017).</w:t>
      </w:r>
    </w:p>
  </w:footnote>
  <w:footnote w:id="481">
    <w:p w14:paraId="6206302D" w14:textId="53C7CD78"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Independent Evaluation Group, </w:t>
      </w:r>
      <w:r w:rsidRPr="00681100">
        <w:rPr>
          <w:rFonts w:ascii="Calibri" w:hAnsi="Calibri" w:cs="Calibri"/>
          <w:i/>
          <w:color w:val="000000" w:themeColor="text1"/>
          <w:sz w:val="18"/>
          <w:szCs w:val="18"/>
        </w:rPr>
        <w:t xml:space="preserve">An evaluation of the World Bank’s trust fund portfolio: trust fund support for development </w:t>
      </w:r>
      <w:r w:rsidRPr="00681100">
        <w:rPr>
          <w:rFonts w:ascii="Calibri" w:hAnsi="Calibri" w:cs="Calibri"/>
          <w:color w:val="000000" w:themeColor="text1"/>
          <w:sz w:val="18"/>
          <w:szCs w:val="18"/>
        </w:rPr>
        <w:t>(W</w:t>
      </w:r>
      <w:r w:rsidRPr="000045FB">
        <w:rPr>
          <w:rFonts w:ascii="Calibri" w:hAnsi="Calibri" w:cs="Calibri"/>
          <w:color w:val="000000" w:themeColor="text1"/>
          <w:sz w:val="18"/>
          <w:szCs w:val="18"/>
        </w:rPr>
        <w:t>ashington DC: World Bank, 2011).</w:t>
      </w:r>
    </w:p>
  </w:footnote>
  <w:footnote w:id="482">
    <w:p w14:paraId="22730E68" w14:textId="423A4E9D"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World Bank, </w:t>
      </w:r>
      <w:r w:rsidRPr="00681100">
        <w:rPr>
          <w:rFonts w:ascii="Calibri" w:hAnsi="Calibri" w:cs="Calibri"/>
          <w:i/>
          <w:color w:val="000000" w:themeColor="text1"/>
          <w:sz w:val="18"/>
          <w:szCs w:val="18"/>
        </w:rPr>
        <w:t xml:space="preserve">Trust fund reforms: progress to date and future directions </w:t>
      </w:r>
      <w:r w:rsidRPr="000045FB">
        <w:rPr>
          <w:rFonts w:ascii="Calibri" w:hAnsi="Calibri" w:cs="Calibri"/>
          <w:color w:val="000000" w:themeColor="text1"/>
          <w:sz w:val="18"/>
          <w:szCs w:val="18"/>
        </w:rPr>
        <w:t>(Washington DC: World Bank, 2013), 21-22. Trust fund data is released through World Bank Group Finances by the type of trust fund (the OCP is a financial intermediary fund [FIF]). The Finances portal (</w:t>
      </w:r>
      <w:hyperlink r:id="rId5" w:history="1">
        <w:r w:rsidRPr="00546CBA">
          <w:rPr>
            <w:rStyle w:val="Hyperlink"/>
            <w:rFonts w:ascii="Calibri" w:hAnsi="Calibri" w:cs="Calibri"/>
            <w:color w:val="000000" w:themeColor="text1"/>
            <w:sz w:val="18"/>
            <w:szCs w:val="18"/>
            <w:u w:val="none"/>
          </w:rPr>
          <w:t>https://finances.worldbank.org/Trust-Funds-and-FIFs/Financial-Intermediary-Funds-Commitments/fie8-6fxn</w:t>
        </w:r>
      </w:hyperlink>
      <w:r w:rsidRPr="00546CBA">
        <w:rPr>
          <w:rFonts w:ascii="Calibri" w:hAnsi="Calibri" w:cs="Calibri"/>
          <w:color w:val="000000" w:themeColor="text1"/>
          <w:sz w:val="18"/>
          <w:szCs w:val="18"/>
        </w:rPr>
        <w:t>) includes incomplete historic data on fund commi</w:t>
      </w:r>
      <w:r w:rsidRPr="00681100">
        <w:rPr>
          <w:rFonts w:ascii="Calibri" w:hAnsi="Calibri" w:cs="Calibri"/>
          <w:color w:val="000000" w:themeColor="text1"/>
          <w:sz w:val="18"/>
          <w:szCs w:val="18"/>
        </w:rPr>
        <w:t>tments. The Bank’s FIF trustee website only includes active trust funds (</w:t>
      </w:r>
      <w:hyperlink r:id="rId6" w:history="1">
        <w:r w:rsidRPr="00546CBA">
          <w:rPr>
            <w:rStyle w:val="Hyperlink"/>
            <w:rFonts w:ascii="Calibri" w:hAnsi="Calibri" w:cs="Calibri"/>
            <w:color w:val="000000" w:themeColor="text1"/>
            <w:sz w:val="18"/>
            <w:szCs w:val="18"/>
            <w:u w:val="none"/>
          </w:rPr>
          <w:t>https://fiftrustee.worldbank.org/</w:t>
        </w:r>
      </w:hyperlink>
      <w:r w:rsidRPr="00546CBA">
        <w:rPr>
          <w:rStyle w:val="Hyperlink"/>
          <w:rFonts w:ascii="Calibri" w:hAnsi="Calibri" w:cs="Calibri"/>
          <w:color w:val="000000" w:themeColor="text1"/>
          <w:sz w:val="18"/>
          <w:szCs w:val="18"/>
          <w:u w:val="none"/>
        </w:rPr>
        <w:t>)</w:t>
      </w:r>
      <w:r w:rsidRPr="00681100">
        <w:rPr>
          <w:rFonts w:ascii="Calibri" w:hAnsi="Calibri" w:cs="Calibri"/>
          <w:color w:val="000000" w:themeColor="text1"/>
          <w:sz w:val="18"/>
          <w:szCs w:val="18"/>
        </w:rPr>
        <w:t>.</w:t>
      </w:r>
    </w:p>
  </w:footnote>
  <w:footnote w:id="483">
    <w:p w14:paraId="1BD5BF7D" w14:textId="357B9BCF"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The portal includes only health FIFs related to the Global Fund and GAVI Alliance, after 2000.</w:t>
      </w:r>
    </w:p>
  </w:footnote>
  <w:footnote w:id="484">
    <w:p w14:paraId="75A57AD3" w14:textId="790ACA42" w:rsidR="00CF189D" w:rsidRPr="00681100" w:rsidRDefault="00CF189D" w:rsidP="00B86D8C">
      <w:pPr>
        <w:rPr>
          <w:rFonts w:ascii="Calibri" w:hAnsi="Calibri" w:cs="Calibri"/>
          <w:color w:val="000000" w:themeColor="text1"/>
          <w:sz w:val="18"/>
          <w:szCs w:val="18"/>
          <w:lang w:eastAsia="en-GB"/>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To construct this figure, when multiple sources in the archives gave different expenditures or disbursement data for a given year, the numbers were averaged. </w:t>
      </w:r>
    </w:p>
  </w:footnote>
  <w:footnote w:id="485">
    <w:p w14:paraId="6865E17E" w14:textId="3B21DFAC"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In 1994, Benton stated that the peak programme expenditures were in 1992. See WBGA, 1428489, </w:t>
      </w:r>
      <w:r w:rsidRPr="00681100">
        <w:rPr>
          <w:rFonts w:ascii="Calibri" w:hAnsi="Calibri" w:cs="Calibri"/>
          <w:color w:val="000000" w:themeColor="text1"/>
          <w:sz w:val="18"/>
          <w:szCs w:val="18"/>
        </w:rPr>
        <w:t>‘World Bank presentation, financing the Onchocerciasis Control Program’, 1994.</w:t>
      </w:r>
    </w:p>
  </w:footnote>
  <w:footnote w:id="486">
    <w:p w14:paraId="077F8899" w14:textId="48428E09" w:rsidR="00CF189D" w:rsidRPr="00A8048A" w:rsidRDefault="00CF189D" w:rsidP="00B86D8C">
      <w:pPr>
        <w:rPr>
          <w:rFonts w:ascii="Calibri" w:hAnsi="Calibri" w:cs="Calibri"/>
          <w:color w:val="000000" w:themeColor="text1"/>
          <w:sz w:val="18"/>
          <w:szCs w:val="18"/>
          <w:lang w:eastAsia="en-GB"/>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The data is adjusted to constant 1985 USD, to foster annual comparisons. All da</w:t>
      </w:r>
      <w:r w:rsidRPr="00681100">
        <w:rPr>
          <w:rFonts w:ascii="Calibri" w:hAnsi="Calibri" w:cs="Calibri"/>
          <w:color w:val="000000" w:themeColor="text1"/>
          <w:sz w:val="18"/>
          <w:szCs w:val="18"/>
        </w:rPr>
        <w:t>ta and deflator calculations are taken from the Bank’s OCP expenditures list (</w:t>
      </w:r>
      <w:r w:rsidRPr="00681100">
        <w:rPr>
          <w:rFonts w:ascii="Calibri" w:hAnsi="Calibri" w:cs="Calibri"/>
          <w:color w:val="000000" w:themeColor="text1"/>
          <w:sz w:val="18"/>
          <w:szCs w:val="18"/>
          <w:lang w:eastAsia="en-GB"/>
        </w:rPr>
        <w:t>WBGA, 1865309, Wor</w:t>
      </w:r>
      <w:r w:rsidRPr="000045FB">
        <w:rPr>
          <w:rFonts w:ascii="Calibri" w:hAnsi="Calibri" w:cs="Calibri"/>
          <w:color w:val="000000" w:themeColor="text1"/>
          <w:sz w:val="18"/>
          <w:szCs w:val="18"/>
          <w:lang w:eastAsia="en-GB"/>
        </w:rPr>
        <w:t xml:space="preserve">ld Bank onchocerciasis unit, ‘OCP expenditures [computer print-out]’, 11 September 1997). Sources used to compile total budgetary costs include: </w:t>
      </w:r>
      <w:r w:rsidRPr="000045FB">
        <w:rPr>
          <w:rFonts w:ascii="Calibri" w:hAnsi="Calibri" w:cs="Calibri"/>
          <w:color w:val="000000" w:themeColor="text1"/>
          <w:sz w:val="18"/>
          <w:szCs w:val="18"/>
        </w:rPr>
        <w:t>WBGA, 1865309, ‘OCP expenditures [computer print-out], 11 September 1997; Younger SD and Zongo JB, ‘West Africa</w:t>
      </w:r>
      <w:r w:rsidRPr="00581494">
        <w:rPr>
          <w:rFonts w:ascii="Calibri" w:hAnsi="Calibri" w:cs="Calibri"/>
          <w:color w:val="000000" w:themeColor="text1"/>
          <w:sz w:val="18"/>
          <w:szCs w:val="18"/>
        </w:rPr>
        <w:t xml:space="preserve">: The Onchocerciasis Control Program’, in </w:t>
      </w:r>
      <w:r w:rsidRPr="00581494">
        <w:rPr>
          <w:rFonts w:ascii="Calibri" w:hAnsi="Calibri" w:cs="Calibri"/>
          <w:i/>
          <w:color w:val="000000" w:themeColor="text1"/>
          <w:sz w:val="18"/>
          <w:szCs w:val="18"/>
        </w:rPr>
        <w:t xml:space="preserve">Successful development in Africa: case studies of projects, programs, and policies </w:t>
      </w:r>
      <w:r w:rsidRPr="00581494">
        <w:rPr>
          <w:rFonts w:ascii="Calibri" w:hAnsi="Calibri" w:cs="Calibri"/>
          <w:color w:val="000000" w:themeColor="text1"/>
          <w:sz w:val="18"/>
          <w:szCs w:val="18"/>
        </w:rPr>
        <w:t xml:space="preserve">(Washington DC: World Bank, 1989), </w:t>
      </w:r>
      <w:r w:rsidRPr="00E259AA">
        <w:rPr>
          <w:rFonts w:ascii="Calibri" w:hAnsi="Calibri" w:cs="Calibri"/>
          <w:color w:val="000000" w:themeColor="text1"/>
          <w:sz w:val="18"/>
          <w:szCs w:val="18"/>
        </w:rPr>
        <w:t xml:space="preserve">27-56; Kim A and Benton B, </w:t>
      </w:r>
      <w:r w:rsidRPr="00E259AA">
        <w:rPr>
          <w:rFonts w:ascii="Calibri" w:hAnsi="Calibri" w:cs="Calibri"/>
          <w:i/>
          <w:color w:val="000000" w:themeColor="text1"/>
          <w:sz w:val="18"/>
          <w:szCs w:val="18"/>
        </w:rPr>
        <w:t>Cost-benefit analysis of the Onchocerciasis Control Program (OCP)</w:t>
      </w:r>
      <w:r w:rsidRPr="00E259AA">
        <w:rPr>
          <w:rFonts w:ascii="Calibri" w:hAnsi="Calibri" w:cs="Calibri"/>
          <w:color w:val="000000" w:themeColor="text1"/>
          <w:sz w:val="18"/>
          <w:szCs w:val="18"/>
        </w:rPr>
        <w:t xml:space="preserve"> (Washington DC: World Bank, 1995); WBGA, 1300652, ‘Progress report 1977, Onchocerciasis Fund 1974-1979, US$ millions, receipts’, 1980; WBGA, 1082632, ‘Grants for Control of Onchocerciasis in West Africa, Robert S. McNamara by J. Burke Knapp’, 19 November 1978; WBGA, 1428489, ‘Mid-term (phase IV) prospective evaluation of the Onchocerciasis Control Programme in West Africa’, June 1994; WBGA, 30303457, ‘Onchocerciasis Fund (1974-1985), allocation basis (US$ millions)’, 1986; WHOL, WHO OCP/74.1-81.2, ‘Plan of action and budget for 1988’, 1987; WBGA, 1082632, ‘OCP Expenditures 1974-1985/1’, [1986]; WBGA 1428489, ‘International Bank for Reconstruction and Development as administrator of the special account for the Onchocerciasis (river blindness) Control Programme – phase III statement of cash receipts, disbursements and fund balance’, [1992]; WBGA, 1428489, ‘OCP/91.1, table 1, budget by programme activity’, 1991; </w:t>
      </w:r>
      <w:r w:rsidRPr="00E259AA">
        <w:rPr>
          <w:rFonts w:ascii="Calibri" w:hAnsi="Calibri" w:cs="Calibri"/>
          <w:color w:val="000000" w:themeColor="text1"/>
          <w:sz w:val="18"/>
          <w:szCs w:val="18"/>
          <w:lang w:eastAsia="en-GB"/>
        </w:rPr>
        <w:t>WBGA, 18</w:t>
      </w:r>
      <w:r w:rsidRPr="00DE5E29">
        <w:rPr>
          <w:rFonts w:ascii="Calibri" w:hAnsi="Calibri" w:cs="Calibri"/>
          <w:color w:val="000000" w:themeColor="text1"/>
          <w:sz w:val="18"/>
          <w:szCs w:val="18"/>
          <w:lang w:eastAsia="en-GB"/>
        </w:rPr>
        <w:t>65309, ‘Table 2, budget by category of expenditure, draft copy’, 14 June 1993; WBGA, 30303457, ‘Onchocerciasis Fund (1974-1985), allocation basis (US$ millions), 1986; WBGA, 1300642, ‘Onchocerciasis Fund (1974-1985), statement of receipts and disbursements cash basis (US$ millions)’, 3 December 1982; WBGA, 1300642, ‘International Bank for Reconstruction and Development as administrator for a special account for control of onchocerciasis in Western Africa – phase II statement of receipts and disbursements inception to December 31 1981’, 1982; WBGA, 30303452, ‘World Bank presentation, financing the Onchocerciasis Control Programme’, 1991; WBGA, D65211, ‘Breakdown of costs between original and extension areas’, s.d.; WBGA, 1865310, ‘FY1998 business plan proposal for special grants program funding ongoing grant’, 1998; WBGA, 30303452, ‘International Bank for Reconstruction and Development as administrator for the special account of the Onchocerciasis (river bl</w:t>
      </w:r>
      <w:r w:rsidRPr="00BD6EE4">
        <w:rPr>
          <w:rFonts w:ascii="Calibri" w:hAnsi="Calibri" w:cs="Calibri"/>
          <w:color w:val="000000" w:themeColor="text1"/>
          <w:sz w:val="18"/>
          <w:szCs w:val="18"/>
          <w:lang w:eastAsia="en-GB"/>
        </w:rPr>
        <w:t>indness) Control Programme – phase III statement of ca</w:t>
      </w:r>
      <w:r w:rsidRPr="00471293">
        <w:rPr>
          <w:rFonts w:ascii="Calibri" w:hAnsi="Calibri" w:cs="Calibri"/>
          <w:color w:val="000000" w:themeColor="text1"/>
          <w:sz w:val="18"/>
          <w:szCs w:val="18"/>
          <w:lang w:eastAsia="en-GB"/>
        </w:rPr>
        <w:t>sh receipts, disbursements and fund balance (expressed in United States dollars)’, 1988; WBGA, 1865310, ‘FY97-99 business plan proposal for special grants program funding ongoing grant’, [1996]; WBGA, 1865310, ‘JCP17.4, figure 2, budget by category of expenditure – 1997’, 1997; WBGA, 1103301, ‘Onchocerciasis budget – set, OCP expenditures (hand-written table)’, s.d.; WBGA, 1300642, ‘Onchocerciasis control in the Volta basin area cumulative statement of i</w:t>
      </w:r>
      <w:r w:rsidRPr="008E1EA6">
        <w:rPr>
          <w:rFonts w:ascii="Calibri" w:hAnsi="Calibri" w:cs="Calibri"/>
          <w:color w:val="000000" w:themeColor="text1"/>
          <w:sz w:val="18"/>
          <w:szCs w:val="18"/>
          <w:lang w:eastAsia="en-GB"/>
        </w:rPr>
        <w:t xml:space="preserve">ncome and obligations 1974/10 June 1982 (expressed in US dollars)’, 1982; WBGA, 1428489, ‘OCP/91.1, table 1, budget by programme activity’, 1991; </w:t>
      </w:r>
      <w:r w:rsidRPr="008E1EA6">
        <w:rPr>
          <w:rFonts w:ascii="Calibri" w:hAnsi="Calibri" w:cs="Calibri"/>
          <w:color w:val="000000" w:themeColor="text1"/>
          <w:sz w:val="18"/>
          <w:szCs w:val="18"/>
        </w:rPr>
        <w:t xml:space="preserve">Kelly et al., </w:t>
      </w:r>
      <w:r w:rsidRPr="008E1EA6">
        <w:rPr>
          <w:rFonts w:ascii="Calibri" w:hAnsi="Calibri" w:cs="Calibri"/>
          <w:i/>
          <w:color w:val="000000" w:themeColor="text1"/>
          <w:sz w:val="18"/>
          <w:szCs w:val="18"/>
        </w:rPr>
        <w:t xml:space="preserve">Impact review of the Onchocerciasis Control Program Ouagadougou, 1985 </w:t>
      </w:r>
      <w:r w:rsidRPr="00A8048A">
        <w:rPr>
          <w:rFonts w:ascii="Calibri" w:hAnsi="Calibri" w:cs="Calibri"/>
          <w:color w:val="000000" w:themeColor="text1"/>
          <w:sz w:val="18"/>
          <w:szCs w:val="18"/>
        </w:rPr>
        <w:t>(Washington DC: USAID, 1986), 79-80.</w:t>
      </w:r>
    </w:p>
  </w:footnote>
  <w:footnote w:id="487">
    <w:p w14:paraId="69FF7F8A" w14:textId="04B3FEC3" w:rsidR="00CF189D" w:rsidRPr="00546CBA" w:rsidRDefault="00CF189D" w:rsidP="00B86D8C">
      <w:pPr>
        <w:rPr>
          <w:rFonts w:ascii="Calibri" w:hAnsi="Calibri" w:cs="Calibri"/>
          <w:color w:val="000000" w:themeColor="text1"/>
          <w:sz w:val="18"/>
          <w:szCs w:val="18"/>
          <w:lang w:eastAsia="en-GB"/>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Th</w:t>
      </w:r>
      <w:r w:rsidRPr="00CF189D">
        <w:rPr>
          <w:rFonts w:ascii="Calibri" w:hAnsi="Calibri" w:cs="Calibri"/>
          <w:color w:val="000000" w:themeColor="text1"/>
          <w:sz w:val="18"/>
          <w:szCs w:val="18"/>
        </w:rPr>
        <w:t>ese</w:t>
      </w:r>
      <w:r w:rsidRPr="00546CBA">
        <w:rPr>
          <w:rFonts w:ascii="Calibri" w:hAnsi="Calibri" w:cs="Calibri"/>
          <w:color w:val="000000" w:themeColor="text1"/>
          <w:sz w:val="18"/>
          <w:szCs w:val="18"/>
        </w:rPr>
        <w:t xml:space="preserve"> data combine annual disbursements to the WHO and actual expenditure data. From 1998-2002, archived documents were not available, and estimates are based on 1998 projections by the Bank’s Special Grants Programme. </w:t>
      </w:r>
      <w:r w:rsidRPr="00546CBA">
        <w:rPr>
          <w:rFonts w:ascii="Calibri" w:hAnsi="Calibri" w:cs="Calibri"/>
          <w:color w:val="000000" w:themeColor="text1"/>
          <w:sz w:val="18"/>
          <w:szCs w:val="18"/>
          <w:lang w:eastAsia="en-GB"/>
        </w:rPr>
        <w:t xml:space="preserve">Phase I is based on WBGA, 1300652, ‘Progress report 1997, Onchocerciasis Fund 1974-1979, US$ millions, receipts’, 1980; WBGA, 1300642, ‘Onchocerciasis control in the Volta basin area cumulative statement of income and obligations 1974/10 June 1982 (expressed in US dollars)’, 1982. Phase II is based on WBGA, 30303457, ‘Onchocerciasis Fund (1974-1985), allocation basis (US$ millions)’, [1986]. Phase III is based on WBGA, 1428489, ‘International Bank for Reconstruction and Development as administrator of the special account of the Onchocerciasis (river blindness) Control Programme – phase III statement of cash receipts, disbursements and fund balance’, [1992]. Phase IV is based on WBGA, 1865310, ‘FY97-99 business plan proposal for special grants program funding ongoing grant’, [1997]; WBGA, 1865310, ‘FY1998 business plan proposal for special grants program funding ongoing grant’, [1997]. </w:t>
      </w:r>
      <w:r w:rsidRPr="00546CBA">
        <w:rPr>
          <w:rFonts w:ascii="Calibri" w:hAnsi="Calibri" w:cs="Calibri"/>
          <w:color w:val="000000" w:themeColor="text1"/>
          <w:sz w:val="18"/>
          <w:szCs w:val="18"/>
        </w:rPr>
        <w:t>The Bank’s OCP expenditures list (</w:t>
      </w:r>
      <w:r w:rsidRPr="00546CBA">
        <w:rPr>
          <w:rFonts w:ascii="Calibri" w:hAnsi="Calibri" w:cs="Calibri"/>
          <w:color w:val="000000" w:themeColor="text1"/>
          <w:sz w:val="18"/>
          <w:szCs w:val="18"/>
          <w:lang w:eastAsia="en-GB"/>
        </w:rPr>
        <w:t>WBGA, 1865309, World Bank onchocerciasis unit, ‘OCP expenditures [computer print-out]’, 11 September 1997)</w:t>
      </w:r>
      <w:r w:rsidRPr="00546CBA">
        <w:rPr>
          <w:rFonts w:ascii="Calibri" w:hAnsi="Calibri" w:cs="Calibri"/>
          <w:color w:val="000000" w:themeColor="text1"/>
          <w:sz w:val="18"/>
          <w:szCs w:val="18"/>
        </w:rPr>
        <w:t xml:space="preserve"> is given for comparison; this document compiled known expenditures until 1997, but was composed largely of estimates after 1989. </w:t>
      </w:r>
      <w:r w:rsidRPr="00CF189D">
        <w:rPr>
          <w:rFonts w:ascii="Calibri" w:hAnsi="Calibri" w:cs="Calibri"/>
          <w:color w:val="000000" w:themeColor="text1"/>
          <w:sz w:val="18"/>
          <w:szCs w:val="18"/>
        </w:rPr>
        <w:t xml:space="preserve">All expenditures and estimates are given in nominal USD. </w:t>
      </w:r>
    </w:p>
  </w:footnote>
  <w:footnote w:id="488">
    <w:p w14:paraId="27888DE5" w14:textId="138E29B6" w:rsidR="00CF189D" w:rsidRPr="00681100" w:rsidRDefault="00CF189D" w:rsidP="00B86D8C">
      <w:pPr>
        <w:rPr>
          <w:rFonts w:ascii="Calibri" w:hAnsi="Calibri" w:cs="Calibri"/>
          <w:color w:val="000000" w:themeColor="text1"/>
          <w:sz w:val="18"/>
          <w:szCs w:val="18"/>
          <w:lang w:eastAsia="en-GB"/>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681100">
        <w:rPr>
          <w:rFonts w:ascii="Calibri" w:hAnsi="Calibri" w:cs="Calibri"/>
          <w:color w:val="000000" w:themeColor="text1"/>
          <w:sz w:val="18"/>
          <w:szCs w:val="18"/>
          <w:lang w:eastAsia="en-GB"/>
        </w:rPr>
        <w:t>WBGA, 1865309, World Bank onchocerciasis unit, ‘OCP expenditures [computer print-out]’, 11 September 1997.</w:t>
      </w:r>
    </w:p>
  </w:footnote>
  <w:footnote w:id="489">
    <w:p w14:paraId="3CB84BFB" w14:textId="612BFB4A"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The source for cost data is listed as simply, ‘OCP (various)’. See Younger and Zongo, ‘West Africa’ (1989), 37. </w:t>
      </w:r>
    </w:p>
  </w:footnote>
  <w:footnote w:id="490">
    <w:p w14:paraId="0547A218" w14:textId="08592ACD"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Kim and Benton, </w:t>
      </w:r>
      <w:r w:rsidRPr="00681100">
        <w:rPr>
          <w:rFonts w:ascii="Calibri" w:hAnsi="Calibri" w:cs="Calibri"/>
          <w:i/>
          <w:color w:val="000000" w:themeColor="text1"/>
          <w:sz w:val="18"/>
          <w:szCs w:val="18"/>
        </w:rPr>
        <w:t xml:space="preserve">Cost-benefit </w:t>
      </w:r>
      <w:r w:rsidRPr="00681100">
        <w:rPr>
          <w:rFonts w:ascii="Calibri" w:hAnsi="Calibri" w:cs="Calibri"/>
          <w:color w:val="000000" w:themeColor="text1"/>
          <w:sz w:val="18"/>
          <w:szCs w:val="18"/>
        </w:rPr>
        <w:t>(1995).</w:t>
      </w:r>
    </w:p>
  </w:footnote>
  <w:footnote w:id="491">
    <w:p w14:paraId="28223841" w14:textId="210A4F41"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OECD, ‘Creditor reporting system (CRS)’ (online), &lt;</w:t>
      </w:r>
      <w:hyperlink r:id="rId7" w:history="1">
        <w:r w:rsidRPr="00546CBA">
          <w:rPr>
            <w:rStyle w:val="Hyperlink"/>
            <w:rFonts w:ascii="Calibri" w:hAnsi="Calibri" w:cs="Calibri"/>
            <w:color w:val="000000" w:themeColor="text1"/>
            <w:sz w:val="18"/>
            <w:szCs w:val="18"/>
            <w:u w:val="none"/>
          </w:rPr>
          <w:t>https://stats.oecd.org/Index.aspx?DataSetCode=crs1</w:t>
        </w:r>
      </w:hyperlink>
      <w:r w:rsidRPr="00546CBA">
        <w:rPr>
          <w:rFonts w:ascii="Calibri" w:hAnsi="Calibri" w:cs="Calibri"/>
          <w:color w:val="000000" w:themeColor="text1"/>
          <w:sz w:val="18"/>
          <w:szCs w:val="18"/>
        </w:rPr>
        <w:t>&gt; [accessed 15 April 2018].</w:t>
      </w:r>
    </w:p>
  </w:footnote>
  <w:footnote w:id="492">
    <w:p w14:paraId="43D4DEAB" w14:textId="7554975C"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Due to poor projec</w:t>
      </w:r>
      <w:r w:rsidRPr="00681100">
        <w:rPr>
          <w:rFonts w:ascii="Calibri" w:hAnsi="Calibri" w:cs="Calibri"/>
          <w:color w:val="000000" w:themeColor="text1"/>
          <w:sz w:val="18"/>
          <w:szCs w:val="18"/>
        </w:rPr>
        <w:t>t descriptions, it was not possible to determine whether some commitments after 1995 were for OCP and APOC; this figure includes all onchocerciasis-related funding in West Africa until 2002. Kim and Benton’s expenditures are actual until 1994, and are then</w:t>
      </w:r>
      <w:r w:rsidRPr="000045FB">
        <w:rPr>
          <w:rFonts w:ascii="Calibri" w:hAnsi="Calibri" w:cs="Calibri"/>
          <w:color w:val="000000" w:themeColor="text1"/>
          <w:sz w:val="18"/>
          <w:szCs w:val="18"/>
        </w:rPr>
        <w:t xml:space="preserve"> their estimates for Phase V expenditures. Younger and Zongo provide actual costs through 1986. OECD DAC-CRS data is taken from a multi-bi database, which eliminated double-counting of some channelled aid (see </w:t>
      </w:r>
      <w:hyperlink r:id="rId8" w:history="1">
        <w:r w:rsidRPr="00546CBA">
          <w:rPr>
            <w:rStyle w:val="Hyperlink"/>
            <w:rFonts w:ascii="Calibri" w:hAnsi="Calibri" w:cs="Calibri"/>
            <w:color w:val="000000" w:themeColor="text1"/>
            <w:sz w:val="18"/>
            <w:szCs w:val="18"/>
            <w:u w:val="none"/>
          </w:rPr>
          <w:t>https://www.aiddata.org/data/multi-bi-aid-data-version-1-1</w:t>
        </w:r>
      </w:hyperlink>
      <w:r w:rsidRPr="00546CBA">
        <w:rPr>
          <w:rStyle w:val="Hyperlink"/>
          <w:rFonts w:ascii="Calibri" w:hAnsi="Calibri" w:cs="Calibri"/>
          <w:color w:val="000000" w:themeColor="text1"/>
          <w:sz w:val="18"/>
          <w:szCs w:val="18"/>
          <w:u w:val="none"/>
        </w:rPr>
        <w:t>)</w:t>
      </w:r>
      <w:r w:rsidRPr="00681100">
        <w:rPr>
          <w:rFonts w:ascii="Calibri" w:hAnsi="Calibri" w:cs="Calibri"/>
          <w:color w:val="000000" w:themeColor="text1"/>
          <w:sz w:val="18"/>
          <w:szCs w:val="18"/>
        </w:rPr>
        <w:t xml:space="preserve">. Access to this dataset was kindly provided to the author by Bernhard Reinsberg, of the University of Cambridge, in October 2016. </w:t>
      </w:r>
    </w:p>
  </w:footnote>
  <w:footnote w:id="493">
    <w:p w14:paraId="586F23C8" w14:textId="7B9BFB6C" w:rsidR="00CF189D" w:rsidRPr="00581494"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for instance, Roungou et al.,</w:t>
      </w:r>
      <w:r w:rsidRPr="00681100">
        <w:rPr>
          <w:rFonts w:ascii="Calibri" w:hAnsi="Calibri" w:cs="Calibri"/>
          <w:color w:val="000000" w:themeColor="text1"/>
          <w:sz w:val="18"/>
          <w:szCs w:val="18"/>
        </w:rPr>
        <w:t xml:space="preserve"> ’40 years of the APOC partnership’, </w:t>
      </w:r>
      <w:r w:rsidRPr="00681100">
        <w:rPr>
          <w:rFonts w:ascii="Calibri" w:hAnsi="Calibri" w:cs="Calibri"/>
          <w:i/>
          <w:color w:val="000000" w:themeColor="text1"/>
          <w:sz w:val="18"/>
          <w:szCs w:val="18"/>
        </w:rPr>
        <w:t xml:space="preserve">PLoS Neglected Tropical Diseases </w:t>
      </w:r>
      <w:r w:rsidRPr="000045FB">
        <w:rPr>
          <w:rFonts w:ascii="Calibri" w:hAnsi="Calibri" w:cs="Calibri"/>
          <w:color w:val="000000" w:themeColor="text1"/>
          <w:sz w:val="18"/>
          <w:szCs w:val="18"/>
        </w:rPr>
        <w:t xml:space="preserve">9:5 (2015), e0003562; Hopkins et al., ‘Editorial: whither onchocerciasis control in Africa?’, </w:t>
      </w:r>
      <w:r w:rsidRPr="000045FB">
        <w:rPr>
          <w:rFonts w:ascii="Calibri" w:hAnsi="Calibri" w:cs="Calibri"/>
          <w:i/>
          <w:color w:val="000000" w:themeColor="text1"/>
          <w:sz w:val="18"/>
          <w:szCs w:val="18"/>
        </w:rPr>
        <w:t xml:space="preserve">American Journal of Tropical Medicine and Hygiene </w:t>
      </w:r>
      <w:r w:rsidRPr="00581494">
        <w:rPr>
          <w:rFonts w:ascii="Calibri" w:hAnsi="Calibri" w:cs="Calibri"/>
          <w:color w:val="000000" w:themeColor="text1"/>
          <w:sz w:val="18"/>
          <w:szCs w:val="18"/>
        </w:rPr>
        <w:t xml:space="preserve">72:1 (2005), 1-2. </w:t>
      </w:r>
    </w:p>
  </w:footnote>
  <w:footnote w:id="494">
    <w:p w14:paraId="3ABC8B72" w14:textId="1F844349"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1082632, Robert</w:t>
      </w:r>
      <w:r w:rsidRPr="00681100">
        <w:rPr>
          <w:rFonts w:ascii="Calibri" w:hAnsi="Calibri" w:cs="Calibri"/>
          <w:color w:val="000000" w:themeColor="text1"/>
          <w:sz w:val="18"/>
          <w:szCs w:val="18"/>
        </w:rPr>
        <w:t xml:space="preserve"> McNamara, ‘From the president: control of oncho in West Africa’, 16 April 1973.</w:t>
      </w:r>
    </w:p>
  </w:footnote>
  <w:footnote w:id="495">
    <w:p w14:paraId="694705BE" w14:textId="08A458E8"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UNA, s-0053-14-7, John C. De Wilde, ‘The campaign against onchocerciasis in West Africa’, [1969].</w:t>
      </w:r>
    </w:p>
  </w:footnote>
  <w:footnote w:id="496">
    <w:p w14:paraId="64B4486D" w14:textId="4AFC3A8D"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UNA, s-0553-14-8, ‘Draft – for possible inclusion W</w:t>
      </w:r>
      <w:r w:rsidRPr="00681100">
        <w:rPr>
          <w:rFonts w:ascii="Calibri" w:hAnsi="Calibri" w:cs="Calibri"/>
          <w:color w:val="000000" w:themeColor="text1"/>
          <w:sz w:val="18"/>
          <w:szCs w:val="18"/>
        </w:rPr>
        <w:t>HO paper for presentation to Accra meeting on onchocerciasis control in the Volta River basin area’, October 1972.</w:t>
      </w:r>
    </w:p>
  </w:footnote>
  <w:footnote w:id="497">
    <w:p w14:paraId="2EDBB90A" w14:textId="3E301144"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NA, OD 113/24, Barber Conable, ‘From the president, grants for control of onchocerciasis in West Africa’, 14 November 1989.</w:t>
      </w:r>
    </w:p>
  </w:footnote>
  <w:footnote w:id="498">
    <w:p w14:paraId="3E5679F1" w14:textId="096DCA4F"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3030345</w:t>
      </w:r>
      <w:r w:rsidRPr="00681100">
        <w:rPr>
          <w:rFonts w:ascii="Calibri" w:hAnsi="Calibri" w:cs="Calibri"/>
          <w:color w:val="000000" w:themeColor="text1"/>
          <w:sz w:val="18"/>
          <w:szCs w:val="18"/>
        </w:rPr>
        <w:t>2, ‘Onchocerciasis Control Programme donors conference, Bonn, Germany, September 23-24 1991, World Bank presentation, financing the Onchocerciasis Control Program’, 1991.</w:t>
      </w:r>
    </w:p>
  </w:footnote>
  <w:footnote w:id="499">
    <w:p w14:paraId="50E368D6" w14:textId="6117C858"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WHO, </w:t>
      </w:r>
      <w:r w:rsidRPr="00681100">
        <w:rPr>
          <w:rFonts w:ascii="Calibri" w:hAnsi="Calibri" w:cs="Calibri"/>
          <w:i/>
          <w:color w:val="000000" w:themeColor="text1"/>
          <w:sz w:val="18"/>
          <w:szCs w:val="18"/>
        </w:rPr>
        <w:t xml:space="preserve">20 Years </w:t>
      </w:r>
      <w:r w:rsidRPr="00681100">
        <w:rPr>
          <w:rFonts w:ascii="Calibri" w:hAnsi="Calibri" w:cs="Calibri"/>
          <w:color w:val="000000" w:themeColor="text1"/>
          <w:sz w:val="18"/>
          <w:szCs w:val="18"/>
        </w:rPr>
        <w:t>(1994).</w:t>
      </w:r>
    </w:p>
  </w:footnote>
  <w:footnote w:id="500">
    <w:p w14:paraId="3F39B468" w14:textId="387BF850" w:rsidR="00CF189D" w:rsidRPr="00581494"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In 1991, leaders expected the programme to end around 1998, so this estimate is c</w:t>
      </w:r>
      <w:r w:rsidRPr="00681100">
        <w:rPr>
          <w:rFonts w:ascii="Calibri" w:hAnsi="Calibri" w:cs="Calibri"/>
          <w:color w:val="000000" w:themeColor="text1"/>
          <w:sz w:val="18"/>
          <w:szCs w:val="18"/>
        </w:rPr>
        <w:t xml:space="preserve">loser to actual costs than it first appears. This figure is based on the WHO’s estimates that Phase IV would cost around $218 million. See OCP, </w:t>
      </w:r>
      <w:r w:rsidRPr="00681100">
        <w:rPr>
          <w:rFonts w:ascii="Calibri" w:hAnsi="Calibri" w:cs="Calibri"/>
          <w:i/>
          <w:color w:val="000000" w:themeColor="text1"/>
          <w:sz w:val="18"/>
          <w:szCs w:val="18"/>
        </w:rPr>
        <w:t xml:space="preserve">Success in Africa </w:t>
      </w:r>
      <w:r w:rsidRPr="000045FB">
        <w:rPr>
          <w:rFonts w:ascii="Calibri" w:hAnsi="Calibri" w:cs="Calibri"/>
          <w:color w:val="000000" w:themeColor="text1"/>
          <w:sz w:val="18"/>
          <w:szCs w:val="18"/>
        </w:rPr>
        <w:t xml:space="preserve">(2002) and WHO, </w:t>
      </w:r>
      <w:r w:rsidRPr="000045FB">
        <w:rPr>
          <w:rFonts w:ascii="Calibri" w:hAnsi="Calibri" w:cs="Calibri"/>
          <w:i/>
          <w:color w:val="000000" w:themeColor="text1"/>
          <w:sz w:val="18"/>
          <w:szCs w:val="18"/>
        </w:rPr>
        <w:t xml:space="preserve">20 Years </w:t>
      </w:r>
      <w:r w:rsidRPr="00581494">
        <w:rPr>
          <w:rFonts w:ascii="Calibri" w:hAnsi="Calibri" w:cs="Calibri"/>
          <w:color w:val="000000" w:themeColor="text1"/>
          <w:sz w:val="18"/>
          <w:szCs w:val="18"/>
        </w:rPr>
        <w:t>(1994).</w:t>
      </w:r>
    </w:p>
  </w:footnote>
  <w:footnote w:id="501">
    <w:p w14:paraId="23CACB61" w14:textId="60193074"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30339648, Michael Sharpston to Files, ‘Some thoughts on problems related to oncho’, 21 November 1977.</w:t>
      </w:r>
    </w:p>
  </w:footnote>
  <w:footnote w:id="502">
    <w:p w14:paraId="35E91AA9" w14:textId="614546AE"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546CBA">
        <w:rPr>
          <w:rFonts w:ascii="Calibri" w:hAnsi="Calibri" w:cs="Calibri"/>
          <w:i/>
          <w:color w:val="000000" w:themeColor="text1"/>
          <w:sz w:val="18"/>
          <w:szCs w:val="18"/>
        </w:rPr>
        <w:t xml:space="preserve">Transcript of an interview with Bruce Benton </w:t>
      </w:r>
      <w:r w:rsidRPr="00681100">
        <w:rPr>
          <w:rFonts w:ascii="Calibri" w:hAnsi="Calibri" w:cs="Calibri"/>
          <w:color w:val="000000" w:themeColor="text1"/>
          <w:sz w:val="18"/>
          <w:szCs w:val="18"/>
        </w:rPr>
        <w:t>(2006), 107.</w:t>
      </w:r>
    </w:p>
  </w:footnote>
  <w:footnote w:id="503">
    <w:p w14:paraId="4AB097BE" w14:textId="5D10E615"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1300674, J.P. Dailly to Files, ‘Back-to-office report, donors meeting 1984’, 2 November 1984.</w:t>
      </w:r>
    </w:p>
  </w:footnote>
  <w:footnote w:id="504">
    <w:p w14:paraId="465381EB" w14:textId="094315CF"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for instance, WBGA, 1300674, ‘Draft opening statement for donors meeting’, 14 October 1987; WBGA, 30348069, Wilfried Thalwitz to Ebrahim Samba, 12 February 1987.</w:t>
      </w:r>
    </w:p>
  </w:footnote>
  <w:footnote w:id="505">
    <w:p w14:paraId="338F184A" w14:textId="44B390C6"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footnoteRef/>
      </w:r>
      <w:r w:rsidRPr="00CF189D">
        <w:rPr>
          <w:rFonts w:ascii="Calibri" w:hAnsi="Calibri" w:cs="Calibri"/>
          <w:sz w:val="18"/>
          <w:szCs w:val="18"/>
        </w:rPr>
        <w:t xml:space="preserve"> </w:t>
      </w:r>
      <w:r w:rsidRPr="00CF189D">
        <w:rPr>
          <w:rFonts w:ascii="Calibri" w:hAnsi="Calibri" w:cs="Calibri"/>
          <w:sz w:val="18"/>
          <w:szCs w:val="18"/>
          <w:lang w:val="en-US"/>
        </w:rPr>
        <w:t>See Godlee</w:t>
      </w:r>
      <w:r>
        <w:rPr>
          <w:rFonts w:ascii="Calibri" w:hAnsi="Calibri" w:cs="Calibri"/>
          <w:sz w:val="18"/>
          <w:szCs w:val="18"/>
          <w:lang w:val="en-US"/>
        </w:rPr>
        <w:t xml:space="preserve"> F</w:t>
      </w:r>
      <w:r w:rsidRPr="00CF189D">
        <w:rPr>
          <w:rFonts w:ascii="Calibri" w:hAnsi="Calibri" w:cs="Calibri"/>
          <w:sz w:val="18"/>
          <w:szCs w:val="18"/>
          <w:lang w:val="en-US"/>
        </w:rPr>
        <w:t xml:space="preserve">, ‘The regions – too much power, too little effect’, </w:t>
      </w:r>
      <w:r w:rsidRPr="00CF189D">
        <w:rPr>
          <w:rFonts w:ascii="Calibri" w:hAnsi="Calibri" w:cs="Calibri"/>
          <w:i/>
          <w:iCs/>
          <w:sz w:val="18"/>
          <w:szCs w:val="18"/>
          <w:lang w:val="en-US"/>
        </w:rPr>
        <w:t xml:space="preserve">BMJ </w:t>
      </w:r>
      <w:r w:rsidRPr="00CF189D">
        <w:rPr>
          <w:rFonts w:ascii="Calibri" w:hAnsi="Calibri" w:cs="Calibri"/>
          <w:sz w:val="18"/>
          <w:szCs w:val="18"/>
          <w:lang w:val="en-US"/>
        </w:rPr>
        <w:t>309 (1994), 1566-1570</w:t>
      </w:r>
      <w:r w:rsidRPr="00546CBA">
        <w:rPr>
          <w:rFonts w:ascii="Calibri" w:hAnsi="Calibri" w:cs="Calibri"/>
          <w:sz w:val="18"/>
          <w:szCs w:val="18"/>
          <w:lang w:val="en-US"/>
        </w:rPr>
        <w:t>; Godlee</w:t>
      </w:r>
      <w:r>
        <w:rPr>
          <w:rFonts w:ascii="Calibri" w:hAnsi="Calibri" w:cs="Calibri"/>
          <w:sz w:val="18"/>
          <w:szCs w:val="18"/>
          <w:lang w:val="en-US"/>
        </w:rPr>
        <w:t xml:space="preserve"> F</w:t>
      </w:r>
      <w:r w:rsidRPr="00546CBA">
        <w:rPr>
          <w:rFonts w:ascii="Calibri" w:hAnsi="Calibri" w:cs="Calibri"/>
          <w:sz w:val="18"/>
          <w:szCs w:val="18"/>
          <w:lang w:val="en-US"/>
        </w:rPr>
        <w:t xml:space="preserve">, ‘The World Health Organisation in Africa’, </w:t>
      </w:r>
      <w:r w:rsidRPr="00681100">
        <w:rPr>
          <w:rFonts w:ascii="Calibri" w:hAnsi="Calibri" w:cs="Calibri"/>
          <w:i/>
          <w:iCs/>
          <w:sz w:val="18"/>
          <w:szCs w:val="18"/>
          <w:lang w:val="en-US"/>
        </w:rPr>
        <w:t xml:space="preserve">BMJ </w:t>
      </w:r>
      <w:r w:rsidRPr="00681100">
        <w:rPr>
          <w:rFonts w:ascii="Calibri" w:hAnsi="Calibri" w:cs="Calibri"/>
          <w:sz w:val="18"/>
          <w:szCs w:val="18"/>
          <w:lang w:val="en-US"/>
        </w:rPr>
        <w:t xml:space="preserve">309 (1994), </w:t>
      </w:r>
      <w:r w:rsidRPr="000045FB">
        <w:rPr>
          <w:rFonts w:ascii="Calibri" w:hAnsi="Calibri" w:cs="Calibri"/>
          <w:sz w:val="18"/>
          <w:szCs w:val="18"/>
          <w:lang w:val="en-US"/>
        </w:rPr>
        <w:t xml:space="preserve">553-554; </w:t>
      </w:r>
      <w:r>
        <w:rPr>
          <w:rFonts w:ascii="Calibri" w:hAnsi="Calibri" w:cs="Calibri"/>
          <w:sz w:val="18"/>
          <w:szCs w:val="18"/>
          <w:lang w:val="en-US"/>
        </w:rPr>
        <w:t>WHO</w:t>
      </w:r>
      <w:r w:rsidRPr="000045FB">
        <w:rPr>
          <w:rFonts w:ascii="Calibri" w:hAnsi="Calibri" w:cs="Calibri"/>
          <w:sz w:val="18"/>
          <w:szCs w:val="18"/>
          <w:lang w:val="en-US"/>
        </w:rPr>
        <w:t xml:space="preserve">, </w:t>
      </w:r>
      <w:r w:rsidRPr="000045FB">
        <w:rPr>
          <w:rFonts w:ascii="Calibri" w:hAnsi="Calibri" w:cs="Calibri"/>
          <w:i/>
          <w:iCs/>
          <w:sz w:val="18"/>
          <w:szCs w:val="18"/>
          <w:lang w:val="en-US"/>
        </w:rPr>
        <w:t xml:space="preserve">The fourth ten years of the World Health Organization, 1978-1987 </w:t>
      </w:r>
      <w:r w:rsidRPr="00581494">
        <w:rPr>
          <w:rFonts w:ascii="Calibri" w:hAnsi="Calibri" w:cs="Calibri"/>
          <w:sz w:val="18"/>
          <w:szCs w:val="18"/>
          <w:lang w:val="en-US"/>
        </w:rPr>
        <w:t>(Geneva: WHO, 2011), 1-2, 47.</w:t>
      </w:r>
    </w:p>
  </w:footnote>
  <w:footnote w:id="506">
    <w:p w14:paraId="0CABE393" w14:textId="0B075BA5"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1103301, ‘Request for supplementary budget 1987 Onchocerciasis Control Program</w:t>
      </w:r>
      <w:r w:rsidRPr="00681100">
        <w:rPr>
          <w:rFonts w:ascii="Calibri" w:hAnsi="Calibri" w:cs="Calibri"/>
          <w:color w:val="000000" w:themeColor="text1"/>
          <w:sz w:val="18"/>
          <w:szCs w:val="18"/>
        </w:rPr>
        <w:t>me’, [1987].</w:t>
      </w:r>
    </w:p>
  </w:footnote>
  <w:footnote w:id="507">
    <w:p w14:paraId="394631A7" w14:textId="6882CBF8"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For an overview of the Bank’s structural adjustment policies</w:t>
      </w:r>
      <w:r w:rsidRPr="00681100">
        <w:rPr>
          <w:rFonts w:ascii="Calibri" w:hAnsi="Calibri" w:cs="Calibri"/>
          <w:color w:val="000000" w:themeColor="text1"/>
          <w:sz w:val="18"/>
          <w:szCs w:val="18"/>
        </w:rPr>
        <w:t xml:space="preserve"> in 1980s Africa, see Ekwempu et al., ‘Structural adjustment and health in Africa’, </w:t>
      </w:r>
      <w:r w:rsidRPr="00681100">
        <w:rPr>
          <w:rFonts w:ascii="Calibri" w:hAnsi="Calibri" w:cs="Calibri"/>
          <w:i/>
          <w:color w:val="000000" w:themeColor="text1"/>
          <w:sz w:val="18"/>
          <w:szCs w:val="18"/>
        </w:rPr>
        <w:t xml:space="preserve">Lancet </w:t>
      </w:r>
      <w:r w:rsidRPr="000045FB">
        <w:rPr>
          <w:rFonts w:ascii="Calibri" w:hAnsi="Calibri" w:cs="Calibri"/>
          <w:color w:val="000000" w:themeColor="text1"/>
          <w:sz w:val="18"/>
          <w:szCs w:val="18"/>
        </w:rPr>
        <w:t>336:8703 (1990), 56-57.</w:t>
      </w:r>
    </w:p>
  </w:footnote>
  <w:footnote w:id="508">
    <w:p w14:paraId="4E35601F" w14:textId="77777777" w:rsidR="00CF189D" w:rsidRPr="00581494"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Based on </w:t>
      </w:r>
      <w:r w:rsidRPr="00681100">
        <w:rPr>
          <w:rFonts w:ascii="Calibri" w:hAnsi="Calibri" w:cs="Calibri"/>
          <w:color w:val="000000" w:themeColor="text1"/>
          <w:sz w:val="18"/>
          <w:szCs w:val="18"/>
          <w:lang w:eastAsia="en-GB"/>
        </w:rPr>
        <w:t xml:space="preserve">WBGA, 1300642, ‘Onchocerciasis control in the Volta Basin area cumulative statement of income and obligations’, 1982; WBGA, </w:t>
      </w:r>
      <w:r w:rsidRPr="000045FB">
        <w:rPr>
          <w:rFonts w:ascii="Calibri" w:hAnsi="Calibri" w:cs="Calibri"/>
          <w:color w:val="000000" w:themeColor="text1"/>
          <w:sz w:val="18"/>
          <w:szCs w:val="18"/>
          <w:lang w:eastAsia="en-GB"/>
        </w:rPr>
        <w:t>1082632, ‘OCP expenditures 1974-1985’, [1985]; WHOL, WHO OCP/74.1-81.2, ‘Plan of action and budget’, 1988; WBGA, 1428489, ‘OCP/91.1, Table 1, budget by programme activity’, 1991; WBGA, 1865309, ‘Table 2, budget by category of expenditure, draft copy, June 14’, 1993.</w:t>
      </w:r>
    </w:p>
  </w:footnote>
  <w:footnote w:id="509">
    <w:p w14:paraId="0E07E6D4" w14:textId="4A48F2BA"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Based on </w:t>
      </w:r>
      <w:r w:rsidRPr="00681100">
        <w:rPr>
          <w:rFonts w:ascii="Calibri" w:hAnsi="Calibri" w:cs="Calibri"/>
          <w:color w:val="000000" w:themeColor="text1"/>
          <w:sz w:val="18"/>
          <w:szCs w:val="18"/>
          <w:lang w:eastAsia="en-GB"/>
        </w:rPr>
        <w:t>WBGA, 1300642, ‘Onchocerciasis control in the Volta Basin area cumulative statement of income and obligations’, 1982; WBGA, 1082632, ‘OCP expenditures 1974-1985’, [1985]; WBGA, 1865309, ‘Table 2, budget by category of expenditure, dra</w:t>
      </w:r>
      <w:r w:rsidRPr="000045FB">
        <w:rPr>
          <w:rFonts w:ascii="Calibri" w:hAnsi="Calibri" w:cs="Calibri"/>
          <w:color w:val="000000" w:themeColor="text1"/>
          <w:sz w:val="18"/>
          <w:szCs w:val="18"/>
          <w:lang w:eastAsia="en-GB"/>
        </w:rPr>
        <w:t>ft copy, June 14’, 1993.</w:t>
      </w:r>
    </w:p>
  </w:footnote>
  <w:footnote w:id="510">
    <w:p w14:paraId="4D0C4EBD" w14:textId="3FEA901D"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Based on </w:t>
      </w:r>
      <w:r w:rsidRPr="00681100">
        <w:rPr>
          <w:rFonts w:ascii="Calibri" w:hAnsi="Calibri" w:cs="Calibri"/>
          <w:color w:val="000000" w:themeColor="text1"/>
          <w:sz w:val="18"/>
          <w:szCs w:val="18"/>
          <w:lang w:eastAsia="en-GB"/>
        </w:rPr>
        <w:t>WBGA, 1300642, ‘Onchocerciasis control in the Volta Basin area cumulative statement of income and obligations’, 1982; WBGA, 1082632, ‘OCP expenditures 1974-1985’, [1985]; WHOL, WHO OCP/74.1-81.2, ‘Plan of action and budg</w:t>
      </w:r>
      <w:r w:rsidRPr="000045FB">
        <w:rPr>
          <w:rFonts w:ascii="Calibri" w:hAnsi="Calibri" w:cs="Calibri"/>
          <w:color w:val="000000" w:themeColor="text1"/>
          <w:sz w:val="18"/>
          <w:szCs w:val="18"/>
          <w:lang w:eastAsia="en-GB"/>
        </w:rPr>
        <w:t>et’, 1988; WBGA, 1428489, ‘OCP/91.1, Table 1, budget by programme activity’, 1991.</w:t>
      </w:r>
    </w:p>
  </w:footnote>
  <w:footnote w:id="511">
    <w:p w14:paraId="71D095DC" w14:textId="471E07AE"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Figure 7 (30.4 percent in Phase I, 33.3 percent in Phase II, and 37.2 percent in Phase III).</w:t>
      </w:r>
    </w:p>
  </w:footnote>
  <w:footnote w:id="512">
    <w:p w14:paraId="6A120C62" w14:textId="2B9006EE" w:rsidR="00CF189D" w:rsidRPr="000045FB" w:rsidRDefault="00CF189D" w:rsidP="00B86D8C">
      <w:pPr>
        <w:rPr>
          <w:rFonts w:ascii="Calibri" w:hAnsi="Calibri" w:cs="Calibri"/>
          <w:color w:val="000000" w:themeColor="text1"/>
          <w:sz w:val="18"/>
          <w:szCs w:val="18"/>
          <w:lang w:eastAsia="en-GB"/>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681100">
        <w:rPr>
          <w:rFonts w:ascii="Calibri" w:hAnsi="Calibri" w:cs="Calibri"/>
          <w:color w:val="000000" w:themeColor="text1"/>
          <w:sz w:val="18"/>
          <w:szCs w:val="18"/>
          <w:lang w:eastAsia="en-GB"/>
        </w:rPr>
        <w:t>WHOL, WHO OCP/74.1-81.2, ‘Plan of action and budget for 1988’, 1988.</w:t>
      </w:r>
    </w:p>
  </w:footnote>
  <w:footnote w:id="513">
    <w:p w14:paraId="5172085B" w14:textId="2ED725FB"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809925, Attn. Bruce Benton, ‘Regional meeting of national onchocerciasis committees, Bamako, June 3-5’, 6 June 1987. See also WBGA, 1082632, Stephen Denning to Wilfried Thalwitz, ‘On</w:t>
      </w:r>
      <w:r w:rsidRPr="00681100">
        <w:rPr>
          <w:rFonts w:ascii="Calibri" w:hAnsi="Calibri" w:cs="Calibri"/>
          <w:color w:val="000000" w:themeColor="text1"/>
          <w:sz w:val="18"/>
          <w:szCs w:val="18"/>
        </w:rPr>
        <w:t>chocerciasis Control Program: meetings with donors’, 18 October 1978; WBGA, 30303429, E. Schoo to Ernest Stern, [April 1983].</w:t>
      </w:r>
    </w:p>
  </w:footnote>
  <w:footnote w:id="514">
    <w:p w14:paraId="1EB77576" w14:textId="49799528"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1300674, ‘Briefing: OCP donors’ seminar’, 1985.</w:t>
      </w:r>
    </w:p>
  </w:footnote>
  <w:footnote w:id="515">
    <w:p w14:paraId="756D3CA9" w14:textId="273A9FC8"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footnoteRef/>
      </w:r>
      <w:r w:rsidRPr="00CF189D">
        <w:rPr>
          <w:rFonts w:ascii="Calibri" w:hAnsi="Calibri" w:cs="Calibri"/>
          <w:sz w:val="18"/>
          <w:szCs w:val="18"/>
        </w:rPr>
        <w:t xml:space="preserve"> </w:t>
      </w:r>
      <w:r w:rsidRPr="00546CBA">
        <w:rPr>
          <w:rFonts w:ascii="Calibri" w:hAnsi="Calibri" w:cs="Calibri"/>
          <w:sz w:val="18"/>
          <w:szCs w:val="18"/>
        </w:rPr>
        <w:t xml:space="preserve">Thiesen JK, ‘A study of the effects of structural adjustment on education and health in Africa’, in GW Shepard and KNM Sonoko (Eds.), </w:t>
      </w:r>
      <w:r w:rsidRPr="00681100">
        <w:rPr>
          <w:rFonts w:ascii="Calibri" w:hAnsi="Calibri" w:cs="Calibri"/>
          <w:i/>
          <w:iCs/>
          <w:sz w:val="18"/>
          <w:szCs w:val="18"/>
        </w:rPr>
        <w:t xml:space="preserve">Economic justice in Africa – adjustment and sustainable development </w:t>
      </w:r>
      <w:r w:rsidRPr="000045FB">
        <w:rPr>
          <w:rFonts w:ascii="Calibri" w:hAnsi="Calibri" w:cs="Calibri"/>
          <w:sz w:val="18"/>
          <w:szCs w:val="18"/>
        </w:rPr>
        <w:t>(Westport: Greenwood Press, 1994).</w:t>
      </w:r>
    </w:p>
  </w:footnote>
  <w:footnote w:id="516">
    <w:p w14:paraId="7F21E0A4" w14:textId="6F1C32BE"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1300662, ‘Onchocerciasis, the economics of the eradication program’, [1974]. </w:t>
      </w:r>
    </w:p>
  </w:footnote>
  <w:footnote w:id="517">
    <w:p w14:paraId="51B3FD4C" w14:textId="7B41C72D" w:rsidR="00CF189D" w:rsidRPr="00581494"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FAO</w:t>
      </w:r>
      <w:r w:rsidRPr="00681100">
        <w:rPr>
          <w:rFonts w:ascii="Calibri" w:hAnsi="Calibri" w:cs="Calibri"/>
          <w:color w:val="000000" w:themeColor="text1"/>
          <w:sz w:val="18"/>
          <w:szCs w:val="18"/>
        </w:rPr>
        <w:t>A, 10-AGS-239, November 1979-January 1980, ‘Back-to-office report, 28</w:t>
      </w:r>
      <w:r w:rsidRPr="00681100">
        <w:rPr>
          <w:rFonts w:ascii="Calibri" w:hAnsi="Calibri" w:cs="Calibri"/>
          <w:color w:val="000000" w:themeColor="text1"/>
          <w:sz w:val="18"/>
          <w:szCs w:val="18"/>
          <w:vertAlign w:val="superscript"/>
        </w:rPr>
        <w:t>th</w:t>
      </w:r>
      <w:r w:rsidRPr="000045FB">
        <w:rPr>
          <w:rFonts w:ascii="Calibri" w:hAnsi="Calibri" w:cs="Calibri"/>
          <w:color w:val="000000" w:themeColor="text1"/>
          <w:sz w:val="18"/>
          <w:szCs w:val="18"/>
        </w:rPr>
        <w:t xml:space="preserve"> Steering Committee, 6</w:t>
      </w:r>
      <w:r w:rsidRPr="000045FB">
        <w:rPr>
          <w:rFonts w:ascii="Calibri" w:hAnsi="Calibri" w:cs="Calibri"/>
          <w:color w:val="000000" w:themeColor="text1"/>
          <w:sz w:val="18"/>
          <w:szCs w:val="18"/>
          <w:vertAlign w:val="superscript"/>
        </w:rPr>
        <w:t>th</w:t>
      </w:r>
      <w:r w:rsidRPr="000045FB">
        <w:rPr>
          <w:rFonts w:ascii="Calibri" w:hAnsi="Calibri" w:cs="Calibri"/>
          <w:color w:val="000000" w:themeColor="text1"/>
          <w:sz w:val="18"/>
          <w:szCs w:val="18"/>
        </w:rPr>
        <w:t xml:space="preserve"> JCC’, 1980. </w:t>
      </w:r>
    </w:p>
  </w:footnote>
  <w:footnote w:id="518">
    <w:p w14:paraId="0109210F" w14:textId="4879C202"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Interview with J.P. Dailly, 8 July 2018.</w:t>
      </w:r>
    </w:p>
  </w:footnote>
  <w:footnote w:id="519">
    <w:p w14:paraId="5645E4C2" w14:textId="3967877B"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108263</w:t>
      </w:r>
      <w:r w:rsidRPr="00681100">
        <w:rPr>
          <w:rFonts w:ascii="Calibri" w:hAnsi="Calibri" w:cs="Calibri"/>
          <w:color w:val="000000" w:themeColor="text1"/>
          <w:sz w:val="18"/>
          <w:szCs w:val="18"/>
        </w:rPr>
        <w:t>2, Stephen Denning to Wilfried Thalwwitz, ‘Onchocerciasis Control Program: meetings with donors’, 18 October 1978; WBGA, 30303429, E. Schoo to Ernest Stern, [April 1983].</w:t>
      </w:r>
    </w:p>
  </w:footnote>
  <w:footnote w:id="520">
    <w:p w14:paraId="5265DC0A" w14:textId="79EC55FC"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1082632, J. Burke Knapp to Roger Chaufournier, 14 March 1978.</w:t>
      </w:r>
    </w:p>
  </w:footnote>
  <w:footnote w:id="521">
    <w:p w14:paraId="28B750B6" w14:textId="6B89E1A8"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D65210,</w:t>
      </w:r>
      <w:r w:rsidRPr="00681100">
        <w:rPr>
          <w:rFonts w:ascii="Calibri" w:hAnsi="Calibri" w:cs="Calibri"/>
          <w:color w:val="000000" w:themeColor="text1"/>
          <w:sz w:val="18"/>
          <w:szCs w:val="18"/>
        </w:rPr>
        <w:t xml:space="preserve"> ‘Proposed revision of OCP contributions to the MACROFIL chemotherapy project, 1992-1997’, [1992].</w:t>
      </w:r>
    </w:p>
  </w:footnote>
  <w:footnote w:id="522">
    <w:p w14:paraId="1BA0313C" w14:textId="441BC064"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Transcript of an interview with Bruce Benton</w:t>
      </w:r>
      <w:r w:rsidRPr="00681100">
        <w:rPr>
          <w:rFonts w:ascii="Calibri" w:hAnsi="Calibri" w:cs="Calibri"/>
          <w:color w:val="000000" w:themeColor="text1"/>
          <w:sz w:val="18"/>
          <w:szCs w:val="18"/>
        </w:rPr>
        <w:t xml:space="preserve"> (2006), 117.</w:t>
      </w:r>
    </w:p>
  </w:footnote>
  <w:footnote w:id="523">
    <w:p w14:paraId="6B8D797A" w14:textId="58F4E53D"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for example, Samba EM, </w:t>
      </w:r>
      <w:r w:rsidRPr="00681100">
        <w:rPr>
          <w:rFonts w:ascii="Calibri" w:hAnsi="Calibri" w:cs="Calibri"/>
          <w:i/>
          <w:color w:val="000000" w:themeColor="text1"/>
          <w:sz w:val="18"/>
          <w:szCs w:val="18"/>
        </w:rPr>
        <w:t xml:space="preserve">The Onchocerciasis Control Programme in West Africa: an example of effective public health management </w:t>
      </w:r>
      <w:r w:rsidRPr="00681100">
        <w:rPr>
          <w:rFonts w:ascii="Calibri" w:hAnsi="Calibri" w:cs="Calibri"/>
          <w:color w:val="000000" w:themeColor="text1"/>
          <w:sz w:val="18"/>
          <w:szCs w:val="18"/>
        </w:rPr>
        <w:t>(Geneva: WHO, 1994), especially 35-36, 59-6</w:t>
      </w:r>
      <w:r w:rsidRPr="000045FB">
        <w:rPr>
          <w:rFonts w:ascii="Calibri" w:hAnsi="Calibri" w:cs="Calibri"/>
          <w:color w:val="000000" w:themeColor="text1"/>
          <w:sz w:val="18"/>
          <w:szCs w:val="18"/>
        </w:rPr>
        <w:t>0.</w:t>
      </w:r>
    </w:p>
  </w:footnote>
  <w:footnote w:id="524">
    <w:p w14:paraId="5F76BF8B" w14:textId="2A51C72C" w:rsidR="00CF189D" w:rsidRPr="00CF189D" w:rsidRDefault="00CF189D" w:rsidP="00DD4818">
      <w:pPr>
        <w:pStyle w:val="Footnotes"/>
        <w:rPr>
          <w:rFonts w:ascii="Calibri" w:hAnsi="Calibri" w:cs="Calibri"/>
          <w:sz w:val="18"/>
          <w:szCs w:val="18"/>
        </w:rPr>
      </w:pPr>
      <w:r w:rsidRPr="000045FB">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See WBGA, 1300674, ‘Draft opening statement for donors meeting’, 14 October 1987; WBGA, 1300674, ‘Opening statement/donor seminar’, 14 October 1985.</w:t>
      </w:r>
    </w:p>
  </w:footnote>
  <w:footnote w:id="525">
    <w:p w14:paraId="2D7A1D61" w14:textId="6E1B2931" w:rsidR="00CF189D" w:rsidRPr="00CF189D" w:rsidRDefault="00CF189D" w:rsidP="00DD4818">
      <w:pPr>
        <w:pStyle w:val="Footnotes"/>
        <w:rPr>
          <w:rFonts w:ascii="Calibri" w:hAnsi="Calibri" w:cs="Calibri"/>
          <w:sz w:val="18"/>
          <w:szCs w:val="18"/>
          <w:lang w:eastAsia="en-GB"/>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All graphs are based on data collected from the Bank archives, and data was variously recorded by cash contribution and allocation. Phases I-III are based on actual budgetary reporting combined for all years. Due to the absence of available donor data, Phase IV is based on Bank estimates. See footnote 76 for a list of specific records used. </w:t>
      </w:r>
    </w:p>
  </w:footnote>
  <w:footnote w:id="526">
    <w:p w14:paraId="033B15BC" w14:textId="0E62B34B"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1082632, E. Peter Wright to Robert McNamara, ‘Paris meeting on riverblindness’, 2 July 1974.</w:t>
      </w:r>
    </w:p>
  </w:footnote>
  <w:footnote w:id="527">
    <w:p w14:paraId="0CBD8C04" w14:textId="074DE501" w:rsidR="00CF189D" w:rsidRPr="00CF189D" w:rsidRDefault="00CF189D" w:rsidP="00DD4818">
      <w:pPr>
        <w:pStyle w:val="Footnotes"/>
        <w:rPr>
          <w:rFonts w:ascii="Calibri" w:hAnsi="Calibri" w:cs="Calibri"/>
          <w:sz w:val="18"/>
          <w:szCs w:val="18"/>
          <w:lang w:val="en-GB"/>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‘Other’ donors include: Austria, Finland, Ireland, Korea, Luxembourg, New Zealand, Portugal, Spain, and Switzerland. Based on OECD, </w:t>
      </w:r>
      <w:r w:rsidRPr="00CF189D">
        <w:rPr>
          <w:rFonts w:ascii="Calibri" w:hAnsi="Calibri" w:cs="Calibri"/>
          <w:i/>
          <w:sz w:val="18"/>
          <w:szCs w:val="18"/>
        </w:rPr>
        <w:t>Development co-operation report 2011: 50</w:t>
      </w:r>
      <w:r w:rsidRPr="00CF189D">
        <w:rPr>
          <w:rFonts w:ascii="Calibri" w:hAnsi="Calibri" w:cs="Calibri"/>
          <w:i/>
          <w:sz w:val="18"/>
          <w:szCs w:val="18"/>
          <w:vertAlign w:val="superscript"/>
        </w:rPr>
        <w:t>th</w:t>
      </w:r>
      <w:r w:rsidRPr="00CF189D">
        <w:rPr>
          <w:rFonts w:ascii="Calibri" w:hAnsi="Calibri" w:cs="Calibri"/>
          <w:i/>
          <w:sz w:val="18"/>
          <w:szCs w:val="18"/>
        </w:rPr>
        <w:t xml:space="preserve"> anniversary edition</w:t>
      </w:r>
      <w:r w:rsidRPr="00CF189D">
        <w:rPr>
          <w:rFonts w:ascii="Calibri" w:hAnsi="Calibri" w:cs="Calibri"/>
          <w:sz w:val="18"/>
          <w:szCs w:val="18"/>
        </w:rPr>
        <w:t xml:space="preserve"> (Paris: OECD Publishing, 2011), Annex B, Table B.2.</w:t>
      </w:r>
    </w:p>
  </w:footnote>
  <w:footnote w:id="528">
    <w:p w14:paraId="5EB12A34" w14:textId="06A1BADC"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See World Bank, </w:t>
      </w:r>
      <w:r w:rsidRPr="00CF189D">
        <w:rPr>
          <w:rFonts w:ascii="Calibri" w:hAnsi="Calibri" w:cs="Calibri"/>
          <w:i/>
          <w:sz w:val="18"/>
          <w:szCs w:val="18"/>
        </w:rPr>
        <w:t xml:space="preserve">A successful public-private partnership model </w:t>
      </w:r>
      <w:r w:rsidRPr="00CF189D">
        <w:rPr>
          <w:rFonts w:ascii="Calibri" w:hAnsi="Calibri" w:cs="Calibri"/>
          <w:sz w:val="18"/>
          <w:szCs w:val="18"/>
        </w:rPr>
        <w:t>(Washington DC: World Bank, 2014).</w:t>
      </w:r>
    </w:p>
  </w:footnote>
  <w:footnote w:id="529">
    <w:p w14:paraId="4DACF8ED" w14:textId="43A0BB20"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30137065, David Knox to Ernest Stern, ‘Bank’s strategy for the river</w:t>
      </w:r>
      <w:r w:rsidRPr="00681100">
        <w:rPr>
          <w:rFonts w:ascii="Calibri" w:hAnsi="Calibri" w:cs="Calibri"/>
          <w:color w:val="000000" w:themeColor="text1"/>
          <w:sz w:val="18"/>
          <w:szCs w:val="18"/>
        </w:rPr>
        <w:t xml:space="preserve">blindness program’, 1 December 1982. Donors also requested that the Bank identify sources of innovative financing (see WBGA, 30137065, J.P. Dailly and Helene Putz to Oncho Steering Group, ‘Back-to-office report donors’ seminar - Paris’, 23 November 1982). </w:t>
      </w:r>
    </w:p>
  </w:footnote>
  <w:footnote w:id="530">
    <w:p w14:paraId="7FD68A2A" w14:textId="2B0B1FBA"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FAOA, 10-AGD-405, ‘Committee of Sponsoring Agencies report of the nineteenth meeting, Geneva, 25-27 June 1984, Draft’, 1984.</w:t>
      </w:r>
    </w:p>
  </w:footnote>
  <w:footnote w:id="531">
    <w:p w14:paraId="647F66F1" w14:textId="2AF90345"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30137065, David Kno</w:t>
      </w:r>
      <w:r w:rsidRPr="00681100">
        <w:rPr>
          <w:rFonts w:ascii="Calibri" w:hAnsi="Calibri" w:cs="Calibri"/>
          <w:color w:val="000000" w:themeColor="text1"/>
          <w:sz w:val="18"/>
          <w:szCs w:val="18"/>
        </w:rPr>
        <w:t>x to Ernest Stern, ‘Bank’s strategy for the riverblindness program’, 1 December 1982.</w:t>
      </w:r>
    </w:p>
  </w:footnote>
  <w:footnote w:id="532">
    <w:p w14:paraId="069D04CB" w14:textId="55564ACF"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1633229</w:t>
      </w:r>
      <w:r w:rsidRPr="00681100">
        <w:rPr>
          <w:rFonts w:ascii="Calibri" w:hAnsi="Calibri" w:cs="Calibri"/>
          <w:color w:val="000000" w:themeColor="text1"/>
          <w:sz w:val="18"/>
          <w:szCs w:val="18"/>
        </w:rPr>
        <w:t>, A.W. Clausen to Halfdan Mahler, 25 June 1984.</w:t>
      </w:r>
    </w:p>
  </w:footnote>
  <w:footnote w:id="533">
    <w:p w14:paraId="50CDA009" w14:textId="6519E75F"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In 1987, these fees amounted to a minimum of 2 percent of the contribution amount, and  an annual fee of </w:t>
      </w:r>
      <w:r w:rsidRPr="00681100">
        <w:rPr>
          <w:rFonts w:ascii="Calibri" w:hAnsi="Calibri" w:cs="Calibri"/>
          <w:color w:val="000000" w:themeColor="text1"/>
          <w:sz w:val="18"/>
          <w:szCs w:val="18"/>
        </w:rPr>
        <w:t>approximately $2,000. WBGA, 30348068, Bruce Benton to Files, ‘Donor discussions with Switzerland and Germany (FRG), July 27-28 1987’, 1987.</w:t>
      </w:r>
    </w:p>
  </w:footnote>
  <w:footnote w:id="534">
    <w:p w14:paraId="7B814D43" w14:textId="3235C065"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1300642, ‘General overview of financial arrangements’, [1982].</w:t>
      </w:r>
    </w:p>
  </w:footnote>
  <w:footnote w:id="535">
    <w:p w14:paraId="2A7DF4EF" w14:textId="024474F9"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WBGA, 1865706, ‘CSA general 1985-89, ai</w:t>
      </w:r>
      <w:r w:rsidRPr="00681100">
        <w:rPr>
          <w:rFonts w:ascii="Calibri" w:hAnsi="Calibri" w:cs="Calibri"/>
          <w:color w:val="000000" w:themeColor="text1"/>
          <w:sz w:val="18"/>
          <w:szCs w:val="18"/>
        </w:rPr>
        <w:t xml:space="preserve">de memoire, UN 17/16, strictly confidential’, 26 October 1987; World Bank, </w:t>
      </w:r>
      <w:r w:rsidRPr="00681100">
        <w:rPr>
          <w:rFonts w:ascii="Calibri" w:hAnsi="Calibri" w:cs="Calibri"/>
          <w:i/>
          <w:color w:val="000000" w:themeColor="text1"/>
          <w:sz w:val="18"/>
          <w:szCs w:val="18"/>
        </w:rPr>
        <w:t>Transcript of an interview</w:t>
      </w:r>
      <w:r w:rsidRPr="000045FB">
        <w:rPr>
          <w:rFonts w:ascii="Calibri" w:hAnsi="Calibri" w:cs="Calibri"/>
          <w:i/>
          <w:color w:val="000000" w:themeColor="text1"/>
          <w:sz w:val="18"/>
          <w:szCs w:val="18"/>
        </w:rPr>
        <w:t xml:space="preserve"> with Bruce Benton</w:t>
      </w:r>
      <w:r w:rsidRPr="000045FB">
        <w:rPr>
          <w:rFonts w:ascii="Calibri" w:hAnsi="Calibri" w:cs="Calibri"/>
          <w:color w:val="000000" w:themeColor="text1"/>
          <w:sz w:val="18"/>
          <w:szCs w:val="18"/>
        </w:rPr>
        <w:t xml:space="preserve"> (2006), 104.</w:t>
      </w:r>
    </w:p>
  </w:footnote>
  <w:footnote w:id="536">
    <w:p w14:paraId="3D2A3663" w14:textId="084F4918"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FAOA, 10-AGS-240, July-October 1980, ‘Back-to-office report, 28</w:t>
      </w:r>
      <w:r w:rsidRPr="00681100">
        <w:rPr>
          <w:rFonts w:ascii="Calibri" w:hAnsi="Calibri" w:cs="Calibri"/>
          <w:color w:val="000000" w:themeColor="text1"/>
          <w:sz w:val="18"/>
          <w:szCs w:val="18"/>
          <w:vertAlign w:val="superscript"/>
        </w:rPr>
        <w:t>th</w:t>
      </w:r>
      <w:r w:rsidRPr="00681100">
        <w:rPr>
          <w:rFonts w:ascii="Calibri" w:hAnsi="Calibri" w:cs="Calibri"/>
          <w:color w:val="000000" w:themeColor="text1"/>
          <w:sz w:val="18"/>
          <w:szCs w:val="18"/>
        </w:rPr>
        <w:t xml:space="preserve"> Steering Committee, 6</w:t>
      </w:r>
      <w:r w:rsidRPr="000045FB">
        <w:rPr>
          <w:rFonts w:ascii="Calibri" w:hAnsi="Calibri" w:cs="Calibri"/>
          <w:color w:val="000000" w:themeColor="text1"/>
          <w:sz w:val="18"/>
          <w:szCs w:val="18"/>
          <w:vertAlign w:val="superscript"/>
        </w:rPr>
        <w:t>th</w:t>
      </w:r>
      <w:r w:rsidRPr="000045FB">
        <w:rPr>
          <w:rFonts w:ascii="Calibri" w:hAnsi="Calibri" w:cs="Calibri"/>
          <w:color w:val="000000" w:themeColor="text1"/>
          <w:sz w:val="18"/>
          <w:szCs w:val="18"/>
        </w:rPr>
        <w:t xml:space="preserve"> JCC’, 1980, Annex I.</w:t>
      </w:r>
    </w:p>
  </w:footnote>
  <w:footnote w:id="537">
    <w:p w14:paraId="17754B56" w14:textId="4628CE59"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w:t>
      </w:r>
      <w:r w:rsidRPr="00681100">
        <w:rPr>
          <w:rFonts w:ascii="Calibri" w:hAnsi="Calibri" w:cs="Calibri"/>
          <w:color w:val="000000" w:themeColor="text1"/>
          <w:sz w:val="18"/>
          <w:szCs w:val="18"/>
        </w:rPr>
        <w:t xml:space="preserve">303429, J.P. Dailly to Jorge Duarte, ‘Onchocerciasis trust fund’, 14 July 1985. </w:t>
      </w:r>
    </w:p>
  </w:footnote>
  <w:footnote w:id="538">
    <w:p w14:paraId="09D7CDC7" w14:textId="2E6D5786"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The UNDP financed </w:t>
      </w:r>
      <w:r w:rsidRPr="00681100">
        <w:rPr>
          <w:rFonts w:ascii="Calibri" w:hAnsi="Calibri" w:cs="Calibri"/>
          <w:color w:val="000000" w:themeColor="text1"/>
          <w:sz w:val="18"/>
          <w:szCs w:val="18"/>
        </w:rPr>
        <w:t xml:space="preserve">chemotherapy research/training under a separate agreement to the Onchocerciasis Fund. It also periodically gave grants to support specific OCP research and training items, such as providing National Onchocerciasis Committees with $500,000 each for initial </w:t>
      </w:r>
      <w:r w:rsidRPr="000045FB">
        <w:rPr>
          <w:rFonts w:ascii="Calibri" w:hAnsi="Calibri" w:cs="Calibri"/>
          <w:color w:val="000000" w:themeColor="text1"/>
          <w:sz w:val="18"/>
          <w:szCs w:val="18"/>
        </w:rPr>
        <w:t>aerial survey and planning missions. See WBGA, 1082632, Robert McNamara, ‘From the president: grants for control of onchocerciasis in West Africa’, 12 November 1976; WBGA, 1300662, C.H. Bonte-Friedheim to R.W. Phillips, [1975].</w:t>
      </w:r>
    </w:p>
  </w:footnote>
  <w:footnote w:id="539">
    <w:p w14:paraId="36FE133A" w14:textId="47831D26"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1082632, Robert McNa</w:t>
      </w:r>
      <w:r w:rsidRPr="00681100">
        <w:rPr>
          <w:rFonts w:ascii="Calibri" w:hAnsi="Calibri" w:cs="Calibri"/>
          <w:color w:val="000000" w:themeColor="text1"/>
          <w:sz w:val="18"/>
          <w:szCs w:val="18"/>
        </w:rPr>
        <w:t>mara to Executive Directors, ‘Allocation of FY76 IBRD net income’, 5 July 1976.</w:t>
      </w:r>
    </w:p>
  </w:footnote>
  <w:footnote w:id="540">
    <w:p w14:paraId="0F6AF2B4" w14:textId="5616FC17"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1300642, A. David Knox to Ernest Stern, ‘Bank’s strategy for the ri</w:t>
      </w:r>
      <w:r w:rsidRPr="00681100">
        <w:rPr>
          <w:rFonts w:ascii="Calibri" w:hAnsi="Calibri" w:cs="Calibri"/>
          <w:color w:val="000000" w:themeColor="text1"/>
          <w:sz w:val="18"/>
          <w:szCs w:val="18"/>
        </w:rPr>
        <w:t>verblindness program’, 1 December 1982.</w:t>
      </w:r>
    </w:p>
  </w:footnote>
  <w:footnote w:id="541">
    <w:p w14:paraId="7B5127DB" w14:textId="4B79CAF5"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Group Historian’s Office Oral History Program, </w:t>
      </w:r>
      <w:r w:rsidRPr="00681100">
        <w:rPr>
          <w:rFonts w:ascii="Calibri" w:hAnsi="Calibri" w:cs="Calibri"/>
          <w:i/>
          <w:color w:val="000000" w:themeColor="text1"/>
          <w:sz w:val="18"/>
          <w:szCs w:val="18"/>
        </w:rPr>
        <w:t xml:space="preserve">Transcript of interview with Edward V.K. Jaycox </w:t>
      </w:r>
      <w:r w:rsidRPr="000045FB">
        <w:rPr>
          <w:rFonts w:ascii="Calibri" w:hAnsi="Calibri" w:cs="Calibri"/>
          <w:color w:val="000000" w:themeColor="text1"/>
          <w:sz w:val="18"/>
          <w:szCs w:val="18"/>
        </w:rPr>
        <w:t>(Washington DC: World Bank, 1995), 47.</w:t>
      </w:r>
    </w:p>
  </w:footnote>
  <w:footnote w:id="542">
    <w:p w14:paraId="1E462BEE" w14:textId="6DDA0E6F"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1865310, David de Ferranti to Distribution, ‘Review of Special Grants Programs for Population, Health and Nutrition’, 30 January 1996.</w:t>
      </w:r>
    </w:p>
  </w:footnote>
  <w:footnote w:id="543">
    <w:p w14:paraId="05100DB9" w14:textId="1D9A4E14"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for instance, WBGA, </w:t>
      </w:r>
      <w:r w:rsidRPr="00681100">
        <w:rPr>
          <w:rFonts w:ascii="Calibri" w:hAnsi="Calibri" w:cs="Calibri"/>
          <w:color w:val="000000" w:themeColor="text1"/>
          <w:sz w:val="18"/>
          <w:szCs w:val="18"/>
        </w:rPr>
        <w:t xml:space="preserve">1865310, ‘OCP business plan 1995-1996-1998’, 1994; WBGA, 1865310, Bruce Benton to Tom Merrick, ‘Comments on draft review of PHN SGPs - administration support and the riverblindness (oncho) programs’, 14 March 1996. </w:t>
      </w:r>
    </w:p>
  </w:footnote>
  <w:footnote w:id="544">
    <w:p w14:paraId="53EB37E4" w14:textId="4D81F129"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1865310, Katherine Marshall to M</w:t>
      </w:r>
      <w:r w:rsidRPr="00681100">
        <w:rPr>
          <w:rFonts w:ascii="Calibri" w:hAnsi="Calibri" w:cs="Calibri"/>
          <w:color w:val="000000" w:themeColor="text1"/>
          <w:sz w:val="18"/>
          <w:szCs w:val="18"/>
        </w:rPr>
        <w:t>yla Williams, ‘Rationale for continued funding of administrative costs for the Bank’s riverblindness (onchocerciasis) unit from the SGP budget, and business plan for OCP, FY95-97’, 29 March 1994.</w:t>
      </w:r>
    </w:p>
  </w:footnote>
  <w:footnote w:id="545">
    <w:p w14:paraId="01CBFCD3" w14:textId="0CA8C33C"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1865310, Bruce Benton to Tom Merrick, ‘Comments on d</w:t>
      </w:r>
      <w:r w:rsidRPr="00681100">
        <w:rPr>
          <w:rFonts w:ascii="Calibri" w:hAnsi="Calibri" w:cs="Calibri"/>
          <w:color w:val="000000" w:themeColor="text1"/>
          <w:sz w:val="18"/>
          <w:szCs w:val="18"/>
        </w:rPr>
        <w:t>raft review of PHN SGPs - administration support and the riverblindness (oncho) programs’, 14 March 1996.</w:t>
      </w:r>
    </w:p>
  </w:footnote>
  <w:footnote w:id="546">
    <w:p w14:paraId="09AED9B6" w14:textId="44060E24"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WBGA, 1865310, ‘Special Grants Program, approved FY97 grants - sponsored by afr’, [1996].</w:t>
      </w:r>
    </w:p>
  </w:footnote>
  <w:footnote w:id="547">
    <w:p w14:paraId="13E2D14C" w14:textId="7BDB30F1"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1865310, Myla T. Williams to Jean-Louis Sarbib</w:t>
      </w:r>
      <w:r w:rsidRPr="00681100">
        <w:rPr>
          <w:rFonts w:ascii="Calibri" w:hAnsi="Calibri" w:cs="Calibri"/>
          <w:color w:val="000000" w:themeColor="text1"/>
          <w:sz w:val="18"/>
          <w:szCs w:val="18"/>
        </w:rPr>
        <w:t>, ‘AF5’s FY96-98 Special Grants Proposals’, 20 June 1995.</w:t>
      </w:r>
    </w:p>
  </w:footnote>
  <w:footnote w:id="548">
    <w:p w14:paraId="7F84013A" w14:textId="573C7E9B" w:rsidR="00CF189D" w:rsidRPr="00581494"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World Bank, </w:t>
      </w:r>
      <w:r w:rsidRPr="00681100">
        <w:rPr>
          <w:rFonts w:ascii="Calibri" w:hAnsi="Calibri" w:cs="Calibri"/>
          <w:i/>
          <w:color w:val="000000" w:themeColor="text1"/>
          <w:sz w:val="18"/>
          <w:szCs w:val="18"/>
        </w:rPr>
        <w:t xml:space="preserve">The Development Grant Facility (DGF) - FY01 DGF annual review and FY02 budget </w:t>
      </w:r>
      <w:r w:rsidRPr="000045FB">
        <w:rPr>
          <w:rFonts w:ascii="Calibri" w:hAnsi="Calibri" w:cs="Calibri"/>
          <w:color w:val="000000" w:themeColor="text1"/>
          <w:sz w:val="18"/>
          <w:szCs w:val="18"/>
        </w:rPr>
        <w:t xml:space="preserve">(Washington DC: World Bank, 2001); Independent Evaluation Group, </w:t>
      </w:r>
      <w:r w:rsidRPr="000045FB">
        <w:rPr>
          <w:rFonts w:ascii="Calibri" w:hAnsi="Calibri" w:cs="Calibri"/>
          <w:i/>
          <w:color w:val="000000" w:themeColor="text1"/>
          <w:sz w:val="18"/>
          <w:szCs w:val="18"/>
        </w:rPr>
        <w:t xml:space="preserve">An evaluation </w:t>
      </w:r>
      <w:r w:rsidRPr="000045FB">
        <w:rPr>
          <w:rFonts w:ascii="Calibri" w:hAnsi="Calibri" w:cs="Calibri"/>
          <w:color w:val="000000" w:themeColor="text1"/>
          <w:sz w:val="18"/>
          <w:szCs w:val="18"/>
        </w:rPr>
        <w:t>(2011).</w:t>
      </w:r>
    </w:p>
  </w:footnote>
  <w:footnote w:id="549">
    <w:p w14:paraId="062FFA9C" w14:textId="00044DCF"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Winters a</w:t>
      </w:r>
      <w:r w:rsidRPr="00681100">
        <w:rPr>
          <w:rFonts w:ascii="Calibri" w:hAnsi="Calibri" w:cs="Calibri"/>
          <w:color w:val="000000" w:themeColor="text1"/>
          <w:sz w:val="18"/>
          <w:szCs w:val="18"/>
        </w:rPr>
        <w:t xml:space="preserve">nd Sridhar, ‘Earmarking’ (2017); Ramalingam S, </w:t>
      </w:r>
      <w:r w:rsidRPr="00681100">
        <w:rPr>
          <w:rFonts w:ascii="Calibri" w:hAnsi="Calibri" w:cs="Calibri"/>
          <w:i/>
          <w:color w:val="000000" w:themeColor="text1"/>
          <w:sz w:val="18"/>
          <w:szCs w:val="18"/>
        </w:rPr>
        <w:t xml:space="preserve">Trust fund reform 2018 - spring meeting </w:t>
      </w:r>
      <w:r w:rsidRPr="000045FB">
        <w:rPr>
          <w:rFonts w:ascii="Calibri" w:hAnsi="Calibri" w:cs="Calibri"/>
          <w:i/>
          <w:color w:val="000000" w:themeColor="text1"/>
          <w:sz w:val="18"/>
          <w:szCs w:val="18"/>
        </w:rPr>
        <w:t xml:space="preserve">edition </w:t>
      </w:r>
      <w:r w:rsidRPr="000045FB">
        <w:rPr>
          <w:rFonts w:ascii="Calibri" w:hAnsi="Calibri" w:cs="Calibri"/>
          <w:color w:val="000000" w:themeColor="text1"/>
          <w:sz w:val="18"/>
          <w:szCs w:val="18"/>
        </w:rPr>
        <w:t>(Washington DC: World Bank, 2018).</w:t>
      </w:r>
    </w:p>
  </w:footnote>
  <w:footnote w:id="550">
    <w:p w14:paraId="79ADD729" w14:textId="0EF7A4C4"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For more on trust fund categories and standard fees, see Winters and Sridhar, ‘Earmarking’ (2017) and the Bank’s current cos</w:t>
      </w:r>
      <w:r w:rsidRPr="00681100">
        <w:rPr>
          <w:rFonts w:ascii="Calibri" w:hAnsi="Calibri" w:cs="Calibri"/>
          <w:color w:val="000000" w:themeColor="text1"/>
          <w:sz w:val="18"/>
          <w:szCs w:val="18"/>
        </w:rPr>
        <w:t xml:space="preserve">t-recovery policy, available at World Bank, </w:t>
      </w:r>
      <w:r w:rsidRPr="00681100">
        <w:rPr>
          <w:rFonts w:ascii="Calibri" w:hAnsi="Calibri" w:cs="Calibri"/>
          <w:i/>
          <w:color w:val="000000" w:themeColor="text1"/>
          <w:sz w:val="18"/>
          <w:szCs w:val="18"/>
        </w:rPr>
        <w:t xml:space="preserve">Bank directive: cost recovery framework for trust funds </w:t>
      </w:r>
      <w:r w:rsidRPr="000045FB">
        <w:rPr>
          <w:rFonts w:ascii="Calibri" w:hAnsi="Calibri" w:cs="Calibri"/>
          <w:color w:val="000000" w:themeColor="text1"/>
          <w:sz w:val="18"/>
          <w:szCs w:val="18"/>
        </w:rPr>
        <w:t>(Washington DC: World Bank, 2015).</w:t>
      </w:r>
    </w:p>
  </w:footnote>
  <w:footnote w:id="551">
    <w:p w14:paraId="1D242B58" w14:textId="48451E72" w:rsidR="00CF189D" w:rsidRPr="00581494"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For an excellent description of trust funds’ potential for ‘hollowing out’ of core administrative functions and lending</w:t>
      </w:r>
      <w:r w:rsidRPr="00681100">
        <w:rPr>
          <w:rFonts w:ascii="Calibri" w:hAnsi="Calibri" w:cs="Calibri"/>
          <w:color w:val="000000" w:themeColor="text1"/>
          <w:sz w:val="18"/>
          <w:szCs w:val="18"/>
        </w:rPr>
        <w:t xml:space="preserve"> at the Bank, see Reinsberg B, ‘The implications of multi-bi aid for multilateral agencies: the example of the World Bank’, in Klinebiel et al. (Eds.), </w:t>
      </w:r>
      <w:r w:rsidRPr="000045FB">
        <w:rPr>
          <w:rFonts w:ascii="Calibri" w:hAnsi="Calibri" w:cs="Calibri"/>
          <w:i/>
          <w:color w:val="000000" w:themeColor="text1"/>
          <w:sz w:val="18"/>
          <w:szCs w:val="18"/>
        </w:rPr>
        <w:t xml:space="preserve">The fragmentation of aid: concepts, means and implications for development cooperation </w:t>
      </w:r>
      <w:r w:rsidRPr="000045FB">
        <w:rPr>
          <w:rFonts w:ascii="Calibri" w:hAnsi="Calibri" w:cs="Calibri"/>
          <w:color w:val="000000" w:themeColor="text1"/>
          <w:sz w:val="18"/>
          <w:szCs w:val="18"/>
        </w:rPr>
        <w:t>(London: Pallgrave Macmillan, 2016), 185-198.</w:t>
      </w:r>
    </w:p>
  </w:footnote>
  <w:footnote w:id="552">
    <w:p w14:paraId="030D9F9C" w14:textId="64AA4B0E"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NA, OD 113/21, Robert McNamara, ‘From the president, grants for control of onchocerciasis in West Af</w:t>
      </w:r>
      <w:r w:rsidRPr="00681100">
        <w:rPr>
          <w:rFonts w:ascii="Calibri" w:hAnsi="Calibri" w:cs="Calibri"/>
          <w:color w:val="000000" w:themeColor="text1"/>
          <w:sz w:val="18"/>
          <w:szCs w:val="18"/>
        </w:rPr>
        <w:t>rica’, 10 May 1979.</w:t>
      </w:r>
    </w:p>
  </w:footnote>
  <w:footnote w:id="553">
    <w:p w14:paraId="3CB0DB45" w14:textId="1920C820"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NA, OD 113/21, ‘Progress report - January to May’, 1979.</w:t>
      </w:r>
    </w:p>
  </w:footnote>
  <w:footnote w:id="554">
    <w:p w14:paraId="67D8B75D" w14:textId="3ABB7686"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NA, OD 113/21, ‘Onchocerciasis Control Progr</w:t>
      </w:r>
      <w:r w:rsidRPr="00681100">
        <w:rPr>
          <w:rFonts w:ascii="Calibri" w:hAnsi="Calibri" w:cs="Calibri"/>
          <w:color w:val="000000" w:themeColor="text1"/>
          <w:sz w:val="18"/>
          <w:szCs w:val="18"/>
        </w:rPr>
        <w:t>amme meeting of contributors, Paris, May 29, chairman’s report of proceedings’, 13 June 1979.</w:t>
      </w:r>
    </w:p>
  </w:footnote>
  <w:footnote w:id="555">
    <w:p w14:paraId="7FFF5EB2" w14:textId="72619041"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D65210, ‘Contributions from c</w:t>
      </w:r>
      <w:r w:rsidRPr="00681100">
        <w:rPr>
          <w:rFonts w:ascii="Calibri" w:hAnsi="Calibri" w:cs="Calibri"/>
          <w:color w:val="000000" w:themeColor="text1"/>
          <w:sz w:val="18"/>
          <w:szCs w:val="18"/>
        </w:rPr>
        <w:t>ountries in the initial programme area’, 7 May 1992.</w:t>
      </w:r>
    </w:p>
  </w:footnote>
  <w:footnote w:id="556">
    <w:p w14:paraId="02E0D2CC" w14:textId="7F0111BF"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NA, OD 113/25, ‘Progress report: April-June’, 1980.</w:t>
      </w:r>
    </w:p>
  </w:footnote>
  <w:footnote w:id="557">
    <w:p w14:paraId="0603809A" w14:textId="26A640BF"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D65210, ‘C</w:t>
      </w:r>
      <w:r w:rsidRPr="00681100">
        <w:rPr>
          <w:rFonts w:ascii="Calibri" w:hAnsi="Calibri" w:cs="Calibri"/>
          <w:color w:val="000000" w:themeColor="text1"/>
          <w:sz w:val="18"/>
          <w:szCs w:val="18"/>
        </w:rPr>
        <w:t>ontributions from countries in the initial programme area’, 7 May 1992.</w:t>
      </w:r>
    </w:p>
  </w:footnote>
  <w:footnote w:id="558">
    <w:p w14:paraId="4F695908" w14:textId="78F983F9" w:rsidR="00CF189D" w:rsidRPr="00E259A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681100">
        <w:rPr>
          <w:rFonts w:ascii="Calibri" w:hAnsi="Calibri" w:cs="Calibri"/>
          <w:color w:val="000000" w:themeColor="text1"/>
          <w:sz w:val="18"/>
          <w:szCs w:val="18"/>
          <w:shd w:val="clear" w:color="auto" w:fill="FFFFFF"/>
        </w:rPr>
        <w:t xml:space="preserve">Ruger JP, ‘The changing role of the World Bank in global health’, </w:t>
      </w:r>
      <w:r w:rsidRPr="000045FB">
        <w:rPr>
          <w:rFonts w:ascii="Calibri" w:hAnsi="Calibri" w:cs="Calibri"/>
          <w:i/>
          <w:color w:val="000000" w:themeColor="text1"/>
          <w:sz w:val="18"/>
          <w:szCs w:val="18"/>
          <w:shd w:val="clear" w:color="auto" w:fill="FFFFFF"/>
        </w:rPr>
        <w:t>American Journal of Public Health</w:t>
      </w:r>
      <w:r w:rsidRPr="000045FB">
        <w:rPr>
          <w:rFonts w:ascii="Calibri" w:hAnsi="Calibri" w:cs="Calibri"/>
          <w:color w:val="000000" w:themeColor="text1"/>
          <w:sz w:val="18"/>
          <w:szCs w:val="18"/>
          <w:shd w:val="clear" w:color="auto" w:fill="FFFFFF"/>
        </w:rPr>
        <w:t xml:space="preserve"> 95:1 (2005), 60-70; Ruger JP, ‘Global health governance and the World Bank’, </w:t>
      </w:r>
      <w:r w:rsidRPr="000045FB">
        <w:rPr>
          <w:rFonts w:ascii="Calibri" w:hAnsi="Calibri" w:cs="Calibri"/>
          <w:i/>
          <w:iCs/>
          <w:color w:val="000000" w:themeColor="text1"/>
          <w:sz w:val="18"/>
          <w:szCs w:val="18"/>
          <w:shd w:val="clear" w:color="auto" w:fill="FFFFFF"/>
        </w:rPr>
        <w:t>Lance</w:t>
      </w:r>
      <w:r w:rsidRPr="00581494">
        <w:rPr>
          <w:rFonts w:ascii="Calibri" w:hAnsi="Calibri" w:cs="Calibri"/>
          <w:i/>
          <w:iCs/>
          <w:color w:val="000000" w:themeColor="text1"/>
          <w:sz w:val="18"/>
          <w:szCs w:val="18"/>
          <w:shd w:val="clear" w:color="auto" w:fill="FFFFFF"/>
        </w:rPr>
        <w:t>t</w:t>
      </w:r>
      <w:r w:rsidRPr="00581494">
        <w:rPr>
          <w:rFonts w:ascii="Calibri" w:hAnsi="Calibri" w:cs="Calibri"/>
          <w:color w:val="000000" w:themeColor="text1"/>
          <w:sz w:val="18"/>
          <w:szCs w:val="18"/>
          <w:shd w:val="clear" w:color="auto" w:fill="FFFFFF"/>
        </w:rPr>
        <w:t> </w:t>
      </w:r>
      <w:r w:rsidRPr="00581494">
        <w:rPr>
          <w:rFonts w:ascii="Calibri" w:hAnsi="Calibri" w:cs="Calibri"/>
          <w:iCs/>
          <w:color w:val="000000" w:themeColor="text1"/>
          <w:sz w:val="18"/>
          <w:szCs w:val="18"/>
          <w:shd w:val="clear" w:color="auto" w:fill="FFFFFF"/>
        </w:rPr>
        <w:t>370</w:t>
      </w:r>
      <w:r w:rsidRPr="00E259AA">
        <w:rPr>
          <w:rFonts w:ascii="Calibri" w:hAnsi="Calibri" w:cs="Calibri"/>
          <w:color w:val="000000" w:themeColor="text1"/>
          <w:sz w:val="18"/>
          <w:szCs w:val="18"/>
          <w:shd w:val="clear" w:color="auto" w:fill="FFFFFF"/>
        </w:rPr>
        <w:t>:9597 (2007), 1471.</w:t>
      </w:r>
    </w:p>
  </w:footnote>
  <w:footnote w:id="559">
    <w:p w14:paraId="17896483" w14:textId="1137443D"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Archives Oral History Program, </w:t>
      </w:r>
      <w:r w:rsidRPr="00681100">
        <w:rPr>
          <w:rFonts w:ascii="Calibri" w:hAnsi="Calibri" w:cs="Calibri"/>
          <w:i/>
          <w:color w:val="000000" w:themeColor="text1"/>
          <w:sz w:val="18"/>
          <w:szCs w:val="18"/>
        </w:rPr>
        <w:t>Transcript of oral history interview with Georges R.</w:t>
      </w:r>
      <w:r w:rsidRPr="00681100">
        <w:rPr>
          <w:rFonts w:ascii="Calibri" w:hAnsi="Calibri" w:cs="Calibri"/>
          <w:color w:val="000000" w:themeColor="text1"/>
          <w:sz w:val="18"/>
          <w:szCs w:val="18"/>
        </w:rPr>
        <w:t xml:space="preserve"> </w:t>
      </w:r>
      <w:r w:rsidRPr="000045FB">
        <w:rPr>
          <w:rFonts w:ascii="Calibri" w:hAnsi="Calibri" w:cs="Calibri"/>
          <w:i/>
          <w:color w:val="000000" w:themeColor="text1"/>
          <w:sz w:val="18"/>
          <w:szCs w:val="18"/>
        </w:rPr>
        <w:t>Delaume</w:t>
      </w:r>
      <w:r w:rsidRPr="000045FB">
        <w:rPr>
          <w:rFonts w:ascii="Calibri" w:hAnsi="Calibri" w:cs="Calibri"/>
          <w:color w:val="000000" w:themeColor="text1"/>
          <w:sz w:val="18"/>
          <w:szCs w:val="18"/>
        </w:rPr>
        <w:t xml:space="preserve"> (Washington DC: World Bank, 2004), 16.</w:t>
      </w:r>
    </w:p>
  </w:footnote>
  <w:footnote w:id="560">
    <w:p w14:paraId="0CE1AD44" w14:textId="5E636E7B"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Transcript of an interview with Bruce Benton</w:t>
      </w:r>
      <w:r w:rsidRPr="00681100">
        <w:rPr>
          <w:rFonts w:ascii="Calibri" w:hAnsi="Calibri" w:cs="Calibri"/>
          <w:color w:val="000000" w:themeColor="text1"/>
          <w:sz w:val="18"/>
          <w:szCs w:val="18"/>
        </w:rPr>
        <w:t xml:space="preserve"> (2006), 46-47.</w:t>
      </w:r>
    </w:p>
  </w:footnote>
  <w:footnote w:id="561">
    <w:p w14:paraId="74A8C797" w14:textId="47010E90"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w:t>
      </w:r>
      <w:r w:rsidRPr="00681100">
        <w:rPr>
          <w:rFonts w:ascii="Calibri" w:hAnsi="Calibri" w:cs="Calibri"/>
          <w:color w:val="000000" w:themeColor="text1"/>
          <w:sz w:val="18"/>
          <w:szCs w:val="18"/>
        </w:rPr>
        <w:t xml:space="preserve"> </w:t>
      </w:r>
      <w:r w:rsidRPr="00681100">
        <w:rPr>
          <w:rFonts w:ascii="Calibri" w:hAnsi="Calibri" w:cs="Calibri"/>
          <w:i/>
          <w:color w:val="000000" w:themeColor="text1"/>
          <w:sz w:val="18"/>
          <w:szCs w:val="18"/>
        </w:rPr>
        <w:t>Transcript of an interview with Bruce Benton</w:t>
      </w:r>
      <w:r w:rsidRPr="000045FB">
        <w:rPr>
          <w:rFonts w:ascii="Calibri" w:hAnsi="Calibri" w:cs="Calibri"/>
          <w:color w:val="000000" w:themeColor="text1"/>
          <w:sz w:val="18"/>
          <w:szCs w:val="18"/>
        </w:rPr>
        <w:t xml:space="preserve"> (2006), 58.</w:t>
      </w:r>
    </w:p>
  </w:footnote>
  <w:footnote w:id="562">
    <w:p w14:paraId="09FDE1F2" w14:textId="22F9AA60"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Transcript of an interview with Bruce Benton</w:t>
      </w:r>
      <w:r w:rsidRPr="00681100">
        <w:rPr>
          <w:rFonts w:ascii="Calibri" w:hAnsi="Calibri" w:cs="Calibri"/>
          <w:color w:val="000000" w:themeColor="text1"/>
          <w:sz w:val="18"/>
          <w:szCs w:val="18"/>
        </w:rPr>
        <w:t xml:space="preserve"> (2006</w:t>
      </w:r>
      <w:r w:rsidRPr="000045FB">
        <w:rPr>
          <w:rFonts w:ascii="Calibri" w:hAnsi="Calibri" w:cs="Calibri"/>
          <w:color w:val="000000" w:themeColor="text1"/>
          <w:sz w:val="18"/>
          <w:szCs w:val="18"/>
        </w:rPr>
        <w:t>), 58.</w:t>
      </w:r>
    </w:p>
  </w:footnote>
  <w:footnote w:id="563">
    <w:p w14:paraId="2564493E" w14:textId="5DFD9747"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1300674, ‘Schedule of donors’ visit’, 1982.</w:t>
      </w:r>
    </w:p>
  </w:footnote>
  <w:footnote w:id="564">
    <w:p w14:paraId="135A9882" w14:textId="6821719C"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Transcript of an interview with Bruce Benton</w:t>
      </w:r>
      <w:r w:rsidRPr="00681100">
        <w:rPr>
          <w:rFonts w:ascii="Calibri" w:hAnsi="Calibri" w:cs="Calibri"/>
          <w:color w:val="000000" w:themeColor="text1"/>
          <w:sz w:val="18"/>
          <w:szCs w:val="18"/>
        </w:rPr>
        <w:t xml:space="preserve"> (2006), 46-47.</w:t>
      </w:r>
    </w:p>
  </w:footnote>
  <w:footnote w:id="565">
    <w:p w14:paraId="1599638F" w14:textId="088B4C67"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Group Archives Oral History Program, </w:t>
      </w:r>
      <w:r w:rsidRPr="00681100">
        <w:rPr>
          <w:rFonts w:ascii="Calibri" w:hAnsi="Calibri" w:cs="Calibri"/>
          <w:i/>
          <w:color w:val="000000" w:themeColor="text1"/>
          <w:sz w:val="18"/>
          <w:szCs w:val="18"/>
        </w:rPr>
        <w:t xml:space="preserve">Transcript of oral history interview with Bernhard H. Liese </w:t>
      </w:r>
      <w:r w:rsidRPr="00681100">
        <w:rPr>
          <w:rFonts w:ascii="Calibri" w:hAnsi="Calibri" w:cs="Calibri"/>
          <w:color w:val="000000" w:themeColor="text1"/>
          <w:sz w:val="18"/>
          <w:szCs w:val="18"/>
        </w:rPr>
        <w:t>(Washington DC: World Bank, 2008), 31.</w:t>
      </w:r>
    </w:p>
  </w:footnote>
  <w:footnote w:id="566">
    <w:p w14:paraId="388D1E7F" w14:textId="4A855D5A"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Transcript of an interview with Bruce Benton</w:t>
      </w:r>
      <w:r w:rsidRPr="00681100">
        <w:rPr>
          <w:rFonts w:ascii="Calibri" w:hAnsi="Calibri" w:cs="Calibri"/>
          <w:color w:val="000000" w:themeColor="text1"/>
          <w:sz w:val="18"/>
          <w:szCs w:val="18"/>
        </w:rPr>
        <w:t xml:space="preserve"> (2006), 49.</w:t>
      </w:r>
    </w:p>
  </w:footnote>
  <w:footnote w:id="567">
    <w:p w14:paraId="18D7B4CC" w14:textId="5A54EA72"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NA, OD 113/23, W.D. Maniece to Marc</w:t>
      </w:r>
      <w:r w:rsidRPr="00681100">
        <w:rPr>
          <w:rFonts w:ascii="Calibri" w:hAnsi="Calibri" w:cs="Calibri"/>
          <w:color w:val="000000" w:themeColor="text1"/>
          <w:sz w:val="18"/>
          <w:szCs w:val="18"/>
        </w:rPr>
        <w:t xml:space="preserve"> Bazin, 18 September 1979.</w:t>
      </w:r>
    </w:p>
  </w:footnote>
  <w:footnote w:id="568">
    <w:p w14:paraId="75003E26" w14:textId="22DC3A5A"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Transcript of an interview with Bruce Benton</w:t>
      </w:r>
      <w:r w:rsidRPr="000045FB">
        <w:rPr>
          <w:rFonts w:ascii="Calibri" w:hAnsi="Calibri" w:cs="Calibri"/>
          <w:color w:val="000000" w:themeColor="text1"/>
          <w:sz w:val="18"/>
          <w:szCs w:val="18"/>
        </w:rPr>
        <w:t xml:space="preserve"> (2006), 50.</w:t>
      </w:r>
    </w:p>
  </w:footnote>
  <w:footnote w:id="569">
    <w:p w14:paraId="255D3F94" w14:textId="7CF88341"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Interview with J.P. Dailly, 8 July 2018.</w:t>
      </w:r>
    </w:p>
  </w:footnote>
  <w:footnote w:id="570">
    <w:p w14:paraId="48287F01" w14:textId="69EE865D"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1300674, ‘Schedule of donors’ visit’, 1982; WBGA, 30137064, Stephen Denning to Bilsel Alisbah, ‘Work implic</w:t>
      </w:r>
      <w:r w:rsidRPr="00681100">
        <w:rPr>
          <w:rFonts w:ascii="Calibri" w:hAnsi="Calibri" w:cs="Calibri"/>
          <w:color w:val="000000" w:themeColor="text1"/>
          <w:sz w:val="18"/>
          <w:szCs w:val="18"/>
        </w:rPr>
        <w:t>ations of the Onchocerciasis Control Programme (OCP)’, 26 May 1982, Attachment 3.</w:t>
      </w:r>
    </w:p>
  </w:footnote>
  <w:footnote w:id="571">
    <w:p w14:paraId="06B6CEF9" w14:textId="512FABA6"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30137064, Stephen Denning to Bilsel Alisbah, ‘Work implications of the Onchocerciasis Control Programme (OCP)’, 26 May 1982, Attachment 3.</w:t>
      </w:r>
    </w:p>
  </w:footnote>
  <w:footnote w:id="572">
    <w:p w14:paraId="7382881E" w14:textId="57A00089"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Transcript of an interview with Bruce Benton,</w:t>
      </w:r>
      <w:r w:rsidRPr="000045FB">
        <w:rPr>
          <w:rFonts w:ascii="Calibri" w:hAnsi="Calibri" w:cs="Calibri"/>
          <w:color w:val="000000" w:themeColor="text1"/>
          <w:sz w:val="18"/>
          <w:szCs w:val="18"/>
        </w:rPr>
        <w:t xml:space="preserve"> 49-50.</w:t>
      </w:r>
    </w:p>
  </w:footnote>
  <w:footnote w:id="573">
    <w:p w14:paraId="71ACCE99" w14:textId="2E23817C"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w:t>
      </w:r>
      <w:r w:rsidRPr="00681100">
        <w:rPr>
          <w:rFonts w:ascii="Calibri" w:hAnsi="Calibri" w:cs="Calibri"/>
          <w:color w:val="000000" w:themeColor="text1"/>
          <w:sz w:val="18"/>
          <w:szCs w:val="18"/>
        </w:rPr>
        <w:t>300642, J.P. Dailly to Stanislas Kpognon, ‘Onchocerciasis brief: achievements and extra funding needs’, 2 September 1982.</w:t>
      </w:r>
    </w:p>
  </w:footnote>
  <w:footnote w:id="574">
    <w:p w14:paraId="0D7EAC69" w14:textId="08412DAD"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546CBA">
        <w:rPr>
          <w:rFonts w:ascii="Calibri" w:hAnsi="Calibri" w:cs="Calibri"/>
          <w:i/>
          <w:color w:val="000000" w:themeColor="text1"/>
          <w:sz w:val="18"/>
          <w:szCs w:val="18"/>
        </w:rPr>
        <w:t xml:space="preserve">Transcript of interview with Thomas Ambrose Blinkhorn </w:t>
      </w:r>
      <w:r w:rsidRPr="00546CBA">
        <w:rPr>
          <w:rFonts w:ascii="Calibri" w:hAnsi="Calibri" w:cs="Calibri"/>
          <w:color w:val="000000" w:themeColor="text1"/>
          <w:sz w:val="18"/>
          <w:szCs w:val="18"/>
        </w:rPr>
        <w:t>(2008), 22-23.</w:t>
      </w:r>
    </w:p>
  </w:footnote>
  <w:footnote w:id="575">
    <w:p w14:paraId="4FA8F01E" w14:textId="513E2055"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1300642, J.P. Dailly to Stanislas Kpognon, ‘Onchocerciasis bri</w:t>
      </w:r>
      <w:r w:rsidRPr="00681100">
        <w:rPr>
          <w:rFonts w:ascii="Calibri" w:hAnsi="Calibri" w:cs="Calibri"/>
          <w:color w:val="000000" w:themeColor="text1"/>
          <w:sz w:val="18"/>
          <w:szCs w:val="18"/>
        </w:rPr>
        <w:t>ef: achievements and extra funding needs’, 2 September 1982.</w:t>
      </w:r>
    </w:p>
  </w:footnote>
  <w:footnote w:id="576">
    <w:p w14:paraId="1F107CAD" w14:textId="6DEE1B54"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30303429, J.P. Dailly to Files, ‘Planning of co-financing - ONCHO press meeting in May with Switzerland, Spain (film)’, 2 May 1983.</w:t>
      </w:r>
    </w:p>
  </w:footnote>
  <w:footnote w:id="577">
    <w:p w14:paraId="568BC127" w14:textId="4B9AAF58"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30303429, ‘Aide-Memoire for meeting with Mr. Se</w:t>
      </w:r>
      <w:r w:rsidRPr="00681100">
        <w:rPr>
          <w:rFonts w:ascii="Calibri" w:hAnsi="Calibri" w:cs="Calibri"/>
          <w:color w:val="000000" w:themeColor="text1"/>
          <w:sz w:val="18"/>
          <w:szCs w:val="18"/>
        </w:rPr>
        <w:t>haiban’, 30 August 1983.</w:t>
      </w:r>
    </w:p>
  </w:footnote>
  <w:footnote w:id="578">
    <w:p w14:paraId="4A7DD9DF" w14:textId="328C86CD"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30303453, J.P. D</w:t>
      </w:r>
      <w:r w:rsidRPr="00681100">
        <w:rPr>
          <w:rFonts w:ascii="Calibri" w:hAnsi="Calibri" w:cs="Calibri"/>
          <w:color w:val="000000" w:themeColor="text1"/>
          <w:sz w:val="18"/>
          <w:szCs w:val="18"/>
        </w:rPr>
        <w:t>ailly to Files, ‘Visit to OPEC Fund, Vienna, Austria, April 1’, 3 May 1985.</w:t>
      </w:r>
    </w:p>
  </w:footnote>
  <w:footnote w:id="579">
    <w:p w14:paraId="591C1EA5" w14:textId="3D281E1D"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NA, OD 113/21, ‘Meeting of contributors to Onchocerciasis Fund, Paris, Tuesday and Wednesday, May 29 and 30, 1979, list of partic</w:t>
      </w:r>
      <w:r w:rsidRPr="00681100">
        <w:rPr>
          <w:rFonts w:ascii="Calibri" w:hAnsi="Calibri" w:cs="Calibri"/>
          <w:color w:val="000000" w:themeColor="text1"/>
          <w:sz w:val="18"/>
          <w:szCs w:val="18"/>
        </w:rPr>
        <w:t>ipants’, 28 May 1979.</w:t>
      </w:r>
    </w:p>
  </w:footnote>
  <w:footnote w:id="580">
    <w:p w14:paraId="26D08998" w14:textId="4228FAE2"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1300674, ‘Onchocerciasis Control Program meeting of contributors, Paris, January 30 1979, Chairm</w:t>
      </w:r>
      <w:r w:rsidRPr="00681100">
        <w:rPr>
          <w:rFonts w:ascii="Calibri" w:hAnsi="Calibri" w:cs="Calibri"/>
          <w:color w:val="000000" w:themeColor="text1"/>
          <w:sz w:val="18"/>
          <w:szCs w:val="18"/>
        </w:rPr>
        <w:t>an’s report of proceedings’, 1979.</w:t>
      </w:r>
    </w:p>
  </w:footnote>
  <w:footnote w:id="581">
    <w:p w14:paraId="293B440B" w14:textId="01029252"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1300642, Bilsel Alisbah to Ernest Stern through A. David Knox, ‘Saudi funding for Oncho</w:t>
      </w:r>
      <w:r w:rsidRPr="00681100">
        <w:rPr>
          <w:rFonts w:ascii="Calibri" w:hAnsi="Calibri" w:cs="Calibri"/>
          <w:color w:val="000000" w:themeColor="text1"/>
          <w:sz w:val="18"/>
          <w:szCs w:val="18"/>
        </w:rPr>
        <w:t>cerciasis Control Programme’, 21 January 1982.</w:t>
      </w:r>
    </w:p>
  </w:footnote>
  <w:footnote w:id="582">
    <w:p w14:paraId="6F21F74A" w14:textId="15E388B6"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1300674, ‘Briefing: OCP donors’ seminar’, 1985.</w:t>
      </w:r>
    </w:p>
  </w:footnote>
  <w:footnote w:id="583">
    <w:p w14:paraId="0518B5D7" w14:textId="59FC1B0F"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30348069, Bruce</w:t>
      </w:r>
      <w:r w:rsidRPr="00681100">
        <w:rPr>
          <w:rFonts w:ascii="Calibri" w:hAnsi="Calibri" w:cs="Calibri"/>
          <w:color w:val="000000" w:themeColor="text1"/>
          <w:sz w:val="18"/>
          <w:szCs w:val="18"/>
        </w:rPr>
        <w:t xml:space="preserve"> Benton to Charles Gladson, 8 October 1987.</w:t>
      </w:r>
    </w:p>
  </w:footnote>
  <w:footnote w:id="584">
    <w:p w14:paraId="679A2307" w14:textId="0BDA1775"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1428489, Jean-Louis Sarbib, ‘Opening ceremony, donor conference, Geneva’, 1994</w:t>
      </w:r>
      <w:r w:rsidRPr="00681100">
        <w:rPr>
          <w:rFonts w:ascii="Calibri" w:hAnsi="Calibri" w:cs="Calibri"/>
          <w:color w:val="000000" w:themeColor="text1"/>
          <w:sz w:val="18"/>
          <w:szCs w:val="18"/>
        </w:rPr>
        <w:t>.</w:t>
      </w:r>
    </w:p>
  </w:footnote>
  <w:footnote w:id="585">
    <w:p w14:paraId="1F3EA241" w14:textId="65DBCCAC"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 xml:space="preserve">Transcript of oral history interview with Bernhard H. Liese </w:t>
      </w:r>
      <w:r w:rsidRPr="00681100">
        <w:rPr>
          <w:rFonts w:ascii="Calibri" w:hAnsi="Calibri" w:cs="Calibri"/>
          <w:color w:val="000000" w:themeColor="text1"/>
          <w:sz w:val="18"/>
          <w:szCs w:val="18"/>
        </w:rPr>
        <w:t>(2008), 32.</w:t>
      </w:r>
    </w:p>
  </w:footnote>
  <w:footnote w:id="586">
    <w:p w14:paraId="6E2E5BB6" w14:textId="598F4B8D"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The order was first investing in larvicide development, then chemotherapy, then the Southern and Western extensions. See WBGA, 30303429, J.P. Dailly to Files, ‘Onchoc</w:t>
      </w:r>
      <w:r w:rsidRPr="00681100">
        <w:rPr>
          <w:rFonts w:ascii="Calibri" w:hAnsi="Calibri" w:cs="Calibri"/>
          <w:color w:val="000000" w:themeColor="text1"/>
          <w:sz w:val="18"/>
          <w:szCs w:val="18"/>
        </w:rPr>
        <w:t>erciasis Control Programme (OCP): visit to donor countries back-to-office report’, 16 November 1983.</w:t>
      </w:r>
    </w:p>
  </w:footnote>
  <w:footnote w:id="587">
    <w:p w14:paraId="0FDBE8C5" w14:textId="02460F7B"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1428489, Jean-Louis Sarbib, ‘Opening ceremony, donor conference, Geneva’, 1994.</w:t>
      </w:r>
    </w:p>
  </w:footnote>
  <w:footnote w:id="588">
    <w:p w14:paraId="027D7D86" w14:textId="45A67960"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Based on informal correspondence with Bruce Benton, July 2018.</w:t>
      </w:r>
    </w:p>
  </w:footnote>
  <w:footnote w:id="589">
    <w:p w14:paraId="7B5199DF" w14:textId="77777777"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681100">
        <w:rPr>
          <w:rFonts w:ascii="Calibri" w:hAnsi="Calibri" w:cs="Calibri"/>
          <w:color w:val="000000" w:themeColor="text1"/>
          <w:sz w:val="18"/>
          <w:szCs w:val="18"/>
        </w:rPr>
        <w:t xml:space="preserve">World Bank, </w:t>
      </w:r>
      <w:r w:rsidRPr="00681100">
        <w:rPr>
          <w:rFonts w:ascii="Calibri" w:hAnsi="Calibri" w:cs="Calibri"/>
          <w:i/>
          <w:color w:val="000000" w:themeColor="text1"/>
          <w:sz w:val="18"/>
          <w:szCs w:val="18"/>
        </w:rPr>
        <w:t xml:space="preserve">Transcript of interview with Thomas Ambrose Blinkhorn </w:t>
      </w:r>
      <w:r w:rsidRPr="000045FB">
        <w:rPr>
          <w:rFonts w:ascii="Calibri" w:hAnsi="Calibri" w:cs="Calibri"/>
          <w:color w:val="000000" w:themeColor="text1"/>
          <w:sz w:val="18"/>
          <w:szCs w:val="18"/>
        </w:rPr>
        <w:t>(2008), 21.</w:t>
      </w:r>
    </w:p>
  </w:footnote>
  <w:footnote w:id="590">
    <w:p w14:paraId="347FB64A" w14:textId="2E525158"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w:t>
      </w:r>
      <w:r w:rsidRPr="00681100">
        <w:rPr>
          <w:rFonts w:ascii="Calibri" w:hAnsi="Calibri" w:cs="Calibri"/>
          <w:color w:val="000000" w:themeColor="text1"/>
          <w:sz w:val="18"/>
          <w:szCs w:val="18"/>
        </w:rPr>
        <w:t xml:space="preserve">k, </w:t>
      </w:r>
      <w:r w:rsidRPr="00681100">
        <w:rPr>
          <w:rFonts w:ascii="Calibri" w:hAnsi="Calibri" w:cs="Calibri"/>
          <w:i/>
          <w:color w:val="000000" w:themeColor="text1"/>
          <w:sz w:val="18"/>
          <w:szCs w:val="18"/>
        </w:rPr>
        <w:t xml:space="preserve">Transcript of interview with Thomas Ambrose Blinkhorn </w:t>
      </w:r>
      <w:r w:rsidRPr="000045FB">
        <w:rPr>
          <w:rFonts w:ascii="Calibri" w:hAnsi="Calibri" w:cs="Calibri"/>
          <w:color w:val="000000" w:themeColor="text1"/>
          <w:sz w:val="18"/>
          <w:szCs w:val="18"/>
        </w:rPr>
        <w:t>(2008), 22.</w:t>
      </w:r>
    </w:p>
  </w:footnote>
  <w:footnote w:id="591">
    <w:p w14:paraId="228103A2" w14:textId="58AC8E59"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for example, WBGA, 1300688, ‘Reception/film showing – plague upon the land, Thursday June 1</w:t>
      </w:r>
      <w:r w:rsidRPr="00681100">
        <w:rPr>
          <w:rFonts w:ascii="Calibri" w:hAnsi="Calibri" w:cs="Calibri"/>
          <w:color w:val="000000" w:themeColor="text1"/>
          <w:sz w:val="18"/>
          <w:szCs w:val="18"/>
        </w:rPr>
        <w:t>6 1983, remarks of Mr. Knox (as prepared for delivery)’, June 1983.</w:t>
      </w:r>
    </w:p>
  </w:footnote>
  <w:footnote w:id="592">
    <w:p w14:paraId="0D597950" w14:textId="301D5D38"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1300688, Paul</w:t>
      </w:r>
      <w:r w:rsidRPr="00681100">
        <w:rPr>
          <w:rFonts w:ascii="Calibri" w:hAnsi="Calibri" w:cs="Calibri"/>
          <w:color w:val="000000" w:themeColor="text1"/>
          <w:sz w:val="18"/>
          <w:szCs w:val="18"/>
        </w:rPr>
        <w:t xml:space="preserve"> Danquah to Elliot Berg, 17 June 1983.</w:t>
      </w:r>
    </w:p>
  </w:footnote>
  <w:footnote w:id="593">
    <w:p w14:paraId="3C8FAF34" w14:textId="6EDDD198" w:rsidR="00CF189D" w:rsidRPr="00581494"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Ministere des affairs étrangères, </w:t>
      </w:r>
      <w:r w:rsidRPr="00681100">
        <w:rPr>
          <w:rFonts w:ascii="Calibri" w:hAnsi="Calibri" w:cs="Calibri"/>
          <w:i/>
          <w:color w:val="000000" w:themeColor="text1"/>
          <w:sz w:val="18"/>
          <w:szCs w:val="18"/>
        </w:rPr>
        <w:t xml:space="preserve">Half a century of onchocerciasis control in West Africa: France’s commitment </w:t>
      </w:r>
      <w:r w:rsidRPr="00681100">
        <w:rPr>
          <w:rFonts w:ascii="Calibri" w:hAnsi="Calibri" w:cs="Calibri"/>
          <w:color w:val="000000" w:themeColor="text1"/>
          <w:sz w:val="18"/>
          <w:szCs w:val="18"/>
        </w:rPr>
        <w:t>(Paris: Institu</w:t>
      </w:r>
      <w:r w:rsidRPr="000045FB">
        <w:rPr>
          <w:rFonts w:ascii="Calibri" w:hAnsi="Calibri" w:cs="Calibri"/>
          <w:color w:val="000000" w:themeColor="text1"/>
          <w:sz w:val="18"/>
          <w:szCs w:val="18"/>
        </w:rPr>
        <w:t xml:space="preserve">t de recherché pour le developpement, [2003]); Kakonga JO, ‘How mass media helped to defeat river blindness in West Africa’, </w:t>
      </w:r>
      <w:r w:rsidRPr="000045FB">
        <w:rPr>
          <w:rFonts w:ascii="Calibri" w:hAnsi="Calibri" w:cs="Calibri"/>
          <w:i/>
          <w:color w:val="000000" w:themeColor="text1"/>
          <w:sz w:val="18"/>
          <w:szCs w:val="18"/>
        </w:rPr>
        <w:t xml:space="preserve">Global Policy Blog </w:t>
      </w:r>
      <w:r w:rsidRPr="00581494">
        <w:rPr>
          <w:rFonts w:ascii="Calibri" w:hAnsi="Calibri" w:cs="Calibri"/>
          <w:color w:val="000000" w:themeColor="text1"/>
          <w:sz w:val="18"/>
          <w:szCs w:val="18"/>
        </w:rPr>
        <w:t xml:space="preserve">(11 July 2012). </w:t>
      </w:r>
    </w:p>
  </w:footnote>
  <w:footnote w:id="594">
    <w:p w14:paraId="6F41401E" w14:textId="6D415A5B"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1300688, ‘Mara, the lion’s look’ script, [1985].</w:t>
      </w:r>
    </w:p>
  </w:footnote>
  <w:footnote w:id="595">
    <w:p w14:paraId="00DD929A" w14:textId="2A86EF88"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1300688, ‘Mara, the lion’s loo</w:t>
      </w:r>
      <w:r w:rsidRPr="00681100">
        <w:rPr>
          <w:rFonts w:ascii="Calibri" w:hAnsi="Calibri" w:cs="Calibri"/>
          <w:color w:val="000000" w:themeColor="text1"/>
          <w:sz w:val="18"/>
          <w:szCs w:val="18"/>
        </w:rPr>
        <w:t>k’ script, [1985].</w:t>
      </w:r>
    </w:p>
  </w:footnote>
  <w:footnote w:id="596">
    <w:p w14:paraId="3545C41F" w14:textId="7FE909AE"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1300688, Bruce Benton to Pierre Lavau, 18 April 1986.</w:t>
      </w:r>
    </w:p>
  </w:footnote>
  <w:footnote w:id="597">
    <w:p w14:paraId="5081B19A" w14:textId="0114ECCD"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w:t>
      </w:r>
      <w:r w:rsidRPr="00681100">
        <w:rPr>
          <w:rFonts w:ascii="Calibri" w:hAnsi="Calibri" w:cs="Calibri"/>
          <w:color w:val="000000" w:themeColor="text1"/>
          <w:sz w:val="18"/>
          <w:szCs w:val="18"/>
        </w:rPr>
        <w:t>1428489, Jean-Louis Sarbib, ‘Opening ceremony, donor conference, Geneva’, 1994.</w:t>
      </w:r>
    </w:p>
  </w:footnote>
  <w:footnote w:id="598">
    <w:p w14:paraId="1A8740B5" w14:textId="650F44C4"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i/>
          <w:color w:val="000000" w:themeColor="text1"/>
          <w:sz w:val="18"/>
          <w:szCs w:val="18"/>
        </w:rPr>
        <w:t xml:space="preserve"> </w:t>
      </w:r>
      <w:r w:rsidRPr="00681100">
        <w:rPr>
          <w:rFonts w:ascii="Calibri" w:hAnsi="Calibri" w:cs="Calibri"/>
          <w:color w:val="000000" w:themeColor="text1"/>
          <w:sz w:val="18"/>
          <w:szCs w:val="18"/>
        </w:rPr>
        <w:t>WBGA, 1428489, Jean-Louis Sarbib, ‘Opening ceremony, donor conference, Geneva’, 1994..</w:t>
      </w:r>
    </w:p>
  </w:footnote>
  <w:footnote w:id="599">
    <w:p w14:paraId="5119C70D" w14:textId="106B3EED"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1300688, Brennan to Benjenk, ‘Sahelian press tour: Upper Volta, Niger, Mali, Ju</w:t>
      </w:r>
      <w:r w:rsidRPr="00681100">
        <w:rPr>
          <w:rFonts w:ascii="Calibri" w:hAnsi="Calibri" w:cs="Calibri"/>
          <w:color w:val="000000" w:themeColor="text1"/>
          <w:sz w:val="18"/>
          <w:szCs w:val="18"/>
        </w:rPr>
        <w:t>ne 22-July 2, 1982’, 14 December 1983.</w:t>
      </w:r>
    </w:p>
  </w:footnote>
  <w:footnote w:id="600">
    <w:p w14:paraId="64F6298B" w14:textId="0006E57A" w:rsidR="00CF189D" w:rsidRPr="00E259A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681100">
        <w:rPr>
          <w:rFonts w:ascii="Calibri" w:hAnsi="Calibri" w:cs="Calibri"/>
          <w:noProof/>
          <w:color w:val="000000" w:themeColor="text1"/>
          <w:sz w:val="18"/>
          <w:szCs w:val="18"/>
          <w:lang w:eastAsia="en-GB"/>
        </w:rPr>
        <w:t>The Press kit was highly visual; it included a folder with an enlarged eye (top left), the ‘onchocerciasis image’ (top right), images showing the high technology used by the programme (bottom left), and images depic</w:t>
      </w:r>
      <w:r w:rsidRPr="000045FB">
        <w:rPr>
          <w:rFonts w:ascii="Calibri" w:hAnsi="Calibri" w:cs="Calibri"/>
          <w:noProof/>
          <w:color w:val="000000" w:themeColor="text1"/>
          <w:sz w:val="18"/>
          <w:szCs w:val="18"/>
          <w:lang w:eastAsia="en-GB"/>
        </w:rPr>
        <w:t>ting healthy resettlement (middle and bottom right). The picture of village children was captioned, ‘Healthy children in a recent spontaneous resettlement village on the bank of the Leraba river in the Ivory Coast where the black fly has been controlled by the Onchocerciasis Control Programme, and where the children are no longer in danger of contracting the disease’. Photos put faces to the metrics that the Bank put fo</w:t>
      </w:r>
      <w:r w:rsidRPr="00581494">
        <w:rPr>
          <w:rFonts w:ascii="Calibri" w:hAnsi="Calibri" w:cs="Calibri"/>
          <w:noProof/>
          <w:color w:val="000000" w:themeColor="text1"/>
          <w:sz w:val="18"/>
          <w:szCs w:val="18"/>
          <w:lang w:eastAsia="en-GB"/>
        </w:rPr>
        <w:t xml:space="preserve">rward in the same press kit. From </w:t>
      </w:r>
      <w:r w:rsidRPr="00581494">
        <w:rPr>
          <w:rFonts w:ascii="Calibri" w:hAnsi="Calibri" w:cs="Calibri"/>
          <w:color w:val="000000" w:themeColor="text1"/>
          <w:sz w:val="18"/>
          <w:szCs w:val="18"/>
        </w:rPr>
        <w:t>WBGA, 1629773, ‘Press kit’, [1983]. Reproduced under CC</w:t>
      </w:r>
      <w:r w:rsidRPr="00E259AA">
        <w:rPr>
          <w:rFonts w:ascii="Calibri" w:hAnsi="Calibri" w:cs="Calibri"/>
          <w:color w:val="000000" w:themeColor="text1"/>
          <w:sz w:val="18"/>
          <w:szCs w:val="18"/>
        </w:rPr>
        <w:t xml:space="preserve"> BY-NC-SA 4.0.</w:t>
      </w:r>
    </w:p>
  </w:footnote>
  <w:footnote w:id="601">
    <w:p w14:paraId="52A4A1F2" w14:textId="20895EF3"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1300688, ‘Status of oncho information support’, 20 February 1985.</w:t>
      </w:r>
    </w:p>
  </w:footnote>
  <w:footnote w:id="602">
    <w:p w14:paraId="10E5A2B3" w14:textId="05AD733C"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30304919, ‘Press conference, December 5 1995’, [1995].</w:t>
      </w:r>
    </w:p>
  </w:footnote>
  <w:footnote w:id="603">
    <w:p w14:paraId="549F6213" w14:textId="2A857F6C"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1865076</w:t>
      </w:r>
      <w:r w:rsidRPr="00681100">
        <w:rPr>
          <w:rFonts w:ascii="Calibri" w:hAnsi="Calibri" w:cs="Calibri"/>
          <w:color w:val="000000" w:themeColor="text1"/>
          <w:sz w:val="18"/>
          <w:szCs w:val="18"/>
        </w:rPr>
        <w:t>, ‘Press kit’, 1985.</w:t>
      </w:r>
    </w:p>
  </w:footnote>
  <w:footnote w:id="604">
    <w:p w14:paraId="023C3EDE" w14:textId="47D1F642"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1300688, ‘Technical note: promotion of Onchocerciasis Contro</w:t>
      </w:r>
      <w:r w:rsidRPr="00681100">
        <w:rPr>
          <w:rFonts w:ascii="Calibri" w:hAnsi="Calibri" w:cs="Calibri"/>
          <w:color w:val="000000" w:themeColor="text1"/>
          <w:sz w:val="18"/>
          <w:szCs w:val="18"/>
        </w:rPr>
        <w:t>l Program (OCP in Africa)’, [1987].</w:t>
      </w:r>
    </w:p>
  </w:footnote>
  <w:footnote w:id="605">
    <w:p w14:paraId="5C447A61" w14:textId="1B2A3CDE"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30348069, Bruce Benton to Koichi Takahashi, 27 August 1987.</w:t>
      </w:r>
    </w:p>
  </w:footnote>
  <w:footnote w:id="606">
    <w:p w14:paraId="4A17B543" w14:textId="5C870066"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1300688, ‘Oncho Info, OCP/26’, 9 August 1988.</w:t>
      </w:r>
    </w:p>
  </w:footnote>
  <w:footnote w:id="607">
    <w:p w14:paraId="0A91AAA7" w14:textId="04B0D23A"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w:t>
      </w:r>
      <w:r w:rsidRPr="00681100">
        <w:rPr>
          <w:rFonts w:ascii="Calibri" w:hAnsi="Calibri" w:cs="Calibri"/>
          <w:color w:val="000000" w:themeColor="text1"/>
          <w:sz w:val="18"/>
          <w:szCs w:val="18"/>
        </w:rPr>
        <w:t>0303429, Bilsel Alisbah to Ernest Stern, 30 November 1983.</w:t>
      </w:r>
    </w:p>
  </w:footnote>
  <w:footnote w:id="608">
    <w:p w14:paraId="3E886603" w14:textId="2727F3F4"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Informal correspondence with Bruce Benton, July 2018.</w:t>
      </w:r>
    </w:p>
  </w:footnote>
  <w:footnote w:id="609">
    <w:p w14:paraId="11BE444E" w14:textId="619FD1FB"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30304919, ‘Global call for the elimination of riverblindness within the next decade’, 27 July 1997.</w:t>
      </w:r>
    </w:p>
  </w:footnote>
  <w:footnote w:id="610">
    <w:p w14:paraId="4B4F1530" w14:textId="3C803578"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Rajkotia Y, ‘Beware of the success cartel: a plea for rational progress in global health’, </w:t>
      </w:r>
      <w:r w:rsidRPr="00546CBA">
        <w:rPr>
          <w:rFonts w:ascii="Calibri" w:hAnsi="Calibri" w:cs="Calibri"/>
          <w:i/>
          <w:color w:val="000000" w:themeColor="text1"/>
          <w:sz w:val="18"/>
          <w:szCs w:val="18"/>
        </w:rPr>
        <w:t xml:space="preserve">BMJ Global Health </w:t>
      </w:r>
      <w:r w:rsidRPr="00546CBA">
        <w:rPr>
          <w:rFonts w:ascii="Calibri" w:hAnsi="Calibri" w:cs="Calibri"/>
          <w:color w:val="000000" w:themeColor="text1"/>
          <w:sz w:val="18"/>
          <w:szCs w:val="18"/>
        </w:rPr>
        <w:t>3 (2018), e001197.</w:t>
      </w:r>
    </w:p>
  </w:footnote>
  <w:footnote w:id="611">
    <w:p w14:paraId="33ECBCC3" w14:textId="3ED14F5D"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30304898, Bruce Benton, ‘Taming the lion’s stare’, </w:t>
      </w:r>
      <w:r w:rsidRPr="00546CBA">
        <w:rPr>
          <w:rFonts w:ascii="Calibri" w:hAnsi="Calibri" w:cs="Calibri"/>
          <w:i/>
          <w:color w:val="000000" w:themeColor="text1"/>
          <w:sz w:val="18"/>
          <w:szCs w:val="18"/>
        </w:rPr>
        <w:t>The Bank’s World</w:t>
      </w:r>
      <w:r w:rsidRPr="00546CBA">
        <w:rPr>
          <w:rFonts w:ascii="Calibri" w:hAnsi="Calibri" w:cs="Calibri"/>
          <w:color w:val="000000" w:themeColor="text1"/>
          <w:sz w:val="18"/>
          <w:szCs w:val="18"/>
        </w:rPr>
        <w:t>, May 1992. Reproduced under CC BY-NC-SA 4.0.</w:t>
      </w:r>
    </w:p>
  </w:footnote>
  <w:footnote w:id="612">
    <w:p w14:paraId="2F9CE716" w14:textId="77777777"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30304898, Bruce Benton, ‘Taming the lion’s stare’, </w:t>
      </w:r>
      <w:r w:rsidRPr="00546CBA">
        <w:rPr>
          <w:rFonts w:ascii="Calibri" w:hAnsi="Calibri" w:cs="Calibri"/>
          <w:i/>
          <w:color w:val="000000" w:themeColor="text1"/>
          <w:sz w:val="18"/>
          <w:szCs w:val="18"/>
        </w:rPr>
        <w:t>The Bank’s World</w:t>
      </w:r>
      <w:r w:rsidRPr="00546CBA">
        <w:rPr>
          <w:rFonts w:ascii="Calibri" w:hAnsi="Calibri" w:cs="Calibri"/>
          <w:color w:val="000000" w:themeColor="text1"/>
          <w:sz w:val="18"/>
          <w:szCs w:val="18"/>
        </w:rPr>
        <w:t>, May 1992.</w:t>
      </w:r>
    </w:p>
  </w:footnote>
  <w:footnote w:id="613">
    <w:p w14:paraId="52090043" w14:textId="5E4FF2F1"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Litsios S, The third ten years of the World Health Organization (Geneva: WHO, 2008), 11. </w:t>
      </w:r>
    </w:p>
  </w:footnote>
  <w:footnote w:id="614">
    <w:p w14:paraId="3E5BDA83" w14:textId="5F9816AE" w:rsidR="00CF189D" w:rsidRPr="00CF189D" w:rsidRDefault="00CF189D" w:rsidP="00DD4818">
      <w:pPr>
        <w:pStyle w:val="Footnotes"/>
        <w:rPr>
          <w:rFonts w:ascii="Calibri" w:hAnsi="Calibri" w:cs="Calibri"/>
          <w:sz w:val="18"/>
          <w:szCs w:val="18"/>
          <w:lang w:val="en-GB"/>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The Bank’s concerns about the UN Special Fund (launched in 1958) mainly reflected territoriality. </w:t>
      </w:r>
      <w:r w:rsidRPr="00CF189D">
        <w:rPr>
          <w:rFonts w:ascii="Calibri" w:hAnsi="Calibri" w:cs="Calibri"/>
          <w:sz w:val="18"/>
          <w:szCs w:val="18"/>
          <w:lang w:val="en-GB"/>
        </w:rPr>
        <w:t xml:space="preserve">Ralph Bunche Institute for International Studies, </w:t>
      </w:r>
      <w:r w:rsidRPr="00CF189D">
        <w:rPr>
          <w:rFonts w:ascii="Calibri" w:hAnsi="Calibri" w:cs="Calibri"/>
          <w:i/>
          <w:sz w:val="18"/>
          <w:szCs w:val="18"/>
          <w:lang w:val="en-GB"/>
        </w:rPr>
        <w:t>United Nations intellectual history project, briefing note 7</w:t>
      </w:r>
      <w:r w:rsidRPr="00CF189D">
        <w:rPr>
          <w:rFonts w:ascii="Calibri" w:hAnsi="Calibri" w:cs="Calibri"/>
          <w:sz w:val="18"/>
          <w:szCs w:val="18"/>
          <w:lang w:val="en-GB"/>
        </w:rPr>
        <w:t xml:space="preserve"> (New York: CUNY Graduate Center, May 2010).</w:t>
      </w:r>
    </w:p>
  </w:footnote>
  <w:footnote w:id="615">
    <w:p w14:paraId="64DABB10" w14:textId="7BDEEA3B"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Litsios, </w:t>
      </w:r>
      <w:r w:rsidRPr="00CF189D">
        <w:rPr>
          <w:rFonts w:ascii="Calibri" w:hAnsi="Calibri" w:cs="Calibri"/>
          <w:i/>
          <w:sz w:val="18"/>
          <w:szCs w:val="18"/>
        </w:rPr>
        <w:t xml:space="preserve">The third ten years </w:t>
      </w:r>
      <w:r w:rsidRPr="00CF189D">
        <w:rPr>
          <w:rFonts w:ascii="Calibri" w:hAnsi="Calibri" w:cs="Calibri"/>
          <w:sz w:val="18"/>
          <w:szCs w:val="18"/>
        </w:rPr>
        <w:t>(2008), 13-14.</w:t>
      </w:r>
    </w:p>
  </w:footnote>
  <w:footnote w:id="616">
    <w:p w14:paraId="36474F19" w14:textId="5B5EAD4A" w:rsidR="00CF189D" w:rsidRPr="00CF189D" w:rsidRDefault="00CF189D" w:rsidP="00DD4818">
      <w:pPr>
        <w:pStyle w:val="Footnotes"/>
        <w:rPr>
          <w:rFonts w:ascii="Calibri" w:hAnsi="Calibri" w:cs="Calibri"/>
          <w:sz w:val="18"/>
          <w:szCs w:val="18"/>
          <w:lang w:val="en-GB"/>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WHO, Report of the nineteenth Joint UNICEF/WHO committee on health policy (Geneva: WHO, 1972).</w:t>
      </w:r>
    </w:p>
  </w:footnote>
  <w:footnote w:id="617">
    <w:p w14:paraId="68B23657" w14:textId="7B06F094"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WHOL, Anderson A, ‘Oncho: a concerted effort’, </w:t>
      </w:r>
      <w:r w:rsidRPr="00CF189D">
        <w:rPr>
          <w:rFonts w:ascii="Calibri" w:hAnsi="Calibri" w:cs="Calibri"/>
          <w:i/>
          <w:sz w:val="18"/>
          <w:szCs w:val="18"/>
        </w:rPr>
        <w:t xml:space="preserve">World Health </w:t>
      </w:r>
      <w:r w:rsidRPr="00CF189D">
        <w:rPr>
          <w:rFonts w:ascii="Calibri" w:hAnsi="Calibri" w:cs="Calibri"/>
          <w:sz w:val="18"/>
          <w:szCs w:val="18"/>
        </w:rPr>
        <w:t>(March 1986).</w:t>
      </w:r>
    </w:p>
  </w:footnote>
  <w:footnote w:id="618">
    <w:p w14:paraId="17DB93A8" w14:textId="33E1E772" w:rsidR="00CF189D" w:rsidRPr="00CF189D" w:rsidRDefault="00CF189D" w:rsidP="00DD4818">
      <w:pPr>
        <w:pStyle w:val="Footnotes"/>
        <w:rPr>
          <w:rFonts w:ascii="Calibri" w:hAnsi="Calibri" w:cs="Calibri"/>
          <w:sz w:val="18"/>
          <w:szCs w:val="18"/>
          <w:lang w:val="en-GB"/>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Kelly et al., Impact review of the Onchocerciasis Control Program (Ouagadougou: USAID, 1986). </w:t>
      </w:r>
    </w:p>
  </w:footnote>
  <w:footnote w:id="619">
    <w:p w14:paraId="5DBC44A9" w14:textId="1BAB841F"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This figure includes both the word ‘success’ and its derivatives, like ‘successful’.</w:t>
      </w:r>
    </w:p>
  </w:footnote>
  <w:footnote w:id="620">
    <w:p w14:paraId="1AA2DCD1" w14:textId="2DDB597E"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World Bank, Sustainable settlement and development of the Onchocerciasis Control Programme area, Paris, April 1994 (Washington DC: World Bank, 1995).</w:t>
      </w:r>
    </w:p>
  </w:footnote>
  <w:footnote w:id="621">
    <w:p w14:paraId="74FDF419" w14:textId="315F01AE"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World Bank, World Bank support for global and regional initiatives under the Development Grant Facility (DGF), compendium of DGF programs (Washington DC: World Bank, 2002); Benton B, The onchocerciasis (riverblindness) programs: visionary partnerships (Washington DC: World Bank, 2001); Goldin et al., ‘The role and effectiveness of development assistance’, in A case for aid: building consensus for development assistance (Washington DC: World Bank, 2002).</w:t>
      </w:r>
    </w:p>
  </w:footnote>
  <w:footnote w:id="622">
    <w:p w14:paraId="21C49AE7" w14:textId="19449D2E"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Benton, The onchocerciasis (2001).</w:t>
      </w:r>
    </w:p>
  </w:footnote>
  <w:footnote w:id="623">
    <w:p w14:paraId="0E774F3C" w14:textId="7928006F"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Phillips RW, </w:t>
      </w:r>
      <w:r w:rsidRPr="00CF189D">
        <w:rPr>
          <w:rFonts w:ascii="Calibri" w:hAnsi="Calibri" w:cs="Calibri"/>
          <w:iCs/>
          <w:sz w:val="18"/>
          <w:szCs w:val="18"/>
        </w:rPr>
        <w:t xml:space="preserve">FAO: its origins, formation and evolution, 1945-1981 </w:t>
      </w:r>
      <w:r w:rsidRPr="00CF189D">
        <w:rPr>
          <w:rFonts w:ascii="Calibri" w:hAnsi="Calibri" w:cs="Calibri"/>
          <w:sz w:val="18"/>
          <w:szCs w:val="18"/>
        </w:rPr>
        <w:t>(Rome: FAO, 1981); WHO, Constitution of the World Health Organization (Geneva: WHO, 1948); United Nations General Assembly, Consolidation of the Special Fund and the Expanded Programme of Technical Assistance in a United Nation Development Programme (Geneva: United Nations, 1965).</w:t>
      </w:r>
    </w:p>
  </w:footnote>
  <w:footnote w:id="624">
    <w:p w14:paraId="122776EF" w14:textId="08089EF0"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See Lee et al., ‘Who should be doing what in international health: a confusion of mandates in the United Nations?’, </w:t>
      </w:r>
      <w:r w:rsidRPr="00CF189D">
        <w:rPr>
          <w:rFonts w:ascii="Calibri" w:hAnsi="Calibri" w:cs="Calibri"/>
          <w:i/>
          <w:sz w:val="18"/>
          <w:szCs w:val="18"/>
        </w:rPr>
        <w:t xml:space="preserve">BMJ </w:t>
      </w:r>
      <w:r w:rsidRPr="00CF189D">
        <w:rPr>
          <w:rFonts w:ascii="Calibri" w:hAnsi="Calibri" w:cs="Calibri"/>
          <w:sz w:val="18"/>
          <w:szCs w:val="18"/>
        </w:rPr>
        <w:t>312:7026 (1996), 302-307.</w:t>
      </w:r>
    </w:p>
  </w:footnote>
  <w:footnote w:id="625">
    <w:p w14:paraId="0F0A62E7" w14:textId="564EE40F"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For more on the WHO’s early work in technical assistance for disease control, such as for malaria and smallpox control in the 1950s and 1960s, see Clift C, ‘The role of the World Health Organization in the international system’</w:t>
      </w:r>
      <w:r w:rsidRPr="00CF189D">
        <w:rPr>
          <w:rFonts w:ascii="Calibri" w:hAnsi="Calibri" w:cs="Calibri"/>
          <w:i/>
          <w:sz w:val="18"/>
          <w:szCs w:val="18"/>
        </w:rPr>
        <w:t xml:space="preserve">, Chatham House Centre on Global Health Security Working Group Papers, Working Group on Governance </w:t>
      </w:r>
      <w:r w:rsidRPr="00CF189D">
        <w:rPr>
          <w:rFonts w:ascii="Calibri" w:hAnsi="Calibri" w:cs="Calibri"/>
          <w:sz w:val="18"/>
          <w:szCs w:val="18"/>
        </w:rPr>
        <w:t xml:space="preserve">(London: Chatham House, 2013); Brown et al., ‘The World Health Organization and the transition From “international” to “global” public health’, </w:t>
      </w:r>
      <w:r w:rsidRPr="00CF189D">
        <w:rPr>
          <w:rFonts w:ascii="Calibri" w:hAnsi="Calibri" w:cs="Calibri"/>
          <w:i/>
          <w:sz w:val="18"/>
          <w:szCs w:val="18"/>
        </w:rPr>
        <w:t>American Journal of Public Health</w:t>
      </w:r>
      <w:r w:rsidRPr="00CF189D">
        <w:rPr>
          <w:rFonts w:ascii="Calibri" w:hAnsi="Calibri" w:cs="Calibri"/>
          <w:sz w:val="18"/>
          <w:szCs w:val="18"/>
        </w:rPr>
        <w:t xml:space="preserve"> 96:1 (2006), 62-72.</w:t>
      </w:r>
    </w:p>
  </w:footnote>
  <w:footnote w:id="626">
    <w:p w14:paraId="1C80F49D" w14:textId="3947E90C"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UNA, s-0553-14-6, ‘RF/RAF/71/188 – onchocerciasis campaign’, 29 March 1972.</w:t>
      </w:r>
    </w:p>
  </w:footnote>
  <w:footnote w:id="627">
    <w:p w14:paraId="1A34E375" w14:textId="22F2F903"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For a breakdown of the major OCP governance structures, see Figure 3.1 and Table 3.1. FAOA, September 1979, 10-AGS-239, C. Bonte-Friedheim to C.G. Groom, ‘Confidential, Onchocerciasis Control Programme 27</w:t>
      </w:r>
      <w:r w:rsidRPr="00CF189D">
        <w:rPr>
          <w:rFonts w:ascii="Calibri" w:hAnsi="Calibri" w:cs="Calibri"/>
          <w:sz w:val="18"/>
          <w:szCs w:val="18"/>
          <w:vertAlign w:val="superscript"/>
        </w:rPr>
        <w:t>th</w:t>
      </w:r>
      <w:r w:rsidRPr="00CF189D">
        <w:rPr>
          <w:rFonts w:ascii="Calibri" w:hAnsi="Calibri" w:cs="Calibri"/>
          <w:sz w:val="18"/>
          <w:szCs w:val="18"/>
        </w:rPr>
        <w:t xml:space="preserve"> session of the Steering Committee, Geneva, 10-12 September’, 1979.</w:t>
      </w:r>
    </w:p>
  </w:footnote>
  <w:footnote w:id="628">
    <w:p w14:paraId="7A06D0B9" w14:textId="6C3F333D"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UNA, s-0553-14-6, ‘RF/RAF/71/188 – onchocerciasis campaign’, 29 March 1972.</w:t>
      </w:r>
    </w:p>
  </w:footnote>
  <w:footnote w:id="629">
    <w:p w14:paraId="72824583" w14:textId="52F5CD1C"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UNA, s-0553-14-6, Ralph Townley to Sture Linner, ‘Onchocerciasis: Accra meeting, 10-13 October’, 30 October 1972.</w:t>
      </w:r>
    </w:p>
  </w:footnote>
  <w:footnote w:id="630">
    <w:p w14:paraId="0AB1999F" w14:textId="51980B80" w:rsidR="00CF189D" w:rsidRPr="00CF189D" w:rsidRDefault="00CF189D" w:rsidP="00DD4818">
      <w:pPr>
        <w:pStyle w:val="Footnotes"/>
        <w:rPr>
          <w:rFonts w:ascii="Calibri" w:hAnsi="Calibri" w:cs="Calibri"/>
          <w:sz w:val="18"/>
          <w:szCs w:val="18"/>
          <w:lang w:val="en-GB"/>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Townley stated that the OCP was a ‘call for an economic and social development scheme involving UNDP participation far greater than any yet attempted by the United Nations system’. See </w:t>
      </w:r>
      <w:r w:rsidRPr="00CF189D">
        <w:rPr>
          <w:rFonts w:ascii="Calibri" w:hAnsi="Calibri" w:cs="Calibri"/>
          <w:sz w:val="18"/>
          <w:szCs w:val="18"/>
          <w:lang w:val="en-GB"/>
        </w:rPr>
        <w:t>UNA, s-0553-14-8, Ralph Townley, ‘Draft/ for possible inclusion WHO paper for presentation to Accra meeting on onchocerciasis control in the Volta River basin areas, October 1972’, 19 September 1972.</w:t>
      </w:r>
    </w:p>
  </w:footnote>
  <w:footnote w:id="631">
    <w:p w14:paraId="5A5F12F2" w14:textId="56ECF9A5"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UNA, s-0553-14-8, Roger Garraud to Sture Linner, ‘RAF/71/88 – onchocerciasis campaign (Steering Committee)’, 2 June 1972.</w:t>
      </w:r>
    </w:p>
  </w:footnote>
  <w:footnote w:id="632">
    <w:p w14:paraId="0C66B1DF" w14:textId="3F1A5F03"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Litsios, </w:t>
      </w:r>
      <w:r w:rsidRPr="00CF189D">
        <w:rPr>
          <w:rFonts w:ascii="Calibri" w:hAnsi="Calibri" w:cs="Calibri"/>
          <w:i/>
          <w:sz w:val="18"/>
          <w:szCs w:val="18"/>
        </w:rPr>
        <w:t xml:space="preserve">The third ten years </w:t>
      </w:r>
      <w:r w:rsidRPr="00CF189D">
        <w:rPr>
          <w:rFonts w:ascii="Calibri" w:hAnsi="Calibri" w:cs="Calibri"/>
          <w:sz w:val="18"/>
          <w:szCs w:val="18"/>
        </w:rPr>
        <w:t>(2008), 13.</w:t>
      </w:r>
    </w:p>
  </w:footnote>
  <w:footnote w:id="633">
    <w:p w14:paraId="5AC27753" w14:textId="07E72B67"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30339648, Michael J. Sharpston to Files, ‘Some thoughts on problems related to oncho’, 21 November 1977.</w:t>
      </w:r>
    </w:p>
  </w:footnote>
  <w:footnote w:id="634">
    <w:p w14:paraId="716897A5" w14:textId="57E3C26C"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10-AGS-241, November 1981-March 1982, ‘Committee of Sponsoring Agencies, report of seventh meeting, Ouagadougou’, 3-4 February 1982.</w:t>
      </w:r>
    </w:p>
  </w:footnote>
  <w:footnote w:id="635">
    <w:p w14:paraId="548E95BE" w14:textId="7568786D"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1300663, ‘Telex - Rogerson, Burkina’, 10 June 1985,.</w:t>
      </w:r>
    </w:p>
  </w:footnote>
  <w:footnote w:id="636">
    <w:p w14:paraId="7D137D26" w14:textId="25725080"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Brown et al., ‘The World Health Organization’ (2006); Walt G, ‘WHO under stress: implications for health policy’, </w:t>
      </w:r>
      <w:r w:rsidRPr="00CF189D">
        <w:rPr>
          <w:rFonts w:ascii="Calibri" w:hAnsi="Calibri" w:cs="Calibri"/>
          <w:i/>
          <w:sz w:val="18"/>
          <w:szCs w:val="18"/>
        </w:rPr>
        <w:t>Health Policy</w:t>
      </w:r>
      <w:r w:rsidRPr="00CF189D">
        <w:rPr>
          <w:rFonts w:ascii="Calibri" w:hAnsi="Calibri" w:cs="Calibri"/>
          <w:sz w:val="18"/>
          <w:szCs w:val="18"/>
        </w:rPr>
        <w:t xml:space="preserve"> 24 (1993), 125-144.</w:t>
      </w:r>
    </w:p>
  </w:footnote>
  <w:footnote w:id="637">
    <w:p w14:paraId="6FB526EB" w14:textId="5A62B970" w:rsidR="00CF189D" w:rsidRPr="00CF189D" w:rsidRDefault="00CF189D" w:rsidP="00DD4818">
      <w:pPr>
        <w:pStyle w:val="Footnotes"/>
        <w:rPr>
          <w:rFonts w:ascii="Calibri" w:hAnsi="Calibri" w:cs="Calibri"/>
          <w:sz w:val="18"/>
          <w:szCs w:val="18"/>
          <w:lang w:val="en-GB"/>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World Bank Group Archives Oral History Program, </w:t>
      </w:r>
      <w:r w:rsidRPr="00CF189D">
        <w:rPr>
          <w:rFonts w:ascii="Calibri" w:hAnsi="Calibri" w:cs="Calibri"/>
          <w:i/>
          <w:sz w:val="18"/>
          <w:szCs w:val="18"/>
        </w:rPr>
        <w:t xml:space="preserve">Transcript of oral history interview with Bernhard H. Liese </w:t>
      </w:r>
      <w:r w:rsidRPr="00CF189D">
        <w:rPr>
          <w:rFonts w:ascii="Calibri" w:hAnsi="Calibri" w:cs="Calibri"/>
          <w:sz w:val="18"/>
          <w:szCs w:val="18"/>
        </w:rPr>
        <w:t>(Washington DC: World Bank, 2008), 10.</w:t>
      </w:r>
    </w:p>
  </w:footnote>
  <w:footnote w:id="638">
    <w:p w14:paraId="13A2F8FD" w14:textId="175D4FBB"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Hunter et al., Parasitic diseases in water resource development: the need for intersectoral negotiation (Geneva: WHO, 1993), 95.</w:t>
      </w:r>
    </w:p>
  </w:footnote>
  <w:footnote w:id="639">
    <w:p w14:paraId="6E36BFE0" w14:textId="321B30E4" w:rsidR="00CF189D" w:rsidRPr="00CF189D" w:rsidRDefault="00CF189D" w:rsidP="00DD4818">
      <w:pPr>
        <w:pStyle w:val="Footnotes"/>
        <w:rPr>
          <w:rFonts w:ascii="Calibri" w:hAnsi="Calibri" w:cs="Calibri"/>
          <w:sz w:val="18"/>
          <w:szCs w:val="18"/>
          <w:lang w:val="en-GB"/>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World Bank, Transcript of oral history interview with Bernhard H. Liese (2008), 11-12.</w:t>
      </w:r>
    </w:p>
  </w:footnote>
  <w:footnote w:id="640">
    <w:p w14:paraId="456BD688" w14:textId="486A2042"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See, for instance, FAOA, 10-AGS-239, September 1979, ‘Steering Committee for Onchocerciasis Control in the Volta River basin area, report of its twenty-seventh session, Geneva’, 10-11 September 1979.</w:t>
      </w:r>
    </w:p>
  </w:footnote>
  <w:footnote w:id="641">
    <w:p w14:paraId="2D4EBAAA" w14:textId="14C9A686" w:rsidR="00CF189D" w:rsidRPr="00CF189D" w:rsidRDefault="00CF189D" w:rsidP="00DD4818">
      <w:pPr>
        <w:pStyle w:val="Footnotes"/>
        <w:rPr>
          <w:rFonts w:ascii="Calibri" w:hAnsi="Calibri" w:cs="Calibri"/>
          <w:sz w:val="18"/>
          <w:szCs w:val="18"/>
          <w:lang w:val="en-GB"/>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World Bank, Transcript of oral history interview with Bernhard H. Liese (2008), 11-12.</w:t>
      </w:r>
    </w:p>
  </w:footnote>
  <w:footnote w:id="642">
    <w:p w14:paraId="405BD4F7" w14:textId="1FD8271F"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1103228, John Evans to Warren Baum, ‘PHN-TDR-Bank participation in JCP AR’, 11 March 1980.</w:t>
      </w:r>
    </w:p>
  </w:footnote>
  <w:footnote w:id="643">
    <w:p w14:paraId="0F4AF44C" w14:textId="77777777"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30137065, André Prost and J.P. Dailly to Isharat Husain and Larry Hinkle, ‘The resource requirements…’, 15 February 1983.</w:t>
      </w:r>
    </w:p>
  </w:footnote>
  <w:footnote w:id="644">
    <w:p w14:paraId="1E05CCF7" w14:textId="68C08D8A"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30137065, André Prost and J.P. Dailly to Isharat Husain and Larry Hinkle, ‘The resource requirements…’, 15 February 1983.</w:t>
      </w:r>
    </w:p>
  </w:footnote>
  <w:footnote w:id="645">
    <w:p w14:paraId="055C19E8" w14:textId="77777777" w:rsidR="00CF189D" w:rsidRPr="00CF189D" w:rsidRDefault="00CF189D" w:rsidP="00DD4818">
      <w:pPr>
        <w:pStyle w:val="Footnotes"/>
        <w:rPr>
          <w:rFonts w:ascii="Calibri" w:hAnsi="Calibri" w:cs="Calibri"/>
          <w:sz w:val="18"/>
          <w:szCs w:val="18"/>
          <w:lang w:val="en-GB"/>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1046782, ‘Baker report on malaria eradication in the Solomon Islands - comment [handwritten]’, [1983]. </w:t>
      </w:r>
    </w:p>
  </w:footnote>
  <w:footnote w:id="646">
    <w:p w14:paraId="5F94F346" w14:textId="26ACCE2B" w:rsidR="00CF189D" w:rsidRPr="00CF189D" w:rsidRDefault="00CF189D" w:rsidP="00DD4818">
      <w:pPr>
        <w:pStyle w:val="Footnotes"/>
        <w:rPr>
          <w:rFonts w:ascii="Calibri" w:hAnsi="Calibri" w:cs="Calibri"/>
          <w:sz w:val="18"/>
          <w:szCs w:val="18"/>
          <w:lang w:val="en-GB"/>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1046782, ‘Baker report on malaria eradication in the Solomon Islands - comment [handwritten]’, [1983]. </w:t>
      </w:r>
    </w:p>
  </w:footnote>
  <w:footnote w:id="647">
    <w:p w14:paraId="1F7566CA" w14:textId="1763B648"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footnoteRef/>
      </w:r>
      <w:r w:rsidRPr="00CF189D">
        <w:rPr>
          <w:rFonts w:ascii="Calibri" w:hAnsi="Calibri" w:cs="Calibri"/>
          <w:sz w:val="18"/>
          <w:szCs w:val="18"/>
        </w:rPr>
        <w:t xml:space="preserve"> </w:t>
      </w:r>
      <w:r w:rsidRPr="00546CBA">
        <w:rPr>
          <w:rFonts w:ascii="Calibri" w:hAnsi="Calibri" w:cs="Calibri"/>
          <w:sz w:val="18"/>
          <w:szCs w:val="18"/>
        </w:rPr>
        <w:t xml:space="preserve">Mills A, ‘Leopard or chameleon? The changing character of international health economics’, </w:t>
      </w:r>
      <w:r w:rsidRPr="00546CBA">
        <w:rPr>
          <w:rFonts w:ascii="Calibri" w:hAnsi="Calibri" w:cs="Calibri"/>
          <w:i/>
          <w:iCs/>
          <w:sz w:val="18"/>
          <w:szCs w:val="18"/>
        </w:rPr>
        <w:t xml:space="preserve">Tropical Medicine and International Health </w:t>
      </w:r>
      <w:r w:rsidRPr="00546CBA">
        <w:rPr>
          <w:rFonts w:ascii="Calibri" w:hAnsi="Calibri" w:cs="Calibri"/>
          <w:sz w:val="18"/>
          <w:szCs w:val="18"/>
        </w:rPr>
        <w:t>2:10 (1997), 963-977.</w:t>
      </w:r>
    </w:p>
  </w:footnote>
  <w:footnote w:id="648">
    <w:p w14:paraId="7045B292" w14:textId="574AE2D6" w:rsidR="00CF189D" w:rsidRPr="00CF189D" w:rsidRDefault="00CF189D" w:rsidP="00DD4818">
      <w:pPr>
        <w:pStyle w:val="Footnotes"/>
        <w:rPr>
          <w:rFonts w:ascii="Calibri" w:hAnsi="Calibri" w:cs="Calibri"/>
          <w:sz w:val="18"/>
          <w:szCs w:val="18"/>
          <w:lang w:val="en-GB"/>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World Bank Group Archives Oral History Program, </w:t>
      </w:r>
      <w:r w:rsidRPr="00CF189D">
        <w:rPr>
          <w:rFonts w:ascii="Calibri" w:hAnsi="Calibri" w:cs="Calibri"/>
          <w:i/>
          <w:sz w:val="18"/>
          <w:szCs w:val="18"/>
        </w:rPr>
        <w:t xml:space="preserve">Transcript of an interview with Bruce Benton </w:t>
      </w:r>
      <w:r w:rsidRPr="00CF189D">
        <w:rPr>
          <w:rFonts w:ascii="Calibri" w:hAnsi="Calibri" w:cs="Calibri"/>
          <w:sz w:val="18"/>
          <w:szCs w:val="18"/>
        </w:rPr>
        <w:t>(Washington DC: World Bank, 2006), 51.</w:t>
      </w:r>
    </w:p>
  </w:footnote>
  <w:footnote w:id="649">
    <w:p w14:paraId="68FA3A96" w14:textId="4EB2ED18"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546CBA">
        <w:rPr>
          <w:rFonts w:ascii="Calibri" w:hAnsi="Calibri" w:cs="Calibri"/>
          <w:i/>
          <w:color w:val="000000" w:themeColor="text1"/>
          <w:sz w:val="18"/>
          <w:szCs w:val="18"/>
        </w:rPr>
        <w:t xml:space="preserve">Transcript of an interview with Bruce Benton </w:t>
      </w:r>
      <w:r w:rsidRPr="00546CBA">
        <w:rPr>
          <w:rFonts w:ascii="Calibri" w:hAnsi="Calibri" w:cs="Calibri"/>
          <w:color w:val="000000" w:themeColor="text1"/>
          <w:sz w:val="18"/>
          <w:szCs w:val="18"/>
        </w:rPr>
        <w:t>(2006), 51-52.</w:t>
      </w:r>
    </w:p>
  </w:footnote>
  <w:footnote w:id="650">
    <w:p w14:paraId="3CE08BB1" w14:textId="332BF2FA"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UNA, s-0553-14-6, Ralph Townley, ‘Administrator’s brief for the meeting with the executive heads of WHO, FAO and IBRD, London, April 1972’, 31 March 1972.</w:t>
      </w:r>
    </w:p>
  </w:footnote>
  <w:footnote w:id="651">
    <w:p w14:paraId="0D5BDA7F" w14:textId="569C3E2C" w:rsidR="00CF189D" w:rsidRPr="00CF189D" w:rsidRDefault="00CF189D" w:rsidP="00DD4818">
      <w:pPr>
        <w:pStyle w:val="Footnotes"/>
        <w:rPr>
          <w:rFonts w:ascii="Calibri" w:hAnsi="Calibri" w:cs="Calibri"/>
          <w: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UNA, s-0553-14-6, Ralph Townley, ‘Administrator’s brief for the meeting with the executive heads of WHO, FAO and IBRD, London, April 1972’, 31 March 1972.</w:t>
      </w:r>
    </w:p>
  </w:footnote>
  <w:footnote w:id="652">
    <w:p w14:paraId="17DA01C5" w14:textId="13A8144C"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See WBGA, 30137064, Stephen Denning to Bilsel Alisbah, ‘Work implications of the Onchocerciasis Control Programme (OCP)’, 19 January 1982.</w:t>
      </w:r>
    </w:p>
  </w:footnote>
  <w:footnote w:id="653">
    <w:p w14:paraId="2182AEEC" w14:textId="3C2E5044"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NA, OD 113/24, P.T. Haskell to Terry Cox, 'WHO oncho programme: Expert Advisory Committee meeting, September’, 25 September 1980.</w:t>
      </w:r>
    </w:p>
  </w:footnote>
  <w:footnote w:id="654">
    <w:p w14:paraId="2D7D4ABC" w14:textId="49B344E1" w:rsidR="00CF189D" w:rsidRPr="00CF189D" w:rsidRDefault="00CF189D" w:rsidP="00DD4818">
      <w:pPr>
        <w:pStyle w:val="Footnotes"/>
        <w:rPr>
          <w:rFonts w:ascii="Calibri" w:hAnsi="Calibri" w:cs="Calibri"/>
          <w: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NA, OD 113/24, P.T. Haskell to Terry Cox, 'WHO oncho programme: Expert Advisory Committee meeting, September’, 25 September 1980.</w:t>
      </w:r>
    </w:p>
  </w:footnote>
  <w:footnote w:id="655">
    <w:p w14:paraId="3AA8CE36" w14:textId="1A06CA92" w:rsidR="00CF189D" w:rsidRPr="00CF189D" w:rsidRDefault="00CF189D" w:rsidP="00DD4818">
      <w:pPr>
        <w:pStyle w:val="Footnotes"/>
        <w:rPr>
          <w:rFonts w:ascii="Calibri" w:hAnsi="Calibri" w:cs="Calibri"/>
          <w:sz w:val="18"/>
          <w:szCs w:val="18"/>
          <w:lang w:val="en-GB"/>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There were some issues with this arrangement, and Gordon Smith wrote privately to Mahler about how he had felt overly managed by the OCP secretariat for his mission, which made its independence questionable. See </w:t>
      </w:r>
      <w:r w:rsidRPr="00CF189D">
        <w:rPr>
          <w:rFonts w:ascii="Calibri" w:hAnsi="Calibri" w:cs="Calibri"/>
          <w:sz w:val="18"/>
          <w:szCs w:val="18"/>
          <w:lang w:val="en-GB"/>
        </w:rPr>
        <w:t>FAOA, 10-AGS-241, November 1981-March 1982, C.E. Gordon Smith to Halfdan Mahler, 4 January 1982.</w:t>
      </w:r>
    </w:p>
  </w:footnote>
  <w:footnote w:id="656">
    <w:p w14:paraId="6436476D" w14:textId="5D8E1757"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1865706, M.S.O. Nicholas, ‘UN 17/16, strictly confidential, aide memoire’, 2 November 1987.</w:t>
      </w:r>
    </w:p>
  </w:footnote>
  <w:footnote w:id="657">
    <w:p w14:paraId="7E7ABF1A" w14:textId="4A5A9D17"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1300688, ‘Oncho information, OCP/14 [handwritten note to Bruce Benton]’, 7 July 1987.</w:t>
      </w:r>
    </w:p>
  </w:footnote>
  <w:footnote w:id="658">
    <w:p w14:paraId="46023252" w14:textId="17659E64"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30137065, Bruce Benton to Jean Louis Sarbie, 25 October 1994.</w:t>
      </w:r>
    </w:p>
  </w:footnote>
  <w:footnote w:id="659">
    <w:p w14:paraId="7489B633" w14:textId="4D3551FC"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Carney stated that the Bank saw ‘prime candidates’ for development projects in the freed lands as cattle, corn, maize, millet, sorghum, rice, kanaf, and sugar.</w:t>
      </w:r>
    </w:p>
  </w:footnote>
  <w:footnote w:id="660">
    <w:p w14:paraId="621FB28B" w14:textId="1BDC37D2"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10-AGD-405, September 1976-November 1984, David Carney, ‘Development or economic development of the oncho-freed zones of the Volta Basin – or options in-between’, [1976].</w:t>
      </w:r>
    </w:p>
  </w:footnote>
  <w:footnote w:id="661">
    <w:p w14:paraId="75116D9D" w14:textId="13C479E6"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10-AGD-405, September 1976-November 1984, David Carney, ‘Development or economic development of the oncho-freed zones of the Volta Basin – or options in-between’, [1976].</w:t>
      </w:r>
    </w:p>
  </w:footnote>
  <w:footnote w:id="662">
    <w:p w14:paraId="38A70830" w14:textId="1F658FC7"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10-AGD-405, September 1976-November 1984, ‘FAO’s role in connection with the Onchocerciasis Control Programme, draft’, November 1983.</w:t>
      </w:r>
    </w:p>
  </w:footnote>
  <w:footnote w:id="663">
    <w:p w14:paraId="7AF1DF7E" w14:textId="094E28A9"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10-AGS-239, February-June 1979, T.S.B. Aribisala to D.F.R. Bommer, ‘Back-to-office report after attendance in Paris at the 5</w:t>
      </w:r>
      <w:r w:rsidRPr="00CF189D">
        <w:rPr>
          <w:rFonts w:ascii="Calibri" w:hAnsi="Calibri" w:cs="Calibri"/>
          <w:sz w:val="18"/>
          <w:szCs w:val="18"/>
          <w:vertAlign w:val="superscript"/>
        </w:rPr>
        <w:t>th</w:t>
      </w:r>
      <w:r w:rsidRPr="00CF189D">
        <w:rPr>
          <w:rFonts w:ascii="Calibri" w:hAnsi="Calibri" w:cs="Calibri"/>
          <w:sz w:val="18"/>
          <w:szCs w:val="18"/>
        </w:rPr>
        <w:t xml:space="preserve"> meeting of EDAP (11-13 September 1978) to review the draft of the evaluation report on the socio-economic development of the onchocerciasis areas in West Africa and the 23</w:t>
      </w:r>
      <w:r w:rsidRPr="00CF189D">
        <w:rPr>
          <w:rFonts w:ascii="Calibri" w:hAnsi="Calibri" w:cs="Calibri"/>
          <w:sz w:val="18"/>
          <w:szCs w:val="18"/>
          <w:vertAlign w:val="superscript"/>
        </w:rPr>
        <w:t>rd</w:t>
      </w:r>
      <w:r w:rsidRPr="00CF189D">
        <w:rPr>
          <w:rFonts w:ascii="Calibri" w:hAnsi="Calibri" w:cs="Calibri"/>
          <w:sz w:val="18"/>
          <w:szCs w:val="18"/>
        </w:rPr>
        <w:t xml:space="preserve"> session of the Steering Committee (13-15 September 1977)’, 9 February 1979.</w:t>
      </w:r>
    </w:p>
  </w:footnote>
  <w:footnote w:id="664">
    <w:p w14:paraId="2C17DE9C" w14:textId="57003598"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1300644, P.L. Arens to T.S.B. Aribisala, ‘Comments on Onchocerciasis Control Programme’, 12 September 1978.</w:t>
      </w:r>
    </w:p>
  </w:footnote>
  <w:footnote w:id="665">
    <w:p w14:paraId="2AC3C7A3" w14:textId="3A715B6D"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10-AGS-241, April-August 1982, C.G. Groom to M.S.O. Nicholas, ‘Duty travel to Geneva 28-30 June 1982 - back-to-office report’, 30 June 1982.</w:t>
      </w:r>
    </w:p>
  </w:footnote>
  <w:footnote w:id="666">
    <w:p w14:paraId="33CE7E33" w14:textId="24D8F280"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10-AGS-241, April-August 1982, Quentin Peel, ‘The impact of strong medicine on the fragile [with handwritten FAO staff notes]’, </w:t>
      </w:r>
      <w:r w:rsidRPr="00CF189D">
        <w:rPr>
          <w:rFonts w:ascii="Calibri" w:hAnsi="Calibri" w:cs="Calibri"/>
          <w:i/>
          <w:iCs/>
          <w:sz w:val="18"/>
          <w:szCs w:val="18"/>
        </w:rPr>
        <w:t>Financial Times</w:t>
      </w:r>
      <w:r w:rsidRPr="00CF189D">
        <w:rPr>
          <w:rFonts w:ascii="Calibri" w:hAnsi="Calibri" w:cs="Calibri"/>
          <w:iCs/>
          <w:sz w:val="18"/>
          <w:szCs w:val="18"/>
        </w:rPr>
        <w:t xml:space="preserve">, </w:t>
      </w:r>
      <w:r w:rsidRPr="00CF189D">
        <w:rPr>
          <w:rFonts w:ascii="Calibri" w:hAnsi="Calibri" w:cs="Calibri"/>
          <w:sz w:val="18"/>
          <w:szCs w:val="18"/>
        </w:rPr>
        <w:t>9 August 1982.</w:t>
      </w:r>
    </w:p>
  </w:footnote>
  <w:footnote w:id="667">
    <w:p w14:paraId="13CC3708" w14:textId="71F2379B"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10-AGS-241, April-August 1982, Quentin Peel, ‘The impact of strong medicine on the fragile [with handwritten FAO staff notes]’, </w:t>
      </w:r>
      <w:r w:rsidRPr="00CF189D">
        <w:rPr>
          <w:rFonts w:ascii="Calibri" w:hAnsi="Calibri" w:cs="Calibri"/>
          <w:i/>
          <w:iCs/>
          <w:sz w:val="18"/>
          <w:szCs w:val="18"/>
        </w:rPr>
        <w:t>Financial Times</w:t>
      </w:r>
      <w:r w:rsidRPr="00CF189D">
        <w:rPr>
          <w:rFonts w:ascii="Calibri" w:hAnsi="Calibri" w:cs="Calibri"/>
          <w:iCs/>
          <w:sz w:val="18"/>
          <w:szCs w:val="18"/>
        </w:rPr>
        <w:t xml:space="preserve">, </w:t>
      </w:r>
      <w:r w:rsidRPr="00CF189D">
        <w:rPr>
          <w:rFonts w:ascii="Calibri" w:hAnsi="Calibri" w:cs="Calibri"/>
          <w:sz w:val="18"/>
          <w:szCs w:val="18"/>
        </w:rPr>
        <w:t>9 August 1982. Reproduced under CC BY-NC-SA 3.0 IGO.</w:t>
      </w:r>
    </w:p>
  </w:footnote>
  <w:footnote w:id="668">
    <w:p w14:paraId="1C67F2D8" w14:textId="68AAF52A" w:rsidR="00CF189D" w:rsidRPr="00CF189D" w:rsidRDefault="00CF189D" w:rsidP="00DD4818">
      <w:pPr>
        <w:pStyle w:val="Footnotes"/>
        <w:rPr>
          <w:rFonts w:ascii="Calibri" w:hAnsi="Calibri" w:cs="Calibri"/>
          <w:sz w:val="18"/>
          <w:szCs w:val="18"/>
          <w:lang w:val="en-GB"/>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t>
      </w:r>
      <w:r w:rsidRPr="00CF189D">
        <w:rPr>
          <w:rFonts w:ascii="Calibri" w:hAnsi="Calibri" w:cs="Calibri"/>
          <w:sz w:val="18"/>
          <w:szCs w:val="18"/>
          <w:shd w:val="clear" w:color="auto" w:fill="FFFFFF"/>
        </w:rPr>
        <w:t xml:space="preserve">World Bank, Accelerated development in </w:t>
      </w:r>
      <w:r w:rsidRPr="00546CBA">
        <w:rPr>
          <w:rFonts w:ascii="Calibri" w:hAnsi="Calibri" w:cs="Calibri"/>
          <w:sz w:val="18"/>
          <w:szCs w:val="18"/>
          <w:shd w:val="clear" w:color="auto" w:fill="FFFFFF"/>
        </w:rPr>
        <w:t>S</w:t>
      </w:r>
      <w:r w:rsidRPr="00CF189D">
        <w:rPr>
          <w:rFonts w:ascii="Calibri" w:hAnsi="Calibri" w:cs="Calibri"/>
          <w:sz w:val="18"/>
          <w:szCs w:val="18"/>
          <w:shd w:val="clear" w:color="auto" w:fill="FFFFFF"/>
        </w:rPr>
        <w:t>ub-Saharan Africa: an agenda for action (Washington DC: World Bank, 1981).</w:t>
      </w:r>
    </w:p>
  </w:footnote>
  <w:footnote w:id="669">
    <w:p w14:paraId="5ADC0024" w14:textId="018C31F1" w:rsidR="00CF189D" w:rsidRPr="00CF189D" w:rsidRDefault="00CF189D" w:rsidP="00DD4818">
      <w:pPr>
        <w:pStyle w:val="Footnotes"/>
        <w:rPr>
          <w:rFonts w:ascii="Calibri" w:hAnsi="Calibri" w:cs="Calibri"/>
          <w:sz w:val="18"/>
          <w:szCs w:val="18"/>
          <w:lang w:val="en-GB"/>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t>
      </w:r>
      <w:r w:rsidRPr="00CF189D">
        <w:rPr>
          <w:rFonts w:ascii="Calibri" w:hAnsi="Calibri" w:cs="Calibri"/>
          <w:sz w:val="18"/>
          <w:szCs w:val="18"/>
          <w:shd w:val="clear" w:color="auto" w:fill="FFFFFF"/>
        </w:rPr>
        <w:t xml:space="preserve">World Bank, Accelerated development in </w:t>
      </w:r>
      <w:r w:rsidRPr="00546CBA">
        <w:rPr>
          <w:rFonts w:ascii="Calibri" w:hAnsi="Calibri" w:cs="Calibri"/>
          <w:sz w:val="18"/>
          <w:szCs w:val="18"/>
          <w:shd w:val="clear" w:color="auto" w:fill="FFFFFF"/>
        </w:rPr>
        <w:t>S</w:t>
      </w:r>
      <w:r w:rsidRPr="00CF189D">
        <w:rPr>
          <w:rFonts w:ascii="Calibri" w:hAnsi="Calibri" w:cs="Calibri"/>
          <w:sz w:val="18"/>
          <w:szCs w:val="18"/>
          <w:shd w:val="clear" w:color="auto" w:fill="FFFFFF"/>
        </w:rPr>
        <w:t xml:space="preserve">ub-Saharan Africa: an agenda for action (Washington DC: World Bank, 1981), </w:t>
      </w:r>
      <w:r w:rsidRPr="00CF189D">
        <w:rPr>
          <w:rFonts w:ascii="Calibri" w:hAnsi="Calibri" w:cs="Calibri"/>
          <w:sz w:val="18"/>
          <w:szCs w:val="18"/>
          <w:lang w:val="en-GB"/>
        </w:rPr>
        <w:t xml:space="preserve">v. </w:t>
      </w:r>
    </w:p>
  </w:footnote>
  <w:footnote w:id="670">
    <w:p w14:paraId="44FE3D58" w14:textId="67A6E237"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10-AGS-241, April-August 1982, Quentin Peel, ‘The impact of strong medicine on the fragile [with handwritten FAO staff notes]’, </w:t>
      </w:r>
      <w:r w:rsidRPr="00CF189D">
        <w:rPr>
          <w:rFonts w:ascii="Calibri" w:hAnsi="Calibri" w:cs="Calibri"/>
          <w:i/>
          <w:iCs/>
          <w:sz w:val="18"/>
          <w:szCs w:val="18"/>
        </w:rPr>
        <w:t>Financial Times</w:t>
      </w:r>
      <w:r w:rsidRPr="00CF189D">
        <w:rPr>
          <w:rFonts w:ascii="Calibri" w:hAnsi="Calibri" w:cs="Calibri"/>
          <w:iCs/>
          <w:sz w:val="18"/>
          <w:szCs w:val="18"/>
        </w:rPr>
        <w:t xml:space="preserve">, </w:t>
      </w:r>
      <w:r w:rsidRPr="00CF189D">
        <w:rPr>
          <w:rFonts w:ascii="Calibri" w:hAnsi="Calibri" w:cs="Calibri"/>
          <w:sz w:val="18"/>
          <w:szCs w:val="18"/>
        </w:rPr>
        <w:t xml:space="preserve">9 August 1982. A good example of contemporary criticism of the </w:t>
      </w:r>
      <w:r w:rsidRPr="00CF189D">
        <w:rPr>
          <w:rFonts w:ascii="Calibri" w:hAnsi="Calibri" w:cs="Calibri"/>
          <w:i/>
          <w:sz w:val="18"/>
          <w:szCs w:val="18"/>
        </w:rPr>
        <w:t xml:space="preserve">Accelerated development </w:t>
      </w:r>
      <w:r w:rsidRPr="00CF189D">
        <w:rPr>
          <w:rFonts w:ascii="Calibri" w:hAnsi="Calibri" w:cs="Calibri"/>
          <w:sz w:val="18"/>
          <w:szCs w:val="18"/>
        </w:rPr>
        <w:t xml:space="preserve">report is Gordon DF and Parker JC, </w:t>
      </w:r>
      <w:r w:rsidRPr="00CF189D">
        <w:rPr>
          <w:rFonts w:ascii="Calibri" w:hAnsi="Calibri" w:cs="Calibri"/>
          <w:i/>
          <w:sz w:val="18"/>
          <w:szCs w:val="18"/>
        </w:rPr>
        <w:t xml:space="preserve">The World Bank and its critics: the case of sub-Saharan Africa </w:t>
      </w:r>
      <w:r w:rsidRPr="00CF189D">
        <w:rPr>
          <w:rFonts w:ascii="Calibri" w:hAnsi="Calibri" w:cs="Calibri"/>
          <w:sz w:val="18"/>
          <w:szCs w:val="18"/>
        </w:rPr>
        <w:t>(Ann Arbor: University of Michigan, 1984). Gordon and Parker identify five main criticisms, including the report’s overall assumptions and philosophy (as overtly Western-oriented); its explanation for the causes of Africa’s economic crisis (focused on African governmental policy mistakes); its broad emphasis on agricultural exports and a reduced public sector role; its policy recommendations emphasising price policy adjustments; and its lack of administrative feasibility.</w:t>
      </w:r>
    </w:p>
  </w:footnote>
  <w:footnote w:id="671">
    <w:p w14:paraId="688431C2" w14:textId="020BE202"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10-AGS-241, April-August 1982, C.G. Groom to M.S.O. Nicholas, ‘Duty travel to Geneva 28-30 June 1982 – back-to-office report’, 30 June 1982.</w:t>
      </w:r>
    </w:p>
  </w:footnote>
  <w:footnote w:id="672">
    <w:p w14:paraId="3275C2AF" w14:textId="2DC7601B"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UNA, s-0553-14-6, Ralph Townley to Sture Linner, ‘Onchocerciasis: Accra meeting, 10-13 October 1972’, 30 October 1972.</w:t>
      </w:r>
    </w:p>
  </w:footnote>
  <w:footnote w:id="673">
    <w:p w14:paraId="6ABA79EE" w14:textId="25D137F9"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10-AGS-240, November 1979-January 1980, ‘Speech by Bonte-Friedham, JCC 6</w:t>
      </w:r>
      <w:r w:rsidRPr="00CF189D">
        <w:rPr>
          <w:rFonts w:ascii="Calibri" w:hAnsi="Calibri" w:cs="Calibri"/>
          <w:sz w:val="18"/>
          <w:szCs w:val="18"/>
          <w:vertAlign w:val="superscript"/>
        </w:rPr>
        <w:t>th</w:t>
      </w:r>
      <w:r w:rsidRPr="00CF189D">
        <w:rPr>
          <w:rFonts w:ascii="Calibri" w:hAnsi="Calibri" w:cs="Calibri"/>
          <w:sz w:val="18"/>
          <w:szCs w:val="18"/>
        </w:rPr>
        <w:t xml:space="preserve"> session, FAO’S past, present and future role’, [1980].</w:t>
      </w:r>
    </w:p>
  </w:footnote>
  <w:footnote w:id="674">
    <w:p w14:paraId="0EE48ECF" w14:textId="0692063A"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D75220, ‘Onchocerciasis control program in West Africa – committee of sponsoring agencies – DOC [Record Removal Notice]’, 1 January 1993.</w:t>
      </w:r>
    </w:p>
  </w:footnote>
  <w:footnote w:id="675">
    <w:p w14:paraId="71474B86" w14:textId="39F40D4D" w:rsidR="00CF189D" w:rsidRPr="00CF189D" w:rsidRDefault="00CF189D" w:rsidP="00DD4818">
      <w:pPr>
        <w:pStyle w:val="Footnotes"/>
        <w:rPr>
          <w:rFonts w:ascii="Calibri" w:hAnsi="Calibri" w:cs="Calibri"/>
          <w:sz w:val="18"/>
          <w:szCs w:val="18"/>
          <w:lang w:val="en-GB"/>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OCP, External review of the Onchocerciasis Control Programme (Geneva: WHO, 1990).</w:t>
      </w:r>
    </w:p>
  </w:footnote>
  <w:footnote w:id="676">
    <w:p w14:paraId="572959F3" w14:textId="1DFA193D" w:rsidR="00CF189D" w:rsidRPr="00CF189D" w:rsidRDefault="00CF189D" w:rsidP="00DD4818">
      <w:pPr>
        <w:pStyle w:val="Footnotes"/>
        <w:rPr>
          <w:rFonts w:ascii="Calibri" w:hAnsi="Calibri" w:cs="Calibri"/>
          <w:sz w:val="18"/>
          <w:szCs w:val="18"/>
          <w:lang w:val="en-GB"/>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World Bank, Transcript of an interview with Bruce Benton (2006), 99.</w:t>
      </w:r>
    </w:p>
  </w:footnote>
  <w:footnote w:id="677">
    <w:p w14:paraId="686CAC4C" w14:textId="073942E1"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1300663, Declar Walton to S Flache, 18 June 1979.</w:t>
      </w:r>
    </w:p>
  </w:footnote>
  <w:footnote w:id="678">
    <w:p w14:paraId="2C1AC477" w14:textId="42102FE6"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10-AGS-240, November 1979-January 1980, ‘Steering Committee for Onchocerciasis Control in the Volta River basin area, report of its twenty-sixth session, New York’, 28-29 June 1979. </w:t>
      </w:r>
    </w:p>
  </w:footnote>
  <w:footnote w:id="679">
    <w:p w14:paraId="19EFCF71" w14:textId="4DDC0638"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10-AGS-239, September 1979, C. Bonte-Friedheim and C.G. Groom, ‘Comments on the draft WHO annual report (1979) on the progress of the Onchocerciasis Control Programme’, 20 September 1979.</w:t>
      </w:r>
    </w:p>
  </w:footnote>
  <w:footnote w:id="680">
    <w:p w14:paraId="1FF5DD19" w14:textId="0FC7C7E5"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10-AGS-239, September 1979, C.G. Groom, ‘Working copy, OCP/PR/79.4, draft, progress report of the World Health Organization for 1979’, [September 1979].</w:t>
      </w:r>
    </w:p>
  </w:footnote>
  <w:footnote w:id="681">
    <w:p w14:paraId="362FC0A7" w14:textId="4D3D3730"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10-AGS-239, September 1979, C.G. Groom, ‘Working copy, OCP/PR/79.4, draft, progress report of the World Health Organization for 1979’, [September 1979]. Reproduced under CC BY-NC-SA 3.0 IGO.</w:t>
      </w:r>
    </w:p>
  </w:footnote>
  <w:footnote w:id="682">
    <w:p w14:paraId="242C83B8" w14:textId="59A2371B"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10-AGS-240, November 1979-January 1980, ‘Back-to-office report, 28</w:t>
      </w:r>
      <w:r w:rsidRPr="00CF189D">
        <w:rPr>
          <w:rFonts w:ascii="Calibri" w:hAnsi="Calibri" w:cs="Calibri"/>
          <w:sz w:val="18"/>
          <w:szCs w:val="18"/>
          <w:vertAlign w:val="superscript"/>
        </w:rPr>
        <w:t>th</w:t>
      </w:r>
      <w:r w:rsidRPr="00CF189D">
        <w:rPr>
          <w:rFonts w:ascii="Calibri" w:hAnsi="Calibri" w:cs="Calibri"/>
          <w:sz w:val="18"/>
          <w:szCs w:val="18"/>
        </w:rPr>
        <w:t xml:space="preserve"> Steering Committee, 6</w:t>
      </w:r>
      <w:r w:rsidRPr="00CF189D">
        <w:rPr>
          <w:rFonts w:ascii="Calibri" w:hAnsi="Calibri" w:cs="Calibri"/>
          <w:sz w:val="18"/>
          <w:szCs w:val="18"/>
          <w:vertAlign w:val="superscript"/>
        </w:rPr>
        <w:t>th</w:t>
      </w:r>
      <w:r w:rsidRPr="00CF189D">
        <w:rPr>
          <w:rFonts w:ascii="Calibri" w:hAnsi="Calibri" w:cs="Calibri"/>
          <w:sz w:val="18"/>
          <w:szCs w:val="18"/>
        </w:rPr>
        <w:t xml:space="preserve"> JCC’, 1980.</w:t>
      </w:r>
    </w:p>
  </w:footnote>
  <w:footnote w:id="683">
    <w:p w14:paraId="5AC5EB2E" w14:textId="0395460D"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10-AGS-239, July-August 1979, E.H. West through D.F.R. Bommer to C. Bonte-Friedheim, ‘FAO’s financial involvement in the Onchocerciasis Control Programme’, 24 July 1979.</w:t>
      </w:r>
    </w:p>
  </w:footnote>
  <w:footnote w:id="684">
    <w:p w14:paraId="75DC2C88" w14:textId="00BD8441"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30137065, J.P. Dailly and André Prost to I. Husain and L. Hinkle, 13 April 1983.</w:t>
      </w:r>
    </w:p>
  </w:footnote>
  <w:footnote w:id="685">
    <w:p w14:paraId="55AE93DD" w14:textId="7C7CB52B" w:rsidR="00CF189D" w:rsidRPr="00CF189D" w:rsidRDefault="00CF189D" w:rsidP="00DD4818">
      <w:pPr>
        <w:pStyle w:val="Footnotes"/>
        <w:rPr>
          <w:rFonts w:ascii="Calibri" w:hAnsi="Calibri" w:cs="Calibri"/>
          <w:sz w:val="18"/>
          <w:szCs w:val="18"/>
          <w:lang w:val="en-GB"/>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World Bank, Transcript of an interview with Bruce Benton (2006), </w:t>
      </w:r>
      <w:r w:rsidRPr="00CF189D">
        <w:rPr>
          <w:rFonts w:ascii="Calibri" w:hAnsi="Calibri" w:cs="Calibri"/>
          <w:sz w:val="18"/>
          <w:szCs w:val="18"/>
          <w:lang w:val="en-GB"/>
        </w:rPr>
        <w:t>103-104.</w:t>
      </w:r>
    </w:p>
  </w:footnote>
  <w:footnote w:id="686">
    <w:p w14:paraId="256B5FA7" w14:textId="6FCB610A"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30137065, Bruce Benton to Jean Louis Sarbie, 24 October 1994.</w:t>
      </w:r>
    </w:p>
  </w:footnote>
  <w:footnote w:id="687">
    <w:p w14:paraId="23413F65" w14:textId="5E7A042B" w:rsidR="00CF189D" w:rsidRPr="00CF189D" w:rsidRDefault="00CF189D" w:rsidP="00DD4818">
      <w:pPr>
        <w:pStyle w:val="Footnotes"/>
        <w:rPr>
          <w:rFonts w:ascii="Calibri" w:hAnsi="Calibri" w:cs="Calibri"/>
          <w:sz w:val="18"/>
          <w:szCs w:val="18"/>
          <w:lang w:val="en-GB"/>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World Bank, Transcript of an interview with Bruce Benton (2006), 103-104.</w:t>
      </w:r>
    </w:p>
  </w:footnote>
  <w:footnote w:id="688">
    <w:p w14:paraId="54F3A9F1" w14:textId="1F17E836" w:rsidR="00CF189D" w:rsidRPr="00CF189D" w:rsidRDefault="00CF189D" w:rsidP="00DD4818">
      <w:pPr>
        <w:pStyle w:val="Footnotes"/>
        <w:rPr>
          <w:rFonts w:ascii="Calibri" w:hAnsi="Calibri" w:cs="Calibri"/>
          <w:sz w:val="18"/>
          <w:szCs w:val="18"/>
          <w:lang w:val="en-GB" w:eastAsia="en-GB"/>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These lessons include: identifying comparative advantages of each partner and dividing responsibilities accordingly; understanding the importance of personal relationships and trust; having precisely-defined objectives; displaying flexibility and compromise; making sure that all partners have a payoff for participating; having strong leadership to keep the coalition together; and spreading credit liberally and frequently among partners. </w:t>
      </w:r>
      <w:r w:rsidRPr="00CF189D">
        <w:rPr>
          <w:rFonts w:ascii="Calibri" w:hAnsi="Calibri" w:cs="Calibri"/>
          <w:sz w:val="18"/>
          <w:szCs w:val="18"/>
          <w:lang w:val="en-GB" w:eastAsia="en-GB"/>
        </w:rPr>
        <w:t xml:space="preserve">Ferroni M, </w:t>
      </w:r>
      <w:r w:rsidRPr="00CF189D">
        <w:rPr>
          <w:rFonts w:ascii="Calibri" w:hAnsi="Calibri" w:cs="Calibri"/>
          <w:i/>
          <w:sz w:val="18"/>
          <w:szCs w:val="18"/>
          <w:lang w:val="en-GB" w:eastAsia="en-GB"/>
        </w:rPr>
        <w:t xml:space="preserve">Reforming foreign aid: the role of international public goods </w:t>
      </w:r>
      <w:r w:rsidRPr="00CF189D">
        <w:rPr>
          <w:rFonts w:ascii="Calibri" w:hAnsi="Calibri" w:cs="Calibri"/>
          <w:sz w:val="18"/>
          <w:szCs w:val="18"/>
          <w:lang w:val="en-GB" w:eastAsia="en-GB"/>
        </w:rPr>
        <w:t>(Washington DC: World Bank, 2000), 17.</w:t>
      </w:r>
    </w:p>
  </w:footnote>
  <w:footnote w:id="689">
    <w:p w14:paraId="72B1EB50" w14:textId="72CD16B5"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30303429, Bruce Benton all-in-1 mail, ‘Onchocerciasis (river blindness) donors’ conference, 3-4 November’, 9 November 1994.</w:t>
      </w:r>
    </w:p>
  </w:footnote>
  <w:footnote w:id="690">
    <w:p w14:paraId="2E9D3DEC" w14:textId="2321A08D" w:rsidR="00CF189D" w:rsidRPr="00CF189D" w:rsidRDefault="00CF189D" w:rsidP="00DD4818">
      <w:pPr>
        <w:pStyle w:val="Footnotes"/>
        <w:rPr>
          <w:rFonts w:ascii="Calibri" w:hAnsi="Calibri" w:cs="Calibri"/>
          <w:sz w:val="18"/>
          <w:szCs w:val="18"/>
          <w:lang w:val="en-GB"/>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According to the Bank, by the late 1980s, these two agencies ‘unquestionably’ had the ‘largest influence over Programme decision-making of any agency or donor’. See </w:t>
      </w:r>
      <w:r w:rsidRPr="00CF189D">
        <w:rPr>
          <w:rFonts w:ascii="Calibri" w:hAnsi="Calibri" w:cs="Calibri"/>
          <w:sz w:val="18"/>
          <w:szCs w:val="18"/>
          <w:lang w:val="en-GB"/>
        </w:rPr>
        <w:t>WBGA, 1082688, Michael Gilette to Edward Jaycox, ‘Medium term budget framework for the West African riverblindness programme’, 3 November 1988.</w:t>
      </w:r>
    </w:p>
  </w:footnote>
  <w:footnote w:id="691">
    <w:p w14:paraId="615D42E6" w14:textId="0364DE4D" w:rsidR="00CF189D" w:rsidRPr="00CF189D" w:rsidRDefault="00CF189D" w:rsidP="00DD4818">
      <w:pPr>
        <w:pStyle w:val="Footnotes"/>
        <w:rPr>
          <w:rFonts w:ascii="Calibri" w:hAnsi="Calibri" w:cs="Calibri"/>
          <w:sz w:val="18"/>
          <w:szCs w:val="18"/>
          <w:lang w:val="en-GB"/>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OCP, External review (1990).</w:t>
      </w:r>
    </w:p>
  </w:footnote>
  <w:footnote w:id="692">
    <w:p w14:paraId="221CDD4C" w14:textId="7E1B463A"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546CBA">
        <w:rPr>
          <w:rFonts w:ascii="Calibri" w:hAnsi="Calibri" w:cs="Calibri"/>
          <w:color w:val="000000" w:themeColor="text1"/>
          <w:sz w:val="18"/>
          <w:szCs w:val="18"/>
          <w:lang w:eastAsia="en-GB"/>
        </w:rPr>
        <w:t xml:space="preserve">For instance, the Ecological Group of the OCP </w:t>
      </w:r>
      <w:r w:rsidRPr="00546CBA">
        <w:rPr>
          <w:rFonts w:ascii="Calibri" w:hAnsi="Calibri" w:cs="Calibri"/>
          <w:i/>
          <w:color w:val="000000" w:themeColor="text1"/>
          <w:sz w:val="18"/>
          <w:szCs w:val="18"/>
          <w:lang w:eastAsia="en-GB"/>
        </w:rPr>
        <w:t xml:space="preserve">was </w:t>
      </w:r>
      <w:r w:rsidRPr="00546CBA">
        <w:rPr>
          <w:rFonts w:ascii="Calibri" w:hAnsi="Calibri" w:cs="Calibri"/>
          <w:color w:val="000000" w:themeColor="text1"/>
          <w:sz w:val="18"/>
          <w:szCs w:val="18"/>
          <w:lang w:eastAsia="en-GB"/>
        </w:rPr>
        <w:t>a successful area of OCP collaboration.</w:t>
      </w:r>
    </w:p>
  </w:footnote>
  <w:footnote w:id="693">
    <w:p w14:paraId="127E2597" w14:textId="2C7C3883"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Hunter et al., </w:t>
      </w:r>
      <w:r w:rsidRPr="00CF189D">
        <w:rPr>
          <w:rFonts w:ascii="Calibri" w:hAnsi="Calibri" w:cs="Calibri"/>
          <w:i/>
          <w:sz w:val="18"/>
          <w:szCs w:val="18"/>
        </w:rPr>
        <w:t xml:space="preserve">Parasitic diseases </w:t>
      </w:r>
      <w:r w:rsidRPr="00CF189D">
        <w:rPr>
          <w:rFonts w:ascii="Calibri" w:hAnsi="Calibri" w:cs="Calibri"/>
          <w:sz w:val="18"/>
          <w:szCs w:val="18"/>
        </w:rPr>
        <w:t>(1993), 97.</w:t>
      </w:r>
    </w:p>
  </w:footnote>
  <w:footnote w:id="694">
    <w:p w14:paraId="0DA789AF" w14:textId="441C32EA" w:rsidR="00CF189D" w:rsidRPr="00581494" w:rsidRDefault="00CF189D" w:rsidP="00B86D8C">
      <w:pPr>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Group Historian’s Office Oral History Program, </w:t>
      </w:r>
      <w:r w:rsidRPr="00546CBA">
        <w:rPr>
          <w:rFonts w:ascii="Calibri" w:hAnsi="Calibri" w:cs="Calibri"/>
          <w:i/>
          <w:color w:val="000000" w:themeColor="text1"/>
          <w:sz w:val="18"/>
          <w:szCs w:val="18"/>
        </w:rPr>
        <w:t xml:space="preserve">Transcript of interview with Edward V.K. Jaycox </w:t>
      </w:r>
      <w:r w:rsidRPr="00681100">
        <w:rPr>
          <w:rFonts w:ascii="Calibri" w:hAnsi="Calibri" w:cs="Calibri"/>
          <w:color w:val="000000" w:themeColor="text1"/>
          <w:sz w:val="18"/>
          <w:szCs w:val="18"/>
        </w:rPr>
        <w:t>(Washington DC: World Bank, 1995), Volume 4, 71. Four factors contributed to this agreement - there was no macrofilaricide suit</w:t>
      </w:r>
      <w:r w:rsidRPr="000045FB">
        <w:rPr>
          <w:rFonts w:ascii="Calibri" w:hAnsi="Calibri" w:cs="Calibri"/>
          <w:color w:val="000000" w:themeColor="text1"/>
          <w:sz w:val="18"/>
          <w:szCs w:val="18"/>
        </w:rPr>
        <w:t xml:space="preserve">able for use in field conditions (which meant that vector control might have to go on indefinitely); pharmaceutical companies had little market incentive to invest in developing such a drug; the Bank questioned the WHO’s technical ability to guide drug research; and the Bank felt that its growing technical expertise and market experience was necessary to have a ‘reasonable chance of success’ in drug development. </w:t>
      </w:r>
    </w:p>
  </w:footnote>
  <w:footnote w:id="695">
    <w:p w14:paraId="4481356F" w14:textId="7BD70AED"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Whelan L, ‘This company gave away a drug that just won the Nobel Prize and helped millions: big pharma helped these scientists to eliminate two horrible diseases’, </w:t>
      </w:r>
      <w:r w:rsidRPr="00681100">
        <w:rPr>
          <w:rFonts w:ascii="Calibri" w:hAnsi="Calibri" w:cs="Calibri"/>
          <w:i/>
          <w:color w:val="000000" w:themeColor="text1"/>
          <w:sz w:val="18"/>
          <w:szCs w:val="18"/>
        </w:rPr>
        <w:t xml:space="preserve">Mother Jones, </w:t>
      </w:r>
      <w:r w:rsidRPr="00681100">
        <w:rPr>
          <w:rFonts w:ascii="Calibri" w:hAnsi="Calibri" w:cs="Calibri"/>
          <w:color w:val="000000" w:themeColor="text1"/>
          <w:sz w:val="18"/>
          <w:szCs w:val="18"/>
        </w:rPr>
        <w:t>5 October 2015.</w:t>
      </w:r>
    </w:p>
  </w:footnote>
  <w:footnote w:id="696">
    <w:p w14:paraId="61EAEAD2" w14:textId="3A0F3B64"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30304889, ‘Notes for remarks by Dr Halfdan Mahler Director General World Health Organization, at a press conference held by Merck &amp; Co., </w:t>
      </w:r>
      <w:r w:rsidRPr="00681100">
        <w:rPr>
          <w:rFonts w:ascii="Calibri" w:hAnsi="Calibri" w:cs="Calibri"/>
          <w:color w:val="000000" w:themeColor="text1"/>
          <w:sz w:val="18"/>
          <w:szCs w:val="18"/>
        </w:rPr>
        <w:t>Inc. Washington and Paris’, 21 October 1987.</w:t>
      </w:r>
    </w:p>
  </w:footnote>
  <w:footnote w:id="697">
    <w:p w14:paraId="0F21BF3B" w14:textId="26D40DA7" w:rsidR="00CF189D" w:rsidRPr="00E259A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30304889, Waldholz M, ‘Merck to donate drug for “river blindness”’, </w:t>
      </w:r>
      <w:r w:rsidRPr="00546CBA">
        <w:rPr>
          <w:rFonts w:ascii="Calibri" w:hAnsi="Calibri" w:cs="Calibri"/>
          <w:i/>
          <w:color w:val="000000" w:themeColor="text1"/>
          <w:sz w:val="18"/>
          <w:szCs w:val="18"/>
        </w:rPr>
        <w:t xml:space="preserve">Wall Street Journal, </w:t>
      </w:r>
      <w:r w:rsidRPr="00546CBA">
        <w:rPr>
          <w:rFonts w:ascii="Calibri" w:hAnsi="Calibri" w:cs="Calibri"/>
          <w:color w:val="000000" w:themeColor="text1"/>
          <w:sz w:val="18"/>
          <w:szCs w:val="18"/>
        </w:rPr>
        <w:t xml:space="preserve">22 October 1987; WBGA, 30304889, s.a., ‘Merck offers free distribution of new river blindness drug’, </w:t>
      </w:r>
      <w:r w:rsidRPr="00681100">
        <w:rPr>
          <w:rFonts w:ascii="Calibri" w:hAnsi="Calibri" w:cs="Calibri"/>
          <w:i/>
          <w:color w:val="000000" w:themeColor="text1"/>
          <w:sz w:val="18"/>
          <w:szCs w:val="18"/>
        </w:rPr>
        <w:t xml:space="preserve">New York Times, </w:t>
      </w:r>
      <w:r w:rsidRPr="00681100">
        <w:rPr>
          <w:rFonts w:ascii="Calibri" w:hAnsi="Calibri" w:cs="Calibri"/>
          <w:color w:val="000000" w:themeColor="text1"/>
          <w:sz w:val="18"/>
          <w:szCs w:val="18"/>
        </w:rPr>
        <w:t>22 Octo</w:t>
      </w:r>
      <w:r w:rsidRPr="000045FB">
        <w:rPr>
          <w:rFonts w:ascii="Calibri" w:hAnsi="Calibri" w:cs="Calibri"/>
          <w:color w:val="000000" w:themeColor="text1"/>
          <w:sz w:val="18"/>
          <w:szCs w:val="18"/>
        </w:rPr>
        <w:t xml:space="preserve">ber 1987; Rensberger B, ‘Treatment found for river blindness’, </w:t>
      </w:r>
      <w:r w:rsidRPr="000045FB">
        <w:rPr>
          <w:rFonts w:ascii="Calibri" w:hAnsi="Calibri" w:cs="Calibri"/>
          <w:i/>
          <w:color w:val="000000" w:themeColor="text1"/>
          <w:sz w:val="18"/>
          <w:szCs w:val="18"/>
        </w:rPr>
        <w:t xml:space="preserve">Washington Post, </w:t>
      </w:r>
      <w:r w:rsidRPr="000045FB">
        <w:rPr>
          <w:rFonts w:ascii="Calibri" w:hAnsi="Calibri" w:cs="Calibri"/>
          <w:color w:val="000000" w:themeColor="text1"/>
          <w:sz w:val="18"/>
          <w:szCs w:val="18"/>
        </w:rPr>
        <w:t>22 October 1987; s.a., ‘Des vues a sauver par millio</w:t>
      </w:r>
      <w:r w:rsidRPr="00581494">
        <w:rPr>
          <w:rFonts w:ascii="Calibri" w:hAnsi="Calibri" w:cs="Calibri"/>
          <w:color w:val="000000" w:themeColor="text1"/>
          <w:sz w:val="18"/>
          <w:szCs w:val="18"/>
        </w:rPr>
        <w:t xml:space="preserve">ns’, </w:t>
      </w:r>
      <w:r w:rsidRPr="00581494">
        <w:rPr>
          <w:rFonts w:ascii="Calibri" w:hAnsi="Calibri" w:cs="Calibri"/>
          <w:i/>
          <w:color w:val="000000" w:themeColor="text1"/>
          <w:sz w:val="18"/>
          <w:szCs w:val="18"/>
        </w:rPr>
        <w:t xml:space="preserve">Le Figaro, </w:t>
      </w:r>
      <w:r w:rsidRPr="00581494">
        <w:rPr>
          <w:rFonts w:ascii="Calibri" w:hAnsi="Calibri" w:cs="Calibri"/>
          <w:color w:val="000000" w:themeColor="text1"/>
          <w:sz w:val="18"/>
          <w:szCs w:val="18"/>
        </w:rPr>
        <w:t xml:space="preserve">24-25 October 1987. Major magazines, like </w:t>
      </w:r>
      <w:r w:rsidRPr="00E259AA">
        <w:rPr>
          <w:rFonts w:ascii="Calibri" w:hAnsi="Calibri" w:cs="Calibri"/>
          <w:i/>
          <w:color w:val="000000" w:themeColor="text1"/>
          <w:sz w:val="18"/>
          <w:szCs w:val="18"/>
        </w:rPr>
        <w:t>TIME</w:t>
      </w:r>
      <w:r w:rsidRPr="00E259AA">
        <w:rPr>
          <w:rFonts w:ascii="Calibri" w:hAnsi="Calibri" w:cs="Calibri"/>
          <w:color w:val="000000" w:themeColor="text1"/>
          <w:sz w:val="18"/>
          <w:szCs w:val="18"/>
        </w:rPr>
        <w:t xml:space="preserve">, also featured the donation. See, for example, s.a., ‘Miracle worker: cure for river blindness’, </w:t>
      </w:r>
      <w:r w:rsidRPr="00E259AA">
        <w:rPr>
          <w:rFonts w:ascii="Calibri" w:hAnsi="Calibri" w:cs="Calibri"/>
          <w:i/>
          <w:color w:val="000000" w:themeColor="text1"/>
          <w:sz w:val="18"/>
          <w:szCs w:val="18"/>
        </w:rPr>
        <w:t xml:space="preserve">TIME, </w:t>
      </w:r>
      <w:r w:rsidRPr="00E259AA">
        <w:rPr>
          <w:rFonts w:ascii="Calibri" w:hAnsi="Calibri" w:cs="Calibri"/>
          <w:color w:val="000000" w:themeColor="text1"/>
          <w:sz w:val="18"/>
          <w:szCs w:val="18"/>
        </w:rPr>
        <w:t>2 November 1987. Reproduced under CC BY-NC-SA 4.0.</w:t>
      </w:r>
    </w:p>
  </w:footnote>
  <w:footnote w:id="698">
    <w:p w14:paraId="1359AA55" w14:textId="08CD10FC" w:rsidR="00CF189D" w:rsidRPr="00581494"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For instance, at a World Bank press conference to launch the African Programme for Onchocerciasis Control (APOC) and at the unveiling of the Bank’s onchocerciasi</w:t>
      </w:r>
      <w:r w:rsidRPr="00681100">
        <w:rPr>
          <w:rFonts w:ascii="Calibri" w:hAnsi="Calibri" w:cs="Calibri"/>
          <w:color w:val="000000" w:themeColor="text1"/>
          <w:sz w:val="18"/>
          <w:szCs w:val="18"/>
        </w:rPr>
        <w:t>s statue in 1997, when the organizations issued a declaration calling for onchocerciasis elimination throughout Africa by 2007. See WBGA, 30304919, ‘World Bank press conference: new program to wipe out riverblindness in Africa’, 5 December 1995; WBGA, 3030</w:t>
      </w:r>
      <w:r w:rsidRPr="000045FB">
        <w:rPr>
          <w:rFonts w:ascii="Calibri" w:hAnsi="Calibri" w:cs="Calibri"/>
          <w:color w:val="000000" w:themeColor="text1"/>
          <w:sz w:val="18"/>
          <w:szCs w:val="18"/>
        </w:rPr>
        <w:t xml:space="preserve">4919, ‘Global call for the elimination of riverblindness within the next decade’, </w:t>
      </w:r>
      <w:r w:rsidRPr="000045FB">
        <w:rPr>
          <w:rFonts w:ascii="Calibri" w:hAnsi="Calibri" w:cs="Calibri"/>
          <w:i/>
          <w:color w:val="000000" w:themeColor="text1"/>
          <w:sz w:val="18"/>
          <w:szCs w:val="18"/>
        </w:rPr>
        <w:t>World Bank News Release</w:t>
      </w:r>
      <w:r w:rsidRPr="000045FB">
        <w:rPr>
          <w:rFonts w:ascii="Calibri" w:hAnsi="Calibri" w:cs="Calibri"/>
          <w:color w:val="000000" w:themeColor="text1"/>
          <w:sz w:val="18"/>
          <w:szCs w:val="18"/>
        </w:rPr>
        <w:t>, 27 June 1997.</w:t>
      </w:r>
    </w:p>
  </w:footnote>
  <w:footnote w:id="699">
    <w:p w14:paraId="385C50A2" w14:textId="6B1AB2A9"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Sample I, ‘William C Campbell, Satoshi Omura and Tu Youyou win Nobel prize in medicine’, </w:t>
      </w:r>
      <w:r w:rsidRPr="00546CBA">
        <w:rPr>
          <w:rFonts w:ascii="Calibri" w:hAnsi="Calibri" w:cs="Calibri"/>
          <w:i/>
          <w:color w:val="000000" w:themeColor="text1"/>
          <w:sz w:val="18"/>
          <w:szCs w:val="18"/>
        </w:rPr>
        <w:t xml:space="preserve">Guardian, </w:t>
      </w:r>
      <w:r w:rsidRPr="00546CBA">
        <w:rPr>
          <w:rFonts w:ascii="Calibri" w:hAnsi="Calibri" w:cs="Calibri"/>
          <w:color w:val="000000" w:themeColor="text1"/>
          <w:sz w:val="18"/>
          <w:szCs w:val="18"/>
        </w:rPr>
        <w:t>5 October 2015.</w:t>
      </w:r>
    </w:p>
  </w:footnote>
  <w:footnote w:id="700">
    <w:p w14:paraId="46B49462" w14:textId="21FDEF53" w:rsidR="00CF189D" w:rsidRPr="00CF189D" w:rsidRDefault="00CF189D" w:rsidP="00DD4818">
      <w:pPr>
        <w:pStyle w:val="Footnotes"/>
        <w:rPr>
          <w:rFonts w:ascii="Calibri" w:hAnsi="Calibri" w:cs="Calibri"/>
          <w:sz w:val="18"/>
          <w:szCs w:val="18"/>
        </w:rPr>
      </w:pPr>
      <w:r w:rsidRPr="00681100">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Vagelos R and Galambos L,</w:t>
      </w:r>
      <w:r w:rsidRPr="00CF189D">
        <w:rPr>
          <w:rFonts w:ascii="Calibri" w:hAnsi="Calibri" w:cs="Calibri"/>
          <w:i/>
          <w:sz w:val="18"/>
          <w:szCs w:val="18"/>
        </w:rPr>
        <w:t xml:space="preserve"> The moral corporation: Merck experiences</w:t>
      </w:r>
      <w:r w:rsidRPr="00CF189D">
        <w:rPr>
          <w:rFonts w:ascii="Calibri" w:hAnsi="Calibri" w:cs="Calibri"/>
          <w:sz w:val="18"/>
          <w:szCs w:val="18"/>
        </w:rPr>
        <w:t xml:space="preserve"> (New York: Cambridge University Press, 2006).</w:t>
      </w:r>
    </w:p>
  </w:footnote>
  <w:footnote w:id="701">
    <w:p w14:paraId="120687DC" w14:textId="77777777"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Filaricides are drugs that kill worms (microfilaricides) or adults (macrofilaricides) of filarial worms, or the worms responsible for diseases like oncho</w:t>
      </w:r>
      <w:r w:rsidRPr="00681100">
        <w:rPr>
          <w:rFonts w:ascii="Calibri" w:hAnsi="Calibri" w:cs="Calibri"/>
          <w:color w:val="000000" w:themeColor="text1"/>
          <w:sz w:val="18"/>
          <w:szCs w:val="18"/>
        </w:rPr>
        <w:t>cerciasis and lymphatic filariasis.</w:t>
      </w:r>
    </w:p>
  </w:footnote>
  <w:footnote w:id="702">
    <w:p w14:paraId="1F96CEC0" w14:textId="77777777" w:rsidR="00CF189D" w:rsidRPr="00CF189D" w:rsidRDefault="00CF189D" w:rsidP="00DD4818">
      <w:pPr>
        <w:pStyle w:val="Footnotes"/>
        <w:rPr>
          <w:rFonts w:ascii="Calibri" w:hAnsi="Calibri" w:cs="Calibri"/>
          <w:sz w:val="18"/>
          <w:szCs w:val="18"/>
        </w:rPr>
      </w:pPr>
      <w:r w:rsidRPr="000045FB">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1103302, B.O.L. Duke to A.O. Lucas, ‘Outline of the filariasis SWG activities since 1976 in the search for improved chemotherapy for onchocerciasis’, 12 November 1981.</w:t>
      </w:r>
    </w:p>
  </w:footnote>
  <w:footnote w:id="703">
    <w:p w14:paraId="2D3FB5D0" w14:textId="211BF878" w:rsidR="00CF189D" w:rsidRPr="000045FB" w:rsidRDefault="00CF189D">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Based on WBGA, 1103228, ‘A proposal for a World Bank financial contribution to the WHO/UNDP/Bank Special Programme for Research and Training in Tropical Diseases, Draft, Afor</w:t>
      </w:r>
      <w:r w:rsidRPr="00681100">
        <w:rPr>
          <w:rFonts w:ascii="Calibri" w:hAnsi="Calibri" w:cs="Calibri"/>
          <w:color w:val="000000" w:themeColor="text1"/>
          <w:sz w:val="18"/>
          <w:szCs w:val="18"/>
        </w:rPr>
        <w:t xml:space="preserve">naroff:mlo’, 23 February 1981; Ridley RG and Fletcher ER, ‘Making a difference: 30 years of TDR’, </w:t>
      </w:r>
      <w:r w:rsidRPr="00681100">
        <w:rPr>
          <w:rFonts w:ascii="Calibri" w:hAnsi="Calibri" w:cs="Calibri"/>
          <w:i/>
          <w:color w:val="000000" w:themeColor="text1"/>
          <w:sz w:val="18"/>
          <w:szCs w:val="18"/>
        </w:rPr>
        <w:t>Nature Reviews Microbiolog</w:t>
      </w:r>
      <w:r w:rsidRPr="000045FB">
        <w:rPr>
          <w:rFonts w:ascii="Calibri" w:hAnsi="Calibri" w:cs="Calibri"/>
          <w:i/>
          <w:color w:val="000000" w:themeColor="text1"/>
          <w:sz w:val="18"/>
          <w:szCs w:val="18"/>
        </w:rPr>
        <w:t xml:space="preserve">y </w:t>
      </w:r>
      <w:r w:rsidRPr="000045FB">
        <w:rPr>
          <w:rFonts w:ascii="Calibri" w:hAnsi="Calibri" w:cs="Calibri"/>
          <w:color w:val="000000" w:themeColor="text1"/>
          <w:sz w:val="18"/>
          <w:szCs w:val="18"/>
        </w:rPr>
        <w:t>6 (2008), 401-407.</w:t>
      </w:r>
    </w:p>
  </w:footnote>
  <w:footnote w:id="704">
    <w:p w14:paraId="254AD70C" w14:textId="3B3D6540" w:rsidR="00CF189D" w:rsidRPr="00CF189D" w:rsidRDefault="00CF189D" w:rsidP="00DD4818">
      <w:pPr>
        <w:pStyle w:val="Footnotes"/>
        <w:rPr>
          <w:rFonts w:ascii="Calibri" w:hAnsi="Calibri" w:cs="Calibri"/>
          <w:sz w:val="18"/>
          <w:szCs w:val="18"/>
        </w:rPr>
      </w:pPr>
      <w:r w:rsidRPr="00581494">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10-AGS-241, November 1981-March 1982, ‘CSA: report of sixth meeting, Geneva, 29/30 November and 4 December’, December 1981.</w:t>
      </w:r>
    </w:p>
  </w:footnote>
  <w:footnote w:id="705">
    <w:p w14:paraId="4328B0A4" w14:textId="5A43AD5A"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10-AGS-241, November 1981-March 1982, ‘Promoting research to develop and test a new drug for treatment of onchocerciasis’, [November 1981].</w:t>
      </w:r>
    </w:p>
  </w:footnote>
  <w:footnote w:id="706">
    <w:p w14:paraId="0B0D4FC9" w14:textId="786FD8E9"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1300642, Bilsel Alisbah to A. Sani El Darwish, ‘Onchocerciasis Control Programme: meeting of Joint Programme Committee’, 15 December 1981.</w:t>
      </w:r>
    </w:p>
  </w:footnote>
  <w:footnote w:id="707">
    <w:p w14:paraId="18BA7B15" w14:textId="390D41F6"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10-AGS-241, November 1981-March 1982, ‘CSA: report of sixth meeting, Geneva, 29/30 November and 4 December 1981’, December 1981.</w:t>
      </w:r>
    </w:p>
  </w:footnote>
  <w:footnote w:id="708">
    <w:p w14:paraId="45109CC9" w14:textId="7C95ABF5"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10-AGS-241, November 1981-March 1982, J.D.M. Marr to Mowbray Nicholas, 13 November 1981.</w:t>
      </w:r>
    </w:p>
  </w:footnote>
  <w:footnote w:id="709">
    <w:p w14:paraId="295BA1CA" w14:textId="6331606B"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10-AGS-241, November 1981-March 1982, ‘Promoting research to develop and test a new drug for treatment of onchocerciasis’, [November 1981].</w:t>
      </w:r>
    </w:p>
  </w:footnote>
  <w:footnote w:id="710">
    <w:p w14:paraId="4C04A496" w14:textId="447F7515"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10-AGS-241, April 1982-August 1982, ‘Committee of Sponsoring Agencies report of eighth meeting, Accra, 1-4 June’, June 1982.</w:t>
      </w:r>
    </w:p>
  </w:footnote>
  <w:footnote w:id="711">
    <w:p w14:paraId="1A5C7418" w14:textId="5A972BF5"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1103302, ‘Onchocerciasis chemotherapy (Bank comments) – from CSA meeting June 1982’, [June 1982].</w:t>
      </w:r>
    </w:p>
  </w:footnote>
  <w:footnote w:id="712">
    <w:p w14:paraId="5D37EC2D" w14:textId="3E3D1434"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1103302, ‘Onchocerciasis chemotherapy (Bank comments) – from CSA meeting June 1982’, [June 1982].</w:t>
      </w:r>
    </w:p>
  </w:footnote>
  <w:footnote w:id="713">
    <w:p w14:paraId="456C6D83" w14:textId="260DA9D2"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10-AGS-241, April-August 1982, C.G. Groom to M.S.O. Nicholas, ‘Duty travel to Geneva, 28-30 June 1982 – back-to-office report’, 30 June 1982.</w:t>
      </w:r>
    </w:p>
  </w:footnote>
  <w:footnote w:id="714">
    <w:p w14:paraId="6BB21B65" w14:textId="021D7F98"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1103302, ‘Onchocerciasis chemotherapy (Bank comments) – from CSA meeting June 1982’, [June 1982].</w:t>
      </w:r>
    </w:p>
  </w:footnote>
  <w:footnote w:id="715">
    <w:p w14:paraId="2AD1E59B" w14:textId="0F91F098"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1300642, ‘Bank’s strategy for the Onchocerciasis Control Programme during phase II (1980-1985)’, 30 November 1982.</w:t>
      </w:r>
    </w:p>
  </w:footnote>
  <w:footnote w:id="716">
    <w:p w14:paraId="51624526" w14:textId="13643FF9"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10-AGS-241, November 1981-March 1982, ‘Committee of Sponsoring Agencies, report of seventh meeting, Ouagadougou, 3-4 February’, February 1982.</w:t>
      </w:r>
    </w:p>
  </w:footnote>
  <w:footnote w:id="717">
    <w:p w14:paraId="4203947A" w14:textId="468A6164"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30137183, WHO, ‘Report: Onchocerciasis Chemotherapy Project research group’, 1982.</w:t>
      </w:r>
    </w:p>
  </w:footnote>
  <w:footnote w:id="718">
    <w:p w14:paraId="4AA94BB9" w14:textId="77777777"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1103302, John Evans to Warren Baum, ‘Back-to-office report: oncho chemo dev, Geneva’, 29 June 1982.</w:t>
      </w:r>
    </w:p>
  </w:footnote>
  <w:footnote w:id="719">
    <w:p w14:paraId="79704557" w14:textId="78F74282"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30137065, J.P. Dailly and Bernhard Liese to Lawrence Hinkle and I. Husain, ‘Back-to-office report: Rome CSA meeting’, 9 June 1983.</w:t>
      </w:r>
    </w:p>
  </w:footnote>
  <w:footnote w:id="720">
    <w:p w14:paraId="63210CB8" w14:textId="5D0A674A"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30137065, J.P. Dailly and Bernhard Liese to Lawrence Hinkle and I. Husain, ‘Back-to-office report: Rome CSA meeting’, 9 June 1983.</w:t>
      </w:r>
    </w:p>
  </w:footnote>
  <w:footnote w:id="721">
    <w:p w14:paraId="05F1E143" w14:textId="38E14AEA"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10-AGS-241, April-August 1982, C.G. Groom to M.S.O. Nicholas, ‘Duty travel to Geneva, 28-30 June 1982 - back-to-office report’, 30 June 1982.</w:t>
      </w:r>
    </w:p>
  </w:footnote>
  <w:footnote w:id="722">
    <w:p w14:paraId="2B5B88D4" w14:textId="4C1D98CF"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10-AGS-241, April-August 1982, ‘Joint meeting of Committee of Sponsoring Agencies (CSA) of OCP and the Standing Committee of TDR, OCP chemotherapy project’, 1982.</w:t>
      </w:r>
    </w:p>
  </w:footnote>
  <w:footnote w:id="723">
    <w:p w14:paraId="719CFD69" w14:textId="4E718826"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30137006, ‘Independent review of the OCT’, 1987.</w:t>
      </w:r>
    </w:p>
  </w:footnote>
  <w:footnote w:id="724">
    <w:p w14:paraId="2EB2A187" w14:textId="113E76D8"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30137006, ‘Review of onchocerciasis chemotherapy project’, [1990].</w:t>
      </w:r>
    </w:p>
  </w:footnote>
  <w:footnote w:id="725">
    <w:p w14:paraId="15EB7F9A" w14:textId="6F340A9C"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30137006, ‘The Macrofil chemotherapy project, 1996-99’, [1996].</w:t>
      </w:r>
    </w:p>
  </w:footnote>
  <w:footnote w:id="726">
    <w:p w14:paraId="068AFC55" w14:textId="1D0D1052"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30137006, ‘Progress report of the onchocerciasis chemotherapy project (OCT) for 1990’, September 1990.</w:t>
      </w:r>
    </w:p>
  </w:footnote>
  <w:footnote w:id="727">
    <w:p w14:paraId="1CFF0400" w14:textId="5365D26F"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30137006, ‘The Macrofil chemotherapy project, 1996-99’, [1996].</w:t>
      </w:r>
    </w:p>
  </w:footnote>
  <w:footnote w:id="728">
    <w:p w14:paraId="7E493389" w14:textId="26841DF2"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30137028, ‘Macrofil (external review) – African Programme for Onchocerciasis Control [APOC], review of MACROFIL’, [1997].</w:t>
      </w:r>
    </w:p>
  </w:footnote>
  <w:footnote w:id="729">
    <w:p w14:paraId="5E9D7B99" w14:textId="5E411792"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WHOA, O8-446-6, Colin Ginger to Anthony Poltera, ‘Further clinical trials of CGP 6140 for onchocerciasis, note for the record signed by J.F. Dunne, Secretary SCRIHS’, 23 April 1986.</w:t>
      </w:r>
    </w:p>
  </w:footnote>
  <w:footnote w:id="730">
    <w:p w14:paraId="5A9B7D17" w14:textId="76F1BD4C"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WHOA, O8-446-6, ‘Certificate of insurance, Winterthur’, 23 May 1986.</w:t>
      </w:r>
    </w:p>
  </w:footnote>
  <w:footnote w:id="731">
    <w:p w14:paraId="1A1AB366" w14:textId="2C6E2ABA"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WHOA, O8-446-6, ‘Addendum to the general agreement covering projected collaboration between the World Health Organization and Ciba-Geigy Limited to develop a drug f</w:t>
      </w:r>
      <w:r w:rsidRPr="00681100">
        <w:rPr>
          <w:rFonts w:ascii="Calibri" w:hAnsi="Calibri" w:cs="Calibri"/>
          <w:color w:val="000000" w:themeColor="text1"/>
          <w:sz w:val="18"/>
          <w:szCs w:val="18"/>
        </w:rPr>
        <w:t>or the treatment of human onchocerciasis’, 1984.</w:t>
      </w:r>
    </w:p>
  </w:footnote>
  <w:footnote w:id="732">
    <w:p w14:paraId="0D6113F1" w14:textId="15242A7E" w:rsidR="00CF189D" w:rsidRPr="00CF189D" w:rsidRDefault="00CF189D" w:rsidP="00DD4818">
      <w:pPr>
        <w:pStyle w:val="Footnotes"/>
        <w:rPr>
          <w:rFonts w:ascii="Calibri" w:hAnsi="Calibri" w:cs="Calibri"/>
          <w:sz w:val="18"/>
          <w:szCs w:val="18"/>
        </w:rPr>
      </w:pPr>
      <w:r w:rsidRPr="000045FB">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See, for example, WBGA, 1103302, B.O.L. Duke to J.D.M. Marr, ‘Promoting research to develop and test a new drug for treatment of onchocerciasis’, 5 November 1981.</w:t>
      </w:r>
    </w:p>
  </w:footnote>
  <w:footnote w:id="733">
    <w:p w14:paraId="6046CDC1" w14:textId="160A5165"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10-AGS-241, November 1981-March 1982, ‘Committee of Sponsoring Agencies, report of seventh meeting, Ouagadougou, 3-4 February 1982’, February 1982.</w:t>
      </w:r>
    </w:p>
  </w:footnote>
  <w:footnote w:id="734">
    <w:p w14:paraId="175050B7" w14:textId="7123A97B"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30137183, WHO, ‘Report: onchocerciasis chemotherapy project research group’, 1982.</w:t>
      </w:r>
    </w:p>
  </w:footnote>
  <w:footnote w:id="735">
    <w:p w14:paraId="7F3529A9" w14:textId="40105885"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WHOA, O8-446-6, ‘Addendum to the general agreement covering projected collaboration between the World Health Organization and Ciba-Geigy Limited to develop a drug for the treatment of human on</w:t>
      </w:r>
      <w:r w:rsidRPr="00681100">
        <w:rPr>
          <w:rFonts w:ascii="Calibri" w:hAnsi="Calibri" w:cs="Calibri"/>
          <w:color w:val="000000" w:themeColor="text1"/>
          <w:sz w:val="18"/>
          <w:szCs w:val="18"/>
        </w:rPr>
        <w:t xml:space="preserve">chocerciasis’, 1984. Reproduced under CC </w:t>
      </w:r>
      <w:r w:rsidRPr="000045FB">
        <w:rPr>
          <w:rFonts w:ascii="Calibri" w:hAnsi="Calibri" w:cs="Calibri"/>
          <w:color w:val="000000" w:themeColor="text1"/>
          <w:sz w:val="18"/>
          <w:szCs w:val="18"/>
        </w:rPr>
        <w:t>BY-NC-SA 3.0 IGO.</w:t>
      </w:r>
    </w:p>
  </w:footnote>
  <w:footnote w:id="736">
    <w:p w14:paraId="2134093E" w14:textId="3D807A56" w:rsidR="00CF189D" w:rsidRPr="00CF189D" w:rsidRDefault="00CF189D" w:rsidP="00DD4818">
      <w:pPr>
        <w:pStyle w:val="Footnotes"/>
        <w:rPr>
          <w:rFonts w:ascii="Calibri" w:hAnsi="Calibri" w:cs="Calibri"/>
          <w:sz w:val="18"/>
          <w:szCs w:val="18"/>
        </w:rPr>
      </w:pPr>
      <w:r w:rsidRPr="000045FB">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30137006, ‘Review of the onchocerciasis chemotherapy project’, August 1987.</w:t>
      </w:r>
    </w:p>
  </w:footnote>
  <w:footnote w:id="737">
    <w:p w14:paraId="645360E5" w14:textId="4A136557" w:rsidR="00CF189D" w:rsidRPr="00CF189D" w:rsidRDefault="00CF189D" w:rsidP="00DD4818">
      <w:pPr>
        <w:pStyle w:val="Footnotes"/>
        <w:rPr>
          <w:rFonts w:ascii="Calibri" w:hAnsi="Calibri" w:cs="Calibri"/>
          <w:sz w:val="18"/>
          <w:szCs w:val="18"/>
          <w:lang w:val="en-GB"/>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World Bank Group Archives Oral History Program, </w:t>
      </w:r>
      <w:r w:rsidRPr="00CF189D">
        <w:rPr>
          <w:rFonts w:ascii="Calibri" w:hAnsi="Calibri" w:cs="Calibri"/>
          <w:i/>
          <w:sz w:val="18"/>
          <w:szCs w:val="18"/>
        </w:rPr>
        <w:t xml:space="preserve">Transcript of an interview with Bruce Benton </w:t>
      </w:r>
      <w:r w:rsidRPr="00CF189D">
        <w:rPr>
          <w:rFonts w:ascii="Calibri" w:hAnsi="Calibri" w:cs="Calibri"/>
          <w:sz w:val="18"/>
          <w:szCs w:val="18"/>
        </w:rPr>
        <w:t>(Washington DC: World Bank, 2006), 64.</w:t>
      </w:r>
    </w:p>
  </w:footnote>
  <w:footnote w:id="738">
    <w:p w14:paraId="6DB91511" w14:textId="2247E266"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This is a summary of major partnerships and drug candidates, and not an exhaustive list of all contracted companies or drugs in the pipeline during the OCT/MACROFIL. Based on WBGA, 30137006, ‘Progress report of the onchocerciasis chemotherapy project (OCT) for 1990’, September 1990; WBGA, 30137028, ‘Macrofil (External Review) – African Programme for Onchocerciasis Control [APOC], Review of MACROFIL’, [1996]. </w:t>
      </w:r>
    </w:p>
  </w:footnote>
  <w:footnote w:id="739">
    <w:p w14:paraId="358C268A" w14:textId="0539689C" w:rsidR="00CF189D" w:rsidRPr="00E259A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546CBA">
        <w:rPr>
          <w:rStyle w:val="FootnotesChar"/>
          <w:rFonts w:ascii="Calibri" w:hAnsi="Calibri" w:cs="Calibri"/>
          <w:color w:val="000000" w:themeColor="text1"/>
          <w:sz w:val="18"/>
          <w:szCs w:val="18"/>
        </w:rPr>
        <w:t xml:space="preserve">WHOA, O8-446-6(I)9, Jkt 2, [Merck], ‘Brief summary of early events in the </w:t>
      </w:r>
      <w:r w:rsidRPr="00681100">
        <w:rPr>
          <w:rStyle w:val="FootnotesChar"/>
          <w:rFonts w:ascii="Calibri" w:hAnsi="Calibri" w:cs="Calibri"/>
          <w:color w:val="000000" w:themeColor="text1"/>
          <w:sz w:val="18"/>
          <w:szCs w:val="18"/>
        </w:rPr>
        <w:t xml:space="preserve">development of ivermectin in the treatment of onchocerciasis’, [1985]. See also Fujisaki T and Reich MR, </w:t>
      </w:r>
      <w:r w:rsidRPr="000045FB">
        <w:rPr>
          <w:rStyle w:val="FootnotesChar"/>
          <w:rFonts w:ascii="Calibri" w:hAnsi="Calibri" w:cs="Calibri"/>
          <w:i/>
          <w:color w:val="000000" w:themeColor="text1"/>
          <w:sz w:val="18"/>
          <w:szCs w:val="18"/>
        </w:rPr>
        <w:t>Assessment of TDR’s contributions to product development for tropical diseases: the case of ivermectin for onchocerciasis</w:t>
      </w:r>
      <w:r w:rsidRPr="000045FB">
        <w:rPr>
          <w:rStyle w:val="FootnotesChar"/>
          <w:rFonts w:ascii="Calibri" w:hAnsi="Calibri" w:cs="Calibri"/>
          <w:color w:val="000000" w:themeColor="text1"/>
          <w:sz w:val="18"/>
          <w:szCs w:val="18"/>
        </w:rPr>
        <w:t xml:space="preserve"> (Boston: TDR, 1997), 7-8; Tavis L, ‘River blindness</w:t>
      </w:r>
      <w:r w:rsidRPr="00581494">
        <w:rPr>
          <w:rStyle w:val="FootnotesChar"/>
          <w:rFonts w:ascii="Calibri" w:hAnsi="Calibri" w:cs="Calibri"/>
          <w:color w:val="000000" w:themeColor="text1"/>
          <w:sz w:val="18"/>
          <w:szCs w:val="18"/>
        </w:rPr>
        <w:t xml:space="preserve">: the Merck decision to develop and donate MECTIZAN’, in LA Tavis (Ed.) </w:t>
      </w:r>
      <w:r w:rsidRPr="00581494">
        <w:rPr>
          <w:rStyle w:val="FootnotesChar"/>
          <w:rFonts w:ascii="Calibri" w:hAnsi="Calibri" w:cs="Calibri"/>
          <w:i/>
          <w:color w:val="000000" w:themeColor="text1"/>
          <w:sz w:val="18"/>
          <w:szCs w:val="18"/>
        </w:rPr>
        <w:t>Power and responsibility: multinational managers and developing country concerns</w:t>
      </w:r>
      <w:r w:rsidRPr="00581494">
        <w:rPr>
          <w:rStyle w:val="FootnotesChar"/>
          <w:rFonts w:ascii="Calibri" w:hAnsi="Calibri" w:cs="Calibri"/>
          <w:color w:val="000000" w:themeColor="text1"/>
          <w:sz w:val="18"/>
          <w:szCs w:val="18"/>
        </w:rPr>
        <w:t xml:space="preserve"> (South Bend: University of Notre Dame Press, 1996), 87-113.</w:t>
      </w:r>
    </w:p>
  </w:footnote>
  <w:footnote w:id="740">
    <w:p w14:paraId="5CAF5692" w14:textId="53E54039" w:rsidR="00CF189D" w:rsidRPr="00CF189D" w:rsidRDefault="00CF189D" w:rsidP="00DD4818">
      <w:pPr>
        <w:pStyle w:val="Footnotes"/>
        <w:rPr>
          <w:rFonts w:ascii="Calibri" w:hAnsi="Calibri" w:cs="Calibri"/>
          <w:sz w:val="18"/>
          <w:szCs w:val="18"/>
        </w:rPr>
      </w:pPr>
      <w:r w:rsidRPr="00E259A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1103302, André Prost to John Evans, Stephen Denning, and J.P. Dailly, ‘Preliminary comments on Lancet’s paper [handwritten notes]’, 12 August 1982.</w:t>
      </w:r>
    </w:p>
  </w:footnote>
  <w:footnote w:id="741">
    <w:p w14:paraId="4D990218" w14:textId="5382B617"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t>
      </w:r>
      <w:r w:rsidRPr="00546CBA">
        <w:rPr>
          <w:rStyle w:val="FootnotesChar"/>
          <w:rFonts w:ascii="Calibri" w:hAnsi="Calibri" w:cs="Calibri"/>
          <w:color w:val="000000" w:themeColor="text1"/>
          <w:sz w:val="18"/>
          <w:szCs w:val="18"/>
        </w:rPr>
        <w:t>WHOA, O8-446-6(I)9, Jkt 1,</w:t>
      </w:r>
      <w:r w:rsidRPr="00CF189D">
        <w:rPr>
          <w:rFonts w:ascii="Calibri" w:hAnsi="Calibri" w:cs="Calibri"/>
          <w:sz w:val="18"/>
          <w:szCs w:val="18"/>
        </w:rPr>
        <w:t xml:space="preserve"> G.S. Nelson to Brian Duke, 22 September 1982.</w:t>
      </w:r>
    </w:p>
  </w:footnote>
  <w:footnote w:id="742">
    <w:p w14:paraId="01F23182" w14:textId="0D868249"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t>
      </w:r>
      <w:r w:rsidRPr="00546CBA">
        <w:rPr>
          <w:rStyle w:val="FootnotesChar"/>
          <w:rFonts w:ascii="Calibri" w:hAnsi="Calibri" w:cs="Calibri"/>
          <w:color w:val="000000" w:themeColor="text1"/>
          <w:sz w:val="18"/>
          <w:szCs w:val="18"/>
        </w:rPr>
        <w:t>WHOA, O8-446-6(I)9, Jkt 1,</w:t>
      </w:r>
      <w:r w:rsidRPr="00CF189D">
        <w:rPr>
          <w:rFonts w:ascii="Calibri" w:hAnsi="Calibri" w:cs="Calibri"/>
          <w:sz w:val="18"/>
          <w:szCs w:val="18"/>
        </w:rPr>
        <w:t xml:space="preserve"> R.E. Howells, ‘Comments on Dr. Duke’s letter of 15 September 1982’, 12 September 1982.</w:t>
      </w:r>
    </w:p>
  </w:footnote>
  <w:footnote w:id="743">
    <w:p w14:paraId="4361F316" w14:textId="5A88BA10"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t>
      </w:r>
      <w:r w:rsidRPr="00546CBA">
        <w:rPr>
          <w:rStyle w:val="FootnotesChar"/>
          <w:rFonts w:ascii="Calibri" w:hAnsi="Calibri" w:cs="Calibri"/>
          <w:color w:val="000000" w:themeColor="text1"/>
          <w:sz w:val="18"/>
          <w:szCs w:val="18"/>
        </w:rPr>
        <w:t>WHOA, O8-446-6(I)9, Jkt 1,</w:t>
      </w:r>
      <w:r w:rsidRPr="00CF189D">
        <w:rPr>
          <w:rFonts w:ascii="Calibri" w:hAnsi="Calibri" w:cs="Calibri"/>
          <w:sz w:val="18"/>
          <w:szCs w:val="18"/>
        </w:rPr>
        <w:t xml:space="preserve"> Hugh R. Taylor to B.O.L. Duke, 24 September 1982.</w:t>
      </w:r>
    </w:p>
  </w:footnote>
  <w:footnote w:id="744">
    <w:p w14:paraId="1FB768F1" w14:textId="7196B3A2"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t>
      </w:r>
      <w:r w:rsidRPr="00546CBA">
        <w:rPr>
          <w:rStyle w:val="FootnotesChar"/>
          <w:rFonts w:ascii="Calibri" w:hAnsi="Calibri" w:cs="Calibri"/>
          <w:color w:val="000000" w:themeColor="text1"/>
          <w:sz w:val="18"/>
          <w:szCs w:val="18"/>
        </w:rPr>
        <w:t>WHOA, O8-446-6(I)9, Jkt 1,</w:t>
      </w:r>
      <w:r w:rsidRPr="00CF189D">
        <w:rPr>
          <w:rFonts w:ascii="Calibri" w:hAnsi="Calibri" w:cs="Calibri"/>
          <w:sz w:val="18"/>
          <w:szCs w:val="18"/>
        </w:rPr>
        <w:t xml:space="preserve"> Mohammed Aziz to Warren Furth, 16 February 1982; </w:t>
      </w:r>
      <w:r w:rsidRPr="00546CBA">
        <w:rPr>
          <w:rStyle w:val="FootnotesChar"/>
          <w:rFonts w:ascii="Calibri" w:hAnsi="Calibri" w:cs="Calibri"/>
          <w:color w:val="000000" w:themeColor="text1"/>
          <w:sz w:val="18"/>
          <w:szCs w:val="18"/>
        </w:rPr>
        <w:t>WHOA, O8-446-6(I)9, Jkt 1,</w:t>
      </w:r>
      <w:r w:rsidRPr="00CF189D">
        <w:rPr>
          <w:rFonts w:ascii="Calibri" w:hAnsi="Calibri" w:cs="Calibri"/>
          <w:sz w:val="18"/>
          <w:szCs w:val="18"/>
        </w:rPr>
        <w:t xml:space="preserve"> J. Grunewald to E.M. Samba, 25 March 1983; </w:t>
      </w:r>
      <w:r w:rsidRPr="00546CBA">
        <w:rPr>
          <w:rStyle w:val="FootnotesChar"/>
          <w:rFonts w:ascii="Calibri" w:hAnsi="Calibri" w:cs="Calibri"/>
          <w:color w:val="000000" w:themeColor="text1"/>
          <w:sz w:val="18"/>
          <w:szCs w:val="18"/>
        </w:rPr>
        <w:t>WHOA, O8-446-6(I)9, Jkt 1,</w:t>
      </w:r>
      <w:r w:rsidRPr="00CF189D">
        <w:rPr>
          <w:rFonts w:ascii="Calibri" w:hAnsi="Calibri" w:cs="Calibri"/>
          <w:sz w:val="18"/>
          <w:szCs w:val="18"/>
        </w:rPr>
        <w:t xml:space="preserve"> B.O.L. Duke to E.M. Samba, ‘Visit by Drs M.A. Aziz and H.R. Taylor – confidential’, [1983].</w:t>
      </w:r>
    </w:p>
  </w:footnote>
  <w:footnote w:id="745">
    <w:p w14:paraId="5A4196C7" w14:textId="3404A73B"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The WHO estimated in 1984 that it has contributed indirectly or directly more than $600,000, mostly through the OCT, towards clinical investigation of ivermectin. See WHOA, O8-370-4, Jkt 2, ‘The contribution of WHO to screening and clinical trials of ivermectin in filarial infections, esp. oncho’, September 1984.</w:t>
      </w:r>
    </w:p>
  </w:footnote>
  <w:footnote w:id="746">
    <w:p w14:paraId="21423719" w14:textId="76287A31"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546CBA">
        <w:rPr>
          <w:rStyle w:val="FootnotesChar"/>
          <w:rFonts w:ascii="Calibri" w:hAnsi="Calibri" w:cs="Calibri"/>
          <w:color w:val="000000" w:themeColor="text1"/>
          <w:sz w:val="18"/>
          <w:szCs w:val="18"/>
        </w:rPr>
        <w:t>WHOA, O8-446-6(I)9, Jkt 2, Robert</w:t>
      </w:r>
      <w:r w:rsidRPr="00681100">
        <w:rPr>
          <w:rStyle w:val="FootnotesChar"/>
          <w:rFonts w:ascii="Calibri" w:hAnsi="Calibri" w:cs="Calibri"/>
          <w:color w:val="000000" w:themeColor="text1"/>
          <w:sz w:val="18"/>
          <w:szCs w:val="18"/>
        </w:rPr>
        <w:t xml:space="preserve"> D. Fluss to Adetokunbo O. Lucas, 3 January 1985.</w:t>
      </w:r>
    </w:p>
  </w:footnote>
  <w:footnote w:id="747">
    <w:p w14:paraId="5ED87F8B" w14:textId="77777777"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546CBA">
        <w:rPr>
          <w:rStyle w:val="FootnotesChar"/>
          <w:rFonts w:ascii="Calibri" w:hAnsi="Calibri" w:cs="Calibri"/>
          <w:color w:val="000000" w:themeColor="text1"/>
          <w:sz w:val="18"/>
          <w:szCs w:val="18"/>
        </w:rPr>
        <w:t>WHOA, O8-446-6(I)9, Jkt 2, Legal Counsel to B.O.L. Duke, ‘Proposed legal agreement between WHO and Merck Sharpe and Dohme (MS&amp;D) for development of ivermectin for use in onchocerciasis’, 24 January 1985.</w:t>
      </w:r>
    </w:p>
  </w:footnote>
  <w:footnote w:id="748">
    <w:p w14:paraId="6AD64AA7" w14:textId="1E8A4C6A"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Based on: </w:t>
      </w:r>
      <w:r w:rsidRPr="00546CBA">
        <w:rPr>
          <w:rStyle w:val="FootnotesChar"/>
          <w:rFonts w:ascii="Calibri" w:hAnsi="Calibri" w:cs="Calibri"/>
          <w:color w:val="000000" w:themeColor="text1"/>
          <w:sz w:val="18"/>
          <w:szCs w:val="18"/>
        </w:rPr>
        <w:t>WHOA, O8-446-6(I)9, Jkt 2, [Merck], ‘Brief summary of early events in the development of ivermectin in the treatment of onchocerciasis’, [1985].</w:t>
      </w:r>
    </w:p>
  </w:footnote>
  <w:footnote w:id="749">
    <w:p w14:paraId="1B922CA8" w14:textId="231E546C"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546CBA">
        <w:rPr>
          <w:rStyle w:val="FootnotesChar"/>
          <w:rFonts w:ascii="Calibri" w:hAnsi="Calibri" w:cs="Calibri"/>
          <w:color w:val="000000" w:themeColor="text1"/>
          <w:sz w:val="18"/>
          <w:szCs w:val="18"/>
        </w:rPr>
        <w:t>WHOA, O8-446-6(I)9, Jkt 2, Robert D. Fluss to Adetokunbo O. Lucas, 3 January 1985.</w:t>
      </w:r>
    </w:p>
  </w:footnote>
  <w:footnote w:id="750">
    <w:p w14:paraId="663DED5D" w14:textId="053D1045"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546CBA">
        <w:rPr>
          <w:rStyle w:val="FootnotesChar"/>
          <w:rFonts w:ascii="Calibri" w:hAnsi="Calibri" w:cs="Calibri"/>
          <w:color w:val="000000" w:themeColor="text1"/>
          <w:sz w:val="18"/>
          <w:szCs w:val="18"/>
        </w:rPr>
        <w:t xml:space="preserve">WHOA, </w:t>
      </w:r>
      <w:r w:rsidRPr="00681100">
        <w:rPr>
          <w:rStyle w:val="FootnotesChar"/>
          <w:rFonts w:ascii="Calibri" w:hAnsi="Calibri" w:cs="Calibri"/>
          <w:color w:val="000000" w:themeColor="text1"/>
          <w:sz w:val="18"/>
          <w:szCs w:val="18"/>
        </w:rPr>
        <w:t>O8-446-6(I)9, Jkt 2, Legal Counsel to B.O.L. Duke, ‘Proposed legal agreement between WHO and Merck Sharpe and Dohme (MS&amp;D) for development of ivermectin for use in onchocerciasis’, 24 January 1985.</w:t>
      </w:r>
    </w:p>
  </w:footnote>
  <w:footnote w:id="751">
    <w:p w14:paraId="70C8052A" w14:textId="1B39D9B1"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546CBA">
        <w:rPr>
          <w:rStyle w:val="FootnotesChar"/>
          <w:rFonts w:ascii="Calibri" w:hAnsi="Calibri" w:cs="Calibri"/>
          <w:color w:val="000000" w:themeColor="text1"/>
          <w:sz w:val="18"/>
          <w:szCs w:val="18"/>
        </w:rPr>
        <w:t>WHOA, O8-446-6(I)9, Jkt 2, Adetokunbo O. Lukas to R.D. F</w:t>
      </w:r>
      <w:r w:rsidRPr="00681100">
        <w:rPr>
          <w:rStyle w:val="FootnotesChar"/>
          <w:rFonts w:ascii="Calibri" w:hAnsi="Calibri" w:cs="Calibri"/>
          <w:color w:val="000000" w:themeColor="text1"/>
          <w:sz w:val="18"/>
          <w:szCs w:val="18"/>
        </w:rPr>
        <w:t>luss, ‘Letter of agreement on cooperation between Merck, Sharp and Dohme and WHO for development of ivermectin for use in human onchocerciasis’, 11 February 1985.</w:t>
      </w:r>
    </w:p>
  </w:footnote>
  <w:footnote w:id="752">
    <w:p w14:paraId="447B0A2D" w14:textId="705167C1"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546CBA">
        <w:rPr>
          <w:rStyle w:val="FootnotesChar"/>
          <w:rFonts w:ascii="Calibri" w:hAnsi="Calibri" w:cs="Calibri"/>
          <w:color w:val="000000" w:themeColor="text1"/>
          <w:sz w:val="18"/>
          <w:szCs w:val="18"/>
        </w:rPr>
        <w:t>WHOA, O8-446-6(I)9, Jkt 2, C.D. Ginger to D. Devlin, ‘Confidential, proposed legal agreemen</w:t>
      </w:r>
      <w:r w:rsidRPr="00681100">
        <w:rPr>
          <w:rStyle w:val="FootnotesChar"/>
          <w:rFonts w:ascii="Calibri" w:hAnsi="Calibri" w:cs="Calibri"/>
          <w:color w:val="000000" w:themeColor="text1"/>
          <w:sz w:val="18"/>
          <w:szCs w:val="18"/>
        </w:rPr>
        <w:t>t between WHO and Merck Sharpe and Dohme (MS&amp;D) for development of ivermectin for use in onchocerciasis’, 24 April 1985.</w:t>
      </w:r>
    </w:p>
  </w:footnote>
  <w:footnote w:id="753">
    <w:p w14:paraId="3F424C2B" w14:textId="654A5FC0"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546CBA">
        <w:rPr>
          <w:rStyle w:val="FootnotesChar"/>
          <w:rFonts w:ascii="Calibri" w:hAnsi="Calibri" w:cs="Calibri"/>
          <w:color w:val="000000" w:themeColor="text1"/>
          <w:sz w:val="18"/>
          <w:szCs w:val="18"/>
        </w:rPr>
        <w:t>WHOA, O8-446-6(I)9, Jkt 2, Robert D. Fluss to Adetokunbo O. Lucas, 17 May 1985.</w:t>
      </w:r>
    </w:p>
  </w:footnote>
  <w:footnote w:id="754">
    <w:p w14:paraId="6D70F612" w14:textId="584155A1"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546CBA">
        <w:rPr>
          <w:rStyle w:val="FootnotesChar"/>
          <w:rFonts w:ascii="Calibri" w:hAnsi="Calibri" w:cs="Calibri"/>
          <w:color w:val="000000" w:themeColor="text1"/>
          <w:sz w:val="18"/>
          <w:szCs w:val="18"/>
        </w:rPr>
        <w:t>WHOA, O8-446-6(I)9, Jkt 2, Robert D. Fluss to Adeto</w:t>
      </w:r>
      <w:r w:rsidRPr="00681100">
        <w:rPr>
          <w:rStyle w:val="FootnotesChar"/>
          <w:rFonts w:ascii="Calibri" w:hAnsi="Calibri" w:cs="Calibri"/>
          <w:color w:val="000000" w:themeColor="text1"/>
          <w:sz w:val="18"/>
          <w:szCs w:val="18"/>
        </w:rPr>
        <w:t>kunbo O. Lucas, 17 May 1985.</w:t>
      </w:r>
    </w:p>
  </w:footnote>
  <w:footnote w:id="755">
    <w:p w14:paraId="219CF253" w14:textId="73A6316A"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546CBA">
        <w:rPr>
          <w:rStyle w:val="FootnotesChar"/>
          <w:rFonts w:ascii="Calibri" w:hAnsi="Calibri" w:cs="Calibri"/>
          <w:color w:val="000000" w:themeColor="text1"/>
          <w:sz w:val="18"/>
          <w:szCs w:val="18"/>
        </w:rPr>
        <w:t>WHOA, O8-446-6(I)9, Jkt 2, B.O.L. Duke to A.O. Lucas, ‘Confidential: Merck, Sharp &amp; Dohme (MSD) agreement’, 28 June 1985.</w:t>
      </w:r>
    </w:p>
  </w:footnote>
  <w:footnote w:id="756">
    <w:p w14:paraId="1D090F47" w14:textId="5EED1CBF"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546CBA">
        <w:rPr>
          <w:rStyle w:val="FootnotesChar"/>
          <w:rFonts w:ascii="Calibri" w:hAnsi="Calibri" w:cs="Calibri"/>
          <w:color w:val="000000" w:themeColor="text1"/>
          <w:sz w:val="18"/>
          <w:szCs w:val="18"/>
        </w:rPr>
        <w:t>WHOA, O8-446-6(I)9, Jkt 2, D. Ginger to A.O. Lucas, ‘Letter of agreement with MSD relating to ivermec</w:t>
      </w:r>
      <w:r w:rsidRPr="00681100">
        <w:rPr>
          <w:rStyle w:val="FootnotesChar"/>
          <w:rFonts w:ascii="Calibri" w:hAnsi="Calibri" w:cs="Calibri"/>
          <w:color w:val="000000" w:themeColor="text1"/>
          <w:sz w:val="18"/>
          <w:szCs w:val="18"/>
        </w:rPr>
        <w:t>tin in onchocerciasis’, 26 April 1985.</w:t>
      </w:r>
    </w:p>
  </w:footnote>
  <w:footnote w:id="757">
    <w:p w14:paraId="1B2C36E2" w14:textId="38A984DF"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546CBA">
        <w:rPr>
          <w:rStyle w:val="FootnotesChar"/>
          <w:rFonts w:ascii="Calibri" w:hAnsi="Calibri" w:cs="Calibri"/>
          <w:color w:val="000000" w:themeColor="text1"/>
          <w:sz w:val="18"/>
          <w:szCs w:val="18"/>
        </w:rPr>
        <w:t>WHOA, O8-446-6(I)9, Jkt 2, Robert D. Fluss to Adetokunbo O. Lucas, 17 May 1985.</w:t>
      </w:r>
    </w:p>
  </w:footnote>
  <w:footnote w:id="758">
    <w:p w14:paraId="0A422C49" w14:textId="63F2A56B"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546CBA">
        <w:rPr>
          <w:rStyle w:val="FootnotesChar"/>
          <w:rFonts w:ascii="Calibri" w:hAnsi="Calibri" w:cs="Calibri"/>
          <w:color w:val="000000" w:themeColor="text1"/>
          <w:sz w:val="18"/>
          <w:szCs w:val="18"/>
        </w:rPr>
        <w:t>WHOA, O8-446-6(I)9, Jkt 2, Robert D. Fluss to Adetokunbo O. Lucas, 17 May 1985.</w:t>
      </w:r>
    </w:p>
  </w:footnote>
  <w:footnote w:id="759">
    <w:p w14:paraId="27A99821" w14:textId="70E783A8" w:rsidR="00CF189D" w:rsidRPr="00581494"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546CBA">
        <w:rPr>
          <w:rStyle w:val="FootnotesChar"/>
          <w:rFonts w:ascii="Calibri" w:hAnsi="Calibri" w:cs="Calibri"/>
          <w:color w:val="000000" w:themeColor="text1"/>
          <w:sz w:val="18"/>
          <w:szCs w:val="18"/>
        </w:rPr>
        <w:t>WHOA, O8-446-6(I)9, Jkt 2, Robert D. Fluss to Adeto</w:t>
      </w:r>
      <w:r w:rsidRPr="00681100">
        <w:rPr>
          <w:rStyle w:val="FootnotesChar"/>
          <w:rFonts w:ascii="Calibri" w:hAnsi="Calibri" w:cs="Calibri"/>
          <w:color w:val="000000" w:themeColor="text1"/>
          <w:sz w:val="18"/>
          <w:szCs w:val="18"/>
        </w:rPr>
        <w:t>kunbo O. Lucas, 17 May 1985; C.H. Vignes to A.O. Lucas, ‘Letter of agreement concerning ivermectin’, 1 July 1985. See also WHOA, O8-446-6(I)9, Jkt 2, Adetokumbo O. Lucas to Robert D. Fluss, ‘Letter of agreement on cooperation between Merck Sharp &amp; Dohme an</w:t>
      </w:r>
      <w:r w:rsidRPr="000045FB">
        <w:rPr>
          <w:rStyle w:val="FootnotesChar"/>
          <w:rFonts w:ascii="Calibri" w:hAnsi="Calibri" w:cs="Calibri"/>
          <w:color w:val="000000" w:themeColor="text1"/>
          <w:sz w:val="18"/>
          <w:szCs w:val="18"/>
        </w:rPr>
        <w:t xml:space="preserve">d WHO for development of ivermectin for use in human onchocerciasis’, 8 July 1985. According to a 1997 TDR report, Merck allowed the WHO to view safety data at its corporate premises (Fujisaki and Reich, </w:t>
      </w:r>
      <w:r w:rsidRPr="000045FB">
        <w:rPr>
          <w:rStyle w:val="FootnotesChar"/>
          <w:rFonts w:ascii="Calibri" w:hAnsi="Calibri" w:cs="Calibri"/>
          <w:i/>
          <w:color w:val="000000" w:themeColor="text1"/>
          <w:sz w:val="18"/>
          <w:szCs w:val="18"/>
        </w:rPr>
        <w:t xml:space="preserve">Assessment </w:t>
      </w:r>
      <w:r w:rsidRPr="00581494">
        <w:rPr>
          <w:rStyle w:val="FootnotesChar"/>
          <w:rFonts w:ascii="Calibri" w:hAnsi="Calibri" w:cs="Calibri"/>
          <w:color w:val="000000" w:themeColor="text1"/>
          <w:sz w:val="18"/>
          <w:szCs w:val="18"/>
        </w:rPr>
        <w:t>[1997], 12).</w:t>
      </w:r>
    </w:p>
  </w:footnote>
  <w:footnote w:id="760">
    <w:p w14:paraId="303DF8E4" w14:textId="41C5D499"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546CBA">
        <w:rPr>
          <w:rStyle w:val="FootnotesChar"/>
          <w:rFonts w:ascii="Calibri" w:hAnsi="Calibri" w:cs="Calibri"/>
          <w:color w:val="000000" w:themeColor="text1"/>
          <w:sz w:val="18"/>
          <w:szCs w:val="18"/>
        </w:rPr>
        <w:t xml:space="preserve">Fujisaki and Reich, </w:t>
      </w:r>
      <w:r w:rsidRPr="00681100">
        <w:rPr>
          <w:rStyle w:val="FootnotesChar"/>
          <w:rFonts w:ascii="Calibri" w:hAnsi="Calibri" w:cs="Calibri"/>
          <w:i/>
          <w:color w:val="000000" w:themeColor="text1"/>
          <w:sz w:val="18"/>
          <w:szCs w:val="18"/>
        </w:rPr>
        <w:t xml:space="preserve">Assessment </w:t>
      </w:r>
      <w:r w:rsidRPr="000045FB">
        <w:rPr>
          <w:rStyle w:val="FootnotesChar"/>
          <w:rFonts w:ascii="Calibri" w:hAnsi="Calibri" w:cs="Calibri"/>
          <w:color w:val="000000" w:themeColor="text1"/>
          <w:sz w:val="18"/>
          <w:szCs w:val="18"/>
        </w:rPr>
        <w:t>(1997), 14-17.</w:t>
      </w:r>
    </w:p>
  </w:footnote>
  <w:footnote w:id="761">
    <w:p w14:paraId="54820091" w14:textId="1AA25104"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546CBA">
        <w:rPr>
          <w:rStyle w:val="FootnotesChar"/>
          <w:rFonts w:ascii="Calibri" w:hAnsi="Calibri" w:cs="Calibri"/>
          <w:color w:val="000000" w:themeColor="text1"/>
          <w:sz w:val="18"/>
          <w:szCs w:val="18"/>
        </w:rPr>
        <w:t xml:space="preserve">Fujisaki and Reich, </w:t>
      </w:r>
      <w:r w:rsidRPr="00681100">
        <w:rPr>
          <w:rStyle w:val="FootnotesChar"/>
          <w:rFonts w:ascii="Calibri" w:hAnsi="Calibri" w:cs="Calibri"/>
          <w:i/>
          <w:color w:val="000000" w:themeColor="text1"/>
          <w:sz w:val="18"/>
          <w:szCs w:val="18"/>
        </w:rPr>
        <w:t xml:space="preserve">Assessment </w:t>
      </w:r>
      <w:r w:rsidRPr="00681100">
        <w:rPr>
          <w:rStyle w:val="FootnotesChar"/>
          <w:rFonts w:ascii="Calibri" w:hAnsi="Calibri" w:cs="Calibri"/>
          <w:color w:val="000000" w:themeColor="text1"/>
          <w:sz w:val="18"/>
          <w:szCs w:val="18"/>
        </w:rPr>
        <w:t>(1997), 16.</w:t>
      </w:r>
    </w:p>
  </w:footnote>
  <w:footnote w:id="762">
    <w:p w14:paraId="1A5CAE4B" w14:textId="5174554C" w:rsidR="00CF189D" w:rsidRPr="00CF189D" w:rsidRDefault="00CF189D" w:rsidP="00DD4818">
      <w:pPr>
        <w:pStyle w:val="Footnotes"/>
        <w:rPr>
          <w:rFonts w:ascii="Calibri" w:hAnsi="Calibri" w:cs="Calibri"/>
          <w:sz w:val="18"/>
          <w:szCs w:val="18"/>
        </w:rPr>
      </w:pPr>
      <w:r w:rsidRPr="000045FB">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t>
      </w:r>
      <w:r w:rsidRPr="00546CBA">
        <w:rPr>
          <w:rStyle w:val="FootnotesChar"/>
          <w:rFonts w:ascii="Calibri" w:hAnsi="Calibri" w:cs="Calibri"/>
          <w:color w:val="000000" w:themeColor="text1"/>
          <w:sz w:val="18"/>
          <w:szCs w:val="18"/>
        </w:rPr>
        <w:t xml:space="preserve">WHOA, O8-446-6(I)9, Jkt 3, </w:t>
      </w:r>
      <w:r w:rsidRPr="00CF189D">
        <w:rPr>
          <w:rFonts w:ascii="Calibri" w:hAnsi="Calibri" w:cs="Calibri"/>
          <w:sz w:val="18"/>
          <w:szCs w:val="18"/>
        </w:rPr>
        <w:t>Roy Vagelos to Halfdan Mahler, 26 September 1986.</w:t>
      </w:r>
    </w:p>
  </w:footnote>
  <w:footnote w:id="763">
    <w:p w14:paraId="70973122" w14:textId="21C84746"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Fujisaki and Reich, </w:t>
      </w:r>
      <w:r w:rsidRPr="00546CBA">
        <w:rPr>
          <w:rFonts w:ascii="Calibri" w:hAnsi="Calibri" w:cs="Calibri"/>
          <w:i/>
          <w:color w:val="000000" w:themeColor="text1"/>
          <w:sz w:val="18"/>
          <w:szCs w:val="18"/>
        </w:rPr>
        <w:t xml:space="preserve">Assessment </w:t>
      </w:r>
      <w:r w:rsidRPr="00681100">
        <w:rPr>
          <w:rFonts w:ascii="Calibri" w:hAnsi="Calibri" w:cs="Calibri"/>
          <w:color w:val="000000" w:themeColor="text1"/>
          <w:sz w:val="18"/>
          <w:szCs w:val="18"/>
        </w:rPr>
        <w:t>(1997), 15.</w:t>
      </w:r>
    </w:p>
  </w:footnote>
  <w:footnote w:id="764">
    <w:p w14:paraId="7344E6E6" w14:textId="4992FC4E"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546CBA">
        <w:rPr>
          <w:rStyle w:val="FootnotesChar"/>
          <w:rFonts w:ascii="Calibri" w:hAnsi="Calibri" w:cs="Calibri"/>
          <w:color w:val="000000" w:themeColor="text1"/>
          <w:sz w:val="18"/>
          <w:szCs w:val="18"/>
        </w:rPr>
        <w:t xml:space="preserve">WHOA, O8-446-6(I)9, Jkt 3,, J.D.M. Marr to File, </w:t>
      </w:r>
      <w:r w:rsidRPr="00681100">
        <w:rPr>
          <w:rStyle w:val="FootnotesChar"/>
          <w:rFonts w:ascii="Calibri" w:hAnsi="Calibri" w:cs="Calibri"/>
          <w:color w:val="000000" w:themeColor="text1"/>
          <w:sz w:val="18"/>
          <w:szCs w:val="18"/>
        </w:rPr>
        <w:t>‘Discussions with Merck, Sharp and Dohme representatives’, 6 January 1986.</w:t>
      </w:r>
    </w:p>
  </w:footnote>
  <w:footnote w:id="765">
    <w:p w14:paraId="355B0801" w14:textId="515D10A7"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546CBA">
        <w:rPr>
          <w:rStyle w:val="FootnotesChar"/>
          <w:rFonts w:ascii="Calibri" w:hAnsi="Calibri" w:cs="Calibri"/>
          <w:color w:val="000000" w:themeColor="text1"/>
          <w:sz w:val="18"/>
          <w:szCs w:val="18"/>
        </w:rPr>
        <w:t xml:space="preserve">Fujisaki and Reich, </w:t>
      </w:r>
      <w:r w:rsidRPr="00681100">
        <w:rPr>
          <w:rStyle w:val="FootnotesChar"/>
          <w:rFonts w:ascii="Calibri" w:hAnsi="Calibri" w:cs="Calibri"/>
          <w:i/>
          <w:color w:val="000000" w:themeColor="text1"/>
          <w:sz w:val="18"/>
          <w:szCs w:val="18"/>
        </w:rPr>
        <w:t xml:space="preserve">Assessment </w:t>
      </w:r>
      <w:r w:rsidRPr="00681100">
        <w:rPr>
          <w:rStyle w:val="FootnotesChar"/>
          <w:rFonts w:ascii="Calibri" w:hAnsi="Calibri" w:cs="Calibri"/>
          <w:color w:val="000000" w:themeColor="text1"/>
          <w:sz w:val="18"/>
          <w:szCs w:val="18"/>
        </w:rPr>
        <w:t>(1997), 15.</w:t>
      </w:r>
    </w:p>
  </w:footnote>
  <w:footnote w:id="766">
    <w:p w14:paraId="0320FADE" w14:textId="79AE5ECB" w:rsidR="00CF189D" w:rsidRPr="00681100" w:rsidRDefault="00CF189D">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Vagelos and Galambos,</w:t>
      </w:r>
      <w:r w:rsidRPr="00546CBA">
        <w:rPr>
          <w:rFonts w:ascii="Calibri" w:hAnsi="Calibri" w:cs="Calibri"/>
          <w:i/>
          <w:color w:val="000000" w:themeColor="text1"/>
          <w:sz w:val="18"/>
          <w:szCs w:val="18"/>
        </w:rPr>
        <w:t xml:space="preserve"> The moral corporation </w:t>
      </w:r>
      <w:r w:rsidRPr="00681100">
        <w:rPr>
          <w:rFonts w:ascii="Calibri" w:hAnsi="Calibri" w:cs="Calibri"/>
          <w:color w:val="000000" w:themeColor="text1"/>
          <w:sz w:val="18"/>
          <w:szCs w:val="18"/>
        </w:rPr>
        <w:t>(2006), 250-251.</w:t>
      </w:r>
    </w:p>
  </w:footnote>
  <w:footnote w:id="767">
    <w:p w14:paraId="004EF159" w14:textId="07009C8A"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546CBA">
        <w:rPr>
          <w:rStyle w:val="FootnotesChar"/>
          <w:rFonts w:ascii="Calibri" w:hAnsi="Calibri" w:cs="Calibri"/>
          <w:color w:val="000000" w:themeColor="text1"/>
          <w:sz w:val="18"/>
          <w:szCs w:val="18"/>
        </w:rPr>
        <w:t xml:space="preserve">Fujisaki and Reich, </w:t>
      </w:r>
      <w:r w:rsidRPr="00681100">
        <w:rPr>
          <w:rStyle w:val="FootnotesChar"/>
          <w:rFonts w:ascii="Calibri" w:hAnsi="Calibri" w:cs="Calibri"/>
          <w:i/>
          <w:color w:val="000000" w:themeColor="text1"/>
          <w:sz w:val="18"/>
          <w:szCs w:val="18"/>
        </w:rPr>
        <w:t xml:space="preserve">Assessment </w:t>
      </w:r>
      <w:r w:rsidRPr="00681100">
        <w:rPr>
          <w:rStyle w:val="FootnotesChar"/>
          <w:rFonts w:ascii="Calibri" w:hAnsi="Calibri" w:cs="Calibri"/>
          <w:color w:val="000000" w:themeColor="text1"/>
          <w:sz w:val="18"/>
          <w:szCs w:val="18"/>
        </w:rPr>
        <w:t>(1997), 7.</w:t>
      </w:r>
    </w:p>
  </w:footnote>
  <w:footnote w:id="768">
    <w:p w14:paraId="5BE19398" w14:textId="4E342A8E" w:rsidR="00CF189D" w:rsidRPr="000045FB" w:rsidRDefault="00CF189D">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Vagelos and Galambos,</w:t>
      </w:r>
      <w:r w:rsidRPr="00546CBA">
        <w:rPr>
          <w:rFonts w:ascii="Calibri" w:hAnsi="Calibri" w:cs="Calibri"/>
          <w:i/>
          <w:color w:val="000000" w:themeColor="text1"/>
          <w:sz w:val="18"/>
          <w:szCs w:val="18"/>
        </w:rPr>
        <w:t xml:space="preserve"> The m</w:t>
      </w:r>
      <w:r w:rsidRPr="00681100">
        <w:rPr>
          <w:rFonts w:ascii="Calibri" w:hAnsi="Calibri" w:cs="Calibri"/>
          <w:i/>
          <w:color w:val="000000" w:themeColor="text1"/>
          <w:sz w:val="18"/>
          <w:szCs w:val="18"/>
        </w:rPr>
        <w:t xml:space="preserve">oral corporation </w:t>
      </w:r>
      <w:r w:rsidRPr="00681100">
        <w:rPr>
          <w:rFonts w:ascii="Calibri" w:hAnsi="Calibri" w:cs="Calibri"/>
          <w:color w:val="000000" w:themeColor="text1"/>
          <w:sz w:val="18"/>
          <w:szCs w:val="18"/>
        </w:rPr>
        <w:t>(2006</w:t>
      </w:r>
      <w:r w:rsidRPr="000045FB">
        <w:rPr>
          <w:rFonts w:ascii="Calibri" w:hAnsi="Calibri" w:cs="Calibri"/>
          <w:color w:val="000000" w:themeColor="text1"/>
          <w:sz w:val="18"/>
          <w:szCs w:val="18"/>
        </w:rPr>
        <w:t>), 254.</w:t>
      </w:r>
    </w:p>
  </w:footnote>
  <w:footnote w:id="769">
    <w:p w14:paraId="757A84E8" w14:textId="422CA2B8" w:rsidR="00CF189D" w:rsidRPr="000045FB" w:rsidRDefault="00CF189D">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This valuation was $1.50/tablet, which is an estimated cost within a U.S. market, well above the international generic market rate. See Hernando et al., ‘Doing well while fighting river blindness: the alignment of a corporat</w:t>
      </w:r>
      <w:r w:rsidRPr="00681100">
        <w:rPr>
          <w:rFonts w:ascii="Calibri" w:hAnsi="Calibri" w:cs="Calibri"/>
          <w:color w:val="000000" w:themeColor="text1"/>
          <w:sz w:val="18"/>
          <w:szCs w:val="18"/>
        </w:rPr>
        <w:t xml:space="preserve">e drug donation programme with responsibilities to shareholders’, </w:t>
      </w:r>
      <w:r w:rsidRPr="000045FB">
        <w:rPr>
          <w:rFonts w:ascii="Calibri" w:hAnsi="Calibri" w:cs="Calibri"/>
          <w:i/>
          <w:color w:val="000000" w:themeColor="text1"/>
          <w:sz w:val="18"/>
          <w:szCs w:val="18"/>
        </w:rPr>
        <w:t xml:space="preserve">Tropical Medicine &amp; International Health </w:t>
      </w:r>
      <w:r w:rsidRPr="000045FB">
        <w:rPr>
          <w:rFonts w:ascii="Calibri" w:hAnsi="Calibri" w:cs="Calibri"/>
          <w:color w:val="000000" w:themeColor="text1"/>
          <w:sz w:val="18"/>
          <w:szCs w:val="18"/>
        </w:rPr>
        <w:t>20:10 (2016), 1304-1310.</w:t>
      </w:r>
    </w:p>
  </w:footnote>
  <w:footnote w:id="770">
    <w:p w14:paraId="4E3C365A" w14:textId="73A3BEBE" w:rsidR="00CF189D" w:rsidRPr="00546CBA" w:rsidRDefault="00CF189D">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Hernando et al., ‘Doing well while fighting’ (2016).</w:t>
      </w:r>
    </w:p>
  </w:footnote>
  <w:footnote w:id="771">
    <w:p w14:paraId="7E79841F" w14:textId="77777777" w:rsidR="00CF189D" w:rsidRPr="000045FB" w:rsidRDefault="00CF189D" w:rsidP="00A1781F">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30137006, ‘Review of onchocerciasis chemotherapy project’, [1990]. See also </w:t>
      </w:r>
      <w:r w:rsidRPr="00681100">
        <w:rPr>
          <w:rStyle w:val="FootnotesChar"/>
          <w:rFonts w:ascii="Calibri" w:hAnsi="Calibri" w:cs="Calibri"/>
          <w:color w:val="000000" w:themeColor="text1"/>
          <w:sz w:val="18"/>
          <w:szCs w:val="18"/>
        </w:rPr>
        <w:t xml:space="preserve">Fujisaki and Reich, </w:t>
      </w:r>
      <w:r w:rsidRPr="000045FB">
        <w:rPr>
          <w:rStyle w:val="FootnotesChar"/>
          <w:rFonts w:ascii="Calibri" w:hAnsi="Calibri" w:cs="Calibri"/>
          <w:i/>
          <w:color w:val="000000" w:themeColor="text1"/>
          <w:sz w:val="18"/>
          <w:szCs w:val="18"/>
        </w:rPr>
        <w:t xml:space="preserve">Assessment </w:t>
      </w:r>
      <w:r w:rsidRPr="000045FB">
        <w:rPr>
          <w:rStyle w:val="FootnotesChar"/>
          <w:rFonts w:ascii="Calibri" w:hAnsi="Calibri" w:cs="Calibri"/>
          <w:color w:val="000000" w:themeColor="text1"/>
          <w:sz w:val="18"/>
          <w:szCs w:val="18"/>
        </w:rPr>
        <w:t>(1997), 10-11.</w:t>
      </w:r>
    </w:p>
  </w:footnote>
  <w:footnote w:id="772">
    <w:p w14:paraId="2591B85E" w14:textId="77D64113" w:rsidR="00CF189D" w:rsidRPr="00CF189D" w:rsidRDefault="00CF189D" w:rsidP="00DD4818">
      <w:pPr>
        <w:pStyle w:val="Footnotes"/>
        <w:rPr>
          <w:rFonts w:ascii="Calibri" w:hAnsi="Calibri" w:cs="Calibri"/>
          <w:sz w:val="18"/>
          <w:szCs w:val="18"/>
          <w:lang w:eastAsia="en-GB"/>
        </w:rPr>
      </w:pPr>
      <w:r w:rsidRPr="00581494">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t>
      </w:r>
      <w:r w:rsidRPr="00CF189D">
        <w:rPr>
          <w:rFonts w:ascii="Calibri" w:hAnsi="Calibri" w:cs="Calibri"/>
          <w:sz w:val="18"/>
          <w:szCs w:val="18"/>
          <w:lang w:eastAsia="en-GB"/>
        </w:rPr>
        <w:t xml:space="preserve">Tielsch JM and Beeche A, 'Impact of ivermectin on illness and disability associated with onchocerciasis', </w:t>
      </w:r>
      <w:r w:rsidRPr="00CF189D">
        <w:rPr>
          <w:rFonts w:ascii="Calibri" w:hAnsi="Calibri" w:cs="Calibri"/>
          <w:i/>
          <w:iCs/>
          <w:sz w:val="18"/>
          <w:szCs w:val="18"/>
          <w:lang w:eastAsia="en-GB"/>
        </w:rPr>
        <w:t>Tropical Medicine &amp; International Health</w:t>
      </w:r>
      <w:r w:rsidRPr="00CF189D">
        <w:rPr>
          <w:rFonts w:ascii="Calibri" w:hAnsi="Calibri" w:cs="Calibri"/>
          <w:sz w:val="18"/>
          <w:szCs w:val="18"/>
          <w:lang w:eastAsia="en-GB"/>
        </w:rPr>
        <w:t>, 9:4 (2004), A45-A56.</w:t>
      </w:r>
    </w:p>
  </w:footnote>
  <w:footnote w:id="773">
    <w:p w14:paraId="30D73D2A" w14:textId="5EA4C4C9"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1103302, ‘Handwritten notes about chemotherapy [unknown Bank author]’, [December 1981 or January 1982]; WBGA, 1300642, ‘Bank’s Strategy for the Onchocerciasis Control Programme during phase II (1980-1985)’, 30 November 1982.</w:t>
      </w:r>
    </w:p>
  </w:footnote>
  <w:footnote w:id="774">
    <w:p w14:paraId="665BB87F" w14:textId="1ABC6126" w:rsidR="00CF189D" w:rsidRPr="000045FB" w:rsidRDefault="00CF189D">
      <w:pPr>
        <w:pStyle w:val="FootnoteText"/>
        <w:rPr>
          <w:rFonts w:ascii="Calibri" w:hAnsi="Calibri" w:cs="Calibri"/>
          <w: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546CBA">
        <w:rPr>
          <w:rFonts w:ascii="Calibri" w:hAnsi="Calibri" w:cs="Calibri"/>
          <w:i/>
          <w:color w:val="000000" w:themeColor="text1"/>
          <w:sz w:val="18"/>
          <w:szCs w:val="18"/>
        </w:rPr>
        <w:t xml:space="preserve">Transcript of an interview with Bruce Benton </w:t>
      </w:r>
      <w:r w:rsidRPr="00681100">
        <w:rPr>
          <w:rFonts w:ascii="Calibri" w:hAnsi="Calibri" w:cs="Calibri"/>
          <w:color w:val="000000" w:themeColor="text1"/>
          <w:sz w:val="18"/>
          <w:szCs w:val="18"/>
        </w:rPr>
        <w:t>(2006), 66.</w:t>
      </w:r>
    </w:p>
  </w:footnote>
  <w:footnote w:id="775">
    <w:p w14:paraId="4B7E3735" w14:textId="6E557B58" w:rsidR="00CF189D" w:rsidRPr="00CF189D" w:rsidRDefault="00CF189D" w:rsidP="00DD4818">
      <w:pPr>
        <w:pStyle w:val="Footnotes"/>
        <w:rPr>
          <w:rFonts w:ascii="Calibri" w:hAnsi="Calibri" w:cs="Calibri"/>
          <w:sz w:val="18"/>
          <w:szCs w:val="18"/>
          <w:lang w:val="en-GB"/>
        </w:rPr>
      </w:pPr>
      <w:r w:rsidRPr="000045FB">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World Bank, Transcript of an interview with Bruce Benton (2006), 66.</w:t>
      </w:r>
    </w:p>
  </w:footnote>
  <w:footnote w:id="776">
    <w:p w14:paraId="42DA35B9" w14:textId="2379817A"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30137006, ‘Progress report of the onchocerciasis chemotherapy project (OCT) for 1990’, September 1990.</w:t>
      </w:r>
    </w:p>
  </w:footnote>
  <w:footnote w:id="777">
    <w:p w14:paraId="484BD0E6" w14:textId="3B5E66AD" w:rsidR="00CF189D" w:rsidRPr="00681100" w:rsidRDefault="00CF189D" w:rsidP="00B86D8C">
      <w:pPr>
        <w:pStyle w:val="FootnoteText"/>
        <w:rPr>
          <w:rFonts w:ascii="Calibri" w:hAnsi="Calibri" w:cs="Calibri"/>
          <w:b/>
          <w: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30137006, ‘Progress report of the onchocerciasis chemotherapy pr</w:t>
      </w:r>
      <w:r w:rsidRPr="00681100">
        <w:rPr>
          <w:rFonts w:ascii="Calibri" w:hAnsi="Calibri" w:cs="Calibri"/>
          <w:color w:val="000000" w:themeColor="text1"/>
          <w:sz w:val="18"/>
          <w:szCs w:val="18"/>
        </w:rPr>
        <w:t>oject (OCT) for 1990’, September 1990.</w:t>
      </w:r>
    </w:p>
  </w:footnote>
  <w:footnote w:id="778">
    <w:p w14:paraId="569E8806" w14:textId="21E7D74B" w:rsidR="00CF189D" w:rsidRPr="00CF189D" w:rsidRDefault="00CF189D" w:rsidP="00DD4818">
      <w:pPr>
        <w:pStyle w:val="Footnotes"/>
        <w:rPr>
          <w:rFonts w:ascii="Calibri" w:hAnsi="Calibri" w:cs="Calibri"/>
          <w:sz w:val="18"/>
          <w:szCs w:val="18"/>
          <w:lang w:val="en-GB"/>
        </w:rPr>
      </w:pPr>
      <w:r w:rsidRPr="000045FB">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30137006, ‘Progress report of the onchocerciasis chemotherapy project (OCT) for 1990’, September 1990.</w:t>
      </w:r>
    </w:p>
  </w:footnote>
  <w:footnote w:id="779">
    <w:p w14:paraId="1AD53B34" w14:textId="7EE70DCA" w:rsidR="00CF189D" w:rsidRPr="00CF189D" w:rsidRDefault="00CF189D" w:rsidP="00DD4818">
      <w:pPr>
        <w:pStyle w:val="Footnotes"/>
        <w:rPr>
          <w:rFonts w:ascii="Calibri" w:hAnsi="Calibri" w:cs="Calibri"/>
          <w:sz w:val="18"/>
          <w:szCs w:val="18"/>
          <w:lang w:eastAsia="en-GB"/>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t>
      </w:r>
      <w:r w:rsidRPr="00CF189D">
        <w:rPr>
          <w:rFonts w:ascii="Calibri" w:hAnsi="Calibri" w:cs="Calibri"/>
          <w:sz w:val="18"/>
          <w:szCs w:val="18"/>
          <w:lang w:eastAsia="en-GB"/>
        </w:rPr>
        <w:t xml:space="preserve">Hopkins AD, ‘Ivermectin and onchocerciasis: is it all solved?’, </w:t>
      </w:r>
      <w:r w:rsidRPr="00CF189D">
        <w:rPr>
          <w:rFonts w:ascii="Calibri" w:hAnsi="Calibri" w:cs="Calibri"/>
          <w:i/>
          <w:sz w:val="18"/>
          <w:szCs w:val="18"/>
          <w:lang w:eastAsia="en-GB"/>
        </w:rPr>
        <w:t xml:space="preserve">Eye </w:t>
      </w:r>
      <w:r w:rsidRPr="00CF189D">
        <w:rPr>
          <w:rFonts w:ascii="Calibri" w:hAnsi="Calibri" w:cs="Calibri"/>
          <w:sz w:val="18"/>
          <w:szCs w:val="18"/>
          <w:lang w:eastAsia="en-GB"/>
        </w:rPr>
        <w:t xml:space="preserve">19:10 (2005), 1057-1066. </w:t>
      </w:r>
    </w:p>
  </w:footnote>
  <w:footnote w:id="780">
    <w:p w14:paraId="014CF863" w14:textId="0471D889" w:rsidR="00CF189D" w:rsidRPr="00CF189D" w:rsidRDefault="00CF189D" w:rsidP="00DD4818">
      <w:pPr>
        <w:pStyle w:val="Footnotes"/>
        <w:rPr>
          <w:rFonts w:ascii="Calibri" w:hAnsi="Calibri" w:cs="Calibri"/>
          <w:sz w:val="18"/>
          <w:szCs w:val="18"/>
          <w:lang w:eastAsia="en-GB"/>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Fenwick et al., ‘Waterborne infectious diseases, approaches to control’, in Kanki P and Grimes DJ (Eds.), </w:t>
      </w:r>
      <w:r w:rsidRPr="00CF189D">
        <w:rPr>
          <w:rFonts w:ascii="Calibri" w:hAnsi="Calibri" w:cs="Calibri"/>
          <w:i/>
          <w:iCs/>
          <w:sz w:val="18"/>
          <w:szCs w:val="18"/>
          <w:lang w:eastAsia="en-GB"/>
        </w:rPr>
        <w:t>Infectious diseases: selected entries from the encyclopedia of sustainability science and technology</w:t>
      </w:r>
      <w:r w:rsidRPr="00CF189D">
        <w:rPr>
          <w:rFonts w:ascii="Calibri" w:hAnsi="Calibri" w:cs="Calibri"/>
          <w:sz w:val="18"/>
          <w:szCs w:val="18"/>
          <w:lang w:eastAsia="en-GB"/>
        </w:rPr>
        <w:t xml:space="preserve"> (New York: Springer, 2012), 399-430, especially 415.</w:t>
      </w:r>
    </w:p>
  </w:footnote>
  <w:footnote w:id="781">
    <w:p w14:paraId="23FFC110" w14:textId="6442847C" w:rsidR="00CF189D" w:rsidRPr="000045FB" w:rsidRDefault="00CF189D" w:rsidP="00B86D8C">
      <w:pPr>
        <w:rPr>
          <w:rFonts w:ascii="Calibri" w:hAnsi="Calibri" w:cs="Calibri"/>
          <w:color w:val="000000" w:themeColor="text1"/>
          <w:sz w:val="18"/>
          <w:szCs w:val="18"/>
          <w:lang w:eastAsia="en-GB"/>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546CBA">
        <w:rPr>
          <w:rFonts w:ascii="Calibri" w:hAnsi="Calibri" w:cs="Calibri"/>
          <w:color w:val="000000" w:themeColor="text1"/>
          <w:sz w:val="18"/>
          <w:szCs w:val="18"/>
          <w:lang w:eastAsia="en-GB"/>
        </w:rPr>
        <w:t>Be</w:t>
      </w:r>
      <w:r w:rsidRPr="00681100">
        <w:rPr>
          <w:rFonts w:ascii="Calibri" w:hAnsi="Calibri" w:cs="Calibri"/>
          <w:color w:val="000000" w:themeColor="text1"/>
          <w:sz w:val="18"/>
          <w:szCs w:val="18"/>
          <w:lang w:eastAsia="en-GB"/>
        </w:rPr>
        <w:t xml:space="preserve">nton et al., 'Partnership and promise: evolution of the African river-blindness campaigns', </w:t>
      </w:r>
      <w:r w:rsidRPr="00681100">
        <w:rPr>
          <w:rFonts w:ascii="Calibri" w:hAnsi="Calibri" w:cs="Calibri"/>
          <w:i/>
          <w:iCs/>
          <w:color w:val="000000" w:themeColor="text1"/>
          <w:sz w:val="18"/>
          <w:szCs w:val="18"/>
          <w:lang w:eastAsia="en-GB"/>
        </w:rPr>
        <w:t>Annals of Tropical Medicine and Parasitology</w:t>
      </w:r>
      <w:r w:rsidRPr="00681100">
        <w:rPr>
          <w:rFonts w:ascii="Calibri" w:hAnsi="Calibri" w:cs="Calibri"/>
          <w:color w:val="000000" w:themeColor="text1"/>
          <w:sz w:val="18"/>
          <w:szCs w:val="18"/>
          <w:lang w:eastAsia="en-GB"/>
        </w:rPr>
        <w:t>, 96 (2002), 5-14.</w:t>
      </w:r>
    </w:p>
  </w:footnote>
  <w:footnote w:id="782">
    <w:p w14:paraId="56B5571A" w14:textId="10C3EA9D" w:rsidR="00CF189D" w:rsidRPr="000045FB" w:rsidRDefault="00CF189D" w:rsidP="00B86D8C">
      <w:pPr>
        <w:rPr>
          <w:rFonts w:ascii="Calibri" w:hAnsi="Calibri" w:cs="Calibri"/>
          <w:color w:val="000000" w:themeColor="text1"/>
          <w:sz w:val="18"/>
          <w:szCs w:val="18"/>
          <w:lang w:eastAsia="en-GB"/>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546CBA">
        <w:rPr>
          <w:rFonts w:ascii="Calibri" w:hAnsi="Calibri" w:cs="Calibri"/>
          <w:color w:val="000000" w:themeColor="text1"/>
          <w:sz w:val="18"/>
          <w:szCs w:val="18"/>
          <w:lang w:eastAsia="en-GB"/>
        </w:rPr>
        <w:t xml:space="preserve">Coyne PEB and Berk DW, </w:t>
      </w:r>
      <w:r w:rsidRPr="00681100">
        <w:rPr>
          <w:rFonts w:ascii="Calibri" w:hAnsi="Calibri" w:cs="Calibri"/>
          <w:i/>
          <w:iCs/>
          <w:color w:val="000000" w:themeColor="text1"/>
          <w:sz w:val="18"/>
          <w:szCs w:val="18"/>
          <w:lang w:eastAsia="en-GB"/>
        </w:rPr>
        <w:t>The Mectizan (ivermectin) Donation Program for riverblindness as a paradigm for pharmaceutical industry donation programs</w:t>
      </w:r>
      <w:r w:rsidRPr="00681100">
        <w:rPr>
          <w:rFonts w:ascii="Calibri" w:hAnsi="Calibri" w:cs="Calibri"/>
          <w:color w:val="000000" w:themeColor="text1"/>
          <w:sz w:val="18"/>
          <w:szCs w:val="18"/>
          <w:lang w:eastAsia="en-GB"/>
        </w:rPr>
        <w:t xml:space="preserve"> (Washington DC: World Bank, 2002).</w:t>
      </w:r>
    </w:p>
  </w:footnote>
  <w:footnote w:id="783">
    <w:p w14:paraId="259E420E" w14:textId="7298F7C7" w:rsidR="00CF189D" w:rsidRPr="000045FB" w:rsidRDefault="00CF189D" w:rsidP="00B86D8C">
      <w:pPr>
        <w:rPr>
          <w:rFonts w:ascii="Calibri" w:hAnsi="Calibri" w:cs="Calibri"/>
          <w:color w:val="000000" w:themeColor="text1"/>
          <w:sz w:val="18"/>
          <w:szCs w:val="18"/>
          <w:lang w:eastAsia="en-GB"/>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546CBA">
        <w:rPr>
          <w:rFonts w:ascii="Calibri" w:hAnsi="Calibri" w:cs="Calibri"/>
          <w:color w:val="000000" w:themeColor="text1"/>
          <w:sz w:val="18"/>
          <w:szCs w:val="18"/>
          <w:lang w:eastAsia="en-GB"/>
        </w:rPr>
        <w:t xml:space="preserve">s.a., '28-year river blindness campaign celebrates completion', </w:t>
      </w:r>
      <w:r w:rsidRPr="00681100">
        <w:rPr>
          <w:rFonts w:ascii="Calibri" w:hAnsi="Calibri" w:cs="Calibri"/>
          <w:i/>
          <w:iCs/>
          <w:color w:val="000000" w:themeColor="text1"/>
          <w:sz w:val="18"/>
          <w:szCs w:val="18"/>
          <w:lang w:eastAsia="en-GB"/>
        </w:rPr>
        <w:t>Bulletin of the WHO</w:t>
      </w:r>
      <w:r w:rsidRPr="00681100">
        <w:rPr>
          <w:rFonts w:ascii="Calibri" w:hAnsi="Calibri" w:cs="Calibri"/>
          <w:color w:val="000000" w:themeColor="text1"/>
          <w:sz w:val="18"/>
          <w:szCs w:val="18"/>
          <w:lang w:eastAsia="en-GB"/>
        </w:rPr>
        <w:t xml:space="preserve"> 81:1 (2003), 75.</w:t>
      </w:r>
    </w:p>
  </w:footnote>
  <w:footnote w:id="784">
    <w:p w14:paraId="78D0B00E" w14:textId="2B944459" w:rsidR="00CF189D" w:rsidRPr="00E259A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WBGA, 1082632, M.G. Candau to Robert S. McNamara, 8 August 1974; WBGA, 1082632, E. Peter Wright to Robert S. McNamara, ‘Abidjan meeting on riverblindness’, 20 February 1975; WBGA, 1082632, E. Peter Wright to Robert S. McNam</w:t>
      </w:r>
      <w:r w:rsidRPr="00681100">
        <w:rPr>
          <w:rFonts w:ascii="Calibri" w:hAnsi="Calibri" w:cs="Calibri"/>
          <w:color w:val="000000" w:themeColor="text1"/>
          <w:sz w:val="18"/>
          <w:szCs w:val="18"/>
        </w:rPr>
        <w:t xml:space="preserve">ara, 2 October 1975; WHOA, O8-372-3, Jkt 1, L. Bernard to E. Peter Wright, 21 November 1973; WBGA, 1434979, Bilsel Alsibah to Ernest Stern, ‘Onchocerciasis Control Program: aircraft contract’, 14 April 1979; </w:t>
      </w:r>
      <w:r w:rsidRPr="000045FB">
        <w:rPr>
          <w:rFonts w:ascii="Calibri" w:hAnsi="Calibri" w:cs="Calibri"/>
          <w:color w:val="000000" w:themeColor="text1"/>
          <w:sz w:val="18"/>
          <w:szCs w:val="18"/>
          <w:lang w:val="en-US"/>
        </w:rPr>
        <w:t xml:space="preserve">Le Berre et al., ‘The WHO Onchocerciasis Control Programme: retrospect and prospects’, </w:t>
      </w:r>
      <w:r w:rsidRPr="000045FB">
        <w:rPr>
          <w:rFonts w:ascii="Calibri" w:hAnsi="Calibri" w:cs="Calibri"/>
          <w:i/>
          <w:color w:val="000000" w:themeColor="text1"/>
          <w:sz w:val="18"/>
          <w:szCs w:val="18"/>
          <w:lang w:val="en-US"/>
        </w:rPr>
        <w:t xml:space="preserve">Philosophical Transactions of the Royal Society London </w:t>
      </w:r>
      <w:r w:rsidRPr="00581494">
        <w:rPr>
          <w:rFonts w:ascii="Calibri" w:hAnsi="Calibri" w:cs="Calibri"/>
          <w:color w:val="000000" w:themeColor="text1"/>
          <w:sz w:val="18"/>
          <w:szCs w:val="18"/>
          <w:lang w:val="en-US"/>
        </w:rPr>
        <w:t>238 (1990), 721-729</w:t>
      </w:r>
      <w:r w:rsidRPr="00581494">
        <w:rPr>
          <w:rFonts w:ascii="Calibri" w:hAnsi="Calibri" w:cs="Calibri"/>
          <w:color w:val="000000" w:themeColor="text1"/>
          <w:sz w:val="18"/>
          <w:szCs w:val="18"/>
        </w:rPr>
        <w:t>.</w:t>
      </w:r>
    </w:p>
  </w:footnote>
  <w:footnote w:id="785">
    <w:p w14:paraId="238C89E0" w14:textId="3A304A0A" w:rsidR="00CF189D" w:rsidRPr="00E259A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For instance, DDT was first used large-scale for a delousing (typhus) campaign in Algiers in 1943 and Naples in 1944. It was later used to </w:t>
      </w:r>
      <w:r w:rsidRPr="00681100">
        <w:rPr>
          <w:rFonts w:ascii="Calibri" w:hAnsi="Calibri" w:cs="Calibri"/>
          <w:color w:val="000000" w:themeColor="text1"/>
          <w:sz w:val="18"/>
          <w:szCs w:val="18"/>
        </w:rPr>
        <w:t>eradicate malaria in Sardinia in the 1940s, and became a prime weapon in malaria control initiatives launched in the 1950s, especially in India and Sri Lanka. As Chapter 1 described, vector control was also used in the 1940s for onchocerciasis in Africa an</w:t>
      </w:r>
      <w:r w:rsidRPr="000045FB">
        <w:rPr>
          <w:rFonts w:ascii="Calibri" w:hAnsi="Calibri" w:cs="Calibri"/>
          <w:color w:val="000000" w:themeColor="text1"/>
          <w:sz w:val="18"/>
          <w:szCs w:val="18"/>
        </w:rPr>
        <w:t xml:space="preserve">d Latin America. See </w:t>
      </w:r>
      <w:r w:rsidRPr="000045FB">
        <w:rPr>
          <w:rFonts w:ascii="Calibri" w:hAnsi="Calibri" w:cs="Calibri"/>
          <w:color w:val="000000" w:themeColor="text1"/>
          <w:sz w:val="18"/>
          <w:szCs w:val="18"/>
          <w:lang w:eastAsia="en-GB"/>
        </w:rPr>
        <w:t xml:space="preserve">Forget G., 'Balancing the need for pesticides with the risk to human health', in </w:t>
      </w:r>
      <w:r w:rsidRPr="00581494">
        <w:rPr>
          <w:rFonts w:ascii="Calibri" w:hAnsi="Calibri" w:cs="Calibri"/>
          <w:i/>
          <w:iCs/>
          <w:color w:val="000000" w:themeColor="text1"/>
          <w:sz w:val="18"/>
          <w:szCs w:val="18"/>
          <w:lang w:eastAsia="en-GB"/>
        </w:rPr>
        <w:t>Impact of pesticide use on health in developing countries: proceedings of a symposium held in Ottawa, Canada, 17-20 Sept. 1990</w:t>
      </w:r>
      <w:r w:rsidRPr="00581494">
        <w:rPr>
          <w:rFonts w:ascii="Calibri" w:hAnsi="Calibri" w:cs="Calibri"/>
          <w:color w:val="000000" w:themeColor="text1"/>
          <w:sz w:val="18"/>
          <w:szCs w:val="18"/>
          <w:lang w:eastAsia="en-GB"/>
        </w:rPr>
        <w:t xml:space="preserve"> (Ottawa: International Development Research Centre, 1993). </w:t>
      </w:r>
    </w:p>
  </w:footnote>
  <w:footnote w:id="786">
    <w:p w14:paraId="61921430" w14:textId="56C58C72" w:rsidR="00CF189D" w:rsidRPr="00E259A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Brown et al., ‘The World Health Organization and the transition from “international” to “global” public health’, </w:t>
      </w:r>
      <w:r w:rsidRPr="00681100">
        <w:rPr>
          <w:rFonts w:ascii="Calibri" w:hAnsi="Calibri" w:cs="Calibri"/>
          <w:i/>
          <w:color w:val="000000" w:themeColor="text1"/>
          <w:sz w:val="18"/>
          <w:szCs w:val="18"/>
        </w:rPr>
        <w:t xml:space="preserve">American Journal of Public Health </w:t>
      </w:r>
      <w:r w:rsidRPr="00681100">
        <w:rPr>
          <w:rFonts w:ascii="Calibri" w:hAnsi="Calibri" w:cs="Calibri"/>
          <w:color w:val="000000" w:themeColor="text1"/>
          <w:sz w:val="18"/>
          <w:szCs w:val="18"/>
        </w:rPr>
        <w:t xml:space="preserve">96:1 (2006), 62-72; Cueto M, ‘The WHO and primary health care during the 1980s’, in Medcalf et al. (Eds.), </w:t>
      </w:r>
      <w:r w:rsidRPr="00681100">
        <w:rPr>
          <w:rFonts w:ascii="Calibri" w:hAnsi="Calibri" w:cs="Calibri"/>
          <w:i/>
          <w:color w:val="000000" w:themeColor="text1"/>
          <w:sz w:val="18"/>
          <w:szCs w:val="18"/>
        </w:rPr>
        <w:t xml:space="preserve">Health for all: the journey of universal health coverage </w:t>
      </w:r>
      <w:r w:rsidRPr="00681100">
        <w:rPr>
          <w:rFonts w:ascii="Calibri" w:hAnsi="Calibri" w:cs="Calibri"/>
          <w:color w:val="000000" w:themeColor="text1"/>
          <w:sz w:val="18"/>
          <w:szCs w:val="18"/>
        </w:rPr>
        <w:t>(Hyde</w:t>
      </w:r>
      <w:r w:rsidRPr="000045FB">
        <w:rPr>
          <w:rFonts w:ascii="Calibri" w:hAnsi="Calibri" w:cs="Calibri"/>
          <w:color w:val="000000" w:themeColor="text1"/>
          <w:sz w:val="18"/>
          <w:szCs w:val="18"/>
        </w:rPr>
        <w:t xml:space="preserve">rabad: Orient Blackswan, 2015); Litsios S, ‘The Christian Medical Commission and the development of WHO’s primary health care approach’, </w:t>
      </w:r>
      <w:r w:rsidRPr="000045FB">
        <w:rPr>
          <w:rFonts w:ascii="Calibri" w:hAnsi="Calibri" w:cs="Calibri"/>
          <w:i/>
          <w:color w:val="000000" w:themeColor="text1"/>
          <w:sz w:val="18"/>
          <w:szCs w:val="18"/>
        </w:rPr>
        <w:t>American Journal of Public Health</w:t>
      </w:r>
      <w:r w:rsidRPr="00581494">
        <w:rPr>
          <w:rFonts w:ascii="Calibri" w:hAnsi="Calibri" w:cs="Calibri"/>
          <w:color w:val="000000" w:themeColor="text1"/>
          <w:sz w:val="18"/>
          <w:szCs w:val="18"/>
        </w:rPr>
        <w:t xml:space="preserve"> 94 (2004), 1884–1893; Packard RM, ‘“No other logical choice”: global malaria eradication and the politics of international health in the post-war era’, </w:t>
      </w:r>
      <w:r w:rsidRPr="00581494">
        <w:rPr>
          <w:rFonts w:ascii="Calibri" w:hAnsi="Calibri" w:cs="Calibri"/>
          <w:i/>
          <w:color w:val="000000" w:themeColor="text1"/>
          <w:sz w:val="18"/>
          <w:szCs w:val="18"/>
        </w:rPr>
        <w:t>Parasitologia</w:t>
      </w:r>
      <w:r w:rsidRPr="00E259AA">
        <w:rPr>
          <w:rFonts w:ascii="Calibri" w:hAnsi="Calibri" w:cs="Calibri"/>
          <w:color w:val="000000" w:themeColor="text1"/>
          <w:sz w:val="18"/>
          <w:szCs w:val="18"/>
        </w:rPr>
        <w:t xml:space="preserve"> 40 (1998), 217–229.</w:t>
      </w:r>
    </w:p>
  </w:footnote>
  <w:footnote w:id="787">
    <w:p w14:paraId="3C1D7005" w14:textId="6D67DBFF"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Brown et al., ‘The World Health Organization’ (2006).</w:t>
      </w:r>
    </w:p>
  </w:footnote>
  <w:footnote w:id="788">
    <w:p w14:paraId="505F4FF3" w14:textId="2B4E599F"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Cueto, ‘The WHO’ (2015).</w:t>
      </w:r>
    </w:p>
  </w:footnote>
  <w:footnote w:id="789">
    <w:p w14:paraId="7282D8FE" w14:textId="75599A40" w:rsidR="00CF189D" w:rsidRPr="000045FB" w:rsidRDefault="00CF189D">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t>9</w:t>
      </w:r>
      <w:r w:rsidRPr="00681100">
        <w:rPr>
          <w:rFonts w:ascii="Calibri" w:hAnsi="Calibri" w:cs="Calibri"/>
          <w:color w:val="000000" w:themeColor="text1"/>
          <w:sz w:val="18"/>
          <w:szCs w:val="18"/>
        </w:rPr>
        <w:t xml:space="preserve"> Timeline based on Brown et al., ‘The World Health Organization’ (2006); Cueto, ‘The WHO’ (2015); Litsios, ‘The Christian’ (2004).</w:t>
      </w:r>
    </w:p>
  </w:footnote>
  <w:footnote w:id="790">
    <w:p w14:paraId="37CB61EC" w14:textId="2D837876" w:rsidR="00CF189D" w:rsidRPr="000045FB" w:rsidRDefault="00CF189D" w:rsidP="00233532">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t>10</w:t>
      </w:r>
      <w:r w:rsidRPr="00546CBA">
        <w:rPr>
          <w:rFonts w:ascii="Calibri" w:hAnsi="Calibri" w:cs="Calibri"/>
          <w:color w:val="000000" w:themeColor="text1"/>
          <w:sz w:val="18"/>
          <w:szCs w:val="18"/>
        </w:rPr>
        <w:t xml:space="preserve"> </w:t>
      </w:r>
      <w:r w:rsidRPr="0095305F">
        <w:rPr>
          <w:rFonts w:ascii="Calibri" w:hAnsi="Calibri" w:cs="Calibri"/>
          <w:color w:val="000000" w:themeColor="text1"/>
          <w:sz w:val="18"/>
          <w:szCs w:val="18"/>
        </w:rPr>
        <w:t>The now (in)famous ‘GOBI package’, and later GOBI-FFF package, emphasized growth monitoring, oral rehydration, breast feeding, immunization, and then food supply, female literacy, and family planning.</w:t>
      </w:r>
      <w:r>
        <w:rPr>
          <w:rFonts w:ascii="Calibri" w:hAnsi="Calibri" w:cs="Calibri"/>
          <w:color w:val="000000" w:themeColor="text1"/>
          <w:sz w:val="18"/>
          <w:szCs w:val="18"/>
        </w:rPr>
        <w:t xml:space="preserve"> </w:t>
      </w:r>
      <w:r w:rsidRPr="00681100">
        <w:rPr>
          <w:rFonts w:ascii="Calibri" w:hAnsi="Calibri" w:cs="Calibri"/>
          <w:color w:val="000000" w:themeColor="text1"/>
          <w:sz w:val="18"/>
          <w:szCs w:val="18"/>
        </w:rPr>
        <w:t xml:space="preserve">See Walsh J and Warren K, ‘Selective primary health care - an interim strategy for disease control in developing countries’, </w:t>
      </w:r>
      <w:r w:rsidRPr="00681100">
        <w:rPr>
          <w:rFonts w:ascii="Calibri" w:hAnsi="Calibri" w:cs="Calibri"/>
          <w:i/>
          <w:color w:val="000000" w:themeColor="text1"/>
          <w:sz w:val="18"/>
          <w:szCs w:val="18"/>
        </w:rPr>
        <w:t xml:space="preserve">New England Journal of Medicine </w:t>
      </w:r>
      <w:r w:rsidRPr="00681100">
        <w:rPr>
          <w:rFonts w:ascii="Calibri" w:hAnsi="Calibri" w:cs="Calibri"/>
          <w:color w:val="000000" w:themeColor="text1"/>
          <w:sz w:val="18"/>
          <w:szCs w:val="18"/>
        </w:rPr>
        <w:t xml:space="preserve">301 (1979), 967-974; Warren K, ‘The evolution of selective primary health care’, </w:t>
      </w:r>
      <w:r w:rsidRPr="000045FB">
        <w:rPr>
          <w:rFonts w:ascii="Calibri" w:hAnsi="Calibri" w:cs="Calibri"/>
          <w:i/>
          <w:color w:val="000000" w:themeColor="text1"/>
          <w:sz w:val="18"/>
          <w:szCs w:val="18"/>
        </w:rPr>
        <w:t xml:space="preserve">Social Science &amp; Medicine </w:t>
      </w:r>
      <w:r w:rsidRPr="000045FB">
        <w:rPr>
          <w:rFonts w:ascii="Calibri" w:hAnsi="Calibri" w:cs="Calibri"/>
          <w:color w:val="000000" w:themeColor="text1"/>
          <w:sz w:val="18"/>
          <w:szCs w:val="18"/>
        </w:rPr>
        <w:t>26:9 (1988), 891-898.</w:t>
      </w:r>
    </w:p>
  </w:footnote>
  <w:footnote w:id="791">
    <w:p w14:paraId="322345A8" w14:textId="7C8A78BA" w:rsidR="00CF189D" w:rsidRPr="00CF189D" w:rsidRDefault="00CF189D">
      <w:pPr>
        <w:pStyle w:val="FootnoteText"/>
        <w:rPr>
          <w:lang w:val="en-US"/>
        </w:rPr>
      </w:pPr>
      <w:r>
        <w:rPr>
          <w:rStyle w:val="FootnoteReference"/>
        </w:rPr>
        <w:t>11</w:t>
      </w:r>
      <w:r>
        <w:t xml:space="preserve"> </w:t>
      </w:r>
      <w:r w:rsidRPr="00546CBA">
        <w:rPr>
          <w:rFonts w:ascii="Calibri" w:hAnsi="Calibri" w:cs="Calibri"/>
          <w:sz w:val="18"/>
          <w:szCs w:val="18"/>
        </w:rPr>
        <w:t xml:space="preserve">Lowenson R, ‘Structural adjustment and health policy in Africa’, </w:t>
      </w:r>
      <w:r w:rsidRPr="00546CBA">
        <w:rPr>
          <w:rFonts w:ascii="Calibri" w:hAnsi="Calibri" w:cs="Calibri"/>
          <w:i/>
          <w:iCs/>
          <w:sz w:val="18"/>
          <w:szCs w:val="18"/>
        </w:rPr>
        <w:t xml:space="preserve">International Journal of Health Services </w:t>
      </w:r>
      <w:r w:rsidRPr="00546CBA">
        <w:rPr>
          <w:rFonts w:ascii="Calibri" w:hAnsi="Calibri" w:cs="Calibri"/>
          <w:sz w:val="18"/>
          <w:szCs w:val="18"/>
        </w:rPr>
        <w:t>23:4 (1993), 717-730; Sahn D and Bernier R, ‘Have structural adjustment le</w:t>
      </w:r>
      <w:r w:rsidRPr="00681100">
        <w:rPr>
          <w:rFonts w:ascii="Calibri" w:hAnsi="Calibri" w:cs="Calibri"/>
          <w:sz w:val="18"/>
          <w:szCs w:val="18"/>
        </w:rPr>
        <w:t xml:space="preserve">d to health sector reform in Africa?’, </w:t>
      </w:r>
      <w:r w:rsidRPr="00681100">
        <w:rPr>
          <w:rFonts w:ascii="Calibri" w:hAnsi="Calibri" w:cs="Calibri"/>
          <w:i/>
          <w:iCs/>
          <w:sz w:val="18"/>
          <w:szCs w:val="18"/>
        </w:rPr>
        <w:t xml:space="preserve">Health Policy </w:t>
      </w:r>
      <w:r w:rsidRPr="00681100">
        <w:rPr>
          <w:rFonts w:ascii="Calibri" w:hAnsi="Calibri" w:cs="Calibri"/>
          <w:sz w:val="18"/>
          <w:szCs w:val="18"/>
        </w:rPr>
        <w:t>32:1-3 (1995), 193-214).</w:t>
      </w:r>
    </w:p>
  </w:footnote>
  <w:footnote w:id="792">
    <w:p w14:paraId="1EAA0CA7" w14:textId="6DA5CA27"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t>12</w:t>
      </w:r>
      <w:r w:rsidRPr="00546CBA">
        <w:rPr>
          <w:rFonts w:ascii="Calibri" w:hAnsi="Calibri" w:cs="Calibri"/>
          <w:color w:val="000000" w:themeColor="text1"/>
          <w:sz w:val="18"/>
          <w:szCs w:val="18"/>
        </w:rPr>
        <w:t xml:space="preserve"> Cueto, ‘The WHO’ (2015).</w:t>
      </w:r>
    </w:p>
  </w:footnote>
  <w:footnote w:id="793">
    <w:p w14:paraId="290FBFCC" w14:textId="2AD28367"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lang w:val="en-GB"/>
        </w:rPr>
        <w:t>13</w:t>
      </w:r>
      <w:r w:rsidRPr="00CF189D">
        <w:rPr>
          <w:rFonts w:ascii="Calibri" w:hAnsi="Calibri" w:cs="Calibri"/>
          <w:sz w:val="18"/>
          <w:szCs w:val="18"/>
        </w:rPr>
        <w:t xml:space="preserve"> WBGA, 1300678, ‘Devolution of the Onchocerciasis Control Program (OCP)’, November 1989.</w:t>
      </w:r>
    </w:p>
  </w:footnote>
  <w:footnote w:id="794">
    <w:p w14:paraId="4EA1710E" w14:textId="73353242"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lang w:val="en-GB"/>
        </w:rPr>
        <w:t>14</w:t>
      </w:r>
      <w:r w:rsidRPr="00CF189D">
        <w:rPr>
          <w:rFonts w:ascii="Calibri" w:hAnsi="Calibri" w:cs="Calibri"/>
          <w:sz w:val="18"/>
          <w:szCs w:val="18"/>
        </w:rPr>
        <w:t xml:space="preserve"> WBGA, 1082632, ‘Meeting on control of onchocerciasis in West Africa, chairman’s report of proceedings’, 11 September 1973.</w:t>
      </w:r>
    </w:p>
  </w:footnote>
  <w:footnote w:id="795">
    <w:p w14:paraId="5E690745" w14:textId="201B55DC"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lang w:val="en-GB"/>
        </w:rPr>
        <w:t>15</w:t>
      </w:r>
      <w:r w:rsidRPr="00CF189D">
        <w:rPr>
          <w:rFonts w:ascii="Calibri" w:hAnsi="Calibri" w:cs="Calibri"/>
          <w:sz w:val="18"/>
          <w:szCs w:val="18"/>
        </w:rPr>
        <w:t xml:space="preserve"> NA, FD 23/4358, ‘Consultative meeting with donors’, 1973.</w:t>
      </w:r>
    </w:p>
  </w:footnote>
  <w:footnote w:id="796">
    <w:p w14:paraId="609405E9" w14:textId="2A7B9CB9"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t>16</w:t>
      </w:r>
      <w:r w:rsidRPr="00546CBA">
        <w:rPr>
          <w:rFonts w:ascii="Calibri" w:hAnsi="Calibri" w:cs="Calibri"/>
          <w:color w:val="000000" w:themeColor="text1"/>
          <w:sz w:val="18"/>
          <w:szCs w:val="18"/>
        </w:rPr>
        <w:t xml:space="preserve"> For instance, the Bank’s 1978 economic review mission vaguely recommended that the OCP provide transportation and a communica</w:t>
      </w:r>
      <w:r w:rsidRPr="00681100">
        <w:rPr>
          <w:rFonts w:ascii="Calibri" w:hAnsi="Calibri" w:cs="Calibri"/>
          <w:color w:val="000000" w:themeColor="text1"/>
          <w:sz w:val="18"/>
          <w:szCs w:val="18"/>
        </w:rPr>
        <w:t>tion system for some form of PHC delivery. See WBGA, 30339648, ‘EDAP fifth meeting, Paris, September 11-13 1778, review of the report of the economic review mission’, 1978.</w:t>
      </w:r>
    </w:p>
  </w:footnote>
  <w:footnote w:id="797">
    <w:p w14:paraId="1900BEF3" w14:textId="40BBBFD9"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t>17</w:t>
      </w:r>
      <w:r w:rsidRPr="00681100">
        <w:rPr>
          <w:rFonts w:ascii="Calibri" w:hAnsi="Calibri" w:cs="Calibri"/>
          <w:color w:val="000000" w:themeColor="text1"/>
          <w:sz w:val="18"/>
          <w:szCs w:val="18"/>
        </w:rPr>
        <w:t xml:space="preserve"> For more on the Preparatory (PAG) Mission, see sections 4.2 and 4.5.</w:t>
      </w:r>
    </w:p>
  </w:footnote>
  <w:footnote w:id="798">
    <w:p w14:paraId="6C9D1D08" w14:textId="203187FF" w:rsidR="00CF189D" w:rsidRPr="00E259AA" w:rsidRDefault="00CF189D" w:rsidP="00B86D8C">
      <w:pPr>
        <w:pStyle w:val="FootnoteText"/>
        <w:rPr>
          <w:rFonts w:ascii="Calibri" w:hAnsi="Calibri" w:cs="Calibri"/>
          <w:color w:val="000000" w:themeColor="text1"/>
          <w:sz w:val="18"/>
          <w:szCs w:val="18"/>
        </w:rPr>
      </w:pPr>
      <w:r w:rsidRPr="000045FB">
        <w:rPr>
          <w:rStyle w:val="FootnoteReference"/>
          <w:rFonts w:ascii="Calibri" w:hAnsi="Calibri" w:cs="Calibri"/>
          <w:color w:val="000000" w:themeColor="text1"/>
          <w:sz w:val="18"/>
          <w:szCs w:val="18"/>
        </w:rPr>
        <w:t>18</w:t>
      </w:r>
      <w:r w:rsidRPr="000045FB">
        <w:rPr>
          <w:rFonts w:ascii="Calibri" w:hAnsi="Calibri" w:cs="Calibri"/>
          <w:color w:val="000000" w:themeColor="text1"/>
          <w:sz w:val="18"/>
          <w:szCs w:val="18"/>
        </w:rPr>
        <w:t xml:space="preserve"> Tsalikis</w:t>
      </w:r>
      <w:r w:rsidRPr="00581494">
        <w:rPr>
          <w:rFonts w:ascii="Calibri" w:hAnsi="Calibri" w:cs="Calibri"/>
          <w:color w:val="000000" w:themeColor="text1"/>
          <w:sz w:val="18"/>
          <w:szCs w:val="18"/>
        </w:rPr>
        <w:t xml:space="preserve"> G, ‘The Onchocerciasis Control Programme (OCP) in West Africa: a review of progress’, </w:t>
      </w:r>
      <w:r w:rsidRPr="00581494">
        <w:rPr>
          <w:rFonts w:ascii="Calibri" w:hAnsi="Calibri" w:cs="Calibri"/>
          <w:i/>
          <w:color w:val="000000" w:themeColor="text1"/>
          <w:sz w:val="18"/>
          <w:szCs w:val="18"/>
        </w:rPr>
        <w:t xml:space="preserve">Health Policy and Planning </w:t>
      </w:r>
      <w:r w:rsidRPr="00581494">
        <w:rPr>
          <w:rFonts w:ascii="Calibri" w:hAnsi="Calibri" w:cs="Calibri"/>
          <w:color w:val="000000" w:themeColor="text1"/>
          <w:sz w:val="18"/>
          <w:szCs w:val="18"/>
        </w:rPr>
        <w:t>8:4 (1993), 34</w:t>
      </w:r>
      <w:r w:rsidRPr="00E259AA">
        <w:rPr>
          <w:rFonts w:ascii="Calibri" w:hAnsi="Calibri" w:cs="Calibri"/>
          <w:color w:val="000000" w:themeColor="text1"/>
          <w:sz w:val="18"/>
          <w:szCs w:val="18"/>
        </w:rPr>
        <w:t xml:space="preserve">9-359; OCP, </w:t>
      </w:r>
      <w:r w:rsidRPr="00E259AA">
        <w:rPr>
          <w:rFonts w:ascii="Calibri" w:hAnsi="Calibri" w:cs="Calibri"/>
          <w:i/>
          <w:color w:val="000000" w:themeColor="text1"/>
          <w:sz w:val="18"/>
          <w:szCs w:val="18"/>
        </w:rPr>
        <w:t xml:space="preserve">External review of the Onchocerciasis Control Programme </w:t>
      </w:r>
      <w:r w:rsidRPr="00E259AA">
        <w:rPr>
          <w:rFonts w:ascii="Calibri" w:hAnsi="Calibri" w:cs="Calibri"/>
          <w:color w:val="000000" w:themeColor="text1"/>
          <w:sz w:val="18"/>
          <w:szCs w:val="18"/>
        </w:rPr>
        <w:t>(Geneva: WHO, 1990); WBGA, 1082693, ‘Report of the preparatory assistance mission to the Volta River basin’, 1973.</w:t>
      </w:r>
    </w:p>
  </w:footnote>
  <w:footnote w:id="799">
    <w:p w14:paraId="500F214D" w14:textId="34DD1CC0" w:rsidR="00CF189D" w:rsidRPr="00E259AA" w:rsidRDefault="00CF189D" w:rsidP="00B86D8C">
      <w:pPr>
        <w:pStyle w:val="FootnoteText"/>
        <w:rPr>
          <w:rFonts w:ascii="Calibri" w:hAnsi="Calibri" w:cs="Calibri"/>
          <w:color w:val="000000" w:themeColor="text1"/>
          <w:sz w:val="18"/>
          <w:szCs w:val="18"/>
        </w:rPr>
      </w:pPr>
      <w:r w:rsidRPr="00E259AA">
        <w:rPr>
          <w:rStyle w:val="FootnoteReference"/>
          <w:rFonts w:ascii="Calibri" w:hAnsi="Calibri" w:cs="Calibri"/>
          <w:color w:val="000000" w:themeColor="text1"/>
          <w:sz w:val="18"/>
          <w:szCs w:val="18"/>
        </w:rPr>
        <w:t>19</w:t>
      </w:r>
      <w:r w:rsidRPr="00E259AA">
        <w:rPr>
          <w:rFonts w:ascii="Calibri" w:hAnsi="Calibri" w:cs="Calibri"/>
          <w:color w:val="000000" w:themeColor="text1"/>
          <w:sz w:val="18"/>
          <w:szCs w:val="18"/>
        </w:rPr>
        <w:t xml:space="preserve"> NA, OD 113/22, ‘Onchocerciasis Control Programme meeting of contributors, Paris, May 29 1979, chairman’s report of proceedings’, 13 June 1979.</w:t>
      </w:r>
    </w:p>
  </w:footnote>
  <w:footnote w:id="800">
    <w:p w14:paraId="708AFFCD" w14:textId="788A303B" w:rsidR="00CF189D" w:rsidRPr="00CF189D" w:rsidRDefault="00CF189D" w:rsidP="00DD4818">
      <w:pPr>
        <w:pStyle w:val="Footnotes"/>
        <w:rPr>
          <w:rFonts w:ascii="Calibri" w:hAnsi="Calibri" w:cs="Calibri"/>
          <w:sz w:val="18"/>
          <w:szCs w:val="18"/>
        </w:rPr>
      </w:pPr>
      <w:r w:rsidRPr="00E259AA">
        <w:rPr>
          <w:rStyle w:val="FootnoteReference"/>
          <w:rFonts w:ascii="Calibri" w:hAnsi="Calibri" w:cs="Calibri"/>
          <w:color w:val="000000" w:themeColor="text1"/>
          <w:sz w:val="18"/>
          <w:szCs w:val="18"/>
          <w:lang w:val="en-GB"/>
        </w:rPr>
        <w:t>20</w:t>
      </w:r>
      <w:r w:rsidRPr="00CF189D">
        <w:rPr>
          <w:rFonts w:ascii="Calibri" w:hAnsi="Calibri" w:cs="Calibri"/>
          <w:sz w:val="18"/>
          <w:szCs w:val="18"/>
        </w:rPr>
        <w:t xml:space="preserve"> Tsalikis, ‘The Onchocerciasis’ (1993).</w:t>
      </w:r>
    </w:p>
  </w:footnote>
  <w:footnote w:id="801">
    <w:p w14:paraId="746635E9" w14:textId="48FF1241"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t>21</w:t>
      </w:r>
      <w:r w:rsidRPr="00546CBA">
        <w:rPr>
          <w:rFonts w:ascii="Calibri" w:hAnsi="Calibri" w:cs="Calibri"/>
          <w:color w:val="000000" w:themeColor="text1"/>
          <w:sz w:val="18"/>
          <w:szCs w:val="18"/>
        </w:rPr>
        <w:t xml:space="preserve"> FAOA, 10-AGD-405, C.G. Groom, ‘Reflexions of the Committee of Sponsoring Agencies [handwritten comments]’, [November 1983].</w:t>
      </w:r>
    </w:p>
  </w:footnote>
  <w:footnote w:id="802">
    <w:p w14:paraId="5575F7EE" w14:textId="33761F14"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t>22</w:t>
      </w:r>
      <w:r w:rsidRPr="00681100">
        <w:rPr>
          <w:rFonts w:ascii="Calibri" w:hAnsi="Calibri" w:cs="Calibri"/>
          <w:color w:val="000000" w:themeColor="text1"/>
          <w:sz w:val="18"/>
          <w:szCs w:val="18"/>
        </w:rPr>
        <w:t xml:space="preserve"> NA, OD 113/25, P.T. Haskell to Terry Cox, ‘WHO oncho. programme: Expert Advisory Committee meeting, September 1980’, 25 September 1980.</w:t>
      </w:r>
    </w:p>
  </w:footnote>
  <w:footnote w:id="803">
    <w:p w14:paraId="7E425A35" w14:textId="5B4A34F1" w:rsidR="00CF189D" w:rsidRPr="00CF189D" w:rsidRDefault="00CF189D" w:rsidP="00DD4818">
      <w:pPr>
        <w:pStyle w:val="Footnotes"/>
        <w:rPr>
          <w:rFonts w:ascii="Calibri" w:hAnsi="Calibri" w:cs="Calibri"/>
          <w:sz w:val="18"/>
          <w:szCs w:val="18"/>
        </w:rPr>
      </w:pPr>
      <w:r w:rsidRPr="00681100">
        <w:rPr>
          <w:rStyle w:val="FootnoteReference"/>
          <w:rFonts w:ascii="Calibri" w:hAnsi="Calibri" w:cs="Calibri"/>
          <w:color w:val="000000" w:themeColor="text1"/>
          <w:sz w:val="18"/>
          <w:szCs w:val="18"/>
          <w:lang w:val="en-GB"/>
        </w:rPr>
        <w:t>23</w:t>
      </w:r>
      <w:r w:rsidRPr="00CF189D">
        <w:rPr>
          <w:rFonts w:ascii="Calibri" w:hAnsi="Calibri" w:cs="Calibri"/>
          <w:sz w:val="18"/>
          <w:szCs w:val="18"/>
        </w:rPr>
        <w:t xml:space="preserve"> WBGA, 30137063, Stephen Denning to Bilsel Alisbah, 2 September 1981.</w:t>
      </w:r>
    </w:p>
  </w:footnote>
  <w:footnote w:id="804">
    <w:p w14:paraId="4004FF89" w14:textId="78657AD3"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t>24</w:t>
      </w:r>
      <w:r w:rsidRPr="00546CBA">
        <w:rPr>
          <w:rFonts w:ascii="Calibri" w:hAnsi="Calibri" w:cs="Calibri"/>
          <w:color w:val="000000" w:themeColor="text1"/>
          <w:sz w:val="18"/>
          <w:szCs w:val="18"/>
        </w:rPr>
        <w:t xml:space="preserve"> WBGA, 30137064, John Evans, ‘OCP [handwritten notes]’, [1981].</w:t>
      </w:r>
    </w:p>
  </w:footnote>
  <w:footnote w:id="805">
    <w:p w14:paraId="0134786C" w14:textId="692C59B8"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lang w:val="en-GB"/>
        </w:rPr>
        <w:t>25</w:t>
      </w:r>
      <w:r w:rsidRPr="00CF189D">
        <w:rPr>
          <w:rFonts w:ascii="Calibri" w:hAnsi="Calibri" w:cs="Calibri"/>
          <w:sz w:val="18"/>
          <w:szCs w:val="18"/>
        </w:rPr>
        <w:t xml:space="preserve"> WBGA, 30137065, J.P. Dailly and Bernhard Liese to Lawrence Hinkle and I. Husain, ‘Back-to-office report: Rome CSA meeting’, 9 June 1983</w:t>
      </w:r>
    </w:p>
  </w:footnote>
  <w:footnote w:id="806">
    <w:p w14:paraId="0C8FCDB7" w14:textId="3B32862F"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lang w:val="en-GB"/>
        </w:rPr>
        <w:t>26</w:t>
      </w:r>
      <w:r w:rsidRPr="00CF189D">
        <w:rPr>
          <w:rFonts w:ascii="Calibri" w:hAnsi="Calibri" w:cs="Calibri"/>
          <w:sz w:val="18"/>
          <w:szCs w:val="18"/>
        </w:rPr>
        <w:t xml:space="preserve"> WBGA, 1300642, ‘Bank’s strategy for the Onchocerciasis Control Programme during phase II (1980-1985)’, 30 November 1982.</w:t>
      </w:r>
    </w:p>
  </w:footnote>
  <w:footnote w:id="807">
    <w:p w14:paraId="272F2A08" w14:textId="48D6A909"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lang w:val="en-GB"/>
        </w:rPr>
        <w:t>27</w:t>
      </w:r>
      <w:r w:rsidRPr="00CF189D">
        <w:rPr>
          <w:rFonts w:ascii="Calibri" w:hAnsi="Calibri" w:cs="Calibri"/>
          <w:sz w:val="18"/>
          <w:szCs w:val="18"/>
        </w:rPr>
        <w:t xml:space="preserve"> WBGA, 1300655, ‘National Onchocerciasis Committees, seventh meeting, Lome, 7-9 June 1983 – the process of devolution of OCP’s activities to the national systems of the countries’, 1983.</w:t>
      </w:r>
    </w:p>
  </w:footnote>
  <w:footnote w:id="808">
    <w:p w14:paraId="77CEC25E" w14:textId="1E95AB72"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lang w:val="en-GB"/>
        </w:rPr>
        <w:t>28</w:t>
      </w:r>
      <w:r w:rsidRPr="00CF189D">
        <w:rPr>
          <w:rFonts w:ascii="Calibri" w:hAnsi="Calibri" w:cs="Calibri"/>
          <w:sz w:val="18"/>
          <w:szCs w:val="18"/>
        </w:rPr>
        <w:t xml:space="preserve"> WBGA, 1300656, ‘Oncho WHO working group of NE on devolution – SR’, April 1984.</w:t>
      </w:r>
    </w:p>
  </w:footnote>
  <w:footnote w:id="809">
    <w:p w14:paraId="6170BC16" w14:textId="150B49FF"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lang w:val="en-GB"/>
        </w:rPr>
        <w:t>29</w:t>
      </w:r>
      <w:r w:rsidRPr="00CF189D">
        <w:rPr>
          <w:rFonts w:ascii="Calibri" w:hAnsi="Calibri" w:cs="Calibri"/>
          <w:sz w:val="18"/>
          <w:szCs w:val="18"/>
        </w:rPr>
        <w:t xml:space="preserve"> FAOA, 10-AGS-239, February 1979-June 1979, T.S.B. Aribisala to D.F.R. Bommer, ‘Back-to-office report after attendance in Paris at the 5</w:t>
      </w:r>
      <w:r w:rsidRPr="00CF189D">
        <w:rPr>
          <w:rFonts w:ascii="Calibri" w:hAnsi="Calibri" w:cs="Calibri"/>
          <w:sz w:val="18"/>
          <w:szCs w:val="18"/>
          <w:vertAlign w:val="superscript"/>
        </w:rPr>
        <w:t>th</w:t>
      </w:r>
      <w:r w:rsidRPr="00CF189D">
        <w:rPr>
          <w:rFonts w:ascii="Calibri" w:hAnsi="Calibri" w:cs="Calibri"/>
          <w:sz w:val="18"/>
          <w:szCs w:val="18"/>
        </w:rPr>
        <w:t xml:space="preserve"> meeting of EDAP (11-13 September 1978) to review the draft of the evaluation report on the socio-economic development of the onchocerciasis areas in West Africa and the 23rd session of the Steering Committee (13-15 September 1978)’, 9 February 1979.</w:t>
      </w:r>
    </w:p>
  </w:footnote>
  <w:footnote w:id="810">
    <w:p w14:paraId="22E88E63" w14:textId="7527EDD8"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lang w:val="en-GB"/>
        </w:rPr>
        <w:t>30</w:t>
      </w:r>
      <w:r w:rsidRPr="00CF189D">
        <w:rPr>
          <w:rFonts w:ascii="Calibri" w:hAnsi="Calibri" w:cs="Calibri"/>
          <w:sz w:val="18"/>
          <w:szCs w:val="18"/>
        </w:rPr>
        <w:t xml:space="preserve"> WBGA, 1300678, ‘Devolution of the Onchocerciasis Control Program (OCP)’, 1 November 1989.</w:t>
      </w:r>
    </w:p>
  </w:footnote>
  <w:footnote w:id="811">
    <w:p w14:paraId="1A368C66" w14:textId="5019DAED"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lang w:val="en-GB"/>
        </w:rPr>
        <w:t>31</w:t>
      </w:r>
      <w:r w:rsidRPr="00CF189D">
        <w:rPr>
          <w:rFonts w:ascii="Calibri" w:hAnsi="Calibri" w:cs="Calibri"/>
          <w:sz w:val="18"/>
          <w:szCs w:val="18"/>
        </w:rPr>
        <w:t xml:space="preserve"> WBGA, 1300655, ‘National Onchocerciasis Committees, seventh meeting, Lome, 7-9 June 1983 – the process of devolution of OCP’s activities to the national systems of the countries’, 1983.</w:t>
      </w:r>
    </w:p>
  </w:footnote>
  <w:footnote w:id="812">
    <w:p w14:paraId="41440BEE" w14:textId="314A702A"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t>32</w:t>
      </w:r>
      <w:r w:rsidRPr="00546CBA">
        <w:rPr>
          <w:rFonts w:ascii="Calibri" w:hAnsi="Calibri" w:cs="Calibri"/>
          <w:color w:val="000000" w:themeColor="text1"/>
          <w:sz w:val="18"/>
          <w:szCs w:val="18"/>
        </w:rPr>
        <w:t xml:space="preserve"> Galaydh AK, ‘Impact of organizational structure on program success’, in Kelly et al., </w:t>
      </w:r>
      <w:r w:rsidRPr="00546CBA">
        <w:rPr>
          <w:rFonts w:ascii="Calibri" w:hAnsi="Calibri" w:cs="Calibri"/>
          <w:i/>
          <w:color w:val="000000" w:themeColor="text1"/>
          <w:sz w:val="18"/>
          <w:szCs w:val="18"/>
        </w:rPr>
        <w:t>Impact review of the Onchocerciasis Control Program</w:t>
      </w:r>
      <w:r w:rsidRPr="00681100">
        <w:rPr>
          <w:rFonts w:ascii="Calibri" w:hAnsi="Calibri" w:cs="Calibri"/>
          <w:color w:val="000000" w:themeColor="text1"/>
          <w:sz w:val="18"/>
          <w:szCs w:val="18"/>
        </w:rPr>
        <w:t xml:space="preserve"> (Ouagadougou: USAID, 1986), D1-20.</w:t>
      </w:r>
    </w:p>
  </w:footnote>
  <w:footnote w:id="813">
    <w:p w14:paraId="7FD6E972" w14:textId="3E984825" w:rsidR="00CF189D" w:rsidRPr="00CF189D" w:rsidRDefault="00CF189D" w:rsidP="00DD4818">
      <w:pPr>
        <w:pStyle w:val="Footnotes"/>
        <w:rPr>
          <w:rFonts w:ascii="Calibri" w:hAnsi="Calibri" w:cs="Calibri"/>
          <w:sz w:val="18"/>
          <w:szCs w:val="18"/>
        </w:rPr>
      </w:pPr>
      <w:r w:rsidRPr="00681100">
        <w:rPr>
          <w:rStyle w:val="FootnoteReference"/>
          <w:rFonts w:ascii="Calibri" w:hAnsi="Calibri" w:cs="Calibri"/>
          <w:color w:val="000000" w:themeColor="text1"/>
          <w:sz w:val="18"/>
          <w:szCs w:val="18"/>
          <w:lang w:val="en-GB"/>
        </w:rPr>
        <w:t>33</w:t>
      </w:r>
      <w:r w:rsidRPr="00CF189D">
        <w:rPr>
          <w:rFonts w:ascii="Calibri" w:hAnsi="Calibri" w:cs="Calibri"/>
          <w:sz w:val="18"/>
          <w:szCs w:val="18"/>
        </w:rPr>
        <w:t xml:space="preserve"> Galaydh, ‘Impact of organizational structure’ (1985).</w:t>
      </w:r>
    </w:p>
  </w:footnote>
  <w:footnote w:id="814">
    <w:p w14:paraId="4102BB8B" w14:textId="7AE8C7CF"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lang w:val="en-GB"/>
        </w:rPr>
        <w:t>34</w:t>
      </w:r>
      <w:r w:rsidRPr="00CF189D">
        <w:rPr>
          <w:rFonts w:ascii="Calibri" w:hAnsi="Calibri" w:cs="Calibri"/>
          <w:sz w:val="18"/>
          <w:szCs w:val="18"/>
        </w:rPr>
        <w:t xml:space="preserve"> Galaydh, ‘Impact of organizational structure’ (1985).</w:t>
      </w:r>
    </w:p>
  </w:footnote>
  <w:footnote w:id="815">
    <w:p w14:paraId="19D21A54" w14:textId="7C5CE1A9" w:rsidR="00CF189D" w:rsidRPr="00546CBA" w:rsidRDefault="00CF189D" w:rsidP="00B86D8C">
      <w:pPr>
        <w:pStyle w:val="FootnoteText"/>
        <w:rPr>
          <w:rFonts w:ascii="Calibri" w:hAnsi="Calibri" w:cs="Calibri"/>
          <w:i/>
          <w:color w:val="000000" w:themeColor="text1"/>
          <w:sz w:val="18"/>
          <w:szCs w:val="18"/>
        </w:rPr>
      </w:pPr>
      <w:r w:rsidRPr="00546CBA">
        <w:rPr>
          <w:rStyle w:val="FootnoteReference"/>
          <w:rFonts w:ascii="Calibri" w:hAnsi="Calibri" w:cs="Calibri"/>
          <w:color w:val="000000" w:themeColor="text1"/>
          <w:sz w:val="18"/>
          <w:szCs w:val="18"/>
        </w:rPr>
        <w:t>35</w:t>
      </w:r>
      <w:r w:rsidRPr="00546CBA">
        <w:rPr>
          <w:rFonts w:ascii="Calibri" w:hAnsi="Calibri" w:cs="Calibri"/>
          <w:color w:val="000000" w:themeColor="text1"/>
          <w:sz w:val="18"/>
          <w:szCs w:val="18"/>
        </w:rPr>
        <w:t xml:space="preserve"> Galaydh, ‘Impact of organizational structure’ (1985).</w:t>
      </w:r>
    </w:p>
  </w:footnote>
  <w:footnote w:id="816">
    <w:p w14:paraId="08D17744" w14:textId="36B3BA77"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lang w:val="en-GB"/>
        </w:rPr>
        <w:t>36</w:t>
      </w:r>
      <w:r w:rsidRPr="00CF189D">
        <w:rPr>
          <w:rFonts w:ascii="Calibri" w:hAnsi="Calibri" w:cs="Calibri"/>
          <w:sz w:val="18"/>
          <w:szCs w:val="18"/>
        </w:rPr>
        <w:t xml:space="preserve"> FAOA, 10-AGD-405, C.G. Groom, ‘Reflexions of the Committee of Sponsoring Agencies [handwritten comments]’, [3 November 1983].</w:t>
      </w:r>
    </w:p>
  </w:footnote>
  <w:footnote w:id="817">
    <w:p w14:paraId="3B6BA7A5" w14:textId="6D1C7A0C"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t>37</w:t>
      </w:r>
      <w:r w:rsidRPr="00546CBA">
        <w:rPr>
          <w:rFonts w:ascii="Calibri" w:hAnsi="Calibri" w:cs="Calibri"/>
          <w:color w:val="000000" w:themeColor="text1"/>
          <w:sz w:val="18"/>
          <w:szCs w:val="18"/>
        </w:rPr>
        <w:t xml:space="preserve"> WBGA, 1300678, J. Stockard to Bruce Benton, ‘US views on devolution’, 10 April 1986.</w:t>
      </w:r>
    </w:p>
  </w:footnote>
  <w:footnote w:id="818">
    <w:p w14:paraId="00295077" w14:textId="358B08BA"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t>38</w:t>
      </w:r>
      <w:r w:rsidRPr="00681100">
        <w:rPr>
          <w:rFonts w:ascii="Calibri" w:hAnsi="Calibri" w:cs="Calibri"/>
          <w:color w:val="000000" w:themeColor="text1"/>
          <w:sz w:val="18"/>
          <w:szCs w:val="18"/>
        </w:rPr>
        <w:t xml:space="preserve"> WBGA, 1300678, G.L. Monekosso to Gerald Webbe, 1 November 1990.</w:t>
      </w:r>
    </w:p>
  </w:footnote>
  <w:footnote w:id="819">
    <w:p w14:paraId="649A5FE1" w14:textId="6FB32E7F"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t>39</w:t>
      </w:r>
      <w:r w:rsidRPr="00681100">
        <w:rPr>
          <w:rFonts w:ascii="Calibri" w:hAnsi="Calibri" w:cs="Calibri"/>
          <w:color w:val="000000" w:themeColor="text1"/>
          <w:sz w:val="18"/>
          <w:szCs w:val="18"/>
        </w:rPr>
        <w:t xml:space="preserve"> WBGA, 1300678, ‘Devolution of the Onchocerciasis Control Programme (OCP)’, 1 November 1989.</w:t>
      </w:r>
    </w:p>
  </w:footnote>
  <w:footnote w:id="820">
    <w:p w14:paraId="0E3DAA1E" w14:textId="563FCE76" w:rsidR="00CF189D" w:rsidRPr="00581494" w:rsidRDefault="00CF189D" w:rsidP="00B86D8C">
      <w:pPr>
        <w:pStyle w:val="FootnoteText"/>
        <w:rPr>
          <w:rFonts w:ascii="Calibri" w:hAnsi="Calibri" w:cs="Calibri"/>
          <w:color w:val="000000" w:themeColor="text1"/>
          <w:sz w:val="18"/>
          <w:szCs w:val="18"/>
        </w:rPr>
      </w:pPr>
      <w:r w:rsidRPr="000045FB">
        <w:rPr>
          <w:rStyle w:val="FootnoteReference"/>
          <w:rFonts w:ascii="Calibri" w:hAnsi="Calibri" w:cs="Calibri"/>
          <w:color w:val="000000" w:themeColor="text1"/>
          <w:sz w:val="18"/>
          <w:szCs w:val="18"/>
        </w:rPr>
        <w:t>40</w:t>
      </w:r>
      <w:r w:rsidRPr="000045FB">
        <w:rPr>
          <w:rFonts w:ascii="Calibri" w:hAnsi="Calibri" w:cs="Calibri"/>
          <w:color w:val="000000" w:themeColor="text1"/>
          <w:sz w:val="18"/>
          <w:szCs w:val="18"/>
        </w:rPr>
        <w:t xml:space="preserve"> Major diseases in Burkina Faso included malaria (an average prevalence of about 40 percent), trypanosomiasis, leprosy (although this was declining in incidence), schistosomiasis (in the North and Central regions), meningitis, diarrho</w:t>
      </w:r>
      <w:r w:rsidRPr="00581494">
        <w:rPr>
          <w:rFonts w:ascii="Calibri" w:hAnsi="Calibri" w:cs="Calibri"/>
          <w:color w:val="000000" w:themeColor="text1"/>
          <w:sz w:val="18"/>
          <w:szCs w:val="18"/>
        </w:rPr>
        <w:t>ea, tuberculosis, and measles.</w:t>
      </w:r>
    </w:p>
  </w:footnote>
  <w:footnote w:id="821">
    <w:p w14:paraId="2304F225" w14:textId="56843832" w:rsidR="00CF189D" w:rsidRPr="00E259AA" w:rsidRDefault="00CF189D" w:rsidP="00B86D8C">
      <w:pPr>
        <w:pStyle w:val="FootnoteText"/>
        <w:rPr>
          <w:rFonts w:ascii="Calibri" w:hAnsi="Calibri" w:cs="Calibri"/>
          <w:color w:val="000000" w:themeColor="text1"/>
          <w:sz w:val="18"/>
          <w:szCs w:val="18"/>
        </w:rPr>
      </w:pPr>
      <w:r w:rsidRPr="00E259AA">
        <w:rPr>
          <w:rStyle w:val="FootnoteReference"/>
          <w:rFonts w:ascii="Calibri" w:hAnsi="Calibri" w:cs="Calibri"/>
          <w:color w:val="000000" w:themeColor="text1"/>
          <w:sz w:val="18"/>
          <w:szCs w:val="18"/>
        </w:rPr>
        <w:t>41</w:t>
      </w:r>
      <w:r w:rsidRPr="00E259AA">
        <w:rPr>
          <w:rFonts w:ascii="Calibri" w:hAnsi="Calibri" w:cs="Calibri"/>
          <w:color w:val="000000" w:themeColor="text1"/>
          <w:sz w:val="18"/>
          <w:szCs w:val="18"/>
        </w:rPr>
        <w:t xml:space="preserve"> WBGA, 1300678, ‘Burkina Faso proposed program for surveillance and control of onchocerciasis and trypanosomiasis’, [1989]. Donors to the plan included France, Italy, Germany, the Netherlands, the United States, the WHO, United Nations Development Programme (UNDP), European Economic Commission, UNICEF, the African Development Bank, and the Bank.</w:t>
      </w:r>
    </w:p>
  </w:footnote>
  <w:footnote w:id="822">
    <w:p w14:paraId="6C69F574" w14:textId="02FA134B" w:rsidR="00CF189D" w:rsidRPr="00CF189D" w:rsidRDefault="00CF189D" w:rsidP="00DD4818">
      <w:pPr>
        <w:pStyle w:val="Footnotes"/>
        <w:rPr>
          <w:rFonts w:ascii="Calibri" w:hAnsi="Calibri" w:cs="Calibri"/>
          <w:sz w:val="18"/>
          <w:szCs w:val="18"/>
        </w:rPr>
      </w:pPr>
      <w:r w:rsidRPr="00E259AA">
        <w:rPr>
          <w:rStyle w:val="FootnoteReference"/>
          <w:rFonts w:ascii="Calibri" w:hAnsi="Calibri" w:cs="Calibri"/>
          <w:color w:val="000000" w:themeColor="text1"/>
          <w:sz w:val="18"/>
          <w:szCs w:val="18"/>
          <w:lang w:val="en-GB"/>
        </w:rPr>
        <w:t>42</w:t>
      </w:r>
      <w:r w:rsidRPr="00CF189D">
        <w:rPr>
          <w:rFonts w:ascii="Calibri" w:hAnsi="Calibri" w:cs="Calibri"/>
          <w:sz w:val="18"/>
          <w:szCs w:val="18"/>
        </w:rPr>
        <w:t xml:space="preserve"> Galaydh AK, ‘Impact of organizational structure on program success’, in Kelly et al., </w:t>
      </w:r>
      <w:r w:rsidRPr="00CF189D">
        <w:rPr>
          <w:rFonts w:ascii="Calibri" w:hAnsi="Calibri" w:cs="Calibri"/>
          <w:i/>
          <w:sz w:val="18"/>
          <w:szCs w:val="18"/>
        </w:rPr>
        <w:t>Impact review of the Onchocerciasis Control Program</w:t>
      </w:r>
      <w:r w:rsidRPr="00CF189D">
        <w:rPr>
          <w:rFonts w:ascii="Calibri" w:hAnsi="Calibri" w:cs="Calibri"/>
          <w:sz w:val="18"/>
          <w:szCs w:val="18"/>
        </w:rPr>
        <w:t xml:space="preserve"> (Ouagadougou: USAID, 1986), D1-20. See also WBGA, 1300674, E. Skinner, ‘Notes on tapes of 1985 donors conference’, October 1987.</w:t>
      </w:r>
    </w:p>
  </w:footnote>
  <w:footnote w:id="823">
    <w:p w14:paraId="3BE71E19" w14:textId="2194F28B"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lang w:val="en-GB"/>
        </w:rPr>
        <w:t>43</w:t>
      </w:r>
      <w:r w:rsidRPr="00CF189D">
        <w:rPr>
          <w:rFonts w:ascii="Calibri" w:hAnsi="Calibri" w:cs="Calibri"/>
          <w:sz w:val="18"/>
          <w:szCs w:val="18"/>
        </w:rPr>
        <w:t xml:space="preserve"> WBGA, 1300674, J.P. Dailly to Files, ‘Back-to-office report donors meeting 1984’, 2 November 1984.</w:t>
      </w:r>
    </w:p>
  </w:footnote>
  <w:footnote w:id="824">
    <w:p w14:paraId="41A72BB8" w14:textId="4BB977F5"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lang w:val="en-GB"/>
        </w:rPr>
        <w:t>44</w:t>
      </w:r>
      <w:r w:rsidRPr="00CF189D">
        <w:rPr>
          <w:rFonts w:ascii="Calibri" w:hAnsi="Calibri" w:cs="Calibri"/>
          <w:sz w:val="18"/>
          <w:szCs w:val="18"/>
        </w:rPr>
        <w:t xml:space="preserve"> WBGA, 1300678, Vic Barber to Files, 24 March 1986. See also WBGA, 1300678, Telex, Bruce Benton to Dr. Baldry and Dr. Samba, ‘Onchocerciasis Control Programme’, 2 August 1989.</w:t>
      </w:r>
    </w:p>
  </w:footnote>
  <w:footnote w:id="825">
    <w:p w14:paraId="562CF074" w14:textId="659D57B2"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lang w:val="en-GB"/>
        </w:rPr>
        <w:t>45</w:t>
      </w:r>
      <w:r w:rsidRPr="00CF189D">
        <w:rPr>
          <w:rFonts w:ascii="Calibri" w:hAnsi="Calibri" w:cs="Calibri"/>
          <w:sz w:val="18"/>
          <w:szCs w:val="18"/>
        </w:rPr>
        <w:t xml:space="preserve"> World Bank/IFC Archives Oral History Program, </w:t>
      </w:r>
      <w:r w:rsidRPr="00CF189D">
        <w:rPr>
          <w:rFonts w:ascii="Calibri" w:hAnsi="Calibri" w:cs="Calibri"/>
          <w:i/>
          <w:sz w:val="18"/>
          <w:szCs w:val="18"/>
        </w:rPr>
        <w:t>Transcript of interview with Alexander Storrar</w:t>
      </w:r>
      <w:r w:rsidRPr="00CF189D">
        <w:rPr>
          <w:rFonts w:ascii="Calibri" w:hAnsi="Calibri" w:cs="Calibri"/>
          <w:sz w:val="18"/>
          <w:szCs w:val="18"/>
        </w:rPr>
        <w:t xml:space="preserve"> (Washington DC: World Bank, 1986), 28.</w:t>
      </w:r>
    </w:p>
  </w:footnote>
  <w:footnote w:id="826">
    <w:p w14:paraId="02FE002F" w14:textId="6A36B90B"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lang w:val="en-GB"/>
        </w:rPr>
        <w:t>46</w:t>
      </w:r>
      <w:r w:rsidRPr="00CF189D">
        <w:rPr>
          <w:rFonts w:ascii="Calibri" w:hAnsi="Calibri" w:cs="Calibri"/>
          <w:sz w:val="18"/>
          <w:szCs w:val="18"/>
        </w:rPr>
        <w:t xml:space="preserve"> FAOA, 10-AGD-405, ‘Committee of Sponsoring Agencies report of the nineteenth meeting, Geneva, 25-27 June 1984 [draft with handwritten changes]’, 1984.</w:t>
      </w:r>
    </w:p>
  </w:footnote>
  <w:footnote w:id="827">
    <w:p w14:paraId="4DD8A465" w14:textId="15A6731E"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lang w:val="en-GB"/>
        </w:rPr>
        <w:t>47</w:t>
      </w:r>
      <w:r w:rsidRPr="00CF189D">
        <w:rPr>
          <w:rFonts w:ascii="Calibri" w:hAnsi="Calibri" w:cs="Calibri"/>
          <w:sz w:val="18"/>
          <w:szCs w:val="18"/>
        </w:rPr>
        <w:t xml:space="preserve"> WBGA, 1864992, ‘Annual Bank staff report to the Executive Directors on the riverblindness (Onchocerciasis) Control Programme, [December 1982].</w:t>
      </w:r>
    </w:p>
  </w:footnote>
  <w:footnote w:id="828">
    <w:p w14:paraId="336ACD11" w14:textId="0090CE35"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t>48</w:t>
      </w:r>
      <w:r w:rsidRPr="00546CBA">
        <w:rPr>
          <w:rFonts w:ascii="Calibri" w:hAnsi="Calibri" w:cs="Calibri"/>
          <w:color w:val="000000" w:themeColor="text1"/>
          <w:sz w:val="18"/>
          <w:szCs w:val="18"/>
        </w:rPr>
        <w:t xml:space="preserve">  WBGA, 1300678, Ebrahim M. Samba to His Excellency the Secretary of State for Health, Ghana, ‘Twelfth meeting</w:t>
      </w:r>
      <w:r w:rsidRPr="00681100">
        <w:rPr>
          <w:rFonts w:ascii="Calibri" w:hAnsi="Calibri" w:cs="Calibri"/>
          <w:color w:val="000000" w:themeColor="text1"/>
          <w:sz w:val="18"/>
          <w:szCs w:val="18"/>
        </w:rPr>
        <w:t xml:space="preserve"> of the national onchocerciasis committees’, 9 June 1988.</w:t>
      </w:r>
    </w:p>
  </w:footnote>
  <w:footnote w:id="829">
    <w:p w14:paraId="20A2D412" w14:textId="2508EC86" w:rsidR="00CF189D" w:rsidRPr="00CF189D" w:rsidRDefault="00CF189D" w:rsidP="00DD4818">
      <w:pPr>
        <w:pStyle w:val="Footnotes"/>
        <w:rPr>
          <w:rFonts w:ascii="Calibri" w:hAnsi="Calibri" w:cs="Calibri"/>
          <w:sz w:val="18"/>
          <w:szCs w:val="18"/>
        </w:rPr>
      </w:pPr>
      <w:r w:rsidRPr="00681100">
        <w:rPr>
          <w:rStyle w:val="FootnoteReference"/>
          <w:rFonts w:ascii="Calibri" w:hAnsi="Calibri" w:cs="Calibri"/>
          <w:color w:val="000000" w:themeColor="text1"/>
          <w:sz w:val="18"/>
          <w:szCs w:val="18"/>
          <w:lang w:val="en-GB"/>
        </w:rPr>
        <w:t>49</w:t>
      </w:r>
      <w:r w:rsidRPr="00CF189D">
        <w:rPr>
          <w:rFonts w:ascii="Calibri" w:hAnsi="Calibri" w:cs="Calibri"/>
          <w:sz w:val="18"/>
          <w:szCs w:val="18"/>
        </w:rPr>
        <w:t xml:space="preserve"> WBGA, 9082688, J. Gillette to Distribution, ‘Transfer of riverblindness (onchocerciasis) unit from AF5CO to AF5PH’, 20 January 1988.</w:t>
      </w:r>
    </w:p>
  </w:footnote>
  <w:footnote w:id="830">
    <w:p w14:paraId="57A55076" w14:textId="48D1DC36"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lang w:val="en-GB"/>
        </w:rPr>
        <w:t>50</w:t>
      </w:r>
      <w:r w:rsidRPr="00CF189D">
        <w:rPr>
          <w:rFonts w:ascii="Calibri" w:hAnsi="Calibri" w:cs="Calibri"/>
          <w:sz w:val="18"/>
          <w:szCs w:val="18"/>
        </w:rPr>
        <w:t xml:space="preserve"> WBGA, 1300674, ‘Proposed FY87 budget for the oncho (river blindness) program’, 1986.</w:t>
      </w:r>
    </w:p>
  </w:footnote>
  <w:footnote w:id="831">
    <w:p w14:paraId="54DC2388" w14:textId="01A8C800"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t>51</w:t>
      </w:r>
      <w:r w:rsidRPr="00546CBA">
        <w:rPr>
          <w:rFonts w:ascii="Calibri" w:hAnsi="Calibri" w:cs="Calibri"/>
          <w:color w:val="000000" w:themeColor="text1"/>
          <w:sz w:val="18"/>
          <w:szCs w:val="18"/>
        </w:rPr>
        <w:t xml:space="preserve"> WBGA, 1300678, Ebrahim M. Samba to His Excellency, the Secretary of State for Health, Ghana, ‘Devolution’, 27 November 1987. See also WBGA, 1300678, Ebrahim M. Samba to Bruce Benton, 26 November 1987.</w:t>
      </w:r>
    </w:p>
  </w:footnote>
  <w:footnote w:id="832">
    <w:p w14:paraId="7BCF3C2B" w14:textId="1CFE8FDB"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t>52</w:t>
      </w:r>
      <w:r w:rsidRPr="00681100">
        <w:rPr>
          <w:rFonts w:ascii="Calibri" w:hAnsi="Calibri" w:cs="Calibri"/>
          <w:color w:val="000000" w:themeColor="text1"/>
          <w:sz w:val="18"/>
          <w:szCs w:val="18"/>
        </w:rPr>
        <w:t xml:space="preserve"> WBGA, 1300678, Ebrahim M. Samba to His Excellency The Secretary of State for Health, Ghana, ‘Twelfth meeting of the national onchocerciasis committees’, 9 June 1988.</w:t>
      </w:r>
    </w:p>
  </w:footnote>
  <w:footnote w:id="833">
    <w:p w14:paraId="115036EB" w14:textId="07E8A3E5" w:rsidR="00CF189D" w:rsidRPr="00CF189D" w:rsidRDefault="00CF189D" w:rsidP="00DD4818">
      <w:pPr>
        <w:pStyle w:val="Footnotes"/>
        <w:rPr>
          <w:rFonts w:ascii="Calibri" w:hAnsi="Calibri" w:cs="Calibri"/>
          <w:sz w:val="18"/>
          <w:szCs w:val="18"/>
        </w:rPr>
      </w:pPr>
      <w:r w:rsidRPr="000045FB">
        <w:rPr>
          <w:rStyle w:val="FootnoteReference"/>
          <w:rFonts w:ascii="Calibri" w:hAnsi="Calibri" w:cs="Calibri"/>
          <w:color w:val="000000" w:themeColor="text1"/>
          <w:sz w:val="18"/>
          <w:szCs w:val="18"/>
          <w:lang w:val="en-GB"/>
        </w:rPr>
        <w:t>53</w:t>
      </w:r>
      <w:r w:rsidRPr="00CF189D">
        <w:rPr>
          <w:rFonts w:ascii="Calibri" w:hAnsi="Calibri" w:cs="Calibri"/>
          <w:sz w:val="18"/>
          <w:szCs w:val="18"/>
        </w:rPr>
        <w:t xml:space="preserve"> Mectizan Expert Committee, The Mectizan Donation Program: community-based mass treatment of onchocerciasis (Atlanta: One Copenhill, 1990).</w:t>
      </w:r>
    </w:p>
  </w:footnote>
  <w:footnote w:id="834">
    <w:p w14:paraId="24122C3D" w14:textId="3B37BA80"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t>54</w:t>
      </w:r>
      <w:r w:rsidRPr="00546CBA">
        <w:rPr>
          <w:rFonts w:ascii="Calibri" w:hAnsi="Calibri" w:cs="Calibri"/>
          <w:color w:val="000000" w:themeColor="text1"/>
          <w:sz w:val="18"/>
          <w:szCs w:val="18"/>
        </w:rPr>
        <w:t xml:space="preserve"> WBGA, 1103228, John Evans to Warren Baum, ‘PHN-TDR-Bank participation in JCP AR’, 11 March 1980.</w:t>
      </w:r>
    </w:p>
  </w:footnote>
  <w:footnote w:id="835">
    <w:p w14:paraId="4A61BC52" w14:textId="559D92B7"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t>55</w:t>
      </w:r>
      <w:r w:rsidRPr="00681100">
        <w:rPr>
          <w:rFonts w:ascii="Calibri" w:hAnsi="Calibri" w:cs="Calibri"/>
          <w:color w:val="000000" w:themeColor="text1"/>
          <w:sz w:val="18"/>
          <w:szCs w:val="18"/>
        </w:rPr>
        <w:t xml:space="preserve"> WBGA, 1300678, Ebrahim M. Samba to His Excellency, the Secretary of State for Health, Ghana, ‘Preparation of devolution plan’, 28 June 1989.</w:t>
      </w:r>
    </w:p>
  </w:footnote>
  <w:footnote w:id="836">
    <w:p w14:paraId="0CB05B72" w14:textId="364D0BA0" w:rsidR="00CF189D" w:rsidRPr="00CF189D" w:rsidRDefault="00CF189D" w:rsidP="00DD4818">
      <w:pPr>
        <w:pStyle w:val="Footnotes"/>
        <w:rPr>
          <w:rFonts w:ascii="Calibri" w:hAnsi="Calibri" w:cs="Calibri"/>
          <w:sz w:val="18"/>
          <w:szCs w:val="18"/>
        </w:rPr>
      </w:pPr>
      <w:r w:rsidRPr="00681100">
        <w:rPr>
          <w:rStyle w:val="FootnoteReference"/>
          <w:rFonts w:ascii="Calibri" w:hAnsi="Calibri" w:cs="Calibri"/>
          <w:color w:val="000000" w:themeColor="text1"/>
          <w:sz w:val="18"/>
          <w:szCs w:val="18"/>
          <w:lang w:val="en-GB"/>
        </w:rPr>
        <w:t>56</w:t>
      </w:r>
      <w:r w:rsidRPr="00CF189D">
        <w:rPr>
          <w:rFonts w:ascii="Calibri" w:hAnsi="Calibri" w:cs="Calibri"/>
          <w:sz w:val="18"/>
          <w:szCs w:val="18"/>
        </w:rPr>
        <w:t xml:space="preserve"> WBGA, 1865456, ‘Taking OCP to its end: minutes of a brainstorming meeting held during the June 1993 session of the Expert Advisory Committee’, [1983].</w:t>
      </w:r>
    </w:p>
  </w:footnote>
  <w:footnote w:id="837">
    <w:p w14:paraId="409C90DD" w14:textId="7D36BEE2"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lang w:val="en-GB"/>
        </w:rPr>
        <w:t>57</w:t>
      </w:r>
      <w:r w:rsidRPr="00CF189D">
        <w:rPr>
          <w:rFonts w:ascii="Calibri" w:hAnsi="Calibri" w:cs="Calibri"/>
          <w:sz w:val="18"/>
          <w:szCs w:val="18"/>
        </w:rPr>
        <w:t xml:space="preserve"> WBGA, 30303435, Burkina Faso Ministry of Health and Social Welfare, ‘Onchocerciasis and human trypanosomiasis surveillance and control in Burkina Faso’, September 1988.</w:t>
      </w:r>
    </w:p>
  </w:footnote>
  <w:footnote w:id="838">
    <w:p w14:paraId="2C256AA8" w14:textId="660C89E9"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t>58</w:t>
      </w:r>
      <w:r w:rsidRPr="00546CBA">
        <w:rPr>
          <w:rFonts w:ascii="Calibri" w:hAnsi="Calibri" w:cs="Calibri"/>
          <w:color w:val="000000" w:themeColor="text1"/>
          <w:sz w:val="18"/>
          <w:szCs w:val="18"/>
        </w:rPr>
        <w:t xml:space="preserve"> WBGA, 1300678, ‘Burkina Faso proposed program for surveillance and control of onchocerciasis and trypanosomiasis’, [1989].</w:t>
      </w:r>
    </w:p>
  </w:footnote>
  <w:footnote w:id="839">
    <w:p w14:paraId="1F0A63D2" w14:textId="33470800"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t>59</w:t>
      </w:r>
      <w:r w:rsidRPr="00681100">
        <w:rPr>
          <w:rFonts w:ascii="Calibri" w:hAnsi="Calibri" w:cs="Calibri"/>
          <w:color w:val="000000" w:themeColor="text1"/>
          <w:sz w:val="18"/>
          <w:szCs w:val="18"/>
        </w:rPr>
        <w:t xml:space="preserve"> WBGA, 1865456, ‘Annual internal technical review meeting, Ouagadougou, 11-14 March’, 1991.</w:t>
      </w:r>
    </w:p>
  </w:footnote>
  <w:footnote w:id="840">
    <w:p w14:paraId="4E71F698" w14:textId="0BA588E7" w:rsidR="00CF189D" w:rsidRPr="000045FB" w:rsidRDefault="00CF189D" w:rsidP="00B86D8C">
      <w:pPr>
        <w:pStyle w:val="FootnoteText"/>
        <w:rPr>
          <w:rFonts w:ascii="Calibri" w:hAnsi="Calibri" w:cs="Calibri"/>
          <w:color w:val="000000" w:themeColor="text1"/>
          <w:sz w:val="18"/>
          <w:szCs w:val="18"/>
        </w:rPr>
      </w:pPr>
      <w:r w:rsidRPr="000045FB">
        <w:rPr>
          <w:rStyle w:val="FootnoteReference"/>
          <w:rFonts w:ascii="Calibri" w:hAnsi="Calibri" w:cs="Calibri"/>
          <w:color w:val="000000" w:themeColor="text1"/>
          <w:sz w:val="18"/>
          <w:szCs w:val="18"/>
        </w:rPr>
        <w:t>60</w:t>
      </w:r>
      <w:r w:rsidRPr="000045FB">
        <w:rPr>
          <w:rFonts w:ascii="Calibri" w:hAnsi="Calibri" w:cs="Calibri"/>
          <w:color w:val="000000" w:themeColor="text1"/>
          <w:sz w:val="18"/>
          <w:szCs w:val="18"/>
        </w:rPr>
        <w:t xml:space="preserve"> WBGA, 1300678, Ebrahim M. Samba to Bernhard Liese, ‘Devolution in Burkina Faso’, 7 February 1989.</w:t>
      </w:r>
    </w:p>
  </w:footnote>
  <w:footnote w:id="841">
    <w:p w14:paraId="3F5B4456" w14:textId="46A419AA" w:rsidR="00CF189D" w:rsidRPr="00581494" w:rsidRDefault="00CF189D" w:rsidP="00B86D8C">
      <w:pPr>
        <w:pStyle w:val="FootnoteText"/>
        <w:rPr>
          <w:rFonts w:ascii="Calibri" w:hAnsi="Calibri" w:cs="Calibri"/>
          <w:color w:val="000000" w:themeColor="text1"/>
          <w:sz w:val="18"/>
          <w:szCs w:val="18"/>
        </w:rPr>
      </w:pPr>
      <w:r w:rsidRPr="000045FB">
        <w:rPr>
          <w:rStyle w:val="FootnoteReference"/>
          <w:rFonts w:ascii="Calibri" w:hAnsi="Calibri" w:cs="Calibri"/>
          <w:color w:val="000000" w:themeColor="text1"/>
          <w:sz w:val="18"/>
          <w:szCs w:val="18"/>
        </w:rPr>
        <w:t>61</w:t>
      </w:r>
      <w:r w:rsidRPr="00581494">
        <w:rPr>
          <w:rFonts w:ascii="Calibri" w:hAnsi="Calibri" w:cs="Calibri"/>
          <w:color w:val="000000" w:themeColor="text1"/>
          <w:sz w:val="18"/>
          <w:szCs w:val="18"/>
        </w:rPr>
        <w:t xml:space="preserve"> WBGA, 1300678, Routing slip, Bruce Benton to Florent Agueh, 23 March [1989].</w:t>
      </w:r>
    </w:p>
  </w:footnote>
  <w:footnote w:id="842">
    <w:p w14:paraId="211C10E5" w14:textId="4F6CB383" w:rsidR="00CF189D" w:rsidRPr="00CF189D" w:rsidRDefault="00CF189D" w:rsidP="00DD4818">
      <w:pPr>
        <w:pStyle w:val="Footnotes"/>
        <w:rPr>
          <w:rFonts w:ascii="Calibri" w:hAnsi="Calibri" w:cs="Calibri"/>
          <w:sz w:val="18"/>
          <w:szCs w:val="18"/>
        </w:rPr>
      </w:pPr>
      <w:r w:rsidRPr="00581494">
        <w:rPr>
          <w:rStyle w:val="FootnoteReference"/>
          <w:rFonts w:ascii="Calibri" w:hAnsi="Calibri" w:cs="Calibri"/>
          <w:color w:val="000000" w:themeColor="text1"/>
          <w:sz w:val="18"/>
          <w:szCs w:val="18"/>
          <w:lang w:val="en-GB"/>
        </w:rPr>
        <w:t>62</w:t>
      </w:r>
      <w:r w:rsidRPr="00CF189D">
        <w:rPr>
          <w:rFonts w:ascii="Calibri" w:hAnsi="Calibri" w:cs="Calibri"/>
          <w:sz w:val="18"/>
          <w:szCs w:val="18"/>
        </w:rPr>
        <w:t xml:space="preserve"> WBGA, 1300688, ‘Oncho Info, OCP/35’, 16 November 1989.</w:t>
      </w:r>
    </w:p>
  </w:footnote>
  <w:footnote w:id="843">
    <w:p w14:paraId="170A3F45" w14:textId="3C8011FE"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t>63</w:t>
      </w:r>
      <w:r w:rsidRPr="00546CBA">
        <w:rPr>
          <w:rFonts w:ascii="Calibri" w:hAnsi="Calibri" w:cs="Calibri"/>
          <w:color w:val="000000" w:themeColor="text1"/>
          <w:sz w:val="18"/>
          <w:szCs w:val="18"/>
        </w:rPr>
        <w:t xml:space="preserve"> WBGA, 1300678, Bruce Benton to Michel Palein, ‘Onchocerciasis devolution plans for Benin, Cote d’Ivoire, and Togo’, 19 March 1991. </w:t>
      </w:r>
    </w:p>
  </w:footnote>
  <w:footnote w:id="844">
    <w:p w14:paraId="2FBE8B90" w14:textId="525BD264" w:rsidR="00CF189D" w:rsidRPr="00CF189D" w:rsidRDefault="00CF189D" w:rsidP="00DD4818">
      <w:pPr>
        <w:pStyle w:val="Footnotes"/>
        <w:rPr>
          <w:rFonts w:ascii="Calibri" w:hAnsi="Calibri" w:cs="Calibri"/>
          <w:sz w:val="18"/>
          <w:szCs w:val="18"/>
        </w:rPr>
      </w:pPr>
      <w:r w:rsidRPr="00681100">
        <w:rPr>
          <w:rStyle w:val="FootnoteReference"/>
          <w:rFonts w:ascii="Calibri" w:hAnsi="Calibri" w:cs="Calibri"/>
          <w:color w:val="000000" w:themeColor="text1"/>
          <w:sz w:val="18"/>
          <w:szCs w:val="18"/>
          <w:lang w:val="en-GB"/>
        </w:rPr>
        <w:t>64</w:t>
      </w:r>
      <w:r w:rsidRPr="00CF189D">
        <w:rPr>
          <w:rFonts w:ascii="Calibri" w:hAnsi="Calibri" w:cs="Calibri"/>
          <w:sz w:val="18"/>
          <w:szCs w:val="18"/>
        </w:rPr>
        <w:t xml:space="preserve"> WBGA, 1428489, ‘Mid-term (phase IV) prospective evaluation of the Onchocerciasis Control Programme’, June 1984. </w:t>
      </w:r>
    </w:p>
  </w:footnote>
  <w:footnote w:id="845">
    <w:p w14:paraId="274C3FC4" w14:textId="30646620"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lang w:val="en-GB"/>
        </w:rPr>
        <w:t>65</w:t>
      </w:r>
      <w:r w:rsidRPr="00CF189D">
        <w:rPr>
          <w:rFonts w:ascii="Calibri" w:hAnsi="Calibri" w:cs="Calibri"/>
          <w:sz w:val="18"/>
          <w:szCs w:val="18"/>
        </w:rPr>
        <w:t xml:space="preserve"> Tsalikis, ‘The Onchocerciasis’ (1993).</w:t>
      </w:r>
    </w:p>
  </w:footnote>
  <w:footnote w:id="846">
    <w:p w14:paraId="690BCA94" w14:textId="3FDA92B6"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t>66</w:t>
      </w:r>
      <w:r w:rsidRPr="00546CBA">
        <w:rPr>
          <w:rFonts w:ascii="Calibri" w:hAnsi="Calibri" w:cs="Calibri"/>
          <w:color w:val="000000" w:themeColor="text1"/>
          <w:sz w:val="18"/>
          <w:szCs w:val="18"/>
        </w:rPr>
        <w:t xml:space="preserve"> WBGA, 1300678, ‘Burkina Faso proposed program for surveillance and control of onchocerciasis and trypanosomiasis’, [1989].</w:t>
      </w:r>
    </w:p>
  </w:footnote>
  <w:footnote w:id="847">
    <w:p w14:paraId="6E66AC64" w14:textId="7F428012" w:rsidR="00CF189D" w:rsidRPr="00CF189D" w:rsidRDefault="00CF189D">
      <w:pPr>
        <w:pStyle w:val="FootnoteText"/>
        <w:rPr>
          <w:rFonts w:ascii="Calibri" w:hAnsi="Calibri" w:cs="Calibri"/>
          <w:sz w:val="18"/>
          <w:szCs w:val="18"/>
          <w:lang w:val="en-US"/>
        </w:rPr>
      </w:pPr>
      <w:r>
        <w:rPr>
          <w:rStyle w:val="FootnoteReference"/>
        </w:rPr>
        <w:t>67</w:t>
      </w:r>
      <w:r w:rsidRPr="00CF189D">
        <w:rPr>
          <w:rFonts w:ascii="Calibri" w:hAnsi="Calibri" w:cs="Calibri"/>
          <w:sz w:val="18"/>
          <w:szCs w:val="18"/>
        </w:rPr>
        <w:t xml:space="preserve"> </w:t>
      </w:r>
      <w:r w:rsidRPr="00546CBA">
        <w:rPr>
          <w:rFonts w:ascii="Calibri" w:hAnsi="Calibri" w:cs="Calibri"/>
          <w:sz w:val="18"/>
          <w:szCs w:val="18"/>
        </w:rPr>
        <w:t xml:space="preserve">Woodward D, </w:t>
      </w:r>
      <w:r w:rsidRPr="00546CBA">
        <w:rPr>
          <w:rFonts w:ascii="Calibri" w:hAnsi="Calibri" w:cs="Calibri"/>
          <w:i/>
          <w:iCs/>
          <w:sz w:val="18"/>
          <w:szCs w:val="18"/>
        </w:rPr>
        <w:t>Debt adjustment and poverty in developing countries vol 2: the impact of debt and adjustment at the hou</w:t>
      </w:r>
      <w:r w:rsidRPr="00681100">
        <w:rPr>
          <w:rFonts w:ascii="Calibri" w:hAnsi="Calibri" w:cs="Calibri"/>
          <w:i/>
          <w:iCs/>
          <w:sz w:val="18"/>
          <w:szCs w:val="18"/>
        </w:rPr>
        <w:t xml:space="preserve">sehold level in developing countries </w:t>
      </w:r>
      <w:r w:rsidRPr="00681100">
        <w:rPr>
          <w:rFonts w:ascii="Calibri" w:hAnsi="Calibri" w:cs="Calibri"/>
          <w:sz w:val="18"/>
          <w:szCs w:val="18"/>
        </w:rPr>
        <w:t xml:space="preserve">(London: Save the Children/Pinter Publishers, 1992); Lowenson R, ‘Structural adjustment and health policy in Africa’, </w:t>
      </w:r>
      <w:r w:rsidRPr="00681100">
        <w:rPr>
          <w:rFonts w:ascii="Calibri" w:hAnsi="Calibri" w:cs="Calibri"/>
          <w:i/>
          <w:iCs/>
          <w:sz w:val="18"/>
          <w:szCs w:val="18"/>
        </w:rPr>
        <w:t xml:space="preserve">International Journal of Health Services </w:t>
      </w:r>
      <w:r w:rsidRPr="00681100">
        <w:rPr>
          <w:rFonts w:ascii="Calibri" w:hAnsi="Calibri" w:cs="Calibri"/>
          <w:sz w:val="18"/>
          <w:szCs w:val="18"/>
        </w:rPr>
        <w:t>23:4 (1993), 717-730; Thiesen JK, ‘A study of the effects of structural adjustment on education and health in Africa’, in GW Shepard and KNM Sonoko</w:t>
      </w:r>
      <w:r>
        <w:rPr>
          <w:rFonts w:ascii="Calibri" w:hAnsi="Calibri" w:cs="Calibri"/>
          <w:sz w:val="18"/>
          <w:szCs w:val="18"/>
        </w:rPr>
        <w:t xml:space="preserve"> </w:t>
      </w:r>
      <w:r w:rsidRPr="00681100">
        <w:rPr>
          <w:rFonts w:ascii="Calibri" w:hAnsi="Calibri" w:cs="Calibri"/>
          <w:sz w:val="18"/>
          <w:szCs w:val="18"/>
        </w:rPr>
        <w:t xml:space="preserve">(Eds.), </w:t>
      </w:r>
      <w:r w:rsidRPr="000045FB">
        <w:rPr>
          <w:rFonts w:ascii="Calibri" w:hAnsi="Calibri" w:cs="Calibri"/>
          <w:i/>
          <w:iCs/>
          <w:sz w:val="18"/>
          <w:szCs w:val="18"/>
        </w:rPr>
        <w:t xml:space="preserve">Economic justice in Africa – adjustment and sustainable development </w:t>
      </w:r>
      <w:r w:rsidRPr="000045FB">
        <w:rPr>
          <w:rFonts w:ascii="Calibri" w:hAnsi="Calibri" w:cs="Calibri"/>
          <w:sz w:val="18"/>
          <w:szCs w:val="18"/>
        </w:rPr>
        <w:t xml:space="preserve">(Westport: Greenwood Press, 1994); Thomson M, ‘Structural adjustment programmes adversely affect vulnerable populations: a systematic-narrative review of their effect on child and maternal health’, </w:t>
      </w:r>
      <w:r w:rsidRPr="000045FB">
        <w:rPr>
          <w:rFonts w:ascii="Calibri" w:hAnsi="Calibri" w:cs="Calibri"/>
          <w:i/>
          <w:iCs/>
          <w:sz w:val="18"/>
          <w:szCs w:val="18"/>
        </w:rPr>
        <w:t xml:space="preserve">Public Health Reviews </w:t>
      </w:r>
      <w:r w:rsidRPr="000045FB">
        <w:rPr>
          <w:rFonts w:ascii="Calibri" w:hAnsi="Calibri" w:cs="Calibri"/>
          <w:sz w:val="18"/>
          <w:szCs w:val="18"/>
        </w:rPr>
        <w:t xml:space="preserve">38:13 (2017). </w:t>
      </w:r>
    </w:p>
  </w:footnote>
  <w:footnote w:id="848">
    <w:p w14:paraId="196FA212" w14:textId="177D2AA9" w:rsidR="00CF189D" w:rsidRPr="00CF189D" w:rsidRDefault="00CF189D">
      <w:pPr>
        <w:pStyle w:val="FootnoteText"/>
        <w:rPr>
          <w:lang w:val="en-US"/>
        </w:rPr>
      </w:pPr>
      <w:r>
        <w:rPr>
          <w:rStyle w:val="FootnoteReference"/>
        </w:rPr>
        <w:t>68</w:t>
      </w:r>
      <w:r>
        <w:t xml:space="preserve"> </w:t>
      </w:r>
      <w:r w:rsidRPr="0095305F">
        <w:rPr>
          <w:rFonts w:ascii="Calibri" w:hAnsi="Calibri" w:cs="Calibri"/>
          <w:sz w:val="18"/>
          <w:szCs w:val="18"/>
        </w:rPr>
        <w:t>Tsalikis, ‘The Onchocerciasis’ (1993).</w:t>
      </w:r>
    </w:p>
  </w:footnote>
  <w:footnote w:id="849">
    <w:p w14:paraId="0E698DC8" w14:textId="305CB720" w:rsidR="00CF189D" w:rsidRPr="00CF189D" w:rsidRDefault="00CF189D">
      <w:pPr>
        <w:pStyle w:val="FootnoteText"/>
        <w:rPr>
          <w:lang w:val="en-US"/>
        </w:rPr>
      </w:pPr>
      <w:r>
        <w:rPr>
          <w:rStyle w:val="FootnoteReference"/>
        </w:rPr>
        <w:t>69</w:t>
      </w:r>
      <w:r>
        <w:t xml:space="preserve"> </w:t>
      </w:r>
      <w:r w:rsidRPr="0095305F">
        <w:rPr>
          <w:rFonts w:ascii="Calibri" w:hAnsi="Calibri" w:cs="Calibri"/>
          <w:sz w:val="18"/>
          <w:szCs w:val="18"/>
        </w:rPr>
        <w:t>WBGA, 1300678, G. Webbe to G.L. Monekosso, 14 November 1990.</w:t>
      </w:r>
    </w:p>
  </w:footnote>
  <w:footnote w:id="850">
    <w:p w14:paraId="3DAA2A34" w14:textId="35E7B191" w:rsidR="00CF189D" w:rsidRPr="00CF189D" w:rsidRDefault="00CF189D">
      <w:pPr>
        <w:pStyle w:val="FootnoteText"/>
        <w:rPr>
          <w:lang w:val="en-US"/>
        </w:rPr>
      </w:pPr>
      <w:r>
        <w:rPr>
          <w:rStyle w:val="FootnoteReference"/>
        </w:rPr>
        <w:t>70</w:t>
      </w:r>
      <w:r>
        <w:t xml:space="preserve"> </w:t>
      </w:r>
      <w:r w:rsidRPr="00546CBA">
        <w:rPr>
          <w:rFonts w:ascii="Calibri" w:hAnsi="Calibri" w:cs="Calibri"/>
          <w:color w:val="000000" w:themeColor="text1"/>
          <w:sz w:val="18"/>
          <w:szCs w:val="18"/>
        </w:rPr>
        <w:t>WBGA, 1428489, Joint Programme Committee, ‘Progress report of the World Health Organization for 1994’, December 1994.</w:t>
      </w:r>
    </w:p>
  </w:footnote>
  <w:footnote w:id="851">
    <w:p w14:paraId="004021A1" w14:textId="12AE3C8F" w:rsidR="00CF189D" w:rsidRPr="00CF189D" w:rsidRDefault="00CF189D">
      <w:pPr>
        <w:pStyle w:val="FootnoteText"/>
        <w:rPr>
          <w:lang w:val="en-US"/>
        </w:rPr>
      </w:pPr>
      <w:r>
        <w:rPr>
          <w:rStyle w:val="FootnoteReference"/>
        </w:rPr>
        <w:t>71</w:t>
      </w:r>
      <w:r>
        <w:t xml:space="preserve"> </w:t>
      </w:r>
      <w:r w:rsidRPr="00681100">
        <w:rPr>
          <w:rFonts w:ascii="Calibri" w:hAnsi="Calibri" w:cs="Calibri"/>
          <w:color w:val="000000" w:themeColor="text1"/>
          <w:sz w:val="18"/>
          <w:szCs w:val="18"/>
        </w:rPr>
        <w:t>For instance, the budget for short-term consultants to assist in national devolution plans was only $56,000. See Tsalikis, ‘The Onchocerciasis’ (1993).</w:t>
      </w:r>
    </w:p>
  </w:footnote>
  <w:footnote w:id="852">
    <w:p w14:paraId="3E921427" w14:textId="70A4E405" w:rsidR="00CF189D" w:rsidRPr="00CF189D" w:rsidRDefault="00CF189D">
      <w:pPr>
        <w:pStyle w:val="FootnoteText"/>
        <w:rPr>
          <w:lang w:val="en-US"/>
        </w:rPr>
      </w:pPr>
      <w:r>
        <w:rPr>
          <w:rStyle w:val="FootnoteReference"/>
        </w:rPr>
        <w:t>72</w:t>
      </w:r>
      <w:r>
        <w:t xml:space="preserve"> </w:t>
      </w:r>
      <w:r w:rsidRPr="00546CBA">
        <w:rPr>
          <w:rStyle w:val="FootnotesChar"/>
          <w:rFonts w:ascii="Calibri" w:hAnsi="Calibri" w:cs="Calibri"/>
          <w:color w:val="000000" w:themeColor="text1"/>
          <w:sz w:val="18"/>
          <w:szCs w:val="18"/>
        </w:rPr>
        <w:t xml:space="preserve">Fujisaki T and Reich MR, </w:t>
      </w:r>
      <w:r w:rsidRPr="00546CBA">
        <w:rPr>
          <w:rStyle w:val="FootnotesChar"/>
          <w:rFonts w:ascii="Calibri" w:hAnsi="Calibri" w:cs="Calibri"/>
          <w:i/>
          <w:color w:val="000000" w:themeColor="text1"/>
          <w:sz w:val="18"/>
          <w:szCs w:val="18"/>
        </w:rPr>
        <w:t>Assessment of TDR’s contributions to product development for tropical diseases: the case of ivermectin for onchocerciasis</w:t>
      </w:r>
      <w:r w:rsidRPr="00546CBA">
        <w:rPr>
          <w:rStyle w:val="FootnotesChar"/>
          <w:rFonts w:ascii="Calibri" w:hAnsi="Calibri" w:cs="Calibri"/>
          <w:color w:val="000000" w:themeColor="text1"/>
          <w:sz w:val="18"/>
          <w:szCs w:val="18"/>
        </w:rPr>
        <w:t xml:space="preserve"> (Boston: TDR, 1997), 18-22.</w:t>
      </w:r>
    </w:p>
  </w:footnote>
  <w:footnote w:id="853">
    <w:p w14:paraId="03A767A7" w14:textId="2076B684" w:rsidR="00CF189D" w:rsidRPr="00CF189D" w:rsidRDefault="00CF189D">
      <w:pPr>
        <w:pStyle w:val="FootnoteText"/>
        <w:rPr>
          <w:lang w:val="en-US"/>
        </w:rPr>
      </w:pPr>
      <w:r>
        <w:rPr>
          <w:rStyle w:val="FootnoteReference"/>
        </w:rPr>
        <w:t>73</w:t>
      </w:r>
      <w:r>
        <w:t xml:space="preserve"> </w:t>
      </w:r>
      <w:r w:rsidRPr="00546CBA">
        <w:rPr>
          <w:rFonts w:ascii="Calibri" w:hAnsi="Calibri" w:cs="Calibri"/>
          <w:color w:val="000000" w:themeColor="text1"/>
          <w:sz w:val="18"/>
          <w:szCs w:val="18"/>
        </w:rPr>
        <w:t>WBGA, 1300678, ‘Large scale treatment with ivermectin in the OCP, plan of action and budget for 1989 and 1990’, March 1988.</w:t>
      </w:r>
    </w:p>
  </w:footnote>
  <w:footnote w:id="854">
    <w:p w14:paraId="70DE7AEE" w14:textId="2A1C5C8F" w:rsidR="00CF189D" w:rsidRPr="00CF189D" w:rsidRDefault="00CF189D">
      <w:pPr>
        <w:pStyle w:val="FootnoteText"/>
        <w:rPr>
          <w:lang w:val="en-US"/>
        </w:rPr>
      </w:pPr>
      <w:r>
        <w:rPr>
          <w:rStyle w:val="FootnoteReference"/>
        </w:rPr>
        <w:t>74</w:t>
      </w:r>
      <w:r>
        <w:t xml:space="preserve"> </w:t>
      </w:r>
      <w:r w:rsidRPr="00681100">
        <w:rPr>
          <w:rFonts w:ascii="Calibri" w:hAnsi="Calibri" w:cs="Calibri"/>
          <w:color w:val="000000" w:themeColor="text1"/>
          <w:sz w:val="18"/>
          <w:szCs w:val="18"/>
        </w:rPr>
        <w:t xml:space="preserve">For example, TDR, ‘Community directed treatment with ivermectin - report of a multi-country study’, </w:t>
      </w:r>
      <w:r w:rsidRPr="00681100">
        <w:rPr>
          <w:rFonts w:ascii="Calibri" w:hAnsi="Calibri" w:cs="Calibri"/>
          <w:i/>
          <w:color w:val="000000" w:themeColor="text1"/>
          <w:sz w:val="18"/>
          <w:szCs w:val="18"/>
        </w:rPr>
        <w:t>TDR Applied Research Reports</w:t>
      </w:r>
      <w:r w:rsidRPr="000045FB">
        <w:rPr>
          <w:rFonts w:ascii="Calibri" w:hAnsi="Calibri" w:cs="Calibri"/>
          <w:color w:val="000000" w:themeColor="text1"/>
          <w:sz w:val="18"/>
          <w:szCs w:val="18"/>
        </w:rPr>
        <w:t xml:space="preserve"> (1996); Thylefors B, ‘The Mectizan Donation Program (MDP)’, </w:t>
      </w:r>
      <w:r w:rsidRPr="000045FB">
        <w:rPr>
          <w:rFonts w:ascii="Calibri" w:hAnsi="Calibri" w:cs="Calibri"/>
          <w:i/>
          <w:color w:val="000000" w:themeColor="text1"/>
          <w:sz w:val="18"/>
          <w:szCs w:val="18"/>
        </w:rPr>
        <w:t xml:space="preserve">Annals of Tropical Medicine &amp; Parasitology </w:t>
      </w:r>
      <w:r w:rsidRPr="000045FB">
        <w:rPr>
          <w:rFonts w:ascii="Calibri" w:hAnsi="Calibri" w:cs="Calibri"/>
          <w:color w:val="000000" w:themeColor="text1"/>
          <w:sz w:val="18"/>
          <w:szCs w:val="18"/>
        </w:rPr>
        <w:t>102 (2008), 39-44.</w:t>
      </w:r>
    </w:p>
  </w:footnote>
  <w:footnote w:id="855">
    <w:p w14:paraId="6EFE7733" w14:textId="7AB49EAD" w:rsidR="00CF189D" w:rsidRPr="00CF189D" w:rsidRDefault="00CF189D">
      <w:pPr>
        <w:pStyle w:val="FootnoteText"/>
        <w:rPr>
          <w:lang w:val="en-US"/>
        </w:rPr>
      </w:pPr>
      <w:r>
        <w:rPr>
          <w:rStyle w:val="FootnoteReference"/>
        </w:rPr>
        <w:t>75</w:t>
      </w:r>
      <w:r>
        <w:t xml:space="preserve"> </w:t>
      </w:r>
      <w:r w:rsidRPr="0095305F">
        <w:rPr>
          <w:rFonts w:ascii="Calibri" w:hAnsi="Calibri" w:cs="Calibri"/>
          <w:sz w:val="18"/>
          <w:szCs w:val="18"/>
        </w:rPr>
        <w:t xml:space="preserve">WBGA, 30304908, Hopkins DR and Richards F, ‘Visionary campaign: eliminating river blindness’, </w:t>
      </w:r>
      <w:r w:rsidRPr="0095305F">
        <w:rPr>
          <w:rFonts w:ascii="Calibri" w:hAnsi="Calibri" w:cs="Calibri"/>
          <w:i/>
          <w:sz w:val="18"/>
          <w:szCs w:val="18"/>
        </w:rPr>
        <w:t xml:space="preserve">Reprint from the 1997 medical and health annual </w:t>
      </w:r>
      <w:r w:rsidRPr="0095305F">
        <w:rPr>
          <w:rFonts w:ascii="Calibri" w:hAnsi="Calibri" w:cs="Calibri"/>
          <w:sz w:val="18"/>
          <w:szCs w:val="18"/>
        </w:rPr>
        <w:t>(Chicago: Encyclopedia Brittanica, 1996), 8-23.</w:t>
      </w:r>
    </w:p>
  </w:footnote>
  <w:footnote w:id="856">
    <w:p w14:paraId="70E10AAA" w14:textId="12132F10" w:rsidR="00CF189D" w:rsidRPr="00CF189D" w:rsidRDefault="00CF189D">
      <w:pPr>
        <w:pStyle w:val="FootnoteText"/>
        <w:rPr>
          <w:lang w:val="en-US"/>
        </w:rPr>
      </w:pPr>
      <w:r>
        <w:rPr>
          <w:rStyle w:val="FootnoteReference"/>
        </w:rPr>
        <w:t>76</w:t>
      </w:r>
      <w:r>
        <w:t xml:space="preserve"> </w:t>
      </w:r>
      <w:r w:rsidRPr="0095305F">
        <w:rPr>
          <w:rFonts w:ascii="Calibri" w:hAnsi="Calibri" w:cs="Calibri"/>
          <w:sz w:val="18"/>
          <w:szCs w:val="18"/>
        </w:rPr>
        <w:t>WBGA, 1300688, ‘Oncho Info, OCP/30’, 31 January 1989.</w:t>
      </w:r>
    </w:p>
  </w:footnote>
  <w:footnote w:id="857">
    <w:p w14:paraId="75FEE63D" w14:textId="7794120F"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lang w:val="en-GB"/>
        </w:rPr>
        <w:t>77</w:t>
      </w:r>
      <w:r w:rsidRPr="00CF189D">
        <w:rPr>
          <w:rFonts w:ascii="Calibri" w:hAnsi="Calibri" w:cs="Calibri"/>
          <w:sz w:val="18"/>
          <w:szCs w:val="18"/>
        </w:rPr>
        <w:t xml:space="preserve"> </w:t>
      </w:r>
      <w:r w:rsidRPr="0095305F">
        <w:rPr>
          <w:rFonts w:ascii="Calibri" w:hAnsi="Calibri" w:cs="Calibri"/>
          <w:sz w:val="18"/>
          <w:szCs w:val="18"/>
        </w:rPr>
        <w:t>Hopkins and Richards, ‘Visionary campaign’ (1996)</w:t>
      </w:r>
      <w:r>
        <w:rPr>
          <w:rFonts w:ascii="Calibri" w:hAnsi="Calibri" w:cs="Calibri"/>
          <w:sz w:val="18"/>
          <w:szCs w:val="18"/>
        </w:rPr>
        <w:t xml:space="preserve">; </w:t>
      </w:r>
      <w:r w:rsidRPr="00CF189D">
        <w:rPr>
          <w:rFonts w:ascii="Calibri" w:hAnsi="Calibri" w:cs="Calibri"/>
          <w:sz w:val="18"/>
          <w:szCs w:val="18"/>
        </w:rPr>
        <w:t>WBGA, 1865456, ‘Annual internal technical review meeting, Ouagadougou, 11-14 March (EAC 12)’, 1995.</w:t>
      </w:r>
    </w:p>
  </w:footnote>
  <w:footnote w:id="858">
    <w:p w14:paraId="3B5F4F8E" w14:textId="2D3C2213" w:rsidR="00CF189D" w:rsidRPr="00681100" w:rsidRDefault="00CF189D" w:rsidP="00B86D8C">
      <w:pPr>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t>78</w:t>
      </w:r>
      <w:r w:rsidRPr="00546CBA">
        <w:rPr>
          <w:rFonts w:ascii="Calibri" w:hAnsi="Calibri" w:cs="Calibri"/>
          <w:color w:val="000000" w:themeColor="text1"/>
          <w:sz w:val="18"/>
          <w:szCs w:val="18"/>
        </w:rPr>
        <w:t xml:space="preserve"> Kim A and Benton B, </w:t>
      </w:r>
      <w:r w:rsidRPr="00546CBA">
        <w:rPr>
          <w:rFonts w:ascii="Calibri" w:hAnsi="Calibri" w:cs="Calibri"/>
          <w:i/>
          <w:color w:val="000000" w:themeColor="text1"/>
          <w:sz w:val="18"/>
          <w:szCs w:val="18"/>
        </w:rPr>
        <w:t xml:space="preserve">Cost-benefit analysis of the Onchocerciasis Control Program </w:t>
      </w:r>
      <w:r w:rsidRPr="00681100">
        <w:rPr>
          <w:rFonts w:ascii="Calibri" w:hAnsi="Calibri" w:cs="Calibri"/>
          <w:color w:val="000000" w:themeColor="text1"/>
          <w:sz w:val="18"/>
          <w:szCs w:val="18"/>
        </w:rPr>
        <w:t>(Washington DC: World Bank, 1995).</w:t>
      </w:r>
    </w:p>
  </w:footnote>
  <w:footnote w:id="859">
    <w:p w14:paraId="1C819794" w14:textId="62D4C4B8" w:rsidR="00CF189D" w:rsidRPr="000045FB" w:rsidRDefault="00CF189D" w:rsidP="00B86D8C">
      <w:pPr>
        <w:pStyle w:val="FootnoteText"/>
        <w:rPr>
          <w:rFonts w:ascii="Calibri" w:hAnsi="Calibri" w:cs="Calibri"/>
          <w:i/>
          <w:color w:val="000000" w:themeColor="text1"/>
          <w:sz w:val="18"/>
          <w:szCs w:val="18"/>
        </w:rPr>
      </w:pPr>
      <w:r w:rsidRPr="00681100">
        <w:rPr>
          <w:rStyle w:val="FootnoteReference"/>
          <w:rFonts w:ascii="Calibri" w:hAnsi="Calibri" w:cs="Calibri"/>
          <w:color w:val="000000" w:themeColor="text1"/>
          <w:sz w:val="18"/>
          <w:szCs w:val="18"/>
        </w:rPr>
        <w:t>79</w:t>
      </w:r>
      <w:r w:rsidRPr="00681100">
        <w:rPr>
          <w:rFonts w:ascii="Calibri" w:hAnsi="Calibri" w:cs="Calibri"/>
          <w:color w:val="000000" w:themeColor="text1"/>
          <w:sz w:val="18"/>
          <w:szCs w:val="18"/>
        </w:rPr>
        <w:t xml:space="preserve"> WBGA, 1300678, ‘Large scale treatment with ivermectin in the OCP, plan of action and budget for 1989 and 1990’, March 1988.</w:t>
      </w:r>
    </w:p>
  </w:footnote>
  <w:footnote w:id="860">
    <w:p w14:paraId="2DD89A8E" w14:textId="1CB17630" w:rsidR="00CF189D" w:rsidRPr="00CF189D" w:rsidRDefault="00CF189D" w:rsidP="00DD4818">
      <w:pPr>
        <w:pStyle w:val="Footnotes"/>
        <w:rPr>
          <w:rFonts w:ascii="Calibri" w:hAnsi="Calibri" w:cs="Calibri"/>
          <w:sz w:val="18"/>
          <w:szCs w:val="18"/>
        </w:rPr>
      </w:pPr>
      <w:r w:rsidRPr="000045FB">
        <w:rPr>
          <w:rStyle w:val="FootnoteReference"/>
          <w:rFonts w:ascii="Calibri" w:hAnsi="Calibri" w:cs="Calibri"/>
          <w:color w:val="000000" w:themeColor="text1"/>
          <w:sz w:val="18"/>
          <w:szCs w:val="18"/>
          <w:lang w:val="en-GB"/>
        </w:rPr>
        <w:t>80</w:t>
      </w:r>
      <w:r w:rsidRPr="00CF189D">
        <w:rPr>
          <w:rFonts w:ascii="Calibri" w:hAnsi="Calibri" w:cs="Calibri"/>
          <w:sz w:val="18"/>
          <w:szCs w:val="18"/>
        </w:rPr>
        <w:t xml:space="preserve"> WBGA, 1865456, ‘Annual internal technical review meeting, Ouagadougou, 11-14 March (EAC 12)’, 1995.</w:t>
      </w:r>
    </w:p>
  </w:footnote>
  <w:footnote w:id="861">
    <w:p w14:paraId="2EC879DC" w14:textId="3F06A6C6"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t>81</w:t>
      </w:r>
      <w:r w:rsidRPr="00546CBA">
        <w:rPr>
          <w:rFonts w:ascii="Calibri" w:hAnsi="Calibri" w:cs="Calibri"/>
          <w:color w:val="000000" w:themeColor="text1"/>
          <w:sz w:val="18"/>
          <w:szCs w:val="18"/>
        </w:rPr>
        <w:t xml:space="preserve"> WBGA, 1300678, Ebrahim M. Samba to James D. Shepperd, 21 December 1989.</w:t>
      </w:r>
    </w:p>
  </w:footnote>
  <w:footnote w:id="862">
    <w:p w14:paraId="06BB5A2F" w14:textId="537F4107"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t>82</w:t>
      </w:r>
      <w:r w:rsidRPr="00681100">
        <w:rPr>
          <w:rFonts w:ascii="Calibri" w:hAnsi="Calibri" w:cs="Calibri"/>
          <w:color w:val="000000" w:themeColor="text1"/>
          <w:sz w:val="18"/>
          <w:szCs w:val="18"/>
        </w:rPr>
        <w:t xml:space="preserve"> WBGA, 1300678, Ebrahim M. Samba to James D. Shepperd, 26 April 1990.</w:t>
      </w:r>
    </w:p>
  </w:footnote>
  <w:footnote w:id="863">
    <w:p w14:paraId="5257F643" w14:textId="719A3E04" w:rsidR="00CF189D" w:rsidRPr="00CF189D" w:rsidRDefault="00CF189D" w:rsidP="00DD4818">
      <w:pPr>
        <w:pStyle w:val="Footnotes"/>
        <w:rPr>
          <w:rFonts w:ascii="Calibri" w:hAnsi="Calibri" w:cs="Calibri"/>
          <w:sz w:val="18"/>
          <w:szCs w:val="18"/>
        </w:rPr>
      </w:pPr>
      <w:r w:rsidRPr="00681100">
        <w:rPr>
          <w:rStyle w:val="FootnoteReference"/>
          <w:rFonts w:ascii="Calibri" w:hAnsi="Calibri" w:cs="Calibri"/>
          <w:color w:val="000000" w:themeColor="text1"/>
          <w:sz w:val="18"/>
          <w:szCs w:val="18"/>
          <w:lang w:val="en-GB"/>
        </w:rPr>
        <w:t>83</w:t>
      </w:r>
      <w:r w:rsidRPr="00CF189D">
        <w:rPr>
          <w:rFonts w:ascii="Calibri" w:hAnsi="Calibri" w:cs="Calibri"/>
          <w:sz w:val="18"/>
          <w:szCs w:val="18"/>
        </w:rPr>
        <w:t xml:space="preserve"> Meredith et al., ‘Empowering communities in combating river blindness and the role of NGOs: case studies from Cameroon, Mali, Nigeria, and Uganda’, </w:t>
      </w:r>
      <w:r w:rsidRPr="00CF189D">
        <w:rPr>
          <w:rFonts w:ascii="Calibri" w:hAnsi="Calibri" w:cs="Calibri"/>
          <w:i/>
          <w:sz w:val="18"/>
          <w:szCs w:val="18"/>
        </w:rPr>
        <w:t xml:space="preserve">Health Research Policy and Systems </w:t>
      </w:r>
      <w:r w:rsidRPr="00CF189D">
        <w:rPr>
          <w:rFonts w:ascii="Calibri" w:hAnsi="Calibri" w:cs="Calibri"/>
          <w:sz w:val="18"/>
          <w:szCs w:val="18"/>
        </w:rPr>
        <w:t>10:16</w:t>
      </w:r>
      <w:r w:rsidRPr="00CF189D">
        <w:rPr>
          <w:rFonts w:ascii="Calibri" w:hAnsi="Calibri" w:cs="Calibri"/>
          <w:i/>
          <w:sz w:val="18"/>
          <w:szCs w:val="18"/>
        </w:rPr>
        <w:t xml:space="preserve"> </w:t>
      </w:r>
      <w:r w:rsidRPr="00CF189D">
        <w:rPr>
          <w:rFonts w:ascii="Calibri" w:hAnsi="Calibri" w:cs="Calibri"/>
          <w:sz w:val="18"/>
          <w:szCs w:val="18"/>
        </w:rPr>
        <w:t>(2012).</w:t>
      </w:r>
    </w:p>
  </w:footnote>
  <w:footnote w:id="864">
    <w:p w14:paraId="01FAAA1D" w14:textId="16D79323"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t>84</w:t>
      </w:r>
      <w:r w:rsidRPr="00546CBA">
        <w:rPr>
          <w:rFonts w:ascii="Calibri" w:hAnsi="Calibri" w:cs="Calibri"/>
          <w:color w:val="000000" w:themeColor="text1"/>
          <w:sz w:val="18"/>
          <w:szCs w:val="18"/>
        </w:rPr>
        <w:t xml:space="preserve"> WBGA, 1300678, Bruce Benton to William Stanton, ‘Our meeting with Mr. Jack Babson’, 10 July 1989.</w:t>
      </w:r>
    </w:p>
  </w:footnote>
  <w:footnote w:id="865">
    <w:p w14:paraId="3BA17C7B" w14:textId="6F2A2861" w:rsidR="00CF189D" w:rsidRPr="00681100"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t>85</w:t>
      </w:r>
      <w:r w:rsidRPr="00681100">
        <w:rPr>
          <w:rFonts w:ascii="Calibri" w:hAnsi="Calibri" w:cs="Calibri"/>
          <w:color w:val="000000" w:themeColor="text1"/>
          <w:sz w:val="18"/>
          <w:szCs w:val="18"/>
        </w:rPr>
        <w:t xml:space="preserve"> WVGA, 1300678, Victoria M. Sheffield to Bruce Benton, 21 July 1990; WBGA, 1300678, ‘ONCHOTROP program design pre-approval, the HKI/Africare program for ivermectin distribution, version-5’, 12 March 1990.</w:t>
      </w:r>
    </w:p>
  </w:footnote>
  <w:footnote w:id="866">
    <w:p w14:paraId="2CF9FA50" w14:textId="41A85DFB" w:rsidR="00CF189D" w:rsidRPr="000045FB" w:rsidRDefault="00CF189D" w:rsidP="00B86D8C">
      <w:pPr>
        <w:pStyle w:val="FootnoteText"/>
        <w:rPr>
          <w:rFonts w:ascii="Calibri" w:hAnsi="Calibri" w:cs="Calibri"/>
          <w:color w:val="000000" w:themeColor="text1"/>
          <w:sz w:val="18"/>
          <w:szCs w:val="18"/>
        </w:rPr>
      </w:pPr>
      <w:r w:rsidRPr="00681100">
        <w:rPr>
          <w:rStyle w:val="FootnoteReference"/>
          <w:rFonts w:ascii="Calibri" w:hAnsi="Calibri" w:cs="Calibri"/>
          <w:color w:val="000000" w:themeColor="text1"/>
          <w:sz w:val="18"/>
          <w:szCs w:val="18"/>
        </w:rPr>
        <w:t>86</w:t>
      </w:r>
      <w:r w:rsidRPr="00681100">
        <w:rPr>
          <w:rFonts w:ascii="Calibri" w:hAnsi="Calibri" w:cs="Calibri"/>
          <w:color w:val="000000" w:themeColor="text1"/>
          <w:sz w:val="18"/>
          <w:szCs w:val="18"/>
        </w:rPr>
        <w:t xml:space="preserve"> WBGA, 1300678, ‘InterAction onchocerciasis task force meetings’</w:t>
      </w:r>
      <w:r w:rsidRPr="000045FB">
        <w:rPr>
          <w:rFonts w:ascii="Calibri" w:hAnsi="Calibri" w:cs="Calibri"/>
          <w:color w:val="000000" w:themeColor="text1"/>
          <w:sz w:val="18"/>
          <w:szCs w:val="18"/>
        </w:rPr>
        <w:t>, 18 May 1990.</w:t>
      </w:r>
    </w:p>
  </w:footnote>
  <w:footnote w:id="867">
    <w:p w14:paraId="46D0AB3E" w14:textId="51DDB12C" w:rsidR="00CF189D" w:rsidRPr="000045FB" w:rsidRDefault="00CF189D" w:rsidP="00B86D8C">
      <w:pPr>
        <w:pStyle w:val="FootnoteText"/>
        <w:rPr>
          <w:rFonts w:ascii="Calibri" w:hAnsi="Calibri" w:cs="Calibri"/>
          <w:color w:val="000000" w:themeColor="text1"/>
          <w:sz w:val="18"/>
          <w:szCs w:val="18"/>
        </w:rPr>
      </w:pPr>
      <w:r w:rsidRPr="000045FB">
        <w:rPr>
          <w:rStyle w:val="FootnoteReference"/>
          <w:rFonts w:ascii="Calibri" w:hAnsi="Calibri" w:cs="Calibri"/>
          <w:color w:val="000000" w:themeColor="text1"/>
          <w:sz w:val="18"/>
          <w:szCs w:val="18"/>
        </w:rPr>
        <w:t>87</w:t>
      </w:r>
      <w:r w:rsidRPr="000045FB">
        <w:rPr>
          <w:rFonts w:ascii="Calibri" w:hAnsi="Calibri" w:cs="Calibri"/>
          <w:color w:val="000000" w:themeColor="text1"/>
          <w:sz w:val="18"/>
          <w:szCs w:val="18"/>
        </w:rPr>
        <w:t xml:space="preserve"> WBGA, 1300678, Ebrahim M. Samba to Tracy Geoghegan, 18 June 1990.</w:t>
      </w:r>
    </w:p>
  </w:footnote>
  <w:footnote w:id="868">
    <w:p w14:paraId="0CE9EEE3" w14:textId="3D7C8513" w:rsidR="00CF189D" w:rsidRPr="00CF189D" w:rsidRDefault="00CF189D" w:rsidP="00DD4818">
      <w:pPr>
        <w:pStyle w:val="Footnotes"/>
        <w:rPr>
          <w:rFonts w:ascii="Calibri" w:hAnsi="Calibri" w:cs="Calibri"/>
          <w:sz w:val="18"/>
          <w:szCs w:val="18"/>
        </w:rPr>
      </w:pPr>
      <w:r w:rsidRPr="000045FB">
        <w:rPr>
          <w:rStyle w:val="FootnoteReference"/>
          <w:rFonts w:ascii="Calibri" w:hAnsi="Calibri" w:cs="Calibri"/>
          <w:color w:val="000000" w:themeColor="text1"/>
          <w:sz w:val="18"/>
          <w:szCs w:val="18"/>
          <w:lang w:val="en-GB"/>
        </w:rPr>
        <w:t>88</w:t>
      </w:r>
      <w:r w:rsidRPr="00CF189D">
        <w:rPr>
          <w:rFonts w:ascii="Calibri" w:hAnsi="Calibri" w:cs="Calibri"/>
          <w:sz w:val="18"/>
          <w:szCs w:val="18"/>
        </w:rPr>
        <w:t xml:space="preserve"> WBGA, 1428489, Joint Programme Committee, ‘Progress report of the World Health Organization for 1994’, December 1994.</w:t>
      </w:r>
    </w:p>
  </w:footnote>
  <w:footnote w:id="869">
    <w:p w14:paraId="13628205" w14:textId="5680CF8A"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lang w:val="en-GB"/>
        </w:rPr>
        <w:t>89</w:t>
      </w:r>
      <w:r w:rsidRPr="00CF189D">
        <w:rPr>
          <w:rFonts w:ascii="Calibri" w:hAnsi="Calibri" w:cs="Calibri"/>
          <w:sz w:val="18"/>
          <w:szCs w:val="18"/>
        </w:rPr>
        <w:t xml:space="preserve"> Meredith et al., ‘Empowering communities’ (2012).</w:t>
      </w:r>
    </w:p>
  </w:footnote>
  <w:footnote w:id="870">
    <w:p w14:paraId="2FDDD430" w14:textId="6DAD4CB7"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lang w:val="en-GB"/>
        </w:rPr>
        <w:t>90</w:t>
      </w:r>
      <w:r w:rsidRPr="00CF189D">
        <w:rPr>
          <w:rFonts w:ascii="Calibri" w:hAnsi="Calibri" w:cs="Calibri"/>
          <w:sz w:val="18"/>
          <w:szCs w:val="18"/>
        </w:rPr>
        <w:t xml:space="preserve"> Hopkins and Richards, ‘Visionary campaign’ (1996).</w:t>
      </w:r>
    </w:p>
  </w:footnote>
  <w:footnote w:id="871">
    <w:p w14:paraId="07A8DB70" w14:textId="6A1C178A"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t>91</w:t>
      </w:r>
      <w:r w:rsidRPr="00546CBA">
        <w:rPr>
          <w:rFonts w:ascii="Calibri" w:hAnsi="Calibri" w:cs="Calibri"/>
          <w:color w:val="000000" w:themeColor="text1"/>
          <w:sz w:val="18"/>
          <w:szCs w:val="18"/>
        </w:rPr>
        <w:t xml:space="preserve"> See World Bank, </w:t>
      </w:r>
      <w:r w:rsidRPr="00546CBA">
        <w:rPr>
          <w:rFonts w:ascii="Calibri" w:hAnsi="Calibri" w:cs="Calibri"/>
          <w:i/>
          <w:color w:val="000000" w:themeColor="text1"/>
          <w:sz w:val="18"/>
          <w:szCs w:val="18"/>
        </w:rPr>
        <w:t xml:space="preserve">World development report 1993: investing in health </w:t>
      </w:r>
      <w:r w:rsidRPr="00546CBA">
        <w:rPr>
          <w:rFonts w:ascii="Calibri" w:hAnsi="Calibri" w:cs="Calibri"/>
          <w:color w:val="000000" w:themeColor="text1"/>
          <w:sz w:val="18"/>
          <w:szCs w:val="18"/>
        </w:rPr>
        <w:t>(New York: Oxford University Press, 1993), especially 45-46, 169.</w:t>
      </w:r>
    </w:p>
  </w:footnote>
  <w:footnote w:id="872">
    <w:p w14:paraId="6235B3D9" w14:textId="77FDFC57" w:rsidR="00CF189D" w:rsidRPr="00CF189D" w:rsidRDefault="00CF189D" w:rsidP="00DD4818">
      <w:pPr>
        <w:pStyle w:val="Footnotes"/>
        <w:rPr>
          <w:rFonts w:ascii="Calibri" w:hAnsi="Calibri" w:cs="Calibri"/>
          <w:sz w:val="18"/>
          <w:szCs w:val="18"/>
        </w:rPr>
      </w:pPr>
      <w:r w:rsidRPr="00681100">
        <w:rPr>
          <w:rStyle w:val="FootnoteReference"/>
          <w:rFonts w:ascii="Calibri" w:hAnsi="Calibri" w:cs="Calibri"/>
          <w:color w:val="000000" w:themeColor="text1"/>
          <w:sz w:val="18"/>
          <w:szCs w:val="18"/>
          <w:lang w:val="en-GB"/>
        </w:rPr>
        <w:t>92</w:t>
      </w:r>
      <w:r w:rsidRPr="00CF189D">
        <w:rPr>
          <w:rFonts w:ascii="Calibri" w:hAnsi="Calibri" w:cs="Calibri"/>
          <w:sz w:val="18"/>
          <w:szCs w:val="18"/>
        </w:rPr>
        <w:t xml:space="preserve"> Tsalikis, ‘The Onchocerciasis’ (1993).</w:t>
      </w:r>
    </w:p>
  </w:footnote>
  <w:footnote w:id="873">
    <w:p w14:paraId="33E50C61" w14:textId="25266AE1" w:rsidR="00CF189D" w:rsidRPr="00CF189D" w:rsidRDefault="00CF189D" w:rsidP="00DD4818">
      <w:pPr>
        <w:pStyle w:val="Footnotes"/>
        <w:rPr>
          <w:rFonts w:ascii="Calibri" w:hAnsi="Calibri" w:cs="Calibri"/>
          <w:sz w:val="18"/>
          <w:szCs w:val="18"/>
        </w:rPr>
      </w:pPr>
      <w:r>
        <w:rPr>
          <w:rStyle w:val="FootnoteReference"/>
          <w:lang w:val="en-GB"/>
        </w:rPr>
        <w:t>93</w:t>
      </w:r>
      <w:r w:rsidRPr="00CF189D">
        <w:rPr>
          <w:rFonts w:ascii="Calibri" w:hAnsi="Calibri" w:cs="Calibri"/>
          <w:sz w:val="18"/>
          <w:szCs w:val="18"/>
        </w:rPr>
        <w:t xml:space="preserve"> Meredith et al., ‘Empowering communities in combating river blindness and the role of NGOs: case studies from Cameroon, Mali, Nigeria, and Uganda’, Health Research Policy and Systems 10:16 (2012).</w:t>
      </w:r>
    </w:p>
  </w:footnote>
  <w:footnote w:id="874">
    <w:p w14:paraId="733D617D" w14:textId="7543F8CF" w:rsidR="00CF189D" w:rsidRPr="00546CBA" w:rsidRDefault="00CF189D" w:rsidP="00DF065D">
      <w:pPr>
        <w:pStyle w:val="FootnoteText"/>
        <w:rPr>
          <w:rFonts w:ascii="Calibri" w:hAnsi="Calibri" w:cs="Calibri"/>
          <w:color w:val="000000" w:themeColor="text1"/>
          <w:sz w:val="18"/>
          <w:szCs w:val="18"/>
        </w:rPr>
      </w:pPr>
      <w:r>
        <w:rPr>
          <w:rStyle w:val="FootnoteReference"/>
        </w:rPr>
        <w:t>94</w:t>
      </w:r>
      <w:r w:rsidRPr="00546CBA">
        <w:rPr>
          <w:rFonts w:ascii="Calibri" w:hAnsi="Calibri" w:cs="Calibri"/>
          <w:color w:val="000000" w:themeColor="text1"/>
          <w:sz w:val="18"/>
          <w:szCs w:val="18"/>
        </w:rPr>
        <w:t xml:space="preserve"> Meredith et al., ‘Empowering communities’ (2012).</w:t>
      </w:r>
    </w:p>
  </w:footnote>
  <w:footnote w:id="875">
    <w:p w14:paraId="49105427" w14:textId="38A285D6" w:rsidR="00CF189D" w:rsidRPr="00CF189D" w:rsidRDefault="00CF189D">
      <w:pPr>
        <w:pStyle w:val="FootnoteText"/>
        <w:rPr>
          <w:lang w:val="en-US"/>
        </w:rPr>
      </w:pPr>
      <w:r>
        <w:rPr>
          <w:rStyle w:val="FootnoteReference"/>
        </w:rPr>
        <w:t>95</w:t>
      </w:r>
      <w:r>
        <w:t xml:space="preserve"> </w:t>
      </w:r>
      <w:r w:rsidRPr="0095305F">
        <w:rPr>
          <w:rFonts w:ascii="Calibri" w:hAnsi="Calibri" w:cs="Calibri"/>
          <w:sz w:val="18"/>
          <w:szCs w:val="18"/>
        </w:rPr>
        <w:t>Based Meredith et al., ‘Empowering communities’ (2012), Figure 3.</w:t>
      </w:r>
    </w:p>
  </w:footnote>
  <w:footnote w:id="876">
    <w:p w14:paraId="0E53085C" w14:textId="331D942C" w:rsidR="00CF189D" w:rsidRPr="00CF189D" w:rsidRDefault="00CF189D">
      <w:pPr>
        <w:pStyle w:val="FootnoteText"/>
        <w:rPr>
          <w:lang w:val="en-US"/>
        </w:rPr>
      </w:pPr>
      <w:r>
        <w:rPr>
          <w:rStyle w:val="FootnoteReference"/>
        </w:rPr>
        <w:t>96</w:t>
      </w:r>
      <w:r>
        <w:t xml:space="preserve"> </w:t>
      </w:r>
      <w:r w:rsidRPr="0095305F">
        <w:rPr>
          <w:rFonts w:ascii="Calibri" w:hAnsi="Calibri" w:cs="Calibri"/>
          <w:sz w:val="18"/>
          <w:szCs w:val="18"/>
        </w:rPr>
        <w:t xml:space="preserve">World Bank Group Archives Oral History Program, </w:t>
      </w:r>
      <w:r w:rsidRPr="0095305F">
        <w:rPr>
          <w:rFonts w:ascii="Calibri" w:hAnsi="Calibri" w:cs="Calibri"/>
          <w:i/>
          <w:sz w:val="18"/>
          <w:szCs w:val="18"/>
        </w:rPr>
        <w:t xml:space="preserve">Transcript of an interview with Bruce Benton </w:t>
      </w:r>
      <w:r w:rsidRPr="0095305F">
        <w:rPr>
          <w:rFonts w:ascii="Calibri" w:hAnsi="Calibri" w:cs="Calibri"/>
          <w:sz w:val="18"/>
          <w:szCs w:val="18"/>
        </w:rPr>
        <w:t>(Washington DC: World Bank, 2006), 89.</w:t>
      </w:r>
    </w:p>
  </w:footnote>
  <w:footnote w:id="877">
    <w:p w14:paraId="51AD3068" w14:textId="155B9090" w:rsidR="00CF189D" w:rsidRPr="00CF189D" w:rsidRDefault="00CF189D">
      <w:pPr>
        <w:pStyle w:val="FootnoteText"/>
        <w:rPr>
          <w:lang w:val="en-US"/>
        </w:rPr>
      </w:pPr>
      <w:r>
        <w:rPr>
          <w:rStyle w:val="FootnoteReference"/>
        </w:rPr>
        <w:t>97</w:t>
      </w:r>
      <w:r>
        <w:t xml:space="preserve"> </w:t>
      </w:r>
      <w:r w:rsidRPr="00546CBA">
        <w:rPr>
          <w:rFonts w:ascii="Calibri" w:hAnsi="Calibri" w:cs="Calibri"/>
          <w:color w:val="000000" w:themeColor="text1"/>
          <w:sz w:val="18"/>
          <w:szCs w:val="18"/>
        </w:rPr>
        <w:t>TDR, ‘Community directed treatment’ (1996).</w:t>
      </w:r>
    </w:p>
  </w:footnote>
  <w:footnote w:id="878">
    <w:p w14:paraId="5A7462DE" w14:textId="34BD27CC" w:rsidR="00CF189D" w:rsidRPr="00CF189D" w:rsidRDefault="00CF189D">
      <w:pPr>
        <w:pStyle w:val="FootnoteText"/>
        <w:rPr>
          <w:lang w:val="en-US"/>
        </w:rPr>
      </w:pPr>
      <w:r>
        <w:rPr>
          <w:rStyle w:val="FootnoteReference"/>
        </w:rPr>
        <w:t>98</w:t>
      </w:r>
      <w:r>
        <w:t xml:space="preserve"> </w:t>
      </w:r>
      <w:r w:rsidRPr="0095305F">
        <w:rPr>
          <w:rFonts w:ascii="Calibri" w:hAnsi="Calibri" w:cs="Calibri"/>
          <w:sz w:val="18"/>
          <w:szCs w:val="18"/>
        </w:rPr>
        <w:t>World Bank, Transcript of an interview with Bruce Benton (2006), 74.</w:t>
      </w:r>
    </w:p>
  </w:footnote>
  <w:footnote w:id="879">
    <w:p w14:paraId="1E271919" w14:textId="39488DFB" w:rsidR="00CF189D" w:rsidRPr="00CF189D" w:rsidRDefault="00CF189D" w:rsidP="00DD4818">
      <w:pPr>
        <w:pStyle w:val="Footnotes"/>
        <w:rPr>
          <w:rFonts w:ascii="Calibri" w:hAnsi="Calibri" w:cs="Calibri"/>
          <w:sz w:val="18"/>
          <w:szCs w:val="18"/>
        </w:rPr>
      </w:pPr>
      <w:r>
        <w:rPr>
          <w:rStyle w:val="FootnoteReference"/>
          <w:lang w:val="en-GB"/>
        </w:rPr>
        <w:t>99</w:t>
      </w:r>
      <w:r w:rsidRPr="00CF189D">
        <w:rPr>
          <w:rFonts w:ascii="Calibri" w:hAnsi="Calibri" w:cs="Calibri"/>
          <w:sz w:val="18"/>
          <w:szCs w:val="18"/>
        </w:rPr>
        <w:t xml:space="preserve"> WBGA, 1428489, ‘Mid-term (phase IV) prospective evaluation of the Onchocerciasis Control Programme’, June 1994. See also Meredith et al., ‘Empowering communities’ (2012); TDR, ‘Community directed treatment with ivermectin – report of a multi-country study’, </w:t>
      </w:r>
      <w:r w:rsidRPr="00CF189D">
        <w:rPr>
          <w:rFonts w:ascii="Calibri" w:hAnsi="Calibri" w:cs="Calibri"/>
          <w:i/>
          <w:sz w:val="18"/>
          <w:szCs w:val="18"/>
        </w:rPr>
        <w:t>TDR Applied Research Reports</w:t>
      </w:r>
      <w:r w:rsidRPr="00CF189D">
        <w:rPr>
          <w:rFonts w:ascii="Calibri" w:hAnsi="Calibri" w:cs="Calibri"/>
          <w:sz w:val="18"/>
          <w:szCs w:val="18"/>
        </w:rPr>
        <w:t xml:space="preserve"> (Geneva: WHO, 1996).</w:t>
      </w:r>
    </w:p>
  </w:footnote>
  <w:footnote w:id="880">
    <w:p w14:paraId="1FD16E18" w14:textId="78985DEC" w:rsidR="00CF189D" w:rsidRPr="00CF189D" w:rsidRDefault="00CF189D">
      <w:pPr>
        <w:pStyle w:val="FootnoteText"/>
        <w:rPr>
          <w:lang w:val="en-US"/>
        </w:rPr>
      </w:pPr>
      <w:r>
        <w:rPr>
          <w:rStyle w:val="FootnoteReference"/>
        </w:rPr>
        <w:t>100</w:t>
      </w:r>
      <w:r>
        <w:t xml:space="preserve"> </w:t>
      </w:r>
      <w:r w:rsidRPr="0095305F">
        <w:rPr>
          <w:rFonts w:ascii="Calibri" w:hAnsi="Calibri" w:cs="Calibri"/>
          <w:sz w:val="18"/>
          <w:szCs w:val="18"/>
        </w:rPr>
        <w:t xml:space="preserve">OCP, </w:t>
      </w:r>
      <w:r w:rsidRPr="0095305F">
        <w:rPr>
          <w:rFonts w:ascii="Calibri" w:hAnsi="Calibri" w:cs="Calibri"/>
          <w:i/>
          <w:sz w:val="18"/>
          <w:szCs w:val="18"/>
        </w:rPr>
        <w:t xml:space="preserve">External review </w:t>
      </w:r>
      <w:r w:rsidRPr="0095305F">
        <w:rPr>
          <w:rFonts w:ascii="Calibri" w:hAnsi="Calibri" w:cs="Calibri"/>
          <w:sz w:val="18"/>
          <w:szCs w:val="18"/>
        </w:rPr>
        <w:t>(1990).</w:t>
      </w:r>
    </w:p>
  </w:footnote>
  <w:footnote w:id="881">
    <w:p w14:paraId="41768218" w14:textId="3373BF64" w:rsidR="00CF189D" w:rsidRPr="00CF189D" w:rsidRDefault="00CF189D">
      <w:pPr>
        <w:pStyle w:val="FootnoteText"/>
        <w:rPr>
          <w:lang w:val="en-US"/>
        </w:rPr>
      </w:pPr>
      <w:r>
        <w:rPr>
          <w:rStyle w:val="FootnoteReference"/>
        </w:rPr>
        <w:t>101</w:t>
      </w:r>
      <w:r>
        <w:t xml:space="preserve"> </w:t>
      </w:r>
      <w:r w:rsidRPr="0095305F">
        <w:rPr>
          <w:rFonts w:ascii="Calibri" w:hAnsi="Calibri" w:cs="Calibri"/>
          <w:sz w:val="18"/>
          <w:szCs w:val="18"/>
        </w:rPr>
        <w:t>Tsalikis, ‘The Onchocerciasis’ (1993).</w:t>
      </w:r>
    </w:p>
  </w:footnote>
  <w:footnote w:id="882">
    <w:p w14:paraId="6EE27D6E" w14:textId="3A7740D8" w:rsidR="00CF189D" w:rsidRPr="00CF189D" w:rsidRDefault="00CF189D">
      <w:pPr>
        <w:pStyle w:val="FootnoteText"/>
        <w:rPr>
          <w:lang w:val="en-US"/>
        </w:rPr>
      </w:pPr>
      <w:r>
        <w:rPr>
          <w:rStyle w:val="FootnoteReference"/>
        </w:rPr>
        <w:t>102</w:t>
      </w:r>
      <w:r>
        <w:t xml:space="preserve"> </w:t>
      </w:r>
      <w:r w:rsidRPr="0095305F">
        <w:rPr>
          <w:rFonts w:ascii="Calibri" w:hAnsi="Calibri" w:cs="Calibri"/>
          <w:sz w:val="18"/>
          <w:szCs w:val="18"/>
        </w:rPr>
        <w:t>Tsalikis, ‘The Onchocerciasis’ (1993).</w:t>
      </w:r>
    </w:p>
  </w:footnote>
  <w:footnote w:id="883">
    <w:p w14:paraId="585B87EC" w14:textId="68FB15E7" w:rsidR="00CF189D" w:rsidRPr="00CF189D" w:rsidRDefault="00CF189D">
      <w:pPr>
        <w:pStyle w:val="FootnoteText"/>
        <w:rPr>
          <w:lang w:val="en-US"/>
        </w:rPr>
      </w:pPr>
      <w:r>
        <w:rPr>
          <w:rStyle w:val="FootnoteReference"/>
        </w:rPr>
        <w:t>103</w:t>
      </w:r>
      <w:r>
        <w:t xml:space="preserve"> </w:t>
      </w:r>
      <w:r w:rsidRPr="00546CBA">
        <w:rPr>
          <w:rFonts w:ascii="Calibri" w:hAnsi="Calibri" w:cs="Calibri"/>
          <w:color w:val="000000" w:themeColor="text1"/>
          <w:sz w:val="18"/>
          <w:szCs w:val="18"/>
        </w:rPr>
        <w:t>WBGA, 1865456, ‘Taking the OCP to its end’ (1993).</w:t>
      </w:r>
    </w:p>
  </w:footnote>
  <w:footnote w:id="884">
    <w:p w14:paraId="5A527E10" w14:textId="465BFD72" w:rsidR="00CF189D" w:rsidRPr="00CF189D" w:rsidRDefault="00CF189D">
      <w:pPr>
        <w:pStyle w:val="FootnoteText"/>
        <w:rPr>
          <w:lang w:val="en-US"/>
        </w:rPr>
      </w:pPr>
      <w:r>
        <w:rPr>
          <w:rStyle w:val="FootnoteReference"/>
        </w:rPr>
        <w:t>104</w:t>
      </w:r>
      <w:r>
        <w:t xml:space="preserve"> </w:t>
      </w:r>
      <w:r w:rsidRPr="0095305F">
        <w:rPr>
          <w:rFonts w:ascii="Calibri" w:hAnsi="Calibri" w:cs="Calibri"/>
          <w:sz w:val="18"/>
          <w:szCs w:val="18"/>
        </w:rPr>
        <w:t>WBGA, 1865456, ‘Taking the OCP to its end’ (1993).</w:t>
      </w:r>
    </w:p>
  </w:footnote>
  <w:footnote w:id="885">
    <w:p w14:paraId="721922DB" w14:textId="09A21059" w:rsidR="00CF189D" w:rsidRPr="00CF189D" w:rsidRDefault="00CF189D">
      <w:pPr>
        <w:pStyle w:val="FootnoteText"/>
        <w:rPr>
          <w:lang w:val="en-US"/>
        </w:rPr>
      </w:pPr>
      <w:r>
        <w:rPr>
          <w:rStyle w:val="FootnoteReference"/>
        </w:rPr>
        <w:t>105</w:t>
      </w:r>
      <w:r>
        <w:t xml:space="preserve"> </w:t>
      </w:r>
      <w:r w:rsidRPr="0095305F">
        <w:rPr>
          <w:rFonts w:ascii="Calibri" w:hAnsi="Calibri" w:cs="Calibri"/>
          <w:sz w:val="18"/>
          <w:szCs w:val="18"/>
        </w:rPr>
        <w:t>WBGA, 1428489, J. Frank Walsh, ‘Review of human onchocerciasis in Africa outside the OCP countries with recommendations on control’, November-December 1993.</w:t>
      </w:r>
    </w:p>
  </w:footnote>
  <w:footnote w:id="886">
    <w:p w14:paraId="44ED2E67" w14:textId="6E6E54A0" w:rsidR="00CF189D" w:rsidRPr="00CF189D" w:rsidRDefault="00CF189D">
      <w:pPr>
        <w:pStyle w:val="FootnoteText"/>
        <w:rPr>
          <w:lang w:val="en-US"/>
        </w:rPr>
      </w:pPr>
      <w:r>
        <w:rPr>
          <w:rStyle w:val="FootnoteReference"/>
        </w:rPr>
        <w:t>106</w:t>
      </w:r>
      <w:r>
        <w:t xml:space="preserve"> </w:t>
      </w:r>
      <w:r w:rsidRPr="0095305F">
        <w:rPr>
          <w:rFonts w:ascii="Calibri" w:hAnsi="Calibri" w:cs="Calibri"/>
          <w:sz w:val="18"/>
          <w:szCs w:val="18"/>
        </w:rPr>
        <w:t>Tsalikis, ‘The Onchocerciasis’ (1993).</w:t>
      </w:r>
    </w:p>
  </w:footnote>
  <w:footnote w:id="887">
    <w:p w14:paraId="5E0EF6FC" w14:textId="62AB1A01" w:rsidR="00CF189D" w:rsidRPr="00CF189D" w:rsidRDefault="00CF189D">
      <w:pPr>
        <w:pStyle w:val="FootnoteText"/>
        <w:rPr>
          <w:lang w:val="en-US"/>
        </w:rPr>
      </w:pPr>
      <w:r>
        <w:rPr>
          <w:rStyle w:val="FootnoteReference"/>
        </w:rPr>
        <w:t>107</w:t>
      </w:r>
      <w:r>
        <w:t xml:space="preserve"> </w:t>
      </w:r>
      <w:r w:rsidRPr="00546CBA">
        <w:rPr>
          <w:rFonts w:ascii="Calibri" w:hAnsi="Calibri" w:cs="Calibri"/>
          <w:color w:val="000000" w:themeColor="text1"/>
          <w:sz w:val="18"/>
          <w:szCs w:val="18"/>
        </w:rPr>
        <w:t xml:space="preserve">WBGA, D71884, Bruce Benton to Jean Louis Sarbib, ‘Annual meeting of onchocerciasis (riverblindness) program’, 8 </w:t>
      </w:r>
      <w:r w:rsidRPr="00681100">
        <w:rPr>
          <w:rFonts w:ascii="Calibri" w:hAnsi="Calibri" w:cs="Calibri"/>
          <w:color w:val="000000" w:themeColor="text1"/>
          <w:sz w:val="18"/>
          <w:szCs w:val="18"/>
        </w:rPr>
        <w:t>December 1994.</w:t>
      </w:r>
    </w:p>
  </w:footnote>
  <w:footnote w:id="888">
    <w:p w14:paraId="5481CF15" w14:textId="0B98B28D" w:rsidR="00CF189D" w:rsidRPr="00CF189D" w:rsidRDefault="00CF189D">
      <w:pPr>
        <w:pStyle w:val="FootnoteText"/>
        <w:rPr>
          <w:lang w:val="en-US"/>
        </w:rPr>
      </w:pPr>
      <w:r>
        <w:rPr>
          <w:rStyle w:val="FootnoteReference"/>
        </w:rPr>
        <w:t>108</w:t>
      </w:r>
      <w:r>
        <w:t xml:space="preserve"> </w:t>
      </w:r>
      <w:r w:rsidRPr="00681100">
        <w:rPr>
          <w:rFonts w:ascii="Calibri" w:hAnsi="Calibri" w:cs="Calibri"/>
          <w:color w:val="000000" w:themeColor="text1"/>
          <w:sz w:val="18"/>
          <w:szCs w:val="18"/>
        </w:rPr>
        <w:t>WBGA, 1428489, Bruce Benton to Jean Louis Sarbib, ‘Briefing on donors’ conference/annotated agenda’, 25 October 1994.</w:t>
      </w:r>
    </w:p>
  </w:footnote>
  <w:footnote w:id="889">
    <w:p w14:paraId="0EEBB56E" w14:textId="26AC72C5" w:rsidR="00CF189D" w:rsidRPr="00CF189D" w:rsidRDefault="00CF189D">
      <w:pPr>
        <w:pStyle w:val="FootnoteText"/>
        <w:rPr>
          <w:lang w:val="en-US"/>
        </w:rPr>
      </w:pPr>
      <w:r>
        <w:rPr>
          <w:rStyle w:val="FootnoteReference"/>
        </w:rPr>
        <w:t>109</w:t>
      </w:r>
      <w:r>
        <w:t xml:space="preserve"> </w:t>
      </w:r>
      <w:r w:rsidRPr="000045FB">
        <w:rPr>
          <w:rFonts w:ascii="Calibri" w:hAnsi="Calibri" w:cs="Calibri"/>
          <w:color w:val="000000" w:themeColor="text1"/>
          <w:sz w:val="18"/>
          <w:szCs w:val="18"/>
        </w:rPr>
        <w:t>WBGA, 1428489, [Handwritten notes, donors meeting], [October 1994].</w:t>
      </w:r>
    </w:p>
  </w:footnote>
  <w:footnote w:id="890">
    <w:p w14:paraId="0B7E6819" w14:textId="7CEF1D4F" w:rsidR="00CF189D" w:rsidRPr="00CF189D" w:rsidRDefault="00CF189D">
      <w:pPr>
        <w:pStyle w:val="FootnoteText"/>
        <w:rPr>
          <w:lang w:val="en-US"/>
        </w:rPr>
      </w:pPr>
      <w:r>
        <w:rPr>
          <w:rStyle w:val="FootnoteReference"/>
        </w:rPr>
        <w:t>110</w:t>
      </w:r>
      <w:r>
        <w:t xml:space="preserve"> </w:t>
      </w:r>
      <w:r w:rsidRPr="00581494">
        <w:rPr>
          <w:rFonts w:ascii="Calibri" w:hAnsi="Calibri" w:cs="Calibri"/>
          <w:color w:val="000000" w:themeColor="text1"/>
          <w:sz w:val="18"/>
          <w:szCs w:val="18"/>
        </w:rPr>
        <w:t>WBGA, 30339648, ‘Bank comments on devolution, draft’, 14 October 1994.</w:t>
      </w:r>
    </w:p>
  </w:footnote>
  <w:footnote w:id="891">
    <w:p w14:paraId="0F322EB6" w14:textId="31F0EED5" w:rsidR="00CF189D" w:rsidRPr="00CF189D" w:rsidRDefault="00CF189D">
      <w:pPr>
        <w:pStyle w:val="FootnoteText"/>
        <w:rPr>
          <w:lang w:val="en-US"/>
        </w:rPr>
      </w:pPr>
      <w:r>
        <w:rPr>
          <w:rStyle w:val="FootnoteReference"/>
        </w:rPr>
        <w:t>111</w:t>
      </w:r>
      <w:r>
        <w:t xml:space="preserve"> </w:t>
      </w:r>
      <w:r w:rsidRPr="00581494">
        <w:rPr>
          <w:rFonts w:ascii="Calibri" w:hAnsi="Calibri" w:cs="Calibri"/>
          <w:color w:val="000000" w:themeColor="text1"/>
          <w:sz w:val="18"/>
          <w:szCs w:val="18"/>
        </w:rPr>
        <w:t>WBGA, 30303429, Bruce Benton to Bank staff (multiple), ‘Onchocerciasis (river blindness) donors’ conference, November 3-4’, 9 November 1994.</w:t>
      </w:r>
    </w:p>
  </w:footnote>
  <w:footnote w:id="892">
    <w:p w14:paraId="5ED8949F" w14:textId="19D01F45" w:rsidR="00CF189D" w:rsidRPr="00CF189D" w:rsidRDefault="00CF189D">
      <w:pPr>
        <w:pStyle w:val="FootnoteText"/>
        <w:rPr>
          <w:lang w:val="en-US"/>
        </w:rPr>
      </w:pPr>
      <w:r>
        <w:rPr>
          <w:rStyle w:val="FootnoteReference"/>
        </w:rPr>
        <w:t>112</w:t>
      </w:r>
      <w:r>
        <w:t xml:space="preserve"> </w:t>
      </w:r>
      <w:r w:rsidRPr="00E259AA">
        <w:rPr>
          <w:rFonts w:ascii="Calibri" w:hAnsi="Calibri" w:cs="Calibri"/>
          <w:color w:val="000000" w:themeColor="text1"/>
          <w:sz w:val="18"/>
          <w:szCs w:val="18"/>
        </w:rPr>
        <w:t>WBGA, 1428489, [Handwritten notes, donors meeting], [October 1994].</w:t>
      </w:r>
    </w:p>
  </w:footnote>
  <w:footnote w:id="893">
    <w:p w14:paraId="7FB3123C" w14:textId="0BB7A178" w:rsidR="00CF189D" w:rsidRPr="00CF189D" w:rsidRDefault="00CF189D">
      <w:pPr>
        <w:pStyle w:val="FootnoteText"/>
        <w:rPr>
          <w:lang w:val="en-US"/>
        </w:rPr>
      </w:pPr>
      <w:r>
        <w:rPr>
          <w:rStyle w:val="FootnoteReference"/>
        </w:rPr>
        <w:t>113</w:t>
      </w:r>
      <w:r>
        <w:t xml:space="preserve"> </w:t>
      </w:r>
      <w:r w:rsidRPr="00E259AA">
        <w:rPr>
          <w:rFonts w:ascii="Calibri" w:hAnsi="Calibri" w:cs="Calibri"/>
          <w:color w:val="000000" w:themeColor="text1"/>
          <w:sz w:val="18"/>
          <w:szCs w:val="18"/>
        </w:rPr>
        <w:t>WBGA, 1428489, [Handwritten notes, donors meeting], [October 1994].</w:t>
      </w:r>
    </w:p>
  </w:footnote>
  <w:footnote w:id="894">
    <w:p w14:paraId="497B3E05" w14:textId="67ABE545" w:rsidR="00CF189D" w:rsidRPr="00CF189D" w:rsidRDefault="00CF189D">
      <w:pPr>
        <w:pStyle w:val="FootnoteText"/>
        <w:rPr>
          <w:lang w:val="en-US"/>
        </w:rPr>
      </w:pPr>
      <w:r>
        <w:rPr>
          <w:rStyle w:val="FootnoteReference"/>
        </w:rPr>
        <w:t>114</w:t>
      </w:r>
      <w:r>
        <w:t xml:space="preserve"> </w:t>
      </w:r>
      <w:r w:rsidRPr="00E259AA">
        <w:rPr>
          <w:rFonts w:ascii="Calibri" w:hAnsi="Calibri" w:cs="Calibri"/>
          <w:color w:val="000000" w:themeColor="text1"/>
          <w:sz w:val="18"/>
          <w:szCs w:val="18"/>
        </w:rPr>
        <w:t>WBGA, 30303429, Bruce Benton to Bank staff (multiple), ‘Onchocerciasis (river blindness) donors’ conference, November 3-4’, 9 November 1994.</w:t>
      </w:r>
    </w:p>
  </w:footnote>
  <w:footnote w:id="895">
    <w:p w14:paraId="4D42257E" w14:textId="53EEB02B" w:rsidR="00CF189D" w:rsidRPr="00CF189D" w:rsidRDefault="00CF189D">
      <w:pPr>
        <w:pStyle w:val="FootnoteText"/>
        <w:rPr>
          <w:lang w:val="en-US"/>
        </w:rPr>
      </w:pPr>
      <w:r>
        <w:rPr>
          <w:rStyle w:val="FootnoteReference"/>
        </w:rPr>
        <w:t>115</w:t>
      </w:r>
      <w:r>
        <w:t xml:space="preserve"> </w:t>
      </w:r>
      <w:r w:rsidRPr="00E259AA">
        <w:rPr>
          <w:rFonts w:ascii="Calibri" w:hAnsi="Calibri" w:cs="Calibri"/>
          <w:color w:val="000000" w:themeColor="text1"/>
          <w:sz w:val="18"/>
          <w:szCs w:val="18"/>
        </w:rPr>
        <w:t>WBGA, 1428489, ‘Points for consideration’, [October 1994].</w:t>
      </w:r>
    </w:p>
  </w:footnote>
  <w:footnote w:id="896">
    <w:p w14:paraId="39EA98BA" w14:textId="27537BC6" w:rsidR="00CF189D" w:rsidRPr="00CF189D" w:rsidRDefault="00CF189D">
      <w:pPr>
        <w:pStyle w:val="FootnoteText"/>
        <w:rPr>
          <w:lang w:val="en-US"/>
        </w:rPr>
      </w:pPr>
      <w:r>
        <w:rPr>
          <w:rStyle w:val="FootnoteReference"/>
        </w:rPr>
        <w:t>116</w:t>
      </w:r>
      <w:r>
        <w:t xml:space="preserve"> </w:t>
      </w:r>
      <w:r w:rsidRPr="0095305F">
        <w:rPr>
          <w:rFonts w:ascii="Calibri" w:hAnsi="Calibri" w:cs="Calibri"/>
          <w:sz w:val="18"/>
          <w:szCs w:val="18"/>
        </w:rPr>
        <w:t>WBGA, 1428489, ‘Points for consideration’, [with handwritten notes attached, October 1994].</w:t>
      </w:r>
    </w:p>
  </w:footnote>
  <w:footnote w:id="897">
    <w:p w14:paraId="48296A7B" w14:textId="5069ECAE" w:rsidR="00CF189D" w:rsidRPr="00CF189D" w:rsidRDefault="00CF189D">
      <w:pPr>
        <w:pStyle w:val="FootnoteText"/>
        <w:rPr>
          <w:lang w:val="en-US"/>
        </w:rPr>
      </w:pPr>
      <w:r>
        <w:rPr>
          <w:rStyle w:val="FootnoteReference"/>
        </w:rPr>
        <w:t>117</w:t>
      </w:r>
      <w:r>
        <w:t xml:space="preserve"> </w:t>
      </w:r>
      <w:r w:rsidRPr="00546CBA">
        <w:rPr>
          <w:rFonts w:ascii="Calibri" w:hAnsi="Calibri" w:cs="Calibri"/>
          <w:color w:val="000000" w:themeColor="text1"/>
          <w:sz w:val="18"/>
          <w:szCs w:val="18"/>
        </w:rPr>
        <w:t>WBGA, 1865309, ‘Context for the fourth financial phase (1992-1997), bringing the programme to a successful conclusion’, [1991].</w:t>
      </w:r>
    </w:p>
  </w:footnote>
  <w:footnote w:id="898">
    <w:p w14:paraId="64A457F1" w14:textId="78A23558" w:rsidR="00CF189D" w:rsidRPr="00CF189D" w:rsidRDefault="00CF189D">
      <w:pPr>
        <w:pStyle w:val="FootnoteText"/>
        <w:rPr>
          <w:lang w:val="en-US"/>
        </w:rPr>
      </w:pPr>
      <w:r>
        <w:rPr>
          <w:rStyle w:val="FootnoteReference"/>
        </w:rPr>
        <w:t>118</w:t>
      </w:r>
      <w:r>
        <w:t xml:space="preserve"> </w:t>
      </w:r>
      <w:r w:rsidRPr="00681100">
        <w:rPr>
          <w:rFonts w:ascii="Calibri" w:hAnsi="Calibri" w:cs="Calibri"/>
          <w:color w:val="000000" w:themeColor="text1"/>
          <w:sz w:val="18"/>
          <w:szCs w:val="18"/>
        </w:rPr>
        <w:t xml:space="preserve">See, for instance, Bump et al., ‘West Africa: defeating riverblindness – success in scaling up and lessons learned’, in </w:t>
      </w:r>
      <w:r w:rsidRPr="000045FB">
        <w:rPr>
          <w:rFonts w:ascii="Calibri" w:hAnsi="Calibri" w:cs="Calibri"/>
          <w:i/>
          <w:color w:val="000000" w:themeColor="text1"/>
          <w:sz w:val="18"/>
          <w:szCs w:val="18"/>
        </w:rPr>
        <w:t xml:space="preserve">Reducing poverty, sustaining growth – what works, what doesn’t, and why: a global exchange for scaling up success </w:t>
      </w:r>
      <w:r w:rsidRPr="000045FB">
        <w:rPr>
          <w:rFonts w:ascii="Calibri" w:hAnsi="Calibri" w:cs="Calibri"/>
          <w:color w:val="000000" w:themeColor="text1"/>
          <w:sz w:val="18"/>
          <w:szCs w:val="18"/>
        </w:rPr>
        <w:t>(Washington DC: World Bank, 2004).</w:t>
      </w:r>
    </w:p>
  </w:footnote>
  <w:footnote w:id="899">
    <w:p w14:paraId="60061D5B" w14:textId="6E561849" w:rsidR="00CF189D" w:rsidRPr="00CF189D" w:rsidRDefault="00CF189D">
      <w:pPr>
        <w:pStyle w:val="FootnoteText"/>
        <w:rPr>
          <w:lang w:val="en-US"/>
        </w:rPr>
      </w:pPr>
      <w:r>
        <w:rPr>
          <w:rStyle w:val="FootnoteReference"/>
        </w:rPr>
        <w:t>119</w:t>
      </w:r>
      <w:r>
        <w:t xml:space="preserve"> </w:t>
      </w:r>
      <w:r w:rsidRPr="00581494">
        <w:rPr>
          <w:rFonts w:ascii="Calibri" w:hAnsi="Calibri" w:cs="Calibri"/>
          <w:color w:val="000000" w:themeColor="text1"/>
          <w:sz w:val="18"/>
          <w:szCs w:val="18"/>
        </w:rPr>
        <w:t>WBGA, 1300678, ‘Executive project summary: World Bank trust fund proposal to support Mectizan delivery program activity in non-OCP areas’ [with handwritten comments], 1994.</w:t>
      </w:r>
    </w:p>
  </w:footnote>
  <w:footnote w:id="900">
    <w:p w14:paraId="2C96E549" w14:textId="332E10B8" w:rsidR="00CF189D" w:rsidRPr="00CF189D" w:rsidRDefault="00CF189D">
      <w:pPr>
        <w:pStyle w:val="FootnoteText"/>
        <w:rPr>
          <w:lang w:val="en-US"/>
        </w:rPr>
      </w:pPr>
      <w:r>
        <w:rPr>
          <w:rStyle w:val="FootnoteReference"/>
        </w:rPr>
        <w:t>120</w:t>
      </w:r>
      <w:r>
        <w:t xml:space="preserve"> </w:t>
      </w:r>
      <w:r w:rsidRPr="00581494">
        <w:rPr>
          <w:rFonts w:ascii="Calibri" w:hAnsi="Calibri" w:cs="Calibri"/>
          <w:color w:val="000000" w:themeColor="text1"/>
          <w:sz w:val="18"/>
          <w:szCs w:val="18"/>
        </w:rPr>
        <w:t>WBGA, 1300678, ‘Executive project summary: World Bank trust fund proposal to support Mectizan delivery program activity in non-OCP areas’ [with handwritten comments], 1994.</w:t>
      </w:r>
    </w:p>
  </w:footnote>
  <w:footnote w:id="901">
    <w:p w14:paraId="3B92A2BD" w14:textId="45AF8708" w:rsidR="00CF189D" w:rsidRPr="00CF189D" w:rsidRDefault="00CF189D">
      <w:pPr>
        <w:pStyle w:val="FootnoteText"/>
        <w:rPr>
          <w:lang w:val="en-US"/>
        </w:rPr>
      </w:pPr>
      <w:r>
        <w:rPr>
          <w:rStyle w:val="FootnoteReference"/>
        </w:rPr>
        <w:t>121</w:t>
      </w:r>
      <w:r>
        <w:t xml:space="preserve"> </w:t>
      </w:r>
      <w:r w:rsidRPr="0095305F">
        <w:rPr>
          <w:rFonts w:ascii="Calibri" w:hAnsi="Calibri" w:cs="Calibri"/>
          <w:sz w:val="18"/>
          <w:szCs w:val="18"/>
        </w:rPr>
        <w:t>WBGA, 1428489, Joint Programme Committee, ‘Progress report of the World Health Organization for 1994’, December 1994.</w:t>
      </w:r>
    </w:p>
  </w:footnote>
  <w:footnote w:id="902">
    <w:p w14:paraId="1D90450E" w14:textId="1981EA92" w:rsidR="00CF189D" w:rsidRPr="00CF189D" w:rsidRDefault="00CF189D">
      <w:pPr>
        <w:pStyle w:val="FootnoteText"/>
        <w:rPr>
          <w:lang w:val="en-US"/>
        </w:rPr>
      </w:pPr>
      <w:r>
        <w:rPr>
          <w:rStyle w:val="FootnoteReference"/>
        </w:rPr>
        <w:t>122</w:t>
      </w:r>
      <w:r>
        <w:t xml:space="preserve"> </w:t>
      </w:r>
      <w:r w:rsidRPr="0095305F">
        <w:rPr>
          <w:rFonts w:ascii="Calibri" w:hAnsi="Calibri" w:cs="Calibri"/>
          <w:sz w:val="18"/>
          <w:szCs w:val="18"/>
        </w:rPr>
        <w:t>WBGA, 30303429, Bruce Benton all-in-1 mail, ‘Onchocerciasis (river blindness) donors’ conference, November 3-4, 9’, 1994.</w:t>
      </w:r>
    </w:p>
  </w:footnote>
  <w:footnote w:id="903">
    <w:p w14:paraId="71DF3378" w14:textId="221584BB" w:rsidR="00CF189D" w:rsidRPr="00CF189D" w:rsidRDefault="00CF189D">
      <w:pPr>
        <w:pStyle w:val="FootnoteText"/>
        <w:rPr>
          <w:lang w:val="en-US"/>
        </w:rPr>
      </w:pPr>
      <w:r>
        <w:rPr>
          <w:rStyle w:val="FootnoteReference"/>
        </w:rPr>
        <w:t>123</w:t>
      </w:r>
      <w:r>
        <w:t xml:space="preserve"> </w:t>
      </w:r>
      <w:r w:rsidRPr="0095305F">
        <w:rPr>
          <w:rFonts w:ascii="Calibri" w:hAnsi="Calibri" w:cs="Calibri"/>
          <w:sz w:val="18"/>
          <w:szCs w:val="18"/>
        </w:rPr>
        <w:t xml:space="preserve">Meredith et al., ‘Empowering communities’ (2012).  </w:t>
      </w:r>
    </w:p>
  </w:footnote>
  <w:footnote w:id="904">
    <w:p w14:paraId="0A09EAD4" w14:textId="1FD1F2FF" w:rsidR="00CF189D" w:rsidRPr="00CF189D" w:rsidRDefault="00CF189D">
      <w:pPr>
        <w:pStyle w:val="FootnoteText"/>
        <w:rPr>
          <w:lang w:val="en-US"/>
        </w:rPr>
      </w:pPr>
      <w:r>
        <w:rPr>
          <w:rStyle w:val="FootnoteReference"/>
        </w:rPr>
        <w:t>124</w:t>
      </w:r>
      <w:r>
        <w:t xml:space="preserve"> </w:t>
      </w:r>
      <w:r w:rsidRPr="0095305F">
        <w:rPr>
          <w:rFonts w:ascii="Calibri" w:hAnsi="Calibri" w:cs="Calibri"/>
          <w:sz w:val="18"/>
          <w:szCs w:val="18"/>
        </w:rPr>
        <w:t>World Bank, Transcript of an interview with Bruce Benton (2006), 74-77.</w:t>
      </w:r>
    </w:p>
  </w:footnote>
  <w:footnote w:id="905">
    <w:p w14:paraId="2BAC831A" w14:textId="537E18A9" w:rsidR="00CF189D" w:rsidRPr="00CF189D" w:rsidRDefault="00CF189D">
      <w:pPr>
        <w:pStyle w:val="FootnoteText"/>
        <w:rPr>
          <w:lang w:val="en-US"/>
        </w:rPr>
      </w:pPr>
      <w:r>
        <w:rPr>
          <w:rStyle w:val="FootnoteReference"/>
        </w:rPr>
        <w:t>125</w:t>
      </w:r>
      <w:r>
        <w:t xml:space="preserve"> </w:t>
      </w:r>
      <w:r w:rsidRPr="00546CBA">
        <w:rPr>
          <w:rFonts w:ascii="Calibri" w:hAnsi="Calibri" w:cs="Calibri"/>
          <w:color w:val="000000" w:themeColor="text1"/>
          <w:sz w:val="18"/>
          <w:szCs w:val="18"/>
        </w:rPr>
        <w:t xml:space="preserve">World Bank, </w:t>
      </w:r>
      <w:r w:rsidRPr="00546CBA">
        <w:rPr>
          <w:rFonts w:ascii="Calibri" w:hAnsi="Calibri" w:cs="Calibri"/>
          <w:i/>
          <w:color w:val="000000" w:themeColor="text1"/>
          <w:sz w:val="18"/>
          <w:szCs w:val="18"/>
        </w:rPr>
        <w:t>Transcript of an</w:t>
      </w:r>
      <w:r w:rsidRPr="00681100">
        <w:rPr>
          <w:rFonts w:ascii="Calibri" w:hAnsi="Calibri" w:cs="Calibri"/>
          <w:i/>
          <w:color w:val="000000" w:themeColor="text1"/>
          <w:sz w:val="18"/>
          <w:szCs w:val="18"/>
        </w:rPr>
        <w:t xml:space="preserve"> interview with Bruce Benton </w:t>
      </w:r>
      <w:r w:rsidRPr="00681100">
        <w:rPr>
          <w:rFonts w:ascii="Calibri" w:hAnsi="Calibri" w:cs="Calibri"/>
          <w:color w:val="000000" w:themeColor="text1"/>
          <w:sz w:val="18"/>
          <w:szCs w:val="18"/>
        </w:rPr>
        <w:t>(2006), 79-81.</w:t>
      </w:r>
    </w:p>
  </w:footnote>
  <w:footnote w:id="906">
    <w:p w14:paraId="501ECE95" w14:textId="075D781A" w:rsidR="00CF189D" w:rsidRPr="00CF189D" w:rsidRDefault="00CF189D">
      <w:pPr>
        <w:pStyle w:val="FootnoteText"/>
        <w:rPr>
          <w:rFonts w:ascii="Calibri" w:hAnsi="Calibri" w:cs="Calibri"/>
          <w:sz w:val="18"/>
          <w:szCs w:val="18"/>
          <w:lang w:val="en-US"/>
        </w:rPr>
      </w:pPr>
      <w:r>
        <w:rPr>
          <w:rStyle w:val="FootnoteReference"/>
        </w:rPr>
        <w:t>126</w:t>
      </w:r>
      <w:r w:rsidRPr="00CF189D">
        <w:rPr>
          <w:rFonts w:ascii="Calibri" w:hAnsi="Calibri" w:cs="Calibri"/>
          <w:sz w:val="18"/>
          <w:szCs w:val="18"/>
        </w:rPr>
        <w:t xml:space="preserve"> </w:t>
      </w:r>
      <w:r w:rsidRPr="00546CBA">
        <w:rPr>
          <w:rFonts w:ascii="Calibri" w:hAnsi="Calibri" w:cs="Calibri"/>
          <w:sz w:val="18"/>
          <w:szCs w:val="18"/>
        </w:rPr>
        <w:t>Breman A and Shelton C, ‘Structural adjustment and health: a literature review of the debate, its role-players and presente</w:t>
      </w:r>
      <w:r w:rsidRPr="00681100">
        <w:rPr>
          <w:rFonts w:ascii="Calibri" w:hAnsi="Calibri" w:cs="Calibri"/>
          <w:sz w:val="18"/>
          <w:szCs w:val="18"/>
        </w:rPr>
        <w:t xml:space="preserve">d empirical evidence’, </w:t>
      </w:r>
      <w:r w:rsidRPr="00681100">
        <w:rPr>
          <w:rFonts w:ascii="Calibri" w:hAnsi="Calibri" w:cs="Calibri"/>
          <w:i/>
          <w:iCs/>
          <w:sz w:val="18"/>
          <w:szCs w:val="18"/>
        </w:rPr>
        <w:t xml:space="preserve">CMH Working Paper Series, No. WG6:6 </w:t>
      </w:r>
      <w:r w:rsidRPr="00681100">
        <w:rPr>
          <w:rFonts w:ascii="Calibri" w:hAnsi="Calibri" w:cs="Calibri"/>
          <w:sz w:val="18"/>
          <w:szCs w:val="18"/>
        </w:rPr>
        <w:t>[Geneva: Commission on Macroeconomics and Health, 2001])</w:t>
      </w:r>
      <w:r w:rsidRPr="000045FB">
        <w:rPr>
          <w:rFonts w:ascii="Calibri" w:hAnsi="Calibri" w:cs="Calibri"/>
          <w:sz w:val="18"/>
          <w:szCs w:val="18"/>
        </w:rPr>
        <w:t xml:space="preserve">; Lowenson, ‘Structural adjustment and health policy in Africa’, </w:t>
      </w:r>
      <w:r w:rsidRPr="000045FB">
        <w:rPr>
          <w:rFonts w:ascii="Calibri" w:hAnsi="Calibri" w:cs="Calibri"/>
          <w:i/>
          <w:iCs/>
          <w:sz w:val="18"/>
          <w:szCs w:val="18"/>
        </w:rPr>
        <w:t xml:space="preserve">International Journal of Health Services </w:t>
      </w:r>
      <w:r w:rsidRPr="000045FB">
        <w:rPr>
          <w:rFonts w:ascii="Calibri" w:hAnsi="Calibri" w:cs="Calibri"/>
          <w:sz w:val="18"/>
          <w:szCs w:val="18"/>
        </w:rPr>
        <w:t>23:4 (1993), 717-730.</w:t>
      </w:r>
    </w:p>
  </w:footnote>
  <w:footnote w:id="907">
    <w:p w14:paraId="2E225B7D" w14:textId="0E6F7F9C" w:rsidR="00CF189D" w:rsidRPr="00CF189D" w:rsidRDefault="00CF189D">
      <w:pPr>
        <w:pStyle w:val="FootnoteText"/>
        <w:rPr>
          <w:lang w:val="en-US"/>
        </w:rPr>
      </w:pPr>
      <w:r>
        <w:rPr>
          <w:rStyle w:val="FootnoteReference"/>
        </w:rPr>
        <w:t>127</w:t>
      </w:r>
      <w:r>
        <w:t xml:space="preserve"> </w:t>
      </w:r>
      <w:r w:rsidRPr="00546CBA">
        <w:rPr>
          <w:rFonts w:ascii="Calibri" w:hAnsi="Calibri" w:cs="Calibri"/>
          <w:color w:val="000000" w:themeColor="text1"/>
          <w:sz w:val="18"/>
          <w:szCs w:val="18"/>
        </w:rPr>
        <w:t xml:space="preserve">Bundy D, ‘Neglected diseases of neglected people: the case for investing in neglected tropical diseases’, </w:t>
      </w:r>
      <w:r w:rsidRPr="00681100">
        <w:rPr>
          <w:rFonts w:ascii="Calibri" w:hAnsi="Calibri" w:cs="Calibri"/>
          <w:i/>
          <w:color w:val="000000" w:themeColor="text1"/>
          <w:sz w:val="18"/>
          <w:szCs w:val="18"/>
        </w:rPr>
        <w:t xml:space="preserve">World Bank Blogs </w:t>
      </w:r>
      <w:r w:rsidRPr="00681100">
        <w:rPr>
          <w:rFonts w:ascii="Calibri" w:hAnsi="Calibri" w:cs="Calibri"/>
          <w:color w:val="000000" w:themeColor="text1"/>
          <w:sz w:val="18"/>
          <w:szCs w:val="18"/>
        </w:rPr>
        <w:t>(14 February 2013).</w:t>
      </w:r>
    </w:p>
  </w:footnote>
  <w:footnote w:id="908">
    <w:p w14:paraId="3DBA90CC" w14:textId="471ABA95" w:rsidR="00CF189D" w:rsidRPr="00CF189D" w:rsidRDefault="00CF189D">
      <w:pPr>
        <w:pStyle w:val="FootnoteText"/>
        <w:rPr>
          <w:lang w:val="en-US"/>
        </w:rPr>
      </w:pPr>
      <w:r>
        <w:rPr>
          <w:rStyle w:val="FootnoteReference"/>
        </w:rPr>
        <w:t>128</w:t>
      </w:r>
      <w:r>
        <w:t xml:space="preserve"> </w:t>
      </w:r>
      <w:r w:rsidRPr="000045FB">
        <w:rPr>
          <w:rFonts w:ascii="Calibri" w:hAnsi="Calibri" w:cs="Calibri"/>
          <w:color w:val="000000" w:themeColor="text1"/>
          <w:sz w:val="18"/>
          <w:szCs w:val="18"/>
        </w:rPr>
        <w:t xml:space="preserve">Allen T and Parker M, ‘Will increased funding for neglected tropical diseases really make poverty history?’, </w:t>
      </w:r>
      <w:r w:rsidRPr="000045FB">
        <w:rPr>
          <w:rFonts w:ascii="Calibri" w:hAnsi="Calibri" w:cs="Calibri"/>
          <w:i/>
          <w:color w:val="000000" w:themeColor="text1"/>
          <w:sz w:val="18"/>
          <w:szCs w:val="18"/>
        </w:rPr>
        <w:t xml:space="preserve">Lancet </w:t>
      </w:r>
      <w:r w:rsidRPr="000045FB">
        <w:rPr>
          <w:rFonts w:ascii="Calibri" w:hAnsi="Calibri" w:cs="Calibri"/>
          <w:color w:val="000000" w:themeColor="text1"/>
          <w:sz w:val="18"/>
          <w:szCs w:val="18"/>
        </w:rPr>
        <w:t>379 (2012), 1097-1098; Katabarawa et al., ‘Controlling onchocerciasis by community-directed, ivermectin-treatment programmes in Uganda: why do some communities succeed and others fai</w:t>
      </w:r>
      <w:r w:rsidRPr="00581494">
        <w:rPr>
          <w:rFonts w:ascii="Calibri" w:hAnsi="Calibri" w:cs="Calibri"/>
          <w:color w:val="000000" w:themeColor="text1"/>
          <w:sz w:val="18"/>
          <w:szCs w:val="18"/>
        </w:rPr>
        <w:t xml:space="preserve">l?’, </w:t>
      </w:r>
      <w:r w:rsidRPr="00581494">
        <w:rPr>
          <w:rFonts w:ascii="Calibri" w:hAnsi="Calibri" w:cs="Calibri"/>
          <w:i/>
          <w:color w:val="000000" w:themeColor="text1"/>
          <w:sz w:val="18"/>
          <w:szCs w:val="18"/>
        </w:rPr>
        <w:t xml:space="preserve">Annals of Tropical Medicine and Parasitology </w:t>
      </w:r>
      <w:r w:rsidRPr="00581494">
        <w:rPr>
          <w:rFonts w:ascii="Calibri" w:hAnsi="Calibri" w:cs="Calibri"/>
          <w:color w:val="000000" w:themeColor="text1"/>
          <w:sz w:val="18"/>
          <w:szCs w:val="18"/>
        </w:rPr>
        <w:t xml:space="preserve">94 (2000), 343-352; Katabarawa MN and Richards F, ‘Community-directed health (CDH) workers enhance the performance and sustainability of CDH programmes: experience from ivermectin distribution in Africa’, </w:t>
      </w:r>
      <w:r w:rsidRPr="00581494">
        <w:rPr>
          <w:rFonts w:ascii="Calibri" w:hAnsi="Calibri" w:cs="Calibri"/>
          <w:i/>
          <w:color w:val="000000" w:themeColor="text1"/>
          <w:sz w:val="18"/>
          <w:szCs w:val="18"/>
        </w:rPr>
        <w:t xml:space="preserve">Annals of Tropical Medicine and Parasitology </w:t>
      </w:r>
      <w:r w:rsidRPr="00E259AA">
        <w:rPr>
          <w:rFonts w:ascii="Calibri" w:hAnsi="Calibri" w:cs="Calibri"/>
          <w:color w:val="000000" w:themeColor="text1"/>
          <w:sz w:val="18"/>
          <w:szCs w:val="18"/>
        </w:rPr>
        <w:t xml:space="preserve">2001 (95), 275-286; Amazigo U, ‘The challenges of community-directed treatment with ivermectin (CDTI) within the African Programme for Onchocerciasis Control (APOC)’, </w:t>
      </w:r>
      <w:r w:rsidRPr="00E259AA">
        <w:rPr>
          <w:rFonts w:ascii="Calibri" w:hAnsi="Calibri" w:cs="Calibri"/>
          <w:i/>
          <w:color w:val="000000" w:themeColor="text1"/>
          <w:sz w:val="18"/>
          <w:szCs w:val="18"/>
        </w:rPr>
        <w:t xml:space="preserve">Annals of Tropical Medicine and Parasitology </w:t>
      </w:r>
      <w:r w:rsidRPr="00E259AA">
        <w:rPr>
          <w:rFonts w:ascii="Calibri" w:hAnsi="Calibri" w:cs="Calibri"/>
          <w:color w:val="000000" w:themeColor="text1"/>
          <w:sz w:val="18"/>
          <w:szCs w:val="18"/>
        </w:rPr>
        <w:t>96 (2002), S41-58.</w:t>
      </w:r>
    </w:p>
  </w:footnote>
  <w:footnote w:id="909">
    <w:p w14:paraId="259E7623" w14:textId="1EEE3655" w:rsidR="00CF189D" w:rsidRPr="00CF189D" w:rsidRDefault="00CF189D">
      <w:pPr>
        <w:pStyle w:val="FootnoteText"/>
        <w:rPr>
          <w:lang w:val="en-US"/>
        </w:rPr>
      </w:pPr>
      <w:r>
        <w:rPr>
          <w:rStyle w:val="FootnoteReference"/>
        </w:rPr>
        <w:t>129</w:t>
      </w:r>
      <w:r>
        <w:t xml:space="preserve"> </w:t>
      </w:r>
      <w:r w:rsidRPr="00E259AA">
        <w:rPr>
          <w:rFonts w:ascii="Calibri" w:hAnsi="Calibri" w:cs="Calibri"/>
          <w:color w:val="000000" w:themeColor="text1"/>
          <w:sz w:val="18"/>
          <w:szCs w:val="18"/>
        </w:rPr>
        <w:t xml:space="preserve">Msuya J, ‘Horizontal and vertical delivery of health services: what are the trade offs?’ (draft), </w:t>
      </w:r>
      <w:r w:rsidRPr="00E259AA">
        <w:rPr>
          <w:rFonts w:ascii="Calibri" w:hAnsi="Calibri" w:cs="Calibri"/>
          <w:i/>
          <w:color w:val="000000" w:themeColor="text1"/>
          <w:sz w:val="18"/>
          <w:szCs w:val="18"/>
        </w:rPr>
        <w:t xml:space="preserve">Making Services work for Poor People </w:t>
      </w:r>
      <w:r w:rsidRPr="00E259AA">
        <w:rPr>
          <w:rFonts w:ascii="Calibri" w:hAnsi="Calibri" w:cs="Calibri"/>
          <w:color w:val="000000" w:themeColor="text1"/>
          <w:sz w:val="18"/>
          <w:szCs w:val="18"/>
        </w:rPr>
        <w:t>(Washington DC: World Bank, 2004).</w:t>
      </w:r>
    </w:p>
  </w:footnote>
  <w:footnote w:id="910">
    <w:p w14:paraId="390B65F1" w14:textId="6D439C04" w:rsidR="00CF189D" w:rsidRPr="00CF189D" w:rsidRDefault="00CF189D">
      <w:pPr>
        <w:pStyle w:val="FootnoteText"/>
        <w:rPr>
          <w:lang w:val="en-US"/>
        </w:rPr>
      </w:pPr>
      <w:r>
        <w:rPr>
          <w:rStyle w:val="FootnoteReference"/>
        </w:rPr>
        <w:t>130</w:t>
      </w:r>
      <w:r>
        <w:t xml:space="preserve"> </w:t>
      </w:r>
      <w:r w:rsidRPr="00E259AA">
        <w:rPr>
          <w:rFonts w:ascii="Calibri" w:hAnsi="Calibri" w:cs="Calibri"/>
          <w:color w:val="000000" w:themeColor="text1"/>
          <w:sz w:val="18"/>
          <w:szCs w:val="18"/>
        </w:rPr>
        <w:t xml:space="preserve">Allen and Parker, ‘Will increased funding’ (2012); Cavalli et al., ‘Interactions between global health initiatives and country health systems: the case of a neglected tropical diseases control program in Mali’, </w:t>
      </w:r>
      <w:r w:rsidRPr="00E259AA">
        <w:rPr>
          <w:rFonts w:ascii="Calibri" w:hAnsi="Calibri" w:cs="Calibri"/>
          <w:i/>
          <w:color w:val="000000" w:themeColor="text1"/>
          <w:sz w:val="18"/>
          <w:szCs w:val="18"/>
        </w:rPr>
        <w:t xml:space="preserve">PLoS Neglected Tropical Diseases </w:t>
      </w:r>
      <w:r w:rsidRPr="00E259AA">
        <w:rPr>
          <w:rFonts w:ascii="Calibri" w:hAnsi="Calibri" w:cs="Calibri"/>
          <w:color w:val="000000" w:themeColor="text1"/>
          <w:sz w:val="18"/>
          <w:szCs w:val="18"/>
        </w:rPr>
        <w:t xml:space="preserve">4 (2010), e798; Gryseels et al., ‘Human schistosomiasis’, </w:t>
      </w:r>
      <w:r w:rsidRPr="00E259AA">
        <w:rPr>
          <w:rFonts w:ascii="Calibri" w:hAnsi="Calibri" w:cs="Calibri"/>
          <w:i/>
          <w:color w:val="000000" w:themeColor="text1"/>
          <w:sz w:val="18"/>
          <w:szCs w:val="18"/>
        </w:rPr>
        <w:t xml:space="preserve">Lancet </w:t>
      </w:r>
      <w:r w:rsidRPr="00DE5E29">
        <w:rPr>
          <w:rFonts w:ascii="Calibri" w:hAnsi="Calibri" w:cs="Calibri"/>
          <w:color w:val="000000" w:themeColor="text1"/>
          <w:sz w:val="18"/>
          <w:szCs w:val="18"/>
        </w:rPr>
        <w:t xml:space="preserve">368 (2006), 1106-1118; Coulibaly et al., ‘Programme activities: a major burden for district health systems?’, </w:t>
      </w:r>
      <w:r w:rsidRPr="00DE5E29">
        <w:rPr>
          <w:rFonts w:ascii="Calibri" w:hAnsi="Calibri" w:cs="Calibri"/>
          <w:i/>
          <w:color w:val="000000" w:themeColor="text1"/>
          <w:sz w:val="18"/>
          <w:szCs w:val="18"/>
        </w:rPr>
        <w:t xml:space="preserve">Tropical Medicine and International Health </w:t>
      </w:r>
      <w:r w:rsidRPr="00DE5E29">
        <w:rPr>
          <w:rFonts w:ascii="Calibri" w:hAnsi="Calibri" w:cs="Calibri"/>
          <w:color w:val="000000" w:themeColor="text1"/>
          <w:sz w:val="18"/>
          <w:szCs w:val="18"/>
        </w:rPr>
        <w:t>13 (2008), 1430-1432.</w:t>
      </w:r>
    </w:p>
  </w:footnote>
  <w:footnote w:id="911">
    <w:p w14:paraId="21B76BC7" w14:textId="435682EE" w:rsidR="00CF189D" w:rsidRPr="00CF189D" w:rsidRDefault="00CF189D">
      <w:pPr>
        <w:pStyle w:val="FootnoteText"/>
        <w:rPr>
          <w:lang w:val="en-US"/>
        </w:rPr>
      </w:pPr>
      <w:r>
        <w:rPr>
          <w:rStyle w:val="FootnoteReference"/>
        </w:rPr>
        <w:t>131</w:t>
      </w:r>
      <w:r>
        <w:t xml:space="preserve"> </w:t>
      </w:r>
      <w:r w:rsidRPr="00DE5E29">
        <w:rPr>
          <w:rFonts w:ascii="Calibri" w:hAnsi="Calibri" w:cs="Calibri"/>
          <w:color w:val="000000" w:themeColor="text1"/>
          <w:sz w:val="18"/>
          <w:szCs w:val="18"/>
        </w:rPr>
        <w:t xml:space="preserve">Bardosh K, ‘Global aspirations, local realities: the role of social science research in controlling neglected tropical diseases’, </w:t>
      </w:r>
      <w:r w:rsidRPr="00DE5E29">
        <w:rPr>
          <w:rFonts w:ascii="Calibri" w:hAnsi="Calibri" w:cs="Calibri"/>
          <w:i/>
          <w:color w:val="000000" w:themeColor="text1"/>
          <w:sz w:val="18"/>
          <w:szCs w:val="18"/>
        </w:rPr>
        <w:t xml:space="preserve">Infectious Diseases of Poverty </w:t>
      </w:r>
      <w:r w:rsidRPr="00DE5E29">
        <w:rPr>
          <w:rFonts w:ascii="Calibri" w:hAnsi="Calibri" w:cs="Calibri"/>
          <w:color w:val="000000" w:themeColor="text1"/>
          <w:sz w:val="18"/>
          <w:szCs w:val="18"/>
        </w:rPr>
        <w:t>3:35 (2014), 1-15.</w:t>
      </w:r>
    </w:p>
  </w:footnote>
  <w:footnote w:id="912">
    <w:p w14:paraId="4BCBC913" w14:textId="343E3E97" w:rsidR="00CF189D" w:rsidRPr="00CF189D" w:rsidRDefault="00CF189D">
      <w:pPr>
        <w:pStyle w:val="FootnoteText"/>
        <w:rPr>
          <w:lang w:val="en-US"/>
        </w:rPr>
      </w:pPr>
      <w:r>
        <w:rPr>
          <w:rStyle w:val="FootnoteReference"/>
        </w:rPr>
        <w:t>132</w:t>
      </w:r>
      <w:r>
        <w:t xml:space="preserve"> </w:t>
      </w:r>
      <w:r w:rsidRPr="00DE5E29">
        <w:rPr>
          <w:rFonts w:ascii="Calibri" w:hAnsi="Calibri" w:cs="Calibri"/>
          <w:color w:val="000000" w:themeColor="text1"/>
          <w:sz w:val="18"/>
          <w:szCs w:val="18"/>
        </w:rPr>
        <w:t xml:space="preserve">Lawn et al., ‘Alma-Ata 30 years on: revolutionary, relevant, and time to revitalise’, </w:t>
      </w:r>
      <w:r w:rsidRPr="00DE5E29">
        <w:rPr>
          <w:rFonts w:ascii="Calibri" w:hAnsi="Calibri" w:cs="Calibri"/>
          <w:i/>
          <w:color w:val="000000" w:themeColor="text1"/>
          <w:sz w:val="18"/>
          <w:szCs w:val="18"/>
        </w:rPr>
        <w:t xml:space="preserve">Lancet </w:t>
      </w:r>
      <w:r w:rsidRPr="00BD6EE4">
        <w:rPr>
          <w:rFonts w:ascii="Calibri" w:hAnsi="Calibri" w:cs="Calibri"/>
          <w:color w:val="000000" w:themeColor="text1"/>
          <w:sz w:val="18"/>
          <w:szCs w:val="18"/>
        </w:rPr>
        <w:t>372 (2008), 917-927.</w:t>
      </w:r>
    </w:p>
  </w:footnote>
  <w:footnote w:id="913">
    <w:p w14:paraId="61AE1E1C" w14:textId="0F9ADBFF" w:rsidR="00CF189D" w:rsidRPr="00CF189D" w:rsidRDefault="00CF189D">
      <w:pPr>
        <w:pStyle w:val="FootnoteText"/>
        <w:rPr>
          <w:lang w:val="en-US"/>
        </w:rPr>
      </w:pPr>
      <w:r>
        <w:rPr>
          <w:rStyle w:val="FootnoteReference"/>
        </w:rPr>
        <w:t>133</w:t>
      </w:r>
      <w:r>
        <w:t xml:space="preserve"> </w:t>
      </w:r>
      <w:r w:rsidRPr="00471293">
        <w:rPr>
          <w:rFonts w:ascii="Calibri" w:hAnsi="Calibri" w:cs="Calibri"/>
          <w:color w:val="000000" w:themeColor="text1"/>
          <w:sz w:val="18"/>
          <w:szCs w:val="18"/>
        </w:rPr>
        <w:t xml:space="preserve">s.a., ‘Global initiative for elimination of avoidable blindness: VISION 2020 launched in French-speaking Africa’, </w:t>
      </w:r>
      <w:r w:rsidRPr="00471293">
        <w:rPr>
          <w:rFonts w:ascii="Calibri" w:hAnsi="Calibri" w:cs="Calibri"/>
          <w:i/>
          <w:color w:val="000000" w:themeColor="text1"/>
          <w:sz w:val="18"/>
          <w:szCs w:val="18"/>
        </w:rPr>
        <w:t xml:space="preserve">World Disease Weekly Plus </w:t>
      </w:r>
      <w:r w:rsidRPr="00471293">
        <w:rPr>
          <w:rFonts w:ascii="Calibri" w:hAnsi="Calibri" w:cs="Calibri"/>
          <w:color w:val="000000" w:themeColor="text1"/>
          <w:sz w:val="18"/>
          <w:szCs w:val="18"/>
        </w:rPr>
        <w:t>(7 May 2000).</w:t>
      </w:r>
    </w:p>
  </w:footnote>
  <w:footnote w:id="914">
    <w:p w14:paraId="6422EB51" w14:textId="59953802" w:rsidR="00CF189D" w:rsidRPr="00CF189D" w:rsidRDefault="00CF189D">
      <w:pPr>
        <w:pStyle w:val="FootnoteText"/>
        <w:rPr>
          <w:lang w:val="en-US"/>
        </w:rPr>
      </w:pPr>
      <w:r>
        <w:rPr>
          <w:rStyle w:val="FootnoteReference"/>
        </w:rPr>
        <w:t>134</w:t>
      </w:r>
      <w:r>
        <w:t xml:space="preserve"> </w:t>
      </w:r>
      <w:r w:rsidRPr="00471293">
        <w:rPr>
          <w:rFonts w:ascii="Calibri" w:hAnsi="Calibri" w:cs="Calibri"/>
          <w:color w:val="000000" w:themeColor="text1"/>
          <w:sz w:val="18"/>
          <w:szCs w:val="18"/>
        </w:rPr>
        <w:t>Countries who developed their own individual treatment strategies often felt disapproval from APOC leadership, and worried that they would lose technical skills and institutional knowledge necessary for continuous MDA coverage when the</w:t>
      </w:r>
      <w:r w:rsidRPr="008E1EA6">
        <w:rPr>
          <w:rFonts w:ascii="Calibri" w:hAnsi="Calibri" w:cs="Calibri"/>
          <w:color w:val="000000" w:themeColor="text1"/>
          <w:sz w:val="18"/>
          <w:szCs w:val="18"/>
        </w:rPr>
        <w:t xml:space="preserve"> programme ended and funding was discontinued. See Department for International Development, </w:t>
      </w:r>
      <w:r w:rsidRPr="008E1EA6">
        <w:rPr>
          <w:rFonts w:ascii="Calibri" w:hAnsi="Calibri" w:cs="Calibri"/>
          <w:i/>
          <w:color w:val="000000" w:themeColor="text1"/>
          <w:sz w:val="18"/>
          <w:szCs w:val="18"/>
        </w:rPr>
        <w:t xml:space="preserve">Annual review – summary sheet, support for onchocerciasis elimination work in Africa </w:t>
      </w:r>
      <w:r w:rsidRPr="008E1EA6">
        <w:rPr>
          <w:rFonts w:ascii="Calibri" w:hAnsi="Calibri" w:cs="Calibri"/>
          <w:color w:val="000000" w:themeColor="text1"/>
          <w:sz w:val="18"/>
          <w:szCs w:val="18"/>
        </w:rPr>
        <w:t>(London: United Kingdom, November 2016).</w:t>
      </w:r>
    </w:p>
  </w:footnote>
  <w:footnote w:id="915">
    <w:p w14:paraId="00956FDF" w14:textId="0F5C107C" w:rsidR="00CF189D" w:rsidRPr="00CF189D" w:rsidRDefault="00CF189D">
      <w:pPr>
        <w:pStyle w:val="FootnoteText"/>
        <w:rPr>
          <w:lang w:val="en-US"/>
        </w:rPr>
      </w:pPr>
      <w:r>
        <w:rPr>
          <w:rStyle w:val="FootnoteReference"/>
        </w:rPr>
        <w:t>135</w:t>
      </w:r>
      <w:r>
        <w:t xml:space="preserve"> </w:t>
      </w:r>
      <w:r w:rsidRPr="008E1EA6">
        <w:rPr>
          <w:rFonts w:ascii="Calibri" w:hAnsi="Calibri" w:cs="Calibri"/>
          <w:color w:val="000000" w:themeColor="text1"/>
          <w:sz w:val="18"/>
          <w:szCs w:val="18"/>
        </w:rPr>
        <w:t>Allen and Parker, ‘Will increased funding’ (2012).</w:t>
      </w:r>
    </w:p>
  </w:footnote>
  <w:footnote w:id="916">
    <w:p w14:paraId="5639BF45" w14:textId="74A910CB" w:rsidR="00CF189D" w:rsidRPr="00CF189D" w:rsidRDefault="00CF189D">
      <w:pPr>
        <w:pStyle w:val="FootnoteText"/>
        <w:rPr>
          <w:lang w:val="en-US"/>
        </w:rPr>
      </w:pPr>
      <w:r>
        <w:rPr>
          <w:rStyle w:val="FootnoteReference"/>
        </w:rPr>
        <w:t>136</w:t>
      </w:r>
      <w:r>
        <w:t xml:space="preserve"> </w:t>
      </w:r>
      <w:r w:rsidRPr="00A8048A">
        <w:rPr>
          <w:rFonts w:ascii="Calibri" w:hAnsi="Calibri" w:cs="Calibri"/>
          <w:color w:val="000000" w:themeColor="text1"/>
          <w:sz w:val="18"/>
          <w:szCs w:val="18"/>
        </w:rPr>
        <w:t>Lawn et al., ‘Alma-Ata’ (2008).</w:t>
      </w:r>
    </w:p>
  </w:footnote>
  <w:footnote w:id="917">
    <w:p w14:paraId="14DBE72B" w14:textId="21824030" w:rsidR="00CF189D" w:rsidRPr="00CF189D" w:rsidRDefault="00CF189D">
      <w:pPr>
        <w:pStyle w:val="FootnoteText"/>
        <w:rPr>
          <w:lang w:val="en-US"/>
        </w:rPr>
      </w:pPr>
      <w:r>
        <w:rPr>
          <w:rStyle w:val="FootnoteReference"/>
        </w:rPr>
        <w:t>137</w:t>
      </w:r>
      <w:r>
        <w:t xml:space="preserve"> </w:t>
      </w:r>
      <w:r w:rsidRPr="00A8048A">
        <w:rPr>
          <w:rFonts w:ascii="Calibri" w:hAnsi="Calibri" w:cs="Calibri"/>
          <w:color w:val="000000" w:themeColor="text1"/>
          <w:sz w:val="18"/>
          <w:szCs w:val="18"/>
        </w:rPr>
        <w:t xml:space="preserve">Hodgkin et al., ‘The future of onchocerciasis control in Africa’, </w:t>
      </w:r>
      <w:r w:rsidRPr="00A8048A">
        <w:rPr>
          <w:rFonts w:ascii="Calibri" w:hAnsi="Calibri" w:cs="Calibri"/>
          <w:i/>
          <w:color w:val="000000" w:themeColor="text1"/>
          <w:sz w:val="18"/>
          <w:szCs w:val="18"/>
        </w:rPr>
        <w:t xml:space="preserve">PLoS Neglected Tropical Diseases </w:t>
      </w:r>
      <w:r w:rsidRPr="000E614B">
        <w:rPr>
          <w:rFonts w:ascii="Calibri" w:hAnsi="Calibri" w:cs="Calibri"/>
          <w:color w:val="000000" w:themeColor="text1"/>
          <w:sz w:val="18"/>
          <w:szCs w:val="18"/>
        </w:rPr>
        <w:t>1:1 (2007), e74.</w:t>
      </w:r>
    </w:p>
  </w:footnote>
  <w:footnote w:id="918">
    <w:p w14:paraId="7F0A9DB1" w14:textId="70927B54" w:rsidR="00CF189D" w:rsidRPr="00CF189D" w:rsidRDefault="00CF189D">
      <w:pPr>
        <w:pStyle w:val="FootnoteText"/>
        <w:rPr>
          <w:lang w:val="en-US"/>
        </w:rPr>
      </w:pPr>
      <w:r>
        <w:rPr>
          <w:rStyle w:val="FootnoteReference"/>
        </w:rPr>
        <w:t>138</w:t>
      </w:r>
      <w:r>
        <w:t xml:space="preserve"> </w:t>
      </w:r>
      <w:r w:rsidRPr="000E614B">
        <w:rPr>
          <w:rFonts w:ascii="Calibri" w:hAnsi="Calibri" w:cs="Calibri"/>
          <w:color w:val="000000" w:themeColor="text1"/>
          <w:sz w:val="18"/>
          <w:szCs w:val="18"/>
        </w:rPr>
        <w:t>Allen and Parker, ‘Will increased funding’ (2012).</w:t>
      </w:r>
    </w:p>
  </w:footnote>
  <w:footnote w:id="919">
    <w:p w14:paraId="0FC6EA83" w14:textId="77777777" w:rsidR="00CF189D" w:rsidRPr="00681100" w:rsidRDefault="00CF189D" w:rsidP="001D67B9">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‘The World Bank in Africa’, </w:t>
      </w:r>
      <w:r w:rsidRPr="00546CBA">
        <w:rPr>
          <w:rFonts w:ascii="Calibri" w:hAnsi="Calibri" w:cs="Calibri"/>
          <w:i/>
          <w:color w:val="000000" w:themeColor="text1"/>
          <w:sz w:val="18"/>
          <w:szCs w:val="18"/>
        </w:rPr>
        <w:t xml:space="preserve">All Africa News </w:t>
      </w:r>
      <w:r w:rsidRPr="00681100">
        <w:rPr>
          <w:rFonts w:ascii="Calibri" w:hAnsi="Calibri" w:cs="Calibri"/>
          <w:color w:val="000000" w:themeColor="text1"/>
          <w:sz w:val="18"/>
          <w:szCs w:val="18"/>
        </w:rPr>
        <w:t>(23 Sept 2002).</w:t>
      </w:r>
    </w:p>
  </w:footnote>
  <w:footnote w:id="920">
    <w:p w14:paraId="5D1F67B3" w14:textId="77777777" w:rsidR="00CF189D" w:rsidRPr="000045FB" w:rsidRDefault="00CF189D" w:rsidP="001D67B9">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s.a., ‘Forty years later: the extraordinary river blindness partnership sets its sight on new goals’, </w:t>
      </w:r>
      <w:r w:rsidRPr="00546CBA">
        <w:rPr>
          <w:rFonts w:ascii="Calibri" w:hAnsi="Calibri" w:cs="Calibri"/>
          <w:i/>
          <w:color w:val="000000" w:themeColor="text1"/>
          <w:sz w:val="18"/>
          <w:szCs w:val="18"/>
        </w:rPr>
        <w:t xml:space="preserve">World Bank Group News </w:t>
      </w:r>
      <w:r w:rsidRPr="00681100">
        <w:rPr>
          <w:rFonts w:ascii="Calibri" w:hAnsi="Calibri" w:cs="Calibri"/>
          <w:color w:val="000000" w:themeColor="text1"/>
          <w:sz w:val="18"/>
          <w:szCs w:val="18"/>
        </w:rPr>
        <w:t>(online), 3 July 2014 [accessed 15 February 2018]. See also, s.a., ‘The World Bank and neglected tropical diseases: building on a history of helpi</w:t>
      </w:r>
      <w:r w:rsidRPr="000045FB">
        <w:rPr>
          <w:rFonts w:ascii="Calibri" w:hAnsi="Calibri" w:cs="Calibri"/>
          <w:color w:val="000000" w:themeColor="text1"/>
          <w:sz w:val="18"/>
          <w:szCs w:val="18"/>
        </w:rPr>
        <w:t xml:space="preserve">ng countries address diseases of the poor’, </w:t>
      </w:r>
      <w:r w:rsidRPr="000045FB">
        <w:rPr>
          <w:rFonts w:ascii="Calibri" w:hAnsi="Calibri" w:cs="Calibri"/>
          <w:i/>
          <w:color w:val="000000" w:themeColor="text1"/>
          <w:sz w:val="18"/>
          <w:szCs w:val="18"/>
        </w:rPr>
        <w:t xml:space="preserve">World Bank brief </w:t>
      </w:r>
      <w:r w:rsidRPr="000045FB">
        <w:rPr>
          <w:rFonts w:ascii="Calibri" w:hAnsi="Calibri" w:cs="Calibri"/>
          <w:color w:val="000000" w:themeColor="text1"/>
          <w:sz w:val="18"/>
          <w:szCs w:val="18"/>
        </w:rPr>
        <w:t>(online), 27 March 2015 [accessed 15 February 2018].</w:t>
      </w:r>
    </w:p>
  </w:footnote>
  <w:footnote w:id="921">
    <w:p w14:paraId="3BD124CC" w14:textId="60570B02" w:rsidR="00CF189D" w:rsidRPr="000045FB" w:rsidRDefault="00CF189D">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Sridhar D, Winters J, and Strong E, ‘World Bank’s financing, priorities, and lending structures for global health’, </w:t>
      </w:r>
      <w:r w:rsidRPr="00681100">
        <w:rPr>
          <w:rFonts w:ascii="Calibri" w:hAnsi="Calibri" w:cs="Calibri"/>
          <w:i/>
          <w:color w:val="000000" w:themeColor="text1"/>
          <w:sz w:val="18"/>
          <w:szCs w:val="18"/>
        </w:rPr>
        <w:t xml:space="preserve">BMJ </w:t>
      </w:r>
      <w:r w:rsidRPr="00681100">
        <w:rPr>
          <w:rFonts w:ascii="Calibri" w:hAnsi="Calibri" w:cs="Calibri"/>
          <w:color w:val="000000" w:themeColor="text1"/>
          <w:sz w:val="18"/>
          <w:szCs w:val="18"/>
        </w:rPr>
        <w:t>358 (2017), j333</w:t>
      </w:r>
      <w:r w:rsidRPr="000045FB">
        <w:rPr>
          <w:rFonts w:ascii="Calibri" w:hAnsi="Calibri" w:cs="Calibri"/>
          <w:color w:val="000000" w:themeColor="text1"/>
          <w:sz w:val="18"/>
          <w:szCs w:val="18"/>
        </w:rPr>
        <w:t xml:space="preserve">9; Ruger JP, ‘The changing role of the World Bank in global health’, </w:t>
      </w:r>
      <w:r w:rsidRPr="000045FB">
        <w:rPr>
          <w:rFonts w:ascii="Calibri" w:hAnsi="Calibri" w:cs="Calibri"/>
          <w:i/>
          <w:color w:val="000000" w:themeColor="text1"/>
          <w:sz w:val="18"/>
          <w:szCs w:val="18"/>
        </w:rPr>
        <w:t xml:space="preserve">American Journal of Public Health </w:t>
      </w:r>
      <w:r w:rsidRPr="000045FB">
        <w:rPr>
          <w:rFonts w:ascii="Calibri" w:hAnsi="Calibri" w:cs="Calibri"/>
          <w:color w:val="000000" w:themeColor="text1"/>
          <w:sz w:val="18"/>
          <w:szCs w:val="18"/>
        </w:rPr>
        <w:t>95:1 (2005), 60-70.</w:t>
      </w:r>
    </w:p>
  </w:footnote>
  <w:footnote w:id="922">
    <w:p w14:paraId="22CB6060" w14:textId="4803434B" w:rsidR="00CF189D" w:rsidRPr="000045FB" w:rsidRDefault="00CF189D" w:rsidP="00A25ADE">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Martin GH, </w:t>
      </w:r>
      <w:r w:rsidRPr="00546CBA">
        <w:rPr>
          <w:rFonts w:ascii="Calibri" w:hAnsi="Calibri" w:cs="Calibri"/>
          <w:i/>
          <w:color w:val="000000" w:themeColor="text1"/>
          <w:sz w:val="18"/>
          <w:szCs w:val="18"/>
        </w:rPr>
        <w:t xml:space="preserve">Portfolio review of the World Bank lending for communicable disease control </w:t>
      </w:r>
      <w:r w:rsidRPr="00681100">
        <w:rPr>
          <w:rFonts w:ascii="Calibri" w:hAnsi="Calibri" w:cs="Calibri"/>
          <w:color w:val="000000" w:themeColor="text1"/>
          <w:sz w:val="18"/>
          <w:szCs w:val="18"/>
        </w:rPr>
        <w:t>(Washington DC, Independent Evaluation Group, 2010).</w:t>
      </w:r>
    </w:p>
  </w:footnote>
  <w:footnote w:id="923">
    <w:p w14:paraId="6F3CFAB2" w14:textId="7BC0E418" w:rsidR="00CF189D" w:rsidRPr="00546CBA" w:rsidRDefault="00CF189D" w:rsidP="00A25ADE">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s.a., ‘The World Bank and neglected tropical diseases’ (2014).</w:t>
      </w:r>
    </w:p>
  </w:footnote>
  <w:footnote w:id="924">
    <w:p w14:paraId="1AC7526F" w14:textId="68420C3E" w:rsidR="00CF189D" w:rsidRPr="000045FB" w:rsidRDefault="00CF189D" w:rsidP="007537F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Tichenor M and Sridhar D, ‘Metric partnerships: global burden of disease estimates within the World Bank, the World H</w:t>
      </w:r>
      <w:r w:rsidRPr="00681100">
        <w:rPr>
          <w:rFonts w:ascii="Calibri" w:hAnsi="Calibri" w:cs="Calibri"/>
          <w:color w:val="000000" w:themeColor="text1"/>
          <w:sz w:val="18"/>
          <w:szCs w:val="18"/>
        </w:rPr>
        <w:t xml:space="preserve">ealth Organisation and the Institute for Health Metrics and Evaluation’, </w:t>
      </w:r>
      <w:r w:rsidRPr="000045FB">
        <w:rPr>
          <w:rFonts w:ascii="Calibri" w:hAnsi="Calibri" w:cs="Calibri"/>
          <w:i/>
          <w:color w:val="000000" w:themeColor="text1"/>
          <w:sz w:val="18"/>
          <w:szCs w:val="18"/>
        </w:rPr>
        <w:t xml:space="preserve">Wellcome Open Research </w:t>
      </w:r>
      <w:r w:rsidRPr="000045FB">
        <w:rPr>
          <w:rFonts w:ascii="Calibri" w:hAnsi="Calibri" w:cs="Calibri"/>
          <w:color w:val="000000" w:themeColor="text1"/>
          <w:sz w:val="18"/>
          <w:szCs w:val="18"/>
        </w:rPr>
        <w:t>4:35 (2019).</w:t>
      </w:r>
    </w:p>
  </w:footnote>
  <w:footnote w:id="925">
    <w:p w14:paraId="6F76D11A" w14:textId="77777777" w:rsidR="00CF189D" w:rsidRPr="00681100" w:rsidRDefault="00CF189D" w:rsidP="00E01C8F">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Veillard J and Evans T, ‘Strengthening primary health care is the smartest way to reduce health inequalities’, </w:t>
      </w:r>
      <w:r w:rsidRPr="00546CBA">
        <w:rPr>
          <w:rFonts w:ascii="Calibri" w:hAnsi="Calibri" w:cs="Calibri"/>
          <w:i/>
          <w:color w:val="000000" w:themeColor="text1"/>
          <w:sz w:val="18"/>
          <w:szCs w:val="18"/>
        </w:rPr>
        <w:t xml:space="preserve">World Bank Blogs </w:t>
      </w:r>
      <w:r w:rsidRPr="00546CBA">
        <w:rPr>
          <w:rFonts w:ascii="Calibri" w:hAnsi="Calibri" w:cs="Calibri"/>
          <w:color w:val="000000" w:themeColor="text1"/>
          <w:sz w:val="18"/>
          <w:szCs w:val="18"/>
        </w:rPr>
        <w:t>(20 May 2019).</w:t>
      </w:r>
    </w:p>
  </w:footnote>
  <w:footnote w:id="926">
    <w:p w14:paraId="2A09573C" w14:textId="77777777" w:rsidR="00CF189D" w:rsidRPr="000045FB" w:rsidRDefault="00CF189D" w:rsidP="004C7E2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Gorsky M and Sirrs C, ‘World health by place: the politics of international health system metrics, 1924-c. 2010’, </w:t>
      </w:r>
      <w:r w:rsidRPr="00681100">
        <w:rPr>
          <w:rFonts w:ascii="Calibri" w:hAnsi="Calibri" w:cs="Calibri"/>
          <w:i/>
          <w:color w:val="000000" w:themeColor="text1"/>
          <w:sz w:val="18"/>
          <w:szCs w:val="18"/>
        </w:rPr>
        <w:t xml:space="preserve">Journal of Global History </w:t>
      </w:r>
      <w:r w:rsidRPr="00681100">
        <w:rPr>
          <w:rFonts w:ascii="Calibri" w:hAnsi="Calibri" w:cs="Calibri"/>
          <w:color w:val="000000" w:themeColor="text1"/>
          <w:sz w:val="18"/>
          <w:szCs w:val="18"/>
        </w:rPr>
        <w:t>12 (2017), 361-385.</w:t>
      </w:r>
    </w:p>
  </w:footnote>
  <w:footnote w:id="927">
    <w:p w14:paraId="0BB5B0CC" w14:textId="4ABC5D14" w:rsidR="00CF189D" w:rsidRPr="00681100" w:rsidRDefault="00CF189D" w:rsidP="00295B1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546CBA">
        <w:rPr>
          <w:rFonts w:ascii="Calibri" w:hAnsi="Calibri" w:cs="Calibri"/>
          <w:i/>
          <w:color w:val="000000" w:themeColor="text1"/>
          <w:sz w:val="18"/>
          <w:szCs w:val="18"/>
        </w:rPr>
        <w:t xml:space="preserve">World development report 1993: investing in health </w:t>
      </w:r>
      <w:r w:rsidRPr="00546CBA">
        <w:rPr>
          <w:rFonts w:ascii="Calibri" w:hAnsi="Calibri" w:cs="Calibri"/>
          <w:color w:val="000000" w:themeColor="text1"/>
          <w:sz w:val="18"/>
          <w:szCs w:val="18"/>
        </w:rPr>
        <w:t>(New York: Oxford University P</w:t>
      </w:r>
      <w:r w:rsidRPr="00681100">
        <w:rPr>
          <w:rFonts w:ascii="Calibri" w:hAnsi="Calibri" w:cs="Calibri"/>
          <w:color w:val="000000" w:themeColor="text1"/>
          <w:sz w:val="18"/>
          <w:szCs w:val="18"/>
        </w:rPr>
        <w:t>ress, 1993), 158-159, 167-168.</w:t>
      </w:r>
    </w:p>
  </w:footnote>
  <w:footnote w:id="928">
    <w:p w14:paraId="70E5DFCD" w14:textId="77777777" w:rsidR="00CF189D" w:rsidRPr="000045FB" w:rsidRDefault="00CF189D" w:rsidP="00295B11">
      <w:pPr>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Harvard University, ‘Neglected tropical diseases: progress and challenges for the post-2015 development era’, </w:t>
      </w:r>
      <w:r w:rsidRPr="00681100">
        <w:rPr>
          <w:rFonts w:ascii="Calibri" w:hAnsi="Calibri" w:cs="Calibri"/>
          <w:i/>
          <w:color w:val="000000" w:themeColor="text1"/>
          <w:sz w:val="18"/>
          <w:szCs w:val="18"/>
        </w:rPr>
        <w:t xml:space="preserve">Science in the News </w:t>
      </w:r>
      <w:r w:rsidRPr="00681100">
        <w:rPr>
          <w:rFonts w:ascii="Calibri" w:hAnsi="Calibri" w:cs="Calibri"/>
          <w:color w:val="000000" w:themeColor="text1"/>
          <w:sz w:val="18"/>
          <w:szCs w:val="18"/>
        </w:rPr>
        <w:t>(31 December 2014).</w:t>
      </w:r>
    </w:p>
  </w:footnote>
  <w:footnote w:id="929">
    <w:p w14:paraId="3DC7A532" w14:textId="5B5ADB48" w:rsidR="00CF189D" w:rsidRPr="000045FB" w:rsidRDefault="00CF189D" w:rsidP="00295B11">
      <w:pPr>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For instance, the Global Programme to Eliminate Lymphatic Filariasis had a ‘return on investment’ of $20-60, and the OCP’s 25 million h</w:t>
      </w:r>
      <w:r w:rsidRPr="00681100">
        <w:rPr>
          <w:rFonts w:ascii="Calibri" w:hAnsi="Calibri" w:cs="Calibri"/>
          <w:color w:val="000000" w:themeColor="text1"/>
          <w:sz w:val="18"/>
          <w:szCs w:val="18"/>
        </w:rPr>
        <w:t xml:space="preserve">ectares and cost per person protected was used for the Bank’s NTD investment case. See Harvard University, ‘Neglected tropical diseases’ (2014); Bundy D, ‘Neglected diseases of neglected people: the case for investing in neglected tropical diseases’, </w:t>
      </w:r>
      <w:r w:rsidRPr="000045FB">
        <w:rPr>
          <w:rFonts w:ascii="Calibri" w:hAnsi="Calibri" w:cs="Calibri"/>
          <w:i/>
          <w:color w:val="000000" w:themeColor="text1"/>
          <w:sz w:val="18"/>
          <w:szCs w:val="18"/>
        </w:rPr>
        <w:t xml:space="preserve">World Bank Blogs </w:t>
      </w:r>
      <w:r w:rsidRPr="000045FB">
        <w:rPr>
          <w:rFonts w:ascii="Calibri" w:hAnsi="Calibri" w:cs="Calibri"/>
          <w:color w:val="000000" w:themeColor="text1"/>
          <w:sz w:val="18"/>
          <w:szCs w:val="18"/>
        </w:rPr>
        <w:t>(14 February 2013).</w:t>
      </w:r>
    </w:p>
  </w:footnote>
  <w:footnote w:id="930">
    <w:p w14:paraId="2F195465" w14:textId="77777777" w:rsidR="00CF189D" w:rsidRPr="00546CBA" w:rsidRDefault="00CF189D" w:rsidP="00295B1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Bundy, ‘Neglected diseases’ (2013).</w:t>
      </w:r>
    </w:p>
  </w:footnote>
  <w:footnote w:id="931">
    <w:p w14:paraId="36B6A511" w14:textId="29144DB4" w:rsidR="00CF189D" w:rsidRPr="000045FB" w:rsidRDefault="00CF189D" w:rsidP="00724FF4">
      <w:pPr>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Stein F, ‘Human capital and global health’, </w:t>
      </w:r>
      <w:r w:rsidRPr="00546CBA">
        <w:rPr>
          <w:rFonts w:ascii="Calibri" w:hAnsi="Calibri" w:cs="Calibri"/>
          <w:i/>
          <w:color w:val="000000" w:themeColor="text1"/>
          <w:sz w:val="18"/>
          <w:szCs w:val="18"/>
        </w:rPr>
        <w:t xml:space="preserve">Global Health Governance Blog </w:t>
      </w:r>
      <w:r w:rsidRPr="00546CBA">
        <w:rPr>
          <w:rFonts w:ascii="Calibri" w:hAnsi="Calibri" w:cs="Calibri"/>
          <w:color w:val="000000" w:themeColor="text1"/>
          <w:sz w:val="18"/>
          <w:szCs w:val="18"/>
        </w:rPr>
        <w:t>(online), 5 May 2018, &lt;http://globalhealthgove</w:t>
      </w:r>
      <w:r w:rsidRPr="00681100">
        <w:rPr>
          <w:rFonts w:ascii="Calibri" w:hAnsi="Calibri" w:cs="Calibri"/>
          <w:color w:val="000000" w:themeColor="text1"/>
          <w:sz w:val="18"/>
          <w:szCs w:val="18"/>
        </w:rPr>
        <w:t xml:space="preserve">rnance.org/blog/2018/5/5/human-capital-and-global-health&gt; [accessed 10 January 2019]; Lange et al., </w:t>
      </w:r>
      <w:r w:rsidRPr="000045FB">
        <w:rPr>
          <w:rFonts w:ascii="Calibri" w:hAnsi="Calibri" w:cs="Calibri"/>
          <w:i/>
          <w:color w:val="000000" w:themeColor="text1"/>
          <w:sz w:val="18"/>
          <w:szCs w:val="18"/>
        </w:rPr>
        <w:t>The changing wealth of nations</w:t>
      </w:r>
      <w:r w:rsidRPr="000045FB">
        <w:rPr>
          <w:rFonts w:ascii="Calibri" w:hAnsi="Calibri" w:cs="Calibri"/>
          <w:color w:val="000000" w:themeColor="text1"/>
          <w:sz w:val="18"/>
          <w:szCs w:val="18"/>
        </w:rPr>
        <w:t xml:space="preserve"> (Washington DC: World Bank Group, 2018), 4, 7.</w:t>
      </w:r>
    </w:p>
  </w:footnote>
  <w:footnote w:id="932">
    <w:p w14:paraId="79C76960" w14:textId="04740A29" w:rsidR="00CF189D" w:rsidRPr="00681100" w:rsidRDefault="00CF189D" w:rsidP="00295B1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Martin, </w:t>
      </w:r>
      <w:r w:rsidRPr="00546CBA">
        <w:rPr>
          <w:rFonts w:ascii="Calibri" w:hAnsi="Calibri" w:cs="Calibri"/>
          <w:i/>
          <w:color w:val="000000" w:themeColor="text1"/>
          <w:sz w:val="18"/>
          <w:szCs w:val="18"/>
        </w:rPr>
        <w:t xml:space="preserve">Portfolio review </w:t>
      </w:r>
      <w:r w:rsidRPr="00546CBA">
        <w:rPr>
          <w:rFonts w:ascii="Calibri" w:hAnsi="Calibri" w:cs="Calibri"/>
          <w:color w:val="000000" w:themeColor="text1"/>
          <w:sz w:val="18"/>
          <w:szCs w:val="18"/>
        </w:rPr>
        <w:t>(2010), viii-ix. This figure excludes AIDS; with AI</w:t>
      </w:r>
      <w:r w:rsidRPr="00681100">
        <w:rPr>
          <w:rFonts w:ascii="Calibri" w:hAnsi="Calibri" w:cs="Calibri"/>
          <w:color w:val="000000" w:themeColor="text1"/>
          <w:sz w:val="18"/>
          <w:szCs w:val="18"/>
        </w:rPr>
        <w:t>DS projects, the satisfactory projects were only 24 percent.</w:t>
      </w:r>
    </w:p>
  </w:footnote>
  <w:footnote w:id="933">
    <w:p w14:paraId="4CD697F1" w14:textId="77777777" w:rsidR="00CF189D" w:rsidRPr="00546CBA" w:rsidRDefault="00CF189D" w:rsidP="00665907">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1865310, David de Ferranti to Distribution, ‘Review of Special Grants Programs for Population, Health and Nutrition’, 30 January 1996.</w:t>
      </w:r>
    </w:p>
  </w:footnote>
  <w:footnote w:id="934">
    <w:p w14:paraId="22AF7C8E" w14:textId="7C4C3EF6" w:rsidR="00CF189D" w:rsidRPr="00681100" w:rsidRDefault="00CF189D" w:rsidP="00DC5BE3">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Martin, </w:t>
      </w:r>
      <w:r w:rsidRPr="00546CBA">
        <w:rPr>
          <w:rFonts w:ascii="Calibri" w:hAnsi="Calibri" w:cs="Calibri"/>
          <w:i/>
          <w:color w:val="000000" w:themeColor="text1"/>
          <w:sz w:val="18"/>
          <w:szCs w:val="18"/>
        </w:rPr>
        <w:t xml:space="preserve">Portfolio review </w:t>
      </w:r>
      <w:r w:rsidRPr="00546CBA">
        <w:rPr>
          <w:rFonts w:ascii="Calibri" w:hAnsi="Calibri" w:cs="Calibri"/>
          <w:color w:val="000000" w:themeColor="text1"/>
          <w:sz w:val="18"/>
          <w:szCs w:val="18"/>
        </w:rPr>
        <w:t>(2010), viii-ix.</w:t>
      </w:r>
    </w:p>
  </w:footnote>
  <w:footnote w:id="935">
    <w:p w14:paraId="6FBDEEBE" w14:textId="77777777" w:rsidR="00CF189D" w:rsidRPr="00681100" w:rsidRDefault="00CF189D" w:rsidP="000E3C68">
      <w:pPr>
        <w:pStyle w:val="FootnoteText"/>
        <w:rPr>
          <w:rFonts w:ascii="Calibri" w:hAnsi="Calibri" w:cs="Calibri"/>
          <w: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Bryant JH and Richmond JB, ‘Alma-Ata and primary health care: an evolving story’ (2008), 152-174.</w:t>
      </w:r>
    </w:p>
  </w:footnote>
  <w:footnote w:id="936">
    <w:p w14:paraId="647CE0D6" w14:textId="77777777" w:rsidR="00CF189D" w:rsidRPr="00681100" w:rsidRDefault="00CF189D" w:rsidP="000E3C68">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Group Archives Oral History Program, </w:t>
      </w:r>
      <w:r w:rsidRPr="00546CBA">
        <w:rPr>
          <w:rFonts w:ascii="Calibri" w:hAnsi="Calibri" w:cs="Calibri"/>
          <w:i/>
          <w:color w:val="000000" w:themeColor="text1"/>
          <w:sz w:val="18"/>
          <w:szCs w:val="18"/>
        </w:rPr>
        <w:t xml:space="preserve">Transcript of oral history interview with Bernhard H. Liese </w:t>
      </w:r>
      <w:r w:rsidRPr="00681100">
        <w:rPr>
          <w:rFonts w:ascii="Calibri" w:hAnsi="Calibri" w:cs="Calibri"/>
          <w:color w:val="000000" w:themeColor="text1"/>
          <w:sz w:val="18"/>
          <w:szCs w:val="18"/>
        </w:rPr>
        <w:t>(Washington DC: World Bank, 2008), 15.</w:t>
      </w:r>
    </w:p>
  </w:footnote>
  <w:footnote w:id="937">
    <w:p w14:paraId="25CA6EA6" w14:textId="77777777" w:rsidR="00CF189D" w:rsidRPr="00681100" w:rsidRDefault="00CF189D" w:rsidP="000E3C68">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s.a., ‘Primary health care comes full circle. An interview with Dr Halfdan Mahler’, </w:t>
      </w:r>
      <w:r w:rsidRPr="00546CBA">
        <w:rPr>
          <w:rFonts w:ascii="Calibri" w:hAnsi="Calibri" w:cs="Calibri"/>
          <w:i/>
          <w:color w:val="000000" w:themeColor="text1"/>
          <w:sz w:val="18"/>
          <w:szCs w:val="18"/>
        </w:rPr>
        <w:t xml:space="preserve">Bulletin of the World Health Organization </w:t>
      </w:r>
      <w:r w:rsidRPr="00681100">
        <w:rPr>
          <w:rFonts w:ascii="Calibri" w:hAnsi="Calibri" w:cs="Calibri"/>
          <w:color w:val="000000" w:themeColor="text1"/>
          <w:sz w:val="18"/>
          <w:szCs w:val="18"/>
        </w:rPr>
        <w:t>86:10 (2008), 747-748.</w:t>
      </w:r>
    </w:p>
  </w:footnote>
  <w:footnote w:id="938">
    <w:p w14:paraId="6203A846" w14:textId="77777777" w:rsidR="00CF189D" w:rsidRPr="000045FB" w:rsidRDefault="00CF189D" w:rsidP="000E3C68">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Cueto M, ‘Draft: Chapter 2, the history of international health: medicine, politics, and two socio-medical perspectives, 1851 to 2000’, in McInnes et al. (Eds.), </w:t>
      </w:r>
      <w:r w:rsidRPr="00681100">
        <w:rPr>
          <w:rFonts w:ascii="Calibri" w:hAnsi="Calibri" w:cs="Calibri"/>
          <w:i/>
          <w:color w:val="000000" w:themeColor="text1"/>
          <w:sz w:val="18"/>
          <w:szCs w:val="18"/>
        </w:rPr>
        <w:t xml:space="preserve">The Oxford Handbook of Global Health Policies </w:t>
      </w:r>
      <w:r w:rsidRPr="000045FB">
        <w:rPr>
          <w:rFonts w:ascii="Calibri" w:hAnsi="Calibri" w:cs="Calibri"/>
          <w:color w:val="000000" w:themeColor="text1"/>
          <w:sz w:val="18"/>
          <w:szCs w:val="18"/>
        </w:rPr>
        <w:t>(Oxford: Oxford University Press, 2018).</w:t>
      </w:r>
    </w:p>
  </w:footnote>
  <w:footnote w:id="939">
    <w:p w14:paraId="415B7AB1" w14:textId="77777777" w:rsidR="00CF189D" w:rsidRPr="00546CBA" w:rsidRDefault="00CF189D" w:rsidP="000E3C68">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Sachs, as described in Chapter 4, has been called a king of armchair regression analyses. Bryant and Richmond, ‘Alma-Ata’ (2008).</w:t>
      </w:r>
    </w:p>
  </w:footnote>
  <w:footnote w:id="940">
    <w:p w14:paraId="6D7EBC67" w14:textId="77777777" w:rsidR="00CF189D" w:rsidRPr="00546CBA" w:rsidRDefault="00CF189D" w:rsidP="000E3C68">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Bryant and Richmond, ‘Alma-Ata’ (2008).</w:t>
      </w:r>
    </w:p>
  </w:footnote>
  <w:footnote w:id="941">
    <w:p w14:paraId="4BEC2E12" w14:textId="77777777" w:rsidR="00CF189D" w:rsidRPr="000045FB" w:rsidRDefault="00CF189D" w:rsidP="000E3C68">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Group Archives Oral History Project, </w:t>
      </w:r>
      <w:r w:rsidRPr="00546CBA">
        <w:rPr>
          <w:rFonts w:ascii="Calibri" w:hAnsi="Calibri" w:cs="Calibri"/>
          <w:i/>
          <w:color w:val="000000" w:themeColor="text1"/>
          <w:sz w:val="18"/>
          <w:szCs w:val="18"/>
        </w:rPr>
        <w:t>Transcript of oral history interview with B</w:t>
      </w:r>
      <w:r w:rsidRPr="00681100">
        <w:rPr>
          <w:rFonts w:ascii="Calibri" w:hAnsi="Calibri" w:cs="Calibri"/>
          <w:i/>
          <w:color w:val="000000" w:themeColor="text1"/>
          <w:sz w:val="18"/>
          <w:szCs w:val="18"/>
        </w:rPr>
        <w:t xml:space="preserve">ernhard H. Liese </w:t>
      </w:r>
      <w:r w:rsidRPr="00681100">
        <w:rPr>
          <w:rFonts w:ascii="Calibri" w:hAnsi="Calibri" w:cs="Calibri"/>
          <w:color w:val="000000" w:themeColor="text1"/>
          <w:sz w:val="18"/>
          <w:szCs w:val="18"/>
        </w:rPr>
        <w:t>(Washington DC: World Bank, 2008), 25-26.</w:t>
      </w:r>
    </w:p>
  </w:footnote>
  <w:footnote w:id="942">
    <w:p w14:paraId="120B0A7C" w14:textId="7AB81645" w:rsidR="00CF189D" w:rsidRPr="00546CBA" w:rsidRDefault="00CF189D">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Sridhar et al., ‘World Bank’s financing’ (2017).</w:t>
      </w:r>
    </w:p>
  </w:footnote>
  <w:footnote w:id="943">
    <w:p w14:paraId="3AA9943E" w14:textId="59BE5689" w:rsidR="00CF189D" w:rsidRPr="000045FB" w:rsidRDefault="00CF189D">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Pr>
          <w:rFonts w:ascii="Calibri" w:hAnsi="Calibri" w:cs="Calibri"/>
          <w:color w:val="000000" w:themeColor="text1"/>
          <w:sz w:val="18"/>
          <w:szCs w:val="18"/>
        </w:rPr>
        <w:t xml:space="preserve">Appendix XII provides an example of how the Bank and other major global health actors have used PPPs to finance neglected tropical disease control (typically through vertical interventions) since the 1990s. </w:t>
      </w:r>
      <w:r w:rsidRPr="00546CBA">
        <w:rPr>
          <w:rFonts w:ascii="Calibri" w:hAnsi="Calibri" w:cs="Calibri"/>
          <w:color w:val="000000" w:themeColor="text1"/>
          <w:sz w:val="18"/>
          <w:szCs w:val="18"/>
        </w:rPr>
        <w:t xml:space="preserve">Clinton C and Sridhar D, </w:t>
      </w:r>
      <w:r w:rsidRPr="00546CBA">
        <w:rPr>
          <w:rFonts w:ascii="Calibri" w:hAnsi="Calibri" w:cs="Calibri"/>
          <w:i/>
          <w:color w:val="000000" w:themeColor="text1"/>
          <w:sz w:val="18"/>
          <w:szCs w:val="18"/>
        </w:rPr>
        <w:t xml:space="preserve">Governing global health </w:t>
      </w:r>
      <w:r w:rsidRPr="00546CBA">
        <w:rPr>
          <w:rFonts w:ascii="Calibri" w:hAnsi="Calibri" w:cs="Calibri"/>
          <w:color w:val="000000" w:themeColor="text1"/>
          <w:sz w:val="18"/>
          <w:szCs w:val="18"/>
        </w:rPr>
        <w:t>(Oxford: Oxford Un</w:t>
      </w:r>
      <w:r w:rsidRPr="00681100">
        <w:rPr>
          <w:rFonts w:ascii="Calibri" w:hAnsi="Calibri" w:cs="Calibri"/>
          <w:color w:val="000000" w:themeColor="text1"/>
          <w:sz w:val="18"/>
          <w:szCs w:val="18"/>
        </w:rPr>
        <w:t xml:space="preserve">iversity Press, 2017); Sridhar D, </w:t>
      </w:r>
      <w:r w:rsidRPr="00681100">
        <w:rPr>
          <w:rFonts w:ascii="Calibri" w:hAnsi="Calibri" w:cs="Calibri"/>
          <w:i/>
          <w:color w:val="000000" w:themeColor="text1"/>
          <w:sz w:val="18"/>
          <w:szCs w:val="18"/>
        </w:rPr>
        <w:t xml:space="preserve">The battle against hunger: choice, circumstance, and the World Bank </w:t>
      </w:r>
      <w:r w:rsidRPr="000045FB">
        <w:rPr>
          <w:rFonts w:ascii="Calibri" w:hAnsi="Calibri" w:cs="Calibri"/>
          <w:color w:val="000000" w:themeColor="text1"/>
          <w:sz w:val="18"/>
          <w:szCs w:val="18"/>
        </w:rPr>
        <w:t>(Oxford: Oxford University Press, 2008), 126-140.</w:t>
      </w:r>
    </w:p>
  </w:footnote>
  <w:footnote w:id="944">
    <w:p w14:paraId="53E6FC0E" w14:textId="66C3C9EF" w:rsidR="00CF189D" w:rsidRPr="000045FB" w:rsidRDefault="00CF189D">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Harman S, ‘The World Bank and health’</w:t>
      </w:r>
      <w:r w:rsidRPr="00546CBA">
        <w:rPr>
          <w:rFonts w:ascii="Calibri" w:hAnsi="Calibri" w:cs="Calibri"/>
          <w:i/>
          <w:color w:val="000000" w:themeColor="text1"/>
          <w:sz w:val="18"/>
          <w:szCs w:val="18"/>
        </w:rPr>
        <w:t xml:space="preserve">, </w:t>
      </w:r>
      <w:r w:rsidRPr="00546CBA">
        <w:rPr>
          <w:rFonts w:ascii="Calibri" w:hAnsi="Calibri" w:cs="Calibri"/>
          <w:color w:val="000000" w:themeColor="text1"/>
          <w:sz w:val="18"/>
          <w:szCs w:val="18"/>
        </w:rPr>
        <w:t xml:space="preserve">in A Kay and OD Williams (Eds.), </w:t>
      </w:r>
      <w:r w:rsidRPr="00681100">
        <w:rPr>
          <w:rFonts w:ascii="Calibri" w:hAnsi="Calibri" w:cs="Calibri"/>
          <w:i/>
          <w:color w:val="000000" w:themeColor="text1"/>
          <w:sz w:val="18"/>
          <w:szCs w:val="18"/>
        </w:rPr>
        <w:t>Global health governance</w:t>
      </w:r>
      <w:r w:rsidRPr="00681100">
        <w:rPr>
          <w:rFonts w:ascii="Calibri" w:hAnsi="Calibri" w:cs="Calibri"/>
          <w:color w:val="000000" w:themeColor="text1"/>
          <w:sz w:val="18"/>
          <w:szCs w:val="18"/>
        </w:rPr>
        <w:t xml:space="preserve"> (Lond</w:t>
      </w:r>
      <w:r w:rsidRPr="000045FB">
        <w:rPr>
          <w:rFonts w:ascii="Calibri" w:hAnsi="Calibri" w:cs="Calibri"/>
          <w:color w:val="000000" w:themeColor="text1"/>
          <w:sz w:val="18"/>
          <w:szCs w:val="18"/>
        </w:rPr>
        <w:t xml:space="preserve">on: Palgrave Macmillan, 2009), 227-244; Harman S, ‘The World Bank: Failing the Multi-Country AIDS Program, Failing HIV/AIDS’, </w:t>
      </w:r>
      <w:r w:rsidRPr="000045FB">
        <w:rPr>
          <w:rFonts w:ascii="Calibri" w:hAnsi="Calibri" w:cs="Calibri"/>
          <w:i/>
          <w:color w:val="000000" w:themeColor="text1"/>
          <w:sz w:val="18"/>
          <w:szCs w:val="18"/>
        </w:rPr>
        <w:t xml:space="preserve">Global Governance </w:t>
      </w:r>
      <w:r w:rsidRPr="000045FB">
        <w:rPr>
          <w:rFonts w:ascii="Calibri" w:hAnsi="Calibri" w:cs="Calibri"/>
          <w:color w:val="000000" w:themeColor="text1"/>
          <w:sz w:val="18"/>
          <w:szCs w:val="18"/>
        </w:rPr>
        <w:t>13 (2007), 485-492.</w:t>
      </w:r>
    </w:p>
  </w:footnote>
  <w:footnote w:id="945">
    <w:p w14:paraId="2875DA4F" w14:textId="77777777" w:rsidR="00CF189D" w:rsidRPr="00681100" w:rsidRDefault="00CF189D" w:rsidP="0036112A">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30348069, Bruce Benton to Caio Koch-Weser through Jeannie Murphy, ‘Your question re. publicity for success stories’, 2</w:t>
      </w:r>
      <w:r w:rsidRPr="00681100">
        <w:rPr>
          <w:rFonts w:ascii="Calibri" w:hAnsi="Calibri" w:cs="Calibri"/>
          <w:color w:val="000000" w:themeColor="text1"/>
          <w:sz w:val="18"/>
          <w:szCs w:val="18"/>
        </w:rPr>
        <w:t>5 July 1986.</w:t>
      </w:r>
    </w:p>
  </w:footnote>
  <w:footnote w:id="946">
    <w:p w14:paraId="4C44C311" w14:textId="77777777" w:rsidR="00CF189D" w:rsidRPr="00546CBA" w:rsidRDefault="00CF189D" w:rsidP="0036112A">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WBGA, 30304887, Henri Bretaudeau to Michael Carter, ‘Reader’s Digest’, 16 September 1986.</w:t>
      </w:r>
    </w:p>
  </w:footnote>
  <w:footnote w:id="947">
    <w:p w14:paraId="04FC5020" w14:textId="77777777" w:rsidR="00CF189D" w:rsidRPr="00681100" w:rsidRDefault="00CF189D" w:rsidP="0036112A">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30348069, Bruce Benton to Caio Koch-Weser through Jeannie Murphy, ‘Your question re. publicity for success sto</w:t>
      </w:r>
      <w:r w:rsidRPr="00681100">
        <w:rPr>
          <w:rFonts w:ascii="Calibri" w:hAnsi="Calibri" w:cs="Calibri"/>
          <w:color w:val="000000" w:themeColor="text1"/>
          <w:sz w:val="18"/>
          <w:szCs w:val="18"/>
        </w:rPr>
        <w:t>ries’, 25 July 1986.</w:t>
      </w:r>
    </w:p>
  </w:footnote>
  <w:footnote w:id="948">
    <w:p w14:paraId="5E9A9325" w14:textId="102E930D" w:rsidR="00CF189D" w:rsidRPr="00681100" w:rsidRDefault="00CF189D" w:rsidP="0036112A">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Younger SD and Zongo JB, ‘West Africa: The Onchocerciasis Control Program’, in </w:t>
      </w:r>
      <w:r w:rsidRPr="00546CBA">
        <w:rPr>
          <w:rFonts w:ascii="Calibri" w:hAnsi="Calibri" w:cs="Calibri"/>
          <w:i/>
          <w:color w:val="000000" w:themeColor="text1"/>
          <w:sz w:val="18"/>
          <w:szCs w:val="18"/>
        </w:rPr>
        <w:t xml:space="preserve">Successful development in Africa: case studies of projects, programs, and policies </w:t>
      </w:r>
      <w:r w:rsidRPr="00681100">
        <w:rPr>
          <w:rFonts w:ascii="Calibri" w:hAnsi="Calibri" w:cs="Calibri"/>
          <w:color w:val="000000" w:themeColor="text1"/>
          <w:sz w:val="18"/>
          <w:szCs w:val="18"/>
        </w:rPr>
        <w:t>(Washington DC: World Bank, 1989), 44.</w:t>
      </w:r>
    </w:p>
  </w:footnote>
  <w:footnote w:id="949">
    <w:p w14:paraId="5CC8C69D" w14:textId="01958DDE" w:rsidR="00CF189D" w:rsidRPr="00681100" w:rsidRDefault="00CF189D">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For instance, at its 1994 donors conference and through its ’25 million hectares’ metric. See WBGA, 1428489, ‘Points for consideration (Chairman), 6 May 1994.</w:t>
      </w:r>
    </w:p>
  </w:footnote>
  <w:footnote w:id="950">
    <w:p w14:paraId="6E590C4C" w14:textId="7D4DC90D"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Bundy D, ‘Neglected diseases of neglected people: the case for investing in neglected tropical diseases’, </w:t>
      </w:r>
      <w:r w:rsidRPr="00546CBA">
        <w:rPr>
          <w:rFonts w:ascii="Calibri" w:hAnsi="Calibri" w:cs="Calibri"/>
          <w:i/>
          <w:color w:val="000000" w:themeColor="text1"/>
          <w:sz w:val="18"/>
          <w:szCs w:val="18"/>
        </w:rPr>
        <w:t xml:space="preserve">World Bank Blogs </w:t>
      </w:r>
      <w:r w:rsidRPr="00681100">
        <w:rPr>
          <w:rFonts w:ascii="Calibri" w:hAnsi="Calibri" w:cs="Calibri"/>
          <w:color w:val="000000" w:themeColor="text1"/>
          <w:sz w:val="18"/>
          <w:szCs w:val="18"/>
        </w:rPr>
        <w:t>(online), 14 February 2013 [accessed 15 February 2017].</w:t>
      </w:r>
    </w:p>
  </w:footnote>
  <w:footnote w:id="951">
    <w:p w14:paraId="39A46B3C" w14:textId="77777777" w:rsidR="00CF189D" w:rsidRPr="00681100" w:rsidRDefault="00CF189D" w:rsidP="00B86D8C">
      <w:pPr>
        <w:pStyle w:val="FootnoteText"/>
        <w:rPr>
          <w:rFonts w:ascii="Calibri" w:hAnsi="Calibri" w:cs="Calibri"/>
          <w: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for example, s.a., ‘Pushing back neglected tropical diseases in Africa’, </w:t>
      </w:r>
      <w:r w:rsidRPr="00546CBA">
        <w:rPr>
          <w:rFonts w:ascii="Calibri" w:hAnsi="Calibri" w:cs="Calibri"/>
          <w:i/>
          <w:color w:val="000000" w:themeColor="text1"/>
          <w:sz w:val="18"/>
          <w:szCs w:val="18"/>
        </w:rPr>
        <w:t xml:space="preserve">World Bank Feature Story </w:t>
      </w:r>
      <w:r w:rsidRPr="00681100">
        <w:rPr>
          <w:rFonts w:ascii="Calibri" w:hAnsi="Calibri" w:cs="Calibri"/>
          <w:color w:val="000000" w:themeColor="text1"/>
          <w:sz w:val="18"/>
          <w:szCs w:val="18"/>
        </w:rPr>
        <w:t>(online), 20 November 2012 [accessed 15 February 2018].</w:t>
      </w:r>
    </w:p>
  </w:footnote>
  <w:footnote w:id="952">
    <w:p w14:paraId="73B2A8B2" w14:textId="77777777"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Boatin BA and Amazigo U, ‘Onchocerciasis’, in </w:t>
      </w:r>
      <w:r w:rsidRPr="00546CBA">
        <w:rPr>
          <w:rFonts w:ascii="Calibri" w:hAnsi="Calibri" w:cs="Calibri"/>
          <w:i/>
          <w:color w:val="000000" w:themeColor="text1"/>
          <w:sz w:val="18"/>
          <w:szCs w:val="18"/>
        </w:rPr>
        <w:t xml:space="preserve">Neglected tropical diseases in Sub-Saharan Africa </w:t>
      </w:r>
      <w:r w:rsidRPr="00681100">
        <w:rPr>
          <w:rFonts w:ascii="Calibri" w:hAnsi="Calibri" w:cs="Calibri"/>
          <w:color w:val="000000" w:themeColor="text1"/>
          <w:sz w:val="18"/>
          <w:szCs w:val="18"/>
        </w:rPr>
        <w:t xml:space="preserve">(New York: Springer, 2016), 187-230. </w:t>
      </w:r>
    </w:p>
  </w:footnote>
  <w:footnote w:id="953">
    <w:p w14:paraId="32E53057" w14:textId="6D16C7E9" w:rsidR="00CF189D" w:rsidRPr="00681100" w:rsidRDefault="00CF189D" w:rsidP="00B86D8C">
      <w:pPr>
        <w:pStyle w:val="FootnoteText"/>
        <w:rPr>
          <w:rFonts w:ascii="Calibri" w:hAnsi="Calibri" w:cs="Calibri"/>
          <w:color w:val="000000" w:themeColor="text1"/>
          <w:sz w:val="18"/>
          <w:szCs w:val="18"/>
          <w:lang w:val="de-CH"/>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546CBA">
        <w:rPr>
          <w:rFonts w:ascii="Calibri" w:hAnsi="Calibri" w:cs="Calibri"/>
          <w:i/>
          <w:color w:val="000000" w:themeColor="text1"/>
          <w:sz w:val="18"/>
          <w:szCs w:val="18"/>
        </w:rPr>
        <w:t>The fight against river blindness</w:t>
      </w:r>
      <w:r w:rsidRPr="00681100">
        <w:rPr>
          <w:rFonts w:ascii="Calibri" w:hAnsi="Calibri" w:cs="Calibri"/>
          <w:color w:val="000000" w:themeColor="text1"/>
          <w:sz w:val="18"/>
          <w:szCs w:val="18"/>
        </w:rPr>
        <w:t xml:space="preserve"> (Washington DC: World Bank, 2016).</w:t>
      </w:r>
    </w:p>
  </w:footnote>
  <w:footnote w:id="954">
    <w:p w14:paraId="799C1A51" w14:textId="77777777"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546CBA">
        <w:rPr>
          <w:rFonts w:ascii="Calibri" w:hAnsi="Calibri" w:cs="Calibri"/>
          <w:i/>
          <w:color w:val="000000" w:themeColor="text1"/>
          <w:sz w:val="18"/>
          <w:szCs w:val="18"/>
        </w:rPr>
        <w:t xml:space="preserve">The impact of river blindness control programs in Africa: better health, more wealth </w:t>
      </w:r>
      <w:r w:rsidRPr="00681100">
        <w:rPr>
          <w:rFonts w:ascii="Calibri" w:hAnsi="Calibri" w:cs="Calibri"/>
          <w:color w:val="000000" w:themeColor="text1"/>
          <w:sz w:val="18"/>
          <w:szCs w:val="18"/>
        </w:rPr>
        <w:t>(Washington DC: World Bank, 2014).</w:t>
      </w:r>
    </w:p>
  </w:footnote>
  <w:footnote w:id="955">
    <w:p w14:paraId="653F2E3B" w14:textId="62B29181" w:rsidR="00CF189D" w:rsidRPr="00581494"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s.a., ‘World Bank hosts river blindness summit’, </w:t>
      </w:r>
      <w:r w:rsidRPr="00546CBA">
        <w:rPr>
          <w:rFonts w:ascii="Calibri" w:hAnsi="Calibri" w:cs="Calibri"/>
          <w:i/>
          <w:color w:val="000000" w:themeColor="text1"/>
          <w:sz w:val="18"/>
          <w:szCs w:val="18"/>
        </w:rPr>
        <w:t xml:space="preserve">Sightsavers News, </w:t>
      </w:r>
      <w:r w:rsidRPr="00546CBA">
        <w:rPr>
          <w:rFonts w:ascii="Calibri" w:hAnsi="Calibri" w:cs="Calibri"/>
          <w:color w:val="000000" w:themeColor="text1"/>
          <w:sz w:val="18"/>
          <w:szCs w:val="18"/>
        </w:rPr>
        <w:t>20 Ju</w:t>
      </w:r>
      <w:r w:rsidRPr="00681100">
        <w:rPr>
          <w:rFonts w:ascii="Calibri" w:hAnsi="Calibri" w:cs="Calibri"/>
          <w:color w:val="000000" w:themeColor="text1"/>
          <w:sz w:val="18"/>
          <w:szCs w:val="18"/>
        </w:rPr>
        <w:t xml:space="preserve">ne 2014; s.a., ‘Forty years later: the extraordinary river blindness partnership sets its sights on new goals’, </w:t>
      </w:r>
      <w:r w:rsidRPr="00681100">
        <w:rPr>
          <w:rFonts w:ascii="Calibri" w:hAnsi="Calibri" w:cs="Calibri"/>
          <w:i/>
          <w:color w:val="000000" w:themeColor="text1"/>
          <w:sz w:val="18"/>
          <w:szCs w:val="18"/>
        </w:rPr>
        <w:t>World Bank Fea</w:t>
      </w:r>
      <w:r w:rsidRPr="000045FB">
        <w:rPr>
          <w:rFonts w:ascii="Calibri" w:hAnsi="Calibri" w:cs="Calibri"/>
          <w:i/>
          <w:color w:val="000000" w:themeColor="text1"/>
          <w:sz w:val="18"/>
          <w:szCs w:val="18"/>
        </w:rPr>
        <w:t xml:space="preserve">ture Story </w:t>
      </w:r>
      <w:r w:rsidRPr="000045FB">
        <w:rPr>
          <w:rFonts w:ascii="Calibri" w:hAnsi="Calibri" w:cs="Calibri"/>
          <w:color w:val="000000" w:themeColor="text1"/>
          <w:sz w:val="18"/>
          <w:szCs w:val="18"/>
        </w:rPr>
        <w:t xml:space="preserve">(online), 3 July 2014 [accessed 15 June 2019];  Fordon A, ‘The World Bank and partners celebrate 40 years of success in controlling river blindness’, </w:t>
      </w:r>
      <w:r w:rsidRPr="000045FB">
        <w:rPr>
          <w:rFonts w:ascii="Calibri" w:hAnsi="Calibri" w:cs="Calibri"/>
          <w:i/>
          <w:color w:val="000000" w:themeColor="text1"/>
          <w:sz w:val="18"/>
          <w:szCs w:val="18"/>
        </w:rPr>
        <w:t xml:space="preserve">End the Neglect Blog </w:t>
      </w:r>
      <w:r w:rsidRPr="000045FB">
        <w:rPr>
          <w:rFonts w:ascii="Calibri" w:hAnsi="Calibri" w:cs="Calibri"/>
          <w:color w:val="000000" w:themeColor="text1"/>
          <w:sz w:val="18"/>
          <w:szCs w:val="18"/>
        </w:rPr>
        <w:t xml:space="preserve">(online), 19 June 2014 [accessed 15 February 2018]; s.a., ‘The World Bank </w:t>
      </w:r>
      <w:r w:rsidRPr="00581494">
        <w:rPr>
          <w:rFonts w:ascii="Calibri" w:hAnsi="Calibri" w:cs="Calibri"/>
          <w:color w:val="000000" w:themeColor="text1"/>
          <w:sz w:val="18"/>
          <w:szCs w:val="18"/>
        </w:rPr>
        <w:t xml:space="preserve">and neglected tropical disease: building on a history of helping countries address diseases of the poor’, </w:t>
      </w:r>
      <w:r w:rsidRPr="00581494">
        <w:rPr>
          <w:rFonts w:ascii="Calibri" w:hAnsi="Calibri" w:cs="Calibri"/>
          <w:i/>
          <w:color w:val="000000" w:themeColor="text1"/>
          <w:sz w:val="18"/>
          <w:szCs w:val="18"/>
        </w:rPr>
        <w:t xml:space="preserve">World Bank Brief </w:t>
      </w:r>
      <w:r w:rsidRPr="00581494">
        <w:rPr>
          <w:rFonts w:ascii="Calibri" w:hAnsi="Calibri" w:cs="Calibri"/>
          <w:color w:val="000000" w:themeColor="text1"/>
          <w:sz w:val="18"/>
          <w:szCs w:val="18"/>
        </w:rPr>
        <w:t>(online), 27 March 2014 [accessed 15 June 2019].</w:t>
      </w:r>
    </w:p>
  </w:footnote>
  <w:footnote w:id="956">
    <w:p w14:paraId="538C59E6" w14:textId="77777777" w:rsidR="00CF189D" w:rsidRPr="00681100" w:rsidRDefault="00CF189D" w:rsidP="00D90C13">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546CBA">
        <w:rPr>
          <w:rFonts w:ascii="Calibri" w:hAnsi="Calibri" w:cs="Calibri"/>
          <w:i/>
          <w:color w:val="000000" w:themeColor="text1"/>
          <w:sz w:val="18"/>
          <w:szCs w:val="18"/>
        </w:rPr>
        <w:t xml:space="preserve">Transcript of an interview with Bruce Benton </w:t>
      </w:r>
      <w:r w:rsidRPr="00546CBA">
        <w:rPr>
          <w:rFonts w:ascii="Calibri" w:hAnsi="Calibri" w:cs="Calibri"/>
          <w:color w:val="000000" w:themeColor="text1"/>
          <w:sz w:val="18"/>
          <w:szCs w:val="18"/>
        </w:rPr>
        <w:t>(2006), 42.</w:t>
      </w:r>
    </w:p>
  </w:footnote>
  <w:footnote w:id="957">
    <w:p w14:paraId="4A61AC76" w14:textId="77777777" w:rsidR="00CF189D" w:rsidRPr="00546CBA" w:rsidRDefault="00CF189D" w:rsidP="00D90C13">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WHOA, O8-370-4, C.D. Ginger to David A. Denham, ‘Request for photograph’, 11 January 1993. </w:t>
      </w:r>
    </w:p>
  </w:footnote>
  <w:footnote w:id="958">
    <w:p w14:paraId="202217E4" w14:textId="26F205BE" w:rsidR="00CF189D" w:rsidRPr="00681100" w:rsidRDefault="00CF189D" w:rsidP="00D90C13">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WHOA, O8-370-4, Colin D. Ginger to D.A. Denham, 25 January 1993. Reproduced under CC BY-NC-SA 3.0 IGO.</w:t>
      </w:r>
    </w:p>
  </w:footnote>
  <w:footnote w:id="959">
    <w:p w14:paraId="1D8F8B4D" w14:textId="5294214E"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Rodogno D and David T, ‘All the world loves a picture’, in H Fehrenbach and D Rodogno (Eds.), </w:t>
      </w:r>
      <w:r w:rsidRPr="00546CBA">
        <w:rPr>
          <w:rFonts w:ascii="Calibri" w:hAnsi="Calibri" w:cs="Calibri"/>
          <w:i/>
          <w:color w:val="000000" w:themeColor="text1"/>
          <w:sz w:val="18"/>
          <w:szCs w:val="18"/>
        </w:rPr>
        <w:t xml:space="preserve">Humanitarian photography: a history </w:t>
      </w:r>
      <w:r w:rsidRPr="00681100">
        <w:rPr>
          <w:rFonts w:ascii="Calibri" w:hAnsi="Calibri" w:cs="Calibri"/>
          <w:color w:val="000000" w:themeColor="text1"/>
          <w:sz w:val="18"/>
          <w:szCs w:val="18"/>
        </w:rPr>
        <w:t>(Cambridge: Cambridge University Press, 2015), 223-248.</w:t>
      </w:r>
    </w:p>
  </w:footnote>
  <w:footnote w:id="960">
    <w:p w14:paraId="31F56EC6" w14:textId="320D9C99"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Medcalf A, ‘Between art and information: communicating world health, 1948-1970’, </w:t>
      </w:r>
      <w:r w:rsidRPr="00546CBA">
        <w:rPr>
          <w:rFonts w:ascii="Calibri" w:hAnsi="Calibri" w:cs="Calibri"/>
          <w:i/>
          <w:color w:val="000000" w:themeColor="text1"/>
          <w:sz w:val="18"/>
          <w:szCs w:val="18"/>
        </w:rPr>
        <w:t xml:space="preserve">Journal of Global History </w:t>
      </w:r>
      <w:r w:rsidRPr="00546CBA">
        <w:rPr>
          <w:rFonts w:ascii="Calibri" w:hAnsi="Calibri" w:cs="Calibri"/>
          <w:color w:val="000000" w:themeColor="text1"/>
          <w:sz w:val="18"/>
          <w:szCs w:val="18"/>
        </w:rPr>
        <w:t>13 (2018), 94-120.</w:t>
      </w:r>
      <w:r w:rsidRPr="00546CBA">
        <w:rPr>
          <w:rFonts w:ascii="Calibri" w:hAnsi="Calibri" w:cs="Calibri"/>
          <w:color w:val="000000" w:themeColor="text1"/>
          <w:sz w:val="18"/>
          <w:szCs w:val="18"/>
        </w:rPr>
        <w:tab/>
      </w:r>
    </w:p>
  </w:footnote>
  <w:footnote w:id="961">
    <w:p w14:paraId="71FDDEAE" w14:textId="77777777"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Schraeder PJ and Endless B, ‘The media and Africa: the portrayal of Africa in the </w:t>
      </w:r>
      <w:r w:rsidRPr="00546CBA">
        <w:rPr>
          <w:rFonts w:ascii="Calibri" w:hAnsi="Calibri" w:cs="Calibri"/>
          <w:i/>
          <w:color w:val="000000" w:themeColor="text1"/>
          <w:sz w:val="18"/>
          <w:szCs w:val="18"/>
        </w:rPr>
        <w:t xml:space="preserve">New York Times </w:t>
      </w:r>
      <w:r w:rsidRPr="00681100">
        <w:rPr>
          <w:rFonts w:ascii="Calibri" w:hAnsi="Calibri" w:cs="Calibri"/>
          <w:color w:val="000000" w:themeColor="text1"/>
          <w:sz w:val="18"/>
          <w:szCs w:val="18"/>
        </w:rPr>
        <w:t xml:space="preserve">(1955-1995)’, </w:t>
      </w:r>
      <w:r w:rsidRPr="00681100">
        <w:rPr>
          <w:rFonts w:ascii="Calibri" w:hAnsi="Calibri" w:cs="Calibri"/>
          <w:i/>
          <w:color w:val="000000" w:themeColor="text1"/>
          <w:sz w:val="18"/>
          <w:szCs w:val="18"/>
        </w:rPr>
        <w:t>Issue: A Journa</w:t>
      </w:r>
      <w:r w:rsidRPr="000045FB">
        <w:rPr>
          <w:rFonts w:ascii="Calibri" w:hAnsi="Calibri" w:cs="Calibri"/>
          <w:i/>
          <w:color w:val="000000" w:themeColor="text1"/>
          <w:sz w:val="18"/>
          <w:szCs w:val="18"/>
        </w:rPr>
        <w:t xml:space="preserve">l of Opinion </w:t>
      </w:r>
      <w:r w:rsidRPr="000045FB">
        <w:rPr>
          <w:rFonts w:ascii="Calibri" w:hAnsi="Calibri" w:cs="Calibri"/>
          <w:color w:val="000000" w:themeColor="text1"/>
          <w:sz w:val="18"/>
          <w:szCs w:val="18"/>
        </w:rPr>
        <w:t>26:2 (1998), 29-35.</w:t>
      </w:r>
    </w:p>
  </w:footnote>
  <w:footnote w:id="962">
    <w:p w14:paraId="6142256B" w14:textId="6DCEAF18"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for example, s.a., ‘Donors hold back on funding for fight against Africa river blindness’, </w:t>
      </w:r>
      <w:r w:rsidRPr="00546CBA">
        <w:rPr>
          <w:rFonts w:ascii="Calibri" w:hAnsi="Calibri" w:cs="Calibri"/>
          <w:i/>
          <w:color w:val="000000" w:themeColor="text1"/>
          <w:sz w:val="18"/>
          <w:szCs w:val="18"/>
        </w:rPr>
        <w:t xml:space="preserve">Agence France-Presse </w:t>
      </w:r>
      <w:r w:rsidRPr="00681100">
        <w:rPr>
          <w:rFonts w:ascii="Calibri" w:hAnsi="Calibri" w:cs="Calibri"/>
          <w:color w:val="000000" w:themeColor="text1"/>
          <w:sz w:val="18"/>
          <w:szCs w:val="18"/>
        </w:rPr>
        <w:t>(14 October 1999).</w:t>
      </w:r>
    </w:p>
  </w:footnote>
  <w:footnote w:id="963">
    <w:p w14:paraId="3E371D4C" w14:textId="1982DA11"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Kakonga JO, ‘How mass media’ (2012).</w:t>
      </w:r>
    </w:p>
  </w:footnote>
  <w:footnote w:id="964">
    <w:p w14:paraId="4C6C3CF1" w14:textId="0E6D15CD"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Kakonga, ‘How mass media’ (2012); Ministere des affairs étrangères, </w:t>
      </w:r>
      <w:r w:rsidRPr="00546CBA">
        <w:rPr>
          <w:rFonts w:ascii="Calibri" w:hAnsi="Calibri" w:cs="Calibri"/>
          <w:i/>
          <w:color w:val="000000" w:themeColor="text1"/>
          <w:sz w:val="18"/>
          <w:szCs w:val="18"/>
        </w:rPr>
        <w:t xml:space="preserve">Half a century of onchocerciasis control in West Africa: France’s commitment </w:t>
      </w:r>
      <w:r w:rsidRPr="00681100">
        <w:rPr>
          <w:rFonts w:ascii="Calibri" w:hAnsi="Calibri" w:cs="Calibri"/>
          <w:color w:val="000000" w:themeColor="text1"/>
          <w:sz w:val="18"/>
          <w:szCs w:val="18"/>
        </w:rPr>
        <w:t>(Paris: Institut de recherché por le developpement, [2003]).</w:t>
      </w:r>
    </w:p>
  </w:footnote>
  <w:footnote w:id="965">
    <w:p w14:paraId="17877BED" w14:textId="3EB23F84"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s.a., ‘World Bank hosts’ (2014); Fordon A, ‘The World Bank and partners celebrate 40 years of success in controlling river blindness’, </w:t>
      </w:r>
      <w:r w:rsidRPr="00546CBA">
        <w:rPr>
          <w:rFonts w:ascii="Calibri" w:hAnsi="Calibri" w:cs="Calibri"/>
          <w:i/>
          <w:color w:val="000000" w:themeColor="text1"/>
          <w:sz w:val="18"/>
          <w:szCs w:val="18"/>
        </w:rPr>
        <w:t xml:space="preserve">End the Neglect Blog </w:t>
      </w:r>
      <w:r w:rsidRPr="00681100">
        <w:rPr>
          <w:rFonts w:ascii="Calibri" w:hAnsi="Calibri" w:cs="Calibri"/>
          <w:color w:val="000000" w:themeColor="text1"/>
          <w:sz w:val="18"/>
          <w:szCs w:val="18"/>
        </w:rPr>
        <w:t>(19 June 2014).</w:t>
      </w:r>
    </w:p>
  </w:footnote>
  <w:footnote w:id="966">
    <w:p w14:paraId="5FA79B08" w14:textId="790B547A"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Interview with J.P. Dailly, 8 July 2018.</w:t>
      </w:r>
    </w:p>
  </w:footnote>
  <w:footnote w:id="967">
    <w:p w14:paraId="012D873C" w14:textId="77777777"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Tanouye E, ‘Health: Merck’s “river blindness” gift hits snags’, </w:t>
      </w:r>
      <w:r w:rsidRPr="00546CBA">
        <w:rPr>
          <w:rFonts w:ascii="Calibri" w:hAnsi="Calibri" w:cs="Calibri"/>
          <w:i/>
          <w:color w:val="000000" w:themeColor="text1"/>
          <w:sz w:val="18"/>
          <w:szCs w:val="18"/>
        </w:rPr>
        <w:t xml:space="preserve">Wall Street Journal </w:t>
      </w:r>
      <w:r w:rsidRPr="00546CBA">
        <w:rPr>
          <w:rFonts w:ascii="Calibri" w:hAnsi="Calibri" w:cs="Calibri"/>
          <w:color w:val="000000" w:themeColor="text1"/>
          <w:sz w:val="18"/>
          <w:szCs w:val="18"/>
        </w:rPr>
        <w:t>923 September 1992); s.a., ‘Merck chairman reaffirms pledge to donate Mectizan in effort to reach all who suffer from r</w:t>
      </w:r>
      <w:r w:rsidRPr="00681100">
        <w:rPr>
          <w:rFonts w:ascii="Calibri" w:hAnsi="Calibri" w:cs="Calibri"/>
          <w:color w:val="000000" w:themeColor="text1"/>
          <w:sz w:val="18"/>
          <w:szCs w:val="18"/>
        </w:rPr>
        <w:t xml:space="preserve">iver blindness’, </w:t>
      </w:r>
      <w:r w:rsidRPr="00681100">
        <w:rPr>
          <w:rFonts w:ascii="Calibri" w:hAnsi="Calibri" w:cs="Calibri"/>
          <w:i/>
          <w:color w:val="000000" w:themeColor="text1"/>
          <w:sz w:val="18"/>
          <w:szCs w:val="18"/>
        </w:rPr>
        <w:t xml:space="preserve">PR Newswire </w:t>
      </w:r>
      <w:r w:rsidRPr="000045FB">
        <w:rPr>
          <w:rFonts w:ascii="Calibri" w:hAnsi="Calibri" w:cs="Calibri"/>
          <w:color w:val="000000" w:themeColor="text1"/>
          <w:sz w:val="18"/>
          <w:szCs w:val="18"/>
        </w:rPr>
        <w:t>(23 September 1992).</w:t>
      </w:r>
    </w:p>
  </w:footnote>
  <w:footnote w:id="968">
    <w:p w14:paraId="01B14026" w14:textId="77777777"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Gates B, ‘A story from one of my heroes’, </w:t>
      </w:r>
      <w:r w:rsidRPr="00546CBA">
        <w:rPr>
          <w:rFonts w:ascii="Calibri" w:hAnsi="Calibri" w:cs="Calibri"/>
          <w:i/>
          <w:color w:val="000000" w:themeColor="text1"/>
          <w:sz w:val="18"/>
          <w:szCs w:val="18"/>
        </w:rPr>
        <w:t xml:space="preserve">Gates Notes </w:t>
      </w:r>
      <w:r w:rsidRPr="00681100">
        <w:rPr>
          <w:rFonts w:ascii="Calibri" w:hAnsi="Calibri" w:cs="Calibri"/>
          <w:color w:val="000000" w:themeColor="text1"/>
          <w:sz w:val="18"/>
          <w:szCs w:val="18"/>
        </w:rPr>
        <w:t>(16 May 2014).</w:t>
      </w:r>
    </w:p>
  </w:footnote>
  <w:footnote w:id="969">
    <w:p w14:paraId="51FAA0AB" w14:textId="77777777"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Gordon Smith CE, ‘The Onchocerciasis Control Programme: an interaction of politics, economics, science and health’, </w:t>
      </w:r>
      <w:r w:rsidRPr="00681100">
        <w:rPr>
          <w:rFonts w:ascii="Calibri" w:hAnsi="Calibri" w:cs="Calibri"/>
          <w:i/>
          <w:color w:val="000000" w:themeColor="text1"/>
          <w:sz w:val="18"/>
          <w:szCs w:val="18"/>
        </w:rPr>
        <w:t xml:space="preserve">Interdisciplinary Science Reviews </w:t>
      </w:r>
      <w:r w:rsidRPr="000045FB">
        <w:rPr>
          <w:rFonts w:ascii="Calibri" w:hAnsi="Calibri" w:cs="Calibri"/>
          <w:color w:val="000000" w:themeColor="text1"/>
          <w:sz w:val="18"/>
          <w:szCs w:val="18"/>
        </w:rPr>
        <w:t>8:2 (1983), 168-178.</w:t>
      </w:r>
    </w:p>
  </w:footnote>
  <w:footnote w:id="970">
    <w:p w14:paraId="17367969" w14:textId="77777777"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s.a., ‘The blind leading the blind. Oil painting after Pieter Bruegel’, </w:t>
      </w:r>
      <w:r w:rsidRPr="00546CBA">
        <w:rPr>
          <w:rFonts w:ascii="Calibri" w:hAnsi="Calibri" w:cs="Calibri"/>
          <w:i/>
          <w:color w:val="000000" w:themeColor="text1"/>
          <w:sz w:val="18"/>
          <w:szCs w:val="18"/>
        </w:rPr>
        <w:t xml:space="preserve">Wellcome Library </w:t>
      </w:r>
      <w:r w:rsidRPr="00681100">
        <w:rPr>
          <w:rFonts w:ascii="Calibri" w:hAnsi="Calibri" w:cs="Calibri"/>
          <w:color w:val="000000" w:themeColor="text1"/>
          <w:sz w:val="18"/>
          <w:szCs w:val="18"/>
        </w:rPr>
        <w:t>(online), &lt;https://welcomelibrary.org/item/b12025112#?c=0&amp;m&amp;s=0&amp;cv=0&gt; [accessed 1 February 2019].</w:t>
      </w:r>
    </w:p>
  </w:footnote>
  <w:footnote w:id="971">
    <w:p w14:paraId="0A44E518" w14:textId="41B9FE69"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s.a., ‘Front matter’, </w:t>
      </w:r>
      <w:r w:rsidRPr="00546CBA">
        <w:rPr>
          <w:rFonts w:ascii="Calibri" w:hAnsi="Calibri" w:cs="Calibri"/>
          <w:i/>
          <w:color w:val="000000" w:themeColor="text1"/>
          <w:sz w:val="18"/>
          <w:szCs w:val="18"/>
        </w:rPr>
        <w:t xml:space="preserve">Clinical Infectious Diseases </w:t>
      </w:r>
      <w:r w:rsidRPr="00681100">
        <w:rPr>
          <w:rFonts w:ascii="Calibri" w:hAnsi="Calibri" w:cs="Calibri"/>
          <w:color w:val="000000" w:themeColor="text1"/>
          <w:sz w:val="18"/>
          <w:szCs w:val="18"/>
        </w:rPr>
        <w:t xml:space="preserve">53:4 (2011); Vieta F, ‘River blindness’, </w:t>
      </w:r>
      <w:r w:rsidRPr="000045FB">
        <w:rPr>
          <w:rFonts w:ascii="Calibri" w:hAnsi="Calibri" w:cs="Calibri"/>
          <w:i/>
          <w:color w:val="000000" w:themeColor="text1"/>
          <w:sz w:val="18"/>
          <w:szCs w:val="18"/>
        </w:rPr>
        <w:t xml:space="preserve">UN Chronicle </w:t>
      </w:r>
      <w:r w:rsidRPr="000045FB">
        <w:rPr>
          <w:rFonts w:ascii="Calibri" w:hAnsi="Calibri" w:cs="Calibri"/>
          <w:color w:val="000000" w:themeColor="text1"/>
          <w:sz w:val="18"/>
          <w:szCs w:val="18"/>
        </w:rPr>
        <w:t>(1 January 1998).</w:t>
      </w:r>
    </w:p>
  </w:footnote>
  <w:footnote w:id="972">
    <w:p w14:paraId="4FA7BF4B" w14:textId="017BBCE6"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s.a., ‘The blind leading the blind’ (online). Reproduced under Wellcome Collection license CC-BY-NC.</w:t>
      </w:r>
    </w:p>
  </w:footnote>
  <w:footnote w:id="973">
    <w:p w14:paraId="672E1357" w14:textId="77777777"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Australian Broadcasting Corporation, ‘River blindness – a good news stories’, </w:t>
      </w:r>
      <w:r w:rsidRPr="00546CBA">
        <w:rPr>
          <w:rFonts w:ascii="Calibri" w:hAnsi="Calibri" w:cs="Calibri"/>
          <w:i/>
          <w:color w:val="000000" w:themeColor="text1"/>
          <w:sz w:val="18"/>
          <w:szCs w:val="18"/>
        </w:rPr>
        <w:t>Ockham’s razor, ABC Radio Nat</w:t>
      </w:r>
      <w:r w:rsidRPr="00681100">
        <w:rPr>
          <w:rFonts w:ascii="Calibri" w:hAnsi="Calibri" w:cs="Calibri"/>
          <w:i/>
          <w:color w:val="000000" w:themeColor="text1"/>
          <w:sz w:val="18"/>
          <w:szCs w:val="18"/>
        </w:rPr>
        <w:t xml:space="preserve">ional </w:t>
      </w:r>
      <w:r w:rsidRPr="00681100">
        <w:rPr>
          <w:rFonts w:ascii="Calibri" w:hAnsi="Calibri" w:cs="Calibri"/>
          <w:color w:val="000000" w:themeColor="text1"/>
          <w:sz w:val="18"/>
          <w:szCs w:val="18"/>
        </w:rPr>
        <w:t>(21 July 2002).</w:t>
      </w:r>
    </w:p>
  </w:footnote>
  <w:footnote w:id="974">
    <w:p w14:paraId="18B64049" w14:textId="77777777"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Kakonga, ‘How mass media’ (2012).</w:t>
      </w:r>
    </w:p>
  </w:footnote>
  <w:footnote w:id="975">
    <w:p w14:paraId="0A99032E" w14:textId="3B50D4BD" w:rsidR="00CF189D" w:rsidRPr="00546CBA"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Younger and Zongo, ‘West Africa’ (1989), 44.</w:t>
      </w:r>
    </w:p>
  </w:footnote>
  <w:footnote w:id="976">
    <w:p w14:paraId="5476EBE2" w14:textId="26FE3599" w:rsidR="00CF189D" w:rsidRPr="00681100"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Rajkotia Y, ‘Beware of the success cartel: a plea for rational progress in global health’, </w:t>
      </w:r>
      <w:r w:rsidRPr="00546CBA">
        <w:rPr>
          <w:rFonts w:ascii="Calibri" w:hAnsi="Calibri" w:cs="Calibri"/>
          <w:i/>
          <w:color w:val="000000" w:themeColor="text1"/>
          <w:sz w:val="18"/>
          <w:szCs w:val="18"/>
        </w:rPr>
        <w:t xml:space="preserve">BMJ </w:t>
      </w:r>
      <w:r w:rsidRPr="00546CBA">
        <w:rPr>
          <w:rFonts w:ascii="Calibri" w:hAnsi="Calibri" w:cs="Calibri"/>
          <w:color w:val="000000" w:themeColor="text1"/>
          <w:sz w:val="18"/>
          <w:szCs w:val="18"/>
        </w:rPr>
        <w:t xml:space="preserve">3 </w:t>
      </w:r>
      <w:r w:rsidRPr="00681100">
        <w:rPr>
          <w:rFonts w:ascii="Calibri" w:hAnsi="Calibri" w:cs="Calibri"/>
          <w:color w:val="000000" w:themeColor="text1"/>
          <w:sz w:val="18"/>
          <w:szCs w:val="18"/>
        </w:rPr>
        <w:t>(2018), e001197.</w:t>
      </w:r>
    </w:p>
  </w:footnote>
  <w:footnote w:id="977">
    <w:p w14:paraId="4480E920" w14:textId="77777777" w:rsidR="00CF189D" w:rsidRPr="00681100" w:rsidRDefault="00CF189D" w:rsidP="00605845">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Bhattacharya S, ‘Reflections on the eradication of smallpox’, </w:t>
      </w:r>
      <w:r w:rsidRPr="00546CBA">
        <w:rPr>
          <w:rFonts w:ascii="Calibri" w:hAnsi="Calibri" w:cs="Calibri"/>
          <w:i/>
          <w:color w:val="000000" w:themeColor="text1"/>
          <w:sz w:val="18"/>
          <w:szCs w:val="18"/>
        </w:rPr>
        <w:t xml:space="preserve">Lancet </w:t>
      </w:r>
      <w:r w:rsidRPr="00546CBA">
        <w:rPr>
          <w:rFonts w:ascii="Calibri" w:hAnsi="Calibri" w:cs="Calibri"/>
          <w:color w:val="000000" w:themeColor="text1"/>
          <w:sz w:val="18"/>
          <w:szCs w:val="18"/>
        </w:rPr>
        <w:t>375:9726 (2010), 1602-1603.</w:t>
      </w:r>
    </w:p>
  </w:footnote>
  <w:footnote w:id="978">
    <w:p w14:paraId="23C32CA1" w14:textId="62EC2291" w:rsidR="00CF189D" w:rsidRPr="000045FB" w:rsidRDefault="00CF189D" w:rsidP="00B86D8C">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Particularly studies emphasising local and regional archives. See Bhattacharya S, ‘Reflections on the eradication of smallpox’, </w:t>
      </w:r>
      <w:r w:rsidRPr="00681100">
        <w:rPr>
          <w:rFonts w:ascii="Calibri" w:hAnsi="Calibri" w:cs="Calibri"/>
          <w:i/>
          <w:color w:val="000000" w:themeColor="text1"/>
          <w:sz w:val="18"/>
          <w:szCs w:val="18"/>
        </w:rPr>
        <w:t xml:space="preserve">Lancet </w:t>
      </w:r>
      <w:r w:rsidRPr="000045FB">
        <w:rPr>
          <w:rFonts w:ascii="Calibri" w:hAnsi="Calibri" w:cs="Calibri"/>
          <w:color w:val="000000" w:themeColor="text1"/>
          <w:sz w:val="18"/>
          <w:szCs w:val="18"/>
        </w:rPr>
        <w:t>375:9726 (2010), 1602-1603.</w:t>
      </w:r>
    </w:p>
  </w:footnote>
  <w:footnote w:id="979">
    <w:p w14:paraId="741C739C" w14:textId="13D85444" w:rsidR="00CF189D" w:rsidRPr="00CF189D" w:rsidRDefault="00CF189D" w:rsidP="00CF189D">
      <w:pPr>
        <w:rPr>
          <w:rFonts w:ascii="Calibri" w:hAnsi="Calibri" w:cs="Calibri"/>
          <w:color w:val="000000" w:themeColor="text1"/>
          <w:sz w:val="18"/>
          <w:szCs w:val="18"/>
        </w:rPr>
      </w:pPr>
      <w:r w:rsidRPr="00CF189D">
        <w:rPr>
          <w:rStyle w:val="FootnoteReference"/>
          <w:rFonts w:ascii="Calibri" w:hAnsi="Calibri" w:cs="Calibri"/>
          <w:sz w:val="18"/>
          <w:szCs w:val="18"/>
        </w:rPr>
        <w:footnoteRef/>
      </w:r>
      <w:r w:rsidRPr="00CF189D">
        <w:rPr>
          <w:rFonts w:ascii="Calibri" w:hAnsi="Calibri" w:cs="Calibri"/>
          <w:sz w:val="18"/>
          <w:szCs w:val="18"/>
        </w:rPr>
        <w:t xml:space="preserve"> </w:t>
      </w:r>
      <w:r>
        <w:rPr>
          <w:rFonts w:ascii="Calibri" w:hAnsi="Calibri" w:cs="Calibri"/>
          <w:sz w:val="18"/>
          <w:szCs w:val="18"/>
        </w:rPr>
        <w:t xml:space="preserve">Images without a creative commons license can be found in the following WBGA locations: </w:t>
      </w:r>
      <w:r w:rsidRPr="00546CBA">
        <w:rPr>
          <w:rFonts w:ascii="Calibri" w:hAnsi="Calibri" w:cs="Calibri"/>
          <w:color w:val="000000" w:themeColor="text1"/>
          <w:sz w:val="18"/>
          <w:szCs w:val="18"/>
        </w:rPr>
        <w:t>WBGA, 30304908, Blustein P, ‘Loan ranger: can James D. Wolfensohn – fencer, cellist, dealm</w:t>
      </w:r>
      <w:r w:rsidRPr="00681100">
        <w:rPr>
          <w:rFonts w:ascii="Calibri" w:hAnsi="Calibri" w:cs="Calibri"/>
          <w:color w:val="000000" w:themeColor="text1"/>
          <w:sz w:val="18"/>
          <w:szCs w:val="18"/>
        </w:rPr>
        <w:t xml:space="preserve">aker – figure out the World Bank?’, </w:t>
      </w:r>
      <w:r w:rsidRPr="00681100">
        <w:rPr>
          <w:rFonts w:ascii="Calibri" w:hAnsi="Calibri" w:cs="Calibri"/>
          <w:i/>
          <w:color w:val="000000" w:themeColor="text1"/>
          <w:sz w:val="18"/>
          <w:szCs w:val="18"/>
        </w:rPr>
        <w:t xml:space="preserve">The Washington Post Magazine </w:t>
      </w:r>
      <w:r w:rsidRPr="00681100">
        <w:rPr>
          <w:rFonts w:ascii="Calibri" w:hAnsi="Calibri" w:cs="Calibri"/>
          <w:color w:val="000000" w:themeColor="text1"/>
          <w:sz w:val="18"/>
          <w:szCs w:val="18"/>
        </w:rPr>
        <w:t xml:space="preserve">(10 November 1996); WBGA, 30304906, s.a., ‘Second sight’, </w:t>
      </w:r>
      <w:r w:rsidRPr="000045FB">
        <w:rPr>
          <w:rFonts w:ascii="Calibri" w:hAnsi="Calibri" w:cs="Calibri"/>
          <w:i/>
          <w:color w:val="000000" w:themeColor="text1"/>
          <w:sz w:val="18"/>
          <w:szCs w:val="18"/>
        </w:rPr>
        <w:t xml:space="preserve">Independent - Saturday Magazine </w:t>
      </w:r>
      <w:r w:rsidRPr="000045FB">
        <w:rPr>
          <w:rFonts w:ascii="Calibri" w:hAnsi="Calibri" w:cs="Calibri"/>
          <w:color w:val="000000" w:themeColor="text1"/>
          <w:sz w:val="18"/>
          <w:szCs w:val="18"/>
        </w:rPr>
        <w:t xml:space="preserve">(10 December 1994); WBGA, 30304902, s.a., ‘The war on river blindness’, </w:t>
      </w:r>
      <w:r w:rsidRPr="00581494">
        <w:rPr>
          <w:rFonts w:ascii="Calibri" w:hAnsi="Calibri" w:cs="Calibri"/>
          <w:i/>
          <w:color w:val="000000" w:themeColor="text1"/>
          <w:sz w:val="18"/>
          <w:szCs w:val="18"/>
        </w:rPr>
        <w:t xml:space="preserve">The Global and Mail </w:t>
      </w:r>
      <w:r w:rsidRPr="00581494">
        <w:rPr>
          <w:rFonts w:ascii="Calibri" w:hAnsi="Calibri" w:cs="Calibri"/>
          <w:color w:val="000000" w:themeColor="text1"/>
          <w:sz w:val="18"/>
          <w:szCs w:val="18"/>
        </w:rPr>
        <w:t>(16 Augus</w:t>
      </w:r>
      <w:r w:rsidRPr="00E259AA">
        <w:rPr>
          <w:rFonts w:ascii="Calibri" w:hAnsi="Calibri" w:cs="Calibri"/>
          <w:color w:val="000000" w:themeColor="text1"/>
          <w:sz w:val="18"/>
          <w:szCs w:val="18"/>
        </w:rPr>
        <w:t xml:space="preserve">t 1993); WBGA, 30304889, s.a., ‘Light at the end the tunnel’, </w:t>
      </w:r>
      <w:r w:rsidRPr="00E259AA">
        <w:rPr>
          <w:rFonts w:ascii="Calibri" w:hAnsi="Calibri" w:cs="Calibri"/>
          <w:i/>
          <w:color w:val="000000" w:themeColor="text1"/>
          <w:sz w:val="18"/>
          <w:szCs w:val="18"/>
        </w:rPr>
        <w:t xml:space="preserve">Africa News </w:t>
      </w:r>
      <w:r w:rsidRPr="00E259AA">
        <w:rPr>
          <w:rFonts w:ascii="Calibri" w:hAnsi="Calibri" w:cs="Calibri"/>
          <w:color w:val="000000" w:themeColor="text1"/>
          <w:sz w:val="18"/>
          <w:szCs w:val="18"/>
        </w:rPr>
        <w:t xml:space="preserve">(31 October 1988); WBGA, 30304889, Kraft S, ‘Africa sees hope in fight against river blindness’, </w:t>
      </w:r>
      <w:r w:rsidRPr="00E259AA">
        <w:rPr>
          <w:rFonts w:ascii="Calibri" w:hAnsi="Calibri" w:cs="Calibri"/>
          <w:i/>
          <w:color w:val="000000" w:themeColor="text1"/>
          <w:sz w:val="18"/>
          <w:szCs w:val="18"/>
        </w:rPr>
        <w:t xml:space="preserve">The Providence Sunday Journal </w:t>
      </w:r>
      <w:r w:rsidRPr="00E259AA">
        <w:rPr>
          <w:rFonts w:ascii="Calibri" w:hAnsi="Calibri" w:cs="Calibri"/>
          <w:color w:val="000000" w:themeColor="text1"/>
          <w:sz w:val="18"/>
          <w:szCs w:val="18"/>
        </w:rPr>
        <w:t xml:space="preserve">(29 May 1988); WBGA, 30304887, Wilde J, ‘In Mali: a tribal village of the blind’, </w:t>
      </w:r>
      <w:r w:rsidRPr="00E259AA">
        <w:rPr>
          <w:rFonts w:ascii="Calibri" w:hAnsi="Calibri" w:cs="Calibri"/>
          <w:i/>
          <w:color w:val="000000" w:themeColor="text1"/>
          <w:sz w:val="18"/>
          <w:szCs w:val="18"/>
        </w:rPr>
        <w:t xml:space="preserve">TIME </w:t>
      </w:r>
      <w:r w:rsidRPr="00DE5E29">
        <w:rPr>
          <w:rFonts w:ascii="Calibri" w:hAnsi="Calibri" w:cs="Calibri"/>
          <w:color w:val="000000" w:themeColor="text1"/>
          <w:sz w:val="18"/>
          <w:szCs w:val="18"/>
        </w:rPr>
        <w:t xml:space="preserve">(25 January 1988); WBGA, 30304887, s.a., ‘Cure in sight for river blindness’, </w:t>
      </w:r>
      <w:r w:rsidRPr="00DE5E29">
        <w:rPr>
          <w:rFonts w:ascii="Calibri" w:hAnsi="Calibri" w:cs="Calibri"/>
          <w:i/>
          <w:color w:val="000000" w:themeColor="text1"/>
          <w:sz w:val="18"/>
          <w:szCs w:val="18"/>
        </w:rPr>
        <w:t xml:space="preserve">Africa News </w:t>
      </w:r>
      <w:r w:rsidRPr="00DE5E29">
        <w:rPr>
          <w:rFonts w:ascii="Calibri" w:hAnsi="Calibri" w:cs="Calibri"/>
          <w:color w:val="000000" w:themeColor="text1"/>
          <w:sz w:val="18"/>
          <w:szCs w:val="18"/>
        </w:rPr>
        <w:t xml:space="preserve">27:3 (18 August 1986); WBGA, 30304887, Nawaz S, ‘Riverblindness controlled’, </w:t>
      </w:r>
      <w:r w:rsidRPr="00DE5E29">
        <w:rPr>
          <w:rFonts w:ascii="Calibri" w:hAnsi="Calibri" w:cs="Calibri"/>
          <w:i/>
          <w:color w:val="000000" w:themeColor="text1"/>
          <w:sz w:val="18"/>
          <w:szCs w:val="18"/>
        </w:rPr>
        <w:t xml:space="preserve">Finance &amp; Development </w:t>
      </w:r>
      <w:r w:rsidRPr="00DE5E29">
        <w:rPr>
          <w:rFonts w:ascii="Calibri" w:hAnsi="Calibri" w:cs="Calibri"/>
          <w:color w:val="000000" w:themeColor="text1"/>
          <w:sz w:val="18"/>
          <w:szCs w:val="18"/>
        </w:rPr>
        <w:t xml:space="preserve">(June 1986), 20-22; WBGA, 30304887, Walsh J, ‘River blindness: a gamble pays off’, </w:t>
      </w:r>
      <w:r w:rsidRPr="00BD6EE4">
        <w:rPr>
          <w:rFonts w:ascii="Calibri" w:hAnsi="Calibri" w:cs="Calibri"/>
          <w:i/>
          <w:color w:val="000000" w:themeColor="text1"/>
          <w:sz w:val="18"/>
          <w:szCs w:val="18"/>
        </w:rPr>
        <w:t xml:space="preserve">Science </w:t>
      </w:r>
      <w:r w:rsidRPr="00471293">
        <w:rPr>
          <w:rFonts w:ascii="Calibri" w:hAnsi="Calibri" w:cs="Calibri"/>
          <w:color w:val="000000" w:themeColor="text1"/>
          <w:sz w:val="18"/>
          <w:szCs w:val="18"/>
        </w:rPr>
        <w:t>232 (1986), 922-923</w:t>
      </w:r>
      <w:r w:rsidRPr="008E1EA6">
        <w:rPr>
          <w:rFonts w:ascii="Calibri" w:hAnsi="Calibri" w:cs="Calibri"/>
          <w:color w:val="000000" w:themeColor="text1"/>
          <w:sz w:val="18"/>
          <w:szCs w:val="18"/>
        </w:rPr>
        <w:t xml:space="preserve">; WBGA, 30304887, ‘Onchocercose: le fléau vaincu?’, </w:t>
      </w:r>
      <w:r w:rsidRPr="008E1EA6">
        <w:rPr>
          <w:rFonts w:ascii="Calibri" w:hAnsi="Calibri" w:cs="Calibri"/>
          <w:i/>
          <w:color w:val="000000" w:themeColor="text1"/>
          <w:sz w:val="18"/>
          <w:szCs w:val="18"/>
        </w:rPr>
        <w:t>Fraterni</w:t>
      </w:r>
      <w:r w:rsidRPr="00A8048A">
        <w:rPr>
          <w:rFonts w:ascii="Calibri" w:hAnsi="Calibri" w:cs="Calibri"/>
          <w:i/>
          <w:color w:val="000000" w:themeColor="text1"/>
          <w:sz w:val="18"/>
          <w:szCs w:val="18"/>
        </w:rPr>
        <w:t xml:space="preserve">te Matin </w:t>
      </w:r>
      <w:r w:rsidRPr="00A8048A">
        <w:rPr>
          <w:rFonts w:ascii="Calibri" w:hAnsi="Calibri" w:cs="Calibri"/>
          <w:color w:val="000000" w:themeColor="text1"/>
          <w:sz w:val="18"/>
          <w:szCs w:val="18"/>
        </w:rPr>
        <w:t>(26 February 1986)</w:t>
      </w:r>
      <w:r w:rsidRPr="009D148B">
        <w:rPr>
          <w:rFonts w:ascii="Calibri" w:hAnsi="Calibri" w:cs="Calibri"/>
          <w:color w:val="000000" w:themeColor="text1"/>
          <w:sz w:val="18"/>
          <w:szCs w:val="18"/>
        </w:rPr>
        <w:t xml:space="preserve">; </w:t>
      </w:r>
      <w:r w:rsidRPr="000E614B">
        <w:rPr>
          <w:rFonts w:ascii="Calibri" w:hAnsi="Calibri" w:cs="Calibri"/>
          <w:color w:val="000000" w:themeColor="text1"/>
          <w:sz w:val="18"/>
          <w:szCs w:val="18"/>
        </w:rPr>
        <w:t xml:space="preserve">WBGA, 30304884, s.a., ‘Les yeux morts de l’Afrique’, </w:t>
      </w:r>
      <w:r w:rsidRPr="000E614B">
        <w:rPr>
          <w:rFonts w:ascii="Calibri" w:hAnsi="Calibri" w:cs="Calibri"/>
          <w:i/>
          <w:color w:val="000000" w:themeColor="text1"/>
          <w:sz w:val="18"/>
          <w:szCs w:val="18"/>
        </w:rPr>
        <w:t xml:space="preserve">GEO </w:t>
      </w:r>
      <w:r w:rsidRPr="000E614B">
        <w:rPr>
          <w:rFonts w:ascii="Calibri" w:hAnsi="Calibri" w:cs="Calibri"/>
          <w:color w:val="000000" w:themeColor="text1"/>
          <w:sz w:val="18"/>
          <w:szCs w:val="18"/>
        </w:rPr>
        <w:t xml:space="preserve">(December 1985); WBGA, 30304884, ‘Third world research: steady success in battle against river blindness’, </w:t>
      </w:r>
      <w:r w:rsidRPr="000E614B">
        <w:rPr>
          <w:rFonts w:ascii="Calibri" w:hAnsi="Calibri" w:cs="Calibri"/>
          <w:i/>
          <w:color w:val="000000" w:themeColor="text1"/>
          <w:sz w:val="18"/>
          <w:szCs w:val="18"/>
        </w:rPr>
        <w:t xml:space="preserve">OPEC Fund Newsletter </w:t>
      </w:r>
      <w:r w:rsidRPr="000E614B">
        <w:rPr>
          <w:rFonts w:ascii="Calibri" w:hAnsi="Calibri" w:cs="Calibri"/>
          <w:color w:val="000000" w:themeColor="text1"/>
          <w:sz w:val="18"/>
          <w:szCs w:val="18"/>
        </w:rPr>
        <w:t xml:space="preserve">2:1 (March 1985); WBGA, 1300687, Ferri </w:t>
      </w:r>
      <w:r w:rsidRPr="004A437E">
        <w:rPr>
          <w:rFonts w:ascii="Calibri" w:hAnsi="Calibri" w:cs="Calibri"/>
          <w:color w:val="000000" w:themeColor="text1"/>
          <w:sz w:val="18"/>
          <w:szCs w:val="18"/>
        </w:rPr>
        <w:t xml:space="preserve">E, ‘Onchocercosi: da una mosca Africana la terrible &lt;&lt;cecità dei fiumi&gt;&gt;’, </w:t>
      </w:r>
      <w:r w:rsidRPr="004A437E">
        <w:rPr>
          <w:rFonts w:ascii="Calibri" w:hAnsi="Calibri" w:cs="Calibri"/>
          <w:i/>
          <w:color w:val="000000" w:themeColor="text1"/>
          <w:sz w:val="18"/>
          <w:szCs w:val="18"/>
        </w:rPr>
        <w:t xml:space="preserve">SANTÀ </w:t>
      </w:r>
      <w:r w:rsidRPr="000552DB">
        <w:rPr>
          <w:rFonts w:ascii="Calibri" w:hAnsi="Calibri" w:cs="Calibri"/>
          <w:color w:val="000000" w:themeColor="text1"/>
          <w:sz w:val="18"/>
          <w:szCs w:val="18"/>
        </w:rPr>
        <w:t xml:space="preserve">(1984); WBGA, 30304884, ‘Volta river blindness project achieves “spectacular success”’, </w:t>
      </w:r>
      <w:r w:rsidRPr="000552DB">
        <w:rPr>
          <w:rFonts w:ascii="Calibri" w:hAnsi="Calibri" w:cs="Calibri"/>
          <w:i/>
          <w:color w:val="000000" w:themeColor="text1"/>
          <w:sz w:val="18"/>
          <w:szCs w:val="18"/>
        </w:rPr>
        <w:t xml:space="preserve">Africa Health (U.K.) </w:t>
      </w:r>
      <w:r w:rsidRPr="00970E06">
        <w:rPr>
          <w:rFonts w:ascii="Calibri" w:hAnsi="Calibri" w:cs="Calibri"/>
          <w:color w:val="000000" w:themeColor="text1"/>
          <w:sz w:val="18"/>
          <w:szCs w:val="18"/>
        </w:rPr>
        <w:t xml:space="preserve">(January 1985); </w:t>
      </w:r>
      <w:r w:rsidRPr="00546CBA">
        <w:rPr>
          <w:rFonts w:ascii="Calibri" w:hAnsi="Calibri" w:cs="Calibri"/>
          <w:color w:val="000000" w:themeColor="text1"/>
          <w:sz w:val="18"/>
          <w:szCs w:val="18"/>
        </w:rPr>
        <w:t xml:space="preserve">WBGA, 30304883, ‘Taistelu jokisokeutta vastaan’, </w:t>
      </w:r>
      <w:r w:rsidRPr="00546CBA">
        <w:rPr>
          <w:rFonts w:ascii="Calibri" w:hAnsi="Calibri" w:cs="Calibri"/>
          <w:i/>
          <w:color w:val="000000" w:themeColor="text1"/>
          <w:sz w:val="18"/>
          <w:szCs w:val="18"/>
        </w:rPr>
        <w:t xml:space="preserve">Kotilakal </w:t>
      </w:r>
      <w:r w:rsidRPr="00546CBA">
        <w:rPr>
          <w:rFonts w:ascii="Calibri" w:hAnsi="Calibri" w:cs="Calibri"/>
          <w:color w:val="000000" w:themeColor="text1"/>
          <w:sz w:val="18"/>
          <w:szCs w:val="18"/>
        </w:rPr>
        <w:t xml:space="preserve">(April 1984); WBGA, 30304883, ‘Miljoonat pelastuneet jokisokeudelta Afrikassa’ [‘Millions in Africa saved from river blindness’], </w:t>
      </w:r>
      <w:r w:rsidRPr="00546CBA">
        <w:rPr>
          <w:rFonts w:ascii="Calibri" w:hAnsi="Calibri" w:cs="Calibri"/>
          <w:i/>
          <w:color w:val="000000" w:themeColor="text1"/>
          <w:sz w:val="18"/>
          <w:szCs w:val="18"/>
        </w:rPr>
        <w:t>Helsinki</w:t>
      </w:r>
      <w:r w:rsidRPr="00546CBA">
        <w:rPr>
          <w:rFonts w:ascii="Calibri" w:hAnsi="Calibri" w:cs="Calibri"/>
          <w:color w:val="000000" w:themeColor="text1"/>
          <w:sz w:val="18"/>
          <w:szCs w:val="18"/>
        </w:rPr>
        <w:t xml:space="preserve"> </w:t>
      </w:r>
      <w:r w:rsidRPr="00546CBA">
        <w:rPr>
          <w:rFonts w:ascii="Calibri" w:hAnsi="Calibri" w:cs="Calibri"/>
          <w:i/>
          <w:color w:val="000000" w:themeColor="text1"/>
          <w:sz w:val="18"/>
          <w:szCs w:val="18"/>
        </w:rPr>
        <w:t xml:space="preserve">Helsingin Sanomat </w:t>
      </w:r>
      <w:r w:rsidRPr="00546CBA">
        <w:rPr>
          <w:rFonts w:ascii="Calibri" w:hAnsi="Calibri" w:cs="Calibri"/>
          <w:color w:val="000000" w:themeColor="text1"/>
          <w:sz w:val="18"/>
          <w:szCs w:val="18"/>
        </w:rPr>
        <w:t xml:space="preserve">(27 March 1984); WBGA, 1300687, Nakao M, ‘The river devours the eyes - extermination operation for the devilish black flies’, </w:t>
      </w:r>
      <w:r w:rsidRPr="00546CBA">
        <w:rPr>
          <w:rFonts w:ascii="Calibri" w:hAnsi="Calibri" w:cs="Calibri"/>
          <w:i/>
          <w:color w:val="000000" w:themeColor="text1"/>
          <w:sz w:val="18"/>
          <w:szCs w:val="18"/>
        </w:rPr>
        <w:t xml:space="preserve">Mainichi Shimbun </w:t>
      </w:r>
      <w:r w:rsidRPr="00546CBA">
        <w:rPr>
          <w:rFonts w:ascii="Calibri" w:hAnsi="Calibri" w:cs="Calibri"/>
          <w:color w:val="000000" w:themeColor="text1"/>
          <w:sz w:val="18"/>
          <w:szCs w:val="18"/>
        </w:rPr>
        <w:t xml:space="preserve">(1982); WBGA, 1300687, Holte E, ‘Suksess for helseprosjekt I Afrika: Elveblindheten er på rask retur’, </w:t>
      </w:r>
      <w:r w:rsidRPr="00546CBA">
        <w:rPr>
          <w:rFonts w:ascii="Calibri" w:hAnsi="Calibri" w:cs="Calibri"/>
          <w:i/>
          <w:color w:val="000000" w:themeColor="text1"/>
          <w:sz w:val="18"/>
          <w:szCs w:val="18"/>
        </w:rPr>
        <w:t xml:space="preserve">Altenposten </w:t>
      </w:r>
      <w:r w:rsidRPr="00546CBA">
        <w:rPr>
          <w:rFonts w:ascii="Calibri" w:hAnsi="Calibri" w:cs="Calibri"/>
          <w:color w:val="000000" w:themeColor="text1"/>
          <w:sz w:val="18"/>
          <w:szCs w:val="18"/>
        </w:rPr>
        <w:t>(27 June 1982).</w:t>
      </w:r>
    </w:p>
  </w:footnote>
  <w:footnote w:id="980">
    <w:p w14:paraId="1D353DB3" w14:textId="31FE2974" w:rsidR="00CF189D" w:rsidRPr="00CF189D" w:rsidRDefault="00CF189D" w:rsidP="00CF189D">
      <w:pPr>
        <w:rPr>
          <w:rFonts w:ascii="Calibri" w:hAnsi="Calibri" w:cs="Calibri"/>
          <w:color w:val="000000" w:themeColor="text1"/>
          <w:sz w:val="18"/>
          <w:szCs w:val="18"/>
        </w:rPr>
      </w:pPr>
      <w:r w:rsidRPr="00CF189D">
        <w:rPr>
          <w:rStyle w:val="FootnoteReference"/>
          <w:rFonts w:ascii="Calibri" w:hAnsi="Calibri" w:cs="Calibri"/>
          <w:sz w:val="18"/>
          <w:szCs w:val="18"/>
        </w:rPr>
        <w:footnoteRef/>
      </w:r>
      <w:r w:rsidRPr="00CF189D">
        <w:rPr>
          <w:rFonts w:ascii="Calibri" w:hAnsi="Calibri" w:cs="Calibri"/>
          <w:sz w:val="18"/>
          <w:szCs w:val="18"/>
        </w:rPr>
        <w:t xml:space="preserve"> </w:t>
      </w:r>
      <w:r w:rsidRPr="00CF189D">
        <w:rPr>
          <w:rFonts w:ascii="Calibri" w:hAnsi="Calibri" w:cs="Calibri"/>
          <w:sz w:val="18"/>
          <w:szCs w:val="18"/>
          <w:lang w:val="en-US"/>
        </w:rPr>
        <w:t xml:space="preserve">See, for example, </w:t>
      </w:r>
      <w:r w:rsidRPr="00546CBA">
        <w:rPr>
          <w:rFonts w:ascii="Calibri" w:hAnsi="Calibri" w:cs="Calibri"/>
          <w:color w:val="000000" w:themeColor="text1"/>
          <w:sz w:val="18"/>
          <w:szCs w:val="18"/>
        </w:rPr>
        <w:t xml:space="preserve">s.a., </w:t>
      </w:r>
      <w:r w:rsidRPr="00681100">
        <w:rPr>
          <w:rFonts w:ascii="Calibri" w:hAnsi="Calibri" w:cs="Calibri"/>
          <w:i/>
          <w:color w:val="000000" w:themeColor="text1"/>
          <w:sz w:val="18"/>
          <w:szCs w:val="18"/>
        </w:rPr>
        <w:t xml:space="preserve">The Pharmacologist </w:t>
      </w:r>
      <w:r w:rsidRPr="00681100">
        <w:rPr>
          <w:rFonts w:ascii="Calibri" w:hAnsi="Calibri" w:cs="Calibri"/>
          <w:color w:val="000000" w:themeColor="text1"/>
          <w:sz w:val="18"/>
          <w:szCs w:val="18"/>
        </w:rPr>
        <w:t xml:space="preserve">58:1 (March 2016), cover; WBGA, 30304907, ‘Onchocerciasis control in Africa’, </w:t>
      </w:r>
      <w:r w:rsidRPr="000045FB">
        <w:rPr>
          <w:rFonts w:ascii="Calibri" w:hAnsi="Calibri" w:cs="Calibri"/>
          <w:i/>
          <w:color w:val="000000" w:themeColor="text1"/>
          <w:sz w:val="18"/>
          <w:szCs w:val="18"/>
        </w:rPr>
        <w:t xml:space="preserve">Parasitology Today </w:t>
      </w:r>
      <w:r w:rsidRPr="000045FB">
        <w:rPr>
          <w:rFonts w:ascii="Calibri" w:hAnsi="Calibri" w:cs="Calibri"/>
          <w:color w:val="000000" w:themeColor="text1"/>
          <w:sz w:val="18"/>
          <w:szCs w:val="18"/>
        </w:rPr>
        <w:t xml:space="preserve">(1995); WBGA, 30304889, Senghor JE and Samba EM, ‘Onchocerciasis Control Programme – the human perspective’, </w:t>
      </w:r>
      <w:r w:rsidRPr="000045FB">
        <w:rPr>
          <w:rFonts w:ascii="Calibri" w:hAnsi="Calibri" w:cs="Calibri"/>
          <w:i/>
          <w:color w:val="000000" w:themeColor="text1"/>
          <w:sz w:val="18"/>
          <w:szCs w:val="18"/>
        </w:rPr>
        <w:t xml:space="preserve">Parasitology Today </w:t>
      </w:r>
      <w:r w:rsidRPr="00581494">
        <w:rPr>
          <w:rFonts w:ascii="Calibri" w:hAnsi="Calibri" w:cs="Calibri"/>
          <w:color w:val="000000" w:themeColor="text1"/>
          <w:sz w:val="18"/>
          <w:szCs w:val="18"/>
        </w:rPr>
        <w:t>4:12 (1988), 332-334; WBGA, 30304899, ‘River blindness founda</w:t>
      </w:r>
      <w:r w:rsidRPr="00E259AA">
        <w:rPr>
          <w:rFonts w:ascii="Calibri" w:hAnsi="Calibri" w:cs="Calibri"/>
          <w:color w:val="000000" w:themeColor="text1"/>
          <w:sz w:val="18"/>
          <w:szCs w:val="18"/>
        </w:rPr>
        <w:t xml:space="preserve">tion newsletter’ 1:1 (1991); Sightsavers, ‘River blindness’ [video screen shot] (online), 7 December 2010, &lt;https://www.youtube.com/watch?v=T8FYSRLY23A&gt; [accessed 14 June 2019]; Merck, Sharpe &amp; Dohme, ‘Over 30 years: the Mectizan Donation Program’ (online), s.d., &lt;https://www.merck.com/about/featured-stories/mectizan.html&gt; [accessed 14 June 2019]; Merck, Sharpe &amp; Dohme, ‘Corporate responsibility report 2017-2018: Mectizan Donation Program’ (online), s.d., &lt;https://www.msdresponsibility.com/access-to-health/key-initiatives/mectizan-donation-program/&gt; [accessed 14 June 2019]; WBGA, 30304908, Hopkins DR and Richards F, ‘Visionary campaign: eliminating river blindness’, </w:t>
      </w:r>
      <w:r w:rsidRPr="00E259AA">
        <w:rPr>
          <w:rFonts w:ascii="Calibri" w:hAnsi="Calibri" w:cs="Calibri"/>
          <w:i/>
          <w:color w:val="000000" w:themeColor="text1"/>
          <w:sz w:val="18"/>
          <w:szCs w:val="18"/>
        </w:rPr>
        <w:t xml:space="preserve">Reprint from the 1997 Medical and Health Annual </w:t>
      </w:r>
      <w:r w:rsidRPr="00E259AA">
        <w:rPr>
          <w:rFonts w:ascii="Calibri" w:hAnsi="Calibri" w:cs="Calibri"/>
          <w:color w:val="000000" w:themeColor="text1"/>
          <w:sz w:val="18"/>
          <w:szCs w:val="18"/>
        </w:rPr>
        <w:t xml:space="preserve">(1996). </w:t>
      </w:r>
    </w:p>
  </w:footnote>
  <w:footnote w:id="981">
    <w:p w14:paraId="564C6E62" w14:textId="77620DBD" w:rsidR="00CF189D" w:rsidRPr="00546CBA"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w:t>
      </w:r>
      <w:r w:rsidRPr="00681100">
        <w:rPr>
          <w:rFonts w:ascii="Calibri" w:hAnsi="Calibri" w:cs="Calibri"/>
          <w:color w:val="000000" w:themeColor="text1"/>
          <w:sz w:val="18"/>
          <w:szCs w:val="18"/>
        </w:rPr>
        <w:t xml:space="preserve">he famous onchocerciasis image originally appeared in the </w:t>
      </w:r>
      <w:r w:rsidRPr="00681100">
        <w:rPr>
          <w:rFonts w:ascii="Calibri" w:hAnsi="Calibri" w:cs="Calibri"/>
          <w:i/>
          <w:color w:val="000000" w:themeColor="text1"/>
          <w:sz w:val="18"/>
          <w:szCs w:val="18"/>
        </w:rPr>
        <w:t xml:space="preserve">World Health </w:t>
      </w:r>
      <w:r w:rsidRPr="00681100">
        <w:rPr>
          <w:rFonts w:ascii="Calibri" w:hAnsi="Calibri" w:cs="Calibri"/>
          <w:color w:val="000000" w:themeColor="text1"/>
          <w:sz w:val="18"/>
          <w:szCs w:val="18"/>
        </w:rPr>
        <w:t xml:space="preserve">magazine in an article about river blindness in 1962. </w:t>
      </w:r>
      <w:r w:rsidRPr="00546CBA">
        <w:rPr>
          <w:rFonts w:ascii="Calibri" w:hAnsi="Calibri" w:cs="Calibri"/>
          <w:color w:val="000000" w:themeColor="text1"/>
          <w:sz w:val="18"/>
          <w:szCs w:val="18"/>
        </w:rPr>
        <w:t xml:space="preserve">Permission granted from the WHO Press </w:t>
      </w:r>
      <w:r>
        <w:rPr>
          <w:rFonts w:ascii="Calibri" w:hAnsi="Calibri" w:cs="Calibri"/>
          <w:color w:val="000000" w:themeColor="text1"/>
          <w:sz w:val="18"/>
          <w:szCs w:val="18"/>
        </w:rPr>
        <w:t>in</w:t>
      </w:r>
      <w:r w:rsidRPr="00546CBA">
        <w:rPr>
          <w:rFonts w:ascii="Calibri" w:hAnsi="Calibri" w:cs="Calibri"/>
          <w:color w:val="000000" w:themeColor="text1"/>
          <w:sz w:val="18"/>
          <w:szCs w:val="18"/>
        </w:rPr>
        <w:t xml:space="preserve"> May 2020. Reproduced from WHOL, </w:t>
      </w:r>
      <w:r w:rsidRPr="00546CBA">
        <w:rPr>
          <w:rFonts w:ascii="Calibri" w:hAnsi="Calibri" w:cs="Calibri"/>
          <w:i/>
          <w:color w:val="000000" w:themeColor="text1"/>
          <w:sz w:val="18"/>
          <w:szCs w:val="18"/>
        </w:rPr>
        <w:t>World Health</w:t>
      </w:r>
      <w:r w:rsidRPr="00546CBA">
        <w:rPr>
          <w:rFonts w:ascii="Calibri" w:hAnsi="Calibri" w:cs="Calibri"/>
          <w:color w:val="000000" w:themeColor="text1"/>
          <w:sz w:val="18"/>
          <w:szCs w:val="18"/>
        </w:rPr>
        <w:t xml:space="preserve"> (March-April 1962 ed.), ‘Tropical River Blindness’, pages 16-17, copyright 1962. </w:t>
      </w:r>
    </w:p>
  </w:footnote>
  <w:footnote w:id="982">
    <w:p w14:paraId="4D338E20" w14:textId="7DE7B816" w:rsidR="00CF189D" w:rsidRPr="00E259AA"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681100">
        <w:rPr>
          <w:rFonts w:ascii="Calibri" w:hAnsi="Calibri" w:cs="Calibri"/>
          <w:color w:val="000000" w:themeColor="text1"/>
          <w:sz w:val="18"/>
          <w:szCs w:val="18"/>
        </w:rPr>
        <w:t xml:space="preserve">Permission granted from the WHO Press </w:t>
      </w:r>
      <w:r>
        <w:rPr>
          <w:rFonts w:ascii="Calibri" w:hAnsi="Calibri" w:cs="Calibri"/>
          <w:color w:val="000000" w:themeColor="text1"/>
          <w:sz w:val="18"/>
          <w:szCs w:val="18"/>
        </w:rPr>
        <w:t>in</w:t>
      </w:r>
      <w:r w:rsidRPr="00681100">
        <w:rPr>
          <w:rFonts w:ascii="Calibri" w:hAnsi="Calibri" w:cs="Calibri"/>
          <w:color w:val="000000" w:themeColor="text1"/>
          <w:sz w:val="18"/>
          <w:szCs w:val="18"/>
        </w:rPr>
        <w:t xml:space="preserve"> May 2020. Reproduced from WHOL, </w:t>
      </w:r>
      <w:r w:rsidRPr="00681100">
        <w:rPr>
          <w:rFonts w:ascii="Calibri" w:hAnsi="Calibri" w:cs="Calibri"/>
          <w:i/>
          <w:color w:val="000000" w:themeColor="text1"/>
          <w:sz w:val="18"/>
          <w:szCs w:val="18"/>
        </w:rPr>
        <w:t xml:space="preserve">World Health </w:t>
      </w:r>
      <w:r w:rsidRPr="000045FB">
        <w:rPr>
          <w:rFonts w:ascii="Calibri" w:hAnsi="Calibri" w:cs="Calibri"/>
          <w:color w:val="000000" w:themeColor="text1"/>
          <w:sz w:val="18"/>
          <w:szCs w:val="18"/>
        </w:rPr>
        <w:t>(June 1970 ed.)</w:t>
      </w:r>
      <w:r w:rsidRPr="00581494">
        <w:rPr>
          <w:rFonts w:ascii="Calibri" w:hAnsi="Calibri" w:cs="Calibri"/>
          <w:color w:val="000000" w:themeColor="text1"/>
          <w:sz w:val="18"/>
          <w:szCs w:val="18"/>
        </w:rPr>
        <w:t xml:space="preserve">, ‘The Barrier of Blindness’, J. Abcede, </w:t>
      </w:r>
      <w:r w:rsidRPr="00E259AA">
        <w:rPr>
          <w:rFonts w:ascii="Calibri" w:hAnsi="Calibri" w:cs="Calibri"/>
          <w:color w:val="000000" w:themeColor="text1"/>
          <w:sz w:val="18"/>
          <w:szCs w:val="18"/>
        </w:rPr>
        <w:t>page 22, copyright 1970.</w:t>
      </w:r>
    </w:p>
  </w:footnote>
  <w:footnote w:id="983">
    <w:p w14:paraId="4DE04A60" w14:textId="0D124F19" w:rsidR="00CF189D" w:rsidRPr="000045FB"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‘A plague against the land</w:t>
      </w:r>
      <w:r w:rsidRPr="00681100">
        <w:rPr>
          <w:rFonts w:ascii="Calibri" w:hAnsi="Calibri" w:cs="Calibri"/>
          <w:color w:val="000000" w:themeColor="text1"/>
          <w:sz w:val="18"/>
          <w:szCs w:val="18"/>
        </w:rPr>
        <w:t xml:space="preserve">’ [video screen shot, c. 1973] (online), &lt;https://www.youtube.com/watch?v=lfAxPY3o_CY&gt; [accessed 15 July 2019]. Reproduced under CC BY-NC-SA 4.0. </w:t>
      </w:r>
    </w:p>
  </w:footnote>
  <w:footnote w:id="984">
    <w:p w14:paraId="30921C2B" w14:textId="1243CED2" w:rsidR="00CF189D" w:rsidRPr="00E259AA"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681100">
        <w:rPr>
          <w:rFonts w:ascii="Calibri" w:hAnsi="Calibri" w:cs="Calibri"/>
          <w:color w:val="000000" w:themeColor="text1"/>
          <w:sz w:val="18"/>
          <w:szCs w:val="18"/>
        </w:rPr>
        <w:t xml:space="preserve">Permission granted from the WHO Press </w:t>
      </w:r>
      <w:r>
        <w:rPr>
          <w:rFonts w:ascii="Calibri" w:hAnsi="Calibri" w:cs="Calibri"/>
          <w:color w:val="000000" w:themeColor="text1"/>
          <w:sz w:val="18"/>
          <w:szCs w:val="18"/>
        </w:rPr>
        <w:t>in</w:t>
      </w:r>
      <w:r w:rsidRPr="00681100">
        <w:rPr>
          <w:rFonts w:ascii="Calibri" w:hAnsi="Calibri" w:cs="Calibri"/>
          <w:color w:val="000000" w:themeColor="text1"/>
          <w:sz w:val="18"/>
          <w:szCs w:val="18"/>
        </w:rPr>
        <w:t xml:space="preserve"> May 2020. Reproduced from WHOL, </w:t>
      </w:r>
      <w:r w:rsidRPr="00681100">
        <w:rPr>
          <w:rFonts w:ascii="Calibri" w:hAnsi="Calibri" w:cs="Calibri"/>
          <w:i/>
          <w:color w:val="000000" w:themeColor="text1"/>
          <w:sz w:val="18"/>
          <w:szCs w:val="18"/>
        </w:rPr>
        <w:t xml:space="preserve">World Health </w:t>
      </w:r>
      <w:r w:rsidRPr="000045FB">
        <w:rPr>
          <w:rFonts w:ascii="Calibri" w:hAnsi="Calibri" w:cs="Calibri"/>
          <w:color w:val="000000" w:themeColor="text1"/>
          <w:sz w:val="18"/>
          <w:szCs w:val="18"/>
        </w:rPr>
        <w:t>(October 1973 ed.)</w:t>
      </w:r>
      <w:r w:rsidRPr="00581494">
        <w:rPr>
          <w:rFonts w:ascii="Calibri" w:hAnsi="Calibri" w:cs="Calibri"/>
          <w:color w:val="000000" w:themeColor="text1"/>
          <w:sz w:val="18"/>
          <w:szCs w:val="18"/>
        </w:rPr>
        <w:t>, page 2, copyright 1973</w:t>
      </w:r>
      <w:r w:rsidRPr="00E259AA">
        <w:rPr>
          <w:rFonts w:ascii="Calibri" w:hAnsi="Calibri" w:cs="Calibri"/>
          <w:color w:val="000000" w:themeColor="text1"/>
          <w:sz w:val="18"/>
          <w:szCs w:val="18"/>
        </w:rPr>
        <w:t>.</w:t>
      </w:r>
    </w:p>
  </w:footnote>
  <w:footnote w:id="985">
    <w:p w14:paraId="704F688C" w14:textId="07B5F071" w:rsidR="00CF189D" w:rsidRPr="00546CBA"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681100">
        <w:rPr>
          <w:rFonts w:ascii="Calibri" w:hAnsi="Calibri" w:cs="Calibri"/>
          <w:color w:val="000000" w:themeColor="text1"/>
          <w:sz w:val="18"/>
          <w:szCs w:val="18"/>
        </w:rPr>
        <w:t xml:space="preserve">Permission granted from the WHO Press </w:t>
      </w:r>
      <w:r>
        <w:rPr>
          <w:rFonts w:ascii="Calibri" w:hAnsi="Calibri" w:cs="Calibri"/>
          <w:color w:val="000000" w:themeColor="text1"/>
          <w:sz w:val="18"/>
          <w:szCs w:val="18"/>
        </w:rPr>
        <w:t xml:space="preserve">in </w:t>
      </w:r>
      <w:r w:rsidRPr="00681100">
        <w:rPr>
          <w:rFonts w:ascii="Calibri" w:hAnsi="Calibri" w:cs="Calibri"/>
          <w:color w:val="000000" w:themeColor="text1"/>
          <w:sz w:val="18"/>
          <w:szCs w:val="18"/>
        </w:rPr>
        <w:t xml:space="preserve">May 2020. Reproduced from WHOL, </w:t>
      </w:r>
      <w:r w:rsidRPr="00546CBA">
        <w:rPr>
          <w:rFonts w:ascii="Calibri" w:hAnsi="Calibri" w:cs="Calibri"/>
          <w:i/>
          <w:color w:val="000000" w:themeColor="text1"/>
          <w:sz w:val="18"/>
          <w:szCs w:val="18"/>
        </w:rPr>
        <w:t xml:space="preserve">World Health </w:t>
      </w:r>
      <w:r w:rsidRPr="00546CBA">
        <w:rPr>
          <w:rFonts w:ascii="Calibri" w:hAnsi="Calibri" w:cs="Calibri"/>
          <w:color w:val="000000" w:themeColor="text1"/>
          <w:sz w:val="18"/>
          <w:szCs w:val="18"/>
        </w:rPr>
        <w:t>(May 1974 ed.), Tomiche FJ, ‘Man versus blackfly’, copyright 1974.</w:t>
      </w:r>
    </w:p>
  </w:footnote>
  <w:footnote w:id="986">
    <w:p w14:paraId="316AB547" w14:textId="76967287" w:rsidR="00CF189D" w:rsidRPr="00E259AA"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681100">
        <w:rPr>
          <w:rFonts w:ascii="Calibri" w:hAnsi="Calibri" w:cs="Calibri"/>
          <w:color w:val="000000" w:themeColor="text1"/>
          <w:sz w:val="18"/>
          <w:szCs w:val="18"/>
        </w:rPr>
        <w:t xml:space="preserve">Permission granted from the WHO Press </w:t>
      </w:r>
      <w:r>
        <w:rPr>
          <w:rFonts w:ascii="Calibri" w:hAnsi="Calibri" w:cs="Calibri"/>
          <w:color w:val="000000" w:themeColor="text1"/>
          <w:sz w:val="18"/>
          <w:szCs w:val="18"/>
        </w:rPr>
        <w:t>in</w:t>
      </w:r>
      <w:r w:rsidRPr="00681100">
        <w:rPr>
          <w:rFonts w:ascii="Calibri" w:hAnsi="Calibri" w:cs="Calibri"/>
          <w:color w:val="000000" w:themeColor="text1"/>
          <w:sz w:val="18"/>
          <w:szCs w:val="18"/>
        </w:rPr>
        <w:t xml:space="preserve"> May 2020. Reproduced from WHOL, </w:t>
      </w:r>
      <w:r w:rsidRPr="000045FB">
        <w:rPr>
          <w:rFonts w:ascii="Calibri" w:hAnsi="Calibri" w:cs="Calibri"/>
          <w:i/>
          <w:color w:val="000000" w:themeColor="text1"/>
          <w:sz w:val="18"/>
          <w:szCs w:val="18"/>
        </w:rPr>
        <w:t xml:space="preserve">World Health </w:t>
      </w:r>
      <w:r w:rsidRPr="000045FB">
        <w:rPr>
          <w:rFonts w:ascii="Calibri" w:hAnsi="Calibri" w:cs="Calibri"/>
          <w:color w:val="000000" w:themeColor="text1"/>
          <w:sz w:val="18"/>
          <w:szCs w:val="18"/>
        </w:rPr>
        <w:t>(December 1976 ed.</w:t>
      </w:r>
      <w:r w:rsidRPr="00581494">
        <w:rPr>
          <w:rFonts w:ascii="Calibri" w:hAnsi="Calibri" w:cs="Calibri"/>
          <w:color w:val="000000" w:themeColor="text1"/>
          <w:sz w:val="18"/>
          <w:szCs w:val="18"/>
        </w:rPr>
        <w:t>), copyright 1976</w:t>
      </w:r>
      <w:r w:rsidRPr="00E259AA">
        <w:rPr>
          <w:rFonts w:ascii="Calibri" w:hAnsi="Calibri" w:cs="Calibri"/>
          <w:color w:val="000000" w:themeColor="text1"/>
          <w:sz w:val="18"/>
          <w:szCs w:val="18"/>
        </w:rPr>
        <w:t>.</w:t>
      </w:r>
    </w:p>
  </w:footnote>
  <w:footnote w:id="987">
    <w:p w14:paraId="65B9265A" w14:textId="68CC4637" w:rsidR="00CF189D" w:rsidRPr="00CF189D" w:rsidRDefault="00CF189D" w:rsidP="00CF189D">
      <w:pPr>
        <w:rPr>
          <w:rFonts w:ascii="Calibri" w:hAnsi="Calibri" w:cs="Calibri"/>
          <w:sz w:val="18"/>
          <w:szCs w:val="18"/>
        </w:rPr>
      </w:pPr>
      <w:r w:rsidRPr="00E259AA">
        <w:rPr>
          <w:rStyle w:val="FootnoteReference"/>
          <w:rFonts w:ascii="Calibri" w:hAnsi="Calibri" w:cs="Calibri"/>
          <w:color w:val="000000" w:themeColor="text1"/>
          <w:sz w:val="18"/>
          <w:szCs w:val="18"/>
        </w:rPr>
        <w:footnoteRef/>
      </w:r>
      <w:r w:rsidRPr="00E259AA">
        <w:rPr>
          <w:rFonts w:ascii="Calibri" w:hAnsi="Calibri" w:cs="Calibri"/>
          <w:color w:val="000000" w:themeColor="text1"/>
          <w:sz w:val="18"/>
          <w:szCs w:val="18"/>
        </w:rPr>
        <w:t xml:space="preserve"> WHO PL, WHO_A_011854, ‘A poster in Ghana encouraging people to help in the fight against onchocerciasis’ (AFRO: D.L. Deriaz, 1970-1979). Reproduced under the terms of the WHO Photo Library.</w:t>
      </w:r>
    </w:p>
  </w:footnote>
  <w:footnote w:id="988">
    <w:p w14:paraId="0B01486E" w14:textId="384C44E0" w:rsidR="00CF189D" w:rsidRPr="000045FB"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Blinkhorn TA, ‘Rivers of disease’, </w:t>
      </w:r>
      <w:r w:rsidRPr="00681100">
        <w:rPr>
          <w:rFonts w:ascii="Calibri" w:hAnsi="Calibri" w:cs="Calibri"/>
          <w:i/>
          <w:color w:val="000000" w:themeColor="text1"/>
          <w:sz w:val="18"/>
          <w:szCs w:val="18"/>
        </w:rPr>
        <w:t xml:space="preserve">The Bank’s World </w:t>
      </w:r>
      <w:r w:rsidRPr="00681100">
        <w:rPr>
          <w:rFonts w:ascii="Calibri" w:hAnsi="Calibri" w:cs="Calibri"/>
          <w:color w:val="000000" w:themeColor="text1"/>
          <w:sz w:val="18"/>
          <w:szCs w:val="18"/>
        </w:rPr>
        <w:t>(June 1982), 4-6.</w:t>
      </w:r>
      <w:r w:rsidRPr="000045FB">
        <w:rPr>
          <w:rFonts w:ascii="Calibri" w:hAnsi="Calibri" w:cs="Calibri"/>
          <w:color w:val="000000" w:themeColor="text1"/>
          <w:sz w:val="18"/>
          <w:szCs w:val="18"/>
        </w:rPr>
        <w:t xml:space="preserve"> Reproduced under CC BY-NC-SA 4.0.</w:t>
      </w:r>
    </w:p>
  </w:footnote>
  <w:footnote w:id="989">
    <w:p w14:paraId="26730B67" w14:textId="3B9DD06B" w:rsidR="00CF189D" w:rsidRPr="00E259AA"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681100">
        <w:rPr>
          <w:rFonts w:ascii="Calibri" w:hAnsi="Calibri" w:cs="Calibri"/>
          <w:color w:val="000000" w:themeColor="text1"/>
          <w:sz w:val="18"/>
          <w:szCs w:val="18"/>
        </w:rPr>
        <w:t xml:space="preserve">Permission granted from the WHO Press </w:t>
      </w:r>
      <w:r>
        <w:rPr>
          <w:rFonts w:ascii="Calibri" w:hAnsi="Calibri" w:cs="Calibri"/>
          <w:color w:val="000000" w:themeColor="text1"/>
          <w:sz w:val="18"/>
          <w:szCs w:val="18"/>
        </w:rPr>
        <w:t xml:space="preserve">in </w:t>
      </w:r>
      <w:r w:rsidRPr="00681100">
        <w:rPr>
          <w:rFonts w:ascii="Calibri" w:hAnsi="Calibri" w:cs="Calibri"/>
          <w:color w:val="000000" w:themeColor="text1"/>
          <w:sz w:val="18"/>
          <w:szCs w:val="18"/>
        </w:rPr>
        <w:t xml:space="preserve">May 2020. Reproduced from WHOL, </w:t>
      </w:r>
      <w:r w:rsidRPr="00681100">
        <w:rPr>
          <w:rFonts w:ascii="Calibri" w:hAnsi="Calibri" w:cs="Calibri"/>
          <w:i/>
          <w:color w:val="000000" w:themeColor="text1"/>
          <w:sz w:val="18"/>
          <w:szCs w:val="18"/>
        </w:rPr>
        <w:t xml:space="preserve">World Health </w:t>
      </w:r>
      <w:r w:rsidRPr="000045FB">
        <w:rPr>
          <w:rFonts w:ascii="Calibri" w:hAnsi="Calibri" w:cs="Calibri"/>
          <w:color w:val="000000" w:themeColor="text1"/>
          <w:sz w:val="18"/>
          <w:szCs w:val="18"/>
        </w:rPr>
        <w:t>(January 1983 ed.)</w:t>
      </w:r>
      <w:r w:rsidRPr="00581494">
        <w:rPr>
          <w:rFonts w:ascii="Calibri" w:hAnsi="Calibri" w:cs="Calibri"/>
          <w:color w:val="000000" w:themeColor="text1"/>
          <w:sz w:val="18"/>
          <w:szCs w:val="18"/>
        </w:rPr>
        <w:t>, page 7, c</w:t>
      </w:r>
      <w:r w:rsidRPr="00E259AA">
        <w:rPr>
          <w:rFonts w:ascii="Calibri" w:hAnsi="Calibri" w:cs="Calibri"/>
          <w:color w:val="000000" w:themeColor="text1"/>
          <w:sz w:val="18"/>
          <w:szCs w:val="18"/>
        </w:rPr>
        <w:t>opyright 1983.</w:t>
      </w:r>
    </w:p>
  </w:footnote>
  <w:footnote w:id="990">
    <w:p w14:paraId="4A2C76EA" w14:textId="03143ACC"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footnoteRef/>
      </w:r>
      <w:r w:rsidRPr="00CF189D">
        <w:rPr>
          <w:rFonts w:ascii="Calibri" w:hAnsi="Calibri" w:cs="Calibri"/>
          <w:sz w:val="18"/>
          <w:szCs w:val="18"/>
        </w:rPr>
        <w:t xml:space="preserve"> </w:t>
      </w:r>
      <w:r w:rsidRPr="00546CBA">
        <w:rPr>
          <w:rFonts w:ascii="Calibri" w:hAnsi="Calibri" w:cs="Calibri"/>
          <w:color w:val="000000" w:themeColor="text1"/>
          <w:sz w:val="18"/>
          <w:szCs w:val="18"/>
        </w:rPr>
        <w:t xml:space="preserve">Permission granted from the WHO Press </w:t>
      </w:r>
      <w:r>
        <w:rPr>
          <w:rFonts w:ascii="Calibri" w:hAnsi="Calibri" w:cs="Calibri"/>
          <w:color w:val="000000" w:themeColor="text1"/>
          <w:sz w:val="18"/>
          <w:szCs w:val="18"/>
        </w:rPr>
        <w:t xml:space="preserve">in </w:t>
      </w:r>
      <w:r w:rsidRPr="00546CBA">
        <w:rPr>
          <w:rFonts w:ascii="Calibri" w:hAnsi="Calibri" w:cs="Calibri"/>
          <w:color w:val="000000" w:themeColor="text1"/>
          <w:sz w:val="18"/>
          <w:szCs w:val="18"/>
        </w:rPr>
        <w:t xml:space="preserve">May 2020. Reproduced from WHOL, </w:t>
      </w:r>
      <w:r w:rsidRPr="00681100">
        <w:rPr>
          <w:rFonts w:ascii="Calibri" w:hAnsi="Calibri" w:cs="Calibri"/>
          <w:i/>
          <w:color w:val="000000" w:themeColor="text1"/>
          <w:sz w:val="18"/>
          <w:szCs w:val="18"/>
        </w:rPr>
        <w:t xml:space="preserve">World Health </w:t>
      </w:r>
      <w:r w:rsidRPr="00681100">
        <w:rPr>
          <w:rFonts w:ascii="Calibri" w:hAnsi="Calibri" w:cs="Calibri"/>
          <w:color w:val="000000" w:themeColor="text1"/>
          <w:sz w:val="18"/>
          <w:szCs w:val="18"/>
        </w:rPr>
        <w:t>(October 1985 ed.)</w:t>
      </w:r>
      <w:r w:rsidRPr="000045FB">
        <w:rPr>
          <w:rFonts w:ascii="Calibri" w:hAnsi="Calibri" w:cs="Calibri"/>
          <w:color w:val="000000" w:themeColor="text1"/>
          <w:sz w:val="18"/>
          <w:szCs w:val="18"/>
        </w:rPr>
        <w:t>, Halfdan Mahler, ‘Success Story’, copyright 1985.</w:t>
      </w:r>
    </w:p>
  </w:footnote>
  <w:footnote w:id="991">
    <w:p w14:paraId="2DC6462C" w14:textId="47956381"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footnoteRef/>
      </w:r>
      <w:r w:rsidRPr="00CF189D">
        <w:rPr>
          <w:rFonts w:ascii="Calibri" w:hAnsi="Calibri" w:cs="Calibri"/>
          <w:sz w:val="18"/>
          <w:szCs w:val="18"/>
        </w:rPr>
        <w:t xml:space="preserve"> </w:t>
      </w:r>
      <w:r w:rsidRPr="00546CBA">
        <w:rPr>
          <w:rFonts w:ascii="Calibri" w:hAnsi="Calibri" w:cs="Calibri"/>
          <w:color w:val="000000" w:themeColor="text1"/>
          <w:sz w:val="18"/>
          <w:szCs w:val="18"/>
        </w:rPr>
        <w:t xml:space="preserve">Permission granted from the WHO Press </w:t>
      </w:r>
      <w:r>
        <w:rPr>
          <w:rFonts w:ascii="Calibri" w:hAnsi="Calibri" w:cs="Calibri"/>
          <w:color w:val="000000" w:themeColor="text1"/>
          <w:sz w:val="18"/>
          <w:szCs w:val="18"/>
        </w:rPr>
        <w:t>in</w:t>
      </w:r>
      <w:r w:rsidRPr="00546CBA">
        <w:rPr>
          <w:rFonts w:ascii="Calibri" w:hAnsi="Calibri" w:cs="Calibri"/>
          <w:color w:val="000000" w:themeColor="text1"/>
          <w:sz w:val="18"/>
          <w:szCs w:val="18"/>
        </w:rPr>
        <w:t xml:space="preserve"> May 2020. Reproduced from WHOL, </w:t>
      </w:r>
      <w:r w:rsidRPr="00681100">
        <w:rPr>
          <w:rFonts w:ascii="Calibri" w:hAnsi="Calibri" w:cs="Calibri"/>
          <w:i/>
          <w:color w:val="000000" w:themeColor="text1"/>
          <w:sz w:val="18"/>
          <w:szCs w:val="18"/>
        </w:rPr>
        <w:t xml:space="preserve">World Health </w:t>
      </w:r>
      <w:r w:rsidRPr="00681100">
        <w:rPr>
          <w:rFonts w:ascii="Calibri" w:hAnsi="Calibri" w:cs="Calibri"/>
          <w:color w:val="000000" w:themeColor="text1"/>
          <w:sz w:val="18"/>
          <w:szCs w:val="18"/>
        </w:rPr>
        <w:t>(October 1985 ed.),</w:t>
      </w:r>
      <w:r w:rsidRPr="000045FB">
        <w:rPr>
          <w:rFonts w:ascii="Calibri" w:hAnsi="Calibri" w:cs="Calibri"/>
          <w:color w:val="000000" w:themeColor="text1"/>
          <w:sz w:val="18"/>
          <w:szCs w:val="18"/>
        </w:rPr>
        <w:t xml:space="preserve"> ‘Riverblindness: A Battle Fought and Won’, copyright 1985.</w:t>
      </w:r>
    </w:p>
  </w:footnote>
  <w:footnote w:id="992">
    <w:p w14:paraId="6F34DBF8" w14:textId="1052DE99" w:rsidR="00CF189D" w:rsidRPr="00546CBA"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681100">
        <w:rPr>
          <w:rFonts w:ascii="Calibri" w:hAnsi="Calibri" w:cs="Calibri"/>
          <w:color w:val="000000" w:themeColor="text1"/>
          <w:sz w:val="18"/>
          <w:szCs w:val="18"/>
        </w:rPr>
        <w:t xml:space="preserve">Permission granted from the WHO Press </w:t>
      </w:r>
      <w:r>
        <w:rPr>
          <w:rFonts w:ascii="Calibri" w:hAnsi="Calibri" w:cs="Calibri"/>
          <w:color w:val="000000" w:themeColor="text1"/>
          <w:sz w:val="18"/>
          <w:szCs w:val="18"/>
        </w:rPr>
        <w:t>in</w:t>
      </w:r>
      <w:r w:rsidRPr="00681100">
        <w:rPr>
          <w:rFonts w:ascii="Calibri" w:hAnsi="Calibri" w:cs="Calibri"/>
          <w:color w:val="000000" w:themeColor="text1"/>
          <w:sz w:val="18"/>
          <w:szCs w:val="18"/>
        </w:rPr>
        <w:t xml:space="preserve"> May 2020. Reproduced from </w:t>
      </w:r>
      <w:r w:rsidRPr="00546CBA">
        <w:rPr>
          <w:rFonts w:ascii="Calibri" w:hAnsi="Calibri" w:cs="Calibri"/>
          <w:color w:val="000000" w:themeColor="text1"/>
          <w:sz w:val="18"/>
          <w:szCs w:val="18"/>
        </w:rPr>
        <w:t xml:space="preserve">WHOL, </w:t>
      </w:r>
      <w:r w:rsidRPr="00546CBA">
        <w:rPr>
          <w:rFonts w:ascii="Calibri" w:hAnsi="Calibri" w:cs="Calibri"/>
          <w:i/>
          <w:color w:val="000000" w:themeColor="text1"/>
          <w:sz w:val="18"/>
          <w:szCs w:val="18"/>
        </w:rPr>
        <w:t xml:space="preserve">World Health </w:t>
      </w:r>
      <w:r w:rsidRPr="00546CBA">
        <w:rPr>
          <w:rFonts w:ascii="Calibri" w:hAnsi="Calibri" w:cs="Calibri"/>
          <w:color w:val="000000" w:themeColor="text1"/>
          <w:sz w:val="18"/>
          <w:szCs w:val="18"/>
        </w:rPr>
        <w:t xml:space="preserve">(October 1985 ed.), ‘Decline and Fall of a Disease’, page 22, copyright 1985. </w:t>
      </w:r>
    </w:p>
  </w:footnote>
  <w:footnote w:id="993">
    <w:p w14:paraId="2ADADA11" w14:textId="751139C3" w:rsidR="00CF189D" w:rsidRPr="000045FB"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30304899, USAID, ‘Ivernectin Delivery Program’, </w:t>
      </w:r>
      <w:r w:rsidRPr="00681100">
        <w:rPr>
          <w:rFonts w:ascii="Calibri" w:hAnsi="Calibri" w:cs="Calibri"/>
          <w:i/>
          <w:color w:val="000000" w:themeColor="text1"/>
          <w:sz w:val="18"/>
          <w:szCs w:val="18"/>
        </w:rPr>
        <w:t>UpDate</w:t>
      </w:r>
      <w:r w:rsidRPr="00681100">
        <w:rPr>
          <w:rFonts w:ascii="Calibri" w:hAnsi="Calibri" w:cs="Calibri"/>
          <w:color w:val="000000" w:themeColor="text1"/>
          <w:sz w:val="18"/>
          <w:szCs w:val="18"/>
        </w:rPr>
        <w:t>, January 1992. Re</w:t>
      </w:r>
      <w:r w:rsidRPr="000045FB">
        <w:rPr>
          <w:rFonts w:ascii="Calibri" w:hAnsi="Calibri" w:cs="Calibri"/>
          <w:color w:val="000000" w:themeColor="text1"/>
          <w:sz w:val="18"/>
          <w:szCs w:val="18"/>
        </w:rPr>
        <w:t>produced under CC BY-NC-SA 4.0.</w:t>
      </w:r>
    </w:p>
  </w:footnote>
  <w:footnote w:id="994">
    <w:p w14:paraId="28EC96BE" w14:textId="642B8820" w:rsidR="00CF189D" w:rsidRPr="000045FB"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McMil</w:t>
      </w:r>
      <w:r w:rsidRPr="00681100">
        <w:rPr>
          <w:rFonts w:ascii="Calibri" w:hAnsi="Calibri" w:cs="Calibri"/>
          <w:color w:val="000000" w:themeColor="text1"/>
          <w:sz w:val="18"/>
          <w:szCs w:val="18"/>
        </w:rPr>
        <w:t xml:space="preserve">lan et al., </w:t>
      </w:r>
      <w:r w:rsidRPr="00681100">
        <w:rPr>
          <w:rFonts w:ascii="Calibri" w:hAnsi="Calibri" w:cs="Calibri"/>
          <w:i/>
          <w:color w:val="000000" w:themeColor="text1"/>
          <w:sz w:val="18"/>
          <w:szCs w:val="18"/>
        </w:rPr>
        <w:t xml:space="preserve">Settlement and development in the river blindness control zone: case study, Burkina Faso </w:t>
      </w:r>
      <w:r w:rsidRPr="00681100">
        <w:rPr>
          <w:rFonts w:ascii="Calibri" w:hAnsi="Calibri" w:cs="Calibri"/>
          <w:color w:val="000000" w:themeColor="text1"/>
          <w:sz w:val="18"/>
          <w:szCs w:val="18"/>
        </w:rPr>
        <w:t>(Washington DC: World Bank, 1993).</w:t>
      </w:r>
      <w:r w:rsidRPr="000045FB">
        <w:rPr>
          <w:rFonts w:ascii="Calibri" w:hAnsi="Calibri" w:cs="Calibri"/>
          <w:color w:val="000000" w:themeColor="text1"/>
          <w:sz w:val="18"/>
          <w:szCs w:val="18"/>
        </w:rPr>
        <w:t xml:space="preserve"> Reproduced under CC BY-NC-SA 4.0.</w:t>
      </w:r>
    </w:p>
  </w:footnote>
  <w:footnote w:id="995">
    <w:p w14:paraId="2C77B8B1" w14:textId="2361B9A9" w:rsidR="00CF189D" w:rsidRPr="000045FB"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Kim A and Benton B, </w:t>
      </w:r>
      <w:r w:rsidRPr="00681100">
        <w:rPr>
          <w:rFonts w:ascii="Calibri" w:hAnsi="Calibri" w:cs="Calibri"/>
          <w:i/>
          <w:color w:val="000000" w:themeColor="text1"/>
          <w:sz w:val="18"/>
          <w:szCs w:val="18"/>
        </w:rPr>
        <w:t xml:space="preserve">Cost-benefit analysis of the Onchocerciasis Control Program </w:t>
      </w:r>
      <w:r w:rsidRPr="00681100">
        <w:rPr>
          <w:rFonts w:ascii="Calibri" w:hAnsi="Calibri" w:cs="Calibri"/>
          <w:color w:val="000000" w:themeColor="text1"/>
          <w:sz w:val="18"/>
          <w:szCs w:val="18"/>
        </w:rPr>
        <w:t>(Washington DC: World Bank, 1995).</w:t>
      </w:r>
      <w:r w:rsidRPr="000045FB">
        <w:rPr>
          <w:rFonts w:ascii="Calibri" w:hAnsi="Calibri" w:cs="Calibri"/>
          <w:color w:val="000000" w:themeColor="text1"/>
          <w:sz w:val="18"/>
          <w:szCs w:val="18"/>
        </w:rPr>
        <w:t xml:space="preserve"> Reproduced under CC BY-NC-SA 4.0.</w:t>
      </w:r>
    </w:p>
  </w:footnote>
  <w:footnote w:id="996">
    <w:p w14:paraId="6237660A" w14:textId="68FB4B91" w:rsidR="00CF189D" w:rsidRPr="00581494"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Carter Center, </w:t>
      </w:r>
      <w:r w:rsidRPr="00681100">
        <w:rPr>
          <w:rFonts w:ascii="Calibri" w:hAnsi="Calibri" w:cs="Calibri"/>
          <w:i/>
          <w:color w:val="000000" w:themeColor="text1"/>
          <w:sz w:val="18"/>
          <w:szCs w:val="18"/>
        </w:rPr>
        <w:t xml:space="preserve">Waging peace around the world: the Carter Center 1995-1996 annual report </w:t>
      </w:r>
      <w:r w:rsidRPr="00681100">
        <w:rPr>
          <w:rFonts w:ascii="Calibri" w:hAnsi="Calibri" w:cs="Calibri"/>
          <w:color w:val="000000" w:themeColor="text1"/>
          <w:sz w:val="18"/>
          <w:szCs w:val="18"/>
        </w:rPr>
        <w:t>(Atlanta: Carter</w:t>
      </w:r>
      <w:r w:rsidRPr="000045FB">
        <w:rPr>
          <w:rFonts w:ascii="Calibri" w:hAnsi="Calibri" w:cs="Calibri"/>
          <w:color w:val="000000" w:themeColor="text1"/>
          <w:sz w:val="18"/>
          <w:szCs w:val="18"/>
        </w:rPr>
        <w:t xml:space="preserve"> Center, 1996). Permis</w:t>
      </w:r>
      <w:r w:rsidRPr="00581494">
        <w:rPr>
          <w:rFonts w:ascii="Calibri" w:hAnsi="Calibri" w:cs="Calibri"/>
          <w:color w:val="000000" w:themeColor="text1"/>
          <w:sz w:val="18"/>
          <w:szCs w:val="18"/>
        </w:rPr>
        <w:t xml:space="preserve">sion to reproduce granted by the Carter Center </w:t>
      </w:r>
      <w:r>
        <w:rPr>
          <w:rFonts w:ascii="Calibri" w:hAnsi="Calibri" w:cs="Calibri"/>
          <w:color w:val="000000" w:themeColor="text1"/>
          <w:sz w:val="18"/>
          <w:szCs w:val="18"/>
        </w:rPr>
        <w:t xml:space="preserve">in </w:t>
      </w:r>
      <w:r w:rsidRPr="00581494">
        <w:rPr>
          <w:rFonts w:ascii="Calibri" w:hAnsi="Calibri" w:cs="Calibri"/>
          <w:color w:val="000000" w:themeColor="text1"/>
          <w:sz w:val="18"/>
          <w:szCs w:val="18"/>
        </w:rPr>
        <w:t>April 2020.</w:t>
      </w:r>
    </w:p>
  </w:footnote>
  <w:footnote w:id="997">
    <w:p w14:paraId="254E742C" w14:textId="47CCEF49" w:rsidR="00CF189D" w:rsidRPr="00CF189D" w:rsidRDefault="00CF189D">
      <w:pPr>
        <w:pStyle w:val="FootnoteText"/>
        <w:rPr>
          <w:rFonts w:ascii="Calibri" w:hAnsi="Calibri" w:cs="Calibri"/>
          <w:sz w:val="18"/>
          <w:szCs w:val="18"/>
          <w:lang w:val="en-US"/>
        </w:rPr>
      </w:pPr>
      <w:r w:rsidRPr="00CF189D">
        <w:rPr>
          <w:rStyle w:val="FootnoteReference"/>
          <w:rFonts w:ascii="Calibri" w:hAnsi="Calibri" w:cs="Calibri"/>
          <w:sz w:val="18"/>
          <w:szCs w:val="18"/>
        </w:rPr>
        <w:footnoteRef/>
      </w:r>
      <w:r w:rsidRPr="00CF189D">
        <w:rPr>
          <w:rFonts w:ascii="Calibri" w:hAnsi="Calibri" w:cs="Calibri"/>
          <w:sz w:val="18"/>
          <w:szCs w:val="18"/>
        </w:rPr>
        <w:t xml:space="preserve"> This video </w:t>
      </w:r>
      <w:r w:rsidRPr="00546CBA">
        <w:rPr>
          <w:rFonts w:ascii="Calibri" w:hAnsi="Calibri" w:cs="Calibri"/>
          <w:sz w:val="18"/>
          <w:szCs w:val="18"/>
        </w:rPr>
        <w:t xml:space="preserve">was </w:t>
      </w:r>
      <w:r w:rsidRPr="00CF189D">
        <w:rPr>
          <w:rFonts w:ascii="Calibri" w:hAnsi="Calibri" w:cs="Calibri"/>
          <w:sz w:val="18"/>
          <w:szCs w:val="18"/>
        </w:rPr>
        <w:t xml:space="preserve">digitized and </w:t>
      </w:r>
      <w:r w:rsidRPr="00546CBA">
        <w:rPr>
          <w:rFonts w:ascii="Calibri" w:hAnsi="Calibri" w:cs="Calibri"/>
          <w:sz w:val="18"/>
          <w:szCs w:val="18"/>
        </w:rPr>
        <w:t xml:space="preserve">is </w:t>
      </w:r>
      <w:r w:rsidRPr="00CF189D">
        <w:rPr>
          <w:rFonts w:ascii="Calibri" w:hAnsi="Calibri" w:cs="Calibri"/>
          <w:sz w:val="18"/>
          <w:szCs w:val="18"/>
        </w:rPr>
        <w:t>owned by the World Bank Group Archives</w:t>
      </w:r>
      <w:r w:rsidRPr="00546CBA">
        <w:rPr>
          <w:rFonts w:ascii="Calibri" w:hAnsi="Calibri" w:cs="Calibri"/>
          <w:sz w:val="18"/>
          <w:szCs w:val="18"/>
        </w:rPr>
        <w:t xml:space="preserve">. </w:t>
      </w:r>
      <w:r w:rsidRPr="00681100">
        <w:rPr>
          <w:rFonts w:ascii="Calibri" w:hAnsi="Calibri" w:cs="Calibri"/>
          <w:sz w:val="18"/>
          <w:szCs w:val="18"/>
        </w:rPr>
        <w:t xml:space="preserve">A copy is </w:t>
      </w:r>
      <w:r w:rsidRPr="00CF189D">
        <w:rPr>
          <w:rFonts w:ascii="Calibri" w:hAnsi="Calibri" w:cs="Calibri"/>
          <w:sz w:val="18"/>
          <w:szCs w:val="18"/>
        </w:rPr>
        <w:t xml:space="preserve">available under CC BY-NC-SA 4.0, at </w:t>
      </w:r>
      <w:hyperlink r:id="rId9" w:history="1">
        <w:r w:rsidRPr="00CF189D">
          <w:rPr>
            <w:rStyle w:val="Hyperlink"/>
            <w:rFonts w:ascii="Calibri" w:hAnsi="Calibri" w:cs="Calibri"/>
            <w:sz w:val="18"/>
            <w:szCs w:val="18"/>
          </w:rPr>
          <w:t>https://drive.google.com/open?id=1b70kHfYqKX-9og9W3PZp0WYz5T-0OHX</w:t>
        </w:r>
        <w:r w:rsidRPr="00CF189D">
          <w:rPr>
            <w:rStyle w:val="Hyperlink"/>
            <w:sz w:val="18"/>
            <w:szCs w:val="18"/>
          </w:rPr>
          <w:t>O</w:t>
        </w:r>
      </w:hyperlink>
      <w:r w:rsidRPr="00546CBA">
        <w:rPr>
          <w:rFonts w:ascii="Calibri" w:hAnsi="Calibri" w:cs="Calibri"/>
          <w:sz w:val="18"/>
          <w:szCs w:val="18"/>
        </w:rPr>
        <w:t xml:space="preserve"> or by contacting the World Bank Group Archives.</w:t>
      </w:r>
    </w:p>
  </w:footnote>
  <w:footnote w:id="998">
    <w:p w14:paraId="317A5A8C" w14:textId="796724D4" w:rsidR="00CF189D" w:rsidRPr="00581494"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s.a., ‘Blind leading the blind’, </w:t>
      </w:r>
      <w:r w:rsidRPr="00681100">
        <w:rPr>
          <w:rFonts w:ascii="Calibri" w:hAnsi="Calibri" w:cs="Calibri"/>
          <w:i/>
          <w:color w:val="000000" w:themeColor="text1"/>
          <w:sz w:val="18"/>
          <w:szCs w:val="18"/>
        </w:rPr>
        <w:t xml:space="preserve">BBC News </w:t>
      </w:r>
      <w:r w:rsidRPr="00681100">
        <w:rPr>
          <w:rFonts w:ascii="Calibri" w:hAnsi="Calibri" w:cs="Calibri"/>
          <w:color w:val="000000" w:themeColor="text1"/>
          <w:sz w:val="18"/>
          <w:szCs w:val="18"/>
        </w:rPr>
        <w:t>(online), 11 November 1999, &lt;http://news.bbc.co.uk/1/hi/wor</w:t>
      </w:r>
      <w:r w:rsidRPr="000045FB">
        <w:rPr>
          <w:rFonts w:ascii="Calibri" w:hAnsi="Calibri" w:cs="Calibri"/>
          <w:color w:val="000000" w:themeColor="text1"/>
          <w:sz w:val="18"/>
          <w:szCs w:val="18"/>
        </w:rPr>
        <w:t>ld/africa/516010.stm&gt; [accessed 14 June 2019]. The photograph accompanying this article is of a blind man being led on a stick, in a field.</w:t>
      </w:r>
    </w:p>
  </w:footnote>
  <w:footnote w:id="999">
    <w:p w14:paraId="6D99A7BA" w14:textId="120195B9" w:rsidR="00CF189D" w:rsidRPr="000045FB"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‘Treating river blindness and other neglected tropical diseases’ [video screen shot] (online), 3 July 2014, &lt;http://www.worldbank.org/en/news/feature/2014/07/03/forty-years-late</w:t>
      </w:r>
      <w:r w:rsidRPr="00681100">
        <w:rPr>
          <w:rFonts w:ascii="Calibri" w:hAnsi="Calibri" w:cs="Calibri"/>
          <w:color w:val="000000" w:themeColor="text1"/>
          <w:sz w:val="18"/>
          <w:szCs w:val="18"/>
        </w:rPr>
        <w:t>r-the-extraordinary-river-blindness-partnership-sets-its-sights-on-new-goals&gt; [accessed 14 June 2019]. Reproduced under CC BY-NC-SA 4.0.</w:t>
      </w:r>
    </w:p>
  </w:footnote>
  <w:footnote w:id="1000">
    <w:p w14:paraId="4D5EE262" w14:textId="36E8537A" w:rsidR="00CF189D" w:rsidRPr="00681100"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Transcript of oral history interview with Georges R. Delaume</w:t>
      </w:r>
      <w:r w:rsidRPr="00681100">
        <w:rPr>
          <w:rFonts w:ascii="Calibri" w:hAnsi="Calibri" w:cs="Calibri"/>
          <w:color w:val="000000" w:themeColor="text1"/>
          <w:sz w:val="18"/>
          <w:szCs w:val="18"/>
        </w:rPr>
        <w:t xml:space="preserve"> (2004), 19; World Bank, ‘What we do’ (online), s.d., &lt;</w:t>
      </w:r>
      <w:hyperlink r:id="rId10" w:history="1">
        <w:r w:rsidRPr="00546CBA">
          <w:rPr>
            <w:rStyle w:val="Hyperlink"/>
            <w:rFonts w:ascii="Calibri" w:hAnsi="Calibri" w:cs="Calibri"/>
            <w:color w:val="000000" w:themeColor="text1"/>
            <w:sz w:val="18"/>
            <w:szCs w:val="18"/>
            <w:u w:val="none"/>
          </w:rPr>
          <w:t>http://www.worldbank.org/en/about/what-we-do</w:t>
        </w:r>
      </w:hyperlink>
      <w:r w:rsidRPr="00546CBA">
        <w:rPr>
          <w:rStyle w:val="Hyperlink"/>
          <w:rFonts w:ascii="Calibri" w:hAnsi="Calibri" w:cs="Calibri"/>
          <w:color w:val="000000" w:themeColor="text1"/>
          <w:sz w:val="18"/>
          <w:szCs w:val="18"/>
          <w:u w:val="none"/>
        </w:rPr>
        <w:t>&gt; [accessed 4 August 2019]</w:t>
      </w:r>
      <w:r w:rsidRPr="00681100">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Policies and operations, September 1974</w:t>
      </w:r>
      <w:r w:rsidRPr="00681100">
        <w:rPr>
          <w:rFonts w:ascii="Calibri" w:hAnsi="Calibri" w:cs="Calibri"/>
          <w:color w:val="000000" w:themeColor="text1"/>
          <w:sz w:val="18"/>
          <w:szCs w:val="18"/>
        </w:rPr>
        <w:t xml:space="preserve"> (Washington DC: World Bank, 1974), 4.</w:t>
      </w:r>
    </w:p>
  </w:footnote>
  <w:footnote w:id="1001">
    <w:p w14:paraId="4C1FA311" w14:textId="09D74DF5" w:rsidR="00CF189D" w:rsidRPr="000045FB" w:rsidRDefault="00CF189D" w:rsidP="00931CC1">
      <w:pPr>
        <w:pStyle w:val="Heading3"/>
        <w:shd w:val="clear" w:color="auto" w:fill="FFFFFF"/>
        <w:spacing w:before="0"/>
        <w:rPr>
          <w:rFonts w:ascii="Calibri" w:hAnsi="Calibri" w:cs="Calibri"/>
          <w:bCs/>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Vaidya AK (Ed.), </w:t>
      </w:r>
      <w:r w:rsidRPr="00681100">
        <w:rPr>
          <w:rFonts w:ascii="Calibri" w:hAnsi="Calibri" w:cs="Calibri"/>
          <w:i/>
          <w:color w:val="000000" w:themeColor="text1"/>
          <w:sz w:val="18"/>
          <w:szCs w:val="18"/>
        </w:rPr>
        <w:t xml:space="preserve">Globalization: encyclopedia of trade, labor, and politics </w:t>
      </w:r>
      <w:r w:rsidRPr="00681100">
        <w:rPr>
          <w:rFonts w:ascii="Calibri" w:hAnsi="Calibri" w:cs="Calibri"/>
          <w:color w:val="000000" w:themeColor="text1"/>
          <w:sz w:val="18"/>
          <w:szCs w:val="18"/>
        </w:rPr>
        <w:t>(Santa Barbara: ABC-CLIO, 2006), Volume 1, 615;</w:t>
      </w:r>
      <w:r w:rsidRPr="00681100">
        <w:rPr>
          <w:rFonts w:ascii="Calibri" w:hAnsi="Calibri" w:cs="Calibri"/>
          <w:bCs/>
          <w:color w:val="000000" w:themeColor="text1"/>
          <w:sz w:val="18"/>
          <w:szCs w:val="18"/>
        </w:rPr>
        <w:t xml:space="preserve"> Griffith Jones S, </w:t>
      </w:r>
      <w:r w:rsidRPr="000045FB">
        <w:rPr>
          <w:rFonts w:ascii="Calibri" w:hAnsi="Calibri" w:cs="Calibri"/>
          <w:bCs/>
          <w:i/>
          <w:color w:val="000000" w:themeColor="text1"/>
          <w:sz w:val="18"/>
          <w:szCs w:val="18"/>
        </w:rPr>
        <w:t>Governance of the World Bank</w:t>
      </w:r>
      <w:r w:rsidRPr="000045FB">
        <w:rPr>
          <w:rFonts w:ascii="Calibri" w:hAnsi="Calibri" w:cs="Calibri"/>
          <w:bCs/>
          <w:color w:val="000000" w:themeColor="text1"/>
          <w:sz w:val="18"/>
          <w:szCs w:val="18"/>
        </w:rPr>
        <w:t xml:space="preserve"> (London: Department for International Development, 2002), 2.</w:t>
      </w:r>
    </w:p>
  </w:footnote>
  <w:footnote w:id="1002">
    <w:p w14:paraId="74BF985E" w14:textId="77777777" w:rsidR="00CF189D" w:rsidRPr="00681100"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 xml:space="preserve">Annual Report </w:t>
      </w:r>
      <w:r w:rsidRPr="00681100">
        <w:rPr>
          <w:rFonts w:ascii="Calibri" w:hAnsi="Calibri" w:cs="Calibri"/>
          <w:color w:val="000000" w:themeColor="text1"/>
          <w:sz w:val="18"/>
          <w:szCs w:val="18"/>
        </w:rPr>
        <w:t>(Washington DC: World Bank, 2017).</w:t>
      </w:r>
    </w:p>
  </w:footnote>
  <w:footnote w:id="1003">
    <w:p w14:paraId="75453C24" w14:textId="77777777" w:rsidR="00CF189D" w:rsidRPr="00681100"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 xml:space="preserve">Policies and operations </w:t>
      </w:r>
      <w:r w:rsidRPr="00681100">
        <w:rPr>
          <w:rFonts w:ascii="Calibri" w:hAnsi="Calibri" w:cs="Calibri"/>
          <w:color w:val="000000" w:themeColor="text1"/>
          <w:sz w:val="18"/>
          <w:szCs w:val="18"/>
        </w:rPr>
        <w:t>(1974), 20.</w:t>
      </w:r>
    </w:p>
  </w:footnote>
  <w:footnote w:id="1004">
    <w:p w14:paraId="7C2123CA" w14:textId="77777777" w:rsidR="00CF189D" w:rsidRPr="00681100"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 xml:space="preserve">Policies and operations </w:t>
      </w:r>
      <w:r w:rsidRPr="00681100">
        <w:rPr>
          <w:rFonts w:ascii="Calibri" w:hAnsi="Calibri" w:cs="Calibri"/>
          <w:color w:val="000000" w:themeColor="text1"/>
          <w:sz w:val="18"/>
          <w:szCs w:val="18"/>
        </w:rPr>
        <w:t>(1974), 20; Brittain, ‘Upper Volta’ (1982).</w:t>
      </w:r>
    </w:p>
  </w:footnote>
  <w:footnote w:id="1005">
    <w:p w14:paraId="42A2E818" w14:textId="77777777" w:rsidR="00CF189D" w:rsidRPr="00E259AA" w:rsidRDefault="00CF189D" w:rsidP="00D86F5A">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Ruger JP, ‘The changing role of the World Bank in global health’, </w:t>
      </w:r>
      <w:r w:rsidRPr="00681100">
        <w:rPr>
          <w:rFonts w:ascii="Calibri" w:hAnsi="Calibri" w:cs="Calibri"/>
          <w:i/>
          <w:color w:val="000000" w:themeColor="text1"/>
          <w:sz w:val="18"/>
          <w:szCs w:val="18"/>
        </w:rPr>
        <w:t xml:space="preserve">American Journal of Public Health </w:t>
      </w:r>
      <w:r w:rsidRPr="00681100">
        <w:rPr>
          <w:rFonts w:ascii="Calibri" w:hAnsi="Calibri" w:cs="Calibri"/>
          <w:color w:val="000000" w:themeColor="text1"/>
          <w:sz w:val="18"/>
          <w:szCs w:val="18"/>
        </w:rPr>
        <w:t>95:1 (2005), 60-70;</w:t>
      </w:r>
      <w:r w:rsidRPr="00681100">
        <w:rPr>
          <w:rFonts w:ascii="Calibri" w:hAnsi="Calibri" w:cs="Calibri"/>
          <w:color w:val="000000" w:themeColor="text1"/>
          <w:sz w:val="18"/>
          <w:szCs w:val="18"/>
          <w:shd w:val="clear" w:color="auto" w:fill="FFFFFF"/>
        </w:rPr>
        <w:t xml:space="preserve"> Sridhar D, </w:t>
      </w:r>
      <w:r w:rsidRPr="000045FB">
        <w:rPr>
          <w:rFonts w:ascii="Calibri" w:hAnsi="Calibri" w:cs="Calibri"/>
          <w:i/>
          <w:color w:val="000000" w:themeColor="text1"/>
          <w:sz w:val="18"/>
          <w:szCs w:val="18"/>
          <w:shd w:val="clear" w:color="auto" w:fill="FFFFFF"/>
        </w:rPr>
        <w:t xml:space="preserve">The battle against hunger: choice, circumstance, and the World Bank </w:t>
      </w:r>
      <w:r w:rsidRPr="000045FB">
        <w:rPr>
          <w:rFonts w:ascii="Calibri" w:hAnsi="Calibri" w:cs="Calibri"/>
          <w:color w:val="000000" w:themeColor="text1"/>
          <w:sz w:val="18"/>
          <w:szCs w:val="18"/>
          <w:shd w:val="clear" w:color="auto" w:fill="FFFFFF"/>
        </w:rPr>
        <w:t>(Ox</w:t>
      </w:r>
      <w:r w:rsidRPr="00581494">
        <w:rPr>
          <w:rFonts w:ascii="Calibri" w:hAnsi="Calibri" w:cs="Calibri"/>
          <w:color w:val="000000" w:themeColor="text1"/>
          <w:sz w:val="18"/>
          <w:szCs w:val="18"/>
          <w:shd w:val="clear" w:color="auto" w:fill="FFFFFF"/>
        </w:rPr>
        <w:t>ford, Oxford University Press, 2008), 38</w:t>
      </w:r>
      <w:r w:rsidRPr="00581494">
        <w:rPr>
          <w:rFonts w:ascii="Calibri" w:hAnsi="Calibri" w:cs="Calibri"/>
          <w:color w:val="000000" w:themeColor="text1"/>
          <w:sz w:val="18"/>
          <w:szCs w:val="18"/>
        </w:rPr>
        <w:t>; World Ban</w:t>
      </w:r>
      <w:r w:rsidRPr="00E259AA">
        <w:rPr>
          <w:rFonts w:ascii="Calibri" w:hAnsi="Calibri" w:cs="Calibri"/>
          <w:color w:val="000000" w:themeColor="text1"/>
          <w:sz w:val="18"/>
          <w:szCs w:val="18"/>
        </w:rPr>
        <w:t>k, ‘Member states’, (online), s.d., &lt;www.worldbank.org/about/leadership, worldbank.org/about/leadership/members&gt; [accessed 15 January 2019].</w:t>
      </w:r>
    </w:p>
  </w:footnote>
  <w:footnote w:id="1006">
    <w:p w14:paraId="7EAEA8B9" w14:textId="77777777" w:rsidR="00CF189D" w:rsidRPr="00681100" w:rsidRDefault="00CF189D" w:rsidP="00D86F5A">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‘Board of Governors’, (online), s.d., &lt;www.worldba</w:t>
      </w:r>
      <w:r w:rsidRPr="00681100">
        <w:rPr>
          <w:rFonts w:ascii="Calibri" w:hAnsi="Calibri" w:cs="Calibri"/>
          <w:color w:val="000000" w:themeColor="text1"/>
          <w:sz w:val="18"/>
          <w:szCs w:val="18"/>
        </w:rPr>
        <w:t>nk.org/about/leadership/governors&gt; [accessed 15 January 2019]; World Bank, ‘Board of Directors’, (online), s.d., &lt;www.worldbank.org/about/leadership/directors&gt; [accessed 15 January 2019].</w:t>
      </w:r>
    </w:p>
  </w:footnote>
  <w:footnote w:id="1007">
    <w:p w14:paraId="0D8BB067" w14:textId="77777777" w:rsidR="00CF189D" w:rsidRPr="00681100" w:rsidRDefault="00CF189D" w:rsidP="00D86F5A">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Sridhar, </w:t>
      </w:r>
      <w:r w:rsidRPr="00681100">
        <w:rPr>
          <w:rFonts w:ascii="Calibri" w:hAnsi="Calibri" w:cs="Calibri"/>
          <w:i/>
          <w:color w:val="000000" w:themeColor="text1"/>
          <w:sz w:val="18"/>
          <w:szCs w:val="18"/>
        </w:rPr>
        <w:t xml:space="preserve">The battle </w:t>
      </w:r>
      <w:r w:rsidRPr="00681100">
        <w:rPr>
          <w:rFonts w:ascii="Calibri" w:hAnsi="Calibri" w:cs="Calibri"/>
          <w:color w:val="000000" w:themeColor="text1"/>
          <w:sz w:val="18"/>
          <w:szCs w:val="18"/>
        </w:rPr>
        <w:t>(2008), 38.</w:t>
      </w:r>
    </w:p>
  </w:footnote>
  <w:footnote w:id="1008">
    <w:p w14:paraId="42FB282C" w14:textId="77777777" w:rsidR="00CF189D" w:rsidRPr="00681100" w:rsidRDefault="00CF189D" w:rsidP="00D86F5A">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Ruger, ‘The changing’ (2005); Wo</w:t>
      </w:r>
      <w:r w:rsidRPr="00681100">
        <w:rPr>
          <w:rFonts w:ascii="Calibri" w:hAnsi="Calibri" w:cs="Calibri"/>
          <w:color w:val="000000" w:themeColor="text1"/>
          <w:sz w:val="18"/>
          <w:szCs w:val="18"/>
        </w:rPr>
        <w:t>rld Bank, ‘Board of Directors’ (online).</w:t>
      </w:r>
    </w:p>
  </w:footnote>
  <w:footnote w:id="1009">
    <w:p w14:paraId="38410823" w14:textId="77777777" w:rsidR="00CF189D" w:rsidRPr="00681100" w:rsidRDefault="00CF189D" w:rsidP="00D86F5A">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w:t>
      </w:r>
      <w:r w:rsidRPr="00681100">
        <w:rPr>
          <w:rFonts w:ascii="Calibri" w:hAnsi="Calibri" w:cs="Calibri"/>
          <w:i/>
          <w:color w:val="000000" w:themeColor="text1"/>
          <w:sz w:val="18"/>
          <w:szCs w:val="18"/>
        </w:rPr>
        <w:t>, Policies and operations</w:t>
      </w:r>
      <w:r w:rsidRPr="00681100">
        <w:rPr>
          <w:rFonts w:ascii="Calibri" w:hAnsi="Calibri" w:cs="Calibri"/>
          <w:color w:val="000000" w:themeColor="text1"/>
          <w:sz w:val="18"/>
          <w:szCs w:val="18"/>
        </w:rPr>
        <w:t xml:space="preserve"> (1974), 19.</w:t>
      </w:r>
    </w:p>
  </w:footnote>
  <w:footnote w:id="1010">
    <w:p w14:paraId="5E802A88" w14:textId="0FCEA1F7" w:rsidR="00CF189D" w:rsidRPr="00681100"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‘Voting powers’ (online), s.d., &lt;www.worldank.org/leadership/votingpowers&gt; [accessed 15 January 2019]; Sridhar, </w:t>
      </w:r>
      <w:r w:rsidRPr="00681100">
        <w:rPr>
          <w:rFonts w:ascii="Calibri" w:hAnsi="Calibri" w:cs="Calibri"/>
          <w:i/>
          <w:color w:val="000000" w:themeColor="text1"/>
          <w:sz w:val="18"/>
          <w:szCs w:val="18"/>
        </w:rPr>
        <w:t xml:space="preserve">The battle </w:t>
      </w:r>
      <w:r w:rsidRPr="00681100">
        <w:rPr>
          <w:rFonts w:ascii="Calibri" w:hAnsi="Calibri" w:cs="Calibri"/>
          <w:color w:val="000000" w:themeColor="text1"/>
          <w:sz w:val="18"/>
          <w:szCs w:val="18"/>
        </w:rPr>
        <w:t>(2008), 39; Bosco D, ‘A prim</w:t>
      </w:r>
      <w:r w:rsidRPr="000045FB">
        <w:rPr>
          <w:rFonts w:ascii="Calibri" w:hAnsi="Calibri" w:cs="Calibri"/>
          <w:color w:val="000000" w:themeColor="text1"/>
          <w:sz w:val="18"/>
          <w:szCs w:val="18"/>
        </w:rPr>
        <w:t xml:space="preserve">er on World Bank voting procedures’, </w:t>
      </w:r>
      <w:r w:rsidRPr="000045FB">
        <w:rPr>
          <w:rFonts w:ascii="Calibri" w:hAnsi="Calibri" w:cs="Calibri"/>
          <w:i/>
          <w:color w:val="000000" w:themeColor="text1"/>
          <w:sz w:val="18"/>
          <w:szCs w:val="18"/>
        </w:rPr>
        <w:t>The M</w:t>
      </w:r>
      <w:r w:rsidRPr="00581494">
        <w:rPr>
          <w:rFonts w:ascii="Calibri" w:hAnsi="Calibri" w:cs="Calibri"/>
          <w:i/>
          <w:color w:val="000000" w:themeColor="text1"/>
          <w:sz w:val="18"/>
          <w:szCs w:val="18"/>
        </w:rPr>
        <w:t xml:space="preserve">ultilateralist </w:t>
      </w:r>
      <w:r w:rsidRPr="00581494">
        <w:rPr>
          <w:rFonts w:ascii="Calibri" w:hAnsi="Calibri" w:cs="Calibri"/>
          <w:color w:val="000000" w:themeColor="text1"/>
          <w:sz w:val="18"/>
          <w:szCs w:val="18"/>
        </w:rPr>
        <w:t>(online), 28 March 2012, &lt;</w:t>
      </w:r>
      <w:hyperlink r:id="rId11" w:history="1">
        <w:r w:rsidRPr="00546CBA">
          <w:rPr>
            <w:rStyle w:val="Hyperlink"/>
            <w:rFonts w:ascii="Calibri" w:hAnsi="Calibri" w:cs="Calibri"/>
            <w:color w:val="000000" w:themeColor="text1"/>
            <w:sz w:val="18"/>
            <w:szCs w:val="18"/>
            <w:u w:val="none"/>
          </w:rPr>
          <w:t>http://foreignpolicy.com/2012/03/28/a-primer-on-world-bank-voting-procedures/</w:t>
        </w:r>
      </w:hyperlink>
      <w:r w:rsidRPr="00546CBA">
        <w:rPr>
          <w:rFonts w:ascii="Calibri" w:hAnsi="Calibri" w:cs="Calibri"/>
          <w:color w:val="000000" w:themeColor="text1"/>
          <w:sz w:val="18"/>
          <w:szCs w:val="18"/>
        </w:rPr>
        <w:t xml:space="preserve">&gt; </w:t>
      </w:r>
      <w:r w:rsidRPr="00681100">
        <w:rPr>
          <w:rFonts w:ascii="Calibri" w:hAnsi="Calibri" w:cs="Calibri"/>
          <w:color w:val="000000" w:themeColor="text1"/>
          <w:sz w:val="18"/>
          <w:szCs w:val="18"/>
        </w:rPr>
        <w:t>[accessed 15 January 2019].</w:t>
      </w:r>
    </w:p>
  </w:footnote>
  <w:footnote w:id="1011">
    <w:p w14:paraId="4B9586DE" w14:textId="77777777" w:rsidR="00CF189D" w:rsidRPr="00681100"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w:t>
      </w:r>
      <w:r w:rsidRPr="00681100">
        <w:rPr>
          <w:rFonts w:ascii="Calibri" w:hAnsi="Calibri" w:cs="Calibri"/>
          <w:i/>
          <w:color w:val="000000" w:themeColor="text1"/>
          <w:sz w:val="18"/>
          <w:szCs w:val="18"/>
        </w:rPr>
        <w:t>, Policies and operations</w:t>
      </w:r>
      <w:r w:rsidRPr="00681100">
        <w:rPr>
          <w:rFonts w:ascii="Calibri" w:hAnsi="Calibri" w:cs="Calibri"/>
          <w:color w:val="000000" w:themeColor="text1"/>
          <w:sz w:val="18"/>
          <w:szCs w:val="18"/>
        </w:rPr>
        <w:t xml:space="preserve"> (1974), 19.</w:t>
      </w:r>
    </w:p>
  </w:footnote>
  <w:footnote w:id="1012">
    <w:p w14:paraId="4263CB10" w14:textId="77777777" w:rsidR="00CF189D" w:rsidRPr="000045FB"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for instance, World Bank, </w:t>
      </w:r>
      <w:r w:rsidRPr="00681100">
        <w:rPr>
          <w:rFonts w:ascii="Calibri" w:hAnsi="Calibri" w:cs="Calibri"/>
          <w:i/>
          <w:color w:val="000000" w:themeColor="text1"/>
          <w:sz w:val="18"/>
          <w:szCs w:val="18"/>
        </w:rPr>
        <w:t>Transcript of oral history interview with Georges R. Delaume</w:t>
      </w:r>
      <w:r w:rsidRPr="00681100">
        <w:rPr>
          <w:rFonts w:ascii="Calibri" w:hAnsi="Calibri" w:cs="Calibri"/>
          <w:color w:val="000000" w:themeColor="text1"/>
          <w:sz w:val="18"/>
          <w:szCs w:val="18"/>
        </w:rPr>
        <w:t xml:space="preserve"> (2004), 21, 31.</w:t>
      </w:r>
    </w:p>
  </w:footnote>
  <w:footnote w:id="1013">
    <w:p w14:paraId="09720B8B" w14:textId="77777777" w:rsidR="00CF189D" w:rsidRPr="00681100"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30303456, Ibrahim F.I</w:t>
      </w:r>
      <w:r w:rsidRPr="00681100">
        <w:rPr>
          <w:rFonts w:ascii="Calibri" w:hAnsi="Calibri" w:cs="Calibri"/>
          <w:color w:val="000000" w:themeColor="text1"/>
          <w:sz w:val="18"/>
          <w:szCs w:val="18"/>
        </w:rPr>
        <w:t>. Shihata, ‘Memorandum from the vice president and general counsel, the power of the Bank to make grants’, 15 February 1985.</w:t>
      </w:r>
    </w:p>
  </w:footnote>
  <w:footnote w:id="1014">
    <w:p w14:paraId="77318818" w14:textId="77777777" w:rsidR="00CF189D" w:rsidRPr="00581494"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Winters J and Sridhar D, ‘Earmarking for global he</w:t>
      </w:r>
      <w:r w:rsidRPr="00681100">
        <w:rPr>
          <w:rFonts w:ascii="Calibri" w:hAnsi="Calibri" w:cs="Calibri"/>
          <w:color w:val="000000" w:themeColor="text1"/>
          <w:sz w:val="18"/>
          <w:szCs w:val="18"/>
        </w:rPr>
        <w:t xml:space="preserve">alth: benefits and perils of the World Bank’s trust fund model’, </w:t>
      </w:r>
      <w:r w:rsidRPr="00681100">
        <w:rPr>
          <w:rFonts w:ascii="Calibri" w:hAnsi="Calibri" w:cs="Calibri"/>
          <w:i/>
          <w:color w:val="000000" w:themeColor="text1"/>
          <w:sz w:val="18"/>
          <w:szCs w:val="18"/>
        </w:rPr>
        <w:t xml:space="preserve">BMJ </w:t>
      </w:r>
      <w:r w:rsidRPr="00681100">
        <w:rPr>
          <w:rFonts w:ascii="Calibri" w:hAnsi="Calibri" w:cs="Calibri"/>
          <w:color w:val="000000" w:themeColor="text1"/>
          <w:sz w:val="18"/>
          <w:szCs w:val="18"/>
        </w:rPr>
        <w:t>358</w:t>
      </w:r>
      <w:r w:rsidRPr="000045FB">
        <w:rPr>
          <w:rFonts w:ascii="Calibri" w:hAnsi="Calibri" w:cs="Calibri"/>
          <w:i/>
          <w:color w:val="000000" w:themeColor="text1"/>
          <w:sz w:val="18"/>
          <w:szCs w:val="18"/>
        </w:rPr>
        <w:t xml:space="preserve"> </w:t>
      </w:r>
      <w:r w:rsidRPr="000045FB">
        <w:rPr>
          <w:rFonts w:ascii="Calibri" w:hAnsi="Calibri" w:cs="Calibri"/>
          <w:color w:val="000000" w:themeColor="text1"/>
          <w:sz w:val="18"/>
          <w:szCs w:val="18"/>
        </w:rPr>
        <w:t>(2017)</w:t>
      </w:r>
      <w:r w:rsidRPr="00581494">
        <w:rPr>
          <w:rFonts w:ascii="Calibri" w:hAnsi="Calibri" w:cs="Calibri"/>
          <w:color w:val="000000" w:themeColor="text1"/>
          <w:sz w:val="18"/>
          <w:szCs w:val="18"/>
        </w:rPr>
        <w:t>, j3394.</w:t>
      </w:r>
    </w:p>
  </w:footnote>
  <w:footnote w:id="1015">
    <w:p w14:paraId="7650888A" w14:textId="6CC90ADB" w:rsidR="00CF189D" w:rsidRPr="00E259AA"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The activity list included: to organize aerial larvicide operations; carry out entomological surveillance of treated are</w:t>
      </w:r>
      <w:r w:rsidRPr="00681100">
        <w:rPr>
          <w:rFonts w:ascii="Calibri" w:hAnsi="Calibri" w:cs="Calibri"/>
          <w:color w:val="000000" w:themeColor="text1"/>
          <w:sz w:val="18"/>
          <w:szCs w:val="18"/>
        </w:rPr>
        <w:t>as; evaluate operations by regular epidemiological investigations; permanently monitor long-term safety of larvicide treatment on the environment; and study and encourage economic development projects in the area. In addition to these activities, the objectives and plan of action statement included supporting a programme of ‘intensive entomological and medical research’ with the Special P</w:t>
      </w:r>
      <w:r w:rsidRPr="000045FB">
        <w:rPr>
          <w:rFonts w:ascii="Calibri" w:hAnsi="Calibri" w:cs="Calibri"/>
          <w:color w:val="000000" w:themeColor="text1"/>
          <w:sz w:val="18"/>
          <w:szCs w:val="18"/>
        </w:rPr>
        <w:t>rogramme for Research and Training in Tropical Diseases (TDR, with special emphasis on chemotherapy for mass application), and to arrange for training of national personnel for ‘progressive transfer and continuation of the Programme by Participating Govern</w:t>
      </w:r>
      <w:r w:rsidRPr="00581494">
        <w:rPr>
          <w:rFonts w:ascii="Calibri" w:hAnsi="Calibri" w:cs="Calibri"/>
          <w:color w:val="000000" w:themeColor="text1"/>
          <w:sz w:val="18"/>
          <w:szCs w:val="18"/>
        </w:rPr>
        <w:t xml:space="preserve">ments’. Through this training, the programme would ‘encourage the Governments to plan and encourage a health infrastructure as part of their national primary health programmes’. See World Bank, </w:t>
      </w:r>
      <w:r w:rsidRPr="00E259AA">
        <w:rPr>
          <w:rFonts w:ascii="Calibri" w:hAnsi="Calibri" w:cs="Calibri"/>
          <w:i/>
          <w:color w:val="000000" w:themeColor="text1"/>
          <w:sz w:val="18"/>
          <w:szCs w:val="18"/>
        </w:rPr>
        <w:t xml:space="preserve">Onchocerciasis Fund Agreement </w:t>
      </w:r>
      <w:r w:rsidRPr="00E259AA">
        <w:rPr>
          <w:rFonts w:ascii="Calibri" w:hAnsi="Calibri" w:cs="Calibri"/>
          <w:color w:val="000000" w:themeColor="text1"/>
          <w:sz w:val="18"/>
          <w:szCs w:val="18"/>
        </w:rPr>
        <w:t>(Washington DC: World Bank, 1979), Appendix II.</w:t>
      </w:r>
    </w:p>
  </w:footnote>
  <w:footnote w:id="1016">
    <w:p w14:paraId="0A930B19" w14:textId="10BCF7DF" w:rsidR="00CF189D" w:rsidRPr="00E259AA"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The activity list included: to organize area larviciding operations; carry out entomological surveillan</w:t>
      </w:r>
      <w:r w:rsidRPr="00681100">
        <w:rPr>
          <w:rFonts w:ascii="Calibri" w:hAnsi="Calibri" w:cs="Calibri"/>
          <w:color w:val="000000" w:themeColor="text1"/>
          <w:sz w:val="18"/>
          <w:szCs w:val="18"/>
        </w:rPr>
        <w:t>ce; evaluate operations by regular epidemiological surveillance; monitor long-term safety of larvicide treatment on the environment; pursue a programme of applied entomological and epidemiological research (and introduce new methodologies progressively and systematically); undertake – in collaboration with TDR – research on chemotherapy for mass applications; prepare participating governm</w:t>
      </w:r>
      <w:r w:rsidRPr="000045FB">
        <w:rPr>
          <w:rFonts w:ascii="Calibri" w:hAnsi="Calibri" w:cs="Calibri"/>
          <w:color w:val="000000" w:themeColor="text1"/>
          <w:sz w:val="18"/>
          <w:szCs w:val="18"/>
        </w:rPr>
        <w:t>ents for devolution of activities and assist them in assuming responsibilities for these activities; train personnel as necessary for the programme and devolution; and collect, analyse, and disseminate information about socioeconomic development in control</w:t>
      </w:r>
      <w:r w:rsidRPr="00581494">
        <w:rPr>
          <w:rFonts w:ascii="Calibri" w:hAnsi="Calibri" w:cs="Calibri"/>
          <w:color w:val="000000" w:themeColor="text1"/>
          <w:sz w:val="18"/>
          <w:szCs w:val="18"/>
        </w:rPr>
        <w:t xml:space="preserve"> zones to encourage development. See </w:t>
      </w:r>
      <w:r w:rsidRPr="00581494">
        <w:rPr>
          <w:rFonts w:ascii="Calibri" w:hAnsi="Calibri" w:cs="Calibri"/>
          <w:i/>
          <w:color w:val="000000" w:themeColor="text1"/>
          <w:sz w:val="18"/>
          <w:szCs w:val="18"/>
        </w:rPr>
        <w:t xml:space="preserve">Onchocerciasis Fund Agreement </w:t>
      </w:r>
      <w:r w:rsidRPr="00E259AA">
        <w:rPr>
          <w:rFonts w:ascii="Calibri" w:hAnsi="Calibri" w:cs="Calibri"/>
          <w:color w:val="000000" w:themeColor="text1"/>
          <w:sz w:val="18"/>
          <w:szCs w:val="18"/>
        </w:rPr>
        <w:t>(Washington DC: World Bank, 1986), Appendix II.</w:t>
      </w:r>
    </w:p>
  </w:footnote>
  <w:footnote w:id="1017">
    <w:p w14:paraId="461D8663" w14:textId="77777777" w:rsidR="00CF189D" w:rsidRPr="00DE5E29"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The </w:t>
      </w:r>
      <w:r w:rsidRPr="00681100">
        <w:rPr>
          <w:rFonts w:ascii="Calibri" w:hAnsi="Calibri" w:cs="Calibri"/>
          <w:color w:val="000000" w:themeColor="text1"/>
          <w:sz w:val="18"/>
          <w:szCs w:val="18"/>
        </w:rPr>
        <w:t>activity list was identical to that of 1986, with the exception of underlined activities: to organize area larviciding operations; carry out entomological surveillance; evaluate operations by regular epidemiological surveillance; monitor long-term safety of larvicide treatment on the environment; organize and co-ordinate large scale ivermectin distribution (by national teams); analyse and</w:t>
      </w:r>
      <w:r w:rsidRPr="000045FB">
        <w:rPr>
          <w:rFonts w:ascii="Calibri" w:hAnsi="Calibri" w:cs="Calibri"/>
          <w:color w:val="000000" w:themeColor="text1"/>
          <w:sz w:val="18"/>
          <w:szCs w:val="18"/>
        </w:rPr>
        <w:t xml:space="preserve"> evaluate on continuing basis epidemiological surveillance (in areas with 14+ years of larviciding, to determine when to cease vector control); undertake – in collaboration with TDR – research on macrofilaricide suitable for large-scale application; prepar</w:t>
      </w:r>
      <w:r w:rsidRPr="00581494">
        <w:rPr>
          <w:rFonts w:ascii="Calibri" w:hAnsi="Calibri" w:cs="Calibri"/>
          <w:color w:val="000000" w:themeColor="text1"/>
          <w:sz w:val="18"/>
          <w:szCs w:val="18"/>
        </w:rPr>
        <w:t>e participating governments for devolution of activities and assist them in assuming responsibilities for these activities; train personnel as necessary for the Programme and devolution; collect, analyse, and disseminate information about socioeconomic dev</w:t>
      </w:r>
      <w:r w:rsidRPr="00E259AA">
        <w:rPr>
          <w:rFonts w:ascii="Calibri" w:hAnsi="Calibri" w:cs="Calibri"/>
          <w:color w:val="000000" w:themeColor="text1"/>
          <w:sz w:val="18"/>
          <w:szCs w:val="18"/>
        </w:rPr>
        <w:t xml:space="preserve">elopment in control zones to encourage development, which may be actively supported by the CSA. See World Bank, </w:t>
      </w:r>
      <w:r w:rsidRPr="00E259AA">
        <w:rPr>
          <w:rFonts w:ascii="Calibri" w:hAnsi="Calibri" w:cs="Calibri"/>
          <w:i/>
          <w:color w:val="000000" w:themeColor="text1"/>
          <w:sz w:val="18"/>
          <w:szCs w:val="18"/>
        </w:rPr>
        <w:t xml:space="preserve">Onchocerciasis Fund Agreement </w:t>
      </w:r>
      <w:r w:rsidRPr="00E259AA">
        <w:rPr>
          <w:rFonts w:ascii="Calibri" w:hAnsi="Calibri" w:cs="Calibri"/>
          <w:color w:val="000000" w:themeColor="text1"/>
          <w:sz w:val="18"/>
          <w:szCs w:val="18"/>
        </w:rPr>
        <w:t>(Washington DC: World Bank, 1992), Appendix II.</w:t>
      </w:r>
    </w:p>
  </w:footnote>
  <w:footnote w:id="1018">
    <w:p w14:paraId="75B968AA" w14:textId="77777777" w:rsidR="00CF189D" w:rsidRPr="00681100"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1082693, ‘Report of the preparatory assistance mission to </w:t>
      </w:r>
      <w:r w:rsidRPr="00681100">
        <w:rPr>
          <w:rFonts w:ascii="Calibri" w:hAnsi="Calibri" w:cs="Calibri"/>
          <w:color w:val="000000" w:themeColor="text1"/>
          <w:sz w:val="18"/>
          <w:szCs w:val="18"/>
        </w:rPr>
        <w:t>the Volta River basin’, 1973, 28-29.</w:t>
      </w:r>
    </w:p>
  </w:footnote>
  <w:footnote w:id="1019">
    <w:p w14:paraId="64F146C1" w14:textId="77777777" w:rsidR="00CF189D" w:rsidRPr="00681100"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NA, FO 23/4328, Dr. Murray Baker to Harald Fuglsang, 16 December 1974.  </w:t>
      </w:r>
    </w:p>
  </w:footnote>
  <w:footnote w:id="1020">
    <w:p w14:paraId="173443D7" w14:textId="77777777" w:rsidR="00CF189D" w:rsidRPr="00681100"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NA, FO </w:t>
      </w:r>
      <w:r w:rsidRPr="00681100">
        <w:rPr>
          <w:rFonts w:ascii="Calibri" w:hAnsi="Calibri" w:cs="Calibri"/>
          <w:color w:val="000000" w:themeColor="text1"/>
          <w:sz w:val="18"/>
          <w:szCs w:val="18"/>
        </w:rPr>
        <w:t xml:space="preserve">23/4328, Dr. Murray Baker to Harald Fuglsang, 16 December 1974.  </w:t>
      </w:r>
    </w:p>
  </w:footnote>
  <w:footnote w:id="1021">
    <w:p w14:paraId="4B1B4DE5" w14:textId="77777777" w:rsidR="00CF189D" w:rsidRPr="00681100" w:rsidRDefault="00CF189D" w:rsidP="00931CC1">
      <w:pPr>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1300678, ‘Devolution of Onchocerciasis Control Program (OCP)’</w:t>
      </w:r>
      <w:r w:rsidRPr="00681100">
        <w:rPr>
          <w:rFonts w:ascii="Calibri" w:hAnsi="Calibri" w:cs="Calibri"/>
          <w:color w:val="000000" w:themeColor="text1"/>
          <w:sz w:val="18"/>
          <w:szCs w:val="18"/>
        </w:rPr>
        <w:t>, November 1989</w:t>
      </w:r>
    </w:p>
  </w:footnote>
  <w:footnote w:id="1022">
    <w:p w14:paraId="71882C45" w14:textId="77777777" w:rsidR="00CF189D" w:rsidRPr="00581494"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Walsh et al., ‘Standardization of criteria for assessing the effect of </w:t>
      </w:r>
      <w:r w:rsidRPr="00681100">
        <w:rPr>
          <w:rFonts w:ascii="Calibri" w:hAnsi="Calibri" w:cs="Calibri"/>
          <w:i/>
          <w:color w:val="000000" w:themeColor="text1"/>
          <w:sz w:val="18"/>
          <w:szCs w:val="18"/>
        </w:rPr>
        <w:t xml:space="preserve">Simulium </w:t>
      </w:r>
      <w:r w:rsidRPr="00681100">
        <w:rPr>
          <w:rFonts w:ascii="Calibri" w:hAnsi="Calibri" w:cs="Calibri"/>
          <w:color w:val="000000" w:themeColor="text1"/>
          <w:sz w:val="18"/>
          <w:szCs w:val="18"/>
        </w:rPr>
        <w:t xml:space="preserve">control in onchocerciasis control programmes’, </w:t>
      </w:r>
      <w:r w:rsidRPr="000045FB">
        <w:rPr>
          <w:rFonts w:ascii="Calibri" w:hAnsi="Calibri" w:cs="Calibri"/>
          <w:i/>
          <w:color w:val="000000" w:themeColor="text1"/>
          <w:sz w:val="18"/>
          <w:szCs w:val="18"/>
        </w:rPr>
        <w:t xml:space="preserve">Transactions of the Royal Society of Tropical Medicine and Hygiene </w:t>
      </w:r>
      <w:r w:rsidRPr="000045FB">
        <w:rPr>
          <w:rFonts w:ascii="Calibri" w:hAnsi="Calibri" w:cs="Calibri"/>
          <w:color w:val="000000" w:themeColor="text1"/>
          <w:sz w:val="18"/>
          <w:szCs w:val="18"/>
        </w:rPr>
        <w:t>72:6 (1978), 675-676.</w:t>
      </w:r>
    </w:p>
  </w:footnote>
  <w:footnote w:id="1023">
    <w:p w14:paraId="10174A5B" w14:textId="77777777" w:rsidR="00CF189D" w:rsidRPr="00681100"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In the mid-1970s, th</w:t>
      </w:r>
      <w:r w:rsidRPr="00681100">
        <w:rPr>
          <w:rFonts w:ascii="Calibri" w:hAnsi="Calibri" w:cs="Calibri"/>
          <w:color w:val="000000" w:themeColor="text1"/>
          <w:sz w:val="18"/>
          <w:szCs w:val="18"/>
        </w:rPr>
        <w:t>ere were seven sectors across the OCP geographic area.</w:t>
      </w:r>
    </w:p>
  </w:footnote>
  <w:footnote w:id="1024">
    <w:p w14:paraId="688C3F20" w14:textId="77777777" w:rsidR="00CF189D" w:rsidRPr="000045FB"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Walsh et al., ‘Entomological aspects of the first five years of </w:t>
      </w:r>
      <w:r w:rsidRPr="00681100">
        <w:rPr>
          <w:rFonts w:ascii="Calibri" w:hAnsi="Calibri" w:cs="Calibri"/>
          <w:color w:val="000000" w:themeColor="text1"/>
          <w:sz w:val="18"/>
          <w:szCs w:val="18"/>
        </w:rPr>
        <w:t xml:space="preserve">the Onchocerciasis Control Programme in the Volta River basin’, </w:t>
      </w:r>
      <w:r w:rsidRPr="00681100">
        <w:rPr>
          <w:rFonts w:ascii="Calibri" w:hAnsi="Calibri" w:cs="Calibri"/>
          <w:i/>
          <w:color w:val="000000" w:themeColor="text1"/>
          <w:sz w:val="18"/>
          <w:szCs w:val="18"/>
        </w:rPr>
        <w:t xml:space="preserve">Tropical Medicine and Parasitology </w:t>
      </w:r>
      <w:r w:rsidRPr="00681100">
        <w:rPr>
          <w:rFonts w:ascii="Calibri" w:hAnsi="Calibri" w:cs="Calibri"/>
          <w:color w:val="000000" w:themeColor="text1"/>
          <w:sz w:val="18"/>
          <w:szCs w:val="18"/>
        </w:rPr>
        <w:t>30 (1979), 328-344.</w:t>
      </w:r>
    </w:p>
  </w:footnote>
  <w:footnote w:id="1025">
    <w:p w14:paraId="675EA60F" w14:textId="77777777" w:rsidR="00CF189D" w:rsidRPr="00581494"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This method wa</w:t>
      </w:r>
      <w:r w:rsidRPr="00681100">
        <w:rPr>
          <w:rFonts w:ascii="Calibri" w:hAnsi="Calibri" w:cs="Calibri"/>
          <w:color w:val="000000" w:themeColor="text1"/>
          <w:sz w:val="18"/>
          <w:szCs w:val="18"/>
        </w:rPr>
        <w:t xml:space="preserve">s adapted from British trypanosomiasis (sleeping sickness) ‘fly rounds’, and involved catching flies at defined points regularly, then dissecting them to reveal transmission potential. For more on the Crosskey-Davies experiments, see Bump J, ‘The Crosskey-Davies experiment and onchocerciasis control in West Africa’, </w:t>
      </w:r>
      <w:r w:rsidRPr="000045FB">
        <w:rPr>
          <w:rFonts w:ascii="Calibri" w:hAnsi="Calibri" w:cs="Calibri"/>
          <w:i/>
          <w:color w:val="000000" w:themeColor="text1"/>
          <w:sz w:val="18"/>
          <w:szCs w:val="18"/>
        </w:rPr>
        <w:t xml:space="preserve">PLoS Neglected Tropical Diseases </w:t>
      </w:r>
      <w:r w:rsidRPr="000045FB">
        <w:rPr>
          <w:rFonts w:ascii="Calibri" w:hAnsi="Calibri" w:cs="Calibri"/>
          <w:color w:val="000000" w:themeColor="text1"/>
          <w:sz w:val="18"/>
          <w:szCs w:val="18"/>
        </w:rPr>
        <w:t>8:10 (2014), e3223.</w:t>
      </w:r>
    </w:p>
  </w:footnote>
  <w:footnote w:id="1026">
    <w:p w14:paraId="35157BD2" w14:textId="77777777" w:rsidR="00CF189D" w:rsidRPr="00681100"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Wals</w:t>
      </w:r>
      <w:r w:rsidRPr="00681100">
        <w:rPr>
          <w:rFonts w:ascii="Calibri" w:hAnsi="Calibri" w:cs="Calibri"/>
          <w:color w:val="000000" w:themeColor="text1"/>
          <w:sz w:val="18"/>
          <w:szCs w:val="18"/>
        </w:rPr>
        <w:t>h et al., ‘Standardization’ (1978).</w:t>
      </w:r>
    </w:p>
  </w:footnote>
  <w:footnote w:id="1027">
    <w:p w14:paraId="143BF01F" w14:textId="77777777" w:rsidR="00CF189D" w:rsidRPr="00681100"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NA, OD 13/22, ‘Strategy paper: the task of the commission’, [1979].</w:t>
      </w:r>
    </w:p>
  </w:footnote>
  <w:footnote w:id="1028">
    <w:p w14:paraId="5A779E04" w14:textId="61A6B2D8" w:rsidR="00CF189D" w:rsidRPr="00681100"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WHOL, OCP/EAC4.1 (OCP 83.11</w:t>
      </w:r>
      <w:r w:rsidRPr="00681100">
        <w:rPr>
          <w:rFonts w:ascii="Calibri" w:hAnsi="Calibri" w:cs="Calibri"/>
          <w:color w:val="000000" w:themeColor="text1"/>
          <w:sz w:val="18"/>
          <w:szCs w:val="18"/>
        </w:rPr>
        <w:t>), Annex 93, ‘OBJECTIVES [based on OCP/STAC/77.2]’, 1983.</w:t>
      </w:r>
    </w:p>
  </w:footnote>
  <w:footnote w:id="1029">
    <w:p w14:paraId="39F5E79B" w14:textId="77777777" w:rsidR="00CF189D" w:rsidRPr="00681100"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NA, OD 13/22, ‘Strategy paper: the task of the commission’, [</w:t>
      </w:r>
      <w:r w:rsidRPr="00681100">
        <w:rPr>
          <w:rFonts w:ascii="Calibri" w:hAnsi="Calibri" w:cs="Calibri"/>
          <w:color w:val="000000" w:themeColor="text1"/>
          <w:sz w:val="18"/>
          <w:szCs w:val="18"/>
        </w:rPr>
        <w:t>1979]. See also WBGA, 1300656, ‘WHO working group of national experts on devolution, third meeting, Ouagadougou – synthesis report’, 24-26 April 1984, Annex I.</w:t>
      </w:r>
    </w:p>
  </w:footnote>
  <w:footnote w:id="1030">
    <w:p w14:paraId="29C2EB38" w14:textId="77777777" w:rsidR="00CF189D" w:rsidRPr="000045FB"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WHO, </w:t>
      </w:r>
      <w:r w:rsidRPr="00681100">
        <w:rPr>
          <w:rFonts w:ascii="Calibri" w:hAnsi="Calibri" w:cs="Calibri"/>
          <w:i/>
          <w:color w:val="000000" w:themeColor="text1"/>
          <w:sz w:val="18"/>
          <w:szCs w:val="18"/>
        </w:rPr>
        <w:t>Epidemiology of onchocerciasis, WHO technical report series No. 597</w:t>
      </w:r>
      <w:r w:rsidRPr="00681100">
        <w:rPr>
          <w:rFonts w:ascii="Calibri" w:hAnsi="Calibri" w:cs="Calibri"/>
          <w:color w:val="000000" w:themeColor="text1"/>
          <w:sz w:val="18"/>
          <w:szCs w:val="18"/>
        </w:rPr>
        <w:t xml:space="preserve"> (Geneva: WHO, 1976).</w:t>
      </w:r>
    </w:p>
  </w:footnote>
  <w:footnote w:id="1031">
    <w:p w14:paraId="35C688E1" w14:textId="77777777" w:rsidR="00CF189D" w:rsidRPr="000045FB"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Village size, level of endemnicity, geographic dispersal, social stability, economic importance of areas, and proximity to entomological evaluation points. See WBGA, 1300656, ‘WHO working grou</w:t>
      </w:r>
      <w:r w:rsidRPr="00681100">
        <w:rPr>
          <w:rFonts w:ascii="Calibri" w:hAnsi="Calibri" w:cs="Calibri"/>
          <w:color w:val="000000" w:themeColor="text1"/>
          <w:sz w:val="18"/>
          <w:szCs w:val="18"/>
        </w:rPr>
        <w:t xml:space="preserve">p of national experts on devolution, third meeting, Ouagadougou – synthesis report’, 24-26 April 1984, Annex I. </w:t>
      </w:r>
    </w:p>
  </w:footnote>
  <w:footnote w:id="1032">
    <w:p w14:paraId="1C7DE8CC" w14:textId="77777777" w:rsidR="00CF189D" w:rsidRPr="00681100"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WHO, </w:t>
      </w:r>
      <w:r w:rsidRPr="00681100">
        <w:rPr>
          <w:rFonts w:ascii="Calibri" w:hAnsi="Calibri" w:cs="Calibri"/>
          <w:i/>
          <w:color w:val="000000" w:themeColor="text1"/>
          <w:sz w:val="18"/>
          <w:szCs w:val="18"/>
        </w:rPr>
        <w:t>Epidemiology of onchocerciasis, WHO technical report series No. 597</w:t>
      </w:r>
      <w:r w:rsidRPr="00681100">
        <w:rPr>
          <w:rFonts w:ascii="Calibri" w:hAnsi="Calibri" w:cs="Calibri"/>
          <w:color w:val="000000" w:themeColor="text1"/>
          <w:sz w:val="18"/>
          <w:szCs w:val="18"/>
        </w:rPr>
        <w:t xml:space="preserve"> (Geneva: WHO, 1976).</w:t>
      </w:r>
    </w:p>
  </w:footnote>
  <w:footnote w:id="1033">
    <w:p w14:paraId="25589169" w14:textId="77777777" w:rsidR="00CF189D" w:rsidRPr="000045FB"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Remme et al., ‘A force-of-infection model for</w:t>
      </w:r>
      <w:r w:rsidRPr="00681100">
        <w:rPr>
          <w:rFonts w:ascii="Calibri" w:hAnsi="Calibri" w:cs="Calibri"/>
          <w:color w:val="000000" w:themeColor="text1"/>
          <w:sz w:val="18"/>
          <w:szCs w:val="18"/>
        </w:rPr>
        <w:t xml:space="preserve"> onchocerciasis and its applications in the epidemiological evaluation of the Onchocerciasis Control Programme in the Volta River basin area’, </w:t>
      </w:r>
      <w:r w:rsidRPr="00681100">
        <w:rPr>
          <w:rFonts w:ascii="Calibri" w:hAnsi="Calibri" w:cs="Calibri"/>
          <w:i/>
          <w:color w:val="000000" w:themeColor="text1"/>
          <w:sz w:val="18"/>
          <w:szCs w:val="18"/>
        </w:rPr>
        <w:t>Bulletin of the WHO</w:t>
      </w:r>
      <w:r w:rsidRPr="000045FB">
        <w:rPr>
          <w:rFonts w:ascii="Calibri" w:hAnsi="Calibri" w:cs="Calibri"/>
          <w:color w:val="000000" w:themeColor="text1"/>
          <w:sz w:val="18"/>
          <w:szCs w:val="18"/>
        </w:rPr>
        <w:t xml:space="preserve"> 64:5 (1986), 667-681.</w:t>
      </w:r>
    </w:p>
  </w:footnote>
  <w:footnote w:id="1034">
    <w:p w14:paraId="51CF1E91" w14:textId="77777777" w:rsidR="00CF189D" w:rsidRPr="000045FB"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Remme et al., ‘A force-of-infection model’ (1986). See also WHO, ‘Onc</w:t>
      </w:r>
      <w:r w:rsidRPr="00681100">
        <w:rPr>
          <w:rFonts w:ascii="Calibri" w:hAnsi="Calibri" w:cs="Calibri"/>
          <w:color w:val="000000" w:themeColor="text1"/>
          <w:sz w:val="18"/>
          <w:szCs w:val="18"/>
        </w:rPr>
        <w:t xml:space="preserve">hocerciasis Control Programme (OCP) in West Africa: a summary of the WHO progress report for 1987’, </w:t>
      </w:r>
      <w:r w:rsidRPr="00681100">
        <w:rPr>
          <w:rFonts w:ascii="Calibri" w:hAnsi="Calibri" w:cs="Calibri"/>
          <w:i/>
          <w:color w:val="000000" w:themeColor="text1"/>
          <w:sz w:val="18"/>
          <w:szCs w:val="18"/>
        </w:rPr>
        <w:t xml:space="preserve">Weekly Epidemiology Record </w:t>
      </w:r>
      <w:r w:rsidRPr="000045FB">
        <w:rPr>
          <w:rFonts w:ascii="Calibri" w:hAnsi="Calibri" w:cs="Calibri"/>
          <w:color w:val="000000" w:themeColor="text1"/>
          <w:sz w:val="18"/>
          <w:szCs w:val="18"/>
        </w:rPr>
        <w:t>31 (29 July 1988), 233-236.</w:t>
      </w:r>
    </w:p>
  </w:footnote>
  <w:footnote w:id="1035">
    <w:p w14:paraId="11D48E13" w14:textId="77777777" w:rsidR="00CF189D" w:rsidRPr="00681100"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0146782, Nick Prescott to J. Westford, ‘Interim report of the Gordon Smith independent commis</w:t>
      </w:r>
      <w:r w:rsidRPr="00681100">
        <w:rPr>
          <w:rFonts w:ascii="Calibri" w:hAnsi="Calibri" w:cs="Calibri"/>
          <w:color w:val="000000" w:themeColor="text1"/>
          <w:sz w:val="18"/>
          <w:szCs w:val="18"/>
        </w:rPr>
        <w:t>sion on the Onchocerciasis Control Program’, 7 January 1983.</w:t>
      </w:r>
    </w:p>
  </w:footnote>
  <w:footnote w:id="1036">
    <w:p w14:paraId="225B29E0" w14:textId="77777777" w:rsidR="00CF189D" w:rsidRPr="000045FB"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Younger SD and Zongo JB, ‘West Africa: the Onchocerciasis Control Program’, in </w:t>
      </w:r>
      <w:r w:rsidRPr="00681100">
        <w:rPr>
          <w:rFonts w:ascii="Calibri" w:hAnsi="Calibri" w:cs="Calibri"/>
          <w:i/>
          <w:color w:val="000000" w:themeColor="text1"/>
          <w:sz w:val="18"/>
          <w:szCs w:val="18"/>
        </w:rPr>
        <w:t xml:space="preserve">Successful development in Africa: case studies of projects, programs, and policies </w:t>
      </w:r>
      <w:r w:rsidRPr="00681100">
        <w:rPr>
          <w:rFonts w:ascii="Calibri" w:hAnsi="Calibri" w:cs="Calibri"/>
          <w:color w:val="000000" w:themeColor="text1"/>
          <w:sz w:val="18"/>
          <w:szCs w:val="18"/>
        </w:rPr>
        <w:t>(Washington DC: World Bank, 1989), 27-56.</w:t>
      </w:r>
    </w:p>
  </w:footnote>
  <w:footnote w:id="1037">
    <w:p w14:paraId="7AD16A7B" w14:textId="27B3DFD6" w:rsidR="00CF189D" w:rsidRPr="00546CBA"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The Bank has a 20</w:t>
      </w:r>
      <w:r w:rsidRPr="00681100">
        <w:rPr>
          <w:rFonts w:ascii="Calibri" w:hAnsi="Calibri" w:cs="Calibri"/>
          <w:color w:val="000000" w:themeColor="text1"/>
          <w:sz w:val="18"/>
          <w:szCs w:val="18"/>
        </w:rPr>
        <w:t>-</w:t>
      </w:r>
      <w:r w:rsidRPr="00546CBA">
        <w:rPr>
          <w:rFonts w:ascii="Calibri" w:hAnsi="Calibri" w:cs="Calibri"/>
          <w:color w:val="000000" w:themeColor="text1"/>
          <w:sz w:val="18"/>
          <w:szCs w:val="18"/>
        </w:rPr>
        <w:t>year archives access policy, and the WHO a 15 year access policy. However, most WHO Library and archives documents for the OCP are from the 1970s-early 1990s. The Food and Agriculture Organization has a 15-year access policy, but only kept OCP-related records for some years in the 1970s and 1980s. The United Nations also does not have OCP related records in its archives dating past the mid-1980s.</w:t>
      </w:r>
    </w:p>
  </w:footnote>
  <w:footnote w:id="1038">
    <w:p w14:paraId="4EEEF861" w14:textId="77777777" w:rsidR="00CF189D" w:rsidRPr="00681100"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UNDP/OPEC typically gave contributions together, which were earmarked for research purposes and therefore not held</w:t>
      </w:r>
      <w:r w:rsidRPr="00681100">
        <w:rPr>
          <w:rFonts w:ascii="Calibri" w:hAnsi="Calibri" w:cs="Calibri"/>
          <w:color w:val="000000" w:themeColor="text1"/>
          <w:sz w:val="18"/>
          <w:szCs w:val="18"/>
        </w:rPr>
        <w:t xml:space="preserve"> with the Onchocerciasis Fund; beneficiary country contributions were also typically tabulated separately from the Fund.</w:t>
      </w:r>
    </w:p>
  </w:footnote>
  <w:footnote w:id="1039">
    <w:p w14:paraId="7328830A" w14:textId="77777777" w:rsidR="00CF189D" w:rsidRPr="00681100"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Phillips RW, </w:t>
      </w:r>
      <w:r w:rsidRPr="00681100">
        <w:rPr>
          <w:rFonts w:ascii="Calibri" w:hAnsi="Calibri" w:cs="Calibri"/>
          <w:i/>
          <w:iCs/>
          <w:color w:val="000000" w:themeColor="text1"/>
          <w:sz w:val="18"/>
          <w:szCs w:val="18"/>
        </w:rPr>
        <w:t xml:space="preserve">FAO: its origins, formation and evolution, 1945-1981 </w:t>
      </w:r>
      <w:r w:rsidRPr="00681100">
        <w:rPr>
          <w:rFonts w:ascii="Calibri" w:hAnsi="Calibri" w:cs="Calibri"/>
          <w:color w:val="000000" w:themeColor="text1"/>
          <w:sz w:val="18"/>
          <w:szCs w:val="18"/>
        </w:rPr>
        <w:t>(Rome: FAO, 1981).</w:t>
      </w:r>
    </w:p>
  </w:footnote>
  <w:footnote w:id="1040">
    <w:p w14:paraId="74380633" w14:textId="77777777" w:rsidR="00CF189D" w:rsidRPr="00681100" w:rsidRDefault="00CF189D" w:rsidP="00931CC1">
      <w:pPr>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United Nations Gen</w:t>
      </w:r>
      <w:r w:rsidRPr="00681100">
        <w:rPr>
          <w:rFonts w:ascii="Calibri" w:hAnsi="Calibri" w:cs="Calibri"/>
          <w:color w:val="000000" w:themeColor="text1"/>
          <w:sz w:val="18"/>
          <w:szCs w:val="18"/>
        </w:rPr>
        <w:t>eral Assembly, ‘Consolidation of the Special Fund and the Expanded Programme of Technical Assistance in a United Nation Development Programme’ (New York: United Nations, 1965).</w:t>
      </w:r>
    </w:p>
  </w:footnote>
  <w:footnote w:id="1041">
    <w:p w14:paraId="2452BE34" w14:textId="77777777" w:rsidR="00CF189D" w:rsidRPr="00581494"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Dijkweul D, ‘The United Nations Development Programme: the development of pea</w:t>
      </w:r>
      <w:r w:rsidRPr="00681100">
        <w:rPr>
          <w:rFonts w:ascii="Calibri" w:hAnsi="Calibri" w:cs="Calibri"/>
          <w:color w:val="000000" w:themeColor="text1"/>
          <w:sz w:val="18"/>
          <w:szCs w:val="18"/>
        </w:rPr>
        <w:t xml:space="preserve">ce?’, in Whitman J (Ed.), </w:t>
      </w:r>
      <w:r w:rsidRPr="00681100">
        <w:rPr>
          <w:rFonts w:ascii="Calibri" w:hAnsi="Calibri" w:cs="Calibri"/>
          <w:i/>
          <w:iCs/>
          <w:color w:val="000000" w:themeColor="text1"/>
          <w:sz w:val="18"/>
          <w:szCs w:val="18"/>
        </w:rPr>
        <w:t xml:space="preserve">Peacekeeping and the UN Agencies </w:t>
      </w:r>
      <w:r w:rsidRPr="000045FB">
        <w:rPr>
          <w:rFonts w:ascii="Calibri" w:hAnsi="Calibri" w:cs="Calibri"/>
          <w:color w:val="000000" w:themeColor="text1"/>
          <w:sz w:val="18"/>
          <w:szCs w:val="18"/>
        </w:rPr>
        <w:t>(London: Routledge, 2013), 92-119.</w:t>
      </w:r>
    </w:p>
  </w:footnote>
  <w:footnote w:id="1042">
    <w:p w14:paraId="1557851E" w14:textId="77777777" w:rsidR="00CF189D" w:rsidRPr="00681100"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WHO, </w:t>
      </w:r>
      <w:r w:rsidRPr="00681100">
        <w:rPr>
          <w:rFonts w:ascii="Calibri" w:hAnsi="Calibri" w:cs="Calibri"/>
          <w:i/>
          <w:color w:val="000000" w:themeColor="text1"/>
          <w:sz w:val="18"/>
          <w:szCs w:val="18"/>
        </w:rPr>
        <w:t xml:space="preserve">Constitution of the World Health Organization </w:t>
      </w:r>
      <w:r w:rsidRPr="00681100">
        <w:rPr>
          <w:rFonts w:ascii="Calibri" w:hAnsi="Calibri" w:cs="Calibri"/>
          <w:color w:val="000000" w:themeColor="text1"/>
          <w:sz w:val="18"/>
          <w:szCs w:val="18"/>
        </w:rPr>
        <w:t xml:space="preserve">(Geneva: WHO, 1948). </w:t>
      </w:r>
    </w:p>
  </w:footnote>
  <w:footnote w:id="1043">
    <w:p w14:paraId="599A9A87" w14:textId="77777777" w:rsidR="00CF189D" w:rsidRPr="000045FB"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w:t>
      </w:r>
      <w:r w:rsidRPr="00681100">
        <w:rPr>
          <w:rFonts w:ascii="Calibri" w:hAnsi="Calibri" w:cs="Calibri"/>
          <w:i/>
          <w:color w:val="000000" w:themeColor="text1"/>
          <w:sz w:val="18"/>
          <w:szCs w:val="18"/>
        </w:rPr>
        <w:t xml:space="preserve">IBRD Articles of Agreement, 1945 </w:t>
      </w:r>
      <w:r w:rsidRPr="00681100">
        <w:rPr>
          <w:rFonts w:ascii="Calibri" w:hAnsi="Calibri" w:cs="Calibri"/>
          <w:color w:val="000000" w:themeColor="text1"/>
          <w:sz w:val="18"/>
          <w:szCs w:val="18"/>
        </w:rPr>
        <w:t>(Washington DC: World Bank, 1989).</w:t>
      </w:r>
    </w:p>
  </w:footnote>
  <w:footnote w:id="1044">
    <w:p w14:paraId="1B270396" w14:textId="77777777" w:rsidR="00CF189D" w:rsidRPr="00581494"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w:t>
      </w:r>
      <w:r w:rsidRPr="00681100">
        <w:rPr>
          <w:rFonts w:ascii="Calibri" w:hAnsi="Calibri" w:cs="Calibri"/>
          <w:color w:val="000000" w:themeColor="text1"/>
          <w:sz w:val="18"/>
          <w:szCs w:val="18"/>
        </w:rPr>
        <w:t xml:space="preserve">ld Bank, </w:t>
      </w:r>
      <w:r w:rsidRPr="00681100">
        <w:rPr>
          <w:rFonts w:ascii="Calibri" w:hAnsi="Calibri" w:cs="Calibri"/>
          <w:i/>
          <w:color w:val="000000" w:themeColor="text1"/>
          <w:sz w:val="18"/>
          <w:szCs w:val="18"/>
        </w:rPr>
        <w:t xml:space="preserve">IDA Articles of Agreement </w:t>
      </w:r>
      <w:r w:rsidRPr="000045FB">
        <w:rPr>
          <w:rFonts w:ascii="Calibri" w:hAnsi="Calibri" w:cs="Calibri"/>
          <w:color w:val="000000" w:themeColor="text1"/>
          <w:sz w:val="18"/>
          <w:szCs w:val="18"/>
        </w:rPr>
        <w:t>(Washington DC: World Bank, 1960).</w:t>
      </w:r>
    </w:p>
  </w:footnote>
  <w:footnote w:id="1045">
    <w:p w14:paraId="098BE89B" w14:textId="2C08F09B"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UNA, s-0553-15-5, ‘Consultation on the chemotherapy of onchocerciasis, Geneva, Switzerland, 4-6 September 1972, report’, 1972.</w:t>
      </w:r>
    </w:p>
  </w:footnote>
  <w:footnote w:id="1046">
    <w:p w14:paraId="57674512" w14:textId="2AB552EB"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UNA, s-0553-15-5, ‘Consultation on the chemotherapy of onchocerciasis, Geneva, Switzerland, 4-6 September 1972, report’, 1972.</w:t>
      </w:r>
    </w:p>
  </w:footnote>
  <w:footnote w:id="1047">
    <w:p w14:paraId="2FD1974F" w14:textId="77777777"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30137006, ‘Progress report of the Onchocerciasis Chemotherapy Project (OCT) for 1990’, September 1990.</w:t>
      </w:r>
    </w:p>
  </w:footnote>
  <w:footnote w:id="1048">
    <w:p w14:paraId="16A68E63" w14:textId="0EA42A0A"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UNA, s-0553-15-5, ‘Consultation on the chemotherapy of onchocerciasis, Geneva, Switzerland, 4-6 September 1972, report’, 1972.</w:t>
      </w:r>
    </w:p>
  </w:footnote>
  <w:footnote w:id="1049">
    <w:p w14:paraId="0EB139E5" w14:textId="630675BD" w:rsidR="00CF189D" w:rsidRPr="00CF189D" w:rsidRDefault="00CF189D" w:rsidP="00DD4818">
      <w:pPr>
        <w:pStyle w:val="Footnotes"/>
        <w:rPr>
          <w:rFonts w:ascii="Calibri" w:hAnsi="Calibri" w:cs="Calibri"/>
          <w: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These included melarosonyl potassium, which was tested in Mali and stopped after early deaths during clinical trials due to arsenical encephalopathy; metrifonate, which so far seemed to have little macrofilaricidal activity; niridazole which showed early toxicity; and dihydroemetine and levamisole, which did not show optimal efficacy in animal models. UNA, s-0553-15-5, ‘Consultation on the chemotherapy of onchocerciasis, Geneva, Switzerland, 4-6 September 1972, report’, 1972.</w:t>
      </w:r>
    </w:p>
  </w:footnote>
  <w:footnote w:id="1050">
    <w:p w14:paraId="4006B612" w14:textId="422BFFA4"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UNA, s-0553-15-5, ‘Consultation on the chemotherapy of onchocerciasis, Geneva, Switzerland, 4-6 September 1972, report’, 1972.</w:t>
      </w:r>
    </w:p>
  </w:footnote>
  <w:footnote w:id="1051">
    <w:p w14:paraId="5C83AD00" w14:textId="77777777"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 241, November 1981-March 1982, ‘CSA: report of sixth meeting, Geneva, 29/30 November and 4 December’, 1981.</w:t>
      </w:r>
    </w:p>
  </w:footnote>
  <w:footnote w:id="1052">
    <w:p w14:paraId="4290B862" w14:textId="77777777"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10-AGS-241, November 1981-March 1982, ‘Promoting research to develop and test a new drug for treatment of onchocerciasis’, [November 1981].</w:t>
      </w:r>
    </w:p>
  </w:footnote>
  <w:footnote w:id="1053">
    <w:p w14:paraId="44FE6A35" w14:textId="77777777"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1082632, J. Burke Knapp to McNamara, 14 March 1978.</w:t>
      </w:r>
    </w:p>
  </w:footnote>
  <w:footnote w:id="1054">
    <w:p w14:paraId="6F3D4E97" w14:textId="77777777"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FAOA, 10AGS 241, November 1981-March 1982, ‘CSA: report of sixth meeting, Geneva, 29/30 November and 4 December’, 1981.</w:t>
      </w:r>
    </w:p>
  </w:footnote>
  <w:footnote w:id="1055">
    <w:p w14:paraId="1DFCE0CE" w14:textId="77777777"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1103302, James Lee to Stephen Denning, 28 September 1981.</w:t>
      </w:r>
    </w:p>
  </w:footnote>
  <w:footnote w:id="1056">
    <w:p w14:paraId="094912AF" w14:textId="77777777"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1103302, [Handwritten notes], [December 1981-January 1982]. </w:t>
      </w:r>
    </w:p>
  </w:footnote>
  <w:footnote w:id="1057">
    <w:p w14:paraId="535E80DD" w14:textId="77777777"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1103302, Warren C. Baum to John Evans, 16 December 1981.</w:t>
      </w:r>
    </w:p>
  </w:footnote>
  <w:footnote w:id="1058">
    <w:p w14:paraId="6B828E73" w14:textId="77777777" w:rsidR="00CF189D" w:rsidRPr="00CF189D" w:rsidRDefault="00CF189D" w:rsidP="00DD4818">
      <w:pPr>
        <w:pStyle w:val="Footnotes"/>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CF189D">
        <w:rPr>
          <w:rFonts w:ascii="Calibri" w:hAnsi="Calibri" w:cs="Calibri"/>
          <w:sz w:val="18"/>
          <w:szCs w:val="18"/>
        </w:rPr>
        <w:t xml:space="preserve"> WBGA, 1300642, ‘Bank’s strategy for the Onchocerciasis Control Programme during phase II (1980-1985)’, 30 November 1982.</w:t>
      </w:r>
    </w:p>
  </w:footnote>
  <w:footnote w:id="1059">
    <w:p w14:paraId="5E298D69" w14:textId="77777777" w:rsidR="00CF189D" w:rsidRPr="000045FB"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Francioni F, ‘Multilateralism a la carte: the limits of unilateral withholdings of assessed contributions to the UN budget’, </w:t>
      </w:r>
      <w:r w:rsidRPr="00681100">
        <w:rPr>
          <w:rFonts w:ascii="Calibri" w:hAnsi="Calibri" w:cs="Calibri"/>
          <w:i/>
          <w:color w:val="000000" w:themeColor="text1"/>
          <w:sz w:val="18"/>
          <w:szCs w:val="18"/>
        </w:rPr>
        <w:t xml:space="preserve">European Journal of International Law </w:t>
      </w:r>
      <w:r w:rsidRPr="000045FB">
        <w:rPr>
          <w:rFonts w:ascii="Calibri" w:hAnsi="Calibri" w:cs="Calibri"/>
          <w:color w:val="000000" w:themeColor="text1"/>
          <w:sz w:val="18"/>
          <w:szCs w:val="18"/>
        </w:rPr>
        <w:t>11:1 (2000), 43-59.</w:t>
      </w:r>
    </w:p>
  </w:footnote>
  <w:footnote w:id="1060">
    <w:p w14:paraId="7B22CC0F" w14:textId="77777777" w:rsidR="00CF189D" w:rsidRPr="000045FB"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Graham ER, ‘Money, power, and the United Nations: examining the causes</w:t>
      </w:r>
      <w:r w:rsidRPr="00681100">
        <w:rPr>
          <w:rFonts w:ascii="Calibri" w:hAnsi="Calibri" w:cs="Calibri"/>
          <w:color w:val="000000" w:themeColor="text1"/>
          <w:sz w:val="18"/>
          <w:szCs w:val="18"/>
        </w:rPr>
        <w:t xml:space="preserve"> and consequences of voluntary funding’, </w:t>
      </w:r>
      <w:r w:rsidRPr="00681100">
        <w:rPr>
          <w:rFonts w:ascii="Calibri" w:hAnsi="Calibri" w:cs="Calibri"/>
          <w:i/>
          <w:color w:val="000000" w:themeColor="text1"/>
          <w:sz w:val="18"/>
          <w:szCs w:val="18"/>
        </w:rPr>
        <w:t>Paper prepared for presentation at the International Relations Faculty Colloquium, Princeton University</w:t>
      </w:r>
      <w:r w:rsidRPr="000045FB">
        <w:rPr>
          <w:rFonts w:ascii="Calibri" w:hAnsi="Calibri" w:cs="Calibri"/>
          <w:color w:val="000000" w:themeColor="text1"/>
          <w:sz w:val="18"/>
          <w:szCs w:val="18"/>
        </w:rPr>
        <w:t>, March 2012.</w:t>
      </w:r>
    </w:p>
  </w:footnote>
  <w:footnote w:id="1061">
    <w:p w14:paraId="00FB5044" w14:textId="77777777" w:rsidR="00CF189D" w:rsidRPr="000045FB"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Alger CF, ‘The United States and the United Nations’, </w:t>
      </w:r>
      <w:r w:rsidRPr="00681100">
        <w:rPr>
          <w:rFonts w:ascii="Calibri" w:hAnsi="Calibri" w:cs="Calibri"/>
          <w:i/>
          <w:color w:val="000000" w:themeColor="text1"/>
          <w:sz w:val="18"/>
          <w:szCs w:val="18"/>
        </w:rPr>
        <w:t xml:space="preserve">International Organization </w:t>
      </w:r>
      <w:r w:rsidRPr="00681100">
        <w:rPr>
          <w:rFonts w:ascii="Calibri" w:hAnsi="Calibri" w:cs="Calibri"/>
          <w:color w:val="000000" w:themeColor="text1"/>
          <w:sz w:val="18"/>
          <w:szCs w:val="18"/>
        </w:rPr>
        <w:t>27:1 (1973), 1-</w:t>
      </w:r>
      <w:r w:rsidRPr="000045FB">
        <w:rPr>
          <w:rFonts w:ascii="Calibri" w:hAnsi="Calibri" w:cs="Calibri"/>
          <w:color w:val="000000" w:themeColor="text1"/>
          <w:sz w:val="18"/>
          <w:szCs w:val="18"/>
        </w:rPr>
        <w:t>23.</w:t>
      </w:r>
    </w:p>
  </w:footnote>
  <w:footnote w:id="1062">
    <w:p w14:paraId="4442FB13" w14:textId="77777777" w:rsidR="00CF189D" w:rsidRPr="00681100"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Graham, ‘Money, power’ (2012). </w:t>
      </w:r>
    </w:p>
  </w:footnote>
  <w:footnote w:id="1063">
    <w:p w14:paraId="58A6CE7C" w14:textId="77777777" w:rsidR="00CF189D" w:rsidRPr="00681100"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By 1971, the number of UN member states rose from an original 51 to 127.</w:t>
      </w:r>
    </w:p>
  </w:footnote>
  <w:footnote w:id="1064">
    <w:p w14:paraId="124C5466" w14:textId="77777777" w:rsidR="00CF189D" w:rsidRPr="00E259AA"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See Alvarez JE, ‘United Natio</w:t>
      </w:r>
      <w:r w:rsidRPr="00681100">
        <w:rPr>
          <w:rFonts w:ascii="Calibri" w:hAnsi="Calibri" w:cs="Calibri"/>
          <w:color w:val="000000" w:themeColor="text1"/>
          <w:sz w:val="18"/>
          <w:szCs w:val="18"/>
        </w:rPr>
        <w:t xml:space="preserve">ns financial veto’, </w:t>
      </w:r>
      <w:r w:rsidRPr="00681100">
        <w:rPr>
          <w:rFonts w:ascii="Calibri" w:hAnsi="Calibri" w:cs="Calibri"/>
          <w:i/>
          <w:color w:val="000000" w:themeColor="text1"/>
          <w:sz w:val="18"/>
          <w:szCs w:val="18"/>
        </w:rPr>
        <w:t xml:space="preserve">American Society of International Law Proceedings </w:t>
      </w:r>
      <w:r w:rsidRPr="000045FB">
        <w:rPr>
          <w:rFonts w:ascii="Calibri" w:hAnsi="Calibri" w:cs="Calibri"/>
          <w:color w:val="000000" w:themeColor="text1"/>
          <w:sz w:val="18"/>
          <w:szCs w:val="18"/>
        </w:rPr>
        <w:t xml:space="preserve">90 (1996), 319-324; Taylor P, ‘The United Nations system under stress: financial pressures and their consequences’, </w:t>
      </w:r>
      <w:r w:rsidRPr="00581494">
        <w:rPr>
          <w:rFonts w:ascii="Calibri" w:hAnsi="Calibri" w:cs="Calibri"/>
          <w:i/>
          <w:color w:val="000000" w:themeColor="text1"/>
          <w:sz w:val="18"/>
          <w:szCs w:val="18"/>
        </w:rPr>
        <w:t xml:space="preserve">Review of International Studies </w:t>
      </w:r>
      <w:r w:rsidRPr="00E259AA">
        <w:rPr>
          <w:rFonts w:ascii="Calibri" w:hAnsi="Calibri" w:cs="Calibri"/>
          <w:color w:val="000000" w:themeColor="text1"/>
          <w:sz w:val="18"/>
          <w:szCs w:val="18"/>
        </w:rPr>
        <w:t>17:4 (1991), 365-382.</w:t>
      </w:r>
    </w:p>
  </w:footnote>
  <w:footnote w:id="1065">
    <w:p w14:paraId="154E8F5F" w14:textId="77777777" w:rsidR="00CF189D" w:rsidRPr="00581494"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Vaughan et al.</w:t>
      </w:r>
      <w:r w:rsidRPr="00681100">
        <w:rPr>
          <w:rFonts w:ascii="Calibri" w:hAnsi="Calibri" w:cs="Calibri"/>
          <w:color w:val="000000" w:themeColor="text1"/>
          <w:sz w:val="18"/>
          <w:szCs w:val="18"/>
        </w:rPr>
        <w:t xml:space="preserve">, ‘Financing the World Health Organisation: global importance of extra-budgetary funds’, </w:t>
      </w:r>
      <w:r w:rsidRPr="00681100">
        <w:rPr>
          <w:rFonts w:ascii="Calibri" w:hAnsi="Calibri" w:cs="Calibri"/>
          <w:i/>
          <w:color w:val="000000" w:themeColor="text1"/>
          <w:sz w:val="18"/>
          <w:szCs w:val="18"/>
        </w:rPr>
        <w:t xml:space="preserve">Health Policy </w:t>
      </w:r>
      <w:r w:rsidRPr="000045FB">
        <w:rPr>
          <w:rFonts w:ascii="Calibri" w:hAnsi="Calibri" w:cs="Calibri"/>
          <w:color w:val="000000" w:themeColor="text1"/>
          <w:sz w:val="18"/>
          <w:szCs w:val="18"/>
        </w:rPr>
        <w:t>35 (1996): 229-245.</w:t>
      </w:r>
    </w:p>
  </w:footnote>
  <w:footnote w:id="1066">
    <w:p w14:paraId="01DED97A" w14:textId="77777777" w:rsidR="00CF189D" w:rsidRPr="000045FB"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Yussef et al., </w:t>
      </w:r>
      <w:r w:rsidRPr="00681100">
        <w:rPr>
          <w:rFonts w:ascii="Calibri" w:hAnsi="Calibri" w:cs="Calibri"/>
          <w:i/>
          <w:color w:val="000000" w:themeColor="text1"/>
          <w:sz w:val="18"/>
          <w:szCs w:val="18"/>
        </w:rPr>
        <w:t xml:space="preserve">Voluntary contributions in United Nations system organizations: impact on programme delivery and resource mobilization strategies </w:t>
      </w:r>
      <w:r w:rsidRPr="000045FB">
        <w:rPr>
          <w:rFonts w:ascii="Calibri" w:hAnsi="Calibri" w:cs="Calibri"/>
          <w:color w:val="000000" w:themeColor="text1"/>
          <w:sz w:val="18"/>
          <w:szCs w:val="18"/>
        </w:rPr>
        <w:t>(Geneva: UN Joint Inspections Unit, 2007).</w:t>
      </w:r>
    </w:p>
  </w:footnote>
  <w:footnote w:id="1067">
    <w:p w14:paraId="723E0667" w14:textId="77777777" w:rsidR="00CF189D" w:rsidRPr="000045FB" w:rsidRDefault="00CF189D" w:rsidP="00931CC1">
      <w:pPr>
        <w:pStyle w:val="FootnoteText"/>
        <w:rPr>
          <w:rFonts w:ascii="Calibri" w:hAnsi="Calibri" w:cs="Calibri"/>
          <w: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WBGA, 1865310, David de Ferranti to Distr</w:t>
      </w:r>
      <w:r w:rsidRPr="00681100">
        <w:rPr>
          <w:rFonts w:ascii="Calibri" w:hAnsi="Calibri" w:cs="Calibri"/>
          <w:color w:val="000000" w:themeColor="text1"/>
          <w:sz w:val="18"/>
          <w:szCs w:val="18"/>
        </w:rPr>
        <w:t>ibution, ‘Review of Special Grants Programs for Population, Health and Nutrition’, 30 January 1996.</w:t>
      </w:r>
    </w:p>
  </w:footnote>
  <w:footnote w:id="1068">
    <w:p w14:paraId="50889FCB" w14:textId="77777777" w:rsidR="00CF189D" w:rsidRPr="00581494" w:rsidRDefault="00CF189D" w:rsidP="00931CC1">
      <w:pPr>
        <w:rPr>
          <w:rFonts w:ascii="Calibri" w:hAnsi="Calibri" w:cs="Calibri"/>
          <w:color w:val="000000" w:themeColor="text1"/>
          <w:sz w:val="18"/>
          <w:szCs w:val="18"/>
          <w:lang w:eastAsia="en-GB"/>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t>
      </w:r>
      <w:r w:rsidRPr="00681100">
        <w:rPr>
          <w:rFonts w:ascii="Calibri" w:hAnsi="Calibri" w:cs="Calibri"/>
          <w:color w:val="000000" w:themeColor="text1"/>
          <w:sz w:val="18"/>
          <w:szCs w:val="18"/>
          <w:lang w:eastAsia="en-GB"/>
        </w:rPr>
        <w:t xml:space="preserve">World Bank, </w:t>
      </w:r>
      <w:r w:rsidRPr="00681100">
        <w:rPr>
          <w:rFonts w:ascii="Calibri" w:hAnsi="Calibri" w:cs="Calibri"/>
          <w:i/>
          <w:color w:val="000000" w:themeColor="text1"/>
          <w:sz w:val="18"/>
          <w:szCs w:val="18"/>
          <w:lang w:eastAsia="en-GB"/>
        </w:rPr>
        <w:t xml:space="preserve">World Bank support for global and regional Initiatives under the Development Grant Facility (DGF): compendium of DFG programs </w:t>
      </w:r>
      <w:r w:rsidRPr="000045FB">
        <w:rPr>
          <w:rFonts w:ascii="Calibri" w:hAnsi="Calibri" w:cs="Calibri"/>
          <w:color w:val="000000" w:themeColor="text1"/>
          <w:sz w:val="18"/>
          <w:szCs w:val="18"/>
          <w:lang w:eastAsia="en-GB"/>
        </w:rPr>
        <w:t xml:space="preserve">(Washington DC: World Bank, 2002). </w:t>
      </w:r>
    </w:p>
  </w:footnote>
  <w:footnote w:id="1069">
    <w:p w14:paraId="24670AAF" w14:textId="77777777" w:rsidR="00CF189D" w:rsidRPr="000045FB" w:rsidRDefault="00CF189D" w:rsidP="00931CC1">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According to David de Ferranti, this</w:t>
      </w:r>
      <w:r w:rsidRPr="00681100">
        <w:rPr>
          <w:rFonts w:ascii="Calibri" w:hAnsi="Calibri" w:cs="Calibri"/>
          <w:color w:val="000000" w:themeColor="text1"/>
          <w:sz w:val="18"/>
          <w:szCs w:val="18"/>
        </w:rPr>
        <w:t xml:space="preserve"> number was even higher before the Global Program on AIDS became the separate organization, UNAIDS. See WBGA, 1865310, David de Ferranti to Distribution, ‘Review of Special Grants Programs for Population, Health and Nutrition’, 30 January 1996.</w:t>
      </w:r>
    </w:p>
  </w:footnote>
  <w:footnote w:id="1070">
    <w:p w14:paraId="147C4DDB" w14:textId="77777777" w:rsidR="00CF189D" w:rsidRPr="00581494" w:rsidRDefault="00CF189D" w:rsidP="0038701F">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De Pinho Campos et al., ‘Product development public-private part</w:t>
      </w:r>
      <w:r w:rsidRPr="00681100">
        <w:rPr>
          <w:rFonts w:ascii="Calibri" w:hAnsi="Calibri" w:cs="Calibri"/>
          <w:color w:val="000000" w:themeColor="text1"/>
          <w:sz w:val="18"/>
          <w:szCs w:val="18"/>
        </w:rPr>
        <w:t xml:space="preserve">nerships for public health: a systematic review using qualitative data’, </w:t>
      </w:r>
      <w:r w:rsidRPr="00681100">
        <w:rPr>
          <w:rFonts w:ascii="Calibri" w:hAnsi="Calibri" w:cs="Calibri"/>
          <w:i/>
          <w:color w:val="000000" w:themeColor="text1"/>
          <w:sz w:val="18"/>
          <w:szCs w:val="18"/>
        </w:rPr>
        <w:t>S</w:t>
      </w:r>
      <w:r w:rsidRPr="000045FB">
        <w:rPr>
          <w:rFonts w:ascii="Calibri" w:hAnsi="Calibri" w:cs="Calibri"/>
          <w:i/>
          <w:color w:val="000000" w:themeColor="text1"/>
          <w:sz w:val="18"/>
          <w:szCs w:val="18"/>
        </w:rPr>
        <w:t xml:space="preserve">ocial Science &amp; Medicine </w:t>
      </w:r>
      <w:r w:rsidRPr="000045FB">
        <w:rPr>
          <w:rFonts w:ascii="Calibri" w:hAnsi="Calibri" w:cs="Calibri"/>
          <w:color w:val="000000" w:themeColor="text1"/>
          <w:sz w:val="18"/>
          <w:szCs w:val="18"/>
        </w:rPr>
        <w:t>73 (2011), 986-994.</w:t>
      </w:r>
    </w:p>
  </w:footnote>
  <w:footnote w:id="1071">
    <w:p w14:paraId="7FC39123" w14:textId="77777777" w:rsidR="00CF189D" w:rsidRPr="000045FB" w:rsidRDefault="00CF189D" w:rsidP="0038701F">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Quick J, ‘Book review – Public-private partnerships for public health, Harvard series on population and international health, Ed. Michael R. Reich’, </w:t>
      </w:r>
      <w:r w:rsidRPr="00681100">
        <w:rPr>
          <w:rFonts w:ascii="Calibri" w:hAnsi="Calibri" w:cs="Calibri"/>
          <w:i/>
          <w:color w:val="000000" w:themeColor="text1"/>
          <w:sz w:val="18"/>
          <w:szCs w:val="18"/>
        </w:rPr>
        <w:t xml:space="preserve">New England Journal of Medicine </w:t>
      </w:r>
      <w:r w:rsidRPr="000045FB">
        <w:rPr>
          <w:rFonts w:ascii="Calibri" w:hAnsi="Calibri" w:cs="Calibri"/>
          <w:color w:val="000000" w:themeColor="text1"/>
          <w:sz w:val="18"/>
          <w:szCs w:val="18"/>
        </w:rPr>
        <w:t>347 (2002), 1807-1808.</w:t>
      </w:r>
    </w:p>
  </w:footnote>
  <w:footnote w:id="1072">
    <w:p w14:paraId="0CA3EFF7" w14:textId="77777777" w:rsidR="00CF189D" w:rsidRPr="00681100" w:rsidRDefault="00CF189D" w:rsidP="0038701F">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Nis</w:t>
      </w:r>
      <w:r w:rsidRPr="00681100">
        <w:rPr>
          <w:rFonts w:ascii="Calibri" w:hAnsi="Calibri" w:cs="Calibri"/>
          <w:color w:val="000000" w:themeColor="text1"/>
          <w:sz w:val="18"/>
          <w:szCs w:val="18"/>
        </w:rPr>
        <w:t>htar, ‘Public-private’ (2004).</w:t>
      </w:r>
    </w:p>
  </w:footnote>
  <w:footnote w:id="1073">
    <w:p w14:paraId="6A4AF7B9" w14:textId="77777777" w:rsidR="00CF189D" w:rsidRPr="00581494" w:rsidRDefault="00CF189D" w:rsidP="0038701F">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Widdus R and </w:t>
      </w:r>
      <w:r w:rsidRPr="00681100">
        <w:rPr>
          <w:rFonts w:ascii="Calibri" w:hAnsi="Calibri" w:cs="Calibri"/>
          <w:color w:val="000000" w:themeColor="text1"/>
          <w:sz w:val="18"/>
          <w:szCs w:val="18"/>
        </w:rPr>
        <w:t xml:space="preserve">White K, </w:t>
      </w:r>
      <w:r w:rsidRPr="00681100">
        <w:rPr>
          <w:rFonts w:ascii="Calibri" w:hAnsi="Calibri" w:cs="Calibri"/>
          <w:i/>
          <w:color w:val="000000" w:themeColor="text1"/>
          <w:sz w:val="18"/>
          <w:szCs w:val="18"/>
        </w:rPr>
        <w:t xml:space="preserve">Combating diseases associated with poverty: financing strategies for product development and the potential role of public-private partnerships </w:t>
      </w:r>
      <w:r w:rsidRPr="000045FB">
        <w:rPr>
          <w:rFonts w:ascii="Calibri" w:hAnsi="Calibri" w:cs="Calibri"/>
          <w:color w:val="000000" w:themeColor="text1"/>
          <w:sz w:val="18"/>
          <w:szCs w:val="18"/>
        </w:rPr>
        <w:t>(Geneva: Initiative on Public Private Partnerships for Health, 2004).</w:t>
      </w:r>
    </w:p>
  </w:footnote>
  <w:footnote w:id="1074">
    <w:p w14:paraId="25E77D5B" w14:textId="77777777" w:rsidR="00CF189D" w:rsidRPr="00E259AA" w:rsidRDefault="00CF189D" w:rsidP="0038701F">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Winters J, ‘The surge of public-private partnerships for health since the millennium’, </w:t>
      </w:r>
      <w:r w:rsidRPr="00681100">
        <w:rPr>
          <w:rFonts w:ascii="Calibri" w:hAnsi="Calibri" w:cs="Calibri"/>
          <w:i/>
          <w:color w:val="000000" w:themeColor="text1"/>
          <w:sz w:val="18"/>
          <w:szCs w:val="18"/>
        </w:rPr>
        <w:t xml:space="preserve">Global Health Governance Programme Blog </w:t>
      </w:r>
      <w:r w:rsidRPr="00681100">
        <w:rPr>
          <w:rFonts w:ascii="Calibri" w:hAnsi="Calibri" w:cs="Calibri"/>
          <w:color w:val="000000" w:themeColor="text1"/>
          <w:sz w:val="18"/>
          <w:szCs w:val="18"/>
        </w:rPr>
        <w:t>(online), 21 July 2017, &lt;</w:t>
      </w:r>
      <w:r w:rsidRPr="000045FB">
        <w:rPr>
          <w:rFonts w:ascii="Calibri" w:hAnsi="Calibri" w:cs="Calibri"/>
          <w:sz w:val="18"/>
          <w:szCs w:val="18"/>
        </w:rPr>
        <w:t>http://globalhealthgovernance.org/blog/2017/7/21/the-surge-of-public-private-partnerships-for-health-si</w:t>
      </w:r>
      <w:r w:rsidRPr="00581494">
        <w:rPr>
          <w:rFonts w:ascii="Calibri" w:hAnsi="Calibri" w:cs="Calibri"/>
          <w:sz w:val="18"/>
          <w:szCs w:val="18"/>
        </w:rPr>
        <w:t>nce-the-millennium</w:t>
      </w:r>
      <w:r w:rsidRPr="00E259AA">
        <w:rPr>
          <w:rFonts w:ascii="Calibri" w:hAnsi="Calibri" w:cs="Calibri"/>
          <w:color w:val="000000" w:themeColor="text1"/>
          <w:sz w:val="18"/>
          <w:szCs w:val="18"/>
        </w:rPr>
        <w:t>&gt; [accessed 15 February 2018].</w:t>
      </w:r>
    </w:p>
  </w:footnote>
  <w:footnote w:id="1075">
    <w:p w14:paraId="621346AF" w14:textId="77777777" w:rsidR="00CF189D" w:rsidRPr="000045FB" w:rsidRDefault="00CF189D" w:rsidP="0038701F">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Gates B, ‘A story from one of my heroes’, </w:t>
      </w:r>
      <w:r w:rsidRPr="00681100">
        <w:rPr>
          <w:rFonts w:ascii="Calibri" w:hAnsi="Calibri" w:cs="Calibri"/>
          <w:i/>
          <w:color w:val="000000" w:themeColor="text1"/>
          <w:sz w:val="18"/>
          <w:szCs w:val="18"/>
        </w:rPr>
        <w:t xml:space="preserve">Gates Notes </w:t>
      </w:r>
      <w:r w:rsidRPr="00681100">
        <w:rPr>
          <w:rFonts w:ascii="Calibri" w:hAnsi="Calibri" w:cs="Calibri"/>
          <w:color w:val="000000" w:themeColor="text1"/>
          <w:sz w:val="18"/>
          <w:szCs w:val="18"/>
        </w:rPr>
        <w:t>(16 May 2014).</w:t>
      </w:r>
    </w:p>
  </w:footnote>
  <w:footnote w:id="1076">
    <w:p w14:paraId="188B913A" w14:textId="77777777" w:rsidR="00CF189D" w:rsidRPr="00CF189D" w:rsidRDefault="00CF189D" w:rsidP="0038701F">
      <w:pPr>
        <w:rPr>
          <w:rFonts w:ascii="Calibri" w:hAnsi="Calibri" w:cs="Calibri"/>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Evans T, ‘Eliminating river blindness: clear and bold vision required’, </w:t>
      </w:r>
      <w:r w:rsidRPr="00681100">
        <w:rPr>
          <w:rFonts w:ascii="Calibri" w:hAnsi="Calibri" w:cs="Calibri"/>
          <w:i/>
          <w:color w:val="000000" w:themeColor="text1"/>
          <w:sz w:val="18"/>
          <w:szCs w:val="18"/>
        </w:rPr>
        <w:t xml:space="preserve">World Bank Blogs </w:t>
      </w:r>
      <w:r w:rsidRPr="00681100">
        <w:rPr>
          <w:rFonts w:ascii="Calibri" w:hAnsi="Calibri" w:cs="Calibri"/>
          <w:color w:val="000000" w:themeColor="text1"/>
          <w:sz w:val="18"/>
          <w:szCs w:val="18"/>
        </w:rPr>
        <w:t>(online), 23 June 2014, &lt;</w:t>
      </w:r>
      <w:r w:rsidRPr="000045FB">
        <w:rPr>
          <w:rFonts w:ascii="Calibri" w:hAnsi="Calibri" w:cs="Calibri"/>
          <w:sz w:val="18"/>
          <w:szCs w:val="18"/>
        </w:rPr>
        <w:t>http://blogs.worldbank.org/health/eliminating-river-blindness-clear-and-bold-vision-required</w:t>
      </w:r>
      <w:r w:rsidRPr="00581494">
        <w:rPr>
          <w:rFonts w:ascii="Calibri" w:hAnsi="Calibri" w:cs="Calibri"/>
          <w:color w:val="000000" w:themeColor="text1"/>
          <w:sz w:val="18"/>
          <w:szCs w:val="18"/>
        </w:rPr>
        <w:t>&gt; [accessed 10 May 2018].</w:t>
      </w:r>
    </w:p>
  </w:footnote>
  <w:footnote w:id="1077">
    <w:p w14:paraId="3D4F15E4" w14:textId="77777777" w:rsidR="00CF189D" w:rsidRPr="00581494" w:rsidRDefault="00CF189D" w:rsidP="0038701F">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‘Public private partnerships for health: PPPs are here and growing’, in </w:t>
      </w:r>
      <w:r w:rsidRPr="00681100">
        <w:rPr>
          <w:rFonts w:ascii="Calibri" w:hAnsi="Calibri" w:cs="Calibri"/>
          <w:i/>
          <w:color w:val="000000" w:themeColor="text1"/>
          <w:sz w:val="18"/>
          <w:szCs w:val="18"/>
        </w:rPr>
        <w:t xml:space="preserve">Africa Health Forum: Finance and Capacity for Results </w:t>
      </w:r>
      <w:r w:rsidRPr="000045FB">
        <w:rPr>
          <w:rFonts w:ascii="Calibri" w:hAnsi="Calibri" w:cs="Calibri"/>
          <w:color w:val="000000" w:themeColor="text1"/>
          <w:sz w:val="18"/>
          <w:szCs w:val="18"/>
        </w:rPr>
        <w:t>(Washington DC: World Bank, 2013), 2.</w:t>
      </w:r>
    </w:p>
  </w:footnote>
  <w:footnote w:id="1078">
    <w:p w14:paraId="1E07B208" w14:textId="77777777" w:rsidR="00CF189D" w:rsidRPr="000045FB" w:rsidRDefault="00CF189D" w:rsidP="0038701F">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Trouiller et al., ‘Drug development for neglected diseases: a deficient market and a public-health policy failure’, </w:t>
      </w:r>
      <w:r w:rsidRPr="00681100">
        <w:rPr>
          <w:rFonts w:ascii="Calibri" w:hAnsi="Calibri" w:cs="Calibri"/>
          <w:i/>
          <w:color w:val="000000" w:themeColor="text1"/>
          <w:sz w:val="18"/>
          <w:szCs w:val="18"/>
        </w:rPr>
        <w:t xml:space="preserve">Lancet </w:t>
      </w:r>
      <w:r w:rsidRPr="00681100">
        <w:rPr>
          <w:rFonts w:ascii="Calibri" w:hAnsi="Calibri" w:cs="Calibri"/>
          <w:color w:val="000000" w:themeColor="text1"/>
          <w:sz w:val="18"/>
          <w:szCs w:val="18"/>
        </w:rPr>
        <w:t>359 (2002), 2188-2194.</w:t>
      </w:r>
    </w:p>
  </w:footnote>
  <w:footnote w:id="1079">
    <w:p w14:paraId="2845AD75" w14:textId="77777777" w:rsidR="00CF189D" w:rsidRPr="00581494" w:rsidRDefault="00CF189D" w:rsidP="0038701F">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Liese et al., ‘Programmes, partnerships, and governance for elimin</w:t>
      </w:r>
      <w:r w:rsidRPr="00681100">
        <w:rPr>
          <w:rFonts w:ascii="Calibri" w:hAnsi="Calibri" w:cs="Calibri"/>
          <w:color w:val="000000" w:themeColor="text1"/>
          <w:sz w:val="18"/>
          <w:szCs w:val="18"/>
        </w:rPr>
        <w:t xml:space="preserve">ation and control of neglected tropical diseases’, </w:t>
      </w:r>
      <w:r w:rsidRPr="000045FB">
        <w:rPr>
          <w:rFonts w:ascii="Calibri" w:hAnsi="Calibri" w:cs="Calibri"/>
          <w:i/>
          <w:color w:val="000000" w:themeColor="text1"/>
          <w:sz w:val="18"/>
          <w:szCs w:val="18"/>
        </w:rPr>
        <w:t xml:space="preserve">Lancet </w:t>
      </w:r>
      <w:r w:rsidRPr="000045FB">
        <w:rPr>
          <w:rFonts w:ascii="Calibri" w:hAnsi="Calibri" w:cs="Calibri"/>
          <w:color w:val="000000" w:themeColor="text1"/>
          <w:sz w:val="18"/>
          <w:szCs w:val="18"/>
        </w:rPr>
        <w:t>375 (2010), 67-76.</w:t>
      </w:r>
    </w:p>
  </w:footnote>
  <w:footnote w:id="1080">
    <w:p w14:paraId="141C1F19" w14:textId="77777777" w:rsidR="00CF189D" w:rsidRPr="000045FB" w:rsidRDefault="00CF189D" w:rsidP="0038701F">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Aerts et al., ‘Are public-private partnerships the solution to tackle neglected tropical diseases? A systematic review of the literature’, </w:t>
      </w:r>
      <w:r w:rsidRPr="00681100">
        <w:rPr>
          <w:rFonts w:ascii="Calibri" w:hAnsi="Calibri" w:cs="Calibri"/>
          <w:i/>
          <w:color w:val="000000" w:themeColor="text1"/>
          <w:sz w:val="18"/>
          <w:szCs w:val="18"/>
        </w:rPr>
        <w:t xml:space="preserve">Health Policy </w:t>
      </w:r>
      <w:r w:rsidRPr="00681100">
        <w:rPr>
          <w:rFonts w:ascii="Calibri" w:hAnsi="Calibri" w:cs="Calibri"/>
          <w:color w:val="000000" w:themeColor="text1"/>
          <w:sz w:val="18"/>
          <w:szCs w:val="18"/>
        </w:rPr>
        <w:t>121 (2017), 745-754.</w:t>
      </w:r>
    </w:p>
  </w:footnote>
  <w:footnote w:id="1081">
    <w:p w14:paraId="15E1C166" w14:textId="77777777" w:rsidR="00CF189D" w:rsidRPr="00E259AA" w:rsidRDefault="00CF189D" w:rsidP="0038701F">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w:t>
      </w:r>
      <w:r w:rsidRPr="00681100">
        <w:rPr>
          <w:rFonts w:ascii="Calibri" w:hAnsi="Calibri" w:cs="Calibri"/>
          <w:color w:val="000000" w:themeColor="text1"/>
          <w:sz w:val="18"/>
          <w:szCs w:val="18"/>
        </w:rPr>
        <w:t>or instance, according to a 2009 industry profile, it takes about 10-15 years to develop a single drug, on average, costing nearly $800 million - $1.3 billion. With drug parents expiring 20 years from filing, only two out of 10 marketed drugs ever reach re</w:t>
      </w:r>
      <w:r w:rsidRPr="000045FB">
        <w:rPr>
          <w:rFonts w:ascii="Calibri" w:hAnsi="Calibri" w:cs="Calibri"/>
          <w:color w:val="000000" w:themeColor="text1"/>
          <w:sz w:val="18"/>
          <w:szCs w:val="18"/>
        </w:rPr>
        <w:t>turn revenues that match or exceed their research and development costs. In the case of NTDs, the market value is lower than these averages, meaning that incentivization is normally required to prompt pharmaceutical companies to even initiate research port</w:t>
      </w:r>
      <w:r w:rsidRPr="00581494">
        <w:rPr>
          <w:rFonts w:ascii="Calibri" w:hAnsi="Calibri" w:cs="Calibri"/>
          <w:color w:val="000000" w:themeColor="text1"/>
          <w:sz w:val="18"/>
          <w:szCs w:val="18"/>
        </w:rPr>
        <w:t xml:space="preserve">folios </w:t>
      </w:r>
      <w:r w:rsidRPr="00E259AA">
        <w:rPr>
          <w:rFonts w:ascii="Calibri" w:hAnsi="Calibri" w:cs="Calibri"/>
          <w:color w:val="000000" w:themeColor="text1"/>
          <w:sz w:val="18"/>
          <w:szCs w:val="18"/>
        </w:rPr>
        <w:t>for NTDs. Aerts et al., ‘Are public-private’ (2017).</w:t>
      </w:r>
    </w:p>
  </w:footnote>
  <w:footnote w:id="1082">
    <w:p w14:paraId="10C52C31" w14:textId="77777777" w:rsidR="00CF189D" w:rsidRPr="000045FB" w:rsidRDefault="00CF189D" w:rsidP="0038701F">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Aerts et al., ‘Are public-private’ (2017). For instance, Gates has advocated for PPP-based push mechanisms (i.e. tax credits for public investment in research and development) and pull mechanism</w:t>
      </w:r>
      <w:r w:rsidRPr="00681100">
        <w:rPr>
          <w:rFonts w:ascii="Calibri" w:hAnsi="Calibri" w:cs="Calibri"/>
          <w:color w:val="000000" w:themeColor="text1"/>
          <w:sz w:val="18"/>
          <w:szCs w:val="18"/>
        </w:rPr>
        <w:t>s (i.e. patent extensions and advanced purchase agreements).</w:t>
      </w:r>
    </w:p>
  </w:footnote>
  <w:footnote w:id="1083">
    <w:p w14:paraId="773D07DF" w14:textId="77777777" w:rsidR="00CF189D" w:rsidRPr="000045FB" w:rsidRDefault="00CF189D" w:rsidP="0038701F">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Harvard University, ‘Neglected tropical diseases: progress and challenges for the post-2015 development era’, </w:t>
      </w:r>
      <w:r w:rsidRPr="00681100">
        <w:rPr>
          <w:rFonts w:ascii="Calibri" w:hAnsi="Calibri" w:cs="Calibri"/>
          <w:i/>
          <w:color w:val="000000" w:themeColor="text1"/>
          <w:sz w:val="18"/>
          <w:szCs w:val="18"/>
        </w:rPr>
        <w:t xml:space="preserve">Science in the News </w:t>
      </w:r>
      <w:r w:rsidRPr="00681100">
        <w:rPr>
          <w:rFonts w:ascii="Calibri" w:hAnsi="Calibri" w:cs="Calibri"/>
          <w:color w:val="000000" w:themeColor="text1"/>
          <w:sz w:val="18"/>
          <w:szCs w:val="18"/>
        </w:rPr>
        <w:t>(31 Dec 2014).</w:t>
      </w:r>
    </w:p>
  </w:footnote>
  <w:footnote w:id="1084">
    <w:p w14:paraId="7B63FF6D" w14:textId="77777777" w:rsidR="00CF189D" w:rsidRPr="00581494" w:rsidRDefault="00CF189D" w:rsidP="0038701F">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‘The World Bank and neglected trop</w:t>
      </w:r>
      <w:r w:rsidRPr="00681100">
        <w:rPr>
          <w:rFonts w:ascii="Calibri" w:hAnsi="Calibri" w:cs="Calibri"/>
          <w:color w:val="000000" w:themeColor="text1"/>
          <w:sz w:val="18"/>
          <w:szCs w:val="18"/>
        </w:rPr>
        <w:t xml:space="preserve">ical diseases: building on a history of helping countries address diseases of the poor’, </w:t>
      </w:r>
      <w:r w:rsidRPr="000045FB">
        <w:rPr>
          <w:rFonts w:ascii="Calibri" w:hAnsi="Calibri" w:cs="Calibri"/>
          <w:i/>
          <w:color w:val="000000" w:themeColor="text1"/>
          <w:sz w:val="18"/>
          <w:szCs w:val="18"/>
        </w:rPr>
        <w:t xml:space="preserve">World Bank Website </w:t>
      </w:r>
      <w:r w:rsidRPr="000045FB">
        <w:rPr>
          <w:rFonts w:ascii="Calibri" w:hAnsi="Calibri" w:cs="Calibri"/>
          <w:color w:val="000000" w:themeColor="text1"/>
          <w:sz w:val="18"/>
          <w:szCs w:val="18"/>
        </w:rPr>
        <w:t>(27 March 2014).</w:t>
      </w:r>
    </w:p>
  </w:footnote>
  <w:footnote w:id="1085">
    <w:p w14:paraId="464AFDE5" w14:textId="77777777" w:rsidR="00CF189D" w:rsidRPr="00581494" w:rsidRDefault="00CF189D" w:rsidP="0038701F">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Gates Foundation, ‘Global partners are taking the “neglect” out of “neglected tropical diseases”’, </w:t>
      </w:r>
      <w:r w:rsidRPr="00681100">
        <w:rPr>
          <w:rFonts w:ascii="Calibri" w:hAnsi="Calibri" w:cs="Calibri"/>
          <w:i/>
          <w:color w:val="000000" w:themeColor="text1"/>
          <w:sz w:val="18"/>
          <w:szCs w:val="18"/>
        </w:rPr>
        <w:t>Bill and Melinda Gates Foundation Pre</w:t>
      </w:r>
      <w:r w:rsidRPr="000045FB">
        <w:rPr>
          <w:rFonts w:ascii="Calibri" w:hAnsi="Calibri" w:cs="Calibri"/>
          <w:i/>
          <w:color w:val="000000" w:themeColor="text1"/>
          <w:sz w:val="18"/>
          <w:szCs w:val="18"/>
        </w:rPr>
        <w:t xml:space="preserve">ss Room </w:t>
      </w:r>
      <w:r w:rsidRPr="000045FB">
        <w:rPr>
          <w:rFonts w:ascii="Calibri" w:hAnsi="Calibri" w:cs="Calibri"/>
          <w:color w:val="000000" w:themeColor="text1"/>
          <w:sz w:val="18"/>
          <w:szCs w:val="18"/>
        </w:rPr>
        <w:t>(2 April 2014).</w:t>
      </w:r>
    </w:p>
  </w:footnote>
  <w:footnote w:id="1086">
    <w:p w14:paraId="45FB196D" w14:textId="77777777" w:rsidR="00CF189D" w:rsidRPr="000045FB" w:rsidRDefault="00CF189D" w:rsidP="0038701F">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World Bank Ghana Office, ‘Pushing back neglected tropical diseases in Africa’, </w:t>
      </w:r>
      <w:r w:rsidRPr="00681100">
        <w:rPr>
          <w:rFonts w:ascii="Calibri" w:hAnsi="Calibri" w:cs="Calibri"/>
          <w:i/>
          <w:color w:val="000000" w:themeColor="text1"/>
          <w:sz w:val="18"/>
          <w:szCs w:val="18"/>
        </w:rPr>
        <w:t xml:space="preserve">Business Ghana </w:t>
      </w:r>
      <w:r w:rsidRPr="00681100">
        <w:rPr>
          <w:rFonts w:ascii="Calibri" w:hAnsi="Calibri" w:cs="Calibri"/>
          <w:color w:val="000000" w:themeColor="text1"/>
          <w:sz w:val="18"/>
          <w:szCs w:val="18"/>
        </w:rPr>
        <w:t>(20 Nov 2012).</w:t>
      </w:r>
    </w:p>
  </w:footnote>
  <w:footnote w:id="1087">
    <w:p w14:paraId="4D0B3F44" w14:textId="77777777" w:rsidR="00CF189D" w:rsidRPr="00E259AA" w:rsidRDefault="00CF189D" w:rsidP="0038701F">
      <w:pPr>
        <w:pStyle w:val="FootnoteText"/>
        <w:rPr>
          <w:rFonts w:ascii="Calibri" w:hAnsi="Calibri" w:cs="Calibri"/>
          <w:b/>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WHO, ‘Speech of Dr Luis Gomes Sambo, WHO Regional Director for Africa at the celebration of 40</w:t>
      </w:r>
      <w:r w:rsidRPr="00681100">
        <w:rPr>
          <w:rFonts w:ascii="Calibri" w:hAnsi="Calibri" w:cs="Calibri"/>
          <w:color w:val="000000" w:themeColor="text1"/>
          <w:sz w:val="18"/>
          <w:szCs w:val="18"/>
          <w:vertAlign w:val="superscript"/>
        </w:rPr>
        <w:t>th</w:t>
      </w:r>
      <w:r w:rsidRPr="00681100">
        <w:rPr>
          <w:rFonts w:ascii="Calibri" w:hAnsi="Calibri" w:cs="Calibri"/>
          <w:color w:val="000000" w:themeColor="text1"/>
          <w:sz w:val="18"/>
          <w:szCs w:val="18"/>
        </w:rPr>
        <w:t xml:space="preserve"> anniversary of the riv</w:t>
      </w:r>
      <w:r w:rsidRPr="000045FB">
        <w:rPr>
          <w:rFonts w:ascii="Calibri" w:hAnsi="Calibri" w:cs="Calibri"/>
          <w:color w:val="000000" w:themeColor="text1"/>
          <w:sz w:val="18"/>
          <w:szCs w:val="18"/>
        </w:rPr>
        <w:t xml:space="preserve">er blindness partnership OCP/APOC’, </w:t>
      </w:r>
      <w:r w:rsidRPr="000045FB">
        <w:rPr>
          <w:rFonts w:ascii="Calibri" w:hAnsi="Calibri" w:cs="Calibri"/>
          <w:i/>
          <w:color w:val="000000" w:themeColor="text1"/>
          <w:sz w:val="18"/>
          <w:szCs w:val="18"/>
        </w:rPr>
        <w:t xml:space="preserve">WHO AFRO Speeches &amp; Messages </w:t>
      </w:r>
      <w:r w:rsidRPr="00581494">
        <w:rPr>
          <w:rFonts w:ascii="Calibri" w:hAnsi="Calibri" w:cs="Calibri"/>
          <w:color w:val="000000" w:themeColor="text1"/>
          <w:sz w:val="18"/>
          <w:szCs w:val="18"/>
        </w:rPr>
        <w:t>(20 June 2014).</w:t>
      </w:r>
    </w:p>
  </w:footnote>
  <w:footnote w:id="1088">
    <w:p w14:paraId="4386F748" w14:textId="77777777" w:rsidR="00CF189D" w:rsidRPr="00681100" w:rsidRDefault="00CF189D" w:rsidP="0038701F">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Liese et al., ‘Programmes’ (2010).</w:t>
      </w:r>
    </w:p>
  </w:footnote>
  <w:footnote w:id="1089">
    <w:p w14:paraId="2BC96E5B" w14:textId="77777777" w:rsidR="00CF189D" w:rsidRPr="000045FB" w:rsidRDefault="00CF189D" w:rsidP="0038701F">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WHO, ‘Unprecedented progress against neglected tropical diseases, WHO reports’, </w:t>
      </w:r>
      <w:r w:rsidRPr="00681100">
        <w:rPr>
          <w:rFonts w:ascii="Calibri" w:hAnsi="Calibri" w:cs="Calibri"/>
          <w:i/>
          <w:color w:val="000000" w:themeColor="text1"/>
          <w:sz w:val="18"/>
          <w:szCs w:val="18"/>
        </w:rPr>
        <w:t xml:space="preserve">WHO Newsroom </w:t>
      </w:r>
      <w:r w:rsidRPr="00681100">
        <w:rPr>
          <w:rFonts w:ascii="Calibri" w:hAnsi="Calibri" w:cs="Calibri"/>
          <w:color w:val="000000" w:themeColor="text1"/>
          <w:sz w:val="18"/>
          <w:szCs w:val="18"/>
        </w:rPr>
        <w:t>(19 April 2017).</w:t>
      </w:r>
    </w:p>
  </w:footnote>
  <w:footnote w:id="1090">
    <w:p w14:paraId="699B73CB" w14:textId="77777777" w:rsidR="00CF189D" w:rsidRPr="00581494" w:rsidRDefault="00CF189D" w:rsidP="0038701F">
      <w:pPr>
        <w:pStyle w:val="FootnoteText"/>
        <w:rPr>
          <w:rFonts w:ascii="Calibri" w:hAnsi="Calibri" w:cs="Calibri"/>
          <w:color w:val="000000" w:themeColor="text1"/>
          <w:sz w:val="18"/>
          <w:szCs w:val="18"/>
        </w:rPr>
      </w:pPr>
      <w:r w:rsidRPr="00546CBA">
        <w:rPr>
          <w:rStyle w:val="FootnoteReference"/>
          <w:rFonts w:ascii="Calibri" w:hAnsi="Calibri" w:cs="Calibri"/>
          <w:color w:val="000000" w:themeColor="text1"/>
          <w:sz w:val="18"/>
          <w:szCs w:val="18"/>
        </w:rPr>
        <w:footnoteRef/>
      </w:r>
      <w:r w:rsidRPr="00546CBA">
        <w:rPr>
          <w:rFonts w:ascii="Calibri" w:hAnsi="Calibri" w:cs="Calibri"/>
          <w:color w:val="000000" w:themeColor="text1"/>
          <w:sz w:val="18"/>
          <w:szCs w:val="18"/>
        </w:rPr>
        <w:t xml:space="preserve"> For instance, the Bank p</w:t>
      </w:r>
      <w:r w:rsidRPr="00681100">
        <w:rPr>
          <w:rFonts w:ascii="Calibri" w:hAnsi="Calibri" w:cs="Calibri"/>
          <w:color w:val="000000" w:themeColor="text1"/>
          <w:sz w:val="18"/>
          <w:szCs w:val="18"/>
        </w:rPr>
        <w:t>ublicly announced it would increase existing IDA country resource allocation towards national NTD programs, but by 2014 this only represented $120 million in Africa towards NTDs (a small sum compared to OCP, African Programme for Onchocerciasis Control, or</w:t>
      </w:r>
      <w:r w:rsidRPr="000045FB">
        <w:rPr>
          <w:rFonts w:ascii="Calibri" w:hAnsi="Calibri" w:cs="Calibri"/>
          <w:color w:val="000000" w:themeColor="text1"/>
          <w:sz w:val="18"/>
          <w:szCs w:val="18"/>
        </w:rPr>
        <w:t xml:space="preserve"> the newer PD PPPs). See World Bank, ‘The World Bank and neglected tropical diseases’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9"/>
      <w:gridCol w:w="3009"/>
      <w:gridCol w:w="3009"/>
    </w:tblGrid>
    <w:tr w:rsidR="00CF189D" w14:paraId="5E7771A5" w14:textId="77777777" w:rsidTr="00AC7848">
      <w:tc>
        <w:tcPr>
          <w:tcW w:w="3009" w:type="dxa"/>
        </w:tcPr>
        <w:p w14:paraId="7702A7F4" w14:textId="77777777" w:rsidR="00CF189D" w:rsidRDefault="00CF189D" w:rsidP="00AC7848">
          <w:pPr>
            <w:pStyle w:val="Header"/>
            <w:ind w:left="-115"/>
          </w:pPr>
        </w:p>
      </w:tc>
      <w:tc>
        <w:tcPr>
          <w:tcW w:w="3009" w:type="dxa"/>
        </w:tcPr>
        <w:p w14:paraId="3BF23626" w14:textId="77777777" w:rsidR="00CF189D" w:rsidRDefault="00CF189D" w:rsidP="00AC7848">
          <w:pPr>
            <w:pStyle w:val="Header"/>
            <w:jc w:val="center"/>
          </w:pPr>
        </w:p>
      </w:tc>
      <w:tc>
        <w:tcPr>
          <w:tcW w:w="3009" w:type="dxa"/>
        </w:tcPr>
        <w:p w14:paraId="5614290B" w14:textId="77777777" w:rsidR="00CF189D" w:rsidRDefault="00CF189D" w:rsidP="00AC7848">
          <w:pPr>
            <w:pStyle w:val="Header"/>
            <w:ind w:right="-115"/>
            <w:jc w:val="right"/>
          </w:pPr>
        </w:p>
      </w:tc>
    </w:tr>
  </w:tbl>
  <w:p w14:paraId="274FC14D" w14:textId="77777777" w:rsidR="00CF189D" w:rsidRDefault="00CF189D" w:rsidP="00AC7848">
    <w:pPr>
      <w:pStyle w:val="Header"/>
    </w:pPr>
  </w:p>
  <w:p w14:paraId="7133A86E" w14:textId="77777777" w:rsidR="00CF189D" w:rsidRDefault="00CF189D"/>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67"/>
      <w:gridCol w:w="4667"/>
      <w:gridCol w:w="4667"/>
    </w:tblGrid>
    <w:tr w:rsidR="00CF189D" w14:paraId="078FC408" w14:textId="77777777" w:rsidTr="00AC7848">
      <w:tc>
        <w:tcPr>
          <w:tcW w:w="4667" w:type="dxa"/>
        </w:tcPr>
        <w:p w14:paraId="41CD3677" w14:textId="77777777" w:rsidR="00CF189D" w:rsidRDefault="00CF189D" w:rsidP="00AC7848">
          <w:pPr>
            <w:pStyle w:val="Header"/>
            <w:ind w:left="-115"/>
          </w:pPr>
        </w:p>
      </w:tc>
      <w:tc>
        <w:tcPr>
          <w:tcW w:w="4667" w:type="dxa"/>
        </w:tcPr>
        <w:p w14:paraId="78AF3CA8" w14:textId="77777777" w:rsidR="00CF189D" w:rsidRDefault="00CF189D" w:rsidP="00AC7848">
          <w:pPr>
            <w:pStyle w:val="Header"/>
            <w:jc w:val="center"/>
          </w:pPr>
        </w:p>
      </w:tc>
      <w:tc>
        <w:tcPr>
          <w:tcW w:w="4667" w:type="dxa"/>
        </w:tcPr>
        <w:p w14:paraId="75B6F988" w14:textId="77777777" w:rsidR="00CF189D" w:rsidRDefault="00CF189D" w:rsidP="00AC7848">
          <w:pPr>
            <w:pStyle w:val="Header"/>
            <w:ind w:right="-115"/>
            <w:jc w:val="right"/>
          </w:pPr>
        </w:p>
      </w:tc>
    </w:tr>
  </w:tbl>
  <w:p w14:paraId="3160107E" w14:textId="77777777" w:rsidR="00CF189D" w:rsidRDefault="00CF189D" w:rsidP="00AC78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E6E9E"/>
    <w:multiLevelType w:val="hybridMultilevel"/>
    <w:tmpl w:val="F996B4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267828"/>
    <w:multiLevelType w:val="hybridMultilevel"/>
    <w:tmpl w:val="A8345A6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BB3BF0"/>
    <w:multiLevelType w:val="hybridMultilevel"/>
    <w:tmpl w:val="52DAE2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E9573F"/>
    <w:multiLevelType w:val="hybridMultilevel"/>
    <w:tmpl w:val="36B417DA"/>
    <w:lvl w:ilvl="0" w:tplc="0409000F">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28D303C"/>
    <w:multiLevelType w:val="hybridMultilevel"/>
    <w:tmpl w:val="C7DCEC42"/>
    <w:lvl w:ilvl="0" w:tplc="62803284">
      <w:start w:val="1"/>
      <w:numFmt w:val="decimal"/>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43761C"/>
    <w:multiLevelType w:val="hybridMultilevel"/>
    <w:tmpl w:val="252EB4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AD6F02"/>
    <w:multiLevelType w:val="hybridMultilevel"/>
    <w:tmpl w:val="E7206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48512B"/>
    <w:multiLevelType w:val="hybridMultilevel"/>
    <w:tmpl w:val="50E48D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400081"/>
    <w:multiLevelType w:val="hybridMultilevel"/>
    <w:tmpl w:val="1EE811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A95DF6"/>
    <w:multiLevelType w:val="multilevel"/>
    <w:tmpl w:val="EBEEA8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FF33236"/>
    <w:multiLevelType w:val="hybridMultilevel"/>
    <w:tmpl w:val="EF4279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7E0271"/>
    <w:multiLevelType w:val="hybridMultilevel"/>
    <w:tmpl w:val="F07E929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720C99"/>
    <w:multiLevelType w:val="hybridMultilevel"/>
    <w:tmpl w:val="4CC203C4"/>
    <w:lvl w:ilvl="0" w:tplc="5238B6F2">
      <w:start w:val="1"/>
      <w:numFmt w:val="upperRoman"/>
      <w:lvlText w:val="%1."/>
      <w:lvlJc w:val="left"/>
      <w:pPr>
        <w:ind w:left="720" w:hanging="720"/>
      </w:pPr>
      <w:rPr>
        <w:rFonts w:hint="default"/>
      </w:rPr>
    </w:lvl>
    <w:lvl w:ilvl="1" w:tplc="04090019">
      <w:start w:val="1"/>
      <w:numFmt w:val="lowerLetter"/>
      <w:lvlText w:val="%2."/>
      <w:lvlJc w:val="left"/>
      <w:pPr>
        <w:ind w:left="1080" w:hanging="360"/>
      </w:pPr>
    </w:lvl>
    <w:lvl w:ilvl="2" w:tplc="C2AA84E2">
      <w:start w:val="1"/>
      <w:numFmt w:val="lowerRoman"/>
      <w:pStyle w:val="Dissertationchapterbody"/>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CA372C9"/>
    <w:multiLevelType w:val="hybridMultilevel"/>
    <w:tmpl w:val="D7C41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255CFB"/>
    <w:multiLevelType w:val="multilevel"/>
    <w:tmpl w:val="B86210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AAA2FB0"/>
    <w:multiLevelType w:val="hybridMultilevel"/>
    <w:tmpl w:val="FD2ACA92"/>
    <w:lvl w:ilvl="0" w:tplc="C91CEC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89E7BC8"/>
    <w:multiLevelType w:val="hybridMultilevel"/>
    <w:tmpl w:val="152227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F76880"/>
    <w:multiLevelType w:val="hybridMultilevel"/>
    <w:tmpl w:val="3A8A3A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AF2529"/>
    <w:multiLevelType w:val="hybridMultilevel"/>
    <w:tmpl w:val="977289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C8736D6"/>
    <w:multiLevelType w:val="multilevel"/>
    <w:tmpl w:val="1130E1C8"/>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7A13941"/>
    <w:multiLevelType w:val="hybridMultilevel"/>
    <w:tmpl w:val="531CCAB8"/>
    <w:lvl w:ilvl="0" w:tplc="24F29BB8">
      <w:start w:val="1"/>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E42912"/>
    <w:multiLevelType w:val="hybridMultilevel"/>
    <w:tmpl w:val="18803232"/>
    <w:lvl w:ilvl="0" w:tplc="62803284">
      <w:start w:val="1"/>
      <w:numFmt w:val="decimal"/>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85528BC"/>
    <w:multiLevelType w:val="hybridMultilevel"/>
    <w:tmpl w:val="77FA4DA6"/>
    <w:lvl w:ilvl="0" w:tplc="6280328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7F0533F4"/>
    <w:multiLevelType w:val="hybridMultilevel"/>
    <w:tmpl w:val="BD1EC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9"/>
  </w:num>
  <w:num w:numId="3">
    <w:abstractNumId w:val="12"/>
  </w:num>
  <w:num w:numId="4">
    <w:abstractNumId w:val="9"/>
  </w:num>
  <w:num w:numId="5">
    <w:abstractNumId w:val="15"/>
  </w:num>
  <w:num w:numId="6">
    <w:abstractNumId w:val="3"/>
  </w:num>
  <w:num w:numId="7">
    <w:abstractNumId w:val="1"/>
  </w:num>
  <w:num w:numId="8">
    <w:abstractNumId w:val="13"/>
  </w:num>
  <w:num w:numId="9">
    <w:abstractNumId w:val="6"/>
  </w:num>
  <w:num w:numId="10">
    <w:abstractNumId w:val="20"/>
  </w:num>
  <w:num w:numId="11">
    <w:abstractNumId w:val="22"/>
  </w:num>
  <w:num w:numId="12">
    <w:abstractNumId w:val="21"/>
  </w:num>
  <w:num w:numId="13">
    <w:abstractNumId w:val="4"/>
  </w:num>
  <w:num w:numId="14">
    <w:abstractNumId w:val="17"/>
  </w:num>
  <w:num w:numId="15">
    <w:abstractNumId w:val="23"/>
  </w:num>
  <w:num w:numId="16">
    <w:abstractNumId w:val="2"/>
  </w:num>
  <w:num w:numId="17">
    <w:abstractNumId w:val="16"/>
  </w:num>
  <w:num w:numId="18">
    <w:abstractNumId w:val="10"/>
  </w:num>
  <w:num w:numId="19">
    <w:abstractNumId w:val="0"/>
  </w:num>
  <w:num w:numId="20">
    <w:abstractNumId w:val="18"/>
  </w:num>
  <w:num w:numId="21">
    <w:abstractNumId w:val="8"/>
  </w:num>
  <w:num w:numId="22">
    <w:abstractNumId w:val="7"/>
  </w:num>
  <w:num w:numId="23">
    <w:abstractNumId w:val="11"/>
  </w:num>
  <w:num w:numId="24">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H" w:vendorID="64" w:dllVersion="6" w:nlCheck="1" w:checkStyle="0"/>
  <w:activeWritingStyle w:appName="MSWord" w:lang="en-GB" w:vendorID="64" w:dllVersion="6" w:nlCheck="1" w:checkStyle="0"/>
  <w:activeWritingStyle w:appName="MSWord" w:lang="en-US" w:vendorID="64" w:dllVersion="6" w:nlCheck="1" w:checkStyle="0"/>
  <w:activeWritingStyle w:appName="MSWord" w:lang="de-CH" w:vendorID="64" w:dllVersion="6" w:nlCheck="1" w:checkStyle="0"/>
  <w:activeWritingStyle w:appName="MSWord" w:lang="en-GB" w:vendorID="64" w:dllVersion="4096" w:nlCheck="1" w:checkStyle="0"/>
  <w:activeWritingStyle w:appName="MSWord" w:lang="fr-CH" w:vendorID="64" w:dllVersion="4096" w:nlCheck="1" w:checkStyle="0"/>
  <w:activeWritingStyle w:appName="MSWord" w:lang="en-US" w:vendorID="64" w:dllVersion="4096" w:nlCheck="1" w:checkStyle="0"/>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0"/>
  <w:defaultTabStop w:val="720"/>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6FD"/>
    <w:rsid w:val="00000898"/>
    <w:rsid w:val="0000110A"/>
    <w:rsid w:val="0000129B"/>
    <w:rsid w:val="00004025"/>
    <w:rsid w:val="000040B4"/>
    <w:rsid w:val="000045FB"/>
    <w:rsid w:val="000047D5"/>
    <w:rsid w:val="00005467"/>
    <w:rsid w:val="00006C40"/>
    <w:rsid w:val="00007664"/>
    <w:rsid w:val="000078B4"/>
    <w:rsid w:val="00011D62"/>
    <w:rsid w:val="0001438B"/>
    <w:rsid w:val="00015E79"/>
    <w:rsid w:val="00017C2E"/>
    <w:rsid w:val="00021D78"/>
    <w:rsid w:val="00022432"/>
    <w:rsid w:val="000258C8"/>
    <w:rsid w:val="00027EE9"/>
    <w:rsid w:val="00030041"/>
    <w:rsid w:val="00030820"/>
    <w:rsid w:val="00030FF6"/>
    <w:rsid w:val="00031FDB"/>
    <w:rsid w:val="000325A9"/>
    <w:rsid w:val="000341B6"/>
    <w:rsid w:val="0003476D"/>
    <w:rsid w:val="0003567F"/>
    <w:rsid w:val="0003613C"/>
    <w:rsid w:val="000377C8"/>
    <w:rsid w:val="00037950"/>
    <w:rsid w:val="00037B39"/>
    <w:rsid w:val="00041376"/>
    <w:rsid w:val="0004248F"/>
    <w:rsid w:val="00042F34"/>
    <w:rsid w:val="00042F86"/>
    <w:rsid w:val="00043309"/>
    <w:rsid w:val="00043B5A"/>
    <w:rsid w:val="00044AC8"/>
    <w:rsid w:val="0004533F"/>
    <w:rsid w:val="00046270"/>
    <w:rsid w:val="00046D2F"/>
    <w:rsid w:val="00047B4C"/>
    <w:rsid w:val="00047C1E"/>
    <w:rsid w:val="00047CA8"/>
    <w:rsid w:val="00047EC9"/>
    <w:rsid w:val="00047F68"/>
    <w:rsid w:val="00050099"/>
    <w:rsid w:val="00050775"/>
    <w:rsid w:val="00050C70"/>
    <w:rsid w:val="000512A1"/>
    <w:rsid w:val="000517E2"/>
    <w:rsid w:val="000520A7"/>
    <w:rsid w:val="00052D82"/>
    <w:rsid w:val="00052E18"/>
    <w:rsid w:val="000532A1"/>
    <w:rsid w:val="000533D7"/>
    <w:rsid w:val="000552DB"/>
    <w:rsid w:val="000568F2"/>
    <w:rsid w:val="000578F0"/>
    <w:rsid w:val="00060496"/>
    <w:rsid w:val="00060CA6"/>
    <w:rsid w:val="0006127D"/>
    <w:rsid w:val="0006155D"/>
    <w:rsid w:val="0006360A"/>
    <w:rsid w:val="00064190"/>
    <w:rsid w:val="000643F6"/>
    <w:rsid w:val="000645E7"/>
    <w:rsid w:val="00066932"/>
    <w:rsid w:val="00071B10"/>
    <w:rsid w:val="00072746"/>
    <w:rsid w:val="00073B5B"/>
    <w:rsid w:val="00074B24"/>
    <w:rsid w:val="00075D7D"/>
    <w:rsid w:val="00076D67"/>
    <w:rsid w:val="00076FC2"/>
    <w:rsid w:val="00080641"/>
    <w:rsid w:val="00081C95"/>
    <w:rsid w:val="00083964"/>
    <w:rsid w:val="00084842"/>
    <w:rsid w:val="00084C92"/>
    <w:rsid w:val="00085A98"/>
    <w:rsid w:val="00086B53"/>
    <w:rsid w:val="00087095"/>
    <w:rsid w:val="000875AE"/>
    <w:rsid w:val="00090C0D"/>
    <w:rsid w:val="0009119C"/>
    <w:rsid w:val="00091C17"/>
    <w:rsid w:val="000924E2"/>
    <w:rsid w:val="00093A57"/>
    <w:rsid w:val="00094131"/>
    <w:rsid w:val="00094717"/>
    <w:rsid w:val="000948E2"/>
    <w:rsid w:val="00095440"/>
    <w:rsid w:val="00095B63"/>
    <w:rsid w:val="00097262"/>
    <w:rsid w:val="00097270"/>
    <w:rsid w:val="0009749C"/>
    <w:rsid w:val="00097746"/>
    <w:rsid w:val="00097A54"/>
    <w:rsid w:val="000A0650"/>
    <w:rsid w:val="000A06B7"/>
    <w:rsid w:val="000A08FD"/>
    <w:rsid w:val="000A0AE3"/>
    <w:rsid w:val="000A1DFB"/>
    <w:rsid w:val="000A2341"/>
    <w:rsid w:val="000A2AC0"/>
    <w:rsid w:val="000A34AB"/>
    <w:rsid w:val="000A3862"/>
    <w:rsid w:val="000A40D0"/>
    <w:rsid w:val="000A4245"/>
    <w:rsid w:val="000A4888"/>
    <w:rsid w:val="000A5433"/>
    <w:rsid w:val="000A5465"/>
    <w:rsid w:val="000A6F4A"/>
    <w:rsid w:val="000A7E14"/>
    <w:rsid w:val="000B0676"/>
    <w:rsid w:val="000B094F"/>
    <w:rsid w:val="000B1807"/>
    <w:rsid w:val="000B1DA8"/>
    <w:rsid w:val="000B1DD5"/>
    <w:rsid w:val="000B209F"/>
    <w:rsid w:val="000B417F"/>
    <w:rsid w:val="000B53EC"/>
    <w:rsid w:val="000B595A"/>
    <w:rsid w:val="000B6036"/>
    <w:rsid w:val="000B6F34"/>
    <w:rsid w:val="000B70B0"/>
    <w:rsid w:val="000B7FB4"/>
    <w:rsid w:val="000C0532"/>
    <w:rsid w:val="000C05FE"/>
    <w:rsid w:val="000C100F"/>
    <w:rsid w:val="000C13A9"/>
    <w:rsid w:val="000C15D5"/>
    <w:rsid w:val="000C4B56"/>
    <w:rsid w:val="000C5F71"/>
    <w:rsid w:val="000C66D1"/>
    <w:rsid w:val="000C6F00"/>
    <w:rsid w:val="000C7B2A"/>
    <w:rsid w:val="000D1609"/>
    <w:rsid w:val="000D21E8"/>
    <w:rsid w:val="000D26B7"/>
    <w:rsid w:val="000D308B"/>
    <w:rsid w:val="000D56FF"/>
    <w:rsid w:val="000D57AF"/>
    <w:rsid w:val="000D611F"/>
    <w:rsid w:val="000D6CB2"/>
    <w:rsid w:val="000D6F0D"/>
    <w:rsid w:val="000E1B2A"/>
    <w:rsid w:val="000E1D4B"/>
    <w:rsid w:val="000E2798"/>
    <w:rsid w:val="000E3A92"/>
    <w:rsid w:val="000E3C68"/>
    <w:rsid w:val="000E3FDA"/>
    <w:rsid w:val="000E4E3D"/>
    <w:rsid w:val="000E5CBF"/>
    <w:rsid w:val="000E614B"/>
    <w:rsid w:val="000E65E5"/>
    <w:rsid w:val="000E6CFC"/>
    <w:rsid w:val="000E6D6F"/>
    <w:rsid w:val="000F00FB"/>
    <w:rsid w:val="000F05B6"/>
    <w:rsid w:val="000F0D3C"/>
    <w:rsid w:val="000F0EBF"/>
    <w:rsid w:val="000F1373"/>
    <w:rsid w:val="000F248B"/>
    <w:rsid w:val="000F2B84"/>
    <w:rsid w:val="000F369C"/>
    <w:rsid w:val="000F36E4"/>
    <w:rsid w:val="000F57BB"/>
    <w:rsid w:val="000F6391"/>
    <w:rsid w:val="000F6814"/>
    <w:rsid w:val="000F7553"/>
    <w:rsid w:val="00100E16"/>
    <w:rsid w:val="0010256F"/>
    <w:rsid w:val="00103275"/>
    <w:rsid w:val="00103C3B"/>
    <w:rsid w:val="00104384"/>
    <w:rsid w:val="00105B12"/>
    <w:rsid w:val="00106501"/>
    <w:rsid w:val="0011013C"/>
    <w:rsid w:val="0011034C"/>
    <w:rsid w:val="001105C5"/>
    <w:rsid w:val="0011077C"/>
    <w:rsid w:val="001107A6"/>
    <w:rsid w:val="00110B01"/>
    <w:rsid w:val="00111671"/>
    <w:rsid w:val="001122D2"/>
    <w:rsid w:val="0011362B"/>
    <w:rsid w:val="001136FE"/>
    <w:rsid w:val="00115299"/>
    <w:rsid w:val="00115486"/>
    <w:rsid w:val="001168D0"/>
    <w:rsid w:val="0011698B"/>
    <w:rsid w:val="00117143"/>
    <w:rsid w:val="00117F44"/>
    <w:rsid w:val="00120580"/>
    <w:rsid w:val="001210DF"/>
    <w:rsid w:val="00122620"/>
    <w:rsid w:val="00123D7B"/>
    <w:rsid w:val="00123DF3"/>
    <w:rsid w:val="00123FF4"/>
    <w:rsid w:val="00124BAC"/>
    <w:rsid w:val="00125113"/>
    <w:rsid w:val="0012535B"/>
    <w:rsid w:val="00125E88"/>
    <w:rsid w:val="001264C3"/>
    <w:rsid w:val="00127360"/>
    <w:rsid w:val="00127D1C"/>
    <w:rsid w:val="00130ADA"/>
    <w:rsid w:val="00131376"/>
    <w:rsid w:val="00132077"/>
    <w:rsid w:val="001323D9"/>
    <w:rsid w:val="00132D6E"/>
    <w:rsid w:val="00133761"/>
    <w:rsid w:val="0013471D"/>
    <w:rsid w:val="001347CA"/>
    <w:rsid w:val="00135C4A"/>
    <w:rsid w:val="00135C63"/>
    <w:rsid w:val="00140815"/>
    <w:rsid w:val="00141050"/>
    <w:rsid w:val="0014174F"/>
    <w:rsid w:val="001429F8"/>
    <w:rsid w:val="00142A8C"/>
    <w:rsid w:val="0014314F"/>
    <w:rsid w:val="001448E0"/>
    <w:rsid w:val="00145704"/>
    <w:rsid w:val="0014594C"/>
    <w:rsid w:val="00146572"/>
    <w:rsid w:val="0014699F"/>
    <w:rsid w:val="001500B6"/>
    <w:rsid w:val="00150CC3"/>
    <w:rsid w:val="00152F91"/>
    <w:rsid w:val="00154240"/>
    <w:rsid w:val="001542F8"/>
    <w:rsid w:val="00154637"/>
    <w:rsid w:val="001549AD"/>
    <w:rsid w:val="00155500"/>
    <w:rsid w:val="00155D76"/>
    <w:rsid w:val="0015677A"/>
    <w:rsid w:val="00157328"/>
    <w:rsid w:val="001577C3"/>
    <w:rsid w:val="00157E42"/>
    <w:rsid w:val="001612C1"/>
    <w:rsid w:val="0016190F"/>
    <w:rsid w:val="001631D2"/>
    <w:rsid w:val="0016374D"/>
    <w:rsid w:val="0016412E"/>
    <w:rsid w:val="00165407"/>
    <w:rsid w:val="001656B0"/>
    <w:rsid w:val="001669ED"/>
    <w:rsid w:val="00166AED"/>
    <w:rsid w:val="00167B20"/>
    <w:rsid w:val="0017015D"/>
    <w:rsid w:val="00170239"/>
    <w:rsid w:val="0017147D"/>
    <w:rsid w:val="001728A0"/>
    <w:rsid w:val="00172F56"/>
    <w:rsid w:val="00175F87"/>
    <w:rsid w:val="00176DE9"/>
    <w:rsid w:val="001771CD"/>
    <w:rsid w:val="00177A71"/>
    <w:rsid w:val="00177DC2"/>
    <w:rsid w:val="00177ED5"/>
    <w:rsid w:val="0018061A"/>
    <w:rsid w:val="00180626"/>
    <w:rsid w:val="00180ADF"/>
    <w:rsid w:val="001819AA"/>
    <w:rsid w:val="00181CAC"/>
    <w:rsid w:val="001820A5"/>
    <w:rsid w:val="0018457D"/>
    <w:rsid w:val="00185132"/>
    <w:rsid w:val="00185778"/>
    <w:rsid w:val="00185805"/>
    <w:rsid w:val="001860B9"/>
    <w:rsid w:val="00186437"/>
    <w:rsid w:val="00186F16"/>
    <w:rsid w:val="0018752B"/>
    <w:rsid w:val="00187AFF"/>
    <w:rsid w:val="00191ADA"/>
    <w:rsid w:val="0019219F"/>
    <w:rsid w:val="00192ABA"/>
    <w:rsid w:val="00192C5F"/>
    <w:rsid w:val="00192F0A"/>
    <w:rsid w:val="0019416F"/>
    <w:rsid w:val="00194ED4"/>
    <w:rsid w:val="00195169"/>
    <w:rsid w:val="00196D86"/>
    <w:rsid w:val="00197211"/>
    <w:rsid w:val="0019763A"/>
    <w:rsid w:val="00197F4F"/>
    <w:rsid w:val="001A0E9C"/>
    <w:rsid w:val="001A1454"/>
    <w:rsid w:val="001A18A1"/>
    <w:rsid w:val="001A270E"/>
    <w:rsid w:val="001A3DEE"/>
    <w:rsid w:val="001A4980"/>
    <w:rsid w:val="001A5538"/>
    <w:rsid w:val="001A5EE4"/>
    <w:rsid w:val="001A616A"/>
    <w:rsid w:val="001A672B"/>
    <w:rsid w:val="001A6A66"/>
    <w:rsid w:val="001A6AD5"/>
    <w:rsid w:val="001A6BAE"/>
    <w:rsid w:val="001B06C7"/>
    <w:rsid w:val="001B0E12"/>
    <w:rsid w:val="001B3D6E"/>
    <w:rsid w:val="001B4187"/>
    <w:rsid w:val="001B509C"/>
    <w:rsid w:val="001B6341"/>
    <w:rsid w:val="001B6906"/>
    <w:rsid w:val="001C15FF"/>
    <w:rsid w:val="001C2973"/>
    <w:rsid w:val="001C3087"/>
    <w:rsid w:val="001C397D"/>
    <w:rsid w:val="001C3E1F"/>
    <w:rsid w:val="001C40FB"/>
    <w:rsid w:val="001C5963"/>
    <w:rsid w:val="001C78C8"/>
    <w:rsid w:val="001D06C1"/>
    <w:rsid w:val="001D0CA0"/>
    <w:rsid w:val="001D13F7"/>
    <w:rsid w:val="001D2B5B"/>
    <w:rsid w:val="001D2C0A"/>
    <w:rsid w:val="001D4BF1"/>
    <w:rsid w:val="001D5292"/>
    <w:rsid w:val="001D54BD"/>
    <w:rsid w:val="001D5952"/>
    <w:rsid w:val="001D67B9"/>
    <w:rsid w:val="001D67BD"/>
    <w:rsid w:val="001E017F"/>
    <w:rsid w:val="001E0C44"/>
    <w:rsid w:val="001E147A"/>
    <w:rsid w:val="001E1CB0"/>
    <w:rsid w:val="001E2CD9"/>
    <w:rsid w:val="001E2CEC"/>
    <w:rsid w:val="001E311E"/>
    <w:rsid w:val="001E3F2A"/>
    <w:rsid w:val="001E433C"/>
    <w:rsid w:val="001E54C6"/>
    <w:rsid w:val="001E54ED"/>
    <w:rsid w:val="001E5985"/>
    <w:rsid w:val="001E5FB4"/>
    <w:rsid w:val="001E7513"/>
    <w:rsid w:val="001F1529"/>
    <w:rsid w:val="001F187D"/>
    <w:rsid w:val="001F2866"/>
    <w:rsid w:val="001F3016"/>
    <w:rsid w:val="001F371E"/>
    <w:rsid w:val="001F4A40"/>
    <w:rsid w:val="001F5548"/>
    <w:rsid w:val="001F5697"/>
    <w:rsid w:val="001F56E2"/>
    <w:rsid w:val="001F5B8F"/>
    <w:rsid w:val="001F648D"/>
    <w:rsid w:val="001F6544"/>
    <w:rsid w:val="001F7A52"/>
    <w:rsid w:val="001F7E9D"/>
    <w:rsid w:val="00201617"/>
    <w:rsid w:val="00203BE4"/>
    <w:rsid w:val="00204DB4"/>
    <w:rsid w:val="0020506E"/>
    <w:rsid w:val="00205977"/>
    <w:rsid w:val="00206381"/>
    <w:rsid w:val="002100AF"/>
    <w:rsid w:val="0021016F"/>
    <w:rsid w:val="00210862"/>
    <w:rsid w:val="00210B6E"/>
    <w:rsid w:val="00211B8B"/>
    <w:rsid w:val="00212ABD"/>
    <w:rsid w:val="002156A6"/>
    <w:rsid w:val="00215818"/>
    <w:rsid w:val="00217272"/>
    <w:rsid w:val="00217683"/>
    <w:rsid w:val="00220902"/>
    <w:rsid w:val="00220C6B"/>
    <w:rsid w:val="00222499"/>
    <w:rsid w:val="002244A0"/>
    <w:rsid w:val="00226B97"/>
    <w:rsid w:val="00227361"/>
    <w:rsid w:val="00230267"/>
    <w:rsid w:val="002305A6"/>
    <w:rsid w:val="00230719"/>
    <w:rsid w:val="002308D7"/>
    <w:rsid w:val="00231ADA"/>
    <w:rsid w:val="00231DA2"/>
    <w:rsid w:val="00231E15"/>
    <w:rsid w:val="0023254C"/>
    <w:rsid w:val="0023318E"/>
    <w:rsid w:val="00233532"/>
    <w:rsid w:val="00233536"/>
    <w:rsid w:val="00233788"/>
    <w:rsid w:val="00233DE2"/>
    <w:rsid w:val="00234A2B"/>
    <w:rsid w:val="002350CE"/>
    <w:rsid w:val="00237804"/>
    <w:rsid w:val="0024029A"/>
    <w:rsid w:val="00240FE8"/>
    <w:rsid w:val="00241074"/>
    <w:rsid w:val="00241E8F"/>
    <w:rsid w:val="00242346"/>
    <w:rsid w:val="00242A27"/>
    <w:rsid w:val="0024399D"/>
    <w:rsid w:val="00243DA1"/>
    <w:rsid w:val="0024412C"/>
    <w:rsid w:val="00244BD1"/>
    <w:rsid w:val="002455DA"/>
    <w:rsid w:val="00245BAA"/>
    <w:rsid w:val="002464C2"/>
    <w:rsid w:val="0024673B"/>
    <w:rsid w:val="00246BE9"/>
    <w:rsid w:val="00247342"/>
    <w:rsid w:val="00247500"/>
    <w:rsid w:val="0024786C"/>
    <w:rsid w:val="00250293"/>
    <w:rsid w:val="0025064C"/>
    <w:rsid w:val="00250A01"/>
    <w:rsid w:val="00251166"/>
    <w:rsid w:val="00251250"/>
    <w:rsid w:val="00251D2E"/>
    <w:rsid w:val="00252C6F"/>
    <w:rsid w:val="00252ECD"/>
    <w:rsid w:val="00254A9B"/>
    <w:rsid w:val="00254F20"/>
    <w:rsid w:val="0025500C"/>
    <w:rsid w:val="002569F2"/>
    <w:rsid w:val="0025766D"/>
    <w:rsid w:val="0026033D"/>
    <w:rsid w:val="002607D4"/>
    <w:rsid w:val="00261415"/>
    <w:rsid w:val="0026207E"/>
    <w:rsid w:val="002636C3"/>
    <w:rsid w:val="00263899"/>
    <w:rsid w:val="00263EB7"/>
    <w:rsid w:val="0026499E"/>
    <w:rsid w:val="00264E83"/>
    <w:rsid w:val="002651AB"/>
    <w:rsid w:val="00267334"/>
    <w:rsid w:val="002674A5"/>
    <w:rsid w:val="0027097C"/>
    <w:rsid w:val="002726F5"/>
    <w:rsid w:val="00275624"/>
    <w:rsid w:val="002757F7"/>
    <w:rsid w:val="00276D88"/>
    <w:rsid w:val="0027723E"/>
    <w:rsid w:val="002775E5"/>
    <w:rsid w:val="002804BD"/>
    <w:rsid w:val="00280A01"/>
    <w:rsid w:val="00280B40"/>
    <w:rsid w:val="002813C3"/>
    <w:rsid w:val="00282E20"/>
    <w:rsid w:val="00283EFC"/>
    <w:rsid w:val="00284196"/>
    <w:rsid w:val="0028452B"/>
    <w:rsid w:val="0028464C"/>
    <w:rsid w:val="002849CC"/>
    <w:rsid w:val="002862EB"/>
    <w:rsid w:val="002867B0"/>
    <w:rsid w:val="0028715E"/>
    <w:rsid w:val="00291497"/>
    <w:rsid w:val="00291F70"/>
    <w:rsid w:val="0029295F"/>
    <w:rsid w:val="002943E3"/>
    <w:rsid w:val="00294CCA"/>
    <w:rsid w:val="002956D6"/>
    <w:rsid w:val="00295B11"/>
    <w:rsid w:val="00297132"/>
    <w:rsid w:val="002A0E6F"/>
    <w:rsid w:val="002A0F22"/>
    <w:rsid w:val="002A1434"/>
    <w:rsid w:val="002A19B8"/>
    <w:rsid w:val="002A45E4"/>
    <w:rsid w:val="002A46EB"/>
    <w:rsid w:val="002A4836"/>
    <w:rsid w:val="002A5B25"/>
    <w:rsid w:val="002A6A52"/>
    <w:rsid w:val="002A6D98"/>
    <w:rsid w:val="002A7123"/>
    <w:rsid w:val="002B0285"/>
    <w:rsid w:val="002B066C"/>
    <w:rsid w:val="002B09DC"/>
    <w:rsid w:val="002B0D08"/>
    <w:rsid w:val="002B11CD"/>
    <w:rsid w:val="002B1256"/>
    <w:rsid w:val="002B1320"/>
    <w:rsid w:val="002B148E"/>
    <w:rsid w:val="002B16DA"/>
    <w:rsid w:val="002B27D4"/>
    <w:rsid w:val="002B2E1E"/>
    <w:rsid w:val="002B337F"/>
    <w:rsid w:val="002B4CD2"/>
    <w:rsid w:val="002C0683"/>
    <w:rsid w:val="002C1DFA"/>
    <w:rsid w:val="002C1F24"/>
    <w:rsid w:val="002C2D29"/>
    <w:rsid w:val="002C2DA0"/>
    <w:rsid w:val="002C3B2C"/>
    <w:rsid w:val="002C4C54"/>
    <w:rsid w:val="002C4C59"/>
    <w:rsid w:val="002C6AE1"/>
    <w:rsid w:val="002C76FD"/>
    <w:rsid w:val="002D1204"/>
    <w:rsid w:val="002D14DD"/>
    <w:rsid w:val="002D2066"/>
    <w:rsid w:val="002D3025"/>
    <w:rsid w:val="002D31A3"/>
    <w:rsid w:val="002D4F2F"/>
    <w:rsid w:val="002D513E"/>
    <w:rsid w:val="002D5CAD"/>
    <w:rsid w:val="002D7384"/>
    <w:rsid w:val="002D78B2"/>
    <w:rsid w:val="002D7F41"/>
    <w:rsid w:val="002E01B7"/>
    <w:rsid w:val="002E0BA3"/>
    <w:rsid w:val="002E0D3A"/>
    <w:rsid w:val="002E468D"/>
    <w:rsid w:val="002E4EB5"/>
    <w:rsid w:val="002E6A20"/>
    <w:rsid w:val="002E6E6B"/>
    <w:rsid w:val="002E738A"/>
    <w:rsid w:val="002F0500"/>
    <w:rsid w:val="002F1E74"/>
    <w:rsid w:val="002F22C3"/>
    <w:rsid w:val="002F3061"/>
    <w:rsid w:val="002F38DA"/>
    <w:rsid w:val="002F3D72"/>
    <w:rsid w:val="002F51EE"/>
    <w:rsid w:val="002F5C52"/>
    <w:rsid w:val="002F6783"/>
    <w:rsid w:val="002F7011"/>
    <w:rsid w:val="002F7EC2"/>
    <w:rsid w:val="003003E2"/>
    <w:rsid w:val="00300D0F"/>
    <w:rsid w:val="00302392"/>
    <w:rsid w:val="0030254A"/>
    <w:rsid w:val="00302C5D"/>
    <w:rsid w:val="00303578"/>
    <w:rsid w:val="00303601"/>
    <w:rsid w:val="00304268"/>
    <w:rsid w:val="0030472E"/>
    <w:rsid w:val="00304837"/>
    <w:rsid w:val="00304C36"/>
    <w:rsid w:val="0030594F"/>
    <w:rsid w:val="00306196"/>
    <w:rsid w:val="00306A13"/>
    <w:rsid w:val="00306CC1"/>
    <w:rsid w:val="0031158A"/>
    <w:rsid w:val="00311655"/>
    <w:rsid w:val="0031254F"/>
    <w:rsid w:val="00312812"/>
    <w:rsid w:val="00312F1C"/>
    <w:rsid w:val="0031388B"/>
    <w:rsid w:val="00313FE9"/>
    <w:rsid w:val="003140F2"/>
    <w:rsid w:val="00314478"/>
    <w:rsid w:val="003147E7"/>
    <w:rsid w:val="003148F6"/>
    <w:rsid w:val="00314F3B"/>
    <w:rsid w:val="00320AED"/>
    <w:rsid w:val="00322C01"/>
    <w:rsid w:val="00322FEF"/>
    <w:rsid w:val="00322FFD"/>
    <w:rsid w:val="00323520"/>
    <w:rsid w:val="00323DAD"/>
    <w:rsid w:val="00324980"/>
    <w:rsid w:val="00325069"/>
    <w:rsid w:val="003256C0"/>
    <w:rsid w:val="003262C3"/>
    <w:rsid w:val="00330DB6"/>
    <w:rsid w:val="00332133"/>
    <w:rsid w:val="00332283"/>
    <w:rsid w:val="00332C89"/>
    <w:rsid w:val="00334504"/>
    <w:rsid w:val="0033493D"/>
    <w:rsid w:val="00334C04"/>
    <w:rsid w:val="0033709B"/>
    <w:rsid w:val="0033732E"/>
    <w:rsid w:val="00337365"/>
    <w:rsid w:val="00337C88"/>
    <w:rsid w:val="00340798"/>
    <w:rsid w:val="0034161E"/>
    <w:rsid w:val="00341A09"/>
    <w:rsid w:val="0034332C"/>
    <w:rsid w:val="00344CB1"/>
    <w:rsid w:val="00347397"/>
    <w:rsid w:val="00347D10"/>
    <w:rsid w:val="003503A9"/>
    <w:rsid w:val="00350A0A"/>
    <w:rsid w:val="00350BB2"/>
    <w:rsid w:val="00351477"/>
    <w:rsid w:val="00351B4F"/>
    <w:rsid w:val="003522B6"/>
    <w:rsid w:val="00353644"/>
    <w:rsid w:val="00353BA0"/>
    <w:rsid w:val="00354EFB"/>
    <w:rsid w:val="003553A1"/>
    <w:rsid w:val="00355A56"/>
    <w:rsid w:val="003575AC"/>
    <w:rsid w:val="003579A7"/>
    <w:rsid w:val="0036015C"/>
    <w:rsid w:val="00360D94"/>
    <w:rsid w:val="0036112A"/>
    <w:rsid w:val="003615B7"/>
    <w:rsid w:val="003615E0"/>
    <w:rsid w:val="00361A57"/>
    <w:rsid w:val="003635E6"/>
    <w:rsid w:val="00363E6C"/>
    <w:rsid w:val="00364DFD"/>
    <w:rsid w:val="00364EA3"/>
    <w:rsid w:val="00365006"/>
    <w:rsid w:val="003657CE"/>
    <w:rsid w:val="003673B7"/>
    <w:rsid w:val="00367515"/>
    <w:rsid w:val="0037028F"/>
    <w:rsid w:val="0037052F"/>
    <w:rsid w:val="00370588"/>
    <w:rsid w:val="00370F65"/>
    <w:rsid w:val="003733E1"/>
    <w:rsid w:val="0037359D"/>
    <w:rsid w:val="00374962"/>
    <w:rsid w:val="00374B28"/>
    <w:rsid w:val="003758C2"/>
    <w:rsid w:val="00375950"/>
    <w:rsid w:val="00375D4E"/>
    <w:rsid w:val="00375F64"/>
    <w:rsid w:val="003806CC"/>
    <w:rsid w:val="00380823"/>
    <w:rsid w:val="00380ADF"/>
    <w:rsid w:val="00380D9B"/>
    <w:rsid w:val="00381941"/>
    <w:rsid w:val="00381A83"/>
    <w:rsid w:val="00383AB4"/>
    <w:rsid w:val="00383B58"/>
    <w:rsid w:val="00384E29"/>
    <w:rsid w:val="00385EE5"/>
    <w:rsid w:val="0038701F"/>
    <w:rsid w:val="00387878"/>
    <w:rsid w:val="003900E4"/>
    <w:rsid w:val="00390587"/>
    <w:rsid w:val="003905A7"/>
    <w:rsid w:val="003923E3"/>
    <w:rsid w:val="00392560"/>
    <w:rsid w:val="0039269F"/>
    <w:rsid w:val="00393666"/>
    <w:rsid w:val="00393C4B"/>
    <w:rsid w:val="003945DC"/>
    <w:rsid w:val="003976BC"/>
    <w:rsid w:val="00397A74"/>
    <w:rsid w:val="003A0943"/>
    <w:rsid w:val="003A2030"/>
    <w:rsid w:val="003A2237"/>
    <w:rsid w:val="003A2354"/>
    <w:rsid w:val="003A242E"/>
    <w:rsid w:val="003A5A87"/>
    <w:rsid w:val="003A636A"/>
    <w:rsid w:val="003A79D6"/>
    <w:rsid w:val="003B0D3D"/>
    <w:rsid w:val="003B171F"/>
    <w:rsid w:val="003B1BD2"/>
    <w:rsid w:val="003B1DC9"/>
    <w:rsid w:val="003B233B"/>
    <w:rsid w:val="003B33AC"/>
    <w:rsid w:val="003B43FB"/>
    <w:rsid w:val="003B4510"/>
    <w:rsid w:val="003B675E"/>
    <w:rsid w:val="003B68D9"/>
    <w:rsid w:val="003B73CA"/>
    <w:rsid w:val="003B75E3"/>
    <w:rsid w:val="003C04C5"/>
    <w:rsid w:val="003C1D6C"/>
    <w:rsid w:val="003C2103"/>
    <w:rsid w:val="003C272E"/>
    <w:rsid w:val="003C42D8"/>
    <w:rsid w:val="003C480A"/>
    <w:rsid w:val="003C482B"/>
    <w:rsid w:val="003C4F69"/>
    <w:rsid w:val="003C5F00"/>
    <w:rsid w:val="003C65A2"/>
    <w:rsid w:val="003C6B71"/>
    <w:rsid w:val="003D0639"/>
    <w:rsid w:val="003D14DC"/>
    <w:rsid w:val="003D1EE3"/>
    <w:rsid w:val="003D2120"/>
    <w:rsid w:val="003D2AD4"/>
    <w:rsid w:val="003D2D21"/>
    <w:rsid w:val="003D378C"/>
    <w:rsid w:val="003D3FC6"/>
    <w:rsid w:val="003D48C9"/>
    <w:rsid w:val="003D547C"/>
    <w:rsid w:val="003D6335"/>
    <w:rsid w:val="003D6826"/>
    <w:rsid w:val="003D6BF7"/>
    <w:rsid w:val="003E0145"/>
    <w:rsid w:val="003E0924"/>
    <w:rsid w:val="003E0AEF"/>
    <w:rsid w:val="003E0C56"/>
    <w:rsid w:val="003E114B"/>
    <w:rsid w:val="003E12F5"/>
    <w:rsid w:val="003E13BB"/>
    <w:rsid w:val="003E1441"/>
    <w:rsid w:val="003E1F9F"/>
    <w:rsid w:val="003E1FF3"/>
    <w:rsid w:val="003E26A3"/>
    <w:rsid w:val="003E3CF3"/>
    <w:rsid w:val="003E437D"/>
    <w:rsid w:val="003E574F"/>
    <w:rsid w:val="003E5F5F"/>
    <w:rsid w:val="003F129F"/>
    <w:rsid w:val="003F2299"/>
    <w:rsid w:val="003F2708"/>
    <w:rsid w:val="003F2F55"/>
    <w:rsid w:val="003F312A"/>
    <w:rsid w:val="003F373B"/>
    <w:rsid w:val="003F4262"/>
    <w:rsid w:val="003F454F"/>
    <w:rsid w:val="003F463D"/>
    <w:rsid w:val="003F5D8F"/>
    <w:rsid w:val="003F62E9"/>
    <w:rsid w:val="003F63C7"/>
    <w:rsid w:val="003F63E7"/>
    <w:rsid w:val="003F660B"/>
    <w:rsid w:val="003F7221"/>
    <w:rsid w:val="003F741F"/>
    <w:rsid w:val="003F753F"/>
    <w:rsid w:val="003F7EB5"/>
    <w:rsid w:val="00400AF7"/>
    <w:rsid w:val="004013C8"/>
    <w:rsid w:val="00402B43"/>
    <w:rsid w:val="00402E5E"/>
    <w:rsid w:val="004039D6"/>
    <w:rsid w:val="0040436C"/>
    <w:rsid w:val="00404D3A"/>
    <w:rsid w:val="0040520E"/>
    <w:rsid w:val="00405EC5"/>
    <w:rsid w:val="004074DD"/>
    <w:rsid w:val="00407CB2"/>
    <w:rsid w:val="00410997"/>
    <w:rsid w:val="00410A1A"/>
    <w:rsid w:val="00411041"/>
    <w:rsid w:val="004120E9"/>
    <w:rsid w:val="0041223F"/>
    <w:rsid w:val="00412DF9"/>
    <w:rsid w:val="00413CE4"/>
    <w:rsid w:val="00413D99"/>
    <w:rsid w:val="00414CBF"/>
    <w:rsid w:val="004205AB"/>
    <w:rsid w:val="0042130A"/>
    <w:rsid w:val="0042269C"/>
    <w:rsid w:val="00423D9E"/>
    <w:rsid w:val="004240B1"/>
    <w:rsid w:val="00425AAF"/>
    <w:rsid w:val="0042601C"/>
    <w:rsid w:val="004273B7"/>
    <w:rsid w:val="00430576"/>
    <w:rsid w:val="004306B8"/>
    <w:rsid w:val="00430EC0"/>
    <w:rsid w:val="00431795"/>
    <w:rsid w:val="00431C43"/>
    <w:rsid w:val="00431EF3"/>
    <w:rsid w:val="0043209C"/>
    <w:rsid w:val="00432AA7"/>
    <w:rsid w:val="0043348E"/>
    <w:rsid w:val="0043378F"/>
    <w:rsid w:val="00433981"/>
    <w:rsid w:val="00433DCD"/>
    <w:rsid w:val="00434905"/>
    <w:rsid w:val="004355AB"/>
    <w:rsid w:val="004370AE"/>
    <w:rsid w:val="004379B3"/>
    <w:rsid w:val="00437C00"/>
    <w:rsid w:val="00440664"/>
    <w:rsid w:val="00442620"/>
    <w:rsid w:val="00443D8D"/>
    <w:rsid w:val="004509F9"/>
    <w:rsid w:val="00451085"/>
    <w:rsid w:val="00451266"/>
    <w:rsid w:val="004512BB"/>
    <w:rsid w:val="00451311"/>
    <w:rsid w:val="004513D8"/>
    <w:rsid w:val="00451D2E"/>
    <w:rsid w:val="00451E7E"/>
    <w:rsid w:val="004523C0"/>
    <w:rsid w:val="00453534"/>
    <w:rsid w:val="00453565"/>
    <w:rsid w:val="004548C7"/>
    <w:rsid w:val="00455681"/>
    <w:rsid w:val="00456170"/>
    <w:rsid w:val="00456B79"/>
    <w:rsid w:val="004600E3"/>
    <w:rsid w:val="004602A0"/>
    <w:rsid w:val="00460AEC"/>
    <w:rsid w:val="00460EBF"/>
    <w:rsid w:val="004610C7"/>
    <w:rsid w:val="00463D88"/>
    <w:rsid w:val="00464293"/>
    <w:rsid w:val="00464F7C"/>
    <w:rsid w:val="004652BD"/>
    <w:rsid w:val="0046624E"/>
    <w:rsid w:val="004663AD"/>
    <w:rsid w:val="00466E53"/>
    <w:rsid w:val="00467223"/>
    <w:rsid w:val="00467555"/>
    <w:rsid w:val="00467648"/>
    <w:rsid w:val="00471259"/>
    <w:rsid w:val="00471293"/>
    <w:rsid w:val="00471303"/>
    <w:rsid w:val="004728BE"/>
    <w:rsid w:val="00472BC1"/>
    <w:rsid w:val="00472F39"/>
    <w:rsid w:val="00473C8C"/>
    <w:rsid w:val="004746A5"/>
    <w:rsid w:val="00475FF8"/>
    <w:rsid w:val="00476A25"/>
    <w:rsid w:val="00476F4C"/>
    <w:rsid w:val="004778FB"/>
    <w:rsid w:val="004804A9"/>
    <w:rsid w:val="00480DA1"/>
    <w:rsid w:val="004818D2"/>
    <w:rsid w:val="00481EB1"/>
    <w:rsid w:val="00482B92"/>
    <w:rsid w:val="004839DF"/>
    <w:rsid w:val="00484471"/>
    <w:rsid w:val="00485313"/>
    <w:rsid w:val="00485619"/>
    <w:rsid w:val="00485C1B"/>
    <w:rsid w:val="00487208"/>
    <w:rsid w:val="00487255"/>
    <w:rsid w:val="00487BC5"/>
    <w:rsid w:val="00490105"/>
    <w:rsid w:val="00490A33"/>
    <w:rsid w:val="004918F4"/>
    <w:rsid w:val="004920A3"/>
    <w:rsid w:val="004922EF"/>
    <w:rsid w:val="00494397"/>
    <w:rsid w:val="0049471C"/>
    <w:rsid w:val="00494BA1"/>
    <w:rsid w:val="004953BF"/>
    <w:rsid w:val="00495A14"/>
    <w:rsid w:val="00496377"/>
    <w:rsid w:val="00496486"/>
    <w:rsid w:val="004978AA"/>
    <w:rsid w:val="004A0727"/>
    <w:rsid w:val="004A3227"/>
    <w:rsid w:val="004A3773"/>
    <w:rsid w:val="004A3F89"/>
    <w:rsid w:val="004A437E"/>
    <w:rsid w:val="004A4C5C"/>
    <w:rsid w:val="004A4EB1"/>
    <w:rsid w:val="004A5052"/>
    <w:rsid w:val="004A6145"/>
    <w:rsid w:val="004A6380"/>
    <w:rsid w:val="004A6386"/>
    <w:rsid w:val="004B0B6F"/>
    <w:rsid w:val="004B1449"/>
    <w:rsid w:val="004B1C82"/>
    <w:rsid w:val="004B2A49"/>
    <w:rsid w:val="004B3C3C"/>
    <w:rsid w:val="004B423C"/>
    <w:rsid w:val="004B51B6"/>
    <w:rsid w:val="004B654D"/>
    <w:rsid w:val="004B6B24"/>
    <w:rsid w:val="004B76F5"/>
    <w:rsid w:val="004C13B2"/>
    <w:rsid w:val="004C1C98"/>
    <w:rsid w:val="004C247E"/>
    <w:rsid w:val="004C29CA"/>
    <w:rsid w:val="004C30A8"/>
    <w:rsid w:val="004C45F6"/>
    <w:rsid w:val="004C582E"/>
    <w:rsid w:val="004C5A66"/>
    <w:rsid w:val="004C7E21"/>
    <w:rsid w:val="004D05F7"/>
    <w:rsid w:val="004D1818"/>
    <w:rsid w:val="004D27B1"/>
    <w:rsid w:val="004D2BA2"/>
    <w:rsid w:val="004D3B26"/>
    <w:rsid w:val="004D3E1A"/>
    <w:rsid w:val="004D4860"/>
    <w:rsid w:val="004D5C45"/>
    <w:rsid w:val="004D5FF2"/>
    <w:rsid w:val="004D666C"/>
    <w:rsid w:val="004D79FA"/>
    <w:rsid w:val="004E18AE"/>
    <w:rsid w:val="004E205E"/>
    <w:rsid w:val="004E30CC"/>
    <w:rsid w:val="004E4040"/>
    <w:rsid w:val="004E4470"/>
    <w:rsid w:val="004E46EB"/>
    <w:rsid w:val="004E5BAF"/>
    <w:rsid w:val="004E76AF"/>
    <w:rsid w:val="004E7C82"/>
    <w:rsid w:val="004F0E23"/>
    <w:rsid w:val="004F1FE7"/>
    <w:rsid w:val="004F4199"/>
    <w:rsid w:val="004F572E"/>
    <w:rsid w:val="0050004C"/>
    <w:rsid w:val="00501720"/>
    <w:rsid w:val="005026D5"/>
    <w:rsid w:val="00502E03"/>
    <w:rsid w:val="00503EB9"/>
    <w:rsid w:val="005047C7"/>
    <w:rsid w:val="005047EA"/>
    <w:rsid w:val="005051E6"/>
    <w:rsid w:val="00505D9F"/>
    <w:rsid w:val="00506090"/>
    <w:rsid w:val="00506204"/>
    <w:rsid w:val="00510F9B"/>
    <w:rsid w:val="00511F2A"/>
    <w:rsid w:val="005124B6"/>
    <w:rsid w:val="00512512"/>
    <w:rsid w:val="00513B38"/>
    <w:rsid w:val="00515889"/>
    <w:rsid w:val="00515EF6"/>
    <w:rsid w:val="00516958"/>
    <w:rsid w:val="0051713E"/>
    <w:rsid w:val="00517D32"/>
    <w:rsid w:val="00517E3D"/>
    <w:rsid w:val="0052062A"/>
    <w:rsid w:val="0052083A"/>
    <w:rsid w:val="00520BBA"/>
    <w:rsid w:val="0052142C"/>
    <w:rsid w:val="005215B7"/>
    <w:rsid w:val="005222AB"/>
    <w:rsid w:val="00523632"/>
    <w:rsid w:val="00525469"/>
    <w:rsid w:val="005256E1"/>
    <w:rsid w:val="00525A83"/>
    <w:rsid w:val="00525B6A"/>
    <w:rsid w:val="00526433"/>
    <w:rsid w:val="00527765"/>
    <w:rsid w:val="00530248"/>
    <w:rsid w:val="00531180"/>
    <w:rsid w:val="00531518"/>
    <w:rsid w:val="005331EA"/>
    <w:rsid w:val="005334C7"/>
    <w:rsid w:val="00534F4A"/>
    <w:rsid w:val="00535A01"/>
    <w:rsid w:val="00536371"/>
    <w:rsid w:val="00536DF1"/>
    <w:rsid w:val="00536ECD"/>
    <w:rsid w:val="00536EDC"/>
    <w:rsid w:val="005418C0"/>
    <w:rsid w:val="00543095"/>
    <w:rsid w:val="005432CD"/>
    <w:rsid w:val="005438BA"/>
    <w:rsid w:val="00544443"/>
    <w:rsid w:val="00544475"/>
    <w:rsid w:val="0054486A"/>
    <w:rsid w:val="00544EB8"/>
    <w:rsid w:val="0054502A"/>
    <w:rsid w:val="005452D2"/>
    <w:rsid w:val="00545E11"/>
    <w:rsid w:val="00546CBA"/>
    <w:rsid w:val="00546CF8"/>
    <w:rsid w:val="0054751F"/>
    <w:rsid w:val="00547A6A"/>
    <w:rsid w:val="005503D0"/>
    <w:rsid w:val="00550745"/>
    <w:rsid w:val="005508FF"/>
    <w:rsid w:val="00550A4E"/>
    <w:rsid w:val="00551475"/>
    <w:rsid w:val="00552192"/>
    <w:rsid w:val="0055244C"/>
    <w:rsid w:val="00552745"/>
    <w:rsid w:val="00552D30"/>
    <w:rsid w:val="00552D4C"/>
    <w:rsid w:val="00554B82"/>
    <w:rsid w:val="00555B5A"/>
    <w:rsid w:val="00556805"/>
    <w:rsid w:val="0055683C"/>
    <w:rsid w:val="005602AC"/>
    <w:rsid w:val="00561883"/>
    <w:rsid w:val="00562304"/>
    <w:rsid w:val="00562F38"/>
    <w:rsid w:val="00563574"/>
    <w:rsid w:val="005635BF"/>
    <w:rsid w:val="00563677"/>
    <w:rsid w:val="00563B34"/>
    <w:rsid w:val="005641C4"/>
    <w:rsid w:val="00565C8E"/>
    <w:rsid w:val="00567395"/>
    <w:rsid w:val="005675E7"/>
    <w:rsid w:val="0056771E"/>
    <w:rsid w:val="00570AB1"/>
    <w:rsid w:val="00571DDA"/>
    <w:rsid w:val="0057239F"/>
    <w:rsid w:val="0057269D"/>
    <w:rsid w:val="00572900"/>
    <w:rsid w:val="00573037"/>
    <w:rsid w:val="005737F7"/>
    <w:rsid w:val="00573B45"/>
    <w:rsid w:val="00574127"/>
    <w:rsid w:val="00574713"/>
    <w:rsid w:val="005751F3"/>
    <w:rsid w:val="00580013"/>
    <w:rsid w:val="00581476"/>
    <w:rsid w:val="00581494"/>
    <w:rsid w:val="005817E3"/>
    <w:rsid w:val="005823C1"/>
    <w:rsid w:val="00583107"/>
    <w:rsid w:val="00583CA4"/>
    <w:rsid w:val="00584E00"/>
    <w:rsid w:val="00584F99"/>
    <w:rsid w:val="00585189"/>
    <w:rsid w:val="005852ED"/>
    <w:rsid w:val="0058592D"/>
    <w:rsid w:val="00586409"/>
    <w:rsid w:val="005864F8"/>
    <w:rsid w:val="0059230B"/>
    <w:rsid w:val="005931CC"/>
    <w:rsid w:val="005946FB"/>
    <w:rsid w:val="00594B9A"/>
    <w:rsid w:val="005A023A"/>
    <w:rsid w:val="005A060B"/>
    <w:rsid w:val="005A2D8D"/>
    <w:rsid w:val="005A35F8"/>
    <w:rsid w:val="005A51D4"/>
    <w:rsid w:val="005A5829"/>
    <w:rsid w:val="005A5982"/>
    <w:rsid w:val="005A59F8"/>
    <w:rsid w:val="005A6DC3"/>
    <w:rsid w:val="005A6E2D"/>
    <w:rsid w:val="005A78EB"/>
    <w:rsid w:val="005B010B"/>
    <w:rsid w:val="005B17AD"/>
    <w:rsid w:val="005B1B53"/>
    <w:rsid w:val="005B2AAC"/>
    <w:rsid w:val="005B3827"/>
    <w:rsid w:val="005B4199"/>
    <w:rsid w:val="005B4EBD"/>
    <w:rsid w:val="005B5165"/>
    <w:rsid w:val="005B58F0"/>
    <w:rsid w:val="005B6E2D"/>
    <w:rsid w:val="005B73D2"/>
    <w:rsid w:val="005C02CD"/>
    <w:rsid w:val="005C04BC"/>
    <w:rsid w:val="005C04F4"/>
    <w:rsid w:val="005C0748"/>
    <w:rsid w:val="005C3B0F"/>
    <w:rsid w:val="005C3D2F"/>
    <w:rsid w:val="005C44EF"/>
    <w:rsid w:val="005C57FB"/>
    <w:rsid w:val="005C58B2"/>
    <w:rsid w:val="005C637A"/>
    <w:rsid w:val="005C76A9"/>
    <w:rsid w:val="005C7BA3"/>
    <w:rsid w:val="005C7F9F"/>
    <w:rsid w:val="005D012A"/>
    <w:rsid w:val="005D0AFE"/>
    <w:rsid w:val="005D27A8"/>
    <w:rsid w:val="005D34D7"/>
    <w:rsid w:val="005D35AC"/>
    <w:rsid w:val="005D3A57"/>
    <w:rsid w:val="005D47B5"/>
    <w:rsid w:val="005D5221"/>
    <w:rsid w:val="005D542A"/>
    <w:rsid w:val="005D628C"/>
    <w:rsid w:val="005D6D33"/>
    <w:rsid w:val="005D7CBB"/>
    <w:rsid w:val="005D7E67"/>
    <w:rsid w:val="005D7F1F"/>
    <w:rsid w:val="005E0052"/>
    <w:rsid w:val="005E0058"/>
    <w:rsid w:val="005E10B6"/>
    <w:rsid w:val="005E1665"/>
    <w:rsid w:val="005E24F8"/>
    <w:rsid w:val="005E272B"/>
    <w:rsid w:val="005E3F79"/>
    <w:rsid w:val="005E5263"/>
    <w:rsid w:val="005E5401"/>
    <w:rsid w:val="005E6453"/>
    <w:rsid w:val="005E79BB"/>
    <w:rsid w:val="005F02B3"/>
    <w:rsid w:val="005F0ABB"/>
    <w:rsid w:val="005F1883"/>
    <w:rsid w:val="005F1D9E"/>
    <w:rsid w:val="005F388F"/>
    <w:rsid w:val="005F58D6"/>
    <w:rsid w:val="005F7BFA"/>
    <w:rsid w:val="005F7D3B"/>
    <w:rsid w:val="005F7D72"/>
    <w:rsid w:val="00600366"/>
    <w:rsid w:val="00601093"/>
    <w:rsid w:val="006020EC"/>
    <w:rsid w:val="006025F7"/>
    <w:rsid w:val="006026D7"/>
    <w:rsid w:val="00603146"/>
    <w:rsid w:val="0060334E"/>
    <w:rsid w:val="0060367C"/>
    <w:rsid w:val="006048B5"/>
    <w:rsid w:val="00605034"/>
    <w:rsid w:val="006056A8"/>
    <w:rsid w:val="00605845"/>
    <w:rsid w:val="00605D21"/>
    <w:rsid w:val="00606DD1"/>
    <w:rsid w:val="0060797F"/>
    <w:rsid w:val="00607DD7"/>
    <w:rsid w:val="00607FF5"/>
    <w:rsid w:val="00610E91"/>
    <w:rsid w:val="0061180F"/>
    <w:rsid w:val="00611878"/>
    <w:rsid w:val="00611F06"/>
    <w:rsid w:val="00613059"/>
    <w:rsid w:val="00613272"/>
    <w:rsid w:val="00613489"/>
    <w:rsid w:val="006159DD"/>
    <w:rsid w:val="00616287"/>
    <w:rsid w:val="00617517"/>
    <w:rsid w:val="0061773F"/>
    <w:rsid w:val="00617DD9"/>
    <w:rsid w:val="00620825"/>
    <w:rsid w:val="00622466"/>
    <w:rsid w:val="006228B8"/>
    <w:rsid w:val="006242A2"/>
    <w:rsid w:val="006243DB"/>
    <w:rsid w:val="00625CA7"/>
    <w:rsid w:val="00626144"/>
    <w:rsid w:val="00626C8B"/>
    <w:rsid w:val="0062753D"/>
    <w:rsid w:val="006279F7"/>
    <w:rsid w:val="00630177"/>
    <w:rsid w:val="00630548"/>
    <w:rsid w:val="00631D31"/>
    <w:rsid w:val="00632230"/>
    <w:rsid w:val="00632460"/>
    <w:rsid w:val="006329AA"/>
    <w:rsid w:val="00633540"/>
    <w:rsid w:val="00633CCF"/>
    <w:rsid w:val="00633F19"/>
    <w:rsid w:val="006359F7"/>
    <w:rsid w:val="00635E8D"/>
    <w:rsid w:val="00636475"/>
    <w:rsid w:val="00636716"/>
    <w:rsid w:val="00642595"/>
    <w:rsid w:val="00643FB2"/>
    <w:rsid w:val="006441B2"/>
    <w:rsid w:val="00644899"/>
    <w:rsid w:val="006460C0"/>
    <w:rsid w:val="00646525"/>
    <w:rsid w:val="006500B2"/>
    <w:rsid w:val="00650239"/>
    <w:rsid w:val="0065056C"/>
    <w:rsid w:val="00650B62"/>
    <w:rsid w:val="00650F76"/>
    <w:rsid w:val="006521ED"/>
    <w:rsid w:val="00652971"/>
    <w:rsid w:val="0065383F"/>
    <w:rsid w:val="0065448C"/>
    <w:rsid w:val="00654717"/>
    <w:rsid w:val="00655DA2"/>
    <w:rsid w:val="00656055"/>
    <w:rsid w:val="0065647C"/>
    <w:rsid w:val="00656BE2"/>
    <w:rsid w:val="0065704F"/>
    <w:rsid w:val="00657861"/>
    <w:rsid w:val="00657FEA"/>
    <w:rsid w:val="00660401"/>
    <w:rsid w:val="00660FC3"/>
    <w:rsid w:val="00661F5A"/>
    <w:rsid w:val="0066282B"/>
    <w:rsid w:val="00662F5B"/>
    <w:rsid w:val="006630CB"/>
    <w:rsid w:val="00663224"/>
    <w:rsid w:val="00665907"/>
    <w:rsid w:val="0066684B"/>
    <w:rsid w:val="00666E46"/>
    <w:rsid w:val="00670032"/>
    <w:rsid w:val="006709C6"/>
    <w:rsid w:val="006712F9"/>
    <w:rsid w:val="00672624"/>
    <w:rsid w:val="006726C8"/>
    <w:rsid w:val="006728FF"/>
    <w:rsid w:val="00674C3A"/>
    <w:rsid w:val="006755FA"/>
    <w:rsid w:val="00675AE1"/>
    <w:rsid w:val="006762E6"/>
    <w:rsid w:val="006771D5"/>
    <w:rsid w:val="006772B8"/>
    <w:rsid w:val="0067776A"/>
    <w:rsid w:val="00677774"/>
    <w:rsid w:val="00677EE9"/>
    <w:rsid w:val="00677F39"/>
    <w:rsid w:val="0068035F"/>
    <w:rsid w:val="00680E06"/>
    <w:rsid w:val="00681100"/>
    <w:rsid w:val="00681AB0"/>
    <w:rsid w:val="006823AF"/>
    <w:rsid w:val="006828B0"/>
    <w:rsid w:val="006840DB"/>
    <w:rsid w:val="006841B9"/>
    <w:rsid w:val="00684847"/>
    <w:rsid w:val="00684AC6"/>
    <w:rsid w:val="0068626F"/>
    <w:rsid w:val="00687239"/>
    <w:rsid w:val="006876F0"/>
    <w:rsid w:val="00690911"/>
    <w:rsid w:val="00691BB4"/>
    <w:rsid w:val="0069290D"/>
    <w:rsid w:val="0069389F"/>
    <w:rsid w:val="00693B75"/>
    <w:rsid w:val="006946B1"/>
    <w:rsid w:val="006946E3"/>
    <w:rsid w:val="006A0A07"/>
    <w:rsid w:val="006A144D"/>
    <w:rsid w:val="006A160B"/>
    <w:rsid w:val="006A1848"/>
    <w:rsid w:val="006A21D7"/>
    <w:rsid w:val="006A23C3"/>
    <w:rsid w:val="006A3243"/>
    <w:rsid w:val="006A3479"/>
    <w:rsid w:val="006A3D20"/>
    <w:rsid w:val="006A4986"/>
    <w:rsid w:val="006A605E"/>
    <w:rsid w:val="006A6140"/>
    <w:rsid w:val="006A6940"/>
    <w:rsid w:val="006A6B7B"/>
    <w:rsid w:val="006B0D4C"/>
    <w:rsid w:val="006B0EC6"/>
    <w:rsid w:val="006B1B86"/>
    <w:rsid w:val="006B22A9"/>
    <w:rsid w:val="006B2B01"/>
    <w:rsid w:val="006B2F92"/>
    <w:rsid w:val="006B3AA5"/>
    <w:rsid w:val="006B3CCE"/>
    <w:rsid w:val="006B3F36"/>
    <w:rsid w:val="006B4095"/>
    <w:rsid w:val="006B5057"/>
    <w:rsid w:val="006B51D0"/>
    <w:rsid w:val="006B543F"/>
    <w:rsid w:val="006B588C"/>
    <w:rsid w:val="006B6776"/>
    <w:rsid w:val="006C0044"/>
    <w:rsid w:val="006C049A"/>
    <w:rsid w:val="006C077B"/>
    <w:rsid w:val="006C0DFB"/>
    <w:rsid w:val="006C21A0"/>
    <w:rsid w:val="006C259D"/>
    <w:rsid w:val="006C5B7E"/>
    <w:rsid w:val="006C6496"/>
    <w:rsid w:val="006D003B"/>
    <w:rsid w:val="006D05E8"/>
    <w:rsid w:val="006D0AC8"/>
    <w:rsid w:val="006D0C6C"/>
    <w:rsid w:val="006D399C"/>
    <w:rsid w:val="006D4226"/>
    <w:rsid w:val="006D495D"/>
    <w:rsid w:val="006D55AF"/>
    <w:rsid w:val="006D5CA3"/>
    <w:rsid w:val="006D64B7"/>
    <w:rsid w:val="006D6F20"/>
    <w:rsid w:val="006D76F5"/>
    <w:rsid w:val="006E0296"/>
    <w:rsid w:val="006E0F7B"/>
    <w:rsid w:val="006E27BB"/>
    <w:rsid w:val="006E30BA"/>
    <w:rsid w:val="006E3247"/>
    <w:rsid w:val="006E399B"/>
    <w:rsid w:val="006E7F0A"/>
    <w:rsid w:val="006F0215"/>
    <w:rsid w:val="006F0444"/>
    <w:rsid w:val="006F1FBA"/>
    <w:rsid w:val="006F223A"/>
    <w:rsid w:val="006F2628"/>
    <w:rsid w:val="006F3DD5"/>
    <w:rsid w:val="006F403E"/>
    <w:rsid w:val="006F411C"/>
    <w:rsid w:val="006F5D75"/>
    <w:rsid w:val="006F65EC"/>
    <w:rsid w:val="006F7471"/>
    <w:rsid w:val="006F77F7"/>
    <w:rsid w:val="006F78F1"/>
    <w:rsid w:val="007015FC"/>
    <w:rsid w:val="00701C63"/>
    <w:rsid w:val="00701C6C"/>
    <w:rsid w:val="0070322F"/>
    <w:rsid w:val="00703366"/>
    <w:rsid w:val="00704071"/>
    <w:rsid w:val="00705D24"/>
    <w:rsid w:val="00706349"/>
    <w:rsid w:val="0070659C"/>
    <w:rsid w:val="00707AB3"/>
    <w:rsid w:val="00707C1E"/>
    <w:rsid w:val="0071000C"/>
    <w:rsid w:val="0071120F"/>
    <w:rsid w:val="007124A8"/>
    <w:rsid w:val="00714435"/>
    <w:rsid w:val="007155E7"/>
    <w:rsid w:val="0071664D"/>
    <w:rsid w:val="007169D3"/>
    <w:rsid w:val="00722CF1"/>
    <w:rsid w:val="00722E1F"/>
    <w:rsid w:val="007234AB"/>
    <w:rsid w:val="007235D0"/>
    <w:rsid w:val="00723AD1"/>
    <w:rsid w:val="0072458C"/>
    <w:rsid w:val="007246AE"/>
    <w:rsid w:val="00724FF4"/>
    <w:rsid w:val="00725E33"/>
    <w:rsid w:val="00727D99"/>
    <w:rsid w:val="007308F9"/>
    <w:rsid w:val="00731501"/>
    <w:rsid w:val="00731726"/>
    <w:rsid w:val="00731BBB"/>
    <w:rsid w:val="00732252"/>
    <w:rsid w:val="00732ABE"/>
    <w:rsid w:val="007336DD"/>
    <w:rsid w:val="00736282"/>
    <w:rsid w:val="007363AA"/>
    <w:rsid w:val="0073666A"/>
    <w:rsid w:val="00736803"/>
    <w:rsid w:val="00736E17"/>
    <w:rsid w:val="007376B2"/>
    <w:rsid w:val="00740B5B"/>
    <w:rsid w:val="00740EB4"/>
    <w:rsid w:val="00741021"/>
    <w:rsid w:val="00741383"/>
    <w:rsid w:val="007415A9"/>
    <w:rsid w:val="0074184A"/>
    <w:rsid w:val="00741E0E"/>
    <w:rsid w:val="00742627"/>
    <w:rsid w:val="0074326B"/>
    <w:rsid w:val="007440F8"/>
    <w:rsid w:val="00744A5B"/>
    <w:rsid w:val="00744C2B"/>
    <w:rsid w:val="007454A2"/>
    <w:rsid w:val="00746AE1"/>
    <w:rsid w:val="00747FE4"/>
    <w:rsid w:val="007510BF"/>
    <w:rsid w:val="00751A2A"/>
    <w:rsid w:val="00752657"/>
    <w:rsid w:val="007528CE"/>
    <w:rsid w:val="007533A3"/>
    <w:rsid w:val="007537FC"/>
    <w:rsid w:val="00753CB9"/>
    <w:rsid w:val="00753D6A"/>
    <w:rsid w:val="00754ECB"/>
    <w:rsid w:val="00754F00"/>
    <w:rsid w:val="0075601F"/>
    <w:rsid w:val="007569A0"/>
    <w:rsid w:val="00756A9E"/>
    <w:rsid w:val="007574F7"/>
    <w:rsid w:val="007578D8"/>
    <w:rsid w:val="00757AC9"/>
    <w:rsid w:val="007610DE"/>
    <w:rsid w:val="007629B2"/>
    <w:rsid w:val="00763386"/>
    <w:rsid w:val="00763BFD"/>
    <w:rsid w:val="00763CD0"/>
    <w:rsid w:val="00763F3A"/>
    <w:rsid w:val="00766A1F"/>
    <w:rsid w:val="00766C3E"/>
    <w:rsid w:val="00766EFA"/>
    <w:rsid w:val="00773EF3"/>
    <w:rsid w:val="0077473E"/>
    <w:rsid w:val="00774F7F"/>
    <w:rsid w:val="00775123"/>
    <w:rsid w:val="0077643F"/>
    <w:rsid w:val="00777137"/>
    <w:rsid w:val="0077731E"/>
    <w:rsid w:val="0078014F"/>
    <w:rsid w:val="00780ADD"/>
    <w:rsid w:val="00781AAB"/>
    <w:rsid w:val="00781CB1"/>
    <w:rsid w:val="00781E08"/>
    <w:rsid w:val="0078384E"/>
    <w:rsid w:val="00783875"/>
    <w:rsid w:val="00783B55"/>
    <w:rsid w:val="00783FAC"/>
    <w:rsid w:val="007844D1"/>
    <w:rsid w:val="00786875"/>
    <w:rsid w:val="007878DE"/>
    <w:rsid w:val="0079032A"/>
    <w:rsid w:val="007905A6"/>
    <w:rsid w:val="00791103"/>
    <w:rsid w:val="00791A5A"/>
    <w:rsid w:val="00791C12"/>
    <w:rsid w:val="00791D23"/>
    <w:rsid w:val="00792775"/>
    <w:rsid w:val="00792819"/>
    <w:rsid w:val="00792F10"/>
    <w:rsid w:val="007934B8"/>
    <w:rsid w:val="00793749"/>
    <w:rsid w:val="00793FD3"/>
    <w:rsid w:val="00794891"/>
    <w:rsid w:val="007949A8"/>
    <w:rsid w:val="00794CA7"/>
    <w:rsid w:val="00796E8E"/>
    <w:rsid w:val="007A01C8"/>
    <w:rsid w:val="007A06B8"/>
    <w:rsid w:val="007A123B"/>
    <w:rsid w:val="007A2232"/>
    <w:rsid w:val="007A4404"/>
    <w:rsid w:val="007A4F04"/>
    <w:rsid w:val="007A5AB5"/>
    <w:rsid w:val="007A62EF"/>
    <w:rsid w:val="007A647A"/>
    <w:rsid w:val="007A72BF"/>
    <w:rsid w:val="007A7E6A"/>
    <w:rsid w:val="007B0944"/>
    <w:rsid w:val="007B2085"/>
    <w:rsid w:val="007B2121"/>
    <w:rsid w:val="007B2ECD"/>
    <w:rsid w:val="007B3EFE"/>
    <w:rsid w:val="007B42B9"/>
    <w:rsid w:val="007B59E6"/>
    <w:rsid w:val="007B6B70"/>
    <w:rsid w:val="007B6C77"/>
    <w:rsid w:val="007B7172"/>
    <w:rsid w:val="007B78E0"/>
    <w:rsid w:val="007C0AEF"/>
    <w:rsid w:val="007C1467"/>
    <w:rsid w:val="007C20C1"/>
    <w:rsid w:val="007C2A0D"/>
    <w:rsid w:val="007C2F41"/>
    <w:rsid w:val="007C4FA3"/>
    <w:rsid w:val="007C568B"/>
    <w:rsid w:val="007C5A15"/>
    <w:rsid w:val="007D0096"/>
    <w:rsid w:val="007D0B53"/>
    <w:rsid w:val="007D10AF"/>
    <w:rsid w:val="007D1529"/>
    <w:rsid w:val="007D2FDC"/>
    <w:rsid w:val="007D377A"/>
    <w:rsid w:val="007D3A7B"/>
    <w:rsid w:val="007D3E28"/>
    <w:rsid w:val="007D4EB5"/>
    <w:rsid w:val="007D5094"/>
    <w:rsid w:val="007D58BD"/>
    <w:rsid w:val="007D5A6C"/>
    <w:rsid w:val="007D639E"/>
    <w:rsid w:val="007D6556"/>
    <w:rsid w:val="007E0B7C"/>
    <w:rsid w:val="007E0F05"/>
    <w:rsid w:val="007E10F6"/>
    <w:rsid w:val="007E11EB"/>
    <w:rsid w:val="007E12F0"/>
    <w:rsid w:val="007E20FF"/>
    <w:rsid w:val="007E30DA"/>
    <w:rsid w:val="007E34F1"/>
    <w:rsid w:val="007E36A4"/>
    <w:rsid w:val="007E3D57"/>
    <w:rsid w:val="007E3F93"/>
    <w:rsid w:val="007E420A"/>
    <w:rsid w:val="007E502F"/>
    <w:rsid w:val="007E5599"/>
    <w:rsid w:val="007E5B28"/>
    <w:rsid w:val="007E651E"/>
    <w:rsid w:val="007E6758"/>
    <w:rsid w:val="007E7600"/>
    <w:rsid w:val="007E7898"/>
    <w:rsid w:val="007E7FB2"/>
    <w:rsid w:val="007F0337"/>
    <w:rsid w:val="007F0F6D"/>
    <w:rsid w:val="007F13B7"/>
    <w:rsid w:val="007F166D"/>
    <w:rsid w:val="007F2015"/>
    <w:rsid w:val="007F219F"/>
    <w:rsid w:val="007F227A"/>
    <w:rsid w:val="007F40C1"/>
    <w:rsid w:val="007F4760"/>
    <w:rsid w:val="007F5272"/>
    <w:rsid w:val="007F52C6"/>
    <w:rsid w:val="0080072F"/>
    <w:rsid w:val="00800D63"/>
    <w:rsid w:val="00800F9D"/>
    <w:rsid w:val="008011AC"/>
    <w:rsid w:val="00802024"/>
    <w:rsid w:val="008023F4"/>
    <w:rsid w:val="00802935"/>
    <w:rsid w:val="008029B9"/>
    <w:rsid w:val="00803644"/>
    <w:rsid w:val="008039C9"/>
    <w:rsid w:val="00803E91"/>
    <w:rsid w:val="00804E93"/>
    <w:rsid w:val="00806523"/>
    <w:rsid w:val="00806965"/>
    <w:rsid w:val="00806A7F"/>
    <w:rsid w:val="00810635"/>
    <w:rsid w:val="00810BB6"/>
    <w:rsid w:val="008113D4"/>
    <w:rsid w:val="00811BE3"/>
    <w:rsid w:val="00812F4A"/>
    <w:rsid w:val="0081374F"/>
    <w:rsid w:val="00813B82"/>
    <w:rsid w:val="00813F97"/>
    <w:rsid w:val="008140CB"/>
    <w:rsid w:val="00814600"/>
    <w:rsid w:val="00815B8D"/>
    <w:rsid w:val="00816D59"/>
    <w:rsid w:val="00816E99"/>
    <w:rsid w:val="0081759A"/>
    <w:rsid w:val="00820420"/>
    <w:rsid w:val="00820D80"/>
    <w:rsid w:val="008233F8"/>
    <w:rsid w:val="00824F2B"/>
    <w:rsid w:val="00825B23"/>
    <w:rsid w:val="00825DE1"/>
    <w:rsid w:val="00826244"/>
    <w:rsid w:val="00827303"/>
    <w:rsid w:val="0083017B"/>
    <w:rsid w:val="008301AA"/>
    <w:rsid w:val="00830BF8"/>
    <w:rsid w:val="00832432"/>
    <w:rsid w:val="00832FA2"/>
    <w:rsid w:val="00833702"/>
    <w:rsid w:val="00834B38"/>
    <w:rsid w:val="00835509"/>
    <w:rsid w:val="00835AFC"/>
    <w:rsid w:val="00836E44"/>
    <w:rsid w:val="00836FCB"/>
    <w:rsid w:val="008412F1"/>
    <w:rsid w:val="00842200"/>
    <w:rsid w:val="00842418"/>
    <w:rsid w:val="00845A58"/>
    <w:rsid w:val="00846426"/>
    <w:rsid w:val="00846751"/>
    <w:rsid w:val="008468A8"/>
    <w:rsid w:val="0084692D"/>
    <w:rsid w:val="008469AC"/>
    <w:rsid w:val="00846FCD"/>
    <w:rsid w:val="00850555"/>
    <w:rsid w:val="008506AB"/>
    <w:rsid w:val="00850C26"/>
    <w:rsid w:val="00853296"/>
    <w:rsid w:val="008536CB"/>
    <w:rsid w:val="00854589"/>
    <w:rsid w:val="00854CD1"/>
    <w:rsid w:val="008557ED"/>
    <w:rsid w:val="00855A0F"/>
    <w:rsid w:val="008567CE"/>
    <w:rsid w:val="00856842"/>
    <w:rsid w:val="00857DFF"/>
    <w:rsid w:val="008602CE"/>
    <w:rsid w:val="008606DA"/>
    <w:rsid w:val="008607EE"/>
    <w:rsid w:val="00860CFE"/>
    <w:rsid w:val="00861272"/>
    <w:rsid w:val="008635C3"/>
    <w:rsid w:val="008635E0"/>
    <w:rsid w:val="008643AB"/>
    <w:rsid w:val="00864636"/>
    <w:rsid w:val="00867642"/>
    <w:rsid w:val="0087111B"/>
    <w:rsid w:val="00871836"/>
    <w:rsid w:val="00871E27"/>
    <w:rsid w:val="00872A4C"/>
    <w:rsid w:val="008738F2"/>
    <w:rsid w:val="0087483E"/>
    <w:rsid w:val="00876043"/>
    <w:rsid w:val="00876CEB"/>
    <w:rsid w:val="008770B6"/>
    <w:rsid w:val="008771FF"/>
    <w:rsid w:val="00880A46"/>
    <w:rsid w:val="00880A91"/>
    <w:rsid w:val="0088159B"/>
    <w:rsid w:val="00882DE0"/>
    <w:rsid w:val="00882E3C"/>
    <w:rsid w:val="00883DD7"/>
    <w:rsid w:val="00890A74"/>
    <w:rsid w:val="0089125A"/>
    <w:rsid w:val="008929DD"/>
    <w:rsid w:val="00894F2E"/>
    <w:rsid w:val="00894F4F"/>
    <w:rsid w:val="00894F5C"/>
    <w:rsid w:val="008955FF"/>
    <w:rsid w:val="0089570B"/>
    <w:rsid w:val="00895A88"/>
    <w:rsid w:val="00896111"/>
    <w:rsid w:val="00896AE0"/>
    <w:rsid w:val="00897D4F"/>
    <w:rsid w:val="008A0B4D"/>
    <w:rsid w:val="008A1977"/>
    <w:rsid w:val="008A1D31"/>
    <w:rsid w:val="008A2282"/>
    <w:rsid w:val="008A3887"/>
    <w:rsid w:val="008A3932"/>
    <w:rsid w:val="008A45BD"/>
    <w:rsid w:val="008A4F8D"/>
    <w:rsid w:val="008A6081"/>
    <w:rsid w:val="008A6D2C"/>
    <w:rsid w:val="008B05ED"/>
    <w:rsid w:val="008B0ED0"/>
    <w:rsid w:val="008B13C2"/>
    <w:rsid w:val="008B1474"/>
    <w:rsid w:val="008B1917"/>
    <w:rsid w:val="008B1D16"/>
    <w:rsid w:val="008B348B"/>
    <w:rsid w:val="008B579F"/>
    <w:rsid w:val="008B5E3F"/>
    <w:rsid w:val="008B65BA"/>
    <w:rsid w:val="008B68ED"/>
    <w:rsid w:val="008B71A0"/>
    <w:rsid w:val="008B7685"/>
    <w:rsid w:val="008B7B90"/>
    <w:rsid w:val="008C00AA"/>
    <w:rsid w:val="008C3110"/>
    <w:rsid w:val="008C3597"/>
    <w:rsid w:val="008C58FD"/>
    <w:rsid w:val="008C682C"/>
    <w:rsid w:val="008C7509"/>
    <w:rsid w:val="008C7665"/>
    <w:rsid w:val="008C7B95"/>
    <w:rsid w:val="008D05AB"/>
    <w:rsid w:val="008D0C36"/>
    <w:rsid w:val="008D1E81"/>
    <w:rsid w:val="008D3448"/>
    <w:rsid w:val="008D4EBE"/>
    <w:rsid w:val="008D5CC7"/>
    <w:rsid w:val="008D5FD4"/>
    <w:rsid w:val="008D60F6"/>
    <w:rsid w:val="008D68D3"/>
    <w:rsid w:val="008D6B84"/>
    <w:rsid w:val="008D74B3"/>
    <w:rsid w:val="008D7BFE"/>
    <w:rsid w:val="008D7C9D"/>
    <w:rsid w:val="008D7EA4"/>
    <w:rsid w:val="008E1EA6"/>
    <w:rsid w:val="008E1FB6"/>
    <w:rsid w:val="008E2721"/>
    <w:rsid w:val="008E2CE5"/>
    <w:rsid w:val="008E2E24"/>
    <w:rsid w:val="008E2EAB"/>
    <w:rsid w:val="008E37E1"/>
    <w:rsid w:val="008E4552"/>
    <w:rsid w:val="008E4851"/>
    <w:rsid w:val="008E51E7"/>
    <w:rsid w:val="008E5A08"/>
    <w:rsid w:val="008E5EFA"/>
    <w:rsid w:val="008E609B"/>
    <w:rsid w:val="008E72DF"/>
    <w:rsid w:val="008E7317"/>
    <w:rsid w:val="008E79F9"/>
    <w:rsid w:val="008F00BF"/>
    <w:rsid w:val="008F00D9"/>
    <w:rsid w:val="008F0AA2"/>
    <w:rsid w:val="008F1047"/>
    <w:rsid w:val="008F1481"/>
    <w:rsid w:val="008F1828"/>
    <w:rsid w:val="008F1985"/>
    <w:rsid w:val="008F642E"/>
    <w:rsid w:val="008F7422"/>
    <w:rsid w:val="008F751F"/>
    <w:rsid w:val="008F7697"/>
    <w:rsid w:val="008F79A0"/>
    <w:rsid w:val="00902216"/>
    <w:rsid w:val="0090298E"/>
    <w:rsid w:val="009032AA"/>
    <w:rsid w:val="00904A5B"/>
    <w:rsid w:val="0090591F"/>
    <w:rsid w:val="009069B1"/>
    <w:rsid w:val="00906FE9"/>
    <w:rsid w:val="0091150A"/>
    <w:rsid w:val="00911DE5"/>
    <w:rsid w:val="009139D4"/>
    <w:rsid w:val="0091441D"/>
    <w:rsid w:val="00914938"/>
    <w:rsid w:val="00916B00"/>
    <w:rsid w:val="00916D05"/>
    <w:rsid w:val="00916DB5"/>
    <w:rsid w:val="00920266"/>
    <w:rsid w:val="0092098A"/>
    <w:rsid w:val="00921059"/>
    <w:rsid w:val="009210DF"/>
    <w:rsid w:val="00921389"/>
    <w:rsid w:val="009214E3"/>
    <w:rsid w:val="0092208C"/>
    <w:rsid w:val="00922365"/>
    <w:rsid w:val="00923F71"/>
    <w:rsid w:val="00923F81"/>
    <w:rsid w:val="009243DE"/>
    <w:rsid w:val="009257F8"/>
    <w:rsid w:val="0092594B"/>
    <w:rsid w:val="00925A48"/>
    <w:rsid w:val="0092660D"/>
    <w:rsid w:val="009271F3"/>
    <w:rsid w:val="00927C67"/>
    <w:rsid w:val="0093006A"/>
    <w:rsid w:val="00930467"/>
    <w:rsid w:val="00931205"/>
    <w:rsid w:val="00931CC1"/>
    <w:rsid w:val="009328FA"/>
    <w:rsid w:val="00932948"/>
    <w:rsid w:val="00932BBA"/>
    <w:rsid w:val="00933533"/>
    <w:rsid w:val="009337D3"/>
    <w:rsid w:val="00933A2B"/>
    <w:rsid w:val="009342A1"/>
    <w:rsid w:val="00934533"/>
    <w:rsid w:val="00934A61"/>
    <w:rsid w:val="00940949"/>
    <w:rsid w:val="009417FB"/>
    <w:rsid w:val="00942230"/>
    <w:rsid w:val="009427DE"/>
    <w:rsid w:val="0094281F"/>
    <w:rsid w:val="0094308C"/>
    <w:rsid w:val="009440DF"/>
    <w:rsid w:val="00945F4F"/>
    <w:rsid w:val="00945FC9"/>
    <w:rsid w:val="009470D1"/>
    <w:rsid w:val="00950A44"/>
    <w:rsid w:val="00951220"/>
    <w:rsid w:val="00952408"/>
    <w:rsid w:val="0095276F"/>
    <w:rsid w:val="00953BCC"/>
    <w:rsid w:val="009550C0"/>
    <w:rsid w:val="00955A1A"/>
    <w:rsid w:val="009575BB"/>
    <w:rsid w:val="009606DE"/>
    <w:rsid w:val="009615D9"/>
    <w:rsid w:val="00961D08"/>
    <w:rsid w:val="009623F3"/>
    <w:rsid w:val="0096240C"/>
    <w:rsid w:val="00963418"/>
    <w:rsid w:val="009634AF"/>
    <w:rsid w:val="00963D9B"/>
    <w:rsid w:val="00964111"/>
    <w:rsid w:val="0096478C"/>
    <w:rsid w:val="00965953"/>
    <w:rsid w:val="00965D18"/>
    <w:rsid w:val="00965E80"/>
    <w:rsid w:val="00965EA8"/>
    <w:rsid w:val="00965FE3"/>
    <w:rsid w:val="00966160"/>
    <w:rsid w:val="009674AE"/>
    <w:rsid w:val="00970191"/>
    <w:rsid w:val="00970DB5"/>
    <w:rsid w:val="00970E06"/>
    <w:rsid w:val="0097114E"/>
    <w:rsid w:val="0097420B"/>
    <w:rsid w:val="0097472F"/>
    <w:rsid w:val="00975D36"/>
    <w:rsid w:val="00976CC7"/>
    <w:rsid w:val="009779E1"/>
    <w:rsid w:val="0098044D"/>
    <w:rsid w:val="009809F3"/>
    <w:rsid w:val="00980B27"/>
    <w:rsid w:val="00980FA4"/>
    <w:rsid w:val="00981C6A"/>
    <w:rsid w:val="00982194"/>
    <w:rsid w:val="00982658"/>
    <w:rsid w:val="00982A3A"/>
    <w:rsid w:val="0098315E"/>
    <w:rsid w:val="0098491A"/>
    <w:rsid w:val="00984DC0"/>
    <w:rsid w:val="00985F47"/>
    <w:rsid w:val="00986779"/>
    <w:rsid w:val="00986E22"/>
    <w:rsid w:val="009910C3"/>
    <w:rsid w:val="009918A7"/>
    <w:rsid w:val="00992146"/>
    <w:rsid w:val="00992350"/>
    <w:rsid w:val="00992719"/>
    <w:rsid w:val="00992A29"/>
    <w:rsid w:val="00993AFE"/>
    <w:rsid w:val="00994440"/>
    <w:rsid w:val="00994C45"/>
    <w:rsid w:val="0099564B"/>
    <w:rsid w:val="00996DCA"/>
    <w:rsid w:val="00996FDB"/>
    <w:rsid w:val="009970DC"/>
    <w:rsid w:val="009971B1"/>
    <w:rsid w:val="009A01B6"/>
    <w:rsid w:val="009A0400"/>
    <w:rsid w:val="009A11DF"/>
    <w:rsid w:val="009A2601"/>
    <w:rsid w:val="009A44A1"/>
    <w:rsid w:val="009A5201"/>
    <w:rsid w:val="009A5259"/>
    <w:rsid w:val="009A5A65"/>
    <w:rsid w:val="009A709F"/>
    <w:rsid w:val="009A779A"/>
    <w:rsid w:val="009A779E"/>
    <w:rsid w:val="009A7E0B"/>
    <w:rsid w:val="009B0C41"/>
    <w:rsid w:val="009B20B2"/>
    <w:rsid w:val="009B26B8"/>
    <w:rsid w:val="009B2D92"/>
    <w:rsid w:val="009B2F19"/>
    <w:rsid w:val="009B3804"/>
    <w:rsid w:val="009B3989"/>
    <w:rsid w:val="009B431E"/>
    <w:rsid w:val="009B491E"/>
    <w:rsid w:val="009B4A67"/>
    <w:rsid w:val="009B4BD3"/>
    <w:rsid w:val="009B4CBE"/>
    <w:rsid w:val="009B4D8E"/>
    <w:rsid w:val="009B60DA"/>
    <w:rsid w:val="009C05EE"/>
    <w:rsid w:val="009C20F5"/>
    <w:rsid w:val="009C2327"/>
    <w:rsid w:val="009C395F"/>
    <w:rsid w:val="009C40FE"/>
    <w:rsid w:val="009C4AD1"/>
    <w:rsid w:val="009C4B3F"/>
    <w:rsid w:val="009C4D65"/>
    <w:rsid w:val="009C6643"/>
    <w:rsid w:val="009C7086"/>
    <w:rsid w:val="009C7DF8"/>
    <w:rsid w:val="009D01BF"/>
    <w:rsid w:val="009D11D4"/>
    <w:rsid w:val="009D148B"/>
    <w:rsid w:val="009D152C"/>
    <w:rsid w:val="009D269B"/>
    <w:rsid w:val="009D28D1"/>
    <w:rsid w:val="009D33AC"/>
    <w:rsid w:val="009D3C9E"/>
    <w:rsid w:val="009D56F8"/>
    <w:rsid w:val="009D5C0D"/>
    <w:rsid w:val="009D5DED"/>
    <w:rsid w:val="009D715F"/>
    <w:rsid w:val="009D737C"/>
    <w:rsid w:val="009D7BFB"/>
    <w:rsid w:val="009E01B2"/>
    <w:rsid w:val="009E065E"/>
    <w:rsid w:val="009E1483"/>
    <w:rsid w:val="009E2323"/>
    <w:rsid w:val="009E274A"/>
    <w:rsid w:val="009E2958"/>
    <w:rsid w:val="009E2C2B"/>
    <w:rsid w:val="009E30A4"/>
    <w:rsid w:val="009E4070"/>
    <w:rsid w:val="009E58CF"/>
    <w:rsid w:val="009E5F04"/>
    <w:rsid w:val="009E6253"/>
    <w:rsid w:val="009E6828"/>
    <w:rsid w:val="009E7375"/>
    <w:rsid w:val="009E7E72"/>
    <w:rsid w:val="009F062D"/>
    <w:rsid w:val="009F1D08"/>
    <w:rsid w:val="009F24DC"/>
    <w:rsid w:val="009F28B6"/>
    <w:rsid w:val="009F3DA8"/>
    <w:rsid w:val="009F4B85"/>
    <w:rsid w:val="009F4FEC"/>
    <w:rsid w:val="009F5661"/>
    <w:rsid w:val="009F6ACF"/>
    <w:rsid w:val="009F7334"/>
    <w:rsid w:val="009F74D5"/>
    <w:rsid w:val="009F78E5"/>
    <w:rsid w:val="009F7F2B"/>
    <w:rsid w:val="00A00C56"/>
    <w:rsid w:val="00A01940"/>
    <w:rsid w:val="00A01968"/>
    <w:rsid w:val="00A02AB7"/>
    <w:rsid w:val="00A0567F"/>
    <w:rsid w:val="00A05A6C"/>
    <w:rsid w:val="00A067C4"/>
    <w:rsid w:val="00A07F95"/>
    <w:rsid w:val="00A10424"/>
    <w:rsid w:val="00A106ED"/>
    <w:rsid w:val="00A10F56"/>
    <w:rsid w:val="00A11FBA"/>
    <w:rsid w:val="00A12E2E"/>
    <w:rsid w:val="00A13333"/>
    <w:rsid w:val="00A1356D"/>
    <w:rsid w:val="00A14072"/>
    <w:rsid w:val="00A14503"/>
    <w:rsid w:val="00A14D17"/>
    <w:rsid w:val="00A1514F"/>
    <w:rsid w:val="00A15B56"/>
    <w:rsid w:val="00A166EF"/>
    <w:rsid w:val="00A1781F"/>
    <w:rsid w:val="00A200BC"/>
    <w:rsid w:val="00A2292A"/>
    <w:rsid w:val="00A2323D"/>
    <w:rsid w:val="00A2382A"/>
    <w:rsid w:val="00A23B43"/>
    <w:rsid w:val="00A23CB5"/>
    <w:rsid w:val="00A25ADE"/>
    <w:rsid w:val="00A264AD"/>
    <w:rsid w:val="00A26D7E"/>
    <w:rsid w:val="00A271F0"/>
    <w:rsid w:val="00A27207"/>
    <w:rsid w:val="00A307EF"/>
    <w:rsid w:val="00A308E0"/>
    <w:rsid w:val="00A30E90"/>
    <w:rsid w:val="00A31390"/>
    <w:rsid w:val="00A313A9"/>
    <w:rsid w:val="00A314CA"/>
    <w:rsid w:val="00A321CF"/>
    <w:rsid w:val="00A322C6"/>
    <w:rsid w:val="00A33C91"/>
    <w:rsid w:val="00A33FCE"/>
    <w:rsid w:val="00A343ED"/>
    <w:rsid w:val="00A34D82"/>
    <w:rsid w:val="00A364C2"/>
    <w:rsid w:val="00A370A7"/>
    <w:rsid w:val="00A37B36"/>
    <w:rsid w:val="00A4000D"/>
    <w:rsid w:val="00A401C2"/>
    <w:rsid w:val="00A40C70"/>
    <w:rsid w:val="00A41563"/>
    <w:rsid w:val="00A41837"/>
    <w:rsid w:val="00A419DE"/>
    <w:rsid w:val="00A42200"/>
    <w:rsid w:val="00A43887"/>
    <w:rsid w:val="00A44028"/>
    <w:rsid w:val="00A44BED"/>
    <w:rsid w:val="00A44EB4"/>
    <w:rsid w:val="00A45F67"/>
    <w:rsid w:val="00A46727"/>
    <w:rsid w:val="00A47B8F"/>
    <w:rsid w:val="00A5006F"/>
    <w:rsid w:val="00A50782"/>
    <w:rsid w:val="00A5259C"/>
    <w:rsid w:val="00A52D31"/>
    <w:rsid w:val="00A53DA8"/>
    <w:rsid w:val="00A541B2"/>
    <w:rsid w:val="00A5470A"/>
    <w:rsid w:val="00A56CC8"/>
    <w:rsid w:val="00A56FA0"/>
    <w:rsid w:val="00A57032"/>
    <w:rsid w:val="00A57417"/>
    <w:rsid w:val="00A610E0"/>
    <w:rsid w:val="00A61662"/>
    <w:rsid w:val="00A61B1C"/>
    <w:rsid w:val="00A62B8A"/>
    <w:rsid w:val="00A6334D"/>
    <w:rsid w:val="00A6527D"/>
    <w:rsid w:val="00A66241"/>
    <w:rsid w:val="00A66EAE"/>
    <w:rsid w:val="00A70A89"/>
    <w:rsid w:val="00A70AB9"/>
    <w:rsid w:val="00A70AFE"/>
    <w:rsid w:val="00A70D3D"/>
    <w:rsid w:val="00A70D74"/>
    <w:rsid w:val="00A7101F"/>
    <w:rsid w:val="00A710B9"/>
    <w:rsid w:val="00A7123C"/>
    <w:rsid w:val="00A72566"/>
    <w:rsid w:val="00A733DC"/>
    <w:rsid w:val="00A73E63"/>
    <w:rsid w:val="00A73E9C"/>
    <w:rsid w:val="00A7457E"/>
    <w:rsid w:val="00A7536C"/>
    <w:rsid w:val="00A75AE7"/>
    <w:rsid w:val="00A75FE0"/>
    <w:rsid w:val="00A76040"/>
    <w:rsid w:val="00A762A6"/>
    <w:rsid w:val="00A763AE"/>
    <w:rsid w:val="00A777C8"/>
    <w:rsid w:val="00A8048A"/>
    <w:rsid w:val="00A80EA9"/>
    <w:rsid w:val="00A80F98"/>
    <w:rsid w:val="00A81C13"/>
    <w:rsid w:val="00A82CF4"/>
    <w:rsid w:val="00A859B6"/>
    <w:rsid w:val="00A8688E"/>
    <w:rsid w:val="00A86ACC"/>
    <w:rsid w:val="00A87455"/>
    <w:rsid w:val="00A875A1"/>
    <w:rsid w:val="00A87F6E"/>
    <w:rsid w:val="00A87FD5"/>
    <w:rsid w:val="00A908CF"/>
    <w:rsid w:val="00A931F9"/>
    <w:rsid w:val="00A962DA"/>
    <w:rsid w:val="00A96A17"/>
    <w:rsid w:val="00A97127"/>
    <w:rsid w:val="00A977DB"/>
    <w:rsid w:val="00AA092C"/>
    <w:rsid w:val="00AA0B7A"/>
    <w:rsid w:val="00AA0BAF"/>
    <w:rsid w:val="00AA0BC1"/>
    <w:rsid w:val="00AA130E"/>
    <w:rsid w:val="00AA1C4C"/>
    <w:rsid w:val="00AA4F40"/>
    <w:rsid w:val="00AA5B44"/>
    <w:rsid w:val="00AA6B42"/>
    <w:rsid w:val="00AA7379"/>
    <w:rsid w:val="00AA7ECD"/>
    <w:rsid w:val="00AB050E"/>
    <w:rsid w:val="00AB4DB0"/>
    <w:rsid w:val="00AB591E"/>
    <w:rsid w:val="00AB6F50"/>
    <w:rsid w:val="00AB7166"/>
    <w:rsid w:val="00AB7788"/>
    <w:rsid w:val="00AC03D3"/>
    <w:rsid w:val="00AC1951"/>
    <w:rsid w:val="00AC2F30"/>
    <w:rsid w:val="00AC33B8"/>
    <w:rsid w:val="00AC36F9"/>
    <w:rsid w:val="00AC4A6F"/>
    <w:rsid w:val="00AC5095"/>
    <w:rsid w:val="00AC53E7"/>
    <w:rsid w:val="00AC56C8"/>
    <w:rsid w:val="00AC64C4"/>
    <w:rsid w:val="00AC7848"/>
    <w:rsid w:val="00AD1954"/>
    <w:rsid w:val="00AD1DE9"/>
    <w:rsid w:val="00AD1E6D"/>
    <w:rsid w:val="00AD3C4A"/>
    <w:rsid w:val="00AD53D0"/>
    <w:rsid w:val="00AD5522"/>
    <w:rsid w:val="00AD5608"/>
    <w:rsid w:val="00AD672A"/>
    <w:rsid w:val="00AD6AD6"/>
    <w:rsid w:val="00AD6CD0"/>
    <w:rsid w:val="00AE3050"/>
    <w:rsid w:val="00AE36C8"/>
    <w:rsid w:val="00AE4BD4"/>
    <w:rsid w:val="00AE5176"/>
    <w:rsid w:val="00AE557A"/>
    <w:rsid w:val="00AE70A7"/>
    <w:rsid w:val="00AF05DD"/>
    <w:rsid w:val="00AF0A48"/>
    <w:rsid w:val="00AF1B27"/>
    <w:rsid w:val="00AF28D0"/>
    <w:rsid w:val="00AF3E58"/>
    <w:rsid w:val="00AF4A05"/>
    <w:rsid w:val="00AF4AE1"/>
    <w:rsid w:val="00AF5D0E"/>
    <w:rsid w:val="00AF5D21"/>
    <w:rsid w:val="00AF6B5F"/>
    <w:rsid w:val="00AF7242"/>
    <w:rsid w:val="00B002F6"/>
    <w:rsid w:val="00B025D7"/>
    <w:rsid w:val="00B040F0"/>
    <w:rsid w:val="00B0456A"/>
    <w:rsid w:val="00B05BAC"/>
    <w:rsid w:val="00B05CBF"/>
    <w:rsid w:val="00B06002"/>
    <w:rsid w:val="00B06651"/>
    <w:rsid w:val="00B067CC"/>
    <w:rsid w:val="00B10037"/>
    <w:rsid w:val="00B1003F"/>
    <w:rsid w:val="00B106BF"/>
    <w:rsid w:val="00B11623"/>
    <w:rsid w:val="00B13F48"/>
    <w:rsid w:val="00B150D2"/>
    <w:rsid w:val="00B16AD5"/>
    <w:rsid w:val="00B2005D"/>
    <w:rsid w:val="00B20323"/>
    <w:rsid w:val="00B20829"/>
    <w:rsid w:val="00B21F24"/>
    <w:rsid w:val="00B22117"/>
    <w:rsid w:val="00B23078"/>
    <w:rsid w:val="00B236B2"/>
    <w:rsid w:val="00B24E1A"/>
    <w:rsid w:val="00B2653D"/>
    <w:rsid w:val="00B26752"/>
    <w:rsid w:val="00B27586"/>
    <w:rsid w:val="00B275C8"/>
    <w:rsid w:val="00B31C24"/>
    <w:rsid w:val="00B31D07"/>
    <w:rsid w:val="00B327AE"/>
    <w:rsid w:val="00B33000"/>
    <w:rsid w:val="00B333CB"/>
    <w:rsid w:val="00B3373B"/>
    <w:rsid w:val="00B342BB"/>
    <w:rsid w:val="00B35BF9"/>
    <w:rsid w:val="00B36393"/>
    <w:rsid w:val="00B36D63"/>
    <w:rsid w:val="00B37E62"/>
    <w:rsid w:val="00B41647"/>
    <w:rsid w:val="00B41B9A"/>
    <w:rsid w:val="00B438BA"/>
    <w:rsid w:val="00B43D98"/>
    <w:rsid w:val="00B43DC6"/>
    <w:rsid w:val="00B44681"/>
    <w:rsid w:val="00B448E7"/>
    <w:rsid w:val="00B45B88"/>
    <w:rsid w:val="00B45E5A"/>
    <w:rsid w:val="00B5007B"/>
    <w:rsid w:val="00B52843"/>
    <w:rsid w:val="00B538E6"/>
    <w:rsid w:val="00B55943"/>
    <w:rsid w:val="00B56765"/>
    <w:rsid w:val="00B56777"/>
    <w:rsid w:val="00B56CEC"/>
    <w:rsid w:val="00B57B49"/>
    <w:rsid w:val="00B61A03"/>
    <w:rsid w:val="00B61A81"/>
    <w:rsid w:val="00B623D0"/>
    <w:rsid w:val="00B645B3"/>
    <w:rsid w:val="00B64E38"/>
    <w:rsid w:val="00B64EBB"/>
    <w:rsid w:val="00B65296"/>
    <w:rsid w:val="00B65E84"/>
    <w:rsid w:val="00B668F2"/>
    <w:rsid w:val="00B66BF7"/>
    <w:rsid w:val="00B67A26"/>
    <w:rsid w:val="00B67FBC"/>
    <w:rsid w:val="00B67FDC"/>
    <w:rsid w:val="00B70073"/>
    <w:rsid w:val="00B70D6F"/>
    <w:rsid w:val="00B71F78"/>
    <w:rsid w:val="00B72207"/>
    <w:rsid w:val="00B72A6D"/>
    <w:rsid w:val="00B72D22"/>
    <w:rsid w:val="00B7384A"/>
    <w:rsid w:val="00B74AAB"/>
    <w:rsid w:val="00B75B32"/>
    <w:rsid w:val="00B77A1A"/>
    <w:rsid w:val="00B77CB0"/>
    <w:rsid w:val="00B814E5"/>
    <w:rsid w:val="00B81D9C"/>
    <w:rsid w:val="00B8225C"/>
    <w:rsid w:val="00B82D21"/>
    <w:rsid w:val="00B83239"/>
    <w:rsid w:val="00B83A0C"/>
    <w:rsid w:val="00B8473F"/>
    <w:rsid w:val="00B86D8C"/>
    <w:rsid w:val="00B86E7C"/>
    <w:rsid w:val="00B9036A"/>
    <w:rsid w:val="00B91417"/>
    <w:rsid w:val="00B92229"/>
    <w:rsid w:val="00B93693"/>
    <w:rsid w:val="00B948DC"/>
    <w:rsid w:val="00B95AC0"/>
    <w:rsid w:val="00B966A9"/>
    <w:rsid w:val="00BA1092"/>
    <w:rsid w:val="00BA307A"/>
    <w:rsid w:val="00BA3F3A"/>
    <w:rsid w:val="00BA44CE"/>
    <w:rsid w:val="00BA452D"/>
    <w:rsid w:val="00BA4A1F"/>
    <w:rsid w:val="00BA526A"/>
    <w:rsid w:val="00BA661A"/>
    <w:rsid w:val="00BA7518"/>
    <w:rsid w:val="00BA770E"/>
    <w:rsid w:val="00BA7F40"/>
    <w:rsid w:val="00BB0263"/>
    <w:rsid w:val="00BB0799"/>
    <w:rsid w:val="00BB2660"/>
    <w:rsid w:val="00BB420B"/>
    <w:rsid w:val="00BB437F"/>
    <w:rsid w:val="00BB4E8F"/>
    <w:rsid w:val="00BB4EC3"/>
    <w:rsid w:val="00BB567E"/>
    <w:rsid w:val="00BB5D73"/>
    <w:rsid w:val="00BB5D94"/>
    <w:rsid w:val="00BB69BE"/>
    <w:rsid w:val="00BB7EA3"/>
    <w:rsid w:val="00BC05B5"/>
    <w:rsid w:val="00BC136C"/>
    <w:rsid w:val="00BC2384"/>
    <w:rsid w:val="00BC2ADB"/>
    <w:rsid w:val="00BC2D2F"/>
    <w:rsid w:val="00BC3D1C"/>
    <w:rsid w:val="00BC3DCA"/>
    <w:rsid w:val="00BC3FAB"/>
    <w:rsid w:val="00BC4643"/>
    <w:rsid w:val="00BC4B29"/>
    <w:rsid w:val="00BC4C88"/>
    <w:rsid w:val="00BC586F"/>
    <w:rsid w:val="00BC5C9F"/>
    <w:rsid w:val="00BC639E"/>
    <w:rsid w:val="00BC691E"/>
    <w:rsid w:val="00BC73AB"/>
    <w:rsid w:val="00BC7665"/>
    <w:rsid w:val="00BD059A"/>
    <w:rsid w:val="00BD0F7E"/>
    <w:rsid w:val="00BD1901"/>
    <w:rsid w:val="00BD1923"/>
    <w:rsid w:val="00BD1B72"/>
    <w:rsid w:val="00BD2721"/>
    <w:rsid w:val="00BD2CF1"/>
    <w:rsid w:val="00BD44FA"/>
    <w:rsid w:val="00BD4981"/>
    <w:rsid w:val="00BD5360"/>
    <w:rsid w:val="00BD580E"/>
    <w:rsid w:val="00BD59B7"/>
    <w:rsid w:val="00BD60B6"/>
    <w:rsid w:val="00BD6EE4"/>
    <w:rsid w:val="00BD7326"/>
    <w:rsid w:val="00BE042E"/>
    <w:rsid w:val="00BE1220"/>
    <w:rsid w:val="00BE1C88"/>
    <w:rsid w:val="00BE44B3"/>
    <w:rsid w:val="00BE4EC5"/>
    <w:rsid w:val="00BE5B1E"/>
    <w:rsid w:val="00BE68E5"/>
    <w:rsid w:val="00BE6917"/>
    <w:rsid w:val="00BE7314"/>
    <w:rsid w:val="00BF0392"/>
    <w:rsid w:val="00BF09D2"/>
    <w:rsid w:val="00BF0BB2"/>
    <w:rsid w:val="00BF2FBC"/>
    <w:rsid w:val="00BF4976"/>
    <w:rsid w:val="00BF517F"/>
    <w:rsid w:val="00C005D3"/>
    <w:rsid w:val="00C0129A"/>
    <w:rsid w:val="00C022A3"/>
    <w:rsid w:val="00C023D8"/>
    <w:rsid w:val="00C02512"/>
    <w:rsid w:val="00C02B15"/>
    <w:rsid w:val="00C02BE3"/>
    <w:rsid w:val="00C03489"/>
    <w:rsid w:val="00C03836"/>
    <w:rsid w:val="00C039D0"/>
    <w:rsid w:val="00C0451B"/>
    <w:rsid w:val="00C06E59"/>
    <w:rsid w:val="00C10154"/>
    <w:rsid w:val="00C1029B"/>
    <w:rsid w:val="00C117AE"/>
    <w:rsid w:val="00C117C7"/>
    <w:rsid w:val="00C11A65"/>
    <w:rsid w:val="00C12319"/>
    <w:rsid w:val="00C127E9"/>
    <w:rsid w:val="00C128CC"/>
    <w:rsid w:val="00C13AD3"/>
    <w:rsid w:val="00C13D42"/>
    <w:rsid w:val="00C14C94"/>
    <w:rsid w:val="00C15A52"/>
    <w:rsid w:val="00C15A91"/>
    <w:rsid w:val="00C16894"/>
    <w:rsid w:val="00C205D4"/>
    <w:rsid w:val="00C20D9A"/>
    <w:rsid w:val="00C21669"/>
    <w:rsid w:val="00C21C18"/>
    <w:rsid w:val="00C221E2"/>
    <w:rsid w:val="00C2304B"/>
    <w:rsid w:val="00C234DC"/>
    <w:rsid w:val="00C23BFC"/>
    <w:rsid w:val="00C25150"/>
    <w:rsid w:val="00C26282"/>
    <w:rsid w:val="00C26CFE"/>
    <w:rsid w:val="00C26D1D"/>
    <w:rsid w:val="00C27E6E"/>
    <w:rsid w:val="00C30593"/>
    <w:rsid w:val="00C3147E"/>
    <w:rsid w:val="00C3228D"/>
    <w:rsid w:val="00C332B2"/>
    <w:rsid w:val="00C336BB"/>
    <w:rsid w:val="00C339F0"/>
    <w:rsid w:val="00C33B8F"/>
    <w:rsid w:val="00C346DB"/>
    <w:rsid w:val="00C34A02"/>
    <w:rsid w:val="00C351BF"/>
    <w:rsid w:val="00C3532D"/>
    <w:rsid w:val="00C358DB"/>
    <w:rsid w:val="00C35A3D"/>
    <w:rsid w:val="00C366F6"/>
    <w:rsid w:val="00C36D03"/>
    <w:rsid w:val="00C36EA6"/>
    <w:rsid w:val="00C36F68"/>
    <w:rsid w:val="00C37001"/>
    <w:rsid w:val="00C373A0"/>
    <w:rsid w:val="00C37D80"/>
    <w:rsid w:val="00C4147F"/>
    <w:rsid w:val="00C433E6"/>
    <w:rsid w:val="00C44CD1"/>
    <w:rsid w:val="00C44DE2"/>
    <w:rsid w:val="00C44F64"/>
    <w:rsid w:val="00C45DE8"/>
    <w:rsid w:val="00C46E81"/>
    <w:rsid w:val="00C4737B"/>
    <w:rsid w:val="00C51BFC"/>
    <w:rsid w:val="00C520CE"/>
    <w:rsid w:val="00C52395"/>
    <w:rsid w:val="00C53143"/>
    <w:rsid w:val="00C537E8"/>
    <w:rsid w:val="00C538FE"/>
    <w:rsid w:val="00C54A36"/>
    <w:rsid w:val="00C54B0C"/>
    <w:rsid w:val="00C54BA6"/>
    <w:rsid w:val="00C55396"/>
    <w:rsid w:val="00C55C46"/>
    <w:rsid w:val="00C55CEA"/>
    <w:rsid w:val="00C55F99"/>
    <w:rsid w:val="00C56FAC"/>
    <w:rsid w:val="00C5742B"/>
    <w:rsid w:val="00C57446"/>
    <w:rsid w:val="00C576D7"/>
    <w:rsid w:val="00C602DC"/>
    <w:rsid w:val="00C60D76"/>
    <w:rsid w:val="00C61045"/>
    <w:rsid w:val="00C6171C"/>
    <w:rsid w:val="00C62CB7"/>
    <w:rsid w:val="00C63A94"/>
    <w:rsid w:val="00C64880"/>
    <w:rsid w:val="00C64F1B"/>
    <w:rsid w:val="00C657AA"/>
    <w:rsid w:val="00C658A0"/>
    <w:rsid w:val="00C65DA7"/>
    <w:rsid w:val="00C6645F"/>
    <w:rsid w:val="00C673D6"/>
    <w:rsid w:val="00C67A62"/>
    <w:rsid w:val="00C67A85"/>
    <w:rsid w:val="00C67D20"/>
    <w:rsid w:val="00C716B7"/>
    <w:rsid w:val="00C716FE"/>
    <w:rsid w:val="00C73526"/>
    <w:rsid w:val="00C75D1A"/>
    <w:rsid w:val="00C76028"/>
    <w:rsid w:val="00C77B34"/>
    <w:rsid w:val="00C77E11"/>
    <w:rsid w:val="00C77E5C"/>
    <w:rsid w:val="00C809C0"/>
    <w:rsid w:val="00C81F96"/>
    <w:rsid w:val="00C829F8"/>
    <w:rsid w:val="00C82C90"/>
    <w:rsid w:val="00C84119"/>
    <w:rsid w:val="00C8669A"/>
    <w:rsid w:val="00C86D9B"/>
    <w:rsid w:val="00C87610"/>
    <w:rsid w:val="00C87669"/>
    <w:rsid w:val="00C87F5D"/>
    <w:rsid w:val="00C90019"/>
    <w:rsid w:val="00C9046E"/>
    <w:rsid w:val="00C93945"/>
    <w:rsid w:val="00C94383"/>
    <w:rsid w:val="00C96863"/>
    <w:rsid w:val="00C971AF"/>
    <w:rsid w:val="00CA0418"/>
    <w:rsid w:val="00CA0531"/>
    <w:rsid w:val="00CA06F6"/>
    <w:rsid w:val="00CA0795"/>
    <w:rsid w:val="00CA0DA0"/>
    <w:rsid w:val="00CB1735"/>
    <w:rsid w:val="00CB1CA2"/>
    <w:rsid w:val="00CB1CCE"/>
    <w:rsid w:val="00CB50A3"/>
    <w:rsid w:val="00CB614C"/>
    <w:rsid w:val="00CB7AFF"/>
    <w:rsid w:val="00CB7FD3"/>
    <w:rsid w:val="00CC045B"/>
    <w:rsid w:val="00CC04F2"/>
    <w:rsid w:val="00CC1A24"/>
    <w:rsid w:val="00CC3054"/>
    <w:rsid w:val="00CC46F1"/>
    <w:rsid w:val="00CC50CB"/>
    <w:rsid w:val="00CC550B"/>
    <w:rsid w:val="00CC5D99"/>
    <w:rsid w:val="00CC6589"/>
    <w:rsid w:val="00CC687C"/>
    <w:rsid w:val="00CC6B7D"/>
    <w:rsid w:val="00CC7372"/>
    <w:rsid w:val="00CC7974"/>
    <w:rsid w:val="00CD08E4"/>
    <w:rsid w:val="00CD09CE"/>
    <w:rsid w:val="00CD1814"/>
    <w:rsid w:val="00CD1999"/>
    <w:rsid w:val="00CD1AFF"/>
    <w:rsid w:val="00CD1F2C"/>
    <w:rsid w:val="00CD2F9A"/>
    <w:rsid w:val="00CD3514"/>
    <w:rsid w:val="00CD3602"/>
    <w:rsid w:val="00CD3B96"/>
    <w:rsid w:val="00CD4566"/>
    <w:rsid w:val="00CD4C95"/>
    <w:rsid w:val="00CD4DC2"/>
    <w:rsid w:val="00CD5A28"/>
    <w:rsid w:val="00CD692D"/>
    <w:rsid w:val="00CD6A19"/>
    <w:rsid w:val="00CD7AC0"/>
    <w:rsid w:val="00CD7F2E"/>
    <w:rsid w:val="00CE0CDD"/>
    <w:rsid w:val="00CE0E0F"/>
    <w:rsid w:val="00CE21D2"/>
    <w:rsid w:val="00CE2C71"/>
    <w:rsid w:val="00CE3A2E"/>
    <w:rsid w:val="00CE4031"/>
    <w:rsid w:val="00CE530F"/>
    <w:rsid w:val="00CE630B"/>
    <w:rsid w:val="00CE641A"/>
    <w:rsid w:val="00CE66CD"/>
    <w:rsid w:val="00CE6E44"/>
    <w:rsid w:val="00CE7F71"/>
    <w:rsid w:val="00CF02AE"/>
    <w:rsid w:val="00CF189D"/>
    <w:rsid w:val="00CF27C0"/>
    <w:rsid w:val="00CF2972"/>
    <w:rsid w:val="00CF38A8"/>
    <w:rsid w:val="00CF3D73"/>
    <w:rsid w:val="00CF432C"/>
    <w:rsid w:val="00CF451F"/>
    <w:rsid w:val="00CF5B41"/>
    <w:rsid w:val="00CF62BE"/>
    <w:rsid w:val="00CF648C"/>
    <w:rsid w:val="00CF6656"/>
    <w:rsid w:val="00CF683D"/>
    <w:rsid w:val="00CF6940"/>
    <w:rsid w:val="00CF75E8"/>
    <w:rsid w:val="00CF76AC"/>
    <w:rsid w:val="00D00EB8"/>
    <w:rsid w:val="00D01263"/>
    <w:rsid w:val="00D013B6"/>
    <w:rsid w:val="00D0238C"/>
    <w:rsid w:val="00D0252D"/>
    <w:rsid w:val="00D025BC"/>
    <w:rsid w:val="00D02B22"/>
    <w:rsid w:val="00D03B48"/>
    <w:rsid w:val="00D0506B"/>
    <w:rsid w:val="00D05247"/>
    <w:rsid w:val="00D060E2"/>
    <w:rsid w:val="00D0719C"/>
    <w:rsid w:val="00D07544"/>
    <w:rsid w:val="00D07D84"/>
    <w:rsid w:val="00D07E3A"/>
    <w:rsid w:val="00D07FD2"/>
    <w:rsid w:val="00D10568"/>
    <w:rsid w:val="00D10918"/>
    <w:rsid w:val="00D10B4A"/>
    <w:rsid w:val="00D110F3"/>
    <w:rsid w:val="00D12011"/>
    <w:rsid w:val="00D12327"/>
    <w:rsid w:val="00D129DA"/>
    <w:rsid w:val="00D12A94"/>
    <w:rsid w:val="00D1303D"/>
    <w:rsid w:val="00D132AC"/>
    <w:rsid w:val="00D140FF"/>
    <w:rsid w:val="00D14335"/>
    <w:rsid w:val="00D15DA1"/>
    <w:rsid w:val="00D168E3"/>
    <w:rsid w:val="00D16CC7"/>
    <w:rsid w:val="00D207BA"/>
    <w:rsid w:val="00D21C36"/>
    <w:rsid w:val="00D224D1"/>
    <w:rsid w:val="00D225BC"/>
    <w:rsid w:val="00D22BB7"/>
    <w:rsid w:val="00D23370"/>
    <w:rsid w:val="00D23C31"/>
    <w:rsid w:val="00D24AC8"/>
    <w:rsid w:val="00D264DE"/>
    <w:rsid w:val="00D26D22"/>
    <w:rsid w:val="00D30FDF"/>
    <w:rsid w:val="00D3150A"/>
    <w:rsid w:val="00D31B2A"/>
    <w:rsid w:val="00D320B2"/>
    <w:rsid w:val="00D3212D"/>
    <w:rsid w:val="00D321AD"/>
    <w:rsid w:val="00D32A31"/>
    <w:rsid w:val="00D32A95"/>
    <w:rsid w:val="00D34521"/>
    <w:rsid w:val="00D3476E"/>
    <w:rsid w:val="00D3522D"/>
    <w:rsid w:val="00D35859"/>
    <w:rsid w:val="00D362BA"/>
    <w:rsid w:val="00D369CD"/>
    <w:rsid w:val="00D36BBA"/>
    <w:rsid w:val="00D40146"/>
    <w:rsid w:val="00D404E8"/>
    <w:rsid w:val="00D40D32"/>
    <w:rsid w:val="00D41814"/>
    <w:rsid w:val="00D41C04"/>
    <w:rsid w:val="00D43CEA"/>
    <w:rsid w:val="00D45210"/>
    <w:rsid w:val="00D46281"/>
    <w:rsid w:val="00D46C4E"/>
    <w:rsid w:val="00D47B0B"/>
    <w:rsid w:val="00D50C1C"/>
    <w:rsid w:val="00D50D74"/>
    <w:rsid w:val="00D52B01"/>
    <w:rsid w:val="00D53DA4"/>
    <w:rsid w:val="00D54CC7"/>
    <w:rsid w:val="00D5684E"/>
    <w:rsid w:val="00D56F31"/>
    <w:rsid w:val="00D602C6"/>
    <w:rsid w:val="00D60532"/>
    <w:rsid w:val="00D60C71"/>
    <w:rsid w:val="00D61344"/>
    <w:rsid w:val="00D62C34"/>
    <w:rsid w:val="00D62F7A"/>
    <w:rsid w:val="00D63655"/>
    <w:rsid w:val="00D656C0"/>
    <w:rsid w:val="00D65BD4"/>
    <w:rsid w:val="00D665AF"/>
    <w:rsid w:val="00D67583"/>
    <w:rsid w:val="00D700E8"/>
    <w:rsid w:val="00D710B6"/>
    <w:rsid w:val="00D711B9"/>
    <w:rsid w:val="00D715F1"/>
    <w:rsid w:val="00D717C1"/>
    <w:rsid w:val="00D71A3B"/>
    <w:rsid w:val="00D71B9C"/>
    <w:rsid w:val="00D727AA"/>
    <w:rsid w:val="00D733A6"/>
    <w:rsid w:val="00D73A9E"/>
    <w:rsid w:val="00D74307"/>
    <w:rsid w:val="00D751A4"/>
    <w:rsid w:val="00D75FA2"/>
    <w:rsid w:val="00D76BD9"/>
    <w:rsid w:val="00D77040"/>
    <w:rsid w:val="00D77294"/>
    <w:rsid w:val="00D77B12"/>
    <w:rsid w:val="00D80D76"/>
    <w:rsid w:val="00D81F28"/>
    <w:rsid w:val="00D82A8E"/>
    <w:rsid w:val="00D831F9"/>
    <w:rsid w:val="00D86F5A"/>
    <w:rsid w:val="00D8705A"/>
    <w:rsid w:val="00D87491"/>
    <w:rsid w:val="00D90C13"/>
    <w:rsid w:val="00D90DFC"/>
    <w:rsid w:val="00D9152B"/>
    <w:rsid w:val="00D922B6"/>
    <w:rsid w:val="00D92FD0"/>
    <w:rsid w:val="00D933FB"/>
    <w:rsid w:val="00D93D47"/>
    <w:rsid w:val="00D94D72"/>
    <w:rsid w:val="00D95F41"/>
    <w:rsid w:val="00D9600A"/>
    <w:rsid w:val="00D9625D"/>
    <w:rsid w:val="00DA01AA"/>
    <w:rsid w:val="00DA18DF"/>
    <w:rsid w:val="00DA2BF7"/>
    <w:rsid w:val="00DA39C0"/>
    <w:rsid w:val="00DA6250"/>
    <w:rsid w:val="00DA7502"/>
    <w:rsid w:val="00DA7784"/>
    <w:rsid w:val="00DA7AAC"/>
    <w:rsid w:val="00DB16CC"/>
    <w:rsid w:val="00DB1F26"/>
    <w:rsid w:val="00DB237C"/>
    <w:rsid w:val="00DB3887"/>
    <w:rsid w:val="00DB4208"/>
    <w:rsid w:val="00DB47EA"/>
    <w:rsid w:val="00DB4DC5"/>
    <w:rsid w:val="00DB513C"/>
    <w:rsid w:val="00DB591F"/>
    <w:rsid w:val="00DB5AC6"/>
    <w:rsid w:val="00DB63B9"/>
    <w:rsid w:val="00DB6505"/>
    <w:rsid w:val="00DB72C2"/>
    <w:rsid w:val="00DB76F0"/>
    <w:rsid w:val="00DC013C"/>
    <w:rsid w:val="00DC0496"/>
    <w:rsid w:val="00DC0ADA"/>
    <w:rsid w:val="00DC28F1"/>
    <w:rsid w:val="00DC35E0"/>
    <w:rsid w:val="00DC5BE3"/>
    <w:rsid w:val="00DD13D1"/>
    <w:rsid w:val="00DD1408"/>
    <w:rsid w:val="00DD19C3"/>
    <w:rsid w:val="00DD23D5"/>
    <w:rsid w:val="00DD2BEE"/>
    <w:rsid w:val="00DD2EEC"/>
    <w:rsid w:val="00DD46E5"/>
    <w:rsid w:val="00DD4818"/>
    <w:rsid w:val="00DD592E"/>
    <w:rsid w:val="00DD6E5B"/>
    <w:rsid w:val="00DE245C"/>
    <w:rsid w:val="00DE2CF4"/>
    <w:rsid w:val="00DE3926"/>
    <w:rsid w:val="00DE42E7"/>
    <w:rsid w:val="00DE42F3"/>
    <w:rsid w:val="00DE43D4"/>
    <w:rsid w:val="00DE46D5"/>
    <w:rsid w:val="00DE5A9B"/>
    <w:rsid w:val="00DE5E29"/>
    <w:rsid w:val="00DE676D"/>
    <w:rsid w:val="00DE7C21"/>
    <w:rsid w:val="00DF065D"/>
    <w:rsid w:val="00DF13FD"/>
    <w:rsid w:val="00DF1899"/>
    <w:rsid w:val="00DF25D6"/>
    <w:rsid w:val="00DF2EAB"/>
    <w:rsid w:val="00DF3530"/>
    <w:rsid w:val="00DF3A8B"/>
    <w:rsid w:val="00DF40BC"/>
    <w:rsid w:val="00DF4637"/>
    <w:rsid w:val="00DF52DF"/>
    <w:rsid w:val="00DF5C58"/>
    <w:rsid w:val="00DF60FA"/>
    <w:rsid w:val="00DF73F5"/>
    <w:rsid w:val="00E00289"/>
    <w:rsid w:val="00E01AE3"/>
    <w:rsid w:val="00E01C8F"/>
    <w:rsid w:val="00E01F32"/>
    <w:rsid w:val="00E02825"/>
    <w:rsid w:val="00E040F9"/>
    <w:rsid w:val="00E0448A"/>
    <w:rsid w:val="00E047C2"/>
    <w:rsid w:val="00E04CF7"/>
    <w:rsid w:val="00E05856"/>
    <w:rsid w:val="00E05FE5"/>
    <w:rsid w:val="00E0606D"/>
    <w:rsid w:val="00E1020B"/>
    <w:rsid w:val="00E10A25"/>
    <w:rsid w:val="00E11B60"/>
    <w:rsid w:val="00E11C14"/>
    <w:rsid w:val="00E12758"/>
    <w:rsid w:val="00E1280E"/>
    <w:rsid w:val="00E1378C"/>
    <w:rsid w:val="00E14D72"/>
    <w:rsid w:val="00E15AB8"/>
    <w:rsid w:val="00E16C9F"/>
    <w:rsid w:val="00E175AF"/>
    <w:rsid w:val="00E20371"/>
    <w:rsid w:val="00E2040B"/>
    <w:rsid w:val="00E20B5F"/>
    <w:rsid w:val="00E20E86"/>
    <w:rsid w:val="00E21447"/>
    <w:rsid w:val="00E2201E"/>
    <w:rsid w:val="00E238E4"/>
    <w:rsid w:val="00E24588"/>
    <w:rsid w:val="00E245E3"/>
    <w:rsid w:val="00E2492F"/>
    <w:rsid w:val="00E24B39"/>
    <w:rsid w:val="00E250C4"/>
    <w:rsid w:val="00E259AA"/>
    <w:rsid w:val="00E25D8A"/>
    <w:rsid w:val="00E26527"/>
    <w:rsid w:val="00E30696"/>
    <w:rsid w:val="00E30741"/>
    <w:rsid w:val="00E30F0E"/>
    <w:rsid w:val="00E313EA"/>
    <w:rsid w:val="00E32249"/>
    <w:rsid w:val="00E3228C"/>
    <w:rsid w:val="00E3258B"/>
    <w:rsid w:val="00E327AF"/>
    <w:rsid w:val="00E33D80"/>
    <w:rsid w:val="00E33DA5"/>
    <w:rsid w:val="00E34895"/>
    <w:rsid w:val="00E354C6"/>
    <w:rsid w:val="00E358E8"/>
    <w:rsid w:val="00E35A55"/>
    <w:rsid w:val="00E36B45"/>
    <w:rsid w:val="00E36CC0"/>
    <w:rsid w:val="00E370E1"/>
    <w:rsid w:val="00E37D69"/>
    <w:rsid w:val="00E40402"/>
    <w:rsid w:val="00E40DAD"/>
    <w:rsid w:val="00E41315"/>
    <w:rsid w:val="00E418AF"/>
    <w:rsid w:val="00E433D4"/>
    <w:rsid w:val="00E44139"/>
    <w:rsid w:val="00E453A7"/>
    <w:rsid w:val="00E45885"/>
    <w:rsid w:val="00E45F56"/>
    <w:rsid w:val="00E46699"/>
    <w:rsid w:val="00E47EB2"/>
    <w:rsid w:val="00E504F1"/>
    <w:rsid w:val="00E50CCD"/>
    <w:rsid w:val="00E53326"/>
    <w:rsid w:val="00E53348"/>
    <w:rsid w:val="00E54043"/>
    <w:rsid w:val="00E558D2"/>
    <w:rsid w:val="00E55FF9"/>
    <w:rsid w:val="00E57568"/>
    <w:rsid w:val="00E60ECC"/>
    <w:rsid w:val="00E61077"/>
    <w:rsid w:val="00E61363"/>
    <w:rsid w:val="00E62D5B"/>
    <w:rsid w:val="00E633C9"/>
    <w:rsid w:val="00E633FA"/>
    <w:rsid w:val="00E63695"/>
    <w:rsid w:val="00E63AE1"/>
    <w:rsid w:val="00E63F90"/>
    <w:rsid w:val="00E64386"/>
    <w:rsid w:val="00E64BEA"/>
    <w:rsid w:val="00E66342"/>
    <w:rsid w:val="00E66876"/>
    <w:rsid w:val="00E678E0"/>
    <w:rsid w:val="00E67FF2"/>
    <w:rsid w:val="00E70E9E"/>
    <w:rsid w:val="00E71070"/>
    <w:rsid w:val="00E71170"/>
    <w:rsid w:val="00E71C57"/>
    <w:rsid w:val="00E728A2"/>
    <w:rsid w:val="00E72B6E"/>
    <w:rsid w:val="00E73768"/>
    <w:rsid w:val="00E73FA3"/>
    <w:rsid w:val="00E744E6"/>
    <w:rsid w:val="00E7488D"/>
    <w:rsid w:val="00E751A5"/>
    <w:rsid w:val="00E75CDD"/>
    <w:rsid w:val="00E80287"/>
    <w:rsid w:val="00E8066B"/>
    <w:rsid w:val="00E81292"/>
    <w:rsid w:val="00E8441D"/>
    <w:rsid w:val="00E84C0C"/>
    <w:rsid w:val="00E84F69"/>
    <w:rsid w:val="00E850AE"/>
    <w:rsid w:val="00E85417"/>
    <w:rsid w:val="00E86AE4"/>
    <w:rsid w:val="00E86BA5"/>
    <w:rsid w:val="00E86DD3"/>
    <w:rsid w:val="00E870DE"/>
    <w:rsid w:val="00E8765A"/>
    <w:rsid w:val="00E87B89"/>
    <w:rsid w:val="00E87BBF"/>
    <w:rsid w:val="00E87CF8"/>
    <w:rsid w:val="00E90846"/>
    <w:rsid w:val="00E914A4"/>
    <w:rsid w:val="00E91AFB"/>
    <w:rsid w:val="00E9236F"/>
    <w:rsid w:val="00E92708"/>
    <w:rsid w:val="00E92D4D"/>
    <w:rsid w:val="00E93200"/>
    <w:rsid w:val="00E941D5"/>
    <w:rsid w:val="00E94B66"/>
    <w:rsid w:val="00E95927"/>
    <w:rsid w:val="00E95AC8"/>
    <w:rsid w:val="00E95E89"/>
    <w:rsid w:val="00E960AE"/>
    <w:rsid w:val="00EA03DA"/>
    <w:rsid w:val="00EA07EB"/>
    <w:rsid w:val="00EA0C30"/>
    <w:rsid w:val="00EA1E8C"/>
    <w:rsid w:val="00EA1EE9"/>
    <w:rsid w:val="00EA29B7"/>
    <w:rsid w:val="00EA3104"/>
    <w:rsid w:val="00EA327A"/>
    <w:rsid w:val="00EA3BDC"/>
    <w:rsid w:val="00EA3CCA"/>
    <w:rsid w:val="00EA4773"/>
    <w:rsid w:val="00EA4837"/>
    <w:rsid w:val="00EA55E0"/>
    <w:rsid w:val="00EA6937"/>
    <w:rsid w:val="00EA6EED"/>
    <w:rsid w:val="00EB097F"/>
    <w:rsid w:val="00EB2643"/>
    <w:rsid w:val="00EB344F"/>
    <w:rsid w:val="00EB3737"/>
    <w:rsid w:val="00EB4420"/>
    <w:rsid w:val="00EB4914"/>
    <w:rsid w:val="00EB4BB3"/>
    <w:rsid w:val="00EB529F"/>
    <w:rsid w:val="00EB5AD6"/>
    <w:rsid w:val="00EB5FBE"/>
    <w:rsid w:val="00EB7229"/>
    <w:rsid w:val="00EB7D38"/>
    <w:rsid w:val="00EC0223"/>
    <w:rsid w:val="00EC15C7"/>
    <w:rsid w:val="00EC49B8"/>
    <w:rsid w:val="00EC57DE"/>
    <w:rsid w:val="00EC5872"/>
    <w:rsid w:val="00ED1744"/>
    <w:rsid w:val="00ED2609"/>
    <w:rsid w:val="00ED2AD2"/>
    <w:rsid w:val="00ED357E"/>
    <w:rsid w:val="00ED434A"/>
    <w:rsid w:val="00ED4EC9"/>
    <w:rsid w:val="00ED55FF"/>
    <w:rsid w:val="00ED5A10"/>
    <w:rsid w:val="00ED5D6C"/>
    <w:rsid w:val="00ED5FC5"/>
    <w:rsid w:val="00ED6576"/>
    <w:rsid w:val="00ED6C1D"/>
    <w:rsid w:val="00ED6E0E"/>
    <w:rsid w:val="00ED71C2"/>
    <w:rsid w:val="00EE0BAE"/>
    <w:rsid w:val="00EE0FDE"/>
    <w:rsid w:val="00EE159C"/>
    <w:rsid w:val="00EE2F30"/>
    <w:rsid w:val="00EE3187"/>
    <w:rsid w:val="00EE3FAF"/>
    <w:rsid w:val="00EE465E"/>
    <w:rsid w:val="00EE59E3"/>
    <w:rsid w:val="00EE6591"/>
    <w:rsid w:val="00EE6AD8"/>
    <w:rsid w:val="00EE709A"/>
    <w:rsid w:val="00EE7339"/>
    <w:rsid w:val="00EE77CB"/>
    <w:rsid w:val="00EE7B4A"/>
    <w:rsid w:val="00EF2271"/>
    <w:rsid w:val="00EF2D5D"/>
    <w:rsid w:val="00EF3003"/>
    <w:rsid w:val="00EF3573"/>
    <w:rsid w:val="00EF3BCF"/>
    <w:rsid w:val="00EF49AE"/>
    <w:rsid w:val="00EF638D"/>
    <w:rsid w:val="00F0008A"/>
    <w:rsid w:val="00F00850"/>
    <w:rsid w:val="00F01358"/>
    <w:rsid w:val="00F014E0"/>
    <w:rsid w:val="00F01897"/>
    <w:rsid w:val="00F01B25"/>
    <w:rsid w:val="00F02094"/>
    <w:rsid w:val="00F032D0"/>
    <w:rsid w:val="00F042F4"/>
    <w:rsid w:val="00F04502"/>
    <w:rsid w:val="00F047F2"/>
    <w:rsid w:val="00F05A18"/>
    <w:rsid w:val="00F06248"/>
    <w:rsid w:val="00F06C28"/>
    <w:rsid w:val="00F07055"/>
    <w:rsid w:val="00F101B0"/>
    <w:rsid w:val="00F11334"/>
    <w:rsid w:val="00F11827"/>
    <w:rsid w:val="00F1289D"/>
    <w:rsid w:val="00F13001"/>
    <w:rsid w:val="00F13CAE"/>
    <w:rsid w:val="00F14DB5"/>
    <w:rsid w:val="00F14F1F"/>
    <w:rsid w:val="00F154C6"/>
    <w:rsid w:val="00F158B3"/>
    <w:rsid w:val="00F15BA1"/>
    <w:rsid w:val="00F15D70"/>
    <w:rsid w:val="00F16485"/>
    <w:rsid w:val="00F167D7"/>
    <w:rsid w:val="00F1706C"/>
    <w:rsid w:val="00F1739E"/>
    <w:rsid w:val="00F17790"/>
    <w:rsid w:val="00F178EC"/>
    <w:rsid w:val="00F17BC1"/>
    <w:rsid w:val="00F20B70"/>
    <w:rsid w:val="00F20F6C"/>
    <w:rsid w:val="00F2345D"/>
    <w:rsid w:val="00F23626"/>
    <w:rsid w:val="00F240A1"/>
    <w:rsid w:val="00F24ADB"/>
    <w:rsid w:val="00F25183"/>
    <w:rsid w:val="00F25C3A"/>
    <w:rsid w:val="00F26207"/>
    <w:rsid w:val="00F272DD"/>
    <w:rsid w:val="00F27D73"/>
    <w:rsid w:val="00F32087"/>
    <w:rsid w:val="00F32524"/>
    <w:rsid w:val="00F33040"/>
    <w:rsid w:val="00F3325A"/>
    <w:rsid w:val="00F33345"/>
    <w:rsid w:val="00F33E8D"/>
    <w:rsid w:val="00F3502A"/>
    <w:rsid w:val="00F37D45"/>
    <w:rsid w:val="00F40608"/>
    <w:rsid w:val="00F40622"/>
    <w:rsid w:val="00F42AF0"/>
    <w:rsid w:val="00F438AE"/>
    <w:rsid w:val="00F43D92"/>
    <w:rsid w:val="00F44901"/>
    <w:rsid w:val="00F456EA"/>
    <w:rsid w:val="00F45784"/>
    <w:rsid w:val="00F46041"/>
    <w:rsid w:val="00F464D9"/>
    <w:rsid w:val="00F469F6"/>
    <w:rsid w:val="00F47338"/>
    <w:rsid w:val="00F50625"/>
    <w:rsid w:val="00F52631"/>
    <w:rsid w:val="00F5304C"/>
    <w:rsid w:val="00F5331D"/>
    <w:rsid w:val="00F540A5"/>
    <w:rsid w:val="00F54189"/>
    <w:rsid w:val="00F54D35"/>
    <w:rsid w:val="00F557B5"/>
    <w:rsid w:val="00F56779"/>
    <w:rsid w:val="00F56C6B"/>
    <w:rsid w:val="00F606FF"/>
    <w:rsid w:val="00F607F5"/>
    <w:rsid w:val="00F611AD"/>
    <w:rsid w:val="00F62177"/>
    <w:rsid w:val="00F62323"/>
    <w:rsid w:val="00F62A4A"/>
    <w:rsid w:val="00F65302"/>
    <w:rsid w:val="00F65E95"/>
    <w:rsid w:val="00F6681C"/>
    <w:rsid w:val="00F668E9"/>
    <w:rsid w:val="00F678CC"/>
    <w:rsid w:val="00F7100E"/>
    <w:rsid w:val="00F715F6"/>
    <w:rsid w:val="00F71A21"/>
    <w:rsid w:val="00F7228A"/>
    <w:rsid w:val="00F74268"/>
    <w:rsid w:val="00F7697C"/>
    <w:rsid w:val="00F77057"/>
    <w:rsid w:val="00F77168"/>
    <w:rsid w:val="00F80084"/>
    <w:rsid w:val="00F812E4"/>
    <w:rsid w:val="00F81366"/>
    <w:rsid w:val="00F8175C"/>
    <w:rsid w:val="00F81A64"/>
    <w:rsid w:val="00F82C9D"/>
    <w:rsid w:val="00F833E3"/>
    <w:rsid w:val="00F837AD"/>
    <w:rsid w:val="00F8472B"/>
    <w:rsid w:val="00F85498"/>
    <w:rsid w:val="00F857E3"/>
    <w:rsid w:val="00F85D32"/>
    <w:rsid w:val="00F864B7"/>
    <w:rsid w:val="00F9231D"/>
    <w:rsid w:val="00F92661"/>
    <w:rsid w:val="00F93124"/>
    <w:rsid w:val="00F94376"/>
    <w:rsid w:val="00F9562B"/>
    <w:rsid w:val="00F95DB1"/>
    <w:rsid w:val="00F97438"/>
    <w:rsid w:val="00F976AC"/>
    <w:rsid w:val="00FA0057"/>
    <w:rsid w:val="00FA0381"/>
    <w:rsid w:val="00FA09F7"/>
    <w:rsid w:val="00FA23BF"/>
    <w:rsid w:val="00FA34E4"/>
    <w:rsid w:val="00FA352D"/>
    <w:rsid w:val="00FA3797"/>
    <w:rsid w:val="00FA37B5"/>
    <w:rsid w:val="00FA44DF"/>
    <w:rsid w:val="00FA49F3"/>
    <w:rsid w:val="00FA6009"/>
    <w:rsid w:val="00FA6458"/>
    <w:rsid w:val="00FA7242"/>
    <w:rsid w:val="00FA73E8"/>
    <w:rsid w:val="00FA7761"/>
    <w:rsid w:val="00FA7D67"/>
    <w:rsid w:val="00FB0586"/>
    <w:rsid w:val="00FB0ADE"/>
    <w:rsid w:val="00FB0B3F"/>
    <w:rsid w:val="00FB152D"/>
    <w:rsid w:val="00FB1791"/>
    <w:rsid w:val="00FB2B13"/>
    <w:rsid w:val="00FB2D4A"/>
    <w:rsid w:val="00FB2F4B"/>
    <w:rsid w:val="00FB3787"/>
    <w:rsid w:val="00FB3803"/>
    <w:rsid w:val="00FB38C0"/>
    <w:rsid w:val="00FB39EE"/>
    <w:rsid w:val="00FB4422"/>
    <w:rsid w:val="00FB4689"/>
    <w:rsid w:val="00FB4AD3"/>
    <w:rsid w:val="00FB5ABB"/>
    <w:rsid w:val="00FB6251"/>
    <w:rsid w:val="00FB63DB"/>
    <w:rsid w:val="00FC179F"/>
    <w:rsid w:val="00FC1B83"/>
    <w:rsid w:val="00FC1FA5"/>
    <w:rsid w:val="00FC22A5"/>
    <w:rsid w:val="00FC2551"/>
    <w:rsid w:val="00FC3615"/>
    <w:rsid w:val="00FC399D"/>
    <w:rsid w:val="00FC467B"/>
    <w:rsid w:val="00FC5539"/>
    <w:rsid w:val="00FC6649"/>
    <w:rsid w:val="00FD1599"/>
    <w:rsid w:val="00FD3703"/>
    <w:rsid w:val="00FD4697"/>
    <w:rsid w:val="00FD5930"/>
    <w:rsid w:val="00FD7063"/>
    <w:rsid w:val="00FD74CA"/>
    <w:rsid w:val="00FE0779"/>
    <w:rsid w:val="00FE1330"/>
    <w:rsid w:val="00FE2137"/>
    <w:rsid w:val="00FE330E"/>
    <w:rsid w:val="00FE377C"/>
    <w:rsid w:val="00FE3BEC"/>
    <w:rsid w:val="00FE3D45"/>
    <w:rsid w:val="00FE4A15"/>
    <w:rsid w:val="00FE7741"/>
    <w:rsid w:val="00FF0A24"/>
    <w:rsid w:val="00FF14C7"/>
    <w:rsid w:val="00FF1682"/>
    <w:rsid w:val="00FF180B"/>
    <w:rsid w:val="00FF3AF3"/>
    <w:rsid w:val="00FF3C4C"/>
    <w:rsid w:val="00FF4463"/>
    <w:rsid w:val="00FF49D8"/>
    <w:rsid w:val="00FF4A53"/>
    <w:rsid w:val="00FF5A8F"/>
    <w:rsid w:val="00FF60DD"/>
    <w:rsid w:val="00FF6484"/>
    <w:rsid w:val="00FF758D"/>
    <w:rsid w:val="00FF76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DCCD18"/>
  <w15:chartTrackingRefBased/>
  <w15:docId w15:val="{C9D7F589-BC4C-534C-A4F9-E16F56E4F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49CC"/>
    <w:pPr>
      <w:spacing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94B66"/>
    <w:pPr>
      <w:keepNext/>
      <w:keepLines/>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D6E5B"/>
    <w:pPr>
      <w:keepNext/>
      <w:keepLines/>
      <w:spacing w:before="40"/>
      <w:outlineLvl w:val="1"/>
    </w:pPr>
    <w:rPr>
      <w:rFonts w:asciiTheme="majorHAnsi" w:hAnsiTheme="majorHAnsi"/>
    </w:rPr>
  </w:style>
  <w:style w:type="paragraph" w:styleId="Heading3">
    <w:name w:val="heading 3"/>
    <w:basedOn w:val="Normal"/>
    <w:next w:val="Normal"/>
    <w:link w:val="Heading3Char"/>
    <w:uiPriority w:val="9"/>
    <w:unhideWhenUsed/>
    <w:qFormat/>
    <w:rsid w:val="00AC53E7"/>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AC53E7"/>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8F00D9"/>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4B6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D6E5B"/>
    <w:rPr>
      <w:rFonts w:asciiTheme="majorHAnsi" w:hAnsiTheme="majorHAnsi"/>
    </w:rPr>
  </w:style>
  <w:style w:type="character" w:customStyle="1" w:styleId="Heading3Char">
    <w:name w:val="Heading 3 Char"/>
    <w:basedOn w:val="DefaultParagraphFont"/>
    <w:link w:val="Heading3"/>
    <w:uiPriority w:val="9"/>
    <w:rsid w:val="00AC53E7"/>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AC53E7"/>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8F00D9"/>
    <w:rPr>
      <w:rFonts w:asciiTheme="majorHAnsi" w:eastAsiaTheme="majorEastAsia" w:hAnsiTheme="majorHAnsi" w:cstheme="majorBidi"/>
      <w:color w:val="2E74B5" w:themeColor="accent1" w:themeShade="BF"/>
    </w:rPr>
  </w:style>
  <w:style w:type="paragraph" w:styleId="TOC1">
    <w:name w:val="toc 1"/>
    <w:basedOn w:val="FootnoteText"/>
    <w:next w:val="Normal"/>
    <w:autoRedefine/>
    <w:uiPriority w:val="39"/>
    <w:unhideWhenUsed/>
    <w:qFormat/>
    <w:rsid w:val="00FF6484"/>
    <w:pPr>
      <w:spacing w:before="120"/>
    </w:pPr>
    <w:rPr>
      <w:rFonts w:asciiTheme="minorHAnsi" w:hAnsiTheme="minorHAnsi" w:cstheme="minorHAnsi"/>
      <w:b/>
      <w:bCs/>
      <w:i/>
      <w:iCs/>
      <w:sz w:val="24"/>
      <w:szCs w:val="24"/>
    </w:rPr>
  </w:style>
  <w:style w:type="paragraph" w:styleId="FootnoteText">
    <w:name w:val="footnote text"/>
    <w:basedOn w:val="Normal"/>
    <w:link w:val="FootnoteTextChar"/>
    <w:uiPriority w:val="99"/>
    <w:unhideWhenUsed/>
    <w:rsid w:val="00FF6484"/>
    <w:rPr>
      <w:sz w:val="20"/>
      <w:szCs w:val="20"/>
    </w:rPr>
  </w:style>
  <w:style w:type="character" w:customStyle="1" w:styleId="FootnoteTextChar">
    <w:name w:val="Footnote Text Char"/>
    <w:basedOn w:val="DefaultParagraphFont"/>
    <w:link w:val="FootnoteText"/>
    <w:uiPriority w:val="99"/>
    <w:rsid w:val="00FF6484"/>
    <w:rPr>
      <w:sz w:val="20"/>
      <w:szCs w:val="20"/>
    </w:rPr>
  </w:style>
  <w:style w:type="character" w:styleId="FootnoteReference">
    <w:name w:val="footnote reference"/>
    <w:basedOn w:val="FootnoteTextChar"/>
    <w:uiPriority w:val="99"/>
    <w:unhideWhenUsed/>
    <w:rsid w:val="00FF6484"/>
    <w:rPr>
      <w:rFonts w:ascii="Times" w:hAnsi="Times"/>
      <w:sz w:val="20"/>
      <w:szCs w:val="20"/>
      <w:vertAlign w:val="superscript"/>
    </w:rPr>
  </w:style>
  <w:style w:type="paragraph" w:styleId="ListParagraph">
    <w:name w:val="List Paragraph"/>
    <w:basedOn w:val="Normal"/>
    <w:link w:val="ListParagraphChar"/>
    <w:uiPriority w:val="34"/>
    <w:qFormat/>
    <w:rsid w:val="002C76FD"/>
    <w:pPr>
      <w:ind w:left="720"/>
      <w:contextualSpacing/>
    </w:pPr>
  </w:style>
  <w:style w:type="character" w:customStyle="1" w:styleId="ListParagraphChar">
    <w:name w:val="List Paragraph Char"/>
    <w:basedOn w:val="DefaultParagraphFont"/>
    <w:link w:val="ListParagraph"/>
    <w:uiPriority w:val="34"/>
    <w:rsid w:val="00AC7848"/>
  </w:style>
  <w:style w:type="table" w:styleId="TableGrid">
    <w:name w:val="Table Grid"/>
    <w:basedOn w:val="TableNormal"/>
    <w:uiPriority w:val="39"/>
    <w:rsid w:val="002C76F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2C76FD"/>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9D7BFB"/>
    <w:pPr>
      <w:outlineLvl w:val="9"/>
    </w:pPr>
    <w:rPr>
      <w:lang w:val="en-US"/>
    </w:rPr>
  </w:style>
  <w:style w:type="paragraph" w:styleId="Header">
    <w:name w:val="header"/>
    <w:basedOn w:val="Normal"/>
    <w:link w:val="HeaderChar"/>
    <w:uiPriority w:val="99"/>
    <w:unhideWhenUsed/>
    <w:rsid w:val="009D7BFB"/>
    <w:pPr>
      <w:tabs>
        <w:tab w:val="center" w:pos="4513"/>
        <w:tab w:val="right" w:pos="9026"/>
      </w:tabs>
    </w:pPr>
  </w:style>
  <w:style w:type="character" w:customStyle="1" w:styleId="HeaderChar">
    <w:name w:val="Header Char"/>
    <w:basedOn w:val="DefaultParagraphFont"/>
    <w:link w:val="Header"/>
    <w:uiPriority w:val="99"/>
    <w:rsid w:val="009D7BFB"/>
  </w:style>
  <w:style w:type="paragraph" w:styleId="Footer">
    <w:name w:val="footer"/>
    <w:basedOn w:val="Normal"/>
    <w:link w:val="FooterChar"/>
    <w:uiPriority w:val="99"/>
    <w:unhideWhenUsed/>
    <w:rsid w:val="009D7BFB"/>
    <w:pPr>
      <w:tabs>
        <w:tab w:val="center" w:pos="4513"/>
        <w:tab w:val="right" w:pos="9026"/>
      </w:tabs>
    </w:pPr>
  </w:style>
  <w:style w:type="character" w:customStyle="1" w:styleId="FooterChar">
    <w:name w:val="Footer Char"/>
    <w:basedOn w:val="DefaultParagraphFont"/>
    <w:link w:val="Footer"/>
    <w:uiPriority w:val="99"/>
    <w:rsid w:val="009D7BFB"/>
  </w:style>
  <w:style w:type="character" w:styleId="CommentReference">
    <w:name w:val="annotation reference"/>
    <w:basedOn w:val="DefaultParagraphFont"/>
    <w:uiPriority w:val="99"/>
    <w:semiHidden/>
    <w:unhideWhenUsed/>
    <w:rsid w:val="00BD580E"/>
    <w:rPr>
      <w:sz w:val="18"/>
      <w:szCs w:val="18"/>
    </w:rPr>
  </w:style>
  <w:style w:type="paragraph" w:styleId="CommentText">
    <w:name w:val="annotation text"/>
    <w:basedOn w:val="Normal"/>
    <w:link w:val="CommentTextChar"/>
    <w:uiPriority w:val="99"/>
    <w:semiHidden/>
    <w:unhideWhenUsed/>
    <w:rsid w:val="00BD580E"/>
    <w:rPr>
      <w:lang w:val="en-US"/>
    </w:rPr>
  </w:style>
  <w:style w:type="character" w:customStyle="1" w:styleId="CommentTextChar">
    <w:name w:val="Comment Text Char"/>
    <w:basedOn w:val="DefaultParagraphFont"/>
    <w:link w:val="CommentText"/>
    <w:uiPriority w:val="99"/>
    <w:semiHidden/>
    <w:rsid w:val="00BD580E"/>
    <w:rPr>
      <w:sz w:val="24"/>
      <w:szCs w:val="24"/>
      <w:lang w:val="en-US"/>
    </w:rPr>
  </w:style>
  <w:style w:type="character" w:customStyle="1" w:styleId="CommentSubjectChar">
    <w:name w:val="Comment Subject Char"/>
    <w:basedOn w:val="CommentTextChar"/>
    <w:link w:val="CommentSubject"/>
    <w:uiPriority w:val="99"/>
    <w:semiHidden/>
    <w:rsid w:val="00BD580E"/>
    <w:rPr>
      <w:b/>
      <w:bCs/>
      <w:sz w:val="20"/>
      <w:szCs w:val="20"/>
      <w:lang w:val="en-US"/>
    </w:rPr>
  </w:style>
  <w:style w:type="paragraph" w:styleId="CommentSubject">
    <w:name w:val="annotation subject"/>
    <w:basedOn w:val="CommentText"/>
    <w:next w:val="CommentText"/>
    <w:link w:val="CommentSubjectChar"/>
    <w:uiPriority w:val="99"/>
    <w:semiHidden/>
    <w:unhideWhenUsed/>
    <w:rsid w:val="00BD580E"/>
    <w:rPr>
      <w:b/>
      <w:bCs/>
      <w:sz w:val="20"/>
      <w:szCs w:val="20"/>
    </w:rPr>
  </w:style>
  <w:style w:type="paragraph" w:styleId="BalloonText">
    <w:name w:val="Balloon Text"/>
    <w:basedOn w:val="Normal"/>
    <w:link w:val="BalloonTextChar"/>
    <w:uiPriority w:val="99"/>
    <w:semiHidden/>
    <w:unhideWhenUsed/>
    <w:rsid w:val="00BD580E"/>
    <w:rPr>
      <w:sz w:val="18"/>
      <w:szCs w:val="18"/>
      <w:lang w:val="en-US"/>
    </w:rPr>
  </w:style>
  <w:style w:type="character" w:customStyle="1" w:styleId="BalloonTextChar">
    <w:name w:val="Balloon Text Char"/>
    <w:basedOn w:val="DefaultParagraphFont"/>
    <w:link w:val="BalloonText"/>
    <w:uiPriority w:val="99"/>
    <w:semiHidden/>
    <w:rsid w:val="00BD580E"/>
    <w:rPr>
      <w:rFonts w:ascii="Times New Roman" w:hAnsi="Times New Roman" w:cs="Times New Roman"/>
      <w:sz w:val="18"/>
      <w:szCs w:val="18"/>
      <w:lang w:val="en-US"/>
    </w:rPr>
  </w:style>
  <w:style w:type="character" w:styleId="Hyperlink">
    <w:name w:val="Hyperlink"/>
    <w:basedOn w:val="DefaultParagraphFont"/>
    <w:uiPriority w:val="99"/>
    <w:unhideWhenUsed/>
    <w:rsid w:val="00AC53E7"/>
    <w:rPr>
      <w:color w:val="0563C1" w:themeColor="hyperlink"/>
      <w:u w:val="single"/>
    </w:rPr>
  </w:style>
  <w:style w:type="character" w:customStyle="1" w:styleId="gsct1">
    <w:name w:val="gs_ct1"/>
    <w:basedOn w:val="DefaultParagraphFont"/>
    <w:rsid w:val="00AC53E7"/>
  </w:style>
  <w:style w:type="character" w:customStyle="1" w:styleId="gsctg2">
    <w:name w:val="gs_ctg2"/>
    <w:basedOn w:val="DefaultParagraphFont"/>
    <w:rsid w:val="00AC53E7"/>
  </w:style>
  <w:style w:type="paragraph" w:styleId="NormalWeb">
    <w:name w:val="Normal (Web)"/>
    <w:basedOn w:val="Normal"/>
    <w:uiPriority w:val="99"/>
    <w:semiHidden/>
    <w:unhideWhenUsed/>
    <w:rsid w:val="00AC53E7"/>
    <w:pPr>
      <w:spacing w:before="100" w:beforeAutospacing="1" w:after="100" w:afterAutospacing="1"/>
    </w:pPr>
    <w:rPr>
      <w:lang w:eastAsia="en-GB"/>
    </w:rPr>
  </w:style>
  <w:style w:type="paragraph" w:styleId="Quote">
    <w:name w:val="Quote"/>
    <w:basedOn w:val="Normal"/>
    <w:next w:val="Normal"/>
    <w:link w:val="QuoteChar"/>
    <w:uiPriority w:val="29"/>
    <w:qFormat/>
    <w:rsid w:val="00487208"/>
    <w:pPr>
      <w:ind w:left="864" w:right="864"/>
      <w:jc w:val="both"/>
    </w:pPr>
    <w:rPr>
      <w:rFonts w:ascii="Calibri" w:hAnsi="Calibri"/>
      <w:iCs/>
      <w:color w:val="404040" w:themeColor="text1" w:themeTint="BF"/>
      <w:lang w:val="fr-CH"/>
    </w:rPr>
  </w:style>
  <w:style w:type="character" w:customStyle="1" w:styleId="QuoteChar">
    <w:name w:val="Quote Char"/>
    <w:basedOn w:val="DefaultParagraphFont"/>
    <w:link w:val="Quote"/>
    <w:uiPriority w:val="29"/>
    <w:rsid w:val="00487208"/>
    <w:rPr>
      <w:rFonts w:ascii="Calibri" w:hAnsi="Calibri" w:cs="Times New Roman"/>
      <w:iCs/>
      <w:color w:val="404040" w:themeColor="text1" w:themeTint="BF"/>
      <w:lang w:val="fr-CH"/>
    </w:rPr>
  </w:style>
  <w:style w:type="paragraph" w:styleId="TOC2">
    <w:name w:val="toc 2"/>
    <w:basedOn w:val="Normal"/>
    <w:next w:val="Normal"/>
    <w:autoRedefine/>
    <w:uiPriority w:val="39"/>
    <w:unhideWhenUsed/>
    <w:rsid w:val="00B56777"/>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8E37E1"/>
    <w:pPr>
      <w:ind w:left="480"/>
    </w:pPr>
    <w:rPr>
      <w:rFonts w:asciiTheme="minorHAnsi" w:hAnsiTheme="minorHAnsi" w:cstheme="minorHAnsi"/>
      <w:sz w:val="20"/>
      <w:szCs w:val="20"/>
    </w:rPr>
  </w:style>
  <w:style w:type="paragraph" w:styleId="TOC4">
    <w:name w:val="toc 4"/>
    <w:basedOn w:val="Normal"/>
    <w:next w:val="Normal"/>
    <w:autoRedefine/>
    <w:uiPriority w:val="39"/>
    <w:unhideWhenUsed/>
    <w:rsid w:val="00464F7C"/>
    <w:pPr>
      <w:ind w:left="720"/>
    </w:pPr>
    <w:rPr>
      <w:rFonts w:asciiTheme="minorHAnsi" w:hAnsiTheme="minorHAnsi" w:cstheme="minorHAnsi"/>
      <w:sz w:val="20"/>
      <w:szCs w:val="20"/>
    </w:rPr>
  </w:style>
  <w:style w:type="paragraph" w:styleId="TOC5">
    <w:name w:val="toc 5"/>
    <w:basedOn w:val="Normal"/>
    <w:next w:val="Normal"/>
    <w:autoRedefine/>
    <w:uiPriority w:val="39"/>
    <w:unhideWhenUsed/>
    <w:rsid w:val="00464F7C"/>
    <w:pPr>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464F7C"/>
    <w:pPr>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464F7C"/>
    <w:pPr>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464F7C"/>
    <w:pPr>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464F7C"/>
    <w:pPr>
      <w:ind w:left="1920"/>
    </w:pPr>
    <w:rPr>
      <w:rFonts w:asciiTheme="minorHAnsi" w:hAnsiTheme="minorHAnsi" w:cstheme="minorHAnsi"/>
      <w:sz w:val="20"/>
      <w:szCs w:val="20"/>
    </w:rPr>
  </w:style>
  <w:style w:type="table" w:styleId="GridTable5Dark-Accent1">
    <w:name w:val="Grid Table 5 Dark Accent 1"/>
    <w:basedOn w:val="TableNormal"/>
    <w:uiPriority w:val="50"/>
    <w:rsid w:val="005B17AD"/>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7Colorful">
    <w:name w:val="Grid Table 7 Colorful"/>
    <w:basedOn w:val="TableNormal"/>
    <w:uiPriority w:val="52"/>
    <w:rsid w:val="004B2A49"/>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IntenseQuote">
    <w:name w:val="Intense Quote"/>
    <w:basedOn w:val="Normal"/>
    <w:next w:val="Normal"/>
    <w:link w:val="IntenseQuoteChar"/>
    <w:uiPriority w:val="30"/>
    <w:qFormat/>
    <w:rsid w:val="00ED55FF"/>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D55FF"/>
    <w:rPr>
      <w:i/>
      <w:iCs/>
      <w:color w:val="5B9BD5" w:themeColor="accent1"/>
    </w:rPr>
  </w:style>
  <w:style w:type="character" w:styleId="SubtleReference">
    <w:name w:val="Subtle Reference"/>
    <w:basedOn w:val="DefaultParagraphFont"/>
    <w:uiPriority w:val="31"/>
    <w:qFormat/>
    <w:rsid w:val="00ED55FF"/>
    <w:rPr>
      <w:smallCaps/>
      <w:color w:val="5A5A5A" w:themeColor="text1" w:themeTint="A5"/>
    </w:rPr>
  </w:style>
  <w:style w:type="character" w:styleId="IntenseReference">
    <w:name w:val="Intense Reference"/>
    <w:basedOn w:val="DefaultParagraphFont"/>
    <w:uiPriority w:val="32"/>
    <w:qFormat/>
    <w:rsid w:val="00ED55FF"/>
    <w:rPr>
      <w:b/>
      <w:bCs/>
      <w:smallCaps/>
      <w:color w:val="5B9BD5" w:themeColor="accent1"/>
      <w:spacing w:val="5"/>
    </w:rPr>
  </w:style>
  <w:style w:type="table" w:styleId="GridTable3-Accent3">
    <w:name w:val="Grid Table 3 Accent 3"/>
    <w:basedOn w:val="TableNormal"/>
    <w:uiPriority w:val="48"/>
    <w:rsid w:val="009B2D92"/>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3">
    <w:name w:val="Grid Table 7 Colorful Accent 3"/>
    <w:basedOn w:val="TableNormal"/>
    <w:uiPriority w:val="52"/>
    <w:rsid w:val="009B2D92"/>
    <w:pPr>
      <w:spacing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ListTable7Colorful">
    <w:name w:val="List Table 7 Colorful"/>
    <w:basedOn w:val="TableNormal"/>
    <w:uiPriority w:val="52"/>
    <w:rsid w:val="009B2D92"/>
    <w:pPr>
      <w:spacing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2A4836"/>
    <w:pPr>
      <w:spacing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talic">
    <w:name w:val="italic"/>
    <w:basedOn w:val="DefaultParagraphFont"/>
    <w:rsid w:val="000A5433"/>
  </w:style>
  <w:style w:type="table" w:styleId="PlainTable3">
    <w:name w:val="Plain Table 3"/>
    <w:basedOn w:val="TableNormal"/>
    <w:uiPriority w:val="43"/>
    <w:rsid w:val="00E633FA"/>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2-Accent3">
    <w:name w:val="Grid Table 2 Accent 3"/>
    <w:basedOn w:val="TableNormal"/>
    <w:uiPriority w:val="47"/>
    <w:rsid w:val="00E633FA"/>
    <w:pPr>
      <w:spacing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titlepart">
    <w:name w:val="titlepart"/>
    <w:basedOn w:val="DefaultParagraphFont"/>
    <w:rsid w:val="000F05B6"/>
  </w:style>
  <w:style w:type="character" w:customStyle="1" w:styleId="availabilityicon">
    <w:name w:val="availabilityicon"/>
    <w:basedOn w:val="DefaultParagraphFont"/>
    <w:rsid w:val="000F05B6"/>
  </w:style>
  <w:style w:type="table" w:styleId="GridTable3-Accent1">
    <w:name w:val="Grid Table 3 Accent 1"/>
    <w:basedOn w:val="TableNormal"/>
    <w:uiPriority w:val="48"/>
    <w:rsid w:val="00CE6E44"/>
    <w:pPr>
      <w:spacing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4-Accent1">
    <w:name w:val="Grid Table 4 Accent 1"/>
    <w:basedOn w:val="TableNormal"/>
    <w:uiPriority w:val="49"/>
    <w:rsid w:val="00CE6E44"/>
    <w:pPr>
      <w:spacing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
    <w:name w:val="Grid Table 4"/>
    <w:basedOn w:val="TableNormal"/>
    <w:uiPriority w:val="49"/>
    <w:rsid w:val="00CE6E44"/>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2">
    <w:name w:val="Grid Table 1 Light Accent 2"/>
    <w:basedOn w:val="TableNormal"/>
    <w:uiPriority w:val="46"/>
    <w:rsid w:val="00AC7848"/>
    <w:pPr>
      <w:spacing w:line="240" w:lineRule="auto"/>
    </w:pPr>
    <w:rPr>
      <w:sz w:val="24"/>
      <w:szCs w:val="24"/>
      <w:lang w:val="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C7848"/>
    <w:pPr>
      <w:spacing w:line="240" w:lineRule="auto"/>
    </w:pPr>
    <w:rPr>
      <w:sz w:val="24"/>
      <w:szCs w:val="24"/>
      <w:lang w:val="en-US"/>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2-Accent5">
    <w:name w:val="Grid Table 2 Accent 5"/>
    <w:basedOn w:val="TableNormal"/>
    <w:uiPriority w:val="47"/>
    <w:rsid w:val="00AC7848"/>
    <w:pPr>
      <w:spacing w:line="240" w:lineRule="auto"/>
    </w:pPr>
    <w:rPr>
      <w:sz w:val="24"/>
      <w:szCs w:val="24"/>
      <w:lang w:val="en-US"/>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7Colorful-Accent5">
    <w:name w:val="Grid Table 7 Colorful Accent 5"/>
    <w:basedOn w:val="TableNormal"/>
    <w:uiPriority w:val="52"/>
    <w:rsid w:val="00AC7848"/>
    <w:pPr>
      <w:spacing w:line="240" w:lineRule="auto"/>
    </w:pPr>
    <w:rPr>
      <w:color w:val="2F5496" w:themeColor="accent5" w:themeShade="BF"/>
      <w:sz w:val="24"/>
      <w:szCs w:val="24"/>
      <w:lang w:val="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7Colorful-Accent1">
    <w:name w:val="Grid Table 7 Colorful Accent 1"/>
    <w:basedOn w:val="TableNormal"/>
    <w:uiPriority w:val="52"/>
    <w:rsid w:val="00AC7848"/>
    <w:pPr>
      <w:spacing w:line="240" w:lineRule="auto"/>
    </w:pPr>
    <w:rPr>
      <w:color w:val="2E74B5" w:themeColor="accent1" w:themeShade="BF"/>
      <w:sz w:val="24"/>
      <w:szCs w:val="24"/>
      <w:lang w:val="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ListTable7Colorful-Accent4">
    <w:name w:val="List Table 7 Colorful Accent 4"/>
    <w:basedOn w:val="TableNormal"/>
    <w:uiPriority w:val="52"/>
    <w:rsid w:val="00AC7848"/>
    <w:pPr>
      <w:spacing w:line="240" w:lineRule="auto"/>
    </w:pPr>
    <w:rPr>
      <w:color w:val="BF8F00" w:themeColor="accent4" w:themeShade="BF"/>
      <w:sz w:val="24"/>
      <w:szCs w:val="24"/>
      <w:lang w:val="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4-Accent4">
    <w:name w:val="List Table 4 Accent 4"/>
    <w:basedOn w:val="TableNormal"/>
    <w:uiPriority w:val="49"/>
    <w:rsid w:val="00AC7848"/>
    <w:pPr>
      <w:spacing w:line="240" w:lineRule="auto"/>
    </w:pPr>
    <w:rPr>
      <w:sz w:val="24"/>
      <w:szCs w:val="24"/>
      <w:lang w:val="en-US"/>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EndnoteText">
    <w:name w:val="endnote text"/>
    <w:basedOn w:val="Normal"/>
    <w:link w:val="EndnoteTextChar"/>
    <w:uiPriority w:val="99"/>
    <w:unhideWhenUsed/>
    <w:rsid w:val="00AC7848"/>
    <w:rPr>
      <w:lang w:val="en-US"/>
    </w:rPr>
  </w:style>
  <w:style w:type="character" w:customStyle="1" w:styleId="EndnoteTextChar">
    <w:name w:val="Endnote Text Char"/>
    <w:basedOn w:val="DefaultParagraphFont"/>
    <w:link w:val="EndnoteText"/>
    <w:uiPriority w:val="99"/>
    <w:rsid w:val="00AC7848"/>
    <w:rPr>
      <w:sz w:val="24"/>
      <w:szCs w:val="24"/>
      <w:lang w:val="en-US"/>
    </w:rPr>
  </w:style>
  <w:style w:type="character" w:styleId="EndnoteReference">
    <w:name w:val="endnote reference"/>
    <w:basedOn w:val="DefaultParagraphFont"/>
    <w:uiPriority w:val="99"/>
    <w:unhideWhenUsed/>
    <w:rsid w:val="00AC7848"/>
    <w:rPr>
      <w:vertAlign w:val="superscript"/>
    </w:rPr>
  </w:style>
  <w:style w:type="table" w:styleId="GridTable2-Accent4">
    <w:name w:val="Grid Table 2 Accent 4"/>
    <w:basedOn w:val="TableNormal"/>
    <w:uiPriority w:val="47"/>
    <w:rsid w:val="00AC7848"/>
    <w:pPr>
      <w:spacing w:line="240" w:lineRule="auto"/>
    </w:pPr>
    <w:rPr>
      <w:sz w:val="24"/>
      <w:szCs w:val="24"/>
      <w:lang w:val="en-US"/>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4">
    <w:name w:val="Grid Table 5 Dark Accent 4"/>
    <w:basedOn w:val="TableNormal"/>
    <w:uiPriority w:val="50"/>
    <w:rsid w:val="00AC7848"/>
    <w:pPr>
      <w:spacing w:line="240" w:lineRule="auto"/>
    </w:pPr>
    <w:rPr>
      <w:sz w:val="24"/>
      <w:szCs w:val="24"/>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1Light-Accent4">
    <w:name w:val="Grid Table 1 Light Accent 4"/>
    <w:basedOn w:val="TableNormal"/>
    <w:uiPriority w:val="46"/>
    <w:rsid w:val="00AC7848"/>
    <w:pPr>
      <w:spacing w:line="240" w:lineRule="auto"/>
    </w:pPr>
    <w:rPr>
      <w:sz w:val="24"/>
      <w:szCs w:val="24"/>
      <w:lang w:val="en-US"/>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3-Accent4">
    <w:name w:val="Grid Table 3 Accent 4"/>
    <w:basedOn w:val="TableNormal"/>
    <w:uiPriority w:val="48"/>
    <w:rsid w:val="00AC7848"/>
    <w:pPr>
      <w:spacing w:line="240" w:lineRule="auto"/>
    </w:pPr>
    <w:rPr>
      <w:sz w:val="24"/>
      <w:szCs w:val="24"/>
      <w:lang w:val="en-US"/>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4-Accent4">
    <w:name w:val="Grid Table 4 Accent 4"/>
    <w:basedOn w:val="TableNormal"/>
    <w:uiPriority w:val="49"/>
    <w:rsid w:val="00AC7848"/>
    <w:pPr>
      <w:spacing w:line="240" w:lineRule="auto"/>
    </w:pPr>
    <w:rPr>
      <w:sz w:val="24"/>
      <w:szCs w:val="24"/>
      <w:lang w:val="en-US"/>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PageNumber">
    <w:name w:val="page number"/>
    <w:basedOn w:val="DefaultParagraphFont"/>
    <w:uiPriority w:val="99"/>
    <w:semiHidden/>
    <w:unhideWhenUsed/>
    <w:rsid w:val="00AC7848"/>
  </w:style>
  <w:style w:type="character" w:styleId="PlaceholderText">
    <w:name w:val="Placeholder Text"/>
    <w:basedOn w:val="DefaultParagraphFont"/>
    <w:uiPriority w:val="99"/>
    <w:semiHidden/>
    <w:rsid w:val="00AC7848"/>
    <w:rPr>
      <w:color w:val="808080"/>
    </w:rPr>
  </w:style>
  <w:style w:type="table" w:styleId="GridTable5Dark-Accent3">
    <w:name w:val="Grid Table 5 Dark Accent 3"/>
    <w:basedOn w:val="TableNormal"/>
    <w:uiPriority w:val="50"/>
    <w:rsid w:val="00AC7848"/>
    <w:pPr>
      <w:spacing w:line="240" w:lineRule="auto"/>
    </w:pPr>
    <w:rPr>
      <w:sz w:val="24"/>
      <w:szCs w:val="24"/>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ListTable2">
    <w:name w:val="List Table 2"/>
    <w:basedOn w:val="TableNormal"/>
    <w:uiPriority w:val="47"/>
    <w:rsid w:val="00AC7848"/>
    <w:pPr>
      <w:spacing w:line="240" w:lineRule="auto"/>
    </w:pPr>
    <w:rPr>
      <w:sz w:val="24"/>
      <w:szCs w:val="24"/>
      <w:lang w:val="en-US"/>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AC7848"/>
    <w:pPr>
      <w:spacing w:line="240" w:lineRule="auto"/>
    </w:pPr>
    <w:rPr>
      <w:sz w:val="24"/>
      <w:szCs w:val="24"/>
      <w:lang w:val="en-US"/>
    </w:r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1">
    <w:name w:val="List Table 4 Accent 1"/>
    <w:basedOn w:val="TableNormal"/>
    <w:uiPriority w:val="49"/>
    <w:rsid w:val="00AC7848"/>
    <w:pPr>
      <w:spacing w:line="240" w:lineRule="auto"/>
    </w:pPr>
    <w:rPr>
      <w:sz w:val="24"/>
      <w:szCs w:val="24"/>
      <w:lang w:val="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7Colorful-Accent5">
    <w:name w:val="List Table 7 Colorful Accent 5"/>
    <w:basedOn w:val="TableNormal"/>
    <w:uiPriority w:val="52"/>
    <w:rsid w:val="00AC7848"/>
    <w:pPr>
      <w:spacing w:line="240" w:lineRule="auto"/>
    </w:pPr>
    <w:rPr>
      <w:color w:val="2F5496" w:themeColor="accent5" w:themeShade="BF"/>
      <w:sz w:val="24"/>
      <w:szCs w:val="24"/>
      <w:lang w:val="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
    <w:name w:val="List Table 6 Colorful"/>
    <w:basedOn w:val="TableNormal"/>
    <w:uiPriority w:val="51"/>
    <w:rsid w:val="00AC7848"/>
    <w:pPr>
      <w:spacing w:line="240" w:lineRule="auto"/>
    </w:pPr>
    <w:rPr>
      <w:color w:val="000000" w:themeColor="text1"/>
      <w:sz w:val="24"/>
      <w:szCs w:val="24"/>
      <w:lang w:val="en-US"/>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5Dark">
    <w:name w:val="List Table 5 Dark"/>
    <w:basedOn w:val="TableNormal"/>
    <w:uiPriority w:val="50"/>
    <w:rsid w:val="00AC7848"/>
    <w:pPr>
      <w:spacing w:line="240" w:lineRule="auto"/>
    </w:pPr>
    <w:rPr>
      <w:color w:val="FFFFFF" w:themeColor="background1"/>
      <w:sz w:val="24"/>
      <w:szCs w:val="24"/>
      <w:lang w:val="en-US"/>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Accent1">
    <w:name w:val="List Table 6 Colorful Accent 1"/>
    <w:basedOn w:val="TableNormal"/>
    <w:uiPriority w:val="51"/>
    <w:rsid w:val="00AC7848"/>
    <w:pPr>
      <w:spacing w:line="240" w:lineRule="auto"/>
    </w:pPr>
    <w:rPr>
      <w:color w:val="2E74B5" w:themeColor="accent1" w:themeShade="BF"/>
      <w:sz w:val="24"/>
      <w:szCs w:val="24"/>
      <w:lang w:val="en-US"/>
    </w:rPr>
    <w:tblPr>
      <w:tblStyleRowBandSize w:val="1"/>
      <w:tblStyleColBandSize w:val="1"/>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3">
    <w:name w:val="List Table 6 Colorful Accent 3"/>
    <w:basedOn w:val="TableNormal"/>
    <w:uiPriority w:val="51"/>
    <w:rsid w:val="00AC7848"/>
    <w:pPr>
      <w:spacing w:line="240" w:lineRule="auto"/>
    </w:pPr>
    <w:rPr>
      <w:color w:val="7B7B7B" w:themeColor="accent3" w:themeShade="BF"/>
      <w:sz w:val="24"/>
      <w:szCs w:val="24"/>
      <w:lang w:val="en-US"/>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3-Accent3">
    <w:name w:val="List Table 3 Accent 3"/>
    <w:basedOn w:val="TableNormal"/>
    <w:uiPriority w:val="48"/>
    <w:rsid w:val="00AC7848"/>
    <w:pPr>
      <w:spacing w:line="240" w:lineRule="auto"/>
    </w:pPr>
    <w:rPr>
      <w:sz w:val="24"/>
      <w:szCs w:val="24"/>
      <w:lang w:val="en-US"/>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5">
    <w:name w:val="List Table 3 Accent 5"/>
    <w:basedOn w:val="TableNormal"/>
    <w:uiPriority w:val="48"/>
    <w:rsid w:val="00AC7848"/>
    <w:pPr>
      <w:spacing w:line="240" w:lineRule="auto"/>
    </w:pPr>
    <w:rPr>
      <w:sz w:val="24"/>
      <w:szCs w:val="24"/>
      <w:lang w:val="en-US"/>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GridTable6Colorful-Accent5">
    <w:name w:val="Grid Table 6 Colorful Accent 5"/>
    <w:basedOn w:val="TableNormal"/>
    <w:uiPriority w:val="51"/>
    <w:rsid w:val="00AC7848"/>
    <w:pPr>
      <w:spacing w:line="240" w:lineRule="auto"/>
    </w:pPr>
    <w:rPr>
      <w:color w:val="2F5496" w:themeColor="accent5" w:themeShade="BF"/>
      <w:sz w:val="24"/>
      <w:szCs w:val="24"/>
      <w:lang w:val="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5Dark">
    <w:name w:val="Grid Table 5 Dark"/>
    <w:basedOn w:val="TableNormal"/>
    <w:uiPriority w:val="50"/>
    <w:rsid w:val="00AC7848"/>
    <w:pPr>
      <w:spacing w:line="240" w:lineRule="auto"/>
    </w:pPr>
    <w:rPr>
      <w:sz w:val="24"/>
      <w:szCs w:val="24"/>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7Colorful-Accent1">
    <w:name w:val="List Table 7 Colorful Accent 1"/>
    <w:basedOn w:val="TableNormal"/>
    <w:uiPriority w:val="52"/>
    <w:rsid w:val="00AC7848"/>
    <w:pPr>
      <w:spacing w:line="240" w:lineRule="auto"/>
    </w:pPr>
    <w:rPr>
      <w:color w:val="2E74B5" w:themeColor="accent1" w:themeShade="BF"/>
      <w:sz w:val="24"/>
      <w:szCs w:val="24"/>
      <w:lang w:val="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Accent5">
    <w:name w:val="List Table 6 Colorful Accent 5"/>
    <w:basedOn w:val="TableNormal"/>
    <w:uiPriority w:val="51"/>
    <w:rsid w:val="00AC7848"/>
    <w:pPr>
      <w:spacing w:line="240" w:lineRule="auto"/>
    </w:pPr>
    <w:rPr>
      <w:color w:val="2F5496" w:themeColor="accent5" w:themeShade="BF"/>
      <w:sz w:val="24"/>
      <w:szCs w:val="24"/>
      <w:lang w:val="en-US"/>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4">
    <w:name w:val="List Table 4"/>
    <w:basedOn w:val="TableNormal"/>
    <w:uiPriority w:val="49"/>
    <w:rsid w:val="00AC7848"/>
    <w:pPr>
      <w:spacing w:line="240" w:lineRule="auto"/>
    </w:pPr>
    <w:rPr>
      <w:sz w:val="24"/>
      <w:szCs w:val="24"/>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5">
    <w:name w:val="Grid Table 4 Accent 5"/>
    <w:basedOn w:val="TableNormal"/>
    <w:uiPriority w:val="49"/>
    <w:rsid w:val="00AC7848"/>
    <w:pPr>
      <w:spacing w:line="240" w:lineRule="auto"/>
    </w:pPr>
    <w:rPr>
      <w:sz w:val="24"/>
      <w:szCs w:val="24"/>
      <w:lang w:val="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itle-text">
    <w:name w:val="title-text"/>
    <w:basedOn w:val="DefaultParagraphFont"/>
    <w:rsid w:val="00AC7848"/>
  </w:style>
  <w:style w:type="character" w:styleId="Emphasis">
    <w:name w:val="Emphasis"/>
    <w:basedOn w:val="DefaultParagraphFont"/>
    <w:uiPriority w:val="20"/>
    <w:qFormat/>
    <w:rsid w:val="00AC7848"/>
    <w:rPr>
      <w:i/>
      <w:iCs/>
    </w:rPr>
  </w:style>
  <w:style w:type="character" w:customStyle="1" w:styleId="sr-only">
    <w:name w:val="sr-only"/>
    <w:basedOn w:val="DefaultParagraphFont"/>
    <w:rsid w:val="00AC7848"/>
  </w:style>
  <w:style w:type="character" w:customStyle="1" w:styleId="text">
    <w:name w:val="text"/>
    <w:basedOn w:val="DefaultParagraphFont"/>
    <w:rsid w:val="00AC7848"/>
  </w:style>
  <w:style w:type="table" w:styleId="PlainTable2">
    <w:name w:val="Plain Table 2"/>
    <w:basedOn w:val="TableNormal"/>
    <w:uiPriority w:val="42"/>
    <w:rsid w:val="00AC7848"/>
    <w:pPr>
      <w:spacing w:line="240" w:lineRule="auto"/>
    </w:pPr>
    <w:rPr>
      <w:sz w:val="24"/>
      <w:szCs w:val="24"/>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2-Accent1">
    <w:name w:val="Grid Table 2 Accent 1"/>
    <w:basedOn w:val="TableNormal"/>
    <w:uiPriority w:val="47"/>
    <w:rsid w:val="00AC7848"/>
    <w:pPr>
      <w:spacing w:line="240" w:lineRule="auto"/>
    </w:pPr>
    <w:rPr>
      <w:sz w:val="24"/>
      <w:szCs w:val="24"/>
      <w:lang w:val="en-US"/>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5">
    <w:name w:val="Grid Table 5 Dark Accent 5"/>
    <w:basedOn w:val="TableNormal"/>
    <w:uiPriority w:val="50"/>
    <w:rsid w:val="00AC7848"/>
    <w:pPr>
      <w:spacing w:line="240" w:lineRule="auto"/>
    </w:pPr>
    <w:rPr>
      <w:sz w:val="24"/>
      <w:szCs w:val="24"/>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3">
    <w:name w:val="Grid Table 3"/>
    <w:basedOn w:val="TableNormal"/>
    <w:uiPriority w:val="48"/>
    <w:rsid w:val="00AC7848"/>
    <w:pPr>
      <w:spacing w:line="240" w:lineRule="auto"/>
    </w:pPr>
    <w:rPr>
      <w:sz w:val="24"/>
      <w:szCs w:val="24"/>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AC7848"/>
    <w:pPr>
      <w:spacing w:line="240" w:lineRule="auto"/>
    </w:pPr>
    <w:rPr>
      <w:sz w:val="24"/>
      <w:szCs w:val="24"/>
      <w:lang w:val="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TMLCite">
    <w:name w:val="HTML Cite"/>
    <w:basedOn w:val="DefaultParagraphFont"/>
    <w:uiPriority w:val="99"/>
    <w:semiHidden/>
    <w:unhideWhenUsed/>
    <w:rsid w:val="00AC7848"/>
    <w:rPr>
      <w:i/>
      <w:iCs/>
    </w:rPr>
  </w:style>
  <w:style w:type="table" w:styleId="GridTable3-Accent5">
    <w:name w:val="Grid Table 3 Accent 5"/>
    <w:basedOn w:val="TableNormal"/>
    <w:uiPriority w:val="48"/>
    <w:rsid w:val="00AC7848"/>
    <w:pPr>
      <w:spacing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character" w:styleId="Strong">
    <w:name w:val="Strong"/>
    <w:basedOn w:val="DefaultParagraphFont"/>
    <w:uiPriority w:val="22"/>
    <w:qFormat/>
    <w:rsid w:val="00AC7848"/>
    <w:rPr>
      <w:b/>
      <w:bCs/>
    </w:rPr>
  </w:style>
  <w:style w:type="paragraph" w:customStyle="1" w:styleId="Dissertationchapterbody">
    <w:name w:val="Dissertation chapter body"/>
    <w:basedOn w:val="ListParagraph"/>
    <w:link w:val="DissertationchapterbodyChar"/>
    <w:qFormat/>
    <w:rsid w:val="00AC7848"/>
    <w:pPr>
      <w:numPr>
        <w:ilvl w:val="2"/>
        <w:numId w:val="3"/>
      </w:numPr>
      <w:spacing w:after="240"/>
    </w:pPr>
    <w:rPr>
      <w:szCs w:val="20"/>
      <w:lang w:val="en-US"/>
    </w:rPr>
  </w:style>
  <w:style w:type="character" w:customStyle="1" w:styleId="DissertationchapterbodyChar">
    <w:name w:val="Dissertation chapter body Char"/>
    <w:basedOn w:val="ListParagraphChar"/>
    <w:link w:val="Dissertationchapterbody"/>
    <w:rsid w:val="00AC7848"/>
    <w:rPr>
      <w:rFonts w:ascii="Times New Roman" w:eastAsia="Times New Roman" w:hAnsi="Times New Roman" w:cs="Times New Roman"/>
      <w:sz w:val="24"/>
      <w:szCs w:val="20"/>
      <w:lang w:val="en-US"/>
    </w:rPr>
  </w:style>
  <w:style w:type="paragraph" w:customStyle="1" w:styleId="Dissertationbody">
    <w:name w:val="Dissertation body"/>
    <w:basedOn w:val="Dissertationchapterbody"/>
    <w:link w:val="DissertationbodyChar"/>
    <w:qFormat/>
    <w:rsid w:val="00AC7848"/>
  </w:style>
  <w:style w:type="character" w:customStyle="1" w:styleId="DissertationbodyChar">
    <w:name w:val="Dissertation body Char"/>
    <w:basedOn w:val="DefaultParagraphFont"/>
    <w:link w:val="Dissertationbody"/>
    <w:rsid w:val="00AC7848"/>
    <w:rPr>
      <w:rFonts w:ascii="Times New Roman" w:eastAsia="Times New Roman" w:hAnsi="Times New Roman" w:cs="Times New Roman"/>
      <w:sz w:val="24"/>
      <w:szCs w:val="20"/>
      <w:lang w:val="en-US"/>
    </w:rPr>
  </w:style>
  <w:style w:type="paragraph" w:customStyle="1" w:styleId="Footnotes">
    <w:name w:val="Footnotes"/>
    <w:basedOn w:val="FootnoteText"/>
    <w:link w:val="FootnotesChar"/>
    <w:autoRedefine/>
    <w:qFormat/>
    <w:rsid w:val="00DD4818"/>
    <w:rPr>
      <w:lang w:val="en-US"/>
    </w:rPr>
  </w:style>
  <w:style w:type="character" w:customStyle="1" w:styleId="FootnotesChar">
    <w:name w:val="Footnotes Char"/>
    <w:basedOn w:val="FootnoteTextChar"/>
    <w:link w:val="Footnotes"/>
    <w:rsid w:val="00DD4818"/>
    <w:rPr>
      <w:rFonts w:ascii="Times New Roman" w:eastAsia="Times New Roman" w:hAnsi="Times New Roman" w:cs="Times New Roman"/>
      <w:sz w:val="20"/>
      <w:szCs w:val="20"/>
      <w:lang w:val="en-US"/>
    </w:rPr>
  </w:style>
  <w:style w:type="table" w:styleId="PlainTable5">
    <w:name w:val="Plain Table 5"/>
    <w:basedOn w:val="TableNormal"/>
    <w:uiPriority w:val="45"/>
    <w:rsid w:val="00EB3737"/>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Spacing">
    <w:name w:val="No Spacing"/>
    <w:link w:val="NoSpacingChar"/>
    <w:uiPriority w:val="1"/>
    <w:qFormat/>
    <w:rsid w:val="00E941D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E941D5"/>
    <w:rPr>
      <w:rFonts w:eastAsiaTheme="minorEastAsia"/>
      <w:lang w:val="en-US"/>
    </w:rPr>
  </w:style>
  <w:style w:type="table" w:styleId="PlainTable4">
    <w:name w:val="Plain Table 4"/>
    <w:basedOn w:val="TableNormal"/>
    <w:uiPriority w:val="44"/>
    <w:rsid w:val="00980FA4"/>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
    <w:name w:val="Unresolved Mention"/>
    <w:basedOn w:val="DefaultParagraphFont"/>
    <w:uiPriority w:val="99"/>
    <w:rsid w:val="00D404E8"/>
    <w:rPr>
      <w:color w:val="605E5C"/>
      <w:shd w:val="clear" w:color="auto" w:fill="E1DFDD"/>
    </w:rPr>
  </w:style>
  <w:style w:type="character" w:styleId="FollowedHyperlink">
    <w:name w:val="FollowedHyperlink"/>
    <w:basedOn w:val="DefaultParagraphFont"/>
    <w:uiPriority w:val="99"/>
    <w:semiHidden/>
    <w:unhideWhenUsed/>
    <w:rsid w:val="00D9625D"/>
    <w:rPr>
      <w:color w:val="954F72" w:themeColor="followedHyperlink"/>
      <w:u w:val="single"/>
    </w:rPr>
  </w:style>
  <w:style w:type="paragraph" w:customStyle="1" w:styleId="affinlinebook">
    <w:name w:val="aff_inline_book"/>
    <w:basedOn w:val="Normal"/>
    <w:rsid w:val="00931CC1"/>
    <w:pPr>
      <w:spacing w:before="100" w:beforeAutospacing="1" w:after="100" w:afterAutospacing="1"/>
    </w:pPr>
    <w:rPr>
      <w:lang w:eastAsia="en-GB"/>
    </w:rPr>
  </w:style>
  <w:style w:type="table" w:styleId="GridTable6Colorful-Accent3">
    <w:name w:val="Grid Table 6 Colorful Accent 3"/>
    <w:basedOn w:val="TableNormal"/>
    <w:uiPriority w:val="51"/>
    <w:rsid w:val="00931CC1"/>
    <w:pPr>
      <w:spacing w:line="240" w:lineRule="auto"/>
    </w:pPr>
    <w:rPr>
      <w:rFonts w:ascii="Times New Roman" w:hAnsi="Times New Roman" w:cs="Times New Roman"/>
      <w:color w:val="7B7B7B" w:themeColor="accent3" w:themeShade="BF"/>
      <w:sz w:val="24"/>
      <w:szCs w:val="20"/>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
    <w:name w:val="Grid Table 6 Colorful"/>
    <w:basedOn w:val="TableNormal"/>
    <w:uiPriority w:val="51"/>
    <w:rsid w:val="00931CC1"/>
    <w:pPr>
      <w:spacing w:line="240" w:lineRule="auto"/>
    </w:pPr>
    <w:rPr>
      <w:rFonts w:ascii="Times New Roman" w:hAnsi="Times New Roman" w:cs="Times New Roman"/>
      <w:color w:val="000000" w:themeColor="text1"/>
      <w:sz w:val="24"/>
      <w:szCs w:val="20"/>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rful-Accent2">
    <w:name w:val="Grid Table 7 Colorful Accent 2"/>
    <w:basedOn w:val="TableNormal"/>
    <w:uiPriority w:val="52"/>
    <w:rsid w:val="00931CC1"/>
    <w:pPr>
      <w:spacing w:line="240" w:lineRule="auto"/>
    </w:pPr>
    <w:rPr>
      <w:rFonts w:ascii="Times New Roman" w:hAnsi="Times New Roman" w:cs="Times New Roman"/>
      <w:color w:val="C45911" w:themeColor="accent2" w:themeShade="BF"/>
      <w:sz w:val="24"/>
      <w:szCs w:val="20"/>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paragraph" w:customStyle="1" w:styleId="contrib-group">
    <w:name w:val="contrib-group"/>
    <w:basedOn w:val="Normal"/>
    <w:rsid w:val="002849CC"/>
    <w:pPr>
      <w:spacing w:before="100" w:beforeAutospacing="1" w:after="100" w:afterAutospacing="1"/>
    </w:pPr>
  </w:style>
  <w:style w:type="paragraph" w:styleId="Revision">
    <w:name w:val="Revision"/>
    <w:hidden/>
    <w:uiPriority w:val="99"/>
    <w:semiHidden/>
    <w:rsid w:val="007F2015"/>
    <w:pPr>
      <w:spacing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63307">
      <w:bodyDiv w:val="1"/>
      <w:marLeft w:val="0"/>
      <w:marRight w:val="0"/>
      <w:marTop w:val="0"/>
      <w:marBottom w:val="0"/>
      <w:divBdr>
        <w:top w:val="none" w:sz="0" w:space="0" w:color="auto"/>
        <w:left w:val="none" w:sz="0" w:space="0" w:color="auto"/>
        <w:bottom w:val="none" w:sz="0" w:space="0" w:color="auto"/>
        <w:right w:val="none" w:sz="0" w:space="0" w:color="auto"/>
      </w:divBdr>
    </w:div>
    <w:div w:id="59640098">
      <w:bodyDiv w:val="1"/>
      <w:marLeft w:val="0"/>
      <w:marRight w:val="0"/>
      <w:marTop w:val="0"/>
      <w:marBottom w:val="0"/>
      <w:divBdr>
        <w:top w:val="none" w:sz="0" w:space="0" w:color="auto"/>
        <w:left w:val="none" w:sz="0" w:space="0" w:color="auto"/>
        <w:bottom w:val="none" w:sz="0" w:space="0" w:color="auto"/>
        <w:right w:val="none" w:sz="0" w:space="0" w:color="auto"/>
      </w:divBdr>
    </w:div>
    <w:div w:id="71122717">
      <w:bodyDiv w:val="1"/>
      <w:marLeft w:val="0"/>
      <w:marRight w:val="0"/>
      <w:marTop w:val="0"/>
      <w:marBottom w:val="0"/>
      <w:divBdr>
        <w:top w:val="none" w:sz="0" w:space="0" w:color="auto"/>
        <w:left w:val="none" w:sz="0" w:space="0" w:color="auto"/>
        <w:bottom w:val="none" w:sz="0" w:space="0" w:color="auto"/>
        <w:right w:val="none" w:sz="0" w:space="0" w:color="auto"/>
      </w:divBdr>
    </w:div>
    <w:div w:id="93014973">
      <w:bodyDiv w:val="1"/>
      <w:marLeft w:val="0"/>
      <w:marRight w:val="0"/>
      <w:marTop w:val="0"/>
      <w:marBottom w:val="0"/>
      <w:divBdr>
        <w:top w:val="none" w:sz="0" w:space="0" w:color="auto"/>
        <w:left w:val="none" w:sz="0" w:space="0" w:color="auto"/>
        <w:bottom w:val="none" w:sz="0" w:space="0" w:color="auto"/>
        <w:right w:val="none" w:sz="0" w:space="0" w:color="auto"/>
      </w:divBdr>
    </w:div>
    <w:div w:id="136651755">
      <w:bodyDiv w:val="1"/>
      <w:marLeft w:val="0"/>
      <w:marRight w:val="0"/>
      <w:marTop w:val="0"/>
      <w:marBottom w:val="0"/>
      <w:divBdr>
        <w:top w:val="none" w:sz="0" w:space="0" w:color="auto"/>
        <w:left w:val="none" w:sz="0" w:space="0" w:color="auto"/>
        <w:bottom w:val="none" w:sz="0" w:space="0" w:color="auto"/>
        <w:right w:val="none" w:sz="0" w:space="0" w:color="auto"/>
      </w:divBdr>
    </w:div>
    <w:div w:id="150340837">
      <w:bodyDiv w:val="1"/>
      <w:marLeft w:val="0"/>
      <w:marRight w:val="0"/>
      <w:marTop w:val="0"/>
      <w:marBottom w:val="0"/>
      <w:divBdr>
        <w:top w:val="none" w:sz="0" w:space="0" w:color="auto"/>
        <w:left w:val="none" w:sz="0" w:space="0" w:color="auto"/>
        <w:bottom w:val="none" w:sz="0" w:space="0" w:color="auto"/>
        <w:right w:val="none" w:sz="0" w:space="0" w:color="auto"/>
      </w:divBdr>
    </w:div>
    <w:div w:id="217278361">
      <w:bodyDiv w:val="1"/>
      <w:marLeft w:val="0"/>
      <w:marRight w:val="0"/>
      <w:marTop w:val="0"/>
      <w:marBottom w:val="0"/>
      <w:divBdr>
        <w:top w:val="none" w:sz="0" w:space="0" w:color="auto"/>
        <w:left w:val="none" w:sz="0" w:space="0" w:color="auto"/>
        <w:bottom w:val="none" w:sz="0" w:space="0" w:color="auto"/>
        <w:right w:val="none" w:sz="0" w:space="0" w:color="auto"/>
      </w:divBdr>
    </w:div>
    <w:div w:id="240525929">
      <w:bodyDiv w:val="1"/>
      <w:marLeft w:val="0"/>
      <w:marRight w:val="0"/>
      <w:marTop w:val="0"/>
      <w:marBottom w:val="0"/>
      <w:divBdr>
        <w:top w:val="none" w:sz="0" w:space="0" w:color="auto"/>
        <w:left w:val="none" w:sz="0" w:space="0" w:color="auto"/>
        <w:bottom w:val="none" w:sz="0" w:space="0" w:color="auto"/>
        <w:right w:val="none" w:sz="0" w:space="0" w:color="auto"/>
      </w:divBdr>
    </w:div>
    <w:div w:id="261694240">
      <w:bodyDiv w:val="1"/>
      <w:marLeft w:val="0"/>
      <w:marRight w:val="0"/>
      <w:marTop w:val="0"/>
      <w:marBottom w:val="0"/>
      <w:divBdr>
        <w:top w:val="none" w:sz="0" w:space="0" w:color="auto"/>
        <w:left w:val="none" w:sz="0" w:space="0" w:color="auto"/>
        <w:bottom w:val="none" w:sz="0" w:space="0" w:color="auto"/>
        <w:right w:val="none" w:sz="0" w:space="0" w:color="auto"/>
      </w:divBdr>
    </w:div>
    <w:div w:id="264004104">
      <w:bodyDiv w:val="1"/>
      <w:marLeft w:val="0"/>
      <w:marRight w:val="0"/>
      <w:marTop w:val="0"/>
      <w:marBottom w:val="0"/>
      <w:divBdr>
        <w:top w:val="none" w:sz="0" w:space="0" w:color="auto"/>
        <w:left w:val="none" w:sz="0" w:space="0" w:color="auto"/>
        <w:bottom w:val="none" w:sz="0" w:space="0" w:color="auto"/>
        <w:right w:val="none" w:sz="0" w:space="0" w:color="auto"/>
      </w:divBdr>
    </w:div>
    <w:div w:id="394013637">
      <w:bodyDiv w:val="1"/>
      <w:marLeft w:val="0"/>
      <w:marRight w:val="0"/>
      <w:marTop w:val="0"/>
      <w:marBottom w:val="0"/>
      <w:divBdr>
        <w:top w:val="none" w:sz="0" w:space="0" w:color="auto"/>
        <w:left w:val="none" w:sz="0" w:space="0" w:color="auto"/>
        <w:bottom w:val="none" w:sz="0" w:space="0" w:color="auto"/>
        <w:right w:val="none" w:sz="0" w:space="0" w:color="auto"/>
      </w:divBdr>
    </w:div>
    <w:div w:id="396366888">
      <w:bodyDiv w:val="1"/>
      <w:marLeft w:val="0"/>
      <w:marRight w:val="0"/>
      <w:marTop w:val="0"/>
      <w:marBottom w:val="0"/>
      <w:divBdr>
        <w:top w:val="none" w:sz="0" w:space="0" w:color="auto"/>
        <w:left w:val="none" w:sz="0" w:space="0" w:color="auto"/>
        <w:bottom w:val="none" w:sz="0" w:space="0" w:color="auto"/>
        <w:right w:val="none" w:sz="0" w:space="0" w:color="auto"/>
      </w:divBdr>
    </w:div>
    <w:div w:id="547574495">
      <w:bodyDiv w:val="1"/>
      <w:marLeft w:val="0"/>
      <w:marRight w:val="0"/>
      <w:marTop w:val="0"/>
      <w:marBottom w:val="0"/>
      <w:divBdr>
        <w:top w:val="none" w:sz="0" w:space="0" w:color="auto"/>
        <w:left w:val="none" w:sz="0" w:space="0" w:color="auto"/>
        <w:bottom w:val="none" w:sz="0" w:space="0" w:color="auto"/>
        <w:right w:val="none" w:sz="0" w:space="0" w:color="auto"/>
      </w:divBdr>
    </w:div>
    <w:div w:id="598101228">
      <w:bodyDiv w:val="1"/>
      <w:marLeft w:val="0"/>
      <w:marRight w:val="0"/>
      <w:marTop w:val="0"/>
      <w:marBottom w:val="0"/>
      <w:divBdr>
        <w:top w:val="none" w:sz="0" w:space="0" w:color="auto"/>
        <w:left w:val="none" w:sz="0" w:space="0" w:color="auto"/>
        <w:bottom w:val="none" w:sz="0" w:space="0" w:color="auto"/>
        <w:right w:val="none" w:sz="0" w:space="0" w:color="auto"/>
      </w:divBdr>
    </w:div>
    <w:div w:id="632446684">
      <w:bodyDiv w:val="1"/>
      <w:marLeft w:val="0"/>
      <w:marRight w:val="0"/>
      <w:marTop w:val="0"/>
      <w:marBottom w:val="0"/>
      <w:divBdr>
        <w:top w:val="none" w:sz="0" w:space="0" w:color="auto"/>
        <w:left w:val="none" w:sz="0" w:space="0" w:color="auto"/>
        <w:bottom w:val="none" w:sz="0" w:space="0" w:color="auto"/>
        <w:right w:val="none" w:sz="0" w:space="0" w:color="auto"/>
      </w:divBdr>
    </w:div>
    <w:div w:id="655381842">
      <w:bodyDiv w:val="1"/>
      <w:marLeft w:val="0"/>
      <w:marRight w:val="0"/>
      <w:marTop w:val="0"/>
      <w:marBottom w:val="0"/>
      <w:divBdr>
        <w:top w:val="none" w:sz="0" w:space="0" w:color="auto"/>
        <w:left w:val="none" w:sz="0" w:space="0" w:color="auto"/>
        <w:bottom w:val="none" w:sz="0" w:space="0" w:color="auto"/>
        <w:right w:val="none" w:sz="0" w:space="0" w:color="auto"/>
      </w:divBdr>
    </w:div>
    <w:div w:id="716661229">
      <w:bodyDiv w:val="1"/>
      <w:marLeft w:val="0"/>
      <w:marRight w:val="0"/>
      <w:marTop w:val="0"/>
      <w:marBottom w:val="0"/>
      <w:divBdr>
        <w:top w:val="none" w:sz="0" w:space="0" w:color="auto"/>
        <w:left w:val="none" w:sz="0" w:space="0" w:color="auto"/>
        <w:bottom w:val="none" w:sz="0" w:space="0" w:color="auto"/>
        <w:right w:val="none" w:sz="0" w:space="0" w:color="auto"/>
      </w:divBdr>
    </w:div>
    <w:div w:id="721363915">
      <w:bodyDiv w:val="1"/>
      <w:marLeft w:val="0"/>
      <w:marRight w:val="0"/>
      <w:marTop w:val="0"/>
      <w:marBottom w:val="0"/>
      <w:divBdr>
        <w:top w:val="none" w:sz="0" w:space="0" w:color="auto"/>
        <w:left w:val="none" w:sz="0" w:space="0" w:color="auto"/>
        <w:bottom w:val="none" w:sz="0" w:space="0" w:color="auto"/>
        <w:right w:val="none" w:sz="0" w:space="0" w:color="auto"/>
      </w:divBdr>
    </w:div>
    <w:div w:id="723484308">
      <w:bodyDiv w:val="1"/>
      <w:marLeft w:val="0"/>
      <w:marRight w:val="0"/>
      <w:marTop w:val="0"/>
      <w:marBottom w:val="0"/>
      <w:divBdr>
        <w:top w:val="none" w:sz="0" w:space="0" w:color="auto"/>
        <w:left w:val="none" w:sz="0" w:space="0" w:color="auto"/>
        <w:bottom w:val="none" w:sz="0" w:space="0" w:color="auto"/>
        <w:right w:val="none" w:sz="0" w:space="0" w:color="auto"/>
      </w:divBdr>
    </w:div>
    <w:div w:id="815687244">
      <w:bodyDiv w:val="1"/>
      <w:marLeft w:val="0"/>
      <w:marRight w:val="0"/>
      <w:marTop w:val="0"/>
      <w:marBottom w:val="0"/>
      <w:divBdr>
        <w:top w:val="none" w:sz="0" w:space="0" w:color="auto"/>
        <w:left w:val="none" w:sz="0" w:space="0" w:color="auto"/>
        <w:bottom w:val="none" w:sz="0" w:space="0" w:color="auto"/>
        <w:right w:val="none" w:sz="0" w:space="0" w:color="auto"/>
      </w:divBdr>
      <w:divsChild>
        <w:div w:id="1148353094">
          <w:marLeft w:val="0"/>
          <w:marRight w:val="0"/>
          <w:marTop w:val="0"/>
          <w:marBottom w:val="0"/>
          <w:divBdr>
            <w:top w:val="none" w:sz="0" w:space="0" w:color="auto"/>
            <w:left w:val="none" w:sz="0" w:space="0" w:color="auto"/>
            <w:bottom w:val="none" w:sz="0" w:space="0" w:color="auto"/>
            <w:right w:val="none" w:sz="0" w:space="0" w:color="auto"/>
          </w:divBdr>
        </w:div>
        <w:div w:id="211425348">
          <w:marLeft w:val="0"/>
          <w:marRight w:val="0"/>
          <w:marTop w:val="0"/>
          <w:marBottom w:val="0"/>
          <w:divBdr>
            <w:top w:val="none" w:sz="0" w:space="0" w:color="auto"/>
            <w:left w:val="none" w:sz="0" w:space="0" w:color="auto"/>
            <w:bottom w:val="none" w:sz="0" w:space="0" w:color="auto"/>
            <w:right w:val="none" w:sz="0" w:space="0" w:color="auto"/>
          </w:divBdr>
        </w:div>
        <w:div w:id="1935238220">
          <w:marLeft w:val="0"/>
          <w:marRight w:val="0"/>
          <w:marTop w:val="45"/>
          <w:marBottom w:val="45"/>
          <w:divBdr>
            <w:top w:val="none" w:sz="0" w:space="0" w:color="auto"/>
            <w:left w:val="none" w:sz="0" w:space="0" w:color="auto"/>
            <w:bottom w:val="none" w:sz="0" w:space="0" w:color="auto"/>
            <w:right w:val="none" w:sz="0" w:space="0" w:color="auto"/>
          </w:divBdr>
        </w:div>
        <w:div w:id="18354891">
          <w:marLeft w:val="0"/>
          <w:marRight w:val="0"/>
          <w:marTop w:val="75"/>
          <w:marBottom w:val="75"/>
          <w:divBdr>
            <w:top w:val="none" w:sz="0" w:space="0" w:color="auto"/>
            <w:left w:val="none" w:sz="0" w:space="0" w:color="auto"/>
            <w:bottom w:val="none" w:sz="0" w:space="0" w:color="auto"/>
            <w:right w:val="none" w:sz="0" w:space="0" w:color="auto"/>
          </w:divBdr>
          <w:divsChild>
            <w:div w:id="1195846510">
              <w:marLeft w:val="0"/>
              <w:marRight w:val="0"/>
              <w:marTop w:val="0"/>
              <w:marBottom w:val="0"/>
              <w:divBdr>
                <w:top w:val="none" w:sz="0" w:space="0" w:color="auto"/>
                <w:left w:val="none" w:sz="0" w:space="0" w:color="auto"/>
                <w:bottom w:val="none" w:sz="0" w:space="0" w:color="auto"/>
                <w:right w:val="none" w:sz="0" w:space="0" w:color="auto"/>
              </w:divBdr>
            </w:div>
            <w:div w:id="96292699">
              <w:marLeft w:val="0"/>
              <w:marRight w:val="0"/>
              <w:marTop w:val="0"/>
              <w:marBottom w:val="0"/>
              <w:divBdr>
                <w:top w:val="none" w:sz="0" w:space="0" w:color="auto"/>
                <w:left w:val="none" w:sz="0" w:space="0" w:color="auto"/>
                <w:bottom w:val="none" w:sz="0" w:space="0" w:color="auto"/>
                <w:right w:val="none" w:sz="0" w:space="0" w:color="auto"/>
              </w:divBdr>
            </w:div>
          </w:divsChild>
        </w:div>
        <w:div w:id="1716660929">
          <w:marLeft w:val="0"/>
          <w:marRight w:val="0"/>
          <w:marTop w:val="0"/>
          <w:marBottom w:val="0"/>
          <w:divBdr>
            <w:top w:val="none" w:sz="0" w:space="0" w:color="auto"/>
            <w:left w:val="none" w:sz="0" w:space="0" w:color="auto"/>
            <w:bottom w:val="none" w:sz="0" w:space="0" w:color="auto"/>
            <w:right w:val="none" w:sz="0" w:space="0" w:color="auto"/>
          </w:divBdr>
          <w:divsChild>
            <w:div w:id="1128817270">
              <w:marLeft w:val="0"/>
              <w:marRight w:val="0"/>
              <w:marTop w:val="0"/>
              <w:marBottom w:val="0"/>
              <w:divBdr>
                <w:top w:val="none" w:sz="0" w:space="0" w:color="auto"/>
                <w:left w:val="none" w:sz="0" w:space="0" w:color="auto"/>
                <w:bottom w:val="none" w:sz="0" w:space="0" w:color="auto"/>
                <w:right w:val="none" w:sz="0" w:space="0" w:color="auto"/>
              </w:divBdr>
              <w:divsChild>
                <w:div w:id="2068529912">
                  <w:marLeft w:val="0"/>
                  <w:marRight w:val="0"/>
                  <w:marTop w:val="0"/>
                  <w:marBottom w:val="0"/>
                  <w:divBdr>
                    <w:top w:val="none" w:sz="0" w:space="0" w:color="auto"/>
                    <w:left w:val="none" w:sz="0" w:space="0" w:color="auto"/>
                    <w:bottom w:val="none" w:sz="0" w:space="0" w:color="auto"/>
                    <w:right w:val="none" w:sz="0" w:space="0" w:color="auto"/>
                  </w:divBdr>
                  <w:divsChild>
                    <w:div w:id="1858617415">
                      <w:marLeft w:val="0"/>
                      <w:marRight w:val="0"/>
                      <w:marTop w:val="0"/>
                      <w:marBottom w:val="0"/>
                      <w:divBdr>
                        <w:top w:val="none" w:sz="0" w:space="0" w:color="auto"/>
                        <w:left w:val="none" w:sz="0" w:space="0" w:color="auto"/>
                        <w:bottom w:val="none" w:sz="0" w:space="0" w:color="auto"/>
                        <w:right w:val="none" w:sz="0" w:space="0" w:color="auto"/>
                      </w:divBdr>
                      <w:divsChild>
                        <w:div w:id="62161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3011927">
      <w:bodyDiv w:val="1"/>
      <w:marLeft w:val="0"/>
      <w:marRight w:val="0"/>
      <w:marTop w:val="0"/>
      <w:marBottom w:val="0"/>
      <w:divBdr>
        <w:top w:val="none" w:sz="0" w:space="0" w:color="auto"/>
        <w:left w:val="none" w:sz="0" w:space="0" w:color="auto"/>
        <w:bottom w:val="none" w:sz="0" w:space="0" w:color="auto"/>
        <w:right w:val="none" w:sz="0" w:space="0" w:color="auto"/>
      </w:divBdr>
    </w:div>
    <w:div w:id="825514299">
      <w:bodyDiv w:val="1"/>
      <w:marLeft w:val="0"/>
      <w:marRight w:val="0"/>
      <w:marTop w:val="0"/>
      <w:marBottom w:val="0"/>
      <w:divBdr>
        <w:top w:val="none" w:sz="0" w:space="0" w:color="auto"/>
        <w:left w:val="none" w:sz="0" w:space="0" w:color="auto"/>
        <w:bottom w:val="none" w:sz="0" w:space="0" w:color="auto"/>
        <w:right w:val="none" w:sz="0" w:space="0" w:color="auto"/>
      </w:divBdr>
      <w:divsChild>
        <w:div w:id="792406727">
          <w:marLeft w:val="0"/>
          <w:marRight w:val="0"/>
          <w:marTop w:val="0"/>
          <w:marBottom w:val="375"/>
          <w:divBdr>
            <w:top w:val="none" w:sz="0" w:space="0" w:color="auto"/>
            <w:left w:val="none" w:sz="0" w:space="0" w:color="auto"/>
            <w:bottom w:val="none" w:sz="0" w:space="0" w:color="auto"/>
            <w:right w:val="none" w:sz="0" w:space="0" w:color="auto"/>
          </w:divBdr>
          <w:divsChild>
            <w:div w:id="10323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357519">
      <w:bodyDiv w:val="1"/>
      <w:marLeft w:val="0"/>
      <w:marRight w:val="0"/>
      <w:marTop w:val="0"/>
      <w:marBottom w:val="0"/>
      <w:divBdr>
        <w:top w:val="none" w:sz="0" w:space="0" w:color="auto"/>
        <w:left w:val="none" w:sz="0" w:space="0" w:color="auto"/>
        <w:bottom w:val="none" w:sz="0" w:space="0" w:color="auto"/>
        <w:right w:val="none" w:sz="0" w:space="0" w:color="auto"/>
      </w:divBdr>
    </w:div>
    <w:div w:id="852307726">
      <w:bodyDiv w:val="1"/>
      <w:marLeft w:val="0"/>
      <w:marRight w:val="0"/>
      <w:marTop w:val="0"/>
      <w:marBottom w:val="0"/>
      <w:divBdr>
        <w:top w:val="none" w:sz="0" w:space="0" w:color="auto"/>
        <w:left w:val="none" w:sz="0" w:space="0" w:color="auto"/>
        <w:bottom w:val="none" w:sz="0" w:space="0" w:color="auto"/>
        <w:right w:val="none" w:sz="0" w:space="0" w:color="auto"/>
      </w:divBdr>
    </w:div>
    <w:div w:id="909264782">
      <w:bodyDiv w:val="1"/>
      <w:marLeft w:val="0"/>
      <w:marRight w:val="0"/>
      <w:marTop w:val="0"/>
      <w:marBottom w:val="0"/>
      <w:divBdr>
        <w:top w:val="none" w:sz="0" w:space="0" w:color="auto"/>
        <w:left w:val="none" w:sz="0" w:space="0" w:color="auto"/>
        <w:bottom w:val="none" w:sz="0" w:space="0" w:color="auto"/>
        <w:right w:val="none" w:sz="0" w:space="0" w:color="auto"/>
      </w:divBdr>
    </w:div>
    <w:div w:id="913272981">
      <w:bodyDiv w:val="1"/>
      <w:marLeft w:val="0"/>
      <w:marRight w:val="0"/>
      <w:marTop w:val="0"/>
      <w:marBottom w:val="0"/>
      <w:divBdr>
        <w:top w:val="none" w:sz="0" w:space="0" w:color="auto"/>
        <w:left w:val="none" w:sz="0" w:space="0" w:color="auto"/>
        <w:bottom w:val="none" w:sz="0" w:space="0" w:color="auto"/>
        <w:right w:val="none" w:sz="0" w:space="0" w:color="auto"/>
      </w:divBdr>
    </w:div>
    <w:div w:id="956569085">
      <w:bodyDiv w:val="1"/>
      <w:marLeft w:val="0"/>
      <w:marRight w:val="0"/>
      <w:marTop w:val="0"/>
      <w:marBottom w:val="0"/>
      <w:divBdr>
        <w:top w:val="none" w:sz="0" w:space="0" w:color="auto"/>
        <w:left w:val="none" w:sz="0" w:space="0" w:color="auto"/>
        <w:bottom w:val="none" w:sz="0" w:space="0" w:color="auto"/>
        <w:right w:val="none" w:sz="0" w:space="0" w:color="auto"/>
      </w:divBdr>
    </w:div>
    <w:div w:id="998382590">
      <w:bodyDiv w:val="1"/>
      <w:marLeft w:val="0"/>
      <w:marRight w:val="0"/>
      <w:marTop w:val="0"/>
      <w:marBottom w:val="0"/>
      <w:divBdr>
        <w:top w:val="none" w:sz="0" w:space="0" w:color="auto"/>
        <w:left w:val="none" w:sz="0" w:space="0" w:color="auto"/>
        <w:bottom w:val="none" w:sz="0" w:space="0" w:color="auto"/>
        <w:right w:val="none" w:sz="0" w:space="0" w:color="auto"/>
      </w:divBdr>
    </w:div>
    <w:div w:id="1014918811">
      <w:bodyDiv w:val="1"/>
      <w:marLeft w:val="0"/>
      <w:marRight w:val="0"/>
      <w:marTop w:val="0"/>
      <w:marBottom w:val="0"/>
      <w:divBdr>
        <w:top w:val="none" w:sz="0" w:space="0" w:color="auto"/>
        <w:left w:val="none" w:sz="0" w:space="0" w:color="auto"/>
        <w:bottom w:val="none" w:sz="0" w:space="0" w:color="auto"/>
        <w:right w:val="none" w:sz="0" w:space="0" w:color="auto"/>
      </w:divBdr>
    </w:div>
    <w:div w:id="1040324788">
      <w:bodyDiv w:val="1"/>
      <w:marLeft w:val="0"/>
      <w:marRight w:val="0"/>
      <w:marTop w:val="0"/>
      <w:marBottom w:val="0"/>
      <w:divBdr>
        <w:top w:val="none" w:sz="0" w:space="0" w:color="auto"/>
        <w:left w:val="none" w:sz="0" w:space="0" w:color="auto"/>
        <w:bottom w:val="none" w:sz="0" w:space="0" w:color="auto"/>
        <w:right w:val="none" w:sz="0" w:space="0" w:color="auto"/>
      </w:divBdr>
      <w:divsChild>
        <w:div w:id="1845170120">
          <w:marLeft w:val="0"/>
          <w:marRight w:val="0"/>
          <w:marTop w:val="0"/>
          <w:marBottom w:val="0"/>
          <w:divBdr>
            <w:top w:val="none" w:sz="0" w:space="0" w:color="auto"/>
            <w:left w:val="none" w:sz="0" w:space="0" w:color="auto"/>
            <w:bottom w:val="none" w:sz="0" w:space="0" w:color="auto"/>
            <w:right w:val="none" w:sz="0" w:space="0" w:color="auto"/>
          </w:divBdr>
        </w:div>
      </w:divsChild>
    </w:div>
    <w:div w:id="1115560583">
      <w:bodyDiv w:val="1"/>
      <w:marLeft w:val="0"/>
      <w:marRight w:val="0"/>
      <w:marTop w:val="0"/>
      <w:marBottom w:val="0"/>
      <w:divBdr>
        <w:top w:val="none" w:sz="0" w:space="0" w:color="auto"/>
        <w:left w:val="none" w:sz="0" w:space="0" w:color="auto"/>
        <w:bottom w:val="none" w:sz="0" w:space="0" w:color="auto"/>
        <w:right w:val="none" w:sz="0" w:space="0" w:color="auto"/>
      </w:divBdr>
    </w:div>
    <w:div w:id="1159999817">
      <w:bodyDiv w:val="1"/>
      <w:marLeft w:val="0"/>
      <w:marRight w:val="0"/>
      <w:marTop w:val="0"/>
      <w:marBottom w:val="0"/>
      <w:divBdr>
        <w:top w:val="none" w:sz="0" w:space="0" w:color="auto"/>
        <w:left w:val="none" w:sz="0" w:space="0" w:color="auto"/>
        <w:bottom w:val="none" w:sz="0" w:space="0" w:color="auto"/>
        <w:right w:val="none" w:sz="0" w:space="0" w:color="auto"/>
      </w:divBdr>
    </w:div>
    <w:div w:id="1161963135">
      <w:bodyDiv w:val="1"/>
      <w:marLeft w:val="0"/>
      <w:marRight w:val="0"/>
      <w:marTop w:val="0"/>
      <w:marBottom w:val="0"/>
      <w:divBdr>
        <w:top w:val="none" w:sz="0" w:space="0" w:color="auto"/>
        <w:left w:val="none" w:sz="0" w:space="0" w:color="auto"/>
        <w:bottom w:val="none" w:sz="0" w:space="0" w:color="auto"/>
        <w:right w:val="none" w:sz="0" w:space="0" w:color="auto"/>
      </w:divBdr>
      <w:divsChild>
        <w:div w:id="668870537">
          <w:marLeft w:val="0"/>
          <w:marRight w:val="0"/>
          <w:marTop w:val="0"/>
          <w:marBottom w:val="225"/>
          <w:divBdr>
            <w:top w:val="none" w:sz="0" w:space="0" w:color="auto"/>
            <w:left w:val="none" w:sz="0" w:space="0" w:color="auto"/>
            <w:bottom w:val="none" w:sz="0" w:space="0" w:color="auto"/>
            <w:right w:val="none" w:sz="0" w:space="0" w:color="auto"/>
          </w:divBdr>
        </w:div>
      </w:divsChild>
    </w:div>
    <w:div w:id="1183057175">
      <w:bodyDiv w:val="1"/>
      <w:marLeft w:val="0"/>
      <w:marRight w:val="0"/>
      <w:marTop w:val="0"/>
      <w:marBottom w:val="0"/>
      <w:divBdr>
        <w:top w:val="none" w:sz="0" w:space="0" w:color="auto"/>
        <w:left w:val="none" w:sz="0" w:space="0" w:color="auto"/>
        <w:bottom w:val="none" w:sz="0" w:space="0" w:color="auto"/>
        <w:right w:val="none" w:sz="0" w:space="0" w:color="auto"/>
      </w:divBdr>
    </w:div>
    <w:div w:id="1197502801">
      <w:bodyDiv w:val="1"/>
      <w:marLeft w:val="0"/>
      <w:marRight w:val="0"/>
      <w:marTop w:val="0"/>
      <w:marBottom w:val="0"/>
      <w:divBdr>
        <w:top w:val="none" w:sz="0" w:space="0" w:color="auto"/>
        <w:left w:val="none" w:sz="0" w:space="0" w:color="auto"/>
        <w:bottom w:val="none" w:sz="0" w:space="0" w:color="auto"/>
        <w:right w:val="none" w:sz="0" w:space="0" w:color="auto"/>
      </w:divBdr>
    </w:div>
    <w:div w:id="1262570282">
      <w:bodyDiv w:val="1"/>
      <w:marLeft w:val="0"/>
      <w:marRight w:val="0"/>
      <w:marTop w:val="0"/>
      <w:marBottom w:val="0"/>
      <w:divBdr>
        <w:top w:val="none" w:sz="0" w:space="0" w:color="auto"/>
        <w:left w:val="none" w:sz="0" w:space="0" w:color="auto"/>
        <w:bottom w:val="none" w:sz="0" w:space="0" w:color="auto"/>
        <w:right w:val="none" w:sz="0" w:space="0" w:color="auto"/>
      </w:divBdr>
    </w:div>
    <w:div w:id="1299188634">
      <w:bodyDiv w:val="1"/>
      <w:marLeft w:val="0"/>
      <w:marRight w:val="0"/>
      <w:marTop w:val="0"/>
      <w:marBottom w:val="0"/>
      <w:divBdr>
        <w:top w:val="none" w:sz="0" w:space="0" w:color="auto"/>
        <w:left w:val="none" w:sz="0" w:space="0" w:color="auto"/>
        <w:bottom w:val="none" w:sz="0" w:space="0" w:color="auto"/>
        <w:right w:val="none" w:sz="0" w:space="0" w:color="auto"/>
      </w:divBdr>
    </w:div>
    <w:div w:id="1331062580">
      <w:bodyDiv w:val="1"/>
      <w:marLeft w:val="0"/>
      <w:marRight w:val="0"/>
      <w:marTop w:val="0"/>
      <w:marBottom w:val="0"/>
      <w:divBdr>
        <w:top w:val="none" w:sz="0" w:space="0" w:color="auto"/>
        <w:left w:val="none" w:sz="0" w:space="0" w:color="auto"/>
        <w:bottom w:val="none" w:sz="0" w:space="0" w:color="auto"/>
        <w:right w:val="none" w:sz="0" w:space="0" w:color="auto"/>
      </w:divBdr>
    </w:div>
    <w:div w:id="1337658927">
      <w:bodyDiv w:val="1"/>
      <w:marLeft w:val="0"/>
      <w:marRight w:val="0"/>
      <w:marTop w:val="0"/>
      <w:marBottom w:val="0"/>
      <w:divBdr>
        <w:top w:val="none" w:sz="0" w:space="0" w:color="auto"/>
        <w:left w:val="none" w:sz="0" w:space="0" w:color="auto"/>
        <w:bottom w:val="none" w:sz="0" w:space="0" w:color="auto"/>
        <w:right w:val="none" w:sz="0" w:space="0" w:color="auto"/>
      </w:divBdr>
    </w:div>
    <w:div w:id="1339455836">
      <w:bodyDiv w:val="1"/>
      <w:marLeft w:val="0"/>
      <w:marRight w:val="0"/>
      <w:marTop w:val="0"/>
      <w:marBottom w:val="0"/>
      <w:divBdr>
        <w:top w:val="none" w:sz="0" w:space="0" w:color="auto"/>
        <w:left w:val="none" w:sz="0" w:space="0" w:color="auto"/>
        <w:bottom w:val="none" w:sz="0" w:space="0" w:color="auto"/>
        <w:right w:val="none" w:sz="0" w:space="0" w:color="auto"/>
      </w:divBdr>
    </w:div>
    <w:div w:id="1344163804">
      <w:bodyDiv w:val="1"/>
      <w:marLeft w:val="0"/>
      <w:marRight w:val="0"/>
      <w:marTop w:val="0"/>
      <w:marBottom w:val="0"/>
      <w:divBdr>
        <w:top w:val="none" w:sz="0" w:space="0" w:color="auto"/>
        <w:left w:val="none" w:sz="0" w:space="0" w:color="auto"/>
        <w:bottom w:val="none" w:sz="0" w:space="0" w:color="auto"/>
        <w:right w:val="none" w:sz="0" w:space="0" w:color="auto"/>
      </w:divBdr>
    </w:div>
    <w:div w:id="1352562089">
      <w:bodyDiv w:val="1"/>
      <w:marLeft w:val="0"/>
      <w:marRight w:val="0"/>
      <w:marTop w:val="0"/>
      <w:marBottom w:val="0"/>
      <w:divBdr>
        <w:top w:val="none" w:sz="0" w:space="0" w:color="auto"/>
        <w:left w:val="none" w:sz="0" w:space="0" w:color="auto"/>
        <w:bottom w:val="none" w:sz="0" w:space="0" w:color="auto"/>
        <w:right w:val="none" w:sz="0" w:space="0" w:color="auto"/>
      </w:divBdr>
    </w:div>
    <w:div w:id="1378623348">
      <w:bodyDiv w:val="1"/>
      <w:marLeft w:val="0"/>
      <w:marRight w:val="0"/>
      <w:marTop w:val="0"/>
      <w:marBottom w:val="0"/>
      <w:divBdr>
        <w:top w:val="none" w:sz="0" w:space="0" w:color="auto"/>
        <w:left w:val="none" w:sz="0" w:space="0" w:color="auto"/>
        <w:bottom w:val="none" w:sz="0" w:space="0" w:color="auto"/>
        <w:right w:val="none" w:sz="0" w:space="0" w:color="auto"/>
      </w:divBdr>
    </w:div>
    <w:div w:id="1379235914">
      <w:bodyDiv w:val="1"/>
      <w:marLeft w:val="0"/>
      <w:marRight w:val="0"/>
      <w:marTop w:val="0"/>
      <w:marBottom w:val="0"/>
      <w:divBdr>
        <w:top w:val="none" w:sz="0" w:space="0" w:color="auto"/>
        <w:left w:val="none" w:sz="0" w:space="0" w:color="auto"/>
        <w:bottom w:val="none" w:sz="0" w:space="0" w:color="auto"/>
        <w:right w:val="none" w:sz="0" w:space="0" w:color="auto"/>
      </w:divBdr>
    </w:div>
    <w:div w:id="1396247286">
      <w:bodyDiv w:val="1"/>
      <w:marLeft w:val="0"/>
      <w:marRight w:val="0"/>
      <w:marTop w:val="0"/>
      <w:marBottom w:val="0"/>
      <w:divBdr>
        <w:top w:val="none" w:sz="0" w:space="0" w:color="auto"/>
        <w:left w:val="none" w:sz="0" w:space="0" w:color="auto"/>
        <w:bottom w:val="none" w:sz="0" w:space="0" w:color="auto"/>
        <w:right w:val="none" w:sz="0" w:space="0" w:color="auto"/>
      </w:divBdr>
      <w:divsChild>
        <w:div w:id="737247069">
          <w:marLeft w:val="0"/>
          <w:marRight w:val="0"/>
          <w:marTop w:val="0"/>
          <w:marBottom w:val="0"/>
          <w:divBdr>
            <w:top w:val="none" w:sz="0" w:space="0" w:color="auto"/>
            <w:left w:val="none" w:sz="0" w:space="0" w:color="auto"/>
            <w:bottom w:val="none" w:sz="0" w:space="0" w:color="auto"/>
            <w:right w:val="none" w:sz="0" w:space="0" w:color="auto"/>
          </w:divBdr>
        </w:div>
        <w:div w:id="1242135115">
          <w:marLeft w:val="0"/>
          <w:marRight w:val="0"/>
          <w:marTop w:val="0"/>
          <w:marBottom w:val="150"/>
          <w:divBdr>
            <w:top w:val="none" w:sz="0" w:space="0" w:color="auto"/>
            <w:left w:val="none" w:sz="0" w:space="0" w:color="auto"/>
            <w:bottom w:val="none" w:sz="0" w:space="0" w:color="auto"/>
            <w:right w:val="none" w:sz="0" w:space="0" w:color="auto"/>
          </w:divBdr>
        </w:div>
        <w:div w:id="1512254889">
          <w:marLeft w:val="0"/>
          <w:marRight w:val="0"/>
          <w:marTop w:val="0"/>
          <w:marBottom w:val="0"/>
          <w:divBdr>
            <w:top w:val="none" w:sz="0" w:space="0" w:color="auto"/>
            <w:left w:val="none" w:sz="0" w:space="0" w:color="auto"/>
            <w:bottom w:val="none" w:sz="0" w:space="0" w:color="auto"/>
            <w:right w:val="none" w:sz="0" w:space="0" w:color="auto"/>
          </w:divBdr>
          <w:divsChild>
            <w:div w:id="8124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35126">
      <w:bodyDiv w:val="1"/>
      <w:marLeft w:val="0"/>
      <w:marRight w:val="0"/>
      <w:marTop w:val="0"/>
      <w:marBottom w:val="0"/>
      <w:divBdr>
        <w:top w:val="none" w:sz="0" w:space="0" w:color="auto"/>
        <w:left w:val="none" w:sz="0" w:space="0" w:color="auto"/>
        <w:bottom w:val="none" w:sz="0" w:space="0" w:color="auto"/>
        <w:right w:val="none" w:sz="0" w:space="0" w:color="auto"/>
      </w:divBdr>
    </w:div>
    <w:div w:id="1444692411">
      <w:bodyDiv w:val="1"/>
      <w:marLeft w:val="0"/>
      <w:marRight w:val="0"/>
      <w:marTop w:val="0"/>
      <w:marBottom w:val="0"/>
      <w:divBdr>
        <w:top w:val="none" w:sz="0" w:space="0" w:color="auto"/>
        <w:left w:val="none" w:sz="0" w:space="0" w:color="auto"/>
        <w:bottom w:val="none" w:sz="0" w:space="0" w:color="auto"/>
        <w:right w:val="none" w:sz="0" w:space="0" w:color="auto"/>
      </w:divBdr>
    </w:div>
    <w:div w:id="1513491467">
      <w:bodyDiv w:val="1"/>
      <w:marLeft w:val="0"/>
      <w:marRight w:val="0"/>
      <w:marTop w:val="0"/>
      <w:marBottom w:val="0"/>
      <w:divBdr>
        <w:top w:val="none" w:sz="0" w:space="0" w:color="auto"/>
        <w:left w:val="none" w:sz="0" w:space="0" w:color="auto"/>
        <w:bottom w:val="none" w:sz="0" w:space="0" w:color="auto"/>
        <w:right w:val="none" w:sz="0" w:space="0" w:color="auto"/>
      </w:divBdr>
    </w:div>
    <w:div w:id="1522014059">
      <w:bodyDiv w:val="1"/>
      <w:marLeft w:val="0"/>
      <w:marRight w:val="0"/>
      <w:marTop w:val="0"/>
      <w:marBottom w:val="0"/>
      <w:divBdr>
        <w:top w:val="none" w:sz="0" w:space="0" w:color="auto"/>
        <w:left w:val="none" w:sz="0" w:space="0" w:color="auto"/>
        <w:bottom w:val="none" w:sz="0" w:space="0" w:color="auto"/>
        <w:right w:val="none" w:sz="0" w:space="0" w:color="auto"/>
      </w:divBdr>
    </w:div>
    <w:div w:id="1630747098">
      <w:bodyDiv w:val="1"/>
      <w:marLeft w:val="0"/>
      <w:marRight w:val="0"/>
      <w:marTop w:val="0"/>
      <w:marBottom w:val="0"/>
      <w:divBdr>
        <w:top w:val="none" w:sz="0" w:space="0" w:color="auto"/>
        <w:left w:val="none" w:sz="0" w:space="0" w:color="auto"/>
        <w:bottom w:val="none" w:sz="0" w:space="0" w:color="auto"/>
        <w:right w:val="none" w:sz="0" w:space="0" w:color="auto"/>
      </w:divBdr>
    </w:div>
    <w:div w:id="1631741461">
      <w:bodyDiv w:val="1"/>
      <w:marLeft w:val="0"/>
      <w:marRight w:val="0"/>
      <w:marTop w:val="0"/>
      <w:marBottom w:val="0"/>
      <w:divBdr>
        <w:top w:val="none" w:sz="0" w:space="0" w:color="auto"/>
        <w:left w:val="none" w:sz="0" w:space="0" w:color="auto"/>
        <w:bottom w:val="none" w:sz="0" w:space="0" w:color="auto"/>
        <w:right w:val="none" w:sz="0" w:space="0" w:color="auto"/>
      </w:divBdr>
      <w:divsChild>
        <w:div w:id="1603226638">
          <w:marLeft w:val="0"/>
          <w:marRight w:val="0"/>
          <w:marTop w:val="0"/>
          <w:marBottom w:val="0"/>
          <w:divBdr>
            <w:top w:val="none" w:sz="0" w:space="0" w:color="auto"/>
            <w:left w:val="none" w:sz="0" w:space="0" w:color="auto"/>
            <w:bottom w:val="none" w:sz="0" w:space="0" w:color="auto"/>
            <w:right w:val="none" w:sz="0" w:space="0" w:color="auto"/>
          </w:divBdr>
          <w:divsChild>
            <w:div w:id="307900649">
              <w:marLeft w:val="0"/>
              <w:marRight w:val="0"/>
              <w:marTop w:val="0"/>
              <w:marBottom w:val="0"/>
              <w:divBdr>
                <w:top w:val="none" w:sz="0" w:space="0" w:color="auto"/>
                <w:left w:val="none" w:sz="0" w:space="0" w:color="auto"/>
                <w:bottom w:val="none" w:sz="0" w:space="0" w:color="auto"/>
                <w:right w:val="none" w:sz="0" w:space="0" w:color="auto"/>
              </w:divBdr>
              <w:divsChild>
                <w:div w:id="1143233479">
                  <w:marLeft w:val="0"/>
                  <w:marRight w:val="0"/>
                  <w:marTop w:val="100"/>
                  <w:marBottom w:val="100"/>
                  <w:divBdr>
                    <w:top w:val="none" w:sz="0" w:space="0" w:color="auto"/>
                    <w:left w:val="none" w:sz="0" w:space="0" w:color="auto"/>
                    <w:bottom w:val="none" w:sz="0" w:space="0" w:color="auto"/>
                    <w:right w:val="none" w:sz="0" w:space="0" w:color="auto"/>
                  </w:divBdr>
                  <w:divsChild>
                    <w:div w:id="771708532">
                      <w:marLeft w:val="0"/>
                      <w:marRight w:val="0"/>
                      <w:marTop w:val="0"/>
                      <w:marBottom w:val="0"/>
                      <w:divBdr>
                        <w:top w:val="none" w:sz="0" w:space="0" w:color="auto"/>
                        <w:left w:val="none" w:sz="0" w:space="0" w:color="auto"/>
                        <w:bottom w:val="none" w:sz="0" w:space="0" w:color="auto"/>
                        <w:right w:val="none" w:sz="0" w:space="0" w:color="auto"/>
                      </w:divBdr>
                      <w:divsChild>
                        <w:div w:id="1729300635">
                          <w:marLeft w:val="0"/>
                          <w:marRight w:val="180"/>
                          <w:marTop w:val="0"/>
                          <w:marBottom w:val="0"/>
                          <w:divBdr>
                            <w:top w:val="none" w:sz="0" w:space="0" w:color="auto"/>
                            <w:left w:val="none" w:sz="0" w:space="0" w:color="auto"/>
                            <w:bottom w:val="none" w:sz="0" w:space="0" w:color="auto"/>
                            <w:right w:val="none" w:sz="0" w:space="0" w:color="auto"/>
                          </w:divBdr>
                          <w:divsChild>
                            <w:div w:id="1796098810">
                              <w:marLeft w:val="0"/>
                              <w:marRight w:val="0"/>
                              <w:marTop w:val="0"/>
                              <w:marBottom w:val="0"/>
                              <w:divBdr>
                                <w:top w:val="none" w:sz="0" w:space="0" w:color="auto"/>
                                <w:left w:val="none" w:sz="0" w:space="0" w:color="auto"/>
                                <w:bottom w:val="none" w:sz="0" w:space="0" w:color="auto"/>
                                <w:right w:val="none" w:sz="0" w:space="0" w:color="auto"/>
                              </w:divBdr>
                              <w:divsChild>
                                <w:div w:id="112991120">
                                  <w:marLeft w:val="0"/>
                                  <w:marRight w:val="0"/>
                                  <w:marTop w:val="0"/>
                                  <w:marBottom w:val="0"/>
                                  <w:divBdr>
                                    <w:top w:val="none" w:sz="0" w:space="0" w:color="auto"/>
                                    <w:left w:val="none" w:sz="0" w:space="0" w:color="auto"/>
                                    <w:bottom w:val="none" w:sz="0" w:space="0" w:color="auto"/>
                                    <w:right w:val="none" w:sz="0" w:space="0" w:color="auto"/>
                                  </w:divBdr>
                                  <w:divsChild>
                                    <w:div w:id="69736757">
                                      <w:marLeft w:val="0"/>
                                      <w:marRight w:val="0"/>
                                      <w:marTop w:val="0"/>
                                      <w:marBottom w:val="0"/>
                                      <w:divBdr>
                                        <w:top w:val="none" w:sz="0" w:space="0" w:color="auto"/>
                                        <w:left w:val="none" w:sz="0" w:space="0" w:color="auto"/>
                                        <w:bottom w:val="none" w:sz="0" w:space="0" w:color="auto"/>
                                        <w:right w:val="none" w:sz="0" w:space="0" w:color="auto"/>
                                      </w:divBdr>
                                    </w:div>
                                  </w:divsChild>
                                </w:div>
                                <w:div w:id="317734799">
                                  <w:marLeft w:val="0"/>
                                  <w:marRight w:val="0"/>
                                  <w:marTop w:val="0"/>
                                  <w:marBottom w:val="0"/>
                                  <w:divBdr>
                                    <w:top w:val="none" w:sz="0" w:space="0" w:color="auto"/>
                                    <w:left w:val="none" w:sz="0" w:space="0" w:color="auto"/>
                                    <w:bottom w:val="none" w:sz="0" w:space="0" w:color="auto"/>
                                    <w:right w:val="none" w:sz="0" w:space="0" w:color="auto"/>
                                  </w:divBdr>
                                  <w:divsChild>
                                    <w:div w:id="1497377053">
                                      <w:marLeft w:val="0"/>
                                      <w:marRight w:val="-6938"/>
                                      <w:marTop w:val="0"/>
                                      <w:marBottom w:val="0"/>
                                      <w:divBdr>
                                        <w:top w:val="none" w:sz="0" w:space="0" w:color="auto"/>
                                        <w:left w:val="none" w:sz="0" w:space="0" w:color="auto"/>
                                        <w:bottom w:val="none" w:sz="0" w:space="0" w:color="auto"/>
                                        <w:right w:val="none" w:sz="0" w:space="0" w:color="auto"/>
                                      </w:divBdr>
                                      <w:divsChild>
                                        <w:div w:id="1402605134">
                                          <w:marLeft w:val="0"/>
                                          <w:marRight w:val="0"/>
                                          <w:marTop w:val="0"/>
                                          <w:marBottom w:val="0"/>
                                          <w:divBdr>
                                            <w:top w:val="none" w:sz="0" w:space="0" w:color="auto"/>
                                            <w:left w:val="none" w:sz="0" w:space="0" w:color="auto"/>
                                            <w:bottom w:val="none" w:sz="0" w:space="0" w:color="auto"/>
                                            <w:right w:val="none" w:sz="0" w:space="0" w:color="auto"/>
                                          </w:divBdr>
                                          <w:divsChild>
                                            <w:div w:id="2145854615">
                                              <w:marLeft w:val="0"/>
                                              <w:marRight w:val="0"/>
                                              <w:marTop w:val="0"/>
                                              <w:marBottom w:val="0"/>
                                              <w:divBdr>
                                                <w:top w:val="none" w:sz="0" w:space="0" w:color="auto"/>
                                                <w:left w:val="none" w:sz="0" w:space="0" w:color="auto"/>
                                                <w:bottom w:val="none" w:sz="0" w:space="0" w:color="auto"/>
                                                <w:right w:val="none" w:sz="0" w:space="6" w:color="auto"/>
                                              </w:divBdr>
                                              <w:divsChild>
                                                <w:div w:id="179093329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718313538">
                                      <w:marLeft w:val="0"/>
                                      <w:marRight w:val="0"/>
                                      <w:marTop w:val="0"/>
                                      <w:marBottom w:val="0"/>
                                      <w:divBdr>
                                        <w:top w:val="none" w:sz="0" w:space="0" w:color="auto"/>
                                        <w:left w:val="none" w:sz="0" w:space="0" w:color="auto"/>
                                        <w:bottom w:val="none" w:sz="0" w:space="0" w:color="auto"/>
                                        <w:right w:val="none" w:sz="0" w:space="0" w:color="auto"/>
                                      </w:divBdr>
                                      <w:divsChild>
                                        <w:div w:id="329677435">
                                          <w:marLeft w:val="0"/>
                                          <w:marRight w:val="0"/>
                                          <w:marTop w:val="0"/>
                                          <w:marBottom w:val="0"/>
                                          <w:divBdr>
                                            <w:top w:val="none" w:sz="0" w:space="0" w:color="auto"/>
                                            <w:left w:val="none" w:sz="0" w:space="0" w:color="auto"/>
                                            <w:bottom w:val="none" w:sz="0" w:space="0" w:color="auto"/>
                                            <w:right w:val="none" w:sz="0" w:space="0" w:color="auto"/>
                                          </w:divBdr>
                                          <w:divsChild>
                                            <w:div w:id="1507789845">
                                              <w:marLeft w:val="0"/>
                                              <w:marRight w:val="0"/>
                                              <w:marTop w:val="0"/>
                                              <w:marBottom w:val="0"/>
                                              <w:divBdr>
                                                <w:top w:val="none" w:sz="0" w:space="0" w:color="auto"/>
                                                <w:left w:val="none" w:sz="0" w:space="0" w:color="auto"/>
                                                <w:bottom w:val="none" w:sz="0" w:space="0" w:color="auto"/>
                                                <w:right w:val="none" w:sz="0" w:space="0" w:color="auto"/>
                                              </w:divBdr>
                                              <w:divsChild>
                                                <w:div w:id="262617618">
                                                  <w:marLeft w:val="120"/>
                                                  <w:marRight w:val="0"/>
                                                  <w:marTop w:val="0"/>
                                                  <w:marBottom w:val="0"/>
                                                  <w:divBdr>
                                                    <w:top w:val="none" w:sz="0" w:space="0" w:color="auto"/>
                                                    <w:left w:val="none" w:sz="0" w:space="0" w:color="auto"/>
                                                    <w:bottom w:val="none" w:sz="0" w:space="0" w:color="auto"/>
                                                    <w:right w:val="none" w:sz="0" w:space="0" w:color="auto"/>
                                                  </w:divBdr>
                                                  <w:divsChild>
                                                    <w:div w:id="2018459139">
                                                      <w:marLeft w:val="0"/>
                                                      <w:marRight w:val="0"/>
                                                      <w:marTop w:val="0"/>
                                                      <w:marBottom w:val="0"/>
                                                      <w:divBdr>
                                                        <w:top w:val="none" w:sz="0" w:space="0" w:color="auto"/>
                                                        <w:left w:val="none" w:sz="0" w:space="0" w:color="auto"/>
                                                        <w:bottom w:val="none" w:sz="0" w:space="0" w:color="auto"/>
                                                        <w:right w:val="none" w:sz="0" w:space="0" w:color="auto"/>
                                                      </w:divBdr>
                                                      <w:divsChild>
                                                        <w:div w:id="700253057">
                                                          <w:marLeft w:val="45"/>
                                                          <w:marRight w:val="0"/>
                                                          <w:marTop w:val="0"/>
                                                          <w:marBottom w:val="0"/>
                                                          <w:divBdr>
                                                            <w:top w:val="none" w:sz="0" w:space="0" w:color="auto"/>
                                                            <w:left w:val="none" w:sz="0" w:space="0" w:color="auto"/>
                                                            <w:bottom w:val="none" w:sz="0" w:space="0" w:color="auto"/>
                                                            <w:right w:val="none" w:sz="0" w:space="0" w:color="auto"/>
                                                          </w:divBdr>
                                                          <w:divsChild>
                                                            <w:div w:id="1344430452">
                                                              <w:marLeft w:val="0"/>
                                                              <w:marRight w:val="0"/>
                                                              <w:marTop w:val="0"/>
                                                              <w:marBottom w:val="0"/>
                                                              <w:divBdr>
                                                                <w:top w:val="none" w:sz="0" w:space="0" w:color="auto"/>
                                                                <w:left w:val="none" w:sz="0" w:space="0" w:color="auto"/>
                                                                <w:bottom w:val="none" w:sz="0" w:space="0" w:color="auto"/>
                                                                <w:right w:val="none" w:sz="0" w:space="0" w:color="auto"/>
                                                              </w:divBdr>
                                                              <w:divsChild>
                                                                <w:div w:id="1737818768">
                                                                  <w:marLeft w:val="0"/>
                                                                  <w:marRight w:val="0"/>
                                                                  <w:marTop w:val="0"/>
                                                                  <w:marBottom w:val="0"/>
                                                                  <w:divBdr>
                                                                    <w:top w:val="none" w:sz="0" w:space="0" w:color="auto"/>
                                                                    <w:left w:val="none" w:sz="0" w:space="0" w:color="auto"/>
                                                                    <w:bottom w:val="none" w:sz="0" w:space="0" w:color="auto"/>
                                                                    <w:right w:val="none" w:sz="0" w:space="0" w:color="auto"/>
                                                                  </w:divBdr>
                                                                  <w:divsChild>
                                                                    <w:div w:id="2068337786">
                                                                      <w:marLeft w:val="0"/>
                                                                      <w:marRight w:val="0"/>
                                                                      <w:marTop w:val="0"/>
                                                                      <w:marBottom w:val="0"/>
                                                                      <w:divBdr>
                                                                        <w:top w:val="none" w:sz="0" w:space="0" w:color="auto"/>
                                                                        <w:left w:val="none" w:sz="0" w:space="0" w:color="auto"/>
                                                                        <w:bottom w:val="none" w:sz="0" w:space="0" w:color="auto"/>
                                                                        <w:right w:val="none" w:sz="0" w:space="0" w:color="auto"/>
                                                                      </w:divBdr>
                                                                      <w:divsChild>
                                                                        <w:div w:id="171839105">
                                                                          <w:marLeft w:val="0"/>
                                                                          <w:marRight w:val="0"/>
                                                                          <w:marTop w:val="0"/>
                                                                          <w:marBottom w:val="0"/>
                                                                          <w:divBdr>
                                                                            <w:top w:val="none" w:sz="0" w:space="0" w:color="auto"/>
                                                                            <w:left w:val="none" w:sz="0" w:space="0" w:color="auto"/>
                                                                            <w:bottom w:val="none" w:sz="0" w:space="0" w:color="auto"/>
                                                                            <w:right w:val="none" w:sz="0" w:space="0" w:color="auto"/>
                                                                          </w:divBdr>
                                                                          <w:divsChild>
                                                                            <w:div w:id="33299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51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33560694">
      <w:bodyDiv w:val="1"/>
      <w:marLeft w:val="0"/>
      <w:marRight w:val="0"/>
      <w:marTop w:val="0"/>
      <w:marBottom w:val="0"/>
      <w:divBdr>
        <w:top w:val="none" w:sz="0" w:space="0" w:color="auto"/>
        <w:left w:val="none" w:sz="0" w:space="0" w:color="auto"/>
        <w:bottom w:val="none" w:sz="0" w:space="0" w:color="auto"/>
        <w:right w:val="none" w:sz="0" w:space="0" w:color="auto"/>
      </w:divBdr>
    </w:div>
    <w:div w:id="1642687962">
      <w:bodyDiv w:val="1"/>
      <w:marLeft w:val="0"/>
      <w:marRight w:val="0"/>
      <w:marTop w:val="0"/>
      <w:marBottom w:val="0"/>
      <w:divBdr>
        <w:top w:val="none" w:sz="0" w:space="0" w:color="auto"/>
        <w:left w:val="none" w:sz="0" w:space="0" w:color="auto"/>
        <w:bottom w:val="none" w:sz="0" w:space="0" w:color="auto"/>
        <w:right w:val="none" w:sz="0" w:space="0" w:color="auto"/>
      </w:divBdr>
      <w:divsChild>
        <w:div w:id="1309021014">
          <w:marLeft w:val="0"/>
          <w:marRight w:val="0"/>
          <w:marTop w:val="0"/>
          <w:marBottom w:val="0"/>
          <w:divBdr>
            <w:top w:val="none" w:sz="0" w:space="0" w:color="auto"/>
            <w:left w:val="none" w:sz="0" w:space="0" w:color="auto"/>
            <w:bottom w:val="none" w:sz="0" w:space="0" w:color="auto"/>
            <w:right w:val="none" w:sz="0" w:space="0" w:color="auto"/>
          </w:divBdr>
          <w:divsChild>
            <w:div w:id="1227958744">
              <w:marLeft w:val="0"/>
              <w:marRight w:val="0"/>
              <w:marTop w:val="0"/>
              <w:marBottom w:val="0"/>
              <w:divBdr>
                <w:top w:val="none" w:sz="0" w:space="0" w:color="auto"/>
                <w:left w:val="none" w:sz="0" w:space="0" w:color="auto"/>
                <w:bottom w:val="none" w:sz="0" w:space="0" w:color="auto"/>
                <w:right w:val="none" w:sz="0" w:space="0" w:color="auto"/>
              </w:divBdr>
              <w:divsChild>
                <w:div w:id="166752656">
                  <w:marLeft w:val="0"/>
                  <w:marRight w:val="0"/>
                  <w:marTop w:val="100"/>
                  <w:marBottom w:val="100"/>
                  <w:divBdr>
                    <w:top w:val="none" w:sz="0" w:space="0" w:color="auto"/>
                    <w:left w:val="none" w:sz="0" w:space="0" w:color="auto"/>
                    <w:bottom w:val="none" w:sz="0" w:space="0" w:color="auto"/>
                    <w:right w:val="none" w:sz="0" w:space="0" w:color="auto"/>
                  </w:divBdr>
                  <w:divsChild>
                    <w:div w:id="343552190">
                      <w:marLeft w:val="0"/>
                      <w:marRight w:val="0"/>
                      <w:marTop w:val="0"/>
                      <w:marBottom w:val="0"/>
                      <w:divBdr>
                        <w:top w:val="none" w:sz="0" w:space="0" w:color="auto"/>
                        <w:left w:val="none" w:sz="0" w:space="0" w:color="auto"/>
                        <w:bottom w:val="none" w:sz="0" w:space="0" w:color="auto"/>
                        <w:right w:val="none" w:sz="0" w:space="0" w:color="auto"/>
                      </w:divBdr>
                      <w:divsChild>
                        <w:div w:id="1414352859">
                          <w:marLeft w:val="0"/>
                          <w:marRight w:val="180"/>
                          <w:marTop w:val="0"/>
                          <w:marBottom w:val="0"/>
                          <w:divBdr>
                            <w:top w:val="none" w:sz="0" w:space="0" w:color="auto"/>
                            <w:left w:val="none" w:sz="0" w:space="0" w:color="auto"/>
                            <w:bottom w:val="none" w:sz="0" w:space="0" w:color="auto"/>
                            <w:right w:val="none" w:sz="0" w:space="0" w:color="auto"/>
                          </w:divBdr>
                          <w:divsChild>
                            <w:div w:id="875699271">
                              <w:marLeft w:val="0"/>
                              <w:marRight w:val="0"/>
                              <w:marTop w:val="0"/>
                              <w:marBottom w:val="0"/>
                              <w:divBdr>
                                <w:top w:val="none" w:sz="0" w:space="0" w:color="auto"/>
                                <w:left w:val="none" w:sz="0" w:space="0" w:color="auto"/>
                                <w:bottom w:val="none" w:sz="0" w:space="0" w:color="auto"/>
                                <w:right w:val="none" w:sz="0" w:space="0" w:color="auto"/>
                              </w:divBdr>
                              <w:divsChild>
                                <w:div w:id="1625380577">
                                  <w:marLeft w:val="0"/>
                                  <w:marRight w:val="0"/>
                                  <w:marTop w:val="0"/>
                                  <w:marBottom w:val="0"/>
                                  <w:divBdr>
                                    <w:top w:val="none" w:sz="0" w:space="0" w:color="auto"/>
                                    <w:left w:val="none" w:sz="0" w:space="0" w:color="auto"/>
                                    <w:bottom w:val="none" w:sz="0" w:space="0" w:color="auto"/>
                                    <w:right w:val="none" w:sz="0" w:space="0" w:color="auto"/>
                                  </w:divBdr>
                                  <w:divsChild>
                                    <w:div w:id="1249313945">
                                      <w:marLeft w:val="0"/>
                                      <w:marRight w:val="0"/>
                                      <w:marTop w:val="0"/>
                                      <w:marBottom w:val="0"/>
                                      <w:divBdr>
                                        <w:top w:val="none" w:sz="0" w:space="0" w:color="auto"/>
                                        <w:left w:val="none" w:sz="0" w:space="0" w:color="auto"/>
                                        <w:bottom w:val="none" w:sz="0" w:space="0" w:color="auto"/>
                                        <w:right w:val="none" w:sz="0" w:space="0" w:color="auto"/>
                                      </w:divBdr>
                                    </w:div>
                                  </w:divsChild>
                                </w:div>
                                <w:div w:id="1121460017">
                                  <w:marLeft w:val="0"/>
                                  <w:marRight w:val="0"/>
                                  <w:marTop w:val="0"/>
                                  <w:marBottom w:val="0"/>
                                  <w:divBdr>
                                    <w:top w:val="none" w:sz="0" w:space="0" w:color="auto"/>
                                    <w:left w:val="none" w:sz="0" w:space="0" w:color="auto"/>
                                    <w:bottom w:val="none" w:sz="0" w:space="0" w:color="auto"/>
                                    <w:right w:val="none" w:sz="0" w:space="0" w:color="auto"/>
                                  </w:divBdr>
                                  <w:divsChild>
                                    <w:div w:id="2088191405">
                                      <w:marLeft w:val="0"/>
                                      <w:marRight w:val="-6938"/>
                                      <w:marTop w:val="0"/>
                                      <w:marBottom w:val="0"/>
                                      <w:divBdr>
                                        <w:top w:val="none" w:sz="0" w:space="0" w:color="auto"/>
                                        <w:left w:val="none" w:sz="0" w:space="0" w:color="auto"/>
                                        <w:bottom w:val="none" w:sz="0" w:space="0" w:color="auto"/>
                                        <w:right w:val="none" w:sz="0" w:space="0" w:color="auto"/>
                                      </w:divBdr>
                                      <w:divsChild>
                                        <w:div w:id="768501260">
                                          <w:marLeft w:val="0"/>
                                          <w:marRight w:val="0"/>
                                          <w:marTop w:val="0"/>
                                          <w:marBottom w:val="0"/>
                                          <w:divBdr>
                                            <w:top w:val="none" w:sz="0" w:space="0" w:color="auto"/>
                                            <w:left w:val="none" w:sz="0" w:space="0" w:color="auto"/>
                                            <w:bottom w:val="none" w:sz="0" w:space="0" w:color="auto"/>
                                            <w:right w:val="none" w:sz="0" w:space="0" w:color="auto"/>
                                          </w:divBdr>
                                          <w:divsChild>
                                            <w:div w:id="233972359">
                                              <w:marLeft w:val="0"/>
                                              <w:marRight w:val="0"/>
                                              <w:marTop w:val="0"/>
                                              <w:marBottom w:val="0"/>
                                              <w:divBdr>
                                                <w:top w:val="none" w:sz="0" w:space="0" w:color="auto"/>
                                                <w:left w:val="none" w:sz="0" w:space="0" w:color="auto"/>
                                                <w:bottom w:val="none" w:sz="0" w:space="0" w:color="auto"/>
                                                <w:right w:val="none" w:sz="0" w:space="6" w:color="auto"/>
                                              </w:divBdr>
                                              <w:divsChild>
                                                <w:div w:id="24041053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727946627">
                                      <w:marLeft w:val="0"/>
                                      <w:marRight w:val="0"/>
                                      <w:marTop w:val="0"/>
                                      <w:marBottom w:val="0"/>
                                      <w:divBdr>
                                        <w:top w:val="none" w:sz="0" w:space="0" w:color="auto"/>
                                        <w:left w:val="none" w:sz="0" w:space="0" w:color="auto"/>
                                        <w:bottom w:val="none" w:sz="0" w:space="0" w:color="auto"/>
                                        <w:right w:val="none" w:sz="0" w:space="0" w:color="auto"/>
                                      </w:divBdr>
                                      <w:divsChild>
                                        <w:div w:id="1281455802">
                                          <w:marLeft w:val="0"/>
                                          <w:marRight w:val="0"/>
                                          <w:marTop w:val="0"/>
                                          <w:marBottom w:val="0"/>
                                          <w:divBdr>
                                            <w:top w:val="none" w:sz="0" w:space="0" w:color="auto"/>
                                            <w:left w:val="none" w:sz="0" w:space="0" w:color="auto"/>
                                            <w:bottom w:val="none" w:sz="0" w:space="0" w:color="auto"/>
                                            <w:right w:val="none" w:sz="0" w:space="0" w:color="auto"/>
                                          </w:divBdr>
                                          <w:divsChild>
                                            <w:div w:id="1042708127">
                                              <w:marLeft w:val="0"/>
                                              <w:marRight w:val="0"/>
                                              <w:marTop w:val="0"/>
                                              <w:marBottom w:val="0"/>
                                              <w:divBdr>
                                                <w:top w:val="none" w:sz="0" w:space="0" w:color="auto"/>
                                                <w:left w:val="none" w:sz="0" w:space="0" w:color="auto"/>
                                                <w:bottom w:val="none" w:sz="0" w:space="0" w:color="auto"/>
                                                <w:right w:val="none" w:sz="0" w:space="0" w:color="auto"/>
                                              </w:divBdr>
                                              <w:divsChild>
                                                <w:div w:id="91048950">
                                                  <w:marLeft w:val="120"/>
                                                  <w:marRight w:val="0"/>
                                                  <w:marTop w:val="0"/>
                                                  <w:marBottom w:val="0"/>
                                                  <w:divBdr>
                                                    <w:top w:val="none" w:sz="0" w:space="0" w:color="auto"/>
                                                    <w:left w:val="none" w:sz="0" w:space="0" w:color="auto"/>
                                                    <w:bottom w:val="none" w:sz="0" w:space="0" w:color="auto"/>
                                                    <w:right w:val="none" w:sz="0" w:space="0" w:color="auto"/>
                                                  </w:divBdr>
                                                  <w:divsChild>
                                                    <w:div w:id="856429046">
                                                      <w:marLeft w:val="0"/>
                                                      <w:marRight w:val="0"/>
                                                      <w:marTop w:val="0"/>
                                                      <w:marBottom w:val="0"/>
                                                      <w:divBdr>
                                                        <w:top w:val="none" w:sz="0" w:space="0" w:color="auto"/>
                                                        <w:left w:val="none" w:sz="0" w:space="0" w:color="auto"/>
                                                        <w:bottom w:val="none" w:sz="0" w:space="0" w:color="auto"/>
                                                        <w:right w:val="none" w:sz="0" w:space="0" w:color="auto"/>
                                                      </w:divBdr>
                                                      <w:divsChild>
                                                        <w:div w:id="495221787">
                                                          <w:marLeft w:val="45"/>
                                                          <w:marRight w:val="0"/>
                                                          <w:marTop w:val="0"/>
                                                          <w:marBottom w:val="0"/>
                                                          <w:divBdr>
                                                            <w:top w:val="none" w:sz="0" w:space="0" w:color="auto"/>
                                                            <w:left w:val="none" w:sz="0" w:space="0" w:color="auto"/>
                                                            <w:bottom w:val="none" w:sz="0" w:space="0" w:color="auto"/>
                                                            <w:right w:val="none" w:sz="0" w:space="0" w:color="auto"/>
                                                          </w:divBdr>
                                                          <w:divsChild>
                                                            <w:div w:id="1329602721">
                                                              <w:marLeft w:val="0"/>
                                                              <w:marRight w:val="0"/>
                                                              <w:marTop w:val="0"/>
                                                              <w:marBottom w:val="0"/>
                                                              <w:divBdr>
                                                                <w:top w:val="none" w:sz="0" w:space="0" w:color="auto"/>
                                                                <w:left w:val="none" w:sz="0" w:space="0" w:color="auto"/>
                                                                <w:bottom w:val="none" w:sz="0" w:space="0" w:color="auto"/>
                                                                <w:right w:val="none" w:sz="0" w:space="0" w:color="auto"/>
                                                              </w:divBdr>
                                                              <w:divsChild>
                                                                <w:div w:id="19942517">
                                                                  <w:marLeft w:val="0"/>
                                                                  <w:marRight w:val="0"/>
                                                                  <w:marTop w:val="0"/>
                                                                  <w:marBottom w:val="0"/>
                                                                  <w:divBdr>
                                                                    <w:top w:val="none" w:sz="0" w:space="0" w:color="auto"/>
                                                                    <w:left w:val="none" w:sz="0" w:space="0" w:color="auto"/>
                                                                    <w:bottom w:val="none" w:sz="0" w:space="0" w:color="auto"/>
                                                                    <w:right w:val="none" w:sz="0" w:space="0" w:color="auto"/>
                                                                  </w:divBdr>
                                                                  <w:divsChild>
                                                                    <w:div w:id="160316100">
                                                                      <w:marLeft w:val="0"/>
                                                                      <w:marRight w:val="0"/>
                                                                      <w:marTop w:val="0"/>
                                                                      <w:marBottom w:val="0"/>
                                                                      <w:divBdr>
                                                                        <w:top w:val="none" w:sz="0" w:space="0" w:color="auto"/>
                                                                        <w:left w:val="none" w:sz="0" w:space="0" w:color="auto"/>
                                                                        <w:bottom w:val="none" w:sz="0" w:space="0" w:color="auto"/>
                                                                        <w:right w:val="none" w:sz="0" w:space="0" w:color="auto"/>
                                                                      </w:divBdr>
                                                                      <w:divsChild>
                                                                        <w:div w:id="1867476646">
                                                                          <w:marLeft w:val="0"/>
                                                                          <w:marRight w:val="0"/>
                                                                          <w:marTop w:val="0"/>
                                                                          <w:marBottom w:val="0"/>
                                                                          <w:divBdr>
                                                                            <w:top w:val="none" w:sz="0" w:space="0" w:color="auto"/>
                                                                            <w:left w:val="none" w:sz="0" w:space="0" w:color="auto"/>
                                                                            <w:bottom w:val="none" w:sz="0" w:space="0" w:color="auto"/>
                                                                            <w:right w:val="none" w:sz="0" w:space="0" w:color="auto"/>
                                                                          </w:divBdr>
                                                                          <w:divsChild>
                                                                            <w:div w:id="75289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47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74379354">
      <w:bodyDiv w:val="1"/>
      <w:marLeft w:val="0"/>
      <w:marRight w:val="0"/>
      <w:marTop w:val="0"/>
      <w:marBottom w:val="0"/>
      <w:divBdr>
        <w:top w:val="none" w:sz="0" w:space="0" w:color="auto"/>
        <w:left w:val="none" w:sz="0" w:space="0" w:color="auto"/>
        <w:bottom w:val="none" w:sz="0" w:space="0" w:color="auto"/>
        <w:right w:val="none" w:sz="0" w:space="0" w:color="auto"/>
      </w:divBdr>
    </w:div>
    <w:div w:id="1693917167">
      <w:bodyDiv w:val="1"/>
      <w:marLeft w:val="0"/>
      <w:marRight w:val="0"/>
      <w:marTop w:val="0"/>
      <w:marBottom w:val="0"/>
      <w:divBdr>
        <w:top w:val="none" w:sz="0" w:space="0" w:color="auto"/>
        <w:left w:val="none" w:sz="0" w:space="0" w:color="auto"/>
        <w:bottom w:val="none" w:sz="0" w:space="0" w:color="auto"/>
        <w:right w:val="none" w:sz="0" w:space="0" w:color="auto"/>
      </w:divBdr>
      <w:divsChild>
        <w:div w:id="598216726">
          <w:marLeft w:val="0"/>
          <w:marRight w:val="0"/>
          <w:marTop w:val="0"/>
          <w:marBottom w:val="0"/>
          <w:divBdr>
            <w:top w:val="none" w:sz="0" w:space="0" w:color="auto"/>
            <w:left w:val="none" w:sz="0" w:space="0" w:color="auto"/>
            <w:bottom w:val="none" w:sz="0" w:space="0" w:color="auto"/>
            <w:right w:val="none" w:sz="0" w:space="0" w:color="auto"/>
          </w:divBdr>
        </w:div>
        <w:div w:id="875432323">
          <w:marLeft w:val="0"/>
          <w:marRight w:val="0"/>
          <w:marTop w:val="0"/>
          <w:marBottom w:val="0"/>
          <w:divBdr>
            <w:top w:val="none" w:sz="0" w:space="0" w:color="auto"/>
            <w:left w:val="none" w:sz="0" w:space="0" w:color="auto"/>
            <w:bottom w:val="none" w:sz="0" w:space="0" w:color="auto"/>
            <w:right w:val="none" w:sz="0" w:space="0" w:color="auto"/>
          </w:divBdr>
        </w:div>
        <w:div w:id="1656298915">
          <w:marLeft w:val="0"/>
          <w:marRight w:val="0"/>
          <w:marTop w:val="45"/>
          <w:marBottom w:val="45"/>
          <w:divBdr>
            <w:top w:val="none" w:sz="0" w:space="0" w:color="auto"/>
            <w:left w:val="none" w:sz="0" w:space="0" w:color="auto"/>
            <w:bottom w:val="none" w:sz="0" w:space="0" w:color="auto"/>
            <w:right w:val="none" w:sz="0" w:space="0" w:color="auto"/>
          </w:divBdr>
        </w:div>
        <w:div w:id="1857959040">
          <w:marLeft w:val="0"/>
          <w:marRight w:val="0"/>
          <w:marTop w:val="75"/>
          <w:marBottom w:val="75"/>
          <w:divBdr>
            <w:top w:val="none" w:sz="0" w:space="0" w:color="auto"/>
            <w:left w:val="none" w:sz="0" w:space="0" w:color="auto"/>
            <w:bottom w:val="none" w:sz="0" w:space="0" w:color="auto"/>
            <w:right w:val="none" w:sz="0" w:space="0" w:color="auto"/>
          </w:divBdr>
          <w:divsChild>
            <w:div w:id="1810703172">
              <w:marLeft w:val="0"/>
              <w:marRight w:val="0"/>
              <w:marTop w:val="0"/>
              <w:marBottom w:val="0"/>
              <w:divBdr>
                <w:top w:val="none" w:sz="0" w:space="0" w:color="auto"/>
                <w:left w:val="none" w:sz="0" w:space="0" w:color="auto"/>
                <w:bottom w:val="none" w:sz="0" w:space="0" w:color="auto"/>
                <w:right w:val="none" w:sz="0" w:space="0" w:color="auto"/>
              </w:divBdr>
            </w:div>
          </w:divsChild>
        </w:div>
        <w:div w:id="134686845">
          <w:marLeft w:val="0"/>
          <w:marRight w:val="0"/>
          <w:marTop w:val="0"/>
          <w:marBottom w:val="0"/>
          <w:divBdr>
            <w:top w:val="none" w:sz="0" w:space="0" w:color="auto"/>
            <w:left w:val="none" w:sz="0" w:space="0" w:color="auto"/>
            <w:bottom w:val="none" w:sz="0" w:space="0" w:color="auto"/>
            <w:right w:val="none" w:sz="0" w:space="0" w:color="auto"/>
          </w:divBdr>
          <w:divsChild>
            <w:div w:id="1904679367">
              <w:marLeft w:val="0"/>
              <w:marRight w:val="0"/>
              <w:marTop w:val="0"/>
              <w:marBottom w:val="0"/>
              <w:divBdr>
                <w:top w:val="none" w:sz="0" w:space="0" w:color="auto"/>
                <w:left w:val="none" w:sz="0" w:space="0" w:color="auto"/>
                <w:bottom w:val="none" w:sz="0" w:space="0" w:color="auto"/>
                <w:right w:val="none" w:sz="0" w:space="0" w:color="auto"/>
              </w:divBdr>
              <w:divsChild>
                <w:div w:id="1617324926">
                  <w:marLeft w:val="0"/>
                  <w:marRight w:val="0"/>
                  <w:marTop w:val="0"/>
                  <w:marBottom w:val="0"/>
                  <w:divBdr>
                    <w:top w:val="none" w:sz="0" w:space="0" w:color="auto"/>
                    <w:left w:val="none" w:sz="0" w:space="0" w:color="auto"/>
                    <w:bottom w:val="none" w:sz="0" w:space="0" w:color="auto"/>
                    <w:right w:val="none" w:sz="0" w:space="0" w:color="auto"/>
                  </w:divBdr>
                  <w:divsChild>
                    <w:div w:id="2074112968">
                      <w:marLeft w:val="0"/>
                      <w:marRight w:val="0"/>
                      <w:marTop w:val="0"/>
                      <w:marBottom w:val="0"/>
                      <w:divBdr>
                        <w:top w:val="none" w:sz="0" w:space="0" w:color="auto"/>
                        <w:left w:val="none" w:sz="0" w:space="0" w:color="auto"/>
                        <w:bottom w:val="none" w:sz="0" w:space="0" w:color="auto"/>
                        <w:right w:val="none" w:sz="0" w:space="0" w:color="auto"/>
                      </w:divBdr>
                      <w:divsChild>
                        <w:div w:id="918829036">
                          <w:marLeft w:val="0"/>
                          <w:marRight w:val="0"/>
                          <w:marTop w:val="0"/>
                          <w:marBottom w:val="0"/>
                          <w:divBdr>
                            <w:top w:val="none" w:sz="0" w:space="0" w:color="auto"/>
                            <w:left w:val="none" w:sz="0" w:space="0" w:color="auto"/>
                            <w:bottom w:val="none" w:sz="0" w:space="0" w:color="auto"/>
                            <w:right w:val="none" w:sz="0" w:space="0" w:color="auto"/>
                          </w:divBdr>
                          <w:divsChild>
                            <w:div w:id="1403215157">
                              <w:marLeft w:val="0"/>
                              <w:marRight w:val="0"/>
                              <w:marTop w:val="0"/>
                              <w:marBottom w:val="0"/>
                              <w:divBdr>
                                <w:top w:val="none" w:sz="0" w:space="0" w:color="auto"/>
                                <w:left w:val="none" w:sz="0" w:space="0" w:color="auto"/>
                                <w:bottom w:val="none" w:sz="0" w:space="0" w:color="auto"/>
                                <w:right w:val="none" w:sz="0" w:space="0" w:color="auto"/>
                              </w:divBdr>
                              <w:divsChild>
                                <w:div w:id="277110149">
                                  <w:marLeft w:val="0"/>
                                  <w:marRight w:val="0"/>
                                  <w:marTop w:val="0"/>
                                  <w:marBottom w:val="0"/>
                                  <w:divBdr>
                                    <w:top w:val="single" w:sz="8" w:space="3" w:color="E1E1E1"/>
                                    <w:left w:val="none" w:sz="0" w:space="0" w:color="auto"/>
                                    <w:bottom w:val="none" w:sz="0" w:space="0" w:color="auto"/>
                                    <w:right w:val="none" w:sz="0" w:space="0" w:color="auto"/>
                                  </w:divBdr>
                                </w:div>
                              </w:divsChild>
                            </w:div>
                            <w:div w:id="1493834591">
                              <w:marLeft w:val="0"/>
                              <w:marRight w:val="0"/>
                              <w:marTop w:val="0"/>
                              <w:marBottom w:val="0"/>
                              <w:divBdr>
                                <w:top w:val="none" w:sz="0" w:space="0" w:color="auto"/>
                                <w:left w:val="none" w:sz="0" w:space="0" w:color="auto"/>
                                <w:bottom w:val="none" w:sz="0" w:space="0" w:color="auto"/>
                                <w:right w:val="none" w:sz="0" w:space="0" w:color="auto"/>
                              </w:divBdr>
                            </w:div>
                            <w:div w:id="547693539">
                              <w:marLeft w:val="0"/>
                              <w:marRight w:val="0"/>
                              <w:marTop w:val="0"/>
                              <w:marBottom w:val="0"/>
                              <w:divBdr>
                                <w:top w:val="none" w:sz="0" w:space="0" w:color="auto"/>
                                <w:left w:val="none" w:sz="0" w:space="0" w:color="auto"/>
                                <w:bottom w:val="none" w:sz="0" w:space="0" w:color="auto"/>
                                <w:right w:val="none" w:sz="0" w:space="0" w:color="auto"/>
                              </w:divBdr>
                            </w:div>
                            <w:div w:id="1056315951">
                              <w:marLeft w:val="0"/>
                              <w:marRight w:val="0"/>
                              <w:marTop w:val="0"/>
                              <w:marBottom w:val="0"/>
                              <w:divBdr>
                                <w:top w:val="none" w:sz="0" w:space="0" w:color="auto"/>
                                <w:left w:val="none" w:sz="0" w:space="0" w:color="auto"/>
                                <w:bottom w:val="none" w:sz="0" w:space="0" w:color="auto"/>
                                <w:right w:val="none" w:sz="0" w:space="0" w:color="auto"/>
                              </w:divBdr>
                            </w:div>
                            <w:div w:id="318120666">
                              <w:marLeft w:val="0"/>
                              <w:marRight w:val="0"/>
                              <w:marTop w:val="0"/>
                              <w:marBottom w:val="0"/>
                              <w:divBdr>
                                <w:top w:val="none" w:sz="0" w:space="0" w:color="auto"/>
                                <w:left w:val="none" w:sz="0" w:space="0" w:color="auto"/>
                                <w:bottom w:val="none" w:sz="0" w:space="0" w:color="auto"/>
                                <w:right w:val="none" w:sz="0" w:space="0" w:color="auto"/>
                              </w:divBdr>
                            </w:div>
                            <w:div w:id="167409045">
                              <w:marLeft w:val="0"/>
                              <w:marRight w:val="0"/>
                              <w:marTop w:val="0"/>
                              <w:marBottom w:val="0"/>
                              <w:divBdr>
                                <w:top w:val="none" w:sz="0" w:space="0" w:color="auto"/>
                                <w:left w:val="none" w:sz="0" w:space="0" w:color="auto"/>
                                <w:bottom w:val="none" w:sz="0" w:space="0" w:color="auto"/>
                                <w:right w:val="none" w:sz="0" w:space="0" w:color="auto"/>
                              </w:divBdr>
                            </w:div>
                            <w:div w:id="2126843683">
                              <w:marLeft w:val="0"/>
                              <w:marRight w:val="0"/>
                              <w:marTop w:val="0"/>
                              <w:marBottom w:val="0"/>
                              <w:divBdr>
                                <w:top w:val="none" w:sz="0" w:space="0" w:color="auto"/>
                                <w:left w:val="none" w:sz="0" w:space="0" w:color="auto"/>
                                <w:bottom w:val="none" w:sz="0" w:space="0" w:color="auto"/>
                                <w:right w:val="none" w:sz="0" w:space="0" w:color="auto"/>
                              </w:divBdr>
                            </w:div>
                            <w:div w:id="771586731">
                              <w:marLeft w:val="0"/>
                              <w:marRight w:val="0"/>
                              <w:marTop w:val="0"/>
                              <w:marBottom w:val="0"/>
                              <w:divBdr>
                                <w:top w:val="none" w:sz="0" w:space="0" w:color="auto"/>
                                <w:left w:val="none" w:sz="0" w:space="0" w:color="auto"/>
                                <w:bottom w:val="none" w:sz="0" w:space="0" w:color="auto"/>
                                <w:right w:val="none" w:sz="0" w:space="0" w:color="auto"/>
                              </w:divBdr>
                            </w:div>
                            <w:div w:id="503059302">
                              <w:marLeft w:val="0"/>
                              <w:marRight w:val="0"/>
                              <w:marTop w:val="0"/>
                              <w:marBottom w:val="0"/>
                              <w:divBdr>
                                <w:top w:val="none" w:sz="0" w:space="0" w:color="auto"/>
                                <w:left w:val="none" w:sz="0" w:space="0" w:color="auto"/>
                                <w:bottom w:val="none" w:sz="0" w:space="0" w:color="auto"/>
                                <w:right w:val="none" w:sz="0" w:space="0" w:color="auto"/>
                              </w:divBdr>
                            </w:div>
                            <w:div w:id="1072580208">
                              <w:marLeft w:val="0"/>
                              <w:marRight w:val="0"/>
                              <w:marTop w:val="0"/>
                              <w:marBottom w:val="0"/>
                              <w:divBdr>
                                <w:top w:val="none" w:sz="0" w:space="0" w:color="auto"/>
                                <w:left w:val="none" w:sz="0" w:space="0" w:color="auto"/>
                                <w:bottom w:val="none" w:sz="0" w:space="0" w:color="auto"/>
                                <w:right w:val="none" w:sz="0" w:space="0" w:color="auto"/>
                              </w:divBdr>
                            </w:div>
                            <w:div w:id="1509058922">
                              <w:marLeft w:val="0"/>
                              <w:marRight w:val="0"/>
                              <w:marTop w:val="0"/>
                              <w:marBottom w:val="0"/>
                              <w:divBdr>
                                <w:top w:val="none" w:sz="0" w:space="0" w:color="auto"/>
                                <w:left w:val="none" w:sz="0" w:space="0" w:color="auto"/>
                                <w:bottom w:val="none" w:sz="0" w:space="0" w:color="auto"/>
                                <w:right w:val="none" w:sz="0" w:space="0" w:color="auto"/>
                              </w:divBdr>
                            </w:div>
                            <w:div w:id="912468219">
                              <w:marLeft w:val="0"/>
                              <w:marRight w:val="0"/>
                              <w:marTop w:val="0"/>
                              <w:marBottom w:val="0"/>
                              <w:divBdr>
                                <w:top w:val="none" w:sz="0" w:space="0" w:color="auto"/>
                                <w:left w:val="none" w:sz="0" w:space="0" w:color="auto"/>
                                <w:bottom w:val="none" w:sz="0" w:space="0" w:color="auto"/>
                                <w:right w:val="none" w:sz="0" w:space="0" w:color="auto"/>
                              </w:divBdr>
                            </w:div>
                            <w:div w:id="863637651">
                              <w:marLeft w:val="0"/>
                              <w:marRight w:val="0"/>
                              <w:marTop w:val="0"/>
                              <w:marBottom w:val="0"/>
                              <w:divBdr>
                                <w:top w:val="none" w:sz="0" w:space="0" w:color="auto"/>
                                <w:left w:val="none" w:sz="0" w:space="0" w:color="auto"/>
                                <w:bottom w:val="none" w:sz="0" w:space="0" w:color="auto"/>
                                <w:right w:val="none" w:sz="0" w:space="0" w:color="auto"/>
                              </w:divBdr>
                            </w:div>
                            <w:div w:id="1997222553">
                              <w:marLeft w:val="0"/>
                              <w:marRight w:val="0"/>
                              <w:marTop w:val="0"/>
                              <w:marBottom w:val="0"/>
                              <w:divBdr>
                                <w:top w:val="none" w:sz="0" w:space="0" w:color="auto"/>
                                <w:left w:val="none" w:sz="0" w:space="0" w:color="auto"/>
                                <w:bottom w:val="none" w:sz="0" w:space="0" w:color="auto"/>
                                <w:right w:val="none" w:sz="0" w:space="0" w:color="auto"/>
                              </w:divBdr>
                            </w:div>
                            <w:div w:id="842401575">
                              <w:marLeft w:val="0"/>
                              <w:marRight w:val="0"/>
                              <w:marTop w:val="0"/>
                              <w:marBottom w:val="0"/>
                              <w:divBdr>
                                <w:top w:val="none" w:sz="0" w:space="0" w:color="auto"/>
                                <w:left w:val="none" w:sz="0" w:space="0" w:color="auto"/>
                                <w:bottom w:val="none" w:sz="0" w:space="0" w:color="auto"/>
                                <w:right w:val="none" w:sz="0" w:space="0" w:color="auto"/>
                              </w:divBdr>
                            </w:div>
                            <w:div w:id="1865901338">
                              <w:marLeft w:val="0"/>
                              <w:marRight w:val="0"/>
                              <w:marTop w:val="0"/>
                              <w:marBottom w:val="0"/>
                              <w:divBdr>
                                <w:top w:val="none" w:sz="0" w:space="0" w:color="auto"/>
                                <w:left w:val="none" w:sz="0" w:space="0" w:color="auto"/>
                                <w:bottom w:val="none" w:sz="0" w:space="0" w:color="auto"/>
                                <w:right w:val="none" w:sz="0" w:space="0" w:color="auto"/>
                              </w:divBdr>
                            </w:div>
                            <w:div w:id="1225869458">
                              <w:marLeft w:val="0"/>
                              <w:marRight w:val="0"/>
                              <w:marTop w:val="0"/>
                              <w:marBottom w:val="0"/>
                              <w:divBdr>
                                <w:top w:val="none" w:sz="0" w:space="0" w:color="auto"/>
                                <w:left w:val="none" w:sz="0" w:space="0" w:color="auto"/>
                                <w:bottom w:val="none" w:sz="0" w:space="0" w:color="auto"/>
                                <w:right w:val="none" w:sz="0" w:space="0" w:color="auto"/>
                              </w:divBdr>
                              <w:divsChild>
                                <w:div w:id="729501139">
                                  <w:marLeft w:val="0"/>
                                  <w:marRight w:val="0"/>
                                  <w:marTop w:val="0"/>
                                  <w:marBottom w:val="0"/>
                                  <w:divBdr>
                                    <w:top w:val="none" w:sz="0" w:space="0" w:color="auto"/>
                                    <w:left w:val="none" w:sz="0" w:space="0" w:color="auto"/>
                                    <w:bottom w:val="none" w:sz="0" w:space="0" w:color="auto"/>
                                    <w:right w:val="none" w:sz="0" w:space="0" w:color="auto"/>
                                  </w:divBdr>
                                </w:div>
                                <w:div w:id="59056549">
                                  <w:marLeft w:val="0"/>
                                  <w:marRight w:val="0"/>
                                  <w:marTop w:val="0"/>
                                  <w:marBottom w:val="0"/>
                                  <w:divBdr>
                                    <w:top w:val="none" w:sz="0" w:space="0" w:color="auto"/>
                                    <w:left w:val="none" w:sz="0" w:space="0" w:color="auto"/>
                                    <w:bottom w:val="none" w:sz="0" w:space="0" w:color="auto"/>
                                    <w:right w:val="none" w:sz="0" w:space="0" w:color="auto"/>
                                  </w:divBdr>
                                  <w:divsChild>
                                    <w:div w:id="83580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1255632">
      <w:bodyDiv w:val="1"/>
      <w:marLeft w:val="0"/>
      <w:marRight w:val="0"/>
      <w:marTop w:val="0"/>
      <w:marBottom w:val="0"/>
      <w:divBdr>
        <w:top w:val="none" w:sz="0" w:space="0" w:color="auto"/>
        <w:left w:val="none" w:sz="0" w:space="0" w:color="auto"/>
        <w:bottom w:val="none" w:sz="0" w:space="0" w:color="auto"/>
        <w:right w:val="none" w:sz="0" w:space="0" w:color="auto"/>
      </w:divBdr>
    </w:div>
    <w:div w:id="1976985130">
      <w:bodyDiv w:val="1"/>
      <w:marLeft w:val="0"/>
      <w:marRight w:val="0"/>
      <w:marTop w:val="0"/>
      <w:marBottom w:val="0"/>
      <w:divBdr>
        <w:top w:val="none" w:sz="0" w:space="0" w:color="auto"/>
        <w:left w:val="none" w:sz="0" w:space="0" w:color="auto"/>
        <w:bottom w:val="none" w:sz="0" w:space="0" w:color="auto"/>
        <w:right w:val="none" w:sz="0" w:space="0" w:color="auto"/>
      </w:divBdr>
    </w:div>
    <w:div w:id="1978148788">
      <w:bodyDiv w:val="1"/>
      <w:marLeft w:val="0"/>
      <w:marRight w:val="0"/>
      <w:marTop w:val="0"/>
      <w:marBottom w:val="0"/>
      <w:divBdr>
        <w:top w:val="none" w:sz="0" w:space="0" w:color="auto"/>
        <w:left w:val="none" w:sz="0" w:space="0" w:color="auto"/>
        <w:bottom w:val="none" w:sz="0" w:space="0" w:color="auto"/>
        <w:right w:val="none" w:sz="0" w:space="0" w:color="auto"/>
      </w:divBdr>
    </w:div>
    <w:div w:id="1987273583">
      <w:bodyDiv w:val="1"/>
      <w:marLeft w:val="0"/>
      <w:marRight w:val="0"/>
      <w:marTop w:val="0"/>
      <w:marBottom w:val="0"/>
      <w:divBdr>
        <w:top w:val="none" w:sz="0" w:space="0" w:color="auto"/>
        <w:left w:val="none" w:sz="0" w:space="0" w:color="auto"/>
        <w:bottom w:val="none" w:sz="0" w:space="0" w:color="auto"/>
        <w:right w:val="none" w:sz="0" w:space="0" w:color="auto"/>
      </w:divBdr>
    </w:div>
    <w:div w:id="1989939618">
      <w:bodyDiv w:val="1"/>
      <w:marLeft w:val="0"/>
      <w:marRight w:val="0"/>
      <w:marTop w:val="0"/>
      <w:marBottom w:val="0"/>
      <w:divBdr>
        <w:top w:val="none" w:sz="0" w:space="0" w:color="auto"/>
        <w:left w:val="none" w:sz="0" w:space="0" w:color="auto"/>
        <w:bottom w:val="none" w:sz="0" w:space="0" w:color="auto"/>
        <w:right w:val="none" w:sz="0" w:space="0" w:color="auto"/>
      </w:divBdr>
    </w:div>
    <w:div w:id="2000845921">
      <w:bodyDiv w:val="1"/>
      <w:marLeft w:val="0"/>
      <w:marRight w:val="0"/>
      <w:marTop w:val="0"/>
      <w:marBottom w:val="0"/>
      <w:divBdr>
        <w:top w:val="none" w:sz="0" w:space="0" w:color="auto"/>
        <w:left w:val="none" w:sz="0" w:space="0" w:color="auto"/>
        <w:bottom w:val="none" w:sz="0" w:space="0" w:color="auto"/>
        <w:right w:val="none" w:sz="0" w:space="0" w:color="auto"/>
      </w:divBdr>
    </w:div>
    <w:div w:id="2020422539">
      <w:bodyDiv w:val="1"/>
      <w:marLeft w:val="0"/>
      <w:marRight w:val="0"/>
      <w:marTop w:val="0"/>
      <w:marBottom w:val="0"/>
      <w:divBdr>
        <w:top w:val="none" w:sz="0" w:space="0" w:color="auto"/>
        <w:left w:val="none" w:sz="0" w:space="0" w:color="auto"/>
        <w:bottom w:val="none" w:sz="0" w:space="0" w:color="auto"/>
        <w:right w:val="none" w:sz="0" w:space="0" w:color="auto"/>
      </w:divBdr>
    </w:div>
    <w:div w:id="2092771047">
      <w:bodyDiv w:val="1"/>
      <w:marLeft w:val="0"/>
      <w:marRight w:val="0"/>
      <w:marTop w:val="0"/>
      <w:marBottom w:val="0"/>
      <w:divBdr>
        <w:top w:val="none" w:sz="0" w:space="0" w:color="auto"/>
        <w:left w:val="none" w:sz="0" w:space="0" w:color="auto"/>
        <w:bottom w:val="none" w:sz="0" w:space="0" w:color="auto"/>
        <w:right w:val="none" w:sz="0" w:space="0" w:color="auto"/>
      </w:divBdr>
      <w:divsChild>
        <w:div w:id="2081826152">
          <w:marLeft w:val="0"/>
          <w:marRight w:val="0"/>
          <w:marTop w:val="0"/>
          <w:marBottom w:val="375"/>
          <w:divBdr>
            <w:top w:val="none" w:sz="0" w:space="0" w:color="auto"/>
            <w:left w:val="none" w:sz="0" w:space="0" w:color="auto"/>
            <w:bottom w:val="none" w:sz="0" w:space="0" w:color="auto"/>
            <w:right w:val="none" w:sz="0" w:space="0" w:color="auto"/>
          </w:divBdr>
          <w:divsChild>
            <w:div w:id="58550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908276">
      <w:bodyDiv w:val="1"/>
      <w:marLeft w:val="0"/>
      <w:marRight w:val="0"/>
      <w:marTop w:val="0"/>
      <w:marBottom w:val="0"/>
      <w:divBdr>
        <w:top w:val="none" w:sz="0" w:space="0" w:color="auto"/>
        <w:left w:val="none" w:sz="0" w:space="0" w:color="auto"/>
        <w:bottom w:val="none" w:sz="0" w:space="0" w:color="auto"/>
        <w:right w:val="none" w:sz="0" w:space="0" w:color="auto"/>
      </w:divBdr>
    </w:div>
    <w:div w:id="2134320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Layout" Target="diagrams/layout2.xml"/><Relationship Id="rId117" Type="http://schemas.openxmlformats.org/officeDocument/2006/relationships/image" Target="media/image36.tiff"/><Relationship Id="rId21" Type="http://schemas.openxmlformats.org/officeDocument/2006/relationships/diagramLayout" Target="diagrams/layout1.xml"/><Relationship Id="rId42" Type="http://schemas.openxmlformats.org/officeDocument/2006/relationships/chart" Target="charts/chart10.xml"/><Relationship Id="rId47" Type="http://schemas.openxmlformats.org/officeDocument/2006/relationships/chart" Target="charts/chart15.xml"/><Relationship Id="rId63" Type="http://schemas.openxmlformats.org/officeDocument/2006/relationships/chart" Target="charts/chart24.xml"/><Relationship Id="rId68" Type="http://schemas.openxmlformats.org/officeDocument/2006/relationships/chart" Target="charts/chart29.xml"/><Relationship Id="rId84" Type="http://schemas.openxmlformats.org/officeDocument/2006/relationships/diagramQuickStyle" Target="diagrams/quickStyle5.xml"/><Relationship Id="rId89" Type="http://schemas.openxmlformats.org/officeDocument/2006/relationships/image" Target="media/image22.emf"/><Relationship Id="rId112" Type="http://schemas.openxmlformats.org/officeDocument/2006/relationships/image" Target="media/image31.tiff"/><Relationship Id="rId133" Type="http://schemas.openxmlformats.org/officeDocument/2006/relationships/image" Target="media/image49.emf"/><Relationship Id="rId138" Type="http://schemas.openxmlformats.org/officeDocument/2006/relationships/image" Target="media/image54.png"/><Relationship Id="rId154" Type="http://schemas.openxmlformats.org/officeDocument/2006/relationships/diagramLayout" Target="diagrams/layout10.xml"/><Relationship Id="rId159" Type="http://schemas.openxmlformats.org/officeDocument/2006/relationships/diagramLayout" Target="diagrams/layout11.xml"/><Relationship Id="rId16" Type="http://schemas.openxmlformats.org/officeDocument/2006/relationships/image" Target="media/image6.emf"/><Relationship Id="rId107" Type="http://schemas.openxmlformats.org/officeDocument/2006/relationships/diagramLayout" Target="diagrams/layout7.xml"/><Relationship Id="rId11" Type="http://schemas.openxmlformats.org/officeDocument/2006/relationships/header" Target="header1.xml"/><Relationship Id="rId32" Type="http://schemas.openxmlformats.org/officeDocument/2006/relationships/diagramQuickStyle" Target="diagrams/quickStyle3.xml"/><Relationship Id="rId37" Type="http://schemas.openxmlformats.org/officeDocument/2006/relationships/chart" Target="charts/chart5.xml"/><Relationship Id="rId53" Type="http://schemas.openxmlformats.org/officeDocument/2006/relationships/chart" Target="charts/chart20.xml"/><Relationship Id="rId58" Type="http://schemas.openxmlformats.org/officeDocument/2006/relationships/diagramLayout" Target="diagrams/layout4.xml"/><Relationship Id="rId74" Type="http://schemas.openxmlformats.org/officeDocument/2006/relationships/image" Target="media/image12.emf"/><Relationship Id="rId79" Type="http://schemas.openxmlformats.org/officeDocument/2006/relationships/image" Target="media/image17.emf"/><Relationship Id="rId102" Type="http://schemas.openxmlformats.org/officeDocument/2006/relationships/chart" Target="charts/chart33.xml"/><Relationship Id="rId123" Type="http://schemas.openxmlformats.org/officeDocument/2006/relationships/image" Target="media/image39.emf"/><Relationship Id="rId128" Type="http://schemas.openxmlformats.org/officeDocument/2006/relationships/image" Target="media/image44.emf"/><Relationship Id="rId144" Type="http://schemas.openxmlformats.org/officeDocument/2006/relationships/diagramLayout" Target="diagrams/layout8.xml"/><Relationship Id="rId149" Type="http://schemas.openxmlformats.org/officeDocument/2006/relationships/diagramLayout" Target="diagrams/layout9.xml"/><Relationship Id="rId5" Type="http://schemas.openxmlformats.org/officeDocument/2006/relationships/settings" Target="settings.xml"/><Relationship Id="rId90" Type="http://schemas.openxmlformats.org/officeDocument/2006/relationships/image" Target="media/image23.emf"/><Relationship Id="rId95" Type="http://schemas.openxmlformats.org/officeDocument/2006/relationships/image" Target="media/image28.jpeg"/><Relationship Id="rId160" Type="http://schemas.openxmlformats.org/officeDocument/2006/relationships/diagramQuickStyle" Target="diagrams/quickStyle11.xml"/><Relationship Id="rId22" Type="http://schemas.openxmlformats.org/officeDocument/2006/relationships/diagramQuickStyle" Target="diagrams/quickStyle1.xml"/><Relationship Id="rId27" Type="http://schemas.openxmlformats.org/officeDocument/2006/relationships/diagramQuickStyle" Target="diagrams/quickStyle2.xml"/><Relationship Id="rId43" Type="http://schemas.openxmlformats.org/officeDocument/2006/relationships/chart" Target="charts/chart11.xml"/><Relationship Id="rId48" Type="http://schemas.openxmlformats.org/officeDocument/2006/relationships/chart" Target="charts/chart16.xml"/><Relationship Id="rId64" Type="http://schemas.openxmlformats.org/officeDocument/2006/relationships/chart" Target="charts/chart25.xml"/><Relationship Id="rId69" Type="http://schemas.openxmlformats.org/officeDocument/2006/relationships/chart" Target="charts/chart30.xml"/><Relationship Id="rId113" Type="http://schemas.openxmlformats.org/officeDocument/2006/relationships/image" Target="media/image32.tiff"/><Relationship Id="rId118" Type="http://schemas.openxmlformats.org/officeDocument/2006/relationships/image" Target="media/image37.emf"/><Relationship Id="rId134" Type="http://schemas.openxmlformats.org/officeDocument/2006/relationships/image" Target="media/image50.emf"/><Relationship Id="rId139" Type="http://schemas.openxmlformats.org/officeDocument/2006/relationships/image" Target="media/image55.png"/><Relationship Id="rId80" Type="http://schemas.openxmlformats.org/officeDocument/2006/relationships/image" Target="media/image18.emf"/><Relationship Id="rId85" Type="http://schemas.openxmlformats.org/officeDocument/2006/relationships/diagramColors" Target="diagrams/colors5.xml"/><Relationship Id="rId150" Type="http://schemas.openxmlformats.org/officeDocument/2006/relationships/diagramQuickStyle" Target="diagrams/quickStyle9.xml"/><Relationship Id="rId155" Type="http://schemas.openxmlformats.org/officeDocument/2006/relationships/diagramQuickStyle" Target="diagrams/quickStyle10.xml"/><Relationship Id="rId12" Type="http://schemas.openxmlformats.org/officeDocument/2006/relationships/footer" Target="footer1.xml"/><Relationship Id="rId17" Type="http://schemas.openxmlformats.org/officeDocument/2006/relationships/image" Target="media/image7.emf"/><Relationship Id="rId33" Type="http://schemas.openxmlformats.org/officeDocument/2006/relationships/diagramColors" Target="diagrams/colors3.xml"/><Relationship Id="rId38" Type="http://schemas.openxmlformats.org/officeDocument/2006/relationships/chart" Target="charts/chart6.xml"/><Relationship Id="rId59" Type="http://schemas.openxmlformats.org/officeDocument/2006/relationships/diagramQuickStyle" Target="diagrams/quickStyle4.xml"/><Relationship Id="rId103" Type="http://schemas.openxmlformats.org/officeDocument/2006/relationships/header" Target="header2.xml"/><Relationship Id="rId108" Type="http://schemas.openxmlformats.org/officeDocument/2006/relationships/diagramQuickStyle" Target="diagrams/quickStyle7.xml"/><Relationship Id="rId124" Type="http://schemas.openxmlformats.org/officeDocument/2006/relationships/image" Target="media/image40.emf"/><Relationship Id="rId129" Type="http://schemas.openxmlformats.org/officeDocument/2006/relationships/image" Target="media/image45.emf"/><Relationship Id="rId54" Type="http://schemas.openxmlformats.org/officeDocument/2006/relationships/chart" Target="charts/chart21.xml"/><Relationship Id="rId70" Type="http://schemas.openxmlformats.org/officeDocument/2006/relationships/chart" Target="charts/chart31.xml"/><Relationship Id="rId75" Type="http://schemas.openxmlformats.org/officeDocument/2006/relationships/image" Target="media/image13.emf"/><Relationship Id="rId91" Type="http://schemas.openxmlformats.org/officeDocument/2006/relationships/image" Target="media/image24.emf"/><Relationship Id="rId96" Type="http://schemas.openxmlformats.org/officeDocument/2006/relationships/diagramData" Target="diagrams/data6.xml"/><Relationship Id="rId140" Type="http://schemas.openxmlformats.org/officeDocument/2006/relationships/image" Target="media/image56.png"/><Relationship Id="rId145" Type="http://schemas.openxmlformats.org/officeDocument/2006/relationships/diagramQuickStyle" Target="diagrams/quickStyle8.xml"/><Relationship Id="rId161" Type="http://schemas.openxmlformats.org/officeDocument/2006/relationships/diagramColors" Target="diagrams/colors1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diagramColors" Target="diagrams/colors1.xml"/><Relationship Id="rId28" Type="http://schemas.openxmlformats.org/officeDocument/2006/relationships/diagramColors" Target="diagrams/colors2.xml"/><Relationship Id="rId36" Type="http://schemas.openxmlformats.org/officeDocument/2006/relationships/chart" Target="charts/chart4.xml"/><Relationship Id="rId49" Type="http://schemas.openxmlformats.org/officeDocument/2006/relationships/chart" Target="charts/chart17.xml"/><Relationship Id="rId57" Type="http://schemas.openxmlformats.org/officeDocument/2006/relationships/diagramData" Target="diagrams/data4.xml"/><Relationship Id="rId106" Type="http://schemas.openxmlformats.org/officeDocument/2006/relationships/diagramData" Target="diagrams/data7.xml"/><Relationship Id="rId114" Type="http://schemas.openxmlformats.org/officeDocument/2006/relationships/image" Target="media/image33.tiff"/><Relationship Id="rId119" Type="http://schemas.openxmlformats.org/officeDocument/2006/relationships/image" Target="media/image38.jpeg"/><Relationship Id="rId127" Type="http://schemas.openxmlformats.org/officeDocument/2006/relationships/image" Target="media/image43.emf"/><Relationship Id="rId10" Type="http://schemas.openxmlformats.org/officeDocument/2006/relationships/image" Target="media/image2.png"/><Relationship Id="rId31" Type="http://schemas.openxmlformats.org/officeDocument/2006/relationships/diagramLayout" Target="diagrams/layout3.xml"/><Relationship Id="rId44" Type="http://schemas.openxmlformats.org/officeDocument/2006/relationships/chart" Target="charts/chart12.xml"/><Relationship Id="rId52" Type="http://schemas.openxmlformats.org/officeDocument/2006/relationships/chart" Target="charts/chart19.xml"/><Relationship Id="rId60" Type="http://schemas.openxmlformats.org/officeDocument/2006/relationships/diagramColors" Target="diagrams/colors4.xml"/><Relationship Id="rId65" Type="http://schemas.openxmlformats.org/officeDocument/2006/relationships/chart" Target="charts/chart26.xml"/><Relationship Id="rId73" Type="http://schemas.openxmlformats.org/officeDocument/2006/relationships/image" Target="media/image11.emf"/><Relationship Id="rId78" Type="http://schemas.openxmlformats.org/officeDocument/2006/relationships/image" Target="media/image16.emf"/><Relationship Id="rId81" Type="http://schemas.openxmlformats.org/officeDocument/2006/relationships/image" Target="media/image19.emf"/><Relationship Id="rId86" Type="http://schemas.microsoft.com/office/2007/relationships/diagramDrawing" Target="diagrams/drawing5.xml"/><Relationship Id="rId94" Type="http://schemas.openxmlformats.org/officeDocument/2006/relationships/image" Target="media/image27.emf"/><Relationship Id="rId99" Type="http://schemas.openxmlformats.org/officeDocument/2006/relationships/diagramColors" Target="diagrams/colors6.xml"/><Relationship Id="rId101" Type="http://schemas.openxmlformats.org/officeDocument/2006/relationships/image" Target="media/image29.emf"/><Relationship Id="rId122" Type="http://schemas.openxmlformats.org/officeDocument/2006/relationships/hyperlink" Target="https://www.cgdev.org/impacts-and-influence/millions-saved" TargetMode="External"/><Relationship Id="rId130" Type="http://schemas.openxmlformats.org/officeDocument/2006/relationships/image" Target="media/image46.jpeg"/><Relationship Id="rId135" Type="http://schemas.openxmlformats.org/officeDocument/2006/relationships/image" Target="media/image51.emf"/><Relationship Id="rId143" Type="http://schemas.openxmlformats.org/officeDocument/2006/relationships/diagramData" Target="diagrams/data8.xml"/><Relationship Id="rId148" Type="http://schemas.openxmlformats.org/officeDocument/2006/relationships/diagramData" Target="diagrams/data9.xml"/><Relationship Id="rId151" Type="http://schemas.openxmlformats.org/officeDocument/2006/relationships/diagramColors" Target="diagrams/colors9.xml"/><Relationship Id="rId156" Type="http://schemas.openxmlformats.org/officeDocument/2006/relationships/diagramColors" Target="diagrams/colors10.xml"/><Relationship Id="rId16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3" Type="http://schemas.openxmlformats.org/officeDocument/2006/relationships/image" Target="media/image3.jpeg"/><Relationship Id="rId18" Type="http://schemas.openxmlformats.org/officeDocument/2006/relationships/chart" Target="charts/chart1.xml"/><Relationship Id="rId39" Type="http://schemas.openxmlformats.org/officeDocument/2006/relationships/chart" Target="charts/chart7.xml"/><Relationship Id="rId109" Type="http://schemas.openxmlformats.org/officeDocument/2006/relationships/diagramColors" Target="diagrams/colors7.xml"/><Relationship Id="rId34" Type="http://schemas.microsoft.com/office/2007/relationships/diagramDrawing" Target="diagrams/drawing3.xml"/><Relationship Id="rId50" Type="http://schemas.openxmlformats.org/officeDocument/2006/relationships/image" Target="media/image8.emf"/><Relationship Id="rId55" Type="http://schemas.openxmlformats.org/officeDocument/2006/relationships/image" Target="media/image9.emf"/><Relationship Id="rId76" Type="http://schemas.openxmlformats.org/officeDocument/2006/relationships/image" Target="media/image14.emf"/><Relationship Id="rId97" Type="http://schemas.openxmlformats.org/officeDocument/2006/relationships/diagramLayout" Target="diagrams/layout6.xml"/><Relationship Id="rId104" Type="http://schemas.openxmlformats.org/officeDocument/2006/relationships/footer" Target="footer2.xml"/><Relationship Id="rId120" Type="http://schemas.openxmlformats.org/officeDocument/2006/relationships/hyperlink" Target="https://www.gatesfoundatio.org/media-center/press-releases/2009/09/campaign-to-highlight-success-of-US-global-health-investments" TargetMode="External"/><Relationship Id="rId125" Type="http://schemas.openxmlformats.org/officeDocument/2006/relationships/image" Target="media/image41.png"/><Relationship Id="rId141" Type="http://schemas.openxmlformats.org/officeDocument/2006/relationships/image" Target="media/image57.png"/><Relationship Id="rId146" Type="http://schemas.openxmlformats.org/officeDocument/2006/relationships/diagramColors" Target="diagrams/colors8.xml"/><Relationship Id="rId7" Type="http://schemas.openxmlformats.org/officeDocument/2006/relationships/footnotes" Target="footnotes.xml"/><Relationship Id="rId71" Type="http://schemas.openxmlformats.org/officeDocument/2006/relationships/chart" Target="charts/chart32.xml"/><Relationship Id="rId92" Type="http://schemas.openxmlformats.org/officeDocument/2006/relationships/image" Target="media/image25.emf"/><Relationship Id="rId162" Type="http://schemas.microsoft.com/office/2007/relationships/diagramDrawing" Target="diagrams/drawing11.xml"/><Relationship Id="rId2" Type="http://schemas.openxmlformats.org/officeDocument/2006/relationships/customXml" Target="../customXml/item2.xml"/><Relationship Id="rId29" Type="http://schemas.microsoft.com/office/2007/relationships/diagramDrawing" Target="diagrams/drawing2.xml"/><Relationship Id="rId24" Type="http://schemas.microsoft.com/office/2007/relationships/diagramDrawing" Target="diagrams/drawing1.xml"/><Relationship Id="rId40" Type="http://schemas.openxmlformats.org/officeDocument/2006/relationships/chart" Target="charts/chart8.xml"/><Relationship Id="rId45" Type="http://schemas.openxmlformats.org/officeDocument/2006/relationships/chart" Target="charts/chart13.xml"/><Relationship Id="rId66" Type="http://schemas.openxmlformats.org/officeDocument/2006/relationships/chart" Target="charts/chart27.xml"/><Relationship Id="rId87" Type="http://schemas.openxmlformats.org/officeDocument/2006/relationships/image" Target="media/image20.png"/><Relationship Id="rId110" Type="http://schemas.microsoft.com/office/2007/relationships/diagramDrawing" Target="diagrams/drawing7.xml"/><Relationship Id="rId115" Type="http://schemas.openxmlformats.org/officeDocument/2006/relationships/image" Target="media/image34.tiff"/><Relationship Id="rId131" Type="http://schemas.openxmlformats.org/officeDocument/2006/relationships/image" Target="media/image47.emf"/><Relationship Id="rId136" Type="http://schemas.openxmlformats.org/officeDocument/2006/relationships/image" Target="media/image52.emf"/><Relationship Id="rId157" Type="http://schemas.microsoft.com/office/2007/relationships/diagramDrawing" Target="diagrams/drawing10.xml"/><Relationship Id="rId61" Type="http://schemas.microsoft.com/office/2007/relationships/diagramDrawing" Target="diagrams/drawing4.xml"/><Relationship Id="rId82" Type="http://schemas.openxmlformats.org/officeDocument/2006/relationships/diagramData" Target="diagrams/data5.xml"/><Relationship Id="rId152" Type="http://schemas.microsoft.com/office/2007/relationships/diagramDrawing" Target="diagrams/drawing9.xml"/><Relationship Id="rId19" Type="http://schemas.openxmlformats.org/officeDocument/2006/relationships/chart" Target="charts/chart2.xml"/><Relationship Id="rId14" Type="http://schemas.openxmlformats.org/officeDocument/2006/relationships/image" Target="media/image4.tiff"/><Relationship Id="rId30" Type="http://schemas.openxmlformats.org/officeDocument/2006/relationships/diagramData" Target="diagrams/data3.xml"/><Relationship Id="rId35" Type="http://schemas.openxmlformats.org/officeDocument/2006/relationships/chart" Target="charts/chart3.xml"/><Relationship Id="rId56" Type="http://schemas.openxmlformats.org/officeDocument/2006/relationships/chart" Target="charts/chart22.xml"/><Relationship Id="rId77" Type="http://schemas.openxmlformats.org/officeDocument/2006/relationships/image" Target="media/image15.emf"/><Relationship Id="rId100" Type="http://schemas.microsoft.com/office/2007/relationships/diagramDrawing" Target="diagrams/drawing6.xml"/><Relationship Id="rId105" Type="http://schemas.openxmlformats.org/officeDocument/2006/relationships/chart" Target="charts/chart34.xml"/><Relationship Id="rId126" Type="http://schemas.openxmlformats.org/officeDocument/2006/relationships/image" Target="media/image42.emf"/><Relationship Id="rId147" Type="http://schemas.microsoft.com/office/2007/relationships/diagramDrawing" Target="diagrams/drawing8.xml"/><Relationship Id="rId8" Type="http://schemas.openxmlformats.org/officeDocument/2006/relationships/endnotes" Target="endnotes.xml"/><Relationship Id="rId51" Type="http://schemas.openxmlformats.org/officeDocument/2006/relationships/chart" Target="charts/chart18.xml"/><Relationship Id="rId72" Type="http://schemas.openxmlformats.org/officeDocument/2006/relationships/image" Target="media/image10.emf"/><Relationship Id="rId93" Type="http://schemas.openxmlformats.org/officeDocument/2006/relationships/image" Target="media/image26.emf"/><Relationship Id="rId98" Type="http://schemas.openxmlformats.org/officeDocument/2006/relationships/diagramQuickStyle" Target="diagrams/quickStyle6.xml"/><Relationship Id="rId121" Type="http://schemas.openxmlformats.org/officeDocument/2006/relationships/hyperlink" Target="https://www.cgdev.org/page/about-0" TargetMode="External"/><Relationship Id="rId142" Type="http://schemas.openxmlformats.org/officeDocument/2006/relationships/image" Target="media/image58.png"/><Relationship Id="rId163" Type="http://schemas.openxmlformats.org/officeDocument/2006/relationships/fontTable" Target="fontTable.xml"/><Relationship Id="rId3" Type="http://schemas.openxmlformats.org/officeDocument/2006/relationships/numbering" Target="numbering.xml"/><Relationship Id="rId25" Type="http://schemas.openxmlformats.org/officeDocument/2006/relationships/diagramData" Target="diagrams/data2.xml"/><Relationship Id="rId46" Type="http://schemas.openxmlformats.org/officeDocument/2006/relationships/chart" Target="charts/chart14.xml"/><Relationship Id="rId67" Type="http://schemas.openxmlformats.org/officeDocument/2006/relationships/chart" Target="charts/chart28.xml"/><Relationship Id="rId116" Type="http://schemas.openxmlformats.org/officeDocument/2006/relationships/image" Target="media/image35.tiff"/><Relationship Id="rId137" Type="http://schemas.openxmlformats.org/officeDocument/2006/relationships/image" Target="media/image53.png"/><Relationship Id="rId158" Type="http://schemas.openxmlformats.org/officeDocument/2006/relationships/diagramData" Target="diagrams/data11.xml"/><Relationship Id="rId20" Type="http://schemas.openxmlformats.org/officeDocument/2006/relationships/diagramData" Target="diagrams/data1.xml"/><Relationship Id="rId41" Type="http://schemas.openxmlformats.org/officeDocument/2006/relationships/chart" Target="charts/chart9.xml"/><Relationship Id="rId62" Type="http://schemas.openxmlformats.org/officeDocument/2006/relationships/chart" Target="charts/chart23.xml"/><Relationship Id="rId83" Type="http://schemas.openxmlformats.org/officeDocument/2006/relationships/diagramLayout" Target="diagrams/layout5.xml"/><Relationship Id="rId88" Type="http://schemas.openxmlformats.org/officeDocument/2006/relationships/image" Target="media/image21.png"/><Relationship Id="rId111" Type="http://schemas.openxmlformats.org/officeDocument/2006/relationships/image" Target="media/image30.tiff"/><Relationship Id="rId132" Type="http://schemas.openxmlformats.org/officeDocument/2006/relationships/image" Target="media/image48.emf"/><Relationship Id="rId153" Type="http://schemas.openxmlformats.org/officeDocument/2006/relationships/diagramData" Target="diagrams/data10.xml"/></Relationships>
</file>

<file path=word/_rels/footnotes.xml.rels><?xml version="1.0" encoding="UTF-8" standalone="yes"?>
<Relationships xmlns="http://schemas.openxmlformats.org/package/2006/relationships"><Relationship Id="rId8" Type="http://schemas.openxmlformats.org/officeDocument/2006/relationships/hyperlink" Target="https://www.aiddata.org/data/multi-bi-aid-data-version-1-1" TargetMode="External"/><Relationship Id="rId3" Type="http://schemas.openxmlformats.org/officeDocument/2006/relationships/hyperlink" Target="https://www.cgdev.org/impacts-and-influence/millions-saved" TargetMode="External"/><Relationship Id="rId7" Type="http://schemas.openxmlformats.org/officeDocument/2006/relationships/hyperlink" Target="https://stats.oecd.org/Index.aspx?DataSetCode=crs1" TargetMode="External"/><Relationship Id="rId2" Type="http://schemas.openxmlformats.org/officeDocument/2006/relationships/hyperlink" Target="https://www.cgdev.org/page/about-0" TargetMode="External"/><Relationship Id="rId1" Type="http://schemas.openxmlformats.org/officeDocument/2006/relationships/hyperlink" Target="https://www.gatesfoundatio.org/media-center/press-releases/2009/09/campaign-to-highlight-success-of-US-global-health-investments" TargetMode="External"/><Relationship Id="rId6" Type="http://schemas.openxmlformats.org/officeDocument/2006/relationships/hyperlink" Target="https://fiftrustee.worldbank.org/" TargetMode="External"/><Relationship Id="rId11" Type="http://schemas.openxmlformats.org/officeDocument/2006/relationships/hyperlink" Target="http://foreignpolicy.com/2012/03/28/a-primer-on-world-bank-voting-procedures/" TargetMode="External"/><Relationship Id="rId5" Type="http://schemas.openxmlformats.org/officeDocument/2006/relationships/hyperlink" Target="https://finances.worldbank.org/Trust-Funds-and-FIFs/Financial-Intermediary-Funds-Commitments/fie8-6fxn" TargetMode="External"/><Relationship Id="rId10" Type="http://schemas.openxmlformats.org/officeDocument/2006/relationships/hyperlink" Target="http://www.worldbank.org/en/about/what-we-do" TargetMode="External"/><Relationship Id="rId4" Type="http://schemas.openxmlformats.org/officeDocument/2006/relationships/hyperlink" Target="https://extranet.who.int/photolibrary/" TargetMode="External"/><Relationship Id="rId9" Type="http://schemas.openxmlformats.org/officeDocument/2006/relationships/hyperlink" Target="https://drive.google.com/open?id=1b70kHfYqKX-9og9W3PZp0WYz5T-0OHXO"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1684475\Dropbox\Success%20lit%20review%20-%20Jan%202018.xlsx" TargetMode="External"/><Relationship Id="rId2" Type="http://schemas.microsoft.com/office/2011/relationships/chartColorStyle" Target="colors1.xml"/><Relationship Id="rId1" Type="http://schemas.microsoft.com/office/2011/relationships/chartStyle" Target="style1.xml"/></Relationships>
</file>

<file path=word/charts/_rels/chart4.xml.rels><?xml version="1.0" encoding="UTF-8" standalone="yes"?>
<Relationships xmlns="http://schemas.openxmlformats.org/package/2006/relationships"><Relationship Id="rId3" Type="http://schemas.openxmlformats.org/officeDocument/2006/relationships/oleObject" Target="file:///\\Users\phdstudent\Dropbox\Success%20lit%20review%20-%20Jan%202018.xlsx" TargetMode="External"/><Relationship Id="rId2" Type="http://schemas.microsoft.com/office/2011/relationships/chartColorStyle" Target="colors2.xml"/><Relationship Id="rId1" Type="http://schemas.microsoft.com/office/2011/relationships/chartStyle" Target="style2.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1684475\Dropbox\Success%20lit%20review%20-%20Jan%202018.xlsx" TargetMode="External"/><Relationship Id="rId2" Type="http://schemas.microsoft.com/office/2011/relationships/chartColorStyle" Target="colors3.xml"/><Relationship Id="rId1" Type="http://schemas.microsoft.com/office/2011/relationships/chartStyle" Target="style3.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s1684475\Dropbox\Success%20lit%20review%20-%20Jan%202018.xlsx" TargetMode="External"/><Relationship Id="rId2" Type="http://schemas.microsoft.com/office/2011/relationships/chartColorStyle" Target="colors4.xml"/><Relationship Id="rId1" Type="http://schemas.microsoft.com/office/2011/relationships/chartStyle" Target="style4.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chercheur\Dropbox\Success%20lit%20review%20-%20Jan%202018.xlsx" TargetMode="External"/><Relationship Id="rId2" Type="http://schemas.microsoft.com/office/2011/relationships/chartColorStyle" Target="colors5.xml"/><Relationship Id="rId1" Type="http://schemas.microsoft.com/office/2011/relationships/chartStyle" Target="style5.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chercheur\Dropbox\Success%20lit%20review%20-%20Jan%202018.xlsx" TargetMode="External"/><Relationship Id="rId2" Type="http://schemas.microsoft.com/office/2011/relationships/chartColorStyle" Target="colors6.xml"/><Relationship Id="rId1" Type="http://schemas.microsoft.com/office/2011/relationships/chartStyle" Target="style6.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chercheur\Dropbox\Success%20lit%20review%20-%20Jan%202018.xlsx" TargetMode="External"/><Relationship Id="rId2" Type="http://schemas.microsoft.com/office/2011/relationships/chartColorStyle" Target="colors7.xml"/><Relationship Id="rId1" Type="http://schemas.microsoft.com/office/2011/relationships/chartStyle" Target="style7.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chercheur\Dropbox\Success%20lit%20review%20-%20Jan%202018.xlsx" TargetMode="External"/><Relationship Id="rId2" Type="http://schemas.microsoft.com/office/2011/relationships/chartColorStyle" Target="colors8.xml"/><Relationship Id="rId1" Type="http://schemas.microsoft.com/office/2011/relationships/chartStyle" Target="style8.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chercheur\Dropbox\Success%20lit%20review%20-%20Jan%202018.xlsx" TargetMode="External"/><Relationship Id="rId2" Type="http://schemas.microsoft.com/office/2011/relationships/chartColorStyle" Target="colors9.xml"/><Relationship Id="rId1" Type="http://schemas.microsoft.com/office/2011/relationships/chartStyle" Target="style9.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chercheur\Dropbox\Success%20lit%20review%20-%20Jan%202018.xlsx" TargetMode="External"/><Relationship Id="rId2" Type="http://schemas.microsoft.com/office/2011/relationships/chartColorStyle" Target="colors10.xml"/><Relationship Id="rId1" Type="http://schemas.microsoft.com/office/2011/relationships/chartStyle" Target="style10.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chercheur\Dropbox\Success%20lit%20review%20-%20Jan%202018.xlsx" TargetMode="External"/><Relationship Id="rId2" Type="http://schemas.microsoft.com/office/2011/relationships/chartColorStyle" Target="colors11.xml"/><Relationship Id="rId1" Type="http://schemas.microsoft.com/office/2011/relationships/chartStyle" Target="style11.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chercheur\Dropbox\Success%20lit%20review%20-%20Jan%202018.xlsx" TargetMode="External"/><Relationship Id="rId2" Type="http://schemas.microsoft.com/office/2011/relationships/chartColorStyle" Target="colors12.xml"/><Relationship Id="rId1" Type="http://schemas.microsoft.com/office/2011/relationships/chartStyle" Target="style12.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s1684475\Downloads\HNPSlendC-HNPStats%20(3).xls" TargetMode="External"/><Relationship Id="rId2" Type="http://schemas.microsoft.com/office/2011/relationships/chartColorStyle" Target="colors13.xml"/><Relationship Id="rId1" Type="http://schemas.microsoft.com/office/2011/relationships/chartStyle" Target="style13.xml"/></Relationships>
</file>

<file path=word/charts/_rels/chart16.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17.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1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4.xml"/><Relationship Id="rId1" Type="http://schemas.microsoft.com/office/2011/relationships/chartStyle" Target="style14.xml"/></Relationships>
</file>

<file path=word/charts/_rels/chart1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5.xml"/><Relationship Id="rId1" Type="http://schemas.microsoft.com/office/2011/relationships/chartStyle" Target="style15.xml"/></Relationships>
</file>

<file path=word/charts/_rels/chart2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6.xml"/><Relationship Id="rId1" Type="http://schemas.microsoft.com/office/2011/relationships/chartStyle" Target="style16.xml"/></Relationships>
</file>

<file path=word/charts/_rels/chart21.xml.rels><?xml version="1.0" encoding="UTF-8" standalone="yes"?>
<Relationships xmlns="http://schemas.openxmlformats.org/package/2006/relationships"><Relationship Id="rId3" Type="http://schemas.openxmlformats.org/officeDocument/2006/relationships/oleObject" Target="https://uoe-my.sharepoint.com/personal/s1684475_ed_ac_uk/Documents/Chapter%204%20graphs.xlsx" TargetMode="External"/><Relationship Id="rId2" Type="http://schemas.microsoft.com/office/2011/relationships/chartColorStyle" Target="colors17.xml"/><Relationship Id="rId1" Type="http://schemas.microsoft.com/office/2011/relationships/chartStyle" Target="style17.xml"/></Relationships>
</file>

<file path=word/charts/_rels/chart22.xml.rels><?xml version="1.0" encoding="UTF-8" standalone="yes"?>
<Relationships xmlns="http://schemas.openxmlformats.org/package/2006/relationships"><Relationship Id="rId3" Type="http://schemas.openxmlformats.org/officeDocument/2006/relationships/oleObject" Target="file:///C:\Users\s1684475\Dropbox\Financing%20article%20data%20-%203%20Sept%202018%20(Autosaved).xlsx" TargetMode="External"/><Relationship Id="rId2" Type="http://schemas.microsoft.com/office/2011/relationships/chartColorStyle" Target="colors18.xml"/><Relationship Id="rId1" Type="http://schemas.microsoft.com/office/2011/relationships/chartStyle" Target="style18.xml"/></Relationships>
</file>

<file path=word/charts/_rels/chart23.xml.rels><?xml version="1.0" encoding="UTF-8" standalone="yes"?>
<Relationships xmlns="http://schemas.openxmlformats.org/package/2006/relationships"><Relationship Id="rId3" Type="http://schemas.openxmlformats.org/officeDocument/2006/relationships/oleObject" Target="file:///C:\Users\s1684475\Dropbox\Oncho%20annual%20totals.xlsx" TargetMode="External"/><Relationship Id="rId2" Type="http://schemas.microsoft.com/office/2011/relationships/chartColorStyle" Target="colors19.xml"/><Relationship Id="rId1" Type="http://schemas.microsoft.com/office/2011/relationships/chartStyle" Target="style19.xml"/></Relationships>
</file>

<file path=word/charts/_rels/chart24.xml.rels><?xml version="1.0" encoding="UTF-8" standalone="yes"?>
<Relationships xmlns="http://schemas.openxmlformats.org/package/2006/relationships"><Relationship Id="rId3" Type="http://schemas.openxmlformats.org/officeDocument/2006/relationships/oleObject" Target="file:///C:\Users\s1684475\Dropbox\Oncho%20annual%20totals.xlsx" TargetMode="External"/><Relationship Id="rId2" Type="http://schemas.microsoft.com/office/2011/relationships/chartColorStyle" Target="colors20.xml"/><Relationship Id="rId1" Type="http://schemas.microsoft.com/office/2011/relationships/chartStyle" Target="style20.xml"/></Relationships>
</file>

<file path=word/charts/_rels/chart25.xml.rels><?xml version="1.0" encoding="UTF-8" standalone="yes"?>
<Relationships xmlns="http://schemas.openxmlformats.org/package/2006/relationships"><Relationship Id="rId3" Type="http://schemas.openxmlformats.org/officeDocument/2006/relationships/oleObject" Target="file:///C:\Users\s1684475\Dropbox\Oncho%20annual%20totals.xlsx" TargetMode="External"/><Relationship Id="rId2" Type="http://schemas.microsoft.com/office/2011/relationships/chartColorStyle" Target="colors21.xml"/><Relationship Id="rId1" Type="http://schemas.microsoft.com/office/2011/relationships/chartStyle" Target="style21.xml"/></Relationships>
</file>

<file path=word/charts/_rels/chart26.xml.rels><?xml version="1.0" encoding="UTF-8" standalone="yes"?>
<Relationships xmlns="http://schemas.openxmlformats.org/package/2006/relationships"><Relationship Id="rId3" Type="http://schemas.openxmlformats.org/officeDocument/2006/relationships/oleObject" Target="file:///C:\Users\s1684475\Dropbox\Oncho%20annual%20totals.xlsx" TargetMode="External"/><Relationship Id="rId2" Type="http://schemas.microsoft.com/office/2011/relationships/chartColorStyle" Target="colors22.xml"/><Relationship Id="rId1" Type="http://schemas.microsoft.com/office/2011/relationships/chartStyle" Target="style22.xml"/></Relationships>
</file>

<file path=word/charts/_rels/chart27.xml.rels><?xml version="1.0" encoding="UTF-8" standalone="yes"?>
<Relationships xmlns="http://schemas.openxmlformats.org/package/2006/relationships"><Relationship Id="rId3" Type="http://schemas.openxmlformats.org/officeDocument/2006/relationships/oleObject" Target="file:///C:\Users\s1684475\Dropbox\Oncho%20annual%20totals.xlsx" TargetMode="External"/><Relationship Id="rId2" Type="http://schemas.microsoft.com/office/2011/relationships/chartColorStyle" Target="colors23.xml"/><Relationship Id="rId1" Type="http://schemas.microsoft.com/office/2011/relationships/chartStyle" Target="style23.xml"/></Relationships>
</file>

<file path=word/charts/_rels/chart28.xml.rels><?xml version="1.0" encoding="UTF-8" standalone="yes"?>
<Relationships xmlns="http://schemas.openxmlformats.org/package/2006/relationships"><Relationship Id="rId3" Type="http://schemas.openxmlformats.org/officeDocument/2006/relationships/oleObject" Target="file:///\\Users\janellewinters\Downloads\Chapter%205%20-%20finances%20spreadsheet%20-%20May%202020.xlsx" TargetMode="External"/><Relationship Id="rId2" Type="http://schemas.microsoft.com/office/2011/relationships/chartColorStyle" Target="colors24.xml"/><Relationship Id="rId1" Type="http://schemas.microsoft.com/office/2011/relationships/chartStyle" Target="style24.xml"/></Relationships>
</file>

<file path=word/charts/_rels/chart29.xml.rels><?xml version="1.0" encoding="UTF-8" standalone="yes"?>
<Relationships xmlns="http://schemas.openxmlformats.org/package/2006/relationships"><Relationship Id="rId3" Type="http://schemas.openxmlformats.org/officeDocument/2006/relationships/oleObject" Target="file:///\\Users\janellewinters\Downloads\Chapter%205%20-%20finances%20spreadsheet%20-%20May%202020.xlsx" TargetMode="External"/><Relationship Id="rId2" Type="http://schemas.microsoft.com/office/2011/relationships/chartColorStyle" Target="colors25.xml"/><Relationship Id="rId1" Type="http://schemas.microsoft.com/office/2011/relationships/chartStyle" Target="style25.xml"/></Relationships>
</file>

<file path=word/charts/_rels/chart30.xml.rels><?xml version="1.0" encoding="UTF-8" standalone="yes"?>
<Relationships xmlns="http://schemas.openxmlformats.org/package/2006/relationships"><Relationship Id="rId3" Type="http://schemas.openxmlformats.org/officeDocument/2006/relationships/oleObject" Target="file:///\\Users\janellewinters\Downloads\Chapter%205%20-%20finances%20spreadsheet%20-%20May%202020.xlsx" TargetMode="External"/><Relationship Id="rId2" Type="http://schemas.microsoft.com/office/2011/relationships/chartColorStyle" Target="colors26.xml"/><Relationship Id="rId1" Type="http://schemas.microsoft.com/office/2011/relationships/chartStyle" Target="style26.xml"/></Relationships>
</file>

<file path=word/charts/_rels/chart31.xml.rels><?xml version="1.0" encoding="UTF-8" standalone="yes"?>
<Relationships xmlns="http://schemas.openxmlformats.org/package/2006/relationships"><Relationship Id="rId3" Type="http://schemas.openxmlformats.org/officeDocument/2006/relationships/oleObject" Target="file:///\\Users\janellewinters\Downloads\Chapter%205%20-%20finances%20spreadsheet%20-%20May%202020.xlsx" TargetMode="External"/><Relationship Id="rId2" Type="http://schemas.microsoft.com/office/2011/relationships/chartColorStyle" Target="colors27.xml"/><Relationship Id="rId1" Type="http://schemas.microsoft.com/office/2011/relationships/chartStyle" Target="style27.xml"/></Relationships>
</file>

<file path=word/charts/_rels/chart3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8.xml"/><Relationship Id="rId1" Type="http://schemas.microsoft.com/office/2011/relationships/chartStyle" Target="style28.xml"/></Relationships>
</file>

<file path=word/charts/_rels/chart33.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5.xml"/></Relationships>
</file>

<file path=word/charts/_rels/chart34.xml.rels><?xml version="1.0" encoding="UTF-8" standalone="yes"?>
<Relationships xmlns="http://schemas.openxmlformats.org/package/2006/relationships"><Relationship Id="rId3" Type="http://schemas.openxmlformats.org/officeDocument/2006/relationships/oleObject" Target="file:///\\Users\phdstudent\Downloads\OCP%20training.xlsx" TargetMode="External"/><Relationship Id="rId2" Type="http://schemas.microsoft.com/office/2011/relationships/chartColorStyle" Target="colors29.xml"/><Relationship Id="rId1" Type="http://schemas.microsoft.com/office/2011/relationships/chartStyle" Target="style2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4399308576993899E-2"/>
          <c:y val="3.9426523297491002E-2"/>
          <c:w val="0.87774435881027202"/>
          <c:h val="0.92114695340501795"/>
        </c:manualLayout>
      </c:layout>
      <c:barChart>
        <c:barDir val="col"/>
        <c:grouping val="clustered"/>
        <c:varyColors val="0"/>
        <c:ser>
          <c:idx val="1"/>
          <c:order val="1"/>
          <c:tx>
            <c:strRef>
              <c:f>'Project Timeline'!$D$20</c:f>
              <c:strCache>
                <c:ptCount val="1"/>
                <c:pt idx="0">
                  <c:v>POSITION</c:v>
                </c:pt>
              </c:strCache>
            </c:strRef>
          </c:tx>
          <c:spPr>
            <a:noFill/>
          </c:spPr>
          <c:invertIfNegative val="0"/>
          <c:dLbls>
            <c:dLbl>
              <c:idx val="0"/>
              <c:layout>
                <c:manualLayout>
                  <c:x val="2.8315697901710401E-3"/>
                  <c:y val="6.5348522568610096E-2"/>
                </c:manualLayout>
              </c:layout>
              <c:tx>
                <c:rich>
                  <a:bodyPr/>
                  <a:lstStyle/>
                  <a:p>
                    <a:fld id="{22C5C73A-9047-45D7-99EC-A77D2AEF2EA5}" type="CATEGORYNAME">
                      <a:rPr lang="en-US">
                        <a:solidFill>
                          <a:srgbClr val="FF0000"/>
                        </a:solidFill>
                      </a:rPr>
                      <a:pPr/>
                      <a:t>[CATEGORY NAME]</a:t>
                    </a:fld>
                    <a:endParaRPr lang="en-GB"/>
                  </a:p>
                </c:rich>
              </c:tx>
              <c:dLblPos val="outEnd"/>
              <c:showLegendKey val="0"/>
              <c:showVal val="0"/>
              <c:showCatName val="1"/>
              <c:showSerName val="0"/>
              <c:showPercent val="0"/>
              <c:showBubbleSize val="0"/>
              <c:extLst>
                <c:ext xmlns:c15="http://schemas.microsoft.com/office/drawing/2012/chart" uri="{CE6537A1-D6FC-4f65-9D91-7224C49458BB}">
                  <c15:layout>
                    <c:manualLayout>
                      <c:w val="0.10560948779568601"/>
                      <c:h val="0.23741763260211499"/>
                    </c:manualLayout>
                  </c15:layout>
                  <c15:dlblFieldTable/>
                  <c15:showDataLabelsRange val="0"/>
                </c:ext>
                <c:ext xmlns:c16="http://schemas.microsoft.com/office/drawing/2014/chart" uri="{C3380CC4-5D6E-409C-BE32-E72D297353CC}">
                  <c16:uniqueId val="{00000000-E06E-481E-AE58-B9D555E319ED}"/>
                </c:ext>
              </c:extLst>
            </c:dLbl>
            <c:dLbl>
              <c:idx val="1"/>
              <c:layout>
                <c:manualLayout>
                  <c:x val="-1.99421180136914E-3"/>
                  <c:y val="-3.8929914455011001E-3"/>
                </c:manualLayout>
              </c:layout>
              <c:spPr>
                <a:solidFill>
                  <a:schemeClr val="bg1">
                    <a:lumMod val="95000"/>
                  </a:schemeClr>
                </a:solidFill>
                <a:ln>
                  <a:noFill/>
                </a:ln>
                <a:effectLst/>
              </c:spPr>
              <c:txPr>
                <a:bodyPr vertOverflow="overflow" horzOverflow="overflow" wrap="square" lIns="38100" tIns="19050" rIns="38100" bIns="19050" anchor="ctr">
                  <a:noAutofit/>
                </a:bodyPr>
                <a:lstStyle/>
                <a:p>
                  <a:pPr>
                    <a:defRPr sz="800" cap="none" spc="10" baseline="0">
                      <a:solidFill>
                        <a:srgbClr val="FF0000"/>
                      </a:solidFill>
                      <a:latin typeface="Calibri" panose="020F0502020204030204" pitchFamily="34" charset="0"/>
                      <a:cs typeface="Times New Roman" panose="02020603050405020304" pitchFamily="18" charset="0"/>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8.7820669122946504E-2"/>
                      <c:h val="9.2832382065353006E-2"/>
                    </c:manualLayout>
                  </c15:layout>
                </c:ext>
                <c:ext xmlns:c16="http://schemas.microsoft.com/office/drawing/2014/chart" uri="{C3380CC4-5D6E-409C-BE32-E72D297353CC}">
                  <c16:uniqueId val="{00000001-E06E-481E-AE58-B9D555E319ED}"/>
                </c:ext>
              </c:extLst>
            </c:dLbl>
            <c:dLbl>
              <c:idx val="2"/>
              <c:layout>
                <c:manualLayout>
                  <c:x val="-6.4642182512335703E-3"/>
                  <c:y val="-1.93327912767031E-2"/>
                </c:manualLayout>
              </c:layout>
              <c:spPr>
                <a:solidFill>
                  <a:schemeClr val="bg1">
                    <a:lumMod val="95000"/>
                  </a:schemeClr>
                </a:solidFill>
                <a:ln>
                  <a:noFill/>
                </a:ln>
                <a:effectLst/>
              </c:spPr>
              <c:txPr>
                <a:bodyPr vertOverflow="overflow" horzOverflow="overflow" wrap="square" lIns="38100" tIns="19050" rIns="38100" bIns="19050" anchor="ctr">
                  <a:noAutofit/>
                </a:bodyPr>
                <a:lstStyle/>
                <a:p>
                  <a:pPr>
                    <a:defRPr sz="800" cap="none" spc="10" baseline="0">
                      <a:solidFill>
                        <a:srgbClr val="FF0000"/>
                      </a:solidFill>
                      <a:latin typeface="Calibri" panose="020F0502020204030204" pitchFamily="34" charset="0"/>
                      <a:cs typeface="Times New Roman" panose="02020603050405020304" pitchFamily="18" charset="0"/>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1240423112485599"/>
                      <c:h val="8.3376215854089303E-2"/>
                    </c:manualLayout>
                  </c15:layout>
                </c:ext>
                <c:ext xmlns:c16="http://schemas.microsoft.com/office/drawing/2014/chart" uri="{C3380CC4-5D6E-409C-BE32-E72D297353CC}">
                  <c16:uniqueId val="{00000002-E06E-481E-AE58-B9D555E319ED}"/>
                </c:ext>
              </c:extLst>
            </c:dLbl>
            <c:dLbl>
              <c:idx val="3"/>
              <c:layout>
                <c:manualLayout>
                  <c:x val="4.8747988058075401E-3"/>
                  <c:y val="2.2783678151436101E-3"/>
                </c:manualLayout>
              </c:layout>
              <c:spPr>
                <a:solidFill>
                  <a:schemeClr val="bg1">
                    <a:lumMod val="95000"/>
                  </a:schemeClr>
                </a:solidFill>
                <a:ln>
                  <a:noFill/>
                </a:ln>
                <a:effectLst/>
              </c:spPr>
              <c:txPr>
                <a:bodyPr vertOverflow="overflow" horzOverflow="overflow" wrap="square" lIns="38100" tIns="19050" rIns="38100" bIns="19050" anchor="ctr">
                  <a:noAutofit/>
                </a:bodyPr>
                <a:lstStyle/>
                <a:p>
                  <a:pPr>
                    <a:defRPr sz="800" cap="none" spc="10" baseline="0">
                      <a:solidFill>
                        <a:srgbClr val="FF0000"/>
                      </a:solidFill>
                      <a:latin typeface="Calibri" panose="020F0502020204030204" pitchFamily="34" charset="0"/>
                      <a:cs typeface="Times New Roman" panose="02020603050405020304" pitchFamily="18" charset="0"/>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7.4822439647874203E-2"/>
                      <c:h val="0.134545662564137"/>
                    </c:manualLayout>
                  </c15:layout>
                </c:ext>
                <c:ext xmlns:c16="http://schemas.microsoft.com/office/drawing/2014/chart" uri="{C3380CC4-5D6E-409C-BE32-E72D297353CC}">
                  <c16:uniqueId val="{00000003-E06E-481E-AE58-B9D555E319ED}"/>
                </c:ext>
              </c:extLst>
            </c:dLbl>
            <c:dLbl>
              <c:idx val="4"/>
              <c:layout>
                <c:manualLayout>
                  <c:x val="-6.5676476216527504E-3"/>
                  <c:y val="2.4854982108138999E-2"/>
                </c:manualLayout>
              </c:layout>
              <c:spPr>
                <a:solidFill>
                  <a:schemeClr val="bg1">
                    <a:lumMod val="95000"/>
                  </a:schemeClr>
                </a:solidFill>
                <a:ln>
                  <a:noFill/>
                </a:ln>
                <a:effectLst/>
              </c:spPr>
              <c:txPr>
                <a:bodyPr vertOverflow="overflow" horzOverflow="overflow" wrap="square" lIns="38100" tIns="19050" rIns="38100" bIns="19050" anchor="ctr">
                  <a:noAutofit/>
                </a:bodyPr>
                <a:lstStyle/>
                <a:p>
                  <a:pPr>
                    <a:defRPr sz="800" cap="none" spc="10" baseline="0">
                      <a:solidFill>
                        <a:srgbClr val="FF0000"/>
                      </a:solidFill>
                      <a:latin typeface="Calibri" panose="020F0502020204030204" pitchFamily="34" charset="0"/>
                      <a:cs typeface="Times New Roman" panose="02020603050405020304" pitchFamily="18" charset="0"/>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01870276551348"/>
                      <c:h val="9.8559092539536694E-2"/>
                    </c:manualLayout>
                  </c15:layout>
                </c:ext>
                <c:ext xmlns:c16="http://schemas.microsoft.com/office/drawing/2014/chart" uri="{C3380CC4-5D6E-409C-BE32-E72D297353CC}">
                  <c16:uniqueId val="{00000004-E06E-481E-AE58-B9D555E319ED}"/>
                </c:ext>
              </c:extLst>
            </c:dLbl>
            <c:dLbl>
              <c:idx val="5"/>
              <c:layout>
                <c:manualLayout>
                  <c:x val="2.88026870892635E-3"/>
                  <c:y val="-3.7630690777320001E-2"/>
                </c:manualLayout>
              </c:layout>
              <c:spPr>
                <a:solidFill>
                  <a:schemeClr val="bg1">
                    <a:lumMod val="95000"/>
                  </a:schemeClr>
                </a:solidFill>
                <a:ln>
                  <a:noFill/>
                </a:ln>
                <a:effectLst/>
              </c:spPr>
              <c:txPr>
                <a:bodyPr vertOverflow="overflow" horzOverflow="overflow" wrap="square" lIns="38100" tIns="19050" rIns="38100" bIns="19050" anchor="ctr">
                  <a:noAutofit/>
                </a:bodyPr>
                <a:lstStyle/>
                <a:p>
                  <a:pPr>
                    <a:defRPr sz="800" cap="none" spc="10" baseline="0">
                      <a:solidFill>
                        <a:srgbClr val="FF0000"/>
                      </a:solidFill>
                      <a:latin typeface="Calibri" panose="020F0502020204030204" pitchFamily="34" charset="0"/>
                      <a:cs typeface="Times New Roman" panose="02020603050405020304" pitchFamily="18" charset="0"/>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9.0395964655361496E-2"/>
                      <c:h val="5.4595324287440197E-2"/>
                    </c:manualLayout>
                  </c15:layout>
                </c:ext>
                <c:ext xmlns:c16="http://schemas.microsoft.com/office/drawing/2014/chart" uri="{C3380CC4-5D6E-409C-BE32-E72D297353CC}">
                  <c16:uniqueId val="{00000005-E06E-481E-AE58-B9D555E319ED}"/>
                </c:ext>
              </c:extLst>
            </c:dLbl>
            <c:dLbl>
              <c:idx val="6"/>
              <c:layout>
                <c:manualLayout>
                  <c:x val="9.8992825688051893E-3"/>
                  <c:y val="-3.3555124098586901E-2"/>
                </c:manualLayout>
              </c:layout>
              <c:spPr>
                <a:solidFill>
                  <a:schemeClr val="bg1">
                    <a:lumMod val="95000"/>
                  </a:schemeClr>
                </a:solidFill>
                <a:ln>
                  <a:noFill/>
                </a:ln>
                <a:effectLst/>
              </c:spPr>
              <c:txPr>
                <a:bodyPr vertOverflow="overflow" horzOverflow="overflow" wrap="square" lIns="38100" tIns="19050" rIns="38100" bIns="19050" anchor="ctr">
                  <a:noAutofit/>
                </a:bodyPr>
                <a:lstStyle/>
                <a:p>
                  <a:pPr>
                    <a:defRPr sz="800" cap="none" spc="10" baseline="0">
                      <a:solidFill>
                        <a:srgbClr val="0070C0"/>
                      </a:solidFill>
                      <a:latin typeface="Calibri" panose="020F0502020204030204" pitchFamily="34" charset="0"/>
                      <a:cs typeface="Times New Roman" panose="02020603050405020304" pitchFamily="18" charset="0"/>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2393003217231501"/>
                      <c:h val="0.14049278529179099"/>
                    </c:manualLayout>
                  </c15:layout>
                </c:ext>
                <c:ext xmlns:c16="http://schemas.microsoft.com/office/drawing/2014/chart" uri="{C3380CC4-5D6E-409C-BE32-E72D297353CC}">
                  <c16:uniqueId val="{00000006-E06E-481E-AE58-B9D555E319ED}"/>
                </c:ext>
              </c:extLst>
            </c:dLbl>
            <c:dLbl>
              <c:idx val="7"/>
              <c:layout>
                <c:manualLayout>
                  <c:x val="-3.7922478454171203E-2"/>
                  <c:y val="-7.2137268966104603E-2"/>
                </c:manualLayout>
              </c:layout>
              <c:spPr>
                <a:solidFill>
                  <a:schemeClr val="bg1">
                    <a:lumMod val="95000"/>
                  </a:schemeClr>
                </a:solidFill>
                <a:ln>
                  <a:noFill/>
                </a:ln>
                <a:effectLst/>
              </c:spPr>
              <c:txPr>
                <a:bodyPr vertOverflow="overflow" horzOverflow="overflow" wrap="square" lIns="38100" tIns="19050" rIns="38100" bIns="19050" anchor="ctr">
                  <a:noAutofit/>
                </a:bodyPr>
                <a:lstStyle/>
                <a:p>
                  <a:pPr>
                    <a:defRPr sz="800" cap="none" spc="10" baseline="0">
                      <a:solidFill>
                        <a:srgbClr val="FF0000"/>
                      </a:solidFill>
                      <a:latin typeface="Calibri" panose="020F0502020204030204" pitchFamily="34" charset="0"/>
                      <a:cs typeface="Times New Roman" panose="02020603050405020304" pitchFamily="18" charset="0"/>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09492843885047"/>
                      <c:h val="5.8071298633724497E-2"/>
                    </c:manualLayout>
                  </c15:layout>
                </c:ext>
                <c:ext xmlns:c16="http://schemas.microsoft.com/office/drawing/2014/chart" uri="{C3380CC4-5D6E-409C-BE32-E72D297353CC}">
                  <c16:uniqueId val="{00000007-E06E-481E-AE58-B9D555E319ED}"/>
                </c:ext>
              </c:extLst>
            </c:dLbl>
            <c:dLbl>
              <c:idx val="8"/>
              <c:layout>
                <c:manualLayout>
                  <c:x val="2.5058331682127687E-2"/>
                  <c:y val="-6.5898912610894311E-2"/>
                </c:manualLayout>
              </c:layout>
              <c:tx>
                <c:rich>
                  <a:bodyPr vertOverflow="overflow" horzOverflow="overflow" wrap="square" lIns="38100" tIns="19050" rIns="38100" bIns="19050" anchor="ctr">
                    <a:noAutofit/>
                  </a:bodyPr>
                  <a:lstStyle/>
                  <a:p>
                    <a:pPr>
                      <a:defRPr sz="800" cap="none" spc="10" baseline="0">
                        <a:solidFill>
                          <a:srgbClr val="0070C0"/>
                        </a:solidFill>
                        <a:latin typeface="Calibri" panose="020F0502020204030204" pitchFamily="34" charset="0"/>
                        <a:cs typeface="Times New Roman" panose="02020603050405020304" pitchFamily="18" charset="0"/>
                      </a:defRPr>
                    </a:pPr>
                    <a:r>
                      <a:rPr lang="en-US" sz="800" b="0" i="0" u="none" strike="noStrike" kern="1200" cap="none" spc="10" baseline="0">
                        <a:solidFill>
                          <a:srgbClr val="0070C0"/>
                        </a:solidFill>
                        <a:latin typeface="Calibri" panose="020F0502020204030204" pitchFamily="34" charset="0"/>
                        <a:cs typeface="Times New Roman" panose="02020603050405020304" pitchFamily="18" charset="0"/>
                      </a:rPr>
                      <a:t>Chlorinated hydrocarbon DDT used in 40+ localised control programmes against black flies in 14+ African and Central American countries, with mixed results (including repopulation and incomplete coverage)</a:t>
                    </a:r>
                    <a:endParaRPr lang="en-US" sz="600"/>
                  </a:p>
                </c:rich>
              </c:tx>
              <c:spPr>
                <a:solidFill>
                  <a:schemeClr val="bg1">
                    <a:lumMod val="95000"/>
                  </a:schemeClr>
                </a:solidFill>
                <a:ln>
                  <a:noFill/>
                </a:ln>
                <a:effectLst/>
              </c:sp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6218023528308959"/>
                      <c:h val="0.17166872213262499"/>
                    </c:manualLayout>
                  </c15:layout>
                </c:ext>
                <c:ext xmlns:c16="http://schemas.microsoft.com/office/drawing/2014/chart" uri="{C3380CC4-5D6E-409C-BE32-E72D297353CC}">
                  <c16:uniqueId val="{00000008-E06E-481E-AE58-B9D555E319ED}"/>
                </c:ext>
              </c:extLst>
            </c:dLbl>
            <c:dLbl>
              <c:idx val="9"/>
              <c:layout>
                <c:manualLayout>
                  <c:x val="-7.6777230041712797E-3"/>
                  <c:y val="-0.10827669906142599"/>
                </c:manualLayout>
              </c:layout>
              <c:spPr>
                <a:solidFill>
                  <a:schemeClr val="bg1">
                    <a:lumMod val="95000"/>
                  </a:schemeClr>
                </a:solidFill>
                <a:ln>
                  <a:noFill/>
                </a:ln>
                <a:effectLst/>
              </c:spPr>
              <c:txPr>
                <a:bodyPr vertOverflow="overflow" horzOverflow="overflow" wrap="square" lIns="38100" tIns="19050" rIns="38100" bIns="19050" anchor="ctr">
                  <a:noAutofit/>
                </a:bodyPr>
                <a:lstStyle/>
                <a:p>
                  <a:pPr>
                    <a:defRPr sz="800" cap="none" spc="10" baseline="0">
                      <a:solidFill>
                        <a:srgbClr val="0070C0"/>
                      </a:solidFill>
                      <a:latin typeface="Calibri" panose="020F0502020204030204" pitchFamily="34" charset="0"/>
                      <a:cs typeface="Times New Roman" panose="02020603050405020304" pitchFamily="18" charset="0"/>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3791784115549699"/>
                      <c:h val="5.8071449498183797E-2"/>
                    </c:manualLayout>
                  </c15:layout>
                </c:ext>
                <c:ext xmlns:c16="http://schemas.microsoft.com/office/drawing/2014/chart" uri="{C3380CC4-5D6E-409C-BE32-E72D297353CC}">
                  <c16:uniqueId val="{00000009-E06E-481E-AE58-B9D555E319ED}"/>
                </c:ext>
              </c:extLst>
            </c:dLbl>
            <c:dLbl>
              <c:idx val="10"/>
              <c:layout>
                <c:manualLayout>
                  <c:x val="-7.1555279535189999E-3"/>
                  <c:y val="-1.4000763847395599E-2"/>
                </c:manualLayout>
              </c:layout>
              <c:spPr>
                <a:solidFill>
                  <a:schemeClr val="bg1">
                    <a:lumMod val="95000"/>
                  </a:schemeClr>
                </a:solidFill>
                <a:ln>
                  <a:noFill/>
                </a:ln>
                <a:effectLst/>
              </c:spPr>
              <c:txPr>
                <a:bodyPr vertOverflow="overflow" horzOverflow="overflow" wrap="square" lIns="38100" tIns="19050" rIns="38100" bIns="19050" anchor="ctr">
                  <a:noAutofit/>
                </a:bodyPr>
                <a:lstStyle/>
                <a:p>
                  <a:pPr>
                    <a:defRPr sz="800" cap="none" spc="10" baseline="0">
                      <a:solidFill>
                        <a:srgbClr val="0070C0"/>
                      </a:solidFill>
                      <a:latin typeface="Calibri" panose="020F0502020204030204" pitchFamily="34" charset="0"/>
                      <a:cs typeface="Times New Roman" panose="02020603050405020304" pitchFamily="18" charset="0"/>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5282481929210201"/>
                      <c:h val="7.8927792467719499E-2"/>
                    </c:manualLayout>
                  </c15:layout>
                </c:ext>
                <c:ext xmlns:c16="http://schemas.microsoft.com/office/drawing/2014/chart" uri="{C3380CC4-5D6E-409C-BE32-E72D297353CC}">
                  <c16:uniqueId val="{0000000A-E06E-481E-AE58-B9D555E319ED}"/>
                </c:ext>
              </c:extLst>
            </c:dLbl>
            <c:dLbl>
              <c:idx val="11"/>
              <c:layout>
                <c:manualLayout>
                  <c:x val="1.09213079765059E-2"/>
                  <c:y val="-6.9788371687610401E-2"/>
                </c:manualLayout>
              </c:layout>
              <c:spPr>
                <a:solidFill>
                  <a:schemeClr val="bg1">
                    <a:lumMod val="95000"/>
                  </a:schemeClr>
                </a:solidFill>
                <a:ln>
                  <a:noFill/>
                </a:ln>
                <a:effectLst/>
              </c:spPr>
              <c:txPr>
                <a:bodyPr vertOverflow="overflow" horzOverflow="overflow" wrap="square" lIns="38100" tIns="19050" rIns="38100" bIns="19050" anchor="ctr">
                  <a:noAutofit/>
                </a:bodyPr>
                <a:lstStyle/>
                <a:p>
                  <a:pPr>
                    <a:defRPr sz="800" cap="none" spc="10" baseline="0">
                      <a:solidFill>
                        <a:srgbClr val="0070C0"/>
                      </a:solidFill>
                      <a:latin typeface="Calibri" panose="020F0502020204030204" pitchFamily="34" charset="0"/>
                      <a:cs typeface="Times New Roman" panose="02020603050405020304" pitchFamily="18" charset="0"/>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20026086272539"/>
                      <c:h val="5.8071449498183797E-2"/>
                    </c:manualLayout>
                  </c15:layout>
                </c:ext>
                <c:ext xmlns:c16="http://schemas.microsoft.com/office/drawing/2014/chart" uri="{C3380CC4-5D6E-409C-BE32-E72D297353CC}">
                  <c16:uniqueId val="{0000000B-E06E-481E-AE58-B9D555E319ED}"/>
                </c:ext>
              </c:extLst>
            </c:dLbl>
            <c:dLbl>
              <c:idx val="12"/>
              <c:layout>
                <c:manualLayout>
                  <c:x val="-8.3635149080347401E-3"/>
                  <c:y val="-7.5525211621658705E-2"/>
                </c:manualLayout>
              </c:layout>
              <c:spPr>
                <a:solidFill>
                  <a:schemeClr val="bg1">
                    <a:lumMod val="95000"/>
                  </a:schemeClr>
                </a:solidFill>
                <a:ln>
                  <a:noFill/>
                </a:ln>
                <a:effectLst/>
              </c:spPr>
              <c:txPr>
                <a:bodyPr vertOverflow="overflow" horzOverflow="overflow" wrap="square" lIns="38100" tIns="19050" rIns="38100" bIns="19050" anchor="ctr">
                  <a:noAutofit/>
                </a:bodyPr>
                <a:lstStyle/>
                <a:p>
                  <a:pPr>
                    <a:defRPr sz="800" cap="none" spc="10" baseline="0">
                      <a:solidFill>
                        <a:srgbClr val="00B050"/>
                      </a:solidFill>
                      <a:latin typeface="Calibri" panose="020F0502020204030204" pitchFamily="34" charset="0"/>
                      <a:cs typeface="Times New Roman" panose="02020603050405020304" pitchFamily="18" charset="0"/>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9.3896224858197597E-2"/>
                      <c:h val="0.112260810913183"/>
                    </c:manualLayout>
                  </c15:layout>
                </c:ext>
                <c:ext xmlns:c16="http://schemas.microsoft.com/office/drawing/2014/chart" uri="{C3380CC4-5D6E-409C-BE32-E72D297353CC}">
                  <c16:uniqueId val="{0000000C-E06E-481E-AE58-B9D555E319ED}"/>
                </c:ext>
              </c:extLst>
            </c:dLbl>
            <c:dLbl>
              <c:idx val="13"/>
              <c:layout>
                <c:manualLayout>
                  <c:x val="1.39088436220706E-2"/>
                  <c:y val="2.8773891855709999E-2"/>
                </c:manualLayout>
              </c:layout>
              <c:spPr>
                <a:solidFill>
                  <a:schemeClr val="bg1">
                    <a:lumMod val="95000"/>
                  </a:schemeClr>
                </a:solidFill>
                <a:ln>
                  <a:noFill/>
                </a:ln>
                <a:effectLst/>
              </c:spPr>
              <c:txPr>
                <a:bodyPr vertOverflow="overflow" horzOverflow="overflow" wrap="square" lIns="38100" tIns="19050" rIns="38100" bIns="19050" anchor="ctr">
                  <a:noAutofit/>
                </a:bodyPr>
                <a:lstStyle/>
                <a:p>
                  <a:pPr>
                    <a:defRPr sz="800" cap="none" spc="10" baseline="0">
                      <a:solidFill>
                        <a:srgbClr val="00B050"/>
                      </a:solidFill>
                      <a:latin typeface="Calibri" panose="020F0502020204030204" pitchFamily="34" charset="0"/>
                      <a:cs typeface="Times New Roman" panose="02020603050405020304" pitchFamily="18" charset="0"/>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13853548237885"/>
                      <c:h val="0.28141575255602802"/>
                    </c:manualLayout>
                  </c15:layout>
                </c:ext>
                <c:ext xmlns:c16="http://schemas.microsoft.com/office/drawing/2014/chart" uri="{C3380CC4-5D6E-409C-BE32-E72D297353CC}">
                  <c16:uniqueId val="{0000000D-E06E-481E-AE58-B9D555E319ED}"/>
                </c:ext>
              </c:extLst>
            </c:dLbl>
            <c:dLbl>
              <c:idx val="14"/>
              <c:layout>
                <c:manualLayout>
                  <c:x val="-1.05894182714264E-2"/>
                  <c:y val="-0.121346340918134"/>
                </c:manualLayout>
              </c:layout>
              <c:tx>
                <c:rich>
                  <a:bodyPr/>
                  <a:lstStyle/>
                  <a:p>
                    <a:fld id="{8CF55508-6F7D-4112-B87E-CEA0F1FBF0B9}" type="CATEGORYNAME">
                      <a:rPr lang="en-US">
                        <a:solidFill>
                          <a:srgbClr val="0070C0"/>
                        </a:solidFill>
                      </a:rPr>
                      <a:pPr/>
                      <a:t>[CATEGORY NAME]</a:t>
                    </a:fld>
                    <a:endParaRPr lang="en-GB"/>
                  </a:p>
                </c:rich>
              </c:tx>
              <c:dLblPos val="outEnd"/>
              <c:showLegendKey val="0"/>
              <c:showVal val="0"/>
              <c:showCatName val="1"/>
              <c:showSerName val="0"/>
              <c:showPercent val="0"/>
              <c:showBubbleSize val="0"/>
              <c:extLst>
                <c:ext xmlns:c15="http://schemas.microsoft.com/office/drawing/2012/chart" uri="{CE6537A1-D6FC-4f65-9D91-7224C49458BB}">
                  <c15:layout>
                    <c:manualLayout>
                      <c:w val="0.102647546415189"/>
                      <c:h val="6.8705286247392194E-2"/>
                    </c:manualLayout>
                  </c15:layout>
                  <c15:dlblFieldTable/>
                  <c15:showDataLabelsRange val="0"/>
                </c:ext>
                <c:ext xmlns:c16="http://schemas.microsoft.com/office/drawing/2014/chart" uri="{C3380CC4-5D6E-409C-BE32-E72D297353CC}">
                  <c16:uniqueId val="{0000000E-E06E-481E-AE58-B9D555E319ED}"/>
                </c:ext>
              </c:extLst>
            </c:dLbl>
            <c:dLbl>
              <c:idx val="15"/>
              <c:layout>
                <c:manualLayout>
                  <c:x val="3.6829308666817599E-2"/>
                  <c:y val="-6.9140964443835301E-2"/>
                </c:manualLayout>
              </c:layout>
              <c:spPr>
                <a:solidFill>
                  <a:schemeClr val="bg1">
                    <a:lumMod val="95000"/>
                  </a:schemeClr>
                </a:solidFill>
                <a:ln>
                  <a:noFill/>
                </a:ln>
                <a:effectLst/>
              </c:spPr>
              <c:txPr>
                <a:bodyPr vertOverflow="overflow" horzOverflow="overflow" wrap="square" lIns="38100" tIns="19050" rIns="38100" bIns="19050" anchor="ctr">
                  <a:noAutofit/>
                </a:bodyPr>
                <a:lstStyle/>
                <a:p>
                  <a:pPr>
                    <a:defRPr sz="800" cap="none" spc="10" baseline="0">
                      <a:solidFill>
                        <a:srgbClr val="00B050"/>
                      </a:solidFill>
                      <a:latin typeface="Calibri" panose="020F0502020204030204" pitchFamily="34" charset="0"/>
                      <a:cs typeface="Times New Roman" panose="02020603050405020304" pitchFamily="18" charset="0"/>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35551079370893"/>
                      <c:h val="7.8316543152694207E-2"/>
                    </c:manualLayout>
                  </c15:layout>
                </c:ext>
                <c:ext xmlns:c16="http://schemas.microsoft.com/office/drawing/2014/chart" uri="{C3380CC4-5D6E-409C-BE32-E72D297353CC}">
                  <c16:uniqueId val="{0000000F-E06E-481E-AE58-B9D555E319ED}"/>
                </c:ext>
              </c:extLst>
            </c:dLbl>
            <c:dLbl>
              <c:idx val="16"/>
              <c:layout>
                <c:manualLayout>
                  <c:x val="6.7017770832917597E-3"/>
                  <c:y val="-8.5737345616993102E-2"/>
                </c:manualLayout>
              </c:layout>
              <c:spPr>
                <a:solidFill>
                  <a:schemeClr val="bg1">
                    <a:lumMod val="95000"/>
                  </a:schemeClr>
                </a:solidFill>
                <a:ln>
                  <a:noFill/>
                </a:ln>
                <a:effectLst/>
              </c:spPr>
              <c:txPr>
                <a:bodyPr vertOverflow="overflow" horzOverflow="overflow" wrap="square" lIns="38100" tIns="19050" rIns="38100" bIns="19050" anchor="ctr">
                  <a:noAutofit/>
                </a:bodyPr>
                <a:lstStyle/>
                <a:p>
                  <a:pPr>
                    <a:defRPr sz="800" cap="none" spc="10" baseline="0">
                      <a:solidFill>
                        <a:srgbClr val="00B050"/>
                      </a:solidFill>
                      <a:latin typeface="Calibri" panose="020F0502020204030204" pitchFamily="34" charset="0"/>
                      <a:cs typeface="Times New Roman" panose="02020603050405020304" pitchFamily="18" charset="0"/>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05753931921301"/>
                      <c:h val="0.112260810913183"/>
                    </c:manualLayout>
                  </c15:layout>
                </c:ext>
                <c:ext xmlns:c16="http://schemas.microsoft.com/office/drawing/2014/chart" uri="{C3380CC4-5D6E-409C-BE32-E72D297353CC}">
                  <c16:uniqueId val="{00000010-E06E-481E-AE58-B9D555E319ED}"/>
                </c:ext>
              </c:extLst>
            </c:dLbl>
            <c:dLbl>
              <c:idx val="17"/>
              <c:layout>
                <c:manualLayout>
                  <c:x val="1.1979634621143199E-3"/>
                  <c:y val="-1.6207964275177501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0.138730205894075"/>
                      <c:h val="0.18014910560177899"/>
                    </c:manualLayout>
                  </c15:layout>
                </c:ext>
                <c:ext xmlns:c16="http://schemas.microsoft.com/office/drawing/2014/chart" uri="{C3380CC4-5D6E-409C-BE32-E72D297353CC}">
                  <c16:uniqueId val="{00000011-E06E-481E-AE58-B9D555E319ED}"/>
                </c:ext>
              </c:extLst>
            </c:dLbl>
            <c:dLbl>
              <c:idx val="18"/>
              <c:layout>
                <c:manualLayout>
                  <c:x val="-3.5938903863432202E-3"/>
                  <c:y val="-7.2998134948288204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7.1674153938304896E-2"/>
                      <c:h val="0.216543890025997"/>
                    </c:manualLayout>
                  </c15:layout>
                </c:ext>
                <c:ext xmlns:c16="http://schemas.microsoft.com/office/drawing/2014/chart" uri="{C3380CC4-5D6E-409C-BE32-E72D297353CC}">
                  <c16:uniqueId val="{00000012-E06E-481E-AE58-B9D555E319ED}"/>
                </c:ext>
              </c:extLst>
            </c:dLbl>
            <c:dLbl>
              <c:idx val="19"/>
              <c:layout>
                <c:manualLayout>
                  <c:x val="-1.1980106260302201E-3"/>
                  <c:y val="3.4770596449779298E-3"/>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0.120724720730663"/>
                      <c:h val="7.8316570494520593E-2"/>
                    </c:manualLayout>
                  </c15:layout>
                </c:ext>
                <c:ext xmlns:c16="http://schemas.microsoft.com/office/drawing/2014/chart" uri="{C3380CC4-5D6E-409C-BE32-E72D297353CC}">
                  <c16:uniqueId val="{00000013-E06E-481E-AE58-B9D555E319ED}"/>
                </c:ext>
              </c:extLst>
            </c:dLbl>
            <c:dLbl>
              <c:idx val="20"/>
              <c:layout>
                <c:manualLayout>
                  <c:x val="-1.07816711590297E-2"/>
                  <c:y val="-1.50765676246137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9.5873015873015902E-2"/>
                      <c:h val="0.112260840099871"/>
                    </c:manualLayout>
                  </c15:layout>
                </c:ext>
                <c:ext xmlns:c16="http://schemas.microsoft.com/office/drawing/2014/chart" uri="{C3380CC4-5D6E-409C-BE32-E72D297353CC}">
                  <c16:uniqueId val="{00000014-E06E-481E-AE58-B9D555E319ED}"/>
                </c:ext>
              </c:extLst>
            </c:dLbl>
            <c:dLbl>
              <c:idx val="21"/>
              <c:layout>
                <c:manualLayout>
                  <c:x val="-1.1344779507352E-2"/>
                  <c:y val="6.3812557853329905E-7"/>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9.4530399268953694E-2"/>
                      <c:h val="0.16440241985727699"/>
                    </c:manualLayout>
                  </c15:layout>
                </c:ext>
                <c:ext xmlns:c16="http://schemas.microsoft.com/office/drawing/2014/chart" uri="{C3380CC4-5D6E-409C-BE32-E72D297353CC}">
                  <c16:uniqueId val="{00000015-E06E-481E-AE58-B9D555E319ED}"/>
                </c:ext>
              </c:extLst>
            </c:dLbl>
            <c:dLbl>
              <c:idx val="22"/>
              <c:layout>
                <c:manualLayout>
                  <c:x val="-1.9167368229914699E-2"/>
                  <c:y val="2.1611186256306501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0.13530997304582201"/>
                      <c:h val="0.31674618065888199"/>
                    </c:manualLayout>
                  </c15:layout>
                </c:ext>
                <c:ext xmlns:c16="http://schemas.microsoft.com/office/drawing/2014/chart" uri="{C3380CC4-5D6E-409C-BE32-E72D297353CC}">
                  <c16:uniqueId val="{00000016-E06E-481E-AE58-B9D555E319ED}"/>
                </c:ext>
              </c:extLst>
            </c:dLbl>
            <c:dLbl>
              <c:idx val="23"/>
              <c:layout>
                <c:manualLayout>
                  <c:x val="1.5770843015880501E-2"/>
                  <c:y val="-7.0235079081839402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9.7542058739663498E-2"/>
                      <c:h val="0.113620811742532"/>
                    </c:manualLayout>
                  </c15:layout>
                </c:ext>
                <c:ext xmlns:c16="http://schemas.microsoft.com/office/drawing/2014/chart" uri="{C3380CC4-5D6E-409C-BE32-E72D297353CC}">
                  <c16:uniqueId val="{00000017-E06E-481E-AE58-B9D555E319ED}"/>
                </c:ext>
              </c:extLst>
            </c:dLbl>
            <c:dLbl>
              <c:idx val="24"/>
              <c:layout>
                <c:manualLayout>
                  <c:x val="-2.28115198175078E-3"/>
                  <c:y val="-3.7819575948536403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0.115918983180995"/>
                      <c:h val="8.7241763872690503E-2"/>
                    </c:manualLayout>
                  </c15:layout>
                </c:ext>
                <c:ext xmlns:c16="http://schemas.microsoft.com/office/drawing/2014/chart" uri="{C3380CC4-5D6E-409C-BE32-E72D297353CC}">
                  <c16:uniqueId val="{00000018-E06E-481E-AE58-B9D555E319ED}"/>
                </c:ext>
              </c:extLst>
            </c:dLbl>
            <c:dLbl>
              <c:idx val="25"/>
              <c:layout>
                <c:manualLayout>
                  <c:x val="5.2914912582034901E-2"/>
                  <c:y val="1.8910851516898999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0.115898147462106"/>
                      <c:h val="8.7241763872690503E-2"/>
                    </c:manualLayout>
                  </c15:layout>
                </c:ext>
                <c:ext xmlns:c16="http://schemas.microsoft.com/office/drawing/2014/chart" uri="{C3380CC4-5D6E-409C-BE32-E72D297353CC}">
                  <c16:uniqueId val="{00000019-E06E-481E-AE58-B9D555E319ED}"/>
                </c:ext>
              </c:extLst>
            </c:dLbl>
            <c:dLbl>
              <c:idx val="26"/>
              <c:layout>
                <c:manualLayout>
                  <c:x val="1.09781337213088E-2"/>
                  <c:y val="3.43035040113637E-2"/>
                </c:manualLayout>
              </c:layout>
              <c:tx>
                <c:rich>
                  <a:bodyPr/>
                  <a:lstStyle/>
                  <a:p>
                    <a:fld id="{8FCD95DF-7DE9-45FA-A335-77AAF145E83B}" type="CELLREF">
                      <a:rPr lang="en-US"/>
                      <a:pPr/>
                      <a:t>[CELLREF]</a:t>
                    </a:fld>
                    <a:endParaRPr lang="en-GB"/>
                  </a:p>
                </c:rich>
              </c:tx>
              <c:dLblPos val="outEnd"/>
              <c:showLegendKey val="0"/>
              <c:showVal val="0"/>
              <c:showCatName val="1"/>
              <c:showSerName val="0"/>
              <c:showPercent val="0"/>
              <c:showBubbleSize val="0"/>
              <c:extLst>
                <c:ext xmlns:c15="http://schemas.microsoft.com/office/drawing/2012/chart" uri="{CE6537A1-D6FC-4f65-9D91-7224C49458BB}">
                  <c15:layout>
                    <c:manualLayout>
                      <c:w val="0.15529292371387701"/>
                      <c:h val="0.29874763601061799"/>
                    </c:manualLayout>
                  </c15:layout>
                  <c15:dlblFieldTable>
                    <c15:dlblFTEntry>
                      <c15:txfldGUID>{8FCD95DF-7DE9-45FA-A335-77AAF145E83B}</c15:txfldGUID>
                      <c15:f>'Project Timeline'!#REF!</c15:f>
                      <c15:dlblFieldTableCache>
                        <c:ptCount val="1"/>
                        <c:pt idx="0">
                          <c:v>#REF!</c:v>
                        </c:pt>
                      </c15:dlblFieldTableCache>
                    </c15:dlblFTEntry>
                  </c15:dlblFieldTable>
                  <c15:showDataLabelsRange val="0"/>
                </c:ext>
                <c:ext xmlns:c16="http://schemas.microsoft.com/office/drawing/2014/chart" uri="{C3380CC4-5D6E-409C-BE32-E72D297353CC}">
                  <c16:uniqueId val="{0000001A-E06E-481E-AE58-B9D555E319ED}"/>
                </c:ext>
              </c:extLst>
            </c:dLbl>
            <c:dLbl>
              <c:idx val="27"/>
              <c:layout>
                <c:manualLayout>
                  <c:x val="2.8514444676451398E-2"/>
                  <c:y val="-4.32223725126131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8.7135156009690407E-2"/>
                      <c:h val="8.7241763872690503E-2"/>
                    </c:manualLayout>
                  </c15:layout>
                </c:ext>
                <c:ext xmlns:c16="http://schemas.microsoft.com/office/drawing/2014/chart" uri="{C3380CC4-5D6E-409C-BE32-E72D297353CC}">
                  <c16:uniqueId val="{0000001B-E06E-481E-AE58-B9D555E319ED}"/>
                </c:ext>
              </c:extLst>
            </c:dLbl>
            <c:spPr>
              <a:solidFill>
                <a:schemeClr val="bg1">
                  <a:lumMod val="95000"/>
                </a:schemeClr>
              </a:solidFill>
              <a:ln>
                <a:noFill/>
              </a:ln>
              <a:effectLst/>
            </c:spPr>
            <c:txPr>
              <a:bodyPr vertOverflow="overflow" horzOverflow="overflow" wrap="square" lIns="38100" tIns="19050" rIns="38100" bIns="19050" anchor="ctr">
                <a:noAutofit/>
              </a:bodyPr>
              <a:lstStyle/>
              <a:p>
                <a:pPr>
                  <a:defRPr sz="800" cap="none" spc="10" baseline="0">
                    <a:solidFill>
                      <a:schemeClr val="tx1">
                        <a:lumMod val="65000"/>
                        <a:lumOff val="35000"/>
                      </a:schemeClr>
                    </a:solidFill>
                    <a:latin typeface="Calibri" panose="020F0502020204030204" pitchFamily="34" charset="0"/>
                    <a:cs typeface="Times New Roman" panose="02020603050405020304" pitchFamily="18" charset="0"/>
                  </a:defRPr>
                </a:pPr>
                <a:endParaRPr lang="en-US"/>
              </a:p>
            </c:txPr>
            <c:dLblPos val="outEnd"/>
            <c:showLegendKey val="0"/>
            <c:showVal val="0"/>
            <c:showCatName val="1"/>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errBars>
            <c:errBarType val="minus"/>
            <c:errValType val="percentage"/>
            <c:noEndCap val="0"/>
            <c:val val="100"/>
            <c:spPr>
              <a:ln>
                <a:solidFill>
                  <a:schemeClr val="tx1">
                    <a:lumMod val="65000"/>
                    <a:lumOff val="35000"/>
                  </a:schemeClr>
                </a:solidFill>
              </a:ln>
            </c:spPr>
          </c:errBars>
          <c:cat>
            <c:strRef>
              <c:f>'Project Timeline'!$C$21:$C$37</c:f>
              <c:strCache>
                <c:ptCount val="17"/>
                <c:pt idx="0">
                  <c:v>Microfilariae identified in 'craw craw' patients with skin infections (Gold Coast [Ghana])</c:v>
                </c:pt>
                <c:pt idx="1">
                  <c:v>Adult parasites identified in skin nodules (Gold Coast)</c:v>
                </c:pt>
                <c:pt idx="2">
                  <c:v>Hypothesis that black flies are the disease vector (Gold Coast)</c:v>
                </c:pt>
                <c:pt idx="3">
                  <c:v>Microfilariae and adult worms linked to disease</c:v>
                </c:pt>
                <c:pt idx="4">
                  <c:v>Simulium damnosum vector identified (Sierra Leone)</c:v>
                </c:pt>
                <c:pt idx="5">
                  <c:v>Onchocerciasis linked to blindness in Africa (Belgian Congo [DRC])</c:v>
                </c:pt>
                <c:pt idx="6">
                  <c:v>Destruction of vegetation/fly larval habitats; Paris Green and calcium chlorides used against black flies (Belgian Congo, Kenya, Mexico)</c:v>
                </c:pt>
                <c:pt idx="7">
                  <c:v>Onchocerciasis linked to mass blindness and river valley abandonment (Upper Volta)</c:v>
                </c:pt>
                <c:pt idx="8">
                  <c:v>Chlorinated hydrocarbon DDT used in 40+ localized control programs against black flies in at least 14 African and Central American countries, with mixed results (including repopulation of flies and incomplete coverage)</c:v>
                </c:pt>
                <c:pt idx="9">
                  <c:v>Drugs suramin (against adult worms) and diethylcarbmazine (DEC, against microfilariae) discovered to be effective in humans, with serious side effects</c:v>
                </c:pt>
                <c:pt idx="10">
                  <c:v>ORSTROM and OCCGE multi-site pilot control campaign, using DDT (Upper Volta, Mali)</c:v>
                </c:pt>
                <c:pt idx="11">
                  <c:v>European Development Fund finances large zone study, using DDT (Upper Volta, Cote d’Ivoire, Mali)</c:v>
                </c:pt>
                <c:pt idx="12">
                  <c:v>‘Tunis meeting': USAID, OCCGE, and the WHO lay foundations for a regional control program in West Africa</c:v>
                </c:pt>
                <c:pt idx="13">
                  <c:v>WHO, UNDP, World Bank, and other partners draw up terms of reference a Preparatory Advisory Mission to the Governments of West Africa (PAG Mission)</c:v>
                </c:pt>
                <c:pt idx="14">
                  <c:v>Temephos insecticide becomes available as an alternative to DDT; FAO, Bank, UNDP, and WHO set up an OCP Steering Committee</c:v>
                </c:pt>
                <c:pt idx="15">
                  <c:v>Accra Meeting': prospective donors, sponsoring agencies, 7 participating countries, and WHO sign operational agreement</c:v>
                </c:pt>
                <c:pt idx="16">
                  <c:v>PAG report and OCP budget approved; donor countries sign Onchocerciasis Fund Agreement; control activities using temephos planned for 1975</c:v>
                </c:pt>
              </c:strCache>
            </c:strRef>
          </c:cat>
          <c:val>
            <c:numRef>
              <c:f>'Project Timeline'!$D$21:$D$37</c:f>
              <c:numCache>
                <c:formatCode>General</c:formatCode>
                <c:ptCount val="17"/>
                <c:pt idx="0">
                  <c:v>5</c:v>
                </c:pt>
                <c:pt idx="1">
                  <c:v>-10</c:v>
                </c:pt>
                <c:pt idx="2">
                  <c:v>15</c:v>
                </c:pt>
                <c:pt idx="3">
                  <c:v>-10</c:v>
                </c:pt>
                <c:pt idx="4">
                  <c:v>10</c:v>
                </c:pt>
                <c:pt idx="5">
                  <c:v>15</c:v>
                </c:pt>
                <c:pt idx="6">
                  <c:v>5</c:v>
                </c:pt>
                <c:pt idx="7">
                  <c:v>-5</c:v>
                </c:pt>
                <c:pt idx="8">
                  <c:v>10</c:v>
                </c:pt>
                <c:pt idx="9">
                  <c:v>-5</c:v>
                </c:pt>
                <c:pt idx="10">
                  <c:v>5</c:v>
                </c:pt>
                <c:pt idx="11">
                  <c:v>-5</c:v>
                </c:pt>
                <c:pt idx="12">
                  <c:v>10</c:v>
                </c:pt>
                <c:pt idx="13">
                  <c:v>-5</c:v>
                </c:pt>
                <c:pt idx="14">
                  <c:v>5</c:v>
                </c:pt>
                <c:pt idx="15">
                  <c:v>-5</c:v>
                </c:pt>
                <c:pt idx="16">
                  <c:v>5</c:v>
                </c:pt>
              </c:numCache>
            </c:numRef>
          </c:val>
          <c:extLst>
            <c:ext xmlns:c16="http://schemas.microsoft.com/office/drawing/2014/chart" uri="{C3380CC4-5D6E-409C-BE32-E72D297353CC}">
              <c16:uniqueId val="{0000001C-E06E-481E-AE58-B9D555E319ED}"/>
            </c:ext>
          </c:extLst>
        </c:ser>
        <c:dLbls>
          <c:showLegendKey val="0"/>
          <c:showVal val="0"/>
          <c:showCatName val="0"/>
          <c:showSerName val="0"/>
          <c:showPercent val="0"/>
          <c:showBubbleSize val="0"/>
        </c:dLbls>
        <c:gapWidth val="150"/>
        <c:axId val="1248560240"/>
        <c:axId val="1297954112"/>
      </c:barChart>
      <c:lineChart>
        <c:grouping val="standard"/>
        <c:varyColors val="0"/>
        <c:ser>
          <c:idx val="0"/>
          <c:order val="0"/>
          <c:tx>
            <c:strRef>
              <c:f>'Project Timeline'!$B$20</c:f>
              <c:strCache>
                <c:ptCount val="1"/>
                <c:pt idx="0">
                  <c:v>Column1</c:v>
                </c:pt>
              </c:strCache>
            </c:strRef>
          </c:tx>
          <c:spPr>
            <a:ln>
              <a:noFill/>
            </a:ln>
          </c:spPr>
          <c:marker>
            <c:symbol val="circle"/>
            <c:size val="7"/>
            <c:spPr>
              <a:solidFill>
                <a:schemeClr val="accent3">
                  <a:lumMod val="75000"/>
                </a:schemeClr>
              </a:solidFill>
              <a:ln w="63500" cmpd="thinThick">
                <a:solidFill>
                  <a:schemeClr val="accent3">
                    <a:lumMod val="75000"/>
                  </a:schemeClr>
                </a:solidFill>
              </a:ln>
            </c:spPr>
          </c:marker>
          <c:errBars>
            <c:errDir val="y"/>
            <c:errBarType val="both"/>
            <c:errValType val="percentage"/>
            <c:noEndCap val="0"/>
            <c:val val="5"/>
          </c:errBars>
          <c:cat>
            <c:strRef>
              <c:f>'Project Timeline'!$B$21:$B$37</c:f>
              <c:strCache>
                <c:ptCount val="17"/>
                <c:pt idx="0">
                  <c:v>1875</c:v>
                </c:pt>
                <c:pt idx="1">
                  <c:v>1893</c:v>
                </c:pt>
                <c:pt idx="2">
                  <c:v>1915</c:v>
                </c:pt>
                <c:pt idx="3">
                  <c:v>1920</c:v>
                </c:pt>
                <c:pt idx="4">
                  <c:v>1926</c:v>
                </c:pt>
                <c:pt idx="5">
                  <c:v>1932</c:v>
                </c:pt>
                <c:pt idx="6">
                  <c:v>1932-1944</c:v>
                </c:pt>
                <c:pt idx="7">
                  <c:v>1938</c:v>
                </c:pt>
                <c:pt idx="8">
                  <c:v>1944-1972</c:v>
                </c:pt>
                <c:pt idx="9">
                  <c:v>1947</c:v>
                </c:pt>
                <c:pt idx="10">
                  <c:v>1960-1965</c:v>
                </c:pt>
                <c:pt idx="11">
                  <c:v>1966</c:v>
                </c:pt>
                <c:pt idx="12">
                  <c:v>1968</c:v>
                </c:pt>
                <c:pt idx="13">
                  <c:v>1970</c:v>
                </c:pt>
                <c:pt idx="14">
                  <c:v>1972</c:v>
                </c:pt>
                <c:pt idx="15">
                  <c:v>1973</c:v>
                </c:pt>
                <c:pt idx="16">
                  <c:v>1974</c:v>
                </c:pt>
              </c:strCache>
            </c:strRef>
          </c:cat>
          <c:val>
            <c:numRef>
              <c:f>'Project Timeline'!$E$21:$E$37</c:f>
              <c:numCache>
                <c:formatCode>General</c:formatCode>
                <c:ptCount val="17"/>
                <c:pt idx="0">
                  <c:v>1</c:v>
                </c:pt>
                <c:pt idx="1">
                  <c:v>1</c:v>
                </c:pt>
                <c:pt idx="2">
                  <c:v>1</c:v>
                </c:pt>
                <c:pt idx="3">
                  <c:v>1</c:v>
                </c:pt>
                <c:pt idx="4">
                  <c:v>1</c:v>
                </c:pt>
                <c:pt idx="5">
                  <c:v>1</c:v>
                </c:pt>
                <c:pt idx="6">
                  <c:v>1</c:v>
                </c:pt>
                <c:pt idx="7">
                  <c:v>1</c:v>
                </c:pt>
                <c:pt idx="8">
                  <c:v>1</c:v>
                </c:pt>
                <c:pt idx="9">
                  <c:v>1</c:v>
                </c:pt>
                <c:pt idx="10">
                  <c:v>1</c:v>
                </c:pt>
                <c:pt idx="11">
                  <c:v>1</c:v>
                </c:pt>
                <c:pt idx="12">
                  <c:v>1</c:v>
                </c:pt>
                <c:pt idx="13">
                  <c:v>1</c:v>
                </c:pt>
                <c:pt idx="14">
                  <c:v>1</c:v>
                </c:pt>
                <c:pt idx="15">
                  <c:v>1</c:v>
                </c:pt>
                <c:pt idx="16">
                  <c:v>1</c:v>
                </c:pt>
              </c:numCache>
            </c:numRef>
          </c:val>
          <c:smooth val="1"/>
          <c:extLst>
            <c:ext xmlns:c16="http://schemas.microsoft.com/office/drawing/2014/chart" uri="{C3380CC4-5D6E-409C-BE32-E72D297353CC}">
              <c16:uniqueId val="{0000001D-E06E-481E-AE58-B9D555E319ED}"/>
            </c:ext>
          </c:extLst>
        </c:ser>
        <c:dLbls>
          <c:showLegendKey val="0"/>
          <c:showVal val="0"/>
          <c:showCatName val="0"/>
          <c:showSerName val="0"/>
          <c:showPercent val="0"/>
          <c:showBubbleSize val="0"/>
        </c:dLbls>
        <c:marker val="1"/>
        <c:smooth val="0"/>
        <c:axId val="1292856576"/>
        <c:axId val="1741295504"/>
      </c:lineChart>
      <c:catAx>
        <c:axId val="1292856576"/>
        <c:scaling>
          <c:orientation val="minMax"/>
        </c:scaling>
        <c:delete val="0"/>
        <c:axPos val="b"/>
        <c:numFmt formatCode="General" sourceLinked="1"/>
        <c:majorTickMark val="cross"/>
        <c:minorTickMark val="in"/>
        <c:tickLblPos val="nextTo"/>
        <c:spPr>
          <a:solidFill>
            <a:schemeClr val="bg1">
              <a:lumMod val="95000"/>
            </a:schemeClr>
          </a:solidFill>
          <a:ln w="9525">
            <a:solidFill>
              <a:sysClr val="window" lastClr="FFFFFF">
                <a:lumMod val="85000"/>
              </a:sysClr>
            </a:solidFill>
            <a:prstDash val="solid"/>
          </a:ln>
        </c:spPr>
        <c:txPr>
          <a:bodyPr anchor="t" anchorCtr="0"/>
          <a:lstStyle/>
          <a:p>
            <a:pPr>
              <a:defRPr sz="900" b="0">
                <a:solidFill>
                  <a:schemeClr val="bg1">
                    <a:lumMod val="50000"/>
                  </a:schemeClr>
                </a:solidFill>
                <a:latin typeface="+mj-lt"/>
              </a:defRPr>
            </a:pPr>
            <a:endParaRPr lang="en-US"/>
          </a:p>
        </c:txPr>
        <c:crossAx val="1741295504"/>
        <c:crosses val="autoZero"/>
        <c:auto val="1"/>
        <c:lblAlgn val="ctr"/>
        <c:lblOffset val="100"/>
        <c:tickLblSkip val="1"/>
        <c:tickMarkSkip val="7"/>
        <c:noMultiLvlLbl val="1"/>
      </c:catAx>
      <c:valAx>
        <c:axId val="1741295504"/>
        <c:scaling>
          <c:orientation val="minMax"/>
        </c:scaling>
        <c:delete val="1"/>
        <c:axPos val="l"/>
        <c:numFmt formatCode="General" sourceLinked="1"/>
        <c:majorTickMark val="out"/>
        <c:minorTickMark val="none"/>
        <c:tickLblPos val="nextTo"/>
        <c:crossAx val="1292856576"/>
        <c:crosses val="autoZero"/>
        <c:crossBetween val="midCat"/>
      </c:valAx>
      <c:valAx>
        <c:axId val="1297954112"/>
        <c:scaling>
          <c:orientation val="minMax"/>
        </c:scaling>
        <c:delete val="1"/>
        <c:axPos val="r"/>
        <c:numFmt formatCode="General" sourceLinked="1"/>
        <c:majorTickMark val="out"/>
        <c:minorTickMark val="none"/>
        <c:tickLblPos val="nextTo"/>
        <c:crossAx val="1248560240"/>
        <c:crosses val="max"/>
        <c:crossBetween val="between"/>
      </c:valAx>
      <c:catAx>
        <c:axId val="1248560240"/>
        <c:scaling>
          <c:orientation val="minMax"/>
        </c:scaling>
        <c:delete val="1"/>
        <c:axPos val="b"/>
        <c:numFmt formatCode="General" sourceLinked="1"/>
        <c:majorTickMark val="out"/>
        <c:minorTickMark val="none"/>
        <c:tickLblPos val="nextTo"/>
        <c:crossAx val="1297954112"/>
        <c:crosses val="autoZero"/>
        <c:auto val="1"/>
        <c:lblAlgn val="ctr"/>
        <c:lblOffset val="100"/>
        <c:noMultiLvlLbl val="0"/>
      </c:catAx>
      <c:spPr>
        <a:noFill/>
      </c:spPr>
    </c:plotArea>
    <c:plotVisOnly val="0"/>
    <c:dispBlanksAs val="gap"/>
    <c:showDLblsOverMax val="0"/>
  </c:chart>
  <c:spPr>
    <a:solidFill>
      <a:schemeClr val="bg1">
        <a:lumMod val="95000"/>
      </a:schemeClr>
    </a:solidFill>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4399308576993899E-2"/>
          <c:y val="0.13320671490329328"/>
          <c:w val="0.87774435881027202"/>
          <c:h val="0.82736673844606812"/>
        </c:manualLayout>
      </c:layout>
      <c:barChart>
        <c:barDir val="col"/>
        <c:grouping val="clustered"/>
        <c:varyColors val="0"/>
        <c:ser>
          <c:idx val="1"/>
          <c:order val="1"/>
          <c:tx>
            <c:strRef>
              <c:f>'Project Timeline'!$D$20</c:f>
              <c:strCache>
                <c:ptCount val="1"/>
                <c:pt idx="0">
                  <c:v>POSITION</c:v>
                </c:pt>
              </c:strCache>
            </c:strRef>
          </c:tx>
          <c:spPr>
            <a:noFill/>
          </c:spPr>
          <c:invertIfNegative val="0"/>
          <c:dLbls>
            <c:dLbl>
              <c:idx val="0"/>
              <c:layout>
                <c:manualLayout>
                  <c:x val="-2.4124977441752201E-3"/>
                  <c:y val="-7.3514940319760996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0.11555319735976401"/>
                      <c:h val="5.8071433811703203E-2"/>
                    </c:manualLayout>
                  </c15:layout>
                </c:ext>
                <c:ext xmlns:c16="http://schemas.microsoft.com/office/drawing/2014/chart" uri="{C3380CC4-5D6E-409C-BE32-E72D297353CC}">
                  <c16:uniqueId val="{00000000-27EA-4D78-9D9B-88483E74A977}"/>
                </c:ext>
              </c:extLst>
            </c:dLbl>
            <c:dLbl>
              <c:idx val="1"/>
              <c:layout>
                <c:manualLayout>
                  <c:x val="1.80945641746531E-3"/>
                  <c:y val="-4.4109108906306101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8.5396407777134004E-2"/>
                      <c:h val="6.5422797735508298E-2"/>
                    </c:manualLayout>
                  </c15:layout>
                </c:ext>
                <c:ext xmlns:c16="http://schemas.microsoft.com/office/drawing/2014/chart" uri="{C3380CC4-5D6E-409C-BE32-E72D297353CC}">
                  <c16:uniqueId val="{00000001-27EA-4D78-9D9B-88483E74A977}"/>
                </c:ext>
              </c:extLst>
            </c:dLbl>
            <c:dLbl>
              <c:idx val="2"/>
              <c:layout>
                <c:manualLayout>
                  <c:x val="-2.4124977441752201E-3"/>
                  <c:y val="-2.94053972701066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0.11555319735976401"/>
                      <c:h val="5.8071433811703203E-2"/>
                    </c:manualLayout>
                  </c15:layout>
                </c:ext>
                <c:ext xmlns:c16="http://schemas.microsoft.com/office/drawing/2014/chart" uri="{C3380CC4-5D6E-409C-BE32-E72D297353CC}">
                  <c16:uniqueId val="{00000002-27EA-4D78-9D9B-88483E74A977}"/>
                </c:ext>
              </c:extLst>
            </c:dLbl>
            <c:dLbl>
              <c:idx val="3"/>
              <c:layout>
                <c:manualLayout>
                  <c:x val="-7.8407245234273504E-3"/>
                  <c:y val="-1.10273857624136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8.0571317306687706E-2"/>
                      <c:h val="6.5422797735508298E-2"/>
                    </c:manualLayout>
                  </c15:layout>
                </c:ext>
                <c:ext xmlns:c16="http://schemas.microsoft.com/office/drawing/2014/chart" uri="{C3380CC4-5D6E-409C-BE32-E72D297353CC}">
                  <c16:uniqueId val="{00000003-27EA-4D78-9D9B-88483E74A977}"/>
                </c:ext>
              </c:extLst>
            </c:dLbl>
            <c:dLbl>
              <c:idx val="4"/>
              <c:layout>
                <c:manualLayout>
                  <c:x val="-4.82504297939838E-3"/>
                  <c:y val="-2.94048184123087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0.11555319735976401"/>
                      <c:h val="5.8071433811703203E-2"/>
                    </c:manualLayout>
                  </c15:layout>
                </c:ext>
                <c:ext xmlns:c16="http://schemas.microsoft.com/office/drawing/2014/chart" uri="{C3380CC4-5D6E-409C-BE32-E72D297353CC}">
                  <c16:uniqueId val="{00000004-27EA-4D78-9D9B-88483E74A977}"/>
                </c:ext>
              </c:extLst>
            </c:dLbl>
            <c:dLbl>
              <c:idx val="5"/>
              <c:layout>
                <c:manualLayout>
                  <c:x val="0"/>
                  <c:y val="-3.0705120115045101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0.11555319735976401"/>
                      <c:h val="5.8071433811703203E-2"/>
                    </c:manualLayout>
                  </c15:layout>
                </c:ext>
                <c:ext xmlns:c16="http://schemas.microsoft.com/office/drawing/2014/chart" uri="{C3380CC4-5D6E-409C-BE32-E72D297353CC}">
                  <c16:uniqueId val="{00000005-27EA-4D78-9D9B-88483E74A977}"/>
                </c:ext>
              </c:extLst>
            </c:dLbl>
            <c:dLbl>
              <c:idx val="6"/>
              <c:layout>
                <c:manualLayout>
                  <c:x val="-1.20182843731072E-3"/>
                  <c:y val="-1.9544413384724499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0.11555319735976401"/>
                      <c:h val="5.8071433811703203E-2"/>
                    </c:manualLayout>
                  </c15:layout>
                </c:ext>
                <c:ext xmlns:c16="http://schemas.microsoft.com/office/drawing/2014/chart" uri="{C3380CC4-5D6E-409C-BE32-E72D297353CC}">
                  <c16:uniqueId val="{00000006-27EA-4D78-9D9B-88483E74A977}"/>
                </c:ext>
              </c:extLst>
            </c:dLbl>
            <c:dLbl>
              <c:idx val="7"/>
              <c:layout>
                <c:manualLayout>
                  <c:x val="1.4284236110251999E-3"/>
                  <c:y val="-1.37912012136257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0.11555319735976401"/>
                      <c:h val="5.8071433811703203E-2"/>
                    </c:manualLayout>
                  </c15:layout>
                </c:ext>
                <c:ext xmlns:c16="http://schemas.microsoft.com/office/drawing/2014/chart" uri="{C3380CC4-5D6E-409C-BE32-E72D297353CC}">
                  <c16:uniqueId val="{00000007-27EA-4D78-9D9B-88483E74A977}"/>
                </c:ext>
              </c:extLst>
            </c:dLbl>
            <c:dLbl>
              <c:idx val="8"/>
              <c:layout>
                <c:manualLayout>
                  <c:x val="4.7491047937463803E-8"/>
                  <c:y val="-8.4541313081028399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0.11555319735976401"/>
                      <c:h val="5.8071433811703203E-2"/>
                    </c:manualLayout>
                  </c15:layout>
                </c:ext>
                <c:ext xmlns:c16="http://schemas.microsoft.com/office/drawing/2014/chart" uri="{C3380CC4-5D6E-409C-BE32-E72D297353CC}">
                  <c16:uniqueId val="{00000008-27EA-4D78-9D9B-88483E74A977}"/>
                </c:ext>
              </c:extLst>
            </c:dLbl>
            <c:dLbl>
              <c:idx val="9"/>
              <c:layout>
                <c:manualLayout>
                  <c:x val="0"/>
                  <c:y val="-5.2198704195576602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0.11555319735976401"/>
                      <c:h val="5.8071433811703203E-2"/>
                    </c:manualLayout>
                  </c15:layout>
                </c:ext>
                <c:ext xmlns:c16="http://schemas.microsoft.com/office/drawing/2014/chart" uri="{C3380CC4-5D6E-409C-BE32-E72D297353CC}">
                  <c16:uniqueId val="{00000009-27EA-4D78-9D9B-88483E74A977}"/>
                </c:ext>
              </c:extLst>
            </c:dLbl>
            <c:dLbl>
              <c:idx val="10"/>
              <c:layout>
                <c:manualLayout>
                  <c:x val="2.4038461538461501E-3"/>
                  <c:y val="-2.4563854319436799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0.11555319735976401"/>
                      <c:h val="5.8071433811703203E-2"/>
                    </c:manualLayout>
                  </c15:layout>
                </c:ext>
                <c:ext xmlns:c16="http://schemas.microsoft.com/office/drawing/2014/chart" uri="{C3380CC4-5D6E-409C-BE32-E72D297353CC}">
                  <c16:uniqueId val="{0000000A-27EA-4D78-9D9B-88483E74A977}"/>
                </c:ext>
              </c:extLst>
            </c:dLbl>
            <c:dLbl>
              <c:idx val="11"/>
              <c:layout>
                <c:manualLayout>
                  <c:x val="-2.40384142186554E-2"/>
                  <c:y val="2.9169864109292901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0.115553168534222"/>
                      <c:h val="9.7988016782886697E-2"/>
                    </c:manualLayout>
                  </c15:layout>
                </c:ext>
                <c:ext xmlns:c16="http://schemas.microsoft.com/office/drawing/2014/chart" uri="{C3380CC4-5D6E-409C-BE32-E72D297353CC}">
                  <c16:uniqueId val="{0000000B-27EA-4D78-9D9B-88483E74A977}"/>
                </c:ext>
              </c:extLst>
            </c:dLbl>
            <c:dLbl>
              <c:idx val="13"/>
              <c:layout>
                <c:manualLayout>
                  <c:x val="1.5624999999999899E-2"/>
                  <c:y val="-1.8423072069027002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0.131328077680194"/>
                      <c:h val="0.13454983634412701"/>
                    </c:manualLayout>
                  </c15:layout>
                </c:ext>
                <c:ext xmlns:c16="http://schemas.microsoft.com/office/drawing/2014/chart" uri="{C3380CC4-5D6E-409C-BE32-E72D297353CC}">
                  <c16:uniqueId val="{0000000C-27EA-4D78-9D9B-88483E74A977}"/>
                </c:ext>
              </c:extLst>
            </c:dLbl>
            <c:dLbl>
              <c:idx val="14"/>
              <c:layout>
                <c:manualLayout>
                  <c:x val="1.8028846153846201E-2"/>
                  <c:y val="-2.1493584080531501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0.14427884615384601"/>
                      <c:h val="0.103215382153024"/>
                    </c:manualLayout>
                  </c15:layout>
                </c:ext>
                <c:ext xmlns:c16="http://schemas.microsoft.com/office/drawing/2014/chart" uri="{C3380CC4-5D6E-409C-BE32-E72D297353CC}">
                  <c16:uniqueId val="{0000000D-27EA-4D78-9D9B-88483E74A977}"/>
                </c:ext>
              </c:extLst>
            </c:dLbl>
            <c:dLbl>
              <c:idx val="15"/>
              <c:layout>
                <c:manualLayout>
                  <c:x val="3.3653893473652302E-2"/>
                  <c:y val="-3.0705120115045101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9.7433846910963004E-2"/>
                      <c:h val="9.64447822813565E-2"/>
                    </c:manualLayout>
                  </c15:layout>
                </c:ext>
                <c:ext xmlns:c16="http://schemas.microsoft.com/office/drawing/2014/chart" uri="{C3380CC4-5D6E-409C-BE32-E72D297353CC}">
                  <c16:uniqueId val="{0000000E-27EA-4D78-9D9B-88483E74A977}"/>
                </c:ext>
              </c:extLst>
            </c:dLbl>
            <c:spPr>
              <a:solidFill>
                <a:schemeClr val="bg1">
                  <a:lumMod val="95000"/>
                </a:schemeClr>
              </a:solidFill>
              <a:ln>
                <a:noFill/>
              </a:ln>
              <a:effectLst/>
            </c:spPr>
            <c:txPr>
              <a:bodyPr vertOverflow="overflow" horzOverflow="overflow" wrap="square" lIns="38100" tIns="19050" rIns="38100" bIns="19050" anchor="ctr">
                <a:noAutofit/>
              </a:bodyPr>
              <a:lstStyle/>
              <a:p>
                <a:pPr>
                  <a:defRPr sz="800" b="0" cap="none" spc="10" baseline="0">
                    <a:solidFill>
                      <a:schemeClr val="tx1">
                        <a:lumMod val="65000"/>
                        <a:lumOff val="35000"/>
                      </a:schemeClr>
                    </a:solidFill>
                    <a:latin typeface="Calibri Light (Headings)"/>
                  </a:defRPr>
                </a:pPr>
                <a:endParaRPr lang="en-US"/>
              </a:p>
            </c:txPr>
            <c:dLblPos val="outEnd"/>
            <c:showLegendKey val="0"/>
            <c:showVal val="0"/>
            <c:showCatName val="1"/>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errBars>
            <c:errBarType val="minus"/>
            <c:errValType val="percentage"/>
            <c:noEndCap val="0"/>
            <c:val val="100"/>
            <c:spPr>
              <a:ln>
                <a:solidFill>
                  <a:schemeClr val="tx1">
                    <a:lumMod val="65000"/>
                    <a:lumOff val="35000"/>
                  </a:schemeClr>
                </a:solidFill>
              </a:ln>
            </c:spPr>
          </c:errBars>
          <c:cat>
            <c:strRef>
              <c:f>'Project Timeline'!$C$21:$C$36</c:f>
              <c:strCache>
                <c:ptCount val="16"/>
                <c:pt idx="0">
                  <c:v>Onchocerciasis Fund signed by partners; Larviciding with temephos begins in 7 country region</c:v>
                </c:pt>
                <c:pt idx="1">
                  <c:v>Resistance of blackflies to temephos first identified</c:v>
                </c:pt>
                <c:pt idx="2">
                  <c:v>Onchocerciasis Chemotherapy Project begins</c:v>
                </c:pt>
                <c:pt idx="3">
                  <c:v>Ivermectin trials begin</c:v>
                </c:pt>
                <c:pt idx="4">
                  <c:v>Expansion of larviciding into southern Benin, Cote d'Ivoire, Ghana, Togo</c:v>
                </c:pt>
                <c:pt idx="5">
                  <c:v>Ivermectin registered; Merck pledges long-term donation </c:v>
                </c:pt>
                <c:pt idx="6">
                  <c:v>Expansion of larviciding into Western Mali, Guinea, Sengal, Sierra Leone</c:v>
                </c:pt>
                <c:pt idx="7">
                  <c:v>NGDO Coordination Group established for ivermectin distribution</c:v>
                </c:pt>
                <c:pt idx="8">
                  <c:v>Mid-Term review emphasizes community-based distribution of ivermectin and rotational use of larviciding</c:v>
                </c:pt>
                <c:pt idx="9">
                  <c:v>Bank publishes sweeping programme socio-economic review; APOC launched in 19 African countries</c:v>
                </c:pt>
                <c:pt idx="10">
                  <c:v>Community Directed Treatment with Ivermectin (CDTI) strategy launched</c:v>
                </c:pt>
                <c:pt idx="11">
                  <c:v>OCP ends operations</c:v>
                </c:pt>
                <c:pt idx="12">
                  <c:v>APOC extended through 2015 and enlarged to include ex-OCP countries</c:v>
                </c:pt>
                <c:pt idx="13">
                  <c:v>London Declaration pledges donated drugs for mass drug administration for NTDs; WHO launches NTD Elimination Roadmap</c:v>
                </c:pt>
                <c:pt idx="14">
                  <c:v>WHO Regional Strategic Plan for NTDs in the African Region adopted by all 47 Health Ministers of Sub-Saharan Africa</c:v>
                </c:pt>
                <c:pt idx="15">
                  <c:v>WHO initiates ESPEN, for community treatment of all preventable NTDs</c:v>
                </c:pt>
              </c:strCache>
            </c:strRef>
          </c:cat>
          <c:val>
            <c:numRef>
              <c:f>'Project Timeline'!$D$21:$D$36</c:f>
              <c:numCache>
                <c:formatCode>General</c:formatCode>
                <c:ptCount val="16"/>
                <c:pt idx="0">
                  <c:v>18</c:v>
                </c:pt>
                <c:pt idx="1">
                  <c:v>5</c:v>
                </c:pt>
                <c:pt idx="2">
                  <c:v>-10</c:v>
                </c:pt>
                <c:pt idx="3">
                  <c:v>15</c:v>
                </c:pt>
                <c:pt idx="4">
                  <c:v>-5</c:v>
                </c:pt>
                <c:pt idx="5">
                  <c:v>20</c:v>
                </c:pt>
                <c:pt idx="6">
                  <c:v>-10</c:v>
                </c:pt>
                <c:pt idx="7">
                  <c:v>15</c:v>
                </c:pt>
                <c:pt idx="8">
                  <c:v>-5</c:v>
                </c:pt>
                <c:pt idx="9">
                  <c:v>20</c:v>
                </c:pt>
                <c:pt idx="10">
                  <c:v>-10</c:v>
                </c:pt>
                <c:pt idx="11">
                  <c:v>5</c:v>
                </c:pt>
                <c:pt idx="12">
                  <c:v>25</c:v>
                </c:pt>
                <c:pt idx="13">
                  <c:v>10</c:v>
                </c:pt>
                <c:pt idx="14">
                  <c:v>-5</c:v>
                </c:pt>
                <c:pt idx="15">
                  <c:v>15</c:v>
                </c:pt>
              </c:numCache>
            </c:numRef>
          </c:val>
          <c:extLst>
            <c:ext xmlns:c16="http://schemas.microsoft.com/office/drawing/2014/chart" uri="{C3380CC4-5D6E-409C-BE32-E72D297353CC}">
              <c16:uniqueId val="{0000000F-27EA-4D78-9D9B-88483E74A977}"/>
            </c:ext>
          </c:extLst>
        </c:ser>
        <c:dLbls>
          <c:showLegendKey val="0"/>
          <c:showVal val="0"/>
          <c:showCatName val="0"/>
          <c:showSerName val="0"/>
          <c:showPercent val="0"/>
          <c:showBubbleSize val="0"/>
        </c:dLbls>
        <c:gapWidth val="150"/>
        <c:axId val="1259260192"/>
        <c:axId val="1264413648"/>
      </c:barChart>
      <c:lineChart>
        <c:grouping val="standard"/>
        <c:varyColors val="0"/>
        <c:ser>
          <c:idx val="0"/>
          <c:order val="0"/>
          <c:tx>
            <c:strRef>
              <c:f>'Project Timeline'!$B$20</c:f>
              <c:strCache>
                <c:ptCount val="1"/>
                <c:pt idx="0">
                  <c:v>DATE</c:v>
                </c:pt>
              </c:strCache>
            </c:strRef>
          </c:tx>
          <c:spPr>
            <a:ln>
              <a:noFill/>
            </a:ln>
          </c:spPr>
          <c:marker>
            <c:symbol val="circle"/>
            <c:size val="7"/>
            <c:spPr>
              <a:solidFill>
                <a:schemeClr val="accent3">
                  <a:lumMod val="75000"/>
                </a:schemeClr>
              </a:solidFill>
              <a:ln w="63500" cmpd="thinThick">
                <a:solidFill>
                  <a:schemeClr val="accent3">
                    <a:lumMod val="75000"/>
                  </a:schemeClr>
                </a:solidFill>
              </a:ln>
            </c:spPr>
          </c:marker>
          <c:errBars>
            <c:errDir val="y"/>
            <c:errBarType val="both"/>
            <c:errValType val="percentage"/>
            <c:noEndCap val="0"/>
            <c:val val="5"/>
          </c:errBars>
          <c:cat>
            <c:numRef>
              <c:f>'Project Timeline'!$B$21:$B$36</c:f>
              <c:numCache>
                <c:formatCode>General</c:formatCode>
                <c:ptCount val="16"/>
                <c:pt idx="0">
                  <c:v>1974</c:v>
                </c:pt>
                <c:pt idx="1">
                  <c:v>1980</c:v>
                </c:pt>
                <c:pt idx="2">
                  <c:v>1981</c:v>
                </c:pt>
                <c:pt idx="3">
                  <c:v>1983</c:v>
                </c:pt>
                <c:pt idx="4">
                  <c:v>1984</c:v>
                </c:pt>
                <c:pt idx="5">
                  <c:v>1987</c:v>
                </c:pt>
                <c:pt idx="6">
                  <c:v>1989</c:v>
                </c:pt>
                <c:pt idx="7">
                  <c:v>1992</c:v>
                </c:pt>
                <c:pt idx="8">
                  <c:v>1994</c:v>
                </c:pt>
                <c:pt idx="9">
                  <c:v>1995</c:v>
                </c:pt>
                <c:pt idx="10">
                  <c:v>1997</c:v>
                </c:pt>
                <c:pt idx="11">
                  <c:v>2002</c:v>
                </c:pt>
                <c:pt idx="12">
                  <c:v>2006</c:v>
                </c:pt>
                <c:pt idx="13">
                  <c:v>2012</c:v>
                </c:pt>
                <c:pt idx="14">
                  <c:v>2013</c:v>
                </c:pt>
                <c:pt idx="15">
                  <c:v>2015</c:v>
                </c:pt>
              </c:numCache>
            </c:numRef>
          </c:cat>
          <c:val>
            <c:numRef>
              <c:f>'Project Timeline'!$E$21:$E$36</c:f>
              <c:numCache>
                <c:formatCode>General</c:formatCode>
                <c:ptCount val="16"/>
                <c:pt idx="0">
                  <c:v>1</c:v>
                </c:pt>
                <c:pt idx="1">
                  <c:v>1</c:v>
                </c:pt>
                <c:pt idx="2">
                  <c:v>1</c:v>
                </c:pt>
                <c:pt idx="3">
                  <c:v>1</c:v>
                </c:pt>
                <c:pt idx="4">
                  <c:v>1</c:v>
                </c:pt>
                <c:pt idx="5">
                  <c:v>1</c:v>
                </c:pt>
                <c:pt idx="6">
                  <c:v>1</c:v>
                </c:pt>
                <c:pt idx="7">
                  <c:v>1</c:v>
                </c:pt>
                <c:pt idx="8">
                  <c:v>1</c:v>
                </c:pt>
                <c:pt idx="9">
                  <c:v>1</c:v>
                </c:pt>
                <c:pt idx="10">
                  <c:v>1</c:v>
                </c:pt>
                <c:pt idx="11">
                  <c:v>1</c:v>
                </c:pt>
                <c:pt idx="12">
                  <c:v>1</c:v>
                </c:pt>
                <c:pt idx="13">
                  <c:v>1</c:v>
                </c:pt>
                <c:pt idx="14">
                  <c:v>1</c:v>
                </c:pt>
                <c:pt idx="15">
                  <c:v>1</c:v>
                </c:pt>
              </c:numCache>
            </c:numRef>
          </c:val>
          <c:smooth val="1"/>
          <c:extLst>
            <c:ext xmlns:c16="http://schemas.microsoft.com/office/drawing/2014/chart" uri="{C3380CC4-5D6E-409C-BE32-E72D297353CC}">
              <c16:uniqueId val="{00000010-27EA-4D78-9D9B-88483E74A977}"/>
            </c:ext>
          </c:extLst>
        </c:ser>
        <c:dLbls>
          <c:showLegendKey val="0"/>
          <c:showVal val="0"/>
          <c:showCatName val="0"/>
          <c:showSerName val="0"/>
          <c:showPercent val="0"/>
          <c:showBubbleSize val="0"/>
        </c:dLbls>
        <c:marker val="1"/>
        <c:smooth val="0"/>
        <c:axId val="1278602720"/>
        <c:axId val="1726913344"/>
      </c:lineChart>
      <c:catAx>
        <c:axId val="1278602720"/>
        <c:scaling>
          <c:orientation val="minMax"/>
        </c:scaling>
        <c:delete val="0"/>
        <c:axPos val="b"/>
        <c:numFmt formatCode="General" sourceLinked="0"/>
        <c:majorTickMark val="cross"/>
        <c:minorTickMark val="in"/>
        <c:tickLblPos val="nextTo"/>
        <c:spPr>
          <a:solidFill>
            <a:schemeClr val="bg1">
              <a:lumMod val="95000"/>
            </a:schemeClr>
          </a:solidFill>
          <a:ln w="9525">
            <a:solidFill>
              <a:schemeClr val="bg1">
                <a:lumMod val="85000"/>
              </a:schemeClr>
            </a:solidFill>
            <a:prstDash val="solid"/>
          </a:ln>
        </c:spPr>
        <c:txPr>
          <a:bodyPr/>
          <a:lstStyle/>
          <a:p>
            <a:pPr>
              <a:defRPr sz="900" b="0">
                <a:solidFill>
                  <a:schemeClr val="bg1">
                    <a:lumMod val="50000"/>
                  </a:schemeClr>
                </a:solidFill>
                <a:latin typeface="+mj-lt"/>
              </a:defRPr>
            </a:pPr>
            <a:endParaRPr lang="en-US"/>
          </a:p>
        </c:txPr>
        <c:crossAx val="1726913344"/>
        <c:crosses val="autoZero"/>
        <c:auto val="1"/>
        <c:lblAlgn val="ctr"/>
        <c:lblOffset val="100"/>
        <c:tickLblSkip val="1"/>
        <c:tickMarkSkip val="7"/>
        <c:noMultiLvlLbl val="1"/>
      </c:catAx>
      <c:valAx>
        <c:axId val="1726913344"/>
        <c:scaling>
          <c:orientation val="minMax"/>
        </c:scaling>
        <c:delete val="1"/>
        <c:axPos val="l"/>
        <c:numFmt formatCode="General" sourceLinked="1"/>
        <c:majorTickMark val="out"/>
        <c:minorTickMark val="none"/>
        <c:tickLblPos val="nextTo"/>
        <c:crossAx val="1278602720"/>
        <c:crosses val="autoZero"/>
        <c:crossBetween val="midCat"/>
      </c:valAx>
      <c:valAx>
        <c:axId val="1264413648"/>
        <c:scaling>
          <c:orientation val="minMax"/>
        </c:scaling>
        <c:delete val="1"/>
        <c:axPos val="r"/>
        <c:numFmt formatCode="General" sourceLinked="1"/>
        <c:majorTickMark val="out"/>
        <c:minorTickMark val="none"/>
        <c:tickLblPos val="nextTo"/>
        <c:crossAx val="1259260192"/>
        <c:crosses val="max"/>
        <c:crossBetween val="between"/>
      </c:valAx>
      <c:catAx>
        <c:axId val="1259260192"/>
        <c:scaling>
          <c:orientation val="minMax"/>
        </c:scaling>
        <c:delete val="1"/>
        <c:axPos val="b"/>
        <c:numFmt formatCode="General" sourceLinked="1"/>
        <c:majorTickMark val="out"/>
        <c:minorTickMark val="none"/>
        <c:tickLblPos val="nextTo"/>
        <c:crossAx val="1264413648"/>
        <c:crosses val="autoZero"/>
        <c:auto val="1"/>
        <c:lblAlgn val="ctr"/>
        <c:lblOffset val="100"/>
        <c:noMultiLvlLbl val="0"/>
      </c:catAx>
      <c:spPr>
        <a:noFill/>
      </c:spPr>
    </c:plotArea>
    <c:plotVisOnly val="0"/>
    <c:dispBlanksAs val="gap"/>
    <c:showDLblsOverMax val="0"/>
  </c:chart>
  <c:spPr>
    <a:solidFill>
      <a:schemeClr val="bg1">
        <a:lumMod val="95000"/>
      </a:schemeClr>
    </a:solidFill>
    <a:ln>
      <a:noFill/>
    </a:ln>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mj-lt"/>
                <a:ea typeface="+mn-ea"/>
                <a:cs typeface="+mn-cs"/>
              </a:defRPr>
            </a:pPr>
            <a:r>
              <a:rPr lang="en-GB" sz="1100" b="1">
                <a:latin typeface="+mj-lt"/>
              </a:rPr>
              <a:t>References to the OCP's success by year and</a:t>
            </a:r>
            <a:r>
              <a:rPr lang="en-GB" sz="1100" b="1" baseline="0">
                <a:latin typeface="+mj-lt"/>
              </a:rPr>
              <a:t> type of sources in literature review</a:t>
            </a:r>
            <a:r>
              <a:rPr lang="en-GB" sz="1100" b="1">
                <a:latin typeface="+mj-lt"/>
              </a:rPr>
              <a:t> in</a:t>
            </a:r>
            <a:r>
              <a:rPr lang="en-GB" sz="1100" b="1" baseline="0">
                <a:latin typeface="+mj-lt"/>
              </a:rPr>
              <a:t> the global health community (excluding the World Bank)</a:t>
            </a:r>
            <a:endParaRPr lang="en-GB" sz="1100" b="1">
              <a:latin typeface="+mj-lt"/>
            </a:endParaRPr>
          </a:p>
        </c:rich>
      </c:tx>
      <c:overlay val="0"/>
      <c:spPr>
        <a:noFill/>
        <a:ln>
          <a:noFill/>
        </a:ln>
        <a:effectLst/>
      </c:spPr>
      <c:txPr>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mj-lt"/>
              <a:ea typeface="+mn-ea"/>
              <a:cs typeface="+mn-cs"/>
            </a:defRPr>
          </a:pPr>
          <a:endParaRPr lang="en-US"/>
        </a:p>
      </c:txPr>
    </c:title>
    <c:autoTitleDeleted val="0"/>
    <c:plotArea>
      <c:layout/>
      <c:barChart>
        <c:barDir val="col"/>
        <c:grouping val="clustered"/>
        <c:varyColors val="0"/>
        <c:ser>
          <c:idx val="1"/>
          <c:order val="0"/>
          <c:tx>
            <c:strRef>
              <c:f>'218 minus Bank STATS'!$D$214</c:f>
              <c:strCache>
                <c:ptCount val="1"/>
                <c:pt idx="0">
                  <c:v>Published &amp; grey literature</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cat>
            <c:strRef>
              <c:f>'218 minus Bank STATS'!$B$215:$B$253</c:f>
              <c:strCache>
                <c:ptCount val="39"/>
                <c:pt idx="0">
                  <c:v>1979</c:v>
                </c:pt>
                <c:pt idx="1">
                  <c:v>1980</c:v>
                </c:pt>
                <c:pt idx="2">
                  <c:v>1981</c:v>
                </c:pt>
                <c:pt idx="3">
                  <c:v>1982</c:v>
                </c:pt>
                <c:pt idx="4">
                  <c:v>1983</c:v>
                </c:pt>
                <c:pt idx="5">
                  <c:v>1984</c:v>
                </c:pt>
                <c:pt idx="6">
                  <c:v>1985</c:v>
                </c:pt>
                <c:pt idx="7">
                  <c:v>1986</c:v>
                </c:pt>
                <c:pt idx="8">
                  <c:v>1987</c:v>
                </c:pt>
                <c:pt idx="9">
                  <c:v>1988</c:v>
                </c:pt>
                <c:pt idx="10">
                  <c:v>1989</c:v>
                </c:pt>
                <c:pt idx="11">
                  <c:v>1990</c:v>
                </c:pt>
                <c:pt idx="12">
                  <c:v>1991</c:v>
                </c:pt>
                <c:pt idx="13">
                  <c:v>1992</c:v>
                </c:pt>
                <c:pt idx="14">
                  <c:v>1993</c:v>
                </c:pt>
                <c:pt idx="15">
                  <c:v>1994</c:v>
                </c:pt>
                <c:pt idx="16">
                  <c:v>1995</c:v>
                </c:pt>
                <c:pt idx="17">
                  <c:v>1996</c:v>
                </c:pt>
                <c:pt idx="18">
                  <c:v>1997</c:v>
                </c:pt>
                <c:pt idx="19">
                  <c:v>1998</c:v>
                </c:pt>
                <c:pt idx="20">
                  <c:v>1999</c:v>
                </c:pt>
                <c:pt idx="21">
                  <c:v>2000</c:v>
                </c:pt>
                <c:pt idx="22">
                  <c:v>2001</c:v>
                </c:pt>
                <c:pt idx="23">
                  <c:v>2002</c:v>
                </c:pt>
                <c:pt idx="24">
                  <c:v>2003</c:v>
                </c:pt>
                <c:pt idx="25">
                  <c:v>2004</c:v>
                </c:pt>
                <c:pt idx="26">
                  <c:v>2005</c:v>
                </c:pt>
                <c:pt idx="27">
                  <c:v>2006</c:v>
                </c:pt>
                <c:pt idx="28">
                  <c:v>2007</c:v>
                </c:pt>
                <c:pt idx="29">
                  <c:v>2008</c:v>
                </c:pt>
                <c:pt idx="30">
                  <c:v>2009</c:v>
                </c:pt>
                <c:pt idx="31">
                  <c:v>2010</c:v>
                </c:pt>
                <c:pt idx="32">
                  <c:v>2011</c:v>
                </c:pt>
                <c:pt idx="33">
                  <c:v>2012</c:v>
                </c:pt>
                <c:pt idx="34">
                  <c:v>2013</c:v>
                </c:pt>
                <c:pt idx="35">
                  <c:v>2014</c:v>
                </c:pt>
                <c:pt idx="36">
                  <c:v>2015</c:v>
                </c:pt>
                <c:pt idx="37">
                  <c:v>2016</c:v>
                </c:pt>
                <c:pt idx="38">
                  <c:v>2017*</c:v>
                </c:pt>
              </c:strCache>
            </c:strRef>
          </c:cat>
          <c:val>
            <c:numRef>
              <c:f>'218 minus Bank STATS'!$G$215:$G$253</c:f>
              <c:numCache>
                <c:formatCode>General</c:formatCode>
                <c:ptCount val="39"/>
                <c:pt idx="0">
                  <c:v>0</c:v>
                </c:pt>
                <c:pt idx="1">
                  <c:v>0</c:v>
                </c:pt>
                <c:pt idx="2">
                  <c:v>1</c:v>
                </c:pt>
                <c:pt idx="3">
                  <c:v>1</c:v>
                </c:pt>
                <c:pt idx="4">
                  <c:v>1</c:v>
                </c:pt>
                <c:pt idx="5">
                  <c:v>1</c:v>
                </c:pt>
                <c:pt idx="6">
                  <c:v>2</c:v>
                </c:pt>
                <c:pt idx="7">
                  <c:v>1</c:v>
                </c:pt>
                <c:pt idx="8">
                  <c:v>1</c:v>
                </c:pt>
                <c:pt idx="9">
                  <c:v>0</c:v>
                </c:pt>
                <c:pt idx="10">
                  <c:v>2</c:v>
                </c:pt>
                <c:pt idx="11">
                  <c:v>3</c:v>
                </c:pt>
                <c:pt idx="12">
                  <c:v>3</c:v>
                </c:pt>
                <c:pt idx="13">
                  <c:v>3</c:v>
                </c:pt>
                <c:pt idx="14">
                  <c:v>5</c:v>
                </c:pt>
                <c:pt idx="15">
                  <c:v>4</c:v>
                </c:pt>
                <c:pt idx="16">
                  <c:v>6</c:v>
                </c:pt>
                <c:pt idx="17">
                  <c:v>3</c:v>
                </c:pt>
                <c:pt idx="18">
                  <c:v>3</c:v>
                </c:pt>
                <c:pt idx="19">
                  <c:v>8</c:v>
                </c:pt>
                <c:pt idx="20">
                  <c:v>5</c:v>
                </c:pt>
                <c:pt idx="21">
                  <c:v>4</c:v>
                </c:pt>
                <c:pt idx="22">
                  <c:v>2</c:v>
                </c:pt>
                <c:pt idx="23">
                  <c:v>5</c:v>
                </c:pt>
                <c:pt idx="24">
                  <c:v>9</c:v>
                </c:pt>
                <c:pt idx="25">
                  <c:v>14</c:v>
                </c:pt>
                <c:pt idx="26">
                  <c:v>7</c:v>
                </c:pt>
                <c:pt idx="27">
                  <c:v>9</c:v>
                </c:pt>
                <c:pt idx="28">
                  <c:v>3</c:v>
                </c:pt>
                <c:pt idx="29">
                  <c:v>8</c:v>
                </c:pt>
                <c:pt idx="30">
                  <c:v>3</c:v>
                </c:pt>
                <c:pt idx="31">
                  <c:v>3</c:v>
                </c:pt>
                <c:pt idx="32">
                  <c:v>3</c:v>
                </c:pt>
                <c:pt idx="33">
                  <c:v>13</c:v>
                </c:pt>
                <c:pt idx="34">
                  <c:v>7</c:v>
                </c:pt>
                <c:pt idx="35">
                  <c:v>8</c:v>
                </c:pt>
                <c:pt idx="36">
                  <c:v>3</c:v>
                </c:pt>
                <c:pt idx="37">
                  <c:v>4</c:v>
                </c:pt>
                <c:pt idx="38">
                  <c:v>5</c:v>
                </c:pt>
              </c:numCache>
            </c:numRef>
          </c:val>
          <c:extLst>
            <c:ext xmlns:c16="http://schemas.microsoft.com/office/drawing/2014/chart" uri="{C3380CC4-5D6E-409C-BE32-E72D297353CC}">
              <c16:uniqueId val="{00000000-320A-462A-A78E-4EEA08A5E0B4}"/>
            </c:ext>
          </c:extLst>
        </c:ser>
        <c:ser>
          <c:idx val="0"/>
          <c:order val="1"/>
          <c:tx>
            <c:strRef>
              <c:f>'218 minus Bank STATS'!$C$214</c:f>
              <c:strCache>
                <c:ptCount val="1"/>
                <c:pt idx="0">
                  <c:v>News and websites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'218 minus Bank STATS'!$B$215:$B$253</c:f>
              <c:strCache>
                <c:ptCount val="39"/>
                <c:pt idx="0">
                  <c:v>1979</c:v>
                </c:pt>
                <c:pt idx="1">
                  <c:v>1980</c:v>
                </c:pt>
                <c:pt idx="2">
                  <c:v>1981</c:v>
                </c:pt>
                <c:pt idx="3">
                  <c:v>1982</c:v>
                </c:pt>
                <c:pt idx="4">
                  <c:v>1983</c:v>
                </c:pt>
                <c:pt idx="5">
                  <c:v>1984</c:v>
                </c:pt>
                <c:pt idx="6">
                  <c:v>1985</c:v>
                </c:pt>
                <c:pt idx="7">
                  <c:v>1986</c:v>
                </c:pt>
                <c:pt idx="8">
                  <c:v>1987</c:v>
                </c:pt>
                <c:pt idx="9">
                  <c:v>1988</c:v>
                </c:pt>
                <c:pt idx="10">
                  <c:v>1989</c:v>
                </c:pt>
                <c:pt idx="11">
                  <c:v>1990</c:v>
                </c:pt>
                <c:pt idx="12">
                  <c:v>1991</c:v>
                </c:pt>
                <c:pt idx="13">
                  <c:v>1992</c:v>
                </c:pt>
                <c:pt idx="14">
                  <c:v>1993</c:v>
                </c:pt>
                <c:pt idx="15">
                  <c:v>1994</c:v>
                </c:pt>
                <c:pt idx="16">
                  <c:v>1995</c:v>
                </c:pt>
                <c:pt idx="17">
                  <c:v>1996</c:v>
                </c:pt>
                <c:pt idx="18">
                  <c:v>1997</c:v>
                </c:pt>
                <c:pt idx="19">
                  <c:v>1998</c:v>
                </c:pt>
                <c:pt idx="20">
                  <c:v>1999</c:v>
                </c:pt>
                <c:pt idx="21">
                  <c:v>2000</c:v>
                </c:pt>
                <c:pt idx="22">
                  <c:v>2001</c:v>
                </c:pt>
                <c:pt idx="23">
                  <c:v>2002</c:v>
                </c:pt>
                <c:pt idx="24">
                  <c:v>2003</c:v>
                </c:pt>
                <c:pt idx="25">
                  <c:v>2004</c:v>
                </c:pt>
                <c:pt idx="26">
                  <c:v>2005</c:v>
                </c:pt>
                <c:pt idx="27">
                  <c:v>2006</c:v>
                </c:pt>
                <c:pt idx="28">
                  <c:v>2007</c:v>
                </c:pt>
                <c:pt idx="29">
                  <c:v>2008</c:v>
                </c:pt>
                <c:pt idx="30">
                  <c:v>2009</c:v>
                </c:pt>
                <c:pt idx="31">
                  <c:v>2010</c:v>
                </c:pt>
                <c:pt idx="32">
                  <c:v>2011</c:v>
                </c:pt>
                <c:pt idx="33">
                  <c:v>2012</c:v>
                </c:pt>
                <c:pt idx="34">
                  <c:v>2013</c:v>
                </c:pt>
                <c:pt idx="35">
                  <c:v>2014</c:v>
                </c:pt>
                <c:pt idx="36">
                  <c:v>2015</c:v>
                </c:pt>
                <c:pt idx="37">
                  <c:v>2016</c:v>
                </c:pt>
                <c:pt idx="38">
                  <c:v>2017*</c:v>
                </c:pt>
              </c:strCache>
            </c:strRef>
          </c:cat>
          <c:val>
            <c:numRef>
              <c:f>'218 minus Bank STATS'!$C$215:$C$253</c:f>
              <c:numCache>
                <c:formatCode>General</c:formatCode>
                <c:ptCount val="39"/>
                <c:pt idx="0">
                  <c:v>1</c:v>
                </c:pt>
                <c:pt idx="1">
                  <c:v>0</c:v>
                </c:pt>
                <c:pt idx="2">
                  <c:v>0</c:v>
                </c:pt>
                <c:pt idx="3">
                  <c:v>0</c:v>
                </c:pt>
                <c:pt idx="4">
                  <c:v>0</c:v>
                </c:pt>
                <c:pt idx="5">
                  <c:v>0</c:v>
                </c:pt>
                <c:pt idx="6">
                  <c:v>0</c:v>
                </c:pt>
                <c:pt idx="7">
                  <c:v>2</c:v>
                </c:pt>
                <c:pt idx="8">
                  <c:v>4</c:v>
                </c:pt>
                <c:pt idx="9">
                  <c:v>1</c:v>
                </c:pt>
                <c:pt idx="10">
                  <c:v>6</c:v>
                </c:pt>
                <c:pt idx="11">
                  <c:v>0</c:v>
                </c:pt>
                <c:pt idx="12">
                  <c:v>1</c:v>
                </c:pt>
                <c:pt idx="13">
                  <c:v>4</c:v>
                </c:pt>
                <c:pt idx="14">
                  <c:v>0</c:v>
                </c:pt>
                <c:pt idx="15">
                  <c:v>2</c:v>
                </c:pt>
                <c:pt idx="16">
                  <c:v>9</c:v>
                </c:pt>
                <c:pt idx="17">
                  <c:v>0</c:v>
                </c:pt>
                <c:pt idx="18">
                  <c:v>5</c:v>
                </c:pt>
                <c:pt idx="19">
                  <c:v>6</c:v>
                </c:pt>
                <c:pt idx="20">
                  <c:v>2</c:v>
                </c:pt>
                <c:pt idx="21">
                  <c:v>2</c:v>
                </c:pt>
                <c:pt idx="22">
                  <c:v>2</c:v>
                </c:pt>
                <c:pt idx="23">
                  <c:v>2</c:v>
                </c:pt>
                <c:pt idx="24">
                  <c:v>0</c:v>
                </c:pt>
                <c:pt idx="25">
                  <c:v>0</c:v>
                </c:pt>
                <c:pt idx="26">
                  <c:v>1</c:v>
                </c:pt>
                <c:pt idx="27">
                  <c:v>0</c:v>
                </c:pt>
                <c:pt idx="28">
                  <c:v>0</c:v>
                </c:pt>
                <c:pt idx="29">
                  <c:v>1</c:v>
                </c:pt>
                <c:pt idx="30">
                  <c:v>2</c:v>
                </c:pt>
                <c:pt idx="31">
                  <c:v>1</c:v>
                </c:pt>
                <c:pt idx="32">
                  <c:v>0</c:v>
                </c:pt>
                <c:pt idx="33">
                  <c:v>2</c:v>
                </c:pt>
                <c:pt idx="34">
                  <c:v>0</c:v>
                </c:pt>
                <c:pt idx="35">
                  <c:v>7</c:v>
                </c:pt>
                <c:pt idx="36">
                  <c:v>1</c:v>
                </c:pt>
                <c:pt idx="37">
                  <c:v>1</c:v>
                </c:pt>
                <c:pt idx="38">
                  <c:v>1</c:v>
                </c:pt>
              </c:numCache>
            </c:numRef>
          </c:val>
          <c:extLst>
            <c:ext xmlns:c16="http://schemas.microsoft.com/office/drawing/2014/chart" uri="{C3380CC4-5D6E-409C-BE32-E72D297353CC}">
              <c16:uniqueId val="{00000001-320A-462A-A78E-4EEA08A5E0B4}"/>
            </c:ext>
          </c:extLst>
        </c:ser>
        <c:dLbls>
          <c:showLegendKey val="0"/>
          <c:showVal val="0"/>
          <c:showCatName val="0"/>
          <c:showSerName val="0"/>
          <c:showPercent val="0"/>
          <c:showBubbleSize val="0"/>
        </c:dLbls>
        <c:gapWidth val="247"/>
        <c:axId val="1378394640"/>
        <c:axId val="1287081200"/>
      </c:barChart>
      <c:lineChart>
        <c:grouping val="standard"/>
        <c:varyColors val="0"/>
        <c:ser>
          <c:idx val="2"/>
          <c:order val="2"/>
          <c:tx>
            <c:strRef>
              <c:f>'218 minus Bank STATS'!$E$214</c:f>
              <c:strCache>
                <c:ptCount val="1"/>
                <c:pt idx="0">
                  <c:v>Total: published, news &amp; online materials</c:v>
                </c:pt>
              </c:strCache>
            </c:strRef>
          </c:tx>
          <c:spPr>
            <a:ln w="15875" cap="rnd">
              <a:solidFill>
                <a:schemeClr val="accent3"/>
              </a:solidFill>
              <a:round/>
            </a:ln>
            <a:effectLst/>
          </c:spPr>
          <c:marker>
            <c:symbol val="none"/>
          </c:marker>
          <c:cat>
            <c:strRef>
              <c:f>'218 minus Bank STATS'!$B$215:$B$253</c:f>
              <c:strCache>
                <c:ptCount val="39"/>
                <c:pt idx="0">
                  <c:v>1979</c:v>
                </c:pt>
                <c:pt idx="1">
                  <c:v>1980</c:v>
                </c:pt>
                <c:pt idx="2">
                  <c:v>1981</c:v>
                </c:pt>
                <c:pt idx="3">
                  <c:v>1982</c:v>
                </c:pt>
                <c:pt idx="4">
                  <c:v>1983</c:v>
                </c:pt>
                <c:pt idx="5">
                  <c:v>1984</c:v>
                </c:pt>
                <c:pt idx="6">
                  <c:v>1985</c:v>
                </c:pt>
                <c:pt idx="7">
                  <c:v>1986</c:v>
                </c:pt>
                <c:pt idx="8">
                  <c:v>1987</c:v>
                </c:pt>
                <c:pt idx="9">
                  <c:v>1988</c:v>
                </c:pt>
                <c:pt idx="10">
                  <c:v>1989</c:v>
                </c:pt>
                <c:pt idx="11">
                  <c:v>1990</c:v>
                </c:pt>
                <c:pt idx="12">
                  <c:v>1991</c:v>
                </c:pt>
                <c:pt idx="13">
                  <c:v>1992</c:v>
                </c:pt>
                <c:pt idx="14">
                  <c:v>1993</c:v>
                </c:pt>
                <c:pt idx="15">
                  <c:v>1994</c:v>
                </c:pt>
                <c:pt idx="16">
                  <c:v>1995</c:v>
                </c:pt>
                <c:pt idx="17">
                  <c:v>1996</c:v>
                </c:pt>
                <c:pt idx="18">
                  <c:v>1997</c:v>
                </c:pt>
                <c:pt idx="19">
                  <c:v>1998</c:v>
                </c:pt>
                <c:pt idx="20">
                  <c:v>1999</c:v>
                </c:pt>
                <c:pt idx="21">
                  <c:v>2000</c:v>
                </c:pt>
                <c:pt idx="22">
                  <c:v>2001</c:v>
                </c:pt>
                <c:pt idx="23">
                  <c:v>2002</c:v>
                </c:pt>
                <c:pt idx="24">
                  <c:v>2003</c:v>
                </c:pt>
                <c:pt idx="25">
                  <c:v>2004</c:v>
                </c:pt>
                <c:pt idx="26">
                  <c:v>2005</c:v>
                </c:pt>
                <c:pt idx="27">
                  <c:v>2006</c:v>
                </c:pt>
                <c:pt idx="28">
                  <c:v>2007</c:v>
                </c:pt>
                <c:pt idx="29">
                  <c:v>2008</c:v>
                </c:pt>
                <c:pt idx="30">
                  <c:v>2009</c:v>
                </c:pt>
                <c:pt idx="31">
                  <c:v>2010</c:v>
                </c:pt>
                <c:pt idx="32">
                  <c:v>2011</c:v>
                </c:pt>
                <c:pt idx="33">
                  <c:v>2012</c:v>
                </c:pt>
                <c:pt idx="34">
                  <c:v>2013</c:v>
                </c:pt>
                <c:pt idx="35">
                  <c:v>2014</c:v>
                </c:pt>
                <c:pt idx="36">
                  <c:v>2015</c:v>
                </c:pt>
                <c:pt idx="37">
                  <c:v>2016</c:v>
                </c:pt>
                <c:pt idx="38">
                  <c:v>2017*</c:v>
                </c:pt>
              </c:strCache>
            </c:strRef>
          </c:cat>
          <c:val>
            <c:numRef>
              <c:f>'218 minus Bank STATS'!$E$215:$E$253</c:f>
              <c:numCache>
                <c:formatCode>General</c:formatCode>
                <c:ptCount val="39"/>
                <c:pt idx="0">
                  <c:v>1</c:v>
                </c:pt>
                <c:pt idx="1">
                  <c:v>0</c:v>
                </c:pt>
                <c:pt idx="2">
                  <c:v>1</c:v>
                </c:pt>
                <c:pt idx="3">
                  <c:v>1</c:v>
                </c:pt>
                <c:pt idx="4">
                  <c:v>1</c:v>
                </c:pt>
                <c:pt idx="5">
                  <c:v>1</c:v>
                </c:pt>
                <c:pt idx="6">
                  <c:v>2</c:v>
                </c:pt>
                <c:pt idx="7">
                  <c:v>3</c:v>
                </c:pt>
                <c:pt idx="8">
                  <c:v>5</c:v>
                </c:pt>
                <c:pt idx="9">
                  <c:v>1</c:v>
                </c:pt>
                <c:pt idx="10">
                  <c:v>8</c:v>
                </c:pt>
                <c:pt idx="11">
                  <c:v>3</c:v>
                </c:pt>
                <c:pt idx="12">
                  <c:v>4</c:v>
                </c:pt>
                <c:pt idx="13">
                  <c:v>7</c:v>
                </c:pt>
                <c:pt idx="14">
                  <c:v>5</c:v>
                </c:pt>
                <c:pt idx="15">
                  <c:v>6</c:v>
                </c:pt>
                <c:pt idx="16">
                  <c:v>15</c:v>
                </c:pt>
                <c:pt idx="17">
                  <c:v>3</c:v>
                </c:pt>
                <c:pt idx="18">
                  <c:v>8</c:v>
                </c:pt>
                <c:pt idx="19">
                  <c:v>14</c:v>
                </c:pt>
                <c:pt idx="20">
                  <c:v>7</c:v>
                </c:pt>
                <c:pt idx="21">
                  <c:v>6</c:v>
                </c:pt>
                <c:pt idx="22">
                  <c:v>4</c:v>
                </c:pt>
                <c:pt idx="23">
                  <c:v>7</c:v>
                </c:pt>
                <c:pt idx="24">
                  <c:v>9</c:v>
                </c:pt>
                <c:pt idx="25">
                  <c:v>14</c:v>
                </c:pt>
                <c:pt idx="26">
                  <c:v>8</c:v>
                </c:pt>
                <c:pt idx="27">
                  <c:v>9</c:v>
                </c:pt>
                <c:pt idx="28">
                  <c:v>3</c:v>
                </c:pt>
                <c:pt idx="29">
                  <c:v>9</c:v>
                </c:pt>
                <c:pt idx="30">
                  <c:v>5</c:v>
                </c:pt>
                <c:pt idx="31">
                  <c:v>4</c:v>
                </c:pt>
                <c:pt idx="32">
                  <c:v>3</c:v>
                </c:pt>
                <c:pt idx="33">
                  <c:v>15</c:v>
                </c:pt>
                <c:pt idx="34">
                  <c:v>7</c:v>
                </c:pt>
                <c:pt idx="35">
                  <c:v>15</c:v>
                </c:pt>
                <c:pt idx="36">
                  <c:v>4</c:v>
                </c:pt>
                <c:pt idx="37">
                  <c:v>5</c:v>
                </c:pt>
                <c:pt idx="38">
                  <c:v>6</c:v>
                </c:pt>
              </c:numCache>
            </c:numRef>
          </c:val>
          <c:smooth val="0"/>
          <c:extLst>
            <c:ext xmlns:c16="http://schemas.microsoft.com/office/drawing/2014/chart" uri="{C3380CC4-5D6E-409C-BE32-E72D297353CC}">
              <c16:uniqueId val="{00000002-320A-462A-A78E-4EEA08A5E0B4}"/>
            </c:ext>
          </c:extLst>
        </c:ser>
        <c:dLbls>
          <c:showLegendKey val="0"/>
          <c:showVal val="0"/>
          <c:showCatName val="0"/>
          <c:showSerName val="0"/>
          <c:showPercent val="0"/>
          <c:showBubbleSize val="0"/>
        </c:dLbls>
        <c:marker val="1"/>
        <c:smooth val="0"/>
        <c:axId val="1378394640"/>
        <c:axId val="1287081200"/>
      </c:lineChart>
      <c:catAx>
        <c:axId val="1378394640"/>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crossAx val="1287081200"/>
        <c:crosses val="autoZero"/>
        <c:auto val="1"/>
        <c:lblAlgn val="ctr"/>
        <c:lblOffset val="100"/>
        <c:noMultiLvlLbl val="0"/>
      </c:catAx>
      <c:valAx>
        <c:axId val="12870812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r>
                  <a:rPr lang="en-GB">
                    <a:latin typeface="+mj-lt"/>
                  </a:rPr>
                  <a:t># of references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3783946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sz="1100"/>
              <a:t>Metrics given for the OCP's success in</a:t>
            </a:r>
            <a:r>
              <a:rPr lang="en-GB" sz="1100" baseline="0"/>
              <a:t> published literature by the global health community (excluding the World Bank)</a:t>
            </a:r>
            <a:endParaRPr lang="en-GB" sz="1100"/>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bar"/>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multiLvlStrRef>
              <c:f>'218 minus Bank STATS'!$H$182:$I$196</c:f>
              <c:multiLvlStrCache>
                <c:ptCount val="15"/>
                <c:lvl>
                  <c:pt idx="0">
                    <c:v>TOTAL sources referencing public health impact</c:v>
                  </c:pt>
                  <c:pt idx="1">
                    <c:v>Population protected</c:v>
                  </c:pt>
                  <c:pt idx="2">
                    <c:v>Cases of blindness prevented</c:v>
                  </c:pt>
                  <c:pt idx="3">
                    <c:v>Interruption of transmission, reduced incidence/prevalence</c:v>
                  </c:pt>
                  <c:pt idx="4">
                    <c:v>Infected cases now asymptomatic</c:v>
                  </c:pt>
                  <c:pt idx="5">
                    <c:v>Children born without risk</c:v>
                  </c:pt>
                  <c:pt idx="6">
                    <c:v>DALYs saved</c:v>
                  </c:pt>
                  <c:pt idx="7">
                    <c:v>Numbers treated with ivermectin</c:v>
                  </c:pt>
                  <c:pt idx="8">
                    <c:v>TOTAL sources referencing socio-economic impact</c:v>
                  </c:pt>
                  <c:pt idx="9">
                    <c:v>Land rescued for resettlement</c:v>
                  </c:pt>
                  <c:pt idx="10">
                    <c:v>Food production value on rescued land</c:v>
                  </c:pt>
                  <c:pt idx="11">
                    <c:v>Years of productive labour added/number of labourers added</c:v>
                  </c:pt>
                  <c:pt idx="12">
                    <c:v>Cost per person protected each year</c:v>
                  </c:pt>
                  <c:pt idx="13">
                    <c:v>Economic rate of return or net present value</c:v>
                  </c:pt>
                  <c:pt idx="14">
                    <c:v>No metrics given</c:v>
                  </c:pt>
                </c:lvl>
                <c:lvl>
                  <c:pt idx="0">
                    <c:v>Public health metrics given</c:v>
                  </c:pt>
                  <c:pt idx="8">
                    <c:v>Socio-economic metrics given</c:v>
                  </c:pt>
                  <c:pt idx="14">
                    <c:v>None</c:v>
                  </c:pt>
                </c:lvl>
              </c:multiLvlStrCache>
            </c:multiLvlStrRef>
          </c:cat>
          <c:val>
            <c:numRef>
              <c:f>'218 minus Bank STATS'!$J$182:$J$196</c:f>
              <c:numCache>
                <c:formatCode>General</c:formatCode>
                <c:ptCount val="15"/>
                <c:pt idx="0">
                  <c:v>87</c:v>
                </c:pt>
                <c:pt idx="1">
                  <c:v>26</c:v>
                </c:pt>
                <c:pt idx="2">
                  <c:v>27</c:v>
                </c:pt>
                <c:pt idx="3">
                  <c:v>46</c:v>
                </c:pt>
                <c:pt idx="4">
                  <c:v>8</c:v>
                </c:pt>
                <c:pt idx="5">
                  <c:v>19</c:v>
                </c:pt>
                <c:pt idx="6">
                  <c:v>1</c:v>
                </c:pt>
                <c:pt idx="7">
                  <c:v>2</c:v>
                </c:pt>
                <c:pt idx="8">
                  <c:v>59</c:v>
                </c:pt>
                <c:pt idx="9">
                  <c:v>39</c:v>
                </c:pt>
                <c:pt idx="10">
                  <c:v>14</c:v>
                </c:pt>
                <c:pt idx="11">
                  <c:v>4</c:v>
                </c:pt>
                <c:pt idx="12">
                  <c:v>6</c:v>
                </c:pt>
                <c:pt idx="13">
                  <c:v>16</c:v>
                </c:pt>
                <c:pt idx="14">
                  <c:v>74</c:v>
                </c:pt>
              </c:numCache>
            </c:numRef>
          </c:val>
          <c:extLst>
            <c:ext xmlns:c16="http://schemas.microsoft.com/office/drawing/2014/chart" uri="{C3380CC4-5D6E-409C-BE32-E72D297353CC}">
              <c16:uniqueId val="{00000000-D0E3-D24E-8394-4685DBD04204}"/>
            </c:ext>
          </c:extLst>
        </c:ser>
        <c:dLbls>
          <c:showLegendKey val="0"/>
          <c:showVal val="0"/>
          <c:showCatName val="0"/>
          <c:showSerName val="0"/>
          <c:showPercent val="0"/>
          <c:showBubbleSize val="0"/>
        </c:dLbls>
        <c:gapWidth val="100"/>
        <c:axId val="356601296"/>
        <c:axId val="356601624"/>
      </c:barChart>
      <c:catAx>
        <c:axId val="3566012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crossAx val="356601624"/>
        <c:crosses val="autoZero"/>
        <c:auto val="1"/>
        <c:lblAlgn val="ctr"/>
        <c:lblOffset val="100"/>
        <c:noMultiLvlLbl val="0"/>
      </c:catAx>
      <c:valAx>
        <c:axId val="3566016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r>
                  <a:rPr lang="en-GB">
                    <a:latin typeface="+mj-lt"/>
                  </a:rPr>
                  <a:t># of articles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566012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mj-lt"/>
                <a:ea typeface="+mn-ea"/>
                <a:cs typeface="+mn-cs"/>
              </a:defRPr>
            </a:pPr>
            <a:r>
              <a:rPr lang="en-GB" sz="1100" b="1">
                <a:latin typeface="+mj-lt"/>
              </a:rPr>
              <a:t>Rationales given for the</a:t>
            </a:r>
            <a:r>
              <a:rPr lang="en-GB" sz="1100" b="1" baseline="0">
                <a:latin typeface="+mj-lt"/>
              </a:rPr>
              <a:t> OCP's success in published literature, by general category (component of success)</a:t>
            </a:r>
            <a:endParaRPr lang="en-GB" sz="1100" b="1">
              <a:latin typeface="+mj-lt"/>
            </a:endParaRPr>
          </a:p>
        </c:rich>
      </c:tx>
      <c:layout>
        <c:manualLayout>
          <c:xMode val="edge"/>
          <c:yMode val="edge"/>
          <c:x val="0.11525572618068899"/>
          <c:y val="2.4653312788906E-2"/>
        </c:manualLayout>
      </c:layout>
      <c:overlay val="0"/>
      <c:spPr>
        <a:noFill/>
        <a:ln>
          <a:noFill/>
        </a:ln>
        <a:effectLst/>
      </c:spPr>
      <c:txPr>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mj-lt"/>
              <a:ea typeface="+mn-ea"/>
              <a:cs typeface="+mn-cs"/>
            </a:defRPr>
          </a:pPr>
          <a:endParaRPr lang="en-US"/>
        </a:p>
      </c:txPr>
    </c:title>
    <c:autoTitleDeleted val="0"/>
    <c:plotArea>
      <c:layout/>
      <c:barChart>
        <c:barDir val="bar"/>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('218 minus Bank STATS'!$B$199,'218 minus Bank STATS'!$B$203,'218 minus Bank STATS'!$B$205,'218 minus Bank STATS'!$B$210,'218 minus Bank STATS'!$B$213)</c:f>
              <c:strCache>
                <c:ptCount val="5"/>
                <c:pt idx="0">
                  <c:v>Clear objectives and monitoring</c:v>
                </c:pt>
                <c:pt idx="1">
                  <c:v>Financial management</c:v>
                </c:pt>
                <c:pt idx="2">
                  <c:v>Partnership (model)</c:v>
                </c:pt>
                <c:pt idx="3">
                  <c:v>Delivery</c:v>
                </c:pt>
                <c:pt idx="4">
                  <c:v>None</c:v>
                </c:pt>
              </c:strCache>
            </c:strRef>
          </c:cat>
          <c:val>
            <c:numRef>
              <c:f>('218 minus Bank STATS'!$C$199,'218 minus Bank STATS'!$C$203,'218 minus Bank STATS'!$C$205,'218 minus Bank STATS'!$C$210,'218 minus Bank STATS'!$C$213)</c:f>
              <c:numCache>
                <c:formatCode>General</c:formatCode>
                <c:ptCount val="5"/>
                <c:pt idx="0">
                  <c:v>15</c:v>
                </c:pt>
                <c:pt idx="1">
                  <c:v>9</c:v>
                </c:pt>
                <c:pt idx="2">
                  <c:v>65</c:v>
                </c:pt>
                <c:pt idx="3">
                  <c:v>78</c:v>
                </c:pt>
                <c:pt idx="4">
                  <c:v>37</c:v>
                </c:pt>
              </c:numCache>
            </c:numRef>
          </c:val>
          <c:extLst>
            <c:ext xmlns:c16="http://schemas.microsoft.com/office/drawing/2014/chart" uri="{C3380CC4-5D6E-409C-BE32-E72D297353CC}">
              <c16:uniqueId val="{00000000-467F-402A-86B9-9B7393285907}"/>
            </c:ext>
          </c:extLst>
        </c:ser>
        <c:dLbls>
          <c:showLegendKey val="0"/>
          <c:showVal val="0"/>
          <c:showCatName val="0"/>
          <c:showSerName val="0"/>
          <c:showPercent val="0"/>
          <c:showBubbleSize val="0"/>
        </c:dLbls>
        <c:gapWidth val="100"/>
        <c:axId val="1287085040"/>
        <c:axId val="1378149840"/>
      </c:barChart>
      <c:catAx>
        <c:axId val="12870850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crossAx val="1378149840"/>
        <c:crosses val="autoZero"/>
        <c:auto val="1"/>
        <c:lblAlgn val="ctr"/>
        <c:lblOffset val="100"/>
        <c:noMultiLvlLbl val="0"/>
      </c:catAx>
      <c:valAx>
        <c:axId val="13781498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r>
                  <a:rPr lang="en-GB">
                    <a:latin typeface="+mj-lt"/>
                  </a:rPr>
                  <a:t># of articles</a:t>
                </a:r>
              </a:p>
            </c:rich>
          </c:tx>
          <c:layout>
            <c:manualLayout>
              <c:xMode val="edge"/>
              <c:yMode val="edge"/>
              <c:x val="0.53612772342303805"/>
              <c:y val="0.86599996269221302"/>
            </c:manualLayout>
          </c:layout>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2870850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mj-lt"/>
                <a:ea typeface="+mn-ea"/>
                <a:cs typeface="+mn-cs"/>
              </a:defRPr>
            </a:pPr>
            <a:r>
              <a:rPr lang="en-GB" sz="1100" b="1">
                <a:latin typeface="+mj-lt"/>
              </a:rPr>
              <a:t>Rationales given for the OCP's success in published literature of the global health community, by specific category</a:t>
            </a:r>
          </a:p>
        </c:rich>
      </c:tx>
      <c:overlay val="0"/>
      <c:spPr>
        <a:noFill/>
        <a:ln>
          <a:noFill/>
        </a:ln>
        <a:effectLst/>
      </c:spPr>
      <c:txPr>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mj-lt"/>
              <a:ea typeface="+mn-ea"/>
              <a:cs typeface="+mn-cs"/>
            </a:defRPr>
          </a:pPr>
          <a:endParaRPr lang="en-US"/>
        </a:p>
      </c:txPr>
    </c:title>
    <c:autoTitleDeleted val="0"/>
    <c:plotArea>
      <c:layout/>
      <c:barChart>
        <c:barDir val="col"/>
        <c:grouping val="stacked"/>
        <c:varyColors val="0"/>
        <c:ser>
          <c:idx val="0"/>
          <c:order val="0"/>
          <c:tx>
            <c:strRef>
              <c:f>'218 minus Bank STATS'!$F$283</c:f>
              <c:strCache>
                <c:ptCount val="1"/>
                <c:pt idx="0">
                  <c:v>Clear objectives &amp; monitoring</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'218 minus Bank STATS'!$G$282:$T$282</c:f>
              <c:strCache>
                <c:ptCount val="14"/>
                <c:pt idx="0">
                  <c:v>Strong management/leadership</c:v>
                </c:pt>
                <c:pt idx="1">
                  <c:v>Monitoring &amp; accountability</c:v>
                </c:pt>
                <c:pt idx="2">
                  <c:v>Clear, measurable objectives</c:v>
                </c:pt>
                <c:pt idx="3">
                  <c:v>Environmental soundness</c:v>
                </c:pt>
                <c:pt idx="4">
                  <c:v>Trust fund accountabilty or budgeting</c:v>
                </c:pt>
                <c:pt idx="5">
                  <c:v>Autonomy as extra-budgetary programme</c:v>
                </c:pt>
                <c:pt idx="6">
                  <c:v>Model regional collaboration or PPP</c:v>
                </c:pt>
                <c:pt idx="7">
                  <c:v>Long-term commitment of donors</c:v>
                </c:pt>
                <c:pt idx="8">
                  <c:v>Technological excellence &amp; operational research</c:v>
                </c:pt>
                <c:pt idx="9">
                  <c:v>Flexibility with clear partner roles</c:v>
                </c:pt>
                <c:pt idx="10">
                  <c:v>Transparency (info flow)</c:v>
                </c:pt>
                <c:pt idx="11">
                  <c:v>Vector control</c:v>
                </c:pt>
                <c:pt idx="12">
                  <c:v>MDA/CDTi</c:v>
                </c:pt>
                <c:pt idx="13">
                  <c:v>Health system strengthening</c:v>
                </c:pt>
              </c:strCache>
            </c:strRef>
          </c:cat>
          <c:val>
            <c:numRef>
              <c:f>'218 minus Bank STATS'!$G$283:$T$283</c:f>
              <c:numCache>
                <c:formatCode>General</c:formatCode>
                <c:ptCount val="14"/>
                <c:pt idx="0">
                  <c:v>11</c:v>
                </c:pt>
                <c:pt idx="1">
                  <c:v>3</c:v>
                </c:pt>
                <c:pt idx="2">
                  <c:v>6</c:v>
                </c:pt>
                <c:pt idx="3">
                  <c:v>1</c:v>
                </c:pt>
              </c:numCache>
            </c:numRef>
          </c:val>
          <c:extLst>
            <c:ext xmlns:c16="http://schemas.microsoft.com/office/drawing/2014/chart" uri="{C3380CC4-5D6E-409C-BE32-E72D297353CC}">
              <c16:uniqueId val="{00000000-21E2-4127-BB5C-C84F2D8F6257}"/>
            </c:ext>
          </c:extLst>
        </c:ser>
        <c:ser>
          <c:idx val="1"/>
          <c:order val="1"/>
          <c:tx>
            <c:strRef>
              <c:f>'218 minus Bank STATS'!$F$284</c:f>
              <c:strCache>
                <c:ptCount val="1"/>
                <c:pt idx="0">
                  <c:v>Financial management</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cat>
            <c:strRef>
              <c:f>'218 minus Bank STATS'!$G$282:$T$282</c:f>
              <c:strCache>
                <c:ptCount val="14"/>
                <c:pt idx="0">
                  <c:v>Strong management/leadership</c:v>
                </c:pt>
                <c:pt idx="1">
                  <c:v>Monitoring &amp; accountability</c:v>
                </c:pt>
                <c:pt idx="2">
                  <c:v>Clear, measurable objectives</c:v>
                </c:pt>
                <c:pt idx="3">
                  <c:v>Environmental soundness</c:v>
                </c:pt>
                <c:pt idx="4">
                  <c:v>Trust fund accountabilty or budgeting</c:v>
                </c:pt>
                <c:pt idx="5">
                  <c:v>Autonomy as extra-budgetary programme</c:v>
                </c:pt>
                <c:pt idx="6">
                  <c:v>Model regional collaboration or PPP</c:v>
                </c:pt>
                <c:pt idx="7">
                  <c:v>Long-term commitment of donors</c:v>
                </c:pt>
                <c:pt idx="8">
                  <c:v>Technological excellence &amp; operational research</c:v>
                </c:pt>
                <c:pt idx="9">
                  <c:v>Flexibility with clear partner roles</c:v>
                </c:pt>
                <c:pt idx="10">
                  <c:v>Transparency (info flow)</c:v>
                </c:pt>
                <c:pt idx="11">
                  <c:v>Vector control</c:v>
                </c:pt>
                <c:pt idx="12">
                  <c:v>MDA/CDTi</c:v>
                </c:pt>
                <c:pt idx="13">
                  <c:v>Health system strengthening</c:v>
                </c:pt>
              </c:strCache>
            </c:strRef>
          </c:cat>
          <c:val>
            <c:numRef>
              <c:f>'218 minus Bank STATS'!$G$284:$T$284</c:f>
              <c:numCache>
                <c:formatCode>General</c:formatCode>
                <c:ptCount val="14"/>
                <c:pt idx="4">
                  <c:v>7</c:v>
                </c:pt>
                <c:pt idx="5">
                  <c:v>4</c:v>
                </c:pt>
              </c:numCache>
            </c:numRef>
          </c:val>
          <c:extLst>
            <c:ext xmlns:c16="http://schemas.microsoft.com/office/drawing/2014/chart" uri="{C3380CC4-5D6E-409C-BE32-E72D297353CC}">
              <c16:uniqueId val="{00000001-21E2-4127-BB5C-C84F2D8F6257}"/>
            </c:ext>
          </c:extLst>
        </c:ser>
        <c:ser>
          <c:idx val="2"/>
          <c:order val="2"/>
          <c:tx>
            <c:strRef>
              <c:f>'218 minus Bank STATS'!$F$285</c:f>
              <c:strCache>
                <c:ptCount val="1"/>
                <c:pt idx="0">
                  <c:v>Partnership</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cat>
            <c:strRef>
              <c:f>'218 minus Bank STATS'!$G$282:$T$282</c:f>
              <c:strCache>
                <c:ptCount val="14"/>
                <c:pt idx="0">
                  <c:v>Strong management/leadership</c:v>
                </c:pt>
                <c:pt idx="1">
                  <c:v>Monitoring &amp; accountability</c:v>
                </c:pt>
                <c:pt idx="2">
                  <c:v>Clear, measurable objectives</c:v>
                </c:pt>
                <c:pt idx="3">
                  <c:v>Environmental soundness</c:v>
                </c:pt>
                <c:pt idx="4">
                  <c:v>Trust fund accountabilty or budgeting</c:v>
                </c:pt>
                <c:pt idx="5">
                  <c:v>Autonomy as extra-budgetary programme</c:v>
                </c:pt>
                <c:pt idx="6">
                  <c:v>Model regional collaboration or PPP</c:v>
                </c:pt>
                <c:pt idx="7">
                  <c:v>Long-term commitment of donors</c:v>
                </c:pt>
                <c:pt idx="8">
                  <c:v>Technological excellence &amp; operational research</c:v>
                </c:pt>
                <c:pt idx="9">
                  <c:v>Flexibility with clear partner roles</c:v>
                </c:pt>
                <c:pt idx="10">
                  <c:v>Transparency (info flow)</c:v>
                </c:pt>
                <c:pt idx="11">
                  <c:v>Vector control</c:v>
                </c:pt>
                <c:pt idx="12">
                  <c:v>MDA/CDTi</c:v>
                </c:pt>
                <c:pt idx="13">
                  <c:v>Health system strengthening</c:v>
                </c:pt>
              </c:strCache>
            </c:strRef>
          </c:cat>
          <c:val>
            <c:numRef>
              <c:f>'218 minus Bank STATS'!$G$285:$T$285</c:f>
              <c:numCache>
                <c:formatCode>General</c:formatCode>
                <c:ptCount val="14"/>
                <c:pt idx="6">
                  <c:v>33</c:v>
                </c:pt>
                <c:pt idx="7">
                  <c:v>17</c:v>
                </c:pt>
                <c:pt idx="8">
                  <c:v>30</c:v>
                </c:pt>
                <c:pt idx="9">
                  <c:v>4</c:v>
                </c:pt>
                <c:pt idx="10">
                  <c:v>3</c:v>
                </c:pt>
              </c:numCache>
            </c:numRef>
          </c:val>
          <c:extLst>
            <c:ext xmlns:c16="http://schemas.microsoft.com/office/drawing/2014/chart" uri="{C3380CC4-5D6E-409C-BE32-E72D297353CC}">
              <c16:uniqueId val="{00000002-21E2-4127-BB5C-C84F2D8F6257}"/>
            </c:ext>
          </c:extLst>
        </c:ser>
        <c:ser>
          <c:idx val="3"/>
          <c:order val="3"/>
          <c:tx>
            <c:strRef>
              <c:f>'218 minus Bank STATS'!$F$286</c:f>
              <c:strCache>
                <c:ptCount val="1"/>
                <c:pt idx="0">
                  <c:v>Delivery</c:v>
                </c:pt>
              </c:strCache>
            </c:strRef>
          </c:tx>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invertIfNegative val="0"/>
          <c:cat>
            <c:strRef>
              <c:f>'218 minus Bank STATS'!$G$282:$T$282</c:f>
              <c:strCache>
                <c:ptCount val="14"/>
                <c:pt idx="0">
                  <c:v>Strong management/leadership</c:v>
                </c:pt>
                <c:pt idx="1">
                  <c:v>Monitoring &amp; accountability</c:v>
                </c:pt>
                <c:pt idx="2">
                  <c:v>Clear, measurable objectives</c:v>
                </c:pt>
                <c:pt idx="3">
                  <c:v>Environmental soundness</c:v>
                </c:pt>
                <c:pt idx="4">
                  <c:v>Trust fund accountabilty or budgeting</c:v>
                </c:pt>
                <c:pt idx="5">
                  <c:v>Autonomy as extra-budgetary programme</c:v>
                </c:pt>
                <c:pt idx="6">
                  <c:v>Model regional collaboration or PPP</c:v>
                </c:pt>
                <c:pt idx="7">
                  <c:v>Long-term commitment of donors</c:v>
                </c:pt>
                <c:pt idx="8">
                  <c:v>Technological excellence &amp; operational research</c:v>
                </c:pt>
                <c:pt idx="9">
                  <c:v>Flexibility with clear partner roles</c:v>
                </c:pt>
                <c:pt idx="10">
                  <c:v>Transparency (info flow)</c:v>
                </c:pt>
                <c:pt idx="11">
                  <c:v>Vector control</c:v>
                </c:pt>
                <c:pt idx="12">
                  <c:v>MDA/CDTi</c:v>
                </c:pt>
                <c:pt idx="13">
                  <c:v>Health system strengthening</c:v>
                </c:pt>
              </c:strCache>
            </c:strRef>
          </c:cat>
          <c:val>
            <c:numRef>
              <c:f>'218 minus Bank STATS'!$G$286:$T$286</c:f>
              <c:numCache>
                <c:formatCode>General</c:formatCode>
                <c:ptCount val="14"/>
                <c:pt idx="11">
                  <c:v>38</c:v>
                </c:pt>
                <c:pt idx="12">
                  <c:v>45</c:v>
                </c:pt>
                <c:pt idx="13">
                  <c:v>15</c:v>
                </c:pt>
              </c:numCache>
            </c:numRef>
          </c:val>
          <c:extLst>
            <c:ext xmlns:c16="http://schemas.microsoft.com/office/drawing/2014/chart" uri="{C3380CC4-5D6E-409C-BE32-E72D297353CC}">
              <c16:uniqueId val="{00000003-21E2-4127-BB5C-C84F2D8F6257}"/>
            </c:ext>
          </c:extLst>
        </c:ser>
        <c:dLbls>
          <c:showLegendKey val="0"/>
          <c:showVal val="0"/>
          <c:showCatName val="0"/>
          <c:showSerName val="0"/>
          <c:showPercent val="0"/>
          <c:showBubbleSize val="0"/>
        </c:dLbls>
        <c:gapWidth val="150"/>
        <c:overlap val="100"/>
        <c:axId val="1282470256"/>
        <c:axId val="1375087792"/>
      </c:barChart>
      <c:catAx>
        <c:axId val="1282470256"/>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US">
                    <a:latin typeface="+mj-lt"/>
                  </a:rPr>
                  <a:t>COMPONENT OF</a:t>
                </a:r>
                <a:r>
                  <a:rPr lang="en-US" baseline="0">
                    <a:latin typeface="+mj-lt"/>
                  </a:rPr>
                  <a:t> SUCCESS</a:t>
                </a:r>
                <a:endParaRPr lang="en-US">
                  <a:latin typeface="+mj-lt"/>
                </a:endParaRPr>
              </a:p>
            </c:rich>
          </c:tx>
          <c:layout>
            <c:manualLayout>
              <c:xMode val="edge"/>
              <c:yMode val="edge"/>
              <c:x val="0.42330975718655206"/>
              <c:y val="0.9038221592163993"/>
            </c:manualLayout>
          </c:layout>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crossAx val="1375087792"/>
        <c:crosses val="autoZero"/>
        <c:auto val="1"/>
        <c:lblAlgn val="ctr"/>
        <c:lblOffset val="100"/>
        <c:noMultiLvlLbl val="0"/>
      </c:catAx>
      <c:valAx>
        <c:axId val="1375087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r>
                  <a:rPr lang="en-GB">
                    <a:latin typeface="+mj-lt"/>
                  </a:rPr>
                  <a:t># of articles</a:t>
                </a:r>
              </a:p>
            </c:rich>
          </c:tx>
          <c:layout>
            <c:manualLayout>
              <c:xMode val="edge"/>
              <c:yMode val="edge"/>
              <c:x val="5.0874403815580303E-2"/>
              <c:y val="0.25713005639326197"/>
            </c:manualLayout>
          </c:layout>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282470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mj-lt"/>
                <a:ea typeface="+mn-ea"/>
                <a:cs typeface="+mn-cs"/>
              </a:defRPr>
            </a:pPr>
            <a:r>
              <a:rPr lang="fr-CH" sz="1100" b="1">
                <a:latin typeface="+mj-lt"/>
              </a:rPr>
              <a:t>Bank or Bank-affiliated sources referencing the OCP's success, by source type</a:t>
            </a:r>
          </a:p>
        </c:rich>
      </c:tx>
      <c:overlay val="0"/>
      <c:spPr>
        <a:noFill/>
        <a:ln>
          <a:noFill/>
        </a:ln>
        <a:effectLst/>
      </c:spPr>
      <c:txPr>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mj-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'Bank archives stats'!$B$1</c:f>
              <c:strCache>
                <c:ptCount val="1"/>
                <c:pt idx="0">
                  <c:v>Archived documents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a:sp3d contourW="9525">
              <a:contourClr>
                <a:schemeClr val="accent1">
                  <a:shade val="95000"/>
                </a:schemeClr>
              </a:contourClr>
            </a:sp3d>
          </c:spPr>
          <c:invertIfNegative val="0"/>
          <c:cat>
            <c:numRef>
              <c:f>'Bank archives stats'!$A$2:$A$40</c:f>
              <c:numCache>
                <c:formatCode>General</c:formatCode>
                <c:ptCount val="39"/>
                <c:pt idx="0">
                  <c:v>1978</c:v>
                </c:pt>
                <c:pt idx="1">
                  <c:v>1979</c:v>
                </c:pt>
                <c:pt idx="2">
                  <c:v>1980</c:v>
                </c:pt>
                <c:pt idx="3">
                  <c:v>1981</c:v>
                </c:pt>
                <c:pt idx="4">
                  <c:v>1982</c:v>
                </c:pt>
                <c:pt idx="5">
                  <c:v>1983</c:v>
                </c:pt>
                <c:pt idx="6">
                  <c:v>1984</c:v>
                </c:pt>
                <c:pt idx="7">
                  <c:v>1985</c:v>
                </c:pt>
                <c:pt idx="8">
                  <c:v>1986</c:v>
                </c:pt>
                <c:pt idx="9">
                  <c:v>1987</c:v>
                </c:pt>
                <c:pt idx="10">
                  <c:v>1988</c:v>
                </c:pt>
                <c:pt idx="11">
                  <c:v>1989</c:v>
                </c:pt>
                <c:pt idx="12">
                  <c:v>1990</c:v>
                </c:pt>
                <c:pt idx="13">
                  <c:v>1991</c:v>
                </c:pt>
                <c:pt idx="14">
                  <c:v>1992</c:v>
                </c:pt>
                <c:pt idx="15">
                  <c:v>1993</c:v>
                </c:pt>
                <c:pt idx="16">
                  <c:v>1994</c:v>
                </c:pt>
                <c:pt idx="17">
                  <c:v>1995</c:v>
                </c:pt>
                <c:pt idx="18">
                  <c:v>1996</c:v>
                </c:pt>
                <c:pt idx="19">
                  <c:v>1997</c:v>
                </c:pt>
                <c:pt idx="20">
                  <c:v>1998</c:v>
                </c:pt>
                <c:pt idx="21">
                  <c:v>1999</c:v>
                </c:pt>
                <c:pt idx="22">
                  <c:v>2000</c:v>
                </c:pt>
                <c:pt idx="23">
                  <c:v>2001</c:v>
                </c:pt>
                <c:pt idx="24">
                  <c:v>2002</c:v>
                </c:pt>
                <c:pt idx="25">
                  <c:v>2003</c:v>
                </c:pt>
                <c:pt idx="26">
                  <c:v>2004</c:v>
                </c:pt>
                <c:pt idx="27">
                  <c:v>2005</c:v>
                </c:pt>
                <c:pt idx="28">
                  <c:v>2006</c:v>
                </c:pt>
                <c:pt idx="29">
                  <c:v>2007</c:v>
                </c:pt>
                <c:pt idx="30">
                  <c:v>2008</c:v>
                </c:pt>
                <c:pt idx="31">
                  <c:v>2009</c:v>
                </c:pt>
                <c:pt idx="32">
                  <c:v>2010</c:v>
                </c:pt>
                <c:pt idx="33">
                  <c:v>2011</c:v>
                </c:pt>
                <c:pt idx="34">
                  <c:v>2012</c:v>
                </c:pt>
                <c:pt idx="35">
                  <c:v>2013</c:v>
                </c:pt>
                <c:pt idx="36">
                  <c:v>2014</c:v>
                </c:pt>
                <c:pt idx="37">
                  <c:v>2015</c:v>
                </c:pt>
                <c:pt idx="38">
                  <c:v>2016</c:v>
                </c:pt>
              </c:numCache>
            </c:numRef>
          </c:cat>
          <c:val>
            <c:numRef>
              <c:f>'Bank archives stats'!$B$2:$B$40</c:f>
              <c:numCache>
                <c:formatCode>General</c:formatCode>
                <c:ptCount val="39"/>
                <c:pt idx="0">
                  <c:v>1</c:v>
                </c:pt>
                <c:pt idx="1">
                  <c:v>2</c:v>
                </c:pt>
                <c:pt idx="2">
                  <c:v>0</c:v>
                </c:pt>
                <c:pt idx="3">
                  <c:v>2</c:v>
                </c:pt>
                <c:pt idx="4">
                  <c:v>7</c:v>
                </c:pt>
                <c:pt idx="5">
                  <c:v>4</c:v>
                </c:pt>
                <c:pt idx="6">
                  <c:v>3</c:v>
                </c:pt>
                <c:pt idx="7">
                  <c:v>4</c:v>
                </c:pt>
                <c:pt idx="8">
                  <c:v>8</c:v>
                </c:pt>
                <c:pt idx="9">
                  <c:v>8</c:v>
                </c:pt>
                <c:pt idx="10">
                  <c:v>3</c:v>
                </c:pt>
                <c:pt idx="11">
                  <c:v>3</c:v>
                </c:pt>
                <c:pt idx="12">
                  <c:v>4</c:v>
                </c:pt>
                <c:pt idx="14">
                  <c:v>2</c:v>
                </c:pt>
                <c:pt idx="16">
                  <c:v>10</c:v>
                </c:pt>
                <c:pt idx="17">
                  <c:v>2</c:v>
                </c:pt>
                <c:pt idx="18">
                  <c:v>1</c:v>
                </c:pt>
                <c:pt idx="19">
                  <c:v>1</c:v>
                </c:pt>
                <c:pt idx="25">
                  <c:v>0</c:v>
                </c:pt>
                <c:pt idx="27">
                  <c:v>0</c:v>
                </c:pt>
                <c:pt idx="28">
                  <c:v>1</c:v>
                </c:pt>
                <c:pt idx="29">
                  <c:v>0</c:v>
                </c:pt>
                <c:pt idx="30">
                  <c:v>1</c:v>
                </c:pt>
                <c:pt idx="33">
                  <c:v>0</c:v>
                </c:pt>
              </c:numCache>
            </c:numRef>
          </c:val>
          <c:extLst>
            <c:ext xmlns:c16="http://schemas.microsoft.com/office/drawing/2014/chart" uri="{C3380CC4-5D6E-409C-BE32-E72D297353CC}">
              <c16:uniqueId val="{00000000-5845-C44C-93C4-129D54F368B0}"/>
            </c:ext>
          </c:extLst>
        </c:ser>
        <c:ser>
          <c:idx val="1"/>
          <c:order val="1"/>
          <c:tx>
            <c:strRef>
              <c:f>'Bank archives stats'!$C$1</c:f>
              <c:strCache>
                <c:ptCount val="1"/>
                <c:pt idx="0">
                  <c:v>Online or news pieces</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a:sp3d contourW="9525">
              <a:contourClr>
                <a:schemeClr val="accent2">
                  <a:shade val="95000"/>
                </a:schemeClr>
              </a:contourClr>
            </a:sp3d>
          </c:spPr>
          <c:invertIfNegative val="0"/>
          <c:cat>
            <c:numRef>
              <c:f>'Bank archives stats'!$A$2:$A$40</c:f>
              <c:numCache>
                <c:formatCode>General</c:formatCode>
                <c:ptCount val="39"/>
                <c:pt idx="0">
                  <c:v>1978</c:v>
                </c:pt>
                <c:pt idx="1">
                  <c:v>1979</c:v>
                </c:pt>
                <c:pt idx="2">
                  <c:v>1980</c:v>
                </c:pt>
                <c:pt idx="3">
                  <c:v>1981</c:v>
                </c:pt>
                <c:pt idx="4">
                  <c:v>1982</c:v>
                </c:pt>
                <c:pt idx="5">
                  <c:v>1983</c:v>
                </c:pt>
                <c:pt idx="6">
                  <c:v>1984</c:v>
                </c:pt>
                <c:pt idx="7">
                  <c:v>1985</c:v>
                </c:pt>
                <c:pt idx="8">
                  <c:v>1986</c:v>
                </c:pt>
                <c:pt idx="9">
                  <c:v>1987</c:v>
                </c:pt>
                <c:pt idx="10">
                  <c:v>1988</c:v>
                </c:pt>
                <c:pt idx="11">
                  <c:v>1989</c:v>
                </c:pt>
                <c:pt idx="12">
                  <c:v>1990</c:v>
                </c:pt>
                <c:pt idx="13">
                  <c:v>1991</c:v>
                </c:pt>
                <c:pt idx="14">
                  <c:v>1992</c:v>
                </c:pt>
                <c:pt idx="15">
                  <c:v>1993</c:v>
                </c:pt>
                <c:pt idx="16">
                  <c:v>1994</c:v>
                </c:pt>
                <c:pt idx="17">
                  <c:v>1995</c:v>
                </c:pt>
                <c:pt idx="18">
                  <c:v>1996</c:v>
                </c:pt>
                <c:pt idx="19">
                  <c:v>1997</c:v>
                </c:pt>
                <c:pt idx="20">
                  <c:v>1998</c:v>
                </c:pt>
                <c:pt idx="21">
                  <c:v>1999</c:v>
                </c:pt>
                <c:pt idx="22">
                  <c:v>2000</c:v>
                </c:pt>
                <c:pt idx="23">
                  <c:v>2001</c:v>
                </c:pt>
                <c:pt idx="24">
                  <c:v>2002</c:v>
                </c:pt>
                <c:pt idx="25">
                  <c:v>2003</c:v>
                </c:pt>
                <c:pt idx="26">
                  <c:v>2004</c:v>
                </c:pt>
                <c:pt idx="27">
                  <c:v>2005</c:v>
                </c:pt>
                <c:pt idx="28">
                  <c:v>2006</c:v>
                </c:pt>
                <c:pt idx="29">
                  <c:v>2007</c:v>
                </c:pt>
                <c:pt idx="30">
                  <c:v>2008</c:v>
                </c:pt>
                <c:pt idx="31">
                  <c:v>2009</c:v>
                </c:pt>
                <c:pt idx="32">
                  <c:v>2010</c:v>
                </c:pt>
                <c:pt idx="33">
                  <c:v>2011</c:v>
                </c:pt>
                <c:pt idx="34">
                  <c:v>2012</c:v>
                </c:pt>
                <c:pt idx="35">
                  <c:v>2013</c:v>
                </c:pt>
                <c:pt idx="36">
                  <c:v>2014</c:v>
                </c:pt>
                <c:pt idx="37">
                  <c:v>2015</c:v>
                </c:pt>
                <c:pt idx="38">
                  <c:v>2016</c:v>
                </c:pt>
              </c:numCache>
            </c:numRef>
          </c:cat>
          <c:val>
            <c:numRef>
              <c:f>'Bank archives stats'!$C$2:$C$40</c:f>
              <c:numCache>
                <c:formatCode>General</c:formatCode>
                <c:ptCount val="39"/>
                <c:pt idx="23">
                  <c:v>1</c:v>
                </c:pt>
                <c:pt idx="25">
                  <c:v>0</c:v>
                </c:pt>
                <c:pt idx="27">
                  <c:v>0</c:v>
                </c:pt>
                <c:pt idx="29">
                  <c:v>0</c:v>
                </c:pt>
                <c:pt idx="32">
                  <c:v>1</c:v>
                </c:pt>
                <c:pt idx="33">
                  <c:v>0</c:v>
                </c:pt>
                <c:pt idx="34">
                  <c:v>1</c:v>
                </c:pt>
                <c:pt idx="35">
                  <c:v>1</c:v>
                </c:pt>
                <c:pt idx="36">
                  <c:v>4</c:v>
                </c:pt>
                <c:pt idx="37">
                  <c:v>1</c:v>
                </c:pt>
                <c:pt idx="38">
                  <c:v>1</c:v>
                </c:pt>
              </c:numCache>
            </c:numRef>
          </c:val>
          <c:extLst>
            <c:ext xmlns:c16="http://schemas.microsoft.com/office/drawing/2014/chart" uri="{C3380CC4-5D6E-409C-BE32-E72D297353CC}">
              <c16:uniqueId val="{00000001-5845-C44C-93C4-129D54F368B0}"/>
            </c:ext>
          </c:extLst>
        </c:ser>
        <c:ser>
          <c:idx val="2"/>
          <c:order val="2"/>
          <c:tx>
            <c:strRef>
              <c:f>'Bank archives stats'!$D$1</c:f>
              <c:strCache>
                <c:ptCount val="1"/>
                <c:pt idx="0">
                  <c:v>Published documents</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a:sp3d contourW="9525">
              <a:contourClr>
                <a:schemeClr val="accent3">
                  <a:shade val="95000"/>
                </a:schemeClr>
              </a:contourClr>
            </a:sp3d>
          </c:spPr>
          <c:invertIfNegative val="0"/>
          <c:cat>
            <c:numRef>
              <c:f>'Bank archives stats'!$A$2:$A$40</c:f>
              <c:numCache>
                <c:formatCode>General</c:formatCode>
                <c:ptCount val="39"/>
                <c:pt idx="0">
                  <c:v>1978</c:v>
                </c:pt>
                <c:pt idx="1">
                  <c:v>1979</c:v>
                </c:pt>
                <c:pt idx="2">
                  <c:v>1980</c:v>
                </c:pt>
                <c:pt idx="3">
                  <c:v>1981</c:v>
                </c:pt>
                <c:pt idx="4">
                  <c:v>1982</c:v>
                </c:pt>
                <c:pt idx="5">
                  <c:v>1983</c:v>
                </c:pt>
                <c:pt idx="6">
                  <c:v>1984</c:v>
                </c:pt>
                <c:pt idx="7">
                  <c:v>1985</c:v>
                </c:pt>
                <c:pt idx="8">
                  <c:v>1986</c:v>
                </c:pt>
                <c:pt idx="9">
                  <c:v>1987</c:v>
                </c:pt>
                <c:pt idx="10">
                  <c:v>1988</c:v>
                </c:pt>
                <c:pt idx="11">
                  <c:v>1989</c:v>
                </c:pt>
                <c:pt idx="12">
                  <c:v>1990</c:v>
                </c:pt>
                <c:pt idx="13">
                  <c:v>1991</c:v>
                </c:pt>
                <c:pt idx="14">
                  <c:v>1992</c:v>
                </c:pt>
                <c:pt idx="15">
                  <c:v>1993</c:v>
                </c:pt>
                <c:pt idx="16">
                  <c:v>1994</c:v>
                </c:pt>
                <c:pt idx="17">
                  <c:v>1995</c:v>
                </c:pt>
                <c:pt idx="18">
                  <c:v>1996</c:v>
                </c:pt>
                <c:pt idx="19">
                  <c:v>1997</c:v>
                </c:pt>
                <c:pt idx="20">
                  <c:v>1998</c:v>
                </c:pt>
                <c:pt idx="21">
                  <c:v>1999</c:v>
                </c:pt>
                <c:pt idx="22">
                  <c:v>2000</c:v>
                </c:pt>
                <c:pt idx="23">
                  <c:v>2001</c:v>
                </c:pt>
                <c:pt idx="24">
                  <c:v>2002</c:v>
                </c:pt>
                <c:pt idx="25">
                  <c:v>2003</c:v>
                </c:pt>
                <c:pt idx="26">
                  <c:v>2004</c:v>
                </c:pt>
                <c:pt idx="27">
                  <c:v>2005</c:v>
                </c:pt>
                <c:pt idx="28">
                  <c:v>2006</c:v>
                </c:pt>
                <c:pt idx="29">
                  <c:v>2007</c:v>
                </c:pt>
                <c:pt idx="30">
                  <c:v>2008</c:v>
                </c:pt>
                <c:pt idx="31">
                  <c:v>2009</c:v>
                </c:pt>
                <c:pt idx="32">
                  <c:v>2010</c:v>
                </c:pt>
                <c:pt idx="33">
                  <c:v>2011</c:v>
                </c:pt>
                <c:pt idx="34">
                  <c:v>2012</c:v>
                </c:pt>
                <c:pt idx="35">
                  <c:v>2013</c:v>
                </c:pt>
                <c:pt idx="36">
                  <c:v>2014</c:v>
                </c:pt>
                <c:pt idx="37">
                  <c:v>2015</c:v>
                </c:pt>
                <c:pt idx="38">
                  <c:v>2016</c:v>
                </c:pt>
              </c:numCache>
            </c:numRef>
          </c:cat>
          <c:val>
            <c:numRef>
              <c:f>'Bank archives stats'!$D$2:$D$40</c:f>
              <c:numCache>
                <c:formatCode>General</c:formatCode>
                <c:ptCount val="39"/>
                <c:pt idx="3">
                  <c:v>1</c:v>
                </c:pt>
                <c:pt idx="4">
                  <c:v>1</c:v>
                </c:pt>
                <c:pt idx="11">
                  <c:v>1</c:v>
                </c:pt>
                <c:pt idx="12">
                  <c:v>1</c:v>
                </c:pt>
                <c:pt idx="13">
                  <c:v>1</c:v>
                </c:pt>
                <c:pt idx="14">
                  <c:v>1</c:v>
                </c:pt>
                <c:pt idx="15">
                  <c:v>1</c:v>
                </c:pt>
                <c:pt idx="16">
                  <c:v>2</c:v>
                </c:pt>
                <c:pt idx="17">
                  <c:v>4</c:v>
                </c:pt>
                <c:pt idx="19">
                  <c:v>1</c:v>
                </c:pt>
                <c:pt idx="20">
                  <c:v>1</c:v>
                </c:pt>
                <c:pt idx="21">
                  <c:v>1</c:v>
                </c:pt>
                <c:pt idx="22">
                  <c:v>3</c:v>
                </c:pt>
                <c:pt idx="23">
                  <c:v>1</c:v>
                </c:pt>
                <c:pt idx="24">
                  <c:v>6</c:v>
                </c:pt>
                <c:pt idx="25">
                  <c:v>0</c:v>
                </c:pt>
                <c:pt idx="26">
                  <c:v>2</c:v>
                </c:pt>
                <c:pt idx="27">
                  <c:v>0</c:v>
                </c:pt>
                <c:pt idx="28">
                  <c:v>4</c:v>
                </c:pt>
                <c:pt idx="29">
                  <c:v>0</c:v>
                </c:pt>
                <c:pt idx="30">
                  <c:v>1</c:v>
                </c:pt>
                <c:pt idx="31">
                  <c:v>1</c:v>
                </c:pt>
                <c:pt idx="32">
                  <c:v>1</c:v>
                </c:pt>
                <c:pt idx="33">
                  <c:v>0</c:v>
                </c:pt>
                <c:pt idx="36">
                  <c:v>2</c:v>
                </c:pt>
                <c:pt idx="37">
                  <c:v>1</c:v>
                </c:pt>
                <c:pt idx="38">
                  <c:v>1</c:v>
                </c:pt>
              </c:numCache>
            </c:numRef>
          </c:val>
          <c:extLst>
            <c:ext xmlns:c16="http://schemas.microsoft.com/office/drawing/2014/chart" uri="{C3380CC4-5D6E-409C-BE32-E72D297353CC}">
              <c16:uniqueId val="{00000002-5845-C44C-93C4-129D54F368B0}"/>
            </c:ext>
          </c:extLst>
        </c:ser>
        <c:dLbls>
          <c:showLegendKey val="0"/>
          <c:showVal val="0"/>
          <c:showCatName val="0"/>
          <c:showSerName val="0"/>
          <c:showPercent val="0"/>
          <c:showBubbleSize val="0"/>
        </c:dLbls>
        <c:gapWidth val="150"/>
        <c:shape val="box"/>
        <c:axId val="1289676032"/>
        <c:axId val="1374226880"/>
        <c:axId val="0"/>
      </c:bar3DChart>
      <c:catAx>
        <c:axId val="1289676032"/>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r>
                  <a:rPr lang="fr-CH">
                    <a:latin typeface="+mj-lt"/>
                  </a:rPr>
                  <a:t>Year</a:t>
                </a:r>
              </a:p>
            </c:rich>
          </c:tx>
          <c:layout>
            <c:manualLayout>
              <c:xMode val="edge"/>
              <c:yMode val="edge"/>
              <c:x val="0.47814150983515902"/>
              <c:y val="0.79259097204325801"/>
            </c:manualLayout>
          </c:layout>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crossAx val="1374226880"/>
        <c:crosses val="autoZero"/>
        <c:auto val="1"/>
        <c:lblAlgn val="ctr"/>
        <c:lblOffset val="100"/>
        <c:noMultiLvlLbl val="0"/>
      </c:catAx>
      <c:valAx>
        <c:axId val="13742268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r>
                  <a:rPr lang="fr-CH">
                    <a:latin typeface="+mj-lt"/>
                  </a:rPr>
                  <a:t># of documents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2896760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50" normalizeH="0" baseline="0">
                <a:solidFill>
                  <a:schemeClr val="tx1">
                    <a:lumMod val="50000"/>
                    <a:lumOff val="50000"/>
                  </a:schemeClr>
                </a:solidFill>
                <a:latin typeface="+mj-lt"/>
                <a:ea typeface="+mj-ea"/>
                <a:cs typeface="+mj-cs"/>
              </a:defRPr>
            </a:pPr>
            <a:r>
              <a:rPr lang="fr-CH" sz="1100" b="1">
                <a:solidFill>
                  <a:schemeClr val="tx1">
                    <a:lumMod val="50000"/>
                    <a:lumOff val="50000"/>
                  </a:schemeClr>
                </a:solidFill>
                <a:latin typeface="+mj-lt"/>
              </a:rPr>
              <a:t>Bank or Bank-affiliated publications referencing the OCP's success</a:t>
            </a:r>
          </a:p>
        </c:rich>
      </c:tx>
      <c:overlay val="0"/>
      <c:spPr>
        <a:noFill/>
        <a:ln>
          <a:noFill/>
        </a:ln>
        <a:effectLst/>
      </c:spPr>
      <c:txPr>
        <a:bodyPr rot="0" spcFirstLastPara="1" vertOverflow="ellipsis" vert="horz" wrap="square" anchor="ctr" anchorCtr="1"/>
        <a:lstStyle/>
        <a:p>
          <a:pPr>
            <a:defRPr sz="1100" b="1" i="0" u="none" strike="noStrike" kern="1200" cap="none" spc="50" normalizeH="0" baseline="0">
              <a:solidFill>
                <a:schemeClr val="tx1">
                  <a:lumMod val="50000"/>
                  <a:lumOff val="50000"/>
                </a:schemeClr>
              </a:solidFill>
              <a:latin typeface="+mj-lt"/>
              <a:ea typeface="+mj-ea"/>
              <a:cs typeface="+mj-cs"/>
            </a:defRPr>
          </a:pPr>
          <a:endParaRPr lang="en-US"/>
        </a:p>
      </c:txPr>
    </c:title>
    <c:autoTitleDeleted val="0"/>
    <c:plotArea>
      <c:layout/>
      <c:scatterChart>
        <c:scatterStyle val="lineMarker"/>
        <c:varyColors val="0"/>
        <c:ser>
          <c:idx val="0"/>
          <c:order val="0"/>
          <c:spPr>
            <a:ln w="19050" cap="rnd">
              <a:solidFill>
                <a:schemeClr val="accent1">
                  <a:alpha val="60000"/>
                </a:schemeClr>
              </a:solidFill>
              <a:round/>
            </a:ln>
            <a:effectLst/>
          </c:spPr>
          <c:marker>
            <c:symbol val="none"/>
          </c:marker>
          <c:xVal>
            <c:numRef>
              <c:f>Sheet6!$A$88:$A$123</c:f>
              <c:numCache>
                <c:formatCode>General</c:formatCode>
                <c:ptCount val="36"/>
                <c:pt idx="0">
                  <c:v>1982</c:v>
                </c:pt>
                <c:pt idx="1">
                  <c:v>1983</c:v>
                </c:pt>
                <c:pt idx="2">
                  <c:v>1984</c:v>
                </c:pt>
                <c:pt idx="3">
                  <c:v>1985</c:v>
                </c:pt>
                <c:pt idx="4">
                  <c:v>1986</c:v>
                </c:pt>
                <c:pt idx="5">
                  <c:v>1987</c:v>
                </c:pt>
                <c:pt idx="6">
                  <c:v>1988</c:v>
                </c:pt>
                <c:pt idx="7">
                  <c:v>1989</c:v>
                </c:pt>
                <c:pt idx="8">
                  <c:v>1990</c:v>
                </c:pt>
                <c:pt idx="9">
                  <c:v>1991</c:v>
                </c:pt>
                <c:pt idx="10">
                  <c:v>1992</c:v>
                </c:pt>
                <c:pt idx="11">
                  <c:v>1993</c:v>
                </c:pt>
                <c:pt idx="12">
                  <c:v>1994</c:v>
                </c:pt>
                <c:pt idx="13">
                  <c:v>1995</c:v>
                </c:pt>
                <c:pt idx="14">
                  <c:v>1996</c:v>
                </c:pt>
                <c:pt idx="15">
                  <c:v>1997</c:v>
                </c:pt>
                <c:pt idx="16">
                  <c:v>1998</c:v>
                </c:pt>
                <c:pt idx="17">
                  <c:v>1999</c:v>
                </c:pt>
                <c:pt idx="18">
                  <c:v>2000</c:v>
                </c:pt>
                <c:pt idx="19">
                  <c:v>2001</c:v>
                </c:pt>
                <c:pt idx="20">
                  <c:v>2002</c:v>
                </c:pt>
                <c:pt idx="21">
                  <c:v>2003</c:v>
                </c:pt>
                <c:pt idx="22">
                  <c:v>2004</c:v>
                </c:pt>
                <c:pt idx="23">
                  <c:v>2005</c:v>
                </c:pt>
                <c:pt idx="24">
                  <c:v>2006</c:v>
                </c:pt>
                <c:pt idx="25">
                  <c:v>2007</c:v>
                </c:pt>
                <c:pt idx="26">
                  <c:v>2008</c:v>
                </c:pt>
                <c:pt idx="27">
                  <c:v>2009</c:v>
                </c:pt>
                <c:pt idx="28">
                  <c:v>2010</c:v>
                </c:pt>
                <c:pt idx="29">
                  <c:v>2011</c:v>
                </c:pt>
                <c:pt idx="30">
                  <c:v>2012</c:v>
                </c:pt>
                <c:pt idx="31">
                  <c:v>2013</c:v>
                </c:pt>
                <c:pt idx="32">
                  <c:v>2014</c:v>
                </c:pt>
                <c:pt idx="33">
                  <c:v>2015</c:v>
                </c:pt>
                <c:pt idx="34">
                  <c:v>2016</c:v>
                </c:pt>
                <c:pt idx="35">
                  <c:v>2017</c:v>
                </c:pt>
              </c:numCache>
            </c:numRef>
          </c:xVal>
          <c:yVal>
            <c:numRef>
              <c:f>Sheet6!$B$88:$B$123</c:f>
              <c:numCache>
                <c:formatCode>General</c:formatCode>
                <c:ptCount val="36"/>
                <c:pt idx="0">
                  <c:v>1</c:v>
                </c:pt>
                <c:pt idx="1">
                  <c:v>0</c:v>
                </c:pt>
                <c:pt idx="2">
                  <c:v>0</c:v>
                </c:pt>
                <c:pt idx="3">
                  <c:v>0</c:v>
                </c:pt>
                <c:pt idx="4">
                  <c:v>0</c:v>
                </c:pt>
                <c:pt idx="5">
                  <c:v>0</c:v>
                </c:pt>
                <c:pt idx="6">
                  <c:v>0</c:v>
                </c:pt>
                <c:pt idx="7">
                  <c:v>2</c:v>
                </c:pt>
                <c:pt idx="8">
                  <c:v>0</c:v>
                </c:pt>
                <c:pt idx="9">
                  <c:v>1</c:v>
                </c:pt>
                <c:pt idx="10">
                  <c:v>1</c:v>
                </c:pt>
                <c:pt idx="11">
                  <c:v>1</c:v>
                </c:pt>
                <c:pt idx="12">
                  <c:v>1</c:v>
                </c:pt>
                <c:pt idx="13">
                  <c:v>5</c:v>
                </c:pt>
                <c:pt idx="14">
                  <c:v>0</c:v>
                </c:pt>
                <c:pt idx="15">
                  <c:v>1</c:v>
                </c:pt>
                <c:pt idx="16">
                  <c:v>1</c:v>
                </c:pt>
                <c:pt idx="17">
                  <c:v>1</c:v>
                </c:pt>
                <c:pt idx="18">
                  <c:v>3</c:v>
                </c:pt>
                <c:pt idx="19">
                  <c:v>1</c:v>
                </c:pt>
                <c:pt idx="20">
                  <c:v>6</c:v>
                </c:pt>
                <c:pt idx="21">
                  <c:v>1</c:v>
                </c:pt>
                <c:pt idx="22">
                  <c:v>2</c:v>
                </c:pt>
                <c:pt idx="23">
                  <c:v>1</c:v>
                </c:pt>
                <c:pt idx="24">
                  <c:v>5</c:v>
                </c:pt>
                <c:pt idx="25">
                  <c:v>1</c:v>
                </c:pt>
                <c:pt idx="26">
                  <c:v>1</c:v>
                </c:pt>
                <c:pt idx="27">
                  <c:v>1</c:v>
                </c:pt>
                <c:pt idx="28">
                  <c:v>1</c:v>
                </c:pt>
                <c:pt idx="29">
                  <c:v>0</c:v>
                </c:pt>
                <c:pt idx="30">
                  <c:v>1</c:v>
                </c:pt>
                <c:pt idx="31">
                  <c:v>1</c:v>
                </c:pt>
                <c:pt idx="32">
                  <c:v>6</c:v>
                </c:pt>
                <c:pt idx="33">
                  <c:v>1</c:v>
                </c:pt>
                <c:pt idx="34">
                  <c:v>2</c:v>
                </c:pt>
                <c:pt idx="35">
                  <c:v>1</c:v>
                </c:pt>
              </c:numCache>
            </c:numRef>
          </c:yVal>
          <c:smooth val="0"/>
          <c:extLst>
            <c:ext xmlns:c16="http://schemas.microsoft.com/office/drawing/2014/chart" uri="{C3380CC4-5D6E-409C-BE32-E72D297353CC}">
              <c16:uniqueId val="{00000000-AD34-5A44-8EAA-D2B7D1822EC3}"/>
            </c:ext>
          </c:extLst>
        </c:ser>
        <c:dLbls>
          <c:showLegendKey val="0"/>
          <c:showVal val="0"/>
          <c:showCatName val="0"/>
          <c:showSerName val="0"/>
          <c:showPercent val="0"/>
          <c:showBubbleSize val="0"/>
        </c:dLbls>
        <c:axId val="1372844448"/>
        <c:axId val="1372803568"/>
      </c:scatterChart>
      <c:valAx>
        <c:axId val="1372844448"/>
        <c:scaling>
          <c:orientation val="minMax"/>
          <c:max val="2017"/>
          <c:min val="198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r>
                  <a:rPr lang="fr-CH"/>
                  <a:t>Year</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endParaRPr lang="en-US"/>
            </a:p>
          </c:txPr>
        </c:title>
        <c:numFmt formatCode="General" sourceLinked="1"/>
        <c:majorTickMark val="none"/>
        <c:minorTickMark val="none"/>
        <c:tickLblPos val="nextTo"/>
        <c:spPr>
          <a:noFill/>
          <a:ln>
            <a:solidFill>
              <a:schemeClr val="tx1">
                <a:lumMod val="25000"/>
                <a:lumOff val="75000"/>
              </a:schemeClr>
            </a:solidFill>
          </a:ln>
          <a:effectLst/>
        </c:spPr>
        <c:txPr>
          <a:bodyPr rot="-60000000" spcFirstLastPara="1" vertOverflow="ellipsis" vert="horz" wrap="square" anchor="ctr" anchorCtr="1"/>
          <a:lstStyle/>
          <a:p>
            <a:pPr>
              <a:defRPr sz="900" b="0" i="0" u="none" strike="noStrike" kern="1200" spc="20" baseline="0">
                <a:solidFill>
                  <a:schemeClr val="tx1">
                    <a:lumMod val="50000"/>
                    <a:lumOff val="50000"/>
                  </a:schemeClr>
                </a:solidFill>
                <a:latin typeface="+mj-lt"/>
                <a:ea typeface="+mn-ea"/>
                <a:cs typeface="+mn-cs"/>
              </a:defRPr>
            </a:pPr>
            <a:endParaRPr lang="en-US"/>
          </a:p>
        </c:txPr>
        <c:crossAx val="1372803568"/>
        <c:crosses val="autoZero"/>
        <c:crossBetween val="midCat"/>
      </c:valAx>
      <c:valAx>
        <c:axId val="13728035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r>
                  <a:rPr lang="fr-CH"/>
                  <a:t># of publications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endParaRPr lang="en-US"/>
            </a:p>
          </c:txPr>
        </c:title>
        <c:numFmt formatCode="General" sourceLinked="1"/>
        <c:majorTickMark val="none"/>
        <c:minorTickMark val="none"/>
        <c:tickLblPos val="nextTo"/>
        <c:spPr>
          <a:noFill/>
          <a:ln>
            <a:solidFill>
              <a:schemeClr val="tx1">
                <a:lumMod val="25000"/>
                <a:lumOff val="75000"/>
              </a:schemeClr>
            </a:solidFill>
          </a:ln>
          <a:effectLst/>
        </c:spPr>
        <c:txPr>
          <a:bodyPr rot="-60000000" spcFirstLastPara="1" vertOverflow="ellipsis" vert="horz" wrap="square" anchor="ctr" anchorCtr="1"/>
          <a:lstStyle/>
          <a:p>
            <a:pPr>
              <a:defRPr sz="900" b="0" i="0" u="none" strike="noStrike" kern="1200" spc="20" baseline="0">
                <a:solidFill>
                  <a:schemeClr val="tx1">
                    <a:lumMod val="50000"/>
                    <a:lumOff val="50000"/>
                  </a:schemeClr>
                </a:solidFill>
                <a:latin typeface="+mj-lt"/>
                <a:ea typeface="+mn-ea"/>
                <a:cs typeface="+mn-cs"/>
              </a:defRPr>
            </a:pPr>
            <a:endParaRPr lang="en-US"/>
          </a:p>
        </c:txPr>
        <c:crossAx val="1372844448"/>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solidFill>
            <a:schemeClr val="tx1">
              <a:lumMod val="50000"/>
              <a:lumOff val="50000"/>
            </a:schemeClr>
          </a:solidFill>
          <a:latin typeface="+mj-lt"/>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mj-lt"/>
                <a:ea typeface="+mn-ea"/>
                <a:cs typeface="+mn-cs"/>
              </a:defRPr>
            </a:pPr>
            <a:r>
              <a:rPr lang="fr-CH" sz="1100" b="1"/>
              <a:t>Components of success identified in Bank publications</a:t>
            </a:r>
          </a:p>
        </c:rich>
      </c:tx>
      <c:layout>
        <c:manualLayout>
          <c:xMode val="edge"/>
          <c:yMode val="edge"/>
          <c:x val="0.15043137254902"/>
          <c:y val="3.5819639372383499E-2"/>
        </c:manualLayout>
      </c:layout>
      <c:overlay val="0"/>
      <c:spPr>
        <a:noFill/>
        <a:ln>
          <a:noFill/>
        </a:ln>
        <a:effectLst/>
      </c:spPr>
      <c:txPr>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mj-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(Sheet6!$A$72,Sheet6!$A$76,Sheet6!$A$78,Sheet6!$A$83,Sheet6!$A$86)</c:f>
              <c:strCache>
                <c:ptCount val="5"/>
                <c:pt idx="0">
                  <c:v>Clear objectives and monitoring</c:v>
                </c:pt>
                <c:pt idx="1">
                  <c:v>Financial Management</c:v>
                </c:pt>
                <c:pt idx="2">
                  <c:v>Partnership (model)</c:v>
                </c:pt>
                <c:pt idx="3">
                  <c:v>Delivery</c:v>
                </c:pt>
                <c:pt idx="4">
                  <c:v>None</c:v>
                </c:pt>
              </c:strCache>
            </c:strRef>
          </c:cat>
          <c:val>
            <c:numRef>
              <c:f>(Sheet6!$B$72,Sheet6!$B$76,Sheet6!$B$78,Sheet6!$B$83,Sheet6!$B$86)</c:f>
              <c:numCache>
                <c:formatCode>General</c:formatCode>
                <c:ptCount val="5"/>
                <c:pt idx="0">
                  <c:v>13</c:v>
                </c:pt>
                <c:pt idx="1">
                  <c:v>10</c:v>
                </c:pt>
                <c:pt idx="2">
                  <c:v>20</c:v>
                </c:pt>
                <c:pt idx="3">
                  <c:v>15</c:v>
                </c:pt>
                <c:pt idx="4">
                  <c:v>12</c:v>
                </c:pt>
              </c:numCache>
            </c:numRef>
          </c:val>
          <c:extLst>
            <c:ext xmlns:c16="http://schemas.microsoft.com/office/drawing/2014/chart" uri="{C3380CC4-5D6E-409C-BE32-E72D297353CC}">
              <c16:uniqueId val="{00000000-28AB-4A3C-9DB3-033640856D3E}"/>
            </c:ext>
          </c:extLst>
        </c:ser>
        <c:dLbls>
          <c:showLegendKey val="0"/>
          <c:showVal val="0"/>
          <c:showCatName val="0"/>
          <c:showSerName val="0"/>
          <c:showPercent val="0"/>
          <c:showBubbleSize val="0"/>
        </c:dLbls>
        <c:gapWidth val="100"/>
        <c:overlap val="-24"/>
        <c:axId val="1289944720"/>
        <c:axId val="1285170592"/>
      </c:barChart>
      <c:catAx>
        <c:axId val="1289944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crossAx val="1285170592"/>
        <c:crosses val="autoZero"/>
        <c:auto val="1"/>
        <c:lblAlgn val="ctr"/>
        <c:lblOffset val="100"/>
        <c:noMultiLvlLbl val="0"/>
      </c:catAx>
      <c:valAx>
        <c:axId val="12851705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r>
                  <a:rPr lang="en-GB"/>
                  <a:t># of sources</a:t>
                </a:r>
              </a:p>
            </c:rich>
          </c:tx>
          <c:layout>
            <c:manualLayout>
              <c:xMode val="edge"/>
              <c:yMode val="edge"/>
              <c:x val="2.7217617221328701E-2"/>
              <c:y val="0.38895237180718301"/>
            </c:manualLayout>
          </c:layout>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crossAx val="128994472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latin typeface="+mj-lt"/>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mj-lt"/>
                <a:ea typeface="+mn-ea"/>
                <a:cs typeface="+mn-cs"/>
              </a:defRPr>
            </a:pPr>
            <a:r>
              <a:rPr lang="fr-CH" sz="1100" b="1">
                <a:latin typeface="+mj-lt"/>
              </a:rPr>
              <a:t>Clear objectives &amp; monitoring: categories of success</a:t>
            </a:r>
          </a:p>
        </c:rich>
      </c:tx>
      <c:overlay val="0"/>
      <c:spPr>
        <a:noFill/>
        <a:ln>
          <a:noFill/>
        </a:ln>
        <a:effectLst/>
      </c:spPr>
      <c:txPr>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mj-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8F0E-457B-88CB-4F176CA55419}"/>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8F0E-457B-88CB-4F176CA55419}"/>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8F0E-457B-88CB-4F176CA55419}"/>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8F0E-457B-88CB-4F176CA55419}"/>
              </c:ext>
            </c:extLst>
          </c:dPt>
          <c:dLbls>
            <c:delete val="1"/>
          </c:dLbls>
          <c:cat>
            <c:strRef>
              <c:f>Sheet6!$C$72:$C$75</c:f>
              <c:strCache>
                <c:ptCount val="4"/>
                <c:pt idx="0">
                  <c:v>Strong management/leadership</c:v>
                </c:pt>
                <c:pt idx="1">
                  <c:v>Monitoring and accountability</c:v>
                </c:pt>
                <c:pt idx="2">
                  <c:v>Clear, measurable objectives</c:v>
                </c:pt>
                <c:pt idx="3">
                  <c:v>Environmental soundness</c:v>
                </c:pt>
              </c:strCache>
            </c:strRef>
          </c:cat>
          <c:val>
            <c:numRef>
              <c:f>Sheet6!$D$72:$D$75</c:f>
              <c:numCache>
                <c:formatCode>General</c:formatCode>
                <c:ptCount val="4"/>
                <c:pt idx="0">
                  <c:v>6</c:v>
                </c:pt>
                <c:pt idx="1">
                  <c:v>2</c:v>
                </c:pt>
                <c:pt idx="2">
                  <c:v>9</c:v>
                </c:pt>
                <c:pt idx="3">
                  <c:v>4</c:v>
                </c:pt>
              </c:numCache>
            </c:numRef>
          </c:val>
          <c:extLst>
            <c:ext xmlns:c16="http://schemas.microsoft.com/office/drawing/2014/chart" uri="{C3380CC4-5D6E-409C-BE32-E72D297353CC}">
              <c16:uniqueId val="{00000008-8F0E-457B-88CB-4F176CA55419}"/>
            </c:ext>
          </c:extLst>
        </c:ser>
        <c:dLbls>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mj-lt"/>
                <a:ea typeface="+mn-ea"/>
                <a:cs typeface="+mn-cs"/>
              </a:defRPr>
            </a:pPr>
            <a:r>
              <a:rPr lang="fr-CH" sz="1100" b="1">
                <a:latin typeface="+mj-lt"/>
              </a:rPr>
              <a:t>Public</a:t>
            </a:r>
            <a:r>
              <a:rPr lang="fr-CH" sz="1100" b="1" baseline="0">
                <a:latin typeface="+mj-lt"/>
              </a:rPr>
              <a:t> health metrics used to justify the OCP's success </a:t>
            </a:r>
          </a:p>
          <a:p>
            <a:pPr>
              <a:defRPr sz="1100" b="1">
                <a:latin typeface="+mj-lt"/>
              </a:defRPr>
            </a:pPr>
            <a:r>
              <a:rPr lang="fr-CH" sz="1100" b="1" baseline="0">
                <a:latin typeface="+mj-lt"/>
              </a:rPr>
              <a:t>(Bank-affiliated publications)</a:t>
            </a:r>
            <a:endParaRPr lang="fr-CH" sz="1100" b="1">
              <a:latin typeface="+mj-lt"/>
            </a:endParaRPr>
          </a:p>
        </c:rich>
      </c:tx>
      <c:overlay val="0"/>
      <c:spPr>
        <a:noFill/>
        <a:ln>
          <a:noFill/>
        </a:ln>
        <a:effectLst/>
      </c:spPr>
      <c:txPr>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mj-lt"/>
              <a:ea typeface="+mn-ea"/>
              <a:cs typeface="+mn-cs"/>
            </a:defRPr>
          </a:pPr>
          <a:endParaRPr lang="en-US"/>
        </a:p>
      </c:txPr>
    </c:title>
    <c:autoTitleDeleted val="0"/>
    <c:plotArea>
      <c:layout/>
      <c:barChart>
        <c:barDir val="bar"/>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'Bank pubs stats'!$A$48:$A$54</c:f>
              <c:strCache>
                <c:ptCount val="7"/>
                <c:pt idx="0">
                  <c:v>Population protected</c:v>
                </c:pt>
                <c:pt idx="1">
                  <c:v>Cases of blindness prevented</c:v>
                </c:pt>
                <c:pt idx="2">
                  <c:v>Interruption of transmission (ATP, incidence and prevalence drops, etc.)</c:v>
                </c:pt>
                <c:pt idx="3">
                  <c:v>Infected cases now asymptomatic (no MF)</c:v>
                </c:pt>
                <c:pt idx="4">
                  <c:v>Children born without risk</c:v>
                </c:pt>
                <c:pt idx="5">
                  <c:v>DALYs saved</c:v>
                </c:pt>
                <c:pt idx="6">
                  <c:v>Number treated with ivermectin</c:v>
                </c:pt>
              </c:strCache>
            </c:strRef>
          </c:cat>
          <c:val>
            <c:numRef>
              <c:f>'Bank pubs stats'!$B$48:$B$54</c:f>
              <c:numCache>
                <c:formatCode>General</c:formatCode>
                <c:ptCount val="7"/>
                <c:pt idx="0">
                  <c:v>21</c:v>
                </c:pt>
                <c:pt idx="1">
                  <c:v>24</c:v>
                </c:pt>
                <c:pt idx="2">
                  <c:v>15</c:v>
                </c:pt>
                <c:pt idx="3">
                  <c:v>13</c:v>
                </c:pt>
                <c:pt idx="4">
                  <c:v>18</c:v>
                </c:pt>
                <c:pt idx="5">
                  <c:v>1</c:v>
                </c:pt>
                <c:pt idx="6">
                  <c:v>1</c:v>
                </c:pt>
              </c:numCache>
            </c:numRef>
          </c:val>
          <c:extLst>
            <c:ext xmlns:c16="http://schemas.microsoft.com/office/drawing/2014/chart" uri="{C3380CC4-5D6E-409C-BE32-E72D297353CC}">
              <c16:uniqueId val="{00000000-4C18-4F1E-9C23-2135ECD76DE0}"/>
            </c:ext>
          </c:extLst>
        </c:ser>
        <c:dLbls>
          <c:showLegendKey val="0"/>
          <c:showVal val="0"/>
          <c:showCatName val="0"/>
          <c:showSerName val="0"/>
          <c:showPercent val="0"/>
          <c:showBubbleSize val="0"/>
        </c:dLbls>
        <c:gapWidth val="100"/>
        <c:axId val="1740641424"/>
        <c:axId val="1294754640"/>
      </c:barChart>
      <c:catAx>
        <c:axId val="17406414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crossAx val="1294754640"/>
        <c:crosses val="autoZero"/>
        <c:auto val="1"/>
        <c:lblAlgn val="ctr"/>
        <c:lblOffset val="100"/>
        <c:noMultiLvlLbl val="0"/>
      </c:catAx>
      <c:valAx>
        <c:axId val="12947546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r>
                  <a:rPr lang="fr-CH">
                    <a:latin typeface="+mj-lt"/>
                  </a:rPr>
                  <a:t># of sources with metric</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74064142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mj-lt"/>
                <a:ea typeface="+mn-ea"/>
                <a:cs typeface="+mn-cs"/>
              </a:defRPr>
            </a:pPr>
            <a:r>
              <a:rPr lang="fr-CH" sz="1100" b="1">
                <a:latin typeface="+mj-lt"/>
              </a:rPr>
              <a:t>Socio-economic metrics used to justify the OCP's success </a:t>
            </a:r>
          </a:p>
          <a:p>
            <a:pPr>
              <a:defRPr sz="1100" b="1">
                <a:latin typeface="+mj-lt"/>
              </a:defRPr>
            </a:pPr>
            <a:r>
              <a:rPr lang="fr-CH" sz="1100" b="1">
                <a:latin typeface="+mj-lt"/>
              </a:rPr>
              <a:t>(Bank-affiliated publications)</a:t>
            </a:r>
          </a:p>
        </c:rich>
      </c:tx>
      <c:overlay val="0"/>
      <c:spPr>
        <a:noFill/>
        <a:ln>
          <a:noFill/>
        </a:ln>
        <a:effectLst/>
      </c:spPr>
      <c:txPr>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mj-lt"/>
              <a:ea typeface="+mn-ea"/>
              <a:cs typeface="+mn-cs"/>
            </a:defRPr>
          </a:pPr>
          <a:endParaRPr lang="en-US"/>
        </a:p>
      </c:txPr>
    </c:title>
    <c:autoTitleDeleted val="0"/>
    <c:plotArea>
      <c:layout/>
      <c:barChart>
        <c:barDir val="bar"/>
        <c:grouping val="clustered"/>
        <c:varyColors val="0"/>
        <c:ser>
          <c:idx val="0"/>
          <c:order val="0"/>
          <c:tx>
            <c:strRef>
              <c:f>'Bank pubs stats'!$B$48:$B$54</c:f>
              <c:strCache>
                <c:ptCount val="7"/>
                <c:pt idx="0">
                  <c:v>21</c:v>
                </c:pt>
                <c:pt idx="1">
                  <c:v>24</c:v>
                </c:pt>
                <c:pt idx="2">
                  <c:v>15</c:v>
                </c:pt>
                <c:pt idx="3">
                  <c:v>13</c:v>
                </c:pt>
                <c:pt idx="4">
                  <c:v>18</c:v>
                </c:pt>
                <c:pt idx="5">
                  <c:v>1</c:v>
                </c:pt>
                <c:pt idx="6">
                  <c:v>1</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'Bank pubs stats'!$A$57:$A$61</c:f>
              <c:strCache>
                <c:ptCount val="5"/>
                <c:pt idx="0">
                  <c:v>Land 'rescued' for settlement</c:v>
                </c:pt>
                <c:pt idx="1">
                  <c:v>Value of rescued land in terms of food production (food dependent to food exporting)</c:v>
                </c:pt>
                <c:pt idx="2">
                  <c:v>Years of productive labor added to economies</c:v>
                </c:pt>
                <c:pt idx="3">
                  <c:v>Cost per person protected per year</c:v>
                </c:pt>
                <c:pt idx="4">
                  <c:v>Economic Rate of Return or Net Present Value</c:v>
                </c:pt>
              </c:strCache>
              <c:extLst/>
            </c:strRef>
          </c:cat>
          <c:val>
            <c:numRef>
              <c:f>[2]Sheet6!$B$55:$B$61</c:f>
              <c:extLst/>
            </c:numRef>
          </c:val>
          <c:extLst>
            <c:ext xmlns:c16="http://schemas.microsoft.com/office/drawing/2014/chart" uri="{C3380CC4-5D6E-409C-BE32-E72D297353CC}">
              <c16:uniqueId val="{00000000-17E6-476E-A081-F956EF65E601}"/>
            </c:ext>
          </c:extLst>
        </c:ser>
        <c:ser>
          <c:idx val="1"/>
          <c:order val="1"/>
          <c:tx>
            <c:strRef>
              <c:f>'Bank pubs stats'!$A$57:$A$61</c:f>
              <c:strCache>
                <c:ptCount val="5"/>
                <c:pt idx="0">
                  <c:v>Land 'rescued' for settlement</c:v>
                </c:pt>
                <c:pt idx="1">
                  <c:v>Value of rescued land in terms of food production (food dependent to food exporting)</c:v>
                </c:pt>
                <c:pt idx="2">
                  <c:v>Years of productive labor added to economies</c:v>
                </c:pt>
                <c:pt idx="3">
                  <c:v>Cost per person protected per year</c:v>
                </c:pt>
                <c:pt idx="4">
                  <c:v>Economic Rate of Return or Net Present Value</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cat>
            <c:strRef>
              <c:f>'Bank pubs stats'!$A$57:$A$61</c:f>
              <c:strCache>
                <c:ptCount val="5"/>
                <c:pt idx="0">
                  <c:v>Land 'rescued' for settlement</c:v>
                </c:pt>
                <c:pt idx="1">
                  <c:v>Value of rescued land in terms of food production (food dependent to food exporting)</c:v>
                </c:pt>
                <c:pt idx="2">
                  <c:v>Years of productive labor added to economies</c:v>
                </c:pt>
                <c:pt idx="3">
                  <c:v>Cost per person protected per year</c:v>
                </c:pt>
                <c:pt idx="4">
                  <c:v>Economic Rate of Return or Net Present Value</c:v>
                </c:pt>
              </c:strCache>
              <c:extLst/>
            </c:strRef>
          </c:cat>
          <c:val>
            <c:numRef>
              <c:f>'Bank pubs stats'!$B$57:$B$61</c:f>
              <c:numCache>
                <c:formatCode>General</c:formatCode>
                <c:ptCount val="5"/>
                <c:pt idx="0">
                  <c:v>30</c:v>
                </c:pt>
                <c:pt idx="1">
                  <c:v>7</c:v>
                </c:pt>
                <c:pt idx="2">
                  <c:v>5</c:v>
                </c:pt>
                <c:pt idx="3">
                  <c:v>7</c:v>
                </c:pt>
                <c:pt idx="4">
                  <c:v>15</c:v>
                </c:pt>
              </c:numCache>
              <c:extLst/>
            </c:numRef>
          </c:val>
          <c:extLst>
            <c:ext xmlns:c16="http://schemas.microsoft.com/office/drawing/2014/chart" uri="{C3380CC4-5D6E-409C-BE32-E72D297353CC}">
              <c16:uniqueId val="{00000001-17E6-476E-A081-F956EF65E601}"/>
            </c:ext>
          </c:extLst>
        </c:ser>
        <c:dLbls>
          <c:showLegendKey val="0"/>
          <c:showVal val="0"/>
          <c:showCatName val="0"/>
          <c:showSerName val="0"/>
          <c:showPercent val="0"/>
          <c:showBubbleSize val="0"/>
        </c:dLbls>
        <c:gapWidth val="100"/>
        <c:axId val="1372086224"/>
        <c:axId val="1372948400"/>
      </c:barChart>
      <c:catAx>
        <c:axId val="13720862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crossAx val="1372948400"/>
        <c:crosses val="autoZero"/>
        <c:auto val="1"/>
        <c:lblAlgn val="ctr"/>
        <c:lblOffset val="100"/>
        <c:noMultiLvlLbl val="0"/>
      </c:catAx>
      <c:valAx>
        <c:axId val="13729484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r>
                  <a:rPr lang="fr-CH">
                    <a:latin typeface="+mj-lt"/>
                  </a:rPr>
                  <a:t># of sources with metric</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37208622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mj-lt"/>
                <a:ea typeface="+mn-ea"/>
                <a:cs typeface="+mn-cs"/>
              </a:defRPr>
            </a:pPr>
            <a:r>
              <a:rPr lang="fr-CH" sz="1100" b="1">
                <a:latin typeface="+mj-lt"/>
              </a:rPr>
              <a:t>Partnership: categories of success</a:t>
            </a:r>
          </a:p>
        </c:rich>
      </c:tx>
      <c:overlay val="0"/>
      <c:spPr>
        <a:noFill/>
        <a:ln>
          <a:noFill/>
        </a:ln>
        <a:effectLst/>
      </c:spPr>
      <c:txPr>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mj-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F660-424A-8D4D-00E0B40E46D3}"/>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F660-424A-8D4D-00E0B40E46D3}"/>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F660-424A-8D4D-00E0B40E46D3}"/>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F660-424A-8D4D-00E0B40E46D3}"/>
              </c:ext>
            </c:extLst>
          </c:dPt>
          <c:dPt>
            <c:idx val="4"/>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extLst>
              <c:ext xmlns:c16="http://schemas.microsoft.com/office/drawing/2014/chart" uri="{C3380CC4-5D6E-409C-BE32-E72D297353CC}">
                <c16:uniqueId val="{00000009-F660-424A-8D4D-00E0B40E46D3}"/>
              </c:ext>
            </c:extLst>
          </c:dPt>
          <c:dLbls>
            <c:delete val="1"/>
          </c:dLbls>
          <c:cat>
            <c:strRef>
              <c:f>Sheet6!$C$78:$C$82</c:f>
              <c:strCache>
                <c:ptCount val="5"/>
                <c:pt idx="0">
                  <c:v>Strong cooperation between all international partners</c:v>
                </c:pt>
                <c:pt idx="1">
                  <c:v>Long-term commitment of donors</c:v>
                </c:pt>
                <c:pt idx="2">
                  <c:v>Technological excellence &amp; operational research</c:v>
                </c:pt>
                <c:pt idx="3">
                  <c:v>Flexibility, with clear partner roles</c:v>
                </c:pt>
                <c:pt idx="4">
                  <c:v>Transparency (information flow)</c:v>
                </c:pt>
              </c:strCache>
            </c:strRef>
          </c:cat>
          <c:val>
            <c:numRef>
              <c:f>Sheet6!$D$78:$D$82</c:f>
              <c:numCache>
                <c:formatCode>General</c:formatCode>
                <c:ptCount val="5"/>
                <c:pt idx="0">
                  <c:v>16</c:v>
                </c:pt>
                <c:pt idx="1">
                  <c:v>10</c:v>
                </c:pt>
                <c:pt idx="2">
                  <c:v>7</c:v>
                </c:pt>
                <c:pt idx="3">
                  <c:v>3</c:v>
                </c:pt>
                <c:pt idx="4">
                  <c:v>2</c:v>
                </c:pt>
              </c:numCache>
            </c:numRef>
          </c:val>
          <c:extLst>
            <c:ext xmlns:c16="http://schemas.microsoft.com/office/drawing/2014/chart" uri="{C3380CC4-5D6E-409C-BE32-E72D297353CC}">
              <c16:uniqueId val="{0000000A-F660-424A-8D4D-00E0B40E46D3}"/>
            </c:ext>
          </c:extLst>
        </c:ser>
        <c:dLbls>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cap="none" spc="20" baseline="0">
                <a:solidFill>
                  <a:schemeClr val="tx1">
                    <a:lumMod val="50000"/>
                    <a:lumOff val="50000"/>
                  </a:schemeClr>
                </a:solidFill>
                <a:latin typeface="+mj-lt"/>
                <a:ea typeface="+mn-ea"/>
                <a:cs typeface="+mn-cs"/>
              </a:defRPr>
            </a:pPr>
            <a:r>
              <a:rPr lang="fr-CH" sz="1100" b="1">
                <a:latin typeface="+mj-lt"/>
              </a:rPr>
              <a:t>Citations given for OCP's success by</a:t>
            </a:r>
            <a:r>
              <a:rPr lang="fr-CH" sz="1100" b="1" baseline="0">
                <a:latin typeface="+mj-lt"/>
              </a:rPr>
              <a:t> the global health community</a:t>
            </a:r>
            <a:endParaRPr lang="fr-CH" sz="1100" b="1">
              <a:latin typeface="+mj-lt"/>
            </a:endParaRPr>
          </a:p>
        </c:rich>
      </c:tx>
      <c:layout>
        <c:manualLayout>
          <c:xMode val="edge"/>
          <c:yMode val="edge"/>
          <c:x val="0.20077752146775435"/>
          <c:y val="3.3281135632693803E-2"/>
        </c:manualLayout>
      </c:layout>
      <c:overlay val="0"/>
      <c:spPr>
        <a:noFill/>
        <a:ln>
          <a:noFill/>
        </a:ln>
        <a:effectLst/>
      </c:spPr>
      <c:txPr>
        <a:bodyPr rot="0" spcFirstLastPara="1" vertOverflow="ellipsis" vert="horz" wrap="square" anchor="ctr" anchorCtr="1"/>
        <a:lstStyle/>
        <a:p>
          <a:pPr>
            <a:defRPr sz="1100" b="0" i="0" u="none" strike="noStrike" kern="1200" cap="none" spc="20" baseline="0">
              <a:solidFill>
                <a:schemeClr val="tx1">
                  <a:lumMod val="50000"/>
                  <a:lumOff val="50000"/>
                </a:schemeClr>
              </a:solidFill>
              <a:latin typeface="+mj-lt"/>
              <a:ea typeface="+mn-ea"/>
              <a:cs typeface="+mn-cs"/>
            </a:defRPr>
          </a:pPr>
          <a:endParaRPr lang="en-US"/>
        </a:p>
      </c:txPr>
    </c:title>
    <c:autoTitleDeleted val="0"/>
    <c:plotArea>
      <c:layout/>
      <c:barChart>
        <c:barDir val="bar"/>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'Citation tracking'!$A$110:$A$118</c:f>
              <c:strCache>
                <c:ptCount val="8"/>
                <c:pt idx="0">
                  <c:v>Articles without citations for 'success'</c:v>
                </c:pt>
                <c:pt idx="1">
                  <c:v>Citing World Bank official publications</c:v>
                </c:pt>
                <c:pt idx="2">
                  <c:v>Citing OCP or other WHO official publications</c:v>
                </c:pt>
                <c:pt idx="3">
                  <c:v>Citing Bank staff authors</c:v>
                </c:pt>
                <c:pt idx="4">
                  <c:v>Citing OCP/WHO staff authors</c:v>
                </c:pt>
                <c:pt idx="5">
                  <c:v>Citing other affiliated OCP agencies (Merck, Sightsavers, Carter Center, USAID, etc.)</c:v>
                </c:pt>
                <c:pt idx="6">
                  <c:v>Citing Center for Global Development</c:v>
                </c:pt>
                <c:pt idx="7">
                  <c:v>Citing all other 'external' authors</c:v>
                </c:pt>
              </c:strCache>
            </c:strRef>
          </c:cat>
          <c:val>
            <c:numRef>
              <c:f>'Citation tracking'!$B$110:$B$118</c:f>
              <c:numCache>
                <c:formatCode>General</c:formatCode>
                <c:ptCount val="8"/>
                <c:pt idx="0">
                  <c:v>99</c:v>
                </c:pt>
                <c:pt idx="1">
                  <c:v>31</c:v>
                </c:pt>
                <c:pt idx="2">
                  <c:v>40</c:v>
                </c:pt>
                <c:pt idx="3">
                  <c:v>13</c:v>
                </c:pt>
                <c:pt idx="4">
                  <c:v>64</c:v>
                </c:pt>
                <c:pt idx="5">
                  <c:v>14</c:v>
                </c:pt>
                <c:pt idx="6">
                  <c:v>5</c:v>
                </c:pt>
                <c:pt idx="7">
                  <c:v>23</c:v>
                </c:pt>
              </c:numCache>
            </c:numRef>
          </c:val>
          <c:extLst>
            <c:ext xmlns:c16="http://schemas.microsoft.com/office/drawing/2014/chart" uri="{C3380CC4-5D6E-409C-BE32-E72D297353CC}">
              <c16:uniqueId val="{00000000-FC6F-4346-B46A-182BF6A23052}"/>
            </c:ext>
          </c:extLst>
        </c:ser>
        <c:dLbls>
          <c:showLegendKey val="0"/>
          <c:showVal val="0"/>
          <c:showCatName val="0"/>
          <c:showSerName val="0"/>
          <c:showPercent val="0"/>
          <c:showBubbleSize val="0"/>
        </c:dLbls>
        <c:gapWidth val="100"/>
        <c:axId val="1292271008"/>
        <c:axId val="1297818960"/>
      </c:barChart>
      <c:catAx>
        <c:axId val="12922710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crossAx val="1297818960"/>
        <c:crosses val="autoZero"/>
        <c:auto val="1"/>
        <c:lblAlgn val="ctr"/>
        <c:lblOffset val="100"/>
        <c:noMultiLvlLbl val="0"/>
      </c:catAx>
      <c:valAx>
        <c:axId val="12978189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r>
                  <a:rPr lang="fr-CH">
                    <a:latin typeface="+mj-lt"/>
                  </a:rPr>
                  <a:t># of articles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29227100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Calibri" panose="020F0502020204030204" pitchFamily="34" charset="0"/>
                <a:ea typeface="+mn-ea"/>
                <a:cs typeface="Calibri" panose="020F0502020204030204" pitchFamily="34" charset="0"/>
              </a:defRPr>
            </a:pPr>
            <a:r>
              <a:rPr lang="en-GB" sz="1100" b="1"/>
              <a:t>New World Bank commitments to health sector projects, FY1970-2018</a:t>
            </a:r>
          </a:p>
        </c:rich>
      </c:tx>
      <c:overlay val="0"/>
      <c:spPr>
        <a:noFill/>
        <a:ln>
          <a:noFill/>
        </a:ln>
        <a:effectLst/>
      </c:spPr>
      <c:txPr>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Calibri" panose="020F0502020204030204" pitchFamily="34" charset="0"/>
              <a:ea typeface="+mn-ea"/>
              <a:cs typeface="Calibri" panose="020F0502020204030204" pitchFamily="34" charset="0"/>
            </a:defRPr>
          </a:pPr>
          <a:endParaRPr lang="en-US"/>
        </a:p>
      </c:txPr>
    </c:title>
    <c:autoTitleDeleted val="0"/>
    <c:plotArea>
      <c:layout/>
      <c:areaChart>
        <c:grouping val="stacked"/>
        <c:varyColors val="0"/>
        <c:ser>
          <c:idx val="0"/>
          <c:order val="0"/>
          <c:tx>
            <c:strRef>
              <c:f>'[HNPSlendC-HNPStats (3).xls]Sheet1'!$B$3:$B$4</c:f>
              <c:strCache>
                <c:ptCount val="2"/>
                <c:pt idx="0">
                  <c:v>Region</c:v>
                </c:pt>
                <c:pt idx="1">
                  <c:v>Sub-Saharan Africa</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cat>
            <c:numRef>
              <c:f>'[HNPSlendC-HNPStats (3).xls]Sheet1'!$A$5:$A$53</c:f>
              <c:numCache>
                <c:formatCode>General</c:formatCode>
                <c:ptCount val="49"/>
                <c:pt idx="0">
                  <c:v>1970</c:v>
                </c:pt>
                <c:pt idx="1">
                  <c:v>1971</c:v>
                </c:pt>
                <c:pt idx="2">
                  <c:v>1972</c:v>
                </c:pt>
                <c:pt idx="3">
                  <c:v>1973</c:v>
                </c:pt>
                <c:pt idx="4">
                  <c:v>1974</c:v>
                </c:pt>
                <c:pt idx="5">
                  <c:v>1975</c:v>
                </c:pt>
                <c:pt idx="6">
                  <c:v>1976</c:v>
                </c:pt>
                <c:pt idx="7">
                  <c:v>1977</c:v>
                </c:pt>
                <c:pt idx="8">
                  <c:v>1978</c:v>
                </c:pt>
                <c:pt idx="9">
                  <c:v>1979</c:v>
                </c:pt>
                <c:pt idx="10">
                  <c:v>1980</c:v>
                </c:pt>
                <c:pt idx="11">
                  <c:v>1981</c:v>
                </c:pt>
                <c:pt idx="12">
                  <c:v>1982</c:v>
                </c:pt>
                <c:pt idx="13">
                  <c:v>1983</c:v>
                </c:pt>
                <c:pt idx="14">
                  <c:v>1984</c:v>
                </c:pt>
                <c:pt idx="15">
                  <c:v>1985</c:v>
                </c:pt>
                <c:pt idx="16">
                  <c:v>1986</c:v>
                </c:pt>
                <c:pt idx="17">
                  <c:v>1987</c:v>
                </c:pt>
                <c:pt idx="18">
                  <c:v>1988</c:v>
                </c:pt>
                <c:pt idx="19">
                  <c:v>1989</c:v>
                </c:pt>
                <c:pt idx="20">
                  <c:v>1990</c:v>
                </c:pt>
                <c:pt idx="21">
                  <c:v>1991</c:v>
                </c:pt>
                <c:pt idx="22">
                  <c:v>1992</c:v>
                </c:pt>
                <c:pt idx="23">
                  <c:v>1993</c:v>
                </c:pt>
                <c:pt idx="24">
                  <c:v>1994</c:v>
                </c:pt>
                <c:pt idx="25">
                  <c:v>1995</c:v>
                </c:pt>
                <c:pt idx="26">
                  <c:v>1996</c:v>
                </c:pt>
                <c:pt idx="27">
                  <c:v>1997</c:v>
                </c:pt>
                <c:pt idx="28">
                  <c:v>1998</c:v>
                </c:pt>
                <c:pt idx="29">
                  <c:v>1999</c:v>
                </c:pt>
                <c:pt idx="30">
                  <c:v>2000</c:v>
                </c:pt>
                <c:pt idx="31">
                  <c:v>2001</c:v>
                </c:pt>
                <c:pt idx="32">
                  <c:v>2002</c:v>
                </c:pt>
                <c:pt idx="33">
                  <c:v>2003</c:v>
                </c:pt>
                <c:pt idx="34">
                  <c:v>2004</c:v>
                </c:pt>
                <c:pt idx="35">
                  <c:v>2005</c:v>
                </c:pt>
                <c:pt idx="36">
                  <c:v>2006</c:v>
                </c:pt>
                <c:pt idx="37">
                  <c:v>2007</c:v>
                </c:pt>
                <c:pt idx="38">
                  <c:v>2008</c:v>
                </c:pt>
                <c:pt idx="39">
                  <c:v>2009</c:v>
                </c:pt>
                <c:pt idx="40">
                  <c:v>2010</c:v>
                </c:pt>
                <c:pt idx="41">
                  <c:v>2011</c:v>
                </c:pt>
                <c:pt idx="42">
                  <c:v>2012</c:v>
                </c:pt>
                <c:pt idx="43">
                  <c:v>2013</c:v>
                </c:pt>
                <c:pt idx="44">
                  <c:v>2014</c:v>
                </c:pt>
                <c:pt idx="45">
                  <c:v>2015</c:v>
                </c:pt>
                <c:pt idx="46">
                  <c:v>2016</c:v>
                </c:pt>
                <c:pt idx="47">
                  <c:v>2017</c:v>
                </c:pt>
                <c:pt idx="48">
                  <c:v>2018</c:v>
                </c:pt>
              </c:numCache>
            </c:numRef>
          </c:cat>
          <c:val>
            <c:numRef>
              <c:f>'[HNPSlendC-HNPStats (3).xls]Sheet1'!$B$5:$B$53</c:f>
              <c:numCache>
                <c:formatCode>General</c:formatCode>
                <c:ptCount val="49"/>
                <c:pt idx="4" formatCode="#,##0_);\(#,##0\)">
                  <c:v>12</c:v>
                </c:pt>
                <c:pt idx="12" formatCode="#,##0_);\(#,##0\)">
                  <c:v>23</c:v>
                </c:pt>
                <c:pt idx="13" formatCode="#,##0_);\(#,##0\)">
                  <c:v>21.8</c:v>
                </c:pt>
                <c:pt idx="14" formatCode="#,##0_);\(#,##0\)">
                  <c:v>30.5</c:v>
                </c:pt>
                <c:pt idx="15" formatCode="#,##0_);\(#,##0\)">
                  <c:v>64.099999999999994</c:v>
                </c:pt>
                <c:pt idx="16" formatCode="#,##0_);\(#,##0\)">
                  <c:v>81.099999999999994</c:v>
                </c:pt>
                <c:pt idx="17" formatCode="#,##0_);\(#,##0\)">
                  <c:v>30.8</c:v>
                </c:pt>
                <c:pt idx="18" formatCode="#,##0_);\(#,##0\)">
                  <c:v>121.736</c:v>
                </c:pt>
                <c:pt idx="19" formatCode="#,##0_);\(#,##0\)">
                  <c:v>82.12</c:v>
                </c:pt>
                <c:pt idx="20" formatCode="#,##0_);\(#,##0\)">
                  <c:v>166.446</c:v>
                </c:pt>
                <c:pt idx="21" formatCode="#,##0_);\(#,##0\)">
                  <c:v>173.67099999999999</c:v>
                </c:pt>
                <c:pt idx="22" formatCode="#,##0_);\(#,##0\)">
                  <c:v>147.583</c:v>
                </c:pt>
                <c:pt idx="23" formatCode="#,##0_);\(#,##0\)">
                  <c:v>100.76900000000001</c:v>
                </c:pt>
                <c:pt idx="24" formatCode="#,##0_);\(#,##0\)">
                  <c:v>203.50700000000001</c:v>
                </c:pt>
                <c:pt idx="25" formatCode="#,##0_);\(#,##0\)">
                  <c:v>239.01400000000001</c:v>
                </c:pt>
                <c:pt idx="26" formatCode="#,##0_);\(#,##0\)">
                  <c:v>200.631</c:v>
                </c:pt>
                <c:pt idx="27" formatCode="#,##0_);\(#,##0\)">
                  <c:v>87.893000000000001</c:v>
                </c:pt>
                <c:pt idx="28" formatCode="#,##0_);\(#,##0\)">
                  <c:v>208.90799999999999</c:v>
                </c:pt>
                <c:pt idx="29" formatCode="#,##0_);\(#,##0\)">
                  <c:v>177.93700000000001</c:v>
                </c:pt>
                <c:pt idx="30" formatCode="#,##0_);\(#,##0\)">
                  <c:v>224.76761055</c:v>
                </c:pt>
                <c:pt idx="31" formatCode="#,##0_);\(#,##0\)">
                  <c:v>381.23800027999891</c:v>
                </c:pt>
                <c:pt idx="32" formatCode="#,##0_);\(#,##0\)">
                  <c:v>761.04812664999997</c:v>
                </c:pt>
                <c:pt idx="33" formatCode="#,##0_);\(#,##0\)">
                  <c:v>333.77400003000002</c:v>
                </c:pt>
                <c:pt idx="34" formatCode="#,##0_);\(#,##0\)">
                  <c:v>253.29680049000001</c:v>
                </c:pt>
                <c:pt idx="35" formatCode="#,##0_);\(#,##0\)">
                  <c:v>320.01839999999879</c:v>
                </c:pt>
                <c:pt idx="36" formatCode="#,##0_);\(#,##0\)">
                  <c:v>604.12878999999998</c:v>
                </c:pt>
                <c:pt idx="37" formatCode="#,##0_);\(#,##0\)">
                  <c:v>279.05133760000001</c:v>
                </c:pt>
                <c:pt idx="38" formatCode="#,##0_);\(#,##0\)">
                  <c:v>312.42181699999878</c:v>
                </c:pt>
                <c:pt idx="39" formatCode="#,##0_);\(#,##0\)">
                  <c:v>629.743334</c:v>
                </c:pt>
                <c:pt idx="40" formatCode="#,##0_);\(#,##0\)">
                  <c:v>606.75361275</c:v>
                </c:pt>
                <c:pt idx="41" formatCode="#,##0_);\(#,##0\)">
                  <c:v>488.51456680000001</c:v>
                </c:pt>
                <c:pt idx="42" formatCode="#,##0_);\(#,##0\)">
                  <c:v>470.90112909999891</c:v>
                </c:pt>
                <c:pt idx="43" formatCode="#,##0_);\(#,##0\)">
                  <c:v>506.40749019999998</c:v>
                </c:pt>
                <c:pt idx="44" formatCode="#,##0_);\(#,##0\)">
                  <c:v>530.45173</c:v>
                </c:pt>
                <c:pt idx="45" formatCode="#,##0_);\(#,##0\)">
                  <c:v>1905.3644824999999</c:v>
                </c:pt>
                <c:pt idx="46" formatCode="#,##0_);\(#,##0\)">
                  <c:v>964.02054495000004</c:v>
                </c:pt>
                <c:pt idx="47" formatCode="#,##0_);\(#,##0\)">
                  <c:v>623.44155255999999</c:v>
                </c:pt>
                <c:pt idx="48" formatCode="#,##0_);\(#,##0\)">
                  <c:v>1160.51998</c:v>
                </c:pt>
              </c:numCache>
            </c:numRef>
          </c:val>
          <c:extLst>
            <c:ext xmlns:c16="http://schemas.microsoft.com/office/drawing/2014/chart" uri="{C3380CC4-5D6E-409C-BE32-E72D297353CC}">
              <c16:uniqueId val="{00000000-9B45-784B-8667-A9143F98D83E}"/>
            </c:ext>
          </c:extLst>
        </c:ser>
        <c:ser>
          <c:idx val="1"/>
          <c:order val="1"/>
          <c:tx>
            <c:strRef>
              <c:f>'[HNPSlendC-HNPStats (3).xls]Sheet1'!$C$3:$C$4</c:f>
              <c:strCache>
                <c:ptCount val="2"/>
                <c:pt idx="0">
                  <c:v>Region</c:v>
                </c:pt>
                <c:pt idx="1">
                  <c:v>East Asia &amp; Pacific</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cat>
            <c:numRef>
              <c:f>'[HNPSlendC-HNPStats (3).xls]Sheet1'!$A$5:$A$53</c:f>
              <c:numCache>
                <c:formatCode>General</c:formatCode>
                <c:ptCount val="49"/>
                <c:pt idx="0">
                  <c:v>1970</c:v>
                </c:pt>
                <c:pt idx="1">
                  <c:v>1971</c:v>
                </c:pt>
                <c:pt idx="2">
                  <c:v>1972</c:v>
                </c:pt>
                <c:pt idx="3">
                  <c:v>1973</c:v>
                </c:pt>
                <c:pt idx="4">
                  <c:v>1974</c:v>
                </c:pt>
                <c:pt idx="5">
                  <c:v>1975</c:v>
                </c:pt>
                <c:pt idx="6">
                  <c:v>1976</c:v>
                </c:pt>
                <c:pt idx="7">
                  <c:v>1977</c:v>
                </c:pt>
                <c:pt idx="8">
                  <c:v>1978</c:v>
                </c:pt>
                <c:pt idx="9">
                  <c:v>1979</c:v>
                </c:pt>
                <c:pt idx="10">
                  <c:v>1980</c:v>
                </c:pt>
                <c:pt idx="11">
                  <c:v>1981</c:v>
                </c:pt>
                <c:pt idx="12">
                  <c:v>1982</c:v>
                </c:pt>
                <c:pt idx="13">
                  <c:v>1983</c:v>
                </c:pt>
                <c:pt idx="14">
                  <c:v>1984</c:v>
                </c:pt>
                <c:pt idx="15">
                  <c:v>1985</c:v>
                </c:pt>
                <c:pt idx="16">
                  <c:v>1986</c:v>
                </c:pt>
                <c:pt idx="17">
                  <c:v>1987</c:v>
                </c:pt>
                <c:pt idx="18">
                  <c:v>1988</c:v>
                </c:pt>
                <c:pt idx="19">
                  <c:v>1989</c:v>
                </c:pt>
                <c:pt idx="20">
                  <c:v>1990</c:v>
                </c:pt>
                <c:pt idx="21">
                  <c:v>1991</c:v>
                </c:pt>
                <c:pt idx="22">
                  <c:v>1992</c:v>
                </c:pt>
                <c:pt idx="23">
                  <c:v>1993</c:v>
                </c:pt>
                <c:pt idx="24">
                  <c:v>1994</c:v>
                </c:pt>
                <c:pt idx="25">
                  <c:v>1995</c:v>
                </c:pt>
                <c:pt idx="26">
                  <c:v>1996</c:v>
                </c:pt>
                <c:pt idx="27">
                  <c:v>1997</c:v>
                </c:pt>
                <c:pt idx="28">
                  <c:v>1998</c:v>
                </c:pt>
                <c:pt idx="29">
                  <c:v>1999</c:v>
                </c:pt>
                <c:pt idx="30">
                  <c:v>2000</c:v>
                </c:pt>
                <c:pt idx="31">
                  <c:v>2001</c:v>
                </c:pt>
                <c:pt idx="32">
                  <c:v>2002</c:v>
                </c:pt>
                <c:pt idx="33">
                  <c:v>2003</c:v>
                </c:pt>
                <c:pt idx="34">
                  <c:v>2004</c:v>
                </c:pt>
                <c:pt idx="35">
                  <c:v>2005</c:v>
                </c:pt>
                <c:pt idx="36">
                  <c:v>2006</c:v>
                </c:pt>
                <c:pt idx="37">
                  <c:v>2007</c:v>
                </c:pt>
                <c:pt idx="38">
                  <c:v>2008</c:v>
                </c:pt>
                <c:pt idx="39">
                  <c:v>2009</c:v>
                </c:pt>
                <c:pt idx="40">
                  <c:v>2010</c:v>
                </c:pt>
                <c:pt idx="41">
                  <c:v>2011</c:v>
                </c:pt>
                <c:pt idx="42">
                  <c:v>2012</c:v>
                </c:pt>
                <c:pt idx="43">
                  <c:v>2013</c:v>
                </c:pt>
                <c:pt idx="44">
                  <c:v>2014</c:v>
                </c:pt>
                <c:pt idx="45">
                  <c:v>2015</c:v>
                </c:pt>
                <c:pt idx="46">
                  <c:v>2016</c:v>
                </c:pt>
                <c:pt idx="47">
                  <c:v>2017</c:v>
                </c:pt>
                <c:pt idx="48">
                  <c:v>2018</c:v>
                </c:pt>
              </c:numCache>
            </c:numRef>
          </c:cat>
          <c:val>
            <c:numRef>
              <c:f>'[HNPSlendC-HNPStats (3).xls]Sheet1'!$C$5:$C$53</c:f>
              <c:numCache>
                <c:formatCode>General</c:formatCode>
                <c:ptCount val="49"/>
                <c:pt idx="2" formatCode="#,##0_);\(#,##0\)">
                  <c:v>13.2</c:v>
                </c:pt>
                <c:pt idx="5" formatCode="#,##0_);\(#,##0\)">
                  <c:v>25</c:v>
                </c:pt>
                <c:pt idx="7" formatCode="#,##0_);\(#,##0\)">
                  <c:v>37.5</c:v>
                </c:pt>
                <c:pt idx="8" formatCode="#,##0_);\(#,##0\)">
                  <c:v>33.1</c:v>
                </c:pt>
                <c:pt idx="9" formatCode="#,##0_);\(#,##0\)">
                  <c:v>57</c:v>
                </c:pt>
                <c:pt idx="10" formatCode="#,##0_);\(#,##0\)">
                  <c:v>65</c:v>
                </c:pt>
                <c:pt idx="13" formatCode="#,##0_);\(#,##0\)">
                  <c:v>27</c:v>
                </c:pt>
                <c:pt idx="14" formatCode="#,##0_);\(#,##0\)">
                  <c:v>85</c:v>
                </c:pt>
                <c:pt idx="15" formatCode="#,##0_);\(#,##0\)">
                  <c:v>85</c:v>
                </c:pt>
                <c:pt idx="16" formatCode="#,##0_);\(#,##0\)">
                  <c:v>113.4</c:v>
                </c:pt>
                <c:pt idx="19" formatCode="#,##0_);\(#,##0\)">
                  <c:v>165.6</c:v>
                </c:pt>
                <c:pt idx="21" formatCode="#,##0_);\(#,##0\)">
                  <c:v>115.25</c:v>
                </c:pt>
                <c:pt idx="22" formatCode="#,##0_);\(#,##0\)">
                  <c:v>132.9</c:v>
                </c:pt>
                <c:pt idx="23" formatCode="#,##0_);\(#,##0\)">
                  <c:v>213.001</c:v>
                </c:pt>
                <c:pt idx="24" formatCode="#,##0_);\(#,##0\)">
                  <c:v>191.35</c:v>
                </c:pt>
                <c:pt idx="25" formatCode="#,##0_);\(#,##0\)">
                  <c:v>247.572</c:v>
                </c:pt>
                <c:pt idx="26" formatCode="#,##0_);\(#,##0\)">
                  <c:v>265.78399999999891</c:v>
                </c:pt>
                <c:pt idx="27" formatCode="#,##0_);\(#,##0\)">
                  <c:v>49.052100000000003</c:v>
                </c:pt>
                <c:pt idx="28" formatCode="#,##0_);\(#,##0\)">
                  <c:v>128.22472999999999</c:v>
                </c:pt>
                <c:pt idx="29" formatCode="#,##0_);\(#,##0\)">
                  <c:v>250.76906342000001</c:v>
                </c:pt>
                <c:pt idx="30" formatCode="#,##0_);\(#,##0\)">
                  <c:v>83.909000000000006</c:v>
                </c:pt>
                <c:pt idx="31" formatCode="#,##0_);\(#,##0\)">
                  <c:v>110.586</c:v>
                </c:pt>
                <c:pt idx="32" formatCode="#,##0_);\(#,##0\)">
                  <c:v>135.23140000000001</c:v>
                </c:pt>
                <c:pt idx="33" formatCode="#,##0_);\(#,##0\)">
                  <c:v>138.53889484999999</c:v>
                </c:pt>
                <c:pt idx="34" formatCode="#,##0_);\(#,##0\)">
                  <c:v>21.495799999999878</c:v>
                </c:pt>
                <c:pt idx="35" formatCode="#,##0_);\(#,##0\)">
                  <c:v>92.601500000000001</c:v>
                </c:pt>
                <c:pt idx="36" formatCode="#,##0_);\(#,##0\)">
                  <c:v>188.13314020000001</c:v>
                </c:pt>
                <c:pt idx="37" formatCode="#,##0_);\(#,##0\)">
                  <c:v>56.427610899999998</c:v>
                </c:pt>
                <c:pt idx="38" formatCode="#,##0_);\(#,##0\)">
                  <c:v>179.81387950000001</c:v>
                </c:pt>
                <c:pt idx="39" formatCode="#,##0_);\(#,##0\)">
                  <c:v>117.2372</c:v>
                </c:pt>
                <c:pt idx="40" formatCode="#,##0_);\(#,##0\)">
                  <c:v>321.32223599999992</c:v>
                </c:pt>
                <c:pt idx="41" formatCode="#,##0_);\(#,##0\)">
                  <c:v>159.13413499999999</c:v>
                </c:pt>
                <c:pt idx="42" formatCode="#,##0_);\(#,##0\)">
                  <c:v>150.52655999999999</c:v>
                </c:pt>
                <c:pt idx="43" formatCode="#,##0_);\(#,##0\)">
                  <c:v>432.59010119999982</c:v>
                </c:pt>
                <c:pt idx="44" formatCode="#,##0_);\(#,##0\)">
                  <c:v>348.89231999999879</c:v>
                </c:pt>
                <c:pt idx="45" formatCode="#,##0_);\(#,##0\)">
                  <c:v>238.793756</c:v>
                </c:pt>
                <c:pt idx="46" formatCode="#,##0_);\(#,##0\)">
                  <c:v>158.982</c:v>
                </c:pt>
                <c:pt idx="47" formatCode="#,##0_);\(#,##0\)">
                  <c:v>678.95999999999867</c:v>
                </c:pt>
                <c:pt idx="48" formatCode="#,##0_);\(#,##0\)">
                  <c:v>389.7</c:v>
                </c:pt>
              </c:numCache>
            </c:numRef>
          </c:val>
          <c:extLst>
            <c:ext xmlns:c16="http://schemas.microsoft.com/office/drawing/2014/chart" uri="{C3380CC4-5D6E-409C-BE32-E72D297353CC}">
              <c16:uniqueId val="{00000001-9B45-784B-8667-A9143F98D83E}"/>
            </c:ext>
          </c:extLst>
        </c:ser>
        <c:ser>
          <c:idx val="2"/>
          <c:order val="2"/>
          <c:tx>
            <c:strRef>
              <c:f>'[HNPSlendC-HNPStats (3).xls]Sheet1'!$D$3:$D$4</c:f>
              <c:strCache>
                <c:ptCount val="2"/>
                <c:pt idx="0">
                  <c:v>Region</c:v>
                </c:pt>
                <c:pt idx="1">
                  <c:v>Europe &amp; Central Asia</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cat>
            <c:numRef>
              <c:f>'[HNPSlendC-HNPStats (3).xls]Sheet1'!$A$5:$A$53</c:f>
              <c:numCache>
                <c:formatCode>General</c:formatCode>
                <c:ptCount val="49"/>
                <c:pt idx="0">
                  <c:v>1970</c:v>
                </c:pt>
                <c:pt idx="1">
                  <c:v>1971</c:v>
                </c:pt>
                <c:pt idx="2">
                  <c:v>1972</c:v>
                </c:pt>
                <c:pt idx="3">
                  <c:v>1973</c:v>
                </c:pt>
                <c:pt idx="4">
                  <c:v>1974</c:v>
                </c:pt>
                <c:pt idx="5">
                  <c:v>1975</c:v>
                </c:pt>
                <c:pt idx="6">
                  <c:v>1976</c:v>
                </c:pt>
                <c:pt idx="7">
                  <c:v>1977</c:v>
                </c:pt>
                <c:pt idx="8">
                  <c:v>1978</c:v>
                </c:pt>
                <c:pt idx="9">
                  <c:v>1979</c:v>
                </c:pt>
                <c:pt idx="10">
                  <c:v>1980</c:v>
                </c:pt>
                <c:pt idx="11">
                  <c:v>1981</c:v>
                </c:pt>
                <c:pt idx="12">
                  <c:v>1982</c:v>
                </c:pt>
                <c:pt idx="13">
                  <c:v>1983</c:v>
                </c:pt>
                <c:pt idx="14">
                  <c:v>1984</c:v>
                </c:pt>
                <c:pt idx="15">
                  <c:v>1985</c:v>
                </c:pt>
                <c:pt idx="16">
                  <c:v>1986</c:v>
                </c:pt>
                <c:pt idx="17">
                  <c:v>1987</c:v>
                </c:pt>
                <c:pt idx="18">
                  <c:v>1988</c:v>
                </c:pt>
                <c:pt idx="19">
                  <c:v>1989</c:v>
                </c:pt>
                <c:pt idx="20">
                  <c:v>1990</c:v>
                </c:pt>
                <c:pt idx="21">
                  <c:v>1991</c:v>
                </c:pt>
                <c:pt idx="22">
                  <c:v>1992</c:v>
                </c:pt>
                <c:pt idx="23">
                  <c:v>1993</c:v>
                </c:pt>
                <c:pt idx="24">
                  <c:v>1994</c:v>
                </c:pt>
                <c:pt idx="25">
                  <c:v>1995</c:v>
                </c:pt>
                <c:pt idx="26">
                  <c:v>1996</c:v>
                </c:pt>
                <c:pt idx="27">
                  <c:v>1997</c:v>
                </c:pt>
                <c:pt idx="28">
                  <c:v>1998</c:v>
                </c:pt>
                <c:pt idx="29">
                  <c:v>1999</c:v>
                </c:pt>
                <c:pt idx="30">
                  <c:v>2000</c:v>
                </c:pt>
                <c:pt idx="31">
                  <c:v>2001</c:v>
                </c:pt>
                <c:pt idx="32">
                  <c:v>2002</c:v>
                </c:pt>
                <c:pt idx="33">
                  <c:v>2003</c:v>
                </c:pt>
                <c:pt idx="34">
                  <c:v>2004</c:v>
                </c:pt>
                <c:pt idx="35">
                  <c:v>2005</c:v>
                </c:pt>
                <c:pt idx="36">
                  <c:v>2006</c:v>
                </c:pt>
                <c:pt idx="37">
                  <c:v>2007</c:v>
                </c:pt>
                <c:pt idx="38">
                  <c:v>2008</c:v>
                </c:pt>
                <c:pt idx="39">
                  <c:v>2009</c:v>
                </c:pt>
                <c:pt idx="40">
                  <c:v>2010</c:v>
                </c:pt>
                <c:pt idx="41">
                  <c:v>2011</c:v>
                </c:pt>
                <c:pt idx="42">
                  <c:v>2012</c:v>
                </c:pt>
                <c:pt idx="43">
                  <c:v>2013</c:v>
                </c:pt>
                <c:pt idx="44">
                  <c:v>2014</c:v>
                </c:pt>
                <c:pt idx="45">
                  <c:v>2015</c:v>
                </c:pt>
                <c:pt idx="46">
                  <c:v>2016</c:v>
                </c:pt>
                <c:pt idx="47">
                  <c:v>2017</c:v>
                </c:pt>
                <c:pt idx="48">
                  <c:v>2018</c:v>
                </c:pt>
              </c:numCache>
            </c:numRef>
          </c:cat>
          <c:val>
            <c:numRef>
              <c:f>'[HNPSlendC-HNPStats (3).xls]Sheet1'!$D$5:$D$53</c:f>
              <c:numCache>
                <c:formatCode>General</c:formatCode>
                <c:ptCount val="49"/>
                <c:pt idx="19" formatCode="#,##0_);\(#,##0\)">
                  <c:v>75</c:v>
                </c:pt>
                <c:pt idx="22" formatCode="#,##0_);\(#,##0\)">
                  <c:v>274</c:v>
                </c:pt>
                <c:pt idx="23" formatCode="#,##0_);\(#,##0\)">
                  <c:v>247.6</c:v>
                </c:pt>
                <c:pt idx="25" formatCode="#,##0_);\(#,##0\)">
                  <c:v>195.26300000000001</c:v>
                </c:pt>
                <c:pt idx="26" formatCode="#,##0_);\(#,##0\)">
                  <c:v>413.077</c:v>
                </c:pt>
                <c:pt idx="27" formatCode="#,##0_);\(#,##0\)">
                  <c:v>107.59310000000001</c:v>
                </c:pt>
                <c:pt idx="28" formatCode="#,##0_);\(#,##0\)">
                  <c:v>31.337250000000001</c:v>
                </c:pt>
                <c:pt idx="29" formatCode="#,##0_);\(#,##0\)">
                  <c:v>142.93713159999999</c:v>
                </c:pt>
                <c:pt idx="30" formatCode="#,##0_);\(#,##0\)">
                  <c:v>151.94110000000001</c:v>
                </c:pt>
                <c:pt idx="31" formatCode="#,##0_);\(#,##0\)">
                  <c:v>30.2</c:v>
                </c:pt>
                <c:pt idx="32" formatCode="#,##0_);\(#,##0\)">
                  <c:v>56.663000000000011</c:v>
                </c:pt>
                <c:pt idx="33" formatCode="#,##0_);\(#,##0\)">
                  <c:v>288.05500000000001</c:v>
                </c:pt>
                <c:pt idx="34" formatCode="#,##0_);\(#,##0\)">
                  <c:v>141.97155599999999</c:v>
                </c:pt>
                <c:pt idx="35" formatCode="#,##0_);\(#,##0\)">
                  <c:v>248.89949999999999</c:v>
                </c:pt>
                <c:pt idx="36" formatCode="#,##0_);\(#,##0\)">
                  <c:v>191.54365000000001</c:v>
                </c:pt>
                <c:pt idx="37" formatCode="#,##0_);\(#,##0\)">
                  <c:v>136.2151375</c:v>
                </c:pt>
                <c:pt idx="38" formatCode="#,##0_);\(#,##0\)">
                  <c:v>153.428</c:v>
                </c:pt>
                <c:pt idx="39" formatCode="#,##0_);\(#,##0\)">
                  <c:v>522.61779999999999</c:v>
                </c:pt>
                <c:pt idx="40" formatCode="#,##0_);\(#,##0\)">
                  <c:v>554.24549999999999</c:v>
                </c:pt>
                <c:pt idx="41" formatCode="#,##0_);\(#,##0\)">
                  <c:v>342.61040000000008</c:v>
                </c:pt>
                <c:pt idx="42" formatCode="#,##0_);\(#,##0\)">
                  <c:v>784.38440000000003</c:v>
                </c:pt>
                <c:pt idx="43" formatCode="#,##0_);\(#,##0\)">
                  <c:v>239.58500000000001</c:v>
                </c:pt>
                <c:pt idx="44" formatCode="#,##0_);\(#,##0\)">
                  <c:v>574.63931600000001</c:v>
                </c:pt>
                <c:pt idx="45" formatCode="#,##0_);\(#,##0\)">
                  <c:v>277.09500000000003</c:v>
                </c:pt>
                <c:pt idx="46" formatCode="#,##0_);\(#,##0\)">
                  <c:v>221.9</c:v>
                </c:pt>
                <c:pt idx="47" formatCode="#,##0_);\(#,##0\)">
                  <c:v>203.65398200000001</c:v>
                </c:pt>
                <c:pt idx="48" formatCode="#,##0_);\(#,##0\)">
                  <c:v>143.7953</c:v>
                </c:pt>
              </c:numCache>
            </c:numRef>
          </c:val>
          <c:extLst>
            <c:ext xmlns:c16="http://schemas.microsoft.com/office/drawing/2014/chart" uri="{C3380CC4-5D6E-409C-BE32-E72D297353CC}">
              <c16:uniqueId val="{00000002-9B45-784B-8667-A9143F98D83E}"/>
            </c:ext>
          </c:extLst>
        </c:ser>
        <c:ser>
          <c:idx val="3"/>
          <c:order val="3"/>
          <c:tx>
            <c:strRef>
              <c:f>'[HNPSlendC-HNPStats (3).xls]Sheet1'!$E$3:$E$4</c:f>
              <c:strCache>
                <c:ptCount val="2"/>
                <c:pt idx="0">
                  <c:v>Region</c:v>
                </c:pt>
                <c:pt idx="1">
                  <c:v>Latin America &amp; the Caribbean</c:v>
                </c:pt>
              </c:strCache>
            </c:strRef>
          </c:tx>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cat>
            <c:numRef>
              <c:f>'[HNPSlendC-HNPStats (3).xls]Sheet1'!$A$5:$A$53</c:f>
              <c:numCache>
                <c:formatCode>General</c:formatCode>
                <c:ptCount val="49"/>
                <c:pt idx="0">
                  <c:v>1970</c:v>
                </c:pt>
                <c:pt idx="1">
                  <c:v>1971</c:v>
                </c:pt>
                <c:pt idx="2">
                  <c:v>1972</c:v>
                </c:pt>
                <c:pt idx="3">
                  <c:v>1973</c:v>
                </c:pt>
                <c:pt idx="4">
                  <c:v>1974</c:v>
                </c:pt>
                <c:pt idx="5">
                  <c:v>1975</c:v>
                </c:pt>
                <c:pt idx="6">
                  <c:v>1976</c:v>
                </c:pt>
                <c:pt idx="7">
                  <c:v>1977</c:v>
                </c:pt>
                <c:pt idx="8">
                  <c:v>1978</c:v>
                </c:pt>
                <c:pt idx="9">
                  <c:v>1979</c:v>
                </c:pt>
                <c:pt idx="10">
                  <c:v>1980</c:v>
                </c:pt>
                <c:pt idx="11">
                  <c:v>1981</c:v>
                </c:pt>
                <c:pt idx="12">
                  <c:v>1982</c:v>
                </c:pt>
                <c:pt idx="13">
                  <c:v>1983</c:v>
                </c:pt>
                <c:pt idx="14">
                  <c:v>1984</c:v>
                </c:pt>
                <c:pt idx="15">
                  <c:v>1985</c:v>
                </c:pt>
                <c:pt idx="16">
                  <c:v>1986</c:v>
                </c:pt>
                <c:pt idx="17">
                  <c:v>1987</c:v>
                </c:pt>
                <c:pt idx="18">
                  <c:v>1988</c:v>
                </c:pt>
                <c:pt idx="19">
                  <c:v>1989</c:v>
                </c:pt>
                <c:pt idx="20">
                  <c:v>1990</c:v>
                </c:pt>
                <c:pt idx="21">
                  <c:v>1991</c:v>
                </c:pt>
                <c:pt idx="22">
                  <c:v>1992</c:v>
                </c:pt>
                <c:pt idx="23">
                  <c:v>1993</c:v>
                </c:pt>
                <c:pt idx="24">
                  <c:v>1994</c:v>
                </c:pt>
                <c:pt idx="25">
                  <c:v>1995</c:v>
                </c:pt>
                <c:pt idx="26">
                  <c:v>1996</c:v>
                </c:pt>
                <c:pt idx="27">
                  <c:v>1997</c:v>
                </c:pt>
                <c:pt idx="28">
                  <c:v>1998</c:v>
                </c:pt>
                <c:pt idx="29">
                  <c:v>1999</c:v>
                </c:pt>
                <c:pt idx="30">
                  <c:v>2000</c:v>
                </c:pt>
                <c:pt idx="31">
                  <c:v>2001</c:v>
                </c:pt>
                <c:pt idx="32">
                  <c:v>2002</c:v>
                </c:pt>
                <c:pt idx="33">
                  <c:v>2003</c:v>
                </c:pt>
                <c:pt idx="34">
                  <c:v>2004</c:v>
                </c:pt>
                <c:pt idx="35">
                  <c:v>2005</c:v>
                </c:pt>
                <c:pt idx="36">
                  <c:v>2006</c:v>
                </c:pt>
                <c:pt idx="37">
                  <c:v>2007</c:v>
                </c:pt>
                <c:pt idx="38">
                  <c:v>2008</c:v>
                </c:pt>
                <c:pt idx="39">
                  <c:v>2009</c:v>
                </c:pt>
                <c:pt idx="40">
                  <c:v>2010</c:v>
                </c:pt>
                <c:pt idx="41">
                  <c:v>2011</c:v>
                </c:pt>
                <c:pt idx="42">
                  <c:v>2012</c:v>
                </c:pt>
                <c:pt idx="43">
                  <c:v>2013</c:v>
                </c:pt>
                <c:pt idx="44">
                  <c:v>2014</c:v>
                </c:pt>
                <c:pt idx="45">
                  <c:v>2015</c:v>
                </c:pt>
                <c:pt idx="46">
                  <c:v>2016</c:v>
                </c:pt>
                <c:pt idx="47">
                  <c:v>2017</c:v>
                </c:pt>
                <c:pt idx="48">
                  <c:v>2018</c:v>
                </c:pt>
              </c:numCache>
            </c:numRef>
          </c:cat>
          <c:val>
            <c:numRef>
              <c:f>'[HNPSlendC-HNPStats (3).xls]Sheet1'!$E$5:$E$53</c:f>
              <c:numCache>
                <c:formatCode>#,##0_);\(#,##0\)</c:formatCode>
                <c:ptCount val="49"/>
                <c:pt idx="0">
                  <c:v>2</c:v>
                </c:pt>
                <c:pt idx="1">
                  <c:v>3</c:v>
                </c:pt>
                <c:pt idx="6">
                  <c:v>25.8</c:v>
                </c:pt>
                <c:pt idx="7">
                  <c:v>5</c:v>
                </c:pt>
                <c:pt idx="8">
                  <c:v>25</c:v>
                </c:pt>
                <c:pt idx="12">
                  <c:v>13</c:v>
                </c:pt>
                <c:pt idx="13">
                  <c:v>33.5</c:v>
                </c:pt>
                <c:pt idx="14">
                  <c:v>57.5</c:v>
                </c:pt>
                <c:pt idx="16">
                  <c:v>96</c:v>
                </c:pt>
                <c:pt idx="17">
                  <c:v>10</c:v>
                </c:pt>
                <c:pt idx="18">
                  <c:v>109</c:v>
                </c:pt>
                <c:pt idx="19">
                  <c:v>99</c:v>
                </c:pt>
                <c:pt idx="20">
                  <c:v>307.834</c:v>
                </c:pt>
                <c:pt idx="21">
                  <c:v>328.02</c:v>
                </c:pt>
                <c:pt idx="22">
                  <c:v>54.805999999999997</c:v>
                </c:pt>
                <c:pt idx="23">
                  <c:v>240.75</c:v>
                </c:pt>
                <c:pt idx="24">
                  <c:v>290.75</c:v>
                </c:pt>
                <c:pt idx="25">
                  <c:v>321.31</c:v>
                </c:pt>
                <c:pt idx="26">
                  <c:v>1028.7460000000001</c:v>
                </c:pt>
                <c:pt idx="27">
                  <c:v>162.708</c:v>
                </c:pt>
                <c:pt idx="28">
                  <c:v>1001.854</c:v>
                </c:pt>
                <c:pt idx="29">
                  <c:v>429.61200000000002</c:v>
                </c:pt>
                <c:pt idx="30">
                  <c:v>185.14519999999999</c:v>
                </c:pt>
                <c:pt idx="31">
                  <c:v>580.55349999999999</c:v>
                </c:pt>
                <c:pt idx="32">
                  <c:v>482.86919999999992</c:v>
                </c:pt>
                <c:pt idx="33">
                  <c:v>554.86599999999828</c:v>
                </c:pt>
                <c:pt idx="34">
                  <c:v>1016.0635</c:v>
                </c:pt>
                <c:pt idx="35">
                  <c:v>204.7022</c:v>
                </c:pt>
                <c:pt idx="36">
                  <c:v>220.488</c:v>
                </c:pt>
                <c:pt idx="37">
                  <c:v>582.6</c:v>
                </c:pt>
                <c:pt idx="38">
                  <c:v>253.3159675</c:v>
                </c:pt>
                <c:pt idx="39">
                  <c:v>926.87430500000005</c:v>
                </c:pt>
                <c:pt idx="40">
                  <c:v>2475.0195440000002</c:v>
                </c:pt>
                <c:pt idx="41">
                  <c:v>1403.2518147999999</c:v>
                </c:pt>
                <c:pt idx="42">
                  <c:v>258.91687899999891</c:v>
                </c:pt>
                <c:pt idx="43">
                  <c:v>494.42200000000003</c:v>
                </c:pt>
                <c:pt idx="44">
                  <c:v>15.76</c:v>
                </c:pt>
                <c:pt idx="45">
                  <c:v>536.44018699999936</c:v>
                </c:pt>
                <c:pt idx="46">
                  <c:v>740.7</c:v>
                </c:pt>
                <c:pt idx="47">
                  <c:v>217</c:v>
                </c:pt>
                <c:pt idx="48">
                  <c:v>761.29</c:v>
                </c:pt>
              </c:numCache>
            </c:numRef>
          </c:val>
          <c:extLst>
            <c:ext xmlns:c16="http://schemas.microsoft.com/office/drawing/2014/chart" uri="{C3380CC4-5D6E-409C-BE32-E72D297353CC}">
              <c16:uniqueId val="{00000003-9B45-784B-8667-A9143F98D83E}"/>
            </c:ext>
          </c:extLst>
        </c:ser>
        <c:ser>
          <c:idx val="4"/>
          <c:order val="4"/>
          <c:tx>
            <c:strRef>
              <c:f>'[HNPSlendC-HNPStats (3).xls]Sheet1'!$F$3:$F$4</c:f>
              <c:strCache>
                <c:ptCount val="2"/>
                <c:pt idx="0">
                  <c:v>Region</c:v>
                </c:pt>
                <c:pt idx="1">
                  <c:v>Middle East &amp; North Africa</c:v>
                </c:pt>
              </c:strCache>
            </c:strRef>
          </c:tx>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cat>
            <c:numRef>
              <c:f>'[HNPSlendC-HNPStats (3).xls]Sheet1'!$A$5:$A$53</c:f>
              <c:numCache>
                <c:formatCode>General</c:formatCode>
                <c:ptCount val="49"/>
                <c:pt idx="0">
                  <c:v>1970</c:v>
                </c:pt>
                <c:pt idx="1">
                  <c:v>1971</c:v>
                </c:pt>
                <c:pt idx="2">
                  <c:v>1972</c:v>
                </c:pt>
                <c:pt idx="3">
                  <c:v>1973</c:v>
                </c:pt>
                <c:pt idx="4">
                  <c:v>1974</c:v>
                </c:pt>
                <c:pt idx="5">
                  <c:v>1975</c:v>
                </c:pt>
                <c:pt idx="6">
                  <c:v>1976</c:v>
                </c:pt>
                <c:pt idx="7">
                  <c:v>1977</c:v>
                </c:pt>
                <c:pt idx="8">
                  <c:v>1978</c:v>
                </c:pt>
                <c:pt idx="9">
                  <c:v>1979</c:v>
                </c:pt>
                <c:pt idx="10">
                  <c:v>1980</c:v>
                </c:pt>
                <c:pt idx="11">
                  <c:v>1981</c:v>
                </c:pt>
                <c:pt idx="12">
                  <c:v>1982</c:v>
                </c:pt>
                <c:pt idx="13">
                  <c:v>1983</c:v>
                </c:pt>
                <c:pt idx="14">
                  <c:v>1984</c:v>
                </c:pt>
                <c:pt idx="15">
                  <c:v>1985</c:v>
                </c:pt>
                <c:pt idx="16">
                  <c:v>1986</c:v>
                </c:pt>
                <c:pt idx="17">
                  <c:v>1987</c:v>
                </c:pt>
                <c:pt idx="18">
                  <c:v>1988</c:v>
                </c:pt>
                <c:pt idx="19">
                  <c:v>1989</c:v>
                </c:pt>
                <c:pt idx="20">
                  <c:v>1990</c:v>
                </c:pt>
                <c:pt idx="21">
                  <c:v>1991</c:v>
                </c:pt>
                <c:pt idx="22">
                  <c:v>1992</c:v>
                </c:pt>
                <c:pt idx="23">
                  <c:v>1993</c:v>
                </c:pt>
                <c:pt idx="24">
                  <c:v>1994</c:v>
                </c:pt>
                <c:pt idx="25">
                  <c:v>1995</c:v>
                </c:pt>
                <c:pt idx="26">
                  <c:v>1996</c:v>
                </c:pt>
                <c:pt idx="27">
                  <c:v>1997</c:v>
                </c:pt>
                <c:pt idx="28">
                  <c:v>1998</c:v>
                </c:pt>
                <c:pt idx="29">
                  <c:v>1999</c:v>
                </c:pt>
                <c:pt idx="30">
                  <c:v>2000</c:v>
                </c:pt>
                <c:pt idx="31">
                  <c:v>2001</c:v>
                </c:pt>
                <c:pt idx="32">
                  <c:v>2002</c:v>
                </c:pt>
                <c:pt idx="33">
                  <c:v>2003</c:v>
                </c:pt>
                <c:pt idx="34">
                  <c:v>2004</c:v>
                </c:pt>
                <c:pt idx="35">
                  <c:v>2005</c:v>
                </c:pt>
                <c:pt idx="36">
                  <c:v>2006</c:v>
                </c:pt>
                <c:pt idx="37">
                  <c:v>2007</c:v>
                </c:pt>
                <c:pt idx="38">
                  <c:v>2008</c:v>
                </c:pt>
                <c:pt idx="39">
                  <c:v>2009</c:v>
                </c:pt>
                <c:pt idx="40">
                  <c:v>2010</c:v>
                </c:pt>
                <c:pt idx="41">
                  <c:v>2011</c:v>
                </c:pt>
                <c:pt idx="42">
                  <c:v>2012</c:v>
                </c:pt>
                <c:pt idx="43">
                  <c:v>2013</c:v>
                </c:pt>
                <c:pt idx="44">
                  <c:v>2014</c:v>
                </c:pt>
                <c:pt idx="45">
                  <c:v>2015</c:v>
                </c:pt>
                <c:pt idx="46">
                  <c:v>2016</c:v>
                </c:pt>
                <c:pt idx="47">
                  <c:v>2017</c:v>
                </c:pt>
                <c:pt idx="48">
                  <c:v>2018</c:v>
                </c:pt>
              </c:numCache>
            </c:numRef>
          </c:cat>
          <c:val>
            <c:numRef>
              <c:f>'[HNPSlendC-HNPStats (3).xls]Sheet1'!$F$5:$F$53</c:f>
              <c:numCache>
                <c:formatCode>#,##0_);\(#,##0\)</c:formatCode>
                <c:ptCount val="49"/>
                <c:pt idx="1">
                  <c:v>4.8</c:v>
                </c:pt>
                <c:pt idx="3">
                  <c:v>16.5</c:v>
                </c:pt>
                <c:pt idx="4">
                  <c:v>5</c:v>
                </c:pt>
                <c:pt idx="9">
                  <c:v>25</c:v>
                </c:pt>
                <c:pt idx="11">
                  <c:v>12.5</c:v>
                </c:pt>
                <c:pt idx="13">
                  <c:v>18.100000000000001</c:v>
                </c:pt>
                <c:pt idx="15">
                  <c:v>41.9</c:v>
                </c:pt>
                <c:pt idx="17">
                  <c:v>13.3</c:v>
                </c:pt>
                <c:pt idx="19">
                  <c:v>4.5</c:v>
                </c:pt>
                <c:pt idx="20">
                  <c:v>120</c:v>
                </c:pt>
                <c:pt idx="21">
                  <c:v>65.760000000000005</c:v>
                </c:pt>
                <c:pt idx="22">
                  <c:v>50.784799999999997</c:v>
                </c:pt>
                <c:pt idx="23">
                  <c:v>182.25399999999999</c:v>
                </c:pt>
                <c:pt idx="24">
                  <c:v>3.8</c:v>
                </c:pt>
                <c:pt idx="25">
                  <c:v>39.087000000000003</c:v>
                </c:pt>
                <c:pt idx="26">
                  <c:v>89.851999999999975</c:v>
                </c:pt>
                <c:pt idx="27">
                  <c:v>9.8000000000000007</c:v>
                </c:pt>
                <c:pt idx="28">
                  <c:v>145.69999999999999</c:v>
                </c:pt>
                <c:pt idx="29">
                  <c:v>104.38800000000001</c:v>
                </c:pt>
                <c:pt idx="30">
                  <c:v>108.08199999999999</c:v>
                </c:pt>
                <c:pt idx="31">
                  <c:v>7.6703000000000001</c:v>
                </c:pt>
                <c:pt idx="32">
                  <c:v>52.351299999999974</c:v>
                </c:pt>
                <c:pt idx="33">
                  <c:v>29.1</c:v>
                </c:pt>
                <c:pt idx="34">
                  <c:v>13.2</c:v>
                </c:pt>
                <c:pt idx="35">
                  <c:v>28.27</c:v>
                </c:pt>
                <c:pt idx="36">
                  <c:v>8.6</c:v>
                </c:pt>
                <c:pt idx="37">
                  <c:v>32.626386150000002</c:v>
                </c:pt>
                <c:pt idx="38">
                  <c:v>23.21</c:v>
                </c:pt>
                <c:pt idx="39">
                  <c:v>11.146428</c:v>
                </c:pt>
                <c:pt idx="40">
                  <c:v>107.242</c:v>
                </c:pt>
                <c:pt idx="41">
                  <c:v>38.494</c:v>
                </c:pt>
                <c:pt idx="42">
                  <c:v>41.55</c:v>
                </c:pt>
                <c:pt idx="43">
                  <c:v>33.246000000000002</c:v>
                </c:pt>
                <c:pt idx="44">
                  <c:v>103.3</c:v>
                </c:pt>
                <c:pt idx="45">
                  <c:v>135.74</c:v>
                </c:pt>
                <c:pt idx="46">
                  <c:v>107</c:v>
                </c:pt>
                <c:pt idx="47">
                  <c:v>414.9</c:v>
                </c:pt>
                <c:pt idx="48">
                  <c:v>638.20000000000005</c:v>
                </c:pt>
              </c:numCache>
            </c:numRef>
          </c:val>
          <c:extLst>
            <c:ext xmlns:c16="http://schemas.microsoft.com/office/drawing/2014/chart" uri="{C3380CC4-5D6E-409C-BE32-E72D297353CC}">
              <c16:uniqueId val="{00000004-9B45-784B-8667-A9143F98D83E}"/>
            </c:ext>
          </c:extLst>
        </c:ser>
        <c:ser>
          <c:idx val="5"/>
          <c:order val="5"/>
          <c:tx>
            <c:strRef>
              <c:f>'[HNPSlendC-HNPStats (3).xls]Sheet1'!$G$3:$G$4</c:f>
              <c:strCache>
                <c:ptCount val="2"/>
                <c:pt idx="0">
                  <c:v>Region</c:v>
                </c:pt>
                <c:pt idx="1">
                  <c:v>South Asia</c:v>
                </c:pt>
              </c:strCache>
            </c:strRef>
          </c:tx>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cat>
            <c:numRef>
              <c:f>'[HNPSlendC-HNPStats (3).xls]Sheet1'!$A$5:$A$53</c:f>
              <c:numCache>
                <c:formatCode>General</c:formatCode>
                <c:ptCount val="49"/>
                <c:pt idx="0">
                  <c:v>1970</c:v>
                </c:pt>
                <c:pt idx="1">
                  <c:v>1971</c:v>
                </c:pt>
                <c:pt idx="2">
                  <c:v>1972</c:v>
                </c:pt>
                <c:pt idx="3">
                  <c:v>1973</c:v>
                </c:pt>
                <c:pt idx="4">
                  <c:v>1974</c:v>
                </c:pt>
                <c:pt idx="5">
                  <c:v>1975</c:v>
                </c:pt>
                <c:pt idx="6">
                  <c:v>1976</c:v>
                </c:pt>
                <c:pt idx="7">
                  <c:v>1977</c:v>
                </c:pt>
                <c:pt idx="8">
                  <c:v>1978</c:v>
                </c:pt>
                <c:pt idx="9">
                  <c:v>1979</c:v>
                </c:pt>
                <c:pt idx="10">
                  <c:v>1980</c:v>
                </c:pt>
                <c:pt idx="11">
                  <c:v>1981</c:v>
                </c:pt>
                <c:pt idx="12">
                  <c:v>1982</c:v>
                </c:pt>
                <c:pt idx="13">
                  <c:v>1983</c:v>
                </c:pt>
                <c:pt idx="14">
                  <c:v>1984</c:v>
                </c:pt>
                <c:pt idx="15">
                  <c:v>1985</c:v>
                </c:pt>
                <c:pt idx="16">
                  <c:v>1986</c:v>
                </c:pt>
                <c:pt idx="17">
                  <c:v>1987</c:v>
                </c:pt>
                <c:pt idx="18">
                  <c:v>1988</c:v>
                </c:pt>
                <c:pt idx="19">
                  <c:v>1989</c:v>
                </c:pt>
                <c:pt idx="20">
                  <c:v>1990</c:v>
                </c:pt>
                <c:pt idx="21">
                  <c:v>1991</c:v>
                </c:pt>
                <c:pt idx="22">
                  <c:v>1992</c:v>
                </c:pt>
                <c:pt idx="23">
                  <c:v>1993</c:v>
                </c:pt>
                <c:pt idx="24">
                  <c:v>1994</c:v>
                </c:pt>
                <c:pt idx="25">
                  <c:v>1995</c:v>
                </c:pt>
                <c:pt idx="26">
                  <c:v>1996</c:v>
                </c:pt>
                <c:pt idx="27">
                  <c:v>1997</c:v>
                </c:pt>
                <c:pt idx="28">
                  <c:v>1998</c:v>
                </c:pt>
                <c:pt idx="29">
                  <c:v>1999</c:v>
                </c:pt>
                <c:pt idx="30">
                  <c:v>2000</c:v>
                </c:pt>
                <c:pt idx="31">
                  <c:v>2001</c:v>
                </c:pt>
                <c:pt idx="32">
                  <c:v>2002</c:v>
                </c:pt>
                <c:pt idx="33">
                  <c:v>2003</c:v>
                </c:pt>
                <c:pt idx="34">
                  <c:v>2004</c:v>
                </c:pt>
                <c:pt idx="35">
                  <c:v>2005</c:v>
                </c:pt>
                <c:pt idx="36">
                  <c:v>2006</c:v>
                </c:pt>
                <c:pt idx="37">
                  <c:v>2007</c:v>
                </c:pt>
                <c:pt idx="38">
                  <c:v>2008</c:v>
                </c:pt>
                <c:pt idx="39">
                  <c:v>2009</c:v>
                </c:pt>
                <c:pt idx="40">
                  <c:v>2010</c:v>
                </c:pt>
                <c:pt idx="41">
                  <c:v>2011</c:v>
                </c:pt>
                <c:pt idx="42">
                  <c:v>2012</c:v>
                </c:pt>
                <c:pt idx="43">
                  <c:v>2013</c:v>
                </c:pt>
                <c:pt idx="44">
                  <c:v>2014</c:v>
                </c:pt>
                <c:pt idx="45">
                  <c:v>2015</c:v>
                </c:pt>
                <c:pt idx="46">
                  <c:v>2016</c:v>
                </c:pt>
                <c:pt idx="47">
                  <c:v>2017</c:v>
                </c:pt>
                <c:pt idx="48">
                  <c:v>2018</c:v>
                </c:pt>
              </c:numCache>
            </c:numRef>
          </c:cat>
          <c:val>
            <c:numRef>
              <c:f>'[HNPSlendC-HNPStats (3).xls]Sheet1'!$G$5:$G$53</c:f>
              <c:numCache>
                <c:formatCode>General</c:formatCode>
                <c:ptCount val="49"/>
                <c:pt idx="5" formatCode="#,##0_);\(#,##0\)">
                  <c:v>15</c:v>
                </c:pt>
                <c:pt idx="9" formatCode="#,##0_);\(#,##0\)">
                  <c:v>32</c:v>
                </c:pt>
                <c:pt idx="10" formatCode="#,##0_);\(#,##0\)">
                  <c:v>78</c:v>
                </c:pt>
                <c:pt idx="13" formatCode="#,##0_);\(#,##0\)">
                  <c:v>18</c:v>
                </c:pt>
                <c:pt idx="14" formatCode="#,##0_);\(#,##0\)">
                  <c:v>70</c:v>
                </c:pt>
                <c:pt idx="16" formatCode="#,##0_);\(#,##0\)">
                  <c:v>129</c:v>
                </c:pt>
                <c:pt idx="18" formatCode="#,##0_);\(#,##0\)">
                  <c:v>104.52</c:v>
                </c:pt>
                <c:pt idx="19" formatCode="#,##0_);\(#,##0\)">
                  <c:v>124.6</c:v>
                </c:pt>
                <c:pt idx="20" formatCode="#,##0_);\(#,##0\)">
                  <c:v>182.83</c:v>
                </c:pt>
                <c:pt idx="21" formatCode="#,##0_);\(#,##0\)">
                  <c:v>325.59399999999891</c:v>
                </c:pt>
                <c:pt idx="22" formatCode="#,##0_);\(#,##0\)">
                  <c:v>364.86</c:v>
                </c:pt>
                <c:pt idx="23" formatCode="#,##0_);\(#,##0\)">
                  <c:v>473.33499999999992</c:v>
                </c:pt>
                <c:pt idx="24" formatCode="#,##0_);\(#,##0\)">
                  <c:v>347.51400000000001</c:v>
                </c:pt>
                <c:pt idx="25" formatCode="#,##0_);\(#,##0\)">
                  <c:v>231.68299999999999</c:v>
                </c:pt>
                <c:pt idx="26" formatCode="#,##0_);\(#,##0\)">
                  <c:v>357.86500000000001</c:v>
                </c:pt>
                <c:pt idx="27" formatCode="#,##0_);\(#,##0\)">
                  <c:v>532.06499999999937</c:v>
                </c:pt>
                <c:pt idx="28" formatCode="#,##0_);\(#,##0\)">
                  <c:v>762.89199999999937</c:v>
                </c:pt>
                <c:pt idx="29" formatCode="#,##0_);\(#,##0\)">
                  <c:v>313.12</c:v>
                </c:pt>
                <c:pt idx="30" formatCode="#,##0_);\(#,##0\)">
                  <c:v>308.26600000000002</c:v>
                </c:pt>
                <c:pt idx="31" formatCode="#,##0_);\(#,##0\)">
                  <c:v>121.59050000000001</c:v>
                </c:pt>
                <c:pt idx="32" formatCode="#,##0_);\(#,##0\)">
                  <c:v>0</c:v>
                </c:pt>
                <c:pt idx="33" formatCode="#,##0_);\(#,##0\)">
                  <c:v>203.08949999999999</c:v>
                </c:pt>
                <c:pt idx="34" formatCode="#,##0_);\(#,##0\)">
                  <c:v>206.88499999999999</c:v>
                </c:pt>
                <c:pt idx="35" formatCode="#,##0_);\(#,##0\)">
                  <c:v>324.92200000000003</c:v>
                </c:pt>
                <c:pt idx="36" formatCode="#,##0_);\(#,##0\)">
                  <c:v>126.605</c:v>
                </c:pt>
                <c:pt idx="37" formatCode="#,##0_);\(#,##0\)">
                  <c:v>800.61659999999938</c:v>
                </c:pt>
                <c:pt idx="38" formatCode="#,##0_);\(#,##0\)">
                  <c:v>78.212823999999998</c:v>
                </c:pt>
                <c:pt idx="39" formatCode="#,##0_);\(#,##0\)">
                  <c:v>649.67999999999995</c:v>
                </c:pt>
                <c:pt idx="40" formatCode="#,##0_);\(#,##0\)">
                  <c:v>330.44815999999878</c:v>
                </c:pt>
                <c:pt idx="41" formatCode="#,##0_);\(#,##0\)">
                  <c:v>543.62</c:v>
                </c:pt>
                <c:pt idx="42" formatCode="#,##0_);\(#,##0\)">
                  <c:v>185.45</c:v>
                </c:pt>
                <c:pt idx="43" formatCode="#,##0_);\(#,##0\)">
                  <c:v>785.31199999999865</c:v>
                </c:pt>
                <c:pt idx="44" formatCode="#,##0_);\(#,##0\)">
                  <c:v>102.27500000000001</c:v>
                </c:pt>
                <c:pt idx="45" formatCode="#,##0_);\(#,##0\)">
                  <c:v>333.4161999999987</c:v>
                </c:pt>
                <c:pt idx="46" formatCode="#,##0_);\(#,##0\)">
                  <c:v>240.25</c:v>
                </c:pt>
                <c:pt idx="47" formatCode="#,##0_);\(#,##0\)">
                  <c:v>329.1275</c:v>
                </c:pt>
                <c:pt idx="48" formatCode="#,##0_);\(#,##0\)">
                  <c:v>1210.7048</c:v>
                </c:pt>
              </c:numCache>
            </c:numRef>
          </c:val>
          <c:extLst>
            <c:ext xmlns:c16="http://schemas.microsoft.com/office/drawing/2014/chart" uri="{C3380CC4-5D6E-409C-BE32-E72D297353CC}">
              <c16:uniqueId val="{00000005-9B45-784B-8667-A9143F98D83E}"/>
            </c:ext>
          </c:extLst>
        </c:ser>
        <c:ser>
          <c:idx val="6"/>
          <c:order val="6"/>
          <c:tx>
            <c:strRef>
              <c:f>'[HNPSlendC-HNPStats (3).xls]Sheet1'!$H$3:$H$4</c:f>
              <c:strCache>
                <c:ptCount val="2"/>
                <c:pt idx="0">
                  <c:v>Region</c:v>
                </c:pt>
                <c:pt idx="1">
                  <c:v>Other/ Global</c:v>
                </c:pt>
              </c:strCache>
            </c:strRef>
          </c:tx>
          <c:spPr>
            <a:gradFill rotWithShape="1">
              <a:gsLst>
                <a:gs pos="0">
                  <a:schemeClr val="accent1">
                    <a:lumMod val="60000"/>
                    <a:lumMod val="110000"/>
                    <a:satMod val="105000"/>
                    <a:tint val="67000"/>
                  </a:schemeClr>
                </a:gs>
                <a:gs pos="50000">
                  <a:schemeClr val="accent1">
                    <a:lumMod val="60000"/>
                    <a:lumMod val="105000"/>
                    <a:satMod val="103000"/>
                    <a:tint val="73000"/>
                  </a:schemeClr>
                </a:gs>
                <a:gs pos="100000">
                  <a:schemeClr val="accent1">
                    <a:lumMod val="60000"/>
                    <a:lumMod val="105000"/>
                    <a:satMod val="109000"/>
                    <a:tint val="81000"/>
                  </a:schemeClr>
                </a:gs>
              </a:gsLst>
              <a:lin ang="5400000" scaled="0"/>
            </a:gradFill>
            <a:ln w="9525" cap="flat" cmpd="sng" algn="ctr">
              <a:solidFill>
                <a:schemeClr val="accent1">
                  <a:lumMod val="60000"/>
                  <a:shade val="95000"/>
                </a:schemeClr>
              </a:solidFill>
              <a:round/>
            </a:ln>
            <a:effectLst/>
          </c:spPr>
          <c:cat>
            <c:numRef>
              <c:f>'[HNPSlendC-HNPStats (3).xls]Sheet1'!$A$5:$A$53</c:f>
              <c:numCache>
                <c:formatCode>General</c:formatCode>
                <c:ptCount val="49"/>
                <c:pt idx="0">
                  <c:v>1970</c:v>
                </c:pt>
                <c:pt idx="1">
                  <c:v>1971</c:v>
                </c:pt>
                <c:pt idx="2">
                  <c:v>1972</c:v>
                </c:pt>
                <c:pt idx="3">
                  <c:v>1973</c:v>
                </c:pt>
                <c:pt idx="4">
                  <c:v>1974</c:v>
                </c:pt>
                <c:pt idx="5">
                  <c:v>1975</c:v>
                </c:pt>
                <c:pt idx="6">
                  <c:v>1976</c:v>
                </c:pt>
                <c:pt idx="7">
                  <c:v>1977</c:v>
                </c:pt>
                <c:pt idx="8">
                  <c:v>1978</c:v>
                </c:pt>
                <c:pt idx="9">
                  <c:v>1979</c:v>
                </c:pt>
                <c:pt idx="10">
                  <c:v>1980</c:v>
                </c:pt>
                <c:pt idx="11">
                  <c:v>1981</c:v>
                </c:pt>
                <c:pt idx="12">
                  <c:v>1982</c:v>
                </c:pt>
                <c:pt idx="13">
                  <c:v>1983</c:v>
                </c:pt>
                <c:pt idx="14">
                  <c:v>1984</c:v>
                </c:pt>
                <c:pt idx="15">
                  <c:v>1985</c:v>
                </c:pt>
                <c:pt idx="16">
                  <c:v>1986</c:v>
                </c:pt>
                <c:pt idx="17">
                  <c:v>1987</c:v>
                </c:pt>
                <c:pt idx="18">
                  <c:v>1988</c:v>
                </c:pt>
                <c:pt idx="19">
                  <c:v>1989</c:v>
                </c:pt>
                <c:pt idx="20">
                  <c:v>1990</c:v>
                </c:pt>
                <c:pt idx="21">
                  <c:v>1991</c:v>
                </c:pt>
                <c:pt idx="22">
                  <c:v>1992</c:v>
                </c:pt>
                <c:pt idx="23">
                  <c:v>1993</c:v>
                </c:pt>
                <c:pt idx="24">
                  <c:v>1994</c:v>
                </c:pt>
                <c:pt idx="25">
                  <c:v>1995</c:v>
                </c:pt>
                <c:pt idx="26">
                  <c:v>1996</c:v>
                </c:pt>
                <c:pt idx="27">
                  <c:v>1997</c:v>
                </c:pt>
                <c:pt idx="28">
                  <c:v>1998</c:v>
                </c:pt>
                <c:pt idx="29">
                  <c:v>1999</c:v>
                </c:pt>
                <c:pt idx="30">
                  <c:v>2000</c:v>
                </c:pt>
                <c:pt idx="31">
                  <c:v>2001</c:v>
                </c:pt>
                <c:pt idx="32">
                  <c:v>2002</c:v>
                </c:pt>
                <c:pt idx="33">
                  <c:v>2003</c:v>
                </c:pt>
                <c:pt idx="34">
                  <c:v>2004</c:v>
                </c:pt>
                <c:pt idx="35">
                  <c:v>2005</c:v>
                </c:pt>
                <c:pt idx="36">
                  <c:v>2006</c:v>
                </c:pt>
                <c:pt idx="37">
                  <c:v>2007</c:v>
                </c:pt>
                <c:pt idx="38">
                  <c:v>2008</c:v>
                </c:pt>
                <c:pt idx="39">
                  <c:v>2009</c:v>
                </c:pt>
                <c:pt idx="40">
                  <c:v>2010</c:v>
                </c:pt>
                <c:pt idx="41">
                  <c:v>2011</c:v>
                </c:pt>
                <c:pt idx="42">
                  <c:v>2012</c:v>
                </c:pt>
                <c:pt idx="43">
                  <c:v>2013</c:v>
                </c:pt>
                <c:pt idx="44">
                  <c:v>2014</c:v>
                </c:pt>
                <c:pt idx="45">
                  <c:v>2015</c:v>
                </c:pt>
                <c:pt idx="46">
                  <c:v>2016</c:v>
                </c:pt>
                <c:pt idx="47">
                  <c:v>2017</c:v>
                </c:pt>
                <c:pt idx="48">
                  <c:v>2018</c:v>
                </c:pt>
              </c:numCache>
            </c:numRef>
          </c:cat>
          <c:val>
            <c:numRef>
              <c:f>'[HNPSlendC-HNPStats (3).xls]Sheet1'!$H$5:$H$53</c:f>
              <c:numCache>
                <c:formatCode>General</c:formatCode>
                <c:ptCount val="49"/>
                <c:pt idx="7" formatCode="#,##0_);\(#,##0\)">
                  <c:v>0</c:v>
                </c:pt>
                <c:pt idx="8" formatCode="#,##0_);\(#,##0\)">
                  <c:v>0</c:v>
                </c:pt>
                <c:pt idx="26" formatCode="#,##0_);\(#,##0\)">
                  <c:v>0</c:v>
                </c:pt>
                <c:pt idx="27" formatCode="#,##0_);\(#,##0\)">
                  <c:v>0</c:v>
                </c:pt>
                <c:pt idx="28" formatCode="#,##0_);\(#,##0\)">
                  <c:v>0</c:v>
                </c:pt>
                <c:pt idx="29" formatCode="#,##0_);\(#,##0\)">
                  <c:v>0</c:v>
                </c:pt>
                <c:pt idx="30" formatCode="#,##0_);\(#,##0\)">
                  <c:v>0</c:v>
                </c:pt>
                <c:pt idx="31" formatCode="#,##0_);\(#,##0\)">
                  <c:v>0</c:v>
                </c:pt>
                <c:pt idx="32" formatCode="#,##0_);\(#,##0\)">
                  <c:v>0</c:v>
                </c:pt>
                <c:pt idx="33" formatCode="#,##0_);\(#,##0\)">
                  <c:v>0</c:v>
                </c:pt>
                <c:pt idx="34" formatCode="#,##0_);\(#,##0\)">
                  <c:v>0</c:v>
                </c:pt>
                <c:pt idx="35" formatCode="#,##0_);\(#,##0\)">
                  <c:v>0</c:v>
                </c:pt>
                <c:pt idx="36" formatCode="#,##0_);\(#,##0\)">
                  <c:v>0</c:v>
                </c:pt>
                <c:pt idx="37" formatCode="#,##0_);\(#,##0\)">
                  <c:v>0</c:v>
                </c:pt>
                <c:pt idx="38" formatCode="#,##0_);\(#,##0\)">
                  <c:v>0</c:v>
                </c:pt>
                <c:pt idx="39" formatCode="#,##0_);\(#,##0\)">
                  <c:v>0</c:v>
                </c:pt>
                <c:pt idx="40" formatCode="#,##0_);\(#,##0\)">
                  <c:v>10</c:v>
                </c:pt>
                <c:pt idx="41" formatCode="#,##0_);\(#,##0\)">
                  <c:v>0.15</c:v>
                </c:pt>
                <c:pt idx="42" formatCode="#,##0_);\(#,##0\)">
                  <c:v>0</c:v>
                </c:pt>
                <c:pt idx="43" formatCode="#,##0_);\(#,##0\)">
                  <c:v>1.56</c:v>
                </c:pt>
                <c:pt idx="44" formatCode="#,##0_);\(#,##0\)">
                  <c:v>0.74880000000000002</c:v>
                </c:pt>
                <c:pt idx="45" formatCode="#,##0_);\(#,##0\)">
                  <c:v>0</c:v>
                </c:pt>
                <c:pt idx="46" formatCode="#,##0_);\(#,##0\)">
                  <c:v>0</c:v>
                </c:pt>
                <c:pt idx="47" formatCode="#,##0_);\(#,##0\)">
                  <c:v>1.8016110000000001</c:v>
                </c:pt>
                <c:pt idx="48" formatCode="#,##0_);\(#,##0\)">
                  <c:v>0</c:v>
                </c:pt>
              </c:numCache>
            </c:numRef>
          </c:val>
          <c:extLst>
            <c:ext xmlns:c16="http://schemas.microsoft.com/office/drawing/2014/chart" uri="{C3380CC4-5D6E-409C-BE32-E72D297353CC}">
              <c16:uniqueId val="{00000006-9B45-784B-8667-A9143F98D83E}"/>
            </c:ext>
          </c:extLst>
        </c:ser>
        <c:dLbls>
          <c:showLegendKey val="0"/>
          <c:showVal val="0"/>
          <c:showCatName val="0"/>
          <c:showSerName val="0"/>
          <c:showPercent val="0"/>
          <c:showBubbleSize val="0"/>
        </c:dLbls>
        <c:axId val="1725911584"/>
        <c:axId val="1291801568"/>
      </c:areaChart>
      <c:catAx>
        <c:axId val="1725911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Calibri" panose="020F0502020204030204" pitchFamily="34" charset="0"/>
                <a:ea typeface="+mn-ea"/>
                <a:cs typeface="Calibri" panose="020F0502020204030204" pitchFamily="34" charset="0"/>
              </a:defRPr>
            </a:pPr>
            <a:endParaRPr lang="en-US"/>
          </a:p>
        </c:txPr>
        <c:crossAx val="1291801568"/>
        <c:crosses val="autoZero"/>
        <c:auto val="1"/>
        <c:lblAlgn val="ctr"/>
        <c:lblOffset val="100"/>
        <c:noMultiLvlLbl val="0"/>
      </c:catAx>
      <c:valAx>
        <c:axId val="12918015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Calibri" panose="020F0502020204030204" pitchFamily="34" charset="0"/>
                    <a:ea typeface="+mn-ea"/>
                    <a:cs typeface="Calibri" panose="020F0502020204030204" pitchFamily="34" charset="0"/>
                  </a:defRPr>
                </a:pPr>
                <a:r>
                  <a:rPr lang="en-GB"/>
                  <a:t>$ Millions USD</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Calibri" panose="020F0502020204030204" pitchFamily="34" charset="0"/>
                  <a:ea typeface="+mn-ea"/>
                  <a:cs typeface="Calibri" panose="020F050202020403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Calibri" panose="020F0502020204030204" pitchFamily="34" charset="0"/>
                <a:ea typeface="+mn-ea"/>
                <a:cs typeface="Calibri" panose="020F0502020204030204" pitchFamily="34" charset="0"/>
              </a:defRPr>
            </a:pPr>
            <a:endParaRPr lang="en-US"/>
          </a:p>
        </c:txPr>
        <c:crossAx val="172591158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Calibri" panose="020F0502020204030204" pitchFamily="34" charset="0"/>
              <a:ea typeface="+mn-ea"/>
              <a:cs typeface="Calibri" panose="020F0502020204030204" pitchFamily="34" charset="0"/>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latin typeface="Calibri" panose="020F0502020204030204" pitchFamily="34" charset="0"/>
          <a:cs typeface="Calibri" panose="020F0502020204030204" pitchFamily="34" charset="0"/>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4399308576993899E-2"/>
          <c:y val="3.9426523297491002E-2"/>
          <c:w val="0.87774435881027202"/>
          <c:h val="0.92114695340501795"/>
        </c:manualLayout>
      </c:layout>
      <c:barChart>
        <c:barDir val="col"/>
        <c:grouping val="clustered"/>
        <c:varyColors val="0"/>
        <c:ser>
          <c:idx val="1"/>
          <c:order val="1"/>
          <c:tx>
            <c:strRef>
              <c:f>'Project Timeline'!$D$4</c:f>
              <c:strCache>
                <c:ptCount val="1"/>
                <c:pt idx="0">
                  <c:v>POSITION</c:v>
                </c:pt>
              </c:strCache>
            </c:strRef>
          </c:tx>
          <c:spPr>
            <a:noFill/>
          </c:spPr>
          <c:invertIfNegative val="0"/>
          <c:dLbls>
            <c:dLbl>
              <c:idx val="0"/>
              <c:layout>
                <c:manualLayout>
                  <c:x val="-8.4792207697326708E-3"/>
                  <c:y val="1.4218009478673001E-2"/>
                </c:manualLayout>
              </c:layout>
              <c:spPr>
                <a:solidFill>
                  <a:schemeClr val="bg1">
                    <a:lumMod val="95000"/>
                  </a:schemeClr>
                </a:solidFill>
                <a:ln>
                  <a:noFill/>
                </a:ln>
                <a:effectLst/>
              </c:spPr>
              <c:txPr>
                <a:bodyPr wrap="square" lIns="38100" tIns="19050" rIns="38100" bIns="19050" anchor="ctr">
                  <a:noAutofit/>
                </a:bodyPr>
                <a:lstStyle/>
                <a:p>
                  <a:pPr>
                    <a:defRPr sz="800" b="0">
                      <a:latin typeface="Calibri Light (Heading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11840247005025"/>
                      <c:h val="0.14739336492891"/>
                    </c:manualLayout>
                  </c15:layout>
                </c:ext>
                <c:ext xmlns:c16="http://schemas.microsoft.com/office/drawing/2014/chart" uri="{C3380CC4-5D6E-409C-BE32-E72D297353CC}">
                  <c16:uniqueId val="{00000000-CC2E-114C-9E8F-6E9DC197BF6B}"/>
                </c:ext>
              </c:extLst>
            </c:dLbl>
            <c:dLbl>
              <c:idx val="1"/>
              <c:layout>
                <c:manualLayout>
                  <c:x val="2.5760524492285799E-2"/>
                  <c:y val="0.13586097946287501"/>
                </c:manualLayout>
              </c:layout>
              <c:tx>
                <c:rich>
                  <a:bodyPr wrap="square" lIns="38100" tIns="19050" rIns="38100" bIns="19050" anchor="ctr">
                    <a:noAutofit/>
                  </a:bodyPr>
                  <a:lstStyle/>
                  <a:p>
                    <a:pPr>
                      <a:defRPr sz="800" b="0">
                        <a:latin typeface="Calibri Light (Headings)"/>
                      </a:defRPr>
                    </a:pPr>
                    <a:r>
                      <a:rPr lang="en-US"/>
                      <a:t>'</a:t>
                    </a:r>
                    <a:fld id="{D81DE821-1F03-441C-B299-AC827A5EC8BD}" type="CATEGORYNAME">
                      <a:rPr lang="en-US"/>
                      <a:pPr>
                        <a:defRPr sz="800" b="0">
                          <a:latin typeface="Calibri Light (Headings)"/>
                        </a:defRPr>
                      </a:pPr>
                      <a:t>[CATEGORY NAME]</a:t>
                    </a:fld>
                    <a:endParaRPr lang="en-US"/>
                  </a:p>
                </c:rich>
              </c:tx>
              <c:spPr>
                <a:solidFill>
                  <a:schemeClr val="bg1">
                    <a:lumMod val="95000"/>
                  </a:schemeClr>
                </a:solidFill>
                <a:ln>
                  <a:noFill/>
                </a:ln>
                <a:effectLst/>
              </c:sp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3644408751953599"/>
                      <c:h val="0.125276461295419"/>
                    </c:manualLayout>
                  </c15:layout>
                  <c15:dlblFieldTable/>
                  <c15:showDataLabelsRange val="0"/>
                </c:ext>
                <c:ext xmlns:c16="http://schemas.microsoft.com/office/drawing/2014/chart" uri="{C3380CC4-5D6E-409C-BE32-E72D297353CC}">
                  <c16:uniqueId val="{00000001-CC2E-114C-9E8F-6E9DC197BF6B}"/>
                </c:ext>
              </c:extLst>
            </c:dLbl>
            <c:dLbl>
              <c:idx val="2"/>
              <c:layout>
                <c:manualLayout>
                  <c:x val="-1.7151469012631801E-2"/>
                  <c:y val="2.19479818109156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0.130402744251048"/>
                      <c:h val="9.7805212620027407E-2"/>
                    </c:manualLayout>
                  </c15:layout>
                </c:ext>
                <c:ext xmlns:c16="http://schemas.microsoft.com/office/drawing/2014/chart" uri="{C3380CC4-5D6E-409C-BE32-E72D297353CC}">
                  <c16:uniqueId val="{00000002-CC2E-114C-9E8F-6E9DC197BF6B}"/>
                </c:ext>
              </c:extLst>
            </c:dLbl>
            <c:dLbl>
              <c:idx val="3"/>
              <c:layout>
                <c:manualLayout>
                  <c:x val="6.5488164668089897E-3"/>
                  <c:y val="0.15323842221144199"/>
                </c:manualLayout>
              </c:layout>
              <c:tx>
                <c:rich>
                  <a:bodyPr wrap="square" lIns="38100" tIns="19050" rIns="38100" bIns="19050" anchor="ctr">
                    <a:noAutofit/>
                  </a:bodyPr>
                  <a:lstStyle/>
                  <a:p>
                    <a:pPr>
                      <a:defRPr sz="800" b="0">
                        <a:latin typeface="Calibri Light (Headings)"/>
                      </a:defRPr>
                    </a:pPr>
                    <a:r>
                      <a:rPr lang="en-US"/>
                      <a:t>'Health</a:t>
                    </a:r>
                    <a:r>
                      <a:rPr lang="en-US" baseline="0"/>
                      <a:t> sector policy paper' (indirect health lending); Bank co-sponsors Special Programme for Research and Training in Tropical Diseases (TDR)</a:t>
                    </a:r>
                    <a:endParaRPr lang="en-US"/>
                  </a:p>
                </c:rich>
              </c:tx>
              <c:spPr>
                <a:solidFill>
                  <a:schemeClr val="bg1">
                    <a:lumMod val="95000"/>
                  </a:schemeClr>
                </a:solidFill>
                <a:ln>
                  <a:noFill/>
                </a:ln>
                <a:effectLst/>
              </c:sp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6887361280253901"/>
                      <c:h val="0.168404423380727"/>
                    </c:manualLayout>
                  </c15:layout>
                </c:ext>
                <c:ext xmlns:c16="http://schemas.microsoft.com/office/drawing/2014/chart" uri="{C3380CC4-5D6E-409C-BE32-E72D297353CC}">
                  <c16:uniqueId val="{00000003-CC2E-114C-9E8F-6E9DC197BF6B}"/>
                </c:ext>
              </c:extLst>
            </c:dLbl>
            <c:dLbl>
              <c:idx val="4"/>
              <c:layout>
                <c:manualLayout>
                  <c:x val="-9.5286494727480596E-3"/>
                  <c:y val="-1.0973072810343199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0.106098335662559"/>
                      <c:h val="9.6913688258103495E-2"/>
                    </c:manualLayout>
                  </c15:layout>
                </c:ext>
                <c:ext xmlns:c16="http://schemas.microsoft.com/office/drawing/2014/chart" uri="{C3380CC4-5D6E-409C-BE32-E72D297353CC}">
                  <c16:uniqueId val="{00000004-CC2E-114C-9E8F-6E9DC197BF6B}"/>
                </c:ext>
              </c:extLst>
            </c:dLbl>
            <c:dLbl>
              <c:idx val="5"/>
              <c:layout>
                <c:manualLayout>
                  <c:x val="8.8934061745648604E-3"/>
                  <c:y val="-0.13432444401240001"/>
                </c:manualLayout>
              </c:layout>
              <c:dLblPos val="outEnd"/>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C2E-114C-9E8F-6E9DC197BF6B}"/>
                </c:ext>
              </c:extLst>
            </c:dLbl>
            <c:dLbl>
              <c:idx val="6"/>
              <c:layout>
                <c:manualLayout>
                  <c:x val="-2.4479244690479699E-3"/>
                  <c:y val="8.7236879750221E-2"/>
                </c:manualLayout>
              </c:layout>
              <c:tx>
                <c:rich>
                  <a:bodyPr wrap="square" lIns="38100" tIns="19050" rIns="38100" bIns="19050" anchor="ctr">
                    <a:noAutofit/>
                  </a:bodyPr>
                  <a:lstStyle/>
                  <a:p>
                    <a:pPr>
                      <a:defRPr sz="800" b="0">
                        <a:latin typeface="Calibri Light (Headings)"/>
                      </a:defRPr>
                    </a:pPr>
                    <a:r>
                      <a:rPr lang="en-US"/>
                      <a:t>'</a:t>
                    </a:r>
                    <a:fld id="{58E9721B-61D6-4C2B-8D60-0B15603D4702}" type="CATEGORYNAME">
                      <a:rPr lang="en-US"/>
                      <a:pPr>
                        <a:defRPr sz="800" b="0">
                          <a:latin typeface="Calibri Light (Headings)"/>
                        </a:defRPr>
                      </a:pPr>
                      <a:t>[CATEGORY NAME]</a:t>
                    </a:fld>
                    <a:endParaRPr lang="en-US"/>
                  </a:p>
                </c:rich>
              </c:tx>
              <c:spPr>
                <a:solidFill>
                  <a:schemeClr val="bg1">
                    <a:lumMod val="95000"/>
                  </a:schemeClr>
                </a:solidFill>
                <a:ln>
                  <a:noFill/>
                </a:ln>
                <a:effectLst/>
              </c:sp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66733337192319"/>
                      <c:h val="0.11734597156398099"/>
                    </c:manualLayout>
                  </c15:layout>
                  <c15:dlblFieldTable/>
                  <c15:showDataLabelsRange val="0"/>
                </c:ext>
                <c:ext xmlns:c16="http://schemas.microsoft.com/office/drawing/2014/chart" uri="{C3380CC4-5D6E-409C-BE32-E72D297353CC}">
                  <c16:uniqueId val="{00000006-CC2E-114C-9E8F-6E9DC197BF6B}"/>
                </c:ext>
              </c:extLst>
            </c:dLbl>
            <c:dLbl>
              <c:idx val="7"/>
              <c:layout>
                <c:manualLayout>
                  <c:x val="-2.7720027720027698E-3"/>
                  <c:y val="7.5254375024689804E-2"/>
                </c:manualLayout>
              </c:layout>
              <c:dLblPos val="outEnd"/>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C2E-114C-9E8F-6E9DC197BF6B}"/>
                </c:ext>
              </c:extLst>
            </c:dLbl>
            <c:dLbl>
              <c:idx val="8"/>
              <c:layout>
                <c:manualLayout>
                  <c:x val="-2.48853962017027E-2"/>
                  <c:y val="-3.7530569342339198E-2"/>
                </c:manualLayout>
              </c:layout>
              <c:tx>
                <c:rich>
                  <a:bodyPr/>
                  <a:lstStyle/>
                  <a:p>
                    <a:r>
                      <a:rPr lang="en-US"/>
                      <a:t>'</a:t>
                    </a:r>
                    <a:fld id="{0107E447-D323-46ED-AD88-61605F74E3F9}" type="CATEGORYNAME">
                      <a:rPr lang="en-US"/>
                      <a:pPr/>
                      <a:t>[CATEGORY NAME]</a:t>
                    </a:fld>
                    <a:endParaRPr lang="en-US"/>
                  </a:p>
                </c:rich>
              </c:tx>
              <c:dLblPos val="outEnd"/>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8-CC2E-114C-9E8F-6E9DC197BF6B}"/>
                </c:ext>
              </c:extLst>
            </c:dLbl>
            <c:dLbl>
              <c:idx val="9"/>
              <c:layout>
                <c:manualLayout>
                  <c:x val="-2.76738130951103E-2"/>
                  <c:y val="1.7377567140600299E-2"/>
                </c:manualLayout>
              </c:layout>
              <c:spPr>
                <a:solidFill>
                  <a:schemeClr val="bg1">
                    <a:lumMod val="95000"/>
                  </a:schemeClr>
                </a:solidFill>
                <a:ln>
                  <a:noFill/>
                </a:ln>
                <a:effectLst/>
              </c:spPr>
              <c:txPr>
                <a:bodyPr wrap="square" lIns="38100" tIns="19050" rIns="38100" bIns="19050" anchor="ctr">
                  <a:noAutofit/>
                </a:bodyPr>
                <a:lstStyle/>
                <a:p>
                  <a:pPr>
                    <a:defRPr sz="800" b="0">
                      <a:latin typeface="Calibri Light (Heading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4626067145218299"/>
                      <c:h val="0.12843601895734599"/>
                    </c:manualLayout>
                  </c15:layout>
                </c:ext>
                <c:ext xmlns:c16="http://schemas.microsoft.com/office/drawing/2014/chart" uri="{C3380CC4-5D6E-409C-BE32-E72D297353CC}">
                  <c16:uniqueId val="{00000009-CC2E-114C-9E8F-6E9DC197BF6B}"/>
                </c:ext>
              </c:extLst>
            </c:dLbl>
            <c:dLbl>
              <c:idx val="10"/>
              <c:layout>
                <c:manualLayout>
                  <c:x val="1.7681780445420701E-2"/>
                  <c:y val="7.8991429388861906E-3"/>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0.14736083824492499"/>
                      <c:h val="0.107867298578199"/>
                    </c:manualLayout>
                  </c15:layout>
                </c:ext>
                <c:ext xmlns:c16="http://schemas.microsoft.com/office/drawing/2014/chart" uri="{C3380CC4-5D6E-409C-BE32-E72D297353CC}">
                  <c16:uniqueId val="{0000000A-CC2E-114C-9E8F-6E9DC197BF6B}"/>
                </c:ext>
              </c:extLst>
            </c:dLbl>
            <c:dLbl>
              <c:idx val="11"/>
              <c:layout>
                <c:manualLayout>
                  <c:x val="-1.84441697280587E-2"/>
                  <c:y val="5.3520916520506001E-2"/>
                </c:manualLayout>
              </c:layout>
              <c:tx>
                <c:rich>
                  <a:bodyPr wrap="square" lIns="38100" tIns="19050" rIns="38100" bIns="19050" anchor="ctr">
                    <a:noAutofit/>
                  </a:bodyPr>
                  <a:lstStyle/>
                  <a:p>
                    <a:pPr>
                      <a:defRPr sz="800" b="0">
                        <a:latin typeface="Calibri Light (Headings)"/>
                      </a:defRPr>
                    </a:pPr>
                    <a:r>
                      <a:rPr lang="en-US"/>
                      <a:t>'</a:t>
                    </a:r>
                    <a:fld id="{ED104825-0833-D349-B30B-C24C743E344E}" type="CATEGORYNAME">
                      <a:rPr lang="en-US"/>
                      <a:pPr>
                        <a:defRPr sz="800" b="0">
                          <a:latin typeface="Calibri Light (Headings)"/>
                        </a:defRPr>
                      </a:pPr>
                      <a:t>[CATEGORY NAME]</a:t>
                    </a:fld>
                    <a:endParaRPr lang="en-US"/>
                  </a:p>
                </c:rich>
              </c:tx>
              <c:spPr>
                <a:solidFill>
                  <a:schemeClr val="bg1">
                    <a:lumMod val="95000"/>
                  </a:schemeClr>
                </a:solidFill>
                <a:ln>
                  <a:noFill/>
                </a:ln>
                <a:effectLst/>
              </c:sp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169858103616"/>
                      <c:h val="0.13530370315085"/>
                    </c:manualLayout>
                  </c15:layout>
                  <c15:dlblFieldTable/>
                  <c15:showDataLabelsRange val="0"/>
                </c:ext>
                <c:ext xmlns:c16="http://schemas.microsoft.com/office/drawing/2014/chart" uri="{C3380CC4-5D6E-409C-BE32-E72D297353CC}">
                  <c16:uniqueId val="{0000000B-CC2E-114C-9E8F-6E9DC197BF6B}"/>
                </c:ext>
              </c:extLst>
            </c:dLbl>
            <c:dLbl>
              <c:idx val="12"/>
              <c:layout>
                <c:manualLayout>
                  <c:x val="-9.6047788068364995E-17"/>
                  <c:y val="-1.8957345971564E-2"/>
                </c:manualLayout>
              </c:layout>
              <c:tx>
                <c:rich>
                  <a:bodyPr/>
                  <a:lstStyle/>
                  <a:p>
                    <a:r>
                      <a:rPr lang="en-US"/>
                      <a:t>'</a:t>
                    </a:r>
                    <a:fld id="{B13CEE0B-CD40-4B35-B568-E8DF63DAA980}" type="CATEGORYNAME">
                      <a:rPr lang="en-US"/>
                      <a:pPr/>
                      <a:t>[CATEGORY NAME]</a:t>
                    </a:fld>
                    <a:endParaRPr lang="en-US"/>
                  </a:p>
                </c:rich>
              </c:tx>
              <c:dLblPos val="outEnd"/>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C-CC2E-114C-9E8F-6E9DC197BF6B}"/>
                </c:ext>
              </c:extLst>
            </c:dLbl>
            <c:dLbl>
              <c:idx val="13"/>
              <c:tx>
                <c:rich>
                  <a:bodyPr/>
                  <a:lstStyle/>
                  <a:p>
                    <a:r>
                      <a:rPr lang="en-US"/>
                      <a:t>'</a:t>
                    </a:r>
                    <a:fld id="{8B93A9EF-078C-4328-962D-2CA132BD6C25}" type="CATEGORYNAME">
                      <a:rPr lang="en-US"/>
                      <a:pPr/>
                      <a:t>[CATEGORY NAME]</a:t>
                    </a:fld>
                    <a:endParaRPr lang="en-US"/>
                  </a:p>
                </c:rich>
              </c:tx>
              <c:dLblPos val="outEnd"/>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D-CC2E-114C-9E8F-6E9DC197BF6B}"/>
                </c:ext>
              </c:extLst>
            </c:dLbl>
            <c:dLbl>
              <c:idx val="14"/>
              <c:layout>
                <c:manualLayout>
                  <c:x val="-1.4774981506017601E-2"/>
                  <c:y val="2.1269047530196102E-2"/>
                </c:manualLayout>
              </c:layout>
              <c:spPr>
                <a:solidFill>
                  <a:schemeClr val="bg1">
                    <a:lumMod val="95000"/>
                  </a:schemeClr>
                </a:solidFill>
                <a:ln>
                  <a:noFill/>
                </a:ln>
                <a:effectLst/>
              </c:spPr>
              <c:txPr>
                <a:bodyPr wrap="square" lIns="38100" tIns="19050" rIns="38100" bIns="19050" anchor="ctr">
                  <a:noAutofit/>
                </a:bodyPr>
                <a:lstStyle/>
                <a:p>
                  <a:pPr>
                    <a:defRPr sz="800" b="0">
                      <a:latin typeface="Calibri Light (Heading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09459777666254"/>
                      <c:h val="0.15426104912241401"/>
                    </c:manualLayout>
                  </c15:layout>
                </c:ext>
                <c:ext xmlns:c16="http://schemas.microsoft.com/office/drawing/2014/chart" uri="{C3380CC4-5D6E-409C-BE32-E72D297353CC}">
                  <c16:uniqueId val="{0000000E-CC2E-114C-9E8F-6E9DC197BF6B}"/>
                </c:ext>
              </c:extLst>
            </c:dLbl>
            <c:dLbl>
              <c:idx val="15"/>
              <c:tx>
                <c:rich>
                  <a:bodyPr wrap="square" lIns="38100" tIns="19050" rIns="38100" bIns="19050" anchor="ctr">
                    <a:noAutofit/>
                  </a:bodyPr>
                  <a:lstStyle/>
                  <a:p>
                    <a:pPr>
                      <a:defRPr sz="800" b="0">
                        <a:latin typeface="Calibri Light (Headings)"/>
                      </a:defRPr>
                    </a:pPr>
                    <a:r>
                      <a:rPr lang="en-US"/>
                      <a:t>'</a:t>
                    </a:r>
                    <a:fld id="{6DD8E8F3-CF30-4238-AC56-758A53431C3F}" type="CATEGORYNAME">
                      <a:rPr lang="en-US"/>
                      <a:pPr>
                        <a:defRPr sz="800" b="0">
                          <a:latin typeface="Calibri Light (Headings)"/>
                        </a:defRPr>
                      </a:pPr>
                      <a:t>[CATEGORY NAME]</a:t>
                    </a:fld>
                    <a:r>
                      <a:rPr lang="en-US"/>
                      <a:t> (sector-wide approach)</a:t>
                    </a:r>
                  </a:p>
                </c:rich>
              </c:tx>
              <c:spPr>
                <a:solidFill>
                  <a:schemeClr val="bg1">
                    <a:lumMod val="95000"/>
                  </a:schemeClr>
                </a:solidFill>
                <a:ln>
                  <a:noFill/>
                </a:ln>
                <a:effectLst/>
              </c:sp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F-CC2E-114C-9E8F-6E9DC197BF6B}"/>
                </c:ext>
              </c:extLst>
            </c:dLbl>
            <c:dLbl>
              <c:idx val="16"/>
              <c:layout>
                <c:manualLayout>
                  <c:x val="5.16077737273905E-4"/>
                  <c:y val="0.105305071463223"/>
                </c:manualLayout>
              </c:layout>
              <c:spPr>
                <a:solidFill>
                  <a:schemeClr val="bg1">
                    <a:lumMod val="95000"/>
                  </a:schemeClr>
                </a:solidFill>
                <a:ln>
                  <a:noFill/>
                </a:ln>
                <a:effectLst/>
              </c:spPr>
              <c:txPr>
                <a:bodyPr wrap="square" lIns="38100" tIns="19050" rIns="38100" bIns="19050" anchor="ctr">
                  <a:noAutofit/>
                </a:bodyPr>
                <a:lstStyle/>
                <a:p>
                  <a:pPr>
                    <a:defRPr sz="800" b="0">
                      <a:latin typeface="Calibri Light (Heading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36126339428469"/>
                      <c:h val="0.23458023908148901"/>
                    </c:manualLayout>
                  </c15:layout>
                </c:ext>
                <c:ext xmlns:c16="http://schemas.microsoft.com/office/drawing/2014/chart" uri="{C3380CC4-5D6E-409C-BE32-E72D297353CC}">
                  <c16:uniqueId val="{00000010-CC2E-114C-9E8F-6E9DC197BF6B}"/>
                </c:ext>
              </c:extLst>
            </c:dLbl>
            <c:dLbl>
              <c:idx val="17"/>
              <c:layout>
                <c:manualLayout>
                  <c:x val="3.4650034650034502E-2"/>
                  <c:y val="-1.4334166671369299E-2"/>
                </c:manualLayout>
              </c:layout>
              <c:dLblPos val="outEnd"/>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1-CC2E-114C-9E8F-6E9DC197BF6B}"/>
                </c:ext>
              </c:extLst>
            </c:dLbl>
            <c:dLbl>
              <c:idx val="18"/>
              <c:layout>
                <c:manualLayout>
                  <c:x val="1.38604805866803E-3"/>
                  <c:y val="5.7787891482606601E-3"/>
                </c:manualLayout>
              </c:layout>
              <c:spPr>
                <a:solidFill>
                  <a:schemeClr val="bg1">
                    <a:lumMod val="95000"/>
                  </a:schemeClr>
                </a:solidFill>
                <a:ln>
                  <a:noFill/>
                </a:ln>
                <a:effectLst/>
              </c:spPr>
              <c:txPr>
                <a:bodyPr wrap="square" lIns="38100" tIns="19050" rIns="38100" bIns="19050" anchor="ctr">
                  <a:noAutofit/>
                </a:bodyPr>
                <a:lstStyle/>
                <a:p>
                  <a:pPr>
                    <a:defRPr sz="800" b="0">
                      <a:latin typeface="Calibri Light (Heading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63264072042383"/>
                      <c:h val="0.243144381833787"/>
                    </c:manualLayout>
                  </c15:layout>
                </c:ext>
                <c:ext xmlns:c16="http://schemas.microsoft.com/office/drawing/2014/chart" uri="{C3380CC4-5D6E-409C-BE32-E72D297353CC}">
                  <c16:uniqueId val="{00000012-CC2E-114C-9E8F-6E9DC197BF6B}"/>
                </c:ext>
              </c:extLst>
            </c:dLbl>
            <c:spPr>
              <a:solidFill>
                <a:schemeClr val="bg1">
                  <a:lumMod val="95000"/>
                </a:schemeClr>
              </a:solidFill>
              <a:ln>
                <a:noFill/>
              </a:ln>
              <a:effectLst/>
            </c:spPr>
            <c:txPr>
              <a:bodyPr wrap="square" lIns="38100" tIns="19050" rIns="38100" bIns="19050" anchor="ctr">
                <a:spAutoFit/>
              </a:bodyPr>
              <a:lstStyle/>
              <a:p>
                <a:pPr>
                  <a:defRPr sz="800" b="0">
                    <a:latin typeface="Calibri Light (Headings)"/>
                  </a:defRPr>
                </a:pPr>
                <a:endParaRPr lang="en-US"/>
              </a:p>
            </c:txPr>
            <c:dLblPos val="outEnd"/>
            <c:showLegendKey val="0"/>
            <c:showVal val="0"/>
            <c:showCatName val="1"/>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errBars>
            <c:errBarType val="minus"/>
            <c:errValType val="percentage"/>
            <c:noEndCap val="0"/>
            <c:val val="100"/>
            <c:spPr>
              <a:ln>
                <a:solidFill>
                  <a:schemeClr val="tx1">
                    <a:lumMod val="65000"/>
                    <a:lumOff val="35000"/>
                  </a:schemeClr>
                </a:solidFill>
              </a:ln>
            </c:spPr>
          </c:errBars>
          <c:cat>
            <c:strRef>
              <c:f>'Project Timeline'!$C$5:$C$23</c:f>
              <c:strCache>
                <c:ptCount val="19"/>
                <c:pt idx="0">
                  <c:v>New President Robert McNamara initiates population control strategy</c:v>
                </c:pt>
                <c:pt idx="1">
                  <c:v>Possible bank actions on malnutrition problems' released</c:v>
                </c:pt>
                <c:pt idx="2">
                  <c:v>Executive Board approves Bank's fiscal role in OCP</c:v>
                </c:pt>
                <c:pt idx="3">
                  <c:v>Health Sector Policy Paper' (indirect health lending); Bank co-sponsors TDR (Special Programme in Research &amp; Training in Tropical Diseases)</c:v>
                </c:pt>
                <c:pt idx="4">
                  <c:v>First nutrition loan, to Brazil</c:v>
                </c:pt>
                <c:pt idx="5">
                  <c:v>Population, Health and Nutrition (PHN) department established</c:v>
                </c:pt>
                <c:pt idx="6">
                  <c:v>World development report 1980 - poverty and human development' (direct health lending)</c:v>
                </c:pt>
                <c:pt idx="7">
                  <c:v>Bank partners on Task Force for Child Survival and Development</c:v>
                </c:pt>
                <c:pt idx="8">
                  <c:v>Financing health services in developing countries: an agenda for reform' (structural adjustment &amp; health workforce efficiency)</c:v>
                </c:pt>
                <c:pt idx="9">
                  <c:v>First free-standing Bank disease project: AIDS in Zaire</c:v>
                </c:pt>
                <c:pt idx="10">
                  <c:v>World Bank partners on Children's Vaccine Initiative</c:v>
                </c:pt>
                <c:pt idx="11">
                  <c:v>Wapenhans Report' - evaluation of HNP lending projects</c:v>
                </c:pt>
                <c:pt idx="12">
                  <c:v>World development report 1993 - investing in health'; Disease Control Priorities in Developing Countries</c:v>
                </c:pt>
                <c:pt idx="13">
                  <c:v>Better health in Africa' (essential healthcare packages, policy reform)</c:v>
                </c:pt>
                <c:pt idx="14">
                  <c:v>African Program for Onchocercaisis Control (APOC) launched</c:v>
                </c:pt>
                <c:pt idx="15">
                  <c:v>Health, nutrition and population sector stategy paper'</c:v>
                </c:pt>
                <c:pt idx="16">
                  <c:v>World Bank partners to est. the Global Alliance for Vaccines and Immunization (GAVI); Evaluation of HNP sector ("do better, not more")</c:v>
                </c:pt>
                <c:pt idx="17">
                  <c:v>Multi-Country AIDS Program (MAP) approved; Bank releases 44 country reports on 'Socio-economic differences in health, nutrition and population'</c:v>
                </c:pt>
                <c:pt idx="18">
                  <c:v>Bank joins Global Plan to Stop TB and Global Alliance for Improved Nutrition (GAIN) and Global Fund to Fight AIDS, TB and Malaria. Bank and partners pledge to eliminate onchocerciasis in Africa by 2010</c:v>
                </c:pt>
              </c:strCache>
            </c:strRef>
          </c:cat>
          <c:val>
            <c:numRef>
              <c:f>'Project Timeline'!$F$5:$F$23</c:f>
              <c:numCache>
                <c:formatCode>General</c:formatCode>
                <c:ptCount val="19"/>
                <c:pt idx="0">
                  <c:v>30</c:v>
                </c:pt>
                <c:pt idx="1">
                  <c:v>30</c:v>
                </c:pt>
                <c:pt idx="2">
                  <c:v>-10</c:v>
                </c:pt>
                <c:pt idx="3">
                  <c:v>15</c:v>
                </c:pt>
                <c:pt idx="4">
                  <c:v>-15</c:v>
                </c:pt>
                <c:pt idx="5">
                  <c:v>15</c:v>
                </c:pt>
                <c:pt idx="6">
                  <c:v>-15</c:v>
                </c:pt>
                <c:pt idx="7">
                  <c:v>15</c:v>
                </c:pt>
                <c:pt idx="8">
                  <c:v>-20</c:v>
                </c:pt>
                <c:pt idx="9">
                  <c:v>20</c:v>
                </c:pt>
                <c:pt idx="10">
                  <c:v>-15</c:v>
                </c:pt>
                <c:pt idx="11">
                  <c:v>15</c:v>
                </c:pt>
                <c:pt idx="12">
                  <c:v>25</c:v>
                </c:pt>
                <c:pt idx="13">
                  <c:v>-25</c:v>
                </c:pt>
                <c:pt idx="14">
                  <c:v>15</c:v>
                </c:pt>
                <c:pt idx="15">
                  <c:v>-15</c:v>
                </c:pt>
                <c:pt idx="16">
                  <c:v>10</c:v>
                </c:pt>
                <c:pt idx="17">
                  <c:v>-20</c:v>
                </c:pt>
                <c:pt idx="18">
                  <c:v>20</c:v>
                </c:pt>
              </c:numCache>
            </c:numRef>
          </c:val>
          <c:extLst>
            <c:ext xmlns:c16="http://schemas.microsoft.com/office/drawing/2014/chart" uri="{C3380CC4-5D6E-409C-BE32-E72D297353CC}">
              <c16:uniqueId val="{00000013-CC2E-114C-9E8F-6E9DC197BF6B}"/>
            </c:ext>
          </c:extLst>
        </c:ser>
        <c:dLbls>
          <c:showLegendKey val="0"/>
          <c:showVal val="0"/>
          <c:showCatName val="0"/>
          <c:showSerName val="0"/>
          <c:showPercent val="0"/>
          <c:showBubbleSize val="0"/>
        </c:dLbls>
        <c:gapWidth val="150"/>
        <c:axId val="1378794880"/>
        <c:axId val="1287523184"/>
      </c:barChart>
      <c:lineChart>
        <c:grouping val="standard"/>
        <c:varyColors val="0"/>
        <c:ser>
          <c:idx val="0"/>
          <c:order val="0"/>
          <c:tx>
            <c:strRef>
              <c:f>'Project Timeline'!$B$4</c:f>
              <c:strCache>
                <c:ptCount val="1"/>
                <c:pt idx="0">
                  <c:v>DATE</c:v>
                </c:pt>
              </c:strCache>
            </c:strRef>
          </c:tx>
          <c:spPr>
            <a:ln>
              <a:noFill/>
            </a:ln>
          </c:spPr>
          <c:marker>
            <c:symbol val="circle"/>
            <c:size val="7"/>
            <c:spPr>
              <a:solidFill>
                <a:schemeClr val="accent3">
                  <a:lumMod val="50000"/>
                </a:schemeClr>
              </a:solidFill>
              <a:ln w="63500" cmpd="thinThick">
                <a:solidFill>
                  <a:schemeClr val="accent3">
                    <a:lumMod val="75000"/>
                  </a:schemeClr>
                </a:solidFill>
              </a:ln>
            </c:spPr>
          </c:marker>
          <c:errBars>
            <c:errDir val="y"/>
            <c:errBarType val="both"/>
            <c:errValType val="percentage"/>
            <c:noEndCap val="0"/>
            <c:val val="5"/>
          </c:errBars>
          <c:cat>
            <c:numRef>
              <c:f>'Project Timeline'!$B$5:$B$24</c:f>
              <c:numCache>
                <c:formatCode>0</c:formatCode>
                <c:ptCount val="20"/>
                <c:pt idx="0">
                  <c:v>1968</c:v>
                </c:pt>
                <c:pt idx="1">
                  <c:v>1972</c:v>
                </c:pt>
                <c:pt idx="2">
                  <c:v>1973</c:v>
                </c:pt>
                <c:pt idx="3">
                  <c:v>1975</c:v>
                </c:pt>
                <c:pt idx="4">
                  <c:v>1976</c:v>
                </c:pt>
                <c:pt idx="5">
                  <c:v>1979</c:v>
                </c:pt>
                <c:pt idx="6">
                  <c:v>1980</c:v>
                </c:pt>
                <c:pt idx="7">
                  <c:v>1984</c:v>
                </c:pt>
                <c:pt idx="8">
                  <c:v>1987</c:v>
                </c:pt>
                <c:pt idx="9">
                  <c:v>1988</c:v>
                </c:pt>
                <c:pt idx="10">
                  <c:v>1991</c:v>
                </c:pt>
                <c:pt idx="11">
                  <c:v>1992</c:v>
                </c:pt>
                <c:pt idx="12">
                  <c:v>1993</c:v>
                </c:pt>
                <c:pt idx="13">
                  <c:v>1994</c:v>
                </c:pt>
                <c:pt idx="14">
                  <c:v>1995</c:v>
                </c:pt>
                <c:pt idx="15">
                  <c:v>1997</c:v>
                </c:pt>
                <c:pt idx="16">
                  <c:v>1999</c:v>
                </c:pt>
                <c:pt idx="17">
                  <c:v>2000</c:v>
                </c:pt>
                <c:pt idx="18">
                  <c:v>2002</c:v>
                </c:pt>
              </c:numCache>
            </c:numRef>
          </c:cat>
          <c:val>
            <c:numRef>
              <c:f>'Project Timeline'!$E$5:$E$23</c:f>
              <c:numCache>
                <c:formatCode>General</c:formatCode>
                <c:ptCount val="19"/>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numCache>
            </c:numRef>
          </c:val>
          <c:smooth val="1"/>
          <c:extLst>
            <c:ext xmlns:c16="http://schemas.microsoft.com/office/drawing/2014/chart" uri="{C3380CC4-5D6E-409C-BE32-E72D297353CC}">
              <c16:uniqueId val="{00000014-CC2E-114C-9E8F-6E9DC197BF6B}"/>
            </c:ext>
          </c:extLst>
        </c:ser>
        <c:dLbls>
          <c:showLegendKey val="0"/>
          <c:showVal val="0"/>
          <c:showCatName val="0"/>
          <c:showSerName val="0"/>
          <c:showPercent val="0"/>
          <c:showBubbleSize val="0"/>
        </c:dLbls>
        <c:marker val="1"/>
        <c:smooth val="0"/>
        <c:axId val="1286846576"/>
        <c:axId val="1377977632"/>
      </c:lineChart>
      <c:catAx>
        <c:axId val="1286846576"/>
        <c:scaling>
          <c:orientation val="minMax"/>
        </c:scaling>
        <c:delete val="0"/>
        <c:axPos val="b"/>
        <c:numFmt formatCode="0" sourceLinked="0"/>
        <c:majorTickMark val="cross"/>
        <c:minorTickMark val="in"/>
        <c:tickLblPos val="nextTo"/>
        <c:spPr>
          <a:solidFill>
            <a:schemeClr val="bg1">
              <a:lumMod val="95000"/>
            </a:schemeClr>
          </a:solidFill>
          <a:ln w="9525">
            <a:solidFill>
              <a:schemeClr val="bg1">
                <a:lumMod val="85000"/>
              </a:schemeClr>
            </a:solidFill>
            <a:prstDash val="solid"/>
          </a:ln>
        </c:spPr>
        <c:crossAx val="1377977632"/>
        <c:crosses val="autoZero"/>
        <c:auto val="1"/>
        <c:lblAlgn val="ctr"/>
        <c:lblOffset val="100"/>
        <c:tickMarkSkip val="7"/>
        <c:noMultiLvlLbl val="1"/>
      </c:catAx>
      <c:valAx>
        <c:axId val="1377977632"/>
        <c:scaling>
          <c:orientation val="minMax"/>
        </c:scaling>
        <c:delete val="1"/>
        <c:axPos val="l"/>
        <c:numFmt formatCode="General" sourceLinked="1"/>
        <c:majorTickMark val="out"/>
        <c:minorTickMark val="none"/>
        <c:tickLblPos val="nextTo"/>
        <c:crossAx val="1286846576"/>
        <c:crosses val="autoZero"/>
        <c:crossBetween val="midCat"/>
      </c:valAx>
      <c:valAx>
        <c:axId val="1287523184"/>
        <c:scaling>
          <c:orientation val="minMax"/>
        </c:scaling>
        <c:delete val="1"/>
        <c:axPos val="r"/>
        <c:numFmt formatCode="General" sourceLinked="1"/>
        <c:majorTickMark val="out"/>
        <c:minorTickMark val="none"/>
        <c:tickLblPos val="nextTo"/>
        <c:crossAx val="1378794880"/>
        <c:crosses val="max"/>
        <c:crossBetween val="between"/>
      </c:valAx>
      <c:catAx>
        <c:axId val="1378794880"/>
        <c:scaling>
          <c:orientation val="minMax"/>
        </c:scaling>
        <c:delete val="1"/>
        <c:axPos val="b"/>
        <c:numFmt formatCode="General" sourceLinked="1"/>
        <c:majorTickMark val="out"/>
        <c:minorTickMark val="none"/>
        <c:tickLblPos val="nextTo"/>
        <c:crossAx val="1287523184"/>
        <c:crosses val="autoZero"/>
        <c:auto val="1"/>
        <c:lblAlgn val="ctr"/>
        <c:lblOffset val="100"/>
        <c:noMultiLvlLbl val="0"/>
      </c:catAx>
      <c:spPr>
        <a:noFill/>
      </c:spPr>
    </c:plotArea>
    <c:plotVisOnly val="0"/>
    <c:dispBlanksAs val="gap"/>
    <c:showDLblsOverMax val="0"/>
  </c:chart>
  <c:spPr>
    <a:solidFill>
      <a:schemeClr val="bg1">
        <a:lumMod val="95000"/>
      </a:schemeClr>
    </a:solidFill>
    <a:ln>
      <a:noFill/>
    </a:ln>
  </c:spPr>
  <c:txPr>
    <a:bodyPr/>
    <a:lstStyle/>
    <a:p>
      <a:pPr>
        <a:defRPr sz="800" b="0">
          <a:latin typeface="+mj-lt"/>
        </a:defRPr>
      </a:pPr>
      <a:endParaRPr lang="en-US"/>
    </a:p>
  </c:txPr>
  <c:externalData r:id="rId2">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4399308576993899E-2"/>
          <c:y val="3.9426523297491002E-2"/>
          <c:w val="0.87774435881027202"/>
          <c:h val="0.92114695340501795"/>
        </c:manualLayout>
      </c:layout>
      <c:barChart>
        <c:barDir val="col"/>
        <c:grouping val="clustered"/>
        <c:varyColors val="0"/>
        <c:ser>
          <c:idx val="1"/>
          <c:order val="1"/>
          <c:tx>
            <c:strRef>
              <c:f>'Project Timeline'!$D$20</c:f>
              <c:strCache>
                <c:ptCount val="1"/>
                <c:pt idx="0">
                  <c:v>POSITION</c:v>
                </c:pt>
              </c:strCache>
            </c:strRef>
          </c:tx>
          <c:spPr>
            <a:noFill/>
          </c:spPr>
          <c:invertIfNegative val="0"/>
          <c:dLbls>
            <c:dLbl>
              <c:idx val="0"/>
              <c:layout>
                <c:manualLayout>
                  <c:x val="-1.1978873862843399E-3"/>
                  <c:y val="6.1030918207129201E-3"/>
                </c:manualLayout>
              </c:layout>
              <c:spPr>
                <a:solidFill>
                  <a:schemeClr val="bg1">
                    <a:lumMod val="95000"/>
                  </a:schemeClr>
                </a:solidFill>
                <a:ln>
                  <a:noFill/>
                </a:ln>
                <a:effectLst/>
              </c:spPr>
              <c:txPr>
                <a:bodyPr wrap="square" lIns="38100" tIns="19050" rIns="38100" bIns="19050" anchor="ctr">
                  <a:noAutofit/>
                </a:bodyPr>
                <a:lstStyle/>
                <a:p>
                  <a:pPr>
                    <a:defRPr sz="800">
                      <a:latin typeface="Calibri Light (Heading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15553163852728"/>
                      <c:h val="0.11123712242591199"/>
                    </c:manualLayout>
                  </c15:layout>
                </c:ext>
                <c:ext xmlns:c16="http://schemas.microsoft.com/office/drawing/2014/chart" uri="{C3380CC4-5D6E-409C-BE32-E72D297353CC}">
                  <c16:uniqueId val="{00000000-0792-924C-A40B-8F7B6A08910C}"/>
                </c:ext>
              </c:extLst>
            </c:dLbl>
            <c:dLbl>
              <c:idx val="1"/>
              <c:layout>
                <c:manualLayout>
                  <c:x val="9.8488962663126709E-3"/>
                  <c:y val="4.9142395718772533E-2"/>
                </c:manualLayout>
              </c:layout>
              <c:spPr>
                <a:solidFill>
                  <a:schemeClr val="bg1">
                    <a:lumMod val="95000"/>
                  </a:schemeClr>
                </a:solidFill>
                <a:ln>
                  <a:noFill/>
                </a:ln>
                <a:effectLst/>
              </c:spPr>
              <c:txPr>
                <a:bodyPr wrap="square" lIns="38100" tIns="19050" rIns="38100" bIns="19050" anchor="ctr">
                  <a:noAutofit/>
                </a:bodyPr>
                <a:lstStyle/>
                <a:p>
                  <a:pPr>
                    <a:defRPr sz="800">
                      <a:latin typeface="Calibri Light (Heading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7.9845554785283906E-2"/>
                      <c:h val="0.18797980857838886"/>
                    </c:manualLayout>
                  </c15:layout>
                </c:ext>
                <c:ext xmlns:c16="http://schemas.microsoft.com/office/drawing/2014/chart" uri="{C3380CC4-5D6E-409C-BE32-E72D297353CC}">
                  <c16:uniqueId val="{00000001-0792-924C-A40B-8F7B6A08910C}"/>
                </c:ext>
              </c:extLst>
            </c:dLbl>
            <c:dLbl>
              <c:idx val="2"/>
              <c:layout>
                <c:manualLayout>
                  <c:x val="-4.0835845306697698E-2"/>
                  <c:y val="4.3085784528263199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0.12530512325070001"/>
                      <c:h val="0.12974220114704099"/>
                    </c:manualLayout>
                  </c15:layout>
                </c:ext>
                <c:ext xmlns:c16="http://schemas.microsoft.com/office/drawing/2014/chart" uri="{C3380CC4-5D6E-409C-BE32-E72D297353CC}">
                  <c16:uniqueId val="{00000002-0792-924C-A40B-8F7B6A08910C}"/>
                </c:ext>
              </c:extLst>
            </c:dLbl>
            <c:dLbl>
              <c:idx val="3"/>
              <c:layout>
                <c:manualLayout>
                  <c:x val="-2.51957582174764E-2"/>
                  <c:y val="4.9422241419229598E-3"/>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7.4822439647874203E-2"/>
                      <c:h val="0.134545662564137"/>
                    </c:manualLayout>
                  </c15:layout>
                </c:ext>
                <c:ext xmlns:c16="http://schemas.microsoft.com/office/drawing/2014/chart" uri="{C3380CC4-5D6E-409C-BE32-E72D297353CC}">
                  <c16:uniqueId val="{00000003-0792-924C-A40B-8F7B6A08910C}"/>
                </c:ext>
              </c:extLst>
            </c:dLbl>
            <c:dLbl>
              <c:idx val="4"/>
              <c:layout>
                <c:manualLayout>
                  <c:x val="-1.3930980317193222E-3"/>
                  <c:y val="0.19675773224860896"/>
                </c:manualLayout>
              </c:layout>
              <c:spPr>
                <a:solidFill>
                  <a:schemeClr val="bg1">
                    <a:lumMod val="95000"/>
                  </a:schemeClr>
                </a:solidFill>
                <a:ln>
                  <a:noFill/>
                </a:ln>
                <a:effectLst/>
              </c:spPr>
              <c:txPr>
                <a:bodyPr wrap="square" lIns="38100" tIns="19050" rIns="38100" bIns="19050" anchor="ctr">
                  <a:noAutofit/>
                </a:bodyPr>
                <a:lstStyle/>
                <a:p>
                  <a:pPr>
                    <a:defRPr sz="800">
                      <a:latin typeface="Calibri Light (Heading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9.6348797399011046E-2"/>
                      <c:h val="0.23554620851999525"/>
                    </c:manualLayout>
                  </c15:layout>
                </c:ext>
                <c:ext xmlns:c16="http://schemas.microsoft.com/office/drawing/2014/chart" uri="{C3380CC4-5D6E-409C-BE32-E72D297353CC}">
                  <c16:uniqueId val="{00000004-0792-924C-A40B-8F7B6A08910C}"/>
                </c:ext>
              </c:extLst>
            </c:dLbl>
            <c:dLbl>
              <c:idx val="5"/>
              <c:layout>
                <c:manualLayout>
                  <c:x val="-4.6825043715790198E-3"/>
                  <c:y val="-7.5221073644519396E-2"/>
                </c:manualLayout>
              </c:layout>
              <c:spPr>
                <a:solidFill>
                  <a:schemeClr val="bg1">
                    <a:lumMod val="95000"/>
                  </a:schemeClr>
                </a:solidFill>
                <a:ln>
                  <a:noFill/>
                </a:ln>
                <a:effectLst/>
              </c:spPr>
              <c:txPr>
                <a:bodyPr wrap="square" lIns="38100" tIns="19050" rIns="38100" bIns="19050" anchor="ctr">
                  <a:noAutofit/>
                </a:bodyPr>
                <a:lstStyle/>
                <a:p>
                  <a:pPr>
                    <a:defRPr sz="800">
                      <a:latin typeface="Calibri Light (Heading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0502373131881999"/>
                      <c:h val="0.27582403154173102"/>
                    </c:manualLayout>
                  </c15:layout>
                </c:ext>
                <c:ext xmlns:c16="http://schemas.microsoft.com/office/drawing/2014/chart" uri="{C3380CC4-5D6E-409C-BE32-E72D297353CC}">
                  <c16:uniqueId val="{00000005-0792-924C-A40B-8F7B6A08910C}"/>
                </c:ext>
              </c:extLst>
            </c:dLbl>
            <c:dLbl>
              <c:idx val="6"/>
              <c:layout>
                <c:manualLayout>
                  <c:x val="-1.18361436752075E-2"/>
                  <c:y val="1.0271047475626E-3"/>
                </c:manualLayout>
              </c:layout>
              <c:spPr>
                <a:solidFill>
                  <a:schemeClr val="bg1">
                    <a:lumMod val="95000"/>
                  </a:schemeClr>
                </a:solidFill>
                <a:ln>
                  <a:noFill/>
                </a:ln>
                <a:effectLst/>
              </c:spPr>
              <c:txPr>
                <a:bodyPr wrap="square" lIns="38100" tIns="19050" rIns="38100" bIns="19050" anchor="ctr">
                  <a:noAutofit/>
                </a:bodyPr>
                <a:lstStyle/>
                <a:p>
                  <a:pPr>
                    <a:defRPr sz="800">
                      <a:latin typeface="Calibri Light (Heading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15553163852728"/>
                      <c:h val="9.6737364088551298E-2"/>
                    </c:manualLayout>
                  </c15:layout>
                </c:ext>
                <c:ext xmlns:c16="http://schemas.microsoft.com/office/drawing/2014/chart" uri="{C3380CC4-5D6E-409C-BE32-E72D297353CC}">
                  <c16:uniqueId val="{00000006-0792-924C-A40B-8F7B6A08910C}"/>
                </c:ext>
              </c:extLst>
            </c:dLbl>
            <c:dLbl>
              <c:idx val="7"/>
              <c:layout>
                <c:manualLayout>
                  <c:x val="2.7393634957297675E-2"/>
                  <c:y val="5.1324808186770862E-2"/>
                </c:manualLayout>
              </c:layout>
              <c:spPr>
                <a:solidFill>
                  <a:schemeClr val="bg1">
                    <a:lumMod val="95000"/>
                  </a:schemeClr>
                </a:solidFill>
                <a:ln>
                  <a:noFill/>
                </a:ln>
                <a:effectLst/>
              </c:spPr>
              <c:txPr>
                <a:bodyPr wrap="square" lIns="38100" tIns="19050" rIns="38100" bIns="19050" anchor="ctr">
                  <a:noAutofit/>
                </a:bodyPr>
                <a:lstStyle/>
                <a:p>
                  <a:pPr>
                    <a:defRPr sz="800">
                      <a:latin typeface="Calibri Light (Heading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7180702280808854"/>
                      <c:h val="0.10157069734765194"/>
                    </c:manualLayout>
                  </c15:layout>
                </c:ext>
                <c:ext xmlns:c16="http://schemas.microsoft.com/office/drawing/2014/chart" uri="{C3380CC4-5D6E-409C-BE32-E72D297353CC}">
                  <c16:uniqueId val="{00000007-0792-924C-A40B-8F7B6A08910C}"/>
                </c:ext>
              </c:extLst>
            </c:dLbl>
            <c:dLbl>
              <c:idx val="8"/>
              <c:layout>
                <c:manualLayout>
                  <c:x val="-2.1250530280298573E-2"/>
                  <c:y val="4.5620403009231456E-3"/>
                </c:manualLayout>
              </c:layout>
              <c:spPr>
                <a:solidFill>
                  <a:schemeClr val="bg1">
                    <a:lumMod val="95000"/>
                  </a:schemeClr>
                </a:solidFill>
                <a:ln>
                  <a:noFill/>
                </a:ln>
                <a:effectLst/>
              </c:spPr>
              <c:txPr>
                <a:bodyPr wrap="square" lIns="38100" tIns="19050" rIns="38100" bIns="19050" anchor="ctr">
                  <a:noAutofit/>
                </a:bodyPr>
                <a:lstStyle/>
                <a:p>
                  <a:pPr>
                    <a:defRPr sz="800">
                      <a:latin typeface="Calibri Light (Heading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0084155052234765"/>
                      <c:h val="0.19489306666909972"/>
                    </c:manualLayout>
                  </c15:layout>
                </c:ext>
                <c:ext xmlns:c16="http://schemas.microsoft.com/office/drawing/2014/chart" uri="{C3380CC4-5D6E-409C-BE32-E72D297353CC}">
                  <c16:uniqueId val="{00000008-0792-924C-A40B-8F7B6A08910C}"/>
                </c:ext>
              </c:extLst>
            </c:dLbl>
            <c:dLbl>
              <c:idx val="9"/>
              <c:layout>
                <c:manualLayout>
                  <c:x val="-3.6150458196667602E-2"/>
                  <c:y val="4.9779266842941899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0.11555319735976401"/>
                      <c:h val="5.8071433811703203E-2"/>
                    </c:manualLayout>
                  </c15:layout>
                </c:ext>
                <c:ext xmlns:c16="http://schemas.microsoft.com/office/drawing/2014/chart" uri="{C3380CC4-5D6E-409C-BE32-E72D297353CC}">
                  <c16:uniqueId val="{00000009-0792-924C-A40B-8F7B6A08910C}"/>
                </c:ext>
              </c:extLst>
            </c:dLbl>
            <c:dLbl>
              <c:idx val="10"/>
              <c:layout>
                <c:manualLayout>
                  <c:x val="3.6260538063491075E-2"/>
                  <c:y val="2.7877825019844697E-2"/>
                </c:manualLayout>
              </c:layout>
              <c:spPr>
                <a:solidFill>
                  <a:schemeClr val="bg1">
                    <a:lumMod val="95000"/>
                  </a:schemeClr>
                </a:solidFill>
                <a:ln>
                  <a:noFill/>
                </a:ln>
                <a:effectLst/>
              </c:spPr>
              <c:txPr>
                <a:bodyPr wrap="square" lIns="38100" tIns="19050" rIns="38100" bIns="19050" anchor="ctr">
                  <a:noAutofit/>
                </a:bodyPr>
                <a:lstStyle/>
                <a:p>
                  <a:pPr>
                    <a:defRPr sz="800">
                      <a:latin typeface="Calibri Light (Heading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1014551236286001"/>
                      <c:h val="0.25402679928166899"/>
                    </c:manualLayout>
                  </c15:layout>
                </c:ext>
                <c:ext xmlns:c16="http://schemas.microsoft.com/office/drawing/2014/chart" uri="{C3380CC4-5D6E-409C-BE32-E72D297353CC}">
                  <c16:uniqueId val="{0000000A-0792-924C-A40B-8F7B6A08910C}"/>
                </c:ext>
              </c:extLst>
            </c:dLbl>
            <c:dLbl>
              <c:idx val="11"/>
              <c:layout>
                <c:manualLayout>
                  <c:x val="-5.8484657223366189E-2"/>
                  <c:y val="2.9598041988667986E-2"/>
                </c:manualLayout>
              </c:layout>
              <c:spPr>
                <a:solidFill>
                  <a:schemeClr val="bg1">
                    <a:lumMod val="95000"/>
                  </a:schemeClr>
                </a:solidFill>
                <a:ln>
                  <a:noFill/>
                </a:ln>
                <a:effectLst/>
              </c:spPr>
              <c:txPr>
                <a:bodyPr wrap="square" lIns="38100" tIns="19050" rIns="38100" bIns="19050" anchor="ctr">
                  <a:noAutofit/>
                </a:bodyPr>
                <a:lstStyle/>
                <a:p>
                  <a:pPr>
                    <a:defRPr sz="800">
                      <a:latin typeface="Calibri Light (Heading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3281943567829316"/>
                      <c:h val="0.24516633059917337"/>
                    </c:manualLayout>
                  </c15:layout>
                </c:ext>
                <c:ext xmlns:c16="http://schemas.microsoft.com/office/drawing/2014/chart" uri="{C3380CC4-5D6E-409C-BE32-E72D297353CC}">
                  <c16:uniqueId val="{0000000B-0792-924C-A40B-8F7B6A08910C}"/>
                </c:ext>
              </c:extLst>
            </c:dLbl>
            <c:dLbl>
              <c:idx val="12"/>
              <c:layout>
                <c:manualLayout>
                  <c:x val="9.80889215392086E-3"/>
                  <c:y val="0.239641204041489"/>
                </c:manualLayout>
              </c:layout>
              <c:spPr>
                <a:solidFill>
                  <a:schemeClr val="bg1">
                    <a:lumMod val="95000"/>
                  </a:schemeClr>
                </a:solidFill>
                <a:ln>
                  <a:noFill/>
                </a:ln>
                <a:effectLst/>
              </c:spPr>
              <c:txPr>
                <a:bodyPr wrap="square" lIns="38100" tIns="19050" rIns="38100" bIns="19050" anchor="ctr">
                  <a:noAutofit/>
                </a:bodyPr>
                <a:lstStyle/>
                <a:p>
                  <a:pPr>
                    <a:defRPr sz="800">
                      <a:latin typeface="Calibri Light (Heading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02647603280732"/>
                      <c:h val="0.13395417162994799"/>
                    </c:manualLayout>
                  </c15:layout>
                </c:ext>
                <c:ext xmlns:c16="http://schemas.microsoft.com/office/drawing/2014/chart" uri="{C3380CC4-5D6E-409C-BE32-E72D297353CC}">
                  <c16:uniqueId val="{0000000C-0792-924C-A40B-8F7B6A08910C}"/>
                </c:ext>
              </c:extLst>
            </c:dLbl>
            <c:dLbl>
              <c:idx val="13"/>
              <c:layout>
                <c:manualLayout>
                  <c:x val="1.1979924579113E-3"/>
                  <c:y val="4.7300549695439002E-2"/>
                </c:manualLayout>
              </c:layout>
              <c:spPr>
                <a:solidFill>
                  <a:schemeClr val="bg1">
                    <a:lumMod val="95000"/>
                  </a:schemeClr>
                </a:solidFill>
                <a:ln>
                  <a:noFill/>
                </a:ln>
                <a:effectLst/>
              </c:spPr>
              <c:txPr>
                <a:bodyPr wrap="square" lIns="38100" tIns="19050" rIns="38100" bIns="19050" anchor="ctr">
                  <a:noAutofit/>
                </a:bodyPr>
                <a:lstStyle/>
                <a:p>
                  <a:pPr>
                    <a:defRPr sz="800">
                      <a:latin typeface="Calibri Light (Heading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1016454771848599"/>
                      <c:h val="0.11856821670876"/>
                    </c:manualLayout>
                  </c15:layout>
                </c:ext>
                <c:ext xmlns:c16="http://schemas.microsoft.com/office/drawing/2014/chart" uri="{C3380CC4-5D6E-409C-BE32-E72D297353CC}">
                  <c16:uniqueId val="{0000000D-0792-924C-A40B-8F7B6A08910C}"/>
                </c:ext>
              </c:extLst>
            </c:dLbl>
            <c:dLbl>
              <c:idx val="14"/>
              <c:layout>
                <c:manualLayout>
                  <c:x val="6.3679622176005901E-4"/>
                  <c:y val="2.9229194756882199E-2"/>
                </c:manualLayout>
              </c:layout>
              <c:spPr>
                <a:solidFill>
                  <a:schemeClr val="bg1">
                    <a:lumMod val="95000"/>
                  </a:schemeClr>
                </a:solidFill>
                <a:ln>
                  <a:noFill/>
                </a:ln>
                <a:effectLst/>
              </c:spPr>
              <c:txPr>
                <a:bodyPr wrap="square" lIns="38100" tIns="19050" rIns="38100" bIns="19050" anchor="ctr">
                  <a:noAutofit/>
                </a:bodyPr>
                <a:lstStyle/>
                <a:p>
                  <a:pPr>
                    <a:defRPr sz="800">
                      <a:latin typeface="Calibri Light (Heading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9.8919550299313694E-2"/>
                      <c:h val="0.32492407129612899"/>
                    </c:manualLayout>
                  </c15:layout>
                </c:ext>
                <c:ext xmlns:c16="http://schemas.microsoft.com/office/drawing/2014/chart" uri="{C3380CC4-5D6E-409C-BE32-E72D297353CC}">
                  <c16:uniqueId val="{0000000E-0792-924C-A40B-8F7B6A08910C}"/>
                </c:ext>
              </c:extLst>
            </c:dLbl>
            <c:dLbl>
              <c:idx val="15"/>
              <c:layout>
                <c:manualLayout>
                  <c:x val="-4.9126144054594999E-2"/>
                  <c:y val="1.95533193636192E-2"/>
                </c:manualLayout>
              </c:layout>
              <c:spPr>
                <a:solidFill>
                  <a:schemeClr val="bg1">
                    <a:lumMod val="95000"/>
                  </a:schemeClr>
                </a:solidFill>
                <a:ln>
                  <a:noFill/>
                </a:ln>
                <a:effectLst/>
              </c:spPr>
              <c:txPr>
                <a:bodyPr wrap="square" lIns="38100" tIns="19050" rIns="38100" bIns="19050" anchor="ctr">
                  <a:noAutofit/>
                </a:bodyPr>
                <a:lstStyle/>
                <a:p>
                  <a:pPr>
                    <a:defRPr sz="800">
                      <a:latin typeface="Calibri Light (Heading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7305092701657501"/>
                      <c:h val="0.21718437082157199"/>
                    </c:manualLayout>
                  </c15:layout>
                </c:ext>
                <c:ext xmlns:c16="http://schemas.microsoft.com/office/drawing/2014/chart" uri="{C3380CC4-5D6E-409C-BE32-E72D297353CC}">
                  <c16:uniqueId val="{0000000F-0792-924C-A40B-8F7B6A08910C}"/>
                </c:ext>
              </c:extLst>
            </c:dLbl>
            <c:dLbl>
              <c:idx val="16"/>
              <c:layout>
                <c:manualLayout>
                  <c:x val="-1.0341759185491682E-3"/>
                  <c:y val="7.1146832865670223E-2"/>
                </c:manualLayout>
              </c:layout>
              <c:spPr>
                <a:solidFill>
                  <a:schemeClr val="bg1">
                    <a:lumMod val="95000"/>
                  </a:schemeClr>
                </a:solidFill>
                <a:ln>
                  <a:noFill/>
                </a:ln>
                <a:effectLst/>
              </c:spPr>
              <c:txPr>
                <a:bodyPr wrap="square" lIns="38100" tIns="19050" rIns="38100" bIns="19050" anchor="ctr">
                  <a:noAutofit/>
                </a:bodyPr>
                <a:lstStyle/>
                <a:p>
                  <a:pPr>
                    <a:defRPr sz="800">
                      <a:latin typeface="Calibri Light (Heading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4139221427807727"/>
                      <c:h val="0.16762301438855484"/>
                    </c:manualLayout>
                  </c15:layout>
                </c:ext>
                <c:ext xmlns:c16="http://schemas.microsoft.com/office/drawing/2014/chart" uri="{C3380CC4-5D6E-409C-BE32-E72D297353CC}">
                  <c16:uniqueId val="{00000010-0792-924C-A40B-8F7B6A08910C}"/>
                </c:ext>
              </c:extLst>
            </c:dLbl>
            <c:dLbl>
              <c:idx val="17"/>
              <c:layout>
                <c:manualLayout>
                  <c:x val="5.3324986807660658E-2"/>
                  <c:y val="-5.4845620279630962E-2"/>
                </c:manualLayout>
              </c:layout>
              <c:spPr>
                <a:solidFill>
                  <a:schemeClr val="bg1">
                    <a:lumMod val="95000"/>
                  </a:schemeClr>
                </a:solidFill>
                <a:ln>
                  <a:noFill/>
                </a:ln>
                <a:effectLst/>
              </c:spPr>
              <c:txPr>
                <a:bodyPr wrap="square" lIns="38100" tIns="19050" rIns="38100" bIns="19050" anchor="ctr">
                  <a:noAutofit/>
                </a:bodyPr>
                <a:lstStyle/>
                <a:p>
                  <a:pPr>
                    <a:defRPr sz="800">
                      <a:latin typeface="Calibri Light (Heading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7085763425432532"/>
                      <c:h val="0.13247141905639548"/>
                    </c:manualLayout>
                  </c15:layout>
                </c:ext>
                <c:ext xmlns:c16="http://schemas.microsoft.com/office/drawing/2014/chart" uri="{C3380CC4-5D6E-409C-BE32-E72D297353CC}">
                  <c16:uniqueId val="{00000011-0792-924C-A40B-8F7B6A08910C}"/>
                </c:ext>
              </c:extLst>
            </c:dLbl>
            <c:dLbl>
              <c:idx val="18"/>
              <c:layout>
                <c:manualLayout>
                  <c:x val="-1.7562711034313658E-2"/>
                  <c:y val="-5.2304645670187E-8"/>
                </c:manualLayout>
              </c:layout>
              <c:spPr>
                <a:solidFill>
                  <a:schemeClr val="bg1">
                    <a:lumMod val="95000"/>
                  </a:schemeClr>
                </a:solidFill>
                <a:ln>
                  <a:noFill/>
                </a:ln>
                <a:effectLst/>
              </c:spPr>
              <c:txPr>
                <a:bodyPr wrap="square" lIns="38100" tIns="19050" rIns="38100" bIns="19050" anchor="ctr">
                  <a:noAutofit/>
                </a:bodyPr>
                <a:lstStyle/>
                <a:p>
                  <a:pPr>
                    <a:defRPr sz="800">
                      <a:latin typeface="Calibri Light (Heading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3261479634362394"/>
                      <c:h val="0.35332159378107864"/>
                    </c:manualLayout>
                  </c15:layout>
                </c:ext>
                <c:ext xmlns:c16="http://schemas.microsoft.com/office/drawing/2014/chart" uri="{C3380CC4-5D6E-409C-BE32-E72D297353CC}">
                  <c16:uniqueId val="{00000012-0792-924C-A40B-8F7B6A08910C}"/>
                </c:ext>
              </c:extLst>
            </c:dLbl>
            <c:dLbl>
              <c:idx val="19"/>
              <c:layout>
                <c:manualLayout>
                  <c:x val="-9.4651440580439928E-4"/>
                  <c:y val="8.1384293938923921E-2"/>
                </c:manualLayout>
              </c:layout>
              <c:spPr>
                <a:solidFill>
                  <a:schemeClr val="bg1">
                    <a:lumMod val="95000"/>
                  </a:schemeClr>
                </a:solidFill>
                <a:ln>
                  <a:noFill/>
                </a:ln>
                <a:effectLst/>
              </c:spPr>
              <c:txPr>
                <a:bodyPr wrap="square" lIns="38100" tIns="19050" rIns="38100" bIns="19050" anchor="ctr">
                  <a:noAutofit/>
                </a:bodyPr>
                <a:lstStyle/>
                <a:p>
                  <a:pPr>
                    <a:defRPr sz="800">
                      <a:latin typeface="Calibri Light (Heading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3146318273947688"/>
                      <c:h val="0.28541208565615278"/>
                    </c:manualLayout>
                  </c15:layout>
                </c:ext>
                <c:ext xmlns:c16="http://schemas.microsoft.com/office/drawing/2014/chart" uri="{C3380CC4-5D6E-409C-BE32-E72D297353CC}">
                  <c16:uniqueId val="{00000013-0792-924C-A40B-8F7B6A08910C}"/>
                </c:ext>
              </c:extLst>
            </c:dLbl>
            <c:dLbl>
              <c:idx val="20"/>
              <c:layout>
                <c:manualLayout>
                  <c:x val="1.0859393232876114E-2"/>
                  <c:y val="7.3198237242360895E-2"/>
                </c:manualLayout>
              </c:layout>
              <c:spPr>
                <a:solidFill>
                  <a:schemeClr val="bg1">
                    <a:lumMod val="95000"/>
                  </a:schemeClr>
                </a:solidFill>
                <a:ln>
                  <a:noFill/>
                </a:ln>
                <a:effectLst/>
              </c:spPr>
              <c:txPr>
                <a:bodyPr wrap="square" lIns="38100" tIns="19050" rIns="38100" bIns="19050" anchor="ctr">
                  <a:noAutofit/>
                </a:bodyPr>
                <a:lstStyle/>
                <a:p>
                  <a:pPr>
                    <a:defRPr sz="800">
                      <a:latin typeface="Calibri Light (Heading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7.795723957632758E-2"/>
                      <c:h val="0.33443969489329478"/>
                    </c:manualLayout>
                  </c15:layout>
                </c:ext>
                <c:ext xmlns:c16="http://schemas.microsoft.com/office/drawing/2014/chart" uri="{C3380CC4-5D6E-409C-BE32-E72D297353CC}">
                  <c16:uniqueId val="{00000014-0792-924C-A40B-8F7B6A08910C}"/>
                </c:ext>
              </c:extLst>
            </c:dLbl>
            <c:dLbl>
              <c:idx val="21"/>
              <c:layout>
                <c:manualLayout>
                  <c:x val="2.4765038404364965E-2"/>
                  <c:y val="3.7696496914622409E-2"/>
                </c:manualLayout>
              </c:layout>
              <c:spPr>
                <a:solidFill>
                  <a:schemeClr val="bg1">
                    <a:lumMod val="95000"/>
                  </a:schemeClr>
                </a:solidFill>
                <a:ln>
                  <a:noFill/>
                </a:ln>
                <a:effectLst/>
              </c:spPr>
              <c:txPr>
                <a:bodyPr wrap="square" lIns="38100" tIns="19050" rIns="38100" bIns="19050" anchor="ctr">
                  <a:noAutofit/>
                </a:bodyPr>
                <a:lstStyle/>
                <a:p>
                  <a:pPr>
                    <a:defRPr sz="800">
                      <a:latin typeface="Calibri Light (Heading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8.8156900886732129E-2"/>
                      <c:h val="0.25482249249550643"/>
                    </c:manualLayout>
                  </c15:layout>
                </c:ext>
                <c:ext xmlns:c16="http://schemas.microsoft.com/office/drawing/2014/chart" uri="{C3380CC4-5D6E-409C-BE32-E72D297353CC}">
                  <c16:uniqueId val="{00000015-0792-924C-A40B-8F7B6A08910C}"/>
                </c:ext>
              </c:extLst>
            </c:dLbl>
            <c:dLbl>
              <c:idx val="22"/>
              <c:layout>
                <c:manualLayout>
                  <c:x val="3.4178562765068296E-2"/>
                  <c:y val="3.0417377578671721E-2"/>
                </c:manualLayout>
              </c:layout>
              <c:tx>
                <c:rich>
                  <a:bodyPr wrap="square" lIns="38100" tIns="19050" rIns="38100" bIns="19050" anchor="ctr">
                    <a:noAutofit/>
                  </a:bodyPr>
                  <a:lstStyle/>
                  <a:p>
                    <a:pPr>
                      <a:defRPr sz="800">
                        <a:latin typeface="Calibri Light (Headings)"/>
                      </a:defRPr>
                    </a:pPr>
                    <a:fld id="{8FCD95DF-7DE9-45FA-A335-77AAF145E83B}" type="CELLREF">
                      <a:rPr lang="en-US"/>
                      <a:pPr>
                        <a:defRPr sz="800">
                          <a:latin typeface="Calibri Light (Headings)"/>
                        </a:defRPr>
                      </a:pPr>
                      <a:t>[CELLREF]</a:t>
                    </a:fld>
                    <a:endParaRPr lang="en-GB"/>
                  </a:p>
                </c:rich>
              </c:tx>
              <c:spPr>
                <a:solidFill>
                  <a:schemeClr val="bg1">
                    <a:lumMod val="95000"/>
                  </a:schemeClr>
                </a:solidFill>
                <a:ln>
                  <a:noFill/>
                </a:ln>
                <a:effectLst/>
              </c:sp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2901164949650676"/>
                      <c:h val="0.35366214724318207"/>
                    </c:manualLayout>
                  </c15:layout>
                  <c15:dlblFieldTable>
                    <c15:dlblFTEntry>
                      <c15:txfldGUID>{8FCD95DF-7DE9-45FA-A335-77AAF145E83B}</c15:txfldGUID>
                      <c15:f>'Project Timeline'!$C$43</c15:f>
                      <c15:dlblFieldTableCache>
                        <c:ptCount val="1"/>
                        <c:pt idx="0">
                          <c:v>BMGF gives $20 million to Bank trust fund for lymphatic filariasis elimination; Global Fund for AIDS, Tuberculosis &amp; Malaria established; Stop TB launched; Abuja Declaration (African countries pledge increased domestic resource allocation for health)</c:v>
                        </c:pt>
                      </c15:dlblFieldTableCache>
                    </c15:dlblFTEntry>
                  </c15:dlblFieldTable>
                  <c15:showDataLabelsRange val="0"/>
                </c:ext>
                <c:ext xmlns:c16="http://schemas.microsoft.com/office/drawing/2014/chart" uri="{C3380CC4-5D6E-409C-BE32-E72D297353CC}">
                  <c16:uniqueId val="{00000016-0792-924C-A40B-8F7B6A08910C}"/>
                </c:ext>
              </c:extLst>
            </c:dLbl>
            <c:dLbl>
              <c:idx val="23"/>
              <c:layout>
                <c:manualLayout>
                  <c:x val="3.2862513848790097E-2"/>
                  <c:y val="0.102821120184605"/>
                </c:manualLayout>
              </c:layout>
              <c:spPr>
                <a:solidFill>
                  <a:schemeClr val="bg1">
                    <a:lumMod val="95000"/>
                  </a:schemeClr>
                </a:solidFill>
                <a:ln>
                  <a:noFill/>
                </a:ln>
                <a:effectLst/>
              </c:spPr>
              <c:txPr>
                <a:bodyPr wrap="square" lIns="38100" tIns="19050" rIns="38100" bIns="19050" anchor="ctr">
                  <a:noAutofit/>
                </a:bodyPr>
                <a:lstStyle/>
                <a:p>
                  <a:pPr>
                    <a:defRPr sz="800">
                      <a:latin typeface="Calibri Light (Heading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8.7135198770324496E-2"/>
                      <c:h val="0.281685137382722"/>
                    </c:manualLayout>
                  </c15:layout>
                </c:ext>
                <c:ext xmlns:c16="http://schemas.microsoft.com/office/drawing/2014/chart" uri="{C3380CC4-5D6E-409C-BE32-E72D297353CC}">
                  <c16:uniqueId val="{00000017-0792-924C-A40B-8F7B6A08910C}"/>
                </c:ext>
              </c:extLst>
            </c:dLbl>
            <c:spPr>
              <a:solidFill>
                <a:schemeClr val="bg1">
                  <a:lumMod val="95000"/>
                </a:schemeClr>
              </a:solidFill>
              <a:ln>
                <a:noFill/>
              </a:ln>
              <a:effectLst/>
            </c:spPr>
            <c:txPr>
              <a:bodyPr wrap="square" lIns="38100" tIns="19050" rIns="38100" bIns="19050" anchor="ctr">
                <a:spAutoFit/>
              </a:bodyPr>
              <a:lstStyle/>
              <a:p>
                <a:pPr>
                  <a:defRPr sz="800">
                    <a:latin typeface="Calibri Light (Headings)"/>
                  </a:defRPr>
                </a:pPr>
                <a:endParaRPr lang="en-US"/>
              </a:p>
            </c:txPr>
            <c:dLblPos val="outEnd"/>
            <c:showLegendKey val="0"/>
            <c:showVal val="0"/>
            <c:showCatName val="1"/>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errBars>
            <c:errBarType val="minus"/>
            <c:errValType val="percentage"/>
            <c:noEndCap val="0"/>
            <c:val val="100"/>
            <c:spPr>
              <a:ln>
                <a:solidFill>
                  <a:schemeClr val="tx1">
                    <a:lumMod val="65000"/>
                    <a:lumOff val="35000"/>
                  </a:schemeClr>
                </a:solidFill>
              </a:ln>
            </c:spPr>
          </c:errBars>
          <c:cat>
            <c:strRef>
              <c:f>'Project Timeline'!$C$21:$C$44</c:f>
              <c:strCache>
                <c:ptCount val="24"/>
                <c:pt idx="0">
                  <c:v>WHO organizes First World Population Conference (Rome)</c:v>
                </c:pt>
                <c:pt idx="1">
                  <c:v>World Health Assembly: malaria eradication proposal</c:v>
                </c:pt>
                <c:pt idx="2">
                  <c:v>FAO and UN General Assembly establish World Food Programme (WFP)</c:v>
                </c:pt>
                <c:pt idx="3">
                  <c:v>WHO launches plan to eradicate smallpox</c:v>
                </c:pt>
                <c:pt idx="4">
                  <c:v>UN Fund for Population Activities (UNFPA) begins operations, administered by UNDP</c:v>
                </c:pt>
                <c:pt idx="5">
                  <c:v>WHO creates Expanded Programme on Immunization (EPI); WFP has first ever multi-national airlift of food aid to the West African sahel (drought)</c:v>
                </c:pt>
                <c:pt idx="6">
                  <c:v>UNICEF board commits to 'basic services' approach</c:v>
                </c:pt>
                <c:pt idx="7">
                  <c:v>Rockefeller Fdn creates network of research groups to study the 'great neglected diseases'</c:v>
                </c:pt>
                <c:pt idx="8">
                  <c:v>International Conference on Primary Health Care (Alma-Ata) sets 'Health for All by 2000' agenda</c:v>
                </c:pt>
                <c:pt idx="9">
                  <c:v>Smallpox eradicated</c:v>
                </c:pt>
                <c:pt idx="10">
                  <c:v>UNICEF launches Child Survival &amp; Development Revolution (GSDR), introducing 'GOBI' &amp; selective primary health care</c:v>
                </c:pt>
                <c:pt idx="11">
                  <c:v>Task Force for Child Survival and Development (universal immunization by 1990) established by the Rockefeller Fdn, WHO, UNDP, UNICEF, &amp; Bank </c:v>
                </c:pt>
                <c:pt idx="12">
                  <c:v>Rotary International etablishes PolioPlus </c:v>
                </c:pt>
                <c:pt idx="13">
                  <c:v>Carter Center begins program for guinea worm eradication</c:v>
                </c:pt>
                <c:pt idx="14">
                  <c:v>Banmako Initiative (emphasizing drug access through user fees) put forward by UNICEF and WHO, &amp; adopted by African health ministers</c:v>
                </c:pt>
                <c:pt idx="15">
                  <c:v>World Health Assembly: resolution to eradicate polio by 2000; Global Polio Eradication Initiative (GPEI) launched by WHO, Rotary International, U.S. CDC, &amp; UNICEF; Carter Center forms International Task Force for Disease Eradication</c:v>
                </c:pt>
                <c:pt idx="16">
                  <c:v>Bill &amp; Melinda Gates consolidates giving on 2 initiatives: global health and North West community needs</c:v>
                </c:pt>
                <c:pt idx="17">
                  <c:v>20/20 Initiative backed by UNDP, UNESCO, UNFPA, UNICEF, &amp; WHO to generate resources to access basic social services by 2000</c:v>
                </c:pt>
                <c:pt idx="18">
                  <c:v>Joint UN Programme on HIV/AIDS (UNAIDS) established by UNDP, UNESCO, UNFPA, UNICEF, &amp; Bank; UN Special Initiative for Africa launched to address aid fragmentation; Sector-wide approach (SWAps) framework launched; Global Forum on Health Research launched</c:v>
                </c:pt>
                <c:pt idx="19">
                  <c:v>Roll Back Malaria PPP initiated by WHO, UNDP, UNICEF, &amp; Bank; Cooperative Programme to Eliminate Elephantitis (free drug distribution) launched by Smith Kline Beecham, WHO, &amp; Bank</c:v>
                </c:pt>
                <c:pt idx="20">
                  <c:v>Medicines for Malaria Venture (MMV) PPP launched; Global Alliance for Vaccines &amp; Immunization (GAVI) PPP launched</c:v>
                </c:pt>
                <c:pt idx="21">
                  <c:v>Millennium Development Goals launched; first GAVI vaccines delivered (with support of BMGF)</c:v>
                </c:pt>
                <c:pt idx="22">
                  <c:v>BMGF gives $20 million to Bank trust fund for lymphatic filariasis elimination; Global Fund for AIDS, Tuberculosis &amp; Malaria established; Stop TB launched; Abuja Declaration (African countries pledge increased domestic resource allocation for health)</c:v>
                </c:pt>
                <c:pt idx="23">
                  <c:v>Monterrey Consensus for financing MDGs; Global Alliance for Improved Nutrition (GAIN) PPP launched at special UN session</c:v>
                </c:pt>
              </c:strCache>
            </c:strRef>
          </c:cat>
          <c:val>
            <c:numRef>
              <c:f>'Project Timeline'!$D$21:$D$44</c:f>
              <c:numCache>
                <c:formatCode>General</c:formatCode>
                <c:ptCount val="24"/>
                <c:pt idx="0">
                  <c:v>20</c:v>
                </c:pt>
                <c:pt idx="1">
                  <c:v>5</c:v>
                </c:pt>
                <c:pt idx="2">
                  <c:v>-10</c:v>
                </c:pt>
                <c:pt idx="3">
                  <c:v>-15</c:v>
                </c:pt>
                <c:pt idx="4">
                  <c:v>15</c:v>
                </c:pt>
                <c:pt idx="5">
                  <c:v>-10</c:v>
                </c:pt>
                <c:pt idx="6">
                  <c:v>20</c:v>
                </c:pt>
                <c:pt idx="7">
                  <c:v>-5</c:v>
                </c:pt>
                <c:pt idx="8">
                  <c:v>8</c:v>
                </c:pt>
                <c:pt idx="9">
                  <c:v>20</c:v>
                </c:pt>
                <c:pt idx="10">
                  <c:v>10</c:v>
                </c:pt>
                <c:pt idx="11">
                  <c:v>-15</c:v>
                </c:pt>
                <c:pt idx="12">
                  <c:v>15</c:v>
                </c:pt>
                <c:pt idx="13">
                  <c:v>-5</c:v>
                </c:pt>
                <c:pt idx="14">
                  <c:v>10</c:v>
                </c:pt>
                <c:pt idx="15">
                  <c:v>-10</c:v>
                </c:pt>
                <c:pt idx="16">
                  <c:v>5</c:v>
                </c:pt>
                <c:pt idx="17">
                  <c:v>-12</c:v>
                </c:pt>
                <c:pt idx="18">
                  <c:v>15</c:v>
                </c:pt>
                <c:pt idx="19">
                  <c:v>-5</c:v>
                </c:pt>
                <c:pt idx="20">
                  <c:v>5</c:v>
                </c:pt>
                <c:pt idx="21">
                  <c:v>-10</c:v>
                </c:pt>
                <c:pt idx="22">
                  <c:v>15</c:v>
                </c:pt>
                <c:pt idx="23">
                  <c:v>-10</c:v>
                </c:pt>
              </c:numCache>
            </c:numRef>
          </c:val>
          <c:extLst>
            <c:ext xmlns:c16="http://schemas.microsoft.com/office/drawing/2014/chart" uri="{C3380CC4-5D6E-409C-BE32-E72D297353CC}">
              <c16:uniqueId val="{00000018-0792-924C-A40B-8F7B6A08910C}"/>
            </c:ext>
          </c:extLst>
        </c:ser>
        <c:dLbls>
          <c:showLegendKey val="0"/>
          <c:showVal val="0"/>
          <c:showCatName val="0"/>
          <c:showSerName val="0"/>
          <c:showPercent val="0"/>
          <c:showBubbleSize val="0"/>
        </c:dLbls>
        <c:gapWidth val="150"/>
        <c:axId val="1295683984"/>
        <c:axId val="1295680176"/>
      </c:barChart>
      <c:lineChart>
        <c:grouping val="standard"/>
        <c:varyColors val="0"/>
        <c:ser>
          <c:idx val="0"/>
          <c:order val="0"/>
          <c:tx>
            <c:strRef>
              <c:f>'Project Timeline'!$B$20</c:f>
              <c:strCache>
                <c:ptCount val="1"/>
                <c:pt idx="0">
                  <c:v>DATE</c:v>
                </c:pt>
              </c:strCache>
            </c:strRef>
          </c:tx>
          <c:spPr>
            <a:ln>
              <a:noFill/>
            </a:ln>
          </c:spPr>
          <c:marker>
            <c:symbol val="circle"/>
            <c:size val="7"/>
            <c:spPr>
              <a:solidFill>
                <a:schemeClr val="accent3">
                  <a:lumMod val="75000"/>
                </a:schemeClr>
              </a:solidFill>
              <a:ln w="63500" cmpd="thinThick">
                <a:solidFill>
                  <a:schemeClr val="accent3">
                    <a:lumMod val="75000"/>
                  </a:schemeClr>
                </a:solidFill>
              </a:ln>
            </c:spPr>
          </c:marker>
          <c:errBars>
            <c:errDir val="y"/>
            <c:errBarType val="both"/>
            <c:errValType val="percentage"/>
            <c:noEndCap val="0"/>
            <c:val val="5"/>
          </c:errBars>
          <c:cat>
            <c:numRef>
              <c:f>'Project Timeline'!$B$21:$B$44</c:f>
              <c:numCache>
                <c:formatCode>General</c:formatCode>
                <c:ptCount val="24"/>
                <c:pt idx="0">
                  <c:v>1954</c:v>
                </c:pt>
                <c:pt idx="1">
                  <c:v>1955</c:v>
                </c:pt>
                <c:pt idx="2">
                  <c:v>1961</c:v>
                </c:pt>
                <c:pt idx="3">
                  <c:v>1967</c:v>
                </c:pt>
                <c:pt idx="4">
                  <c:v>1969</c:v>
                </c:pt>
                <c:pt idx="5">
                  <c:v>1974</c:v>
                </c:pt>
                <c:pt idx="6">
                  <c:v>1976</c:v>
                </c:pt>
                <c:pt idx="7">
                  <c:v>1977</c:v>
                </c:pt>
                <c:pt idx="8">
                  <c:v>1978</c:v>
                </c:pt>
                <c:pt idx="9">
                  <c:v>1980</c:v>
                </c:pt>
                <c:pt idx="10">
                  <c:v>1982</c:v>
                </c:pt>
                <c:pt idx="11">
                  <c:v>1984</c:v>
                </c:pt>
                <c:pt idx="12">
                  <c:v>1985</c:v>
                </c:pt>
                <c:pt idx="13">
                  <c:v>1986</c:v>
                </c:pt>
                <c:pt idx="14">
                  <c:v>1987</c:v>
                </c:pt>
                <c:pt idx="15">
                  <c:v>1988</c:v>
                </c:pt>
                <c:pt idx="16">
                  <c:v>1994</c:v>
                </c:pt>
                <c:pt idx="17">
                  <c:v>1995</c:v>
                </c:pt>
                <c:pt idx="18">
                  <c:v>1996</c:v>
                </c:pt>
                <c:pt idx="19">
                  <c:v>1998</c:v>
                </c:pt>
                <c:pt idx="20">
                  <c:v>1999</c:v>
                </c:pt>
                <c:pt idx="21">
                  <c:v>2000</c:v>
                </c:pt>
                <c:pt idx="22">
                  <c:v>2001</c:v>
                </c:pt>
                <c:pt idx="23">
                  <c:v>2002</c:v>
                </c:pt>
              </c:numCache>
            </c:numRef>
          </c:cat>
          <c:val>
            <c:numRef>
              <c:f>'Project Timeline'!$E$21:$E$44</c:f>
              <c:numCache>
                <c:formatCode>General</c:formatCode>
                <c:ptCount val="24"/>
                <c:pt idx="0">
                  <c:v>1</c:v>
                </c:pt>
                <c:pt idx="1">
                  <c:v>1</c:v>
                </c:pt>
                <c:pt idx="2">
                  <c:v>1</c:v>
                </c:pt>
                <c:pt idx="3">
                  <c:v>1</c:v>
                </c:pt>
                <c:pt idx="4">
                  <c:v>1</c:v>
                </c:pt>
                <c:pt idx="5">
                  <c:v>1</c:v>
                </c:pt>
                <c:pt idx="6">
                  <c:v>1</c:v>
                </c:pt>
                <c:pt idx="7">
                  <c:v>1</c:v>
                </c:pt>
                <c:pt idx="8">
                  <c:v>1</c:v>
                </c:pt>
                <c:pt idx="9">
                  <c:v>1</c:v>
                </c:pt>
                <c:pt idx="10">
                  <c:v>1</c:v>
                </c:pt>
                <c:pt idx="11">
                  <c:v>1</c:v>
                </c:pt>
                <c:pt idx="12">
                  <c:v>1</c:v>
                </c:pt>
                <c:pt idx="13">
                  <c:v>1</c:v>
                </c:pt>
                <c:pt idx="14">
                  <c:v>1</c:v>
                </c:pt>
                <c:pt idx="15">
                  <c:v>1</c:v>
                </c:pt>
                <c:pt idx="16">
                  <c:v>1</c:v>
                </c:pt>
                <c:pt idx="17">
                  <c:v>1</c:v>
                </c:pt>
                <c:pt idx="18">
                  <c:v>1</c:v>
                </c:pt>
                <c:pt idx="19">
                  <c:v>1</c:v>
                </c:pt>
                <c:pt idx="20">
                  <c:v>1</c:v>
                </c:pt>
                <c:pt idx="21">
                  <c:v>1</c:v>
                </c:pt>
                <c:pt idx="22">
                  <c:v>1</c:v>
                </c:pt>
                <c:pt idx="23">
                  <c:v>1</c:v>
                </c:pt>
              </c:numCache>
            </c:numRef>
          </c:val>
          <c:smooth val="1"/>
          <c:extLst>
            <c:ext xmlns:c16="http://schemas.microsoft.com/office/drawing/2014/chart" uri="{C3380CC4-5D6E-409C-BE32-E72D297353CC}">
              <c16:uniqueId val="{00000019-0792-924C-A40B-8F7B6A08910C}"/>
            </c:ext>
          </c:extLst>
        </c:ser>
        <c:dLbls>
          <c:showLegendKey val="0"/>
          <c:showVal val="0"/>
          <c:showCatName val="0"/>
          <c:showSerName val="0"/>
          <c:showPercent val="0"/>
          <c:showBubbleSize val="0"/>
        </c:dLbls>
        <c:marker val="1"/>
        <c:smooth val="0"/>
        <c:axId val="1375610528"/>
        <c:axId val="1372529792"/>
      </c:lineChart>
      <c:catAx>
        <c:axId val="1375610528"/>
        <c:scaling>
          <c:orientation val="minMax"/>
        </c:scaling>
        <c:delete val="0"/>
        <c:axPos val="b"/>
        <c:numFmt formatCode="General" sourceLinked="1"/>
        <c:majorTickMark val="cross"/>
        <c:minorTickMark val="in"/>
        <c:tickLblPos val="nextTo"/>
        <c:spPr>
          <a:solidFill>
            <a:schemeClr val="bg1">
              <a:lumMod val="95000"/>
            </a:schemeClr>
          </a:solidFill>
          <a:ln w="9525">
            <a:solidFill>
              <a:schemeClr val="bg1">
                <a:lumMod val="85000"/>
              </a:schemeClr>
            </a:solidFill>
            <a:prstDash val="solid"/>
          </a:ln>
        </c:spPr>
        <c:crossAx val="1372529792"/>
        <c:crosses val="autoZero"/>
        <c:auto val="1"/>
        <c:lblAlgn val="ctr"/>
        <c:lblOffset val="100"/>
        <c:tickMarkSkip val="7"/>
        <c:noMultiLvlLbl val="1"/>
      </c:catAx>
      <c:valAx>
        <c:axId val="1372529792"/>
        <c:scaling>
          <c:orientation val="minMax"/>
        </c:scaling>
        <c:delete val="1"/>
        <c:axPos val="l"/>
        <c:numFmt formatCode="General" sourceLinked="1"/>
        <c:majorTickMark val="out"/>
        <c:minorTickMark val="none"/>
        <c:tickLblPos val="nextTo"/>
        <c:crossAx val="1375610528"/>
        <c:crosses val="autoZero"/>
        <c:crossBetween val="midCat"/>
      </c:valAx>
      <c:valAx>
        <c:axId val="1295680176"/>
        <c:scaling>
          <c:orientation val="minMax"/>
        </c:scaling>
        <c:delete val="1"/>
        <c:axPos val="r"/>
        <c:numFmt formatCode="General" sourceLinked="1"/>
        <c:majorTickMark val="out"/>
        <c:minorTickMark val="none"/>
        <c:tickLblPos val="nextTo"/>
        <c:crossAx val="1295683984"/>
        <c:crosses val="max"/>
        <c:crossBetween val="between"/>
      </c:valAx>
      <c:catAx>
        <c:axId val="1295683984"/>
        <c:scaling>
          <c:orientation val="minMax"/>
        </c:scaling>
        <c:delete val="1"/>
        <c:axPos val="b"/>
        <c:numFmt formatCode="General" sourceLinked="1"/>
        <c:majorTickMark val="out"/>
        <c:minorTickMark val="none"/>
        <c:tickLblPos val="nextTo"/>
        <c:crossAx val="1295680176"/>
        <c:crosses val="autoZero"/>
        <c:auto val="1"/>
        <c:lblAlgn val="ctr"/>
        <c:lblOffset val="100"/>
        <c:noMultiLvlLbl val="0"/>
      </c:catAx>
      <c:spPr>
        <a:noFill/>
      </c:spPr>
    </c:plotArea>
    <c:plotVisOnly val="0"/>
    <c:dispBlanksAs val="gap"/>
    <c:showDLblsOverMax val="0"/>
  </c:chart>
  <c:spPr>
    <a:solidFill>
      <a:schemeClr val="bg1">
        <a:lumMod val="95000"/>
      </a:schemeClr>
    </a:solidFill>
    <a:ln>
      <a:noFill/>
    </a:ln>
  </c:spPr>
  <c:txPr>
    <a:bodyPr/>
    <a:lstStyle/>
    <a:p>
      <a:pPr>
        <a:defRPr sz="800">
          <a:latin typeface="+mj-lt"/>
        </a:defRPr>
      </a:pPr>
      <a:endParaRPr lang="en-US"/>
    </a:p>
  </c:txPr>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cap="none" spc="20" baseline="0">
                <a:solidFill>
                  <a:schemeClr val="dk1">
                    <a:lumMod val="50000"/>
                    <a:lumOff val="50000"/>
                  </a:schemeClr>
                </a:solidFill>
                <a:latin typeface="+mj-lt"/>
                <a:ea typeface="+mn-ea"/>
                <a:cs typeface="+mn-cs"/>
              </a:defRPr>
            </a:pPr>
            <a:r>
              <a:rPr lang="en-GB" sz="1050" b="1">
                <a:latin typeface="+mj-lt"/>
              </a:rPr>
              <a:t>Estimates of current and potential production of sorghum using 'new' OCP lands, per year</a:t>
            </a:r>
          </a:p>
        </c:rich>
      </c:tx>
      <c:overlay val="0"/>
      <c:spPr>
        <a:noFill/>
        <a:ln>
          <a:noFill/>
        </a:ln>
        <a:effectLst/>
      </c:spPr>
      <c:txPr>
        <a:bodyPr rot="0" spcFirstLastPara="1" vertOverflow="ellipsis" vert="horz" wrap="square" anchor="ctr" anchorCtr="1"/>
        <a:lstStyle/>
        <a:p>
          <a:pPr>
            <a:defRPr sz="1050" b="1" i="0" u="none" strike="noStrike" kern="1200" cap="none" spc="20" baseline="0">
              <a:solidFill>
                <a:schemeClr val="dk1">
                  <a:lumMod val="50000"/>
                  <a:lumOff val="50000"/>
                </a:schemeClr>
              </a:solidFill>
              <a:latin typeface="+mj-lt"/>
              <a:ea typeface="+mn-ea"/>
              <a:cs typeface="+mn-cs"/>
            </a:defRPr>
          </a:pPr>
          <a:endParaRPr lang="en-US"/>
        </a:p>
      </c:txPr>
    </c:title>
    <c:autoTitleDeleted val="0"/>
    <c:plotArea>
      <c:layout/>
      <c:lineChart>
        <c:grouping val="standard"/>
        <c:varyColors val="0"/>
        <c:ser>
          <c:idx val="0"/>
          <c:order val="0"/>
          <c:tx>
            <c:strRef>
              <c:f>Sheet2!$B$1</c:f>
              <c:strCache>
                <c:ptCount val="1"/>
                <c:pt idx="0">
                  <c:v>Potential production</c:v>
                </c:pt>
              </c:strCache>
            </c:strRef>
          </c:tx>
          <c:spPr>
            <a:ln w="22225" cap="rnd" cmpd="sng" algn="ctr">
              <a:solidFill>
                <a:schemeClr val="accent1"/>
              </a:solidFill>
              <a:round/>
            </a:ln>
            <a:effectLst/>
          </c:spPr>
          <c:marker>
            <c:symbol val="none"/>
          </c:marker>
          <c:cat>
            <c:strRef>
              <c:f>Sheet2!$A$2:$A$8</c:f>
              <c:strCache>
                <c:ptCount val="7"/>
                <c:pt idx="0">
                  <c:v>Benin</c:v>
                </c:pt>
                <c:pt idx="1">
                  <c:v>Ghana</c:v>
                </c:pt>
                <c:pt idx="2">
                  <c:v>Ivory Coast</c:v>
                </c:pt>
                <c:pt idx="3">
                  <c:v>Mali</c:v>
                </c:pt>
                <c:pt idx="4">
                  <c:v>Niger</c:v>
                </c:pt>
                <c:pt idx="5">
                  <c:v>Togo</c:v>
                </c:pt>
                <c:pt idx="6">
                  <c:v>Burkina Faso</c:v>
                </c:pt>
              </c:strCache>
            </c:strRef>
          </c:cat>
          <c:val>
            <c:numRef>
              <c:f>Sheet2!$B$2:$B$8</c:f>
              <c:numCache>
                <c:formatCode>General</c:formatCode>
                <c:ptCount val="7"/>
                <c:pt idx="0">
                  <c:v>0.56000000000000005</c:v>
                </c:pt>
                <c:pt idx="1">
                  <c:v>1.01</c:v>
                </c:pt>
                <c:pt idx="2">
                  <c:v>0.69</c:v>
                </c:pt>
                <c:pt idx="3">
                  <c:v>1.1399999999999999</c:v>
                </c:pt>
                <c:pt idx="4">
                  <c:v>1.71</c:v>
                </c:pt>
                <c:pt idx="5">
                  <c:v>0.31</c:v>
                </c:pt>
                <c:pt idx="6">
                  <c:v>1.32</c:v>
                </c:pt>
              </c:numCache>
            </c:numRef>
          </c:val>
          <c:smooth val="1"/>
          <c:extLst>
            <c:ext xmlns:c16="http://schemas.microsoft.com/office/drawing/2014/chart" uri="{C3380CC4-5D6E-409C-BE32-E72D297353CC}">
              <c16:uniqueId val="{00000000-6548-4587-985E-519BB7159F42}"/>
            </c:ext>
          </c:extLst>
        </c:ser>
        <c:ser>
          <c:idx val="1"/>
          <c:order val="1"/>
          <c:tx>
            <c:strRef>
              <c:f>Sheet2!$C$1</c:f>
              <c:strCache>
                <c:ptCount val="1"/>
                <c:pt idx="0">
                  <c:v>Current production</c:v>
                </c:pt>
              </c:strCache>
            </c:strRef>
          </c:tx>
          <c:spPr>
            <a:ln w="22225" cap="rnd" cmpd="sng" algn="ctr">
              <a:solidFill>
                <a:schemeClr val="accent2"/>
              </a:solidFill>
              <a:round/>
            </a:ln>
            <a:effectLst/>
          </c:spPr>
          <c:marker>
            <c:symbol val="none"/>
          </c:marker>
          <c:cat>
            <c:strRef>
              <c:f>Sheet2!$A$2:$A$8</c:f>
              <c:strCache>
                <c:ptCount val="7"/>
                <c:pt idx="0">
                  <c:v>Benin</c:v>
                </c:pt>
                <c:pt idx="1">
                  <c:v>Ghana</c:v>
                </c:pt>
                <c:pt idx="2">
                  <c:v>Ivory Coast</c:v>
                </c:pt>
                <c:pt idx="3">
                  <c:v>Mali</c:v>
                </c:pt>
                <c:pt idx="4">
                  <c:v>Niger</c:v>
                </c:pt>
                <c:pt idx="5">
                  <c:v>Togo</c:v>
                </c:pt>
                <c:pt idx="6">
                  <c:v>Burkina Faso</c:v>
                </c:pt>
              </c:strCache>
            </c:strRef>
          </c:cat>
          <c:val>
            <c:numRef>
              <c:f>Sheet2!$C$2:$C$8</c:f>
              <c:numCache>
                <c:formatCode>General</c:formatCode>
                <c:ptCount val="7"/>
                <c:pt idx="0">
                  <c:v>0.32</c:v>
                </c:pt>
                <c:pt idx="1">
                  <c:v>0.41</c:v>
                </c:pt>
                <c:pt idx="2">
                  <c:v>0.39</c:v>
                </c:pt>
                <c:pt idx="3">
                  <c:v>0.7</c:v>
                </c:pt>
                <c:pt idx="4">
                  <c:v>1.7</c:v>
                </c:pt>
                <c:pt idx="5">
                  <c:v>0.27</c:v>
                </c:pt>
                <c:pt idx="6">
                  <c:v>0.97</c:v>
                </c:pt>
              </c:numCache>
            </c:numRef>
          </c:val>
          <c:smooth val="1"/>
          <c:extLst>
            <c:ext xmlns:c16="http://schemas.microsoft.com/office/drawing/2014/chart" uri="{C3380CC4-5D6E-409C-BE32-E72D297353CC}">
              <c16:uniqueId val="{00000001-6548-4587-985E-519BB7159F42}"/>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1277194800"/>
        <c:axId val="1371805584"/>
      </c:lineChart>
      <c:catAx>
        <c:axId val="1277194800"/>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j-lt"/>
                    <a:ea typeface="+mn-ea"/>
                    <a:cs typeface="+mn-cs"/>
                  </a:defRPr>
                </a:pPr>
                <a:r>
                  <a:rPr lang="en-GB">
                    <a:latin typeface="+mj-lt"/>
                  </a:rPr>
                  <a:t>Country</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j-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j-lt"/>
                <a:ea typeface="+mn-ea"/>
                <a:cs typeface="+mn-cs"/>
              </a:defRPr>
            </a:pPr>
            <a:endParaRPr lang="en-US"/>
          </a:p>
        </c:txPr>
        <c:crossAx val="1371805584"/>
        <c:crosses val="autoZero"/>
        <c:auto val="1"/>
        <c:lblAlgn val="ctr"/>
        <c:lblOffset val="100"/>
        <c:noMultiLvlLbl val="0"/>
      </c:catAx>
      <c:valAx>
        <c:axId val="1371805584"/>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j-lt"/>
                    <a:ea typeface="+mn-ea"/>
                    <a:cs typeface="+mn-cs"/>
                  </a:defRPr>
                </a:pPr>
                <a:r>
                  <a:rPr lang="en-GB">
                    <a:latin typeface="+mj-lt"/>
                  </a:rPr>
                  <a:t>Million tons of sorghum</a:t>
                </a:r>
              </a:p>
            </c:rich>
          </c:tx>
          <c:layout>
            <c:manualLayout>
              <c:xMode val="edge"/>
              <c:yMode val="edge"/>
              <c:x val="2.8497462207467968E-2"/>
              <c:y val="0.10408291751213435"/>
            </c:manualLayout>
          </c:layout>
          <c:overlay val="0"/>
          <c:spPr>
            <a:noFill/>
            <a:ln>
              <a:noFill/>
            </a:ln>
            <a:effectLst/>
          </c:spPr>
          <c:txPr>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j-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j-lt"/>
                <a:ea typeface="+mn-ea"/>
                <a:cs typeface="+mn-cs"/>
              </a:defRPr>
            </a:pPr>
            <a:endParaRPr lang="en-US"/>
          </a:p>
        </c:txPr>
        <c:crossAx val="1277194800"/>
        <c:crosses val="autoZero"/>
        <c:crossBetween val="between"/>
      </c:valAx>
      <c:spPr>
        <a:gradFill>
          <a:gsLst>
            <a:gs pos="100000">
              <a:schemeClr val="lt1">
                <a:lumMod val="95000"/>
              </a:schemeClr>
            </a:gs>
            <a:gs pos="0">
              <a:schemeClr val="lt1"/>
            </a:gs>
          </a:gsLst>
          <a:lin ang="5400000" scaled="0"/>
        </a:gra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j-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cap="none" spc="20" baseline="0">
                <a:solidFill>
                  <a:schemeClr val="tx1">
                    <a:lumMod val="50000"/>
                    <a:lumOff val="50000"/>
                  </a:schemeClr>
                </a:solidFill>
                <a:latin typeface="+mj-lt"/>
                <a:ea typeface="+mn-ea"/>
                <a:cs typeface="+mn-cs"/>
              </a:defRPr>
            </a:pPr>
            <a:r>
              <a:rPr lang="en-GB" sz="1050" b="1"/>
              <a:t>Younger &amp; Zongo's revised calculations for OCP costs &amp; benefits due</a:t>
            </a:r>
            <a:r>
              <a:rPr lang="en-GB" sz="1050" b="1" baseline="0"/>
              <a:t> to b</a:t>
            </a:r>
            <a:r>
              <a:rPr lang="en-GB" sz="1050" b="1"/>
              <a:t>lindness prevention</a:t>
            </a:r>
          </a:p>
        </c:rich>
      </c:tx>
      <c:overlay val="0"/>
      <c:spPr>
        <a:noFill/>
        <a:ln>
          <a:noFill/>
        </a:ln>
        <a:effectLst/>
      </c:spPr>
      <c:txPr>
        <a:bodyPr rot="0" spcFirstLastPara="1" vertOverflow="ellipsis" vert="horz" wrap="square" anchor="ctr" anchorCtr="1"/>
        <a:lstStyle/>
        <a:p>
          <a:pPr>
            <a:defRPr sz="1050" b="1" i="0" u="none" strike="noStrike" kern="1200" cap="none" spc="20" baseline="0">
              <a:solidFill>
                <a:schemeClr val="tx1">
                  <a:lumMod val="50000"/>
                  <a:lumOff val="50000"/>
                </a:schemeClr>
              </a:solidFill>
              <a:latin typeface="+mj-lt"/>
              <a:ea typeface="+mn-ea"/>
              <a:cs typeface="+mn-cs"/>
            </a:defRPr>
          </a:pPr>
          <a:endParaRPr lang="en-US"/>
        </a:p>
      </c:txPr>
    </c:title>
    <c:autoTitleDeleted val="0"/>
    <c:plotArea>
      <c:layout/>
      <c:barChart>
        <c:barDir val="col"/>
        <c:grouping val="clustered"/>
        <c:varyColors val="0"/>
        <c:ser>
          <c:idx val="1"/>
          <c:order val="1"/>
          <c:tx>
            <c:strRef>
              <c:f>Sheet1!$C$3</c:f>
              <c:strCache>
                <c:ptCount val="1"/>
                <c:pt idx="0">
                  <c:v>Benefits: Low v, low r</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cat>
            <c:strRef>
              <c:f>Sheet1!$A$4:$A$9</c:f>
              <c:strCache>
                <c:ptCount val="6"/>
                <c:pt idx="0">
                  <c:v>Low (5%), 25 yr</c:v>
                </c:pt>
                <c:pt idx="1">
                  <c:v>Medium (10%), 25 yr</c:v>
                </c:pt>
                <c:pt idx="2">
                  <c:v>High (15%), 25 yr</c:v>
                </c:pt>
                <c:pt idx="3">
                  <c:v>Low (5%), 50 yr</c:v>
                </c:pt>
                <c:pt idx="4">
                  <c:v>Medium (10%), 50 yr</c:v>
                </c:pt>
                <c:pt idx="5">
                  <c:v>High (15%), 50 yr</c:v>
                </c:pt>
              </c:strCache>
            </c:strRef>
          </c:cat>
          <c:val>
            <c:numRef>
              <c:f>Sheet1!$C$4:$C$9</c:f>
              <c:numCache>
                <c:formatCode>General</c:formatCode>
                <c:ptCount val="6"/>
                <c:pt idx="0">
                  <c:v>49</c:v>
                </c:pt>
                <c:pt idx="1">
                  <c:v>22</c:v>
                </c:pt>
                <c:pt idx="2">
                  <c:v>11</c:v>
                </c:pt>
                <c:pt idx="3">
                  <c:v>167</c:v>
                </c:pt>
                <c:pt idx="4">
                  <c:v>42</c:v>
                </c:pt>
                <c:pt idx="5">
                  <c:v>15</c:v>
                </c:pt>
              </c:numCache>
            </c:numRef>
          </c:val>
          <c:extLst>
            <c:ext xmlns:c16="http://schemas.microsoft.com/office/drawing/2014/chart" uri="{C3380CC4-5D6E-409C-BE32-E72D297353CC}">
              <c16:uniqueId val="{00000000-C9E0-435F-9D54-244E903A9936}"/>
            </c:ext>
          </c:extLst>
        </c:ser>
        <c:ser>
          <c:idx val="2"/>
          <c:order val="2"/>
          <c:tx>
            <c:strRef>
              <c:f>Sheet1!$D$3</c:f>
              <c:strCache>
                <c:ptCount val="1"/>
                <c:pt idx="0">
                  <c:v>Benefits: Low v, high r</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cat>
            <c:strRef>
              <c:f>Sheet1!$A$4:$A$9</c:f>
              <c:strCache>
                <c:ptCount val="6"/>
                <c:pt idx="0">
                  <c:v>Low (5%), 25 yr</c:v>
                </c:pt>
                <c:pt idx="1">
                  <c:v>Medium (10%), 25 yr</c:v>
                </c:pt>
                <c:pt idx="2">
                  <c:v>High (15%), 25 yr</c:v>
                </c:pt>
                <c:pt idx="3">
                  <c:v>Low (5%), 50 yr</c:v>
                </c:pt>
                <c:pt idx="4">
                  <c:v>Medium (10%), 50 yr</c:v>
                </c:pt>
                <c:pt idx="5">
                  <c:v>High (15%), 50 yr</c:v>
                </c:pt>
              </c:strCache>
            </c:strRef>
          </c:cat>
          <c:val>
            <c:numRef>
              <c:f>Sheet1!$D$4:$D$9</c:f>
              <c:numCache>
                <c:formatCode>General</c:formatCode>
                <c:ptCount val="6"/>
                <c:pt idx="0">
                  <c:v>70</c:v>
                </c:pt>
                <c:pt idx="1">
                  <c:v>30</c:v>
                </c:pt>
                <c:pt idx="2">
                  <c:v>15</c:v>
                </c:pt>
                <c:pt idx="3">
                  <c:v>321</c:v>
                </c:pt>
                <c:pt idx="4">
                  <c:v>74</c:v>
                </c:pt>
                <c:pt idx="5">
                  <c:v>24</c:v>
                </c:pt>
              </c:numCache>
            </c:numRef>
          </c:val>
          <c:extLst>
            <c:ext xmlns:c16="http://schemas.microsoft.com/office/drawing/2014/chart" uri="{C3380CC4-5D6E-409C-BE32-E72D297353CC}">
              <c16:uniqueId val="{00000001-C9E0-435F-9D54-244E903A9936}"/>
            </c:ext>
          </c:extLst>
        </c:ser>
        <c:ser>
          <c:idx val="3"/>
          <c:order val="3"/>
          <c:tx>
            <c:strRef>
              <c:f>Sheet1!$E$3</c:f>
              <c:strCache>
                <c:ptCount val="1"/>
                <c:pt idx="0">
                  <c:v>Benefits: High v, low r</c:v>
                </c:pt>
              </c:strCache>
            </c:strRef>
          </c:tx>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invertIfNegative val="0"/>
          <c:cat>
            <c:strRef>
              <c:f>Sheet1!$A$4:$A$9</c:f>
              <c:strCache>
                <c:ptCount val="6"/>
                <c:pt idx="0">
                  <c:v>Low (5%), 25 yr</c:v>
                </c:pt>
                <c:pt idx="1">
                  <c:v>Medium (10%), 25 yr</c:v>
                </c:pt>
                <c:pt idx="2">
                  <c:v>High (15%), 25 yr</c:v>
                </c:pt>
                <c:pt idx="3">
                  <c:v>Low (5%), 50 yr</c:v>
                </c:pt>
                <c:pt idx="4">
                  <c:v>Medium (10%), 50 yr</c:v>
                </c:pt>
                <c:pt idx="5">
                  <c:v>High (15%), 50 yr</c:v>
                </c:pt>
              </c:strCache>
            </c:strRef>
          </c:cat>
          <c:val>
            <c:numRef>
              <c:f>Sheet1!$E$4:$E$9</c:f>
              <c:numCache>
                <c:formatCode>General</c:formatCode>
                <c:ptCount val="6"/>
                <c:pt idx="0">
                  <c:v>92</c:v>
                </c:pt>
                <c:pt idx="1">
                  <c:v>41</c:v>
                </c:pt>
                <c:pt idx="2">
                  <c:v>20</c:v>
                </c:pt>
                <c:pt idx="3">
                  <c:v>313</c:v>
                </c:pt>
                <c:pt idx="4">
                  <c:v>81</c:v>
                </c:pt>
                <c:pt idx="5">
                  <c:v>29</c:v>
                </c:pt>
              </c:numCache>
            </c:numRef>
          </c:val>
          <c:extLst>
            <c:ext xmlns:c16="http://schemas.microsoft.com/office/drawing/2014/chart" uri="{C3380CC4-5D6E-409C-BE32-E72D297353CC}">
              <c16:uniqueId val="{00000002-C9E0-435F-9D54-244E903A9936}"/>
            </c:ext>
          </c:extLst>
        </c:ser>
        <c:ser>
          <c:idx val="4"/>
          <c:order val="4"/>
          <c:tx>
            <c:strRef>
              <c:f>Sheet1!$F$3</c:f>
              <c:strCache>
                <c:ptCount val="1"/>
                <c:pt idx="0">
                  <c:v>Benefits: High v, high r</c:v>
                </c:pt>
              </c:strCache>
            </c:strRef>
          </c:tx>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invertIfNegative val="0"/>
          <c:cat>
            <c:strRef>
              <c:f>Sheet1!$A$4:$A$9</c:f>
              <c:strCache>
                <c:ptCount val="6"/>
                <c:pt idx="0">
                  <c:v>Low (5%), 25 yr</c:v>
                </c:pt>
                <c:pt idx="1">
                  <c:v>Medium (10%), 25 yr</c:v>
                </c:pt>
                <c:pt idx="2">
                  <c:v>High (15%), 25 yr</c:v>
                </c:pt>
                <c:pt idx="3">
                  <c:v>Low (5%), 50 yr</c:v>
                </c:pt>
                <c:pt idx="4">
                  <c:v>Medium (10%), 50 yr</c:v>
                </c:pt>
                <c:pt idx="5">
                  <c:v>High (15%), 50 yr</c:v>
                </c:pt>
              </c:strCache>
            </c:strRef>
          </c:cat>
          <c:val>
            <c:numRef>
              <c:f>Sheet1!$F$4:$F$9</c:f>
              <c:numCache>
                <c:formatCode>General</c:formatCode>
                <c:ptCount val="6"/>
                <c:pt idx="0">
                  <c:v>131</c:v>
                </c:pt>
                <c:pt idx="1">
                  <c:v>57</c:v>
                </c:pt>
                <c:pt idx="2">
                  <c:v>28</c:v>
                </c:pt>
                <c:pt idx="3">
                  <c:v>606</c:v>
                </c:pt>
                <c:pt idx="4">
                  <c:v>138</c:v>
                </c:pt>
                <c:pt idx="5">
                  <c:v>44</c:v>
                </c:pt>
              </c:numCache>
            </c:numRef>
          </c:val>
          <c:extLst>
            <c:ext xmlns:c16="http://schemas.microsoft.com/office/drawing/2014/chart" uri="{C3380CC4-5D6E-409C-BE32-E72D297353CC}">
              <c16:uniqueId val="{00000003-C9E0-435F-9D54-244E903A9936}"/>
            </c:ext>
          </c:extLst>
        </c:ser>
        <c:dLbls>
          <c:showLegendKey val="0"/>
          <c:showVal val="0"/>
          <c:showCatName val="0"/>
          <c:showSerName val="0"/>
          <c:showPercent val="0"/>
          <c:showBubbleSize val="0"/>
        </c:dLbls>
        <c:gapWidth val="219"/>
        <c:axId val="1280944800"/>
        <c:axId val="1373517936"/>
      </c:barChart>
      <c:scatterChart>
        <c:scatterStyle val="lineMarker"/>
        <c:varyColors val="0"/>
        <c:ser>
          <c:idx val="0"/>
          <c:order val="0"/>
          <c:tx>
            <c:strRef>
              <c:f>Sheet1!$B$3</c:f>
              <c:strCache>
                <c:ptCount val="1"/>
                <c:pt idx="0">
                  <c:v>OCP Costs</c:v>
                </c:pt>
              </c:strCache>
            </c:strRef>
          </c:tx>
          <c:spPr>
            <a:ln w="15875" cap="rnd">
              <a:solidFill>
                <a:schemeClr val="accent1"/>
              </a:solidFill>
              <a:round/>
            </a:ln>
            <a:effectLst/>
          </c:spPr>
          <c:marker>
            <c:symbol val="circle"/>
            <c:size val="5"/>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xVal>
            <c:strRef>
              <c:f>Sheet1!$A$4:$A$9</c:f>
              <c:strCache>
                <c:ptCount val="6"/>
                <c:pt idx="0">
                  <c:v>Low (5%), 25 yr</c:v>
                </c:pt>
                <c:pt idx="1">
                  <c:v>Medium (10%), 25 yr</c:v>
                </c:pt>
                <c:pt idx="2">
                  <c:v>High (15%), 25 yr</c:v>
                </c:pt>
                <c:pt idx="3">
                  <c:v>Low (5%), 50 yr</c:v>
                </c:pt>
                <c:pt idx="4">
                  <c:v>Medium (10%), 50 yr</c:v>
                </c:pt>
                <c:pt idx="5">
                  <c:v>High (15%), 50 yr</c:v>
                </c:pt>
              </c:strCache>
            </c:strRef>
          </c:xVal>
          <c:yVal>
            <c:numRef>
              <c:f>Sheet1!$B$4:$B$9</c:f>
              <c:numCache>
                <c:formatCode>General</c:formatCode>
                <c:ptCount val="6"/>
                <c:pt idx="0">
                  <c:v>198</c:v>
                </c:pt>
                <c:pt idx="1">
                  <c:v>115</c:v>
                </c:pt>
                <c:pt idx="2">
                  <c:v>74</c:v>
                </c:pt>
                <c:pt idx="3">
                  <c:v>291</c:v>
                </c:pt>
                <c:pt idx="4">
                  <c:v>131</c:v>
                </c:pt>
                <c:pt idx="5">
                  <c:v>78</c:v>
                </c:pt>
              </c:numCache>
            </c:numRef>
          </c:yVal>
          <c:smooth val="0"/>
          <c:extLst>
            <c:ext xmlns:c16="http://schemas.microsoft.com/office/drawing/2014/chart" uri="{C3380CC4-5D6E-409C-BE32-E72D297353CC}">
              <c16:uniqueId val="{00000004-C9E0-435F-9D54-244E903A9936}"/>
            </c:ext>
          </c:extLst>
        </c:ser>
        <c:dLbls>
          <c:showLegendKey val="0"/>
          <c:showVal val="0"/>
          <c:showCatName val="0"/>
          <c:showSerName val="0"/>
          <c:showPercent val="0"/>
          <c:showBubbleSize val="0"/>
        </c:dLbls>
        <c:axId val="1275930176"/>
        <c:axId val="1373524720"/>
      </c:scatterChart>
      <c:catAx>
        <c:axId val="1280944800"/>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r>
                  <a:rPr lang="en-GB"/>
                  <a:t>VARIABLES: Discount rate (%) and time horizon (years)</a:t>
                </a:r>
              </a:p>
            </c:rich>
          </c:tx>
          <c:layout>
            <c:manualLayout>
              <c:xMode val="edge"/>
              <c:yMode val="edge"/>
              <c:x val="0.28160842459173102"/>
              <c:y val="0.80254236961193204"/>
            </c:manualLayout>
          </c:layout>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crossAx val="1373517936"/>
        <c:crosses val="autoZero"/>
        <c:auto val="1"/>
        <c:lblAlgn val="ctr"/>
        <c:lblOffset val="100"/>
        <c:noMultiLvlLbl val="0"/>
      </c:catAx>
      <c:valAx>
        <c:axId val="1373517936"/>
        <c:scaling>
          <c:orientation val="minMax"/>
          <c:max val="65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r>
                  <a:rPr lang="en-GB"/>
                  <a:t>$ Millions 1978 USD</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crossAx val="1280944800"/>
        <c:crosses val="autoZero"/>
        <c:crossBetween val="between"/>
      </c:valAx>
      <c:valAx>
        <c:axId val="1373524720"/>
        <c:scaling>
          <c:orientation val="minMax"/>
          <c:max val="700"/>
        </c:scaling>
        <c:delete val="1"/>
        <c:axPos val="r"/>
        <c:numFmt formatCode="General" sourceLinked="1"/>
        <c:majorTickMark val="none"/>
        <c:minorTickMark val="none"/>
        <c:tickLblPos val="nextTo"/>
        <c:crossAx val="1275930176"/>
        <c:crosses val="max"/>
        <c:crossBetween val="midCat"/>
      </c:valAx>
      <c:valAx>
        <c:axId val="1275930176"/>
        <c:scaling>
          <c:orientation val="minMax"/>
        </c:scaling>
        <c:delete val="1"/>
        <c:axPos val="t"/>
        <c:majorTickMark val="none"/>
        <c:minorTickMark val="none"/>
        <c:tickLblPos val="nextTo"/>
        <c:crossAx val="1373524720"/>
        <c:crosses val="max"/>
        <c:crossBetween val="midCat"/>
      </c:valAx>
      <c:spPr>
        <a:noFill/>
        <a:ln>
          <a:noFill/>
        </a:ln>
        <a:effectLst/>
      </c:spPr>
    </c:plotArea>
    <c:legend>
      <c:legendPos val="b"/>
      <c:layout>
        <c:manualLayout>
          <c:xMode val="edge"/>
          <c:yMode val="edge"/>
          <c:x val="0.15478910751484001"/>
          <c:y val="0.86487741683747499"/>
          <c:w val="0.70726556907659299"/>
          <c:h val="0.1321730992642309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mj-lt"/>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mj-lt"/>
                <a:ea typeface="+mn-ea"/>
                <a:cs typeface="+mn-cs"/>
              </a:defRPr>
            </a:pPr>
            <a:r>
              <a:rPr lang="en-GB" sz="1100" b="1"/>
              <a:t>Younger and Zongo's calculations for OCP cost &amp; benefits due</a:t>
            </a:r>
            <a:r>
              <a:rPr lang="en-GB" sz="1100" b="1" baseline="0"/>
              <a:t> to land value</a:t>
            </a:r>
            <a:endParaRPr lang="en-GB" sz="1100" b="1"/>
          </a:p>
        </c:rich>
      </c:tx>
      <c:overlay val="0"/>
      <c:spPr>
        <a:noFill/>
        <a:ln>
          <a:noFill/>
        </a:ln>
        <a:effectLst/>
      </c:spPr>
      <c:txPr>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mj-lt"/>
              <a:ea typeface="+mn-ea"/>
              <a:cs typeface="+mn-cs"/>
            </a:defRPr>
          </a:pPr>
          <a:endParaRPr lang="en-US"/>
        </a:p>
      </c:txPr>
    </c:title>
    <c:autoTitleDeleted val="0"/>
    <c:plotArea>
      <c:layout/>
      <c:barChart>
        <c:barDir val="col"/>
        <c:grouping val="clustered"/>
        <c:varyColors val="0"/>
        <c:ser>
          <c:idx val="1"/>
          <c:order val="1"/>
          <c:tx>
            <c:strRef>
              <c:f>Sheet1!$C$19</c:f>
              <c:strCache>
                <c:ptCount val="1"/>
                <c:pt idx="0">
                  <c:v>Benefits: Low dif, low tot</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cat>
            <c:strRef>
              <c:f>Sheet1!$A$20:$A$25</c:f>
              <c:strCache>
                <c:ptCount val="6"/>
                <c:pt idx="0">
                  <c:v>Low (5%), 25 yr</c:v>
                </c:pt>
                <c:pt idx="1">
                  <c:v>Medium (10%), 25 yr</c:v>
                </c:pt>
                <c:pt idx="2">
                  <c:v>High (15%), 25 yr</c:v>
                </c:pt>
                <c:pt idx="3">
                  <c:v>Low (5%), 50 yr</c:v>
                </c:pt>
                <c:pt idx="4">
                  <c:v>Medium (10%), 50 yr</c:v>
                </c:pt>
                <c:pt idx="5">
                  <c:v>High (15%), 50 yr</c:v>
                </c:pt>
              </c:strCache>
            </c:strRef>
          </c:cat>
          <c:val>
            <c:numRef>
              <c:f>Sheet1!$C$20:$C$25</c:f>
              <c:numCache>
                <c:formatCode>General</c:formatCode>
                <c:ptCount val="6"/>
                <c:pt idx="0">
                  <c:v>99</c:v>
                </c:pt>
                <c:pt idx="1">
                  <c:v>52</c:v>
                </c:pt>
                <c:pt idx="2">
                  <c:v>30</c:v>
                </c:pt>
                <c:pt idx="3">
                  <c:v>190</c:v>
                </c:pt>
                <c:pt idx="4">
                  <c:v>79</c:v>
                </c:pt>
                <c:pt idx="5">
                  <c:v>34</c:v>
                </c:pt>
              </c:numCache>
            </c:numRef>
          </c:val>
          <c:extLst>
            <c:ext xmlns:c16="http://schemas.microsoft.com/office/drawing/2014/chart" uri="{C3380CC4-5D6E-409C-BE32-E72D297353CC}">
              <c16:uniqueId val="{00000000-BE7D-42B5-A54B-966243676828}"/>
            </c:ext>
          </c:extLst>
        </c:ser>
        <c:ser>
          <c:idx val="2"/>
          <c:order val="2"/>
          <c:tx>
            <c:strRef>
              <c:f>Sheet1!$D$19</c:f>
              <c:strCache>
                <c:ptCount val="1"/>
                <c:pt idx="0">
                  <c:v>Benefits: Low dif, high tot</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cat>
            <c:strRef>
              <c:f>Sheet1!$A$20:$A$25</c:f>
              <c:strCache>
                <c:ptCount val="6"/>
                <c:pt idx="0">
                  <c:v>Low (5%), 25 yr</c:v>
                </c:pt>
                <c:pt idx="1">
                  <c:v>Medium (10%), 25 yr</c:v>
                </c:pt>
                <c:pt idx="2">
                  <c:v>High (15%), 25 yr</c:v>
                </c:pt>
                <c:pt idx="3">
                  <c:v>Low (5%), 50 yr</c:v>
                </c:pt>
                <c:pt idx="4">
                  <c:v>Medium (10%), 50 yr</c:v>
                </c:pt>
                <c:pt idx="5">
                  <c:v>High (15%), 50 yr</c:v>
                </c:pt>
              </c:strCache>
            </c:strRef>
          </c:cat>
          <c:val>
            <c:numRef>
              <c:f>Sheet1!$D$20:$D$25</c:f>
              <c:numCache>
                <c:formatCode>General</c:formatCode>
                <c:ptCount val="6"/>
                <c:pt idx="0">
                  <c:v>188</c:v>
                </c:pt>
                <c:pt idx="1">
                  <c:v>98</c:v>
                </c:pt>
                <c:pt idx="2">
                  <c:v>57</c:v>
                </c:pt>
                <c:pt idx="3">
                  <c:v>379</c:v>
                </c:pt>
                <c:pt idx="4">
                  <c:v>182</c:v>
                </c:pt>
                <c:pt idx="5">
                  <c:v>64</c:v>
                </c:pt>
              </c:numCache>
            </c:numRef>
          </c:val>
          <c:extLst>
            <c:ext xmlns:c16="http://schemas.microsoft.com/office/drawing/2014/chart" uri="{C3380CC4-5D6E-409C-BE32-E72D297353CC}">
              <c16:uniqueId val="{00000001-BE7D-42B5-A54B-966243676828}"/>
            </c:ext>
          </c:extLst>
        </c:ser>
        <c:ser>
          <c:idx val="3"/>
          <c:order val="3"/>
          <c:tx>
            <c:strRef>
              <c:f>Sheet1!$E$19</c:f>
              <c:strCache>
                <c:ptCount val="1"/>
                <c:pt idx="0">
                  <c:v>Benefits: High dif, low tot</c:v>
                </c:pt>
              </c:strCache>
            </c:strRef>
          </c:tx>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invertIfNegative val="0"/>
          <c:cat>
            <c:strRef>
              <c:f>Sheet1!$A$20:$A$25</c:f>
              <c:strCache>
                <c:ptCount val="6"/>
                <c:pt idx="0">
                  <c:v>Low (5%), 25 yr</c:v>
                </c:pt>
                <c:pt idx="1">
                  <c:v>Medium (10%), 25 yr</c:v>
                </c:pt>
                <c:pt idx="2">
                  <c:v>High (15%), 25 yr</c:v>
                </c:pt>
                <c:pt idx="3">
                  <c:v>Low (5%), 50 yr</c:v>
                </c:pt>
                <c:pt idx="4">
                  <c:v>Medium (10%), 50 yr</c:v>
                </c:pt>
                <c:pt idx="5">
                  <c:v>High (15%), 50 yr</c:v>
                </c:pt>
              </c:strCache>
            </c:strRef>
          </c:cat>
          <c:val>
            <c:numRef>
              <c:f>Sheet1!$E$20:$E$25</c:f>
              <c:numCache>
                <c:formatCode>General</c:formatCode>
                <c:ptCount val="6"/>
                <c:pt idx="0">
                  <c:v>297</c:v>
                </c:pt>
                <c:pt idx="1">
                  <c:v>156</c:v>
                </c:pt>
                <c:pt idx="2">
                  <c:v>90</c:v>
                </c:pt>
                <c:pt idx="3">
                  <c:v>570</c:v>
                </c:pt>
                <c:pt idx="4">
                  <c:v>237</c:v>
                </c:pt>
                <c:pt idx="5">
                  <c:v>102</c:v>
                </c:pt>
              </c:numCache>
            </c:numRef>
          </c:val>
          <c:extLst>
            <c:ext xmlns:c16="http://schemas.microsoft.com/office/drawing/2014/chart" uri="{C3380CC4-5D6E-409C-BE32-E72D297353CC}">
              <c16:uniqueId val="{00000002-BE7D-42B5-A54B-966243676828}"/>
            </c:ext>
          </c:extLst>
        </c:ser>
        <c:ser>
          <c:idx val="4"/>
          <c:order val="4"/>
          <c:tx>
            <c:strRef>
              <c:f>Sheet1!$F$19</c:f>
              <c:strCache>
                <c:ptCount val="1"/>
                <c:pt idx="0">
                  <c:v>Benefits: High dif, high tot</c:v>
                </c:pt>
              </c:strCache>
            </c:strRef>
          </c:tx>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invertIfNegative val="0"/>
          <c:cat>
            <c:strRef>
              <c:f>Sheet1!$A$20:$A$25</c:f>
              <c:strCache>
                <c:ptCount val="6"/>
                <c:pt idx="0">
                  <c:v>Low (5%), 25 yr</c:v>
                </c:pt>
                <c:pt idx="1">
                  <c:v>Medium (10%), 25 yr</c:v>
                </c:pt>
                <c:pt idx="2">
                  <c:v>High (15%), 25 yr</c:v>
                </c:pt>
                <c:pt idx="3">
                  <c:v>Low (5%), 50 yr</c:v>
                </c:pt>
                <c:pt idx="4">
                  <c:v>Medium (10%), 50 yr</c:v>
                </c:pt>
                <c:pt idx="5">
                  <c:v>High (15%), 50 yr</c:v>
                </c:pt>
              </c:strCache>
            </c:strRef>
          </c:cat>
          <c:val>
            <c:numRef>
              <c:f>Sheet1!$F$20:$F$25</c:f>
              <c:numCache>
                <c:formatCode>General</c:formatCode>
                <c:ptCount val="6"/>
                <c:pt idx="0">
                  <c:v>564</c:v>
                </c:pt>
                <c:pt idx="1">
                  <c:v>294</c:v>
                </c:pt>
                <c:pt idx="2">
                  <c:v>171</c:v>
                </c:pt>
                <c:pt idx="3">
                  <c:v>1137</c:v>
                </c:pt>
                <c:pt idx="4">
                  <c:v>546</c:v>
                </c:pt>
                <c:pt idx="5">
                  <c:v>192</c:v>
                </c:pt>
              </c:numCache>
            </c:numRef>
          </c:val>
          <c:extLst>
            <c:ext xmlns:c16="http://schemas.microsoft.com/office/drawing/2014/chart" uri="{C3380CC4-5D6E-409C-BE32-E72D297353CC}">
              <c16:uniqueId val="{00000003-BE7D-42B5-A54B-966243676828}"/>
            </c:ext>
          </c:extLst>
        </c:ser>
        <c:dLbls>
          <c:showLegendKey val="0"/>
          <c:showVal val="0"/>
          <c:showCatName val="0"/>
          <c:showSerName val="0"/>
          <c:showPercent val="0"/>
          <c:showBubbleSize val="0"/>
        </c:dLbls>
        <c:gapWidth val="219"/>
        <c:axId val="1370542464"/>
        <c:axId val="1291336192"/>
      </c:barChart>
      <c:lineChart>
        <c:grouping val="standard"/>
        <c:varyColors val="0"/>
        <c:ser>
          <c:idx val="0"/>
          <c:order val="0"/>
          <c:tx>
            <c:strRef>
              <c:f>Sheet1!$B$19</c:f>
              <c:strCache>
                <c:ptCount val="1"/>
                <c:pt idx="0">
                  <c:v>OCP Costs</c:v>
                </c:pt>
              </c:strCache>
            </c:strRef>
          </c:tx>
          <c:spPr>
            <a:ln w="15875" cap="rnd">
              <a:solidFill>
                <a:schemeClr val="accent1"/>
              </a:solidFill>
              <a:round/>
            </a:ln>
            <a:effectLst/>
          </c:spPr>
          <c:marker>
            <c:symbol val="circle"/>
            <c:size val="5"/>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cat>
            <c:strRef>
              <c:f>Sheet1!$A$20:$A$25</c:f>
              <c:strCache>
                <c:ptCount val="6"/>
                <c:pt idx="0">
                  <c:v>Low (5%), 25 yr</c:v>
                </c:pt>
                <c:pt idx="1">
                  <c:v>Medium (10%), 25 yr</c:v>
                </c:pt>
                <c:pt idx="2">
                  <c:v>High (15%), 25 yr</c:v>
                </c:pt>
                <c:pt idx="3">
                  <c:v>Low (5%), 50 yr</c:v>
                </c:pt>
                <c:pt idx="4">
                  <c:v>Medium (10%), 50 yr</c:v>
                </c:pt>
                <c:pt idx="5">
                  <c:v>High (15%), 50 yr</c:v>
                </c:pt>
              </c:strCache>
            </c:strRef>
          </c:cat>
          <c:val>
            <c:numRef>
              <c:f>Sheet1!$B$20:$B$25</c:f>
              <c:numCache>
                <c:formatCode>General</c:formatCode>
                <c:ptCount val="6"/>
                <c:pt idx="0">
                  <c:v>198</c:v>
                </c:pt>
                <c:pt idx="1">
                  <c:v>115</c:v>
                </c:pt>
                <c:pt idx="2">
                  <c:v>74</c:v>
                </c:pt>
                <c:pt idx="3">
                  <c:v>291</c:v>
                </c:pt>
                <c:pt idx="4">
                  <c:v>131</c:v>
                </c:pt>
                <c:pt idx="5">
                  <c:v>78</c:v>
                </c:pt>
              </c:numCache>
            </c:numRef>
          </c:val>
          <c:smooth val="0"/>
          <c:extLst>
            <c:ext xmlns:c16="http://schemas.microsoft.com/office/drawing/2014/chart" uri="{C3380CC4-5D6E-409C-BE32-E72D297353CC}">
              <c16:uniqueId val="{00000004-BE7D-42B5-A54B-966243676828}"/>
            </c:ext>
          </c:extLst>
        </c:ser>
        <c:dLbls>
          <c:showLegendKey val="0"/>
          <c:showVal val="0"/>
          <c:showCatName val="0"/>
          <c:showSerName val="0"/>
          <c:showPercent val="0"/>
          <c:showBubbleSize val="0"/>
        </c:dLbls>
        <c:marker val="1"/>
        <c:smooth val="0"/>
        <c:axId val="1370542464"/>
        <c:axId val="1291336192"/>
      </c:lineChart>
      <c:catAx>
        <c:axId val="1370542464"/>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r>
                  <a:rPr lang="en-GB"/>
                  <a:t>VARIABLES: DISCOUNT RATE (%) AND TIME HORIZON (YEARS)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crossAx val="1291336192"/>
        <c:crosses val="autoZero"/>
        <c:auto val="1"/>
        <c:lblAlgn val="ctr"/>
        <c:lblOffset val="100"/>
        <c:noMultiLvlLbl val="0"/>
      </c:catAx>
      <c:valAx>
        <c:axId val="12913361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r>
                  <a:rPr lang="en-GB"/>
                  <a:t>$ MILLIONS 1978 USD</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crossAx val="1370542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mj-lt"/>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en-GB" sz="1100" b="1">
                <a:latin typeface="Calibri" panose="020F0502020204030204" pitchFamily="34" charset="0"/>
                <a:cs typeface="Calibri" panose="020F0502020204030204" pitchFamily="34" charset="0"/>
              </a:rPr>
              <a:t>Kim &amp; Benton's predicted utilization of OCP 'new lands' </a:t>
            </a:r>
          </a:p>
        </c:rich>
      </c:tx>
      <c:layout>
        <c:manualLayout>
          <c:xMode val="edge"/>
          <c:yMode val="edge"/>
          <c:x val="0.18666577843165219"/>
          <c:y val="3.2739922242684676E-2"/>
        </c:manualLayout>
      </c:layout>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autoTitleDeleted val="0"/>
    <c:plotArea>
      <c:layout/>
      <c:lineChart>
        <c:grouping val="standard"/>
        <c:varyColors val="0"/>
        <c:ser>
          <c:idx val="0"/>
          <c:order val="0"/>
          <c:tx>
            <c:strRef>
              <c:f>Sheet3!$B$1</c:f>
              <c:strCache>
                <c:ptCount val="1"/>
                <c:pt idx="0">
                  <c:v>Predicted use of 'new land'</c:v>
                </c:pt>
              </c:strCache>
            </c:strRef>
          </c:tx>
          <c:spPr>
            <a:ln w="22225" cap="rnd" cmpd="sng" algn="ctr">
              <a:solidFill>
                <a:schemeClr val="accent1"/>
              </a:solidFill>
              <a:round/>
            </a:ln>
            <a:effectLst/>
          </c:spPr>
          <c:marker>
            <c:symbol val="none"/>
          </c:marker>
          <c:cat>
            <c:numRef>
              <c:f>Sheet3!$A$2:$A$33</c:f>
              <c:numCache>
                <c:formatCode>General</c:formatCode>
                <c:ptCount val="32"/>
                <c:pt idx="0">
                  <c:v>1983</c:v>
                </c:pt>
                <c:pt idx="1">
                  <c:v>1984</c:v>
                </c:pt>
                <c:pt idx="2">
                  <c:v>1985</c:v>
                </c:pt>
                <c:pt idx="3">
                  <c:v>1986</c:v>
                </c:pt>
                <c:pt idx="4">
                  <c:v>1987</c:v>
                </c:pt>
                <c:pt idx="5">
                  <c:v>1988</c:v>
                </c:pt>
                <c:pt idx="6">
                  <c:v>1989</c:v>
                </c:pt>
                <c:pt idx="7">
                  <c:v>1990</c:v>
                </c:pt>
                <c:pt idx="8">
                  <c:v>1991</c:v>
                </c:pt>
                <c:pt idx="9">
                  <c:v>1992</c:v>
                </c:pt>
                <c:pt idx="10">
                  <c:v>1993</c:v>
                </c:pt>
                <c:pt idx="11">
                  <c:v>1994</c:v>
                </c:pt>
                <c:pt idx="12">
                  <c:v>1995</c:v>
                </c:pt>
                <c:pt idx="13">
                  <c:v>1996</c:v>
                </c:pt>
                <c:pt idx="14">
                  <c:v>1997</c:v>
                </c:pt>
                <c:pt idx="15">
                  <c:v>1998</c:v>
                </c:pt>
                <c:pt idx="16">
                  <c:v>1999</c:v>
                </c:pt>
                <c:pt idx="17">
                  <c:v>2000</c:v>
                </c:pt>
                <c:pt idx="18">
                  <c:v>2001</c:v>
                </c:pt>
                <c:pt idx="19">
                  <c:v>2002</c:v>
                </c:pt>
                <c:pt idx="20">
                  <c:v>2003</c:v>
                </c:pt>
                <c:pt idx="21">
                  <c:v>2004</c:v>
                </c:pt>
                <c:pt idx="22">
                  <c:v>2005</c:v>
                </c:pt>
                <c:pt idx="23">
                  <c:v>2006</c:v>
                </c:pt>
                <c:pt idx="24">
                  <c:v>2007</c:v>
                </c:pt>
                <c:pt idx="25">
                  <c:v>2008</c:v>
                </c:pt>
                <c:pt idx="26">
                  <c:v>2009</c:v>
                </c:pt>
                <c:pt idx="27">
                  <c:v>2010</c:v>
                </c:pt>
                <c:pt idx="28">
                  <c:v>2011</c:v>
                </c:pt>
                <c:pt idx="29">
                  <c:v>2012</c:v>
                </c:pt>
                <c:pt idx="30">
                  <c:v>2013</c:v>
                </c:pt>
                <c:pt idx="31">
                  <c:v>2014</c:v>
                </c:pt>
              </c:numCache>
            </c:numRef>
          </c:cat>
          <c:val>
            <c:numRef>
              <c:f>Sheet3!$B$2:$B$33</c:f>
              <c:numCache>
                <c:formatCode>General</c:formatCode>
                <c:ptCount val="32"/>
                <c:pt idx="0">
                  <c:v>10</c:v>
                </c:pt>
                <c:pt idx="1">
                  <c:v>61</c:v>
                </c:pt>
                <c:pt idx="2">
                  <c:v>234</c:v>
                </c:pt>
                <c:pt idx="3">
                  <c:v>644</c:v>
                </c:pt>
                <c:pt idx="4">
                  <c:v>1376</c:v>
                </c:pt>
                <c:pt idx="5">
                  <c:v>2432</c:v>
                </c:pt>
                <c:pt idx="6">
                  <c:v>3728</c:v>
                </c:pt>
                <c:pt idx="7">
                  <c:v>5137</c:v>
                </c:pt>
                <c:pt idx="8">
                  <c:v>6533</c:v>
                </c:pt>
                <c:pt idx="9">
                  <c:v>7824</c:v>
                </c:pt>
                <c:pt idx="10">
                  <c:v>8956</c:v>
                </c:pt>
                <c:pt idx="11">
                  <c:v>9919</c:v>
                </c:pt>
                <c:pt idx="12">
                  <c:v>10739</c:v>
                </c:pt>
                <c:pt idx="13">
                  <c:v>11497</c:v>
                </c:pt>
                <c:pt idx="14">
                  <c:v>12285</c:v>
                </c:pt>
                <c:pt idx="15">
                  <c:v>13208</c:v>
                </c:pt>
                <c:pt idx="16">
                  <c:v>14285</c:v>
                </c:pt>
                <c:pt idx="17">
                  <c:v>15473</c:v>
                </c:pt>
                <c:pt idx="18">
                  <c:v>16694</c:v>
                </c:pt>
                <c:pt idx="19">
                  <c:v>17866</c:v>
                </c:pt>
                <c:pt idx="20">
                  <c:v>18929</c:v>
                </c:pt>
                <c:pt idx="21">
                  <c:v>19776</c:v>
                </c:pt>
                <c:pt idx="22">
                  <c:v>20491</c:v>
                </c:pt>
                <c:pt idx="23">
                  <c:v>21078</c:v>
                </c:pt>
                <c:pt idx="24">
                  <c:v>21548</c:v>
                </c:pt>
                <c:pt idx="25">
                  <c:v>21919</c:v>
                </c:pt>
                <c:pt idx="26">
                  <c:v>22208</c:v>
                </c:pt>
                <c:pt idx="27">
                  <c:v>22431</c:v>
                </c:pt>
                <c:pt idx="28">
                  <c:v>22602</c:v>
                </c:pt>
                <c:pt idx="29">
                  <c:v>22732</c:v>
                </c:pt>
                <c:pt idx="30">
                  <c:v>22831</c:v>
                </c:pt>
                <c:pt idx="31">
                  <c:v>22906</c:v>
                </c:pt>
              </c:numCache>
            </c:numRef>
          </c:val>
          <c:smooth val="1"/>
          <c:extLst>
            <c:ext xmlns:c16="http://schemas.microsoft.com/office/drawing/2014/chart" uri="{C3380CC4-5D6E-409C-BE32-E72D297353CC}">
              <c16:uniqueId val="{00000000-0A63-45D2-BE99-8958D1E1A28E}"/>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1300193216"/>
        <c:axId val="1300200576"/>
      </c:lineChart>
      <c:catAx>
        <c:axId val="1300193216"/>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dk1">
                        <a:lumMod val="65000"/>
                        <a:lumOff val="35000"/>
                      </a:schemeClr>
                    </a:solidFill>
                    <a:latin typeface="Calibri" panose="020F0502020204030204" pitchFamily="34" charset="0"/>
                    <a:ea typeface="+mn-ea"/>
                    <a:cs typeface="Calibri" panose="020F0502020204030204" pitchFamily="34" charset="0"/>
                  </a:defRPr>
                </a:pPr>
                <a:r>
                  <a:rPr lang="en-GB">
                    <a:latin typeface="Calibri" panose="020F0502020204030204" pitchFamily="34" charset="0"/>
                    <a:cs typeface="Calibri" panose="020F0502020204030204" pitchFamily="34" charset="0"/>
                  </a:rPr>
                  <a:t>Year</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dk1">
                      <a:lumMod val="65000"/>
                      <a:lumOff val="35000"/>
                    </a:schemeClr>
                  </a:solidFill>
                  <a:latin typeface="Calibri" panose="020F0502020204030204" pitchFamily="34" charset="0"/>
                  <a:ea typeface="+mn-ea"/>
                  <a:cs typeface="Calibri" panose="020F0502020204030204" pitchFamily="34" charset="0"/>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5400000" spcFirstLastPara="1" vertOverflow="ellipsis"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300200576"/>
        <c:crosses val="autoZero"/>
        <c:auto val="1"/>
        <c:lblAlgn val="ctr"/>
        <c:lblOffset val="100"/>
        <c:noMultiLvlLbl val="1"/>
      </c:catAx>
      <c:valAx>
        <c:axId val="1300200576"/>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latin typeface="Calibri" panose="020F0502020204030204" pitchFamily="34" charset="0"/>
                    <a:cs typeface="Calibri" panose="020F0502020204030204" pitchFamily="34" charset="0"/>
                  </a:rPr>
                  <a:t>Land settled &amp; cultivated </a:t>
                </a:r>
              </a:p>
              <a:p>
                <a:pPr>
                  <a:defRPr/>
                </a:pPr>
                <a:r>
                  <a:rPr lang="en-GB">
                    <a:latin typeface="Calibri" panose="020F0502020204030204" pitchFamily="34" charset="0"/>
                    <a:cs typeface="Calibri" panose="020F0502020204030204" pitchFamily="34" charset="0"/>
                  </a:rPr>
                  <a:t>(million hectares)</a:t>
                </a:r>
              </a:p>
            </c:rich>
          </c:tx>
          <c:layout>
            <c:manualLayout>
              <c:xMode val="edge"/>
              <c:yMode val="edge"/>
              <c:x val="1.6256202007160929E-2"/>
              <c:y val="0.21431565989794554"/>
            </c:manualLayout>
          </c:layout>
          <c:overlay val="0"/>
          <c:spPr>
            <a:noFill/>
            <a:ln>
              <a:noFill/>
            </a:ln>
            <a:effectLst/>
          </c:spPr>
          <c:txPr>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300193216"/>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mj-lt"/>
                <a:ea typeface="+mn-ea"/>
                <a:cs typeface="+mn-cs"/>
              </a:defRPr>
            </a:pPr>
            <a:r>
              <a:rPr lang="en-GB" sz="1100" b="1"/>
              <a:t>World Bank lending for projects with health components: Population, nutrition, and water/sanitation (FY1962-1978)</a:t>
            </a:r>
          </a:p>
        </c:rich>
      </c:tx>
      <c:overlay val="0"/>
      <c:spPr>
        <a:noFill/>
        <a:ln>
          <a:noFill/>
        </a:ln>
        <a:effectLst/>
      </c:spPr>
      <c:txPr>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mj-lt"/>
              <a:ea typeface="+mn-ea"/>
              <a:cs typeface="+mn-cs"/>
            </a:defRPr>
          </a:pPr>
          <a:endParaRPr lang="en-US"/>
        </a:p>
      </c:txPr>
    </c:title>
    <c:autoTitleDeleted val="0"/>
    <c:plotArea>
      <c:layout/>
      <c:barChart>
        <c:barDir val="col"/>
        <c:grouping val="stacked"/>
        <c:varyColors val="0"/>
        <c:ser>
          <c:idx val="0"/>
          <c:order val="0"/>
          <c:tx>
            <c:strRef>
              <c:f>'Components work to 1975'!$A$7</c:f>
              <c:strCache>
                <c:ptCount val="1"/>
                <c:pt idx="0">
                  <c:v>Population loans/credits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'Components work to 1975'!$B$5:$L$5</c:f>
              <c:strCache>
                <c:ptCount val="11"/>
                <c:pt idx="0">
                  <c:v>1962-1968</c:v>
                </c:pt>
                <c:pt idx="1">
                  <c:v>1969</c:v>
                </c:pt>
                <c:pt idx="2">
                  <c:v>1970</c:v>
                </c:pt>
                <c:pt idx="3">
                  <c:v>1971</c:v>
                </c:pt>
                <c:pt idx="4">
                  <c:v>1972</c:v>
                </c:pt>
                <c:pt idx="5">
                  <c:v>1973</c:v>
                </c:pt>
                <c:pt idx="6">
                  <c:v>1974</c:v>
                </c:pt>
                <c:pt idx="7">
                  <c:v>1975</c:v>
                </c:pt>
                <c:pt idx="8">
                  <c:v>1976</c:v>
                </c:pt>
                <c:pt idx="9">
                  <c:v>1977</c:v>
                </c:pt>
                <c:pt idx="10">
                  <c:v>1978</c:v>
                </c:pt>
              </c:strCache>
            </c:strRef>
          </c:cat>
          <c:val>
            <c:numRef>
              <c:f>'Components work to 1975'!$B$7:$L$7</c:f>
              <c:numCache>
                <c:formatCode>General</c:formatCode>
                <c:ptCount val="11"/>
                <c:pt idx="0">
                  <c:v>0</c:v>
                </c:pt>
                <c:pt idx="1">
                  <c:v>0</c:v>
                </c:pt>
                <c:pt idx="2">
                  <c:v>2</c:v>
                </c:pt>
                <c:pt idx="3">
                  <c:v>7.8</c:v>
                </c:pt>
                <c:pt idx="4">
                  <c:v>34.4</c:v>
                </c:pt>
                <c:pt idx="5">
                  <c:v>21.5</c:v>
                </c:pt>
                <c:pt idx="6">
                  <c:v>17</c:v>
                </c:pt>
                <c:pt idx="7">
                  <c:v>43</c:v>
                </c:pt>
                <c:pt idx="8">
                  <c:v>54</c:v>
                </c:pt>
                <c:pt idx="9">
                  <c:v>69</c:v>
                </c:pt>
                <c:pt idx="10">
                  <c:v>89</c:v>
                </c:pt>
              </c:numCache>
            </c:numRef>
          </c:val>
          <c:extLst>
            <c:ext xmlns:c16="http://schemas.microsoft.com/office/drawing/2014/chart" uri="{C3380CC4-5D6E-409C-BE32-E72D297353CC}">
              <c16:uniqueId val="{00000000-3D47-7B47-88AC-4704BA488206}"/>
            </c:ext>
          </c:extLst>
        </c:ser>
        <c:ser>
          <c:idx val="1"/>
          <c:order val="1"/>
          <c:tx>
            <c:strRef>
              <c:f>'Components work to 1975'!$A$9</c:f>
              <c:strCache>
                <c:ptCount val="1"/>
                <c:pt idx="0">
                  <c:v>Nutrition loans/credits</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cat>
            <c:strRef>
              <c:f>'Components work to 1975'!$B$5:$L$5</c:f>
              <c:strCache>
                <c:ptCount val="11"/>
                <c:pt idx="0">
                  <c:v>1962-1968</c:v>
                </c:pt>
                <c:pt idx="1">
                  <c:v>1969</c:v>
                </c:pt>
                <c:pt idx="2">
                  <c:v>1970</c:v>
                </c:pt>
                <c:pt idx="3">
                  <c:v>1971</c:v>
                </c:pt>
                <c:pt idx="4">
                  <c:v>1972</c:v>
                </c:pt>
                <c:pt idx="5">
                  <c:v>1973</c:v>
                </c:pt>
                <c:pt idx="6">
                  <c:v>1974</c:v>
                </c:pt>
                <c:pt idx="7">
                  <c:v>1975</c:v>
                </c:pt>
                <c:pt idx="8">
                  <c:v>1976</c:v>
                </c:pt>
                <c:pt idx="9">
                  <c:v>1977</c:v>
                </c:pt>
                <c:pt idx="10">
                  <c:v>1978</c:v>
                </c:pt>
              </c:strCache>
            </c:strRef>
          </c:cat>
          <c:val>
            <c:numRef>
              <c:f>'Components work to 1975'!$B$9:$L$9</c:f>
              <c:numCache>
                <c:formatCode>General</c:formatCode>
                <c:ptCount val="11"/>
                <c:pt idx="0">
                  <c:v>0</c:v>
                </c:pt>
                <c:pt idx="1">
                  <c:v>0</c:v>
                </c:pt>
                <c:pt idx="2">
                  <c:v>0</c:v>
                </c:pt>
                <c:pt idx="3">
                  <c:v>0</c:v>
                </c:pt>
                <c:pt idx="4">
                  <c:v>0</c:v>
                </c:pt>
                <c:pt idx="5">
                  <c:v>0</c:v>
                </c:pt>
                <c:pt idx="6">
                  <c:v>0</c:v>
                </c:pt>
                <c:pt idx="7">
                  <c:v>0</c:v>
                </c:pt>
                <c:pt idx="8">
                  <c:v>20</c:v>
                </c:pt>
                <c:pt idx="9">
                  <c:v>25</c:v>
                </c:pt>
                <c:pt idx="10">
                  <c:v>20</c:v>
                </c:pt>
              </c:numCache>
            </c:numRef>
          </c:val>
          <c:extLst>
            <c:ext xmlns:c16="http://schemas.microsoft.com/office/drawing/2014/chart" uri="{C3380CC4-5D6E-409C-BE32-E72D297353CC}">
              <c16:uniqueId val="{00000001-3D47-7B47-88AC-4704BA488206}"/>
            </c:ext>
          </c:extLst>
        </c:ser>
        <c:ser>
          <c:idx val="2"/>
          <c:order val="2"/>
          <c:tx>
            <c:strRef>
              <c:f>'Components work to 1975'!$A$11</c:f>
              <c:strCache>
                <c:ptCount val="1"/>
                <c:pt idx="0">
                  <c:v>Water supply &amp; sewage loans/credits</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cat>
            <c:strRef>
              <c:f>'Components work to 1975'!$B$5:$L$5</c:f>
              <c:strCache>
                <c:ptCount val="11"/>
                <c:pt idx="0">
                  <c:v>1962-1968</c:v>
                </c:pt>
                <c:pt idx="1">
                  <c:v>1969</c:v>
                </c:pt>
                <c:pt idx="2">
                  <c:v>1970</c:v>
                </c:pt>
                <c:pt idx="3">
                  <c:v>1971</c:v>
                </c:pt>
                <c:pt idx="4">
                  <c:v>1972</c:v>
                </c:pt>
                <c:pt idx="5">
                  <c:v>1973</c:v>
                </c:pt>
                <c:pt idx="6">
                  <c:v>1974</c:v>
                </c:pt>
                <c:pt idx="7">
                  <c:v>1975</c:v>
                </c:pt>
                <c:pt idx="8">
                  <c:v>1976</c:v>
                </c:pt>
                <c:pt idx="9">
                  <c:v>1977</c:v>
                </c:pt>
                <c:pt idx="10">
                  <c:v>1978</c:v>
                </c:pt>
              </c:strCache>
            </c:strRef>
          </c:cat>
          <c:val>
            <c:numRef>
              <c:f>'Components work to 1975'!$B$11:$L$11</c:f>
              <c:numCache>
                <c:formatCode>General</c:formatCode>
                <c:ptCount val="11"/>
                <c:pt idx="0">
                  <c:v>138.1</c:v>
                </c:pt>
                <c:pt idx="1">
                  <c:v>34.6</c:v>
                </c:pt>
                <c:pt idx="2">
                  <c:v>32.5</c:v>
                </c:pt>
                <c:pt idx="3">
                  <c:v>224.7</c:v>
                </c:pt>
                <c:pt idx="4">
                  <c:v>78.7</c:v>
                </c:pt>
                <c:pt idx="5">
                  <c:v>299</c:v>
                </c:pt>
                <c:pt idx="6">
                  <c:v>173.7</c:v>
                </c:pt>
                <c:pt idx="7">
                  <c:v>305</c:v>
                </c:pt>
                <c:pt idx="8">
                  <c:v>320</c:v>
                </c:pt>
                <c:pt idx="9">
                  <c:v>357</c:v>
                </c:pt>
                <c:pt idx="10">
                  <c:v>423</c:v>
                </c:pt>
              </c:numCache>
            </c:numRef>
          </c:val>
          <c:extLst>
            <c:ext xmlns:c16="http://schemas.microsoft.com/office/drawing/2014/chart" uri="{C3380CC4-5D6E-409C-BE32-E72D297353CC}">
              <c16:uniqueId val="{00000002-3D47-7B47-88AC-4704BA488206}"/>
            </c:ext>
          </c:extLst>
        </c:ser>
        <c:dLbls>
          <c:showLegendKey val="0"/>
          <c:showVal val="0"/>
          <c:showCatName val="0"/>
          <c:showSerName val="0"/>
          <c:showPercent val="0"/>
          <c:showBubbleSize val="0"/>
        </c:dLbls>
        <c:gapWidth val="300"/>
        <c:overlap val="100"/>
        <c:serLines>
          <c:spPr>
            <a:ln w="9525">
              <a:solidFill>
                <a:schemeClr val="tx1">
                  <a:lumMod val="35000"/>
                  <a:lumOff val="65000"/>
                </a:schemeClr>
              </a:solidFill>
              <a:prstDash val="dash"/>
            </a:ln>
            <a:effectLst/>
          </c:spPr>
        </c:serLines>
        <c:axId val="1299649552"/>
        <c:axId val="1294960880"/>
      </c:barChart>
      <c:catAx>
        <c:axId val="1299649552"/>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r>
                  <a:rPr lang="en-GB"/>
                  <a:t>fiscal year</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crossAx val="1294960880"/>
        <c:crosses val="autoZero"/>
        <c:auto val="1"/>
        <c:lblAlgn val="ctr"/>
        <c:lblOffset val="100"/>
        <c:noMultiLvlLbl val="0"/>
      </c:catAx>
      <c:valAx>
        <c:axId val="12949608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r>
                  <a:rPr lang="en-GB"/>
                  <a:t>$ Millions usd</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crossAx val="129964955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mj-lt"/>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0" normalizeH="0" baseline="0">
                <a:solidFill>
                  <a:schemeClr val="tx1">
                    <a:lumMod val="65000"/>
                    <a:lumOff val="35000"/>
                  </a:schemeClr>
                </a:solidFill>
                <a:latin typeface="+mj-lt"/>
                <a:ea typeface="+mj-ea"/>
                <a:cs typeface="+mj-cs"/>
              </a:defRPr>
            </a:pPr>
            <a:r>
              <a:rPr lang="en-GB" sz="1100" b="1"/>
              <a:t>Onchocerciasis Fund expenditures (disbursements) from 1974-2002, by Bank source</a:t>
            </a:r>
          </a:p>
        </c:rich>
      </c:tx>
      <c:overlay val="0"/>
      <c:spPr>
        <a:noFill/>
        <a:ln>
          <a:noFill/>
        </a:ln>
        <a:effectLst/>
      </c:spPr>
      <c:txPr>
        <a:bodyPr rot="0" spcFirstLastPara="1" vertOverflow="ellipsis" vert="horz" wrap="square" anchor="ctr" anchorCtr="1"/>
        <a:lstStyle/>
        <a:p>
          <a:pPr>
            <a:defRPr sz="1100" b="1"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lineChart>
        <c:grouping val="standard"/>
        <c:varyColors val="0"/>
        <c:ser>
          <c:idx val="0"/>
          <c:order val="0"/>
          <c:tx>
            <c:strRef>
              <c:f>Sheet1!$F$1</c:f>
              <c:strCache>
                <c:ptCount val="1"/>
                <c:pt idx="0">
                  <c:v>Archives - Oncho Fund financial statements (averaged)</c:v>
                </c:pt>
              </c:strCache>
            </c:strRef>
          </c:tx>
          <c:spPr>
            <a:ln w="38100" cap="rnd">
              <a:solidFill>
                <a:schemeClr val="accent1"/>
              </a:solidFill>
              <a:round/>
            </a:ln>
            <a:effectLst/>
          </c:spPr>
          <c:marker>
            <c:symbol val="none"/>
          </c:marker>
          <c:cat>
            <c:strRef>
              <c:f>Sheet1!$A$2:$A$31</c:f>
              <c:strCache>
                <c:ptCount val="30"/>
                <c:pt idx="0">
                  <c:v>1973</c:v>
                </c:pt>
                <c:pt idx="1">
                  <c:v>1974</c:v>
                </c:pt>
                <c:pt idx="2">
                  <c:v>1975</c:v>
                </c:pt>
                <c:pt idx="3">
                  <c:v>1976</c:v>
                </c:pt>
                <c:pt idx="4">
                  <c:v>1977</c:v>
                </c:pt>
                <c:pt idx="5">
                  <c:v>1978</c:v>
                </c:pt>
                <c:pt idx="6">
                  <c:v>1979</c:v>
                </c:pt>
                <c:pt idx="7">
                  <c:v>1980</c:v>
                </c:pt>
                <c:pt idx="8">
                  <c:v>1981</c:v>
                </c:pt>
                <c:pt idx="9">
                  <c:v>1982</c:v>
                </c:pt>
                <c:pt idx="10">
                  <c:v>1983</c:v>
                </c:pt>
                <c:pt idx="11">
                  <c:v>1984</c:v>
                </c:pt>
                <c:pt idx="12">
                  <c:v>1985</c:v>
                </c:pt>
                <c:pt idx="13">
                  <c:v>1986</c:v>
                </c:pt>
                <c:pt idx="14">
                  <c:v>1987</c:v>
                </c:pt>
                <c:pt idx="15">
                  <c:v>1988</c:v>
                </c:pt>
                <c:pt idx="16">
                  <c:v>1989</c:v>
                </c:pt>
                <c:pt idx="17">
                  <c:v>1990</c:v>
                </c:pt>
                <c:pt idx="18">
                  <c:v>1991</c:v>
                </c:pt>
                <c:pt idx="19">
                  <c:v>1992</c:v>
                </c:pt>
                <c:pt idx="20">
                  <c:v>1993</c:v>
                </c:pt>
                <c:pt idx="21">
                  <c:v>1994</c:v>
                </c:pt>
                <c:pt idx="22">
                  <c:v>1995</c:v>
                </c:pt>
                <c:pt idx="23">
                  <c:v>1996</c:v>
                </c:pt>
                <c:pt idx="24">
                  <c:v>1997</c:v>
                </c:pt>
                <c:pt idx="25">
                  <c:v>1998*</c:v>
                </c:pt>
                <c:pt idx="26">
                  <c:v>1999*</c:v>
                </c:pt>
                <c:pt idx="27">
                  <c:v>2000*</c:v>
                </c:pt>
                <c:pt idx="28">
                  <c:v>2001*</c:v>
                </c:pt>
                <c:pt idx="29">
                  <c:v>2002*</c:v>
                </c:pt>
              </c:strCache>
            </c:strRef>
          </c:cat>
          <c:val>
            <c:numRef>
              <c:f>Sheet1!$F$2:$F$31</c:f>
              <c:numCache>
                <c:formatCode>General</c:formatCode>
                <c:ptCount val="30"/>
                <c:pt idx="1">
                  <c:v>2791068</c:v>
                </c:pt>
                <c:pt idx="2">
                  <c:v>5980364.5</c:v>
                </c:pt>
                <c:pt idx="3">
                  <c:v>10083735.3333333</c:v>
                </c:pt>
                <c:pt idx="4">
                  <c:v>10292855.5</c:v>
                </c:pt>
                <c:pt idx="5">
                  <c:v>11309937.5</c:v>
                </c:pt>
                <c:pt idx="6">
                  <c:v>13294854.6666667</c:v>
                </c:pt>
                <c:pt idx="7">
                  <c:v>16880181</c:v>
                </c:pt>
                <c:pt idx="8">
                  <c:v>16483190.75</c:v>
                </c:pt>
                <c:pt idx="9">
                  <c:v>16590649</c:v>
                </c:pt>
                <c:pt idx="10">
                  <c:v>16517370.6666667</c:v>
                </c:pt>
                <c:pt idx="11">
                  <c:v>19348000</c:v>
                </c:pt>
                <c:pt idx="12">
                  <c:v>20709000</c:v>
                </c:pt>
                <c:pt idx="13">
                  <c:v>25546500</c:v>
                </c:pt>
                <c:pt idx="14">
                  <c:v>34466666.666666701</c:v>
                </c:pt>
                <c:pt idx="15">
                  <c:v>27910000</c:v>
                </c:pt>
                <c:pt idx="16">
                  <c:v>27195000</c:v>
                </c:pt>
                <c:pt idx="17">
                  <c:v>30600590</c:v>
                </c:pt>
                <c:pt idx="18">
                  <c:v>34477500</c:v>
                </c:pt>
                <c:pt idx="19">
                  <c:v>31700000</c:v>
                </c:pt>
                <c:pt idx="20">
                  <c:v>26500000</c:v>
                </c:pt>
                <c:pt idx="21">
                  <c:v>23200000</c:v>
                </c:pt>
                <c:pt idx="22">
                  <c:v>23000000</c:v>
                </c:pt>
                <c:pt idx="23">
                  <c:v>24000000</c:v>
                </c:pt>
                <c:pt idx="24">
                  <c:v>22000000</c:v>
                </c:pt>
              </c:numCache>
            </c:numRef>
          </c:val>
          <c:smooth val="0"/>
          <c:extLst>
            <c:ext xmlns:c16="http://schemas.microsoft.com/office/drawing/2014/chart" uri="{C3380CC4-5D6E-409C-BE32-E72D297353CC}">
              <c16:uniqueId val="{00000000-4C47-4E1A-9584-D1211944EFA5}"/>
            </c:ext>
          </c:extLst>
        </c:ser>
        <c:ser>
          <c:idx val="1"/>
          <c:order val="1"/>
          <c:tx>
            <c:strRef>
              <c:f>Sheet1!$I$1</c:f>
              <c:strCache>
                <c:ptCount val="1"/>
                <c:pt idx="0">
                  <c:v>Bank OCP expenditures list (1997)</c:v>
                </c:pt>
              </c:strCache>
            </c:strRef>
          </c:tx>
          <c:spPr>
            <a:ln w="38100" cap="rnd">
              <a:solidFill>
                <a:schemeClr val="accent2"/>
              </a:solidFill>
              <a:round/>
            </a:ln>
            <a:effectLst/>
          </c:spPr>
          <c:marker>
            <c:symbol val="none"/>
          </c:marker>
          <c:cat>
            <c:strRef>
              <c:f>Sheet1!$A$2:$A$31</c:f>
              <c:strCache>
                <c:ptCount val="30"/>
                <c:pt idx="0">
                  <c:v>1973</c:v>
                </c:pt>
                <c:pt idx="1">
                  <c:v>1974</c:v>
                </c:pt>
                <c:pt idx="2">
                  <c:v>1975</c:v>
                </c:pt>
                <c:pt idx="3">
                  <c:v>1976</c:v>
                </c:pt>
                <c:pt idx="4">
                  <c:v>1977</c:v>
                </c:pt>
                <c:pt idx="5">
                  <c:v>1978</c:v>
                </c:pt>
                <c:pt idx="6">
                  <c:v>1979</c:v>
                </c:pt>
                <c:pt idx="7">
                  <c:v>1980</c:v>
                </c:pt>
                <c:pt idx="8">
                  <c:v>1981</c:v>
                </c:pt>
                <c:pt idx="9">
                  <c:v>1982</c:v>
                </c:pt>
                <c:pt idx="10">
                  <c:v>1983</c:v>
                </c:pt>
                <c:pt idx="11">
                  <c:v>1984</c:v>
                </c:pt>
                <c:pt idx="12">
                  <c:v>1985</c:v>
                </c:pt>
                <c:pt idx="13">
                  <c:v>1986</c:v>
                </c:pt>
                <c:pt idx="14">
                  <c:v>1987</c:v>
                </c:pt>
                <c:pt idx="15">
                  <c:v>1988</c:v>
                </c:pt>
                <c:pt idx="16">
                  <c:v>1989</c:v>
                </c:pt>
                <c:pt idx="17">
                  <c:v>1990</c:v>
                </c:pt>
                <c:pt idx="18">
                  <c:v>1991</c:v>
                </c:pt>
                <c:pt idx="19">
                  <c:v>1992</c:v>
                </c:pt>
                <c:pt idx="20">
                  <c:v>1993</c:v>
                </c:pt>
                <c:pt idx="21">
                  <c:v>1994</c:v>
                </c:pt>
                <c:pt idx="22">
                  <c:v>1995</c:v>
                </c:pt>
                <c:pt idx="23">
                  <c:v>1996</c:v>
                </c:pt>
                <c:pt idx="24">
                  <c:v>1997</c:v>
                </c:pt>
                <c:pt idx="25">
                  <c:v>1998*</c:v>
                </c:pt>
                <c:pt idx="26">
                  <c:v>1999*</c:v>
                </c:pt>
                <c:pt idx="27">
                  <c:v>2000*</c:v>
                </c:pt>
                <c:pt idx="28">
                  <c:v>2001*</c:v>
                </c:pt>
                <c:pt idx="29">
                  <c:v>2002*</c:v>
                </c:pt>
              </c:strCache>
            </c:strRef>
          </c:cat>
          <c:val>
            <c:numRef>
              <c:f>Sheet1!$I$2:$I$31</c:f>
              <c:numCache>
                <c:formatCode>General</c:formatCode>
                <c:ptCount val="30"/>
                <c:pt idx="1">
                  <c:v>2843441</c:v>
                </c:pt>
                <c:pt idx="2">
                  <c:v>6133458</c:v>
                </c:pt>
                <c:pt idx="3">
                  <c:v>10586071</c:v>
                </c:pt>
                <c:pt idx="4">
                  <c:v>10167488</c:v>
                </c:pt>
                <c:pt idx="5">
                  <c:v>12051185</c:v>
                </c:pt>
                <c:pt idx="6">
                  <c:v>14296696</c:v>
                </c:pt>
                <c:pt idx="7">
                  <c:v>16506724</c:v>
                </c:pt>
                <c:pt idx="8">
                  <c:v>16646363</c:v>
                </c:pt>
                <c:pt idx="9">
                  <c:v>16886000</c:v>
                </c:pt>
                <c:pt idx="10">
                  <c:v>16776000</c:v>
                </c:pt>
                <c:pt idx="11">
                  <c:v>19348000</c:v>
                </c:pt>
                <c:pt idx="12">
                  <c:v>20709000</c:v>
                </c:pt>
                <c:pt idx="13">
                  <c:v>25578409</c:v>
                </c:pt>
                <c:pt idx="14">
                  <c:v>33801373</c:v>
                </c:pt>
                <c:pt idx="15">
                  <c:v>27920000</c:v>
                </c:pt>
                <c:pt idx="16">
                  <c:v>32180000</c:v>
                </c:pt>
                <c:pt idx="17">
                  <c:v>30900000</c:v>
                </c:pt>
                <c:pt idx="18">
                  <c:v>29870000</c:v>
                </c:pt>
                <c:pt idx="19">
                  <c:v>30000000</c:v>
                </c:pt>
                <c:pt idx="20">
                  <c:v>30000000</c:v>
                </c:pt>
                <c:pt idx="21">
                  <c:v>20000000</c:v>
                </c:pt>
                <c:pt idx="22">
                  <c:v>22000000</c:v>
                </c:pt>
                <c:pt idx="23">
                  <c:v>24000000</c:v>
                </c:pt>
                <c:pt idx="24">
                  <c:v>26000000</c:v>
                </c:pt>
                <c:pt idx="25">
                  <c:v>20000000</c:v>
                </c:pt>
                <c:pt idx="26">
                  <c:v>22000000</c:v>
                </c:pt>
                <c:pt idx="27">
                  <c:v>24000000</c:v>
                </c:pt>
                <c:pt idx="28">
                  <c:v>26000000</c:v>
                </c:pt>
                <c:pt idx="29">
                  <c:v>15000000</c:v>
                </c:pt>
              </c:numCache>
            </c:numRef>
          </c:val>
          <c:smooth val="0"/>
          <c:extLst>
            <c:ext xmlns:c16="http://schemas.microsoft.com/office/drawing/2014/chart" uri="{C3380CC4-5D6E-409C-BE32-E72D297353CC}">
              <c16:uniqueId val="{00000001-4C47-4E1A-9584-D1211944EFA5}"/>
            </c:ext>
          </c:extLst>
        </c:ser>
        <c:dLbls>
          <c:showLegendKey val="0"/>
          <c:showVal val="0"/>
          <c:showCatName val="0"/>
          <c:showSerName val="0"/>
          <c:showPercent val="0"/>
          <c:showBubbleSize val="0"/>
        </c:dLbls>
        <c:smooth val="0"/>
        <c:axId val="1369027808"/>
        <c:axId val="1289586096"/>
      </c:lineChart>
      <c:catAx>
        <c:axId val="1369027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j-lt"/>
                <a:ea typeface="+mn-ea"/>
                <a:cs typeface="+mn-cs"/>
              </a:defRPr>
            </a:pPr>
            <a:endParaRPr lang="en-US"/>
          </a:p>
        </c:txPr>
        <c:crossAx val="1289586096"/>
        <c:crosses val="autoZero"/>
        <c:auto val="1"/>
        <c:lblAlgn val="ctr"/>
        <c:lblOffset val="100"/>
        <c:noMultiLvlLbl val="0"/>
      </c:catAx>
      <c:valAx>
        <c:axId val="12895860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j-lt"/>
                <a:ea typeface="+mn-ea"/>
                <a:cs typeface="+mn-cs"/>
              </a:defRPr>
            </a:pPr>
            <a:endParaRPr lang="en-US"/>
          </a:p>
        </c:txPr>
        <c:crossAx val="1369027808"/>
        <c:crosses val="autoZero"/>
        <c:crossBetween val="between"/>
        <c:dispUnits>
          <c:builtInUnit val="millions"/>
          <c:dispUnitsLbl>
            <c:layout>
              <c:manualLayout>
                <c:xMode val="edge"/>
                <c:yMode val="edge"/>
                <c:x val="1.57779586506481E-2"/>
                <c:y val="0.20858711490690099"/>
              </c:manualLayout>
            </c:layout>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j-lt"/>
                      <a:ea typeface="+mn-ea"/>
                      <a:cs typeface="+mn-cs"/>
                    </a:defRPr>
                  </a:pPr>
                  <a:r>
                    <a:rPr lang="en-GB"/>
                    <a:t>$ Millions (nominal) USD</a:t>
                  </a:r>
                </a:p>
              </c:rich>
            </c:tx>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j-lt"/>
                    <a:ea typeface="+mn-ea"/>
                    <a:cs typeface="+mn-cs"/>
                  </a:defRPr>
                </a:pPr>
                <a:endParaRPr lang="en-US"/>
              </a:p>
            </c:txPr>
          </c:dispUnitsLbl>
        </c:dispUnits>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j-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mj-lt"/>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cap="none" spc="20" baseline="0">
                <a:solidFill>
                  <a:schemeClr val="dk1">
                    <a:lumMod val="50000"/>
                    <a:lumOff val="50000"/>
                  </a:schemeClr>
                </a:solidFill>
                <a:latin typeface="+mj-lt"/>
                <a:ea typeface="+mn-ea"/>
                <a:cs typeface="+mn-cs"/>
              </a:defRPr>
            </a:pPr>
            <a:r>
              <a:rPr lang="en-GB" sz="1050" b="1"/>
              <a:t>Tracking OCP funding, by three Bank sources and OECD data, 1974-2002</a:t>
            </a:r>
          </a:p>
        </c:rich>
      </c:tx>
      <c:overlay val="0"/>
      <c:spPr>
        <a:noFill/>
        <a:ln>
          <a:noFill/>
        </a:ln>
        <a:effectLst/>
      </c:spPr>
      <c:txPr>
        <a:bodyPr rot="0" spcFirstLastPara="1" vertOverflow="ellipsis" vert="horz" wrap="square" anchor="ctr" anchorCtr="1"/>
        <a:lstStyle/>
        <a:p>
          <a:pPr>
            <a:defRPr sz="1050" b="1" i="0" u="none" strike="noStrike" kern="1200" cap="none" spc="20" baseline="0">
              <a:solidFill>
                <a:schemeClr val="dk1">
                  <a:lumMod val="50000"/>
                  <a:lumOff val="50000"/>
                </a:schemeClr>
              </a:solidFill>
              <a:latin typeface="+mj-lt"/>
              <a:ea typeface="+mn-ea"/>
              <a:cs typeface="+mn-cs"/>
            </a:defRPr>
          </a:pPr>
          <a:endParaRPr lang="en-US"/>
        </a:p>
      </c:txPr>
    </c:title>
    <c:autoTitleDeleted val="0"/>
    <c:plotArea>
      <c:layout/>
      <c:scatterChart>
        <c:scatterStyle val="lineMarker"/>
        <c:varyColors val="0"/>
        <c:ser>
          <c:idx val="0"/>
          <c:order val="0"/>
          <c:tx>
            <c:strRef>
              <c:f>Sheet1!$C$38</c:f>
              <c:strCache>
                <c:ptCount val="1"/>
                <c:pt idx="0">
                  <c:v>AidData: OECD donor commitments in nominal dollars (post-1995 may include APOC funding)</c:v>
                </c:pt>
              </c:strCache>
            </c:strRef>
          </c:tx>
          <c:spPr>
            <a:ln w="9525" cap="flat" cmpd="sng" algn="ctr">
              <a:solidFill>
                <a:schemeClr val="accent1">
                  <a:alpha val="70000"/>
                </a:schemeClr>
              </a:solidFill>
              <a:prstDash val="sysDot"/>
              <a:round/>
            </a:ln>
            <a:effectLst/>
          </c:spPr>
          <c:marker>
            <c:symbol val="circle"/>
            <c:size val="5"/>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xVal>
            <c:numRef>
              <c:f>Sheet1!$A$39:$A$67</c:f>
              <c:numCache>
                <c:formatCode>General</c:formatCode>
                <c:ptCount val="29"/>
                <c:pt idx="0">
                  <c:v>1974</c:v>
                </c:pt>
                <c:pt idx="1">
                  <c:v>1975</c:v>
                </c:pt>
                <c:pt idx="2">
                  <c:v>1976</c:v>
                </c:pt>
                <c:pt idx="3">
                  <c:v>1977</c:v>
                </c:pt>
                <c:pt idx="4">
                  <c:v>1978</c:v>
                </c:pt>
                <c:pt idx="5">
                  <c:v>1979</c:v>
                </c:pt>
                <c:pt idx="6">
                  <c:v>1980</c:v>
                </c:pt>
                <c:pt idx="7">
                  <c:v>1981</c:v>
                </c:pt>
                <c:pt idx="8">
                  <c:v>1982</c:v>
                </c:pt>
                <c:pt idx="9">
                  <c:v>1983</c:v>
                </c:pt>
                <c:pt idx="10">
                  <c:v>1984</c:v>
                </c:pt>
                <c:pt idx="11">
                  <c:v>1985</c:v>
                </c:pt>
                <c:pt idx="12">
                  <c:v>1986</c:v>
                </c:pt>
                <c:pt idx="13">
                  <c:v>1987</c:v>
                </c:pt>
                <c:pt idx="14">
                  <c:v>1988</c:v>
                </c:pt>
                <c:pt idx="15">
                  <c:v>1989</c:v>
                </c:pt>
                <c:pt idx="16">
                  <c:v>1990</c:v>
                </c:pt>
                <c:pt idx="17">
                  <c:v>1991</c:v>
                </c:pt>
                <c:pt idx="18">
                  <c:v>1992</c:v>
                </c:pt>
                <c:pt idx="19">
                  <c:v>1993</c:v>
                </c:pt>
                <c:pt idx="20">
                  <c:v>1994</c:v>
                </c:pt>
                <c:pt idx="21">
                  <c:v>1995</c:v>
                </c:pt>
                <c:pt idx="22">
                  <c:v>1996</c:v>
                </c:pt>
                <c:pt idx="23">
                  <c:v>1997</c:v>
                </c:pt>
                <c:pt idx="24">
                  <c:v>1998</c:v>
                </c:pt>
                <c:pt idx="25">
                  <c:v>1999</c:v>
                </c:pt>
                <c:pt idx="26">
                  <c:v>2000</c:v>
                </c:pt>
                <c:pt idx="27">
                  <c:v>2001</c:v>
                </c:pt>
                <c:pt idx="28">
                  <c:v>2002</c:v>
                </c:pt>
              </c:numCache>
            </c:numRef>
          </c:xVal>
          <c:yVal>
            <c:numRef>
              <c:f>Sheet1!$C$39:$C$67</c:f>
              <c:numCache>
                <c:formatCode>General</c:formatCode>
                <c:ptCount val="29"/>
                <c:pt idx="5">
                  <c:v>1175198.6089999999</c:v>
                </c:pt>
                <c:pt idx="8">
                  <c:v>5391791.8320000004</c:v>
                </c:pt>
                <c:pt idx="9">
                  <c:v>787267.26409999887</c:v>
                </c:pt>
                <c:pt idx="10">
                  <c:v>800970.31830000004</c:v>
                </c:pt>
                <c:pt idx="12">
                  <c:v>3943647.2302999999</c:v>
                </c:pt>
                <c:pt idx="13">
                  <c:v>2500000</c:v>
                </c:pt>
                <c:pt idx="14">
                  <c:v>7705436</c:v>
                </c:pt>
                <c:pt idx="18">
                  <c:v>3500000</c:v>
                </c:pt>
                <c:pt idx="22">
                  <c:v>2932093</c:v>
                </c:pt>
                <c:pt idx="23">
                  <c:v>424190.2</c:v>
                </c:pt>
                <c:pt idx="24">
                  <c:v>10346968</c:v>
                </c:pt>
              </c:numCache>
            </c:numRef>
          </c:yVal>
          <c:smooth val="0"/>
          <c:extLst>
            <c:ext xmlns:c16="http://schemas.microsoft.com/office/drawing/2014/chart" uri="{C3380CC4-5D6E-409C-BE32-E72D297353CC}">
              <c16:uniqueId val="{00000000-1703-42B1-B200-A7A2CFFCB311}"/>
            </c:ext>
          </c:extLst>
        </c:ser>
        <c:ser>
          <c:idx val="1"/>
          <c:order val="1"/>
          <c:tx>
            <c:strRef>
              <c:f>Sheet1!$E$38</c:f>
              <c:strCache>
                <c:ptCount val="1"/>
                <c:pt idx="0">
                  <c:v>Bank OCP 1997 expenditure estimate in nominal dollars (actual until 1987)</c:v>
                </c:pt>
              </c:strCache>
            </c:strRef>
          </c:tx>
          <c:spPr>
            <a:ln w="9525" cap="flat" cmpd="sng" algn="ctr">
              <a:solidFill>
                <a:schemeClr val="accent2">
                  <a:alpha val="70000"/>
                </a:schemeClr>
              </a:solidFill>
              <a:prstDash val="sysDot"/>
              <a:round/>
            </a:ln>
            <a:effectLst/>
          </c:spPr>
          <c:marker>
            <c:symbol val="circle"/>
            <c:size val="5"/>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marker>
          <c:xVal>
            <c:numRef>
              <c:f>Sheet1!$A$39:$A$67</c:f>
              <c:numCache>
                <c:formatCode>General</c:formatCode>
                <c:ptCount val="29"/>
                <c:pt idx="0">
                  <c:v>1974</c:v>
                </c:pt>
                <c:pt idx="1">
                  <c:v>1975</c:v>
                </c:pt>
                <c:pt idx="2">
                  <c:v>1976</c:v>
                </c:pt>
                <c:pt idx="3">
                  <c:v>1977</c:v>
                </c:pt>
                <c:pt idx="4">
                  <c:v>1978</c:v>
                </c:pt>
                <c:pt idx="5">
                  <c:v>1979</c:v>
                </c:pt>
                <c:pt idx="6">
                  <c:v>1980</c:v>
                </c:pt>
                <c:pt idx="7">
                  <c:v>1981</c:v>
                </c:pt>
                <c:pt idx="8">
                  <c:v>1982</c:v>
                </c:pt>
                <c:pt idx="9">
                  <c:v>1983</c:v>
                </c:pt>
                <c:pt idx="10">
                  <c:v>1984</c:v>
                </c:pt>
                <c:pt idx="11">
                  <c:v>1985</c:v>
                </c:pt>
                <c:pt idx="12">
                  <c:v>1986</c:v>
                </c:pt>
                <c:pt idx="13">
                  <c:v>1987</c:v>
                </c:pt>
                <c:pt idx="14">
                  <c:v>1988</c:v>
                </c:pt>
                <c:pt idx="15">
                  <c:v>1989</c:v>
                </c:pt>
                <c:pt idx="16">
                  <c:v>1990</c:v>
                </c:pt>
                <c:pt idx="17">
                  <c:v>1991</c:v>
                </c:pt>
                <c:pt idx="18">
                  <c:v>1992</c:v>
                </c:pt>
                <c:pt idx="19">
                  <c:v>1993</c:v>
                </c:pt>
                <c:pt idx="20">
                  <c:v>1994</c:v>
                </c:pt>
                <c:pt idx="21">
                  <c:v>1995</c:v>
                </c:pt>
                <c:pt idx="22">
                  <c:v>1996</c:v>
                </c:pt>
                <c:pt idx="23">
                  <c:v>1997</c:v>
                </c:pt>
                <c:pt idx="24">
                  <c:v>1998</c:v>
                </c:pt>
                <c:pt idx="25">
                  <c:v>1999</c:v>
                </c:pt>
                <c:pt idx="26">
                  <c:v>2000</c:v>
                </c:pt>
                <c:pt idx="27">
                  <c:v>2001</c:v>
                </c:pt>
                <c:pt idx="28">
                  <c:v>2002</c:v>
                </c:pt>
              </c:numCache>
            </c:numRef>
          </c:xVal>
          <c:yVal>
            <c:numRef>
              <c:f>Sheet1!$E$39:$E$67</c:f>
              <c:numCache>
                <c:formatCode>General</c:formatCode>
                <c:ptCount val="29"/>
                <c:pt idx="0">
                  <c:v>2843441</c:v>
                </c:pt>
                <c:pt idx="1">
                  <c:v>6133458</c:v>
                </c:pt>
                <c:pt idx="2">
                  <c:v>10586071</c:v>
                </c:pt>
                <c:pt idx="3">
                  <c:v>10167488</c:v>
                </c:pt>
                <c:pt idx="4">
                  <c:v>12051185</c:v>
                </c:pt>
                <c:pt idx="5">
                  <c:v>14296696</c:v>
                </c:pt>
                <c:pt idx="6">
                  <c:v>16506724</c:v>
                </c:pt>
                <c:pt idx="7">
                  <c:v>16646363</c:v>
                </c:pt>
                <c:pt idx="8">
                  <c:v>16886000</c:v>
                </c:pt>
                <c:pt idx="9">
                  <c:v>16776000</c:v>
                </c:pt>
                <c:pt idx="10">
                  <c:v>19348000</c:v>
                </c:pt>
                <c:pt idx="11">
                  <c:v>20709000</c:v>
                </c:pt>
                <c:pt idx="12">
                  <c:v>25578409</c:v>
                </c:pt>
                <c:pt idx="13">
                  <c:v>33801373</c:v>
                </c:pt>
                <c:pt idx="14">
                  <c:v>27920000</c:v>
                </c:pt>
                <c:pt idx="15">
                  <c:v>32180000</c:v>
                </c:pt>
                <c:pt idx="16">
                  <c:v>30900000</c:v>
                </c:pt>
                <c:pt idx="17">
                  <c:v>29870000</c:v>
                </c:pt>
                <c:pt idx="18">
                  <c:v>30000000</c:v>
                </c:pt>
                <c:pt idx="19">
                  <c:v>30000000</c:v>
                </c:pt>
                <c:pt idx="20">
                  <c:v>20000000</c:v>
                </c:pt>
                <c:pt idx="21">
                  <c:v>22000000</c:v>
                </c:pt>
                <c:pt idx="22">
                  <c:v>24000000</c:v>
                </c:pt>
                <c:pt idx="23">
                  <c:v>26000000</c:v>
                </c:pt>
                <c:pt idx="24">
                  <c:v>20000000</c:v>
                </c:pt>
                <c:pt idx="25">
                  <c:v>22000000</c:v>
                </c:pt>
                <c:pt idx="26">
                  <c:v>24000000</c:v>
                </c:pt>
                <c:pt idx="27">
                  <c:v>26000000</c:v>
                </c:pt>
                <c:pt idx="28">
                  <c:v>15000000</c:v>
                </c:pt>
              </c:numCache>
            </c:numRef>
          </c:yVal>
          <c:smooth val="0"/>
          <c:extLst>
            <c:ext xmlns:c16="http://schemas.microsoft.com/office/drawing/2014/chart" uri="{C3380CC4-5D6E-409C-BE32-E72D297353CC}">
              <c16:uniqueId val="{00000001-1703-42B1-B200-A7A2CFFCB311}"/>
            </c:ext>
          </c:extLst>
        </c:ser>
        <c:ser>
          <c:idx val="2"/>
          <c:order val="2"/>
          <c:tx>
            <c:strRef>
              <c:f>Sheet1!$F$38</c:f>
              <c:strCache>
                <c:ptCount val="1"/>
                <c:pt idx="0">
                  <c:v>Bank Kim &amp; Benton 1995 expenditure (actual until 1994 and estimate after)</c:v>
                </c:pt>
              </c:strCache>
            </c:strRef>
          </c:tx>
          <c:spPr>
            <a:ln w="9525" cap="flat" cmpd="sng" algn="ctr">
              <a:solidFill>
                <a:schemeClr val="accent3">
                  <a:alpha val="70000"/>
                </a:schemeClr>
              </a:solidFill>
              <a:prstDash val="sysDot"/>
              <a:round/>
            </a:ln>
            <a:effectLst/>
          </c:spPr>
          <c:marker>
            <c:symbol val="circle"/>
            <c:size val="5"/>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marker>
          <c:xVal>
            <c:numRef>
              <c:f>Sheet1!$A$39:$A$67</c:f>
              <c:numCache>
                <c:formatCode>General</c:formatCode>
                <c:ptCount val="29"/>
                <c:pt idx="0">
                  <c:v>1974</c:v>
                </c:pt>
                <c:pt idx="1">
                  <c:v>1975</c:v>
                </c:pt>
                <c:pt idx="2">
                  <c:v>1976</c:v>
                </c:pt>
                <c:pt idx="3">
                  <c:v>1977</c:v>
                </c:pt>
                <c:pt idx="4">
                  <c:v>1978</c:v>
                </c:pt>
                <c:pt idx="5">
                  <c:v>1979</c:v>
                </c:pt>
                <c:pt idx="6">
                  <c:v>1980</c:v>
                </c:pt>
                <c:pt idx="7">
                  <c:v>1981</c:v>
                </c:pt>
                <c:pt idx="8">
                  <c:v>1982</c:v>
                </c:pt>
                <c:pt idx="9">
                  <c:v>1983</c:v>
                </c:pt>
                <c:pt idx="10">
                  <c:v>1984</c:v>
                </c:pt>
                <c:pt idx="11">
                  <c:v>1985</c:v>
                </c:pt>
                <c:pt idx="12">
                  <c:v>1986</c:v>
                </c:pt>
                <c:pt idx="13">
                  <c:v>1987</c:v>
                </c:pt>
                <c:pt idx="14">
                  <c:v>1988</c:v>
                </c:pt>
                <c:pt idx="15">
                  <c:v>1989</c:v>
                </c:pt>
                <c:pt idx="16">
                  <c:v>1990</c:v>
                </c:pt>
                <c:pt idx="17">
                  <c:v>1991</c:v>
                </c:pt>
                <c:pt idx="18">
                  <c:v>1992</c:v>
                </c:pt>
                <c:pt idx="19">
                  <c:v>1993</c:v>
                </c:pt>
                <c:pt idx="20">
                  <c:v>1994</c:v>
                </c:pt>
                <c:pt idx="21">
                  <c:v>1995</c:v>
                </c:pt>
                <c:pt idx="22">
                  <c:v>1996</c:v>
                </c:pt>
                <c:pt idx="23">
                  <c:v>1997</c:v>
                </c:pt>
                <c:pt idx="24">
                  <c:v>1998</c:v>
                </c:pt>
                <c:pt idx="25">
                  <c:v>1999</c:v>
                </c:pt>
                <c:pt idx="26">
                  <c:v>2000</c:v>
                </c:pt>
                <c:pt idx="27">
                  <c:v>2001</c:v>
                </c:pt>
                <c:pt idx="28">
                  <c:v>2002</c:v>
                </c:pt>
              </c:numCache>
            </c:numRef>
          </c:xVal>
          <c:yVal>
            <c:numRef>
              <c:f>Sheet1!$F$39:$F$67</c:f>
              <c:numCache>
                <c:formatCode>General</c:formatCode>
                <c:ptCount val="29"/>
                <c:pt idx="0">
                  <c:v>2735000</c:v>
                </c:pt>
                <c:pt idx="1">
                  <c:v>6133000</c:v>
                </c:pt>
                <c:pt idx="2">
                  <c:v>10586000</c:v>
                </c:pt>
                <c:pt idx="3">
                  <c:v>10167000</c:v>
                </c:pt>
                <c:pt idx="4">
                  <c:v>12051000</c:v>
                </c:pt>
                <c:pt idx="5">
                  <c:v>14296000</c:v>
                </c:pt>
                <c:pt idx="6">
                  <c:v>16506000</c:v>
                </c:pt>
                <c:pt idx="7">
                  <c:v>16648000</c:v>
                </c:pt>
                <c:pt idx="8">
                  <c:v>16646000</c:v>
                </c:pt>
                <c:pt idx="9">
                  <c:v>16776000</c:v>
                </c:pt>
                <c:pt idx="10">
                  <c:v>19348000</c:v>
                </c:pt>
                <c:pt idx="11">
                  <c:v>20709000</c:v>
                </c:pt>
                <c:pt idx="12">
                  <c:v>25600000</c:v>
                </c:pt>
                <c:pt idx="13">
                  <c:v>33380000</c:v>
                </c:pt>
                <c:pt idx="14">
                  <c:v>27920000</c:v>
                </c:pt>
                <c:pt idx="15">
                  <c:v>27190000</c:v>
                </c:pt>
                <c:pt idx="16">
                  <c:v>30770000</c:v>
                </c:pt>
                <c:pt idx="17">
                  <c:v>32810000</c:v>
                </c:pt>
                <c:pt idx="18">
                  <c:v>31716000</c:v>
                </c:pt>
                <c:pt idx="19">
                  <c:v>26514000</c:v>
                </c:pt>
                <c:pt idx="20">
                  <c:v>25000000</c:v>
                </c:pt>
                <c:pt idx="21">
                  <c:v>24000000</c:v>
                </c:pt>
                <c:pt idx="22">
                  <c:v>23000000</c:v>
                </c:pt>
                <c:pt idx="23">
                  <c:v>22000000</c:v>
                </c:pt>
                <c:pt idx="24">
                  <c:v>15220000</c:v>
                </c:pt>
                <c:pt idx="25">
                  <c:v>13967000</c:v>
                </c:pt>
                <c:pt idx="26">
                  <c:v>12725000</c:v>
                </c:pt>
                <c:pt idx="27">
                  <c:v>11552000</c:v>
                </c:pt>
                <c:pt idx="28">
                  <c:v>10367000</c:v>
                </c:pt>
              </c:numCache>
            </c:numRef>
          </c:yVal>
          <c:smooth val="0"/>
          <c:extLst>
            <c:ext xmlns:c16="http://schemas.microsoft.com/office/drawing/2014/chart" uri="{C3380CC4-5D6E-409C-BE32-E72D297353CC}">
              <c16:uniqueId val="{00000002-1703-42B1-B200-A7A2CFFCB311}"/>
            </c:ext>
          </c:extLst>
        </c:ser>
        <c:ser>
          <c:idx val="3"/>
          <c:order val="3"/>
          <c:tx>
            <c:strRef>
              <c:f>Sheet1!$G$38</c:f>
              <c:strCache>
                <c:ptCount val="1"/>
                <c:pt idx="0">
                  <c:v>Bank Younger &amp; Zongo 1989 expenditure (actual) </c:v>
                </c:pt>
              </c:strCache>
            </c:strRef>
          </c:tx>
          <c:spPr>
            <a:ln w="9525" cap="flat" cmpd="sng" algn="ctr">
              <a:solidFill>
                <a:schemeClr val="accent4">
                  <a:alpha val="70000"/>
                </a:schemeClr>
              </a:solidFill>
              <a:prstDash val="sysDot"/>
              <a:round/>
            </a:ln>
            <a:effectLst/>
          </c:spPr>
          <c:marker>
            <c:symbol val="circle"/>
            <c:size val="5"/>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marker>
          <c:xVal>
            <c:numRef>
              <c:f>Sheet1!$A$39:$A$67</c:f>
              <c:numCache>
                <c:formatCode>General</c:formatCode>
                <c:ptCount val="29"/>
                <c:pt idx="0">
                  <c:v>1974</c:v>
                </c:pt>
                <c:pt idx="1">
                  <c:v>1975</c:v>
                </c:pt>
                <c:pt idx="2">
                  <c:v>1976</c:v>
                </c:pt>
                <c:pt idx="3">
                  <c:v>1977</c:v>
                </c:pt>
                <c:pt idx="4">
                  <c:v>1978</c:v>
                </c:pt>
                <c:pt idx="5">
                  <c:v>1979</c:v>
                </c:pt>
                <c:pt idx="6">
                  <c:v>1980</c:v>
                </c:pt>
                <c:pt idx="7">
                  <c:v>1981</c:v>
                </c:pt>
                <c:pt idx="8">
                  <c:v>1982</c:v>
                </c:pt>
                <c:pt idx="9">
                  <c:v>1983</c:v>
                </c:pt>
                <c:pt idx="10">
                  <c:v>1984</c:v>
                </c:pt>
                <c:pt idx="11">
                  <c:v>1985</c:v>
                </c:pt>
                <c:pt idx="12">
                  <c:v>1986</c:v>
                </c:pt>
                <c:pt idx="13">
                  <c:v>1987</c:v>
                </c:pt>
                <c:pt idx="14">
                  <c:v>1988</c:v>
                </c:pt>
                <c:pt idx="15">
                  <c:v>1989</c:v>
                </c:pt>
                <c:pt idx="16">
                  <c:v>1990</c:v>
                </c:pt>
                <c:pt idx="17">
                  <c:v>1991</c:v>
                </c:pt>
                <c:pt idx="18">
                  <c:v>1992</c:v>
                </c:pt>
                <c:pt idx="19">
                  <c:v>1993</c:v>
                </c:pt>
                <c:pt idx="20">
                  <c:v>1994</c:v>
                </c:pt>
                <c:pt idx="21">
                  <c:v>1995</c:v>
                </c:pt>
                <c:pt idx="22">
                  <c:v>1996</c:v>
                </c:pt>
                <c:pt idx="23">
                  <c:v>1997</c:v>
                </c:pt>
                <c:pt idx="24">
                  <c:v>1998</c:v>
                </c:pt>
                <c:pt idx="25">
                  <c:v>1999</c:v>
                </c:pt>
                <c:pt idx="26">
                  <c:v>2000</c:v>
                </c:pt>
                <c:pt idx="27">
                  <c:v>2001</c:v>
                </c:pt>
                <c:pt idx="28">
                  <c:v>2002</c:v>
                </c:pt>
              </c:numCache>
            </c:numRef>
          </c:xVal>
          <c:yVal>
            <c:numRef>
              <c:f>Sheet1!$G$39:$G$67</c:f>
              <c:numCache>
                <c:formatCode>General</c:formatCode>
                <c:ptCount val="29"/>
                <c:pt idx="0">
                  <c:v>2735000</c:v>
                </c:pt>
                <c:pt idx="1">
                  <c:v>3011000</c:v>
                </c:pt>
                <c:pt idx="2">
                  <c:v>10413000</c:v>
                </c:pt>
                <c:pt idx="3">
                  <c:v>10175000</c:v>
                </c:pt>
                <c:pt idx="4">
                  <c:v>12125000</c:v>
                </c:pt>
                <c:pt idx="5">
                  <c:v>12648000</c:v>
                </c:pt>
                <c:pt idx="6">
                  <c:v>16507000</c:v>
                </c:pt>
                <c:pt idx="7">
                  <c:v>16646000</c:v>
                </c:pt>
                <c:pt idx="8">
                  <c:v>16646000</c:v>
                </c:pt>
                <c:pt idx="9">
                  <c:v>16776000</c:v>
                </c:pt>
                <c:pt idx="10">
                  <c:v>19348000</c:v>
                </c:pt>
                <c:pt idx="11">
                  <c:v>20709000</c:v>
                </c:pt>
                <c:pt idx="12">
                  <c:v>25712000</c:v>
                </c:pt>
              </c:numCache>
            </c:numRef>
          </c:yVal>
          <c:smooth val="0"/>
          <c:extLst>
            <c:ext xmlns:c16="http://schemas.microsoft.com/office/drawing/2014/chart" uri="{C3380CC4-5D6E-409C-BE32-E72D297353CC}">
              <c16:uniqueId val="{00000003-1703-42B1-B200-A7A2CFFCB311}"/>
            </c:ext>
          </c:extLst>
        </c:ser>
        <c:dLbls>
          <c:showLegendKey val="0"/>
          <c:showVal val="0"/>
          <c:showCatName val="0"/>
          <c:showSerName val="0"/>
          <c:showPercent val="0"/>
          <c:showBubbleSize val="0"/>
        </c:dLbls>
        <c:axId val="1281548960"/>
        <c:axId val="1260575312"/>
      </c:scatterChart>
      <c:valAx>
        <c:axId val="1281548960"/>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dk1">
                        <a:lumMod val="65000"/>
                        <a:lumOff val="35000"/>
                      </a:schemeClr>
                    </a:solidFill>
                    <a:latin typeface="+mj-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j-lt"/>
                  <a:ea typeface="+mn-ea"/>
                  <a:cs typeface="+mn-cs"/>
                </a:defRPr>
              </a:pPr>
              <a:endParaRPr lang="en-US"/>
            </a:p>
          </c:txPr>
        </c:title>
        <c:numFmt formatCode="General" sourceLinked="1"/>
        <c:majorTickMark val="none"/>
        <c:minorTickMark val="none"/>
        <c:tickLblPos val="nextTo"/>
        <c:spPr>
          <a:noFill/>
          <a:ln w="9525" cap="rnd">
            <a:solidFill>
              <a:schemeClr val="dk1">
                <a:lumMod val="25000"/>
                <a:lumOff val="75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j-lt"/>
                <a:ea typeface="+mn-ea"/>
                <a:cs typeface="+mn-cs"/>
              </a:defRPr>
            </a:pPr>
            <a:endParaRPr lang="en-US"/>
          </a:p>
        </c:txPr>
        <c:crossAx val="1260575312"/>
        <c:crosses val="autoZero"/>
        <c:crossBetween val="midCat"/>
      </c:valAx>
      <c:valAx>
        <c:axId val="1260575312"/>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dk1">
                        <a:lumMod val="65000"/>
                        <a:lumOff val="35000"/>
                      </a:schemeClr>
                    </a:solidFill>
                    <a:latin typeface="+mj-lt"/>
                    <a:ea typeface="+mn-ea"/>
                    <a:cs typeface="+mn-cs"/>
                  </a:defRPr>
                </a:pPr>
                <a:r>
                  <a:rPr lang="en-GB"/>
                  <a:t>$ MILLIONS USD</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dk1">
                      <a:lumMod val="65000"/>
                      <a:lumOff val="35000"/>
                    </a:schemeClr>
                  </a:solidFill>
                  <a:latin typeface="+mj-lt"/>
                  <a:ea typeface="+mn-ea"/>
                  <a:cs typeface="+mn-cs"/>
                </a:defRPr>
              </a:pPr>
              <a:endParaRPr lang="en-US"/>
            </a:p>
          </c:txPr>
        </c:title>
        <c:numFmt formatCode="General" sourceLinked="1"/>
        <c:majorTickMark val="none"/>
        <c:minorTickMark val="none"/>
        <c:tickLblPos val="nextTo"/>
        <c:spPr>
          <a:noFill/>
          <a:ln w="9525" cap="rnd">
            <a:solidFill>
              <a:schemeClr val="dk1">
                <a:lumMod val="25000"/>
                <a:lumOff val="75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j-lt"/>
                <a:ea typeface="+mn-ea"/>
                <a:cs typeface="+mn-cs"/>
              </a:defRPr>
            </a:pPr>
            <a:endParaRPr lang="en-US"/>
          </a:p>
        </c:txPr>
        <c:crossAx val="1281548960"/>
        <c:crosses val="autoZero"/>
        <c:crossBetween val="midCat"/>
        <c:dispUnits>
          <c:builtInUnit val="millions"/>
        </c:dispUnits>
      </c:valAx>
      <c:spPr>
        <a:gradFill>
          <a:gsLst>
            <a:gs pos="100000">
              <a:schemeClr val="lt1">
                <a:lumMod val="95000"/>
              </a:schemeClr>
            </a:gs>
            <a:gs pos="0">
              <a:schemeClr val="lt1">
                <a:alpha val="0"/>
              </a:schemeClr>
            </a:gs>
          </a:gsLst>
          <a:lin ang="5400000" scaled="0"/>
        </a:grad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spc="0" baseline="0">
              <a:solidFill>
                <a:schemeClr val="dk1">
                  <a:lumMod val="65000"/>
                  <a:lumOff val="35000"/>
                </a:schemeClr>
              </a:solidFill>
              <a:latin typeface="+mj-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latin typeface="+mj-lt"/>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cap="none" spc="20" baseline="0">
                <a:solidFill>
                  <a:schemeClr val="tx1">
                    <a:lumMod val="50000"/>
                    <a:lumOff val="50000"/>
                  </a:schemeClr>
                </a:solidFill>
                <a:latin typeface="+mj-lt"/>
                <a:ea typeface="+mn-ea"/>
                <a:cs typeface="+mn-cs"/>
              </a:defRPr>
            </a:pPr>
            <a:r>
              <a:rPr lang="en-GB" sz="1050" b="1"/>
              <a:t>Total OCP expenditures by phase and category of expenditure </a:t>
            </a:r>
          </a:p>
        </c:rich>
      </c:tx>
      <c:overlay val="0"/>
      <c:spPr>
        <a:noFill/>
        <a:ln>
          <a:noFill/>
        </a:ln>
        <a:effectLst/>
      </c:spPr>
      <c:txPr>
        <a:bodyPr rot="0" spcFirstLastPara="1" vertOverflow="ellipsis" vert="horz" wrap="square" anchor="ctr" anchorCtr="1"/>
        <a:lstStyle/>
        <a:p>
          <a:pPr>
            <a:defRPr sz="1050" b="1" i="0" u="none" strike="noStrike" kern="1200" cap="none" spc="20" baseline="0">
              <a:solidFill>
                <a:schemeClr val="tx1">
                  <a:lumMod val="50000"/>
                  <a:lumOff val="50000"/>
                </a:schemeClr>
              </a:solidFill>
              <a:latin typeface="+mj-lt"/>
              <a:ea typeface="+mn-ea"/>
              <a:cs typeface="+mn-cs"/>
            </a:defRPr>
          </a:pPr>
          <a:endParaRPr lang="en-US"/>
        </a:p>
      </c:txPr>
    </c:title>
    <c:autoTitleDeleted val="0"/>
    <c:plotArea>
      <c:layout/>
      <c:barChart>
        <c:barDir val="bar"/>
        <c:grouping val="stacked"/>
        <c:varyColors val="0"/>
        <c:ser>
          <c:idx val="0"/>
          <c:order val="0"/>
          <c:tx>
            <c:strRef>
              <c:f>Sheet2!$A$4</c:f>
              <c:strCache>
                <c:ptCount val="1"/>
                <c:pt idx="0">
                  <c:v>vector control</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Sheet2!$B$3:$D$3</c:f>
              <c:strCache>
                <c:ptCount val="3"/>
                <c:pt idx="0">
                  <c:v>Phase I</c:v>
                </c:pt>
                <c:pt idx="1">
                  <c:v>Phase II</c:v>
                </c:pt>
                <c:pt idx="2">
                  <c:v>Phase III</c:v>
                </c:pt>
              </c:strCache>
            </c:strRef>
          </c:cat>
          <c:val>
            <c:numRef>
              <c:f>Sheet2!$B$4:$D$4</c:f>
              <c:numCache>
                <c:formatCode>General</c:formatCode>
                <c:ptCount val="3"/>
                <c:pt idx="0">
                  <c:v>31906081</c:v>
                </c:pt>
                <c:pt idx="1">
                  <c:v>69837000</c:v>
                </c:pt>
                <c:pt idx="2">
                  <c:v>126652004</c:v>
                </c:pt>
              </c:numCache>
            </c:numRef>
          </c:val>
          <c:extLst>
            <c:ext xmlns:c16="http://schemas.microsoft.com/office/drawing/2014/chart" uri="{C3380CC4-5D6E-409C-BE32-E72D297353CC}">
              <c16:uniqueId val="{00000000-2C89-40EC-BD9D-E2F41AA86C4B}"/>
            </c:ext>
          </c:extLst>
        </c:ser>
        <c:ser>
          <c:idx val="1"/>
          <c:order val="1"/>
          <c:tx>
            <c:strRef>
              <c:f>Sheet2!$A$5</c:f>
              <c:strCache>
                <c:ptCount val="1"/>
                <c:pt idx="0">
                  <c:v>epidemiological evaluation</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cat>
            <c:strRef>
              <c:f>Sheet2!$B$3:$D$3</c:f>
              <c:strCache>
                <c:ptCount val="3"/>
                <c:pt idx="0">
                  <c:v>Phase I</c:v>
                </c:pt>
                <c:pt idx="1">
                  <c:v>Phase II</c:v>
                </c:pt>
                <c:pt idx="2">
                  <c:v>Phase III</c:v>
                </c:pt>
              </c:strCache>
            </c:strRef>
          </c:cat>
          <c:val>
            <c:numRef>
              <c:f>Sheet2!$B$5:$D$5</c:f>
              <c:numCache>
                <c:formatCode>General</c:formatCode>
                <c:ptCount val="3"/>
                <c:pt idx="0">
                  <c:v>2413391</c:v>
                </c:pt>
                <c:pt idx="1">
                  <c:v>3549000</c:v>
                </c:pt>
                <c:pt idx="2">
                  <c:v>7309710</c:v>
                </c:pt>
              </c:numCache>
            </c:numRef>
          </c:val>
          <c:extLst>
            <c:ext xmlns:c16="http://schemas.microsoft.com/office/drawing/2014/chart" uri="{C3380CC4-5D6E-409C-BE32-E72D297353CC}">
              <c16:uniqueId val="{00000001-2C89-40EC-BD9D-E2F41AA86C4B}"/>
            </c:ext>
          </c:extLst>
        </c:ser>
        <c:ser>
          <c:idx val="2"/>
          <c:order val="2"/>
          <c:tx>
            <c:strRef>
              <c:f>Sheet2!$A$6</c:f>
              <c:strCache>
                <c:ptCount val="1"/>
                <c:pt idx="0">
                  <c:v>socio-economic development</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cat>
            <c:strRef>
              <c:f>Sheet2!$B$3:$D$3</c:f>
              <c:strCache>
                <c:ptCount val="3"/>
                <c:pt idx="0">
                  <c:v>Phase I</c:v>
                </c:pt>
                <c:pt idx="1">
                  <c:v>Phase II</c:v>
                </c:pt>
                <c:pt idx="2">
                  <c:v>Phase III</c:v>
                </c:pt>
              </c:strCache>
            </c:strRef>
          </c:cat>
          <c:val>
            <c:numRef>
              <c:f>Sheet2!$B$6:$D$6</c:f>
              <c:numCache>
                <c:formatCode>General</c:formatCode>
                <c:ptCount val="3"/>
                <c:pt idx="0">
                  <c:v>373922</c:v>
                </c:pt>
                <c:pt idx="1">
                  <c:v>1239000</c:v>
                </c:pt>
                <c:pt idx="2">
                  <c:v>653782</c:v>
                </c:pt>
              </c:numCache>
            </c:numRef>
          </c:val>
          <c:extLst>
            <c:ext xmlns:c16="http://schemas.microsoft.com/office/drawing/2014/chart" uri="{C3380CC4-5D6E-409C-BE32-E72D297353CC}">
              <c16:uniqueId val="{00000002-2C89-40EC-BD9D-E2F41AA86C4B}"/>
            </c:ext>
          </c:extLst>
        </c:ser>
        <c:ser>
          <c:idx val="3"/>
          <c:order val="3"/>
          <c:tx>
            <c:strRef>
              <c:f>Sheet2!$A$7</c:f>
              <c:strCache>
                <c:ptCount val="1"/>
                <c:pt idx="0">
                  <c:v>applied research &amp; environmental monitoring</c:v>
                </c:pt>
              </c:strCache>
            </c:strRef>
          </c:tx>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invertIfNegative val="0"/>
          <c:cat>
            <c:strRef>
              <c:f>Sheet2!$B$3:$D$3</c:f>
              <c:strCache>
                <c:ptCount val="3"/>
                <c:pt idx="0">
                  <c:v>Phase I</c:v>
                </c:pt>
                <c:pt idx="1">
                  <c:v>Phase II</c:v>
                </c:pt>
                <c:pt idx="2">
                  <c:v>Phase III</c:v>
                </c:pt>
              </c:strCache>
            </c:strRef>
          </c:cat>
          <c:val>
            <c:numRef>
              <c:f>Sheet2!$B$7:$D$7</c:f>
              <c:numCache>
                <c:formatCode>General</c:formatCode>
                <c:ptCount val="3"/>
                <c:pt idx="0">
                  <c:v>2978995</c:v>
                </c:pt>
                <c:pt idx="1">
                  <c:v>8157000</c:v>
                </c:pt>
                <c:pt idx="2">
                  <c:v>3925385</c:v>
                </c:pt>
              </c:numCache>
            </c:numRef>
          </c:val>
          <c:extLst>
            <c:ext xmlns:c16="http://schemas.microsoft.com/office/drawing/2014/chart" uri="{C3380CC4-5D6E-409C-BE32-E72D297353CC}">
              <c16:uniqueId val="{00000003-2C89-40EC-BD9D-E2F41AA86C4B}"/>
            </c:ext>
          </c:extLst>
        </c:ser>
        <c:ser>
          <c:idx val="4"/>
          <c:order val="4"/>
          <c:tx>
            <c:strRef>
              <c:f>Sheet2!$A$8</c:f>
              <c:strCache>
                <c:ptCount val="1"/>
                <c:pt idx="0">
                  <c:v>biostatistics &amp; information</c:v>
                </c:pt>
              </c:strCache>
            </c:strRef>
          </c:tx>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invertIfNegative val="0"/>
          <c:cat>
            <c:strRef>
              <c:f>Sheet2!$B$3:$D$3</c:f>
              <c:strCache>
                <c:ptCount val="3"/>
                <c:pt idx="0">
                  <c:v>Phase I</c:v>
                </c:pt>
                <c:pt idx="1">
                  <c:v>Phase II</c:v>
                </c:pt>
                <c:pt idx="2">
                  <c:v>Phase III</c:v>
                </c:pt>
              </c:strCache>
            </c:strRef>
          </c:cat>
          <c:val>
            <c:numRef>
              <c:f>Sheet2!$B$8:$D$8</c:f>
              <c:numCache>
                <c:formatCode>General</c:formatCode>
                <c:ptCount val="3"/>
                <c:pt idx="1">
                  <c:v>0</c:v>
                </c:pt>
                <c:pt idx="2">
                  <c:v>1124188</c:v>
                </c:pt>
              </c:numCache>
            </c:numRef>
          </c:val>
          <c:extLst>
            <c:ext xmlns:c16="http://schemas.microsoft.com/office/drawing/2014/chart" uri="{C3380CC4-5D6E-409C-BE32-E72D297353CC}">
              <c16:uniqueId val="{00000004-2C89-40EC-BD9D-E2F41AA86C4B}"/>
            </c:ext>
          </c:extLst>
        </c:ser>
        <c:ser>
          <c:idx val="5"/>
          <c:order val="5"/>
          <c:tx>
            <c:strRef>
              <c:f>Sheet2!$A$9</c:f>
              <c:strCache>
                <c:ptCount val="1"/>
                <c:pt idx="0">
                  <c:v>chemotherapy project</c:v>
                </c:pt>
              </c:strCache>
            </c:strRef>
          </c:tx>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invertIfNegative val="0"/>
          <c:cat>
            <c:strRef>
              <c:f>Sheet2!$B$3:$D$3</c:f>
              <c:strCache>
                <c:ptCount val="3"/>
                <c:pt idx="0">
                  <c:v>Phase I</c:v>
                </c:pt>
                <c:pt idx="1">
                  <c:v>Phase II</c:v>
                </c:pt>
                <c:pt idx="2">
                  <c:v>Phase III</c:v>
                </c:pt>
              </c:strCache>
            </c:strRef>
          </c:cat>
          <c:val>
            <c:numRef>
              <c:f>Sheet2!$B$9:$D$9</c:f>
              <c:numCache>
                <c:formatCode>General</c:formatCode>
                <c:ptCount val="3"/>
                <c:pt idx="1">
                  <c:v>7054000</c:v>
                </c:pt>
                <c:pt idx="2">
                  <c:v>12230874</c:v>
                </c:pt>
              </c:numCache>
            </c:numRef>
          </c:val>
          <c:extLst>
            <c:ext xmlns:c16="http://schemas.microsoft.com/office/drawing/2014/chart" uri="{C3380CC4-5D6E-409C-BE32-E72D297353CC}">
              <c16:uniqueId val="{00000005-2C89-40EC-BD9D-E2F41AA86C4B}"/>
            </c:ext>
          </c:extLst>
        </c:ser>
        <c:ser>
          <c:idx val="6"/>
          <c:order val="6"/>
          <c:tx>
            <c:strRef>
              <c:f>Sheet2!$A$10</c:f>
              <c:strCache>
                <c:ptCount val="1"/>
                <c:pt idx="0">
                  <c:v>devolution</c:v>
                </c:pt>
              </c:strCache>
            </c:strRef>
          </c:tx>
          <c:spPr>
            <a:gradFill rotWithShape="1">
              <a:gsLst>
                <a:gs pos="0">
                  <a:schemeClr val="accent1">
                    <a:lumMod val="60000"/>
                    <a:lumMod val="110000"/>
                    <a:satMod val="105000"/>
                    <a:tint val="67000"/>
                  </a:schemeClr>
                </a:gs>
                <a:gs pos="50000">
                  <a:schemeClr val="accent1">
                    <a:lumMod val="60000"/>
                    <a:lumMod val="105000"/>
                    <a:satMod val="103000"/>
                    <a:tint val="73000"/>
                  </a:schemeClr>
                </a:gs>
                <a:gs pos="100000">
                  <a:schemeClr val="accent1">
                    <a:lumMod val="60000"/>
                    <a:lumMod val="105000"/>
                    <a:satMod val="109000"/>
                    <a:tint val="81000"/>
                  </a:schemeClr>
                </a:gs>
              </a:gsLst>
              <a:lin ang="5400000" scaled="0"/>
            </a:gradFill>
            <a:ln w="9525" cap="flat" cmpd="sng" algn="ctr">
              <a:solidFill>
                <a:schemeClr val="accent1">
                  <a:lumMod val="60000"/>
                  <a:shade val="95000"/>
                </a:schemeClr>
              </a:solidFill>
              <a:round/>
            </a:ln>
            <a:effectLst/>
          </c:spPr>
          <c:invertIfNegative val="0"/>
          <c:cat>
            <c:strRef>
              <c:f>Sheet2!$B$3:$D$3</c:f>
              <c:strCache>
                <c:ptCount val="3"/>
                <c:pt idx="0">
                  <c:v>Phase I</c:v>
                </c:pt>
                <c:pt idx="1">
                  <c:v>Phase II</c:v>
                </c:pt>
                <c:pt idx="2">
                  <c:v>Phase III</c:v>
                </c:pt>
              </c:strCache>
            </c:strRef>
          </c:cat>
          <c:val>
            <c:numRef>
              <c:f>Sheet2!$B$10:$D$10</c:f>
              <c:numCache>
                <c:formatCode>General</c:formatCode>
                <c:ptCount val="3"/>
              </c:numCache>
            </c:numRef>
          </c:val>
          <c:extLst>
            <c:ext xmlns:c16="http://schemas.microsoft.com/office/drawing/2014/chart" uri="{C3380CC4-5D6E-409C-BE32-E72D297353CC}">
              <c16:uniqueId val="{00000006-2C89-40EC-BD9D-E2F41AA86C4B}"/>
            </c:ext>
          </c:extLst>
        </c:ser>
        <c:ser>
          <c:idx val="7"/>
          <c:order val="7"/>
          <c:tx>
            <c:strRef>
              <c:f>Sheet2!$A$11</c:f>
              <c:strCache>
                <c:ptCount val="1"/>
                <c:pt idx="0">
                  <c:v>office of the director</c:v>
                </c:pt>
              </c:strCache>
            </c:strRef>
          </c:tx>
          <c:spPr>
            <a:gradFill rotWithShape="1">
              <a:gsLst>
                <a:gs pos="0">
                  <a:schemeClr val="accent2">
                    <a:lumMod val="60000"/>
                    <a:lumMod val="110000"/>
                    <a:satMod val="105000"/>
                    <a:tint val="67000"/>
                  </a:schemeClr>
                </a:gs>
                <a:gs pos="50000">
                  <a:schemeClr val="accent2">
                    <a:lumMod val="60000"/>
                    <a:lumMod val="105000"/>
                    <a:satMod val="103000"/>
                    <a:tint val="73000"/>
                  </a:schemeClr>
                </a:gs>
                <a:gs pos="100000">
                  <a:schemeClr val="accent2">
                    <a:lumMod val="60000"/>
                    <a:lumMod val="105000"/>
                    <a:satMod val="109000"/>
                    <a:tint val="81000"/>
                  </a:schemeClr>
                </a:gs>
              </a:gsLst>
              <a:lin ang="5400000" scaled="0"/>
            </a:gradFill>
            <a:ln w="9525" cap="flat" cmpd="sng" algn="ctr">
              <a:solidFill>
                <a:schemeClr val="accent2">
                  <a:lumMod val="60000"/>
                  <a:shade val="95000"/>
                </a:schemeClr>
              </a:solidFill>
              <a:round/>
            </a:ln>
            <a:effectLst/>
          </c:spPr>
          <c:invertIfNegative val="0"/>
          <c:cat>
            <c:strRef>
              <c:f>Sheet2!$B$3:$D$3</c:f>
              <c:strCache>
                <c:ptCount val="3"/>
                <c:pt idx="0">
                  <c:v>Phase I</c:v>
                </c:pt>
                <c:pt idx="1">
                  <c:v>Phase II</c:v>
                </c:pt>
                <c:pt idx="2">
                  <c:v>Phase III</c:v>
                </c:pt>
              </c:strCache>
            </c:strRef>
          </c:cat>
          <c:val>
            <c:numRef>
              <c:f>Sheet2!$B$11:$D$11</c:f>
              <c:numCache>
                <c:formatCode>General</c:formatCode>
                <c:ptCount val="3"/>
                <c:pt idx="0">
                  <c:v>7454611</c:v>
                </c:pt>
                <c:pt idx="1">
                  <c:v>14408000</c:v>
                </c:pt>
                <c:pt idx="2">
                  <c:v>7028720</c:v>
                </c:pt>
              </c:numCache>
            </c:numRef>
          </c:val>
          <c:extLst>
            <c:ext xmlns:c16="http://schemas.microsoft.com/office/drawing/2014/chart" uri="{C3380CC4-5D6E-409C-BE32-E72D297353CC}">
              <c16:uniqueId val="{00000007-2C89-40EC-BD9D-E2F41AA86C4B}"/>
            </c:ext>
          </c:extLst>
        </c:ser>
        <c:ser>
          <c:idx val="8"/>
          <c:order val="8"/>
          <c:tx>
            <c:strRef>
              <c:f>Sheet2!$A$12</c:f>
              <c:strCache>
                <c:ptCount val="1"/>
                <c:pt idx="0">
                  <c:v>meetings</c:v>
                </c:pt>
              </c:strCache>
            </c:strRef>
          </c:tx>
          <c:spPr>
            <a:gradFill rotWithShape="1">
              <a:gsLst>
                <a:gs pos="0">
                  <a:schemeClr val="accent3">
                    <a:lumMod val="60000"/>
                    <a:lumMod val="110000"/>
                    <a:satMod val="105000"/>
                    <a:tint val="67000"/>
                  </a:schemeClr>
                </a:gs>
                <a:gs pos="50000">
                  <a:schemeClr val="accent3">
                    <a:lumMod val="60000"/>
                    <a:lumMod val="105000"/>
                    <a:satMod val="103000"/>
                    <a:tint val="73000"/>
                  </a:schemeClr>
                </a:gs>
                <a:gs pos="100000">
                  <a:schemeClr val="accent3">
                    <a:lumMod val="60000"/>
                    <a:lumMod val="105000"/>
                    <a:satMod val="109000"/>
                    <a:tint val="81000"/>
                  </a:schemeClr>
                </a:gs>
              </a:gsLst>
              <a:lin ang="5400000" scaled="0"/>
            </a:gradFill>
            <a:ln w="9525" cap="flat" cmpd="sng" algn="ctr">
              <a:solidFill>
                <a:schemeClr val="accent3">
                  <a:lumMod val="60000"/>
                  <a:shade val="95000"/>
                </a:schemeClr>
              </a:solidFill>
              <a:round/>
            </a:ln>
            <a:effectLst/>
          </c:spPr>
          <c:invertIfNegative val="0"/>
          <c:cat>
            <c:strRef>
              <c:f>Sheet2!$B$3:$D$3</c:f>
              <c:strCache>
                <c:ptCount val="3"/>
                <c:pt idx="0">
                  <c:v>Phase I</c:v>
                </c:pt>
                <c:pt idx="1">
                  <c:v>Phase II</c:v>
                </c:pt>
                <c:pt idx="2">
                  <c:v>Phase III</c:v>
                </c:pt>
              </c:strCache>
            </c:strRef>
          </c:cat>
          <c:val>
            <c:numRef>
              <c:f>Sheet2!$B$12:$D$12</c:f>
              <c:numCache>
                <c:formatCode>General</c:formatCode>
                <c:ptCount val="3"/>
                <c:pt idx="0">
                  <c:v>956889</c:v>
                </c:pt>
                <c:pt idx="1">
                  <c:v>1208000</c:v>
                </c:pt>
                <c:pt idx="2">
                  <c:v>1722085</c:v>
                </c:pt>
              </c:numCache>
            </c:numRef>
          </c:val>
          <c:extLst>
            <c:ext xmlns:c16="http://schemas.microsoft.com/office/drawing/2014/chart" uri="{C3380CC4-5D6E-409C-BE32-E72D297353CC}">
              <c16:uniqueId val="{00000008-2C89-40EC-BD9D-E2F41AA86C4B}"/>
            </c:ext>
          </c:extLst>
        </c:ser>
        <c:ser>
          <c:idx val="9"/>
          <c:order val="9"/>
          <c:tx>
            <c:strRef>
              <c:f>Sheet2!$A$13</c:f>
              <c:strCache>
                <c:ptCount val="1"/>
                <c:pt idx="0">
                  <c:v>technical &amp; admin support (FAO, liaison office Brazzaville, and/or Geneva HQ)</c:v>
                </c:pt>
              </c:strCache>
            </c:strRef>
          </c:tx>
          <c:spPr>
            <a:gradFill rotWithShape="1">
              <a:gsLst>
                <a:gs pos="0">
                  <a:schemeClr val="accent4">
                    <a:lumMod val="60000"/>
                    <a:lumMod val="110000"/>
                    <a:satMod val="105000"/>
                    <a:tint val="67000"/>
                  </a:schemeClr>
                </a:gs>
                <a:gs pos="50000">
                  <a:schemeClr val="accent4">
                    <a:lumMod val="60000"/>
                    <a:lumMod val="105000"/>
                    <a:satMod val="103000"/>
                    <a:tint val="73000"/>
                  </a:schemeClr>
                </a:gs>
                <a:gs pos="100000">
                  <a:schemeClr val="accent4">
                    <a:lumMod val="60000"/>
                    <a:lumMod val="105000"/>
                    <a:satMod val="109000"/>
                    <a:tint val="81000"/>
                  </a:schemeClr>
                </a:gs>
              </a:gsLst>
              <a:lin ang="5400000" scaled="0"/>
            </a:gradFill>
            <a:ln w="9525" cap="flat" cmpd="sng" algn="ctr">
              <a:solidFill>
                <a:schemeClr val="accent4">
                  <a:lumMod val="60000"/>
                  <a:shade val="95000"/>
                </a:schemeClr>
              </a:solidFill>
              <a:round/>
            </a:ln>
            <a:effectLst/>
          </c:spPr>
          <c:invertIfNegative val="0"/>
          <c:cat>
            <c:strRef>
              <c:f>Sheet2!$B$3:$D$3</c:f>
              <c:strCache>
                <c:ptCount val="3"/>
                <c:pt idx="0">
                  <c:v>Phase I</c:v>
                </c:pt>
                <c:pt idx="1">
                  <c:v>Phase II</c:v>
                </c:pt>
                <c:pt idx="2">
                  <c:v>Phase III</c:v>
                </c:pt>
              </c:strCache>
            </c:strRef>
          </c:cat>
          <c:val>
            <c:numRef>
              <c:f>Sheet2!$B$13:$D$13</c:f>
              <c:numCache>
                <c:formatCode>General</c:formatCode>
                <c:ptCount val="3"/>
                <c:pt idx="0">
                  <c:v>2854861</c:v>
                </c:pt>
                <c:pt idx="1">
                  <c:v>1420000</c:v>
                </c:pt>
                <c:pt idx="2">
                  <c:v>16479620</c:v>
                </c:pt>
              </c:numCache>
            </c:numRef>
          </c:val>
          <c:extLst>
            <c:ext xmlns:c16="http://schemas.microsoft.com/office/drawing/2014/chart" uri="{C3380CC4-5D6E-409C-BE32-E72D297353CC}">
              <c16:uniqueId val="{00000009-2C89-40EC-BD9D-E2F41AA86C4B}"/>
            </c:ext>
          </c:extLst>
        </c:ser>
        <c:ser>
          <c:idx val="10"/>
          <c:order val="10"/>
          <c:tx>
            <c:strRef>
              <c:f>Sheet2!$A$14</c:f>
              <c:strCache>
                <c:ptCount val="1"/>
                <c:pt idx="0">
                  <c:v>capital costs (buildings, vehicles, furniture, equipment)</c:v>
                </c:pt>
              </c:strCache>
            </c:strRef>
          </c:tx>
          <c:spPr>
            <a:gradFill rotWithShape="1">
              <a:gsLst>
                <a:gs pos="0">
                  <a:schemeClr val="accent5">
                    <a:lumMod val="60000"/>
                    <a:lumMod val="110000"/>
                    <a:satMod val="105000"/>
                    <a:tint val="67000"/>
                  </a:schemeClr>
                </a:gs>
                <a:gs pos="50000">
                  <a:schemeClr val="accent5">
                    <a:lumMod val="60000"/>
                    <a:lumMod val="105000"/>
                    <a:satMod val="103000"/>
                    <a:tint val="73000"/>
                  </a:schemeClr>
                </a:gs>
                <a:gs pos="100000">
                  <a:schemeClr val="accent5">
                    <a:lumMod val="60000"/>
                    <a:lumMod val="105000"/>
                    <a:satMod val="109000"/>
                    <a:tint val="81000"/>
                  </a:schemeClr>
                </a:gs>
              </a:gsLst>
              <a:lin ang="5400000" scaled="0"/>
            </a:gradFill>
            <a:ln w="9525" cap="flat" cmpd="sng" algn="ctr">
              <a:solidFill>
                <a:schemeClr val="accent5">
                  <a:lumMod val="60000"/>
                  <a:shade val="95000"/>
                </a:schemeClr>
              </a:solidFill>
              <a:round/>
            </a:ln>
            <a:effectLst/>
          </c:spPr>
          <c:invertIfNegative val="0"/>
          <c:cat>
            <c:strRef>
              <c:f>Sheet2!$B$3:$D$3</c:f>
              <c:strCache>
                <c:ptCount val="3"/>
                <c:pt idx="0">
                  <c:v>Phase I</c:v>
                </c:pt>
                <c:pt idx="1">
                  <c:v>Phase II</c:v>
                </c:pt>
                <c:pt idx="2">
                  <c:v>Phase III</c:v>
                </c:pt>
              </c:strCache>
            </c:strRef>
          </c:cat>
          <c:val>
            <c:numRef>
              <c:f>Sheet2!$B$14:$D$14</c:f>
              <c:numCache>
                <c:formatCode>General</c:formatCode>
                <c:ptCount val="3"/>
                <c:pt idx="0">
                  <c:v>4844636</c:v>
                </c:pt>
                <c:pt idx="1">
                  <c:v>1187000</c:v>
                </c:pt>
                <c:pt idx="2">
                  <c:v>2036357</c:v>
                </c:pt>
              </c:numCache>
            </c:numRef>
          </c:val>
          <c:extLst>
            <c:ext xmlns:c16="http://schemas.microsoft.com/office/drawing/2014/chart" uri="{C3380CC4-5D6E-409C-BE32-E72D297353CC}">
              <c16:uniqueId val="{0000000A-2C89-40EC-BD9D-E2F41AA86C4B}"/>
            </c:ext>
          </c:extLst>
        </c:ser>
        <c:dLbls>
          <c:showLegendKey val="0"/>
          <c:showVal val="0"/>
          <c:showCatName val="0"/>
          <c:showSerName val="0"/>
          <c:showPercent val="0"/>
          <c:showBubbleSize val="0"/>
        </c:dLbls>
        <c:gapWidth val="300"/>
        <c:overlap val="100"/>
        <c:serLines>
          <c:spPr>
            <a:ln w="9525">
              <a:solidFill>
                <a:schemeClr val="tx1">
                  <a:lumMod val="35000"/>
                  <a:lumOff val="65000"/>
                </a:schemeClr>
              </a:solidFill>
              <a:prstDash val="dash"/>
            </a:ln>
            <a:effectLst/>
          </c:spPr>
        </c:serLines>
        <c:axId val="1283560848"/>
        <c:axId val="1644640256"/>
      </c:barChart>
      <c:catAx>
        <c:axId val="1283560848"/>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r>
                  <a:rPr lang="en-GB"/>
                  <a:t>financial phase</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crossAx val="1644640256"/>
        <c:crosses val="autoZero"/>
        <c:auto val="1"/>
        <c:lblAlgn val="ctr"/>
        <c:lblOffset val="100"/>
        <c:noMultiLvlLbl val="0"/>
      </c:catAx>
      <c:valAx>
        <c:axId val="16446402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r>
                  <a:rPr lang="en-GB"/>
                  <a:t>$ Millions usd</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crossAx val="1283560848"/>
        <c:crosses val="autoZero"/>
        <c:crossBetween val="between"/>
        <c:dispUnits>
          <c:builtInUnit val="millions"/>
          <c:dispUnitsLbl>
            <c:layout>
              <c:manualLayout>
                <c:xMode val="edge"/>
                <c:yMode val="edge"/>
                <c:x val="0.41271747498075401"/>
                <c:y val="0.49206824146981598"/>
              </c:manualLayout>
            </c:layout>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r>
                    <a:rPr lang="en-GB"/>
                    <a:t>$ Millions USD</a:t>
                  </a:r>
                </a:p>
              </c:rich>
            </c:tx>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endParaRPr lang="en-US"/>
              </a:p>
            </c:txPr>
          </c:dispUnitsLbl>
        </c:dispUnits>
      </c:valAx>
      <c:spPr>
        <a:noFill/>
        <a:ln>
          <a:noFill/>
        </a:ln>
        <a:effectLst/>
      </c:spPr>
    </c:plotArea>
    <c:legend>
      <c:legendPos val="r"/>
      <c:layout>
        <c:manualLayout>
          <c:xMode val="edge"/>
          <c:yMode val="edge"/>
          <c:x val="0.60753732617036604"/>
          <c:y val="0.14503750725426801"/>
          <c:w val="0.38454423376232699"/>
          <c:h val="0.8478860524600030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mj-lt"/>
        </a:defRPr>
      </a:pPr>
      <a:endParaRPr lang="en-US"/>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cap="none" spc="20" baseline="0">
                <a:solidFill>
                  <a:schemeClr val="tx1">
                    <a:lumMod val="50000"/>
                    <a:lumOff val="50000"/>
                  </a:schemeClr>
                </a:solidFill>
                <a:latin typeface="+mj-lt"/>
                <a:ea typeface="+mn-ea"/>
                <a:cs typeface="+mn-cs"/>
              </a:defRPr>
            </a:pPr>
            <a:r>
              <a:rPr lang="en-GB" sz="1100" b="1"/>
              <a:t>Relative OCP expenditures by phase and category of expenditure </a:t>
            </a:r>
          </a:p>
        </c:rich>
      </c:tx>
      <c:overlay val="0"/>
      <c:spPr>
        <a:noFill/>
        <a:ln>
          <a:noFill/>
        </a:ln>
        <a:effectLst/>
      </c:spPr>
      <c:txPr>
        <a:bodyPr rot="0" spcFirstLastPara="1" vertOverflow="ellipsis" vert="horz" wrap="square" anchor="ctr" anchorCtr="1"/>
        <a:lstStyle/>
        <a:p>
          <a:pPr>
            <a:defRPr sz="1050" b="1" i="0" u="none" strike="noStrike" kern="1200" cap="none" spc="20" baseline="0">
              <a:solidFill>
                <a:schemeClr val="tx1">
                  <a:lumMod val="50000"/>
                  <a:lumOff val="50000"/>
                </a:schemeClr>
              </a:solidFill>
              <a:latin typeface="+mj-lt"/>
              <a:ea typeface="+mn-ea"/>
              <a:cs typeface="+mn-cs"/>
            </a:defRPr>
          </a:pPr>
          <a:endParaRPr lang="en-US"/>
        </a:p>
      </c:txPr>
    </c:title>
    <c:autoTitleDeleted val="0"/>
    <c:plotArea>
      <c:layout/>
      <c:barChart>
        <c:barDir val="col"/>
        <c:grouping val="clustered"/>
        <c:varyColors val="0"/>
        <c:ser>
          <c:idx val="0"/>
          <c:order val="0"/>
          <c:tx>
            <c:strRef>
              <c:f>Sheet3!$K$1</c:f>
              <c:strCache>
                <c:ptCount val="1"/>
                <c:pt idx="0">
                  <c:v>Phase I</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Sheet3!$J$2:$J$12</c:f>
              <c:strCache>
                <c:ptCount val="11"/>
                <c:pt idx="0">
                  <c:v>vector control</c:v>
                </c:pt>
                <c:pt idx="1">
                  <c:v>epidemiological evaluation</c:v>
                </c:pt>
                <c:pt idx="2">
                  <c:v>socio-economic development</c:v>
                </c:pt>
                <c:pt idx="3">
                  <c:v>applied research &amp; environmental monitoring</c:v>
                </c:pt>
                <c:pt idx="4">
                  <c:v>biostatistics &amp; information</c:v>
                </c:pt>
                <c:pt idx="5">
                  <c:v>chemotherapy project</c:v>
                </c:pt>
                <c:pt idx="6">
                  <c:v>devolution</c:v>
                </c:pt>
                <c:pt idx="7">
                  <c:v>office of the director</c:v>
                </c:pt>
                <c:pt idx="8">
                  <c:v>meetings</c:v>
                </c:pt>
                <c:pt idx="9">
                  <c:v>technical  &amp; administrative support</c:v>
                </c:pt>
                <c:pt idx="10">
                  <c:v>capital costs (buildings, vehicles, furniture, equipment)</c:v>
                </c:pt>
              </c:strCache>
            </c:strRef>
          </c:cat>
          <c:val>
            <c:numRef>
              <c:f>Sheet3!$K$2:$K$12</c:f>
              <c:numCache>
                <c:formatCode>0%</c:formatCode>
                <c:ptCount val="11"/>
                <c:pt idx="0">
                  <c:v>0.59323302924810295</c:v>
                </c:pt>
                <c:pt idx="1">
                  <c:v>4.4872425845408903E-2</c:v>
                </c:pt>
                <c:pt idx="2">
                  <c:v>6.9523700125536901E-3</c:v>
                </c:pt>
                <c:pt idx="3">
                  <c:v>5.5388758900378601E-2</c:v>
                </c:pt>
                <c:pt idx="4">
                  <c:v>0</c:v>
                </c:pt>
                <c:pt idx="5">
                  <c:v>0</c:v>
                </c:pt>
                <c:pt idx="6">
                  <c:v>0</c:v>
                </c:pt>
                <c:pt idx="7">
                  <c:v>0.13860434521545401</c:v>
                </c:pt>
                <c:pt idx="8">
                  <c:v>1.7791535103423899E-2</c:v>
                </c:pt>
                <c:pt idx="9">
                  <c:v>5.3080722734712198E-2</c:v>
                </c:pt>
                <c:pt idx="10">
                  <c:v>9.0076812939966305E-2</c:v>
                </c:pt>
              </c:numCache>
            </c:numRef>
          </c:val>
          <c:extLst>
            <c:ext xmlns:c16="http://schemas.microsoft.com/office/drawing/2014/chart" uri="{C3380CC4-5D6E-409C-BE32-E72D297353CC}">
              <c16:uniqueId val="{00000000-215C-4EAC-B008-2A0F772FF4AE}"/>
            </c:ext>
          </c:extLst>
        </c:ser>
        <c:ser>
          <c:idx val="1"/>
          <c:order val="1"/>
          <c:tx>
            <c:strRef>
              <c:f>Sheet3!$L$1</c:f>
              <c:strCache>
                <c:ptCount val="1"/>
                <c:pt idx="0">
                  <c:v>Phase II</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cat>
            <c:strRef>
              <c:f>Sheet3!$J$2:$J$12</c:f>
              <c:strCache>
                <c:ptCount val="11"/>
                <c:pt idx="0">
                  <c:v>vector control</c:v>
                </c:pt>
                <c:pt idx="1">
                  <c:v>epidemiological evaluation</c:v>
                </c:pt>
                <c:pt idx="2">
                  <c:v>socio-economic development</c:v>
                </c:pt>
                <c:pt idx="3">
                  <c:v>applied research &amp; environmental monitoring</c:v>
                </c:pt>
                <c:pt idx="4">
                  <c:v>biostatistics &amp; information</c:v>
                </c:pt>
                <c:pt idx="5">
                  <c:v>chemotherapy project</c:v>
                </c:pt>
                <c:pt idx="6">
                  <c:v>devolution</c:v>
                </c:pt>
                <c:pt idx="7">
                  <c:v>office of the director</c:v>
                </c:pt>
                <c:pt idx="8">
                  <c:v>meetings</c:v>
                </c:pt>
                <c:pt idx="9">
                  <c:v>technical  &amp; administrative support</c:v>
                </c:pt>
                <c:pt idx="10">
                  <c:v>capital costs (buildings, vehicles, furniture, equipment)</c:v>
                </c:pt>
              </c:strCache>
            </c:strRef>
          </c:cat>
          <c:val>
            <c:numRef>
              <c:f>Sheet3!$L$2:$L$12</c:f>
              <c:numCache>
                <c:formatCode>0.00</c:formatCode>
                <c:ptCount val="11"/>
                <c:pt idx="0">
                  <c:v>0.64628582533615897</c:v>
                </c:pt>
                <c:pt idx="1">
                  <c:v>3.2843169009522603E-2</c:v>
                </c:pt>
                <c:pt idx="2">
                  <c:v>1.1465958411608501E-2</c:v>
                </c:pt>
                <c:pt idx="3">
                  <c:v>7.5486539760686297E-2</c:v>
                </c:pt>
                <c:pt idx="4">
                  <c:v>0</c:v>
                </c:pt>
                <c:pt idx="5">
                  <c:v>6.5279153055275305E-2</c:v>
                </c:pt>
                <c:pt idx="6">
                  <c:v>0</c:v>
                </c:pt>
                <c:pt idx="7">
                  <c:v>0.133334567227163</c:v>
                </c:pt>
                <c:pt idx="8">
                  <c:v>1.11790780962252E-2</c:v>
                </c:pt>
                <c:pt idx="9">
                  <c:v>1.31409692852978E-2</c:v>
                </c:pt>
                <c:pt idx="10">
                  <c:v>1.0984739818062399E-2</c:v>
                </c:pt>
              </c:numCache>
            </c:numRef>
          </c:val>
          <c:extLst>
            <c:ext xmlns:c16="http://schemas.microsoft.com/office/drawing/2014/chart" uri="{C3380CC4-5D6E-409C-BE32-E72D297353CC}">
              <c16:uniqueId val="{00000001-215C-4EAC-B008-2A0F772FF4AE}"/>
            </c:ext>
          </c:extLst>
        </c:ser>
        <c:ser>
          <c:idx val="2"/>
          <c:order val="2"/>
          <c:tx>
            <c:strRef>
              <c:f>Sheet3!$M$1</c:f>
              <c:strCache>
                <c:ptCount val="1"/>
                <c:pt idx="0">
                  <c:v>Phase III*</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cat>
            <c:strRef>
              <c:f>Sheet3!$J$2:$J$12</c:f>
              <c:strCache>
                <c:ptCount val="11"/>
                <c:pt idx="0">
                  <c:v>vector control</c:v>
                </c:pt>
                <c:pt idx="1">
                  <c:v>epidemiological evaluation</c:v>
                </c:pt>
                <c:pt idx="2">
                  <c:v>socio-economic development</c:v>
                </c:pt>
                <c:pt idx="3">
                  <c:v>applied research &amp; environmental monitoring</c:v>
                </c:pt>
                <c:pt idx="4">
                  <c:v>biostatistics &amp; information</c:v>
                </c:pt>
                <c:pt idx="5">
                  <c:v>chemotherapy project</c:v>
                </c:pt>
                <c:pt idx="6">
                  <c:v>devolution</c:v>
                </c:pt>
                <c:pt idx="7">
                  <c:v>office of the director</c:v>
                </c:pt>
                <c:pt idx="8">
                  <c:v>meetings</c:v>
                </c:pt>
                <c:pt idx="9">
                  <c:v>technical  &amp; administrative support</c:v>
                </c:pt>
                <c:pt idx="10">
                  <c:v>capital costs (buildings, vehicles, furniture, equipment)</c:v>
                </c:pt>
              </c:strCache>
            </c:strRef>
          </c:cat>
          <c:val>
            <c:numRef>
              <c:f>Sheet3!$M$2:$M$12</c:f>
              <c:numCache>
                <c:formatCode>0.00</c:formatCode>
                <c:ptCount val="11"/>
                <c:pt idx="0">
                  <c:v>0.70691045807659003</c:v>
                </c:pt>
                <c:pt idx="1">
                  <c:v>4.0799278979486403E-2</c:v>
                </c:pt>
                <c:pt idx="2">
                  <c:v>3.6490960940675598E-3</c:v>
                </c:pt>
                <c:pt idx="3">
                  <c:v>2.1909607592762399E-2</c:v>
                </c:pt>
                <c:pt idx="4">
                  <c:v>6.2746757172843903E-3</c:v>
                </c:pt>
                <c:pt idx="5">
                  <c:v>6.8266845126406697E-2</c:v>
                </c:pt>
                <c:pt idx="6">
                  <c:v>0</c:v>
                </c:pt>
                <c:pt idx="7">
                  <c:v>3.9230928196699398E-2</c:v>
                </c:pt>
                <c:pt idx="8">
                  <c:v>9.6118486699730606E-3</c:v>
                </c:pt>
                <c:pt idx="9">
                  <c:v>9.1981298007160803E-2</c:v>
                </c:pt>
                <c:pt idx="10">
                  <c:v>1.136596353957E-2</c:v>
                </c:pt>
              </c:numCache>
            </c:numRef>
          </c:val>
          <c:extLst>
            <c:ext xmlns:c16="http://schemas.microsoft.com/office/drawing/2014/chart" uri="{C3380CC4-5D6E-409C-BE32-E72D297353CC}">
              <c16:uniqueId val="{00000002-215C-4EAC-B008-2A0F772FF4AE}"/>
            </c:ext>
          </c:extLst>
        </c:ser>
        <c:dLbls>
          <c:showLegendKey val="0"/>
          <c:showVal val="0"/>
          <c:showCatName val="0"/>
          <c:showSerName val="0"/>
          <c:showPercent val="0"/>
          <c:showBubbleSize val="0"/>
        </c:dLbls>
        <c:gapWidth val="150"/>
        <c:axId val="1281623248"/>
        <c:axId val="1372732432"/>
      </c:barChart>
      <c:catAx>
        <c:axId val="1281623248"/>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r>
                  <a:rPr lang="en-GB"/>
                  <a:t>category of expenditure</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crossAx val="1372732432"/>
        <c:crosses val="autoZero"/>
        <c:auto val="1"/>
        <c:lblAlgn val="ctr"/>
        <c:lblOffset val="100"/>
        <c:noMultiLvlLbl val="0"/>
      </c:catAx>
      <c:valAx>
        <c:axId val="13727324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r>
                  <a:rPr lang="en-GB"/>
                  <a:t>PERCENT OF BUDGET</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crossAx val="128162324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mj-lt"/>
        </a:defRPr>
      </a:pPr>
      <a:endParaRPr lang="en-US"/>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cap="none" spc="20" baseline="0">
                <a:solidFill>
                  <a:schemeClr val="tx1">
                    <a:lumMod val="50000"/>
                    <a:lumOff val="50000"/>
                  </a:schemeClr>
                </a:solidFill>
                <a:latin typeface="+mj-lt"/>
                <a:ea typeface="+mn-ea"/>
                <a:cs typeface="+mn-cs"/>
              </a:defRPr>
            </a:pPr>
            <a:r>
              <a:rPr lang="en-GB" sz="1100" b="1"/>
              <a:t>OCP expenditures by programme activity type &amp; phase</a:t>
            </a:r>
          </a:p>
        </c:rich>
      </c:tx>
      <c:overlay val="0"/>
      <c:spPr>
        <a:noFill/>
        <a:ln>
          <a:noFill/>
        </a:ln>
        <a:effectLst/>
      </c:spPr>
      <c:txPr>
        <a:bodyPr rot="0" spcFirstLastPara="1" vertOverflow="ellipsis" vert="horz" wrap="square" anchor="ctr" anchorCtr="1"/>
        <a:lstStyle/>
        <a:p>
          <a:pPr>
            <a:defRPr sz="1050" b="1" i="0" u="none" strike="noStrike" kern="1200" cap="none" spc="20" baseline="0">
              <a:solidFill>
                <a:schemeClr val="tx1">
                  <a:lumMod val="50000"/>
                  <a:lumOff val="50000"/>
                </a:schemeClr>
              </a:solidFill>
              <a:latin typeface="+mj-lt"/>
              <a:ea typeface="+mn-ea"/>
              <a:cs typeface="+mn-cs"/>
            </a:defRPr>
          </a:pPr>
          <a:endParaRPr lang="en-US"/>
        </a:p>
      </c:txPr>
    </c:title>
    <c:autoTitleDeleted val="0"/>
    <c:plotArea>
      <c:layout/>
      <c:barChart>
        <c:barDir val="col"/>
        <c:grouping val="clustered"/>
        <c:varyColors val="0"/>
        <c:ser>
          <c:idx val="0"/>
          <c:order val="0"/>
          <c:tx>
            <c:strRef>
              <c:f>Sheet4!$Q$2</c:f>
              <c:strCache>
                <c:ptCount val="1"/>
                <c:pt idx="0">
                  <c:v>personnel services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Sheet4!$R$1:$T$1</c:f>
              <c:strCache>
                <c:ptCount val="3"/>
                <c:pt idx="0">
                  <c:v>Phase I</c:v>
                </c:pt>
                <c:pt idx="1">
                  <c:v>Phase II</c:v>
                </c:pt>
                <c:pt idx="2">
                  <c:v>Phase III*</c:v>
                </c:pt>
              </c:strCache>
            </c:strRef>
          </c:cat>
          <c:val>
            <c:numRef>
              <c:f>Sheet4!$R$2:$T$2</c:f>
              <c:numCache>
                <c:formatCode>0%</c:formatCode>
                <c:ptCount val="3"/>
                <c:pt idx="0">
                  <c:v>0.37008623586067901</c:v>
                </c:pt>
                <c:pt idx="1">
                  <c:v>0.33262595769694397</c:v>
                </c:pt>
                <c:pt idx="2">
                  <c:v>0.32701438943359901</c:v>
                </c:pt>
              </c:numCache>
            </c:numRef>
          </c:val>
          <c:extLst>
            <c:ext xmlns:c16="http://schemas.microsoft.com/office/drawing/2014/chart" uri="{C3380CC4-5D6E-409C-BE32-E72D297353CC}">
              <c16:uniqueId val="{00000000-AA19-4B62-AB43-45A6333795B0}"/>
            </c:ext>
          </c:extLst>
        </c:ser>
        <c:ser>
          <c:idx val="1"/>
          <c:order val="1"/>
          <c:tx>
            <c:strRef>
              <c:f>Sheet4!$Q$3</c:f>
              <c:strCache>
                <c:ptCount val="1"/>
                <c:pt idx="0">
                  <c:v>aerial operations</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cat>
            <c:strRef>
              <c:f>Sheet4!$R$1:$T$1</c:f>
              <c:strCache>
                <c:ptCount val="3"/>
                <c:pt idx="0">
                  <c:v>Phase I</c:v>
                </c:pt>
                <c:pt idx="1">
                  <c:v>Phase II</c:v>
                </c:pt>
                <c:pt idx="2">
                  <c:v>Phase III*</c:v>
                </c:pt>
              </c:strCache>
            </c:strRef>
          </c:cat>
          <c:val>
            <c:numRef>
              <c:f>Sheet4!$R$3:$T$3</c:f>
              <c:numCache>
                <c:formatCode>0%</c:formatCode>
                <c:ptCount val="3"/>
                <c:pt idx="0">
                  <c:v>0.19720386754769101</c:v>
                </c:pt>
                <c:pt idx="1">
                  <c:v>0.18791284335116701</c:v>
                </c:pt>
                <c:pt idx="2">
                  <c:v>0.178515904210889</c:v>
                </c:pt>
              </c:numCache>
            </c:numRef>
          </c:val>
          <c:extLst>
            <c:ext xmlns:c16="http://schemas.microsoft.com/office/drawing/2014/chart" uri="{C3380CC4-5D6E-409C-BE32-E72D297353CC}">
              <c16:uniqueId val="{00000001-AA19-4B62-AB43-45A6333795B0}"/>
            </c:ext>
          </c:extLst>
        </c:ser>
        <c:ser>
          <c:idx val="2"/>
          <c:order val="2"/>
          <c:tx>
            <c:strRef>
              <c:f>Sheet4!$Q$4</c:f>
              <c:strCache>
                <c:ptCount val="1"/>
                <c:pt idx="0">
                  <c:v>consultants</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cat>
            <c:strRef>
              <c:f>Sheet4!$R$1:$T$1</c:f>
              <c:strCache>
                <c:ptCount val="3"/>
                <c:pt idx="0">
                  <c:v>Phase I</c:v>
                </c:pt>
                <c:pt idx="1">
                  <c:v>Phase II</c:v>
                </c:pt>
                <c:pt idx="2">
                  <c:v>Phase III*</c:v>
                </c:pt>
              </c:strCache>
            </c:strRef>
          </c:cat>
          <c:val>
            <c:numRef>
              <c:f>Sheet4!$R$4:$T$4</c:f>
              <c:numCache>
                <c:formatCode>0%</c:formatCode>
                <c:ptCount val="3"/>
                <c:pt idx="0">
                  <c:v>1.84791130025759E-2</c:v>
                </c:pt>
                <c:pt idx="1">
                  <c:v>2.9520479022825299E-2</c:v>
                </c:pt>
                <c:pt idx="2">
                  <c:v>2.6876307423156699E-2</c:v>
                </c:pt>
              </c:numCache>
            </c:numRef>
          </c:val>
          <c:extLst>
            <c:ext xmlns:c16="http://schemas.microsoft.com/office/drawing/2014/chart" uri="{C3380CC4-5D6E-409C-BE32-E72D297353CC}">
              <c16:uniqueId val="{00000002-AA19-4B62-AB43-45A6333795B0}"/>
            </c:ext>
          </c:extLst>
        </c:ser>
        <c:ser>
          <c:idx val="3"/>
          <c:order val="3"/>
          <c:tx>
            <c:strRef>
              <c:f>Sheet4!$Q$5</c:f>
              <c:strCache>
                <c:ptCount val="1"/>
                <c:pt idx="0">
                  <c:v>operational travel</c:v>
                </c:pt>
              </c:strCache>
            </c:strRef>
          </c:tx>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invertIfNegative val="0"/>
          <c:cat>
            <c:strRef>
              <c:f>Sheet4!$R$1:$T$1</c:f>
              <c:strCache>
                <c:ptCount val="3"/>
                <c:pt idx="0">
                  <c:v>Phase I</c:v>
                </c:pt>
                <c:pt idx="1">
                  <c:v>Phase II</c:v>
                </c:pt>
                <c:pt idx="2">
                  <c:v>Phase III*</c:v>
                </c:pt>
              </c:strCache>
            </c:strRef>
          </c:cat>
          <c:val>
            <c:numRef>
              <c:f>Sheet4!$R$5:$T$5</c:f>
              <c:numCache>
                <c:formatCode>0%</c:formatCode>
                <c:ptCount val="3"/>
                <c:pt idx="0">
                  <c:v>4.2800612237279302E-2</c:v>
                </c:pt>
                <c:pt idx="1">
                  <c:v>4.70155722270377E-2</c:v>
                </c:pt>
                <c:pt idx="2">
                  <c:v>3.2647117175558599E-2</c:v>
                </c:pt>
              </c:numCache>
            </c:numRef>
          </c:val>
          <c:extLst>
            <c:ext xmlns:c16="http://schemas.microsoft.com/office/drawing/2014/chart" uri="{C3380CC4-5D6E-409C-BE32-E72D297353CC}">
              <c16:uniqueId val="{00000003-AA19-4B62-AB43-45A6333795B0}"/>
            </c:ext>
          </c:extLst>
        </c:ser>
        <c:ser>
          <c:idx val="4"/>
          <c:order val="4"/>
          <c:tx>
            <c:strRef>
              <c:f>Sheet4!$Q$6</c:f>
              <c:strCache>
                <c:ptCount val="1"/>
                <c:pt idx="0">
                  <c:v>research, contracts, fellowships &amp; training</c:v>
                </c:pt>
              </c:strCache>
            </c:strRef>
          </c:tx>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invertIfNegative val="0"/>
          <c:cat>
            <c:strRef>
              <c:f>Sheet4!$R$1:$T$1</c:f>
              <c:strCache>
                <c:ptCount val="3"/>
                <c:pt idx="0">
                  <c:v>Phase I</c:v>
                </c:pt>
                <c:pt idx="1">
                  <c:v>Phase II</c:v>
                </c:pt>
                <c:pt idx="2">
                  <c:v>Phase III*</c:v>
                </c:pt>
              </c:strCache>
            </c:strRef>
          </c:cat>
          <c:val>
            <c:numRef>
              <c:f>Sheet4!$R$6:$T$6</c:f>
              <c:numCache>
                <c:formatCode>0.00</c:formatCode>
                <c:ptCount val="3"/>
                <c:pt idx="0">
                  <c:v>5.4429387389405302E-2</c:v>
                </c:pt>
                <c:pt idx="1">
                  <c:v>0.113558697233265</c:v>
                </c:pt>
                <c:pt idx="2">
                  <c:v>8.3991070021900593E-2</c:v>
                </c:pt>
              </c:numCache>
            </c:numRef>
          </c:val>
          <c:extLst>
            <c:ext xmlns:c16="http://schemas.microsoft.com/office/drawing/2014/chart" uri="{C3380CC4-5D6E-409C-BE32-E72D297353CC}">
              <c16:uniqueId val="{00000004-AA19-4B62-AB43-45A6333795B0}"/>
            </c:ext>
          </c:extLst>
        </c:ser>
        <c:ser>
          <c:idx val="5"/>
          <c:order val="5"/>
          <c:tx>
            <c:strRef>
              <c:f>Sheet4!$Q$7</c:f>
              <c:strCache>
                <c:ptCount val="1"/>
                <c:pt idx="0">
                  <c:v>larvicides</c:v>
                </c:pt>
              </c:strCache>
            </c:strRef>
          </c:tx>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invertIfNegative val="0"/>
          <c:cat>
            <c:strRef>
              <c:f>Sheet4!$R$1:$T$1</c:f>
              <c:strCache>
                <c:ptCount val="3"/>
                <c:pt idx="0">
                  <c:v>Phase I</c:v>
                </c:pt>
                <c:pt idx="1">
                  <c:v>Phase II</c:v>
                </c:pt>
                <c:pt idx="2">
                  <c:v>Phase III*</c:v>
                </c:pt>
              </c:strCache>
            </c:strRef>
          </c:cat>
          <c:val>
            <c:numRef>
              <c:f>Sheet4!$R$7:$T$7</c:f>
              <c:numCache>
                <c:formatCode>0.00</c:formatCode>
                <c:ptCount val="3"/>
                <c:pt idx="0">
                  <c:v>0.107309515809908</c:v>
                </c:pt>
                <c:pt idx="1">
                  <c:v>0.14454374271452899</c:v>
                </c:pt>
                <c:pt idx="2">
                  <c:v>0.19287866819369801</c:v>
                </c:pt>
              </c:numCache>
            </c:numRef>
          </c:val>
          <c:extLst>
            <c:ext xmlns:c16="http://schemas.microsoft.com/office/drawing/2014/chart" uri="{C3380CC4-5D6E-409C-BE32-E72D297353CC}">
              <c16:uniqueId val="{00000005-AA19-4B62-AB43-45A6333795B0}"/>
            </c:ext>
          </c:extLst>
        </c:ser>
        <c:ser>
          <c:idx val="6"/>
          <c:order val="6"/>
          <c:tx>
            <c:strRef>
              <c:f>Sheet4!$Q$8</c:f>
              <c:strCache>
                <c:ptCount val="1"/>
                <c:pt idx="0">
                  <c:v>meetings</c:v>
                </c:pt>
              </c:strCache>
            </c:strRef>
          </c:tx>
          <c:spPr>
            <a:gradFill rotWithShape="1">
              <a:gsLst>
                <a:gs pos="0">
                  <a:schemeClr val="accent1">
                    <a:lumMod val="60000"/>
                    <a:lumMod val="110000"/>
                    <a:satMod val="105000"/>
                    <a:tint val="67000"/>
                  </a:schemeClr>
                </a:gs>
                <a:gs pos="50000">
                  <a:schemeClr val="accent1">
                    <a:lumMod val="60000"/>
                    <a:lumMod val="105000"/>
                    <a:satMod val="103000"/>
                    <a:tint val="73000"/>
                  </a:schemeClr>
                </a:gs>
                <a:gs pos="100000">
                  <a:schemeClr val="accent1">
                    <a:lumMod val="60000"/>
                    <a:lumMod val="105000"/>
                    <a:satMod val="109000"/>
                    <a:tint val="81000"/>
                  </a:schemeClr>
                </a:gs>
              </a:gsLst>
              <a:lin ang="5400000" scaled="0"/>
            </a:gradFill>
            <a:ln w="9525" cap="flat" cmpd="sng" algn="ctr">
              <a:solidFill>
                <a:schemeClr val="accent1">
                  <a:lumMod val="60000"/>
                  <a:shade val="95000"/>
                </a:schemeClr>
              </a:solidFill>
              <a:round/>
            </a:ln>
            <a:effectLst/>
          </c:spPr>
          <c:invertIfNegative val="0"/>
          <c:cat>
            <c:strRef>
              <c:f>Sheet4!$R$1:$T$1</c:f>
              <c:strCache>
                <c:ptCount val="3"/>
                <c:pt idx="0">
                  <c:v>Phase I</c:v>
                </c:pt>
                <c:pt idx="1">
                  <c:v>Phase II</c:v>
                </c:pt>
                <c:pt idx="2">
                  <c:v>Phase III*</c:v>
                </c:pt>
              </c:strCache>
            </c:strRef>
          </c:cat>
          <c:val>
            <c:numRef>
              <c:f>Sheet4!$R$8:$T$8</c:f>
              <c:numCache>
                <c:formatCode>0.00</c:formatCode>
                <c:ptCount val="3"/>
                <c:pt idx="0">
                  <c:v>1.5548587001157301E-2</c:v>
                </c:pt>
                <c:pt idx="1">
                  <c:v>1.3300654571539601E-2</c:v>
                </c:pt>
                <c:pt idx="2">
                  <c:v>9.9010993847783394E-3</c:v>
                </c:pt>
              </c:numCache>
            </c:numRef>
          </c:val>
          <c:extLst>
            <c:ext xmlns:c16="http://schemas.microsoft.com/office/drawing/2014/chart" uri="{C3380CC4-5D6E-409C-BE32-E72D297353CC}">
              <c16:uniqueId val="{00000006-AA19-4B62-AB43-45A6333795B0}"/>
            </c:ext>
          </c:extLst>
        </c:ser>
        <c:ser>
          <c:idx val="7"/>
          <c:order val="7"/>
          <c:tx>
            <c:strRef>
              <c:f>Sheet4!$Q$9</c:f>
              <c:strCache>
                <c:ptCount val="1"/>
                <c:pt idx="0">
                  <c:v>operating costs &amp; supplies</c:v>
                </c:pt>
              </c:strCache>
            </c:strRef>
          </c:tx>
          <c:spPr>
            <a:gradFill rotWithShape="1">
              <a:gsLst>
                <a:gs pos="0">
                  <a:schemeClr val="accent2">
                    <a:lumMod val="60000"/>
                    <a:lumMod val="110000"/>
                    <a:satMod val="105000"/>
                    <a:tint val="67000"/>
                  </a:schemeClr>
                </a:gs>
                <a:gs pos="50000">
                  <a:schemeClr val="accent2">
                    <a:lumMod val="60000"/>
                    <a:lumMod val="105000"/>
                    <a:satMod val="103000"/>
                    <a:tint val="73000"/>
                  </a:schemeClr>
                </a:gs>
                <a:gs pos="100000">
                  <a:schemeClr val="accent2">
                    <a:lumMod val="60000"/>
                    <a:lumMod val="105000"/>
                    <a:satMod val="109000"/>
                    <a:tint val="81000"/>
                  </a:schemeClr>
                </a:gs>
              </a:gsLst>
              <a:lin ang="5400000" scaled="0"/>
            </a:gradFill>
            <a:ln w="9525" cap="flat" cmpd="sng" algn="ctr">
              <a:solidFill>
                <a:schemeClr val="accent2">
                  <a:lumMod val="60000"/>
                  <a:shade val="95000"/>
                </a:schemeClr>
              </a:solidFill>
              <a:round/>
            </a:ln>
            <a:effectLst/>
          </c:spPr>
          <c:invertIfNegative val="0"/>
          <c:cat>
            <c:strRef>
              <c:f>Sheet4!$R$1:$T$1</c:f>
              <c:strCache>
                <c:ptCount val="3"/>
                <c:pt idx="0">
                  <c:v>Phase I</c:v>
                </c:pt>
                <c:pt idx="1">
                  <c:v>Phase II</c:v>
                </c:pt>
                <c:pt idx="2">
                  <c:v>Phase III*</c:v>
                </c:pt>
              </c:strCache>
            </c:strRef>
          </c:cat>
          <c:val>
            <c:numRef>
              <c:f>Sheet4!$R$9:$T$9</c:f>
              <c:numCache>
                <c:formatCode>0.00</c:formatCode>
                <c:ptCount val="3"/>
                <c:pt idx="0">
                  <c:v>0.109008100944488</c:v>
                </c:pt>
                <c:pt idx="1">
                  <c:v>0.131522053182692</c:v>
                </c:pt>
                <c:pt idx="2">
                  <c:v>0.111360432335375</c:v>
                </c:pt>
              </c:numCache>
            </c:numRef>
          </c:val>
          <c:extLst>
            <c:ext xmlns:c16="http://schemas.microsoft.com/office/drawing/2014/chart" uri="{C3380CC4-5D6E-409C-BE32-E72D297353CC}">
              <c16:uniqueId val="{00000007-AA19-4B62-AB43-45A6333795B0}"/>
            </c:ext>
          </c:extLst>
        </c:ser>
        <c:ser>
          <c:idx val="8"/>
          <c:order val="8"/>
          <c:tx>
            <c:strRef>
              <c:f>Sheet4!$Q$10</c:f>
              <c:strCache>
                <c:ptCount val="1"/>
                <c:pt idx="0">
                  <c:v>capital costs</c:v>
                </c:pt>
              </c:strCache>
            </c:strRef>
          </c:tx>
          <c:spPr>
            <a:gradFill rotWithShape="1">
              <a:gsLst>
                <a:gs pos="0">
                  <a:schemeClr val="accent3">
                    <a:lumMod val="60000"/>
                    <a:lumMod val="110000"/>
                    <a:satMod val="105000"/>
                    <a:tint val="67000"/>
                  </a:schemeClr>
                </a:gs>
                <a:gs pos="50000">
                  <a:schemeClr val="accent3">
                    <a:lumMod val="60000"/>
                    <a:lumMod val="105000"/>
                    <a:satMod val="103000"/>
                    <a:tint val="73000"/>
                  </a:schemeClr>
                </a:gs>
                <a:gs pos="100000">
                  <a:schemeClr val="accent3">
                    <a:lumMod val="60000"/>
                    <a:lumMod val="105000"/>
                    <a:satMod val="109000"/>
                    <a:tint val="81000"/>
                  </a:schemeClr>
                </a:gs>
              </a:gsLst>
              <a:lin ang="5400000" scaled="0"/>
            </a:gradFill>
            <a:ln w="9525" cap="flat" cmpd="sng" algn="ctr">
              <a:solidFill>
                <a:schemeClr val="accent3">
                  <a:lumMod val="60000"/>
                  <a:shade val="95000"/>
                </a:schemeClr>
              </a:solidFill>
              <a:round/>
            </a:ln>
            <a:effectLst/>
          </c:spPr>
          <c:invertIfNegative val="0"/>
          <c:cat>
            <c:strRef>
              <c:f>Sheet4!$R$1:$T$1</c:f>
              <c:strCache>
                <c:ptCount val="3"/>
                <c:pt idx="0">
                  <c:v>Phase I</c:v>
                </c:pt>
                <c:pt idx="1">
                  <c:v>Phase II</c:v>
                </c:pt>
                <c:pt idx="2">
                  <c:v>Phase III*</c:v>
                </c:pt>
              </c:strCache>
            </c:strRef>
          </c:cat>
          <c:val>
            <c:numRef>
              <c:f>Sheet4!$R$10:$T$10</c:f>
              <c:numCache>
                <c:formatCode>0.00</c:formatCode>
                <c:ptCount val="3"/>
                <c:pt idx="0">
                  <c:v>8.5134580206816704E-2</c:v>
                </c:pt>
                <c:pt idx="1">
                  <c:v>0</c:v>
                </c:pt>
                <c:pt idx="2">
                  <c:v>3.68150118210442E-2</c:v>
                </c:pt>
              </c:numCache>
            </c:numRef>
          </c:val>
          <c:extLst>
            <c:ext xmlns:c16="http://schemas.microsoft.com/office/drawing/2014/chart" uri="{C3380CC4-5D6E-409C-BE32-E72D297353CC}">
              <c16:uniqueId val="{00000008-AA19-4B62-AB43-45A6333795B0}"/>
            </c:ext>
          </c:extLst>
        </c:ser>
        <c:dLbls>
          <c:showLegendKey val="0"/>
          <c:showVal val="0"/>
          <c:showCatName val="0"/>
          <c:showSerName val="0"/>
          <c:showPercent val="0"/>
          <c:showBubbleSize val="0"/>
        </c:dLbls>
        <c:gapWidth val="100"/>
        <c:overlap val="-24"/>
        <c:axId val="1288926736"/>
        <c:axId val="1368654208"/>
      </c:barChart>
      <c:catAx>
        <c:axId val="128892673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crossAx val="1368654208"/>
        <c:crosses val="autoZero"/>
        <c:auto val="1"/>
        <c:lblAlgn val="ctr"/>
        <c:lblOffset val="100"/>
        <c:noMultiLvlLbl val="0"/>
      </c:catAx>
      <c:valAx>
        <c:axId val="13686542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r>
                  <a:rPr lang="en-GB"/>
                  <a:t>percent of budget</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crossAx val="1288926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mj-lt"/>
        </a:defRPr>
      </a:pPr>
      <a:endParaRPr lang="en-US"/>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mj-lt"/>
                <a:ea typeface="+mn-ea"/>
                <a:cs typeface="+mn-cs"/>
              </a:defRPr>
            </a:pPr>
            <a:r>
              <a:rPr lang="en-US" sz="1100" b="1">
                <a:latin typeface="+mj-lt"/>
              </a:rPr>
              <a:t>Phase</a:t>
            </a:r>
            <a:r>
              <a:rPr lang="en-US" sz="1100" b="1" baseline="0">
                <a:latin typeface="+mj-lt"/>
              </a:rPr>
              <a:t> I (1974-1979)</a:t>
            </a:r>
            <a:endParaRPr lang="en-US" sz="1100" b="1">
              <a:latin typeface="+mj-lt"/>
            </a:endParaRPr>
          </a:p>
        </c:rich>
      </c:tx>
      <c:overlay val="0"/>
      <c:spPr>
        <a:noFill/>
        <a:ln>
          <a:noFill/>
        </a:ln>
        <a:effectLst/>
      </c:spPr>
      <c:txPr>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mj-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1323-0947-A287-2597B0575838}"/>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1323-0947-A287-2597B0575838}"/>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1323-0947-A287-2597B0575838}"/>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1323-0947-A287-2597B0575838}"/>
              </c:ext>
            </c:extLst>
          </c:dPt>
          <c:dPt>
            <c:idx val="4"/>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extLst>
              <c:ext xmlns:c16="http://schemas.microsoft.com/office/drawing/2014/chart" uri="{C3380CC4-5D6E-409C-BE32-E72D297353CC}">
                <c16:uniqueId val="{00000009-1323-0947-A287-2597B0575838}"/>
              </c:ext>
            </c:extLst>
          </c:dPt>
          <c:dPt>
            <c:idx val="5"/>
            <c:bubble3D val="0"/>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extLst>
              <c:ext xmlns:c16="http://schemas.microsoft.com/office/drawing/2014/chart" uri="{C3380CC4-5D6E-409C-BE32-E72D297353CC}">
                <c16:uniqueId val="{0000000B-1323-0947-A287-2597B0575838}"/>
              </c:ext>
            </c:extLst>
          </c:dPt>
          <c:dPt>
            <c:idx val="6"/>
            <c:bubble3D val="0"/>
            <c:spPr>
              <a:gradFill rotWithShape="1">
                <a:gsLst>
                  <a:gs pos="0">
                    <a:schemeClr val="accent1">
                      <a:lumMod val="60000"/>
                      <a:lumMod val="110000"/>
                      <a:satMod val="105000"/>
                      <a:tint val="67000"/>
                    </a:schemeClr>
                  </a:gs>
                  <a:gs pos="50000">
                    <a:schemeClr val="accent1">
                      <a:lumMod val="60000"/>
                      <a:lumMod val="105000"/>
                      <a:satMod val="103000"/>
                      <a:tint val="73000"/>
                    </a:schemeClr>
                  </a:gs>
                  <a:gs pos="100000">
                    <a:schemeClr val="accent1">
                      <a:lumMod val="60000"/>
                      <a:lumMod val="105000"/>
                      <a:satMod val="109000"/>
                      <a:tint val="81000"/>
                    </a:schemeClr>
                  </a:gs>
                </a:gsLst>
                <a:lin ang="5400000" scaled="0"/>
              </a:gradFill>
              <a:ln w="9525" cap="flat" cmpd="sng" algn="ctr">
                <a:solidFill>
                  <a:schemeClr val="accent1">
                    <a:lumMod val="60000"/>
                    <a:shade val="95000"/>
                  </a:schemeClr>
                </a:solidFill>
                <a:round/>
              </a:ln>
              <a:effectLst/>
            </c:spPr>
            <c:extLst>
              <c:ext xmlns:c16="http://schemas.microsoft.com/office/drawing/2014/chart" uri="{C3380CC4-5D6E-409C-BE32-E72D297353CC}">
                <c16:uniqueId val="{0000000D-1323-0947-A287-2597B0575838}"/>
              </c:ext>
            </c:extLst>
          </c:dPt>
          <c:dPt>
            <c:idx val="7"/>
            <c:bubble3D val="0"/>
            <c:spPr>
              <a:gradFill rotWithShape="1">
                <a:gsLst>
                  <a:gs pos="0">
                    <a:schemeClr val="accent2">
                      <a:lumMod val="60000"/>
                      <a:lumMod val="110000"/>
                      <a:satMod val="105000"/>
                      <a:tint val="67000"/>
                    </a:schemeClr>
                  </a:gs>
                  <a:gs pos="50000">
                    <a:schemeClr val="accent2">
                      <a:lumMod val="60000"/>
                      <a:lumMod val="105000"/>
                      <a:satMod val="103000"/>
                      <a:tint val="73000"/>
                    </a:schemeClr>
                  </a:gs>
                  <a:gs pos="100000">
                    <a:schemeClr val="accent2">
                      <a:lumMod val="60000"/>
                      <a:lumMod val="105000"/>
                      <a:satMod val="109000"/>
                      <a:tint val="81000"/>
                    </a:schemeClr>
                  </a:gs>
                </a:gsLst>
                <a:lin ang="5400000" scaled="0"/>
              </a:gradFill>
              <a:ln w="9525" cap="flat" cmpd="sng" algn="ctr">
                <a:solidFill>
                  <a:schemeClr val="accent2">
                    <a:lumMod val="60000"/>
                    <a:shade val="95000"/>
                  </a:schemeClr>
                </a:solidFill>
                <a:round/>
              </a:ln>
              <a:effectLst/>
            </c:spPr>
            <c:extLst>
              <c:ext xmlns:c16="http://schemas.microsoft.com/office/drawing/2014/chart" uri="{C3380CC4-5D6E-409C-BE32-E72D297353CC}">
                <c16:uniqueId val="{0000000F-1323-0947-A287-2597B0575838}"/>
              </c:ext>
            </c:extLst>
          </c:dPt>
          <c:dPt>
            <c:idx val="8"/>
            <c:bubble3D val="0"/>
            <c:spPr>
              <a:gradFill rotWithShape="1">
                <a:gsLst>
                  <a:gs pos="0">
                    <a:schemeClr val="accent3">
                      <a:lumMod val="60000"/>
                      <a:lumMod val="110000"/>
                      <a:satMod val="105000"/>
                      <a:tint val="67000"/>
                    </a:schemeClr>
                  </a:gs>
                  <a:gs pos="50000">
                    <a:schemeClr val="accent3">
                      <a:lumMod val="60000"/>
                      <a:lumMod val="105000"/>
                      <a:satMod val="103000"/>
                      <a:tint val="73000"/>
                    </a:schemeClr>
                  </a:gs>
                  <a:gs pos="100000">
                    <a:schemeClr val="accent3">
                      <a:lumMod val="60000"/>
                      <a:lumMod val="105000"/>
                      <a:satMod val="109000"/>
                      <a:tint val="81000"/>
                    </a:schemeClr>
                  </a:gs>
                </a:gsLst>
                <a:lin ang="5400000" scaled="0"/>
              </a:gradFill>
              <a:ln w="9525" cap="flat" cmpd="sng" algn="ctr">
                <a:solidFill>
                  <a:schemeClr val="accent3">
                    <a:lumMod val="60000"/>
                    <a:shade val="95000"/>
                  </a:schemeClr>
                </a:solidFill>
                <a:round/>
              </a:ln>
              <a:effectLst/>
            </c:spPr>
            <c:extLst>
              <c:ext xmlns:c16="http://schemas.microsoft.com/office/drawing/2014/chart" uri="{C3380CC4-5D6E-409C-BE32-E72D297353CC}">
                <c16:uniqueId val="{00000011-1323-0947-A287-2597B0575838}"/>
              </c:ext>
            </c:extLst>
          </c:dPt>
          <c:dPt>
            <c:idx val="9"/>
            <c:bubble3D val="0"/>
            <c:spPr>
              <a:gradFill rotWithShape="1">
                <a:gsLst>
                  <a:gs pos="0">
                    <a:schemeClr val="accent4">
                      <a:lumMod val="60000"/>
                      <a:lumMod val="110000"/>
                      <a:satMod val="105000"/>
                      <a:tint val="67000"/>
                    </a:schemeClr>
                  </a:gs>
                  <a:gs pos="50000">
                    <a:schemeClr val="accent4">
                      <a:lumMod val="60000"/>
                      <a:lumMod val="105000"/>
                      <a:satMod val="103000"/>
                      <a:tint val="73000"/>
                    </a:schemeClr>
                  </a:gs>
                  <a:gs pos="100000">
                    <a:schemeClr val="accent4">
                      <a:lumMod val="60000"/>
                      <a:lumMod val="105000"/>
                      <a:satMod val="109000"/>
                      <a:tint val="81000"/>
                    </a:schemeClr>
                  </a:gs>
                </a:gsLst>
                <a:lin ang="5400000" scaled="0"/>
              </a:gradFill>
              <a:ln w="9525" cap="flat" cmpd="sng" algn="ctr">
                <a:solidFill>
                  <a:schemeClr val="accent4">
                    <a:lumMod val="60000"/>
                    <a:shade val="95000"/>
                  </a:schemeClr>
                </a:solidFill>
                <a:round/>
              </a:ln>
              <a:effectLst/>
            </c:spPr>
            <c:extLst>
              <c:ext xmlns:c16="http://schemas.microsoft.com/office/drawing/2014/chart" uri="{C3380CC4-5D6E-409C-BE32-E72D297353CC}">
                <c16:uniqueId val="{00000013-1323-0947-A287-2597B0575838}"/>
              </c:ext>
            </c:extLst>
          </c:dPt>
          <c:dPt>
            <c:idx val="10"/>
            <c:bubble3D val="0"/>
            <c:spPr>
              <a:gradFill rotWithShape="1">
                <a:gsLst>
                  <a:gs pos="0">
                    <a:schemeClr val="accent5">
                      <a:lumMod val="60000"/>
                      <a:lumMod val="110000"/>
                      <a:satMod val="105000"/>
                      <a:tint val="67000"/>
                    </a:schemeClr>
                  </a:gs>
                  <a:gs pos="50000">
                    <a:schemeClr val="accent5">
                      <a:lumMod val="60000"/>
                      <a:lumMod val="105000"/>
                      <a:satMod val="103000"/>
                      <a:tint val="73000"/>
                    </a:schemeClr>
                  </a:gs>
                  <a:gs pos="100000">
                    <a:schemeClr val="accent5">
                      <a:lumMod val="60000"/>
                      <a:lumMod val="105000"/>
                      <a:satMod val="109000"/>
                      <a:tint val="81000"/>
                    </a:schemeClr>
                  </a:gs>
                </a:gsLst>
                <a:lin ang="5400000" scaled="0"/>
              </a:gradFill>
              <a:ln w="9525" cap="flat" cmpd="sng" algn="ctr">
                <a:solidFill>
                  <a:schemeClr val="accent5">
                    <a:lumMod val="60000"/>
                    <a:shade val="95000"/>
                  </a:schemeClr>
                </a:solidFill>
                <a:round/>
              </a:ln>
              <a:effectLst/>
            </c:spPr>
            <c:extLst>
              <c:ext xmlns:c16="http://schemas.microsoft.com/office/drawing/2014/chart" uri="{C3380CC4-5D6E-409C-BE32-E72D297353CC}">
                <c16:uniqueId val="{00000015-1323-0947-A287-2597B0575838}"/>
              </c:ext>
            </c:extLst>
          </c:dPt>
          <c:dPt>
            <c:idx val="11"/>
            <c:bubble3D val="0"/>
            <c:spPr>
              <a:gradFill rotWithShape="1">
                <a:gsLst>
                  <a:gs pos="0">
                    <a:schemeClr val="accent6">
                      <a:lumMod val="60000"/>
                      <a:lumMod val="110000"/>
                      <a:satMod val="105000"/>
                      <a:tint val="67000"/>
                    </a:schemeClr>
                  </a:gs>
                  <a:gs pos="50000">
                    <a:schemeClr val="accent6">
                      <a:lumMod val="60000"/>
                      <a:lumMod val="105000"/>
                      <a:satMod val="103000"/>
                      <a:tint val="73000"/>
                    </a:schemeClr>
                  </a:gs>
                  <a:gs pos="100000">
                    <a:schemeClr val="accent6">
                      <a:lumMod val="60000"/>
                      <a:lumMod val="105000"/>
                      <a:satMod val="109000"/>
                      <a:tint val="81000"/>
                    </a:schemeClr>
                  </a:gs>
                </a:gsLst>
                <a:lin ang="5400000" scaled="0"/>
              </a:gradFill>
              <a:ln w="9525" cap="flat" cmpd="sng" algn="ctr">
                <a:solidFill>
                  <a:schemeClr val="accent6">
                    <a:lumMod val="60000"/>
                    <a:shade val="95000"/>
                  </a:schemeClr>
                </a:solidFill>
                <a:round/>
              </a:ln>
              <a:effectLst/>
            </c:spPr>
            <c:extLst>
              <c:ext xmlns:c16="http://schemas.microsoft.com/office/drawing/2014/chart" uri="{C3380CC4-5D6E-409C-BE32-E72D297353CC}">
                <c16:uniqueId val="{00000017-1323-0947-A287-2597B0575838}"/>
              </c:ext>
            </c:extLst>
          </c:dPt>
          <c:dPt>
            <c:idx val="12"/>
            <c:bubble3D val="0"/>
            <c:spPr>
              <a:gradFill rotWithShape="1">
                <a:gsLst>
                  <a:gs pos="0">
                    <a:schemeClr val="accent1">
                      <a:lumMod val="80000"/>
                      <a:lumOff val="20000"/>
                      <a:lumMod val="110000"/>
                      <a:satMod val="105000"/>
                      <a:tint val="67000"/>
                    </a:schemeClr>
                  </a:gs>
                  <a:gs pos="50000">
                    <a:schemeClr val="accent1">
                      <a:lumMod val="80000"/>
                      <a:lumOff val="20000"/>
                      <a:lumMod val="105000"/>
                      <a:satMod val="103000"/>
                      <a:tint val="73000"/>
                    </a:schemeClr>
                  </a:gs>
                  <a:gs pos="100000">
                    <a:schemeClr val="accent1">
                      <a:lumMod val="80000"/>
                      <a:lumOff val="20000"/>
                      <a:lumMod val="105000"/>
                      <a:satMod val="109000"/>
                      <a:tint val="81000"/>
                    </a:schemeClr>
                  </a:gs>
                </a:gsLst>
                <a:lin ang="5400000" scaled="0"/>
              </a:gradFill>
              <a:ln w="9525" cap="flat" cmpd="sng" algn="ctr">
                <a:solidFill>
                  <a:schemeClr val="accent1">
                    <a:lumMod val="80000"/>
                    <a:lumOff val="20000"/>
                    <a:shade val="95000"/>
                  </a:schemeClr>
                </a:solidFill>
                <a:round/>
              </a:ln>
              <a:effectLst/>
            </c:spPr>
            <c:extLst>
              <c:ext xmlns:c16="http://schemas.microsoft.com/office/drawing/2014/chart" uri="{C3380CC4-5D6E-409C-BE32-E72D297353CC}">
                <c16:uniqueId val="{00000019-1323-0947-A287-2597B0575838}"/>
              </c:ext>
            </c:extLst>
          </c:dPt>
          <c:dPt>
            <c:idx val="13"/>
            <c:bubble3D val="0"/>
            <c:spPr>
              <a:gradFill rotWithShape="1">
                <a:gsLst>
                  <a:gs pos="0">
                    <a:schemeClr val="accent2">
                      <a:lumMod val="80000"/>
                      <a:lumOff val="20000"/>
                      <a:lumMod val="110000"/>
                      <a:satMod val="105000"/>
                      <a:tint val="67000"/>
                    </a:schemeClr>
                  </a:gs>
                  <a:gs pos="50000">
                    <a:schemeClr val="accent2">
                      <a:lumMod val="80000"/>
                      <a:lumOff val="20000"/>
                      <a:lumMod val="105000"/>
                      <a:satMod val="103000"/>
                      <a:tint val="73000"/>
                    </a:schemeClr>
                  </a:gs>
                  <a:gs pos="100000">
                    <a:schemeClr val="accent2">
                      <a:lumMod val="80000"/>
                      <a:lumOff val="20000"/>
                      <a:lumMod val="105000"/>
                      <a:satMod val="109000"/>
                      <a:tint val="81000"/>
                    </a:schemeClr>
                  </a:gs>
                </a:gsLst>
                <a:lin ang="5400000" scaled="0"/>
              </a:gradFill>
              <a:ln w="9525" cap="flat" cmpd="sng" algn="ctr">
                <a:solidFill>
                  <a:schemeClr val="accent2">
                    <a:lumMod val="80000"/>
                    <a:lumOff val="20000"/>
                    <a:shade val="95000"/>
                  </a:schemeClr>
                </a:solidFill>
                <a:round/>
              </a:ln>
              <a:effectLst/>
            </c:spPr>
            <c:extLst>
              <c:ext xmlns:c16="http://schemas.microsoft.com/office/drawing/2014/chart" uri="{C3380CC4-5D6E-409C-BE32-E72D297353CC}">
                <c16:uniqueId val="{0000001B-1323-0947-A287-2597B0575838}"/>
              </c:ext>
            </c:extLst>
          </c:dPt>
          <c:dPt>
            <c:idx val="14"/>
            <c:bubble3D val="0"/>
            <c:spPr>
              <a:gradFill rotWithShape="1">
                <a:gsLst>
                  <a:gs pos="0">
                    <a:schemeClr val="accent3">
                      <a:lumMod val="80000"/>
                      <a:lumOff val="20000"/>
                      <a:lumMod val="110000"/>
                      <a:satMod val="105000"/>
                      <a:tint val="67000"/>
                    </a:schemeClr>
                  </a:gs>
                  <a:gs pos="50000">
                    <a:schemeClr val="accent3">
                      <a:lumMod val="80000"/>
                      <a:lumOff val="20000"/>
                      <a:lumMod val="105000"/>
                      <a:satMod val="103000"/>
                      <a:tint val="73000"/>
                    </a:schemeClr>
                  </a:gs>
                  <a:gs pos="100000">
                    <a:schemeClr val="accent3">
                      <a:lumMod val="80000"/>
                      <a:lumOff val="20000"/>
                      <a:lumMod val="105000"/>
                      <a:satMod val="109000"/>
                      <a:tint val="81000"/>
                    </a:schemeClr>
                  </a:gs>
                </a:gsLst>
                <a:lin ang="5400000" scaled="0"/>
              </a:gradFill>
              <a:ln w="9525" cap="flat" cmpd="sng" algn="ctr">
                <a:solidFill>
                  <a:schemeClr val="accent3">
                    <a:lumMod val="80000"/>
                    <a:lumOff val="20000"/>
                    <a:shade val="95000"/>
                  </a:schemeClr>
                </a:solidFill>
                <a:round/>
              </a:ln>
              <a:effectLst/>
            </c:spPr>
            <c:extLst>
              <c:ext xmlns:c16="http://schemas.microsoft.com/office/drawing/2014/chart" uri="{C3380CC4-5D6E-409C-BE32-E72D297353CC}">
                <c16:uniqueId val="{0000001D-1323-0947-A287-2597B0575838}"/>
              </c:ext>
            </c:extLst>
          </c:dPt>
          <c:dPt>
            <c:idx val="15"/>
            <c:bubble3D val="0"/>
            <c:spPr>
              <a:gradFill rotWithShape="1">
                <a:gsLst>
                  <a:gs pos="0">
                    <a:schemeClr val="accent4">
                      <a:lumMod val="80000"/>
                      <a:lumOff val="20000"/>
                      <a:lumMod val="110000"/>
                      <a:satMod val="105000"/>
                      <a:tint val="67000"/>
                    </a:schemeClr>
                  </a:gs>
                  <a:gs pos="50000">
                    <a:schemeClr val="accent4">
                      <a:lumMod val="80000"/>
                      <a:lumOff val="20000"/>
                      <a:lumMod val="105000"/>
                      <a:satMod val="103000"/>
                      <a:tint val="73000"/>
                    </a:schemeClr>
                  </a:gs>
                  <a:gs pos="100000">
                    <a:schemeClr val="accent4">
                      <a:lumMod val="80000"/>
                      <a:lumOff val="20000"/>
                      <a:lumMod val="105000"/>
                      <a:satMod val="109000"/>
                      <a:tint val="81000"/>
                    </a:schemeClr>
                  </a:gs>
                </a:gsLst>
                <a:lin ang="5400000" scaled="0"/>
              </a:gradFill>
              <a:ln w="9525" cap="flat" cmpd="sng" algn="ctr">
                <a:solidFill>
                  <a:schemeClr val="accent4">
                    <a:lumMod val="80000"/>
                    <a:lumOff val="20000"/>
                    <a:shade val="95000"/>
                  </a:schemeClr>
                </a:solidFill>
                <a:round/>
              </a:ln>
              <a:effectLst/>
            </c:spPr>
            <c:extLst>
              <c:ext xmlns:c16="http://schemas.microsoft.com/office/drawing/2014/chart" uri="{C3380CC4-5D6E-409C-BE32-E72D297353CC}">
                <c16:uniqueId val="{0000001F-1323-0947-A287-2597B0575838}"/>
              </c:ext>
            </c:extLst>
          </c:dPt>
          <c:dPt>
            <c:idx val="16"/>
            <c:bubble3D val="0"/>
            <c:spPr>
              <a:gradFill rotWithShape="1">
                <a:gsLst>
                  <a:gs pos="0">
                    <a:schemeClr val="accent5">
                      <a:lumMod val="80000"/>
                      <a:lumOff val="20000"/>
                      <a:lumMod val="110000"/>
                      <a:satMod val="105000"/>
                      <a:tint val="67000"/>
                    </a:schemeClr>
                  </a:gs>
                  <a:gs pos="50000">
                    <a:schemeClr val="accent5">
                      <a:lumMod val="80000"/>
                      <a:lumOff val="20000"/>
                      <a:lumMod val="105000"/>
                      <a:satMod val="103000"/>
                      <a:tint val="73000"/>
                    </a:schemeClr>
                  </a:gs>
                  <a:gs pos="100000">
                    <a:schemeClr val="accent5">
                      <a:lumMod val="80000"/>
                      <a:lumOff val="20000"/>
                      <a:lumMod val="105000"/>
                      <a:satMod val="109000"/>
                      <a:tint val="81000"/>
                    </a:schemeClr>
                  </a:gs>
                </a:gsLst>
                <a:lin ang="5400000" scaled="0"/>
              </a:gradFill>
              <a:ln w="9525" cap="flat" cmpd="sng" algn="ctr">
                <a:solidFill>
                  <a:schemeClr val="accent5">
                    <a:lumMod val="80000"/>
                    <a:lumOff val="20000"/>
                    <a:shade val="95000"/>
                  </a:schemeClr>
                </a:solidFill>
                <a:round/>
              </a:ln>
              <a:effectLst/>
            </c:spPr>
            <c:extLst>
              <c:ext xmlns:c16="http://schemas.microsoft.com/office/drawing/2014/chart" uri="{C3380CC4-5D6E-409C-BE32-E72D297353CC}">
                <c16:uniqueId val="{00000021-1323-0947-A287-2597B0575838}"/>
              </c:ext>
            </c:extLst>
          </c:dPt>
          <c:dPt>
            <c:idx val="17"/>
            <c:bubble3D val="0"/>
            <c:spPr>
              <a:gradFill rotWithShape="1">
                <a:gsLst>
                  <a:gs pos="0">
                    <a:schemeClr val="accent6">
                      <a:lumMod val="80000"/>
                      <a:lumOff val="20000"/>
                      <a:lumMod val="110000"/>
                      <a:satMod val="105000"/>
                      <a:tint val="67000"/>
                    </a:schemeClr>
                  </a:gs>
                  <a:gs pos="50000">
                    <a:schemeClr val="accent6">
                      <a:lumMod val="80000"/>
                      <a:lumOff val="20000"/>
                      <a:lumMod val="105000"/>
                      <a:satMod val="103000"/>
                      <a:tint val="73000"/>
                    </a:schemeClr>
                  </a:gs>
                  <a:gs pos="100000">
                    <a:schemeClr val="accent6">
                      <a:lumMod val="80000"/>
                      <a:lumOff val="20000"/>
                      <a:lumMod val="105000"/>
                      <a:satMod val="109000"/>
                      <a:tint val="81000"/>
                    </a:schemeClr>
                  </a:gs>
                </a:gsLst>
                <a:lin ang="5400000" scaled="0"/>
              </a:gradFill>
              <a:ln w="9525" cap="flat" cmpd="sng" algn="ctr">
                <a:solidFill>
                  <a:schemeClr val="accent6">
                    <a:lumMod val="80000"/>
                    <a:lumOff val="20000"/>
                    <a:shade val="95000"/>
                  </a:schemeClr>
                </a:solidFill>
                <a:round/>
              </a:ln>
              <a:effectLst/>
            </c:spPr>
            <c:extLst>
              <c:ext xmlns:c16="http://schemas.microsoft.com/office/drawing/2014/chart" uri="{C3380CC4-5D6E-409C-BE32-E72D297353CC}">
                <c16:uniqueId val="{00000023-1323-0947-A287-2597B0575838}"/>
              </c:ext>
            </c:extLst>
          </c:dPt>
          <c:dPt>
            <c:idx val="18"/>
            <c:bubble3D val="0"/>
            <c:spPr>
              <a:gradFill rotWithShape="1">
                <a:gsLst>
                  <a:gs pos="0">
                    <a:schemeClr val="accent1">
                      <a:lumMod val="80000"/>
                      <a:lumMod val="110000"/>
                      <a:satMod val="105000"/>
                      <a:tint val="67000"/>
                    </a:schemeClr>
                  </a:gs>
                  <a:gs pos="50000">
                    <a:schemeClr val="accent1">
                      <a:lumMod val="80000"/>
                      <a:lumMod val="105000"/>
                      <a:satMod val="103000"/>
                      <a:tint val="73000"/>
                    </a:schemeClr>
                  </a:gs>
                  <a:gs pos="100000">
                    <a:schemeClr val="accent1">
                      <a:lumMod val="80000"/>
                      <a:lumMod val="105000"/>
                      <a:satMod val="109000"/>
                      <a:tint val="81000"/>
                    </a:schemeClr>
                  </a:gs>
                </a:gsLst>
                <a:lin ang="5400000" scaled="0"/>
              </a:gradFill>
              <a:ln w="9525" cap="flat" cmpd="sng" algn="ctr">
                <a:solidFill>
                  <a:schemeClr val="accent1">
                    <a:lumMod val="80000"/>
                    <a:shade val="95000"/>
                  </a:schemeClr>
                </a:solidFill>
                <a:round/>
              </a:ln>
              <a:effectLst/>
            </c:spPr>
            <c:extLst>
              <c:ext xmlns:c16="http://schemas.microsoft.com/office/drawing/2014/chart" uri="{C3380CC4-5D6E-409C-BE32-E72D297353CC}">
                <c16:uniqueId val="{00000025-1323-0947-A287-2597B0575838}"/>
              </c:ext>
            </c:extLst>
          </c:dPt>
          <c:dPt>
            <c:idx val="19"/>
            <c:bubble3D val="0"/>
            <c:spPr>
              <a:gradFill rotWithShape="1">
                <a:gsLst>
                  <a:gs pos="0">
                    <a:schemeClr val="accent2">
                      <a:lumMod val="80000"/>
                      <a:lumMod val="110000"/>
                      <a:satMod val="105000"/>
                      <a:tint val="67000"/>
                    </a:schemeClr>
                  </a:gs>
                  <a:gs pos="50000">
                    <a:schemeClr val="accent2">
                      <a:lumMod val="80000"/>
                      <a:lumMod val="105000"/>
                      <a:satMod val="103000"/>
                      <a:tint val="73000"/>
                    </a:schemeClr>
                  </a:gs>
                  <a:gs pos="100000">
                    <a:schemeClr val="accent2">
                      <a:lumMod val="80000"/>
                      <a:lumMod val="105000"/>
                      <a:satMod val="109000"/>
                      <a:tint val="81000"/>
                    </a:schemeClr>
                  </a:gs>
                </a:gsLst>
                <a:lin ang="5400000" scaled="0"/>
              </a:gradFill>
              <a:ln w="9525" cap="flat" cmpd="sng" algn="ctr">
                <a:solidFill>
                  <a:schemeClr val="accent2">
                    <a:lumMod val="80000"/>
                    <a:shade val="95000"/>
                  </a:schemeClr>
                </a:solidFill>
                <a:round/>
              </a:ln>
              <a:effectLst/>
            </c:spPr>
            <c:extLst>
              <c:ext xmlns:c16="http://schemas.microsoft.com/office/drawing/2014/chart" uri="{C3380CC4-5D6E-409C-BE32-E72D297353CC}">
                <c16:uniqueId val="{00000027-1323-0947-A287-2597B0575838}"/>
              </c:ext>
            </c:extLst>
          </c:dPt>
          <c:dPt>
            <c:idx val="20"/>
            <c:bubble3D val="0"/>
            <c:spPr>
              <a:gradFill rotWithShape="1">
                <a:gsLst>
                  <a:gs pos="0">
                    <a:schemeClr val="accent3">
                      <a:lumMod val="80000"/>
                      <a:lumMod val="110000"/>
                      <a:satMod val="105000"/>
                      <a:tint val="67000"/>
                    </a:schemeClr>
                  </a:gs>
                  <a:gs pos="50000">
                    <a:schemeClr val="accent3">
                      <a:lumMod val="80000"/>
                      <a:lumMod val="105000"/>
                      <a:satMod val="103000"/>
                      <a:tint val="73000"/>
                    </a:schemeClr>
                  </a:gs>
                  <a:gs pos="100000">
                    <a:schemeClr val="accent3">
                      <a:lumMod val="80000"/>
                      <a:lumMod val="105000"/>
                      <a:satMod val="109000"/>
                      <a:tint val="81000"/>
                    </a:schemeClr>
                  </a:gs>
                </a:gsLst>
                <a:lin ang="5400000" scaled="0"/>
              </a:gradFill>
              <a:ln w="9525" cap="flat" cmpd="sng" algn="ctr">
                <a:solidFill>
                  <a:schemeClr val="accent3">
                    <a:lumMod val="80000"/>
                    <a:shade val="95000"/>
                  </a:schemeClr>
                </a:solidFill>
                <a:round/>
              </a:ln>
              <a:effectLst/>
            </c:spPr>
            <c:extLst>
              <c:ext xmlns:c16="http://schemas.microsoft.com/office/drawing/2014/chart" uri="{C3380CC4-5D6E-409C-BE32-E72D297353CC}">
                <c16:uniqueId val="{00000029-1323-0947-A287-2597B0575838}"/>
              </c:ext>
            </c:extLst>
          </c:dPt>
          <c:dPt>
            <c:idx val="21"/>
            <c:bubble3D val="0"/>
            <c:spPr>
              <a:gradFill rotWithShape="1">
                <a:gsLst>
                  <a:gs pos="0">
                    <a:schemeClr val="accent4">
                      <a:lumMod val="80000"/>
                      <a:lumMod val="110000"/>
                      <a:satMod val="105000"/>
                      <a:tint val="67000"/>
                    </a:schemeClr>
                  </a:gs>
                  <a:gs pos="50000">
                    <a:schemeClr val="accent4">
                      <a:lumMod val="80000"/>
                      <a:lumMod val="105000"/>
                      <a:satMod val="103000"/>
                      <a:tint val="73000"/>
                    </a:schemeClr>
                  </a:gs>
                  <a:gs pos="100000">
                    <a:schemeClr val="accent4">
                      <a:lumMod val="80000"/>
                      <a:lumMod val="105000"/>
                      <a:satMod val="109000"/>
                      <a:tint val="81000"/>
                    </a:schemeClr>
                  </a:gs>
                </a:gsLst>
                <a:lin ang="5400000" scaled="0"/>
              </a:gradFill>
              <a:ln w="9525" cap="flat" cmpd="sng" algn="ctr">
                <a:solidFill>
                  <a:schemeClr val="accent4">
                    <a:lumMod val="80000"/>
                    <a:shade val="95000"/>
                  </a:schemeClr>
                </a:solidFill>
                <a:round/>
              </a:ln>
              <a:effectLst/>
            </c:spPr>
            <c:extLst>
              <c:ext xmlns:c16="http://schemas.microsoft.com/office/drawing/2014/chart" uri="{C3380CC4-5D6E-409C-BE32-E72D297353CC}">
                <c16:uniqueId val="{0000002B-1323-0947-A287-2597B0575838}"/>
              </c:ext>
            </c:extLst>
          </c:dPt>
          <c:dPt>
            <c:idx val="22"/>
            <c:bubble3D val="0"/>
            <c:spPr>
              <a:gradFill rotWithShape="1">
                <a:gsLst>
                  <a:gs pos="0">
                    <a:schemeClr val="accent5">
                      <a:lumMod val="80000"/>
                      <a:lumMod val="110000"/>
                      <a:satMod val="105000"/>
                      <a:tint val="67000"/>
                    </a:schemeClr>
                  </a:gs>
                  <a:gs pos="50000">
                    <a:schemeClr val="accent5">
                      <a:lumMod val="80000"/>
                      <a:lumMod val="105000"/>
                      <a:satMod val="103000"/>
                      <a:tint val="73000"/>
                    </a:schemeClr>
                  </a:gs>
                  <a:gs pos="100000">
                    <a:schemeClr val="accent5">
                      <a:lumMod val="80000"/>
                      <a:lumMod val="105000"/>
                      <a:satMod val="109000"/>
                      <a:tint val="81000"/>
                    </a:schemeClr>
                  </a:gs>
                </a:gsLst>
                <a:lin ang="5400000" scaled="0"/>
              </a:gradFill>
              <a:ln w="9525" cap="flat" cmpd="sng" algn="ctr">
                <a:solidFill>
                  <a:schemeClr val="accent5">
                    <a:lumMod val="80000"/>
                    <a:shade val="95000"/>
                  </a:schemeClr>
                </a:solidFill>
                <a:round/>
              </a:ln>
              <a:effectLst/>
            </c:spPr>
            <c:extLst>
              <c:ext xmlns:c16="http://schemas.microsoft.com/office/drawing/2014/chart" uri="{C3380CC4-5D6E-409C-BE32-E72D297353CC}">
                <c16:uniqueId val="{0000002D-1323-0947-A287-2597B0575838}"/>
              </c:ext>
            </c:extLst>
          </c:dPt>
          <c:dPt>
            <c:idx val="23"/>
            <c:bubble3D val="0"/>
            <c:spPr>
              <a:gradFill rotWithShape="1">
                <a:gsLst>
                  <a:gs pos="0">
                    <a:schemeClr val="accent6">
                      <a:lumMod val="80000"/>
                      <a:lumMod val="110000"/>
                      <a:satMod val="105000"/>
                      <a:tint val="67000"/>
                    </a:schemeClr>
                  </a:gs>
                  <a:gs pos="50000">
                    <a:schemeClr val="accent6">
                      <a:lumMod val="80000"/>
                      <a:lumMod val="105000"/>
                      <a:satMod val="103000"/>
                      <a:tint val="73000"/>
                    </a:schemeClr>
                  </a:gs>
                  <a:gs pos="100000">
                    <a:schemeClr val="accent6">
                      <a:lumMod val="80000"/>
                      <a:lumMod val="105000"/>
                      <a:satMod val="109000"/>
                      <a:tint val="81000"/>
                    </a:schemeClr>
                  </a:gs>
                </a:gsLst>
                <a:lin ang="5400000" scaled="0"/>
              </a:gradFill>
              <a:ln w="9525" cap="flat" cmpd="sng" algn="ctr">
                <a:solidFill>
                  <a:schemeClr val="accent6">
                    <a:lumMod val="80000"/>
                    <a:shade val="95000"/>
                  </a:schemeClr>
                </a:solidFill>
                <a:round/>
              </a:ln>
              <a:effectLst/>
            </c:spPr>
            <c:extLst>
              <c:ext xmlns:c16="http://schemas.microsoft.com/office/drawing/2014/chart" uri="{C3380CC4-5D6E-409C-BE32-E72D297353CC}">
                <c16:uniqueId val="{0000002F-1323-0947-A287-2597B0575838}"/>
              </c:ext>
            </c:extLst>
          </c:dPt>
          <c:dPt>
            <c:idx val="24"/>
            <c:bubble3D val="0"/>
            <c:spPr>
              <a:gradFill rotWithShape="1">
                <a:gsLst>
                  <a:gs pos="0">
                    <a:schemeClr val="accent1">
                      <a:lumMod val="60000"/>
                      <a:lumOff val="40000"/>
                      <a:lumMod val="110000"/>
                      <a:satMod val="105000"/>
                      <a:tint val="67000"/>
                    </a:schemeClr>
                  </a:gs>
                  <a:gs pos="50000">
                    <a:schemeClr val="accent1">
                      <a:lumMod val="60000"/>
                      <a:lumOff val="40000"/>
                      <a:lumMod val="105000"/>
                      <a:satMod val="103000"/>
                      <a:tint val="73000"/>
                    </a:schemeClr>
                  </a:gs>
                  <a:gs pos="100000">
                    <a:schemeClr val="accent1">
                      <a:lumMod val="60000"/>
                      <a:lumOff val="40000"/>
                      <a:lumMod val="105000"/>
                      <a:satMod val="109000"/>
                      <a:tint val="81000"/>
                    </a:schemeClr>
                  </a:gs>
                </a:gsLst>
                <a:lin ang="5400000" scaled="0"/>
              </a:gradFill>
              <a:ln w="9525" cap="flat" cmpd="sng" algn="ctr">
                <a:solidFill>
                  <a:schemeClr val="accent1">
                    <a:lumMod val="60000"/>
                    <a:lumOff val="40000"/>
                    <a:shade val="95000"/>
                  </a:schemeClr>
                </a:solidFill>
                <a:round/>
              </a:ln>
              <a:effectLst/>
            </c:spPr>
            <c:extLst>
              <c:ext xmlns:c16="http://schemas.microsoft.com/office/drawing/2014/chart" uri="{C3380CC4-5D6E-409C-BE32-E72D297353CC}">
                <c16:uniqueId val="{00000031-1323-0947-A287-2597B0575838}"/>
              </c:ext>
            </c:extLst>
          </c:dPt>
          <c:dPt>
            <c:idx val="25"/>
            <c:bubble3D val="0"/>
            <c:spPr>
              <a:gradFill rotWithShape="1">
                <a:gsLst>
                  <a:gs pos="0">
                    <a:schemeClr val="accent2">
                      <a:lumMod val="60000"/>
                      <a:lumOff val="40000"/>
                      <a:lumMod val="110000"/>
                      <a:satMod val="105000"/>
                      <a:tint val="67000"/>
                    </a:schemeClr>
                  </a:gs>
                  <a:gs pos="50000">
                    <a:schemeClr val="accent2">
                      <a:lumMod val="60000"/>
                      <a:lumOff val="40000"/>
                      <a:lumMod val="105000"/>
                      <a:satMod val="103000"/>
                      <a:tint val="73000"/>
                    </a:schemeClr>
                  </a:gs>
                  <a:gs pos="100000">
                    <a:schemeClr val="accent2">
                      <a:lumMod val="60000"/>
                      <a:lumOff val="40000"/>
                      <a:lumMod val="105000"/>
                      <a:satMod val="109000"/>
                      <a:tint val="81000"/>
                    </a:schemeClr>
                  </a:gs>
                </a:gsLst>
                <a:lin ang="5400000" scaled="0"/>
              </a:gradFill>
              <a:ln w="9525" cap="flat" cmpd="sng" algn="ctr">
                <a:solidFill>
                  <a:schemeClr val="accent2">
                    <a:lumMod val="60000"/>
                    <a:lumOff val="40000"/>
                    <a:shade val="95000"/>
                  </a:schemeClr>
                </a:solidFill>
                <a:round/>
              </a:ln>
              <a:effectLst/>
            </c:spPr>
            <c:extLst>
              <c:ext xmlns:c16="http://schemas.microsoft.com/office/drawing/2014/chart" uri="{C3380CC4-5D6E-409C-BE32-E72D297353CC}">
                <c16:uniqueId val="{00000033-1323-0947-A287-2597B0575838}"/>
              </c:ext>
            </c:extLst>
          </c:dPt>
          <c:dPt>
            <c:idx val="26"/>
            <c:bubble3D val="0"/>
            <c:spPr>
              <a:gradFill rotWithShape="1">
                <a:gsLst>
                  <a:gs pos="0">
                    <a:schemeClr val="accent3">
                      <a:lumMod val="60000"/>
                      <a:lumOff val="40000"/>
                      <a:lumMod val="110000"/>
                      <a:satMod val="105000"/>
                      <a:tint val="67000"/>
                    </a:schemeClr>
                  </a:gs>
                  <a:gs pos="50000">
                    <a:schemeClr val="accent3">
                      <a:lumMod val="60000"/>
                      <a:lumOff val="40000"/>
                      <a:lumMod val="105000"/>
                      <a:satMod val="103000"/>
                      <a:tint val="73000"/>
                    </a:schemeClr>
                  </a:gs>
                  <a:gs pos="100000">
                    <a:schemeClr val="accent3">
                      <a:lumMod val="60000"/>
                      <a:lumOff val="40000"/>
                      <a:lumMod val="105000"/>
                      <a:satMod val="109000"/>
                      <a:tint val="81000"/>
                    </a:schemeClr>
                  </a:gs>
                </a:gsLst>
                <a:lin ang="5400000" scaled="0"/>
              </a:gradFill>
              <a:ln w="9525" cap="flat" cmpd="sng" algn="ctr">
                <a:solidFill>
                  <a:schemeClr val="accent3">
                    <a:lumMod val="60000"/>
                    <a:lumOff val="40000"/>
                    <a:shade val="95000"/>
                  </a:schemeClr>
                </a:solidFill>
                <a:round/>
              </a:ln>
              <a:effectLst/>
            </c:spPr>
            <c:extLst>
              <c:ext xmlns:c16="http://schemas.microsoft.com/office/drawing/2014/chart" uri="{C3380CC4-5D6E-409C-BE32-E72D297353CC}">
                <c16:uniqueId val="{00000035-1323-0947-A287-2597B0575838}"/>
              </c:ext>
            </c:extLst>
          </c:dPt>
          <c:dPt>
            <c:idx val="27"/>
            <c:bubble3D val="0"/>
            <c:spPr>
              <a:gradFill rotWithShape="1">
                <a:gsLst>
                  <a:gs pos="0">
                    <a:schemeClr val="accent4">
                      <a:lumMod val="60000"/>
                      <a:lumOff val="40000"/>
                      <a:lumMod val="110000"/>
                      <a:satMod val="105000"/>
                      <a:tint val="67000"/>
                    </a:schemeClr>
                  </a:gs>
                  <a:gs pos="50000">
                    <a:schemeClr val="accent4">
                      <a:lumMod val="60000"/>
                      <a:lumOff val="40000"/>
                      <a:lumMod val="105000"/>
                      <a:satMod val="103000"/>
                      <a:tint val="73000"/>
                    </a:schemeClr>
                  </a:gs>
                  <a:gs pos="100000">
                    <a:schemeClr val="accent4">
                      <a:lumMod val="60000"/>
                      <a:lumOff val="40000"/>
                      <a:lumMod val="105000"/>
                      <a:satMod val="109000"/>
                      <a:tint val="81000"/>
                    </a:schemeClr>
                  </a:gs>
                </a:gsLst>
                <a:lin ang="5400000" scaled="0"/>
              </a:gradFill>
              <a:ln w="9525" cap="flat" cmpd="sng" algn="ctr">
                <a:solidFill>
                  <a:schemeClr val="accent4">
                    <a:lumMod val="60000"/>
                    <a:lumOff val="40000"/>
                    <a:shade val="95000"/>
                  </a:schemeClr>
                </a:solidFill>
                <a:round/>
              </a:ln>
              <a:effectLst/>
            </c:spPr>
            <c:extLst>
              <c:ext xmlns:c16="http://schemas.microsoft.com/office/drawing/2014/chart" uri="{C3380CC4-5D6E-409C-BE32-E72D297353CC}">
                <c16:uniqueId val="{00000037-1323-0947-A287-2597B0575838}"/>
              </c:ext>
            </c:extLst>
          </c:dPt>
          <c:dLbls>
            <c:dLbl>
              <c:idx val="1"/>
              <c:layout>
                <c:manualLayout>
                  <c:x val="-0.13996989450724748"/>
                  <c:y val="8.6658244212010807E-2"/>
                </c:manualLayout>
              </c:layout>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323-0947-A287-2597B0575838}"/>
                </c:ext>
              </c:extLst>
            </c:dLbl>
            <c:dLbl>
              <c:idx val="2"/>
              <c:layout>
                <c:manualLayout>
                  <c:x val="-0.11205719690686355"/>
                  <c:y val="-2.1361940298507461E-2"/>
                </c:manualLayout>
              </c:layout>
              <c:showLegendKey val="0"/>
              <c:showVal val="0"/>
              <c:showCatName val="1"/>
              <c:showSerName val="0"/>
              <c:showPercent val="0"/>
              <c:showBubbleSize val="0"/>
              <c:extLst>
                <c:ext xmlns:c15="http://schemas.microsoft.com/office/drawing/2012/chart" uri="{CE6537A1-D6FC-4f65-9D91-7224C49458BB}">
                  <c15:layout>
                    <c:manualLayout>
                      <c:w val="0.25222354340071346"/>
                      <c:h val="0.13423572660100333"/>
                    </c:manualLayout>
                  </c15:layout>
                </c:ext>
                <c:ext xmlns:c16="http://schemas.microsoft.com/office/drawing/2014/chart" uri="{C3380CC4-5D6E-409C-BE32-E72D297353CC}">
                  <c16:uniqueId val="{00000005-1323-0947-A287-2597B0575838}"/>
                </c:ext>
              </c:extLst>
            </c:dLbl>
            <c:dLbl>
              <c:idx val="4"/>
              <c:layout>
                <c:manualLayout>
                  <c:x val="-0.10515677811379413"/>
                  <c:y val="-0.11215291200416264"/>
                </c:manualLayout>
              </c:layout>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9-1323-0947-A287-2597B0575838}"/>
                </c:ext>
              </c:extLst>
            </c:dLbl>
            <c:dLbl>
              <c:idx val="7"/>
              <c:layout>
                <c:manualLayout>
                  <c:x val="0.14461355529131986"/>
                  <c:y val="-5.7349938780519714E-2"/>
                </c:manualLayout>
              </c:layout>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F-1323-0947-A287-2597B0575838}"/>
                </c:ext>
              </c:extLst>
            </c:dLbl>
            <c:dLbl>
              <c:idx val="15"/>
              <c:layout>
                <c:manualLayout>
                  <c:x val="4.3598386557785468E-17"/>
                  <c:y val="2.5561080578946672E-2"/>
                </c:manualLayout>
              </c:layout>
              <c:showLegendKey val="0"/>
              <c:showVal val="0"/>
              <c:showCatName val="1"/>
              <c:showSerName val="0"/>
              <c:showPercent val="0"/>
              <c:showBubbleSize val="0"/>
              <c:extLst>
                <c:ext xmlns:c15="http://schemas.microsoft.com/office/drawing/2012/chart" uri="{CE6537A1-D6FC-4f65-9D91-7224C49458BB}">
                  <c15:layout>
                    <c:manualLayout>
                      <c:w val="0.15405469678953626"/>
                      <c:h val="0.13423572660100333"/>
                    </c:manualLayout>
                  </c15:layout>
                </c:ext>
                <c:ext xmlns:c16="http://schemas.microsoft.com/office/drawing/2014/chart" uri="{C3380CC4-5D6E-409C-BE32-E72D297353CC}">
                  <c16:uniqueId val="{0000001F-1323-0947-A287-2597B0575838}"/>
                </c:ext>
              </c:extLst>
            </c:dLbl>
            <c:dLbl>
              <c:idx val="27"/>
              <c:layout>
                <c:manualLayout>
                  <c:x val="0.17263250536013558"/>
                  <c:y val="-4.6412156292671744E-2"/>
                </c:manualLayout>
              </c:layout>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37-1323-0947-A287-2597B057583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showLegendKey val="0"/>
            <c:showVal val="0"/>
            <c:showCatName val="1"/>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Sheet1!$J$2:$J$29</c:f>
              <c:strCache>
                <c:ptCount val="28"/>
                <c:pt idx="0">
                  <c:v>USA</c:v>
                </c:pt>
                <c:pt idx="1">
                  <c:v>World Bank</c:v>
                </c:pt>
                <c:pt idx="2">
                  <c:v>Netherlands</c:v>
                </c:pt>
                <c:pt idx="3">
                  <c:v>Japan</c:v>
                </c:pt>
                <c:pt idx="4">
                  <c:v>Saudi Arabia</c:v>
                </c:pt>
                <c:pt idx="5">
                  <c:v>Germany</c:v>
                </c:pt>
                <c:pt idx="6">
                  <c:v>France</c:v>
                </c:pt>
                <c:pt idx="7">
                  <c:v>Canada</c:v>
                </c:pt>
                <c:pt idx="8">
                  <c:v>United Kingdom</c:v>
                </c:pt>
                <c:pt idx="9">
                  <c:v>Kuwait</c:v>
                </c:pt>
                <c:pt idx="10">
                  <c:v>Belgium</c:v>
                </c:pt>
                <c:pt idx="11">
                  <c:v>Switzerland</c:v>
                </c:pt>
                <c:pt idx="12">
                  <c:v>UNDP</c:v>
                </c:pt>
                <c:pt idx="13">
                  <c:v>Norway</c:v>
                </c:pt>
                <c:pt idx="14">
                  <c:v>AFDB</c:v>
                </c:pt>
                <c:pt idx="15">
                  <c:v>Ivory Coast</c:v>
                </c:pt>
                <c:pt idx="16">
                  <c:v>OPEC Fund</c:v>
                </c:pt>
                <c:pt idx="17">
                  <c:v>EEC</c:v>
                </c:pt>
                <c:pt idx="18">
                  <c:v>Italy</c:v>
                </c:pt>
                <c:pt idx="19">
                  <c:v>WHO</c:v>
                </c:pt>
                <c:pt idx="20">
                  <c:v>Luxembourgh</c:v>
                </c:pt>
                <c:pt idx="21">
                  <c:v>Finland</c:v>
                </c:pt>
                <c:pt idx="22">
                  <c:v>Al Sabah Foundation</c:v>
                </c:pt>
                <c:pt idx="23">
                  <c:v>Gulbenkian Fdn</c:v>
                </c:pt>
                <c:pt idx="24">
                  <c:v>Portugal</c:v>
                </c:pt>
                <c:pt idx="25">
                  <c:v>Korea</c:v>
                </c:pt>
                <c:pt idx="26">
                  <c:v>Denmark</c:v>
                </c:pt>
                <c:pt idx="27">
                  <c:v>Iraq</c:v>
                </c:pt>
              </c:strCache>
            </c:strRef>
          </c:cat>
          <c:val>
            <c:numRef>
              <c:f>Sheet1!$K$2:$K$29</c:f>
              <c:numCache>
                <c:formatCode>General</c:formatCode>
                <c:ptCount val="28"/>
                <c:pt idx="0">
                  <c:v>7700000</c:v>
                </c:pt>
                <c:pt idx="1">
                  <c:v>6000000</c:v>
                </c:pt>
                <c:pt idx="2">
                  <c:v>6500000</c:v>
                </c:pt>
                <c:pt idx="3">
                  <c:v>5000000</c:v>
                </c:pt>
                <c:pt idx="4">
                  <c:v>3340000</c:v>
                </c:pt>
                <c:pt idx="5">
                  <c:v>5240000</c:v>
                </c:pt>
                <c:pt idx="6">
                  <c:v>5780000</c:v>
                </c:pt>
                <c:pt idx="7">
                  <c:v>3310000</c:v>
                </c:pt>
                <c:pt idx="8">
                  <c:v>5330000</c:v>
                </c:pt>
                <c:pt idx="9">
                  <c:v>6100000</c:v>
                </c:pt>
                <c:pt idx="10">
                  <c:v>2330000</c:v>
                </c:pt>
                <c:pt idx="12">
                  <c:v>470000</c:v>
                </c:pt>
                <c:pt idx="13">
                  <c:v>1050000</c:v>
                </c:pt>
                <c:pt idx="14">
                  <c:v>1080000</c:v>
                </c:pt>
                <c:pt idx="15">
                  <c:v>2420000</c:v>
                </c:pt>
                <c:pt idx="27">
                  <c:v>50000</c:v>
                </c:pt>
              </c:numCache>
            </c:numRef>
          </c:val>
          <c:extLst>
            <c:ext xmlns:c16="http://schemas.microsoft.com/office/drawing/2014/chart" uri="{C3380CC4-5D6E-409C-BE32-E72D297353CC}">
              <c16:uniqueId val="{00000038-1323-0947-A287-2597B0575838}"/>
            </c:ext>
          </c:extLst>
        </c:ser>
        <c:dLbls>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cap="none" spc="20" baseline="0">
                <a:solidFill>
                  <a:schemeClr val="tx1">
                    <a:lumMod val="50000"/>
                    <a:lumOff val="50000"/>
                  </a:schemeClr>
                </a:solidFill>
                <a:latin typeface="+mn-lt"/>
                <a:ea typeface="+mn-ea"/>
                <a:cs typeface="+mn-cs"/>
              </a:defRPr>
            </a:pPr>
            <a:r>
              <a:rPr lang="en-US" sz="1100"/>
              <a:t>Phase</a:t>
            </a:r>
            <a:r>
              <a:rPr lang="en-US" sz="1100" baseline="0"/>
              <a:t> II (1980-1985)</a:t>
            </a:r>
            <a:endParaRPr lang="en-US" sz="1100"/>
          </a:p>
        </c:rich>
      </c:tx>
      <c:overlay val="0"/>
      <c:spPr>
        <a:noFill/>
        <a:ln>
          <a:noFill/>
        </a:ln>
        <a:effectLst/>
      </c:spPr>
      <c:txPr>
        <a:bodyPr rot="0" spcFirstLastPara="1" vertOverflow="ellipsis" vert="horz" wrap="square" anchor="ctr" anchorCtr="1"/>
        <a:lstStyle/>
        <a:p>
          <a:pPr>
            <a:defRPr sz="11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1D1F-8942-8452-E3D2B6B5B46F}"/>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1D1F-8942-8452-E3D2B6B5B46F}"/>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1D1F-8942-8452-E3D2B6B5B46F}"/>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1D1F-8942-8452-E3D2B6B5B46F}"/>
              </c:ext>
            </c:extLst>
          </c:dPt>
          <c:dPt>
            <c:idx val="4"/>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extLst>
              <c:ext xmlns:c16="http://schemas.microsoft.com/office/drawing/2014/chart" uri="{C3380CC4-5D6E-409C-BE32-E72D297353CC}">
                <c16:uniqueId val="{00000009-1D1F-8942-8452-E3D2B6B5B46F}"/>
              </c:ext>
            </c:extLst>
          </c:dPt>
          <c:dPt>
            <c:idx val="5"/>
            <c:bubble3D val="0"/>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extLst>
              <c:ext xmlns:c16="http://schemas.microsoft.com/office/drawing/2014/chart" uri="{C3380CC4-5D6E-409C-BE32-E72D297353CC}">
                <c16:uniqueId val="{0000000B-1D1F-8942-8452-E3D2B6B5B46F}"/>
              </c:ext>
            </c:extLst>
          </c:dPt>
          <c:dPt>
            <c:idx val="6"/>
            <c:bubble3D val="0"/>
            <c:spPr>
              <a:gradFill rotWithShape="1">
                <a:gsLst>
                  <a:gs pos="0">
                    <a:schemeClr val="accent1">
                      <a:lumMod val="60000"/>
                      <a:lumMod val="110000"/>
                      <a:satMod val="105000"/>
                      <a:tint val="67000"/>
                    </a:schemeClr>
                  </a:gs>
                  <a:gs pos="50000">
                    <a:schemeClr val="accent1">
                      <a:lumMod val="60000"/>
                      <a:lumMod val="105000"/>
                      <a:satMod val="103000"/>
                      <a:tint val="73000"/>
                    </a:schemeClr>
                  </a:gs>
                  <a:gs pos="100000">
                    <a:schemeClr val="accent1">
                      <a:lumMod val="60000"/>
                      <a:lumMod val="105000"/>
                      <a:satMod val="109000"/>
                      <a:tint val="81000"/>
                    </a:schemeClr>
                  </a:gs>
                </a:gsLst>
                <a:lin ang="5400000" scaled="0"/>
              </a:gradFill>
              <a:ln w="9525" cap="flat" cmpd="sng" algn="ctr">
                <a:solidFill>
                  <a:schemeClr val="accent1">
                    <a:lumMod val="60000"/>
                    <a:shade val="95000"/>
                  </a:schemeClr>
                </a:solidFill>
                <a:round/>
              </a:ln>
              <a:effectLst/>
            </c:spPr>
            <c:extLst>
              <c:ext xmlns:c16="http://schemas.microsoft.com/office/drawing/2014/chart" uri="{C3380CC4-5D6E-409C-BE32-E72D297353CC}">
                <c16:uniqueId val="{0000000D-1D1F-8942-8452-E3D2B6B5B46F}"/>
              </c:ext>
            </c:extLst>
          </c:dPt>
          <c:dPt>
            <c:idx val="7"/>
            <c:bubble3D val="0"/>
            <c:spPr>
              <a:gradFill rotWithShape="1">
                <a:gsLst>
                  <a:gs pos="0">
                    <a:schemeClr val="accent2">
                      <a:lumMod val="60000"/>
                      <a:lumMod val="110000"/>
                      <a:satMod val="105000"/>
                      <a:tint val="67000"/>
                    </a:schemeClr>
                  </a:gs>
                  <a:gs pos="50000">
                    <a:schemeClr val="accent2">
                      <a:lumMod val="60000"/>
                      <a:lumMod val="105000"/>
                      <a:satMod val="103000"/>
                      <a:tint val="73000"/>
                    </a:schemeClr>
                  </a:gs>
                  <a:gs pos="100000">
                    <a:schemeClr val="accent2">
                      <a:lumMod val="60000"/>
                      <a:lumMod val="105000"/>
                      <a:satMod val="109000"/>
                      <a:tint val="81000"/>
                    </a:schemeClr>
                  </a:gs>
                </a:gsLst>
                <a:lin ang="5400000" scaled="0"/>
              </a:gradFill>
              <a:ln w="9525" cap="flat" cmpd="sng" algn="ctr">
                <a:solidFill>
                  <a:schemeClr val="accent2">
                    <a:lumMod val="60000"/>
                    <a:shade val="95000"/>
                  </a:schemeClr>
                </a:solidFill>
                <a:round/>
              </a:ln>
              <a:effectLst/>
            </c:spPr>
            <c:extLst>
              <c:ext xmlns:c16="http://schemas.microsoft.com/office/drawing/2014/chart" uri="{C3380CC4-5D6E-409C-BE32-E72D297353CC}">
                <c16:uniqueId val="{0000000F-1D1F-8942-8452-E3D2B6B5B46F}"/>
              </c:ext>
            </c:extLst>
          </c:dPt>
          <c:dPt>
            <c:idx val="8"/>
            <c:bubble3D val="0"/>
            <c:spPr>
              <a:gradFill rotWithShape="1">
                <a:gsLst>
                  <a:gs pos="0">
                    <a:schemeClr val="accent3">
                      <a:lumMod val="60000"/>
                      <a:lumMod val="110000"/>
                      <a:satMod val="105000"/>
                      <a:tint val="67000"/>
                    </a:schemeClr>
                  </a:gs>
                  <a:gs pos="50000">
                    <a:schemeClr val="accent3">
                      <a:lumMod val="60000"/>
                      <a:lumMod val="105000"/>
                      <a:satMod val="103000"/>
                      <a:tint val="73000"/>
                    </a:schemeClr>
                  </a:gs>
                  <a:gs pos="100000">
                    <a:schemeClr val="accent3">
                      <a:lumMod val="60000"/>
                      <a:lumMod val="105000"/>
                      <a:satMod val="109000"/>
                      <a:tint val="81000"/>
                    </a:schemeClr>
                  </a:gs>
                </a:gsLst>
                <a:lin ang="5400000" scaled="0"/>
              </a:gradFill>
              <a:ln w="9525" cap="flat" cmpd="sng" algn="ctr">
                <a:solidFill>
                  <a:schemeClr val="accent3">
                    <a:lumMod val="60000"/>
                    <a:shade val="95000"/>
                  </a:schemeClr>
                </a:solidFill>
                <a:round/>
              </a:ln>
              <a:effectLst/>
            </c:spPr>
            <c:extLst>
              <c:ext xmlns:c16="http://schemas.microsoft.com/office/drawing/2014/chart" uri="{C3380CC4-5D6E-409C-BE32-E72D297353CC}">
                <c16:uniqueId val="{00000011-1D1F-8942-8452-E3D2B6B5B46F}"/>
              </c:ext>
            </c:extLst>
          </c:dPt>
          <c:dPt>
            <c:idx val="9"/>
            <c:bubble3D val="0"/>
            <c:spPr>
              <a:gradFill rotWithShape="1">
                <a:gsLst>
                  <a:gs pos="0">
                    <a:schemeClr val="accent4">
                      <a:lumMod val="60000"/>
                      <a:lumMod val="110000"/>
                      <a:satMod val="105000"/>
                      <a:tint val="67000"/>
                    </a:schemeClr>
                  </a:gs>
                  <a:gs pos="50000">
                    <a:schemeClr val="accent4">
                      <a:lumMod val="60000"/>
                      <a:lumMod val="105000"/>
                      <a:satMod val="103000"/>
                      <a:tint val="73000"/>
                    </a:schemeClr>
                  </a:gs>
                  <a:gs pos="100000">
                    <a:schemeClr val="accent4">
                      <a:lumMod val="60000"/>
                      <a:lumMod val="105000"/>
                      <a:satMod val="109000"/>
                      <a:tint val="81000"/>
                    </a:schemeClr>
                  </a:gs>
                </a:gsLst>
                <a:lin ang="5400000" scaled="0"/>
              </a:gradFill>
              <a:ln w="9525" cap="flat" cmpd="sng" algn="ctr">
                <a:solidFill>
                  <a:schemeClr val="accent4">
                    <a:lumMod val="60000"/>
                    <a:shade val="95000"/>
                  </a:schemeClr>
                </a:solidFill>
                <a:round/>
              </a:ln>
              <a:effectLst/>
            </c:spPr>
            <c:extLst>
              <c:ext xmlns:c16="http://schemas.microsoft.com/office/drawing/2014/chart" uri="{C3380CC4-5D6E-409C-BE32-E72D297353CC}">
                <c16:uniqueId val="{00000013-1D1F-8942-8452-E3D2B6B5B46F}"/>
              </c:ext>
            </c:extLst>
          </c:dPt>
          <c:dPt>
            <c:idx val="10"/>
            <c:bubble3D val="0"/>
            <c:spPr>
              <a:gradFill rotWithShape="1">
                <a:gsLst>
                  <a:gs pos="0">
                    <a:schemeClr val="accent5">
                      <a:lumMod val="60000"/>
                      <a:lumMod val="110000"/>
                      <a:satMod val="105000"/>
                      <a:tint val="67000"/>
                    </a:schemeClr>
                  </a:gs>
                  <a:gs pos="50000">
                    <a:schemeClr val="accent5">
                      <a:lumMod val="60000"/>
                      <a:lumMod val="105000"/>
                      <a:satMod val="103000"/>
                      <a:tint val="73000"/>
                    </a:schemeClr>
                  </a:gs>
                  <a:gs pos="100000">
                    <a:schemeClr val="accent5">
                      <a:lumMod val="60000"/>
                      <a:lumMod val="105000"/>
                      <a:satMod val="109000"/>
                      <a:tint val="81000"/>
                    </a:schemeClr>
                  </a:gs>
                </a:gsLst>
                <a:lin ang="5400000" scaled="0"/>
              </a:gradFill>
              <a:ln w="9525" cap="flat" cmpd="sng" algn="ctr">
                <a:solidFill>
                  <a:schemeClr val="accent5">
                    <a:lumMod val="60000"/>
                    <a:shade val="95000"/>
                  </a:schemeClr>
                </a:solidFill>
                <a:round/>
              </a:ln>
              <a:effectLst/>
            </c:spPr>
            <c:extLst>
              <c:ext xmlns:c16="http://schemas.microsoft.com/office/drawing/2014/chart" uri="{C3380CC4-5D6E-409C-BE32-E72D297353CC}">
                <c16:uniqueId val="{00000015-1D1F-8942-8452-E3D2B6B5B46F}"/>
              </c:ext>
            </c:extLst>
          </c:dPt>
          <c:dPt>
            <c:idx val="11"/>
            <c:bubble3D val="0"/>
            <c:spPr>
              <a:gradFill rotWithShape="1">
                <a:gsLst>
                  <a:gs pos="0">
                    <a:schemeClr val="accent6">
                      <a:lumMod val="60000"/>
                      <a:lumMod val="110000"/>
                      <a:satMod val="105000"/>
                      <a:tint val="67000"/>
                    </a:schemeClr>
                  </a:gs>
                  <a:gs pos="50000">
                    <a:schemeClr val="accent6">
                      <a:lumMod val="60000"/>
                      <a:lumMod val="105000"/>
                      <a:satMod val="103000"/>
                      <a:tint val="73000"/>
                    </a:schemeClr>
                  </a:gs>
                  <a:gs pos="100000">
                    <a:schemeClr val="accent6">
                      <a:lumMod val="60000"/>
                      <a:lumMod val="105000"/>
                      <a:satMod val="109000"/>
                      <a:tint val="81000"/>
                    </a:schemeClr>
                  </a:gs>
                </a:gsLst>
                <a:lin ang="5400000" scaled="0"/>
              </a:gradFill>
              <a:ln w="9525" cap="flat" cmpd="sng" algn="ctr">
                <a:solidFill>
                  <a:schemeClr val="accent6">
                    <a:lumMod val="60000"/>
                    <a:shade val="95000"/>
                  </a:schemeClr>
                </a:solidFill>
                <a:round/>
              </a:ln>
              <a:effectLst/>
            </c:spPr>
            <c:extLst>
              <c:ext xmlns:c16="http://schemas.microsoft.com/office/drawing/2014/chart" uri="{C3380CC4-5D6E-409C-BE32-E72D297353CC}">
                <c16:uniqueId val="{00000017-1D1F-8942-8452-E3D2B6B5B46F}"/>
              </c:ext>
            </c:extLst>
          </c:dPt>
          <c:dPt>
            <c:idx val="12"/>
            <c:bubble3D val="0"/>
            <c:spPr>
              <a:gradFill rotWithShape="1">
                <a:gsLst>
                  <a:gs pos="0">
                    <a:schemeClr val="accent1">
                      <a:lumMod val="80000"/>
                      <a:lumOff val="20000"/>
                      <a:lumMod val="110000"/>
                      <a:satMod val="105000"/>
                      <a:tint val="67000"/>
                    </a:schemeClr>
                  </a:gs>
                  <a:gs pos="50000">
                    <a:schemeClr val="accent1">
                      <a:lumMod val="80000"/>
                      <a:lumOff val="20000"/>
                      <a:lumMod val="105000"/>
                      <a:satMod val="103000"/>
                      <a:tint val="73000"/>
                    </a:schemeClr>
                  </a:gs>
                  <a:gs pos="100000">
                    <a:schemeClr val="accent1">
                      <a:lumMod val="80000"/>
                      <a:lumOff val="20000"/>
                      <a:lumMod val="105000"/>
                      <a:satMod val="109000"/>
                      <a:tint val="81000"/>
                    </a:schemeClr>
                  </a:gs>
                </a:gsLst>
                <a:lin ang="5400000" scaled="0"/>
              </a:gradFill>
              <a:ln w="9525" cap="flat" cmpd="sng" algn="ctr">
                <a:solidFill>
                  <a:schemeClr val="accent1">
                    <a:lumMod val="80000"/>
                    <a:lumOff val="20000"/>
                    <a:shade val="95000"/>
                  </a:schemeClr>
                </a:solidFill>
                <a:round/>
              </a:ln>
              <a:effectLst/>
            </c:spPr>
            <c:extLst>
              <c:ext xmlns:c16="http://schemas.microsoft.com/office/drawing/2014/chart" uri="{C3380CC4-5D6E-409C-BE32-E72D297353CC}">
                <c16:uniqueId val="{00000019-1D1F-8942-8452-E3D2B6B5B46F}"/>
              </c:ext>
            </c:extLst>
          </c:dPt>
          <c:dPt>
            <c:idx val="13"/>
            <c:bubble3D val="0"/>
            <c:spPr>
              <a:gradFill rotWithShape="1">
                <a:gsLst>
                  <a:gs pos="0">
                    <a:schemeClr val="accent2">
                      <a:lumMod val="80000"/>
                      <a:lumOff val="20000"/>
                      <a:lumMod val="110000"/>
                      <a:satMod val="105000"/>
                      <a:tint val="67000"/>
                    </a:schemeClr>
                  </a:gs>
                  <a:gs pos="50000">
                    <a:schemeClr val="accent2">
                      <a:lumMod val="80000"/>
                      <a:lumOff val="20000"/>
                      <a:lumMod val="105000"/>
                      <a:satMod val="103000"/>
                      <a:tint val="73000"/>
                    </a:schemeClr>
                  </a:gs>
                  <a:gs pos="100000">
                    <a:schemeClr val="accent2">
                      <a:lumMod val="80000"/>
                      <a:lumOff val="20000"/>
                      <a:lumMod val="105000"/>
                      <a:satMod val="109000"/>
                      <a:tint val="81000"/>
                    </a:schemeClr>
                  </a:gs>
                </a:gsLst>
                <a:lin ang="5400000" scaled="0"/>
              </a:gradFill>
              <a:ln w="9525" cap="flat" cmpd="sng" algn="ctr">
                <a:solidFill>
                  <a:schemeClr val="accent2">
                    <a:lumMod val="80000"/>
                    <a:lumOff val="20000"/>
                    <a:shade val="95000"/>
                  </a:schemeClr>
                </a:solidFill>
                <a:round/>
              </a:ln>
              <a:effectLst/>
            </c:spPr>
            <c:extLst>
              <c:ext xmlns:c16="http://schemas.microsoft.com/office/drawing/2014/chart" uri="{C3380CC4-5D6E-409C-BE32-E72D297353CC}">
                <c16:uniqueId val="{0000001B-1D1F-8942-8452-E3D2B6B5B46F}"/>
              </c:ext>
            </c:extLst>
          </c:dPt>
          <c:dPt>
            <c:idx val="14"/>
            <c:bubble3D val="0"/>
            <c:spPr>
              <a:gradFill rotWithShape="1">
                <a:gsLst>
                  <a:gs pos="0">
                    <a:schemeClr val="accent3">
                      <a:lumMod val="80000"/>
                      <a:lumOff val="20000"/>
                      <a:lumMod val="110000"/>
                      <a:satMod val="105000"/>
                      <a:tint val="67000"/>
                    </a:schemeClr>
                  </a:gs>
                  <a:gs pos="50000">
                    <a:schemeClr val="accent3">
                      <a:lumMod val="80000"/>
                      <a:lumOff val="20000"/>
                      <a:lumMod val="105000"/>
                      <a:satMod val="103000"/>
                      <a:tint val="73000"/>
                    </a:schemeClr>
                  </a:gs>
                  <a:gs pos="100000">
                    <a:schemeClr val="accent3">
                      <a:lumMod val="80000"/>
                      <a:lumOff val="20000"/>
                      <a:lumMod val="105000"/>
                      <a:satMod val="109000"/>
                      <a:tint val="81000"/>
                    </a:schemeClr>
                  </a:gs>
                </a:gsLst>
                <a:lin ang="5400000" scaled="0"/>
              </a:gradFill>
              <a:ln w="9525" cap="flat" cmpd="sng" algn="ctr">
                <a:solidFill>
                  <a:schemeClr val="accent3">
                    <a:lumMod val="80000"/>
                    <a:lumOff val="20000"/>
                    <a:shade val="95000"/>
                  </a:schemeClr>
                </a:solidFill>
                <a:round/>
              </a:ln>
              <a:effectLst/>
            </c:spPr>
            <c:extLst>
              <c:ext xmlns:c16="http://schemas.microsoft.com/office/drawing/2014/chart" uri="{C3380CC4-5D6E-409C-BE32-E72D297353CC}">
                <c16:uniqueId val="{0000001D-1D1F-8942-8452-E3D2B6B5B46F}"/>
              </c:ext>
            </c:extLst>
          </c:dPt>
          <c:dPt>
            <c:idx val="15"/>
            <c:bubble3D val="0"/>
            <c:spPr>
              <a:gradFill rotWithShape="1">
                <a:gsLst>
                  <a:gs pos="0">
                    <a:schemeClr val="accent4">
                      <a:lumMod val="80000"/>
                      <a:lumOff val="20000"/>
                      <a:lumMod val="110000"/>
                      <a:satMod val="105000"/>
                      <a:tint val="67000"/>
                    </a:schemeClr>
                  </a:gs>
                  <a:gs pos="50000">
                    <a:schemeClr val="accent4">
                      <a:lumMod val="80000"/>
                      <a:lumOff val="20000"/>
                      <a:lumMod val="105000"/>
                      <a:satMod val="103000"/>
                      <a:tint val="73000"/>
                    </a:schemeClr>
                  </a:gs>
                  <a:gs pos="100000">
                    <a:schemeClr val="accent4">
                      <a:lumMod val="80000"/>
                      <a:lumOff val="20000"/>
                      <a:lumMod val="105000"/>
                      <a:satMod val="109000"/>
                      <a:tint val="81000"/>
                    </a:schemeClr>
                  </a:gs>
                </a:gsLst>
                <a:lin ang="5400000" scaled="0"/>
              </a:gradFill>
              <a:ln w="9525" cap="flat" cmpd="sng" algn="ctr">
                <a:solidFill>
                  <a:schemeClr val="accent4">
                    <a:lumMod val="80000"/>
                    <a:lumOff val="20000"/>
                    <a:shade val="95000"/>
                  </a:schemeClr>
                </a:solidFill>
                <a:round/>
              </a:ln>
              <a:effectLst/>
            </c:spPr>
            <c:extLst>
              <c:ext xmlns:c16="http://schemas.microsoft.com/office/drawing/2014/chart" uri="{C3380CC4-5D6E-409C-BE32-E72D297353CC}">
                <c16:uniqueId val="{0000001F-1D1F-8942-8452-E3D2B6B5B46F}"/>
              </c:ext>
            </c:extLst>
          </c:dPt>
          <c:dPt>
            <c:idx val="16"/>
            <c:bubble3D val="0"/>
            <c:spPr>
              <a:gradFill rotWithShape="1">
                <a:gsLst>
                  <a:gs pos="0">
                    <a:schemeClr val="accent5">
                      <a:lumMod val="80000"/>
                      <a:lumOff val="20000"/>
                      <a:lumMod val="110000"/>
                      <a:satMod val="105000"/>
                      <a:tint val="67000"/>
                    </a:schemeClr>
                  </a:gs>
                  <a:gs pos="50000">
                    <a:schemeClr val="accent5">
                      <a:lumMod val="80000"/>
                      <a:lumOff val="20000"/>
                      <a:lumMod val="105000"/>
                      <a:satMod val="103000"/>
                      <a:tint val="73000"/>
                    </a:schemeClr>
                  </a:gs>
                  <a:gs pos="100000">
                    <a:schemeClr val="accent5">
                      <a:lumMod val="80000"/>
                      <a:lumOff val="20000"/>
                      <a:lumMod val="105000"/>
                      <a:satMod val="109000"/>
                      <a:tint val="81000"/>
                    </a:schemeClr>
                  </a:gs>
                </a:gsLst>
                <a:lin ang="5400000" scaled="0"/>
              </a:gradFill>
              <a:ln w="9525" cap="flat" cmpd="sng" algn="ctr">
                <a:solidFill>
                  <a:schemeClr val="accent5">
                    <a:lumMod val="80000"/>
                    <a:lumOff val="20000"/>
                    <a:shade val="95000"/>
                  </a:schemeClr>
                </a:solidFill>
                <a:round/>
              </a:ln>
              <a:effectLst/>
            </c:spPr>
            <c:extLst>
              <c:ext xmlns:c16="http://schemas.microsoft.com/office/drawing/2014/chart" uri="{C3380CC4-5D6E-409C-BE32-E72D297353CC}">
                <c16:uniqueId val="{00000021-1D1F-8942-8452-E3D2B6B5B46F}"/>
              </c:ext>
            </c:extLst>
          </c:dPt>
          <c:dPt>
            <c:idx val="17"/>
            <c:bubble3D val="0"/>
            <c:spPr>
              <a:gradFill rotWithShape="1">
                <a:gsLst>
                  <a:gs pos="0">
                    <a:schemeClr val="accent6">
                      <a:lumMod val="80000"/>
                      <a:lumOff val="20000"/>
                      <a:lumMod val="110000"/>
                      <a:satMod val="105000"/>
                      <a:tint val="67000"/>
                    </a:schemeClr>
                  </a:gs>
                  <a:gs pos="50000">
                    <a:schemeClr val="accent6">
                      <a:lumMod val="80000"/>
                      <a:lumOff val="20000"/>
                      <a:lumMod val="105000"/>
                      <a:satMod val="103000"/>
                      <a:tint val="73000"/>
                    </a:schemeClr>
                  </a:gs>
                  <a:gs pos="100000">
                    <a:schemeClr val="accent6">
                      <a:lumMod val="80000"/>
                      <a:lumOff val="20000"/>
                      <a:lumMod val="105000"/>
                      <a:satMod val="109000"/>
                      <a:tint val="81000"/>
                    </a:schemeClr>
                  </a:gs>
                </a:gsLst>
                <a:lin ang="5400000" scaled="0"/>
              </a:gradFill>
              <a:ln w="9525" cap="flat" cmpd="sng" algn="ctr">
                <a:solidFill>
                  <a:schemeClr val="accent6">
                    <a:lumMod val="80000"/>
                    <a:lumOff val="20000"/>
                    <a:shade val="95000"/>
                  </a:schemeClr>
                </a:solidFill>
                <a:round/>
              </a:ln>
              <a:effectLst/>
            </c:spPr>
            <c:extLst>
              <c:ext xmlns:c16="http://schemas.microsoft.com/office/drawing/2014/chart" uri="{C3380CC4-5D6E-409C-BE32-E72D297353CC}">
                <c16:uniqueId val="{00000023-1D1F-8942-8452-E3D2B6B5B46F}"/>
              </c:ext>
            </c:extLst>
          </c:dPt>
          <c:dPt>
            <c:idx val="18"/>
            <c:bubble3D val="0"/>
            <c:spPr>
              <a:gradFill rotWithShape="1">
                <a:gsLst>
                  <a:gs pos="0">
                    <a:schemeClr val="accent1">
                      <a:lumMod val="80000"/>
                      <a:lumMod val="110000"/>
                      <a:satMod val="105000"/>
                      <a:tint val="67000"/>
                    </a:schemeClr>
                  </a:gs>
                  <a:gs pos="50000">
                    <a:schemeClr val="accent1">
                      <a:lumMod val="80000"/>
                      <a:lumMod val="105000"/>
                      <a:satMod val="103000"/>
                      <a:tint val="73000"/>
                    </a:schemeClr>
                  </a:gs>
                  <a:gs pos="100000">
                    <a:schemeClr val="accent1">
                      <a:lumMod val="80000"/>
                      <a:lumMod val="105000"/>
                      <a:satMod val="109000"/>
                      <a:tint val="81000"/>
                    </a:schemeClr>
                  </a:gs>
                </a:gsLst>
                <a:lin ang="5400000" scaled="0"/>
              </a:gradFill>
              <a:ln w="9525" cap="flat" cmpd="sng" algn="ctr">
                <a:solidFill>
                  <a:schemeClr val="accent1">
                    <a:lumMod val="80000"/>
                    <a:shade val="95000"/>
                  </a:schemeClr>
                </a:solidFill>
                <a:round/>
              </a:ln>
              <a:effectLst/>
            </c:spPr>
            <c:extLst>
              <c:ext xmlns:c16="http://schemas.microsoft.com/office/drawing/2014/chart" uri="{C3380CC4-5D6E-409C-BE32-E72D297353CC}">
                <c16:uniqueId val="{00000025-1D1F-8942-8452-E3D2B6B5B46F}"/>
              </c:ext>
            </c:extLst>
          </c:dPt>
          <c:dPt>
            <c:idx val="19"/>
            <c:bubble3D val="0"/>
            <c:spPr>
              <a:gradFill rotWithShape="1">
                <a:gsLst>
                  <a:gs pos="0">
                    <a:schemeClr val="accent2">
                      <a:lumMod val="80000"/>
                      <a:lumMod val="110000"/>
                      <a:satMod val="105000"/>
                      <a:tint val="67000"/>
                    </a:schemeClr>
                  </a:gs>
                  <a:gs pos="50000">
                    <a:schemeClr val="accent2">
                      <a:lumMod val="80000"/>
                      <a:lumMod val="105000"/>
                      <a:satMod val="103000"/>
                      <a:tint val="73000"/>
                    </a:schemeClr>
                  </a:gs>
                  <a:gs pos="100000">
                    <a:schemeClr val="accent2">
                      <a:lumMod val="80000"/>
                      <a:lumMod val="105000"/>
                      <a:satMod val="109000"/>
                      <a:tint val="81000"/>
                    </a:schemeClr>
                  </a:gs>
                </a:gsLst>
                <a:lin ang="5400000" scaled="0"/>
              </a:gradFill>
              <a:ln w="9525" cap="flat" cmpd="sng" algn="ctr">
                <a:solidFill>
                  <a:schemeClr val="accent2">
                    <a:lumMod val="80000"/>
                    <a:shade val="95000"/>
                  </a:schemeClr>
                </a:solidFill>
                <a:round/>
              </a:ln>
              <a:effectLst/>
            </c:spPr>
            <c:extLst>
              <c:ext xmlns:c16="http://schemas.microsoft.com/office/drawing/2014/chart" uri="{C3380CC4-5D6E-409C-BE32-E72D297353CC}">
                <c16:uniqueId val="{00000027-1D1F-8942-8452-E3D2B6B5B46F}"/>
              </c:ext>
            </c:extLst>
          </c:dPt>
          <c:dPt>
            <c:idx val="20"/>
            <c:bubble3D val="0"/>
            <c:spPr>
              <a:gradFill rotWithShape="1">
                <a:gsLst>
                  <a:gs pos="0">
                    <a:schemeClr val="accent3">
                      <a:lumMod val="80000"/>
                      <a:lumMod val="110000"/>
                      <a:satMod val="105000"/>
                      <a:tint val="67000"/>
                    </a:schemeClr>
                  </a:gs>
                  <a:gs pos="50000">
                    <a:schemeClr val="accent3">
                      <a:lumMod val="80000"/>
                      <a:lumMod val="105000"/>
                      <a:satMod val="103000"/>
                      <a:tint val="73000"/>
                    </a:schemeClr>
                  </a:gs>
                  <a:gs pos="100000">
                    <a:schemeClr val="accent3">
                      <a:lumMod val="80000"/>
                      <a:lumMod val="105000"/>
                      <a:satMod val="109000"/>
                      <a:tint val="81000"/>
                    </a:schemeClr>
                  </a:gs>
                </a:gsLst>
                <a:lin ang="5400000" scaled="0"/>
              </a:gradFill>
              <a:ln w="9525" cap="flat" cmpd="sng" algn="ctr">
                <a:solidFill>
                  <a:schemeClr val="accent3">
                    <a:lumMod val="80000"/>
                    <a:shade val="95000"/>
                  </a:schemeClr>
                </a:solidFill>
                <a:round/>
              </a:ln>
              <a:effectLst/>
            </c:spPr>
            <c:extLst>
              <c:ext xmlns:c16="http://schemas.microsoft.com/office/drawing/2014/chart" uri="{C3380CC4-5D6E-409C-BE32-E72D297353CC}">
                <c16:uniqueId val="{00000029-1D1F-8942-8452-E3D2B6B5B46F}"/>
              </c:ext>
            </c:extLst>
          </c:dPt>
          <c:dPt>
            <c:idx val="21"/>
            <c:bubble3D val="0"/>
            <c:spPr>
              <a:gradFill rotWithShape="1">
                <a:gsLst>
                  <a:gs pos="0">
                    <a:schemeClr val="accent4">
                      <a:lumMod val="80000"/>
                      <a:lumMod val="110000"/>
                      <a:satMod val="105000"/>
                      <a:tint val="67000"/>
                    </a:schemeClr>
                  </a:gs>
                  <a:gs pos="50000">
                    <a:schemeClr val="accent4">
                      <a:lumMod val="80000"/>
                      <a:lumMod val="105000"/>
                      <a:satMod val="103000"/>
                      <a:tint val="73000"/>
                    </a:schemeClr>
                  </a:gs>
                  <a:gs pos="100000">
                    <a:schemeClr val="accent4">
                      <a:lumMod val="80000"/>
                      <a:lumMod val="105000"/>
                      <a:satMod val="109000"/>
                      <a:tint val="81000"/>
                    </a:schemeClr>
                  </a:gs>
                </a:gsLst>
                <a:lin ang="5400000" scaled="0"/>
              </a:gradFill>
              <a:ln w="9525" cap="flat" cmpd="sng" algn="ctr">
                <a:solidFill>
                  <a:schemeClr val="accent4">
                    <a:lumMod val="80000"/>
                    <a:shade val="95000"/>
                  </a:schemeClr>
                </a:solidFill>
                <a:round/>
              </a:ln>
              <a:effectLst/>
            </c:spPr>
            <c:extLst>
              <c:ext xmlns:c16="http://schemas.microsoft.com/office/drawing/2014/chart" uri="{C3380CC4-5D6E-409C-BE32-E72D297353CC}">
                <c16:uniqueId val="{0000002B-1D1F-8942-8452-E3D2B6B5B46F}"/>
              </c:ext>
            </c:extLst>
          </c:dPt>
          <c:dPt>
            <c:idx val="22"/>
            <c:bubble3D val="0"/>
            <c:spPr>
              <a:gradFill rotWithShape="1">
                <a:gsLst>
                  <a:gs pos="0">
                    <a:schemeClr val="accent5">
                      <a:lumMod val="80000"/>
                      <a:lumMod val="110000"/>
                      <a:satMod val="105000"/>
                      <a:tint val="67000"/>
                    </a:schemeClr>
                  </a:gs>
                  <a:gs pos="50000">
                    <a:schemeClr val="accent5">
                      <a:lumMod val="80000"/>
                      <a:lumMod val="105000"/>
                      <a:satMod val="103000"/>
                      <a:tint val="73000"/>
                    </a:schemeClr>
                  </a:gs>
                  <a:gs pos="100000">
                    <a:schemeClr val="accent5">
                      <a:lumMod val="80000"/>
                      <a:lumMod val="105000"/>
                      <a:satMod val="109000"/>
                      <a:tint val="81000"/>
                    </a:schemeClr>
                  </a:gs>
                </a:gsLst>
                <a:lin ang="5400000" scaled="0"/>
              </a:gradFill>
              <a:ln w="9525" cap="flat" cmpd="sng" algn="ctr">
                <a:solidFill>
                  <a:schemeClr val="accent5">
                    <a:lumMod val="80000"/>
                    <a:shade val="95000"/>
                  </a:schemeClr>
                </a:solidFill>
                <a:round/>
              </a:ln>
              <a:effectLst/>
            </c:spPr>
            <c:extLst>
              <c:ext xmlns:c16="http://schemas.microsoft.com/office/drawing/2014/chart" uri="{C3380CC4-5D6E-409C-BE32-E72D297353CC}">
                <c16:uniqueId val="{0000002D-1D1F-8942-8452-E3D2B6B5B46F}"/>
              </c:ext>
            </c:extLst>
          </c:dPt>
          <c:dPt>
            <c:idx val="23"/>
            <c:bubble3D val="0"/>
            <c:spPr>
              <a:gradFill rotWithShape="1">
                <a:gsLst>
                  <a:gs pos="0">
                    <a:schemeClr val="accent6">
                      <a:lumMod val="80000"/>
                      <a:lumMod val="110000"/>
                      <a:satMod val="105000"/>
                      <a:tint val="67000"/>
                    </a:schemeClr>
                  </a:gs>
                  <a:gs pos="50000">
                    <a:schemeClr val="accent6">
                      <a:lumMod val="80000"/>
                      <a:lumMod val="105000"/>
                      <a:satMod val="103000"/>
                      <a:tint val="73000"/>
                    </a:schemeClr>
                  </a:gs>
                  <a:gs pos="100000">
                    <a:schemeClr val="accent6">
                      <a:lumMod val="80000"/>
                      <a:lumMod val="105000"/>
                      <a:satMod val="109000"/>
                      <a:tint val="81000"/>
                    </a:schemeClr>
                  </a:gs>
                </a:gsLst>
                <a:lin ang="5400000" scaled="0"/>
              </a:gradFill>
              <a:ln w="9525" cap="flat" cmpd="sng" algn="ctr">
                <a:solidFill>
                  <a:schemeClr val="accent6">
                    <a:lumMod val="80000"/>
                    <a:shade val="95000"/>
                  </a:schemeClr>
                </a:solidFill>
                <a:round/>
              </a:ln>
              <a:effectLst/>
            </c:spPr>
            <c:extLst>
              <c:ext xmlns:c16="http://schemas.microsoft.com/office/drawing/2014/chart" uri="{C3380CC4-5D6E-409C-BE32-E72D297353CC}">
                <c16:uniqueId val="{0000002F-1D1F-8942-8452-E3D2B6B5B46F}"/>
              </c:ext>
            </c:extLst>
          </c:dPt>
          <c:dPt>
            <c:idx val="24"/>
            <c:bubble3D val="0"/>
            <c:spPr>
              <a:gradFill rotWithShape="1">
                <a:gsLst>
                  <a:gs pos="0">
                    <a:schemeClr val="accent1">
                      <a:lumMod val="60000"/>
                      <a:lumOff val="40000"/>
                      <a:lumMod val="110000"/>
                      <a:satMod val="105000"/>
                      <a:tint val="67000"/>
                    </a:schemeClr>
                  </a:gs>
                  <a:gs pos="50000">
                    <a:schemeClr val="accent1">
                      <a:lumMod val="60000"/>
                      <a:lumOff val="40000"/>
                      <a:lumMod val="105000"/>
                      <a:satMod val="103000"/>
                      <a:tint val="73000"/>
                    </a:schemeClr>
                  </a:gs>
                  <a:gs pos="100000">
                    <a:schemeClr val="accent1">
                      <a:lumMod val="60000"/>
                      <a:lumOff val="40000"/>
                      <a:lumMod val="105000"/>
                      <a:satMod val="109000"/>
                      <a:tint val="81000"/>
                    </a:schemeClr>
                  </a:gs>
                </a:gsLst>
                <a:lin ang="5400000" scaled="0"/>
              </a:gradFill>
              <a:ln w="9525" cap="flat" cmpd="sng" algn="ctr">
                <a:solidFill>
                  <a:schemeClr val="accent1">
                    <a:lumMod val="60000"/>
                    <a:lumOff val="40000"/>
                    <a:shade val="95000"/>
                  </a:schemeClr>
                </a:solidFill>
                <a:round/>
              </a:ln>
              <a:effectLst/>
            </c:spPr>
            <c:extLst>
              <c:ext xmlns:c16="http://schemas.microsoft.com/office/drawing/2014/chart" uri="{C3380CC4-5D6E-409C-BE32-E72D297353CC}">
                <c16:uniqueId val="{00000031-1D1F-8942-8452-E3D2B6B5B46F}"/>
              </c:ext>
            </c:extLst>
          </c:dPt>
          <c:dPt>
            <c:idx val="25"/>
            <c:bubble3D val="0"/>
            <c:spPr>
              <a:gradFill rotWithShape="1">
                <a:gsLst>
                  <a:gs pos="0">
                    <a:schemeClr val="accent2">
                      <a:lumMod val="60000"/>
                      <a:lumOff val="40000"/>
                      <a:lumMod val="110000"/>
                      <a:satMod val="105000"/>
                      <a:tint val="67000"/>
                    </a:schemeClr>
                  </a:gs>
                  <a:gs pos="50000">
                    <a:schemeClr val="accent2">
                      <a:lumMod val="60000"/>
                      <a:lumOff val="40000"/>
                      <a:lumMod val="105000"/>
                      <a:satMod val="103000"/>
                      <a:tint val="73000"/>
                    </a:schemeClr>
                  </a:gs>
                  <a:gs pos="100000">
                    <a:schemeClr val="accent2">
                      <a:lumMod val="60000"/>
                      <a:lumOff val="40000"/>
                      <a:lumMod val="105000"/>
                      <a:satMod val="109000"/>
                      <a:tint val="81000"/>
                    </a:schemeClr>
                  </a:gs>
                </a:gsLst>
                <a:lin ang="5400000" scaled="0"/>
              </a:gradFill>
              <a:ln w="9525" cap="flat" cmpd="sng" algn="ctr">
                <a:solidFill>
                  <a:schemeClr val="accent2">
                    <a:lumMod val="60000"/>
                    <a:lumOff val="40000"/>
                    <a:shade val="95000"/>
                  </a:schemeClr>
                </a:solidFill>
                <a:round/>
              </a:ln>
              <a:effectLst/>
            </c:spPr>
            <c:extLst>
              <c:ext xmlns:c16="http://schemas.microsoft.com/office/drawing/2014/chart" uri="{C3380CC4-5D6E-409C-BE32-E72D297353CC}">
                <c16:uniqueId val="{00000033-1D1F-8942-8452-E3D2B6B5B46F}"/>
              </c:ext>
            </c:extLst>
          </c:dPt>
          <c:dPt>
            <c:idx val="26"/>
            <c:bubble3D val="0"/>
            <c:spPr>
              <a:gradFill rotWithShape="1">
                <a:gsLst>
                  <a:gs pos="0">
                    <a:schemeClr val="accent3">
                      <a:lumMod val="60000"/>
                      <a:lumOff val="40000"/>
                      <a:lumMod val="110000"/>
                      <a:satMod val="105000"/>
                      <a:tint val="67000"/>
                    </a:schemeClr>
                  </a:gs>
                  <a:gs pos="50000">
                    <a:schemeClr val="accent3">
                      <a:lumMod val="60000"/>
                      <a:lumOff val="40000"/>
                      <a:lumMod val="105000"/>
                      <a:satMod val="103000"/>
                      <a:tint val="73000"/>
                    </a:schemeClr>
                  </a:gs>
                  <a:gs pos="100000">
                    <a:schemeClr val="accent3">
                      <a:lumMod val="60000"/>
                      <a:lumOff val="40000"/>
                      <a:lumMod val="105000"/>
                      <a:satMod val="109000"/>
                      <a:tint val="81000"/>
                    </a:schemeClr>
                  </a:gs>
                </a:gsLst>
                <a:lin ang="5400000" scaled="0"/>
              </a:gradFill>
              <a:ln w="9525" cap="flat" cmpd="sng" algn="ctr">
                <a:solidFill>
                  <a:schemeClr val="accent3">
                    <a:lumMod val="60000"/>
                    <a:lumOff val="40000"/>
                    <a:shade val="95000"/>
                  </a:schemeClr>
                </a:solidFill>
                <a:round/>
              </a:ln>
              <a:effectLst/>
            </c:spPr>
            <c:extLst>
              <c:ext xmlns:c16="http://schemas.microsoft.com/office/drawing/2014/chart" uri="{C3380CC4-5D6E-409C-BE32-E72D297353CC}">
                <c16:uniqueId val="{00000035-1D1F-8942-8452-E3D2B6B5B46F}"/>
              </c:ext>
            </c:extLst>
          </c:dPt>
          <c:dPt>
            <c:idx val="27"/>
            <c:bubble3D val="0"/>
            <c:spPr>
              <a:gradFill rotWithShape="1">
                <a:gsLst>
                  <a:gs pos="0">
                    <a:schemeClr val="accent4">
                      <a:lumMod val="60000"/>
                      <a:lumOff val="40000"/>
                      <a:lumMod val="110000"/>
                      <a:satMod val="105000"/>
                      <a:tint val="67000"/>
                    </a:schemeClr>
                  </a:gs>
                  <a:gs pos="50000">
                    <a:schemeClr val="accent4">
                      <a:lumMod val="60000"/>
                      <a:lumOff val="40000"/>
                      <a:lumMod val="105000"/>
                      <a:satMod val="103000"/>
                      <a:tint val="73000"/>
                    </a:schemeClr>
                  </a:gs>
                  <a:gs pos="100000">
                    <a:schemeClr val="accent4">
                      <a:lumMod val="60000"/>
                      <a:lumOff val="40000"/>
                      <a:lumMod val="105000"/>
                      <a:satMod val="109000"/>
                      <a:tint val="81000"/>
                    </a:schemeClr>
                  </a:gs>
                </a:gsLst>
                <a:lin ang="5400000" scaled="0"/>
              </a:gradFill>
              <a:ln w="9525" cap="flat" cmpd="sng" algn="ctr">
                <a:solidFill>
                  <a:schemeClr val="accent4">
                    <a:lumMod val="60000"/>
                    <a:lumOff val="40000"/>
                    <a:shade val="95000"/>
                  </a:schemeClr>
                </a:solidFill>
                <a:round/>
              </a:ln>
              <a:effectLst/>
            </c:spPr>
            <c:extLst>
              <c:ext xmlns:c16="http://schemas.microsoft.com/office/drawing/2014/chart" uri="{C3380CC4-5D6E-409C-BE32-E72D297353CC}">
                <c16:uniqueId val="{00000037-1D1F-8942-8452-E3D2B6B5B46F}"/>
              </c:ext>
            </c:extLst>
          </c:dPt>
          <c:dLbls>
            <c:dLbl>
              <c:idx val="1"/>
              <c:layout>
                <c:manualLayout>
                  <c:x val="-0.1388338560945751"/>
                  <c:y val="8.2957750616993772E-2"/>
                </c:manualLayout>
              </c:layout>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D1F-8942-8452-E3D2B6B5B46F}"/>
                </c:ext>
              </c:extLst>
            </c:dLbl>
            <c:dLbl>
              <c:idx val="2"/>
              <c:layout>
                <c:manualLayout>
                  <c:x val="-0.11499521908887424"/>
                  <c:y val="-5.5873780702785286E-2"/>
                </c:manualLayout>
              </c:layout>
              <c:showLegendKey val="0"/>
              <c:showVal val="0"/>
              <c:showCatName val="1"/>
              <c:showSerName val="0"/>
              <c:showPercent val="0"/>
              <c:showBubbleSize val="0"/>
              <c:extLst>
                <c:ext xmlns:c15="http://schemas.microsoft.com/office/drawing/2012/chart" uri="{CE6537A1-D6FC-4f65-9D91-7224C49458BB}">
                  <c15:layout>
                    <c:manualLayout>
                      <c:w val="0.28167446003117347"/>
                      <c:h val="0.13395348837209303"/>
                    </c:manualLayout>
                  </c15:layout>
                </c:ext>
                <c:ext xmlns:c16="http://schemas.microsoft.com/office/drawing/2014/chart" uri="{C3380CC4-5D6E-409C-BE32-E72D297353CC}">
                  <c16:uniqueId val="{00000005-1D1F-8942-8452-E3D2B6B5B46F}"/>
                </c:ext>
              </c:extLst>
            </c:dLbl>
            <c:dLbl>
              <c:idx val="8"/>
              <c:layout>
                <c:manualLayout>
                  <c:x val="3.173873045078197E-3"/>
                  <c:y val="2.0274709131507817E-2"/>
                </c:manualLayout>
              </c:layout>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1-1D1F-8942-8452-E3D2B6B5B46F}"/>
                </c:ext>
              </c:extLst>
            </c:dLbl>
            <c:dLbl>
              <c:idx val="11"/>
              <c:layout>
                <c:manualLayout>
                  <c:x val="0.11499540018399264"/>
                  <c:y val="0.10571703490421906"/>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65000"/>
                          <a:lumOff val="35000"/>
                        </a:schemeClr>
                      </a:solidFill>
                      <a:latin typeface="+mn-lt"/>
                      <a:ea typeface="+mn-ea"/>
                      <a:cs typeface="+mn-cs"/>
                    </a:defRPr>
                  </a:pPr>
                  <a:endParaRPr lang="en-US"/>
                </a:p>
              </c:txPr>
              <c:showLegendKey val="0"/>
              <c:showVal val="0"/>
              <c:showCatName val="1"/>
              <c:showSerName val="0"/>
              <c:showPercent val="0"/>
              <c:showBubbleSize val="0"/>
              <c:extLst>
                <c:ext xmlns:c15="http://schemas.microsoft.com/office/drawing/2012/chart" uri="{CE6537A1-D6FC-4f65-9D91-7224C49458BB}">
                  <c15:layout>
                    <c:manualLayout>
                      <c:w val="0.28501447339122687"/>
                      <c:h val="0.11069767441860465"/>
                    </c:manualLayout>
                  </c15:layout>
                </c:ext>
                <c:ext xmlns:c16="http://schemas.microsoft.com/office/drawing/2014/chart" uri="{C3380CC4-5D6E-409C-BE32-E72D297353CC}">
                  <c16:uniqueId val="{00000017-1D1F-8942-8452-E3D2B6B5B46F}"/>
                </c:ext>
              </c:extLst>
            </c:dLbl>
            <c:dLbl>
              <c:idx val="12"/>
              <c:layout>
                <c:manualLayout>
                  <c:x val="-7.476693058261924E-2"/>
                  <c:y val="5.2903102597249972E-2"/>
                </c:manualLayout>
              </c:layout>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9-1D1F-8942-8452-E3D2B6B5B46F}"/>
                </c:ext>
              </c:extLst>
            </c:dLbl>
            <c:dLbl>
              <c:idx val="16"/>
              <c:layout>
                <c:manualLayout>
                  <c:x val="-0.22862479988989418"/>
                  <c:y val="-4.7650722764132097E-2"/>
                </c:manualLayout>
              </c:layout>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21-1D1F-8942-8452-E3D2B6B5B46F}"/>
                </c:ext>
              </c:extLst>
            </c:dLbl>
            <c:dLbl>
              <c:idx val="22"/>
              <c:layout>
                <c:manualLayout>
                  <c:x val="0.19549218031278748"/>
                  <c:y val="1.9633329415912563E-2"/>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65000"/>
                          <a:lumOff val="35000"/>
                        </a:schemeClr>
                      </a:solidFill>
                      <a:latin typeface="+mn-lt"/>
                      <a:ea typeface="+mn-ea"/>
                      <a:cs typeface="+mn-cs"/>
                    </a:defRPr>
                  </a:pPr>
                  <a:endParaRPr lang="en-US"/>
                </a:p>
              </c:txPr>
              <c:showLegendKey val="0"/>
              <c:showVal val="0"/>
              <c:showCatName val="1"/>
              <c:showSerName val="0"/>
              <c:showPercent val="0"/>
              <c:showBubbleSize val="0"/>
              <c:extLst>
                <c:ext xmlns:c15="http://schemas.microsoft.com/office/drawing/2012/chart" uri="{CE6537A1-D6FC-4f65-9D91-7224C49458BB}">
                  <c15:layout>
                    <c:manualLayout>
                      <c:w val="0.30818767249310025"/>
                      <c:h val="0.13712686567164178"/>
                    </c:manualLayout>
                  </c15:layout>
                </c:ext>
                <c:ext xmlns:c16="http://schemas.microsoft.com/office/drawing/2014/chart" uri="{C3380CC4-5D6E-409C-BE32-E72D297353CC}">
                  <c16:uniqueId val="{0000002D-1D1F-8942-8452-E3D2B6B5B46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showLegendKey val="0"/>
            <c:showVal val="0"/>
            <c:showCatName val="1"/>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Sheet1!$J$2:$J$29</c:f>
              <c:strCache>
                <c:ptCount val="28"/>
                <c:pt idx="0">
                  <c:v>USA</c:v>
                </c:pt>
                <c:pt idx="1">
                  <c:v>World Bank</c:v>
                </c:pt>
                <c:pt idx="2">
                  <c:v>Netherlands</c:v>
                </c:pt>
                <c:pt idx="3">
                  <c:v>Japan</c:v>
                </c:pt>
                <c:pt idx="4">
                  <c:v>Saudi Arabia</c:v>
                </c:pt>
                <c:pt idx="5">
                  <c:v>Germany</c:v>
                </c:pt>
                <c:pt idx="6">
                  <c:v>France</c:v>
                </c:pt>
                <c:pt idx="7">
                  <c:v>Canada</c:v>
                </c:pt>
                <c:pt idx="8">
                  <c:v>United Kingdom</c:v>
                </c:pt>
                <c:pt idx="9">
                  <c:v>Kuwait</c:v>
                </c:pt>
                <c:pt idx="10">
                  <c:v>Belgium</c:v>
                </c:pt>
                <c:pt idx="11">
                  <c:v>Switzerland</c:v>
                </c:pt>
                <c:pt idx="12">
                  <c:v>UNDP</c:v>
                </c:pt>
                <c:pt idx="13">
                  <c:v>Norway</c:v>
                </c:pt>
                <c:pt idx="14">
                  <c:v>AFDB</c:v>
                </c:pt>
                <c:pt idx="15">
                  <c:v>Ivory Coast</c:v>
                </c:pt>
                <c:pt idx="16">
                  <c:v>OPEC Fund</c:v>
                </c:pt>
                <c:pt idx="17">
                  <c:v>EEC</c:v>
                </c:pt>
                <c:pt idx="18">
                  <c:v>Italy</c:v>
                </c:pt>
                <c:pt idx="19">
                  <c:v>WHO</c:v>
                </c:pt>
                <c:pt idx="20">
                  <c:v>Luxembourgh</c:v>
                </c:pt>
                <c:pt idx="21">
                  <c:v>Finland</c:v>
                </c:pt>
                <c:pt idx="22">
                  <c:v>Al Sabah Foundation</c:v>
                </c:pt>
                <c:pt idx="23">
                  <c:v>Gulbenkian Fdn</c:v>
                </c:pt>
                <c:pt idx="24">
                  <c:v>Portugal</c:v>
                </c:pt>
                <c:pt idx="25">
                  <c:v>Korea</c:v>
                </c:pt>
                <c:pt idx="26">
                  <c:v>Denmark</c:v>
                </c:pt>
                <c:pt idx="27">
                  <c:v>Iraq</c:v>
                </c:pt>
              </c:strCache>
            </c:strRef>
          </c:cat>
          <c:val>
            <c:numRef>
              <c:f>Sheet1!$L$2:$L$29</c:f>
              <c:numCache>
                <c:formatCode>General</c:formatCode>
                <c:ptCount val="28"/>
                <c:pt idx="0">
                  <c:v>13500000</c:v>
                </c:pt>
                <c:pt idx="1">
                  <c:v>12500000</c:v>
                </c:pt>
                <c:pt idx="2">
                  <c:v>11300000</c:v>
                </c:pt>
                <c:pt idx="3">
                  <c:v>10600000</c:v>
                </c:pt>
                <c:pt idx="4">
                  <c:v>9700000</c:v>
                </c:pt>
                <c:pt idx="5">
                  <c:v>4900000</c:v>
                </c:pt>
                <c:pt idx="6">
                  <c:v>4800000</c:v>
                </c:pt>
                <c:pt idx="7">
                  <c:v>5500000</c:v>
                </c:pt>
                <c:pt idx="8">
                  <c:v>3900000</c:v>
                </c:pt>
                <c:pt idx="9">
                  <c:v>7500000</c:v>
                </c:pt>
                <c:pt idx="10">
                  <c:v>3500000</c:v>
                </c:pt>
                <c:pt idx="11">
                  <c:v>7500000</c:v>
                </c:pt>
                <c:pt idx="12">
                  <c:v>3900000</c:v>
                </c:pt>
                <c:pt idx="13">
                  <c:v>3100000</c:v>
                </c:pt>
                <c:pt idx="14">
                  <c:v>2000000</c:v>
                </c:pt>
                <c:pt idx="16">
                  <c:v>2000000</c:v>
                </c:pt>
                <c:pt idx="19">
                  <c:v>1500000</c:v>
                </c:pt>
                <c:pt idx="22">
                  <c:v>100000</c:v>
                </c:pt>
              </c:numCache>
            </c:numRef>
          </c:val>
          <c:extLst>
            <c:ext xmlns:c16="http://schemas.microsoft.com/office/drawing/2014/chart" uri="{C3380CC4-5D6E-409C-BE32-E72D297353CC}">
              <c16:uniqueId val="{00000038-1D1F-8942-8452-E3D2B6B5B46F}"/>
            </c:ext>
          </c:extLst>
        </c:ser>
        <c:dLbls>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cap="none" spc="20" baseline="0">
                <a:solidFill>
                  <a:schemeClr val="tx1">
                    <a:lumMod val="50000"/>
                    <a:lumOff val="50000"/>
                  </a:schemeClr>
                </a:solidFill>
                <a:latin typeface="+mn-lt"/>
                <a:ea typeface="+mn-ea"/>
                <a:cs typeface="+mn-cs"/>
              </a:defRPr>
            </a:pPr>
            <a:r>
              <a:rPr lang="en-US" sz="1100"/>
              <a:t>Phase III (1986-1991)</a:t>
            </a:r>
          </a:p>
        </c:rich>
      </c:tx>
      <c:overlay val="0"/>
      <c:spPr>
        <a:noFill/>
        <a:ln>
          <a:noFill/>
        </a:ln>
        <a:effectLst/>
      </c:spPr>
      <c:txPr>
        <a:bodyPr rot="0" spcFirstLastPara="1" vertOverflow="ellipsis" vert="horz" wrap="square" anchor="ctr" anchorCtr="1"/>
        <a:lstStyle/>
        <a:p>
          <a:pPr>
            <a:defRPr sz="11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B3E3-9F44-9CB5-70233AFB83BD}"/>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B3E3-9F44-9CB5-70233AFB83BD}"/>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B3E3-9F44-9CB5-70233AFB83BD}"/>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B3E3-9F44-9CB5-70233AFB83BD}"/>
              </c:ext>
            </c:extLst>
          </c:dPt>
          <c:dPt>
            <c:idx val="4"/>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extLst>
              <c:ext xmlns:c16="http://schemas.microsoft.com/office/drawing/2014/chart" uri="{C3380CC4-5D6E-409C-BE32-E72D297353CC}">
                <c16:uniqueId val="{00000009-B3E3-9F44-9CB5-70233AFB83BD}"/>
              </c:ext>
            </c:extLst>
          </c:dPt>
          <c:dPt>
            <c:idx val="5"/>
            <c:bubble3D val="0"/>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extLst>
              <c:ext xmlns:c16="http://schemas.microsoft.com/office/drawing/2014/chart" uri="{C3380CC4-5D6E-409C-BE32-E72D297353CC}">
                <c16:uniqueId val="{0000000B-B3E3-9F44-9CB5-70233AFB83BD}"/>
              </c:ext>
            </c:extLst>
          </c:dPt>
          <c:dPt>
            <c:idx val="6"/>
            <c:bubble3D val="0"/>
            <c:spPr>
              <a:gradFill rotWithShape="1">
                <a:gsLst>
                  <a:gs pos="0">
                    <a:schemeClr val="accent1">
                      <a:lumMod val="60000"/>
                      <a:lumMod val="110000"/>
                      <a:satMod val="105000"/>
                      <a:tint val="67000"/>
                    </a:schemeClr>
                  </a:gs>
                  <a:gs pos="50000">
                    <a:schemeClr val="accent1">
                      <a:lumMod val="60000"/>
                      <a:lumMod val="105000"/>
                      <a:satMod val="103000"/>
                      <a:tint val="73000"/>
                    </a:schemeClr>
                  </a:gs>
                  <a:gs pos="100000">
                    <a:schemeClr val="accent1">
                      <a:lumMod val="60000"/>
                      <a:lumMod val="105000"/>
                      <a:satMod val="109000"/>
                      <a:tint val="81000"/>
                    </a:schemeClr>
                  </a:gs>
                </a:gsLst>
                <a:lin ang="5400000" scaled="0"/>
              </a:gradFill>
              <a:ln w="9525" cap="flat" cmpd="sng" algn="ctr">
                <a:solidFill>
                  <a:schemeClr val="accent1">
                    <a:lumMod val="60000"/>
                    <a:shade val="95000"/>
                  </a:schemeClr>
                </a:solidFill>
                <a:round/>
              </a:ln>
              <a:effectLst/>
            </c:spPr>
            <c:extLst>
              <c:ext xmlns:c16="http://schemas.microsoft.com/office/drawing/2014/chart" uri="{C3380CC4-5D6E-409C-BE32-E72D297353CC}">
                <c16:uniqueId val="{0000000D-B3E3-9F44-9CB5-70233AFB83BD}"/>
              </c:ext>
            </c:extLst>
          </c:dPt>
          <c:dPt>
            <c:idx val="7"/>
            <c:bubble3D val="0"/>
            <c:spPr>
              <a:gradFill rotWithShape="1">
                <a:gsLst>
                  <a:gs pos="0">
                    <a:schemeClr val="accent2">
                      <a:lumMod val="60000"/>
                      <a:lumMod val="110000"/>
                      <a:satMod val="105000"/>
                      <a:tint val="67000"/>
                    </a:schemeClr>
                  </a:gs>
                  <a:gs pos="50000">
                    <a:schemeClr val="accent2">
                      <a:lumMod val="60000"/>
                      <a:lumMod val="105000"/>
                      <a:satMod val="103000"/>
                      <a:tint val="73000"/>
                    </a:schemeClr>
                  </a:gs>
                  <a:gs pos="100000">
                    <a:schemeClr val="accent2">
                      <a:lumMod val="60000"/>
                      <a:lumMod val="105000"/>
                      <a:satMod val="109000"/>
                      <a:tint val="81000"/>
                    </a:schemeClr>
                  </a:gs>
                </a:gsLst>
                <a:lin ang="5400000" scaled="0"/>
              </a:gradFill>
              <a:ln w="9525" cap="flat" cmpd="sng" algn="ctr">
                <a:solidFill>
                  <a:schemeClr val="accent2">
                    <a:lumMod val="60000"/>
                    <a:shade val="95000"/>
                  </a:schemeClr>
                </a:solidFill>
                <a:round/>
              </a:ln>
              <a:effectLst/>
            </c:spPr>
            <c:extLst>
              <c:ext xmlns:c16="http://schemas.microsoft.com/office/drawing/2014/chart" uri="{C3380CC4-5D6E-409C-BE32-E72D297353CC}">
                <c16:uniqueId val="{0000000F-B3E3-9F44-9CB5-70233AFB83BD}"/>
              </c:ext>
            </c:extLst>
          </c:dPt>
          <c:dPt>
            <c:idx val="8"/>
            <c:bubble3D val="0"/>
            <c:spPr>
              <a:gradFill rotWithShape="1">
                <a:gsLst>
                  <a:gs pos="0">
                    <a:schemeClr val="accent3">
                      <a:lumMod val="60000"/>
                      <a:lumMod val="110000"/>
                      <a:satMod val="105000"/>
                      <a:tint val="67000"/>
                    </a:schemeClr>
                  </a:gs>
                  <a:gs pos="50000">
                    <a:schemeClr val="accent3">
                      <a:lumMod val="60000"/>
                      <a:lumMod val="105000"/>
                      <a:satMod val="103000"/>
                      <a:tint val="73000"/>
                    </a:schemeClr>
                  </a:gs>
                  <a:gs pos="100000">
                    <a:schemeClr val="accent3">
                      <a:lumMod val="60000"/>
                      <a:lumMod val="105000"/>
                      <a:satMod val="109000"/>
                      <a:tint val="81000"/>
                    </a:schemeClr>
                  </a:gs>
                </a:gsLst>
                <a:lin ang="5400000" scaled="0"/>
              </a:gradFill>
              <a:ln w="9525" cap="flat" cmpd="sng" algn="ctr">
                <a:solidFill>
                  <a:schemeClr val="accent3">
                    <a:lumMod val="60000"/>
                    <a:shade val="95000"/>
                  </a:schemeClr>
                </a:solidFill>
                <a:round/>
              </a:ln>
              <a:effectLst/>
            </c:spPr>
            <c:extLst>
              <c:ext xmlns:c16="http://schemas.microsoft.com/office/drawing/2014/chart" uri="{C3380CC4-5D6E-409C-BE32-E72D297353CC}">
                <c16:uniqueId val="{00000011-B3E3-9F44-9CB5-70233AFB83BD}"/>
              </c:ext>
            </c:extLst>
          </c:dPt>
          <c:dPt>
            <c:idx val="9"/>
            <c:bubble3D val="0"/>
            <c:spPr>
              <a:gradFill rotWithShape="1">
                <a:gsLst>
                  <a:gs pos="0">
                    <a:schemeClr val="accent4">
                      <a:lumMod val="60000"/>
                      <a:lumMod val="110000"/>
                      <a:satMod val="105000"/>
                      <a:tint val="67000"/>
                    </a:schemeClr>
                  </a:gs>
                  <a:gs pos="50000">
                    <a:schemeClr val="accent4">
                      <a:lumMod val="60000"/>
                      <a:lumMod val="105000"/>
                      <a:satMod val="103000"/>
                      <a:tint val="73000"/>
                    </a:schemeClr>
                  </a:gs>
                  <a:gs pos="100000">
                    <a:schemeClr val="accent4">
                      <a:lumMod val="60000"/>
                      <a:lumMod val="105000"/>
                      <a:satMod val="109000"/>
                      <a:tint val="81000"/>
                    </a:schemeClr>
                  </a:gs>
                </a:gsLst>
                <a:lin ang="5400000" scaled="0"/>
              </a:gradFill>
              <a:ln w="9525" cap="flat" cmpd="sng" algn="ctr">
                <a:solidFill>
                  <a:schemeClr val="accent4">
                    <a:lumMod val="60000"/>
                    <a:shade val="95000"/>
                  </a:schemeClr>
                </a:solidFill>
                <a:round/>
              </a:ln>
              <a:effectLst/>
            </c:spPr>
            <c:extLst>
              <c:ext xmlns:c16="http://schemas.microsoft.com/office/drawing/2014/chart" uri="{C3380CC4-5D6E-409C-BE32-E72D297353CC}">
                <c16:uniqueId val="{00000013-B3E3-9F44-9CB5-70233AFB83BD}"/>
              </c:ext>
            </c:extLst>
          </c:dPt>
          <c:dPt>
            <c:idx val="10"/>
            <c:bubble3D val="0"/>
            <c:spPr>
              <a:gradFill rotWithShape="1">
                <a:gsLst>
                  <a:gs pos="0">
                    <a:schemeClr val="accent5">
                      <a:lumMod val="60000"/>
                      <a:lumMod val="110000"/>
                      <a:satMod val="105000"/>
                      <a:tint val="67000"/>
                    </a:schemeClr>
                  </a:gs>
                  <a:gs pos="50000">
                    <a:schemeClr val="accent5">
                      <a:lumMod val="60000"/>
                      <a:lumMod val="105000"/>
                      <a:satMod val="103000"/>
                      <a:tint val="73000"/>
                    </a:schemeClr>
                  </a:gs>
                  <a:gs pos="100000">
                    <a:schemeClr val="accent5">
                      <a:lumMod val="60000"/>
                      <a:lumMod val="105000"/>
                      <a:satMod val="109000"/>
                      <a:tint val="81000"/>
                    </a:schemeClr>
                  </a:gs>
                </a:gsLst>
                <a:lin ang="5400000" scaled="0"/>
              </a:gradFill>
              <a:ln w="9525" cap="flat" cmpd="sng" algn="ctr">
                <a:solidFill>
                  <a:schemeClr val="accent5">
                    <a:lumMod val="60000"/>
                    <a:shade val="95000"/>
                  </a:schemeClr>
                </a:solidFill>
                <a:round/>
              </a:ln>
              <a:effectLst/>
            </c:spPr>
            <c:extLst>
              <c:ext xmlns:c16="http://schemas.microsoft.com/office/drawing/2014/chart" uri="{C3380CC4-5D6E-409C-BE32-E72D297353CC}">
                <c16:uniqueId val="{00000015-B3E3-9F44-9CB5-70233AFB83BD}"/>
              </c:ext>
            </c:extLst>
          </c:dPt>
          <c:dPt>
            <c:idx val="11"/>
            <c:bubble3D val="0"/>
            <c:spPr>
              <a:gradFill rotWithShape="1">
                <a:gsLst>
                  <a:gs pos="0">
                    <a:schemeClr val="accent6">
                      <a:lumMod val="60000"/>
                      <a:lumMod val="110000"/>
                      <a:satMod val="105000"/>
                      <a:tint val="67000"/>
                    </a:schemeClr>
                  </a:gs>
                  <a:gs pos="50000">
                    <a:schemeClr val="accent6">
                      <a:lumMod val="60000"/>
                      <a:lumMod val="105000"/>
                      <a:satMod val="103000"/>
                      <a:tint val="73000"/>
                    </a:schemeClr>
                  </a:gs>
                  <a:gs pos="100000">
                    <a:schemeClr val="accent6">
                      <a:lumMod val="60000"/>
                      <a:lumMod val="105000"/>
                      <a:satMod val="109000"/>
                      <a:tint val="81000"/>
                    </a:schemeClr>
                  </a:gs>
                </a:gsLst>
                <a:lin ang="5400000" scaled="0"/>
              </a:gradFill>
              <a:ln w="9525" cap="flat" cmpd="sng" algn="ctr">
                <a:solidFill>
                  <a:schemeClr val="accent6">
                    <a:lumMod val="60000"/>
                    <a:shade val="95000"/>
                  </a:schemeClr>
                </a:solidFill>
                <a:round/>
              </a:ln>
              <a:effectLst/>
            </c:spPr>
            <c:extLst>
              <c:ext xmlns:c16="http://schemas.microsoft.com/office/drawing/2014/chart" uri="{C3380CC4-5D6E-409C-BE32-E72D297353CC}">
                <c16:uniqueId val="{00000017-B3E3-9F44-9CB5-70233AFB83BD}"/>
              </c:ext>
            </c:extLst>
          </c:dPt>
          <c:dPt>
            <c:idx val="12"/>
            <c:bubble3D val="0"/>
            <c:spPr>
              <a:gradFill rotWithShape="1">
                <a:gsLst>
                  <a:gs pos="0">
                    <a:schemeClr val="accent1">
                      <a:lumMod val="80000"/>
                      <a:lumOff val="20000"/>
                      <a:lumMod val="110000"/>
                      <a:satMod val="105000"/>
                      <a:tint val="67000"/>
                    </a:schemeClr>
                  </a:gs>
                  <a:gs pos="50000">
                    <a:schemeClr val="accent1">
                      <a:lumMod val="80000"/>
                      <a:lumOff val="20000"/>
                      <a:lumMod val="105000"/>
                      <a:satMod val="103000"/>
                      <a:tint val="73000"/>
                    </a:schemeClr>
                  </a:gs>
                  <a:gs pos="100000">
                    <a:schemeClr val="accent1">
                      <a:lumMod val="80000"/>
                      <a:lumOff val="20000"/>
                      <a:lumMod val="105000"/>
                      <a:satMod val="109000"/>
                      <a:tint val="81000"/>
                    </a:schemeClr>
                  </a:gs>
                </a:gsLst>
                <a:lin ang="5400000" scaled="0"/>
              </a:gradFill>
              <a:ln w="9525" cap="flat" cmpd="sng" algn="ctr">
                <a:solidFill>
                  <a:schemeClr val="accent1">
                    <a:lumMod val="80000"/>
                    <a:lumOff val="20000"/>
                    <a:shade val="95000"/>
                  </a:schemeClr>
                </a:solidFill>
                <a:round/>
              </a:ln>
              <a:effectLst/>
            </c:spPr>
            <c:extLst>
              <c:ext xmlns:c16="http://schemas.microsoft.com/office/drawing/2014/chart" uri="{C3380CC4-5D6E-409C-BE32-E72D297353CC}">
                <c16:uniqueId val="{00000019-B3E3-9F44-9CB5-70233AFB83BD}"/>
              </c:ext>
            </c:extLst>
          </c:dPt>
          <c:dPt>
            <c:idx val="13"/>
            <c:bubble3D val="0"/>
            <c:spPr>
              <a:gradFill rotWithShape="1">
                <a:gsLst>
                  <a:gs pos="0">
                    <a:schemeClr val="accent2">
                      <a:lumMod val="80000"/>
                      <a:lumOff val="20000"/>
                      <a:lumMod val="110000"/>
                      <a:satMod val="105000"/>
                      <a:tint val="67000"/>
                    </a:schemeClr>
                  </a:gs>
                  <a:gs pos="50000">
                    <a:schemeClr val="accent2">
                      <a:lumMod val="80000"/>
                      <a:lumOff val="20000"/>
                      <a:lumMod val="105000"/>
                      <a:satMod val="103000"/>
                      <a:tint val="73000"/>
                    </a:schemeClr>
                  </a:gs>
                  <a:gs pos="100000">
                    <a:schemeClr val="accent2">
                      <a:lumMod val="80000"/>
                      <a:lumOff val="20000"/>
                      <a:lumMod val="105000"/>
                      <a:satMod val="109000"/>
                      <a:tint val="81000"/>
                    </a:schemeClr>
                  </a:gs>
                </a:gsLst>
                <a:lin ang="5400000" scaled="0"/>
              </a:gradFill>
              <a:ln w="9525" cap="flat" cmpd="sng" algn="ctr">
                <a:solidFill>
                  <a:schemeClr val="accent2">
                    <a:lumMod val="80000"/>
                    <a:lumOff val="20000"/>
                    <a:shade val="95000"/>
                  </a:schemeClr>
                </a:solidFill>
                <a:round/>
              </a:ln>
              <a:effectLst/>
            </c:spPr>
            <c:extLst>
              <c:ext xmlns:c16="http://schemas.microsoft.com/office/drawing/2014/chart" uri="{C3380CC4-5D6E-409C-BE32-E72D297353CC}">
                <c16:uniqueId val="{0000001B-B3E3-9F44-9CB5-70233AFB83BD}"/>
              </c:ext>
            </c:extLst>
          </c:dPt>
          <c:dPt>
            <c:idx val="14"/>
            <c:bubble3D val="0"/>
            <c:spPr>
              <a:gradFill rotWithShape="1">
                <a:gsLst>
                  <a:gs pos="0">
                    <a:schemeClr val="accent3">
                      <a:lumMod val="80000"/>
                      <a:lumOff val="20000"/>
                      <a:lumMod val="110000"/>
                      <a:satMod val="105000"/>
                      <a:tint val="67000"/>
                    </a:schemeClr>
                  </a:gs>
                  <a:gs pos="50000">
                    <a:schemeClr val="accent3">
                      <a:lumMod val="80000"/>
                      <a:lumOff val="20000"/>
                      <a:lumMod val="105000"/>
                      <a:satMod val="103000"/>
                      <a:tint val="73000"/>
                    </a:schemeClr>
                  </a:gs>
                  <a:gs pos="100000">
                    <a:schemeClr val="accent3">
                      <a:lumMod val="80000"/>
                      <a:lumOff val="20000"/>
                      <a:lumMod val="105000"/>
                      <a:satMod val="109000"/>
                      <a:tint val="81000"/>
                    </a:schemeClr>
                  </a:gs>
                </a:gsLst>
                <a:lin ang="5400000" scaled="0"/>
              </a:gradFill>
              <a:ln w="9525" cap="flat" cmpd="sng" algn="ctr">
                <a:solidFill>
                  <a:schemeClr val="accent3">
                    <a:lumMod val="80000"/>
                    <a:lumOff val="20000"/>
                    <a:shade val="95000"/>
                  </a:schemeClr>
                </a:solidFill>
                <a:round/>
              </a:ln>
              <a:effectLst/>
            </c:spPr>
            <c:extLst>
              <c:ext xmlns:c16="http://schemas.microsoft.com/office/drawing/2014/chart" uri="{C3380CC4-5D6E-409C-BE32-E72D297353CC}">
                <c16:uniqueId val="{0000001D-B3E3-9F44-9CB5-70233AFB83BD}"/>
              </c:ext>
            </c:extLst>
          </c:dPt>
          <c:dPt>
            <c:idx val="15"/>
            <c:bubble3D val="0"/>
            <c:spPr>
              <a:gradFill rotWithShape="1">
                <a:gsLst>
                  <a:gs pos="0">
                    <a:schemeClr val="accent4">
                      <a:lumMod val="80000"/>
                      <a:lumOff val="20000"/>
                      <a:lumMod val="110000"/>
                      <a:satMod val="105000"/>
                      <a:tint val="67000"/>
                    </a:schemeClr>
                  </a:gs>
                  <a:gs pos="50000">
                    <a:schemeClr val="accent4">
                      <a:lumMod val="80000"/>
                      <a:lumOff val="20000"/>
                      <a:lumMod val="105000"/>
                      <a:satMod val="103000"/>
                      <a:tint val="73000"/>
                    </a:schemeClr>
                  </a:gs>
                  <a:gs pos="100000">
                    <a:schemeClr val="accent4">
                      <a:lumMod val="80000"/>
                      <a:lumOff val="20000"/>
                      <a:lumMod val="105000"/>
                      <a:satMod val="109000"/>
                      <a:tint val="81000"/>
                    </a:schemeClr>
                  </a:gs>
                </a:gsLst>
                <a:lin ang="5400000" scaled="0"/>
              </a:gradFill>
              <a:ln w="9525" cap="flat" cmpd="sng" algn="ctr">
                <a:solidFill>
                  <a:schemeClr val="accent4">
                    <a:lumMod val="80000"/>
                    <a:lumOff val="20000"/>
                    <a:shade val="95000"/>
                  </a:schemeClr>
                </a:solidFill>
                <a:round/>
              </a:ln>
              <a:effectLst/>
            </c:spPr>
            <c:extLst>
              <c:ext xmlns:c16="http://schemas.microsoft.com/office/drawing/2014/chart" uri="{C3380CC4-5D6E-409C-BE32-E72D297353CC}">
                <c16:uniqueId val="{0000001F-B3E3-9F44-9CB5-70233AFB83BD}"/>
              </c:ext>
            </c:extLst>
          </c:dPt>
          <c:dPt>
            <c:idx val="16"/>
            <c:bubble3D val="0"/>
            <c:spPr>
              <a:gradFill rotWithShape="1">
                <a:gsLst>
                  <a:gs pos="0">
                    <a:schemeClr val="accent5">
                      <a:lumMod val="80000"/>
                      <a:lumOff val="20000"/>
                      <a:lumMod val="110000"/>
                      <a:satMod val="105000"/>
                      <a:tint val="67000"/>
                    </a:schemeClr>
                  </a:gs>
                  <a:gs pos="50000">
                    <a:schemeClr val="accent5">
                      <a:lumMod val="80000"/>
                      <a:lumOff val="20000"/>
                      <a:lumMod val="105000"/>
                      <a:satMod val="103000"/>
                      <a:tint val="73000"/>
                    </a:schemeClr>
                  </a:gs>
                  <a:gs pos="100000">
                    <a:schemeClr val="accent5">
                      <a:lumMod val="80000"/>
                      <a:lumOff val="20000"/>
                      <a:lumMod val="105000"/>
                      <a:satMod val="109000"/>
                      <a:tint val="81000"/>
                    </a:schemeClr>
                  </a:gs>
                </a:gsLst>
                <a:lin ang="5400000" scaled="0"/>
              </a:gradFill>
              <a:ln w="9525" cap="flat" cmpd="sng" algn="ctr">
                <a:solidFill>
                  <a:schemeClr val="accent5">
                    <a:lumMod val="80000"/>
                    <a:lumOff val="20000"/>
                    <a:shade val="95000"/>
                  </a:schemeClr>
                </a:solidFill>
                <a:round/>
              </a:ln>
              <a:effectLst/>
            </c:spPr>
            <c:extLst>
              <c:ext xmlns:c16="http://schemas.microsoft.com/office/drawing/2014/chart" uri="{C3380CC4-5D6E-409C-BE32-E72D297353CC}">
                <c16:uniqueId val="{00000021-B3E3-9F44-9CB5-70233AFB83BD}"/>
              </c:ext>
            </c:extLst>
          </c:dPt>
          <c:dPt>
            <c:idx val="17"/>
            <c:bubble3D val="0"/>
            <c:spPr>
              <a:gradFill rotWithShape="1">
                <a:gsLst>
                  <a:gs pos="0">
                    <a:schemeClr val="accent6">
                      <a:lumMod val="80000"/>
                      <a:lumOff val="20000"/>
                      <a:lumMod val="110000"/>
                      <a:satMod val="105000"/>
                      <a:tint val="67000"/>
                    </a:schemeClr>
                  </a:gs>
                  <a:gs pos="50000">
                    <a:schemeClr val="accent6">
                      <a:lumMod val="80000"/>
                      <a:lumOff val="20000"/>
                      <a:lumMod val="105000"/>
                      <a:satMod val="103000"/>
                      <a:tint val="73000"/>
                    </a:schemeClr>
                  </a:gs>
                  <a:gs pos="100000">
                    <a:schemeClr val="accent6">
                      <a:lumMod val="80000"/>
                      <a:lumOff val="20000"/>
                      <a:lumMod val="105000"/>
                      <a:satMod val="109000"/>
                      <a:tint val="81000"/>
                    </a:schemeClr>
                  </a:gs>
                </a:gsLst>
                <a:lin ang="5400000" scaled="0"/>
              </a:gradFill>
              <a:ln w="9525" cap="flat" cmpd="sng" algn="ctr">
                <a:solidFill>
                  <a:schemeClr val="accent6">
                    <a:lumMod val="80000"/>
                    <a:lumOff val="20000"/>
                    <a:shade val="95000"/>
                  </a:schemeClr>
                </a:solidFill>
                <a:round/>
              </a:ln>
              <a:effectLst/>
            </c:spPr>
            <c:extLst>
              <c:ext xmlns:c16="http://schemas.microsoft.com/office/drawing/2014/chart" uri="{C3380CC4-5D6E-409C-BE32-E72D297353CC}">
                <c16:uniqueId val="{00000023-B3E3-9F44-9CB5-70233AFB83BD}"/>
              </c:ext>
            </c:extLst>
          </c:dPt>
          <c:dPt>
            <c:idx val="18"/>
            <c:bubble3D val="0"/>
            <c:spPr>
              <a:gradFill rotWithShape="1">
                <a:gsLst>
                  <a:gs pos="0">
                    <a:schemeClr val="accent1">
                      <a:lumMod val="80000"/>
                      <a:lumMod val="110000"/>
                      <a:satMod val="105000"/>
                      <a:tint val="67000"/>
                    </a:schemeClr>
                  </a:gs>
                  <a:gs pos="50000">
                    <a:schemeClr val="accent1">
                      <a:lumMod val="80000"/>
                      <a:lumMod val="105000"/>
                      <a:satMod val="103000"/>
                      <a:tint val="73000"/>
                    </a:schemeClr>
                  </a:gs>
                  <a:gs pos="100000">
                    <a:schemeClr val="accent1">
                      <a:lumMod val="80000"/>
                      <a:lumMod val="105000"/>
                      <a:satMod val="109000"/>
                      <a:tint val="81000"/>
                    </a:schemeClr>
                  </a:gs>
                </a:gsLst>
                <a:lin ang="5400000" scaled="0"/>
              </a:gradFill>
              <a:ln w="9525" cap="flat" cmpd="sng" algn="ctr">
                <a:solidFill>
                  <a:schemeClr val="accent1">
                    <a:lumMod val="80000"/>
                    <a:shade val="95000"/>
                  </a:schemeClr>
                </a:solidFill>
                <a:round/>
              </a:ln>
              <a:effectLst/>
            </c:spPr>
            <c:extLst>
              <c:ext xmlns:c16="http://schemas.microsoft.com/office/drawing/2014/chart" uri="{C3380CC4-5D6E-409C-BE32-E72D297353CC}">
                <c16:uniqueId val="{00000025-B3E3-9F44-9CB5-70233AFB83BD}"/>
              </c:ext>
            </c:extLst>
          </c:dPt>
          <c:dPt>
            <c:idx val="19"/>
            <c:bubble3D val="0"/>
            <c:spPr>
              <a:gradFill rotWithShape="1">
                <a:gsLst>
                  <a:gs pos="0">
                    <a:schemeClr val="accent2">
                      <a:lumMod val="80000"/>
                      <a:lumMod val="110000"/>
                      <a:satMod val="105000"/>
                      <a:tint val="67000"/>
                    </a:schemeClr>
                  </a:gs>
                  <a:gs pos="50000">
                    <a:schemeClr val="accent2">
                      <a:lumMod val="80000"/>
                      <a:lumMod val="105000"/>
                      <a:satMod val="103000"/>
                      <a:tint val="73000"/>
                    </a:schemeClr>
                  </a:gs>
                  <a:gs pos="100000">
                    <a:schemeClr val="accent2">
                      <a:lumMod val="80000"/>
                      <a:lumMod val="105000"/>
                      <a:satMod val="109000"/>
                      <a:tint val="81000"/>
                    </a:schemeClr>
                  </a:gs>
                </a:gsLst>
                <a:lin ang="5400000" scaled="0"/>
              </a:gradFill>
              <a:ln w="9525" cap="flat" cmpd="sng" algn="ctr">
                <a:solidFill>
                  <a:schemeClr val="accent2">
                    <a:lumMod val="80000"/>
                    <a:shade val="95000"/>
                  </a:schemeClr>
                </a:solidFill>
                <a:round/>
              </a:ln>
              <a:effectLst/>
            </c:spPr>
            <c:extLst>
              <c:ext xmlns:c16="http://schemas.microsoft.com/office/drawing/2014/chart" uri="{C3380CC4-5D6E-409C-BE32-E72D297353CC}">
                <c16:uniqueId val="{00000027-B3E3-9F44-9CB5-70233AFB83BD}"/>
              </c:ext>
            </c:extLst>
          </c:dPt>
          <c:dPt>
            <c:idx val="20"/>
            <c:bubble3D val="0"/>
            <c:spPr>
              <a:gradFill rotWithShape="1">
                <a:gsLst>
                  <a:gs pos="0">
                    <a:schemeClr val="accent3">
                      <a:lumMod val="80000"/>
                      <a:lumMod val="110000"/>
                      <a:satMod val="105000"/>
                      <a:tint val="67000"/>
                    </a:schemeClr>
                  </a:gs>
                  <a:gs pos="50000">
                    <a:schemeClr val="accent3">
                      <a:lumMod val="80000"/>
                      <a:lumMod val="105000"/>
                      <a:satMod val="103000"/>
                      <a:tint val="73000"/>
                    </a:schemeClr>
                  </a:gs>
                  <a:gs pos="100000">
                    <a:schemeClr val="accent3">
                      <a:lumMod val="80000"/>
                      <a:lumMod val="105000"/>
                      <a:satMod val="109000"/>
                      <a:tint val="81000"/>
                    </a:schemeClr>
                  </a:gs>
                </a:gsLst>
                <a:lin ang="5400000" scaled="0"/>
              </a:gradFill>
              <a:ln w="9525" cap="flat" cmpd="sng" algn="ctr">
                <a:solidFill>
                  <a:schemeClr val="accent3">
                    <a:lumMod val="80000"/>
                    <a:shade val="95000"/>
                  </a:schemeClr>
                </a:solidFill>
                <a:round/>
              </a:ln>
              <a:effectLst/>
            </c:spPr>
            <c:extLst>
              <c:ext xmlns:c16="http://schemas.microsoft.com/office/drawing/2014/chart" uri="{C3380CC4-5D6E-409C-BE32-E72D297353CC}">
                <c16:uniqueId val="{00000029-B3E3-9F44-9CB5-70233AFB83BD}"/>
              </c:ext>
            </c:extLst>
          </c:dPt>
          <c:dPt>
            <c:idx val="21"/>
            <c:bubble3D val="0"/>
            <c:spPr>
              <a:gradFill rotWithShape="1">
                <a:gsLst>
                  <a:gs pos="0">
                    <a:schemeClr val="accent4">
                      <a:lumMod val="80000"/>
                      <a:lumMod val="110000"/>
                      <a:satMod val="105000"/>
                      <a:tint val="67000"/>
                    </a:schemeClr>
                  </a:gs>
                  <a:gs pos="50000">
                    <a:schemeClr val="accent4">
                      <a:lumMod val="80000"/>
                      <a:lumMod val="105000"/>
                      <a:satMod val="103000"/>
                      <a:tint val="73000"/>
                    </a:schemeClr>
                  </a:gs>
                  <a:gs pos="100000">
                    <a:schemeClr val="accent4">
                      <a:lumMod val="80000"/>
                      <a:lumMod val="105000"/>
                      <a:satMod val="109000"/>
                      <a:tint val="81000"/>
                    </a:schemeClr>
                  </a:gs>
                </a:gsLst>
                <a:lin ang="5400000" scaled="0"/>
              </a:gradFill>
              <a:ln w="9525" cap="flat" cmpd="sng" algn="ctr">
                <a:solidFill>
                  <a:schemeClr val="accent4">
                    <a:lumMod val="80000"/>
                    <a:shade val="95000"/>
                  </a:schemeClr>
                </a:solidFill>
                <a:round/>
              </a:ln>
              <a:effectLst/>
            </c:spPr>
            <c:extLst>
              <c:ext xmlns:c16="http://schemas.microsoft.com/office/drawing/2014/chart" uri="{C3380CC4-5D6E-409C-BE32-E72D297353CC}">
                <c16:uniqueId val="{0000002B-B3E3-9F44-9CB5-70233AFB83BD}"/>
              </c:ext>
            </c:extLst>
          </c:dPt>
          <c:dPt>
            <c:idx val="22"/>
            <c:bubble3D val="0"/>
            <c:spPr>
              <a:gradFill rotWithShape="1">
                <a:gsLst>
                  <a:gs pos="0">
                    <a:schemeClr val="accent5">
                      <a:lumMod val="80000"/>
                      <a:lumMod val="110000"/>
                      <a:satMod val="105000"/>
                      <a:tint val="67000"/>
                    </a:schemeClr>
                  </a:gs>
                  <a:gs pos="50000">
                    <a:schemeClr val="accent5">
                      <a:lumMod val="80000"/>
                      <a:lumMod val="105000"/>
                      <a:satMod val="103000"/>
                      <a:tint val="73000"/>
                    </a:schemeClr>
                  </a:gs>
                  <a:gs pos="100000">
                    <a:schemeClr val="accent5">
                      <a:lumMod val="80000"/>
                      <a:lumMod val="105000"/>
                      <a:satMod val="109000"/>
                      <a:tint val="81000"/>
                    </a:schemeClr>
                  </a:gs>
                </a:gsLst>
                <a:lin ang="5400000" scaled="0"/>
              </a:gradFill>
              <a:ln w="9525" cap="flat" cmpd="sng" algn="ctr">
                <a:solidFill>
                  <a:schemeClr val="accent5">
                    <a:lumMod val="80000"/>
                    <a:shade val="95000"/>
                  </a:schemeClr>
                </a:solidFill>
                <a:round/>
              </a:ln>
              <a:effectLst/>
            </c:spPr>
            <c:extLst>
              <c:ext xmlns:c16="http://schemas.microsoft.com/office/drawing/2014/chart" uri="{C3380CC4-5D6E-409C-BE32-E72D297353CC}">
                <c16:uniqueId val="{0000002D-B3E3-9F44-9CB5-70233AFB83BD}"/>
              </c:ext>
            </c:extLst>
          </c:dPt>
          <c:dPt>
            <c:idx val="23"/>
            <c:bubble3D val="0"/>
            <c:spPr>
              <a:gradFill rotWithShape="1">
                <a:gsLst>
                  <a:gs pos="0">
                    <a:schemeClr val="accent6">
                      <a:lumMod val="80000"/>
                      <a:lumMod val="110000"/>
                      <a:satMod val="105000"/>
                      <a:tint val="67000"/>
                    </a:schemeClr>
                  </a:gs>
                  <a:gs pos="50000">
                    <a:schemeClr val="accent6">
                      <a:lumMod val="80000"/>
                      <a:lumMod val="105000"/>
                      <a:satMod val="103000"/>
                      <a:tint val="73000"/>
                    </a:schemeClr>
                  </a:gs>
                  <a:gs pos="100000">
                    <a:schemeClr val="accent6">
                      <a:lumMod val="80000"/>
                      <a:lumMod val="105000"/>
                      <a:satMod val="109000"/>
                      <a:tint val="81000"/>
                    </a:schemeClr>
                  </a:gs>
                </a:gsLst>
                <a:lin ang="5400000" scaled="0"/>
              </a:gradFill>
              <a:ln w="9525" cap="flat" cmpd="sng" algn="ctr">
                <a:solidFill>
                  <a:schemeClr val="accent6">
                    <a:lumMod val="80000"/>
                    <a:shade val="95000"/>
                  </a:schemeClr>
                </a:solidFill>
                <a:round/>
              </a:ln>
              <a:effectLst/>
            </c:spPr>
            <c:extLst>
              <c:ext xmlns:c16="http://schemas.microsoft.com/office/drawing/2014/chart" uri="{C3380CC4-5D6E-409C-BE32-E72D297353CC}">
                <c16:uniqueId val="{0000002F-B3E3-9F44-9CB5-70233AFB83BD}"/>
              </c:ext>
            </c:extLst>
          </c:dPt>
          <c:dPt>
            <c:idx val="24"/>
            <c:bubble3D val="0"/>
            <c:spPr>
              <a:gradFill rotWithShape="1">
                <a:gsLst>
                  <a:gs pos="0">
                    <a:schemeClr val="accent1">
                      <a:lumMod val="60000"/>
                      <a:lumOff val="40000"/>
                      <a:lumMod val="110000"/>
                      <a:satMod val="105000"/>
                      <a:tint val="67000"/>
                    </a:schemeClr>
                  </a:gs>
                  <a:gs pos="50000">
                    <a:schemeClr val="accent1">
                      <a:lumMod val="60000"/>
                      <a:lumOff val="40000"/>
                      <a:lumMod val="105000"/>
                      <a:satMod val="103000"/>
                      <a:tint val="73000"/>
                    </a:schemeClr>
                  </a:gs>
                  <a:gs pos="100000">
                    <a:schemeClr val="accent1">
                      <a:lumMod val="60000"/>
                      <a:lumOff val="40000"/>
                      <a:lumMod val="105000"/>
                      <a:satMod val="109000"/>
                      <a:tint val="81000"/>
                    </a:schemeClr>
                  </a:gs>
                </a:gsLst>
                <a:lin ang="5400000" scaled="0"/>
              </a:gradFill>
              <a:ln w="9525" cap="flat" cmpd="sng" algn="ctr">
                <a:solidFill>
                  <a:schemeClr val="accent1">
                    <a:lumMod val="60000"/>
                    <a:lumOff val="40000"/>
                    <a:shade val="95000"/>
                  </a:schemeClr>
                </a:solidFill>
                <a:round/>
              </a:ln>
              <a:effectLst/>
            </c:spPr>
            <c:extLst>
              <c:ext xmlns:c16="http://schemas.microsoft.com/office/drawing/2014/chart" uri="{C3380CC4-5D6E-409C-BE32-E72D297353CC}">
                <c16:uniqueId val="{00000031-B3E3-9F44-9CB5-70233AFB83BD}"/>
              </c:ext>
            </c:extLst>
          </c:dPt>
          <c:dPt>
            <c:idx val="25"/>
            <c:bubble3D val="0"/>
            <c:spPr>
              <a:gradFill rotWithShape="1">
                <a:gsLst>
                  <a:gs pos="0">
                    <a:schemeClr val="accent2">
                      <a:lumMod val="60000"/>
                      <a:lumOff val="40000"/>
                      <a:lumMod val="110000"/>
                      <a:satMod val="105000"/>
                      <a:tint val="67000"/>
                    </a:schemeClr>
                  </a:gs>
                  <a:gs pos="50000">
                    <a:schemeClr val="accent2">
                      <a:lumMod val="60000"/>
                      <a:lumOff val="40000"/>
                      <a:lumMod val="105000"/>
                      <a:satMod val="103000"/>
                      <a:tint val="73000"/>
                    </a:schemeClr>
                  </a:gs>
                  <a:gs pos="100000">
                    <a:schemeClr val="accent2">
                      <a:lumMod val="60000"/>
                      <a:lumOff val="40000"/>
                      <a:lumMod val="105000"/>
                      <a:satMod val="109000"/>
                      <a:tint val="81000"/>
                    </a:schemeClr>
                  </a:gs>
                </a:gsLst>
                <a:lin ang="5400000" scaled="0"/>
              </a:gradFill>
              <a:ln w="9525" cap="flat" cmpd="sng" algn="ctr">
                <a:solidFill>
                  <a:schemeClr val="accent2">
                    <a:lumMod val="60000"/>
                    <a:lumOff val="40000"/>
                    <a:shade val="95000"/>
                  </a:schemeClr>
                </a:solidFill>
                <a:round/>
              </a:ln>
              <a:effectLst/>
            </c:spPr>
            <c:extLst>
              <c:ext xmlns:c16="http://schemas.microsoft.com/office/drawing/2014/chart" uri="{C3380CC4-5D6E-409C-BE32-E72D297353CC}">
                <c16:uniqueId val="{00000033-B3E3-9F44-9CB5-70233AFB83BD}"/>
              </c:ext>
            </c:extLst>
          </c:dPt>
          <c:dPt>
            <c:idx val="26"/>
            <c:bubble3D val="0"/>
            <c:spPr>
              <a:gradFill rotWithShape="1">
                <a:gsLst>
                  <a:gs pos="0">
                    <a:schemeClr val="accent3">
                      <a:lumMod val="60000"/>
                      <a:lumOff val="40000"/>
                      <a:lumMod val="110000"/>
                      <a:satMod val="105000"/>
                      <a:tint val="67000"/>
                    </a:schemeClr>
                  </a:gs>
                  <a:gs pos="50000">
                    <a:schemeClr val="accent3">
                      <a:lumMod val="60000"/>
                      <a:lumOff val="40000"/>
                      <a:lumMod val="105000"/>
                      <a:satMod val="103000"/>
                      <a:tint val="73000"/>
                    </a:schemeClr>
                  </a:gs>
                  <a:gs pos="100000">
                    <a:schemeClr val="accent3">
                      <a:lumMod val="60000"/>
                      <a:lumOff val="40000"/>
                      <a:lumMod val="105000"/>
                      <a:satMod val="109000"/>
                      <a:tint val="81000"/>
                    </a:schemeClr>
                  </a:gs>
                </a:gsLst>
                <a:lin ang="5400000" scaled="0"/>
              </a:gradFill>
              <a:ln w="9525" cap="flat" cmpd="sng" algn="ctr">
                <a:solidFill>
                  <a:schemeClr val="accent3">
                    <a:lumMod val="60000"/>
                    <a:lumOff val="40000"/>
                    <a:shade val="95000"/>
                  </a:schemeClr>
                </a:solidFill>
                <a:round/>
              </a:ln>
              <a:effectLst/>
            </c:spPr>
            <c:extLst>
              <c:ext xmlns:c16="http://schemas.microsoft.com/office/drawing/2014/chart" uri="{C3380CC4-5D6E-409C-BE32-E72D297353CC}">
                <c16:uniqueId val="{00000035-B3E3-9F44-9CB5-70233AFB83BD}"/>
              </c:ext>
            </c:extLst>
          </c:dPt>
          <c:dPt>
            <c:idx val="27"/>
            <c:bubble3D val="0"/>
            <c:spPr>
              <a:gradFill rotWithShape="1">
                <a:gsLst>
                  <a:gs pos="0">
                    <a:schemeClr val="accent4">
                      <a:lumMod val="60000"/>
                      <a:lumOff val="40000"/>
                      <a:lumMod val="110000"/>
                      <a:satMod val="105000"/>
                      <a:tint val="67000"/>
                    </a:schemeClr>
                  </a:gs>
                  <a:gs pos="50000">
                    <a:schemeClr val="accent4">
                      <a:lumMod val="60000"/>
                      <a:lumOff val="40000"/>
                      <a:lumMod val="105000"/>
                      <a:satMod val="103000"/>
                      <a:tint val="73000"/>
                    </a:schemeClr>
                  </a:gs>
                  <a:gs pos="100000">
                    <a:schemeClr val="accent4">
                      <a:lumMod val="60000"/>
                      <a:lumOff val="40000"/>
                      <a:lumMod val="105000"/>
                      <a:satMod val="109000"/>
                      <a:tint val="81000"/>
                    </a:schemeClr>
                  </a:gs>
                </a:gsLst>
                <a:lin ang="5400000" scaled="0"/>
              </a:gradFill>
              <a:ln w="9525" cap="flat" cmpd="sng" algn="ctr">
                <a:solidFill>
                  <a:schemeClr val="accent4">
                    <a:lumMod val="60000"/>
                    <a:lumOff val="40000"/>
                    <a:shade val="95000"/>
                  </a:schemeClr>
                </a:solidFill>
                <a:round/>
              </a:ln>
              <a:effectLst/>
            </c:spPr>
            <c:extLst>
              <c:ext xmlns:c16="http://schemas.microsoft.com/office/drawing/2014/chart" uri="{C3380CC4-5D6E-409C-BE32-E72D297353CC}">
                <c16:uniqueId val="{00000037-B3E3-9F44-9CB5-70233AFB83BD}"/>
              </c:ext>
            </c:extLst>
          </c:dPt>
          <c:dLbls>
            <c:dLbl>
              <c:idx val="1"/>
              <c:layout>
                <c:manualLayout>
                  <c:x val="-0.16381510932985896"/>
                  <c:y val="8.3461107090650646E-2"/>
                </c:manualLayout>
              </c:layout>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3E3-9F44-9CB5-70233AFB83BD}"/>
                </c:ext>
              </c:extLst>
            </c:dLbl>
            <c:dLbl>
              <c:idx val="2"/>
              <c:layout>
                <c:manualLayout>
                  <c:x val="-1.7985611510791366E-2"/>
                  <c:y val="-2.355631031291356E-2"/>
                </c:manualLayout>
              </c:layout>
              <c:showLegendKey val="0"/>
              <c:showVal val="0"/>
              <c:showCatName val="1"/>
              <c:showSerName val="0"/>
              <c:showPercent val="0"/>
              <c:showBubbleSize val="0"/>
              <c:extLst>
                <c:ext xmlns:c15="http://schemas.microsoft.com/office/drawing/2012/chart" uri="{CE6537A1-D6FC-4f65-9D91-7224C49458BB}">
                  <c15:layout>
                    <c:manualLayout>
                      <c:w val="0.27990107913669066"/>
                      <c:h val="9.0626144269498346E-2"/>
                    </c:manualLayout>
                  </c15:layout>
                </c:ext>
                <c:ext xmlns:c16="http://schemas.microsoft.com/office/drawing/2014/chart" uri="{C3380CC4-5D6E-409C-BE32-E72D297353CC}">
                  <c16:uniqueId val="{00000005-B3E3-9F44-9CB5-70233AFB83BD}"/>
                </c:ext>
              </c:extLst>
            </c:dLbl>
            <c:dLbl>
              <c:idx val="10"/>
              <c:layout>
                <c:manualLayout>
                  <c:x val="1.0657453936348409E-2"/>
                  <c:y val="-8.068475791475271E-3"/>
                </c:manualLayout>
              </c:layout>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5-B3E3-9F44-9CB5-70233AFB83BD}"/>
                </c:ext>
              </c:extLst>
            </c:dLbl>
            <c:dLbl>
              <c:idx val="20"/>
              <c:layout>
                <c:manualLayout>
                  <c:x val="-0.25179299780213027"/>
                  <c:y val="-6.728992823546745E-2"/>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65000"/>
                          <a:lumOff val="35000"/>
                        </a:schemeClr>
                      </a:solidFill>
                      <a:latin typeface="+mn-lt"/>
                      <a:ea typeface="+mn-ea"/>
                      <a:cs typeface="+mn-cs"/>
                    </a:defRPr>
                  </a:pPr>
                  <a:endParaRPr lang="en-US"/>
                </a:p>
              </c:txPr>
              <c:showLegendKey val="0"/>
              <c:showVal val="0"/>
              <c:showCatName val="1"/>
              <c:showSerName val="0"/>
              <c:showPercent val="0"/>
              <c:showBubbleSize val="0"/>
              <c:extLst>
                <c:ext xmlns:c15="http://schemas.microsoft.com/office/drawing/2012/chart" uri="{CE6537A1-D6FC-4f65-9D91-7224C49458BB}">
                  <c15:layout>
                    <c:manualLayout>
                      <c:w val="0.27584758964481954"/>
                      <c:h val="0.10371961468932092"/>
                    </c:manualLayout>
                  </c15:layout>
                </c:ext>
                <c:ext xmlns:c16="http://schemas.microsoft.com/office/drawing/2014/chart" uri="{C3380CC4-5D6E-409C-BE32-E72D297353CC}">
                  <c16:uniqueId val="{00000029-B3E3-9F44-9CB5-70233AFB83BD}"/>
                </c:ext>
              </c:extLst>
            </c:dLbl>
            <c:dLbl>
              <c:idx val="23"/>
              <c:layout>
                <c:manualLayout>
                  <c:x val="0.11011301195264253"/>
                  <c:y val="-5.4359828968650978E-2"/>
                </c:manualLayout>
              </c:layout>
              <c:showLegendKey val="0"/>
              <c:showVal val="0"/>
              <c:showCatName val="1"/>
              <c:showSerName val="0"/>
              <c:showPercent val="0"/>
              <c:showBubbleSize val="0"/>
              <c:extLst>
                <c:ext xmlns:c15="http://schemas.microsoft.com/office/drawing/2012/chart" uri="{CE6537A1-D6FC-4f65-9D91-7224C49458BB}">
                  <c15:layout>
                    <c:manualLayout>
                      <c:w val="0.29836683417085424"/>
                      <c:h val="8.4658799384299641E-2"/>
                    </c:manualLayout>
                  </c15:layout>
                </c:ext>
                <c:ext xmlns:c16="http://schemas.microsoft.com/office/drawing/2014/chart" uri="{C3380CC4-5D6E-409C-BE32-E72D297353CC}">
                  <c16:uniqueId val="{0000002F-B3E3-9F44-9CB5-70233AFB83BD}"/>
                </c:ext>
              </c:extLst>
            </c:dLbl>
            <c:dLbl>
              <c:idx val="24"/>
              <c:layout>
                <c:manualLayout>
                  <c:x val="0.34845458279046054"/>
                  <c:y val="-4.9774678018781174E-2"/>
                </c:manualLayout>
              </c:layout>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31-B3E3-9F44-9CB5-70233AFB83B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showLegendKey val="0"/>
            <c:showVal val="0"/>
            <c:showCatName val="1"/>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Sheet1!$J$2:$J$29</c:f>
              <c:strCache>
                <c:ptCount val="28"/>
                <c:pt idx="0">
                  <c:v>USA</c:v>
                </c:pt>
                <c:pt idx="1">
                  <c:v>World Bank</c:v>
                </c:pt>
                <c:pt idx="2">
                  <c:v>Netherlands</c:v>
                </c:pt>
                <c:pt idx="3">
                  <c:v>Japan</c:v>
                </c:pt>
                <c:pt idx="4">
                  <c:v>Saudi Arabia</c:v>
                </c:pt>
                <c:pt idx="5">
                  <c:v>Germany</c:v>
                </c:pt>
                <c:pt idx="6">
                  <c:v>France</c:v>
                </c:pt>
                <c:pt idx="7">
                  <c:v>Canada</c:v>
                </c:pt>
                <c:pt idx="8">
                  <c:v>United Kingdom</c:v>
                </c:pt>
                <c:pt idx="9">
                  <c:v>Kuwait</c:v>
                </c:pt>
                <c:pt idx="10">
                  <c:v>Belgium</c:v>
                </c:pt>
                <c:pt idx="11">
                  <c:v>Switzerland</c:v>
                </c:pt>
                <c:pt idx="12">
                  <c:v>UNDP</c:v>
                </c:pt>
                <c:pt idx="13">
                  <c:v>Norway</c:v>
                </c:pt>
                <c:pt idx="14">
                  <c:v>AFDB</c:v>
                </c:pt>
                <c:pt idx="15">
                  <c:v>Ivory Coast</c:v>
                </c:pt>
                <c:pt idx="16">
                  <c:v>OPEC Fund</c:v>
                </c:pt>
                <c:pt idx="17">
                  <c:v>EEC</c:v>
                </c:pt>
                <c:pt idx="18">
                  <c:v>Italy</c:v>
                </c:pt>
                <c:pt idx="19">
                  <c:v>WHO</c:v>
                </c:pt>
                <c:pt idx="20">
                  <c:v>Luxembourgh</c:v>
                </c:pt>
                <c:pt idx="21">
                  <c:v>Finland</c:v>
                </c:pt>
                <c:pt idx="22">
                  <c:v>Al Sabah Foundation</c:v>
                </c:pt>
                <c:pt idx="23">
                  <c:v>Gulbenkian Fdn</c:v>
                </c:pt>
                <c:pt idx="24">
                  <c:v>Portugal</c:v>
                </c:pt>
                <c:pt idx="25">
                  <c:v>Korea</c:v>
                </c:pt>
                <c:pt idx="26">
                  <c:v>Denmark</c:v>
                </c:pt>
                <c:pt idx="27">
                  <c:v>Iraq</c:v>
                </c:pt>
              </c:strCache>
            </c:strRef>
          </c:cat>
          <c:val>
            <c:numRef>
              <c:f>Sheet1!$M$2:$M$29</c:f>
              <c:numCache>
                <c:formatCode>General</c:formatCode>
                <c:ptCount val="28"/>
                <c:pt idx="0">
                  <c:v>20980000</c:v>
                </c:pt>
                <c:pt idx="1">
                  <c:v>14630000</c:v>
                </c:pt>
                <c:pt idx="2">
                  <c:v>15760140</c:v>
                </c:pt>
                <c:pt idx="3">
                  <c:v>9300000</c:v>
                </c:pt>
                <c:pt idx="4">
                  <c:v>12000000</c:v>
                </c:pt>
                <c:pt idx="5">
                  <c:v>6855083</c:v>
                </c:pt>
                <c:pt idx="6">
                  <c:v>8096550</c:v>
                </c:pt>
                <c:pt idx="7">
                  <c:v>8557440</c:v>
                </c:pt>
                <c:pt idx="8">
                  <c:v>8112250</c:v>
                </c:pt>
                <c:pt idx="9">
                  <c:v>2500000</c:v>
                </c:pt>
                <c:pt idx="10">
                  <c:v>4260750</c:v>
                </c:pt>
                <c:pt idx="11">
                  <c:v>12869514</c:v>
                </c:pt>
                <c:pt idx="12">
                  <c:v>9770000</c:v>
                </c:pt>
                <c:pt idx="13">
                  <c:v>3185373</c:v>
                </c:pt>
                <c:pt idx="14">
                  <c:v>1892431</c:v>
                </c:pt>
                <c:pt idx="16">
                  <c:v>300000</c:v>
                </c:pt>
                <c:pt idx="17">
                  <c:v>7981498</c:v>
                </c:pt>
                <c:pt idx="18">
                  <c:v>4460000</c:v>
                </c:pt>
                <c:pt idx="19">
                  <c:v>2000000</c:v>
                </c:pt>
                <c:pt idx="20">
                  <c:v>709176</c:v>
                </c:pt>
                <c:pt idx="21">
                  <c:v>1558778</c:v>
                </c:pt>
                <c:pt idx="23">
                  <c:v>150000</c:v>
                </c:pt>
                <c:pt idx="24">
                  <c:v>49982</c:v>
                </c:pt>
                <c:pt idx="25">
                  <c:v>120000</c:v>
                </c:pt>
              </c:numCache>
            </c:numRef>
          </c:val>
          <c:extLst>
            <c:ext xmlns:c16="http://schemas.microsoft.com/office/drawing/2014/chart" uri="{C3380CC4-5D6E-409C-BE32-E72D297353CC}">
              <c16:uniqueId val="{00000038-B3E3-9F44-9CB5-70233AFB83BD}"/>
            </c:ext>
          </c:extLst>
        </c:ser>
        <c:dLbls>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mj-lt"/>
                <a:ea typeface="+mn-ea"/>
                <a:cs typeface="+mn-cs"/>
              </a:defRPr>
            </a:pPr>
            <a:r>
              <a:rPr lang="en-US" sz="1100" b="1">
                <a:latin typeface="+mj-lt"/>
              </a:rPr>
              <a:t>Phase IV (1992-2002)</a:t>
            </a:r>
          </a:p>
        </c:rich>
      </c:tx>
      <c:layout>
        <c:manualLayout>
          <c:xMode val="edge"/>
          <c:yMode val="edge"/>
          <c:x val="0.26338520312252212"/>
          <c:y val="1.4847809948032665E-2"/>
        </c:manualLayout>
      </c:layout>
      <c:overlay val="0"/>
      <c:spPr>
        <a:noFill/>
        <a:ln>
          <a:noFill/>
        </a:ln>
        <a:effectLst/>
      </c:spPr>
      <c:txPr>
        <a:bodyPr rot="0" spcFirstLastPara="1" vertOverflow="ellipsis" vert="horz" wrap="square" anchor="ctr" anchorCtr="1"/>
        <a:lstStyle/>
        <a:p>
          <a:pPr>
            <a:defRPr sz="1100" b="1" i="0" u="none" strike="noStrike" kern="1200" cap="none" spc="20" baseline="0">
              <a:solidFill>
                <a:schemeClr val="tx1">
                  <a:lumMod val="50000"/>
                  <a:lumOff val="50000"/>
                </a:schemeClr>
              </a:solidFill>
              <a:latin typeface="+mj-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04BC-324D-9F52-A7E8C9C1271C}"/>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04BC-324D-9F52-A7E8C9C1271C}"/>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04BC-324D-9F52-A7E8C9C1271C}"/>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04BC-324D-9F52-A7E8C9C1271C}"/>
              </c:ext>
            </c:extLst>
          </c:dPt>
          <c:dPt>
            <c:idx val="4"/>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extLst>
              <c:ext xmlns:c16="http://schemas.microsoft.com/office/drawing/2014/chart" uri="{C3380CC4-5D6E-409C-BE32-E72D297353CC}">
                <c16:uniqueId val="{00000009-04BC-324D-9F52-A7E8C9C1271C}"/>
              </c:ext>
            </c:extLst>
          </c:dPt>
          <c:dPt>
            <c:idx val="5"/>
            <c:bubble3D val="0"/>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extLst>
              <c:ext xmlns:c16="http://schemas.microsoft.com/office/drawing/2014/chart" uri="{C3380CC4-5D6E-409C-BE32-E72D297353CC}">
                <c16:uniqueId val="{0000000B-04BC-324D-9F52-A7E8C9C1271C}"/>
              </c:ext>
            </c:extLst>
          </c:dPt>
          <c:dPt>
            <c:idx val="6"/>
            <c:bubble3D val="0"/>
            <c:spPr>
              <a:gradFill rotWithShape="1">
                <a:gsLst>
                  <a:gs pos="0">
                    <a:schemeClr val="accent1">
                      <a:lumMod val="60000"/>
                      <a:lumMod val="110000"/>
                      <a:satMod val="105000"/>
                      <a:tint val="67000"/>
                    </a:schemeClr>
                  </a:gs>
                  <a:gs pos="50000">
                    <a:schemeClr val="accent1">
                      <a:lumMod val="60000"/>
                      <a:lumMod val="105000"/>
                      <a:satMod val="103000"/>
                      <a:tint val="73000"/>
                    </a:schemeClr>
                  </a:gs>
                  <a:gs pos="100000">
                    <a:schemeClr val="accent1">
                      <a:lumMod val="60000"/>
                      <a:lumMod val="105000"/>
                      <a:satMod val="109000"/>
                      <a:tint val="81000"/>
                    </a:schemeClr>
                  </a:gs>
                </a:gsLst>
                <a:lin ang="5400000" scaled="0"/>
              </a:gradFill>
              <a:ln w="9525" cap="flat" cmpd="sng" algn="ctr">
                <a:solidFill>
                  <a:schemeClr val="accent1">
                    <a:lumMod val="60000"/>
                    <a:shade val="95000"/>
                  </a:schemeClr>
                </a:solidFill>
                <a:round/>
              </a:ln>
              <a:effectLst/>
            </c:spPr>
            <c:extLst>
              <c:ext xmlns:c16="http://schemas.microsoft.com/office/drawing/2014/chart" uri="{C3380CC4-5D6E-409C-BE32-E72D297353CC}">
                <c16:uniqueId val="{0000000D-04BC-324D-9F52-A7E8C9C1271C}"/>
              </c:ext>
            </c:extLst>
          </c:dPt>
          <c:dPt>
            <c:idx val="7"/>
            <c:bubble3D val="0"/>
            <c:spPr>
              <a:gradFill rotWithShape="1">
                <a:gsLst>
                  <a:gs pos="0">
                    <a:schemeClr val="accent2">
                      <a:lumMod val="60000"/>
                      <a:lumMod val="110000"/>
                      <a:satMod val="105000"/>
                      <a:tint val="67000"/>
                    </a:schemeClr>
                  </a:gs>
                  <a:gs pos="50000">
                    <a:schemeClr val="accent2">
                      <a:lumMod val="60000"/>
                      <a:lumMod val="105000"/>
                      <a:satMod val="103000"/>
                      <a:tint val="73000"/>
                    </a:schemeClr>
                  </a:gs>
                  <a:gs pos="100000">
                    <a:schemeClr val="accent2">
                      <a:lumMod val="60000"/>
                      <a:lumMod val="105000"/>
                      <a:satMod val="109000"/>
                      <a:tint val="81000"/>
                    </a:schemeClr>
                  </a:gs>
                </a:gsLst>
                <a:lin ang="5400000" scaled="0"/>
              </a:gradFill>
              <a:ln w="9525" cap="flat" cmpd="sng" algn="ctr">
                <a:solidFill>
                  <a:schemeClr val="accent2">
                    <a:lumMod val="60000"/>
                    <a:shade val="95000"/>
                  </a:schemeClr>
                </a:solidFill>
                <a:round/>
              </a:ln>
              <a:effectLst/>
            </c:spPr>
            <c:extLst>
              <c:ext xmlns:c16="http://schemas.microsoft.com/office/drawing/2014/chart" uri="{C3380CC4-5D6E-409C-BE32-E72D297353CC}">
                <c16:uniqueId val="{0000000F-04BC-324D-9F52-A7E8C9C1271C}"/>
              </c:ext>
            </c:extLst>
          </c:dPt>
          <c:dPt>
            <c:idx val="8"/>
            <c:bubble3D val="0"/>
            <c:spPr>
              <a:gradFill rotWithShape="1">
                <a:gsLst>
                  <a:gs pos="0">
                    <a:schemeClr val="accent3">
                      <a:lumMod val="60000"/>
                      <a:lumMod val="110000"/>
                      <a:satMod val="105000"/>
                      <a:tint val="67000"/>
                    </a:schemeClr>
                  </a:gs>
                  <a:gs pos="50000">
                    <a:schemeClr val="accent3">
                      <a:lumMod val="60000"/>
                      <a:lumMod val="105000"/>
                      <a:satMod val="103000"/>
                      <a:tint val="73000"/>
                    </a:schemeClr>
                  </a:gs>
                  <a:gs pos="100000">
                    <a:schemeClr val="accent3">
                      <a:lumMod val="60000"/>
                      <a:lumMod val="105000"/>
                      <a:satMod val="109000"/>
                      <a:tint val="81000"/>
                    </a:schemeClr>
                  </a:gs>
                </a:gsLst>
                <a:lin ang="5400000" scaled="0"/>
              </a:gradFill>
              <a:ln w="9525" cap="flat" cmpd="sng" algn="ctr">
                <a:solidFill>
                  <a:schemeClr val="accent3">
                    <a:lumMod val="60000"/>
                    <a:shade val="95000"/>
                  </a:schemeClr>
                </a:solidFill>
                <a:round/>
              </a:ln>
              <a:effectLst/>
            </c:spPr>
            <c:extLst>
              <c:ext xmlns:c16="http://schemas.microsoft.com/office/drawing/2014/chart" uri="{C3380CC4-5D6E-409C-BE32-E72D297353CC}">
                <c16:uniqueId val="{00000011-04BC-324D-9F52-A7E8C9C1271C}"/>
              </c:ext>
            </c:extLst>
          </c:dPt>
          <c:dPt>
            <c:idx val="9"/>
            <c:bubble3D val="0"/>
            <c:spPr>
              <a:gradFill rotWithShape="1">
                <a:gsLst>
                  <a:gs pos="0">
                    <a:schemeClr val="accent4">
                      <a:lumMod val="60000"/>
                      <a:lumMod val="110000"/>
                      <a:satMod val="105000"/>
                      <a:tint val="67000"/>
                    </a:schemeClr>
                  </a:gs>
                  <a:gs pos="50000">
                    <a:schemeClr val="accent4">
                      <a:lumMod val="60000"/>
                      <a:lumMod val="105000"/>
                      <a:satMod val="103000"/>
                      <a:tint val="73000"/>
                    </a:schemeClr>
                  </a:gs>
                  <a:gs pos="100000">
                    <a:schemeClr val="accent4">
                      <a:lumMod val="60000"/>
                      <a:lumMod val="105000"/>
                      <a:satMod val="109000"/>
                      <a:tint val="81000"/>
                    </a:schemeClr>
                  </a:gs>
                </a:gsLst>
                <a:lin ang="5400000" scaled="0"/>
              </a:gradFill>
              <a:ln w="9525" cap="flat" cmpd="sng" algn="ctr">
                <a:solidFill>
                  <a:schemeClr val="accent4">
                    <a:lumMod val="60000"/>
                    <a:shade val="95000"/>
                  </a:schemeClr>
                </a:solidFill>
                <a:round/>
              </a:ln>
              <a:effectLst/>
            </c:spPr>
            <c:extLst>
              <c:ext xmlns:c16="http://schemas.microsoft.com/office/drawing/2014/chart" uri="{C3380CC4-5D6E-409C-BE32-E72D297353CC}">
                <c16:uniqueId val="{00000013-04BC-324D-9F52-A7E8C9C1271C}"/>
              </c:ext>
            </c:extLst>
          </c:dPt>
          <c:dPt>
            <c:idx val="10"/>
            <c:bubble3D val="0"/>
            <c:spPr>
              <a:gradFill rotWithShape="1">
                <a:gsLst>
                  <a:gs pos="0">
                    <a:schemeClr val="accent5">
                      <a:lumMod val="60000"/>
                      <a:lumMod val="110000"/>
                      <a:satMod val="105000"/>
                      <a:tint val="67000"/>
                    </a:schemeClr>
                  </a:gs>
                  <a:gs pos="50000">
                    <a:schemeClr val="accent5">
                      <a:lumMod val="60000"/>
                      <a:lumMod val="105000"/>
                      <a:satMod val="103000"/>
                      <a:tint val="73000"/>
                    </a:schemeClr>
                  </a:gs>
                  <a:gs pos="100000">
                    <a:schemeClr val="accent5">
                      <a:lumMod val="60000"/>
                      <a:lumMod val="105000"/>
                      <a:satMod val="109000"/>
                      <a:tint val="81000"/>
                    </a:schemeClr>
                  </a:gs>
                </a:gsLst>
                <a:lin ang="5400000" scaled="0"/>
              </a:gradFill>
              <a:ln w="9525" cap="flat" cmpd="sng" algn="ctr">
                <a:solidFill>
                  <a:schemeClr val="accent5">
                    <a:lumMod val="60000"/>
                    <a:shade val="95000"/>
                  </a:schemeClr>
                </a:solidFill>
                <a:round/>
              </a:ln>
              <a:effectLst/>
            </c:spPr>
            <c:extLst>
              <c:ext xmlns:c16="http://schemas.microsoft.com/office/drawing/2014/chart" uri="{C3380CC4-5D6E-409C-BE32-E72D297353CC}">
                <c16:uniqueId val="{00000015-04BC-324D-9F52-A7E8C9C1271C}"/>
              </c:ext>
            </c:extLst>
          </c:dPt>
          <c:dPt>
            <c:idx val="11"/>
            <c:bubble3D val="0"/>
            <c:spPr>
              <a:gradFill rotWithShape="1">
                <a:gsLst>
                  <a:gs pos="0">
                    <a:schemeClr val="accent6">
                      <a:lumMod val="60000"/>
                      <a:lumMod val="110000"/>
                      <a:satMod val="105000"/>
                      <a:tint val="67000"/>
                    </a:schemeClr>
                  </a:gs>
                  <a:gs pos="50000">
                    <a:schemeClr val="accent6">
                      <a:lumMod val="60000"/>
                      <a:lumMod val="105000"/>
                      <a:satMod val="103000"/>
                      <a:tint val="73000"/>
                    </a:schemeClr>
                  </a:gs>
                  <a:gs pos="100000">
                    <a:schemeClr val="accent6">
                      <a:lumMod val="60000"/>
                      <a:lumMod val="105000"/>
                      <a:satMod val="109000"/>
                      <a:tint val="81000"/>
                    </a:schemeClr>
                  </a:gs>
                </a:gsLst>
                <a:lin ang="5400000" scaled="0"/>
              </a:gradFill>
              <a:ln w="9525" cap="flat" cmpd="sng" algn="ctr">
                <a:solidFill>
                  <a:schemeClr val="accent6">
                    <a:lumMod val="60000"/>
                    <a:shade val="95000"/>
                  </a:schemeClr>
                </a:solidFill>
                <a:round/>
              </a:ln>
              <a:effectLst/>
            </c:spPr>
            <c:extLst>
              <c:ext xmlns:c16="http://schemas.microsoft.com/office/drawing/2014/chart" uri="{C3380CC4-5D6E-409C-BE32-E72D297353CC}">
                <c16:uniqueId val="{00000017-04BC-324D-9F52-A7E8C9C1271C}"/>
              </c:ext>
            </c:extLst>
          </c:dPt>
          <c:dPt>
            <c:idx val="12"/>
            <c:bubble3D val="0"/>
            <c:spPr>
              <a:gradFill rotWithShape="1">
                <a:gsLst>
                  <a:gs pos="0">
                    <a:schemeClr val="accent1">
                      <a:lumMod val="80000"/>
                      <a:lumOff val="20000"/>
                      <a:lumMod val="110000"/>
                      <a:satMod val="105000"/>
                      <a:tint val="67000"/>
                    </a:schemeClr>
                  </a:gs>
                  <a:gs pos="50000">
                    <a:schemeClr val="accent1">
                      <a:lumMod val="80000"/>
                      <a:lumOff val="20000"/>
                      <a:lumMod val="105000"/>
                      <a:satMod val="103000"/>
                      <a:tint val="73000"/>
                    </a:schemeClr>
                  </a:gs>
                  <a:gs pos="100000">
                    <a:schemeClr val="accent1">
                      <a:lumMod val="80000"/>
                      <a:lumOff val="20000"/>
                      <a:lumMod val="105000"/>
                      <a:satMod val="109000"/>
                      <a:tint val="81000"/>
                    </a:schemeClr>
                  </a:gs>
                </a:gsLst>
                <a:lin ang="5400000" scaled="0"/>
              </a:gradFill>
              <a:ln w="9525" cap="flat" cmpd="sng" algn="ctr">
                <a:solidFill>
                  <a:schemeClr val="accent1">
                    <a:lumMod val="80000"/>
                    <a:lumOff val="20000"/>
                    <a:shade val="95000"/>
                  </a:schemeClr>
                </a:solidFill>
                <a:round/>
              </a:ln>
              <a:effectLst/>
            </c:spPr>
            <c:extLst>
              <c:ext xmlns:c16="http://schemas.microsoft.com/office/drawing/2014/chart" uri="{C3380CC4-5D6E-409C-BE32-E72D297353CC}">
                <c16:uniqueId val="{00000019-04BC-324D-9F52-A7E8C9C1271C}"/>
              </c:ext>
            </c:extLst>
          </c:dPt>
          <c:dPt>
            <c:idx val="13"/>
            <c:bubble3D val="0"/>
            <c:spPr>
              <a:gradFill rotWithShape="1">
                <a:gsLst>
                  <a:gs pos="0">
                    <a:schemeClr val="accent2">
                      <a:lumMod val="80000"/>
                      <a:lumOff val="20000"/>
                      <a:lumMod val="110000"/>
                      <a:satMod val="105000"/>
                      <a:tint val="67000"/>
                    </a:schemeClr>
                  </a:gs>
                  <a:gs pos="50000">
                    <a:schemeClr val="accent2">
                      <a:lumMod val="80000"/>
                      <a:lumOff val="20000"/>
                      <a:lumMod val="105000"/>
                      <a:satMod val="103000"/>
                      <a:tint val="73000"/>
                    </a:schemeClr>
                  </a:gs>
                  <a:gs pos="100000">
                    <a:schemeClr val="accent2">
                      <a:lumMod val="80000"/>
                      <a:lumOff val="20000"/>
                      <a:lumMod val="105000"/>
                      <a:satMod val="109000"/>
                      <a:tint val="81000"/>
                    </a:schemeClr>
                  </a:gs>
                </a:gsLst>
                <a:lin ang="5400000" scaled="0"/>
              </a:gradFill>
              <a:ln w="9525" cap="flat" cmpd="sng" algn="ctr">
                <a:solidFill>
                  <a:schemeClr val="accent2">
                    <a:lumMod val="80000"/>
                    <a:lumOff val="20000"/>
                    <a:shade val="95000"/>
                  </a:schemeClr>
                </a:solidFill>
                <a:round/>
              </a:ln>
              <a:effectLst/>
            </c:spPr>
            <c:extLst>
              <c:ext xmlns:c16="http://schemas.microsoft.com/office/drawing/2014/chart" uri="{C3380CC4-5D6E-409C-BE32-E72D297353CC}">
                <c16:uniqueId val="{0000001B-04BC-324D-9F52-A7E8C9C1271C}"/>
              </c:ext>
            </c:extLst>
          </c:dPt>
          <c:dPt>
            <c:idx val="14"/>
            <c:bubble3D val="0"/>
            <c:spPr>
              <a:gradFill rotWithShape="1">
                <a:gsLst>
                  <a:gs pos="0">
                    <a:schemeClr val="accent3">
                      <a:lumMod val="80000"/>
                      <a:lumOff val="20000"/>
                      <a:lumMod val="110000"/>
                      <a:satMod val="105000"/>
                      <a:tint val="67000"/>
                    </a:schemeClr>
                  </a:gs>
                  <a:gs pos="50000">
                    <a:schemeClr val="accent3">
                      <a:lumMod val="80000"/>
                      <a:lumOff val="20000"/>
                      <a:lumMod val="105000"/>
                      <a:satMod val="103000"/>
                      <a:tint val="73000"/>
                    </a:schemeClr>
                  </a:gs>
                  <a:gs pos="100000">
                    <a:schemeClr val="accent3">
                      <a:lumMod val="80000"/>
                      <a:lumOff val="20000"/>
                      <a:lumMod val="105000"/>
                      <a:satMod val="109000"/>
                      <a:tint val="81000"/>
                    </a:schemeClr>
                  </a:gs>
                </a:gsLst>
                <a:lin ang="5400000" scaled="0"/>
              </a:gradFill>
              <a:ln w="9525" cap="flat" cmpd="sng" algn="ctr">
                <a:solidFill>
                  <a:schemeClr val="accent3">
                    <a:lumMod val="80000"/>
                    <a:lumOff val="20000"/>
                    <a:shade val="95000"/>
                  </a:schemeClr>
                </a:solidFill>
                <a:round/>
              </a:ln>
              <a:effectLst/>
            </c:spPr>
            <c:extLst>
              <c:ext xmlns:c16="http://schemas.microsoft.com/office/drawing/2014/chart" uri="{C3380CC4-5D6E-409C-BE32-E72D297353CC}">
                <c16:uniqueId val="{0000001D-04BC-324D-9F52-A7E8C9C1271C}"/>
              </c:ext>
            </c:extLst>
          </c:dPt>
          <c:dPt>
            <c:idx val="15"/>
            <c:bubble3D val="0"/>
            <c:spPr>
              <a:gradFill rotWithShape="1">
                <a:gsLst>
                  <a:gs pos="0">
                    <a:schemeClr val="accent4">
                      <a:lumMod val="80000"/>
                      <a:lumOff val="20000"/>
                      <a:lumMod val="110000"/>
                      <a:satMod val="105000"/>
                      <a:tint val="67000"/>
                    </a:schemeClr>
                  </a:gs>
                  <a:gs pos="50000">
                    <a:schemeClr val="accent4">
                      <a:lumMod val="80000"/>
                      <a:lumOff val="20000"/>
                      <a:lumMod val="105000"/>
                      <a:satMod val="103000"/>
                      <a:tint val="73000"/>
                    </a:schemeClr>
                  </a:gs>
                  <a:gs pos="100000">
                    <a:schemeClr val="accent4">
                      <a:lumMod val="80000"/>
                      <a:lumOff val="20000"/>
                      <a:lumMod val="105000"/>
                      <a:satMod val="109000"/>
                      <a:tint val="81000"/>
                    </a:schemeClr>
                  </a:gs>
                </a:gsLst>
                <a:lin ang="5400000" scaled="0"/>
              </a:gradFill>
              <a:ln w="9525" cap="flat" cmpd="sng" algn="ctr">
                <a:solidFill>
                  <a:schemeClr val="accent4">
                    <a:lumMod val="80000"/>
                    <a:lumOff val="20000"/>
                    <a:shade val="95000"/>
                  </a:schemeClr>
                </a:solidFill>
                <a:round/>
              </a:ln>
              <a:effectLst/>
            </c:spPr>
            <c:extLst>
              <c:ext xmlns:c16="http://schemas.microsoft.com/office/drawing/2014/chart" uri="{C3380CC4-5D6E-409C-BE32-E72D297353CC}">
                <c16:uniqueId val="{0000001F-04BC-324D-9F52-A7E8C9C1271C}"/>
              </c:ext>
            </c:extLst>
          </c:dPt>
          <c:dPt>
            <c:idx val="16"/>
            <c:bubble3D val="0"/>
            <c:spPr>
              <a:gradFill rotWithShape="1">
                <a:gsLst>
                  <a:gs pos="0">
                    <a:schemeClr val="accent5">
                      <a:lumMod val="80000"/>
                      <a:lumOff val="20000"/>
                      <a:lumMod val="110000"/>
                      <a:satMod val="105000"/>
                      <a:tint val="67000"/>
                    </a:schemeClr>
                  </a:gs>
                  <a:gs pos="50000">
                    <a:schemeClr val="accent5">
                      <a:lumMod val="80000"/>
                      <a:lumOff val="20000"/>
                      <a:lumMod val="105000"/>
                      <a:satMod val="103000"/>
                      <a:tint val="73000"/>
                    </a:schemeClr>
                  </a:gs>
                  <a:gs pos="100000">
                    <a:schemeClr val="accent5">
                      <a:lumMod val="80000"/>
                      <a:lumOff val="20000"/>
                      <a:lumMod val="105000"/>
                      <a:satMod val="109000"/>
                      <a:tint val="81000"/>
                    </a:schemeClr>
                  </a:gs>
                </a:gsLst>
                <a:lin ang="5400000" scaled="0"/>
              </a:gradFill>
              <a:ln w="9525" cap="flat" cmpd="sng" algn="ctr">
                <a:solidFill>
                  <a:schemeClr val="accent5">
                    <a:lumMod val="80000"/>
                    <a:lumOff val="20000"/>
                    <a:shade val="95000"/>
                  </a:schemeClr>
                </a:solidFill>
                <a:round/>
              </a:ln>
              <a:effectLst/>
            </c:spPr>
            <c:extLst>
              <c:ext xmlns:c16="http://schemas.microsoft.com/office/drawing/2014/chart" uri="{C3380CC4-5D6E-409C-BE32-E72D297353CC}">
                <c16:uniqueId val="{00000021-04BC-324D-9F52-A7E8C9C1271C}"/>
              </c:ext>
            </c:extLst>
          </c:dPt>
          <c:dPt>
            <c:idx val="17"/>
            <c:bubble3D val="0"/>
            <c:spPr>
              <a:gradFill rotWithShape="1">
                <a:gsLst>
                  <a:gs pos="0">
                    <a:schemeClr val="accent6">
                      <a:lumMod val="80000"/>
                      <a:lumOff val="20000"/>
                      <a:lumMod val="110000"/>
                      <a:satMod val="105000"/>
                      <a:tint val="67000"/>
                    </a:schemeClr>
                  </a:gs>
                  <a:gs pos="50000">
                    <a:schemeClr val="accent6">
                      <a:lumMod val="80000"/>
                      <a:lumOff val="20000"/>
                      <a:lumMod val="105000"/>
                      <a:satMod val="103000"/>
                      <a:tint val="73000"/>
                    </a:schemeClr>
                  </a:gs>
                  <a:gs pos="100000">
                    <a:schemeClr val="accent6">
                      <a:lumMod val="80000"/>
                      <a:lumOff val="20000"/>
                      <a:lumMod val="105000"/>
                      <a:satMod val="109000"/>
                      <a:tint val="81000"/>
                    </a:schemeClr>
                  </a:gs>
                </a:gsLst>
                <a:lin ang="5400000" scaled="0"/>
              </a:gradFill>
              <a:ln w="9525" cap="flat" cmpd="sng" algn="ctr">
                <a:solidFill>
                  <a:schemeClr val="accent6">
                    <a:lumMod val="80000"/>
                    <a:lumOff val="20000"/>
                    <a:shade val="95000"/>
                  </a:schemeClr>
                </a:solidFill>
                <a:round/>
              </a:ln>
              <a:effectLst/>
            </c:spPr>
            <c:extLst>
              <c:ext xmlns:c16="http://schemas.microsoft.com/office/drawing/2014/chart" uri="{C3380CC4-5D6E-409C-BE32-E72D297353CC}">
                <c16:uniqueId val="{00000023-04BC-324D-9F52-A7E8C9C1271C}"/>
              </c:ext>
            </c:extLst>
          </c:dPt>
          <c:dPt>
            <c:idx val="18"/>
            <c:bubble3D val="0"/>
            <c:spPr>
              <a:gradFill rotWithShape="1">
                <a:gsLst>
                  <a:gs pos="0">
                    <a:schemeClr val="accent1">
                      <a:lumMod val="80000"/>
                      <a:lumMod val="110000"/>
                      <a:satMod val="105000"/>
                      <a:tint val="67000"/>
                    </a:schemeClr>
                  </a:gs>
                  <a:gs pos="50000">
                    <a:schemeClr val="accent1">
                      <a:lumMod val="80000"/>
                      <a:lumMod val="105000"/>
                      <a:satMod val="103000"/>
                      <a:tint val="73000"/>
                    </a:schemeClr>
                  </a:gs>
                  <a:gs pos="100000">
                    <a:schemeClr val="accent1">
                      <a:lumMod val="80000"/>
                      <a:lumMod val="105000"/>
                      <a:satMod val="109000"/>
                      <a:tint val="81000"/>
                    </a:schemeClr>
                  </a:gs>
                </a:gsLst>
                <a:lin ang="5400000" scaled="0"/>
              </a:gradFill>
              <a:ln w="9525" cap="flat" cmpd="sng" algn="ctr">
                <a:solidFill>
                  <a:schemeClr val="accent1">
                    <a:lumMod val="80000"/>
                    <a:shade val="95000"/>
                  </a:schemeClr>
                </a:solidFill>
                <a:round/>
              </a:ln>
              <a:effectLst/>
            </c:spPr>
            <c:extLst>
              <c:ext xmlns:c16="http://schemas.microsoft.com/office/drawing/2014/chart" uri="{C3380CC4-5D6E-409C-BE32-E72D297353CC}">
                <c16:uniqueId val="{00000025-04BC-324D-9F52-A7E8C9C1271C}"/>
              </c:ext>
            </c:extLst>
          </c:dPt>
          <c:dPt>
            <c:idx val="19"/>
            <c:bubble3D val="0"/>
            <c:spPr>
              <a:gradFill rotWithShape="1">
                <a:gsLst>
                  <a:gs pos="0">
                    <a:schemeClr val="accent2">
                      <a:lumMod val="80000"/>
                      <a:lumMod val="110000"/>
                      <a:satMod val="105000"/>
                      <a:tint val="67000"/>
                    </a:schemeClr>
                  </a:gs>
                  <a:gs pos="50000">
                    <a:schemeClr val="accent2">
                      <a:lumMod val="80000"/>
                      <a:lumMod val="105000"/>
                      <a:satMod val="103000"/>
                      <a:tint val="73000"/>
                    </a:schemeClr>
                  </a:gs>
                  <a:gs pos="100000">
                    <a:schemeClr val="accent2">
                      <a:lumMod val="80000"/>
                      <a:lumMod val="105000"/>
                      <a:satMod val="109000"/>
                      <a:tint val="81000"/>
                    </a:schemeClr>
                  </a:gs>
                </a:gsLst>
                <a:lin ang="5400000" scaled="0"/>
              </a:gradFill>
              <a:ln w="9525" cap="flat" cmpd="sng" algn="ctr">
                <a:solidFill>
                  <a:schemeClr val="accent2">
                    <a:lumMod val="80000"/>
                    <a:shade val="95000"/>
                  </a:schemeClr>
                </a:solidFill>
                <a:round/>
              </a:ln>
              <a:effectLst/>
            </c:spPr>
            <c:extLst>
              <c:ext xmlns:c16="http://schemas.microsoft.com/office/drawing/2014/chart" uri="{C3380CC4-5D6E-409C-BE32-E72D297353CC}">
                <c16:uniqueId val="{00000027-04BC-324D-9F52-A7E8C9C1271C}"/>
              </c:ext>
            </c:extLst>
          </c:dPt>
          <c:dPt>
            <c:idx val="20"/>
            <c:bubble3D val="0"/>
            <c:spPr>
              <a:gradFill rotWithShape="1">
                <a:gsLst>
                  <a:gs pos="0">
                    <a:schemeClr val="accent3">
                      <a:lumMod val="80000"/>
                      <a:lumMod val="110000"/>
                      <a:satMod val="105000"/>
                      <a:tint val="67000"/>
                    </a:schemeClr>
                  </a:gs>
                  <a:gs pos="50000">
                    <a:schemeClr val="accent3">
                      <a:lumMod val="80000"/>
                      <a:lumMod val="105000"/>
                      <a:satMod val="103000"/>
                      <a:tint val="73000"/>
                    </a:schemeClr>
                  </a:gs>
                  <a:gs pos="100000">
                    <a:schemeClr val="accent3">
                      <a:lumMod val="80000"/>
                      <a:lumMod val="105000"/>
                      <a:satMod val="109000"/>
                      <a:tint val="81000"/>
                    </a:schemeClr>
                  </a:gs>
                </a:gsLst>
                <a:lin ang="5400000" scaled="0"/>
              </a:gradFill>
              <a:ln w="9525" cap="flat" cmpd="sng" algn="ctr">
                <a:solidFill>
                  <a:schemeClr val="accent3">
                    <a:lumMod val="80000"/>
                    <a:shade val="95000"/>
                  </a:schemeClr>
                </a:solidFill>
                <a:round/>
              </a:ln>
              <a:effectLst/>
            </c:spPr>
            <c:extLst>
              <c:ext xmlns:c16="http://schemas.microsoft.com/office/drawing/2014/chart" uri="{C3380CC4-5D6E-409C-BE32-E72D297353CC}">
                <c16:uniqueId val="{00000029-04BC-324D-9F52-A7E8C9C1271C}"/>
              </c:ext>
            </c:extLst>
          </c:dPt>
          <c:dPt>
            <c:idx val="21"/>
            <c:bubble3D val="0"/>
            <c:spPr>
              <a:gradFill rotWithShape="1">
                <a:gsLst>
                  <a:gs pos="0">
                    <a:schemeClr val="accent4">
                      <a:lumMod val="80000"/>
                      <a:lumMod val="110000"/>
                      <a:satMod val="105000"/>
                      <a:tint val="67000"/>
                    </a:schemeClr>
                  </a:gs>
                  <a:gs pos="50000">
                    <a:schemeClr val="accent4">
                      <a:lumMod val="80000"/>
                      <a:lumMod val="105000"/>
                      <a:satMod val="103000"/>
                      <a:tint val="73000"/>
                    </a:schemeClr>
                  </a:gs>
                  <a:gs pos="100000">
                    <a:schemeClr val="accent4">
                      <a:lumMod val="80000"/>
                      <a:lumMod val="105000"/>
                      <a:satMod val="109000"/>
                      <a:tint val="81000"/>
                    </a:schemeClr>
                  </a:gs>
                </a:gsLst>
                <a:lin ang="5400000" scaled="0"/>
              </a:gradFill>
              <a:ln w="9525" cap="flat" cmpd="sng" algn="ctr">
                <a:solidFill>
                  <a:schemeClr val="accent4">
                    <a:lumMod val="80000"/>
                    <a:shade val="95000"/>
                  </a:schemeClr>
                </a:solidFill>
                <a:round/>
              </a:ln>
              <a:effectLst/>
            </c:spPr>
            <c:extLst>
              <c:ext xmlns:c16="http://schemas.microsoft.com/office/drawing/2014/chart" uri="{C3380CC4-5D6E-409C-BE32-E72D297353CC}">
                <c16:uniqueId val="{0000002B-04BC-324D-9F52-A7E8C9C1271C}"/>
              </c:ext>
            </c:extLst>
          </c:dPt>
          <c:dPt>
            <c:idx val="22"/>
            <c:bubble3D val="0"/>
            <c:spPr>
              <a:gradFill rotWithShape="1">
                <a:gsLst>
                  <a:gs pos="0">
                    <a:schemeClr val="accent5">
                      <a:lumMod val="80000"/>
                      <a:lumMod val="110000"/>
                      <a:satMod val="105000"/>
                      <a:tint val="67000"/>
                    </a:schemeClr>
                  </a:gs>
                  <a:gs pos="50000">
                    <a:schemeClr val="accent5">
                      <a:lumMod val="80000"/>
                      <a:lumMod val="105000"/>
                      <a:satMod val="103000"/>
                      <a:tint val="73000"/>
                    </a:schemeClr>
                  </a:gs>
                  <a:gs pos="100000">
                    <a:schemeClr val="accent5">
                      <a:lumMod val="80000"/>
                      <a:lumMod val="105000"/>
                      <a:satMod val="109000"/>
                      <a:tint val="81000"/>
                    </a:schemeClr>
                  </a:gs>
                </a:gsLst>
                <a:lin ang="5400000" scaled="0"/>
              </a:gradFill>
              <a:ln w="9525" cap="flat" cmpd="sng" algn="ctr">
                <a:solidFill>
                  <a:schemeClr val="accent5">
                    <a:lumMod val="80000"/>
                    <a:shade val="95000"/>
                  </a:schemeClr>
                </a:solidFill>
                <a:round/>
              </a:ln>
              <a:effectLst/>
            </c:spPr>
            <c:extLst>
              <c:ext xmlns:c16="http://schemas.microsoft.com/office/drawing/2014/chart" uri="{C3380CC4-5D6E-409C-BE32-E72D297353CC}">
                <c16:uniqueId val="{0000002D-04BC-324D-9F52-A7E8C9C1271C}"/>
              </c:ext>
            </c:extLst>
          </c:dPt>
          <c:dPt>
            <c:idx val="23"/>
            <c:bubble3D val="0"/>
            <c:spPr>
              <a:gradFill rotWithShape="1">
                <a:gsLst>
                  <a:gs pos="0">
                    <a:schemeClr val="accent6">
                      <a:lumMod val="80000"/>
                      <a:lumMod val="110000"/>
                      <a:satMod val="105000"/>
                      <a:tint val="67000"/>
                    </a:schemeClr>
                  </a:gs>
                  <a:gs pos="50000">
                    <a:schemeClr val="accent6">
                      <a:lumMod val="80000"/>
                      <a:lumMod val="105000"/>
                      <a:satMod val="103000"/>
                      <a:tint val="73000"/>
                    </a:schemeClr>
                  </a:gs>
                  <a:gs pos="100000">
                    <a:schemeClr val="accent6">
                      <a:lumMod val="80000"/>
                      <a:lumMod val="105000"/>
                      <a:satMod val="109000"/>
                      <a:tint val="81000"/>
                    </a:schemeClr>
                  </a:gs>
                </a:gsLst>
                <a:lin ang="5400000" scaled="0"/>
              </a:gradFill>
              <a:ln w="9525" cap="flat" cmpd="sng" algn="ctr">
                <a:solidFill>
                  <a:schemeClr val="accent6">
                    <a:lumMod val="80000"/>
                    <a:shade val="95000"/>
                  </a:schemeClr>
                </a:solidFill>
                <a:round/>
              </a:ln>
              <a:effectLst/>
            </c:spPr>
            <c:extLst>
              <c:ext xmlns:c16="http://schemas.microsoft.com/office/drawing/2014/chart" uri="{C3380CC4-5D6E-409C-BE32-E72D297353CC}">
                <c16:uniqueId val="{0000002F-04BC-324D-9F52-A7E8C9C1271C}"/>
              </c:ext>
            </c:extLst>
          </c:dPt>
          <c:dPt>
            <c:idx val="24"/>
            <c:bubble3D val="0"/>
            <c:spPr>
              <a:gradFill rotWithShape="1">
                <a:gsLst>
                  <a:gs pos="0">
                    <a:schemeClr val="accent1">
                      <a:lumMod val="60000"/>
                      <a:lumOff val="40000"/>
                      <a:lumMod val="110000"/>
                      <a:satMod val="105000"/>
                      <a:tint val="67000"/>
                    </a:schemeClr>
                  </a:gs>
                  <a:gs pos="50000">
                    <a:schemeClr val="accent1">
                      <a:lumMod val="60000"/>
                      <a:lumOff val="40000"/>
                      <a:lumMod val="105000"/>
                      <a:satMod val="103000"/>
                      <a:tint val="73000"/>
                    </a:schemeClr>
                  </a:gs>
                  <a:gs pos="100000">
                    <a:schemeClr val="accent1">
                      <a:lumMod val="60000"/>
                      <a:lumOff val="40000"/>
                      <a:lumMod val="105000"/>
                      <a:satMod val="109000"/>
                      <a:tint val="81000"/>
                    </a:schemeClr>
                  </a:gs>
                </a:gsLst>
                <a:lin ang="5400000" scaled="0"/>
              </a:gradFill>
              <a:ln w="9525" cap="flat" cmpd="sng" algn="ctr">
                <a:solidFill>
                  <a:schemeClr val="accent1">
                    <a:lumMod val="60000"/>
                    <a:lumOff val="40000"/>
                    <a:shade val="95000"/>
                  </a:schemeClr>
                </a:solidFill>
                <a:round/>
              </a:ln>
              <a:effectLst/>
            </c:spPr>
            <c:extLst>
              <c:ext xmlns:c16="http://schemas.microsoft.com/office/drawing/2014/chart" uri="{C3380CC4-5D6E-409C-BE32-E72D297353CC}">
                <c16:uniqueId val="{00000031-04BC-324D-9F52-A7E8C9C1271C}"/>
              </c:ext>
            </c:extLst>
          </c:dPt>
          <c:dPt>
            <c:idx val="25"/>
            <c:bubble3D val="0"/>
            <c:spPr>
              <a:gradFill rotWithShape="1">
                <a:gsLst>
                  <a:gs pos="0">
                    <a:schemeClr val="accent2">
                      <a:lumMod val="60000"/>
                      <a:lumOff val="40000"/>
                      <a:lumMod val="110000"/>
                      <a:satMod val="105000"/>
                      <a:tint val="67000"/>
                    </a:schemeClr>
                  </a:gs>
                  <a:gs pos="50000">
                    <a:schemeClr val="accent2">
                      <a:lumMod val="60000"/>
                      <a:lumOff val="40000"/>
                      <a:lumMod val="105000"/>
                      <a:satMod val="103000"/>
                      <a:tint val="73000"/>
                    </a:schemeClr>
                  </a:gs>
                  <a:gs pos="100000">
                    <a:schemeClr val="accent2">
                      <a:lumMod val="60000"/>
                      <a:lumOff val="40000"/>
                      <a:lumMod val="105000"/>
                      <a:satMod val="109000"/>
                      <a:tint val="81000"/>
                    </a:schemeClr>
                  </a:gs>
                </a:gsLst>
                <a:lin ang="5400000" scaled="0"/>
              </a:gradFill>
              <a:ln w="9525" cap="flat" cmpd="sng" algn="ctr">
                <a:solidFill>
                  <a:schemeClr val="accent2">
                    <a:lumMod val="60000"/>
                    <a:lumOff val="40000"/>
                    <a:shade val="95000"/>
                  </a:schemeClr>
                </a:solidFill>
                <a:round/>
              </a:ln>
              <a:effectLst/>
            </c:spPr>
            <c:extLst>
              <c:ext xmlns:c16="http://schemas.microsoft.com/office/drawing/2014/chart" uri="{C3380CC4-5D6E-409C-BE32-E72D297353CC}">
                <c16:uniqueId val="{00000033-04BC-324D-9F52-A7E8C9C1271C}"/>
              </c:ext>
            </c:extLst>
          </c:dPt>
          <c:dPt>
            <c:idx val="26"/>
            <c:bubble3D val="0"/>
            <c:spPr>
              <a:gradFill rotWithShape="1">
                <a:gsLst>
                  <a:gs pos="0">
                    <a:schemeClr val="accent3">
                      <a:lumMod val="60000"/>
                      <a:lumOff val="40000"/>
                      <a:lumMod val="110000"/>
                      <a:satMod val="105000"/>
                      <a:tint val="67000"/>
                    </a:schemeClr>
                  </a:gs>
                  <a:gs pos="50000">
                    <a:schemeClr val="accent3">
                      <a:lumMod val="60000"/>
                      <a:lumOff val="40000"/>
                      <a:lumMod val="105000"/>
                      <a:satMod val="103000"/>
                      <a:tint val="73000"/>
                    </a:schemeClr>
                  </a:gs>
                  <a:gs pos="100000">
                    <a:schemeClr val="accent3">
                      <a:lumMod val="60000"/>
                      <a:lumOff val="40000"/>
                      <a:lumMod val="105000"/>
                      <a:satMod val="109000"/>
                      <a:tint val="81000"/>
                    </a:schemeClr>
                  </a:gs>
                </a:gsLst>
                <a:lin ang="5400000" scaled="0"/>
              </a:gradFill>
              <a:ln w="9525" cap="flat" cmpd="sng" algn="ctr">
                <a:solidFill>
                  <a:schemeClr val="accent3">
                    <a:lumMod val="60000"/>
                    <a:lumOff val="40000"/>
                    <a:shade val="95000"/>
                  </a:schemeClr>
                </a:solidFill>
                <a:round/>
              </a:ln>
              <a:effectLst/>
            </c:spPr>
            <c:extLst>
              <c:ext xmlns:c16="http://schemas.microsoft.com/office/drawing/2014/chart" uri="{C3380CC4-5D6E-409C-BE32-E72D297353CC}">
                <c16:uniqueId val="{00000035-04BC-324D-9F52-A7E8C9C1271C}"/>
              </c:ext>
            </c:extLst>
          </c:dPt>
          <c:dPt>
            <c:idx val="27"/>
            <c:bubble3D val="0"/>
            <c:spPr>
              <a:gradFill rotWithShape="1">
                <a:gsLst>
                  <a:gs pos="0">
                    <a:schemeClr val="accent4">
                      <a:lumMod val="60000"/>
                      <a:lumOff val="40000"/>
                      <a:lumMod val="110000"/>
                      <a:satMod val="105000"/>
                      <a:tint val="67000"/>
                    </a:schemeClr>
                  </a:gs>
                  <a:gs pos="50000">
                    <a:schemeClr val="accent4">
                      <a:lumMod val="60000"/>
                      <a:lumOff val="40000"/>
                      <a:lumMod val="105000"/>
                      <a:satMod val="103000"/>
                      <a:tint val="73000"/>
                    </a:schemeClr>
                  </a:gs>
                  <a:gs pos="100000">
                    <a:schemeClr val="accent4">
                      <a:lumMod val="60000"/>
                      <a:lumOff val="40000"/>
                      <a:lumMod val="105000"/>
                      <a:satMod val="109000"/>
                      <a:tint val="81000"/>
                    </a:schemeClr>
                  </a:gs>
                </a:gsLst>
                <a:lin ang="5400000" scaled="0"/>
              </a:gradFill>
              <a:ln w="9525" cap="flat" cmpd="sng" algn="ctr">
                <a:solidFill>
                  <a:schemeClr val="accent4">
                    <a:lumMod val="60000"/>
                    <a:lumOff val="40000"/>
                    <a:shade val="95000"/>
                  </a:schemeClr>
                </a:solidFill>
                <a:round/>
              </a:ln>
              <a:effectLst/>
            </c:spPr>
            <c:extLst>
              <c:ext xmlns:c16="http://schemas.microsoft.com/office/drawing/2014/chart" uri="{C3380CC4-5D6E-409C-BE32-E72D297353CC}">
                <c16:uniqueId val="{00000037-04BC-324D-9F52-A7E8C9C1271C}"/>
              </c:ext>
            </c:extLst>
          </c:dPt>
          <c:dLbls>
            <c:dLbl>
              <c:idx val="1"/>
              <c:layout>
                <c:manualLayout>
                  <c:x val="-0.10677336412378197"/>
                  <c:y val="2.5225786086316048E-2"/>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65000"/>
                          <a:lumOff val="35000"/>
                        </a:schemeClr>
                      </a:solidFill>
                      <a:latin typeface="+mn-lt"/>
                      <a:ea typeface="+mn-ea"/>
                      <a:cs typeface="+mn-cs"/>
                    </a:defRPr>
                  </a:pPr>
                  <a:endParaRPr lang="en-US"/>
                </a:p>
              </c:txPr>
              <c:showLegendKey val="0"/>
              <c:showVal val="0"/>
              <c:showCatName val="1"/>
              <c:showSerName val="0"/>
              <c:showPercent val="0"/>
              <c:showBubbleSize val="0"/>
              <c:extLst>
                <c:ext xmlns:c15="http://schemas.microsoft.com/office/drawing/2012/chart" uri="{CE6537A1-D6FC-4f65-9D91-7224C49458BB}">
                  <c15:layout>
                    <c:manualLayout>
                      <c:w val="0.23067177702583511"/>
                      <c:h val="9.6399406087602085E-2"/>
                    </c:manualLayout>
                  </c15:layout>
                </c:ext>
                <c:ext xmlns:c16="http://schemas.microsoft.com/office/drawing/2014/chart" uri="{C3380CC4-5D6E-409C-BE32-E72D297353CC}">
                  <c16:uniqueId val="{00000003-04BC-324D-9F52-A7E8C9C1271C}"/>
                </c:ext>
              </c:extLst>
            </c:dLbl>
            <c:dLbl>
              <c:idx val="2"/>
              <c:layout>
                <c:manualLayout>
                  <c:x val="-6.3362751753790456E-2"/>
                  <c:y val="-3.6471833003057244E-2"/>
                </c:manualLayout>
              </c:layout>
              <c:showLegendKey val="0"/>
              <c:showVal val="0"/>
              <c:showCatName val="1"/>
              <c:showSerName val="0"/>
              <c:showPercent val="0"/>
              <c:showBubbleSize val="0"/>
              <c:extLst>
                <c:ext xmlns:c15="http://schemas.microsoft.com/office/drawing/2012/chart" uri="{CE6537A1-D6FC-4f65-9D91-7224C49458BB}">
                  <c15:layout>
                    <c:manualLayout>
                      <c:w val="0.31794523647884138"/>
                      <c:h val="9.1870824053452121E-2"/>
                    </c:manualLayout>
                  </c15:layout>
                </c:ext>
                <c:ext xmlns:c16="http://schemas.microsoft.com/office/drawing/2014/chart" uri="{C3380CC4-5D6E-409C-BE32-E72D297353CC}">
                  <c16:uniqueId val="{00000005-04BC-324D-9F52-A7E8C9C1271C}"/>
                </c:ext>
              </c:extLst>
            </c:dLbl>
            <c:dLbl>
              <c:idx val="8"/>
              <c:layout>
                <c:manualLayout>
                  <c:x val="6.9314680878739432E-2"/>
                  <c:y val="1.0342025732306779E-2"/>
                </c:manualLayout>
              </c:layout>
              <c:showLegendKey val="0"/>
              <c:showVal val="0"/>
              <c:showCatName val="1"/>
              <c:showSerName val="0"/>
              <c:showPercent val="0"/>
              <c:showBubbleSize val="0"/>
              <c:extLst>
                <c:ext xmlns:c15="http://schemas.microsoft.com/office/drawing/2012/chart" uri="{CE6537A1-D6FC-4f65-9D91-7224C49458BB}">
                  <c15:layout>
                    <c:manualLayout>
                      <c:w val="0.33659198913781396"/>
                      <c:h val="9.2687453600593911E-2"/>
                    </c:manualLayout>
                  </c15:layout>
                </c:ext>
                <c:ext xmlns:c16="http://schemas.microsoft.com/office/drawing/2014/chart" uri="{C3380CC4-5D6E-409C-BE32-E72D297353CC}">
                  <c16:uniqueId val="{00000011-04BC-324D-9F52-A7E8C9C1271C}"/>
                </c:ext>
              </c:extLst>
            </c:dLbl>
            <c:dLbl>
              <c:idx val="10"/>
              <c:layout>
                <c:manualLayout>
                  <c:x val="-0.12569755155350998"/>
                  <c:y val="-3.593813022815355E-2"/>
                </c:manualLayout>
              </c:layout>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5-04BC-324D-9F52-A7E8C9C1271C}"/>
                </c:ext>
              </c:extLst>
            </c:dLbl>
            <c:dLbl>
              <c:idx val="11"/>
              <c:layout>
                <c:manualLayout>
                  <c:x val="0.19614442288400305"/>
                  <c:y val="0.14712703645897268"/>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65000"/>
                          <a:lumOff val="35000"/>
                        </a:schemeClr>
                      </a:solidFill>
                      <a:latin typeface="+mn-lt"/>
                      <a:ea typeface="+mn-ea"/>
                      <a:cs typeface="+mn-cs"/>
                    </a:defRPr>
                  </a:pPr>
                  <a:endParaRPr lang="en-US"/>
                </a:p>
              </c:txPr>
              <c:showLegendKey val="0"/>
              <c:showVal val="0"/>
              <c:showCatName val="1"/>
              <c:showSerName val="0"/>
              <c:showPercent val="0"/>
              <c:showBubbleSize val="0"/>
              <c:extLst>
                <c:ext xmlns:c15="http://schemas.microsoft.com/office/drawing/2012/chart" uri="{CE6537A1-D6FC-4f65-9D91-7224C49458BB}">
                  <c15:layout>
                    <c:manualLayout>
                      <c:w val="0.27947499434261147"/>
                      <c:h val="0.14569413511507051"/>
                    </c:manualLayout>
                  </c15:layout>
                </c:ext>
                <c:ext xmlns:c16="http://schemas.microsoft.com/office/drawing/2014/chart" uri="{C3380CC4-5D6E-409C-BE32-E72D297353CC}">
                  <c16:uniqueId val="{00000017-04BC-324D-9F52-A7E8C9C1271C}"/>
                </c:ext>
              </c:extLst>
            </c:dLbl>
            <c:dLbl>
              <c:idx val="12"/>
              <c:layout>
                <c:manualLayout>
                  <c:x val="-5.7737436588247246E-2"/>
                  <c:y val="2.8176934453349234E-2"/>
                </c:manualLayout>
              </c:layout>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9-04BC-324D-9F52-A7E8C9C1271C}"/>
                </c:ext>
              </c:extLst>
            </c:dLbl>
            <c:dLbl>
              <c:idx val="14"/>
              <c:layout>
                <c:manualLayout>
                  <c:x val="-0.25332004069756048"/>
                  <c:y val="-0.12762043386002139"/>
                </c:manualLayout>
              </c:layout>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D-04BC-324D-9F52-A7E8C9C1271C}"/>
                </c:ext>
              </c:extLst>
            </c:dLbl>
            <c:dLbl>
              <c:idx val="16"/>
              <c:layout>
                <c:manualLayout>
                  <c:x val="-0.11314777098891152"/>
                  <c:y val="-9.376333526237967E-3"/>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65000"/>
                          <a:lumOff val="35000"/>
                        </a:schemeClr>
                      </a:solidFill>
                      <a:latin typeface="+mn-lt"/>
                      <a:ea typeface="+mn-ea"/>
                      <a:cs typeface="+mn-cs"/>
                    </a:defRPr>
                  </a:pPr>
                  <a:endParaRPr lang="en-US"/>
                </a:p>
              </c:txPr>
              <c:showLegendKey val="0"/>
              <c:showVal val="0"/>
              <c:showCatName val="1"/>
              <c:showSerName val="0"/>
              <c:showPercent val="0"/>
              <c:showBubbleSize val="0"/>
              <c:extLst>
                <c:ext xmlns:c15="http://schemas.microsoft.com/office/drawing/2012/chart" uri="{CE6537A1-D6FC-4f65-9D91-7224C49458BB}">
                  <c15:layout>
                    <c:manualLayout>
                      <c:w val="0.29644715999094817"/>
                      <c:h val="6.8671121009651073E-2"/>
                    </c:manualLayout>
                  </c15:layout>
                </c:ext>
                <c:ext xmlns:c16="http://schemas.microsoft.com/office/drawing/2014/chart" uri="{C3380CC4-5D6E-409C-BE32-E72D297353CC}">
                  <c16:uniqueId val="{00000021-04BC-324D-9F52-A7E8C9C1271C}"/>
                </c:ext>
              </c:extLst>
            </c:dLbl>
            <c:dLbl>
              <c:idx val="18"/>
              <c:layout>
                <c:manualLayout>
                  <c:x val="-0.12018538415895569"/>
                  <c:y val="-8.3200638338915875E-2"/>
                </c:manualLayout>
              </c:layout>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25-04BC-324D-9F52-A7E8C9C1271C}"/>
                </c:ext>
              </c:extLst>
            </c:dLbl>
            <c:dLbl>
              <c:idx val="20"/>
              <c:layout>
                <c:manualLayout>
                  <c:x val="0.40597420230821452"/>
                  <c:y val="-6.5819640028292672E-2"/>
                </c:manualLayout>
              </c:layout>
              <c:showLegendKey val="0"/>
              <c:showVal val="0"/>
              <c:showCatName val="1"/>
              <c:showSerName val="0"/>
              <c:showPercent val="0"/>
              <c:showBubbleSize val="0"/>
              <c:extLst>
                <c:ext xmlns:c15="http://schemas.microsoft.com/office/drawing/2012/chart" uri="{CE6537A1-D6FC-4f65-9D91-7224C49458BB}">
                  <c15:layout>
                    <c:manualLayout>
                      <c:w val="0.28173794976238969"/>
                      <c:h val="9.1870824053452121E-2"/>
                    </c:manualLayout>
                  </c15:layout>
                </c:ext>
                <c:ext xmlns:c16="http://schemas.microsoft.com/office/drawing/2014/chart" uri="{C3380CC4-5D6E-409C-BE32-E72D297353CC}">
                  <c16:uniqueId val="{00000029-04BC-324D-9F52-A7E8C9C1271C}"/>
                </c:ext>
              </c:extLst>
            </c:dLbl>
            <c:dLbl>
              <c:idx val="23"/>
              <c:layout>
                <c:manualLayout>
                  <c:x val="0.10862203833482119"/>
                  <c:y val="-4.6116771595087362E-2"/>
                </c:manualLayout>
              </c:layout>
              <c:showLegendKey val="0"/>
              <c:showVal val="0"/>
              <c:showCatName val="1"/>
              <c:showSerName val="0"/>
              <c:showPercent val="0"/>
              <c:showBubbleSize val="0"/>
              <c:extLst>
                <c:ext xmlns:c15="http://schemas.microsoft.com/office/drawing/2012/chart" uri="{CE6537A1-D6FC-4f65-9D91-7224C49458BB}">
                  <c15:layout>
                    <c:manualLayout>
                      <c:w val="0.25910839556460735"/>
                      <c:h val="9.4654788418708238E-2"/>
                    </c:manualLayout>
                  </c15:layout>
                </c:ext>
                <c:ext xmlns:c16="http://schemas.microsoft.com/office/drawing/2014/chart" uri="{C3380CC4-5D6E-409C-BE32-E72D297353CC}">
                  <c16:uniqueId val="{0000002F-04BC-324D-9F52-A7E8C9C1271C}"/>
                </c:ext>
              </c:extLst>
            </c:dLbl>
            <c:dLbl>
              <c:idx val="24"/>
              <c:layout>
                <c:manualLayout>
                  <c:x val="0.40494571579774524"/>
                  <c:y val="-3.0341850364472817E-2"/>
                </c:manualLayout>
              </c:layout>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31-04BC-324D-9F52-A7E8C9C1271C}"/>
                </c:ext>
              </c:extLst>
            </c:dLbl>
            <c:dLbl>
              <c:idx val="26"/>
              <c:layout>
                <c:manualLayout>
                  <c:x val="0.2855789156701643"/>
                  <c:y val="8.8794579964809519E-3"/>
                </c:manualLayout>
              </c:layout>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35-04BC-324D-9F52-A7E8C9C1271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showLegendKey val="0"/>
            <c:showVal val="0"/>
            <c:showCatName val="1"/>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Sheet1!$J$2:$J$29</c:f>
              <c:strCache>
                <c:ptCount val="28"/>
                <c:pt idx="0">
                  <c:v>USA</c:v>
                </c:pt>
                <c:pt idx="1">
                  <c:v>World Bank</c:v>
                </c:pt>
                <c:pt idx="2">
                  <c:v>Netherlands</c:v>
                </c:pt>
                <c:pt idx="3">
                  <c:v>Japan</c:v>
                </c:pt>
                <c:pt idx="4">
                  <c:v>Saudi Arabia</c:v>
                </c:pt>
                <c:pt idx="5">
                  <c:v>Germany</c:v>
                </c:pt>
                <c:pt idx="6">
                  <c:v>France</c:v>
                </c:pt>
                <c:pt idx="7">
                  <c:v>Canada</c:v>
                </c:pt>
                <c:pt idx="8">
                  <c:v>United Kingdom</c:v>
                </c:pt>
                <c:pt idx="9">
                  <c:v>Kuwait</c:v>
                </c:pt>
                <c:pt idx="10">
                  <c:v>Belgium</c:v>
                </c:pt>
                <c:pt idx="11">
                  <c:v>Switzerland</c:v>
                </c:pt>
                <c:pt idx="12">
                  <c:v>UNDP</c:v>
                </c:pt>
                <c:pt idx="13">
                  <c:v>Norway</c:v>
                </c:pt>
                <c:pt idx="14">
                  <c:v>AFDB</c:v>
                </c:pt>
                <c:pt idx="15">
                  <c:v>Ivory Coast</c:v>
                </c:pt>
                <c:pt idx="16">
                  <c:v>OPEC Fund</c:v>
                </c:pt>
                <c:pt idx="17">
                  <c:v>EEC</c:v>
                </c:pt>
                <c:pt idx="18">
                  <c:v>Italy</c:v>
                </c:pt>
                <c:pt idx="19">
                  <c:v>WHO</c:v>
                </c:pt>
                <c:pt idx="20">
                  <c:v>Luxembourgh</c:v>
                </c:pt>
                <c:pt idx="21">
                  <c:v>Finland</c:v>
                </c:pt>
                <c:pt idx="22">
                  <c:v>Al Sabah Foundation</c:v>
                </c:pt>
                <c:pt idx="23">
                  <c:v>Gulbenkian Fdn</c:v>
                </c:pt>
                <c:pt idx="24">
                  <c:v>Portugal</c:v>
                </c:pt>
                <c:pt idx="25">
                  <c:v>Korea</c:v>
                </c:pt>
                <c:pt idx="26">
                  <c:v>Denmark</c:v>
                </c:pt>
                <c:pt idx="27">
                  <c:v>Iraq</c:v>
                </c:pt>
              </c:strCache>
            </c:strRef>
          </c:cat>
          <c:val>
            <c:numRef>
              <c:f>Sheet1!$N$2:$N$29</c:f>
              <c:numCache>
                <c:formatCode>General</c:formatCode>
                <c:ptCount val="28"/>
                <c:pt idx="0">
                  <c:v>42180000</c:v>
                </c:pt>
                <c:pt idx="1">
                  <c:v>10400000</c:v>
                </c:pt>
                <c:pt idx="2">
                  <c:v>9080000</c:v>
                </c:pt>
                <c:pt idx="3">
                  <c:v>24900000</c:v>
                </c:pt>
                <c:pt idx="4">
                  <c:v>25040000</c:v>
                </c:pt>
                <c:pt idx="5">
                  <c:v>16995083</c:v>
                </c:pt>
                <c:pt idx="6">
                  <c:v>18676550</c:v>
                </c:pt>
                <c:pt idx="8">
                  <c:v>8112250</c:v>
                </c:pt>
                <c:pt idx="9">
                  <c:v>16100000</c:v>
                </c:pt>
                <c:pt idx="10">
                  <c:v>10090750</c:v>
                </c:pt>
                <c:pt idx="11">
                  <c:v>5690000</c:v>
                </c:pt>
                <c:pt idx="12">
                  <c:v>4310000</c:v>
                </c:pt>
                <c:pt idx="14">
                  <c:v>1620000</c:v>
                </c:pt>
                <c:pt idx="16">
                  <c:v>0</c:v>
                </c:pt>
                <c:pt idx="18">
                  <c:v>4460000</c:v>
                </c:pt>
                <c:pt idx="19">
                  <c:v>900000</c:v>
                </c:pt>
                <c:pt idx="20">
                  <c:v>940000</c:v>
                </c:pt>
                <c:pt idx="23">
                  <c:v>200000</c:v>
                </c:pt>
                <c:pt idx="24">
                  <c:v>140000</c:v>
                </c:pt>
                <c:pt idx="26">
                  <c:v>2000000</c:v>
                </c:pt>
              </c:numCache>
            </c:numRef>
          </c:val>
          <c:extLst>
            <c:ext xmlns:c16="http://schemas.microsoft.com/office/drawing/2014/chart" uri="{C3380CC4-5D6E-409C-BE32-E72D297353CC}">
              <c16:uniqueId val="{00000038-04BC-324D-9F52-A7E8C9C1271C}"/>
            </c:ext>
          </c:extLst>
        </c:ser>
        <c:dLbls>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cap="none" spc="20" baseline="0">
                <a:solidFill>
                  <a:schemeClr val="tx1">
                    <a:lumMod val="50000"/>
                    <a:lumOff val="50000"/>
                  </a:schemeClr>
                </a:solidFill>
                <a:latin typeface="+mj-lt"/>
                <a:ea typeface="+mn-ea"/>
                <a:cs typeface="+mn-cs"/>
              </a:defRPr>
            </a:pPr>
            <a:r>
              <a:rPr lang="en-GB" sz="1100" b="1"/>
              <a:t>Percentage share of net official development assistance (ODA) by Development</a:t>
            </a:r>
            <a:r>
              <a:rPr lang="en-GB" sz="1100" b="1" baseline="0"/>
              <a:t> Assistance Commission</a:t>
            </a:r>
            <a:r>
              <a:rPr lang="en-GB" sz="1100" b="1" i="0" u="none" strike="noStrike" kern="1200" cap="none" spc="20" baseline="0">
                <a:solidFill>
                  <a:sysClr val="windowText" lastClr="000000">
                    <a:lumMod val="50000"/>
                    <a:lumOff val="50000"/>
                  </a:sysClr>
                </a:solidFill>
                <a:latin typeface="+mj-lt"/>
                <a:ea typeface="+mn-ea"/>
                <a:cs typeface="+mn-cs"/>
              </a:rPr>
              <a:t> (DAC)</a:t>
            </a:r>
            <a:r>
              <a:rPr lang="en-GB" sz="1100" b="1"/>
              <a:t> donor, 1970-1999</a:t>
            </a:r>
          </a:p>
        </c:rich>
      </c:tx>
      <c:layout>
        <c:manualLayout>
          <c:xMode val="edge"/>
          <c:yMode val="edge"/>
          <c:x val="0.148847319532039"/>
          <c:y val="1.63478829491581E-2"/>
        </c:manualLayout>
      </c:layout>
      <c:overlay val="0"/>
      <c:spPr>
        <a:noFill/>
        <a:ln>
          <a:noFill/>
        </a:ln>
        <a:effectLst/>
      </c:spPr>
      <c:txPr>
        <a:bodyPr rot="0" spcFirstLastPara="1" vertOverflow="ellipsis" vert="horz" wrap="square" anchor="ctr" anchorCtr="1"/>
        <a:lstStyle/>
        <a:p>
          <a:pPr>
            <a:defRPr sz="1050" b="1" i="0" u="none" strike="noStrike" kern="1200" cap="none" spc="20" baseline="0">
              <a:solidFill>
                <a:schemeClr val="tx1">
                  <a:lumMod val="50000"/>
                  <a:lumOff val="50000"/>
                </a:schemeClr>
              </a:solidFill>
              <a:latin typeface="+mj-lt"/>
              <a:ea typeface="+mn-ea"/>
              <a:cs typeface="+mn-cs"/>
            </a:defRPr>
          </a:pPr>
          <a:endParaRPr lang="en-US"/>
        </a:p>
      </c:txPr>
    </c:title>
    <c:autoTitleDeleted val="0"/>
    <c:plotArea>
      <c:layout/>
      <c:barChart>
        <c:barDir val="bar"/>
        <c:grouping val="stacked"/>
        <c:varyColors val="0"/>
        <c:ser>
          <c:idx val="0"/>
          <c:order val="0"/>
          <c:tx>
            <c:strRef>
              <c:f>Sheet1!$A$3</c:f>
              <c:strCache>
                <c:ptCount val="1"/>
                <c:pt idx="0">
                  <c:v>United States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Sheet1!$B$1:$D$2</c:f>
              <c:strCache>
                <c:ptCount val="3"/>
                <c:pt idx="0">
                  <c:v>1970-1979</c:v>
                </c:pt>
                <c:pt idx="1">
                  <c:v>1980-1989</c:v>
                </c:pt>
                <c:pt idx="2">
                  <c:v>1990-1999</c:v>
                </c:pt>
              </c:strCache>
            </c:strRef>
          </c:cat>
          <c:val>
            <c:numRef>
              <c:f>Sheet1!$B$3:$D$3</c:f>
              <c:numCache>
                <c:formatCode>General</c:formatCode>
                <c:ptCount val="3"/>
                <c:pt idx="0">
                  <c:v>28.9</c:v>
                </c:pt>
                <c:pt idx="1">
                  <c:v>21.9</c:v>
                </c:pt>
                <c:pt idx="2">
                  <c:v>17</c:v>
                </c:pt>
              </c:numCache>
            </c:numRef>
          </c:val>
          <c:extLst>
            <c:ext xmlns:c16="http://schemas.microsoft.com/office/drawing/2014/chart" uri="{C3380CC4-5D6E-409C-BE32-E72D297353CC}">
              <c16:uniqueId val="{00000000-87D1-4D8C-BF81-167D57D0E6D8}"/>
            </c:ext>
          </c:extLst>
        </c:ser>
        <c:ser>
          <c:idx val="1"/>
          <c:order val="1"/>
          <c:tx>
            <c:strRef>
              <c:f>Sheet1!$A$4</c:f>
              <c:strCache>
                <c:ptCount val="1"/>
                <c:pt idx="0">
                  <c:v>Japan</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cat>
            <c:strRef>
              <c:f>Sheet1!$B$1:$D$2</c:f>
              <c:strCache>
                <c:ptCount val="3"/>
                <c:pt idx="0">
                  <c:v>1970-1979</c:v>
                </c:pt>
                <c:pt idx="1">
                  <c:v>1980-1989</c:v>
                </c:pt>
                <c:pt idx="2">
                  <c:v>1990-1999</c:v>
                </c:pt>
              </c:strCache>
            </c:strRef>
          </c:cat>
          <c:val>
            <c:numRef>
              <c:f>Sheet1!$B$4:$D$4</c:f>
              <c:numCache>
                <c:formatCode>General</c:formatCode>
                <c:ptCount val="3"/>
                <c:pt idx="0">
                  <c:v>10.7</c:v>
                </c:pt>
                <c:pt idx="1">
                  <c:v>14.1</c:v>
                </c:pt>
                <c:pt idx="2">
                  <c:v>15.9</c:v>
                </c:pt>
              </c:numCache>
            </c:numRef>
          </c:val>
          <c:extLst>
            <c:ext xmlns:c16="http://schemas.microsoft.com/office/drawing/2014/chart" uri="{C3380CC4-5D6E-409C-BE32-E72D297353CC}">
              <c16:uniqueId val="{00000001-87D1-4D8C-BF81-167D57D0E6D8}"/>
            </c:ext>
          </c:extLst>
        </c:ser>
        <c:ser>
          <c:idx val="2"/>
          <c:order val="2"/>
          <c:tx>
            <c:strRef>
              <c:f>Sheet1!$A$5</c:f>
              <c:strCache>
                <c:ptCount val="1"/>
                <c:pt idx="0">
                  <c:v>Germany</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cat>
            <c:strRef>
              <c:f>Sheet1!$B$1:$D$2</c:f>
              <c:strCache>
                <c:ptCount val="3"/>
                <c:pt idx="0">
                  <c:v>1970-1979</c:v>
                </c:pt>
                <c:pt idx="1">
                  <c:v>1980-1989</c:v>
                </c:pt>
                <c:pt idx="2">
                  <c:v>1990-1999</c:v>
                </c:pt>
              </c:strCache>
            </c:strRef>
          </c:cat>
          <c:val>
            <c:numRef>
              <c:f>Sheet1!$B$5:$D$5</c:f>
              <c:numCache>
                <c:formatCode>General</c:formatCode>
                <c:ptCount val="3"/>
                <c:pt idx="0">
                  <c:v>12</c:v>
                </c:pt>
                <c:pt idx="1">
                  <c:v>12</c:v>
                </c:pt>
                <c:pt idx="2">
                  <c:v>11.5</c:v>
                </c:pt>
              </c:numCache>
            </c:numRef>
          </c:val>
          <c:extLst>
            <c:ext xmlns:c16="http://schemas.microsoft.com/office/drawing/2014/chart" uri="{C3380CC4-5D6E-409C-BE32-E72D297353CC}">
              <c16:uniqueId val="{00000002-87D1-4D8C-BF81-167D57D0E6D8}"/>
            </c:ext>
          </c:extLst>
        </c:ser>
        <c:ser>
          <c:idx val="3"/>
          <c:order val="3"/>
          <c:tx>
            <c:strRef>
              <c:f>Sheet1!$A$6</c:f>
              <c:strCache>
                <c:ptCount val="1"/>
                <c:pt idx="0">
                  <c:v>France</c:v>
                </c:pt>
              </c:strCache>
            </c:strRef>
          </c:tx>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invertIfNegative val="0"/>
          <c:cat>
            <c:strRef>
              <c:f>Sheet1!$B$1:$D$2</c:f>
              <c:strCache>
                <c:ptCount val="3"/>
                <c:pt idx="0">
                  <c:v>1970-1979</c:v>
                </c:pt>
                <c:pt idx="1">
                  <c:v>1980-1989</c:v>
                </c:pt>
                <c:pt idx="2">
                  <c:v>1990-1999</c:v>
                </c:pt>
              </c:strCache>
            </c:strRef>
          </c:cat>
          <c:val>
            <c:numRef>
              <c:f>Sheet1!$B$6:$D$6</c:f>
              <c:numCache>
                <c:formatCode>General</c:formatCode>
                <c:ptCount val="3"/>
                <c:pt idx="0">
                  <c:v>11.7</c:v>
                </c:pt>
                <c:pt idx="1">
                  <c:v>12.9</c:v>
                </c:pt>
                <c:pt idx="2">
                  <c:v>13.9</c:v>
                </c:pt>
              </c:numCache>
            </c:numRef>
          </c:val>
          <c:extLst>
            <c:ext xmlns:c16="http://schemas.microsoft.com/office/drawing/2014/chart" uri="{C3380CC4-5D6E-409C-BE32-E72D297353CC}">
              <c16:uniqueId val="{00000003-87D1-4D8C-BF81-167D57D0E6D8}"/>
            </c:ext>
          </c:extLst>
        </c:ser>
        <c:ser>
          <c:idx val="4"/>
          <c:order val="4"/>
          <c:tx>
            <c:strRef>
              <c:f>Sheet1!$A$7</c:f>
              <c:strCache>
                <c:ptCount val="1"/>
                <c:pt idx="0">
                  <c:v>United Kingdom</c:v>
                </c:pt>
              </c:strCache>
            </c:strRef>
          </c:tx>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invertIfNegative val="0"/>
          <c:cat>
            <c:strRef>
              <c:f>Sheet1!$B$1:$D$2</c:f>
              <c:strCache>
                <c:ptCount val="3"/>
                <c:pt idx="0">
                  <c:v>1970-1979</c:v>
                </c:pt>
                <c:pt idx="1">
                  <c:v>1980-1989</c:v>
                </c:pt>
                <c:pt idx="2">
                  <c:v>1990-1999</c:v>
                </c:pt>
              </c:strCache>
            </c:strRef>
          </c:cat>
          <c:val>
            <c:numRef>
              <c:f>Sheet1!$B$7:$D$7</c:f>
              <c:numCache>
                <c:formatCode>General</c:formatCode>
                <c:ptCount val="3"/>
                <c:pt idx="0">
                  <c:v>9.4</c:v>
                </c:pt>
                <c:pt idx="1">
                  <c:v>6</c:v>
                </c:pt>
                <c:pt idx="2">
                  <c:v>5.7</c:v>
                </c:pt>
              </c:numCache>
            </c:numRef>
          </c:val>
          <c:extLst>
            <c:ext xmlns:c16="http://schemas.microsoft.com/office/drawing/2014/chart" uri="{C3380CC4-5D6E-409C-BE32-E72D297353CC}">
              <c16:uniqueId val="{00000004-87D1-4D8C-BF81-167D57D0E6D8}"/>
            </c:ext>
          </c:extLst>
        </c:ser>
        <c:ser>
          <c:idx val="5"/>
          <c:order val="5"/>
          <c:tx>
            <c:strRef>
              <c:f>Sheet1!$A$8</c:f>
              <c:strCache>
                <c:ptCount val="1"/>
                <c:pt idx="0">
                  <c:v>Canada</c:v>
                </c:pt>
              </c:strCache>
            </c:strRef>
          </c:tx>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invertIfNegative val="0"/>
          <c:cat>
            <c:strRef>
              <c:f>Sheet1!$B$1:$D$2</c:f>
              <c:strCache>
                <c:ptCount val="3"/>
                <c:pt idx="0">
                  <c:v>1970-1979</c:v>
                </c:pt>
                <c:pt idx="1">
                  <c:v>1980-1989</c:v>
                </c:pt>
                <c:pt idx="2">
                  <c:v>1990-1999</c:v>
                </c:pt>
              </c:strCache>
            </c:strRef>
          </c:cat>
          <c:val>
            <c:numRef>
              <c:f>Sheet1!$B$8:$D$8</c:f>
              <c:numCache>
                <c:formatCode>General</c:formatCode>
                <c:ptCount val="3"/>
                <c:pt idx="0">
                  <c:v>5.0999999999999996</c:v>
                </c:pt>
                <c:pt idx="1">
                  <c:v>4.5999999999999996</c:v>
                </c:pt>
                <c:pt idx="2">
                  <c:v>4.3</c:v>
                </c:pt>
              </c:numCache>
            </c:numRef>
          </c:val>
          <c:extLst>
            <c:ext xmlns:c16="http://schemas.microsoft.com/office/drawing/2014/chart" uri="{C3380CC4-5D6E-409C-BE32-E72D297353CC}">
              <c16:uniqueId val="{00000005-87D1-4D8C-BF81-167D57D0E6D8}"/>
            </c:ext>
          </c:extLst>
        </c:ser>
        <c:ser>
          <c:idx val="6"/>
          <c:order val="6"/>
          <c:tx>
            <c:strRef>
              <c:f>Sheet1!$A$9</c:f>
              <c:strCache>
                <c:ptCount val="1"/>
                <c:pt idx="0">
                  <c:v>Netherlands</c:v>
                </c:pt>
              </c:strCache>
            </c:strRef>
          </c:tx>
          <c:spPr>
            <a:gradFill rotWithShape="1">
              <a:gsLst>
                <a:gs pos="0">
                  <a:schemeClr val="accent1">
                    <a:lumMod val="60000"/>
                    <a:lumMod val="110000"/>
                    <a:satMod val="105000"/>
                    <a:tint val="67000"/>
                  </a:schemeClr>
                </a:gs>
                <a:gs pos="50000">
                  <a:schemeClr val="accent1">
                    <a:lumMod val="60000"/>
                    <a:lumMod val="105000"/>
                    <a:satMod val="103000"/>
                    <a:tint val="73000"/>
                  </a:schemeClr>
                </a:gs>
                <a:gs pos="100000">
                  <a:schemeClr val="accent1">
                    <a:lumMod val="60000"/>
                    <a:lumMod val="105000"/>
                    <a:satMod val="109000"/>
                    <a:tint val="81000"/>
                  </a:schemeClr>
                </a:gs>
              </a:gsLst>
              <a:lin ang="5400000" scaled="0"/>
            </a:gradFill>
            <a:ln w="9525" cap="flat" cmpd="sng" algn="ctr">
              <a:solidFill>
                <a:schemeClr val="accent1">
                  <a:lumMod val="60000"/>
                  <a:shade val="95000"/>
                </a:schemeClr>
              </a:solidFill>
              <a:round/>
            </a:ln>
            <a:effectLst/>
          </c:spPr>
          <c:invertIfNegative val="0"/>
          <c:cat>
            <c:strRef>
              <c:f>Sheet1!$B$1:$D$2</c:f>
              <c:strCache>
                <c:ptCount val="3"/>
                <c:pt idx="0">
                  <c:v>1970-1979</c:v>
                </c:pt>
                <c:pt idx="1">
                  <c:v>1980-1989</c:v>
                </c:pt>
                <c:pt idx="2">
                  <c:v>1990-1999</c:v>
                </c:pt>
              </c:strCache>
            </c:strRef>
          </c:cat>
          <c:val>
            <c:numRef>
              <c:f>Sheet1!$B$9:$D$9</c:f>
              <c:numCache>
                <c:formatCode>General</c:formatCode>
                <c:ptCount val="3"/>
                <c:pt idx="0">
                  <c:v>5.2</c:v>
                </c:pt>
                <c:pt idx="1">
                  <c:v>5.8</c:v>
                </c:pt>
                <c:pt idx="2">
                  <c:v>5.9</c:v>
                </c:pt>
              </c:numCache>
            </c:numRef>
          </c:val>
          <c:extLst>
            <c:ext xmlns:c16="http://schemas.microsoft.com/office/drawing/2014/chart" uri="{C3380CC4-5D6E-409C-BE32-E72D297353CC}">
              <c16:uniqueId val="{00000006-87D1-4D8C-BF81-167D57D0E6D8}"/>
            </c:ext>
          </c:extLst>
        </c:ser>
        <c:ser>
          <c:idx val="7"/>
          <c:order val="7"/>
          <c:tx>
            <c:strRef>
              <c:f>Sheet1!$A$10</c:f>
              <c:strCache>
                <c:ptCount val="1"/>
                <c:pt idx="0">
                  <c:v>Australia</c:v>
                </c:pt>
              </c:strCache>
            </c:strRef>
          </c:tx>
          <c:spPr>
            <a:gradFill rotWithShape="1">
              <a:gsLst>
                <a:gs pos="0">
                  <a:schemeClr val="accent2">
                    <a:lumMod val="60000"/>
                    <a:lumMod val="110000"/>
                    <a:satMod val="105000"/>
                    <a:tint val="67000"/>
                  </a:schemeClr>
                </a:gs>
                <a:gs pos="50000">
                  <a:schemeClr val="accent2">
                    <a:lumMod val="60000"/>
                    <a:lumMod val="105000"/>
                    <a:satMod val="103000"/>
                    <a:tint val="73000"/>
                  </a:schemeClr>
                </a:gs>
                <a:gs pos="100000">
                  <a:schemeClr val="accent2">
                    <a:lumMod val="60000"/>
                    <a:lumMod val="105000"/>
                    <a:satMod val="109000"/>
                    <a:tint val="81000"/>
                  </a:schemeClr>
                </a:gs>
              </a:gsLst>
              <a:lin ang="5400000" scaled="0"/>
            </a:gradFill>
            <a:ln w="9525" cap="flat" cmpd="sng" algn="ctr">
              <a:solidFill>
                <a:schemeClr val="accent2">
                  <a:lumMod val="60000"/>
                  <a:shade val="95000"/>
                </a:schemeClr>
              </a:solidFill>
              <a:round/>
            </a:ln>
            <a:effectLst/>
          </c:spPr>
          <c:invertIfNegative val="0"/>
          <c:cat>
            <c:strRef>
              <c:f>Sheet1!$B$1:$D$2</c:f>
              <c:strCache>
                <c:ptCount val="3"/>
                <c:pt idx="0">
                  <c:v>1970-1979</c:v>
                </c:pt>
                <c:pt idx="1">
                  <c:v>1980-1989</c:v>
                </c:pt>
                <c:pt idx="2">
                  <c:v>1990-1999</c:v>
                </c:pt>
              </c:strCache>
            </c:strRef>
          </c:cat>
          <c:val>
            <c:numRef>
              <c:f>Sheet1!$B$10:$D$10</c:f>
              <c:numCache>
                <c:formatCode>General</c:formatCode>
                <c:ptCount val="3"/>
                <c:pt idx="0">
                  <c:v>3.1</c:v>
                </c:pt>
                <c:pt idx="1">
                  <c:v>2.5</c:v>
                </c:pt>
                <c:pt idx="2">
                  <c:v>2.2000000000000002</c:v>
                </c:pt>
              </c:numCache>
            </c:numRef>
          </c:val>
          <c:extLst>
            <c:ext xmlns:c16="http://schemas.microsoft.com/office/drawing/2014/chart" uri="{C3380CC4-5D6E-409C-BE32-E72D297353CC}">
              <c16:uniqueId val="{00000007-87D1-4D8C-BF81-167D57D0E6D8}"/>
            </c:ext>
          </c:extLst>
        </c:ser>
        <c:ser>
          <c:idx val="8"/>
          <c:order val="8"/>
          <c:tx>
            <c:strRef>
              <c:f>Sheet1!$A$11</c:f>
              <c:strCache>
                <c:ptCount val="1"/>
                <c:pt idx="0">
                  <c:v>Belgium</c:v>
                </c:pt>
              </c:strCache>
            </c:strRef>
          </c:tx>
          <c:spPr>
            <a:gradFill rotWithShape="1">
              <a:gsLst>
                <a:gs pos="0">
                  <a:schemeClr val="accent3">
                    <a:lumMod val="60000"/>
                    <a:lumMod val="110000"/>
                    <a:satMod val="105000"/>
                    <a:tint val="67000"/>
                  </a:schemeClr>
                </a:gs>
                <a:gs pos="50000">
                  <a:schemeClr val="accent3">
                    <a:lumMod val="60000"/>
                    <a:lumMod val="105000"/>
                    <a:satMod val="103000"/>
                    <a:tint val="73000"/>
                  </a:schemeClr>
                </a:gs>
                <a:gs pos="100000">
                  <a:schemeClr val="accent3">
                    <a:lumMod val="60000"/>
                    <a:lumMod val="105000"/>
                    <a:satMod val="109000"/>
                    <a:tint val="81000"/>
                  </a:schemeClr>
                </a:gs>
              </a:gsLst>
              <a:lin ang="5400000" scaled="0"/>
            </a:gradFill>
            <a:ln w="9525" cap="flat" cmpd="sng" algn="ctr">
              <a:solidFill>
                <a:schemeClr val="accent3">
                  <a:lumMod val="60000"/>
                  <a:shade val="95000"/>
                </a:schemeClr>
              </a:solidFill>
              <a:round/>
            </a:ln>
            <a:effectLst/>
          </c:spPr>
          <c:invertIfNegative val="0"/>
          <c:cat>
            <c:strRef>
              <c:f>Sheet1!$B$1:$D$2</c:f>
              <c:strCache>
                <c:ptCount val="3"/>
                <c:pt idx="0">
                  <c:v>1970-1979</c:v>
                </c:pt>
                <c:pt idx="1">
                  <c:v>1980-1989</c:v>
                </c:pt>
                <c:pt idx="2">
                  <c:v>1990-1999</c:v>
                </c:pt>
              </c:strCache>
            </c:strRef>
          </c:cat>
          <c:val>
            <c:numRef>
              <c:f>Sheet1!$B$11:$D$11</c:f>
              <c:numCache>
                <c:formatCode>General</c:formatCode>
                <c:ptCount val="3"/>
                <c:pt idx="0">
                  <c:v>2.6</c:v>
                </c:pt>
                <c:pt idx="1">
                  <c:v>2</c:v>
                </c:pt>
                <c:pt idx="2">
                  <c:v>1.6</c:v>
                </c:pt>
              </c:numCache>
            </c:numRef>
          </c:val>
          <c:extLst>
            <c:ext xmlns:c16="http://schemas.microsoft.com/office/drawing/2014/chart" uri="{C3380CC4-5D6E-409C-BE32-E72D297353CC}">
              <c16:uniqueId val="{00000008-87D1-4D8C-BF81-167D57D0E6D8}"/>
            </c:ext>
          </c:extLst>
        </c:ser>
        <c:ser>
          <c:idx val="9"/>
          <c:order val="9"/>
          <c:tx>
            <c:strRef>
              <c:f>Sheet1!$A$12</c:f>
              <c:strCache>
                <c:ptCount val="1"/>
                <c:pt idx="0">
                  <c:v>Denmark</c:v>
                </c:pt>
              </c:strCache>
            </c:strRef>
          </c:tx>
          <c:spPr>
            <a:gradFill rotWithShape="1">
              <a:gsLst>
                <a:gs pos="0">
                  <a:schemeClr val="accent4">
                    <a:lumMod val="60000"/>
                    <a:lumMod val="110000"/>
                    <a:satMod val="105000"/>
                    <a:tint val="67000"/>
                  </a:schemeClr>
                </a:gs>
                <a:gs pos="50000">
                  <a:schemeClr val="accent4">
                    <a:lumMod val="60000"/>
                    <a:lumMod val="105000"/>
                    <a:satMod val="103000"/>
                    <a:tint val="73000"/>
                  </a:schemeClr>
                </a:gs>
                <a:gs pos="100000">
                  <a:schemeClr val="accent4">
                    <a:lumMod val="60000"/>
                    <a:lumMod val="105000"/>
                    <a:satMod val="109000"/>
                    <a:tint val="81000"/>
                  </a:schemeClr>
                </a:gs>
              </a:gsLst>
              <a:lin ang="5400000" scaled="0"/>
            </a:gradFill>
            <a:ln w="9525" cap="flat" cmpd="sng" algn="ctr">
              <a:solidFill>
                <a:schemeClr val="accent4">
                  <a:lumMod val="60000"/>
                  <a:shade val="95000"/>
                </a:schemeClr>
              </a:solidFill>
              <a:round/>
            </a:ln>
            <a:effectLst/>
          </c:spPr>
          <c:invertIfNegative val="0"/>
          <c:cat>
            <c:strRef>
              <c:f>Sheet1!$B$1:$D$2</c:f>
              <c:strCache>
                <c:ptCount val="3"/>
                <c:pt idx="0">
                  <c:v>1970-1979</c:v>
                </c:pt>
                <c:pt idx="1">
                  <c:v>1980-1989</c:v>
                </c:pt>
                <c:pt idx="2">
                  <c:v>1990-1999</c:v>
                </c:pt>
              </c:strCache>
            </c:strRef>
          </c:cat>
          <c:val>
            <c:numRef>
              <c:f>Sheet1!$B$12:$D$12</c:f>
              <c:numCache>
                <c:formatCode>General</c:formatCode>
                <c:ptCount val="3"/>
                <c:pt idx="0">
                  <c:v>1.8</c:v>
                </c:pt>
                <c:pt idx="1">
                  <c:v>2.2000000000000002</c:v>
                </c:pt>
                <c:pt idx="2">
                  <c:v>3</c:v>
                </c:pt>
              </c:numCache>
            </c:numRef>
          </c:val>
          <c:extLst>
            <c:ext xmlns:c16="http://schemas.microsoft.com/office/drawing/2014/chart" uri="{C3380CC4-5D6E-409C-BE32-E72D297353CC}">
              <c16:uniqueId val="{00000009-87D1-4D8C-BF81-167D57D0E6D8}"/>
            </c:ext>
          </c:extLst>
        </c:ser>
        <c:ser>
          <c:idx val="10"/>
          <c:order val="10"/>
          <c:tx>
            <c:strRef>
              <c:f>Sheet1!$A$13</c:f>
              <c:strCache>
                <c:ptCount val="1"/>
                <c:pt idx="0">
                  <c:v>Italy</c:v>
                </c:pt>
              </c:strCache>
            </c:strRef>
          </c:tx>
          <c:spPr>
            <a:gradFill rotWithShape="1">
              <a:gsLst>
                <a:gs pos="0">
                  <a:schemeClr val="accent5">
                    <a:lumMod val="60000"/>
                    <a:lumMod val="110000"/>
                    <a:satMod val="105000"/>
                    <a:tint val="67000"/>
                  </a:schemeClr>
                </a:gs>
                <a:gs pos="50000">
                  <a:schemeClr val="accent5">
                    <a:lumMod val="60000"/>
                    <a:lumMod val="105000"/>
                    <a:satMod val="103000"/>
                    <a:tint val="73000"/>
                  </a:schemeClr>
                </a:gs>
                <a:gs pos="100000">
                  <a:schemeClr val="accent5">
                    <a:lumMod val="60000"/>
                    <a:lumMod val="105000"/>
                    <a:satMod val="109000"/>
                    <a:tint val="81000"/>
                  </a:schemeClr>
                </a:gs>
              </a:gsLst>
              <a:lin ang="5400000" scaled="0"/>
            </a:gradFill>
            <a:ln w="9525" cap="flat" cmpd="sng" algn="ctr">
              <a:solidFill>
                <a:schemeClr val="accent5">
                  <a:lumMod val="60000"/>
                  <a:shade val="95000"/>
                </a:schemeClr>
              </a:solidFill>
              <a:round/>
            </a:ln>
            <a:effectLst/>
          </c:spPr>
          <c:invertIfNegative val="0"/>
          <c:cat>
            <c:strRef>
              <c:f>Sheet1!$B$1:$D$2</c:f>
              <c:strCache>
                <c:ptCount val="3"/>
                <c:pt idx="0">
                  <c:v>1970-1979</c:v>
                </c:pt>
                <c:pt idx="1">
                  <c:v>1980-1989</c:v>
                </c:pt>
                <c:pt idx="2">
                  <c:v>1990-1999</c:v>
                </c:pt>
              </c:strCache>
            </c:strRef>
          </c:cat>
          <c:val>
            <c:numRef>
              <c:f>Sheet1!$B$13:$D$13</c:f>
              <c:numCache>
                <c:formatCode>General</c:formatCode>
                <c:ptCount val="3"/>
                <c:pt idx="0">
                  <c:v>2.6</c:v>
                </c:pt>
                <c:pt idx="1">
                  <c:v>6.1</c:v>
                </c:pt>
                <c:pt idx="2">
                  <c:v>5.4</c:v>
                </c:pt>
              </c:numCache>
            </c:numRef>
          </c:val>
          <c:extLst>
            <c:ext xmlns:c16="http://schemas.microsoft.com/office/drawing/2014/chart" uri="{C3380CC4-5D6E-409C-BE32-E72D297353CC}">
              <c16:uniqueId val="{0000000A-87D1-4D8C-BF81-167D57D0E6D8}"/>
            </c:ext>
          </c:extLst>
        </c:ser>
        <c:ser>
          <c:idx val="11"/>
          <c:order val="11"/>
          <c:tx>
            <c:strRef>
              <c:f>Sheet1!$A$14</c:f>
              <c:strCache>
                <c:ptCount val="1"/>
                <c:pt idx="0">
                  <c:v>Norway</c:v>
                </c:pt>
              </c:strCache>
            </c:strRef>
          </c:tx>
          <c:spPr>
            <a:gradFill rotWithShape="1">
              <a:gsLst>
                <a:gs pos="0">
                  <a:schemeClr val="accent6">
                    <a:lumMod val="60000"/>
                    <a:lumMod val="110000"/>
                    <a:satMod val="105000"/>
                    <a:tint val="67000"/>
                  </a:schemeClr>
                </a:gs>
                <a:gs pos="50000">
                  <a:schemeClr val="accent6">
                    <a:lumMod val="60000"/>
                    <a:lumMod val="105000"/>
                    <a:satMod val="103000"/>
                    <a:tint val="73000"/>
                  </a:schemeClr>
                </a:gs>
                <a:gs pos="100000">
                  <a:schemeClr val="accent6">
                    <a:lumMod val="60000"/>
                    <a:lumMod val="105000"/>
                    <a:satMod val="109000"/>
                    <a:tint val="81000"/>
                  </a:schemeClr>
                </a:gs>
              </a:gsLst>
              <a:lin ang="5400000" scaled="0"/>
            </a:gradFill>
            <a:ln w="9525" cap="flat" cmpd="sng" algn="ctr">
              <a:solidFill>
                <a:schemeClr val="accent6">
                  <a:lumMod val="60000"/>
                  <a:shade val="95000"/>
                </a:schemeClr>
              </a:solidFill>
              <a:round/>
            </a:ln>
            <a:effectLst/>
          </c:spPr>
          <c:invertIfNegative val="0"/>
          <c:cat>
            <c:strRef>
              <c:f>Sheet1!$B$1:$D$2</c:f>
              <c:strCache>
                <c:ptCount val="3"/>
                <c:pt idx="0">
                  <c:v>1970-1979</c:v>
                </c:pt>
                <c:pt idx="1">
                  <c:v>1980-1989</c:v>
                </c:pt>
                <c:pt idx="2">
                  <c:v>1990-1999</c:v>
                </c:pt>
              </c:strCache>
            </c:strRef>
          </c:cat>
          <c:val>
            <c:numRef>
              <c:f>Sheet1!$B$14:$D$14</c:f>
              <c:numCache>
                <c:formatCode>General</c:formatCode>
                <c:ptCount val="3"/>
                <c:pt idx="0">
                  <c:v>1.7</c:v>
                </c:pt>
                <c:pt idx="1">
                  <c:v>2.6</c:v>
                </c:pt>
                <c:pt idx="2">
                  <c:v>3.1</c:v>
                </c:pt>
              </c:numCache>
            </c:numRef>
          </c:val>
          <c:extLst>
            <c:ext xmlns:c16="http://schemas.microsoft.com/office/drawing/2014/chart" uri="{C3380CC4-5D6E-409C-BE32-E72D297353CC}">
              <c16:uniqueId val="{0000000B-87D1-4D8C-BF81-167D57D0E6D8}"/>
            </c:ext>
          </c:extLst>
        </c:ser>
        <c:ser>
          <c:idx val="12"/>
          <c:order val="12"/>
          <c:tx>
            <c:strRef>
              <c:f>Sheet1!$A$15</c:f>
              <c:strCache>
                <c:ptCount val="1"/>
                <c:pt idx="0">
                  <c:v>Sweden</c:v>
                </c:pt>
              </c:strCache>
            </c:strRef>
          </c:tx>
          <c:spPr>
            <a:gradFill rotWithShape="1">
              <a:gsLst>
                <a:gs pos="0">
                  <a:schemeClr val="accent1">
                    <a:lumMod val="80000"/>
                    <a:lumOff val="20000"/>
                    <a:lumMod val="110000"/>
                    <a:satMod val="105000"/>
                    <a:tint val="67000"/>
                  </a:schemeClr>
                </a:gs>
                <a:gs pos="50000">
                  <a:schemeClr val="accent1">
                    <a:lumMod val="80000"/>
                    <a:lumOff val="20000"/>
                    <a:lumMod val="105000"/>
                    <a:satMod val="103000"/>
                    <a:tint val="73000"/>
                  </a:schemeClr>
                </a:gs>
                <a:gs pos="100000">
                  <a:schemeClr val="accent1">
                    <a:lumMod val="80000"/>
                    <a:lumOff val="20000"/>
                    <a:lumMod val="105000"/>
                    <a:satMod val="109000"/>
                    <a:tint val="81000"/>
                  </a:schemeClr>
                </a:gs>
              </a:gsLst>
              <a:lin ang="5400000" scaled="0"/>
            </a:gradFill>
            <a:ln w="9525" cap="flat" cmpd="sng" algn="ctr">
              <a:solidFill>
                <a:schemeClr val="accent1">
                  <a:lumMod val="80000"/>
                  <a:lumOff val="20000"/>
                  <a:shade val="95000"/>
                </a:schemeClr>
              </a:solidFill>
              <a:round/>
            </a:ln>
            <a:effectLst/>
          </c:spPr>
          <c:invertIfNegative val="0"/>
          <c:cat>
            <c:strRef>
              <c:f>Sheet1!$B$1:$D$2</c:f>
              <c:strCache>
                <c:ptCount val="3"/>
                <c:pt idx="0">
                  <c:v>1970-1979</c:v>
                </c:pt>
                <c:pt idx="1">
                  <c:v>1980-1989</c:v>
                </c:pt>
                <c:pt idx="2">
                  <c:v>1990-1999</c:v>
                </c:pt>
              </c:strCache>
            </c:strRef>
          </c:cat>
          <c:val>
            <c:numRef>
              <c:f>Sheet1!$B$15:$D$15</c:f>
              <c:numCache>
                <c:formatCode>General</c:formatCode>
                <c:ptCount val="3"/>
                <c:pt idx="0">
                  <c:v>2.9</c:v>
                </c:pt>
                <c:pt idx="1">
                  <c:v>2.8</c:v>
                </c:pt>
                <c:pt idx="2">
                  <c:v>2.9</c:v>
                </c:pt>
              </c:numCache>
            </c:numRef>
          </c:val>
          <c:extLst>
            <c:ext xmlns:c16="http://schemas.microsoft.com/office/drawing/2014/chart" uri="{C3380CC4-5D6E-409C-BE32-E72D297353CC}">
              <c16:uniqueId val="{0000000C-87D1-4D8C-BF81-167D57D0E6D8}"/>
            </c:ext>
          </c:extLst>
        </c:ser>
        <c:ser>
          <c:idx val="13"/>
          <c:order val="13"/>
          <c:tx>
            <c:strRef>
              <c:f>Sheet1!$A$16</c:f>
              <c:strCache>
                <c:ptCount val="1"/>
                <c:pt idx="0">
                  <c:v>Other* (less than 2% each)</c:v>
                </c:pt>
              </c:strCache>
            </c:strRef>
          </c:tx>
          <c:spPr>
            <a:gradFill rotWithShape="1">
              <a:gsLst>
                <a:gs pos="0">
                  <a:schemeClr val="accent2">
                    <a:lumMod val="80000"/>
                    <a:lumOff val="20000"/>
                    <a:lumMod val="110000"/>
                    <a:satMod val="105000"/>
                    <a:tint val="67000"/>
                  </a:schemeClr>
                </a:gs>
                <a:gs pos="50000">
                  <a:schemeClr val="accent2">
                    <a:lumMod val="80000"/>
                    <a:lumOff val="20000"/>
                    <a:lumMod val="105000"/>
                    <a:satMod val="103000"/>
                    <a:tint val="73000"/>
                  </a:schemeClr>
                </a:gs>
                <a:gs pos="100000">
                  <a:schemeClr val="accent2">
                    <a:lumMod val="80000"/>
                    <a:lumOff val="20000"/>
                    <a:lumMod val="105000"/>
                    <a:satMod val="109000"/>
                    <a:tint val="81000"/>
                  </a:schemeClr>
                </a:gs>
              </a:gsLst>
              <a:lin ang="5400000" scaled="0"/>
            </a:gradFill>
            <a:ln w="9525" cap="flat" cmpd="sng" algn="ctr">
              <a:solidFill>
                <a:schemeClr val="accent2">
                  <a:lumMod val="80000"/>
                  <a:lumOff val="20000"/>
                  <a:shade val="95000"/>
                </a:schemeClr>
              </a:solidFill>
              <a:round/>
            </a:ln>
            <a:effectLst/>
          </c:spPr>
          <c:invertIfNegative val="0"/>
          <c:cat>
            <c:strRef>
              <c:f>Sheet1!$B$1:$D$2</c:f>
              <c:strCache>
                <c:ptCount val="3"/>
                <c:pt idx="0">
                  <c:v>1970-1979</c:v>
                </c:pt>
                <c:pt idx="1">
                  <c:v>1980-1989</c:v>
                </c:pt>
                <c:pt idx="2">
                  <c:v>1990-1999</c:v>
                </c:pt>
              </c:strCache>
            </c:strRef>
          </c:cat>
          <c:val>
            <c:numRef>
              <c:f>Sheet1!$B$16:$D$16</c:f>
              <c:numCache>
                <c:formatCode>General</c:formatCode>
                <c:ptCount val="3"/>
                <c:pt idx="0">
                  <c:v>2.3000000000000109</c:v>
                </c:pt>
                <c:pt idx="1">
                  <c:v>4.5000000000000142</c:v>
                </c:pt>
                <c:pt idx="2">
                  <c:v>7.5999999999999943</c:v>
                </c:pt>
              </c:numCache>
            </c:numRef>
          </c:val>
          <c:extLst>
            <c:ext xmlns:c16="http://schemas.microsoft.com/office/drawing/2014/chart" uri="{C3380CC4-5D6E-409C-BE32-E72D297353CC}">
              <c16:uniqueId val="{0000000D-87D1-4D8C-BF81-167D57D0E6D8}"/>
            </c:ext>
          </c:extLst>
        </c:ser>
        <c:dLbls>
          <c:showLegendKey val="0"/>
          <c:showVal val="0"/>
          <c:showCatName val="0"/>
          <c:showSerName val="0"/>
          <c:showPercent val="0"/>
          <c:showBubbleSize val="0"/>
        </c:dLbls>
        <c:gapWidth val="75"/>
        <c:overlap val="100"/>
        <c:axId val="1367723248"/>
        <c:axId val="1375026560"/>
      </c:barChart>
      <c:catAx>
        <c:axId val="1367723248"/>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r>
                  <a:rPr lang="en-GB"/>
                  <a:t>Year</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crossAx val="1375026560"/>
        <c:crosses val="autoZero"/>
        <c:auto val="1"/>
        <c:lblAlgn val="ctr"/>
        <c:lblOffset val="100"/>
        <c:noMultiLvlLbl val="0"/>
      </c:catAx>
      <c:valAx>
        <c:axId val="1375026560"/>
        <c:scaling>
          <c:orientation val="minMax"/>
        </c:scaling>
        <c:delete val="0"/>
        <c:axPos val="b"/>
        <c:majorGridlines>
          <c:spPr>
            <a:ln w="9525" cap="flat" cmpd="sng" algn="ctr">
              <a:solidFill>
                <a:schemeClr val="tx1">
                  <a:lumMod val="15000"/>
                  <a:lumOff val="85000"/>
                </a:schemeClr>
              </a:solidFill>
              <a:round/>
            </a:ln>
            <a:effectLst/>
          </c:spPr>
        </c:majorGridlines>
        <c:minorGridlines>
          <c:spPr>
            <a:ln>
              <a:solidFill>
                <a:schemeClr val="tx1">
                  <a:lumMod val="5000"/>
                  <a:lumOff val="95000"/>
                </a:schemeClr>
              </a:solidFill>
            </a:ln>
            <a:effectLst/>
          </c:spPr>
        </c:minorGridlines>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r>
                  <a:rPr lang="en-GB"/>
                  <a:t>percentage</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j-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crossAx val="136772324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j-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mj-lt"/>
        </a:defRPr>
      </a:pPr>
      <a:endParaRPr lang="en-US"/>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4399308576993899E-2"/>
          <c:y val="3.9426523297491002E-2"/>
          <c:w val="0.87774435881027202"/>
          <c:h val="0.92114695340501795"/>
        </c:manualLayout>
      </c:layout>
      <c:barChart>
        <c:barDir val="col"/>
        <c:grouping val="clustered"/>
        <c:varyColors val="0"/>
        <c:ser>
          <c:idx val="1"/>
          <c:order val="1"/>
          <c:tx>
            <c:strRef>
              <c:f>'Project Timeline'!$D$20</c:f>
              <c:strCache>
                <c:ptCount val="1"/>
                <c:pt idx="0">
                  <c:v>POSITION</c:v>
                </c:pt>
              </c:strCache>
            </c:strRef>
          </c:tx>
          <c:spPr>
            <a:noFill/>
          </c:spPr>
          <c:invertIfNegative val="0"/>
          <c:dLbls>
            <c:dLbl>
              <c:idx val="0"/>
              <c:layout>
                <c:manualLayout>
                  <c:x val="2.8795623065294099E-3"/>
                  <c:y val="-1.7277903062551399E-2"/>
                </c:manualLayout>
              </c:layout>
              <c:dLblPos val="outEnd"/>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BCA-4236-9482-AFDC2E26B21B}"/>
                </c:ext>
              </c:extLst>
            </c:dLbl>
            <c:dLbl>
              <c:idx val="1"/>
              <c:layout>
                <c:manualLayout>
                  <c:x val="-5.1179855307662503E-2"/>
                  <c:y val="-2.3232925082689902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0.12528780640614001"/>
                      <c:h val="7.5952585536403397E-2"/>
                    </c:manualLayout>
                  </c15:layout>
                </c:ext>
                <c:ext xmlns:c16="http://schemas.microsoft.com/office/drawing/2014/chart" uri="{C3380CC4-5D6E-409C-BE32-E72D297353CC}">
                  <c16:uniqueId val="{00000001-0BCA-4236-9482-AFDC2E26B21B}"/>
                </c:ext>
              </c:extLst>
            </c:dLbl>
            <c:dLbl>
              <c:idx val="2"/>
              <c:layout>
                <c:manualLayout>
                  <c:x val="3.4547775509776099E-2"/>
                  <c:y val="1.64803674622079E-2"/>
                </c:manualLayout>
              </c:layout>
              <c:spPr>
                <a:solidFill>
                  <a:schemeClr val="bg1">
                    <a:lumMod val="95000"/>
                  </a:schemeClr>
                </a:solidFill>
                <a:ln>
                  <a:noFill/>
                </a:ln>
                <a:effectLst/>
              </c:spPr>
              <c:txPr>
                <a:bodyPr vertOverflow="overflow" horzOverflow="overflow" wrap="square" lIns="38100" tIns="19050" rIns="38100" bIns="19050" anchor="ctr">
                  <a:noAutofit/>
                </a:bodyPr>
                <a:lstStyle/>
                <a:p>
                  <a:pPr>
                    <a:defRPr sz="800" cap="none" spc="10" baseline="0">
                      <a:solidFill>
                        <a:schemeClr val="tx1">
                          <a:lumMod val="65000"/>
                          <a:lumOff val="35000"/>
                        </a:schemeClr>
                      </a:solidFill>
                      <a:latin typeface="Calibri" panose="020F0502020204030204" pitchFamily="34" charset="0"/>
                      <a:cs typeface="Times New Roman" panose="02020603050405020304" pitchFamily="18" charset="0"/>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3890678889510299"/>
                      <c:h val="0.12769294301523701"/>
                    </c:manualLayout>
                  </c15:layout>
                </c:ext>
                <c:ext xmlns:c16="http://schemas.microsoft.com/office/drawing/2014/chart" uri="{C3380CC4-5D6E-409C-BE32-E72D297353CC}">
                  <c16:uniqueId val="{00000002-0BCA-4236-9482-AFDC2E26B21B}"/>
                </c:ext>
              </c:extLst>
            </c:dLbl>
            <c:dLbl>
              <c:idx val="3"/>
              <c:layout>
                <c:manualLayout>
                  <c:x val="-4.8000725181495799E-2"/>
                  <c:y val="2.07220687254168E-4"/>
                </c:manualLayout>
              </c:layout>
              <c:dLblPos val="outEnd"/>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BCA-4236-9482-AFDC2E26B21B}"/>
                </c:ext>
              </c:extLst>
            </c:dLbl>
            <c:dLbl>
              <c:idx val="4"/>
              <c:layout>
                <c:manualLayout>
                  <c:x val="-1.9673384667467899E-2"/>
                  <c:y val="2.21613173235755E-2"/>
                </c:manualLayout>
              </c:layout>
              <c:spPr>
                <a:solidFill>
                  <a:schemeClr val="bg1">
                    <a:lumMod val="95000"/>
                  </a:schemeClr>
                </a:solidFill>
                <a:ln>
                  <a:noFill/>
                </a:ln>
                <a:effectLst/>
              </c:spPr>
              <c:txPr>
                <a:bodyPr vertOverflow="overflow" horzOverflow="overflow" wrap="square" lIns="38100" tIns="19050" rIns="38100" bIns="19050" anchor="ctr">
                  <a:noAutofit/>
                </a:bodyPr>
                <a:lstStyle/>
                <a:p>
                  <a:pPr>
                    <a:defRPr sz="800" cap="none" spc="10" baseline="0">
                      <a:solidFill>
                        <a:schemeClr val="tx1">
                          <a:lumMod val="65000"/>
                          <a:lumOff val="35000"/>
                        </a:schemeClr>
                      </a:solidFill>
                      <a:latin typeface="Calibri" panose="020F0502020204030204" pitchFamily="34" charset="0"/>
                      <a:cs typeface="Times New Roman" panose="02020603050405020304" pitchFamily="18" charset="0"/>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34669903672958"/>
                      <c:h val="0.11178269049858899"/>
                    </c:manualLayout>
                  </c15:layout>
                </c:ext>
                <c:ext xmlns:c16="http://schemas.microsoft.com/office/drawing/2014/chart" uri="{C3380CC4-5D6E-409C-BE32-E72D297353CC}">
                  <c16:uniqueId val="{00000004-0BCA-4236-9482-AFDC2E26B21B}"/>
                </c:ext>
              </c:extLst>
            </c:dLbl>
            <c:dLbl>
              <c:idx val="5"/>
              <c:layout>
                <c:manualLayout>
                  <c:x val="2.16536974698199E-3"/>
                  <c:y val="1.5952474426115401E-2"/>
                </c:manualLayout>
              </c:layout>
              <c:spPr>
                <a:solidFill>
                  <a:schemeClr val="bg1">
                    <a:lumMod val="95000"/>
                  </a:schemeClr>
                </a:solidFill>
                <a:ln>
                  <a:noFill/>
                </a:ln>
                <a:effectLst/>
              </c:spPr>
              <c:txPr>
                <a:bodyPr vertOverflow="overflow" horzOverflow="overflow" wrap="square" lIns="38100" tIns="19050" rIns="38100" bIns="19050" anchor="ctr">
                  <a:noAutofit/>
                </a:bodyPr>
                <a:lstStyle/>
                <a:p>
                  <a:pPr>
                    <a:defRPr sz="800" cap="none" spc="10" baseline="0">
                      <a:solidFill>
                        <a:schemeClr val="tx1">
                          <a:lumMod val="65000"/>
                          <a:lumOff val="35000"/>
                        </a:schemeClr>
                      </a:solidFill>
                      <a:latin typeface="Calibri" panose="020F0502020204030204" pitchFamily="34" charset="0"/>
                      <a:cs typeface="Times New Roman" panose="02020603050405020304" pitchFamily="18" charset="0"/>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3758320933510801"/>
                      <c:h val="0.16421693172643201"/>
                    </c:manualLayout>
                  </c15:layout>
                </c:ext>
                <c:ext xmlns:c16="http://schemas.microsoft.com/office/drawing/2014/chart" uri="{C3380CC4-5D6E-409C-BE32-E72D297353CC}">
                  <c16:uniqueId val="{00000005-0BCA-4236-9482-AFDC2E26B21B}"/>
                </c:ext>
              </c:extLst>
            </c:dLbl>
            <c:dLbl>
              <c:idx val="6"/>
              <c:layout>
                <c:manualLayout>
                  <c:x val="1.8888511361485099E-2"/>
                  <c:y val="-4.6531136806394003E-3"/>
                </c:manualLayout>
              </c:layout>
              <c:dLblPos val="outEnd"/>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BCA-4236-9482-AFDC2E26B21B}"/>
                </c:ext>
              </c:extLst>
            </c:dLbl>
            <c:dLbl>
              <c:idx val="7"/>
              <c:layout>
                <c:manualLayout>
                  <c:x val="-3.9114353598744003E-2"/>
                  <c:y val="6.11477877941645E-2"/>
                </c:manualLayout>
              </c:layout>
              <c:spPr>
                <a:solidFill>
                  <a:schemeClr val="bg1">
                    <a:lumMod val="95000"/>
                  </a:schemeClr>
                </a:solidFill>
                <a:ln>
                  <a:noFill/>
                </a:ln>
                <a:effectLst/>
              </c:spPr>
              <c:txPr>
                <a:bodyPr vertOverflow="overflow" horzOverflow="overflow" wrap="square" lIns="38100" tIns="19050" rIns="38100" bIns="19050" anchor="ctr">
                  <a:noAutofit/>
                </a:bodyPr>
                <a:lstStyle/>
                <a:p>
                  <a:pPr>
                    <a:defRPr sz="800" cap="none" spc="10" baseline="0">
                      <a:solidFill>
                        <a:schemeClr val="tx1">
                          <a:lumMod val="65000"/>
                          <a:lumOff val="35000"/>
                        </a:schemeClr>
                      </a:solidFill>
                      <a:latin typeface="Calibri" panose="020F0502020204030204" pitchFamily="34" charset="0"/>
                      <a:cs typeface="Times New Roman" panose="02020603050405020304" pitchFamily="18" charset="0"/>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99624089591981"/>
                      <c:h val="0.27019059118080602"/>
                    </c:manualLayout>
                  </c15:layout>
                </c:ext>
                <c:ext xmlns:c16="http://schemas.microsoft.com/office/drawing/2014/chart" uri="{C3380CC4-5D6E-409C-BE32-E72D297353CC}">
                  <c16:uniqueId val="{00000007-0BCA-4236-9482-AFDC2E26B21B}"/>
                </c:ext>
              </c:extLst>
            </c:dLbl>
            <c:dLbl>
              <c:idx val="8"/>
              <c:layout>
                <c:manualLayout>
                  <c:x val="5.6754948469564803E-2"/>
                  <c:y val="-6.8932822719830799E-3"/>
                </c:manualLayout>
              </c:layout>
              <c:dLblPos val="outEnd"/>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8-0BCA-4236-9482-AFDC2E26B21B}"/>
                </c:ext>
              </c:extLst>
            </c:dLbl>
            <c:dLbl>
              <c:idx val="9"/>
              <c:layout>
                <c:manualLayout>
                  <c:x val="-2.4599284530798564E-2"/>
                  <c:y val="5.2102932396281915E-2"/>
                </c:manualLayout>
              </c:layout>
              <c:spPr>
                <a:solidFill>
                  <a:schemeClr val="bg1">
                    <a:lumMod val="95000"/>
                  </a:schemeClr>
                </a:solidFill>
                <a:ln>
                  <a:noFill/>
                </a:ln>
                <a:effectLst/>
              </c:spPr>
              <c:txPr>
                <a:bodyPr vertOverflow="overflow" horzOverflow="overflow" wrap="square" lIns="38100" tIns="19050" rIns="38100" bIns="19050" anchor="ctr">
                  <a:noAutofit/>
                </a:bodyPr>
                <a:lstStyle/>
                <a:p>
                  <a:pPr>
                    <a:defRPr sz="800" cap="none" spc="10" baseline="0">
                      <a:solidFill>
                        <a:schemeClr val="tx1">
                          <a:lumMod val="65000"/>
                          <a:lumOff val="35000"/>
                        </a:schemeClr>
                      </a:solidFill>
                      <a:latin typeface="Calibri" panose="020F0502020204030204" pitchFamily="34" charset="0"/>
                      <a:cs typeface="Times New Roman" panose="02020603050405020304" pitchFamily="18" charset="0"/>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194256520253016"/>
                      <c:h val="0.12119000321114302"/>
                    </c:manualLayout>
                  </c15:layout>
                </c:ext>
                <c:ext xmlns:c16="http://schemas.microsoft.com/office/drawing/2014/chart" uri="{C3380CC4-5D6E-409C-BE32-E72D297353CC}">
                  <c16:uniqueId val="{00000009-0BCA-4236-9482-AFDC2E26B21B}"/>
                </c:ext>
              </c:extLst>
            </c:dLbl>
            <c:dLbl>
              <c:idx val="10"/>
              <c:layout>
                <c:manualLayout>
                  <c:x val="-2.7565006969334361E-3"/>
                  <c:y val="2.3518387151520777E-2"/>
                </c:manualLayout>
              </c:layout>
              <c:tx>
                <c:rich>
                  <a:bodyPr/>
                  <a:lstStyle/>
                  <a:p>
                    <a:r>
                      <a:rPr lang="en-US"/>
                      <a:t>WHA resolution on PHC as key</a:t>
                    </a:r>
                    <a:r>
                      <a:rPr lang="en-US" baseline="0"/>
                      <a:t> to attaining acceptable level of Health for All; Rockefeller Foundation sponsors Bellagio Conference, with USAID and Bank, on 'Health and population in development', introducing SPHC</a:t>
                    </a:r>
                    <a:endParaRPr lang="en-US"/>
                  </a:p>
                </c:rich>
              </c:tx>
              <c:dLblPos val="outEnd"/>
              <c:showLegendKey val="0"/>
              <c:showVal val="0"/>
              <c:showCatName val="1"/>
              <c:showSerName val="0"/>
              <c:showPercent val="0"/>
              <c:showBubbleSize val="0"/>
              <c:extLst>
                <c:ext xmlns:c15="http://schemas.microsoft.com/office/drawing/2012/chart" uri="{CE6537A1-D6FC-4f65-9D91-7224C49458BB}">
                  <c15:layout>
                    <c:manualLayout>
                      <c:w val="0.18682747278565301"/>
                      <c:h val="0.167815238405641"/>
                    </c:manualLayout>
                  </c15:layout>
                </c:ext>
                <c:ext xmlns:c16="http://schemas.microsoft.com/office/drawing/2014/chart" uri="{C3380CC4-5D6E-409C-BE32-E72D297353CC}">
                  <c16:uniqueId val="{0000000A-0BCA-4236-9482-AFDC2E26B21B}"/>
                </c:ext>
              </c:extLst>
            </c:dLbl>
            <c:dLbl>
              <c:idx val="11"/>
              <c:layout>
                <c:manualLayout>
                  <c:x val="2.2307728177651663E-2"/>
                  <c:y val="-2.3557177273839283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0.1251017908270069"/>
                      <c:h val="0.16781531165791433"/>
                    </c:manualLayout>
                  </c15:layout>
                </c:ext>
                <c:ext xmlns:c16="http://schemas.microsoft.com/office/drawing/2014/chart" uri="{C3380CC4-5D6E-409C-BE32-E72D297353CC}">
                  <c16:uniqueId val="{0000000B-0BCA-4236-9482-AFDC2E26B21B}"/>
                </c:ext>
              </c:extLst>
            </c:dLbl>
            <c:dLbl>
              <c:idx val="12"/>
              <c:layout>
                <c:manualLayout>
                  <c:x val="-3.5745774553652597E-2"/>
                  <c:y val="-2.0490588958600301E-3"/>
                </c:manualLayout>
              </c:layout>
              <c:dLblPos val="outEnd"/>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C-0BCA-4236-9482-AFDC2E26B21B}"/>
                </c:ext>
              </c:extLst>
            </c:dLbl>
            <c:dLbl>
              <c:idx val="13"/>
              <c:layout>
                <c:manualLayout>
                  <c:x val="4.8481059225454315E-2"/>
                  <c:y val="2.1100750528373438E-3"/>
                </c:manualLayout>
              </c:layout>
              <c:dLblPos val="outEnd"/>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D-0BCA-4236-9482-AFDC2E26B21B}"/>
                </c:ext>
              </c:extLst>
            </c:dLbl>
            <c:dLbl>
              <c:idx val="14"/>
              <c:layout>
                <c:manualLayout>
                  <c:x val="1.4733949416066701E-3"/>
                  <c:y val="-2.12300509265308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0.15720886522045599"/>
                      <c:h val="7.5952585536403397E-2"/>
                    </c:manualLayout>
                  </c15:layout>
                </c:ext>
                <c:ext xmlns:c16="http://schemas.microsoft.com/office/drawing/2014/chart" uri="{C3380CC4-5D6E-409C-BE32-E72D297353CC}">
                  <c16:uniqueId val="{0000000E-0BCA-4236-9482-AFDC2E26B21B}"/>
                </c:ext>
              </c:extLst>
            </c:dLbl>
            <c:dLbl>
              <c:idx val="15"/>
              <c:layout>
                <c:manualLayout>
                  <c:x val="-3.0235347534261405E-2"/>
                  <c:y val="-4.9620096138936268E-2"/>
                </c:manualLayout>
              </c:layout>
              <c:dLblPos val="outEnd"/>
              <c:showLegendKey val="0"/>
              <c:showVal val="0"/>
              <c:showCatName val="1"/>
              <c:showSerName val="0"/>
              <c:showPercent val="0"/>
              <c:showBubbleSize val="0"/>
              <c:extLst>
                <c:ext xmlns:c15="http://schemas.microsoft.com/office/drawing/2012/chart" uri="{CE6537A1-D6FC-4f65-9D91-7224C49458BB}">
                  <c15:layout>
                    <c:manualLayout>
                      <c:w val="9.383767997972968E-2"/>
                      <c:h val="0.10015518489712744"/>
                    </c:manualLayout>
                  </c15:layout>
                </c:ext>
                <c:ext xmlns:c16="http://schemas.microsoft.com/office/drawing/2014/chart" uri="{C3380CC4-5D6E-409C-BE32-E72D297353CC}">
                  <c16:uniqueId val="{0000000F-0BCA-4236-9482-AFDC2E26B21B}"/>
                </c:ext>
              </c:extLst>
            </c:dLbl>
            <c:dLbl>
              <c:idx val="16"/>
              <c:layout>
                <c:manualLayout>
                  <c:x val="1.8966169110799104E-2"/>
                  <c:y val="-1.5764636646345736E-2"/>
                </c:manualLayout>
              </c:layout>
              <c:spPr>
                <a:solidFill>
                  <a:schemeClr val="bg1">
                    <a:lumMod val="95000"/>
                  </a:schemeClr>
                </a:solidFill>
                <a:ln>
                  <a:noFill/>
                </a:ln>
                <a:effectLst/>
              </c:spPr>
              <c:txPr>
                <a:bodyPr vertOverflow="overflow" horzOverflow="overflow" wrap="square" lIns="38100" tIns="19050" rIns="38100" bIns="19050" anchor="ctr">
                  <a:noAutofit/>
                </a:bodyPr>
                <a:lstStyle/>
                <a:p>
                  <a:pPr>
                    <a:defRPr sz="800" cap="none" spc="10" baseline="0">
                      <a:solidFill>
                        <a:schemeClr val="tx1">
                          <a:lumMod val="65000"/>
                          <a:lumOff val="35000"/>
                        </a:schemeClr>
                      </a:solidFill>
                      <a:latin typeface="Calibri" panose="020F0502020204030204" pitchFamily="34" charset="0"/>
                      <a:cs typeface="Times New Roman" panose="02020603050405020304" pitchFamily="18" charset="0"/>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1050683130809785"/>
                      <c:h val="0.31172970722433924"/>
                    </c:manualLayout>
                  </c15:layout>
                </c:ext>
                <c:ext xmlns:c16="http://schemas.microsoft.com/office/drawing/2014/chart" uri="{C3380CC4-5D6E-409C-BE32-E72D297353CC}">
                  <c16:uniqueId val="{00000010-0BCA-4236-9482-AFDC2E26B21B}"/>
                </c:ext>
              </c:extLst>
            </c:dLbl>
            <c:dLbl>
              <c:idx val="17"/>
              <c:layout>
                <c:manualLayout>
                  <c:x val="3.2706302110857698E-2"/>
                  <c:y val="-1.49126673135755E-2"/>
                </c:manualLayout>
              </c:layout>
              <c:dLblPos val="outEnd"/>
              <c:showLegendKey val="0"/>
              <c:showVal val="0"/>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11-0BCA-4236-9482-AFDC2E26B21B}"/>
                </c:ext>
              </c:extLst>
            </c:dLbl>
            <c:dLbl>
              <c:idx val="18"/>
              <c:layout>
                <c:manualLayout>
                  <c:x val="3.1349760820607343E-2"/>
                  <c:y val="0.14100238943228702"/>
                </c:manualLayout>
              </c:layout>
              <c:spPr>
                <a:solidFill>
                  <a:schemeClr val="bg1">
                    <a:lumMod val="95000"/>
                  </a:schemeClr>
                </a:solidFill>
                <a:ln>
                  <a:noFill/>
                </a:ln>
                <a:effectLst/>
              </c:spPr>
              <c:txPr>
                <a:bodyPr vertOverflow="overflow" horzOverflow="overflow" wrap="square" lIns="38100" tIns="19050" rIns="38100" bIns="19050" anchor="ctr">
                  <a:noAutofit/>
                </a:bodyPr>
                <a:lstStyle/>
                <a:p>
                  <a:pPr>
                    <a:defRPr sz="800" cap="none" spc="10" baseline="0">
                      <a:solidFill>
                        <a:schemeClr val="tx1">
                          <a:lumMod val="65000"/>
                          <a:lumOff val="35000"/>
                        </a:schemeClr>
                      </a:solidFill>
                      <a:latin typeface="Calibri" panose="020F0502020204030204" pitchFamily="34" charset="0"/>
                      <a:cs typeface="Times New Roman" panose="02020603050405020304" pitchFamily="18" charset="0"/>
                    </a:defRPr>
                  </a:pPr>
                  <a:endParaRPr lang="en-US"/>
                </a:p>
              </c:txPr>
              <c:dLblPos val="out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0006932489568671"/>
                      <c:h val="0.27222898502239862"/>
                    </c:manualLayout>
                  </c15:layout>
                </c:ext>
                <c:ext xmlns:c16="http://schemas.microsoft.com/office/drawing/2014/chart" uri="{C3380CC4-5D6E-409C-BE32-E72D297353CC}">
                  <c16:uniqueId val="{00000012-0BCA-4236-9482-AFDC2E26B21B}"/>
                </c:ext>
              </c:extLst>
            </c:dLbl>
            <c:dLbl>
              <c:idx val="19"/>
              <c:layout>
                <c:manualLayout>
                  <c:x val="-1.1980106260302201E-3"/>
                  <c:y val="3.4770596449779298E-3"/>
                </c:manualLayout>
              </c:layout>
              <c:dLblPos val="outEnd"/>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3-0BCA-4236-9482-AFDC2E26B21B}"/>
                </c:ext>
              </c:extLst>
            </c:dLbl>
            <c:dLbl>
              <c:idx val="20"/>
              <c:layout>
                <c:manualLayout>
                  <c:x val="-1.07816711590297E-2"/>
                  <c:y val="-1.50765676246137E-2"/>
                </c:manualLayout>
              </c:layout>
              <c:dLblPos val="outEnd"/>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4-0BCA-4236-9482-AFDC2E26B21B}"/>
                </c:ext>
              </c:extLst>
            </c:dLbl>
            <c:dLbl>
              <c:idx val="21"/>
              <c:layout>
                <c:manualLayout>
                  <c:x val="-1.1344779507352E-2"/>
                  <c:y val="6.3812557853329905E-7"/>
                </c:manualLayout>
              </c:layout>
              <c:dLblPos val="outEnd"/>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5-0BCA-4236-9482-AFDC2E26B21B}"/>
                </c:ext>
              </c:extLst>
            </c:dLbl>
            <c:dLbl>
              <c:idx val="22"/>
              <c:layout>
                <c:manualLayout>
                  <c:x val="-1.9167368229914699E-2"/>
                  <c:y val="2.1611186256306501E-2"/>
                </c:manualLayout>
              </c:layout>
              <c:dLblPos val="outEnd"/>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6-0BCA-4236-9482-AFDC2E26B21B}"/>
                </c:ext>
              </c:extLst>
            </c:dLbl>
            <c:dLbl>
              <c:idx val="23"/>
              <c:layout>
                <c:manualLayout>
                  <c:x val="1.5770843015880501E-2"/>
                  <c:y val="-7.0235079081839402E-2"/>
                </c:manualLayout>
              </c:layout>
              <c:dLblPos val="outEnd"/>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7-0BCA-4236-9482-AFDC2E26B21B}"/>
                </c:ext>
              </c:extLst>
            </c:dLbl>
            <c:dLbl>
              <c:idx val="24"/>
              <c:layout>
                <c:manualLayout>
                  <c:x val="-2.28115198175078E-3"/>
                  <c:y val="-3.7819575948536403E-2"/>
                </c:manualLayout>
              </c:layout>
              <c:dLblPos val="outEnd"/>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8-0BCA-4236-9482-AFDC2E26B21B}"/>
                </c:ext>
              </c:extLst>
            </c:dLbl>
            <c:dLbl>
              <c:idx val="25"/>
              <c:layout>
                <c:manualLayout>
                  <c:x val="5.2914912582034901E-2"/>
                  <c:y val="1.8910851516898999E-2"/>
                </c:manualLayout>
              </c:layout>
              <c:dLblPos val="outEnd"/>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9-0BCA-4236-9482-AFDC2E26B21B}"/>
                </c:ext>
              </c:extLst>
            </c:dLbl>
            <c:dLbl>
              <c:idx val="26"/>
              <c:layout>
                <c:manualLayout>
                  <c:x val="1.09781337213088E-2"/>
                  <c:y val="3.43035040113637E-2"/>
                </c:manualLayout>
              </c:layout>
              <c:tx>
                <c:rich>
                  <a:bodyPr/>
                  <a:lstStyle/>
                  <a:p>
                    <a:fld id="{8FCD95DF-7DE9-45FA-A335-77AAF145E83B}" type="CELLREF">
                      <a:rPr lang="en-US"/>
                      <a:pPr/>
                      <a:t>[CELLREF]</a:t>
                    </a:fld>
                    <a:endParaRPr lang="en-GB"/>
                  </a:p>
                </c:rich>
              </c:tx>
              <c:dLblPos val="outEnd"/>
              <c:showLegendKey val="0"/>
              <c:showVal val="0"/>
              <c:showCatName val="1"/>
              <c:showSerName val="0"/>
              <c:showPercent val="0"/>
              <c:showBubbleSize val="0"/>
              <c:extLst>
                <c:ext xmlns:c15="http://schemas.microsoft.com/office/drawing/2012/chart" uri="{CE6537A1-D6FC-4f65-9D91-7224C49458BB}">
                  <c15:dlblFieldTable>
                    <c15:dlblFTEntry>
                      <c15:txfldGUID>{8FCD95DF-7DE9-45FA-A335-77AAF145E83B}</c15:txfldGUID>
                      <c15:f>'Project Timeline'!#REF!</c15:f>
                      <c15:dlblFieldTableCache>
                        <c:ptCount val="1"/>
                        <c:pt idx="0">
                          <c:v>#REF!</c:v>
                        </c:pt>
                      </c15:dlblFieldTableCache>
                    </c15:dlblFTEntry>
                  </c15:dlblFieldTable>
                  <c15:showDataLabelsRange val="0"/>
                </c:ext>
                <c:ext xmlns:c16="http://schemas.microsoft.com/office/drawing/2014/chart" uri="{C3380CC4-5D6E-409C-BE32-E72D297353CC}">
                  <c16:uniqueId val="{0000001A-0BCA-4236-9482-AFDC2E26B21B}"/>
                </c:ext>
              </c:extLst>
            </c:dLbl>
            <c:dLbl>
              <c:idx val="27"/>
              <c:layout>
                <c:manualLayout>
                  <c:x val="2.8514444676451398E-2"/>
                  <c:y val="-4.32223725126131E-2"/>
                </c:manualLayout>
              </c:layout>
              <c:dLblPos val="outEnd"/>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B-0BCA-4236-9482-AFDC2E26B21B}"/>
                </c:ext>
              </c:extLst>
            </c:dLbl>
            <c:spPr>
              <a:solidFill>
                <a:schemeClr val="bg1">
                  <a:lumMod val="95000"/>
                </a:schemeClr>
              </a:solidFill>
              <a:ln>
                <a:noFill/>
              </a:ln>
              <a:effectLst/>
            </c:spPr>
            <c:txPr>
              <a:bodyPr vertOverflow="overflow" horzOverflow="overflow" wrap="square" lIns="38100" tIns="19050" rIns="38100" bIns="19050" anchor="ctr">
                <a:spAutoFit/>
              </a:bodyPr>
              <a:lstStyle/>
              <a:p>
                <a:pPr>
                  <a:defRPr sz="800" cap="none" spc="10" baseline="0">
                    <a:solidFill>
                      <a:schemeClr val="tx1">
                        <a:lumMod val="65000"/>
                        <a:lumOff val="35000"/>
                      </a:schemeClr>
                    </a:solidFill>
                    <a:latin typeface="Calibri" panose="020F0502020204030204" pitchFamily="34" charset="0"/>
                    <a:cs typeface="Times New Roman" panose="02020603050405020304" pitchFamily="18" charset="0"/>
                  </a:defRPr>
                </a:pPr>
                <a:endParaRPr lang="en-US"/>
              </a:p>
            </c:txPr>
            <c:dLblPos val="outEnd"/>
            <c:showLegendKey val="0"/>
            <c:showVal val="0"/>
            <c:showCatName val="1"/>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errBars>
            <c:errBarType val="minus"/>
            <c:errValType val="percentage"/>
            <c:noEndCap val="0"/>
            <c:val val="100"/>
            <c:spPr>
              <a:ln>
                <a:solidFill>
                  <a:schemeClr val="tx1">
                    <a:lumMod val="65000"/>
                    <a:lumOff val="35000"/>
                  </a:schemeClr>
                </a:solidFill>
              </a:ln>
            </c:spPr>
          </c:errBars>
          <c:cat>
            <c:strRef>
              <c:f>'Project Timeline'!$C$21:$C$39</c:f>
              <c:strCache>
                <c:ptCount val="19"/>
                <c:pt idx="0">
                  <c:v>WHO launches Global Malaria Eradication Programme</c:v>
                </c:pt>
                <c:pt idx="1">
                  <c:v>WHO commits to Global Smallpox Eradication Programme, with Soviet Union and Cuba support </c:v>
                </c:pt>
                <c:pt idx="2">
                  <c:v>WHO launches intensified Smallpox Eradication Programme; malaria control faces major failures</c:v>
                </c:pt>
                <c:pt idx="3">
                  <c:v>John Bryant publishes 'Health and the developing world', questioning hospital-based health systems in LMICs</c:v>
                </c:pt>
                <c:pt idx="4">
                  <c:v>Halfdan Mahler becomes Assistant Director General of WHO</c:v>
                </c:pt>
                <c:pt idx="5">
                  <c:v>Mahler appointed Director General of WHO; WHO Executive Board issues report on methods for promoting basic health service development</c:v>
                </c:pt>
                <c:pt idx="6">
                  <c:v>WHO Expanded Programme on Immunization begins; UN General Assembly adopts resolution on 'Establishment of new international economic order' in LMICs; the Christian Medical Commission begins to formally collaborate with WHO</c:v>
                </c:pt>
                <c:pt idx="7">
                  <c:v>UNICEF and WHO publish 'Alternative approaches to meeting basic health needs in developing countries'; WHA makes construction of national programs in PHC a 'matter of urgency'; K Newell underscores PHC needs in 'Health by the people'</c:v>
                </c:pt>
                <c:pt idx="8">
                  <c:v>Mahler proposes goal of 'Health for All by the Year 2000' to the WHA</c:v>
                </c:pt>
                <c:pt idx="9">
                  <c:v>Alma-Ata International Conference on PHC</c:v>
                </c:pt>
                <c:pt idx="10">
                  <c:v>WHA resolution on PHC as a key to attaining an acceptable level of Health for All; Rockefeller Foundation sponsors conference with USAID and Bank on 'Health and population in development', introducing SPHC</c:v>
                </c:pt>
                <c:pt idx="11">
                  <c:v>Bank releases 'Accelerated development in Sub-Saharan Africa' report (introducing structural adjustment and health workforce efficiency); New UNICEF Executive Director James Grant embraces SPHC's GOBI plan</c:v>
                </c:pt>
                <c:pt idx="12">
                  <c:v>UNICEF puts forward 'GOBI' approach as an SPHC package through its 'A children's revolution' declaration</c:v>
                </c:pt>
                <c:pt idx="13">
                  <c:v>WHO publishes paper on 'Indicators for monitoring progress towards Health for All' and 'Primary health: a first assessment'</c:v>
                </c:pt>
                <c:pt idx="14">
                  <c:v>The 'Economic evaluation of Health for All' study concludes that PHC is difficult to cost accurately</c:v>
                </c:pt>
                <c:pt idx="15">
                  <c:v>Bank releases 'Financing health services in developing countries: an agenda for reform'</c:v>
                </c:pt>
                <c:pt idx="16">
                  <c:v>Increasing rise of neoliberalism within the Bank, pushing structural adjustment; immunization programmes accelerate with the support of Rotary International; SPHC GOBI-FFF strategory prioritized by U.S. agencies, Bank, and UNICEF</c:v>
                </c:pt>
                <c:pt idx="17">
                  <c:v>Hiroshi Nakajima replaces Mahler as WHO Director General; K Newell writes 'SPHC: the counter revolution'</c:v>
                </c:pt>
                <c:pt idx="18">
                  <c:v>PAHO prposes a new target of 'Health for All in the 21st century', formally admitting that Mahler's timeline for PHC is unachievable</c:v>
                </c:pt>
              </c:strCache>
            </c:strRef>
          </c:cat>
          <c:val>
            <c:numRef>
              <c:f>'Project Timeline'!$D$21:$D$39</c:f>
              <c:numCache>
                <c:formatCode>General</c:formatCode>
                <c:ptCount val="19"/>
                <c:pt idx="0">
                  <c:v>5</c:v>
                </c:pt>
                <c:pt idx="1">
                  <c:v>-10</c:v>
                </c:pt>
                <c:pt idx="2">
                  <c:v>-15</c:v>
                </c:pt>
                <c:pt idx="3">
                  <c:v>15</c:v>
                </c:pt>
                <c:pt idx="4">
                  <c:v>-5</c:v>
                </c:pt>
                <c:pt idx="5">
                  <c:v>5</c:v>
                </c:pt>
                <c:pt idx="6">
                  <c:v>-10</c:v>
                </c:pt>
                <c:pt idx="7">
                  <c:v>25</c:v>
                </c:pt>
                <c:pt idx="8">
                  <c:v>-5</c:v>
                </c:pt>
                <c:pt idx="9">
                  <c:v>8</c:v>
                </c:pt>
                <c:pt idx="10">
                  <c:v>25</c:v>
                </c:pt>
                <c:pt idx="11">
                  <c:v>5</c:v>
                </c:pt>
                <c:pt idx="12">
                  <c:v>-15</c:v>
                </c:pt>
                <c:pt idx="13">
                  <c:v>25</c:v>
                </c:pt>
                <c:pt idx="14">
                  <c:v>-5</c:v>
                </c:pt>
                <c:pt idx="15">
                  <c:v>10</c:v>
                </c:pt>
                <c:pt idx="16">
                  <c:v>5</c:v>
                </c:pt>
                <c:pt idx="17">
                  <c:v>-10</c:v>
                </c:pt>
                <c:pt idx="18">
                  <c:v>10</c:v>
                </c:pt>
              </c:numCache>
            </c:numRef>
          </c:val>
          <c:extLst>
            <c:ext xmlns:c16="http://schemas.microsoft.com/office/drawing/2014/chart" uri="{C3380CC4-5D6E-409C-BE32-E72D297353CC}">
              <c16:uniqueId val="{0000001C-0BCA-4236-9482-AFDC2E26B21B}"/>
            </c:ext>
          </c:extLst>
        </c:ser>
        <c:dLbls>
          <c:showLegendKey val="0"/>
          <c:showVal val="0"/>
          <c:showCatName val="0"/>
          <c:showSerName val="0"/>
          <c:showPercent val="0"/>
          <c:showBubbleSize val="0"/>
        </c:dLbls>
        <c:gapWidth val="150"/>
        <c:axId val="1375449680"/>
        <c:axId val="1275374768"/>
      </c:barChart>
      <c:lineChart>
        <c:grouping val="standard"/>
        <c:varyColors val="0"/>
        <c:ser>
          <c:idx val="0"/>
          <c:order val="0"/>
          <c:tx>
            <c:strRef>
              <c:f>'Project Timeline'!$B$20</c:f>
              <c:strCache>
                <c:ptCount val="1"/>
                <c:pt idx="0">
                  <c:v>DATE</c:v>
                </c:pt>
              </c:strCache>
            </c:strRef>
          </c:tx>
          <c:spPr>
            <a:ln>
              <a:noFill/>
            </a:ln>
          </c:spPr>
          <c:marker>
            <c:symbol val="circle"/>
            <c:size val="7"/>
            <c:spPr>
              <a:solidFill>
                <a:schemeClr val="accent3">
                  <a:lumMod val="75000"/>
                </a:schemeClr>
              </a:solidFill>
              <a:ln w="63500" cmpd="thinThick">
                <a:solidFill>
                  <a:schemeClr val="accent3">
                    <a:lumMod val="75000"/>
                  </a:schemeClr>
                </a:solidFill>
              </a:ln>
            </c:spPr>
          </c:marker>
          <c:errBars>
            <c:errDir val="y"/>
            <c:errBarType val="both"/>
            <c:errValType val="percentage"/>
            <c:noEndCap val="0"/>
            <c:val val="5"/>
          </c:errBars>
          <c:cat>
            <c:strRef>
              <c:f>'Project Timeline'!$B$21:$B$39</c:f>
              <c:strCache>
                <c:ptCount val="19"/>
                <c:pt idx="0">
                  <c:v>1955</c:v>
                </c:pt>
                <c:pt idx="1">
                  <c:v>1959</c:v>
                </c:pt>
                <c:pt idx="2">
                  <c:v>Late 1960s</c:v>
                </c:pt>
                <c:pt idx="3">
                  <c:v>1969</c:v>
                </c:pt>
                <c:pt idx="4">
                  <c:v>1970</c:v>
                </c:pt>
                <c:pt idx="5">
                  <c:v>1973</c:v>
                </c:pt>
                <c:pt idx="6">
                  <c:v>1974</c:v>
                </c:pt>
                <c:pt idx="7">
                  <c:v>1975</c:v>
                </c:pt>
                <c:pt idx="8">
                  <c:v>1976</c:v>
                </c:pt>
                <c:pt idx="9">
                  <c:v>1978</c:v>
                </c:pt>
                <c:pt idx="10">
                  <c:v>1979</c:v>
                </c:pt>
                <c:pt idx="11">
                  <c:v>1981</c:v>
                </c:pt>
                <c:pt idx="12">
                  <c:v>1982</c:v>
                </c:pt>
                <c:pt idx="13">
                  <c:v>1985</c:v>
                </c:pt>
                <c:pt idx="14">
                  <c:v>1986</c:v>
                </c:pt>
                <c:pt idx="15">
                  <c:v>1987</c:v>
                </c:pt>
                <c:pt idx="16">
                  <c:v>Late 1980s</c:v>
                </c:pt>
                <c:pt idx="17">
                  <c:v>1988</c:v>
                </c:pt>
                <c:pt idx="18">
                  <c:v>1997</c:v>
                </c:pt>
              </c:strCache>
            </c:strRef>
          </c:cat>
          <c:val>
            <c:numRef>
              <c:f>'Project Timeline'!$E$21:$E$39</c:f>
              <c:numCache>
                <c:formatCode>General</c:formatCode>
                <c:ptCount val="19"/>
                <c:pt idx="0">
                  <c:v>1</c:v>
                </c:pt>
                <c:pt idx="1">
                  <c:v>1</c:v>
                </c:pt>
                <c:pt idx="2">
                  <c:v>1</c:v>
                </c:pt>
                <c:pt idx="3">
                  <c:v>1</c:v>
                </c:pt>
                <c:pt idx="4">
                  <c:v>1</c:v>
                </c:pt>
                <c:pt idx="5">
                  <c:v>1</c:v>
                </c:pt>
                <c:pt idx="6">
                  <c:v>1</c:v>
                </c:pt>
                <c:pt idx="7">
                  <c:v>1</c:v>
                </c:pt>
                <c:pt idx="8">
                  <c:v>1</c:v>
                </c:pt>
                <c:pt idx="9">
                  <c:v>1</c:v>
                </c:pt>
                <c:pt idx="10">
                  <c:v>1</c:v>
                </c:pt>
                <c:pt idx="11">
                  <c:v>1</c:v>
                </c:pt>
                <c:pt idx="12">
                  <c:v>1</c:v>
                </c:pt>
                <c:pt idx="13">
                  <c:v>1</c:v>
                </c:pt>
                <c:pt idx="14">
                  <c:v>1</c:v>
                </c:pt>
                <c:pt idx="15">
                  <c:v>1</c:v>
                </c:pt>
                <c:pt idx="16">
                  <c:v>1</c:v>
                </c:pt>
                <c:pt idx="17">
                  <c:v>1</c:v>
                </c:pt>
                <c:pt idx="18">
                  <c:v>1</c:v>
                </c:pt>
              </c:numCache>
            </c:numRef>
          </c:val>
          <c:smooth val="1"/>
          <c:extLst>
            <c:ext xmlns:c16="http://schemas.microsoft.com/office/drawing/2014/chart" uri="{C3380CC4-5D6E-409C-BE32-E72D297353CC}">
              <c16:uniqueId val="{0000001D-0BCA-4236-9482-AFDC2E26B21B}"/>
            </c:ext>
          </c:extLst>
        </c:ser>
        <c:dLbls>
          <c:showLegendKey val="0"/>
          <c:showVal val="0"/>
          <c:showCatName val="0"/>
          <c:showSerName val="0"/>
          <c:showPercent val="0"/>
          <c:showBubbleSize val="0"/>
        </c:dLbls>
        <c:marker val="1"/>
        <c:smooth val="0"/>
        <c:axId val="1373244816"/>
        <c:axId val="1372956032"/>
      </c:lineChart>
      <c:catAx>
        <c:axId val="1373244816"/>
        <c:scaling>
          <c:orientation val="minMax"/>
        </c:scaling>
        <c:delete val="0"/>
        <c:axPos val="b"/>
        <c:numFmt formatCode="General" sourceLinked="1"/>
        <c:majorTickMark val="cross"/>
        <c:minorTickMark val="in"/>
        <c:tickLblPos val="nextTo"/>
        <c:spPr>
          <a:solidFill>
            <a:schemeClr val="bg1">
              <a:lumMod val="95000"/>
            </a:schemeClr>
          </a:solidFill>
          <a:ln w="9525">
            <a:solidFill>
              <a:schemeClr val="bg1">
                <a:lumMod val="85000"/>
              </a:schemeClr>
            </a:solidFill>
            <a:prstDash val="solid"/>
          </a:ln>
        </c:spPr>
        <c:txPr>
          <a:bodyPr/>
          <a:lstStyle/>
          <a:p>
            <a:pPr>
              <a:defRPr sz="900" b="0">
                <a:solidFill>
                  <a:schemeClr val="bg1">
                    <a:lumMod val="50000"/>
                  </a:schemeClr>
                </a:solidFill>
                <a:latin typeface="+mj-lt"/>
              </a:defRPr>
            </a:pPr>
            <a:endParaRPr lang="en-US"/>
          </a:p>
        </c:txPr>
        <c:crossAx val="1372956032"/>
        <c:crosses val="autoZero"/>
        <c:auto val="1"/>
        <c:lblAlgn val="ctr"/>
        <c:lblOffset val="100"/>
        <c:tickMarkSkip val="7"/>
        <c:noMultiLvlLbl val="1"/>
      </c:catAx>
      <c:valAx>
        <c:axId val="1372956032"/>
        <c:scaling>
          <c:orientation val="minMax"/>
        </c:scaling>
        <c:delete val="1"/>
        <c:axPos val="l"/>
        <c:numFmt formatCode="General" sourceLinked="1"/>
        <c:majorTickMark val="out"/>
        <c:minorTickMark val="none"/>
        <c:tickLblPos val="nextTo"/>
        <c:crossAx val="1373244816"/>
        <c:crosses val="autoZero"/>
        <c:crossBetween val="midCat"/>
      </c:valAx>
      <c:valAx>
        <c:axId val="1275374768"/>
        <c:scaling>
          <c:orientation val="minMax"/>
        </c:scaling>
        <c:delete val="1"/>
        <c:axPos val="r"/>
        <c:numFmt formatCode="General" sourceLinked="1"/>
        <c:majorTickMark val="out"/>
        <c:minorTickMark val="none"/>
        <c:tickLblPos val="nextTo"/>
        <c:crossAx val="1375449680"/>
        <c:crosses val="max"/>
        <c:crossBetween val="between"/>
      </c:valAx>
      <c:catAx>
        <c:axId val="1375449680"/>
        <c:scaling>
          <c:orientation val="minMax"/>
        </c:scaling>
        <c:delete val="1"/>
        <c:axPos val="b"/>
        <c:numFmt formatCode="General" sourceLinked="1"/>
        <c:majorTickMark val="out"/>
        <c:minorTickMark val="none"/>
        <c:tickLblPos val="nextTo"/>
        <c:crossAx val="1275374768"/>
        <c:crosses val="autoZero"/>
        <c:auto val="1"/>
        <c:lblAlgn val="ctr"/>
        <c:lblOffset val="100"/>
        <c:noMultiLvlLbl val="0"/>
      </c:catAx>
      <c:spPr>
        <a:noFill/>
      </c:spPr>
    </c:plotArea>
    <c:plotVisOnly val="0"/>
    <c:dispBlanksAs val="gap"/>
    <c:showDLblsOverMax val="0"/>
  </c:chart>
  <c:spPr>
    <a:solidFill>
      <a:schemeClr val="bg1">
        <a:lumMod val="95000"/>
      </a:schemeClr>
    </a:solidFill>
    <a:ln>
      <a:noFill/>
    </a:ln>
  </c:spPr>
  <c:externalData r:id="rId2">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50" baseline="0">
                <a:solidFill>
                  <a:schemeClr val="tx1">
                    <a:lumMod val="65000"/>
                    <a:lumOff val="35000"/>
                  </a:schemeClr>
                </a:solidFill>
                <a:latin typeface="+mj-lt"/>
                <a:ea typeface="+mn-ea"/>
                <a:cs typeface="+mn-cs"/>
              </a:defRPr>
            </a:pPr>
            <a:r>
              <a:rPr lang="en-US" sz="1100" cap="none" baseline="0">
                <a:latin typeface="+mj-lt"/>
              </a:rPr>
              <a:t>OCP training by country of trainee &amp; discipline, </a:t>
            </a:r>
          </a:p>
          <a:p>
            <a:pPr>
              <a:defRPr sz="1100" cap="none">
                <a:latin typeface="+mj-lt"/>
              </a:defRPr>
            </a:pPr>
            <a:r>
              <a:rPr lang="en-US" sz="1100" cap="none" baseline="0">
                <a:latin typeface="+mj-lt"/>
              </a:rPr>
              <a:t>1974 - 31 July 1984</a:t>
            </a:r>
          </a:p>
        </c:rich>
      </c:tx>
      <c:layout>
        <c:manualLayout>
          <c:xMode val="edge"/>
          <c:yMode val="edge"/>
          <c:x val="0.21244473073804418"/>
          <c:y val="2.9561576706234983E-2"/>
        </c:manualLayout>
      </c:layout>
      <c:overlay val="0"/>
      <c:spPr>
        <a:noFill/>
        <a:ln>
          <a:noFill/>
        </a:ln>
        <a:effectLst/>
      </c:spPr>
      <c:txPr>
        <a:bodyPr rot="0" spcFirstLastPara="1" vertOverflow="ellipsis" vert="horz" wrap="square" anchor="ctr" anchorCtr="1"/>
        <a:lstStyle/>
        <a:p>
          <a:pPr>
            <a:defRPr sz="1100" b="1" i="0" u="none" strike="noStrike" kern="1200" cap="none" spc="50" baseline="0">
              <a:solidFill>
                <a:schemeClr val="tx1">
                  <a:lumMod val="65000"/>
                  <a:lumOff val="35000"/>
                </a:schemeClr>
              </a:solidFill>
              <a:latin typeface="+mj-lt"/>
              <a:ea typeface="+mn-ea"/>
              <a:cs typeface="+mn-cs"/>
            </a:defRPr>
          </a:pPr>
          <a:endParaRPr lang="en-US"/>
        </a:p>
      </c:txPr>
    </c:title>
    <c:autoTitleDeleted val="0"/>
    <c:plotArea>
      <c:layout/>
      <c:barChart>
        <c:barDir val="bar"/>
        <c:grouping val="stacked"/>
        <c:varyColors val="0"/>
        <c:ser>
          <c:idx val="0"/>
          <c:order val="0"/>
          <c:tx>
            <c:strRef>
              <c:f>Sheet1!$B$16</c:f>
              <c:strCache>
                <c:ptCount val="1"/>
                <c:pt idx="0">
                  <c:v>Entomology</c:v>
                </c:pt>
              </c:strCache>
            </c:strRef>
          </c:tx>
          <c:spPr>
            <a:solidFill>
              <a:schemeClr val="accent1">
                <a:alpha val="70000"/>
              </a:schemeClr>
            </a:solidFill>
            <a:ln>
              <a:noFill/>
            </a:ln>
            <a:effectLst/>
          </c:spPr>
          <c:invertIfNegative val="0"/>
          <c:cat>
            <c:strRef>
              <c:f>Sheet1!$A$17:$A$28</c:f>
              <c:strCache>
                <c:ptCount val="12"/>
                <c:pt idx="0">
                  <c:v>Benin</c:v>
                </c:pt>
                <c:pt idx="1">
                  <c:v>Ivory Coast</c:v>
                </c:pt>
                <c:pt idx="2">
                  <c:v>Ghana</c:v>
                </c:pt>
                <c:pt idx="3">
                  <c:v>Burkina Faso</c:v>
                </c:pt>
                <c:pt idx="4">
                  <c:v>Mali</c:v>
                </c:pt>
                <c:pt idx="5">
                  <c:v>Niger</c:v>
                </c:pt>
                <c:pt idx="6">
                  <c:v>Togo</c:v>
                </c:pt>
                <c:pt idx="7">
                  <c:v>Guinea</c:v>
                </c:pt>
                <c:pt idx="8">
                  <c:v>Guinea Bissau</c:v>
                </c:pt>
                <c:pt idx="9">
                  <c:v>Senegal</c:v>
                </c:pt>
                <c:pt idx="10">
                  <c:v>Sierra Leone</c:v>
                </c:pt>
                <c:pt idx="11">
                  <c:v>Other countries</c:v>
                </c:pt>
              </c:strCache>
            </c:strRef>
          </c:cat>
          <c:val>
            <c:numRef>
              <c:f>Sheet1!$B$17:$B$28</c:f>
              <c:numCache>
                <c:formatCode>General</c:formatCode>
                <c:ptCount val="12"/>
                <c:pt idx="0">
                  <c:v>8</c:v>
                </c:pt>
                <c:pt idx="1">
                  <c:v>8</c:v>
                </c:pt>
                <c:pt idx="2">
                  <c:v>9</c:v>
                </c:pt>
                <c:pt idx="3">
                  <c:v>10</c:v>
                </c:pt>
                <c:pt idx="4">
                  <c:v>13</c:v>
                </c:pt>
                <c:pt idx="5">
                  <c:v>5</c:v>
                </c:pt>
                <c:pt idx="6">
                  <c:v>16</c:v>
                </c:pt>
                <c:pt idx="7">
                  <c:v>7</c:v>
                </c:pt>
                <c:pt idx="8">
                  <c:v>2</c:v>
                </c:pt>
                <c:pt idx="9">
                  <c:v>2</c:v>
                </c:pt>
                <c:pt idx="10">
                  <c:v>1</c:v>
                </c:pt>
                <c:pt idx="11">
                  <c:v>8</c:v>
                </c:pt>
              </c:numCache>
            </c:numRef>
          </c:val>
          <c:extLst>
            <c:ext xmlns:c16="http://schemas.microsoft.com/office/drawing/2014/chart" uri="{C3380CC4-5D6E-409C-BE32-E72D297353CC}">
              <c16:uniqueId val="{00000000-52F3-4F23-BD7C-A48C951B6BEF}"/>
            </c:ext>
          </c:extLst>
        </c:ser>
        <c:ser>
          <c:idx val="1"/>
          <c:order val="1"/>
          <c:tx>
            <c:strRef>
              <c:f>Sheet1!$C$16</c:f>
              <c:strCache>
                <c:ptCount val="1"/>
                <c:pt idx="0">
                  <c:v>Parasitology/Epidemiology</c:v>
                </c:pt>
              </c:strCache>
            </c:strRef>
          </c:tx>
          <c:spPr>
            <a:solidFill>
              <a:schemeClr val="accent2">
                <a:alpha val="70000"/>
              </a:schemeClr>
            </a:solidFill>
            <a:ln>
              <a:noFill/>
            </a:ln>
            <a:effectLst/>
          </c:spPr>
          <c:invertIfNegative val="0"/>
          <c:cat>
            <c:strRef>
              <c:f>Sheet1!$A$17:$A$28</c:f>
              <c:strCache>
                <c:ptCount val="12"/>
                <c:pt idx="0">
                  <c:v>Benin</c:v>
                </c:pt>
                <c:pt idx="1">
                  <c:v>Ivory Coast</c:v>
                </c:pt>
                <c:pt idx="2">
                  <c:v>Ghana</c:v>
                </c:pt>
                <c:pt idx="3">
                  <c:v>Burkina Faso</c:v>
                </c:pt>
                <c:pt idx="4">
                  <c:v>Mali</c:v>
                </c:pt>
                <c:pt idx="5">
                  <c:v>Niger</c:v>
                </c:pt>
                <c:pt idx="6">
                  <c:v>Togo</c:v>
                </c:pt>
                <c:pt idx="7">
                  <c:v>Guinea</c:v>
                </c:pt>
                <c:pt idx="8">
                  <c:v>Guinea Bissau</c:v>
                </c:pt>
                <c:pt idx="9">
                  <c:v>Senegal</c:v>
                </c:pt>
                <c:pt idx="10">
                  <c:v>Sierra Leone</c:v>
                </c:pt>
                <c:pt idx="11">
                  <c:v>Other countries</c:v>
                </c:pt>
              </c:strCache>
            </c:strRef>
          </c:cat>
          <c:val>
            <c:numRef>
              <c:f>Sheet1!$C$17:$C$28</c:f>
              <c:numCache>
                <c:formatCode>General</c:formatCode>
                <c:ptCount val="12"/>
                <c:pt idx="0">
                  <c:v>1</c:v>
                </c:pt>
                <c:pt idx="1">
                  <c:v>4</c:v>
                </c:pt>
                <c:pt idx="2">
                  <c:v>12</c:v>
                </c:pt>
                <c:pt idx="3">
                  <c:v>6</c:v>
                </c:pt>
                <c:pt idx="4">
                  <c:v>0</c:v>
                </c:pt>
                <c:pt idx="5">
                  <c:v>0</c:v>
                </c:pt>
                <c:pt idx="6">
                  <c:v>3</c:v>
                </c:pt>
                <c:pt idx="7">
                  <c:v>0</c:v>
                </c:pt>
                <c:pt idx="8">
                  <c:v>0</c:v>
                </c:pt>
                <c:pt idx="9">
                  <c:v>3</c:v>
                </c:pt>
                <c:pt idx="10">
                  <c:v>0</c:v>
                </c:pt>
                <c:pt idx="11">
                  <c:v>3</c:v>
                </c:pt>
              </c:numCache>
            </c:numRef>
          </c:val>
          <c:extLst>
            <c:ext xmlns:c16="http://schemas.microsoft.com/office/drawing/2014/chart" uri="{C3380CC4-5D6E-409C-BE32-E72D297353CC}">
              <c16:uniqueId val="{00000001-52F3-4F23-BD7C-A48C951B6BEF}"/>
            </c:ext>
          </c:extLst>
        </c:ser>
        <c:ser>
          <c:idx val="2"/>
          <c:order val="2"/>
          <c:tx>
            <c:strRef>
              <c:f>Sheet1!$D$16</c:f>
              <c:strCache>
                <c:ptCount val="1"/>
                <c:pt idx="0">
                  <c:v>Opthalmology</c:v>
                </c:pt>
              </c:strCache>
            </c:strRef>
          </c:tx>
          <c:spPr>
            <a:solidFill>
              <a:schemeClr val="accent3">
                <a:alpha val="70000"/>
              </a:schemeClr>
            </a:solidFill>
            <a:ln>
              <a:noFill/>
            </a:ln>
            <a:effectLst/>
          </c:spPr>
          <c:invertIfNegative val="0"/>
          <c:cat>
            <c:strRef>
              <c:f>Sheet1!$A$17:$A$28</c:f>
              <c:strCache>
                <c:ptCount val="12"/>
                <c:pt idx="0">
                  <c:v>Benin</c:v>
                </c:pt>
                <c:pt idx="1">
                  <c:v>Ivory Coast</c:v>
                </c:pt>
                <c:pt idx="2">
                  <c:v>Ghana</c:v>
                </c:pt>
                <c:pt idx="3">
                  <c:v>Burkina Faso</c:v>
                </c:pt>
                <c:pt idx="4">
                  <c:v>Mali</c:v>
                </c:pt>
                <c:pt idx="5">
                  <c:v>Niger</c:v>
                </c:pt>
                <c:pt idx="6">
                  <c:v>Togo</c:v>
                </c:pt>
                <c:pt idx="7">
                  <c:v>Guinea</c:v>
                </c:pt>
                <c:pt idx="8">
                  <c:v>Guinea Bissau</c:v>
                </c:pt>
                <c:pt idx="9">
                  <c:v>Senegal</c:v>
                </c:pt>
                <c:pt idx="10">
                  <c:v>Sierra Leone</c:v>
                </c:pt>
                <c:pt idx="11">
                  <c:v>Other countries</c:v>
                </c:pt>
              </c:strCache>
            </c:strRef>
          </c:cat>
          <c:val>
            <c:numRef>
              <c:f>Sheet1!$D$17:$D$28</c:f>
              <c:numCache>
                <c:formatCode>General</c:formatCode>
                <c:ptCount val="12"/>
                <c:pt idx="0">
                  <c:v>1</c:v>
                </c:pt>
                <c:pt idx="1">
                  <c:v>1</c:v>
                </c:pt>
                <c:pt idx="2">
                  <c:v>1</c:v>
                </c:pt>
                <c:pt idx="3">
                  <c:v>1</c:v>
                </c:pt>
                <c:pt idx="4">
                  <c:v>1</c:v>
                </c:pt>
                <c:pt idx="5">
                  <c:v>1</c:v>
                </c:pt>
                <c:pt idx="6">
                  <c:v>2</c:v>
                </c:pt>
                <c:pt idx="7">
                  <c:v>0</c:v>
                </c:pt>
                <c:pt idx="8">
                  <c:v>0</c:v>
                </c:pt>
                <c:pt idx="9">
                  <c:v>0</c:v>
                </c:pt>
                <c:pt idx="10">
                  <c:v>0</c:v>
                </c:pt>
                <c:pt idx="11">
                  <c:v>0</c:v>
                </c:pt>
              </c:numCache>
            </c:numRef>
          </c:val>
          <c:extLst>
            <c:ext xmlns:c16="http://schemas.microsoft.com/office/drawing/2014/chart" uri="{C3380CC4-5D6E-409C-BE32-E72D297353CC}">
              <c16:uniqueId val="{00000002-52F3-4F23-BD7C-A48C951B6BEF}"/>
            </c:ext>
          </c:extLst>
        </c:ser>
        <c:ser>
          <c:idx val="3"/>
          <c:order val="3"/>
          <c:tx>
            <c:strRef>
              <c:f>Sheet1!$E$16</c:f>
              <c:strCache>
                <c:ptCount val="1"/>
                <c:pt idx="0">
                  <c:v>Hydrobiology</c:v>
                </c:pt>
              </c:strCache>
            </c:strRef>
          </c:tx>
          <c:spPr>
            <a:solidFill>
              <a:schemeClr val="accent4">
                <a:alpha val="70000"/>
              </a:schemeClr>
            </a:solidFill>
            <a:ln>
              <a:noFill/>
            </a:ln>
            <a:effectLst/>
          </c:spPr>
          <c:invertIfNegative val="0"/>
          <c:cat>
            <c:strRef>
              <c:f>Sheet1!$A$17:$A$28</c:f>
              <c:strCache>
                <c:ptCount val="12"/>
                <c:pt idx="0">
                  <c:v>Benin</c:v>
                </c:pt>
                <c:pt idx="1">
                  <c:v>Ivory Coast</c:v>
                </c:pt>
                <c:pt idx="2">
                  <c:v>Ghana</c:v>
                </c:pt>
                <c:pt idx="3">
                  <c:v>Burkina Faso</c:v>
                </c:pt>
                <c:pt idx="4">
                  <c:v>Mali</c:v>
                </c:pt>
                <c:pt idx="5">
                  <c:v>Niger</c:v>
                </c:pt>
                <c:pt idx="6">
                  <c:v>Togo</c:v>
                </c:pt>
                <c:pt idx="7">
                  <c:v>Guinea</c:v>
                </c:pt>
                <c:pt idx="8">
                  <c:v>Guinea Bissau</c:v>
                </c:pt>
                <c:pt idx="9">
                  <c:v>Senegal</c:v>
                </c:pt>
                <c:pt idx="10">
                  <c:v>Sierra Leone</c:v>
                </c:pt>
                <c:pt idx="11">
                  <c:v>Other countries</c:v>
                </c:pt>
              </c:strCache>
            </c:strRef>
          </c:cat>
          <c:val>
            <c:numRef>
              <c:f>Sheet1!$E$17:$E$28</c:f>
              <c:numCache>
                <c:formatCode>General</c:formatCode>
                <c:ptCount val="12"/>
                <c:pt idx="0">
                  <c:v>5</c:v>
                </c:pt>
                <c:pt idx="1">
                  <c:v>2</c:v>
                </c:pt>
                <c:pt idx="2">
                  <c:v>4</c:v>
                </c:pt>
                <c:pt idx="3">
                  <c:v>2</c:v>
                </c:pt>
                <c:pt idx="4">
                  <c:v>4</c:v>
                </c:pt>
                <c:pt idx="5">
                  <c:v>0</c:v>
                </c:pt>
                <c:pt idx="6">
                  <c:v>2</c:v>
                </c:pt>
                <c:pt idx="7">
                  <c:v>3</c:v>
                </c:pt>
                <c:pt idx="8">
                  <c:v>0</c:v>
                </c:pt>
                <c:pt idx="9">
                  <c:v>0</c:v>
                </c:pt>
                <c:pt idx="10">
                  <c:v>0</c:v>
                </c:pt>
                <c:pt idx="11">
                  <c:v>0</c:v>
                </c:pt>
              </c:numCache>
            </c:numRef>
          </c:val>
          <c:extLst>
            <c:ext xmlns:c16="http://schemas.microsoft.com/office/drawing/2014/chart" uri="{C3380CC4-5D6E-409C-BE32-E72D297353CC}">
              <c16:uniqueId val="{00000003-52F3-4F23-BD7C-A48C951B6BEF}"/>
            </c:ext>
          </c:extLst>
        </c:ser>
        <c:ser>
          <c:idx val="4"/>
          <c:order val="4"/>
          <c:tx>
            <c:strRef>
              <c:f>Sheet1!$F$16</c:f>
              <c:strCache>
                <c:ptCount val="1"/>
                <c:pt idx="0">
                  <c:v>Health Economics</c:v>
                </c:pt>
              </c:strCache>
            </c:strRef>
          </c:tx>
          <c:spPr>
            <a:solidFill>
              <a:schemeClr val="accent5">
                <a:alpha val="70000"/>
              </a:schemeClr>
            </a:solidFill>
            <a:ln>
              <a:noFill/>
            </a:ln>
            <a:effectLst/>
          </c:spPr>
          <c:invertIfNegative val="0"/>
          <c:cat>
            <c:strRef>
              <c:f>Sheet1!$A$17:$A$28</c:f>
              <c:strCache>
                <c:ptCount val="12"/>
                <c:pt idx="0">
                  <c:v>Benin</c:v>
                </c:pt>
                <c:pt idx="1">
                  <c:v>Ivory Coast</c:v>
                </c:pt>
                <c:pt idx="2">
                  <c:v>Ghana</c:v>
                </c:pt>
                <c:pt idx="3">
                  <c:v>Burkina Faso</c:v>
                </c:pt>
                <c:pt idx="4">
                  <c:v>Mali</c:v>
                </c:pt>
                <c:pt idx="5">
                  <c:v>Niger</c:v>
                </c:pt>
                <c:pt idx="6">
                  <c:v>Togo</c:v>
                </c:pt>
                <c:pt idx="7">
                  <c:v>Guinea</c:v>
                </c:pt>
                <c:pt idx="8">
                  <c:v>Guinea Bissau</c:v>
                </c:pt>
                <c:pt idx="9">
                  <c:v>Senegal</c:v>
                </c:pt>
                <c:pt idx="10">
                  <c:v>Sierra Leone</c:v>
                </c:pt>
                <c:pt idx="11">
                  <c:v>Other countries</c:v>
                </c:pt>
              </c:strCache>
            </c:strRef>
          </c:cat>
          <c:val>
            <c:numRef>
              <c:f>Sheet1!$F$17:$F$28</c:f>
              <c:numCache>
                <c:formatCode>General</c:formatCode>
                <c:ptCount val="12"/>
                <c:pt idx="0">
                  <c:v>1</c:v>
                </c:pt>
                <c:pt idx="1">
                  <c:v>1</c:v>
                </c:pt>
                <c:pt idx="2">
                  <c:v>3</c:v>
                </c:pt>
                <c:pt idx="3">
                  <c:v>1</c:v>
                </c:pt>
                <c:pt idx="4">
                  <c:v>1</c:v>
                </c:pt>
                <c:pt idx="5">
                  <c:v>0</c:v>
                </c:pt>
                <c:pt idx="6">
                  <c:v>0</c:v>
                </c:pt>
                <c:pt idx="7">
                  <c:v>0</c:v>
                </c:pt>
                <c:pt idx="8">
                  <c:v>0</c:v>
                </c:pt>
                <c:pt idx="9">
                  <c:v>1</c:v>
                </c:pt>
                <c:pt idx="10">
                  <c:v>0</c:v>
                </c:pt>
                <c:pt idx="11">
                  <c:v>0</c:v>
                </c:pt>
              </c:numCache>
            </c:numRef>
          </c:val>
          <c:extLst>
            <c:ext xmlns:c16="http://schemas.microsoft.com/office/drawing/2014/chart" uri="{C3380CC4-5D6E-409C-BE32-E72D297353CC}">
              <c16:uniqueId val="{00000004-52F3-4F23-BD7C-A48C951B6BEF}"/>
            </c:ext>
          </c:extLst>
        </c:ser>
        <c:ser>
          <c:idx val="5"/>
          <c:order val="5"/>
          <c:tx>
            <c:strRef>
              <c:f>Sheet1!$G$16</c:f>
              <c:strCache>
                <c:ptCount val="1"/>
                <c:pt idx="0">
                  <c:v>Language</c:v>
                </c:pt>
              </c:strCache>
            </c:strRef>
          </c:tx>
          <c:spPr>
            <a:solidFill>
              <a:schemeClr val="accent6">
                <a:alpha val="70000"/>
              </a:schemeClr>
            </a:solidFill>
            <a:ln>
              <a:noFill/>
            </a:ln>
            <a:effectLst/>
          </c:spPr>
          <c:invertIfNegative val="0"/>
          <c:cat>
            <c:strRef>
              <c:f>Sheet1!$A$17:$A$28</c:f>
              <c:strCache>
                <c:ptCount val="12"/>
                <c:pt idx="0">
                  <c:v>Benin</c:v>
                </c:pt>
                <c:pt idx="1">
                  <c:v>Ivory Coast</c:v>
                </c:pt>
                <c:pt idx="2">
                  <c:v>Ghana</c:v>
                </c:pt>
                <c:pt idx="3">
                  <c:v>Burkina Faso</c:v>
                </c:pt>
                <c:pt idx="4">
                  <c:v>Mali</c:v>
                </c:pt>
                <c:pt idx="5">
                  <c:v>Niger</c:v>
                </c:pt>
                <c:pt idx="6">
                  <c:v>Togo</c:v>
                </c:pt>
                <c:pt idx="7">
                  <c:v>Guinea</c:v>
                </c:pt>
                <c:pt idx="8">
                  <c:v>Guinea Bissau</c:v>
                </c:pt>
                <c:pt idx="9">
                  <c:v>Senegal</c:v>
                </c:pt>
                <c:pt idx="10">
                  <c:v>Sierra Leone</c:v>
                </c:pt>
                <c:pt idx="11">
                  <c:v>Other countries</c:v>
                </c:pt>
              </c:strCache>
            </c:strRef>
          </c:cat>
          <c:val>
            <c:numRef>
              <c:f>Sheet1!$G$17:$G$28</c:f>
              <c:numCache>
                <c:formatCode>General</c:formatCode>
                <c:ptCount val="12"/>
                <c:pt idx="0">
                  <c:v>0</c:v>
                </c:pt>
                <c:pt idx="1">
                  <c:v>0</c:v>
                </c:pt>
                <c:pt idx="2">
                  <c:v>1</c:v>
                </c:pt>
                <c:pt idx="3">
                  <c:v>1</c:v>
                </c:pt>
                <c:pt idx="4">
                  <c:v>0</c:v>
                </c:pt>
                <c:pt idx="5">
                  <c:v>0</c:v>
                </c:pt>
                <c:pt idx="6">
                  <c:v>0</c:v>
                </c:pt>
                <c:pt idx="7">
                  <c:v>0</c:v>
                </c:pt>
                <c:pt idx="8">
                  <c:v>0</c:v>
                </c:pt>
                <c:pt idx="9">
                  <c:v>0</c:v>
                </c:pt>
                <c:pt idx="10">
                  <c:v>0</c:v>
                </c:pt>
                <c:pt idx="11">
                  <c:v>2</c:v>
                </c:pt>
              </c:numCache>
            </c:numRef>
          </c:val>
          <c:extLst>
            <c:ext xmlns:c16="http://schemas.microsoft.com/office/drawing/2014/chart" uri="{C3380CC4-5D6E-409C-BE32-E72D297353CC}">
              <c16:uniqueId val="{00000005-52F3-4F23-BD7C-A48C951B6BEF}"/>
            </c:ext>
          </c:extLst>
        </c:ser>
        <c:ser>
          <c:idx val="6"/>
          <c:order val="6"/>
          <c:tx>
            <c:strRef>
              <c:f>Sheet1!$H$16</c:f>
              <c:strCache>
                <c:ptCount val="1"/>
                <c:pt idx="0">
                  <c:v>Admin. Sciences</c:v>
                </c:pt>
              </c:strCache>
            </c:strRef>
          </c:tx>
          <c:spPr>
            <a:solidFill>
              <a:schemeClr val="accent1">
                <a:lumMod val="60000"/>
                <a:alpha val="70000"/>
              </a:schemeClr>
            </a:solidFill>
            <a:ln>
              <a:noFill/>
            </a:ln>
            <a:effectLst/>
          </c:spPr>
          <c:invertIfNegative val="0"/>
          <c:cat>
            <c:strRef>
              <c:f>Sheet1!$A$17:$A$28</c:f>
              <c:strCache>
                <c:ptCount val="12"/>
                <c:pt idx="0">
                  <c:v>Benin</c:v>
                </c:pt>
                <c:pt idx="1">
                  <c:v>Ivory Coast</c:v>
                </c:pt>
                <c:pt idx="2">
                  <c:v>Ghana</c:v>
                </c:pt>
                <c:pt idx="3">
                  <c:v>Burkina Faso</c:v>
                </c:pt>
                <c:pt idx="4">
                  <c:v>Mali</c:v>
                </c:pt>
                <c:pt idx="5">
                  <c:v>Niger</c:v>
                </c:pt>
                <c:pt idx="6">
                  <c:v>Togo</c:v>
                </c:pt>
                <c:pt idx="7">
                  <c:v>Guinea</c:v>
                </c:pt>
                <c:pt idx="8">
                  <c:v>Guinea Bissau</c:v>
                </c:pt>
                <c:pt idx="9">
                  <c:v>Senegal</c:v>
                </c:pt>
                <c:pt idx="10">
                  <c:v>Sierra Leone</c:v>
                </c:pt>
                <c:pt idx="11">
                  <c:v>Other countries</c:v>
                </c:pt>
              </c:strCache>
            </c:strRef>
          </c:cat>
          <c:val>
            <c:numRef>
              <c:f>Sheet1!$H$17:$H$28</c:f>
              <c:numCache>
                <c:formatCode>General</c:formatCode>
                <c:ptCount val="12"/>
                <c:pt idx="0">
                  <c:v>0</c:v>
                </c:pt>
                <c:pt idx="1">
                  <c:v>0</c:v>
                </c:pt>
                <c:pt idx="2">
                  <c:v>1</c:v>
                </c:pt>
                <c:pt idx="3">
                  <c:v>3</c:v>
                </c:pt>
                <c:pt idx="4">
                  <c:v>0</c:v>
                </c:pt>
                <c:pt idx="5">
                  <c:v>0</c:v>
                </c:pt>
                <c:pt idx="6">
                  <c:v>0</c:v>
                </c:pt>
                <c:pt idx="7">
                  <c:v>0</c:v>
                </c:pt>
                <c:pt idx="8">
                  <c:v>0</c:v>
                </c:pt>
                <c:pt idx="9">
                  <c:v>0</c:v>
                </c:pt>
                <c:pt idx="10">
                  <c:v>0</c:v>
                </c:pt>
                <c:pt idx="11">
                  <c:v>2</c:v>
                </c:pt>
              </c:numCache>
            </c:numRef>
          </c:val>
          <c:extLst>
            <c:ext xmlns:c16="http://schemas.microsoft.com/office/drawing/2014/chart" uri="{C3380CC4-5D6E-409C-BE32-E72D297353CC}">
              <c16:uniqueId val="{00000006-52F3-4F23-BD7C-A48C951B6BEF}"/>
            </c:ext>
          </c:extLst>
        </c:ser>
        <c:dLbls>
          <c:showLegendKey val="0"/>
          <c:showVal val="0"/>
          <c:showCatName val="0"/>
          <c:showSerName val="0"/>
          <c:showPercent val="0"/>
          <c:showBubbleSize val="0"/>
        </c:dLbls>
        <c:gapWidth val="50"/>
        <c:overlap val="100"/>
        <c:axId val="1287222528"/>
        <c:axId val="1287229728"/>
      </c:barChart>
      <c:catAx>
        <c:axId val="1287222528"/>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j-lt"/>
                    <a:ea typeface="+mn-ea"/>
                    <a:cs typeface="+mn-cs"/>
                  </a:defRPr>
                </a:pPr>
                <a:r>
                  <a:rPr lang="en-US">
                    <a:latin typeface="+mj-lt"/>
                  </a:rPr>
                  <a:t>Country</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j-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j-lt"/>
                <a:ea typeface="+mn-ea"/>
                <a:cs typeface="+mn-cs"/>
              </a:defRPr>
            </a:pPr>
            <a:endParaRPr lang="en-US"/>
          </a:p>
        </c:txPr>
        <c:crossAx val="1287229728"/>
        <c:crosses val="autoZero"/>
        <c:auto val="1"/>
        <c:lblAlgn val="ctr"/>
        <c:lblOffset val="100"/>
        <c:noMultiLvlLbl val="0"/>
      </c:catAx>
      <c:valAx>
        <c:axId val="1287229728"/>
        <c:scaling>
          <c:orientation val="minMax"/>
        </c:scaling>
        <c:delete val="0"/>
        <c:axPos val="b"/>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j-lt"/>
                    <a:ea typeface="+mn-ea"/>
                    <a:cs typeface="+mn-cs"/>
                  </a:defRPr>
                </a:pPr>
                <a:r>
                  <a:rPr lang="en-US">
                    <a:latin typeface="+mj-lt"/>
                  </a:rPr>
                  <a:t>Number of trainees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j-lt"/>
                  <a:ea typeface="+mn-ea"/>
                  <a:cs typeface="+mn-cs"/>
                </a:defRPr>
              </a:pPr>
              <a:endParaRPr lang="en-US"/>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7222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j-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301">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8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4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a:solidFill>
          <a:schemeClr val="tx1">
            <a:lumMod val="15000"/>
            <a:lumOff val="85000"/>
          </a:schemeClr>
        </a:solidFill>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19050" cap="rnd">
        <a:solidFill>
          <a:schemeClr val="phClr">
            <a:alpha val="60000"/>
          </a:schemeClr>
        </a:solidFill>
        <a:round/>
      </a:ln>
    </cs:spPr>
  </cs:dataPointLine>
  <cs:dataPointMarker>
    <cs:lnRef idx="0">
      <cs:styleClr val="auto"/>
    </cs:lnRef>
    <cs:fillRef idx="0">
      <cs:styleClr val="auto"/>
    </cs:fillRef>
    <cs:effectRef idx="0"/>
    <cs:fontRef idx="minor">
      <a:schemeClr val="dk1"/>
    </cs:fontRef>
    <cs:spPr>
      <a:solidFill>
        <a:schemeClr val="lt1"/>
      </a:solidFill>
      <a:ln w="38100">
        <a:solidFill>
          <a:schemeClr val="phClr">
            <a:alpha val="60000"/>
          </a:schemeClr>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15000"/>
            <a:lumOff val="8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a:solidFill>
          <a:schemeClr val="tx1">
            <a:lumMod val="15000"/>
            <a:lumOff val="85000"/>
          </a:schemeClr>
        </a:solidFill>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a:solidFill>
          <a:schemeClr val="tx1">
            <a:lumMod val="25000"/>
            <a:lumOff val="75000"/>
          </a:schemeClr>
        </a:solidFill>
      </a:ln>
    </cs:spPr>
    <cs:defRPr sz="900" kern="1200" spc="20" baseline="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80">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301">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246">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spPr>
      <a:ln w="9525" cap="rnd">
        <a:solidFill>
          <a:schemeClr val="dk1">
            <a:lumMod val="20000"/>
            <a:lumOff val="80000"/>
          </a:schemeClr>
        </a:solidFill>
        <a:round/>
      </a:ln>
    </cs:spPr>
    <cs:defRPr sz="900" kern="120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effectRef idx="1"/>
    <cs:fontRef idx="minor">
      <a:schemeClr val="dk1"/>
    </cs:fontRef>
    <cs:spPr>
      <a:ln w="9525" cap="flat" cmpd="sng" algn="ctr">
        <a:solidFill>
          <a:schemeClr val="phClr">
            <a:alpha val="70000"/>
          </a:schemeClr>
        </a:solidFill>
        <a:prstDash val="sysDot"/>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rnd">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rnd">
        <a:solidFill>
          <a:schemeClr val="dk1">
            <a:lumMod val="65000"/>
            <a:lumOff val="35000"/>
          </a:schemeClr>
        </a:solidFill>
        <a:round/>
      </a:ln>
    </cs:spPr>
  </cs:downBar>
  <cs:dropLine>
    <cs:lnRef idx="0"/>
    <cs:fillRef idx="0"/>
    <cs:effectRef idx="0"/>
    <cs:fontRef idx="minor">
      <a:schemeClr val="dk1"/>
    </cs:fontRef>
    <cs:spPr>
      <a:ln w="9525" cap="rnd">
        <a:solidFill>
          <a:schemeClr val="dk1">
            <a:lumMod val="35000"/>
            <a:lumOff val="65000"/>
          </a:schemeClr>
        </a:solidFill>
        <a:round/>
      </a:ln>
    </cs:spPr>
  </cs:dropLine>
  <cs:errorBar>
    <cs:lnRef idx="0"/>
    <cs:fillRef idx="0"/>
    <cs:effectRef idx="0"/>
    <cs:fontRef idx="minor">
      <a:schemeClr val="dk1"/>
    </cs:fontRef>
    <cs:spPr>
      <a:ln w="9525" cap="rnd">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rnd">
        <a:solidFill>
          <a:schemeClr val="dk1">
            <a:lumMod val="35000"/>
            <a:lumOff val="65000"/>
          </a:schemeClr>
        </a:solidFill>
        <a:round/>
      </a:ln>
    </cs:spPr>
  </cs:hiLoLine>
  <cs:leaderLine>
    <cs:lnRef idx="0"/>
    <cs:fillRef idx="0"/>
    <cs:effectRef idx="0"/>
    <cs:fontRef idx="minor">
      <a:schemeClr val="dk1"/>
    </cs:fontRef>
    <cs:spPr>
      <a:ln w="9525" cap="rnd">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spc="0" baseline="0"/>
  </cs:legend>
  <cs:plotArea>
    <cs:lnRef idx="0"/>
    <cs:fillRef idx="0"/>
    <cs:effectRef idx="0"/>
    <cs:fontRef idx="minor">
      <a:schemeClr val="dk1"/>
    </cs:fontRef>
    <cs:spPr>
      <a:gradFill>
        <a:gsLst>
          <a:gs pos="100000">
            <a:schemeClr val="lt1">
              <a:lumMod val="95000"/>
            </a:schemeClr>
          </a:gs>
          <a:gs pos="0">
            <a:schemeClr val="lt1">
              <a:alpha val="0"/>
            </a:schemeClr>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rnd">
        <a:solidFill>
          <a:schemeClr val="dk1">
            <a:lumMod val="20000"/>
            <a:lumOff val="80000"/>
          </a:schemeClr>
        </a:solidFill>
        <a:round/>
      </a:ln>
    </cs:spPr>
    <cs:defRPr sz="900" kern="1200"/>
  </cs:seriesAxis>
  <cs:seriesLine>
    <cs:lnRef idx="0"/>
    <cs:fillRef idx="0"/>
    <cs:effectRef idx="0"/>
    <cs:fontRef idx="minor">
      <a:schemeClr val="dk1"/>
    </cs:fontRef>
    <cs:spPr>
      <a:ln w="9525" cap="rnd">
        <a:solidFill>
          <a:schemeClr val="dk1">
            <a:lumMod val="35000"/>
            <a:lumOff val="65000"/>
          </a:schemeClr>
        </a:solidFill>
        <a:round/>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cs:spPr>
  </cs:upBar>
  <cs:valueAxis>
    <cs:lnRef idx="0"/>
    <cs:fillRef idx="0"/>
    <cs:effectRef idx="0"/>
    <cs:fontRef idx="minor">
      <a:schemeClr val="dk1">
        <a:lumMod val="65000"/>
        <a:lumOff val="35000"/>
      </a:schemeClr>
    </cs:fontRef>
    <cs:spPr>
      <a:ln w="9525" cap="rnd">
        <a:solidFill>
          <a:schemeClr val="dk1">
            <a:lumMod val="25000"/>
            <a:lumOff val="75000"/>
          </a:schemeClr>
        </a:solidFill>
        <a:round/>
      </a:ln>
    </cs:spPr>
    <cs:defRPr sz="900" kern="1200" spc="0" baseline="0"/>
  </cs:valueAxis>
  <cs:wall>
    <cs:lnRef idx="0"/>
    <cs:fillRef idx="0"/>
    <cs:effectRef idx="0"/>
    <cs:fontRef idx="minor">
      <a:schemeClr val="dk1"/>
    </cs:fontRef>
  </cs:wall>
</cs:chartStyle>
</file>

<file path=word/charts/style21.xml><?xml version="1.0" encoding="utf-8"?>
<cs:chartStyle xmlns:cs="http://schemas.microsoft.com/office/drawing/2012/chartStyle" xmlns:a="http://schemas.openxmlformats.org/drawingml/2006/main" id="301">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2.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3.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4.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5.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6.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7.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8.xml><?xml version="1.0" encoding="utf-8"?>
<cs:chartStyle xmlns:cs="http://schemas.microsoft.com/office/drawing/2012/chartStyle" xmlns:a="http://schemas.openxmlformats.org/drawingml/2006/main" id="301">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9.xml><?xml version="1.0" encoding="utf-8"?>
<cs:chartStyle xmlns:cs="http://schemas.microsoft.com/office/drawing/2012/chartStyle" xmlns:a="http://schemas.openxmlformats.org/drawingml/2006/main" id="30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fillRef idx="0">
      <cs:styleClr val="auto"/>
    </cs:fillRef>
    <cs:effectRef idx="0"/>
    <cs:fontRef idx="minor">
      <a:schemeClr val="tx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397D409-711B-490E-A31E-325D3107C138}" type="doc">
      <dgm:prSet loTypeId="urn:microsoft.com/office/officeart/2005/8/layout/list1" loCatId="list" qsTypeId="urn:microsoft.com/office/officeart/2005/8/quickstyle/simple3" qsCatId="simple" csTypeId="urn:microsoft.com/office/officeart/2005/8/colors/accent1_2" csCatId="accent1" phldr="1"/>
      <dgm:spPr/>
      <dgm:t>
        <a:bodyPr/>
        <a:lstStyle/>
        <a:p>
          <a:endParaRPr lang="en-US"/>
        </a:p>
      </dgm:t>
    </dgm:pt>
    <dgm:pt modelId="{03560851-FA19-47CA-AB7A-28A0F7053A21}">
      <dgm:prSet phldrT="[Text]" custT="1"/>
      <dgm:spPr/>
      <dgm:t>
        <a:bodyPr/>
        <a:lstStyle/>
        <a:p>
          <a:r>
            <a:rPr lang="en-US" sz="900" b="1">
              <a:latin typeface="+mj-lt"/>
            </a:rPr>
            <a:t>Chapter 2</a:t>
          </a:r>
        </a:p>
      </dgm:t>
    </dgm:pt>
    <dgm:pt modelId="{8C4F4145-3174-4F31-A721-0BE2966D60FF}" type="parTrans" cxnId="{EC95C529-2E46-4DEB-9AA2-82CCF88841F2}">
      <dgm:prSet/>
      <dgm:spPr/>
      <dgm:t>
        <a:bodyPr/>
        <a:lstStyle/>
        <a:p>
          <a:endParaRPr lang="en-US" sz="1000"/>
        </a:p>
      </dgm:t>
    </dgm:pt>
    <dgm:pt modelId="{2360776E-744D-44E8-8909-84A3C1827E5D}" type="sibTrans" cxnId="{EC95C529-2E46-4DEB-9AA2-82CCF88841F2}">
      <dgm:prSet/>
      <dgm:spPr/>
      <dgm:t>
        <a:bodyPr/>
        <a:lstStyle/>
        <a:p>
          <a:endParaRPr lang="en-US" sz="1000"/>
        </a:p>
      </dgm:t>
    </dgm:pt>
    <dgm:pt modelId="{975C771C-20BE-4299-B9EA-AE33C93AE9C0}">
      <dgm:prSet phldrT="[Text]" custT="1"/>
      <dgm:spPr/>
      <dgm:t>
        <a:bodyPr/>
        <a:lstStyle/>
        <a:p>
          <a:r>
            <a:rPr lang="en-US" sz="900">
              <a:latin typeface="+mj-lt"/>
            </a:rPr>
            <a:t>What frameworks can be used to study global health programme success?</a:t>
          </a:r>
        </a:p>
      </dgm:t>
    </dgm:pt>
    <dgm:pt modelId="{BCE55115-4EE9-4DDA-B21F-03067CF1DCCF}" type="parTrans" cxnId="{28CB6165-93D5-45CB-8FC2-B2E7BE141D3E}">
      <dgm:prSet/>
      <dgm:spPr/>
      <dgm:t>
        <a:bodyPr/>
        <a:lstStyle/>
        <a:p>
          <a:endParaRPr lang="en-US" sz="1000"/>
        </a:p>
      </dgm:t>
    </dgm:pt>
    <dgm:pt modelId="{1C6BF96E-11C6-4EB5-A345-7139C8C6F28A}" type="sibTrans" cxnId="{28CB6165-93D5-45CB-8FC2-B2E7BE141D3E}">
      <dgm:prSet/>
      <dgm:spPr/>
      <dgm:t>
        <a:bodyPr/>
        <a:lstStyle/>
        <a:p>
          <a:endParaRPr lang="en-US" sz="1000"/>
        </a:p>
      </dgm:t>
    </dgm:pt>
    <dgm:pt modelId="{412F6BB1-6D81-468C-9599-71258F39648C}">
      <dgm:prSet phldrT="[Text]" custT="1"/>
      <dgm:spPr/>
      <dgm:t>
        <a:bodyPr/>
        <a:lstStyle/>
        <a:p>
          <a:r>
            <a:rPr lang="en-US" sz="900" b="1">
              <a:latin typeface="+mj-lt"/>
            </a:rPr>
            <a:t>Chapter 3</a:t>
          </a:r>
        </a:p>
      </dgm:t>
    </dgm:pt>
    <dgm:pt modelId="{B4316CB8-59BA-4004-97EE-5181B2EBB778}" type="parTrans" cxnId="{ECCFB5A7-4823-48F0-80F6-AC1C27E46B17}">
      <dgm:prSet/>
      <dgm:spPr/>
      <dgm:t>
        <a:bodyPr/>
        <a:lstStyle/>
        <a:p>
          <a:endParaRPr lang="en-US" sz="1000"/>
        </a:p>
      </dgm:t>
    </dgm:pt>
    <dgm:pt modelId="{D262D673-A7A8-4377-8AA9-E5E63F38C628}" type="sibTrans" cxnId="{ECCFB5A7-4823-48F0-80F6-AC1C27E46B17}">
      <dgm:prSet/>
      <dgm:spPr/>
      <dgm:t>
        <a:bodyPr/>
        <a:lstStyle/>
        <a:p>
          <a:endParaRPr lang="en-US" sz="1000"/>
        </a:p>
      </dgm:t>
    </dgm:pt>
    <dgm:pt modelId="{4A745F74-335B-42AB-A5D0-7BB6C4549922}">
      <dgm:prSet phldrT="[Text]" custT="1"/>
      <dgm:spPr/>
      <dgm:t>
        <a:bodyPr/>
        <a:lstStyle/>
        <a:p>
          <a:r>
            <a:rPr lang="en-US" sz="900">
              <a:latin typeface="+mj-lt"/>
            </a:rPr>
            <a:t>When did the OCP become a success in the eyes of the Bank and global health community, and in what specific ways is it seen as a success?</a:t>
          </a:r>
        </a:p>
      </dgm:t>
    </dgm:pt>
    <dgm:pt modelId="{0AF9583C-8077-40E6-8D03-20B93E454A12}" type="parTrans" cxnId="{ECA13822-FFF0-47D9-9F6D-A809116E1CCF}">
      <dgm:prSet/>
      <dgm:spPr/>
      <dgm:t>
        <a:bodyPr/>
        <a:lstStyle/>
        <a:p>
          <a:endParaRPr lang="en-US" sz="1000"/>
        </a:p>
      </dgm:t>
    </dgm:pt>
    <dgm:pt modelId="{C5D7A2DC-C614-47C1-9258-AA4AF3A27D1E}" type="sibTrans" cxnId="{ECA13822-FFF0-47D9-9F6D-A809116E1CCF}">
      <dgm:prSet/>
      <dgm:spPr/>
      <dgm:t>
        <a:bodyPr/>
        <a:lstStyle/>
        <a:p>
          <a:endParaRPr lang="en-US" sz="1000"/>
        </a:p>
      </dgm:t>
    </dgm:pt>
    <dgm:pt modelId="{D1961203-44A3-4199-93A7-4E8CE508E37B}">
      <dgm:prSet phldrT="[Text]" custT="1"/>
      <dgm:spPr/>
      <dgm:t>
        <a:bodyPr/>
        <a:lstStyle/>
        <a:p>
          <a:r>
            <a:rPr lang="en-US" sz="900" b="1">
              <a:latin typeface="+mj-lt"/>
            </a:rPr>
            <a:t>Chapter 4</a:t>
          </a:r>
        </a:p>
      </dgm:t>
    </dgm:pt>
    <dgm:pt modelId="{9DF3DB55-5859-4CDA-853E-C1F2B12DBF30}" type="parTrans" cxnId="{1EBE83E5-2C5C-4D22-B315-CACAC774093E}">
      <dgm:prSet/>
      <dgm:spPr/>
      <dgm:t>
        <a:bodyPr/>
        <a:lstStyle/>
        <a:p>
          <a:endParaRPr lang="en-US" sz="1000"/>
        </a:p>
      </dgm:t>
    </dgm:pt>
    <dgm:pt modelId="{57E0EA3A-35F2-46C0-84CB-47B14AA2891C}" type="sibTrans" cxnId="{1EBE83E5-2C5C-4D22-B315-CACAC774093E}">
      <dgm:prSet/>
      <dgm:spPr/>
      <dgm:t>
        <a:bodyPr/>
        <a:lstStyle/>
        <a:p>
          <a:endParaRPr lang="en-US" sz="1000"/>
        </a:p>
      </dgm:t>
    </dgm:pt>
    <dgm:pt modelId="{0F14AD4D-771B-4052-94F5-59E6C890D2BA}">
      <dgm:prSet phldrT="[Text]" custT="1"/>
      <dgm:spPr/>
      <dgm:t>
        <a:bodyPr/>
        <a:lstStyle/>
        <a:p>
          <a:r>
            <a:rPr lang="en-US" sz="900" b="1">
              <a:latin typeface="+mj-lt"/>
            </a:rPr>
            <a:t>Chapter 5</a:t>
          </a:r>
        </a:p>
      </dgm:t>
    </dgm:pt>
    <dgm:pt modelId="{03CFC9C6-8A12-4C9F-991E-C26BED76789C}" type="parTrans" cxnId="{4F84C4C7-C8EF-4F96-B35D-197513755ED4}">
      <dgm:prSet/>
      <dgm:spPr/>
      <dgm:t>
        <a:bodyPr/>
        <a:lstStyle/>
        <a:p>
          <a:endParaRPr lang="en-US" sz="1000"/>
        </a:p>
      </dgm:t>
    </dgm:pt>
    <dgm:pt modelId="{678BCF6E-CFD8-4CBF-93D6-6D15BBDE9534}" type="sibTrans" cxnId="{4F84C4C7-C8EF-4F96-B35D-197513755ED4}">
      <dgm:prSet/>
      <dgm:spPr/>
      <dgm:t>
        <a:bodyPr/>
        <a:lstStyle/>
        <a:p>
          <a:endParaRPr lang="en-US" sz="1000"/>
        </a:p>
      </dgm:t>
    </dgm:pt>
    <dgm:pt modelId="{3F090C9F-1FCF-4E19-A767-D3BB19FA0066}">
      <dgm:prSet phldrT="[Text]" custT="1"/>
      <dgm:spPr/>
      <dgm:t>
        <a:bodyPr/>
        <a:lstStyle/>
        <a:p>
          <a:r>
            <a:rPr lang="en-US" sz="900" b="1">
              <a:latin typeface="+mj-lt"/>
            </a:rPr>
            <a:t>Chapter 6</a:t>
          </a:r>
        </a:p>
      </dgm:t>
    </dgm:pt>
    <dgm:pt modelId="{5F4F9B94-21C2-4225-BDA1-CB7057222383}" type="parTrans" cxnId="{FB0B71A9-9F35-4C22-ABE8-D338C41D914B}">
      <dgm:prSet/>
      <dgm:spPr/>
      <dgm:t>
        <a:bodyPr/>
        <a:lstStyle/>
        <a:p>
          <a:endParaRPr lang="en-US" sz="1000"/>
        </a:p>
      </dgm:t>
    </dgm:pt>
    <dgm:pt modelId="{FF030059-8712-4DB1-A644-E246281C20CA}" type="sibTrans" cxnId="{FB0B71A9-9F35-4C22-ABE8-D338C41D914B}">
      <dgm:prSet/>
      <dgm:spPr/>
      <dgm:t>
        <a:bodyPr/>
        <a:lstStyle/>
        <a:p>
          <a:endParaRPr lang="en-US" sz="1000"/>
        </a:p>
      </dgm:t>
    </dgm:pt>
    <dgm:pt modelId="{FA5D1052-6DF7-4195-A7B9-6C524D58D3CC}">
      <dgm:prSet phldrT="[Text]" custT="1"/>
      <dgm:spPr/>
      <dgm:t>
        <a:bodyPr/>
        <a:lstStyle/>
        <a:p>
          <a:r>
            <a:rPr lang="en-US" sz="900" b="1">
              <a:latin typeface="+mj-lt"/>
            </a:rPr>
            <a:t>Chapter 7</a:t>
          </a:r>
        </a:p>
      </dgm:t>
    </dgm:pt>
    <dgm:pt modelId="{6A5F8519-857B-428F-9949-3BCA81E3EF01}" type="parTrans" cxnId="{F300ED96-D195-4213-8286-A47C6593AB94}">
      <dgm:prSet/>
      <dgm:spPr/>
      <dgm:t>
        <a:bodyPr/>
        <a:lstStyle/>
        <a:p>
          <a:endParaRPr lang="en-US" sz="1000"/>
        </a:p>
      </dgm:t>
    </dgm:pt>
    <dgm:pt modelId="{DE27A2CD-0BB1-4EDD-9F9A-F8631BC23193}" type="sibTrans" cxnId="{F300ED96-D195-4213-8286-A47C6593AB94}">
      <dgm:prSet/>
      <dgm:spPr/>
      <dgm:t>
        <a:bodyPr/>
        <a:lstStyle/>
        <a:p>
          <a:endParaRPr lang="en-US" sz="1000"/>
        </a:p>
      </dgm:t>
    </dgm:pt>
    <dgm:pt modelId="{4ECC2F32-36C3-4A80-9ADB-E9231FE96D06}">
      <dgm:prSet phldrT="[Text]" custT="1"/>
      <dgm:spPr/>
      <dgm:t>
        <a:bodyPr/>
        <a:lstStyle/>
        <a:p>
          <a:r>
            <a:rPr lang="en-US" sz="900" b="1">
              <a:latin typeface="+mj-lt"/>
            </a:rPr>
            <a:t>Chapter 8</a:t>
          </a:r>
        </a:p>
      </dgm:t>
    </dgm:pt>
    <dgm:pt modelId="{572FB6C4-5599-4A2A-B4B0-EF8FE5C4CFA5}" type="parTrans" cxnId="{FCCEB856-07E1-4310-B7D6-0AED2961D68B}">
      <dgm:prSet/>
      <dgm:spPr/>
      <dgm:t>
        <a:bodyPr/>
        <a:lstStyle/>
        <a:p>
          <a:endParaRPr lang="en-US" sz="1000"/>
        </a:p>
      </dgm:t>
    </dgm:pt>
    <dgm:pt modelId="{46E38298-01EA-424D-9359-A0A768C38D7D}" type="sibTrans" cxnId="{FCCEB856-07E1-4310-B7D6-0AED2961D68B}">
      <dgm:prSet/>
      <dgm:spPr/>
      <dgm:t>
        <a:bodyPr/>
        <a:lstStyle/>
        <a:p>
          <a:endParaRPr lang="en-US" sz="1000"/>
        </a:p>
      </dgm:t>
    </dgm:pt>
    <dgm:pt modelId="{983A9601-0029-43C7-AE59-A26F86EDAF3C}">
      <dgm:prSet phldrT="[Text]" custT="1"/>
      <dgm:spPr/>
      <dgm:t>
        <a:bodyPr/>
        <a:lstStyle/>
        <a:p>
          <a:r>
            <a:rPr lang="en-US" sz="900" b="1">
              <a:latin typeface="+mj-lt"/>
            </a:rPr>
            <a:t>Chapter 9</a:t>
          </a:r>
        </a:p>
      </dgm:t>
    </dgm:pt>
    <dgm:pt modelId="{69C934E4-4D31-4F94-B221-42F90B5E98F1}" type="parTrans" cxnId="{A7B5A917-2986-4A94-B78F-192296D5222A}">
      <dgm:prSet/>
      <dgm:spPr/>
      <dgm:t>
        <a:bodyPr/>
        <a:lstStyle/>
        <a:p>
          <a:endParaRPr lang="en-US" sz="1000"/>
        </a:p>
      </dgm:t>
    </dgm:pt>
    <dgm:pt modelId="{736F542B-51F9-47D3-AC24-6A8ACA9DEFA4}" type="sibTrans" cxnId="{A7B5A917-2986-4A94-B78F-192296D5222A}">
      <dgm:prSet/>
      <dgm:spPr/>
      <dgm:t>
        <a:bodyPr/>
        <a:lstStyle/>
        <a:p>
          <a:endParaRPr lang="en-US" sz="1000"/>
        </a:p>
      </dgm:t>
    </dgm:pt>
    <dgm:pt modelId="{16731B55-4ECD-4710-AAFF-339A074D7D54}">
      <dgm:prSet phldrT="[Text]" custT="1"/>
      <dgm:spPr/>
      <dgm:t>
        <a:bodyPr/>
        <a:lstStyle/>
        <a:p>
          <a:r>
            <a:rPr lang="en-US" sz="900">
              <a:latin typeface="+mj-lt"/>
            </a:rPr>
            <a:t>What methodologies does the dissertation use, and what are their limitations?</a:t>
          </a:r>
        </a:p>
      </dgm:t>
    </dgm:pt>
    <dgm:pt modelId="{5E205406-6710-4BDE-8BEE-EA9C143F0C6D}" type="parTrans" cxnId="{6D2A5821-B182-4A7D-9990-358AFBE53BC0}">
      <dgm:prSet/>
      <dgm:spPr/>
      <dgm:t>
        <a:bodyPr/>
        <a:lstStyle/>
        <a:p>
          <a:endParaRPr lang="en-US" sz="1000"/>
        </a:p>
      </dgm:t>
    </dgm:pt>
    <dgm:pt modelId="{09DA10D3-4C09-41CB-9D7B-C23651BBAE3B}" type="sibTrans" cxnId="{6D2A5821-B182-4A7D-9990-358AFBE53BC0}">
      <dgm:prSet/>
      <dgm:spPr/>
      <dgm:t>
        <a:bodyPr/>
        <a:lstStyle/>
        <a:p>
          <a:endParaRPr lang="en-US" sz="1000"/>
        </a:p>
      </dgm:t>
    </dgm:pt>
    <dgm:pt modelId="{29B16606-6AD0-4CB4-B285-7D3E32ED5A83}">
      <dgm:prSet phldrT="[Text]" custT="1"/>
      <dgm:spPr/>
      <dgm:t>
        <a:bodyPr/>
        <a:lstStyle/>
        <a:p>
          <a:r>
            <a:rPr lang="en-US" sz="900">
              <a:latin typeface="+mj-lt"/>
            </a:rPr>
            <a:t>What objectives and metrics were used to justify the OCP to donors?</a:t>
          </a:r>
        </a:p>
      </dgm:t>
    </dgm:pt>
    <dgm:pt modelId="{E963A3E6-6FBE-4925-BFD8-755DBE520876}" type="parTrans" cxnId="{2F0C2CCA-0B40-4661-8592-90FD370D4BB6}">
      <dgm:prSet/>
      <dgm:spPr/>
      <dgm:t>
        <a:bodyPr/>
        <a:lstStyle/>
        <a:p>
          <a:endParaRPr lang="en-US" sz="1000"/>
        </a:p>
      </dgm:t>
    </dgm:pt>
    <dgm:pt modelId="{7D22B0BB-63F9-440F-A55D-491FE066867B}" type="sibTrans" cxnId="{2F0C2CCA-0B40-4661-8592-90FD370D4BB6}">
      <dgm:prSet/>
      <dgm:spPr/>
      <dgm:t>
        <a:bodyPr/>
        <a:lstStyle/>
        <a:p>
          <a:endParaRPr lang="en-US" sz="1000"/>
        </a:p>
      </dgm:t>
    </dgm:pt>
    <dgm:pt modelId="{86ABE3CA-878E-4686-869A-9A9E63AFF1EF}">
      <dgm:prSet phldrT="[Text]" custT="1"/>
      <dgm:spPr/>
      <dgm:t>
        <a:bodyPr/>
        <a:lstStyle/>
        <a:p>
          <a:r>
            <a:rPr lang="en-US" sz="900">
              <a:latin typeface="+mj-lt"/>
            </a:rPr>
            <a:t>How did the Bank govern the OCP's finances?</a:t>
          </a:r>
        </a:p>
      </dgm:t>
    </dgm:pt>
    <dgm:pt modelId="{59AFEFDD-F13D-40E2-8990-9CD6B891BF87}" type="parTrans" cxnId="{F35E4F93-6DC7-4A57-8165-5DACFFC05967}">
      <dgm:prSet/>
      <dgm:spPr/>
      <dgm:t>
        <a:bodyPr/>
        <a:lstStyle/>
        <a:p>
          <a:endParaRPr lang="en-US" sz="1000"/>
        </a:p>
      </dgm:t>
    </dgm:pt>
    <dgm:pt modelId="{FE27D892-7C86-4DF9-B357-F9D1150F38F1}" type="sibTrans" cxnId="{F35E4F93-6DC7-4A57-8165-5DACFFC05967}">
      <dgm:prSet/>
      <dgm:spPr/>
      <dgm:t>
        <a:bodyPr/>
        <a:lstStyle/>
        <a:p>
          <a:endParaRPr lang="en-US" sz="1000"/>
        </a:p>
      </dgm:t>
    </dgm:pt>
    <dgm:pt modelId="{8FCFE0E9-DB7F-4438-AABB-4D4283039E2E}">
      <dgm:prSet phldrT="[Text]" custT="1"/>
      <dgm:spPr/>
      <dgm:t>
        <a:bodyPr/>
        <a:lstStyle/>
        <a:p>
          <a:r>
            <a:rPr lang="en-US" sz="900">
              <a:latin typeface="+mj-lt"/>
            </a:rPr>
            <a:t>How did sponsoring agencies cooperate during the programme?</a:t>
          </a:r>
        </a:p>
      </dgm:t>
    </dgm:pt>
    <dgm:pt modelId="{29443EBE-12FF-4CF8-9DB3-C7EA972A5F9A}" type="parTrans" cxnId="{3D60332E-2FEB-45EA-8209-3785E2880EDB}">
      <dgm:prSet/>
      <dgm:spPr/>
      <dgm:t>
        <a:bodyPr/>
        <a:lstStyle/>
        <a:p>
          <a:endParaRPr lang="en-US" sz="1000"/>
        </a:p>
      </dgm:t>
    </dgm:pt>
    <dgm:pt modelId="{6BF8F97D-15B2-4A22-9636-38492FEC1446}" type="sibTrans" cxnId="{3D60332E-2FEB-45EA-8209-3785E2880EDB}">
      <dgm:prSet/>
      <dgm:spPr/>
      <dgm:t>
        <a:bodyPr/>
        <a:lstStyle/>
        <a:p>
          <a:endParaRPr lang="en-US" sz="1000"/>
        </a:p>
      </dgm:t>
    </dgm:pt>
    <dgm:pt modelId="{09319DA8-7216-4827-8338-7FE89B5D9C05}">
      <dgm:prSet phldrT="[Text]" custT="1"/>
      <dgm:spPr/>
      <dgm:t>
        <a:bodyPr/>
        <a:lstStyle/>
        <a:p>
          <a:r>
            <a:rPr lang="en-US" sz="900">
              <a:latin typeface="+mj-lt"/>
            </a:rPr>
            <a:t>What did the research partnership with pharmaceutical companies look like?</a:t>
          </a:r>
        </a:p>
      </dgm:t>
    </dgm:pt>
    <dgm:pt modelId="{EF7E3C73-B7C8-4DE2-9102-9E618C52A1E4}" type="parTrans" cxnId="{91409751-7429-4CBF-8676-B8585D4A33BA}">
      <dgm:prSet/>
      <dgm:spPr/>
      <dgm:t>
        <a:bodyPr/>
        <a:lstStyle/>
        <a:p>
          <a:endParaRPr lang="en-US" sz="1000"/>
        </a:p>
      </dgm:t>
    </dgm:pt>
    <dgm:pt modelId="{F4C1A599-6A24-4C62-BC66-212465FF58AB}" type="sibTrans" cxnId="{91409751-7429-4CBF-8676-B8585D4A33BA}">
      <dgm:prSet/>
      <dgm:spPr/>
      <dgm:t>
        <a:bodyPr/>
        <a:lstStyle/>
        <a:p>
          <a:endParaRPr lang="en-US" sz="1000"/>
        </a:p>
      </dgm:t>
    </dgm:pt>
    <dgm:pt modelId="{842551CD-1984-4DD8-9DA3-0D792AD780C1}">
      <dgm:prSet phldrT="[Text]" custT="1"/>
      <dgm:spPr/>
      <dgm:t>
        <a:bodyPr/>
        <a:lstStyle/>
        <a:p>
          <a:r>
            <a:rPr lang="en-US" sz="900">
              <a:latin typeface="+mj-lt"/>
            </a:rPr>
            <a:t>How was the OCP delivered, in terms of participating country health systems and community involvement?</a:t>
          </a:r>
        </a:p>
      </dgm:t>
    </dgm:pt>
    <dgm:pt modelId="{8801785B-72B8-44EE-A1DA-55FC8235D632}" type="parTrans" cxnId="{D8DD1795-6CF4-42B3-BC3E-023A189BFA94}">
      <dgm:prSet/>
      <dgm:spPr/>
      <dgm:t>
        <a:bodyPr/>
        <a:lstStyle/>
        <a:p>
          <a:endParaRPr lang="en-US" sz="1000"/>
        </a:p>
      </dgm:t>
    </dgm:pt>
    <dgm:pt modelId="{DC8E3C4B-C941-4AD8-877F-DC731259EA32}" type="sibTrans" cxnId="{D8DD1795-6CF4-42B3-BC3E-023A189BFA94}">
      <dgm:prSet/>
      <dgm:spPr/>
      <dgm:t>
        <a:bodyPr/>
        <a:lstStyle/>
        <a:p>
          <a:endParaRPr lang="en-US" sz="1000"/>
        </a:p>
      </dgm:t>
    </dgm:pt>
    <dgm:pt modelId="{F0666B6E-B0EC-4AD1-9C17-4002A0098F20}">
      <dgm:prSet phldrT="[Text]" custT="1"/>
      <dgm:spPr/>
      <dgm:t>
        <a:bodyPr/>
        <a:lstStyle/>
        <a:p>
          <a:r>
            <a:rPr lang="en-US" sz="900">
              <a:latin typeface="+mj-lt"/>
            </a:rPr>
            <a:t>What themes in global health governance do the underlying OCP narratives raise?  </a:t>
          </a:r>
        </a:p>
      </dgm:t>
    </dgm:pt>
    <dgm:pt modelId="{DFEE3C3C-8850-45E7-9D4B-BCBE02C64D7F}" type="parTrans" cxnId="{F5FF60B6-AA3A-41B5-8B00-2E13437C398A}">
      <dgm:prSet/>
      <dgm:spPr/>
      <dgm:t>
        <a:bodyPr/>
        <a:lstStyle/>
        <a:p>
          <a:endParaRPr lang="en-US" sz="1000"/>
        </a:p>
      </dgm:t>
    </dgm:pt>
    <dgm:pt modelId="{9505DD81-4CC9-49FF-B7B0-97842683C958}" type="sibTrans" cxnId="{F5FF60B6-AA3A-41B5-8B00-2E13437C398A}">
      <dgm:prSet/>
      <dgm:spPr/>
      <dgm:t>
        <a:bodyPr/>
        <a:lstStyle/>
        <a:p>
          <a:endParaRPr lang="en-US" sz="1000"/>
        </a:p>
      </dgm:t>
    </dgm:pt>
    <dgm:pt modelId="{9558AEDE-7F06-B74D-A784-43B06CE9B6E9}">
      <dgm:prSet phldrT="[Text]" custT="1"/>
      <dgm:spPr/>
      <dgm:t>
        <a:bodyPr/>
        <a:lstStyle/>
        <a:p>
          <a:r>
            <a:rPr lang="en-US" sz="900">
              <a:latin typeface="+mj-lt"/>
            </a:rPr>
            <a:t>What does the case study of the OCP illuminate about how success stories are defined and spread in the global health community?</a:t>
          </a:r>
        </a:p>
      </dgm:t>
    </dgm:pt>
    <dgm:pt modelId="{B49400DE-EA22-E942-BA8A-8C409AC65767}" type="parTrans" cxnId="{70ADF335-8A95-9044-926D-3DDD2179BC7E}">
      <dgm:prSet/>
      <dgm:spPr/>
      <dgm:t>
        <a:bodyPr/>
        <a:lstStyle/>
        <a:p>
          <a:endParaRPr lang="en-US"/>
        </a:p>
      </dgm:t>
    </dgm:pt>
    <dgm:pt modelId="{A0F0ABD7-4088-604D-BD3C-577CB5F20F26}" type="sibTrans" cxnId="{70ADF335-8A95-9044-926D-3DDD2179BC7E}">
      <dgm:prSet/>
      <dgm:spPr/>
      <dgm:t>
        <a:bodyPr/>
        <a:lstStyle/>
        <a:p>
          <a:endParaRPr lang="en-US"/>
        </a:p>
      </dgm:t>
    </dgm:pt>
    <dgm:pt modelId="{903DD818-3F93-405E-AA16-D40D84B77B69}" type="pres">
      <dgm:prSet presAssocID="{B397D409-711B-490E-A31E-325D3107C138}" presName="linear" presStyleCnt="0">
        <dgm:presLayoutVars>
          <dgm:dir/>
          <dgm:animLvl val="lvl"/>
          <dgm:resizeHandles val="exact"/>
        </dgm:presLayoutVars>
      </dgm:prSet>
      <dgm:spPr/>
      <dgm:t>
        <a:bodyPr/>
        <a:lstStyle/>
        <a:p>
          <a:endParaRPr lang="en-US"/>
        </a:p>
      </dgm:t>
    </dgm:pt>
    <dgm:pt modelId="{0D156ADC-584D-42E3-BBF9-F2FE86E20EAB}" type="pres">
      <dgm:prSet presAssocID="{03560851-FA19-47CA-AB7A-28A0F7053A21}" presName="parentLin" presStyleCnt="0"/>
      <dgm:spPr/>
    </dgm:pt>
    <dgm:pt modelId="{18BF451B-7F52-4A01-BD50-859D2909CDB3}" type="pres">
      <dgm:prSet presAssocID="{03560851-FA19-47CA-AB7A-28A0F7053A21}" presName="parentLeftMargin" presStyleLbl="node1" presStyleIdx="0" presStyleCnt="8"/>
      <dgm:spPr/>
      <dgm:t>
        <a:bodyPr/>
        <a:lstStyle/>
        <a:p>
          <a:endParaRPr lang="en-US"/>
        </a:p>
      </dgm:t>
    </dgm:pt>
    <dgm:pt modelId="{CA0624A3-D1BF-478E-B8E2-624F4B2F3A7A}" type="pres">
      <dgm:prSet presAssocID="{03560851-FA19-47CA-AB7A-28A0F7053A21}" presName="parentText" presStyleLbl="node1" presStyleIdx="0" presStyleCnt="8">
        <dgm:presLayoutVars>
          <dgm:chMax val="0"/>
          <dgm:bulletEnabled val="1"/>
        </dgm:presLayoutVars>
      </dgm:prSet>
      <dgm:spPr/>
      <dgm:t>
        <a:bodyPr/>
        <a:lstStyle/>
        <a:p>
          <a:endParaRPr lang="en-US"/>
        </a:p>
      </dgm:t>
    </dgm:pt>
    <dgm:pt modelId="{91EE4328-6B72-4135-925E-41618690EC92}" type="pres">
      <dgm:prSet presAssocID="{03560851-FA19-47CA-AB7A-28A0F7053A21}" presName="negativeSpace" presStyleCnt="0"/>
      <dgm:spPr/>
    </dgm:pt>
    <dgm:pt modelId="{AA8B8C94-BA95-415C-938A-86AB1881D650}" type="pres">
      <dgm:prSet presAssocID="{03560851-FA19-47CA-AB7A-28A0F7053A21}" presName="childText" presStyleLbl="conFgAcc1" presStyleIdx="0" presStyleCnt="8">
        <dgm:presLayoutVars>
          <dgm:bulletEnabled val="1"/>
        </dgm:presLayoutVars>
      </dgm:prSet>
      <dgm:spPr/>
      <dgm:t>
        <a:bodyPr/>
        <a:lstStyle/>
        <a:p>
          <a:endParaRPr lang="en-US"/>
        </a:p>
      </dgm:t>
    </dgm:pt>
    <dgm:pt modelId="{D6958B1D-3E4A-4255-AAC7-2F8894AF7ABD}" type="pres">
      <dgm:prSet presAssocID="{2360776E-744D-44E8-8909-84A3C1827E5D}" presName="spaceBetweenRectangles" presStyleCnt="0"/>
      <dgm:spPr/>
    </dgm:pt>
    <dgm:pt modelId="{BFCB2795-EDC1-4869-829C-9AA7B770253B}" type="pres">
      <dgm:prSet presAssocID="{412F6BB1-6D81-468C-9599-71258F39648C}" presName="parentLin" presStyleCnt="0"/>
      <dgm:spPr/>
    </dgm:pt>
    <dgm:pt modelId="{BF519506-AEE3-4517-9236-E03EEE987D5D}" type="pres">
      <dgm:prSet presAssocID="{412F6BB1-6D81-468C-9599-71258F39648C}" presName="parentLeftMargin" presStyleLbl="node1" presStyleIdx="0" presStyleCnt="8"/>
      <dgm:spPr/>
      <dgm:t>
        <a:bodyPr/>
        <a:lstStyle/>
        <a:p>
          <a:endParaRPr lang="en-US"/>
        </a:p>
      </dgm:t>
    </dgm:pt>
    <dgm:pt modelId="{5BB30BD0-605F-4E03-B6F5-57DFA7E876E3}" type="pres">
      <dgm:prSet presAssocID="{412F6BB1-6D81-468C-9599-71258F39648C}" presName="parentText" presStyleLbl="node1" presStyleIdx="1" presStyleCnt="8">
        <dgm:presLayoutVars>
          <dgm:chMax val="0"/>
          <dgm:bulletEnabled val="1"/>
        </dgm:presLayoutVars>
      </dgm:prSet>
      <dgm:spPr/>
      <dgm:t>
        <a:bodyPr/>
        <a:lstStyle/>
        <a:p>
          <a:endParaRPr lang="en-US"/>
        </a:p>
      </dgm:t>
    </dgm:pt>
    <dgm:pt modelId="{FD736316-F75C-493C-BABB-DA6528EC1CD5}" type="pres">
      <dgm:prSet presAssocID="{412F6BB1-6D81-468C-9599-71258F39648C}" presName="negativeSpace" presStyleCnt="0"/>
      <dgm:spPr/>
    </dgm:pt>
    <dgm:pt modelId="{74352BAA-DF13-422A-957F-A4DC23E4F200}" type="pres">
      <dgm:prSet presAssocID="{412F6BB1-6D81-468C-9599-71258F39648C}" presName="childText" presStyleLbl="conFgAcc1" presStyleIdx="1" presStyleCnt="8">
        <dgm:presLayoutVars>
          <dgm:bulletEnabled val="1"/>
        </dgm:presLayoutVars>
      </dgm:prSet>
      <dgm:spPr/>
      <dgm:t>
        <a:bodyPr/>
        <a:lstStyle/>
        <a:p>
          <a:endParaRPr lang="en-US"/>
        </a:p>
      </dgm:t>
    </dgm:pt>
    <dgm:pt modelId="{A44597B2-EA47-4EE1-A2C0-AAFB7708591F}" type="pres">
      <dgm:prSet presAssocID="{D262D673-A7A8-4377-8AA9-E5E63F38C628}" presName="spaceBetweenRectangles" presStyleCnt="0"/>
      <dgm:spPr/>
    </dgm:pt>
    <dgm:pt modelId="{0815DD76-E283-4E2B-A20E-22E48A205AD3}" type="pres">
      <dgm:prSet presAssocID="{D1961203-44A3-4199-93A7-4E8CE508E37B}" presName="parentLin" presStyleCnt="0"/>
      <dgm:spPr/>
    </dgm:pt>
    <dgm:pt modelId="{FF0907DE-8E9D-4E72-8CEC-EB11FB0CCC11}" type="pres">
      <dgm:prSet presAssocID="{D1961203-44A3-4199-93A7-4E8CE508E37B}" presName="parentLeftMargin" presStyleLbl="node1" presStyleIdx="1" presStyleCnt="8"/>
      <dgm:spPr/>
      <dgm:t>
        <a:bodyPr/>
        <a:lstStyle/>
        <a:p>
          <a:endParaRPr lang="en-US"/>
        </a:p>
      </dgm:t>
    </dgm:pt>
    <dgm:pt modelId="{F17B1E1E-FAFE-45A0-A3E3-2BD2CD5147F8}" type="pres">
      <dgm:prSet presAssocID="{D1961203-44A3-4199-93A7-4E8CE508E37B}" presName="parentText" presStyleLbl="node1" presStyleIdx="2" presStyleCnt="8">
        <dgm:presLayoutVars>
          <dgm:chMax val="0"/>
          <dgm:bulletEnabled val="1"/>
        </dgm:presLayoutVars>
      </dgm:prSet>
      <dgm:spPr/>
      <dgm:t>
        <a:bodyPr/>
        <a:lstStyle/>
        <a:p>
          <a:endParaRPr lang="en-US"/>
        </a:p>
      </dgm:t>
    </dgm:pt>
    <dgm:pt modelId="{76838281-F065-4776-B9CE-27D73DA71FE4}" type="pres">
      <dgm:prSet presAssocID="{D1961203-44A3-4199-93A7-4E8CE508E37B}" presName="negativeSpace" presStyleCnt="0"/>
      <dgm:spPr/>
    </dgm:pt>
    <dgm:pt modelId="{3439561B-1822-4DE3-8FA2-5DD979AC4674}" type="pres">
      <dgm:prSet presAssocID="{D1961203-44A3-4199-93A7-4E8CE508E37B}" presName="childText" presStyleLbl="conFgAcc1" presStyleIdx="2" presStyleCnt="8">
        <dgm:presLayoutVars>
          <dgm:bulletEnabled val="1"/>
        </dgm:presLayoutVars>
      </dgm:prSet>
      <dgm:spPr/>
      <dgm:t>
        <a:bodyPr/>
        <a:lstStyle/>
        <a:p>
          <a:endParaRPr lang="en-US"/>
        </a:p>
      </dgm:t>
    </dgm:pt>
    <dgm:pt modelId="{0426885E-9609-4163-A3D2-F5AB40A4520E}" type="pres">
      <dgm:prSet presAssocID="{57E0EA3A-35F2-46C0-84CB-47B14AA2891C}" presName="spaceBetweenRectangles" presStyleCnt="0"/>
      <dgm:spPr/>
    </dgm:pt>
    <dgm:pt modelId="{40234729-8C73-4013-AB84-F4C55FD64D28}" type="pres">
      <dgm:prSet presAssocID="{0F14AD4D-771B-4052-94F5-59E6C890D2BA}" presName="parentLin" presStyleCnt="0"/>
      <dgm:spPr/>
    </dgm:pt>
    <dgm:pt modelId="{67DF6DF5-6C57-4B04-8DC3-261E27BD8279}" type="pres">
      <dgm:prSet presAssocID="{0F14AD4D-771B-4052-94F5-59E6C890D2BA}" presName="parentLeftMargin" presStyleLbl="node1" presStyleIdx="2" presStyleCnt="8"/>
      <dgm:spPr/>
      <dgm:t>
        <a:bodyPr/>
        <a:lstStyle/>
        <a:p>
          <a:endParaRPr lang="en-US"/>
        </a:p>
      </dgm:t>
    </dgm:pt>
    <dgm:pt modelId="{3F23C9DF-1522-4E49-A153-312720E67AC4}" type="pres">
      <dgm:prSet presAssocID="{0F14AD4D-771B-4052-94F5-59E6C890D2BA}" presName="parentText" presStyleLbl="node1" presStyleIdx="3" presStyleCnt="8">
        <dgm:presLayoutVars>
          <dgm:chMax val="0"/>
          <dgm:bulletEnabled val="1"/>
        </dgm:presLayoutVars>
      </dgm:prSet>
      <dgm:spPr/>
      <dgm:t>
        <a:bodyPr/>
        <a:lstStyle/>
        <a:p>
          <a:endParaRPr lang="en-US"/>
        </a:p>
      </dgm:t>
    </dgm:pt>
    <dgm:pt modelId="{5A723DFE-3662-4C4D-BE91-B8A9F3999210}" type="pres">
      <dgm:prSet presAssocID="{0F14AD4D-771B-4052-94F5-59E6C890D2BA}" presName="negativeSpace" presStyleCnt="0"/>
      <dgm:spPr/>
    </dgm:pt>
    <dgm:pt modelId="{325F4320-DC44-4A88-A058-938794C50DA5}" type="pres">
      <dgm:prSet presAssocID="{0F14AD4D-771B-4052-94F5-59E6C890D2BA}" presName="childText" presStyleLbl="conFgAcc1" presStyleIdx="3" presStyleCnt="8">
        <dgm:presLayoutVars>
          <dgm:bulletEnabled val="1"/>
        </dgm:presLayoutVars>
      </dgm:prSet>
      <dgm:spPr/>
      <dgm:t>
        <a:bodyPr/>
        <a:lstStyle/>
        <a:p>
          <a:endParaRPr lang="en-US"/>
        </a:p>
      </dgm:t>
    </dgm:pt>
    <dgm:pt modelId="{FDFBDEC3-5B05-4E30-8F50-7F6EC35DD27C}" type="pres">
      <dgm:prSet presAssocID="{678BCF6E-CFD8-4CBF-93D6-6D15BBDE9534}" presName="spaceBetweenRectangles" presStyleCnt="0"/>
      <dgm:spPr/>
    </dgm:pt>
    <dgm:pt modelId="{59F1140D-AD1F-4952-8626-82A1BDB1DC88}" type="pres">
      <dgm:prSet presAssocID="{3F090C9F-1FCF-4E19-A767-D3BB19FA0066}" presName="parentLin" presStyleCnt="0"/>
      <dgm:spPr/>
    </dgm:pt>
    <dgm:pt modelId="{84FEF158-1B63-493C-BE0C-8AFE9BD88135}" type="pres">
      <dgm:prSet presAssocID="{3F090C9F-1FCF-4E19-A767-D3BB19FA0066}" presName="parentLeftMargin" presStyleLbl="node1" presStyleIdx="3" presStyleCnt="8"/>
      <dgm:spPr/>
      <dgm:t>
        <a:bodyPr/>
        <a:lstStyle/>
        <a:p>
          <a:endParaRPr lang="en-US"/>
        </a:p>
      </dgm:t>
    </dgm:pt>
    <dgm:pt modelId="{140B4EBE-9AC5-44B0-855B-947C87B5FF63}" type="pres">
      <dgm:prSet presAssocID="{3F090C9F-1FCF-4E19-A767-D3BB19FA0066}" presName="parentText" presStyleLbl="node1" presStyleIdx="4" presStyleCnt="8">
        <dgm:presLayoutVars>
          <dgm:chMax val="0"/>
          <dgm:bulletEnabled val="1"/>
        </dgm:presLayoutVars>
      </dgm:prSet>
      <dgm:spPr/>
      <dgm:t>
        <a:bodyPr/>
        <a:lstStyle/>
        <a:p>
          <a:endParaRPr lang="en-US"/>
        </a:p>
      </dgm:t>
    </dgm:pt>
    <dgm:pt modelId="{F037D578-B890-4BA4-A393-951A28C57D79}" type="pres">
      <dgm:prSet presAssocID="{3F090C9F-1FCF-4E19-A767-D3BB19FA0066}" presName="negativeSpace" presStyleCnt="0"/>
      <dgm:spPr/>
    </dgm:pt>
    <dgm:pt modelId="{237B25B1-0EFC-42C6-8D03-79445237131A}" type="pres">
      <dgm:prSet presAssocID="{3F090C9F-1FCF-4E19-A767-D3BB19FA0066}" presName="childText" presStyleLbl="conFgAcc1" presStyleIdx="4" presStyleCnt="8">
        <dgm:presLayoutVars>
          <dgm:bulletEnabled val="1"/>
        </dgm:presLayoutVars>
      </dgm:prSet>
      <dgm:spPr/>
      <dgm:t>
        <a:bodyPr/>
        <a:lstStyle/>
        <a:p>
          <a:endParaRPr lang="en-US"/>
        </a:p>
      </dgm:t>
    </dgm:pt>
    <dgm:pt modelId="{0E6FA497-2927-473D-871F-159364310A2F}" type="pres">
      <dgm:prSet presAssocID="{FF030059-8712-4DB1-A644-E246281C20CA}" presName="spaceBetweenRectangles" presStyleCnt="0"/>
      <dgm:spPr/>
    </dgm:pt>
    <dgm:pt modelId="{5E02B1D6-BEBC-4E81-9408-78DE6DEDD9B4}" type="pres">
      <dgm:prSet presAssocID="{FA5D1052-6DF7-4195-A7B9-6C524D58D3CC}" presName="parentLin" presStyleCnt="0"/>
      <dgm:spPr/>
    </dgm:pt>
    <dgm:pt modelId="{6C4DB39C-6B99-4654-A6D8-DF44B7B9060F}" type="pres">
      <dgm:prSet presAssocID="{FA5D1052-6DF7-4195-A7B9-6C524D58D3CC}" presName="parentLeftMargin" presStyleLbl="node1" presStyleIdx="4" presStyleCnt="8"/>
      <dgm:spPr/>
      <dgm:t>
        <a:bodyPr/>
        <a:lstStyle/>
        <a:p>
          <a:endParaRPr lang="en-US"/>
        </a:p>
      </dgm:t>
    </dgm:pt>
    <dgm:pt modelId="{903B6DB3-1142-42BF-BCF6-161E83F5B51F}" type="pres">
      <dgm:prSet presAssocID="{FA5D1052-6DF7-4195-A7B9-6C524D58D3CC}" presName="parentText" presStyleLbl="node1" presStyleIdx="5" presStyleCnt="8">
        <dgm:presLayoutVars>
          <dgm:chMax val="0"/>
          <dgm:bulletEnabled val="1"/>
        </dgm:presLayoutVars>
      </dgm:prSet>
      <dgm:spPr/>
      <dgm:t>
        <a:bodyPr/>
        <a:lstStyle/>
        <a:p>
          <a:endParaRPr lang="en-US"/>
        </a:p>
      </dgm:t>
    </dgm:pt>
    <dgm:pt modelId="{A41B006A-4538-4109-8D08-D2A033F19336}" type="pres">
      <dgm:prSet presAssocID="{FA5D1052-6DF7-4195-A7B9-6C524D58D3CC}" presName="negativeSpace" presStyleCnt="0"/>
      <dgm:spPr/>
    </dgm:pt>
    <dgm:pt modelId="{2A9F8B0E-DD01-4329-A18F-C8FEC59FE0BD}" type="pres">
      <dgm:prSet presAssocID="{FA5D1052-6DF7-4195-A7B9-6C524D58D3CC}" presName="childText" presStyleLbl="conFgAcc1" presStyleIdx="5" presStyleCnt="8">
        <dgm:presLayoutVars>
          <dgm:bulletEnabled val="1"/>
        </dgm:presLayoutVars>
      </dgm:prSet>
      <dgm:spPr/>
      <dgm:t>
        <a:bodyPr/>
        <a:lstStyle/>
        <a:p>
          <a:endParaRPr lang="en-US"/>
        </a:p>
      </dgm:t>
    </dgm:pt>
    <dgm:pt modelId="{6F916D5C-2F22-4FE3-917B-20DEF9DE81EC}" type="pres">
      <dgm:prSet presAssocID="{DE27A2CD-0BB1-4EDD-9F9A-F8631BC23193}" presName="spaceBetweenRectangles" presStyleCnt="0"/>
      <dgm:spPr/>
    </dgm:pt>
    <dgm:pt modelId="{5D620FED-C2B5-46FA-BA1B-68B0E265BE42}" type="pres">
      <dgm:prSet presAssocID="{4ECC2F32-36C3-4A80-9ADB-E9231FE96D06}" presName="parentLin" presStyleCnt="0"/>
      <dgm:spPr/>
    </dgm:pt>
    <dgm:pt modelId="{2FDB29A2-FA6C-4156-914C-DB183902E58A}" type="pres">
      <dgm:prSet presAssocID="{4ECC2F32-36C3-4A80-9ADB-E9231FE96D06}" presName="parentLeftMargin" presStyleLbl="node1" presStyleIdx="5" presStyleCnt="8"/>
      <dgm:spPr/>
      <dgm:t>
        <a:bodyPr/>
        <a:lstStyle/>
        <a:p>
          <a:endParaRPr lang="en-US"/>
        </a:p>
      </dgm:t>
    </dgm:pt>
    <dgm:pt modelId="{E2380D5F-69EB-423E-BDF0-409A14B3629B}" type="pres">
      <dgm:prSet presAssocID="{4ECC2F32-36C3-4A80-9ADB-E9231FE96D06}" presName="parentText" presStyleLbl="node1" presStyleIdx="6" presStyleCnt="8">
        <dgm:presLayoutVars>
          <dgm:chMax val="0"/>
          <dgm:bulletEnabled val="1"/>
        </dgm:presLayoutVars>
      </dgm:prSet>
      <dgm:spPr/>
      <dgm:t>
        <a:bodyPr/>
        <a:lstStyle/>
        <a:p>
          <a:endParaRPr lang="en-US"/>
        </a:p>
      </dgm:t>
    </dgm:pt>
    <dgm:pt modelId="{75290A7B-1C86-44C9-B82C-93B345D9C2D9}" type="pres">
      <dgm:prSet presAssocID="{4ECC2F32-36C3-4A80-9ADB-E9231FE96D06}" presName="negativeSpace" presStyleCnt="0"/>
      <dgm:spPr/>
    </dgm:pt>
    <dgm:pt modelId="{96ED3FBC-3DC5-4CFF-8B72-02EFDD0C2F9B}" type="pres">
      <dgm:prSet presAssocID="{4ECC2F32-36C3-4A80-9ADB-E9231FE96D06}" presName="childText" presStyleLbl="conFgAcc1" presStyleIdx="6" presStyleCnt="8">
        <dgm:presLayoutVars>
          <dgm:bulletEnabled val="1"/>
        </dgm:presLayoutVars>
      </dgm:prSet>
      <dgm:spPr/>
      <dgm:t>
        <a:bodyPr/>
        <a:lstStyle/>
        <a:p>
          <a:endParaRPr lang="en-US"/>
        </a:p>
      </dgm:t>
    </dgm:pt>
    <dgm:pt modelId="{38E6BDD0-B077-4426-92F7-29E488FD2115}" type="pres">
      <dgm:prSet presAssocID="{46E38298-01EA-424D-9359-A0A768C38D7D}" presName="spaceBetweenRectangles" presStyleCnt="0"/>
      <dgm:spPr/>
    </dgm:pt>
    <dgm:pt modelId="{785454F7-8CD1-4FC6-BCCD-8634CC916835}" type="pres">
      <dgm:prSet presAssocID="{983A9601-0029-43C7-AE59-A26F86EDAF3C}" presName="parentLin" presStyleCnt="0"/>
      <dgm:spPr/>
    </dgm:pt>
    <dgm:pt modelId="{7B67E0F2-F3F8-4B66-A6DD-DD2C7663CF51}" type="pres">
      <dgm:prSet presAssocID="{983A9601-0029-43C7-AE59-A26F86EDAF3C}" presName="parentLeftMargin" presStyleLbl="node1" presStyleIdx="6" presStyleCnt="8"/>
      <dgm:spPr/>
      <dgm:t>
        <a:bodyPr/>
        <a:lstStyle/>
        <a:p>
          <a:endParaRPr lang="en-US"/>
        </a:p>
      </dgm:t>
    </dgm:pt>
    <dgm:pt modelId="{650DD5E9-2D06-4EE0-A373-1D7C435D09B7}" type="pres">
      <dgm:prSet presAssocID="{983A9601-0029-43C7-AE59-A26F86EDAF3C}" presName="parentText" presStyleLbl="node1" presStyleIdx="7" presStyleCnt="8">
        <dgm:presLayoutVars>
          <dgm:chMax val="0"/>
          <dgm:bulletEnabled val="1"/>
        </dgm:presLayoutVars>
      </dgm:prSet>
      <dgm:spPr/>
      <dgm:t>
        <a:bodyPr/>
        <a:lstStyle/>
        <a:p>
          <a:endParaRPr lang="en-US"/>
        </a:p>
      </dgm:t>
    </dgm:pt>
    <dgm:pt modelId="{91C0395D-3FC3-49F2-81D4-4F69409770A9}" type="pres">
      <dgm:prSet presAssocID="{983A9601-0029-43C7-AE59-A26F86EDAF3C}" presName="negativeSpace" presStyleCnt="0"/>
      <dgm:spPr/>
    </dgm:pt>
    <dgm:pt modelId="{B8C00E89-1DB5-432E-8674-AEB7C3FDCCD9}" type="pres">
      <dgm:prSet presAssocID="{983A9601-0029-43C7-AE59-A26F86EDAF3C}" presName="childText" presStyleLbl="conFgAcc1" presStyleIdx="7" presStyleCnt="8">
        <dgm:presLayoutVars>
          <dgm:bulletEnabled val="1"/>
        </dgm:presLayoutVars>
      </dgm:prSet>
      <dgm:spPr/>
      <dgm:t>
        <a:bodyPr/>
        <a:lstStyle/>
        <a:p>
          <a:endParaRPr lang="en-US"/>
        </a:p>
      </dgm:t>
    </dgm:pt>
  </dgm:ptLst>
  <dgm:cxnLst>
    <dgm:cxn modelId="{70ADF335-8A95-9044-926D-3DDD2179BC7E}" srcId="{983A9601-0029-43C7-AE59-A26F86EDAF3C}" destId="{9558AEDE-7F06-B74D-A784-43B06CE9B6E9}" srcOrd="1" destOrd="0" parTransId="{B49400DE-EA22-E942-BA8A-8C409AC65767}" sibTransId="{A0F0ABD7-4088-604D-BD3C-577CB5F20F26}"/>
    <dgm:cxn modelId="{D1619243-5335-804E-8EB4-FFBFEA5DF876}" type="presOf" srcId="{03560851-FA19-47CA-AB7A-28A0F7053A21}" destId="{CA0624A3-D1BF-478E-B8E2-624F4B2F3A7A}" srcOrd="1" destOrd="0" presId="urn:microsoft.com/office/officeart/2005/8/layout/list1"/>
    <dgm:cxn modelId="{F5FF60B6-AA3A-41B5-8B00-2E13437C398A}" srcId="{983A9601-0029-43C7-AE59-A26F86EDAF3C}" destId="{F0666B6E-B0EC-4AD1-9C17-4002A0098F20}" srcOrd="0" destOrd="0" parTransId="{DFEE3C3C-8850-45E7-9D4B-BCBE02C64D7F}" sibTransId="{9505DD81-4CC9-49FF-B7B0-97842683C958}"/>
    <dgm:cxn modelId="{E2E72E56-BB8E-9449-B659-1B5A831E70DB}" type="presOf" srcId="{412F6BB1-6D81-468C-9599-71258F39648C}" destId="{BF519506-AEE3-4517-9236-E03EEE987D5D}" srcOrd="0" destOrd="0" presId="urn:microsoft.com/office/officeart/2005/8/layout/list1"/>
    <dgm:cxn modelId="{6581EB42-796A-3549-9B11-86F0596F4D03}" type="presOf" srcId="{8FCFE0E9-DB7F-4438-AABB-4D4283039E2E}" destId="{237B25B1-0EFC-42C6-8D03-79445237131A}" srcOrd="0" destOrd="0" presId="urn:microsoft.com/office/officeart/2005/8/layout/list1"/>
    <dgm:cxn modelId="{6D2A5821-B182-4A7D-9990-358AFBE53BC0}" srcId="{03560851-FA19-47CA-AB7A-28A0F7053A21}" destId="{16731B55-4ECD-4710-AAFF-339A074D7D54}" srcOrd="1" destOrd="0" parTransId="{5E205406-6710-4BDE-8BEE-EA9C143F0C6D}" sibTransId="{09DA10D3-4C09-41CB-9D7B-C23651BBAE3B}"/>
    <dgm:cxn modelId="{28CB6165-93D5-45CB-8FC2-B2E7BE141D3E}" srcId="{03560851-FA19-47CA-AB7A-28A0F7053A21}" destId="{975C771C-20BE-4299-B9EA-AE33C93AE9C0}" srcOrd="0" destOrd="0" parTransId="{BCE55115-4EE9-4DDA-B21F-03067CF1DCCF}" sibTransId="{1C6BF96E-11C6-4EB5-A345-7139C8C6F28A}"/>
    <dgm:cxn modelId="{34C938E0-99F6-4A46-BF10-C44FF0C07CC7}" type="presOf" srcId="{3F090C9F-1FCF-4E19-A767-D3BB19FA0066}" destId="{84FEF158-1B63-493C-BE0C-8AFE9BD88135}" srcOrd="0" destOrd="0" presId="urn:microsoft.com/office/officeart/2005/8/layout/list1"/>
    <dgm:cxn modelId="{13EA49D1-8765-2C49-9E72-B04A13AA3B36}" type="presOf" srcId="{29B16606-6AD0-4CB4-B285-7D3E32ED5A83}" destId="{3439561B-1822-4DE3-8FA2-5DD979AC4674}" srcOrd="0" destOrd="0" presId="urn:microsoft.com/office/officeart/2005/8/layout/list1"/>
    <dgm:cxn modelId="{B3ED7243-DF6B-3447-8F4D-1D963CDC322D}" type="presOf" srcId="{3F090C9F-1FCF-4E19-A767-D3BB19FA0066}" destId="{140B4EBE-9AC5-44B0-855B-947C87B5FF63}" srcOrd="1" destOrd="0" presId="urn:microsoft.com/office/officeart/2005/8/layout/list1"/>
    <dgm:cxn modelId="{EC95C529-2E46-4DEB-9AA2-82CCF88841F2}" srcId="{B397D409-711B-490E-A31E-325D3107C138}" destId="{03560851-FA19-47CA-AB7A-28A0F7053A21}" srcOrd="0" destOrd="0" parTransId="{8C4F4145-3174-4F31-A721-0BE2966D60FF}" sibTransId="{2360776E-744D-44E8-8909-84A3C1827E5D}"/>
    <dgm:cxn modelId="{30FDD98D-B097-D44D-8FD8-8BA1106694C9}" type="presOf" srcId="{09319DA8-7216-4827-8338-7FE89B5D9C05}" destId="{2A9F8B0E-DD01-4329-A18F-C8FEC59FE0BD}" srcOrd="0" destOrd="0" presId="urn:microsoft.com/office/officeart/2005/8/layout/list1"/>
    <dgm:cxn modelId="{A7B5A917-2986-4A94-B78F-192296D5222A}" srcId="{B397D409-711B-490E-A31E-325D3107C138}" destId="{983A9601-0029-43C7-AE59-A26F86EDAF3C}" srcOrd="7" destOrd="0" parTransId="{69C934E4-4D31-4F94-B221-42F90B5E98F1}" sibTransId="{736F542B-51F9-47D3-AC24-6A8ACA9DEFA4}"/>
    <dgm:cxn modelId="{3D60332E-2FEB-45EA-8209-3785E2880EDB}" srcId="{3F090C9F-1FCF-4E19-A767-D3BB19FA0066}" destId="{8FCFE0E9-DB7F-4438-AABB-4D4283039E2E}" srcOrd="0" destOrd="0" parTransId="{29443EBE-12FF-4CF8-9DB3-C7EA972A5F9A}" sibTransId="{6BF8F97D-15B2-4A22-9636-38492FEC1446}"/>
    <dgm:cxn modelId="{66F1BA7B-AF3B-2242-A5F6-F8DF1443B40E}" type="presOf" srcId="{D1961203-44A3-4199-93A7-4E8CE508E37B}" destId="{FF0907DE-8E9D-4E72-8CEC-EB11FB0CCC11}" srcOrd="0" destOrd="0" presId="urn:microsoft.com/office/officeart/2005/8/layout/list1"/>
    <dgm:cxn modelId="{1EBE83E5-2C5C-4D22-B315-CACAC774093E}" srcId="{B397D409-711B-490E-A31E-325D3107C138}" destId="{D1961203-44A3-4199-93A7-4E8CE508E37B}" srcOrd="2" destOrd="0" parTransId="{9DF3DB55-5859-4CDA-853E-C1F2B12DBF30}" sibTransId="{57E0EA3A-35F2-46C0-84CB-47B14AA2891C}"/>
    <dgm:cxn modelId="{ECCFB5A7-4823-48F0-80F6-AC1C27E46B17}" srcId="{B397D409-711B-490E-A31E-325D3107C138}" destId="{412F6BB1-6D81-468C-9599-71258F39648C}" srcOrd="1" destOrd="0" parTransId="{B4316CB8-59BA-4004-97EE-5181B2EBB778}" sibTransId="{D262D673-A7A8-4377-8AA9-E5E63F38C628}"/>
    <dgm:cxn modelId="{1DE0B8F3-5371-BB4D-8ACD-0DC962C37ED1}" type="presOf" srcId="{4ECC2F32-36C3-4A80-9ADB-E9231FE96D06}" destId="{E2380D5F-69EB-423E-BDF0-409A14B3629B}" srcOrd="1" destOrd="0" presId="urn:microsoft.com/office/officeart/2005/8/layout/list1"/>
    <dgm:cxn modelId="{8D80E012-4B50-AB44-B88E-6FB82CDB0E3F}" type="presOf" srcId="{D1961203-44A3-4199-93A7-4E8CE508E37B}" destId="{F17B1E1E-FAFE-45A0-A3E3-2BD2CD5147F8}" srcOrd="1" destOrd="0" presId="urn:microsoft.com/office/officeart/2005/8/layout/list1"/>
    <dgm:cxn modelId="{0AADBA0A-491A-6C41-8AFE-9391817559D5}" type="presOf" srcId="{975C771C-20BE-4299-B9EA-AE33C93AE9C0}" destId="{AA8B8C94-BA95-415C-938A-86AB1881D650}" srcOrd="0" destOrd="0" presId="urn:microsoft.com/office/officeart/2005/8/layout/list1"/>
    <dgm:cxn modelId="{41FAF0C8-9AD6-2D4C-BF03-1902AAE17C97}" type="presOf" srcId="{86ABE3CA-878E-4686-869A-9A9E63AFF1EF}" destId="{325F4320-DC44-4A88-A058-938794C50DA5}" srcOrd="0" destOrd="0" presId="urn:microsoft.com/office/officeart/2005/8/layout/list1"/>
    <dgm:cxn modelId="{2F0C2CCA-0B40-4661-8592-90FD370D4BB6}" srcId="{D1961203-44A3-4199-93A7-4E8CE508E37B}" destId="{29B16606-6AD0-4CB4-B285-7D3E32ED5A83}" srcOrd="0" destOrd="0" parTransId="{E963A3E6-6FBE-4925-BFD8-755DBE520876}" sibTransId="{7D22B0BB-63F9-440F-A55D-491FE066867B}"/>
    <dgm:cxn modelId="{4E6CB97B-220C-4A42-B6EA-6A467110DFD3}" type="presOf" srcId="{4A745F74-335B-42AB-A5D0-7BB6C4549922}" destId="{74352BAA-DF13-422A-957F-A4DC23E4F200}" srcOrd="0" destOrd="0" presId="urn:microsoft.com/office/officeart/2005/8/layout/list1"/>
    <dgm:cxn modelId="{628FC86F-414B-C142-A3B8-1ED1F133E877}" type="presOf" srcId="{B397D409-711B-490E-A31E-325D3107C138}" destId="{903DD818-3F93-405E-AA16-D40D84B77B69}" srcOrd="0" destOrd="0" presId="urn:microsoft.com/office/officeart/2005/8/layout/list1"/>
    <dgm:cxn modelId="{F300ED96-D195-4213-8286-A47C6593AB94}" srcId="{B397D409-711B-490E-A31E-325D3107C138}" destId="{FA5D1052-6DF7-4195-A7B9-6C524D58D3CC}" srcOrd="5" destOrd="0" parTransId="{6A5F8519-857B-428F-9949-3BCA81E3EF01}" sibTransId="{DE27A2CD-0BB1-4EDD-9F9A-F8631BC23193}"/>
    <dgm:cxn modelId="{EDA34C5C-1760-1B46-B116-92EB0273D14F}" type="presOf" srcId="{16731B55-4ECD-4710-AAFF-339A074D7D54}" destId="{AA8B8C94-BA95-415C-938A-86AB1881D650}" srcOrd="0" destOrd="1" presId="urn:microsoft.com/office/officeart/2005/8/layout/list1"/>
    <dgm:cxn modelId="{4F84C4C7-C8EF-4F96-B35D-197513755ED4}" srcId="{B397D409-711B-490E-A31E-325D3107C138}" destId="{0F14AD4D-771B-4052-94F5-59E6C890D2BA}" srcOrd="3" destOrd="0" parTransId="{03CFC9C6-8A12-4C9F-991E-C26BED76789C}" sibTransId="{678BCF6E-CFD8-4CBF-93D6-6D15BBDE9534}"/>
    <dgm:cxn modelId="{F0B75B0A-B506-0D4E-884D-134C64C4703E}" type="presOf" srcId="{4ECC2F32-36C3-4A80-9ADB-E9231FE96D06}" destId="{2FDB29A2-FA6C-4156-914C-DB183902E58A}" srcOrd="0" destOrd="0" presId="urn:microsoft.com/office/officeart/2005/8/layout/list1"/>
    <dgm:cxn modelId="{E6621C1C-C77F-1D48-8AC5-11E026926C15}" type="presOf" srcId="{F0666B6E-B0EC-4AD1-9C17-4002A0098F20}" destId="{B8C00E89-1DB5-432E-8674-AEB7C3FDCCD9}" srcOrd="0" destOrd="0" presId="urn:microsoft.com/office/officeart/2005/8/layout/list1"/>
    <dgm:cxn modelId="{66A6E138-162E-6B4F-8B0D-39726958D68A}" type="presOf" srcId="{FA5D1052-6DF7-4195-A7B9-6C524D58D3CC}" destId="{903B6DB3-1142-42BF-BCF6-161E83F5B51F}" srcOrd="1" destOrd="0" presId="urn:microsoft.com/office/officeart/2005/8/layout/list1"/>
    <dgm:cxn modelId="{82A199B7-5B12-4544-8071-8ED8C4850761}" type="presOf" srcId="{983A9601-0029-43C7-AE59-A26F86EDAF3C}" destId="{650DD5E9-2D06-4EE0-A373-1D7C435D09B7}" srcOrd="1" destOrd="0" presId="urn:microsoft.com/office/officeart/2005/8/layout/list1"/>
    <dgm:cxn modelId="{FB0B71A9-9F35-4C22-ABE8-D338C41D914B}" srcId="{B397D409-711B-490E-A31E-325D3107C138}" destId="{3F090C9F-1FCF-4E19-A767-D3BB19FA0066}" srcOrd="4" destOrd="0" parTransId="{5F4F9B94-21C2-4225-BDA1-CB7057222383}" sibTransId="{FF030059-8712-4DB1-A644-E246281C20CA}"/>
    <dgm:cxn modelId="{3985D62E-0C7F-7142-9A27-D59FD9D6FE71}" type="presOf" srcId="{0F14AD4D-771B-4052-94F5-59E6C890D2BA}" destId="{67DF6DF5-6C57-4B04-8DC3-261E27BD8279}" srcOrd="0" destOrd="0" presId="urn:microsoft.com/office/officeart/2005/8/layout/list1"/>
    <dgm:cxn modelId="{50CC1585-050F-8B47-8293-88A6A9F5F3E4}" type="presOf" srcId="{842551CD-1984-4DD8-9DA3-0D792AD780C1}" destId="{96ED3FBC-3DC5-4CFF-8B72-02EFDD0C2F9B}" srcOrd="0" destOrd="0" presId="urn:microsoft.com/office/officeart/2005/8/layout/list1"/>
    <dgm:cxn modelId="{ECA13822-FFF0-47D9-9F6D-A809116E1CCF}" srcId="{412F6BB1-6D81-468C-9599-71258F39648C}" destId="{4A745F74-335B-42AB-A5D0-7BB6C4549922}" srcOrd="0" destOrd="0" parTransId="{0AF9583C-8077-40E6-8D03-20B93E454A12}" sibTransId="{C5D7A2DC-C614-47C1-9258-AA4AF3A27D1E}"/>
    <dgm:cxn modelId="{8D1B4318-0DBF-264B-9C1C-69D62B64C41F}" type="presOf" srcId="{983A9601-0029-43C7-AE59-A26F86EDAF3C}" destId="{7B67E0F2-F3F8-4B66-A6DD-DD2C7663CF51}" srcOrd="0" destOrd="0" presId="urn:microsoft.com/office/officeart/2005/8/layout/list1"/>
    <dgm:cxn modelId="{39ABE07D-73E7-854E-BAEA-66C78873D9CC}" type="presOf" srcId="{0F14AD4D-771B-4052-94F5-59E6C890D2BA}" destId="{3F23C9DF-1522-4E49-A153-312720E67AC4}" srcOrd="1" destOrd="0" presId="urn:microsoft.com/office/officeart/2005/8/layout/list1"/>
    <dgm:cxn modelId="{D8DD1795-6CF4-42B3-BC3E-023A189BFA94}" srcId="{4ECC2F32-36C3-4A80-9ADB-E9231FE96D06}" destId="{842551CD-1984-4DD8-9DA3-0D792AD780C1}" srcOrd="0" destOrd="0" parTransId="{8801785B-72B8-44EE-A1DA-55FC8235D632}" sibTransId="{DC8E3C4B-C941-4AD8-877F-DC731259EA32}"/>
    <dgm:cxn modelId="{E276002A-7C96-AF4B-945C-7B0C60829D70}" type="presOf" srcId="{FA5D1052-6DF7-4195-A7B9-6C524D58D3CC}" destId="{6C4DB39C-6B99-4654-A6D8-DF44B7B9060F}" srcOrd="0" destOrd="0" presId="urn:microsoft.com/office/officeart/2005/8/layout/list1"/>
    <dgm:cxn modelId="{D6D02D65-237D-984C-BFD3-FC6C4AF44810}" type="presOf" srcId="{03560851-FA19-47CA-AB7A-28A0F7053A21}" destId="{18BF451B-7F52-4A01-BD50-859D2909CDB3}" srcOrd="0" destOrd="0" presId="urn:microsoft.com/office/officeart/2005/8/layout/list1"/>
    <dgm:cxn modelId="{91409751-7429-4CBF-8676-B8585D4A33BA}" srcId="{FA5D1052-6DF7-4195-A7B9-6C524D58D3CC}" destId="{09319DA8-7216-4827-8338-7FE89B5D9C05}" srcOrd="0" destOrd="0" parTransId="{EF7E3C73-B7C8-4DE2-9102-9E618C52A1E4}" sibTransId="{F4C1A599-6A24-4C62-BC66-212465FF58AB}"/>
    <dgm:cxn modelId="{FCCEB856-07E1-4310-B7D6-0AED2961D68B}" srcId="{B397D409-711B-490E-A31E-325D3107C138}" destId="{4ECC2F32-36C3-4A80-9ADB-E9231FE96D06}" srcOrd="6" destOrd="0" parTransId="{572FB6C4-5599-4A2A-B4B0-EF8FE5C4CFA5}" sibTransId="{46E38298-01EA-424D-9359-A0A768C38D7D}"/>
    <dgm:cxn modelId="{E7418725-7089-5848-98F1-EC93B1D94C47}" type="presOf" srcId="{412F6BB1-6D81-468C-9599-71258F39648C}" destId="{5BB30BD0-605F-4E03-B6F5-57DFA7E876E3}" srcOrd="1" destOrd="0" presId="urn:microsoft.com/office/officeart/2005/8/layout/list1"/>
    <dgm:cxn modelId="{C18ED0CC-1240-5A44-8F5D-14FCB8242511}" type="presOf" srcId="{9558AEDE-7F06-B74D-A784-43B06CE9B6E9}" destId="{B8C00E89-1DB5-432E-8674-AEB7C3FDCCD9}" srcOrd="0" destOrd="1" presId="urn:microsoft.com/office/officeart/2005/8/layout/list1"/>
    <dgm:cxn modelId="{F35E4F93-6DC7-4A57-8165-5DACFFC05967}" srcId="{0F14AD4D-771B-4052-94F5-59E6C890D2BA}" destId="{86ABE3CA-878E-4686-869A-9A9E63AFF1EF}" srcOrd="0" destOrd="0" parTransId="{59AFEFDD-F13D-40E2-8990-9CD6B891BF87}" sibTransId="{FE27D892-7C86-4DF9-B357-F9D1150F38F1}"/>
    <dgm:cxn modelId="{187105C1-7DC7-9C4B-AC4B-A5EC85F70637}" type="presParOf" srcId="{903DD818-3F93-405E-AA16-D40D84B77B69}" destId="{0D156ADC-584D-42E3-BBF9-F2FE86E20EAB}" srcOrd="0" destOrd="0" presId="urn:microsoft.com/office/officeart/2005/8/layout/list1"/>
    <dgm:cxn modelId="{E9BC0727-5CB0-6A48-AF4E-9178CBF8FC1E}" type="presParOf" srcId="{0D156ADC-584D-42E3-BBF9-F2FE86E20EAB}" destId="{18BF451B-7F52-4A01-BD50-859D2909CDB3}" srcOrd="0" destOrd="0" presId="urn:microsoft.com/office/officeart/2005/8/layout/list1"/>
    <dgm:cxn modelId="{7E28411F-B10D-5247-90AD-30D769A01137}" type="presParOf" srcId="{0D156ADC-584D-42E3-BBF9-F2FE86E20EAB}" destId="{CA0624A3-D1BF-478E-B8E2-624F4B2F3A7A}" srcOrd="1" destOrd="0" presId="urn:microsoft.com/office/officeart/2005/8/layout/list1"/>
    <dgm:cxn modelId="{5E3C7446-2382-424E-BC95-21B91295661D}" type="presParOf" srcId="{903DD818-3F93-405E-AA16-D40D84B77B69}" destId="{91EE4328-6B72-4135-925E-41618690EC92}" srcOrd="1" destOrd="0" presId="urn:microsoft.com/office/officeart/2005/8/layout/list1"/>
    <dgm:cxn modelId="{5F7AF0A1-2ED7-1347-A260-F6F0E65C2956}" type="presParOf" srcId="{903DD818-3F93-405E-AA16-D40D84B77B69}" destId="{AA8B8C94-BA95-415C-938A-86AB1881D650}" srcOrd="2" destOrd="0" presId="urn:microsoft.com/office/officeart/2005/8/layout/list1"/>
    <dgm:cxn modelId="{4F4557DF-44B3-F142-A115-5C17A8C34D46}" type="presParOf" srcId="{903DD818-3F93-405E-AA16-D40D84B77B69}" destId="{D6958B1D-3E4A-4255-AAC7-2F8894AF7ABD}" srcOrd="3" destOrd="0" presId="urn:microsoft.com/office/officeart/2005/8/layout/list1"/>
    <dgm:cxn modelId="{B0D07E88-29E7-974E-B5E1-DAEA241FD84E}" type="presParOf" srcId="{903DD818-3F93-405E-AA16-D40D84B77B69}" destId="{BFCB2795-EDC1-4869-829C-9AA7B770253B}" srcOrd="4" destOrd="0" presId="urn:microsoft.com/office/officeart/2005/8/layout/list1"/>
    <dgm:cxn modelId="{CCF672FC-7B89-D04A-BA41-B655802BD02B}" type="presParOf" srcId="{BFCB2795-EDC1-4869-829C-9AA7B770253B}" destId="{BF519506-AEE3-4517-9236-E03EEE987D5D}" srcOrd="0" destOrd="0" presId="urn:microsoft.com/office/officeart/2005/8/layout/list1"/>
    <dgm:cxn modelId="{CF1AC1F4-46FA-B045-BD1A-88C984458B4D}" type="presParOf" srcId="{BFCB2795-EDC1-4869-829C-9AA7B770253B}" destId="{5BB30BD0-605F-4E03-B6F5-57DFA7E876E3}" srcOrd="1" destOrd="0" presId="urn:microsoft.com/office/officeart/2005/8/layout/list1"/>
    <dgm:cxn modelId="{7B2C7217-3324-EB45-A359-972988F28E67}" type="presParOf" srcId="{903DD818-3F93-405E-AA16-D40D84B77B69}" destId="{FD736316-F75C-493C-BABB-DA6528EC1CD5}" srcOrd="5" destOrd="0" presId="urn:microsoft.com/office/officeart/2005/8/layout/list1"/>
    <dgm:cxn modelId="{74534A8F-B452-3540-889C-A53956B6F5CC}" type="presParOf" srcId="{903DD818-3F93-405E-AA16-D40D84B77B69}" destId="{74352BAA-DF13-422A-957F-A4DC23E4F200}" srcOrd="6" destOrd="0" presId="urn:microsoft.com/office/officeart/2005/8/layout/list1"/>
    <dgm:cxn modelId="{2EFE4A34-6608-BC44-839F-6257D0DFE8DD}" type="presParOf" srcId="{903DD818-3F93-405E-AA16-D40D84B77B69}" destId="{A44597B2-EA47-4EE1-A2C0-AAFB7708591F}" srcOrd="7" destOrd="0" presId="urn:microsoft.com/office/officeart/2005/8/layout/list1"/>
    <dgm:cxn modelId="{560C3295-5116-3E4B-B9C7-E7C3BA79A8D9}" type="presParOf" srcId="{903DD818-3F93-405E-AA16-D40D84B77B69}" destId="{0815DD76-E283-4E2B-A20E-22E48A205AD3}" srcOrd="8" destOrd="0" presId="urn:microsoft.com/office/officeart/2005/8/layout/list1"/>
    <dgm:cxn modelId="{93BC50E8-F918-4643-B527-672BF21C5B38}" type="presParOf" srcId="{0815DD76-E283-4E2B-A20E-22E48A205AD3}" destId="{FF0907DE-8E9D-4E72-8CEC-EB11FB0CCC11}" srcOrd="0" destOrd="0" presId="urn:microsoft.com/office/officeart/2005/8/layout/list1"/>
    <dgm:cxn modelId="{4C2F75B3-07A3-E44D-B230-DE44FF529DA0}" type="presParOf" srcId="{0815DD76-E283-4E2B-A20E-22E48A205AD3}" destId="{F17B1E1E-FAFE-45A0-A3E3-2BD2CD5147F8}" srcOrd="1" destOrd="0" presId="urn:microsoft.com/office/officeart/2005/8/layout/list1"/>
    <dgm:cxn modelId="{F13E481F-FF7C-5B49-B3D1-1CD1C44F2BA2}" type="presParOf" srcId="{903DD818-3F93-405E-AA16-D40D84B77B69}" destId="{76838281-F065-4776-B9CE-27D73DA71FE4}" srcOrd="9" destOrd="0" presId="urn:microsoft.com/office/officeart/2005/8/layout/list1"/>
    <dgm:cxn modelId="{FC0FCA40-CC5C-F146-954E-7A17A4309EA7}" type="presParOf" srcId="{903DD818-3F93-405E-AA16-D40D84B77B69}" destId="{3439561B-1822-4DE3-8FA2-5DD979AC4674}" srcOrd="10" destOrd="0" presId="urn:microsoft.com/office/officeart/2005/8/layout/list1"/>
    <dgm:cxn modelId="{CA912FCD-28A4-EC43-BB5C-BA1D9F24346A}" type="presParOf" srcId="{903DD818-3F93-405E-AA16-D40D84B77B69}" destId="{0426885E-9609-4163-A3D2-F5AB40A4520E}" srcOrd="11" destOrd="0" presId="urn:microsoft.com/office/officeart/2005/8/layout/list1"/>
    <dgm:cxn modelId="{EFA710F0-BB20-6443-9873-23296EF0315B}" type="presParOf" srcId="{903DD818-3F93-405E-AA16-D40D84B77B69}" destId="{40234729-8C73-4013-AB84-F4C55FD64D28}" srcOrd="12" destOrd="0" presId="urn:microsoft.com/office/officeart/2005/8/layout/list1"/>
    <dgm:cxn modelId="{7D569768-8C69-894C-9D8E-149CEC4E7C56}" type="presParOf" srcId="{40234729-8C73-4013-AB84-F4C55FD64D28}" destId="{67DF6DF5-6C57-4B04-8DC3-261E27BD8279}" srcOrd="0" destOrd="0" presId="urn:microsoft.com/office/officeart/2005/8/layout/list1"/>
    <dgm:cxn modelId="{79BA957B-9B95-8F4C-A0FC-85F9FBD2C876}" type="presParOf" srcId="{40234729-8C73-4013-AB84-F4C55FD64D28}" destId="{3F23C9DF-1522-4E49-A153-312720E67AC4}" srcOrd="1" destOrd="0" presId="urn:microsoft.com/office/officeart/2005/8/layout/list1"/>
    <dgm:cxn modelId="{91384596-14DD-A445-8EEC-2657239F975A}" type="presParOf" srcId="{903DD818-3F93-405E-AA16-D40D84B77B69}" destId="{5A723DFE-3662-4C4D-BE91-B8A9F3999210}" srcOrd="13" destOrd="0" presId="urn:microsoft.com/office/officeart/2005/8/layout/list1"/>
    <dgm:cxn modelId="{39FD33DB-D617-6344-924D-C4E65BFE4E3F}" type="presParOf" srcId="{903DD818-3F93-405E-AA16-D40D84B77B69}" destId="{325F4320-DC44-4A88-A058-938794C50DA5}" srcOrd="14" destOrd="0" presId="urn:microsoft.com/office/officeart/2005/8/layout/list1"/>
    <dgm:cxn modelId="{2BF125B4-E714-F943-A609-CB90F10FA748}" type="presParOf" srcId="{903DD818-3F93-405E-AA16-D40D84B77B69}" destId="{FDFBDEC3-5B05-4E30-8F50-7F6EC35DD27C}" srcOrd="15" destOrd="0" presId="urn:microsoft.com/office/officeart/2005/8/layout/list1"/>
    <dgm:cxn modelId="{8D0F3D27-D015-8B45-B5C9-9093DD0098B8}" type="presParOf" srcId="{903DD818-3F93-405E-AA16-D40D84B77B69}" destId="{59F1140D-AD1F-4952-8626-82A1BDB1DC88}" srcOrd="16" destOrd="0" presId="urn:microsoft.com/office/officeart/2005/8/layout/list1"/>
    <dgm:cxn modelId="{90153127-E60A-1740-8598-74A9BCA02C22}" type="presParOf" srcId="{59F1140D-AD1F-4952-8626-82A1BDB1DC88}" destId="{84FEF158-1B63-493C-BE0C-8AFE9BD88135}" srcOrd="0" destOrd="0" presId="urn:microsoft.com/office/officeart/2005/8/layout/list1"/>
    <dgm:cxn modelId="{654583FD-3EE0-9741-9F9B-36280C9FFF3F}" type="presParOf" srcId="{59F1140D-AD1F-4952-8626-82A1BDB1DC88}" destId="{140B4EBE-9AC5-44B0-855B-947C87B5FF63}" srcOrd="1" destOrd="0" presId="urn:microsoft.com/office/officeart/2005/8/layout/list1"/>
    <dgm:cxn modelId="{79B8396D-4437-B244-B52C-72055460F168}" type="presParOf" srcId="{903DD818-3F93-405E-AA16-D40D84B77B69}" destId="{F037D578-B890-4BA4-A393-951A28C57D79}" srcOrd="17" destOrd="0" presId="urn:microsoft.com/office/officeart/2005/8/layout/list1"/>
    <dgm:cxn modelId="{8C2A5A83-F392-E34D-8A4A-627672FF475C}" type="presParOf" srcId="{903DD818-3F93-405E-AA16-D40D84B77B69}" destId="{237B25B1-0EFC-42C6-8D03-79445237131A}" srcOrd="18" destOrd="0" presId="urn:microsoft.com/office/officeart/2005/8/layout/list1"/>
    <dgm:cxn modelId="{042F3717-E48B-B34C-AEE8-83A197A25031}" type="presParOf" srcId="{903DD818-3F93-405E-AA16-D40D84B77B69}" destId="{0E6FA497-2927-473D-871F-159364310A2F}" srcOrd="19" destOrd="0" presId="urn:microsoft.com/office/officeart/2005/8/layout/list1"/>
    <dgm:cxn modelId="{175CCF8C-1DDF-3444-A015-4F7B87E5DC03}" type="presParOf" srcId="{903DD818-3F93-405E-AA16-D40D84B77B69}" destId="{5E02B1D6-BEBC-4E81-9408-78DE6DEDD9B4}" srcOrd="20" destOrd="0" presId="urn:microsoft.com/office/officeart/2005/8/layout/list1"/>
    <dgm:cxn modelId="{BF1C58B3-20CA-0944-B89E-739964FF68B0}" type="presParOf" srcId="{5E02B1D6-BEBC-4E81-9408-78DE6DEDD9B4}" destId="{6C4DB39C-6B99-4654-A6D8-DF44B7B9060F}" srcOrd="0" destOrd="0" presId="urn:microsoft.com/office/officeart/2005/8/layout/list1"/>
    <dgm:cxn modelId="{2F7FD71D-C9D5-8B49-8A09-B31D9CAC6C2F}" type="presParOf" srcId="{5E02B1D6-BEBC-4E81-9408-78DE6DEDD9B4}" destId="{903B6DB3-1142-42BF-BCF6-161E83F5B51F}" srcOrd="1" destOrd="0" presId="urn:microsoft.com/office/officeart/2005/8/layout/list1"/>
    <dgm:cxn modelId="{F19F9B01-B0B1-AE43-ABCF-C3C5B7CD0DEA}" type="presParOf" srcId="{903DD818-3F93-405E-AA16-D40D84B77B69}" destId="{A41B006A-4538-4109-8D08-D2A033F19336}" srcOrd="21" destOrd="0" presId="urn:microsoft.com/office/officeart/2005/8/layout/list1"/>
    <dgm:cxn modelId="{90B99C40-FDFC-3948-8721-02C191B6EB6C}" type="presParOf" srcId="{903DD818-3F93-405E-AA16-D40D84B77B69}" destId="{2A9F8B0E-DD01-4329-A18F-C8FEC59FE0BD}" srcOrd="22" destOrd="0" presId="urn:microsoft.com/office/officeart/2005/8/layout/list1"/>
    <dgm:cxn modelId="{D25C5422-CE25-7847-9678-AA03A09AE8D3}" type="presParOf" srcId="{903DD818-3F93-405E-AA16-D40D84B77B69}" destId="{6F916D5C-2F22-4FE3-917B-20DEF9DE81EC}" srcOrd="23" destOrd="0" presId="urn:microsoft.com/office/officeart/2005/8/layout/list1"/>
    <dgm:cxn modelId="{64CC41EB-58EA-C640-8D54-416BB5095752}" type="presParOf" srcId="{903DD818-3F93-405E-AA16-D40D84B77B69}" destId="{5D620FED-C2B5-46FA-BA1B-68B0E265BE42}" srcOrd="24" destOrd="0" presId="urn:microsoft.com/office/officeart/2005/8/layout/list1"/>
    <dgm:cxn modelId="{2C4939C7-372D-B14D-9645-9CF833DC2264}" type="presParOf" srcId="{5D620FED-C2B5-46FA-BA1B-68B0E265BE42}" destId="{2FDB29A2-FA6C-4156-914C-DB183902E58A}" srcOrd="0" destOrd="0" presId="urn:microsoft.com/office/officeart/2005/8/layout/list1"/>
    <dgm:cxn modelId="{1038AFC7-E7C1-0B45-969A-6E92DBC7E85C}" type="presParOf" srcId="{5D620FED-C2B5-46FA-BA1B-68B0E265BE42}" destId="{E2380D5F-69EB-423E-BDF0-409A14B3629B}" srcOrd="1" destOrd="0" presId="urn:microsoft.com/office/officeart/2005/8/layout/list1"/>
    <dgm:cxn modelId="{4B3C6368-F6C1-724B-A4D9-61C023BFDA38}" type="presParOf" srcId="{903DD818-3F93-405E-AA16-D40D84B77B69}" destId="{75290A7B-1C86-44C9-B82C-93B345D9C2D9}" srcOrd="25" destOrd="0" presId="urn:microsoft.com/office/officeart/2005/8/layout/list1"/>
    <dgm:cxn modelId="{637B51C5-0E62-4A4A-AC70-E1EDDEC8F6E2}" type="presParOf" srcId="{903DD818-3F93-405E-AA16-D40D84B77B69}" destId="{96ED3FBC-3DC5-4CFF-8B72-02EFDD0C2F9B}" srcOrd="26" destOrd="0" presId="urn:microsoft.com/office/officeart/2005/8/layout/list1"/>
    <dgm:cxn modelId="{E6BB2BA4-726E-E147-9A6E-DA005CFC9D3B}" type="presParOf" srcId="{903DD818-3F93-405E-AA16-D40D84B77B69}" destId="{38E6BDD0-B077-4426-92F7-29E488FD2115}" srcOrd="27" destOrd="0" presId="urn:microsoft.com/office/officeart/2005/8/layout/list1"/>
    <dgm:cxn modelId="{87057D70-29B2-E048-8EA9-CBCAE0AF9498}" type="presParOf" srcId="{903DD818-3F93-405E-AA16-D40D84B77B69}" destId="{785454F7-8CD1-4FC6-BCCD-8634CC916835}" srcOrd="28" destOrd="0" presId="urn:microsoft.com/office/officeart/2005/8/layout/list1"/>
    <dgm:cxn modelId="{932129D5-82AC-E948-83A1-59E1C31787DD}" type="presParOf" srcId="{785454F7-8CD1-4FC6-BCCD-8634CC916835}" destId="{7B67E0F2-F3F8-4B66-A6DD-DD2C7663CF51}" srcOrd="0" destOrd="0" presId="urn:microsoft.com/office/officeart/2005/8/layout/list1"/>
    <dgm:cxn modelId="{8C04894C-B10E-5342-B110-803CF97F43BB}" type="presParOf" srcId="{785454F7-8CD1-4FC6-BCCD-8634CC916835}" destId="{650DD5E9-2D06-4EE0-A373-1D7C435D09B7}" srcOrd="1" destOrd="0" presId="urn:microsoft.com/office/officeart/2005/8/layout/list1"/>
    <dgm:cxn modelId="{BE5F738B-06D6-2743-89FC-A0FECB463D03}" type="presParOf" srcId="{903DD818-3F93-405E-AA16-D40D84B77B69}" destId="{91C0395D-3FC3-49F2-81D4-4F69409770A9}" srcOrd="29" destOrd="0" presId="urn:microsoft.com/office/officeart/2005/8/layout/list1"/>
    <dgm:cxn modelId="{2E5C6A3B-F949-D44E-95CA-0797C4FE6431}" type="presParOf" srcId="{903DD818-3F93-405E-AA16-D40D84B77B69}" destId="{B8C00E89-1DB5-432E-8674-AEB7C3FDCCD9}" srcOrd="30" destOrd="0" presId="urn:microsoft.com/office/officeart/2005/8/layout/list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9E5A7FE-25D2-4B8C-890A-EE430E95804E}" type="doc">
      <dgm:prSet loTypeId="urn:microsoft.com/office/officeart/2005/8/layout/lProcess2" loCatId="list" qsTypeId="urn:microsoft.com/office/officeart/2005/8/quickstyle/3d3" qsCatId="3D" csTypeId="urn:microsoft.com/office/officeart/2005/8/colors/accent0_1" csCatId="mainScheme" phldr="1"/>
      <dgm:spPr/>
      <dgm:t>
        <a:bodyPr/>
        <a:lstStyle/>
        <a:p>
          <a:endParaRPr lang="en-GB"/>
        </a:p>
      </dgm:t>
    </dgm:pt>
    <dgm:pt modelId="{ACD31B2B-837F-401C-A8D5-296A54171884}">
      <dgm:prSet phldrT="[Text]" custT="1"/>
      <dgm:spPr/>
      <dgm:t>
        <a:bodyPr/>
        <a:lstStyle/>
        <a:p>
          <a:pPr algn="ctr"/>
          <a:r>
            <a:rPr lang="en-GB" sz="1100" b="1">
              <a:latin typeface="+mj-lt"/>
            </a:rPr>
            <a:t>Impact/Evidence-Based </a:t>
          </a:r>
        </a:p>
      </dgm:t>
    </dgm:pt>
    <dgm:pt modelId="{D1A2EBB4-A48F-40FE-9A42-3128861B9AE3}" type="parTrans" cxnId="{611E3FE4-04D3-41B1-957D-DAE6F269FCE7}">
      <dgm:prSet/>
      <dgm:spPr/>
      <dgm:t>
        <a:bodyPr/>
        <a:lstStyle/>
        <a:p>
          <a:pPr algn="ctr"/>
          <a:endParaRPr lang="en-GB"/>
        </a:p>
      </dgm:t>
    </dgm:pt>
    <dgm:pt modelId="{5CB43C3D-14CD-477D-9DBD-F4BB9D3AFBCB}" type="sibTrans" cxnId="{611E3FE4-04D3-41B1-957D-DAE6F269FCE7}">
      <dgm:prSet/>
      <dgm:spPr/>
      <dgm:t>
        <a:bodyPr/>
        <a:lstStyle/>
        <a:p>
          <a:pPr algn="ctr"/>
          <a:endParaRPr lang="en-GB"/>
        </a:p>
      </dgm:t>
    </dgm:pt>
    <dgm:pt modelId="{2883B552-F8C4-435F-8649-C61D2D36144D}">
      <dgm:prSet phldrT="[Text]" custT="1"/>
      <dgm:spPr/>
      <dgm:t>
        <a:bodyPr/>
        <a:lstStyle/>
        <a:p>
          <a:pPr algn="ctr"/>
          <a:r>
            <a:rPr lang="en-GB" sz="800">
              <a:latin typeface="+mj-lt"/>
            </a:rPr>
            <a:t> Meeting specific objectives in the long-term</a:t>
          </a:r>
        </a:p>
      </dgm:t>
    </dgm:pt>
    <dgm:pt modelId="{F96E2A5F-8D26-443B-9910-3B27B36A8200}" type="parTrans" cxnId="{99BD059C-6324-4A39-81CD-94FD9D07B7F8}">
      <dgm:prSet/>
      <dgm:spPr/>
      <dgm:t>
        <a:bodyPr/>
        <a:lstStyle/>
        <a:p>
          <a:pPr algn="ctr"/>
          <a:endParaRPr lang="en-GB"/>
        </a:p>
      </dgm:t>
    </dgm:pt>
    <dgm:pt modelId="{B784C29C-55D4-4687-A047-A02B5A5D66D2}" type="sibTrans" cxnId="{99BD059C-6324-4A39-81CD-94FD9D07B7F8}">
      <dgm:prSet/>
      <dgm:spPr/>
      <dgm:t>
        <a:bodyPr/>
        <a:lstStyle/>
        <a:p>
          <a:pPr algn="ctr"/>
          <a:endParaRPr lang="en-GB"/>
        </a:p>
      </dgm:t>
    </dgm:pt>
    <dgm:pt modelId="{13D24611-97C0-4382-8433-BF42136CC28A}">
      <dgm:prSet phldrT="[Text]" custT="1"/>
      <dgm:spPr/>
      <dgm:t>
        <a:bodyPr/>
        <a:lstStyle/>
        <a:p>
          <a:pPr algn="ctr"/>
          <a:r>
            <a:rPr lang="en-GB" sz="1100" b="1">
              <a:latin typeface="+mj-lt"/>
            </a:rPr>
            <a:t>Marketing</a:t>
          </a:r>
        </a:p>
      </dgm:t>
    </dgm:pt>
    <dgm:pt modelId="{B317599D-8A07-4DA6-87F4-CACFAA8F05D2}" type="parTrans" cxnId="{0F4304A8-74A1-45CE-9CA0-2C8735309D7F}">
      <dgm:prSet/>
      <dgm:spPr/>
      <dgm:t>
        <a:bodyPr/>
        <a:lstStyle/>
        <a:p>
          <a:pPr algn="ctr"/>
          <a:endParaRPr lang="en-GB"/>
        </a:p>
      </dgm:t>
    </dgm:pt>
    <dgm:pt modelId="{B3F1A458-8E3B-438C-9F90-EEBE73FC88B7}" type="sibTrans" cxnId="{0F4304A8-74A1-45CE-9CA0-2C8735309D7F}">
      <dgm:prSet/>
      <dgm:spPr/>
      <dgm:t>
        <a:bodyPr/>
        <a:lstStyle/>
        <a:p>
          <a:pPr algn="ctr"/>
          <a:endParaRPr lang="en-GB"/>
        </a:p>
      </dgm:t>
    </dgm:pt>
    <dgm:pt modelId="{C40CF170-3EB7-4B67-B9EA-DD9B0969C1D7}">
      <dgm:prSet phldrT="[Text]" custT="1"/>
      <dgm:spPr/>
      <dgm:t>
        <a:bodyPr/>
        <a:lstStyle/>
        <a:p>
          <a:pPr algn="ctr"/>
          <a:r>
            <a:rPr lang="en-GB" sz="800">
              <a:latin typeface="+mj-lt"/>
            </a:rPr>
            <a:t>Product of both meeting objectives </a:t>
          </a:r>
          <a:r>
            <a:rPr lang="en-GB" sz="800" i="1">
              <a:latin typeface="+mj-lt"/>
            </a:rPr>
            <a:t>and</a:t>
          </a:r>
          <a:r>
            <a:rPr lang="en-GB" sz="800">
              <a:latin typeface="+mj-lt"/>
            </a:rPr>
            <a:t> political precedent (consensus decision-making)</a:t>
          </a:r>
        </a:p>
      </dgm:t>
    </dgm:pt>
    <dgm:pt modelId="{89101117-78BE-4F48-B634-9C03D40AAE4C}" type="parTrans" cxnId="{83939088-B636-4549-A9CD-9EE82D4E6B99}">
      <dgm:prSet/>
      <dgm:spPr/>
      <dgm:t>
        <a:bodyPr/>
        <a:lstStyle/>
        <a:p>
          <a:pPr algn="ctr"/>
          <a:endParaRPr lang="en-GB"/>
        </a:p>
      </dgm:t>
    </dgm:pt>
    <dgm:pt modelId="{B9634707-0E0D-4A36-8DBD-4DB14F83BF71}" type="sibTrans" cxnId="{83939088-B636-4549-A9CD-9EE82D4E6B99}">
      <dgm:prSet/>
      <dgm:spPr/>
      <dgm:t>
        <a:bodyPr/>
        <a:lstStyle/>
        <a:p>
          <a:pPr algn="ctr"/>
          <a:endParaRPr lang="en-GB"/>
        </a:p>
      </dgm:t>
    </dgm:pt>
    <dgm:pt modelId="{7B8DDD15-1C06-41CD-A719-C2D4971D68ED}">
      <dgm:prSet phldrT="[Text]" custT="1"/>
      <dgm:spPr/>
      <dgm:t>
        <a:bodyPr/>
        <a:lstStyle/>
        <a:p>
          <a:pPr algn="ctr"/>
          <a:r>
            <a:rPr lang="en-GB" sz="1100" b="1">
              <a:latin typeface="+mj-lt"/>
            </a:rPr>
            <a:t>Constructivist</a:t>
          </a:r>
        </a:p>
      </dgm:t>
    </dgm:pt>
    <dgm:pt modelId="{0BB589F0-0481-4A90-A508-4A5D6B8CF0EA}" type="parTrans" cxnId="{A8A3B8D9-FDB7-42F1-95C4-83601B28F73B}">
      <dgm:prSet/>
      <dgm:spPr/>
      <dgm:t>
        <a:bodyPr/>
        <a:lstStyle/>
        <a:p>
          <a:pPr algn="ctr"/>
          <a:endParaRPr lang="en-GB"/>
        </a:p>
      </dgm:t>
    </dgm:pt>
    <dgm:pt modelId="{77DB0123-5EE1-42D0-8B31-7E7AE3644566}" type="sibTrans" cxnId="{A8A3B8D9-FDB7-42F1-95C4-83601B28F73B}">
      <dgm:prSet/>
      <dgm:spPr/>
      <dgm:t>
        <a:bodyPr/>
        <a:lstStyle/>
        <a:p>
          <a:pPr algn="ctr"/>
          <a:endParaRPr lang="en-GB"/>
        </a:p>
      </dgm:t>
    </dgm:pt>
    <dgm:pt modelId="{692E6BF2-A807-4582-A991-7B576E8A5A9C}">
      <dgm:prSet phldrT="[Text]" custT="1"/>
      <dgm:spPr/>
      <dgm:t>
        <a:bodyPr/>
        <a:lstStyle/>
        <a:p>
          <a:pPr algn="ctr"/>
          <a:r>
            <a:rPr lang="en-GB" sz="800">
              <a:latin typeface="+mj-lt"/>
            </a:rPr>
            <a:t>Less about meeting objectives than about a programme's match with the agendas of powerful stakeholders</a:t>
          </a:r>
        </a:p>
      </dgm:t>
    </dgm:pt>
    <dgm:pt modelId="{78183482-E965-437C-88AE-A45268623790}" type="parTrans" cxnId="{E303F0A2-6BBB-4506-A91E-97D190369DF3}">
      <dgm:prSet/>
      <dgm:spPr/>
      <dgm:t>
        <a:bodyPr/>
        <a:lstStyle/>
        <a:p>
          <a:pPr algn="ctr"/>
          <a:endParaRPr lang="en-GB"/>
        </a:p>
      </dgm:t>
    </dgm:pt>
    <dgm:pt modelId="{9C55F52F-BC9D-4A36-8E10-D8359D64DE74}" type="sibTrans" cxnId="{E303F0A2-6BBB-4506-A91E-97D190369DF3}">
      <dgm:prSet/>
      <dgm:spPr/>
      <dgm:t>
        <a:bodyPr/>
        <a:lstStyle/>
        <a:p>
          <a:pPr algn="ctr"/>
          <a:endParaRPr lang="en-GB"/>
        </a:p>
      </dgm:t>
    </dgm:pt>
    <dgm:pt modelId="{8F0D909B-5026-414D-960D-3E6BA714FEAA}">
      <dgm:prSet custT="1"/>
      <dgm:spPr/>
      <dgm:t>
        <a:bodyPr/>
        <a:lstStyle/>
        <a:p>
          <a:pPr algn="ctr"/>
          <a:r>
            <a:rPr lang="en-GB" sz="800">
              <a:latin typeface="+mj-lt"/>
            </a:rPr>
            <a:t>Essential - only valid way to determine success is through clear statistics (disease prevalence, drugs distributed, etc.)</a:t>
          </a:r>
        </a:p>
      </dgm:t>
    </dgm:pt>
    <dgm:pt modelId="{3DF035AC-C8C5-4257-98CC-ADE6D4AAEBEF}" type="parTrans" cxnId="{C46EFF9D-30D6-49F1-B6D4-2532409723C6}">
      <dgm:prSet/>
      <dgm:spPr/>
      <dgm:t>
        <a:bodyPr/>
        <a:lstStyle/>
        <a:p>
          <a:pPr algn="ctr"/>
          <a:endParaRPr lang="en-GB"/>
        </a:p>
      </dgm:t>
    </dgm:pt>
    <dgm:pt modelId="{D7178DC2-70C9-4462-AE86-A5738641A517}" type="sibTrans" cxnId="{C46EFF9D-30D6-49F1-B6D4-2532409723C6}">
      <dgm:prSet/>
      <dgm:spPr/>
      <dgm:t>
        <a:bodyPr/>
        <a:lstStyle/>
        <a:p>
          <a:pPr algn="ctr"/>
          <a:endParaRPr lang="en-GB"/>
        </a:p>
      </dgm:t>
    </dgm:pt>
    <dgm:pt modelId="{BBE2A072-C08D-4F55-A4EA-9D6A7D7F12B1}">
      <dgm:prSet custT="1"/>
      <dgm:spPr/>
      <dgm:t>
        <a:bodyPr/>
        <a:lstStyle/>
        <a:p>
          <a:pPr algn="ctr"/>
          <a:r>
            <a:rPr lang="en-GB" sz="800">
              <a:latin typeface="+mj-lt"/>
            </a:rPr>
            <a:t>Absolute; Contestible; Re-framable (non-intrinsic)</a:t>
          </a:r>
        </a:p>
      </dgm:t>
    </dgm:pt>
    <dgm:pt modelId="{57E659E6-E5E6-4242-A66C-16235B758AC1}" type="parTrans" cxnId="{9C0D4463-F9F9-45FE-ADD9-5C8B1C708747}">
      <dgm:prSet/>
      <dgm:spPr/>
      <dgm:t>
        <a:bodyPr/>
        <a:lstStyle/>
        <a:p>
          <a:pPr algn="ctr"/>
          <a:endParaRPr lang="en-GB"/>
        </a:p>
      </dgm:t>
    </dgm:pt>
    <dgm:pt modelId="{F7C0F4C9-9E3F-4E50-8435-D76D7A25FBE2}" type="sibTrans" cxnId="{9C0D4463-F9F9-45FE-ADD9-5C8B1C708747}">
      <dgm:prSet/>
      <dgm:spPr/>
      <dgm:t>
        <a:bodyPr/>
        <a:lstStyle/>
        <a:p>
          <a:pPr algn="ctr"/>
          <a:endParaRPr lang="en-GB"/>
        </a:p>
      </dgm:t>
    </dgm:pt>
    <dgm:pt modelId="{FE30CCCB-6865-4EE5-87D6-E6658CF0311C}">
      <dgm:prSet custT="1"/>
      <dgm:spPr/>
      <dgm:t>
        <a:bodyPr/>
        <a:lstStyle/>
        <a:p>
          <a:pPr algn="ctr"/>
          <a:r>
            <a:rPr lang="en-GB" sz="800">
              <a:latin typeface="+mj-lt"/>
            </a:rPr>
            <a:t>Non-absolute; Re-interpretable; Contestible</a:t>
          </a:r>
        </a:p>
      </dgm:t>
    </dgm:pt>
    <dgm:pt modelId="{E2AB868B-AA63-45CD-9217-A094019B27FA}" type="parTrans" cxnId="{6E261668-9E5B-44F7-8A45-46342F774C49}">
      <dgm:prSet/>
      <dgm:spPr/>
      <dgm:t>
        <a:bodyPr/>
        <a:lstStyle/>
        <a:p>
          <a:pPr algn="ctr"/>
          <a:endParaRPr lang="en-GB"/>
        </a:p>
      </dgm:t>
    </dgm:pt>
    <dgm:pt modelId="{4EE3F1B8-4620-4691-8683-C31E0B5DCB8A}" type="sibTrans" cxnId="{6E261668-9E5B-44F7-8A45-46342F774C49}">
      <dgm:prSet/>
      <dgm:spPr/>
      <dgm:t>
        <a:bodyPr/>
        <a:lstStyle/>
        <a:p>
          <a:pPr algn="ctr"/>
          <a:endParaRPr lang="en-GB"/>
        </a:p>
      </dgm:t>
    </dgm:pt>
    <dgm:pt modelId="{6F91BC90-05BD-408F-ACED-3FCFC1EBD3CB}">
      <dgm:prSet custT="1"/>
      <dgm:spPr/>
      <dgm:t>
        <a:bodyPr/>
        <a:lstStyle/>
        <a:p>
          <a:pPr algn="ctr"/>
          <a:r>
            <a:rPr lang="en-GB" sz="800">
              <a:latin typeface="+mj-lt"/>
            </a:rPr>
            <a:t>Stand-alone (endpoint, intrinsic); Absolute; Non-contestible</a:t>
          </a:r>
        </a:p>
      </dgm:t>
    </dgm:pt>
    <dgm:pt modelId="{24AD3103-B38C-4288-BC24-9A5541C5B1C8}" type="parTrans" cxnId="{EF912268-B810-4AF0-8617-DC39E4187150}">
      <dgm:prSet/>
      <dgm:spPr/>
      <dgm:t>
        <a:bodyPr/>
        <a:lstStyle/>
        <a:p>
          <a:pPr algn="ctr"/>
          <a:endParaRPr lang="en-GB"/>
        </a:p>
      </dgm:t>
    </dgm:pt>
    <dgm:pt modelId="{50A571E3-E3A7-4A24-BF79-83C5A2B32CF9}" type="sibTrans" cxnId="{EF912268-B810-4AF0-8617-DC39E4187150}">
      <dgm:prSet/>
      <dgm:spPr/>
      <dgm:t>
        <a:bodyPr/>
        <a:lstStyle/>
        <a:p>
          <a:pPr algn="ctr"/>
          <a:endParaRPr lang="en-GB"/>
        </a:p>
      </dgm:t>
    </dgm:pt>
    <dgm:pt modelId="{7FAD9283-F50F-4F61-9083-C7EB975FB93C}">
      <dgm:prSet custT="1"/>
      <dgm:spPr/>
      <dgm:t>
        <a:bodyPr/>
        <a:lstStyle/>
        <a:p>
          <a:pPr algn="ctr"/>
          <a:r>
            <a:rPr lang="en-GB" sz="800">
              <a:latin typeface="+mj-lt"/>
            </a:rPr>
            <a:t>Important - but marketing and political landscape are at least equally important</a:t>
          </a:r>
        </a:p>
      </dgm:t>
    </dgm:pt>
    <dgm:pt modelId="{0C21C953-F83D-4EE0-9552-AC5F51D327EF}" type="parTrans" cxnId="{A5D54974-BED6-4D31-9EA9-C9FCB96B4BAA}">
      <dgm:prSet/>
      <dgm:spPr/>
      <dgm:t>
        <a:bodyPr/>
        <a:lstStyle/>
        <a:p>
          <a:pPr algn="ctr"/>
          <a:endParaRPr lang="en-GB"/>
        </a:p>
      </dgm:t>
    </dgm:pt>
    <dgm:pt modelId="{1B4ADBF0-CFB5-41AB-858A-2FAF2277DB72}" type="sibTrans" cxnId="{A5D54974-BED6-4D31-9EA9-C9FCB96B4BAA}">
      <dgm:prSet/>
      <dgm:spPr/>
      <dgm:t>
        <a:bodyPr/>
        <a:lstStyle/>
        <a:p>
          <a:pPr algn="ctr"/>
          <a:endParaRPr lang="en-GB"/>
        </a:p>
      </dgm:t>
    </dgm:pt>
    <dgm:pt modelId="{EF29A479-514D-451D-A9FB-C3DBFB5D09E9}">
      <dgm:prSet custT="1"/>
      <dgm:spPr/>
      <dgm:t>
        <a:bodyPr/>
        <a:lstStyle/>
        <a:p>
          <a:pPr algn="ctr"/>
          <a:r>
            <a:rPr lang="en-GB" sz="800">
              <a:latin typeface="+mj-lt"/>
            </a:rPr>
            <a:t>Largely immaterial - metrics are constructible by influential actors</a:t>
          </a:r>
        </a:p>
      </dgm:t>
    </dgm:pt>
    <dgm:pt modelId="{F3181829-BD48-441A-8258-B9D5ABA3E56A}" type="parTrans" cxnId="{88DEBD92-246B-45D0-8E0A-E1DE0DD1037F}">
      <dgm:prSet/>
      <dgm:spPr/>
      <dgm:t>
        <a:bodyPr/>
        <a:lstStyle/>
        <a:p>
          <a:pPr algn="ctr"/>
          <a:endParaRPr lang="en-GB"/>
        </a:p>
      </dgm:t>
    </dgm:pt>
    <dgm:pt modelId="{484C218C-DF82-4B65-936F-5CDE80584497}" type="sibTrans" cxnId="{88DEBD92-246B-45D0-8E0A-E1DE0DD1037F}">
      <dgm:prSet/>
      <dgm:spPr/>
      <dgm:t>
        <a:bodyPr/>
        <a:lstStyle/>
        <a:p>
          <a:pPr algn="ctr"/>
          <a:endParaRPr lang="en-GB"/>
        </a:p>
      </dgm:t>
    </dgm:pt>
    <dgm:pt modelId="{EA78A01F-89B3-4726-8ABC-3033F0B8BC9C}">
      <dgm:prSet custT="1"/>
      <dgm:spPr/>
      <dgm:t>
        <a:bodyPr/>
        <a:lstStyle/>
        <a:p>
          <a:pPr algn="ctr"/>
          <a:endParaRPr lang="en-GB" sz="1000" b="1">
            <a:latin typeface="+mj-lt"/>
          </a:endParaRPr>
        </a:p>
        <a:p>
          <a:pPr algn="ctr"/>
          <a:r>
            <a:rPr lang="en-GB" sz="1000" b="1">
              <a:latin typeface="+mj-lt"/>
            </a:rPr>
            <a:t>Definition of success</a:t>
          </a:r>
          <a:endParaRPr lang="en-GB" sz="1000">
            <a:latin typeface="+mj-lt"/>
          </a:endParaRPr>
        </a:p>
        <a:p>
          <a:pPr algn="ctr"/>
          <a:endParaRPr lang="en-GB" sz="1000" b="1">
            <a:latin typeface="+mj-lt"/>
          </a:endParaRPr>
        </a:p>
        <a:p>
          <a:pPr algn="ctr"/>
          <a:endParaRPr lang="en-GB" sz="1000" b="1">
            <a:latin typeface="+mj-lt"/>
          </a:endParaRPr>
        </a:p>
        <a:p>
          <a:pPr algn="ctr"/>
          <a:r>
            <a:rPr lang="en-GB" sz="1000" b="1">
              <a:latin typeface="+mj-lt"/>
            </a:rPr>
            <a:t>Role of metrics</a:t>
          </a:r>
          <a:endParaRPr lang="en-GB" sz="1000">
            <a:latin typeface="+mj-lt"/>
          </a:endParaRPr>
        </a:p>
        <a:p>
          <a:pPr algn="ctr"/>
          <a:endParaRPr lang="en-GB" sz="1000">
            <a:latin typeface="+mj-lt"/>
          </a:endParaRPr>
        </a:p>
        <a:p>
          <a:pPr algn="ctr"/>
          <a:endParaRPr lang="en-GB" sz="1000">
            <a:latin typeface="+mj-lt"/>
          </a:endParaRPr>
        </a:p>
        <a:p>
          <a:pPr algn="ctr"/>
          <a:endParaRPr lang="en-GB" sz="1000">
            <a:latin typeface="+mj-lt"/>
          </a:endParaRPr>
        </a:p>
        <a:p>
          <a:pPr algn="ctr"/>
          <a:r>
            <a:rPr lang="en-GB" sz="1000" b="1">
              <a:latin typeface="+mj-lt"/>
            </a:rPr>
            <a:t>Attributes of success</a:t>
          </a:r>
        </a:p>
      </dgm:t>
    </dgm:pt>
    <dgm:pt modelId="{0DAA15DF-1E0A-4F95-9ADA-B7AA2916CBDF}" type="parTrans" cxnId="{A3CFD057-CC51-4F08-87A5-1E6E07A3A674}">
      <dgm:prSet/>
      <dgm:spPr/>
      <dgm:t>
        <a:bodyPr/>
        <a:lstStyle/>
        <a:p>
          <a:pPr algn="ctr"/>
          <a:endParaRPr lang="en-GB"/>
        </a:p>
      </dgm:t>
    </dgm:pt>
    <dgm:pt modelId="{1A84D592-0027-4EED-9D5A-7D5922743B8C}" type="sibTrans" cxnId="{A3CFD057-CC51-4F08-87A5-1E6E07A3A674}">
      <dgm:prSet/>
      <dgm:spPr/>
      <dgm:t>
        <a:bodyPr/>
        <a:lstStyle/>
        <a:p>
          <a:pPr algn="ctr"/>
          <a:endParaRPr lang="en-GB"/>
        </a:p>
      </dgm:t>
    </dgm:pt>
    <dgm:pt modelId="{97A13008-A9E3-4ED1-B5FA-591D35E6506D}">
      <dgm:prSet/>
      <dgm:spPr/>
      <dgm:t>
        <a:bodyPr/>
        <a:lstStyle/>
        <a:p>
          <a:pPr algn="ctr"/>
          <a:endParaRPr lang="en-GB">
            <a:latin typeface="+mj-lt"/>
          </a:endParaRPr>
        </a:p>
      </dgm:t>
    </dgm:pt>
    <dgm:pt modelId="{9DB13A72-041C-4CAB-BC0E-719FFE90495F}" type="parTrans" cxnId="{C1DA7BA9-568B-40F3-89A1-43EDE47079F8}">
      <dgm:prSet/>
      <dgm:spPr/>
      <dgm:t>
        <a:bodyPr/>
        <a:lstStyle/>
        <a:p>
          <a:pPr algn="ctr"/>
          <a:endParaRPr lang="en-GB"/>
        </a:p>
      </dgm:t>
    </dgm:pt>
    <dgm:pt modelId="{F59C6173-ADB4-4F43-A250-649AA7A09B72}" type="sibTrans" cxnId="{C1DA7BA9-568B-40F3-89A1-43EDE47079F8}">
      <dgm:prSet/>
      <dgm:spPr/>
      <dgm:t>
        <a:bodyPr/>
        <a:lstStyle/>
        <a:p>
          <a:pPr algn="ctr"/>
          <a:endParaRPr lang="en-GB"/>
        </a:p>
      </dgm:t>
    </dgm:pt>
    <dgm:pt modelId="{E906FFE4-5A35-4AFE-A2D9-D87F5E3C0E03}" type="pres">
      <dgm:prSet presAssocID="{D9E5A7FE-25D2-4B8C-890A-EE430E95804E}" presName="theList" presStyleCnt="0">
        <dgm:presLayoutVars>
          <dgm:dir/>
          <dgm:animLvl val="lvl"/>
          <dgm:resizeHandles val="exact"/>
        </dgm:presLayoutVars>
      </dgm:prSet>
      <dgm:spPr/>
      <dgm:t>
        <a:bodyPr/>
        <a:lstStyle/>
        <a:p>
          <a:endParaRPr lang="en-US"/>
        </a:p>
      </dgm:t>
    </dgm:pt>
    <dgm:pt modelId="{68FD5DAF-F81B-4269-8525-FE206E06964B}" type="pres">
      <dgm:prSet presAssocID="{97A13008-A9E3-4ED1-B5FA-591D35E6506D}" presName="compNode" presStyleCnt="0"/>
      <dgm:spPr/>
    </dgm:pt>
    <dgm:pt modelId="{36137A04-D78F-4D90-8069-4CB704145B7A}" type="pres">
      <dgm:prSet presAssocID="{97A13008-A9E3-4ED1-B5FA-591D35E6506D}" presName="aNode" presStyleLbl="bgShp" presStyleIdx="0" presStyleCnt="4"/>
      <dgm:spPr/>
      <dgm:t>
        <a:bodyPr/>
        <a:lstStyle/>
        <a:p>
          <a:endParaRPr lang="en-US"/>
        </a:p>
      </dgm:t>
    </dgm:pt>
    <dgm:pt modelId="{91ECE2F7-A3B8-4FF8-855C-A2257BA0C6E0}" type="pres">
      <dgm:prSet presAssocID="{97A13008-A9E3-4ED1-B5FA-591D35E6506D}" presName="textNode" presStyleLbl="bgShp" presStyleIdx="0" presStyleCnt="4"/>
      <dgm:spPr/>
      <dgm:t>
        <a:bodyPr/>
        <a:lstStyle/>
        <a:p>
          <a:endParaRPr lang="en-US"/>
        </a:p>
      </dgm:t>
    </dgm:pt>
    <dgm:pt modelId="{E71DFA53-C29A-4BC5-A0FE-78DA013FE2D6}" type="pres">
      <dgm:prSet presAssocID="{97A13008-A9E3-4ED1-B5FA-591D35E6506D}" presName="compChildNode" presStyleCnt="0"/>
      <dgm:spPr/>
    </dgm:pt>
    <dgm:pt modelId="{5BAF8960-332F-437C-946D-2A4FE3BA3C85}" type="pres">
      <dgm:prSet presAssocID="{97A13008-A9E3-4ED1-B5FA-591D35E6506D}" presName="theInnerList" presStyleCnt="0"/>
      <dgm:spPr/>
    </dgm:pt>
    <dgm:pt modelId="{A4FC00B2-E98F-424D-9962-137AAFD8F7AD}" type="pres">
      <dgm:prSet presAssocID="{EA78A01F-89B3-4726-8ABC-3033F0B8BC9C}" presName="childNode" presStyleLbl="node1" presStyleIdx="0" presStyleCnt="10" custLinFactNeighborX="737" custLinFactNeighborY="-97">
        <dgm:presLayoutVars>
          <dgm:bulletEnabled val="1"/>
        </dgm:presLayoutVars>
      </dgm:prSet>
      <dgm:spPr/>
      <dgm:t>
        <a:bodyPr/>
        <a:lstStyle/>
        <a:p>
          <a:endParaRPr lang="en-US"/>
        </a:p>
      </dgm:t>
    </dgm:pt>
    <dgm:pt modelId="{82F1F6D6-EA8B-4CB0-B85E-4EF6DEEE09DE}" type="pres">
      <dgm:prSet presAssocID="{97A13008-A9E3-4ED1-B5FA-591D35E6506D}" presName="aSpace" presStyleCnt="0"/>
      <dgm:spPr/>
    </dgm:pt>
    <dgm:pt modelId="{6329DCC5-D304-416E-943C-FA4D97996C40}" type="pres">
      <dgm:prSet presAssocID="{ACD31B2B-837F-401C-A8D5-296A54171884}" presName="compNode" presStyleCnt="0"/>
      <dgm:spPr/>
    </dgm:pt>
    <dgm:pt modelId="{4F437858-28D6-41AF-9ABB-CBDD818C5507}" type="pres">
      <dgm:prSet presAssocID="{ACD31B2B-837F-401C-A8D5-296A54171884}" presName="aNode" presStyleLbl="bgShp" presStyleIdx="1" presStyleCnt="4"/>
      <dgm:spPr/>
      <dgm:t>
        <a:bodyPr/>
        <a:lstStyle/>
        <a:p>
          <a:endParaRPr lang="en-US"/>
        </a:p>
      </dgm:t>
    </dgm:pt>
    <dgm:pt modelId="{CE58FE87-68B9-43D1-9CAA-52BFDE1B9B12}" type="pres">
      <dgm:prSet presAssocID="{ACD31B2B-837F-401C-A8D5-296A54171884}" presName="textNode" presStyleLbl="bgShp" presStyleIdx="1" presStyleCnt="4"/>
      <dgm:spPr/>
      <dgm:t>
        <a:bodyPr/>
        <a:lstStyle/>
        <a:p>
          <a:endParaRPr lang="en-US"/>
        </a:p>
      </dgm:t>
    </dgm:pt>
    <dgm:pt modelId="{1C0680E8-C388-4C85-BE0A-686D4764C05E}" type="pres">
      <dgm:prSet presAssocID="{ACD31B2B-837F-401C-A8D5-296A54171884}" presName="compChildNode" presStyleCnt="0"/>
      <dgm:spPr/>
    </dgm:pt>
    <dgm:pt modelId="{CC1807AC-C273-4395-9B24-79B6989EDE7F}" type="pres">
      <dgm:prSet presAssocID="{ACD31B2B-837F-401C-A8D5-296A54171884}" presName="theInnerList" presStyleCnt="0"/>
      <dgm:spPr/>
    </dgm:pt>
    <dgm:pt modelId="{8550599A-58F6-49EE-9E7F-492EC1079355}" type="pres">
      <dgm:prSet presAssocID="{2883B552-F8C4-435F-8649-C61D2D36144D}" presName="childNode" presStyleLbl="node1" presStyleIdx="1" presStyleCnt="10" custLinFactNeighborX="931" custLinFactNeighborY="13172">
        <dgm:presLayoutVars>
          <dgm:bulletEnabled val="1"/>
        </dgm:presLayoutVars>
      </dgm:prSet>
      <dgm:spPr/>
      <dgm:t>
        <a:bodyPr/>
        <a:lstStyle/>
        <a:p>
          <a:endParaRPr lang="en-US"/>
        </a:p>
      </dgm:t>
    </dgm:pt>
    <dgm:pt modelId="{7819A391-FD18-4EB6-88B1-26DAE30CF507}" type="pres">
      <dgm:prSet presAssocID="{2883B552-F8C4-435F-8649-C61D2D36144D}" presName="aSpace2" presStyleCnt="0"/>
      <dgm:spPr/>
    </dgm:pt>
    <dgm:pt modelId="{BB494E56-171E-489A-800E-7CFD5DFB90F7}" type="pres">
      <dgm:prSet presAssocID="{8F0D909B-5026-414D-960D-3E6BA714FEAA}" presName="childNode" presStyleLbl="node1" presStyleIdx="2" presStyleCnt="10">
        <dgm:presLayoutVars>
          <dgm:bulletEnabled val="1"/>
        </dgm:presLayoutVars>
      </dgm:prSet>
      <dgm:spPr/>
      <dgm:t>
        <a:bodyPr/>
        <a:lstStyle/>
        <a:p>
          <a:endParaRPr lang="en-US"/>
        </a:p>
      </dgm:t>
    </dgm:pt>
    <dgm:pt modelId="{28289212-B5F4-489C-8B18-3F886254CE51}" type="pres">
      <dgm:prSet presAssocID="{8F0D909B-5026-414D-960D-3E6BA714FEAA}" presName="aSpace2" presStyleCnt="0"/>
      <dgm:spPr/>
    </dgm:pt>
    <dgm:pt modelId="{3E8D90A5-6D99-4E7F-BF54-BEC726ECDDBC}" type="pres">
      <dgm:prSet presAssocID="{6F91BC90-05BD-408F-ACED-3FCFC1EBD3CB}" presName="childNode" presStyleLbl="node1" presStyleIdx="3" presStyleCnt="10">
        <dgm:presLayoutVars>
          <dgm:bulletEnabled val="1"/>
        </dgm:presLayoutVars>
      </dgm:prSet>
      <dgm:spPr/>
      <dgm:t>
        <a:bodyPr/>
        <a:lstStyle/>
        <a:p>
          <a:endParaRPr lang="en-US"/>
        </a:p>
      </dgm:t>
    </dgm:pt>
    <dgm:pt modelId="{AE633424-3D02-4677-BE6F-6A00F69C5C70}" type="pres">
      <dgm:prSet presAssocID="{ACD31B2B-837F-401C-A8D5-296A54171884}" presName="aSpace" presStyleCnt="0"/>
      <dgm:spPr/>
    </dgm:pt>
    <dgm:pt modelId="{9E70B59E-0417-49AC-AAA6-ACCAD4B7EF60}" type="pres">
      <dgm:prSet presAssocID="{13D24611-97C0-4382-8433-BF42136CC28A}" presName="compNode" presStyleCnt="0"/>
      <dgm:spPr/>
    </dgm:pt>
    <dgm:pt modelId="{4162B84C-C4F8-41F6-B6BB-AEB63F7237BA}" type="pres">
      <dgm:prSet presAssocID="{13D24611-97C0-4382-8433-BF42136CC28A}" presName="aNode" presStyleLbl="bgShp" presStyleIdx="2" presStyleCnt="4"/>
      <dgm:spPr/>
      <dgm:t>
        <a:bodyPr/>
        <a:lstStyle/>
        <a:p>
          <a:endParaRPr lang="en-US"/>
        </a:p>
      </dgm:t>
    </dgm:pt>
    <dgm:pt modelId="{DFA41592-8D2E-4416-90CB-BF1411B6E63C}" type="pres">
      <dgm:prSet presAssocID="{13D24611-97C0-4382-8433-BF42136CC28A}" presName="textNode" presStyleLbl="bgShp" presStyleIdx="2" presStyleCnt="4"/>
      <dgm:spPr/>
      <dgm:t>
        <a:bodyPr/>
        <a:lstStyle/>
        <a:p>
          <a:endParaRPr lang="en-US"/>
        </a:p>
      </dgm:t>
    </dgm:pt>
    <dgm:pt modelId="{4E50D83A-75BD-4F6F-99F6-7AA35770D724}" type="pres">
      <dgm:prSet presAssocID="{13D24611-97C0-4382-8433-BF42136CC28A}" presName="compChildNode" presStyleCnt="0"/>
      <dgm:spPr/>
    </dgm:pt>
    <dgm:pt modelId="{9C9C9E84-540C-4A32-AA6A-A00F94F0EDAC}" type="pres">
      <dgm:prSet presAssocID="{13D24611-97C0-4382-8433-BF42136CC28A}" presName="theInnerList" presStyleCnt="0"/>
      <dgm:spPr/>
    </dgm:pt>
    <dgm:pt modelId="{1E23C50D-0A55-478F-98C2-DA6DC8B362ED}" type="pres">
      <dgm:prSet presAssocID="{C40CF170-3EB7-4B67-B9EA-DD9B0969C1D7}" presName="childNode" presStyleLbl="node1" presStyleIdx="4" presStyleCnt="10">
        <dgm:presLayoutVars>
          <dgm:bulletEnabled val="1"/>
        </dgm:presLayoutVars>
      </dgm:prSet>
      <dgm:spPr/>
      <dgm:t>
        <a:bodyPr/>
        <a:lstStyle/>
        <a:p>
          <a:endParaRPr lang="en-US"/>
        </a:p>
      </dgm:t>
    </dgm:pt>
    <dgm:pt modelId="{B580CDDB-A4AC-4F3D-AD97-D6323A071BEB}" type="pres">
      <dgm:prSet presAssocID="{C40CF170-3EB7-4B67-B9EA-DD9B0969C1D7}" presName="aSpace2" presStyleCnt="0"/>
      <dgm:spPr/>
    </dgm:pt>
    <dgm:pt modelId="{A88B3940-4A4F-40D4-9A13-EC6FDD9CB73E}" type="pres">
      <dgm:prSet presAssocID="{7FAD9283-F50F-4F61-9083-C7EB975FB93C}" presName="childNode" presStyleLbl="node1" presStyleIdx="5" presStyleCnt="10">
        <dgm:presLayoutVars>
          <dgm:bulletEnabled val="1"/>
        </dgm:presLayoutVars>
      </dgm:prSet>
      <dgm:spPr/>
      <dgm:t>
        <a:bodyPr/>
        <a:lstStyle/>
        <a:p>
          <a:endParaRPr lang="en-US"/>
        </a:p>
      </dgm:t>
    </dgm:pt>
    <dgm:pt modelId="{61F60B01-A0C4-482D-991C-9364A34E8DB6}" type="pres">
      <dgm:prSet presAssocID="{7FAD9283-F50F-4F61-9083-C7EB975FB93C}" presName="aSpace2" presStyleCnt="0"/>
      <dgm:spPr/>
    </dgm:pt>
    <dgm:pt modelId="{2BC50938-E920-4412-9918-39E49ECBE4D3}" type="pres">
      <dgm:prSet presAssocID="{BBE2A072-C08D-4F55-A4EA-9D6A7D7F12B1}" presName="childNode" presStyleLbl="node1" presStyleIdx="6" presStyleCnt="10">
        <dgm:presLayoutVars>
          <dgm:bulletEnabled val="1"/>
        </dgm:presLayoutVars>
      </dgm:prSet>
      <dgm:spPr/>
      <dgm:t>
        <a:bodyPr/>
        <a:lstStyle/>
        <a:p>
          <a:endParaRPr lang="en-US"/>
        </a:p>
      </dgm:t>
    </dgm:pt>
    <dgm:pt modelId="{57ABD93A-A9A4-409C-BC40-91C1F8AC0975}" type="pres">
      <dgm:prSet presAssocID="{13D24611-97C0-4382-8433-BF42136CC28A}" presName="aSpace" presStyleCnt="0"/>
      <dgm:spPr/>
    </dgm:pt>
    <dgm:pt modelId="{CF1D8A3A-0E31-4ED9-B922-682B8FD9DB88}" type="pres">
      <dgm:prSet presAssocID="{7B8DDD15-1C06-41CD-A719-C2D4971D68ED}" presName="compNode" presStyleCnt="0"/>
      <dgm:spPr/>
    </dgm:pt>
    <dgm:pt modelId="{A244D738-2BB0-423F-A38D-FA7A507D9AD3}" type="pres">
      <dgm:prSet presAssocID="{7B8DDD15-1C06-41CD-A719-C2D4971D68ED}" presName="aNode" presStyleLbl="bgShp" presStyleIdx="3" presStyleCnt="4"/>
      <dgm:spPr/>
      <dgm:t>
        <a:bodyPr/>
        <a:lstStyle/>
        <a:p>
          <a:endParaRPr lang="en-US"/>
        </a:p>
      </dgm:t>
    </dgm:pt>
    <dgm:pt modelId="{507AF5EC-A2D7-4592-8990-3E888980326B}" type="pres">
      <dgm:prSet presAssocID="{7B8DDD15-1C06-41CD-A719-C2D4971D68ED}" presName="textNode" presStyleLbl="bgShp" presStyleIdx="3" presStyleCnt="4"/>
      <dgm:spPr/>
      <dgm:t>
        <a:bodyPr/>
        <a:lstStyle/>
        <a:p>
          <a:endParaRPr lang="en-US"/>
        </a:p>
      </dgm:t>
    </dgm:pt>
    <dgm:pt modelId="{78C38724-C6D5-4F27-BD05-CD65E7FD2EE3}" type="pres">
      <dgm:prSet presAssocID="{7B8DDD15-1C06-41CD-A719-C2D4971D68ED}" presName="compChildNode" presStyleCnt="0"/>
      <dgm:spPr/>
    </dgm:pt>
    <dgm:pt modelId="{76103054-8668-4D78-9663-F2CD5DC6C590}" type="pres">
      <dgm:prSet presAssocID="{7B8DDD15-1C06-41CD-A719-C2D4971D68ED}" presName="theInnerList" presStyleCnt="0"/>
      <dgm:spPr/>
    </dgm:pt>
    <dgm:pt modelId="{70188C39-A46E-4D68-B7F8-6C5CE8D18957}" type="pres">
      <dgm:prSet presAssocID="{692E6BF2-A807-4582-A991-7B576E8A5A9C}" presName="childNode" presStyleLbl="node1" presStyleIdx="7" presStyleCnt="10">
        <dgm:presLayoutVars>
          <dgm:bulletEnabled val="1"/>
        </dgm:presLayoutVars>
      </dgm:prSet>
      <dgm:spPr/>
      <dgm:t>
        <a:bodyPr/>
        <a:lstStyle/>
        <a:p>
          <a:endParaRPr lang="en-US"/>
        </a:p>
      </dgm:t>
    </dgm:pt>
    <dgm:pt modelId="{6E3A0F0C-96FB-4DFB-AA49-B174298CE89C}" type="pres">
      <dgm:prSet presAssocID="{692E6BF2-A807-4582-A991-7B576E8A5A9C}" presName="aSpace2" presStyleCnt="0"/>
      <dgm:spPr/>
    </dgm:pt>
    <dgm:pt modelId="{4F96FEF8-A67E-4C54-B2E6-84AB654E27DB}" type="pres">
      <dgm:prSet presAssocID="{EF29A479-514D-451D-A9FB-C3DBFB5D09E9}" presName="childNode" presStyleLbl="node1" presStyleIdx="8" presStyleCnt="10">
        <dgm:presLayoutVars>
          <dgm:bulletEnabled val="1"/>
        </dgm:presLayoutVars>
      </dgm:prSet>
      <dgm:spPr/>
      <dgm:t>
        <a:bodyPr/>
        <a:lstStyle/>
        <a:p>
          <a:endParaRPr lang="en-US"/>
        </a:p>
      </dgm:t>
    </dgm:pt>
    <dgm:pt modelId="{80E39CEE-FACC-46A1-B778-1B216F98F10C}" type="pres">
      <dgm:prSet presAssocID="{EF29A479-514D-451D-A9FB-C3DBFB5D09E9}" presName="aSpace2" presStyleCnt="0"/>
      <dgm:spPr/>
    </dgm:pt>
    <dgm:pt modelId="{92555CC9-4D4F-485C-8EA9-ED6E89178B17}" type="pres">
      <dgm:prSet presAssocID="{FE30CCCB-6865-4EE5-87D6-E6658CF0311C}" presName="childNode" presStyleLbl="node1" presStyleIdx="9" presStyleCnt="10">
        <dgm:presLayoutVars>
          <dgm:bulletEnabled val="1"/>
        </dgm:presLayoutVars>
      </dgm:prSet>
      <dgm:spPr/>
      <dgm:t>
        <a:bodyPr/>
        <a:lstStyle/>
        <a:p>
          <a:endParaRPr lang="en-US"/>
        </a:p>
      </dgm:t>
    </dgm:pt>
  </dgm:ptLst>
  <dgm:cxnLst>
    <dgm:cxn modelId="{2A75A072-F752-D042-93CA-C97C00581412}" type="presOf" srcId="{D9E5A7FE-25D2-4B8C-890A-EE430E95804E}" destId="{E906FFE4-5A35-4AFE-A2D9-D87F5E3C0E03}" srcOrd="0" destOrd="0" presId="urn:microsoft.com/office/officeart/2005/8/layout/lProcess2"/>
    <dgm:cxn modelId="{33885BED-D515-C849-8240-3F6FD9661008}" type="presOf" srcId="{ACD31B2B-837F-401C-A8D5-296A54171884}" destId="{CE58FE87-68B9-43D1-9CAA-52BFDE1B9B12}" srcOrd="1" destOrd="0" presId="urn:microsoft.com/office/officeart/2005/8/layout/lProcess2"/>
    <dgm:cxn modelId="{885BD083-BCF7-5747-BD08-C1A0C8E9EF9B}" type="presOf" srcId="{2883B552-F8C4-435F-8649-C61D2D36144D}" destId="{8550599A-58F6-49EE-9E7F-492EC1079355}" srcOrd="0" destOrd="0" presId="urn:microsoft.com/office/officeart/2005/8/layout/lProcess2"/>
    <dgm:cxn modelId="{FEAC15BB-5F2A-3A44-9D24-7360646000BF}" type="presOf" srcId="{8F0D909B-5026-414D-960D-3E6BA714FEAA}" destId="{BB494E56-171E-489A-800E-7CFD5DFB90F7}" srcOrd="0" destOrd="0" presId="urn:microsoft.com/office/officeart/2005/8/layout/lProcess2"/>
    <dgm:cxn modelId="{EF912268-B810-4AF0-8617-DC39E4187150}" srcId="{ACD31B2B-837F-401C-A8D5-296A54171884}" destId="{6F91BC90-05BD-408F-ACED-3FCFC1EBD3CB}" srcOrd="2" destOrd="0" parTransId="{24AD3103-B38C-4288-BC24-9A5541C5B1C8}" sibTransId="{50A571E3-E3A7-4A24-BF79-83C5A2B32CF9}"/>
    <dgm:cxn modelId="{A3CFD057-CC51-4F08-87A5-1E6E07A3A674}" srcId="{97A13008-A9E3-4ED1-B5FA-591D35E6506D}" destId="{EA78A01F-89B3-4726-8ABC-3033F0B8BC9C}" srcOrd="0" destOrd="0" parTransId="{0DAA15DF-1E0A-4F95-9ADA-B7AA2916CBDF}" sibTransId="{1A84D592-0027-4EED-9D5A-7D5922743B8C}"/>
    <dgm:cxn modelId="{9C0D4463-F9F9-45FE-ADD9-5C8B1C708747}" srcId="{13D24611-97C0-4382-8433-BF42136CC28A}" destId="{BBE2A072-C08D-4F55-A4EA-9D6A7D7F12B1}" srcOrd="2" destOrd="0" parTransId="{57E659E6-E5E6-4242-A66C-16235B758AC1}" sibTransId="{F7C0F4C9-9E3F-4E50-8435-D76D7A25FBE2}"/>
    <dgm:cxn modelId="{A5D54974-BED6-4D31-9EA9-C9FCB96B4BAA}" srcId="{13D24611-97C0-4382-8433-BF42136CC28A}" destId="{7FAD9283-F50F-4F61-9083-C7EB975FB93C}" srcOrd="1" destOrd="0" parTransId="{0C21C953-F83D-4EE0-9552-AC5F51D327EF}" sibTransId="{1B4ADBF0-CFB5-41AB-858A-2FAF2277DB72}"/>
    <dgm:cxn modelId="{83939088-B636-4549-A9CD-9EE82D4E6B99}" srcId="{13D24611-97C0-4382-8433-BF42136CC28A}" destId="{C40CF170-3EB7-4B67-B9EA-DD9B0969C1D7}" srcOrd="0" destOrd="0" parTransId="{89101117-78BE-4F48-B634-9C03D40AAE4C}" sibTransId="{B9634707-0E0D-4A36-8DBD-4DB14F83BF71}"/>
    <dgm:cxn modelId="{DCAD046C-74B2-2640-AD29-1A66A0E6397D}" type="presOf" srcId="{EA78A01F-89B3-4726-8ABC-3033F0B8BC9C}" destId="{A4FC00B2-E98F-424D-9962-137AAFD8F7AD}" srcOrd="0" destOrd="0" presId="urn:microsoft.com/office/officeart/2005/8/layout/lProcess2"/>
    <dgm:cxn modelId="{C1DA7BA9-568B-40F3-89A1-43EDE47079F8}" srcId="{D9E5A7FE-25D2-4B8C-890A-EE430E95804E}" destId="{97A13008-A9E3-4ED1-B5FA-591D35E6506D}" srcOrd="0" destOrd="0" parTransId="{9DB13A72-041C-4CAB-BC0E-719FFE90495F}" sibTransId="{F59C6173-ADB4-4F43-A250-649AA7A09B72}"/>
    <dgm:cxn modelId="{99BD059C-6324-4A39-81CD-94FD9D07B7F8}" srcId="{ACD31B2B-837F-401C-A8D5-296A54171884}" destId="{2883B552-F8C4-435F-8649-C61D2D36144D}" srcOrd="0" destOrd="0" parTransId="{F96E2A5F-8D26-443B-9910-3B27B36A8200}" sibTransId="{B784C29C-55D4-4687-A047-A02B5A5D66D2}"/>
    <dgm:cxn modelId="{7381C0CD-65AC-E243-8A4A-5D9A6D33E2DD}" type="presOf" srcId="{6F91BC90-05BD-408F-ACED-3FCFC1EBD3CB}" destId="{3E8D90A5-6D99-4E7F-BF54-BEC726ECDDBC}" srcOrd="0" destOrd="0" presId="urn:microsoft.com/office/officeart/2005/8/layout/lProcess2"/>
    <dgm:cxn modelId="{6E261668-9E5B-44F7-8A45-46342F774C49}" srcId="{7B8DDD15-1C06-41CD-A719-C2D4971D68ED}" destId="{FE30CCCB-6865-4EE5-87D6-E6658CF0311C}" srcOrd="2" destOrd="0" parTransId="{E2AB868B-AA63-45CD-9217-A094019B27FA}" sibTransId="{4EE3F1B8-4620-4691-8683-C31E0B5DCB8A}"/>
    <dgm:cxn modelId="{611E3FE4-04D3-41B1-957D-DAE6F269FCE7}" srcId="{D9E5A7FE-25D2-4B8C-890A-EE430E95804E}" destId="{ACD31B2B-837F-401C-A8D5-296A54171884}" srcOrd="1" destOrd="0" parTransId="{D1A2EBB4-A48F-40FE-9A42-3128861B9AE3}" sibTransId="{5CB43C3D-14CD-477D-9DBD-F4BB9D3AFBCB}"/>
    <dgm:cxn modelId="{88DEBD92-246B-45D0-8E0A-E1DE0DD1037F}" srcId="{7B8DDD15-1C06-41CD-A719-C2D4971D68ED}" destId="{EF29A479-514D-451D-A9FB-C3DBFB5D09E9}" srcOrd="1" destOrd="0" parTransId="{F3181829-BD48-441A-8258-B9D5ABA3E56A}" sibTransId="{484C218C-DF82-4B65-936F-5CDE80584497}"/>
    <dgm:cxn modelId="{A9728230-8FA6-E442-91BD-295D646F6A28}" type="presOf" srcId="{97A13008-A9E3-4ED1-B5FA-591D35E6506D}" destId="{36137A04-D78F-4D90-8069-4CB704145B7A}" srcOrd="0" destOrd="0" presId="urn:microsoft.com/office/officeart/2005/8/layout/lProcess2"/>
    <dgm:cxn modelId="{AE058EB7-45F8-0840-98FE-581622D664D7}" type="presOf" srcId="{97A13008-A9E3-4ED1-B5FA-591D35E6506D}" destId="{91ECE2F7-A3B8-4FF8-855C-A2257BA0C6E0}" srcOrd="1" destOrd="0" presId="urn:microsoft.com/office/officeart/2005/8/layout/lProcess2"/>
    <dgm:cxn modelId="{5F73DF65-06D3-A24A-B691-734A0CD8F96E}" type="presOf" srcId="{692E6BF2-A807-4582-A991-7B576E8A5A9C}" destId="{70188C39-A46E-4D68-B7F8-6C5CE8D18957}" srcOrd="0" destOrd="0" presId="urn:microsoft.com/office/officeart/2005/8/layout/lProcess2"/>
    <dgm:cxn modelId="{33FE4F6D-0972-4546-BA74-6A0D6D089732}" type="presOf" srcId="{EF29A479-514D-451D-A9FB-C3DBFB5D09E9}" destId="{4F96FEF8-A67E-4C54-B2E6-84AB654E27DB}" srcOrd="0" destOrd="0" presId="urn:microsoft.com/office/officeart/2005/8/layout/lProcess2"/>
    <dgm:cxn modelId="{BFF6ECB8-4A6E-5A4E-AE6F-D99881F49892}" type="presOf" srcId="{7B8DDD15-1C06-41CD-A719-C2D4971D68ED}" destId="{507AF5EC-A2D7-4592-8990-3E888980326B}" srcOrd="1" destOrd="0" presId="urn:microsoft.com/office/officeart/2005/8/layout/lProcess2"/>
    <dgm:cxn modelId="{C5B27C21-E5E6-3548-840A-A0E6EB898186}" type="presOf" srcId="{13D24611-97C0-4382-8433-BF42136CC28A}" destId="{4162B84C-C4F8-41F6-B6BB-AEB63F7237BA}" srcOrd="0" destOrd="0" presId="urn:microsoft.com/office/officeart/2005/8/layout/lProcess2"/>
    <dgm:cxn modelId="{A167BD70-1959-5640-B5DC-CC1878C5B5D9}" type="presOf" srcId="{7FAD9283-F50F-4F61-9083-C7EB975FB93C}" destId="{A88B3940-4A4F-40D4-9A13-EC6FDD9CB73E}" srcOrd="0" destOrd="0" presId="urn:microsoft.com/office/officeart/2005/8/layout/lProcess2"/>
    <dgm:cxn modelId="{E303F0A2-6BBB-4506-A91E-97D190369DF3}" srcId="{7B8DDD15-1C06-41CD-A719-C2D4971D68ED}" destId="{692E6BF2-A807-4582-A991-7B576E8A5A9C}" srcOrd="0" destOrd="0" parTransId="{78183482-E965-437C-88AE-A45268623790}" sibTransId="{9C55F52F-BC9D-4A36-8E10-D8359D64DE74}"/>
    <dgm:cxn modelId="{1D396F8F-7F8A-F147-9C66-4004782668BB}" type="presOf" srcId="{FE30CCCB-6865-4EE5-87D6-E6658CF0311C}" destId="{92555CC9-4D4F-485C-8EA9-ED6E89178B17}" srcOrd="0" destOrd="0" presId="urn:microsoft.com/office/officeart/2005/8/layout/lProcess2"/>
    <dgm:cxn modelId="{A8A3B8D9-FDB7-42F1-95C4-83601B28F73B}" srcId="{D9E5A7FE-25D2-4B8C-890A-EE430E95804E}" destId="{7B8DDD15-1C06-41CD-A719-C2D4971D68ED}" srcOrd="3" destOrd="0" parTransId="{0BB589F0-0481-4A90-A508-4A5D6B8CF0EA}" sibTransId="{77DB0123-5EE1-42D0-8B31-7E7AE3644566}"/>
    <dgm:cxn modelId="{E447C352-E5DF-9642-B8E2-191DF0D77999}" type="presOf" srcId="{13D24611-97C0-4382-8433-BF42136CC28A}" destId="{DFA41592-8D2E-4416-90CB-BF1411B6E63C}" srcOrd="1" destOrd="0" presId="urn:microsoft.com/office/officeart/2005/8/layout/lProcess2"/>
    <dgm:cxn modelId="{C46EFF9D-30D6-49F1-B6D4-2532409723C6}" srcId="{ACD31B2B-837F-401C-A8D5-296A54171884}" destId="{8F0D909B-5026-414D-960D-3E6BA714FEAA}" srcOrd="1" destOrd="0" parTransId="{3DF035AC-C8C5-4257-98CC-ADE6D4AAEBEF}" sibTransId="{D7178DC2-70C9-4462-AE86-A5738641A517}"/>
    <dgm:cxn modelId="{02C747EF-81E5-F74C-B797-2E0F31B7D690}" type="presOf" srcId="{7B8DDD15-1C06-41CD-A719-C2D4971D68ED}" destId="{A244D738-2BB0-423F-A38D-FA7A507D9AD3}" srcOrd="0" destOrd="0" presId="urn:microsoft.com/office/officeart/2005/8/layout/lProcess2"/>
    <dgm:cxn modelId="{7B2593A1-458E-F74C-9421-E95643C042BF}" type="presOf" srcId="{ACD31B2B-837F-401C-A8D5-296A54171884}" destId="{4F437858-28D6-41AF-9ABB-CBDD818C5507}" srcOrd="0" destOrd="0" presId="urn:microsoft.com/office/officeart/2005/8/layout/lProcess2"/>
    <dgm:cxn modelId="{7CE069B9-DDBE-BD45-9EBC-A722D2CB0490}" type="presOf" srcId="{C40CF170-3EB7-4B67-B9EA-DD9B0969C1D7}" destId="{1E23C50D-0A55-478F-98C2-DA6DC8B362ED}" srcOrd="0" destOrd="0" presId="urn:microsoft.com/office/officeart/2005/8/layout/lProcess2"/>
    <dgm:cxn modelId="{0F4304A8-74A1-45CE-9CA0-2C8735309D7F}" srcId="{D9E5A7FE-25D2-4B8C-890A-EE430E95804E}" destId="{13D24611-97C0-4382-8433-BF42136CC28A}" srcOrd="2" destOrd="0" parTransId="{B317599D-8A07-4DA6-87F4-CACFAA8F05D2}" sibTransId="{B3F1A458-8E3B-438C-9F90-EEBE73FC88B7}"/>
    <dgm:cxn modelId="{0AFA4373-6BD4-B04B-8D95-5600419D7617}" type="presOf" srcId="{BBE2A072-C08D-4F55-A4EA-9D6A7D7F12B1}" destId="{2BC50938-E920-4412-9918-39E49ECBE4D3}" srcOrd="0" destOrd="0" presId="urn:microsoft.com/office/officeart/2005/8/layout/lProcess2"/>
    <dgm:cxn modelId="{394EF0A7-1A45-1C4D-A207-448430C7B742}" type="presParOf" srcId="{E906FFE4-5A35-4AFE-A2D9-D87F5E3C0E03}" destId="{68FD5DAF-F81B-4269-8525-FE206E06964B}" srcOrd="0" destOrd="0" presId="urn:microsoft.com/office/officeart/2005/8/layout/lProcess2"/>
    <dgm:cxn modelId="{BAF79BA0-F0B8-1841-B201-1AC047ED9AF4}" type="presParOf" srcId="{68FD5DAF-F81B-4269-8525-FE206E06964B}" destId="{36137A04-D78F-4D90-8069-4CB704145B7A}" srcOrd="0" destOrd="0" presId="urn:microsoft.com/office/officeart/2005/8/layout/lProcess2"/>
    <dgm:cxn modelId="{5273B431-D482-CF48-BEAE-28E662EC98C2}" type="presParOf" srcId="{68FD5DAF-F81B-4269-8525-FE206E06964B}" destId="{91ECE2F7-A3B8-4FF8-855C-A2257BA0C6E0}" srcOrd="1" destOrd="0" presId="urn:microsoft.com/office/officeart/2005/8/layout/lProcess2"/>
    <dgm:cxn modelId="{8D4CD2EA-E0D4-8647-BFB3-2E24FDE008D9}" type="presParOf" srcId="{68FD5DAF-F81B-4269-8525-FE206E06964B}" destId="{E71DFA53-C29A-4BC5-A0FE-78DA013FE2D6}" srcOrd="2" destOrd="0" presId="urn:microsoft.com/office/officeart/2005/8/layout/lProcess2"/>
    <dgm:cxn modelId="{3C66DA37-B3E5-DB40-A3FF-59970F0DEF76}" type="presParOf" srcId="{E71DFA53-C29A-4BC5-A0FE-78DA013FE2D6}" destId="{5BAF8960-332F-437C-946D-2A4FE3BA3C85}" srcOrd="0" destOrd="0" presId="urn:microsoft.com/office/officeart/2005/8/layout/lProcess2"/>
    <dgm:cxn modelId="{B2597BAA-BFD7-F244-80D6-28C69BA9ADB0}" type="presParOf" srcId="{5BAF8960-332F-437C-946D-2A4FE3BA3C85}" destId="{A4FC00B2-E98F-424D-9962-137AAFD8F7AD}" srcOrd="0" destOrd="0" presId="urn:microsoft.com/office/officeart/2005/8/layout/lProcess2"/>
    <dgm:cxn modelId="{8ABACA34-576E-7A46-9261-E4FD3CAF3EB8}" type="presParOf" srcId="{E906FFE4-5A35-4AFE-A2D9-D87F5E3C0E03}" destId="{82F1F6D6-EA8B-4CB0-B85E-4EF6DEEE09DE}" srcOrd="1" destOrd="0" presId="urn:microsoft.com/office/officeart/2005/8/layout/lProcess2"/>
    <dgm:cxn modelId="{31F432FA-EBB6-9044-83CF-33CBF8A54340}" type="presParOf" srcId="{E906FFE4-5A35-4AFE-A2D9-D87F5E3C0E03}" destId="{6329DCC5-D304-416E-943C-FA4D97996C40}" srcOrd="2" destOrd="0" presId="urn:microsoft.com/office/officeart/2005/8/layout/lProcess2"/>
    <dgm:cxn modelId="{F42B9C06-E348-1C49-B9FC-2E5CEBE0AAD0}" type="presParOf" srcId="{6329DCC5-D304-416E-943C-FA4D97996C40}" destId="{4F437858-28D6-41AF-9ABB-CBDD818C5507}" srcOrd="0" destOrd="0" presId="urn:microsoft.com/office/officeart/2005/8/layout/lProcess2"/>
    <dgm:cxn modelId="{2CB5F033-E1D3-C848-A38D-1807FE975CAE}" type="presParOf" srcId="{6329DCC5-D304-416E-943C-FA4D97996C40}" destId="{CE58FE87-68B9-43D1-9CAA-52BFDE1B9B12}" srcOrd="1" destOrd="0" presId="urn:microsoft.com/office/officeart/2005/8/layout/lProcess2"/>
    <dgm:cxn modelId="{8E4E18E0-EBB4-E546-82FB-E6CF9D1792E0}" type="presParOf" srcId="{6329DCC5-D304-416E-943C-FA4D97996C40}" destId="{1C0680E8-C388-4C85-BE0A-686D4764C05E}" srcOrd="2" destOrd="0" presId="urn:microsoft.com/office/officeart/2005/8/layout/lProcess2"/>
    <dgm:cxn modelId="{41EA0A4E-2A4E-534E-A421-12ECE26F96F5}" type="presParOf" srcId="{1C0680E8-C388-4C85-BE0A-686D4764C05E}" destId="{CC1807AC-C273-4395-9B24-79B6989EDE7F}" srcOrd="0" destOrd="0" presId="urn:microsoft.com/office/officeart/2005/8/layout/lProcess2"/>
    <dgm:cxn modelId="{982116B3-FE8D-7B43-8977-10F26ADF82AC}" type="presParOf" srcId="{CC1807AC-C273-4395-9B24-79B6989EDE7F}" destId="{8550599A-58F6-49EE-9E7F-492EC1079355}" srcOrd="0" destOrd="0" presId="urn:microsoft.com/office/officeart/2005/8/layout/lProcess2"/>
    <dgm:cxn modelId="{DF33CD4E-5C0B-2E40-B775-DD1E843E4406}" type="presParOf" srcId="{CC1807AC-C273-4395-9B24-79B6989EDE7F}" destId="{7819A391-FD18-4EB6-88B1-26DAE30CF507}" srcOrd="1" destOrd="0" presId="urn:microsoft.com/office/officeart/2005/8/layout/lProcess2"/>
    <dgm:cxn modelId="{6852572B-C14A-7944-ABFA-3BD3157FA197}" type="presParOf" srcId="{CC1807AC-C273-4395-9B24-79B6989EDE7F}" destId="{BB494E56-171E-489A-800E-7CFD5DFB90F7}" srcOrd="2" destOrd="0" presId="urn:microsoft.com/office/officeart/2005/8/layout/lProcess2"/>
    <dgm:cxn modelId="{322AF59D-E438-A94A-9A92-26645FB334C9}" type="presParOf" srcId="{CC1807AC-C273-4395-9B24-79B6989EDE7F}" destId="{28289212-B5F4-489C-8B18-3F886254CE51}" srcOrd="3" destOrd="0" presId="urn:microsoft.com/office/officeart/2005/8/layout/lProcess2"/>
    <dgm:cxn modelId="{E71F999E-DCF1-434B-9630-B37ECF73C8B6}" type="presParOf" srcId="{CC1807AC-C273-4395-9B24-79B6989EDE7F}" destId="{3E8D90A5-6D99-4E7F-BF54-BEC726ECDDBC}" srcOrd="4" destOrd="0" presId="urn:microsoft.com/office/officeart/2005/8/layout/lProcess2"/>
    <dgm:cxn modelId="{F752B892-EDFC-6C4A-9D6B-4C773B9FD82E}" type="presParOf" srcId="{E906FFE4-5A35-4AFE-A2D9-D87F5E3C0E03}" destId="{AE633424-3D02-4677-BE6F-6A00F69C5C70}" srcOrd="3" destOrd="0" presId="urn:microsoft.com/office/officeart/2005/8/layout/lProcess2"/>
    <dgm:cxn modelId="{D5AF758F-1C08-C647-A817-B337B2634AC4}" type="presParOf" srcId="{E906FFE4-5A35-4AFE-A2D9-D87F5E3C0E03}" destId="{9E70B59E-0417-49AC-AAA6-ACCAD4B7EF60}" srcOrd="4" destOrd="0" presId="urn:microsoft.com/office/officeart/2005/8/layout/lProcess2"/>
    <dgm:cxn modelId="{776D23A9-8949-A542-8D8F-4FF2AD4890F9}" type="presParOf" srcId="{9E70B59E-0417-49AC-AAA6-ACCAD4B7EF60}" destId="{4162B84C-C4F8-41F6-B6BB-AEB63F7237BA}" srcOrd="0" destOrd="0" presId="urn:microsoft.com/office/officeart/2005/8/layout/lProcess2"/>
    <dgm:cxn modelId="{99644E17-DCD7-8446-8E2D-6AF0E5E74F8B}" type="presParOf" srcId="{9E70B59E-0417-49AC-AAA6-ACCAD4B7EF60}" destId="{DFA41592-8D2E-4416-90CB-BF1411B6E63C}" srcOrd="1" destOrd="0" presId="urn:microsoft.com/office/officeart/2005/8/layout/lProcess2"/>
    <dgm:cxn modelId="{33F38483-49C9-1C41-A23E-B2D954802C7A}" type="presParOf" srcId="{9E70B59E-0417-49AC-AAA6-ACCAD4B7EF60}" destId="{4E50D83A-75BD-4F6F-99F6-7AA35770D724}" srcOrd="2" destOrd="0" presId="urn:microsoft.com/office/officeart/2005/8/layout/lProcess2"/>
    <dgm:cxn modelId="{A38056D4-1D37-434E-B21F-0D79E1C1C79D}" type="presParOf" srcId="{4E50D83A-75BD-4F6F-99F6-7AA35770D724}" destId="{9C9C9E84-540C-4A32-AA6A-A00F94F0EDAC}" srcOrd="0" destOrd="0" presId="urn:microsoft.com/office/officeart/2005/8/layout/lProcess2"/>
    <dgm:cxn modelId="{612BFAFD-DB04-9A41-84BF-95C01A56A058}" type="presParOf" srcId="{9C9C9E84-540C-4A32-AA6A-A00F94F0EDAC}" destId="{1E23C50D-0A55-478F-98C2-DA6DC8B362ED}" srcOrd="0" destOrd="0" presId="urn:microsoft.com/office/officeart/2005/8/layout/lProcess2"/>
    <dgm:cxn modelId="{1F36D697-C381-7D42-9E29-0D67D4653067}" type="presParOf" srcId="{9C9C9E84-540C-4A32-AA6A-A00F94F0EDAC}" destId="{B580CDDB-A4AC-4F3D-AD97-D6323A071BEB}" srcOrd="1" destOrd="0" presId="urn:microsoft.com/office/officeart/2005/8/layout/lProcess2"/>
    <dgm:cxn modelId="{12AF9AC8-2E1B-E34F-A0A0-F7EE06098C6A}" type="presParOf" srcId="{9C9C9E84-540C-4A32-AA6A-A00F94F0EDAC}" destId="{A88B3940-4A4F-40D4-9A13-EC6FDD9CB73E}" srcOrd="2" destOrd="0" presId="urn:microsoft.com/office/officeart/2005/8/layout/lProcess2"/>
    <dgm:cxn modelId="{61DBB3F4-0BFA-154D-8671-743BAF41A871}" type="presParOf" srcId="{9C9C9E84-540C-4A32-AA6A-A00F94F0EDAC}" destId="{61F60B01-A0C4-482D-991C-9364A34E8DB6}" srcOrd="3" destOrd="0" presId="urn:microsoft.com/office/officeart/2005/8/layout/lProcess2"/>
    <dgm:cxn modelId="{FB70CB68-AC7F-EC4F-AC06-33FB5723300A}" type="presParOf" srcId="{9C9C9E84-540C-4A32-AA6A-A00F94F0EDAC}" destId="{2BC50938-E920-4412-9918-39E49ECBE4D3}" srcOrd="4" destOrd="0" presId="urn:microsoft.com/office/officeart/2005/8/layout/lProcess2"/>
    <dgm:cxn modelId="{53037ED3-04C4-3547-BCBF-E8EC7C024D64}" type="presParOf" srcId="{E906FFE4-5A35-4AFE-A2D9-D87F5E3C0E03}" destId="{57ABD93A-A9A4-409C-BC40-91C1F8AC0975}" srcOrd="5" destOrd="0" presId="urn:microsoft.com/office/officeart/2005/8/layout/lProcess2"/>
    <dgm:cxn modelId="{AB1CAFC0-3E89-714A-9135-013479CE6983}" type="presParOf" srcId="{E906FFE4-5A35-4AFE-A2D9-D87F5E3C0E03}" destId="{CF1D8A3A-0E31-4ED9-B922-682B8FD9DB88}" srcOrd="6" destOrd="0" presId="urn:microsoft.com/office/officeart/2005/8/layout/lProcess2"/>
    <dgm:cxn modelId="{B6A353C5-B632-B94F-88E1-D8B4B0CF000A}" type="presParOf" srcId="{CF1D8A3A-0E31-4ED9-B922-682B8FD9DB88}" destId="{A244D738-2BB0-423F-A38D-FA7A507D9AD3}" srcOrd="0" destOrd="0" presId="urn:microsoft.com/office/officeart/2005/8/layout/lProcess2"/>
    <dgm:cxn modelId="{9509F411-EFB6-0244-A5FA-29E005CC3A5E}" type="presParOf" srcId="{CF1D8A3A-0E31-4ED9-B922-682B8FD9DB88}" destId="{507AF5EC-A2D7-4592-8990-3E888980326B}" srcOrd="1" destOrd="0" presId="urn:microsoft.com/office/officeart/2005/8/layout/lProcess2"/>
    <dgm:cxn modelId="{75C1971C-8485-6446-9B85-18C95DF4BBEB}" type="presParOf" srcId="{CF1D8A3A-0E31-4ED9-B922-682B8FD9DB88}" destId="{78C38724-C6D5-4F27-BD05-CD65E7FD2EE3}" srcOrd="2" destOrd="0" presId="urn:microsoft.com/office/officeart/2005/8/layout/lProcess2"/>
    <dgm:cxn modelId="{A8D5C78B-054A-8542-8905-041F297EB759}" type="presParOf" srcId="{78C38724-C6D5-4F27-BD05-CD65E7FD2EE3}" destId="{76103054-8668-4D78-9663-F2CD5DC6C590}" srcOrd="0" destOrd="0" presId="urn:microsoft.com/office/officeart/2005/8/layout/lProcess2"/>
    <dgm:cxn modelId="{354B2835-4C5C-C545-8153-BEC47412BA87}" type="presParOf" srcId="{76103054-8668-4D78-9663-F2CD5DC6C590}" destId="{70188C39-A46E-4D68-B7F8-6C5CE8D18957}" srcOrd="0" destOrd="0" presId="urn:microsoft.com/office/officeart/2005/8/layout/lProcess2"/>
    <dgm:cxn modelId="{7DAED780-34EC-9048-9DB1-6F6046EAF154}" type="presParOf" srcId="{76103054-8668-4D78-9663-F2CD5DC6C590}" destId="{6E3A0F0C-96FB-4DFB-AA49-B174298CE89C}" srcOrd="1" destOrd="0" presId="urn:microsoft.com/office/officeart/2005/8/layout/lProcess2"/>
    <dgm:cxn modelId="{84951C9F-EEAE-534F-A1EA-81954956B9C3}" type="presParOf" srcId="{76103054-8668-4D78-9663-F2CD5DC6C590}" destId="{4F96FEF8-A67E-4C54-B2E6-84AB654E27DB}" srcOrd="2" destOrd="0" presId="urn:microsoft.com/office/officeart/2005/8/layout/lProcess2"/>
    <dgm:cxn modelId="{84489B0C-AC89-CA44-ABC2-5B16155F6E54}" type="presParOf" srcId="{76103054-8668-4D78-9663-F2CD5DC6C590}" destId="{80E39CEE-FACC-46A1-B778-1B216F98F10C}" srcOrd="3" destOrd="0" presId="urn:microsoft.com/office/officeart/2005/8/layout/lProcess2"/>
    <dgm:cxn modelId="{1986CD18-E754-C941-AFCA-206111F5EF3D}" type="presParOf" srcId="{76103054-8668-4D78-9663-F2CD5DC6C590}" destId="{92555CC9-4D4F-485C-8EA9-ED6E89178B17}" srcOrd="4" destOrd="0" presId="urn:microsoft.com/office/officeart/2005/8/layout/lProcess2"/>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55BD51A-B324-4284-B181-80CE74775464}" type="doc">
      <dgm:prSet loTypeId="urn:microsoft.com/office/officeart/2005/8/layout/orgChart1" loCatId="hierarchy" qsTypeId="urn:microsoft.com/office/officeart/2005/8/quickstyle/3d3" qsCatId="3D" csTypeId="urn:microsoft.com/office/officeart/2005/8/colors/accent0_1" csCatId="mainScheme" phldr="1"/>
      <dgm:spPr/>
      <dgm:t>
        <a:bodyPr/>
        <a:lstStyle/>
        <a:p>
          <a:endParaRPr lang="en-US"/>
        </a:p>
      </dgm:t>
    </dgm:pt>
    <dgm:pt modelId="{12853341-762B-466B-8F97-E8125FD3AAC2}">
      <dgm:prSet phldrT="[Text]" custT="1"/>
      <dgm:spPr/>
      <dgm:t>
        <a:bodyPr/>
        <a:lstStyle/>
        <a:p>
          <a:r>
            <a:rPr lang="en-US" sz="900" b="1">
              <a:latin typeface="+mj-lt"/>
            </a:rPr>
            <a:t>Joint Programme Committee </a:t>
          </a:r>
          <a:r>
            <a:rPr lang="en-US" sz="900">
              <a:latin typeface="+mj-lt"/>
            </a:rPr>
            <a:t>(Joint Coordinating Committee)</a:t>
          </a:r>
        </a:p>
      </dgm:t>
    </dgm:pt>
    <dgm:pt modelId="{D31351E1-FFB9-48E4-8951-14A013FA6D94}" type="parTrans" cxnId="{6B080DDE-6E92-43D8-966B-69AEC02F66A7}">
      <dgm:prSet/>
      <dgm:spPr/>
      <dgm:t>
        <a:bodyPr/>
        <a:lstStyle/>
        <a:p>
          <a:endParaRPr lang="en-US"/>
        </a:p>
      </dgm:t>
    </dgm:pt>
    <dgm:pt modelId="{B298BCC0-56BF-44E7-98ED-8381EEC395DB}" type="sibTrans" cxnId="{6B080DDE-6E92-43D8-966B-69AEC02F66A7}">
      <dgm:prSet/>
      <dgm:spPr/>
      <dgm:t>
        <a:bodyPr/>
        <a:lstStyle/>
        <a:p>
          <a:endParaRPr lang="en-US"/>
        </a:p>
      </dgm:t>
    </dgm:pt>
    <dgm:pt modelId="{BD1479AF-A01C-4AFA-A47B-F4E77788634E}" type="asst">
      <dgm:prSet phldrT="[Text]" custT="1"/>
      <dgm:spPr/>
      <dgm:t>
        <a:bodyPr/>
        <a:lstStyle/>
        <a:p>
          <a:r>
            <a:rPr lang="en-US" sz="900" b="1">
              <a:latin typeface="+mj-lt"/>
            </a:rPr>
            <a:t>Committee of Sponsoring Agencies </a:t>
          </a:r>
          <a:r>
            <a:rPr lang="en-US" sz="900">
              <a:latin typeface="+mj-lt"/>
            </a:rPr>
            <a:t>(Steering Committee)</a:t>
          </a:r>
        </a:p>
      </dgm:t>
    </dgm:pt>
    <dgm:pt modelId="{D10EFB02-E577-43CD-9E39-598CA12F1F69}" type="parTrans" cxnId="{343E88BD-B527-4D84-8E6C-A3E75292AA95}">
      <dgm:prSet/>
      <dgm:spPr/>
      <dgm:t>
        <a:bodyPr/>
        <a:lstStyle/>
        <a:p>
          <a:endParaRPr lang="en-US" sz="900">
            <a:latin typeface="+mj-lt"/>
          </a:endParaRPr>
        </a:p>
      </dgm:t>
    </dgm:pt>
    <dgm:pt modelId="{16795C79-1253-4B3E-BCDC-CDDD8824CED2}" type="sibTrans" cxnId="{343E88BD-B527-4D84-8E6C-A3E75292AA95}">
      <dgm:prSet/>
      <dgm:spPr/>
      <dgm:t>
        <a:bodyPr/>
        <a:lstStyle/>
        <a:p>
          <a:endParaRPr lang="en-US"/>
        </a:p>
      </dgm:t>
    </dgm:pt>
    <dgm:pt modelId="{C1FD0110-042A-4837-8BB6-A27F3C50387B}">
      <dgm:prSet phldrT="[Text]" custT="1"/>
      <dgm:spPr/>
      <dgm:t>
        <a:bodyPr/>
        <a:lstStyle/>
        <a:p>
          <a:r>
            <a:rPr lang="en-US" sz="900" b="1">
              <a:latin typeface="+mj-lt"/>
            </a:rPr>
            <a:t>World Health Organization</a:t>
          </a:r>
        </a:p>
      </dgm:t>
    </dgm:pt>
    <dgm:pt modelId="{4D3BD9D5-564D-41F6-A331-C11EA1620A9F}" type="parTrans" cxnId="{C714B812-4001-480F-B5EF-97C7C67D64F4}">
      <dgm:prSet/>
      <dgm:spPr/>
      <dgm:t>
        <a:bodyPr/>
        <a:lstStyle/>
        <a:p>
          <a:endParaRPr lang="en-US" sz="900">
            <a:latin typeface="+mj-lt"/>
          </a:endParaRPr>
        </a:p>
      </dgm:t>
    </dgm:pt>
    <dgm:pt modelId="{0168A894-04ED-4DB7-8FF1-F352BF38B26C}" type="sibTrans" cxnId="{C714B812-4001-480F-B5EF-97C7C67D64F4}">
      <dgm:prSet/>
      <dgm:spPr/>
      <dgm:t>
        <a:bodyPr/>
        <a:lstStyle/>
        <a:p>
          <a:endParaRPr lang="en-US"/>
        </a:p>
      </dgm:t>
    </dgm:pt>
    <dgm:pt modelId="{8CBBF26D-7636-46B1-9252-0BECB644B028}" type="asst">
      <dgm:prSet phldrT="[Text]" custT="1"/>
      <dgm:spPr/>
      <dgm:t>
        <a:bodyPr/>
        <a:lstStyle/>
        <a:p>
          <a:r>
            <a:rPr lang="en-US" sz="900" b="1">
              <a:latin typeface="+mj-lt"/>
            </a:rPr>
            <a:t>Expert Advisory Committee </a:t>
          </a:r>
          <a:r>
            <a:rPr lang="en-US" sz="900">
              <a:latin typeface="+mj-lt"/>
            </a:rPr>
            <a:t>(Science and Technology Advisory Committee)</a:t>
          </a:r>
        </a:p>
      </dgm:t>
    </dgm:pt>
    <dgm:pt modelId="{75D02A52-3F59-4312-BCBB-5ACD68BA0630}" type="parTrans" cxnId="{7F3D0AAD-80DB-4FA3-B742-25EA94B4AD11}">
      <dgm:prSet/>
      <dgm:spPr/>
      <dgm:t>
        <a:bodyPr/>
        <a:lstStyle/>
        <a:p>
          <a:endParaRPr lang="en-US"/>
        </a:p>
      </dgm:t>
    </dgm:pt>
    <dgm:pt modelId="{7A42B40B-3204-4EF1-8E44-8A9C29AD41A2}" type="sibTrans" cxnId="{7F3D0AAD-80DB-4FA3-B742-25EA94B4AD11}">
      <dgm:prSet/>
      <dgm:spPr/>
      <dgm:t>
        <a:bodyPr/>
        <a:lstStyle/>
        <a:p>
          <a:endParaRPr lang="en-US"/>
        </a:p>
      </dgm:t>
    </dgm:pt>
    <dgm:pt modelId="{160C8BE8-F19E-4A06-AC5B-4ED3724AD524}" type="asst">
      <dgm:prSet phldrT="[Text]" custT="1"/>
      <dgm:spPr/>
      <dgm:t>
        <a:bodyPr/>
        <a:lstStyle/>
        <a:p>
          <a:r>
            <a:rPr lang="en-US" sz="900">
              <a:latin typeface="+mj-lt"/>
            </a:rPr>
            <a:t>World Bank: </a:t>
          </a:r>
          <a:r>
            <a:rPr lang="en-US" sz="900" b="1">
              <a:latin typeface="+mj-lt"/>
            </a:rPr>
            <a:t>Onchoerciasis Fund</a:t>
          </a:r>
        </a:p>
      </dgm:t>
    </dgm:pt>
    <dgm:pt modelId="{556EDE8C-B98D-4871-9B28-C799F84F0CBC}" type="parTrans" cxnId="{58D437C8-57C1-4ADD-82A1-924FFE2B8AAC}">
      <dgm:prSet/>
      <dgm:spPr/>
      <dgm:t>
        <a:bodyPr/>
        <a:lstStyle/>
        <a:p>
          <a:endParaRPr lang="en-US"/>
        </a:p>
      </dgm:t>
    </dgm:pt>
    <dgm:pt modelId="{392F39E6-2D05-4C7A-8FBA-E6F9FEDFC93A}" type="sibTrans" cxnId="{58D437C8-57C1-4ADD-82A1-924FFE2B8AAC}">
      <dgm:prSet/>
      <dgm:spPr/>
      <dgm:t>
        <a:bodyPr/>
        <a:lstStyle/>
        <a:p>
          <a:endParaRPr lang="en-US"/>
        </a:p>
      </dgm:t>
    </dgm:pt>
    <dgm:pt modelId="{82C447A4-1AB3-49D5-B3CC-BEB95CA9ECC6}">
      <dgm:prSet phldrT="[Text]" custT="1"/>
      <dgm:spPr/>
      <dgm:t>
        <a:bodyPr/>
        <a:lstStyle/>
        <a:p>
          <a:r>
            <a:rPr lang="en-US" sz="900">
              <a:latin typeface="+mj-lt"/>
            </a:rPr>
            <a:t>National Onchocerciasis Committee</a:t>
          </a:r>
        </a:p>
      </dgm:t>
    </dgm:pt>
    <dgm:pt modelId="{31653D78-A411-411C-A30D-E99E3675692D}" type="parTrans" cxnId="{A939EAFE-1333-475C-BC40-2970C9039961}">
      <dgm:prSet/>
      <dgm:spPr/>
      <dgm:t>
        <a:bodyPr/>
        <a:lstStyle/>
        <a:p>
          <a:endParaRPr lang="en-US"/>
        </a:p>
      </dgm:t>
    </dgm:pt>
    <dgm:pt modelId="{603F8120-63A4-4EB7-A89F-0C3B5054C5F2}" type="sibTrans" cxnId="{A939EAFE-1333-475C-BC40-2970C9039961}">
      <dgm:prSet/>
      <dgm:spPr/>
      <dgm:t>
        <a:bodyPr/>
        <a:lstStyle/>
        <a:p>
          <a:endParaRPr lang="en-US"/>
        </a:p>
      </dgm:t>
    </dgm:pt>
    <dgm:pt modelId="{3C9FA51F-FFF2-4B14-8B18-3FBBAF5D2922}">
      <dgm:prSet phldrT="[Text]" custT="1"/>
      <dgm:spPr/>
      <dgm:t>
        <a:bodyPr/>
        <a:lstStyle/>
        <a:p>
          <a:r>
            <a:rPr lang="en-US" sz="900" b="1">
              <a:latin typeface="+mj-lt"/>
            </a:rPr>
            <a:t>Programme Director</a:t>
          </a:r>
        </a:p>
      </dgm:t>
    </dgm:pt>
    <dgm:pt modelId="{ED9FE741-1392-4D4F-A133-E98A04A192DA}" type="parTrans" cxnId="{83A67E30-6C73-4D1D-AAEB-0C94EF04DDCC}">
      <dgm:prSet/>
      <dgm:spPr/>
      <dgm:t>
        <a:bodyPr/>
        <a:lstStyle/>
        <a:p>
          <a:endParaRPr lang="en-US"/>
        </a:p>
      </dgm:t>
    </dgm:pt>
    <dgm:pt modelId="{C7EBD6E6-3F33-4500-878F-2B3C15D0E6BD}" type="sibTrans" cxnId="{83A67E30-6C73-4D1D-AAEB-0C94EF04DDCC}">
      <dgm:prSet/>
      <dgm:spPr/>
      <dgm:t>
        <a:bodyPr/>
        <a:lstStyle/>
        <a:p>
          <a:endParaRPr lang="en-US"/>
        </a:p>
      </dgm:t>
    </dgm:pt>
    <dgm:pt modelId="{230BF020-6E93-40A2-8700-7E3B64CC4E66}">
      <dgm:prSet phldrT="[Text]" custT="1"/>
      <dgm:spPr/>
      <dgm:t>
        <a:bodyPr/>
        <a:lstStyle/>
        <a:p>
          <a:r>
            <a:rPr lang="en-US" sz="900">
              <a:latin typeface="+mj-lt"/>
            </a:rPr>
            <a:t>Office of the Director</a:t>
          </a:r>
        </a:p>
      </dgm:t>
    </dgm:pt>
    <dgm:pt modelId="{1334AE12-4ECF-4E98-8A7F-4AA86DFB0F6B}" type="parTrans" cxnId="{662354B0-0231-4067-8449-C36FA407D6F9}">
      <dgm:prSet/>
      <dgm:spPr/>
      <dgm:t>
        <a:bodyPr/>
        <a:lstStyle/>
        <a:p>
          <a:endParaRPr lang="en-US"/>
        </a:p>
      </dgm:t>
    </dgm:pt>
    <dgm:pt modelId="{5A0F22F8-04BE-45CC-8522-0E29C7F6D286}" type="sibTrans" cxnId="{662354B0-0231-4067-8449-C36FA407D6F9}">
      <dgm:prSet/>
      <dgm:spPr/>
      <dgm:t>
        <a:bodyPr/>
        <a:lstStyle/>
        <a:p>
          <a:endParaRPr lang="en-US"/>
        </a:p>
      </dgm:t>
    </dgm:pt>
    <dgm:pt modelId="{0C17E9C6-0DCF-4C58-BB27-05DA0E0734DE}">
      <dgm:prSet phldrT="[Text]" custT="1"/>
      <dgm:spPr/>
      <dgm:t>
        <a:bodyPr/>
        <a:lstStyle/>
        <a:p>
          <a:r>
            <a:rPr lang="en-US" sz="900">
              <a:latin typeface="+mj-lt"/>
            </a:rPr>
            <a:t>Administration and Management</a:t>
          </a:r>
        </a:p>
      </dgm:t>
    </dgm:pt>
    <dgm:pt modelId="{A00E6852-B561-4415-BABA-6150FA774AEA}" type="parTrans" cxnId="{0148B89D-7E92-4E89-B33E-CB122FA823A2}">
      <dgm:prSet/>
      <dgm:spPr/>
      <dgm:t>
        <a:bodyPr/>
        <a:lstStyle/>
        <a:p>
          <a:endParaRPr lang="en-US"/>
        </a:p>
      </dgm:t>
    </dgm:pt>
    <dgm:pt modelId="{141ADE5B-498E-4D65-AF78-3DC23AC4E05C}" type="sibTrans" cxnId="{0148B89D-7E92-4E89-B33E-CB122FA823A2}">
      <dgm:prSet/>
      <dgm:spPr/>
      <dgm:t>
        <a:bodyPr/>
        <a:lstStyle/>
        <a:p>
          <a:endParaRPr lang="en-US"/>
        </a:p>
      </dgm:t>
    </dgm:pt>
    <dgm:pt modelId="{E196E8CE-DFDF-4752-A85C-797BB484A9EA}">
      <dgm:prSet phldrT="[Text]" custT="1"/>
      <dgm:spPr/>
      <dgm:t>
        <a:bodyPr/>
        <a:lstStyle/>
        <a:p>
          <a:r>
            <a:rPr lang="en-US" sz="900">
              <a:latin typeface="+mj-lt"/>
            </a:rPr>
            <a:t>Epidemiological Evaluation Unit</a:t>
          </a:r>
        </a:p>
      </dgm:t>
    </dgm:pt>
    <dgm:pt modelId="{EC8BA2A6-3F65-48F1-81E7-2BC77348D954}" type="parTrans" cxnId="{7987406E-B833-4EED-9BAC-ADF167379EC8}">
      <dgm:prSet/>
      <dgm:spPr/>
      <dgm:t>
        <a:bodyPr/>
        <a:lstStyle/>
        <a:p>
          <a:endParaRPr lang="en-US"/>
        </a:p>
      </dgm:t>
    </dgm:pt>
    <dgm:pt modelId="{FA6DFACB-5F5B-4823-A86C-ED7A302B04D3}" type="sibTrans" cxnId="{7987406E-B833-4EED-9BAC-ADF167379EC8}">
      <dgm:prSet/>
      <dgm:spPr/>
      <dgm:t>
        <a:bodyPr/>
        <a:lstStyle/>
        <a:p>
          <a:endParaRPr lang="en-US"/>
        </a:p>
      </dgm:t>
    </dgm:pt>
    <dgm:pt modelId="{BFDA9330-7410-41BD-9310-A5AE5B6CDBA3}">
      <dgm:prSet phldrT="[Text]" custT="1"/>
      <dgm:spPr/>
      <dgm:t>
        <a:bodyPr/>
        <a:lstStyle/>
        <a:p>
          <a:r>
            <a:rPr lang="en-US" sz="900">
              <a:latin typeface="+mj-lt"/>
            </a:rPr>
            <a:t>Vector Control Unit</a:t>
          </a:r>
        </a:p>
      </dgm:t>
    </dgm:pt>
    <dgm:pt modelId="{327E7AFA-5D30-47E1-BD8C-B01D10FB7DCF}" type="parTrans" cxnId="{2E5F48D2-2365-4800-A83B-B45DCC670408}">
      <dgm:prSet/>
      <dgm:spPr/>
      <dgm:t>
        <a:bodyPr/>
        <a:lstStyle/>
        <a:p>
          <a:endParaRPr lang="en-US"/>
        </a:p>
      </dgm:t>
    </dgm:pt>
    <dgm:pt modelId="{2E7AC3E1-0DCC-4827-9F6E-81BD01F5AE22}" type="sibTrans" cxnId="{2E5F48D2-2365-4800-A83B-B45DCC670408}">
      <dgm:prSet/>
      <dgm:spPr/>
      <dgm:t>
        <a:bodyPr/>
        <a:lstStyle/>
        <a:p>
          <a:endParaRPr lang="en-US"/>
        </a:p>
      </dgm:t>
    </dgm:pt>
    <dgm:pt modelId="{86BA4E5D-89A1-404D-B223-5EE234100981}">
      <dgm:prSet phldrT="[Text]" custT="1"/>
      <dgm:spPr/>
      <dgm:t>
        <a:bodyPr/>
        <a:lstStyle/>
        <a:p>
          <a:r>
            <a:rPr lang="en-US" sz="900">
              <a:latin typeface="+mj-lt"/>
            </a:rPr>
            <a:t>Applied Research </a:t>
          </a:r>
        </a:p>
      </dgm:t>
    </dgm:pt>
    <dgm:pt modelId="{97805281-4045-4BA4-B09D-2C9578B3E396}" type="parTrans" cxnId="{4308E8D0-069F-4D60-9143-C37C4A2D5014}">
      <dgm:prSet/>
      <dgm:spPr/>
      <dgm:t>
        <a:bodyPr/>
        <a:lstStyle/>
        <a:p>
          <a:endParaRPr lang="en-US"/>
        </a:p>
      </dgm:t>
    </dgm:pt>
    <dgm:pt modelId="{887E72E7-AAD7-4A5B-872A-F9DA57B44B61}" type="sibTrans" cxnId="{4308E8D0-069F-4D60-9143-C37C4A2D5014}">
      <dgm:prSet/>
      <dgm:spPr/>
      <dgm:t>
        <a:bodyPr/>
        <a:lstStyle/>
        <a:p>
          <a:endParaRPr lang="en-US"/>
        </a:p>
      </dgm:t>
    </dgm:pt>
    <dgm:pt modelId="{0D7C9EC2-D72D-4332-BF80-3A611DD729CD}">
      <dgm:prSet phldrT="[Text]" custT="1"/>
      <dgm:spPr/>
      <dgm:t>
        <a:bodyPr/>
        <a:lstStyle/>
        <a:p>
          <a:r>
            <a:rPr lang="en-US" sz="900">
              <a:latin typeface="+mj-lt"/>
            </a:rPr>
            <a:t>Socioeconomic Development Unit</a:t>
          </a:r>
        </a:p>
      </dgm:t>
    </dgm:pt>
    <dgm:pt modelId="{E36D03F3-9FAE-4321-B0DC-61EEBCDAEF87}" type="parTrans" cxnId="{CCE06222-BE78-4C47-AF10-9477690F08CC}">
      <dgm:prSet/>
      <dgm:spPr/>
      <dgm:t>
        <a:bodyPr/>
        <a:lstStyle/>
        <a:p>
          <a:endParaRPr lang="en-US"/>
        </a:p>
      </dgm:t>
    </dgm:pt>
    <dgm:pt modelId="{8FE03481-DEB0-41D2-A0E0-9A9D4D96CDFD}" type="sibTrans" cxnId="{CCE06222-BE78-4C47-AF10-9477690F08CC}">
      <dgm:prSet/>
      <dgm:spPr/>
      <dgm:t>
        <a:bodyPr/>
        <a:lstStyle/>
        <a:p>
          <a:endParaRPr lang="en-US"/>
        </a:p>
      </dgm:t>
    </dgm:pt>
    <dgm:pt modelId="{0F8F1966-2A75-4105-AD94-51EF4EDAA76A}" type="asst">
      <dgm:prSet phldrT="[Text]" custT="1"/>
      <dgm:spPr/>
      <dgm:t>
        <a:bodyPr/>
        <a:lstStyle/>
        <a:p>
          <a:r>
            <a:rPr lang="en-US" sz="900" b="1">
              <a:latin typeface="+mj-lt"/>
            </a:rPr>
            <a:t>Ecological Group </a:t>
          </a:r>
          <a:r>
            <a:rPr lang="en-US" sz="900">
              <a:latin typeface="+mj-lt"/>
            </a:rPr>
            <a:t>(Ecological Panel)</a:t>
          </a:r>
        </a:p>
      </dgm:t>
    </dgm:pt>
    <dgm:pt modelId="{5E95B302-015F-4DBF-A607-CD2E27A8E543}" type="parTrans" cxnId="{20BFBFDA-1E19-4B94-9973-12E8219EFA47}">
      <dgm:prSet/>
      <dgm:spPr/>
      <dgm:t>
        <a:bodyPr/>
        <a:lstStyle/>
        <a:p>
          <a:endParaRPr lang="en-US"/>
        </a:p>
      </dgm:t>
    </dgm:pt>
    <dgm:pt modelId="{94CCE9D0-1C1B-465E-B721-B25560C1D2AE}" type="sibTrans" cxnId="{20BFBFDA-1E19-4B94-9973-12E8219EFA47}">
      <dgm:prSet/>
      <dgm:spPr/>
      <dgm:t>
        <a:bodyPr/>
        <a:lstStyle/>
        <a:p>
          <a:endParaRPr lang="en-US"/>
        </a:p>
      </dgm:t>
    </dgm:pt>
    <dgm:pt modelId="{BFBFBB6F-4431-4233-81C6-3EAD48AE6979}" type="pres">
      <dgm:prSet presAssocID="{655BD51A-B324-4284-B181-80CE74775464}" presName="hierChild1" presStyleCnt="0">
        <dgm:presLayoutVars>
          <dgm:orgChart val="1"/>
          <dgm:chPref val="1"/>
          <dgm:dir/>
          <dgm:animOne val="branch"/>
          <dgm:animLvl val="lvl"/>
          <dgm:resizeHandles/>
        </dgm:presLayoutVars>
      </dgm:prSet>
      <dgm:spPr/>
      <dgm:t>
        <a:bodyPr/>
        <a:lstStyle/>
        <a:p>
          <a:endParaRPr lang="en-US"/>
        </a:p>
      </dgm:t>
    </dgm:pt>
    <dgm:pt modelId="{E865705D-C4B2-4D89-AEAA-35EA2392C14D}" type="pres">
      <dgm:prSet presAssocID="{12853341-762B-466B-8F97-E8125FD3AAC2}" presName="hierRoot1" presStyleCnt="0">
        <dgm:presLayoutVars>
          <dgm:hierBranch val="init"/>
        </dgm:presLayoutVars>
      </dgm:prSet>
      <dgm:spPr/>
    </dgm:pt>
    <dgm:pt modelId="{6C9953C8-ACCE-45E1-AAB4-E65FA85ED062}" type="pres">
      <dgm:prSet presAssocID="{12853341-762B-466B-8F97-E8125FD3AAC2}" presName="rootComposite1" presStyleCnt="0"/>
      <dgm:spPr/>
    </dgm:pt>
    <dgm:pt modelId="{376C5816-D265-42B3-A654-2C213E9FEBE5}" type="pres">
      <dgm:prSet presAssocID="{12853341-762B-466B-8F97-E8125FD3AAC2}" presName="rootText1" presStyleLbl="node0" presStyleIdx="0" presStyleCnt="1" custScaleX="199019" custScaleY="161787">
        <dgm:presLayoutVars>
          <dgm:chPref val="3"/>
        </dgm:presLayoutVars>
      </dgm:prSet>
      <dgm:spPr/>
      <dgm:t>
        <a:bodyPr/>
        <a:lstStyle/>
        <a:p>
          <a:endParaRPr lang="en-US"/>
        </a:p>
      </dgm:t>
    </dgm:pt>
    <dgm:pt modelId="{E83BC7A9-C5C7-4568-A66D-1021CF9B9D85}" type="pres">
      <dgm:prSet presAssocID="{12853341-762B-466B-8F97-E8125FD3AAC2}" presName="rootConnector1" presStyleLbl="node1" presStyleIdx="0" presStyleCnt="0"/>
      <dgm:spPr/>
      <dgm:t>
        <a:bodyPr/>
        <a:lstStyle/>
        <a:p>
          <a:endParaRPr lang="en-US"/>
        </a:p>
      </dgm:t>
    </dgm:pt>
    <dgm:pt modelId="{30B358BC-A56A-4B55-B196-FFC33D0DE94C}" type="pres">
      <dgm:prSet presAssocID="{12853341-762B-466B-8F97-E8125FD3AAC2}" presName="hierChild2" presStyleCnt="0"/>
      <dgm:spPr/>
    </dgm:pt>
    <dgm:pt modelId="{9BB202C0-A897-4E89-B415-553A0F2D7810}" type="pres">
      <dgm:prSet presAssocID="{4D3BD9D5-564D-41F6-A331-C11EA1620A9F}" presName="Name37" presStyleLbl="parChTrans1D2" presStyleIdx="0" presStyleCnt="3"/>
      <dgm:spPr/>
      <dgm:t>
        <a:bodyPr/>
        <a:lstStyle/>
        <a:p>
          <a:endParaRPr lang="en-US"/>
        </a:p>
      </dgm:t>
    </dgm:pt>
    <dgm:pt modelId="{5F73FED8-8125-4ACE-8C34-3DC4945D5C69}" type="pres">
      <dgm:prSet presAssocID="{C1FD0110-042A-4837-8BB6-A27F3C50387B}" presName="hierRoot2" presStyleCnt="0">
        <dgm:presLayoutVars>
          <dgm:hierBranch val="init"/>
        </dgm:presLayoutVars>
      </dgm:prSet>
      <dgm:spPr/>
    </dgm:pt>
    <dgm:pt modelId="{5C6F2517-DB1A-42DD-BCD1-894B8DDEF04A}" type="pres">
      <dgm:prSet presAssocID="{C1FD0110-042A-4837-8BB6-A27F3C50387B}" presName="rootComposite" presStyleCnt="0"/>
      <dgm:spPr/>
    </dgm:pt>
    <dgm:pt modelId="{51C54C9C-CAFF-4650-B76A-4966AD965A5D}" type="pres">
      <dgm:prSet presAssocID="{C1FD0110-042A-4837-8BB6-A27F3C50387B}" presName="rootText" presStyleLbl="node2" presStyleIdx="0" presStyleCnt="2" custScaleX="132062" custScaleY="134970">
        <dgm:presLayoutVars>
          <dgm:chPref val="3"/>
        </dgm:presLayoutVars>
      </dgm:prSet>
      <dgm:spPr/>
      <dgm:t>
        <a:bodyPr/>
        <a:lstStyle/>
        <a:p>
          <a:endParaRPr lang="en-US"/>
        </a:p>
      </dgm:t>
    </dgm:pt>
    <dgm:pt modelId="{06BD7EDD-E723-4BDF-805C-248E05447F0F}" type="pres">
      <dgm:prSet presAssocID="{C1FD0110-042A-4837-8BB6-A27F3C50387B}" presName="rootConnector" presStyleLbl="node2" presStyleIdx="0" presStyleCnt="2"/>
      <dgm:spPr/>
      <dgm:t>
        <a:bodyPr/>
        <a:lstStyle/>
        <a:p>
          <a:endParaRPr lang="en-US"/>
        </a:p>
      </dgm:t>
    </dgm:pt>
    <dgm:pt modelId="{C7C3551E-3707-498C-9471-FF75E36417DA}" type="pres">
      <dgm:prSet presAssocID="{C1FD0110-042A-4837-8BB6-A27F3C50387B}" presName="hierChild4" presStyleCnt="0"/>
      <dgm:spPr/>
    </dgm:pt>
    <dgm:pt modelId="{68A28840-7CAD-49E9-9A18-47CC4A8E8B48}" type="pres">
      <dgm:prSet presAssocID="{1334AE12-4ECF-4E98-8A7F-4AA86DFB0F6B}" presName="Name37" presStyleLbl="parChTrans1D3" presStyleIdx="0" presStyleCnt="9"/>
      <dgm:spPr/>
      <dgm:t>
        <a:bodyPr/>
        <a:lstStyle/>
        <a:p>
          <a:endParaRPr lang="en-US"/>
        </a:p>
      </dgm:t>
    </dgm:pt>
    <dgm:pt modelId="{AE363DFD-414E-41F6-92B8-1E04D768A6C6}" type="pres">
      <dgm:prSet presAssocID="{230BF020-6E93-40A2-8700-7E3B64CC4E66}" presName="hierRoot2" presStyleCnt="0">
        <dgm:presLayoutVars>
          <dgm:hierBranch val="init"/>
        </dgm:presLayoutVars>
      </dgm:prSet>
      <dgm:spPr/>
    </dgm:pt>
    <dgm:pt modelId="{58E63602-64D8-4183-B36B-400349197913}" type="pres">
      <dgm:prSet presAssocID="{230BF020-6E93-40A2-8700-7E3B64CC4E66}" presName="rootComposite" presStyleCnt="0"/>
      <dgm:spPr/>
    </dgm:pt>
    <dgm:pt modelId="{6FB4B1D1-BDB7-47B0-85AB-91AD9AA1B862}" type="pres">
      <dgm:prSet presAssocID="{230BF020-6E93-40A2-8700-7E3B64CC4E66}" presName="rootText" presStyleLbl="node3" presStyleIdx="0" presStyleCnt="7" custScaleX="110167" custScaleY="128492">
        <dgm:presLayoutVars>
          <dgm:chPref val="3"/>
        </dgm:presLayoutVars>
      </dgm:prSet>
      <dgm:spPr/>
      <dgm:t>
        <a:bodyPr/>
        <a:lstStyle/>
        <a:p>
          <a:endParaRPr lang="en-US"/>
        </a:p>
      </dgm:t>
    </dgm:pt>
    <dgm:pt modelId="{E6FDBD1D-4427-4232-8E9B-6BBE888AB4D1}" type="pres">
      <dgm:prSet presAssocID="{230BF020-6E93-40A2-8700-7E3B64CC4E66}" presName="rootConnector" presStyleLbl="node3" presStyleIdx="0" presStyleCnt="7"/>
      <dgm:spPr/>
      <dgm:t>
        <a:bodyPr/>
        <a:lstStyle/>
        <a:p>
          <a:endParaRPr lang="en-US"/>
        </a:p>
      </dgm:t>
    </dgm:pt>
    <dgm:pt modelId="{AE041D7F-1FAA-41E1-B04A-AA270AC44EFF}" type="pres">
      <dgm:prSet presAssocID="{230BF020-6E93-40A2-8700-7E3B64CC4E66}" presName="hierChild4" presStyleCnt="0"/>
      <dgm:spPr/>
    </dgm:pt>
    <dgm:pt modelId="{2846C6A1-4186-4A76-A055-08541C68A00D}" type="pres">
      <dgm:prSet presAssocID="{230BF020-6E93-40A2-8700-7E3B64CC4E66}" presName="hierChild5" presStyleCnt="0"/>
      <dgm:spPr/>
    </dgm:pt>
    <dgm:pt modelId="{FA4402AB-07C4-4870-B7FB-B2C12F89DD85}" type="pres">
      <dgm:prSet presAssocID="{31653D78-A411-411C-A30D-E99E3675692D}" presName="Name37" presStyleLbl="parChTrans1D3" presStyleIdx="1" presStyleCnt="9"/>
      <dgm:spPr/>
      <dgm:t>
        <a:bodyPr/>
        <a:lstStyle/>
        <a:p>
          <a:endParaRPr lang="en-US"/>
        </a:p>
      </dgm:t>
    </dgm:pt>
    <dgm:pt modelId="{F8C842A1-6D3D-412C-A374-2977F708C374}" type="pres">
      <dgm:prSet presAssocID="{82C447A4-1AB3-49D5-B3CC-BEB95CA9ECC6}" presName="hierRoot2" presStyleCnt="0">
        <dgm:presLayoutVars>
          <dgm:hierBranch val="init"/>
        </dgm:presLayoutVars>
      </dgm:prSet>
      <dgm:spPr/>
    </dgm:pt>
    <dgm:pt modelId="{91CF3236-B1DB-42B9-8213-024250841819}" type="pres">
      <dgm:prSet presAssocID="{82C447A4-1AB3-49D5-B3CC-BEB95CA9ECC6}" presName="rootComposite" presStyleCnt="0"/>
      <dgm:spPr/>
    </dgm:pt>
    <dgm:pt modelId="{57AB7816-5264-4328-AE1D-0433DBC8B845}" type="pres">
      <dgm:prSet presAssocID="{82C447A4-1AB3-49D5-B3CC-BEB95CA9ECC6}" presName="rootText" presStyleLbl="node3" presStyleIdx="1" presStyleCnt="7" custScaleX="115465" custScaleY="153049">
        <dgm:presLayoutVars>
          <dgm:chPref val="3"/>
        </dgm:presLayoutVars>
      </dgm:prSet>
      <dgm:spPr/>
      <dgm:t>
        <a:bodyPr/>
        <a:lstStyle/>
        <a:p>
          <a:endParaRPr lang="en-US"/>
        </a:p>
      </dgm:t>
    </dgm:pt>
    <dgm:pt modelId="{5A3162BD-BF83-4C40-B62D-079923578406}" type="pres">
      <dgm:prSet presAssocID="{82C447A4-1AB3-49D5-B3CC-BEB95CA9ECC6}" presName="rootConnector" presStyleLbl="node3" presStyleIdx="1" presStyleCnt="7"/>
      <dgm:spPr/>
      <dgm:t>
        <a:bodyPr/>
        <a:lstStyle/>
        <a:p>
          <a:endParaRPr lang="en-US"/>
        </a:p>
      </dgm:t>
    </dgm:pt>
    <dgm:pt modelId="{94D335CC-F884-4D3A-BCE3-D9A68E5C5ABD}" type="pres">
      <dgm:prSet presAssocID="{82C447A4-1AB3-49D5-B3CC-BEB95CA9ECC6}" presName="hierChild4" presStyleCnt="0"/>
      <dgm:spPr/>
    </dgm:pt>
    <dgm:pt modelId="{97A8CFDA-80CF-46BB-9BC6-0A277D9253DB}" type="pres">
      <dgm:prSet presAssocID="{82C447A4-1AB3-49D5-B3CC-BEB95CA9ECC6}" presName="hierChild5" presStyleCnt="0"/>
      <dgm:spPr/>
    </dgm:pt>
    <dgm:pt modelId="{9C023C73-02D3-407B-8633-8BBA316B3AF4}" type="pres">
      <dgm:prSet presAssocID="{C1FD0110-042A-4837-8BB6-A27F3C50387B}" presName="hierChild5" presStyleCnt="0"/>
      <dgm:spPr/>
    </dgm:pt>
    <dgm:pt modelId="{2E44F67A-6D45-47B2-9B77-D4C008CF7B66}" type="pres">
      <dgm:prSet presAssocID="{ED9FE741-1392-4D4F-A133-E98A04A192DA}" presName="Name37" presStyleLbl="parChTrans1D2" presStyleIdx="1" presStyleCnt="3"/>
      <dgm:spPr/>
      <dgm:t>
        <a:bodyPr/>
        <a:lstStyle/>
        <a:p>
          <a:endParaRPr lang="en-US"/>
        </a:p>
      </dgm:t>
    </dgm:pt>
    <dgm:pt modelId="{8B6D26B8-5BD4-43DE-8A8C-2A9372D32E18}" type="pres">
      <dgm:prSet presAssocID="{3C9FA51F-FFF2-4B14-8B18-3FBBAF5D2922}" presName="hierRoot2" presStyleCnt="0">
        <dgm:presLayoutVars>
          <dgm:hierBranch val="init"/>
        </dgm:presLayoutVars>
      </dgm:prSet>
      <dgm:spPr/>
    </dgm:pt>
    <dgm:pt modelId="{314DD855-B160-438F-99D4-8D7BEB187BEA}" type="pres">
      <dgm:prSet presAssocID="{3C9FA51F-FFF2-4B14-8B18-3FBBAF5D2922}" presName="rootComposite" presStyleCnt="0"/>
      <dgm:spPr/>
    </dgm:pt>
    <dgm:pt modelId="{6E97E65E-1497-40B0-AE6C-FC6765E908B1}" type="pres">
      <dgm:prSet presAssocID="{3C9FA51F-FFF2-4B14-8B18-3FBBAF5D2922}" presName="rootText" presStyleLbl="node2" presStyleIdx="1" presStyleCnt="2" custScaleX="168155" custScaleY="141860">
        <dgm:presLayoutVars>
          <dgm:chPref val="3"/>
        </dgm:presLayoutVars>
      </dgm:prSet>
      <dgm:spPr/>
      <dgm:t>
        <a:bodyPr/>
        <a:lstStyle/>
        <a:p>
          <a:endParaRPr lang="en-US"/>
        </a:p>
      </dgm:t>
    </dgm:pt>
    <dgm:pt modelId="{4E6A8F91-5973-45E3-A221-685225FDA7D1}" type="pres">
      <dgm:prSet presAssocID="{3C9FA51F-FFF2-4B14-8B18-3FBBAF5D2922}" presName="rootConnector" presStyleLbl="node2" presStyleIdx="1" presStyleCnt="2"/>
      <dgm:spPr/>
      <dgm:t>
        <a:bodyPr/>
        <a:lstStyle/>
        <a:p>
          <a:endParaRPr lang="en-US"/>
        </a:p>
      </dgm:t>
    </dgm:pt>
    <dgm:pt modelId="{6B9A24FC-4D92-4774-A416-16D9BACB749E}" type="pres">
      <dgm:prSet presAssocID="{3C9FA51F-FFF2-4B14-8B18-3FBBAF5D2922}" presName="hierChild4" presStyleCnt="0"/>
      <dgm:spPr/>
    </dgm:pt>
    <dgm:pt modelId="{B2BD551F-A190-4B5A-9275-31BA7A23B335}" type="pres">
      <dgm:prSet presAssocID="{A00E6852-B561-4415-BABA-6150FA774AEA}" presName="Name37" presStyleLbl="parChTrans1D3" presStyleIdx="2" presStyleCnt="9"/>
      <dgm:spPr/>
      <dgm:t>
        <a:bodyPr/>
        <a:lstStyle/>
        <a:p>
          <a:endParaRPr lang="en-US"/>
        </a:p>
      </dgm:t>
    </dgm:pt>
    <dgm:pt modelId="{B49AA5DF-5D04-463B-BB2B-0D7575AE87F8}" type="pres">
      <dgm:prSet presAssocID="{0C17E9C6-0DCF-4C58-BB27-05DA0E0734DE}" presName="hierRoot2" presStyleCnt="0">
        <dgm:presLayoutVars>
          <dgm:hierBranch val="init"/>
        </dgm:presLayoutVars>
      </dgm:prSet>
      <dgm:spPr/>
    </dgm:pt>
    <dgm:pt modelId="{F3E7E5DD-2A41-4C92-AC0C-7F2942BF8BC0}" type="pres">
      <dgm:prSet presAssocID="{0C17E9C6-0DCF-4C58-BB27-05DA0E0734DE}" presName="rootComposite" presStyleCnt="0"/>
      <dgm:spPr/>
    </dgm:pt>
    <dgm:pt modelId="{CDB3C0CA-DA8E-44DE-AF16-BE4184671A7C}" type="pres">
      <dgm:prSet presAssocID="{0C17E9C6-0DCF-4C58-BB27-05DA0E0734DE}" presName="rootText" presStyleLbl="node3" presStyleIdx="2" presStyleCnt="7" custScaleX="122926" custScaleY="130999">
        <dgm:presLayoutVars>
          <dgm:chPref val="3"/>
        </dgm:presLayoutVars>
      </dgm:prSet>
      <dgm:spPr/>
      <dgm:t>
        <a:bodyPr/>
        <a:lstStyle/>
        <a:p>
          <a:endParaRPr lang="en-US"/>
        </a:p>
      </dgm:t>
    </dgm:pt>
    <dgm:pt modelId="{022B9AF1-1932-4DF1-AC0A-05BE81874698}" type="pres">
      <dgm:prSet presAssocID="{0C17E9C6-0DCF-4C58-BB27-05DA0E0734DE}" presName="rootConnector" presStyleLbl="node3" presStyleIdx="2" presStyleCnt="7"/>
      <dgm:spPr/>
      <dgm:t>
        <a:bodyPr/>
        <a:lstStyle/>
        <a:p>
          <a:endParaRPr lang="en-US"/>
        </a:p>
      </dgm:t>
    </dgm:pt>
    <dgm:pt modelId="{55EF63A6-1A0E-4552-BF7F-4738219A9E41}" type="pres">
      <dgm:prSet presAssocID="{0C17E9C6-0DCF-4C58-BB27-05DA0E0734DE}" presName="hierChild4" presStyleCnt="0"/>
      <dgm:spPr/>
    </dgm:pt>
    <dgm:pt modelId="{6BA8E74F-66FA-4D96-8B8C-89711EDB6F60}" type="pres">
      <dgm:prSet presAssocID="{0C17E9C6-0DCF-4C58-BB27-05DA0E0734DE}" presName="hierChild5" presStyleCnt="0"/>
      <dgm:spPr/>
    </dgm:pt>
    <dgm:pt modelId="{D05130B5-41EE-452C-B85B-A830298A8DBB}" type="pres">
      <dgm:prSet presAssocID="{EC8BA2A6-3F65-48F1-81E7-2BC77348D954}" presName="Name37" presStyleLbl="parChTrans1D3" presStyleIdx="3" presStyleCnt="9"/>
      <dgm:spPr/>
      <dgm:t>
        <a:bodyPr/>
        <a:lstStyle/>
        <a:p>
          <a:endParaRPr lang="en-US"/>
        </a:p>
      </dgm:t>
    </dgm:pt>
    <dgm:pt modelId="{42275250-52F9-48C2-8330-67F9AB81E332}" type="pres">
      <dgm:prSet presAssocID="{E196E8CE-DFDF-4752-A85C-797BB484A9EA}" presName="hierRoot2" presStyleCnt="0">
        <dgm:presLayoutVars>
          <dgm:hierBranch val="init"/>
        </dgm:presLayoutVars>
      </dgm:prSet>
      <dgm:spPr/>
    </dgm:pt>
    <dgm:pt modelId="{8AC2584F-8646-404F-82F9-7F0D25669FEC}" type="pres">
      <dgm:prSet presAssocID="{E196E8CE-DFDF-4752-A85C-797BB484A9EA}" presName="rootComposite" presStyleCnt="0"/>
      <dgm:spPr/>
    </dgm:pt>
    <dgm:pt modelId="{4C4D2F66-BCAF-4E76-B0BD-2C73CD7BE77C}" type="pres">
      <dgm:prSet presAssocID="{E196E8CE-DFDF-4752-A85C-797BB484A9EA}" presName="rootText" presStyleLbl="node3" presStyleIdx="3" presStyleCnt="7" custScaleX="125341" custScaleY="113188">
        <dgm:presLayoutVars>
          <dgm:chPref val="3"/>
        </dgm:presLayoutVars>
      </dgm:prSet>
      <dgm:spPr/>
      <dgm:t>
        <a:bodyPr/>
        <a:lstStyle/>
        <a:p>
          <a:endParaRPr lang="en-US"/>
        </a:p>
      </dgm:t>
    </dgm:pt>
    <dgm:pt modelId="{866F1C9F-BBF9-48F2-856A-669680B237E6}" type="pres">
      <dgm:prSet presAssocID="{E196E8CE-DFDF-4752-A85C-797BB484A9EA}" presName="rootConnector" presStyleLbl="node3" presStyleIdx="3" presStyleCnt="7"/>
      <dgm:spPr/>
      <dgm:t>
        <a:bodyPr/>
        <a:lstStyle/>
        <a:p>
          <a:endParaRPr lang="en-US"/>
        </a:p>
      </dgm:t>
    </dgm:pt>
    <dgm:pt modelId="{1EC9D199-6981-46E1-9A58-9EE054BA5F6B}" type="pres">
      <dgm:prSet presAssocID="{E196E8CE-DFDF-4752-A85C-797BB484A9EA}" presName="hierChild4" presStyleCnt="0"/>
      <dgm:spPr/>
    </dgm:pt>
    <dgm:pt modelId="{5E5E3423-ABAA-41D9-A543-69F633C4ADB2}" type="pres">
      <dgm:prSet presAssocID="{E196E8CE-DFDF-4752-A85C-797BB484A9EA}" presName="hierChild5" presStyleCnt="0"/>
      <dgm:spPr/>
    </dgm:pt>
    <dgm:pt modelId="{ADDF3633-0D0F-498C-B3BC-BAAF69546B7D}" type="pres">
      <dgm:prSet presAssocID="{327E7AFA-5D30-47E1-BD8C-B01D10FB7DCF}" presName="Name37" presStyleLbl="parChTrans1D3" presStyleIdx="4" presStyleCnt="9"/>
      <dgm:spPr/>
      <dgm:t>
        <a:bodyPr/>
        <a:lstStyle/>
        <a:p>
          <a:endParaRPr lang="en-US"/>
        </a:p>
      </dgm:t>
    </dgm:pt>
    <dgm:pt modelId="{65E06656-D327-40A8-A1C8-2CF2339E9AFB}" type="pres">
      <dgm:prSet presAssocID="{BFDA9330-7410-41BD-9310-A5AE5B6CDBA3}" presName="hierRoot2" presStyleCnt="0">
        <dgm:presLayoutVars>
          <dgm:hierBranch val="init"/>
        </dgm:presLayoutVars>
      </dgm:prSet>
      <dgm:spPr/>
    </dgm:pt>
    <dgm:pt modelId="{3E091EF0-81B1-4062-8381-DC9FC5684CA2}" type="pres">
      <dgm:prSet presAssocID="{BFDA9330-7410-41BD-9310-A5AE5B6CDBA3}" presName="rootComposite" presStyleCnt="0"/>
      <dgm:spPr/>
    </dgm:pt>
    <dgm:pt modelId="{FA061147-DD87-45F6-BC3C-8B50CCB6802A}" type="pres">
      <dgm:prSet presAssocID="{BFDA9330-7410-41BD-9310-A5AE5B6CDBA3}" presName="rootText" presStyleLbl="node3" presStyleIdx="4" presStyleCnt="7" custScaleX="125195" custScaleY="108384">
        <dgm:presLayoutVars>
          <dgm:chPref val="3"/>
        </dgm:presLayoutVars>
      </dgm:prSet>
      <dgm:spPr/>
      <dgm:t>
        <a:bodyPr/>
        <a:lstStyle/>
        <a:p>
          <a:endParaRPr lang="en-US"/>
        </a:p>
      </dgm:t>
    </dgm:pt>
    <dgm:pt modelId="{846F393F-5359-4757-B59D-DC3F236BB26F}" type="pres">
      <dgm:prSet presAssocID="{BFDA9330-7410-41BD-9310-A5AE5B6CDBA3}" presName="rootConnector" presStyleLbl="node3" presStyleIdx="4" presStyleCnt="7"/>
      <dgm:spPr/>
      <dgm:t>
        <a:bodyPr/>
        <a:lstStyle/>
        <a:p>
          <a:endParaRPr lang="en-US"/>
        </a:p>
      </dgm:t>
    </dgm:pt>
    <dgm:pt modelId="{3F7A9A49-F27C-4F24-A95F-38812DCA8839}" type="pres">
      <dgm:prSet presAssocID="{BFDA9330-7410-41BD-9310-A5AE5B6CDBA3}" presName="hierChild4" presStyleCnt="0"/>
      <dgm:spPr/>
    </dgm:pt>
    <dgm:pt modelId="{BE82A68F-A6A2-4F94-8B09-CE42450960BB}" type="pres">
      <dgm:prSet presAssocID="{BFDA9330-7410-41BD-9310-A5AE5B6CDBA3}" presName="hierChild5" presStyleCnt="0"/>
      <dgm:spPr/>
    </dgm:pt>
    <dgm:pt modelId="{309AAA87-480C-470A-B457-B748F210565E}" type="pres">
      <dgm:prSet presAssocID="{97805281-4045-4BA4-B09D-2C9578B3E396}" presName="Name37" presStyleLbl="parChTrans1D3" presStyleIdx="5" presStyleCnt="9"/>
      <dgm:spPr/>
      <dgm:t>
        <a:bodyPr/>
        <a:lstStyle/>
        <a:p>
          <a:endParaRPr lang="en-US"/>
        </a:p>
      </dgm:t>
    </dgm:pt>
    <dgm:pt modelId="{963AFF7E-7FDD-4E07-83E1-27BA716273E4}" type="pres">
      <dgm:prSet presAssocID="{86BA4E5D-89A1-404D-B223-5EE234100981}" presName="hierRoot2" presStyleCnt="0">
        <dgm:presLayoutVars>
          <dgm:hierBranch val="init"/>
        </dgm:presLayoutVars>
      </dgm:prSet>
      <dgm:spPr/>
    </dgm:pt>
    <dgm:pt modelId="{3BB2DDB3-662B-48B8-9DD5-F2115D6AFBD7}" type="pres">
      <dgm:prSet presAssocID="{86BA4E5D-89A1-404D-B223-5EE234100981}" presName="rootComposite" presStyleCnt="0"/>
      <dgm:spPr/>
    </dgm:pt>
    <dgm:pt modelId="{0FA3E0A2-BC6A-4FE5-97D2-0D92C2E59B2A}" type="pres">
      <dgm:prSet presAssocID="{86BA4E5D-89A1-404D-B223-5EE234100981}" presName="rootText" presStyleLbl="node3" presStyleIdx="5" presStyleCnt="7" custScaleX="121483" custScaleY="100421">
        <dgm:presLayoutVars>
          <dgm:chPref val="3"/>
        </dgm:presLayoutVars>
      </dgm:prSet>
      <dgm:spPr/>
      <dgm:t>
        <a:bodyPr/>
        <a:lstStyle/>
        <a:p>
          <a:endParaRPr lang="en-US"/>
        </a:p>
      </dgm:t>
    </dgm:pt>
    <dgm:pt modelId="{B5F0C6CD-267D-472E-9484-828C98D7930C}" type="pres">
      <dgm:prSet presAssocID="{86BA4E5D-89A1-404D-B223-5EE234100981}" presName="rootConnector" presStyleLbl="node3" presStyleIdx="5" presStyleCnt="7"/>
      <dgm:spPr/>
      <dgm:t>
        <a:bodyPr/>
        <a:lstStyle/>
        <a:p>
          <a:endParaRPr lang="en-US"/>
        </a:p>
      </dgm:t>
    </dgm:pt>
    <dgm:pt modelId="{B6498EAA-CEB9-4848-87AE-428E7F174B02}" type="pres">
      <dgm:prSet presAssocID="{86BA4E5D-89A1-404D-B223-5EE234100981}" presName="hierChild4" presStyleCnt="0"/>
      <dgm:spPr/>
    </dgm:pt>
    <dgm:pt modelId="{0A53B129-A241-4347-A1F5-A36B08527C97}" type="pres">
      <dgm:prSet presAssocID="{86BA4E5D-89A1-404D-B223-5EE234100981}" presName="hierChild5" presStyleCnt="0"/>
      <dgm:spPr/>
    </dgm:pt>
    <dgm:pt modelId="{81F357CF-C91A-4ED2-8775-866652739F6D}" type="pres">
      <dgm:prSet presAssocID="{E36D03F3-9FAE-4321-B0DC-61EEBCDAEF87}" presName="Name37" presStyleLbl="parChTrans1D3" presStyleIdx="6" presStyleCnt="9"/>
      <dgm:spPr/>
      <dgm:t>
        <a:bodyPr/>
        <a:lstStyle/>
        <a:p>
          <a:endParaRPr lang="en-US"/>
        </a:p>
      </dgm:t>
    </dgm:pt>
    <dgm:pt modelId="{AA43D082-6D59-4969-9B0F-5BB93DBC45AB}" type="pres">
      <dgm:prSet presAssocID="{0D7C9EC2-D72D-4332-BF80-3A611DD729CD}" presName="hierRoot2" presStyleCnt="0">
        <dgm:presLayoutVars>
          <dgm:hierBranch val="init"/>
        </dgm:presLayoutVars>
      </dgm:prSet>
      <dgm:spPr/>
    </dgm:pt>
    <dgm:pt modelId="{9C1BF64E-8293-4D7D-BE62-20630676FEA7}" type="pres">
      <dgm:prSet presAssocID="{0D7C9EC2-D72D-4332-BF80-3A611DD729CD}" presName="rootComposite" presStyleCnt="0"/>
      <dgm:spPr/>
    </dgm:pt>
    <dgm:pt modelId="{042D00AB-3901-40E3-ADF8-969A5FF542F6}" type="pres">
      <dgm:prSet presAssocID="{0D7C9EC2-D72D-4332-BF80-3A611DD729CD}" presName="rootText" presStyleLbl="node3" presStyleIdx="6" presStyleCnt="7" custScaleX="121586" custScaleY="112141">
        <dgm:presLayoutVars>
          <dgm:chPref val="3"/>
        </dgm:presLayoutVars>
      </dgm:prSet>
      <dgm:spPr/>
      <dgm:t>
        <a:bodyPr/>
        <a:lstStyle/>
        <a:p>
          <a:endParaRPr lang="en-US"/>
        </a:p>
      </dgm:t>
    </dgm:pt>
    <dgm:pt modelId="{55D97DAC-0847-4292-AC8E-352FA420B2BB}" type="pres">
      <dgm:prSet presAssocID="{0D7C9EC2-D72D-4332-BF80-3A611DD729CD}" presName="rootConnector" presStyleLbl="node3" presStyleIdx="6" presStyleCnt="7"/>
      <dgm:spPr/>
      <dgm:t>
        <a:bodyPr/>
        <a:lstStyle/>
        <a:p>
          <a:endParaRPr lang="en-US"/>
        </a:p>
      </dgm:t>
    </dgm:pt>
    <dgm:pt modelId="{5EF1275A-F019-4AC4-970C-3C5B40B304FB}" type="pres">
      <dgm:prSet presAssocID="{0D7C9EC2-D72D-4332-BF80-3A611DD729CD}" presName="hierChild4" presStyleCnt="0"/>
      <dgm:spPr/>
    </dgm:pt>
    <dgm:pt modelId="{91D6E7FE-D5A3-44DE-9B17-F4DBB6E02DA7}" type="pres">
      <dgm:prSet presAssocID="{0D7C9EC2-D72D-4332-BF80-3A611DD729CD}" presName="hierChild5" presStyleCnt="0"/>
      <dgm:spPr/>
    </dgm:pt>
    <dgm:pt modelId="{9B189867-597C-4882-AA1A-4F8F7957CF9D}" type="pres">
      <dgm:prSet presAssocID="{3C9FA51F-FFF2-4B14-8B18-3FBBAF5D2922}" presName="hierChild5" presStyleCnt="0"/>
      <dgm:spPr/>
    </dgm:pt>
    <dgm:pt modelId="{1CB8ED41-A650-46E4-8063-8397722CC5F1}" type="pres">
      <dgm:prSet presAssocID="{12853341-762B-466B-8F97-E8125FD3AAC2}" presName="hierChild3" presStyleCnt="0"/>
      <dgm:spPr/>
    </dgm:pt>
    <dgm:pt modelId="{E8178DC6-2B62-4F2B-B3C5-29D96CD55A93}" type="pres">
      <dgm:prSet presAssocID="{D10EFB02-E577-43CD-9E39-598CA12F1F69}" presName="Name111" presStyleLbl="parChTrans1D2" presStyleIdx="2" presStyleCnt="3"/>
      <dgm:spPr/>
      <dgm:t>
        <a:bodyPr/>
        <a:lstStyle/>
        <a:p>
          <a:endParaRPr lang="en-US"/>
        </a:p>
      </dgm:t>
    </dgm:pt>
    <dgm:pt modelId="{CAFBEBE3-AAD7-4A40-B131-0F7047B766C9}" type="pres">
      <dgm:prSet presAssocID="{BD1479AF-A01C-4AFA-A47B-F4E77788634E}" presName="hierRoot3" presStyleCnt="0">
        <dgm:presLayoutVars>
          <dgm:hierBranch val="init"/>
        </dgm:presLayoutVars>
      </dgm:prSet>
      <dgm:spPr/>
    </dgm:pt>
    <dgm:pt modelId="{FAAE6569-6303-421F-9339-176E6B15C0AC}" type="pres">
      <dgm:prSet presAssocID="{BD1479AF-A01C-4AFA-A47B-F4E77788634E}" presName="rootComposite3" presStyleCnt="0"/>
      <dgm:spPr/>
    </dgm:pt>
    <dgm:pt modelId="{8CEF0B9D-2906-40A9-AAD4-765449C1DDAE}" type="pres">
      <dgm:prSet presAssocID="{BD1479AF-A01C-4AFA-A47B-F4E77788634E}" presName="rootText3" presStyleLbl="asst1" presStyleIdx="0" presStyleCnt="4" custScaleX="160180" custScaleY="188251">
        <dgm:presLayoutVars>
          <dgm:chPref val="3"/>
        </dgm:presLayoutVars>
      </dgm:prSet>
      <dgm:spPr/>
      <dgm:t>
        <a:bodyPr/>
        <a:lstStyle/>
        <a:p>
          <a:endParaRPr lang="en-US"/>
        </a:p>
      </dgm:t>
    </dgm:pt>
    <dgm:pt modelId="{9DFDE89A-7C26-4F65-BCA3-885A23099A9C}" type="pres">
      <dgm:prSet presAssocID="{BD1479AF-A01C-4AFA-A47B-F4E77788634E}" presName="rootConnector3" presStyleLbl="asst1" presStyleIdx="0" presStyleCnt="4"/>
      <dgm:spPr/>
      <dgm:t>
        <a:bodyPr/>
        <a:lstStyle/>
        <a:p>
          <a:endParaRPr lang="en-US"/>
        </a:p>
      </dgm:t>
    </dgm:pt>
    <dgm:pt modelId="{E1FE3979-AA81-4955-8CA3-E13483F667C6}" type="pres">
      <dgm:prSet presAssocID="{BD1479AF-A01C-4AFA-A47B-F4E77788634E}" presName="hierChild6" presStyleCnt="0"/>
      <dgm:spPr/>
    </dgm:pt>
    <dgm:pt modelId="{8241ABE7-956B-4FE5-8795-4819426FF7A3}" type="pres">
      <dgm:prSet presAssocID="{BD1479AF-A01C-4AFA-A47B-F4E77788634E}" presName="hierChild7" presStyleCnt="0"/>
      <dgm:spPr/>
    </dgm:pt>
    <dgm:pt modelId="{3CCAC2A2-2225-49CD-8D16-00E3D97D6CBE}" type="pres">
      <dgm:prSet presAssocID="{75D02A52-3F59-4312-BCBB-5ACD68BA0630}" presName="Name111" presStyleLbl="parChTrans1D3" presStyleIdx="7" presStyleCnt="9"/>
      <dgm:spPr/>
      <dgm:t>
        <a:bodyPr/>
        <a:lstStyle/>
        <a:p>
          <a:endParaRPr lang="en-US"/>
        </a:p>
      </dgm:t>
    </dgm:pt>
    <dgm:pt modelId="{3C854D23-AB1F-4D7C-B9EA-EB114B8BF288}" type="pres">
      <dgm:prSet presAssocID="{8CBBF26D-7636-46B1-9252-0BECB644B028}" presName="hierRoot3" presStyleCnt="0">
        <dgm:presLayoutVars>
          <dgm:hierBranch val="init"/>
        </dgm:presLayoutVars>
      </dgm:prSet>
      <dgm:spPr/>
    </dgm:pt>
    <dgm:pt modelId="{C7FD2216-AAEF-4827-9F7B-BFC247859632}" type="pres">
      <dgm:prSet presAssocID="{8CBBF26D-7636-46B1-9252-0BECB644B028}" presName="rootComposite3" presStyleCnt="0"/>
      <dgm:spPr/>
    </dgm:pt>
    <dgm:pt modelId="{9AD4DD9B-A7CE-4EBF-86DC-B6319F297BCC}" type="pres">
      <dgm:prSet presAssocID="{8CBBF26D-7636-46B1-9252-0BECB644B028}" presName="rootText3" presStyleLbl="asst1" presStyleIdx="1" presStyleCnt="4" custScaleX="144178" custScaleY="178539">
        <dgm:presLayoutVars>
          <dgm:chPref val="3"/>
        </dgm:presLayoutVars>
      </dgm:prSet>
      <dgm:spPr/>
      <dgm:t>
        <a:bodyPr/>
        <a:lstStyle/>
        <a:p>
          <a:endParaRPr lang="en-US"/>
        </a:p>
      </dgm:t>
    </dgm:pt>
    <dgm:pt modelId="{39DE6890-B65E-4A5C-BEA8-5BDE686FAB8F}" type="pres">
      <dgm:prSet presAssocID="{8CBBF26D-7636-46B1-9252-0BECB644B028}" presName="rootConnector3" presStyleLbl="asst1" presStyleIdx="1" presStyleCnt="4"/>
      <dgm:spPr/>
      <dgm:t>
        <a:bodyPr/>
        <a:lstStyle/>
        <a:p>
          <a:endParaRPr lang="en-US"/>
        </a:p>
      </dgm:t>
    </dgm:pt>
    <dgm:pt modelId="{24F967A6-42A6-49BF-A2A7-B6A529D974B1}" type="pres">
      <dgm:prSet presAssocID="{8CBBF26D-7636-46B1-9252-0BECB644B028}" presName="hierChild6" presStyleCnt="0"/>
      <dgm:spPr/>
    </dgm:pt>
    <dgm:pt modelId="{906D11F1-34F6-416E-8F98-AECE1FD2043C}" type="pres">
      <dgm:prSet presAssocID="{8CBBF26D-7636-46B1-9252-0BECB644B028}" presName="hierChild7" presStyleCnt="0"/>
      <dgm:spPr/>
    </dgm:pt>
    <dgm:pt modelId="{B1DC8699-5F31-4D05-8E79-872787D865DC}" type="pres">
      <dgm:prSet presAssocID="{5E95B302-015F-4DBF-A607-CD2E27A8E543}" presName="Name111" presStyleLbl="parChTrans1D4" presStyleIdx="0" presStyleCnt="1"/>
      <dgm:spPr/>
      <dgm:t>
        <a:bodyPr/>
        <a:lstStyle/>
        <a:p>
          <a:endParaRPr lang="en-US"/>
        </a:p>
      </dgm:t>
    </dgm:pt>
    <dgm:pt modelId="{71E8B432-7FBC-46D8-9065-A49AD8026650}" type="pres">
      <dgm:prSet presAssocID="{0F8F1966-2A75-4105-AD94-51EF4EDAA76A}" presName="hierRoot3" presStyleCnt="0">
        <dgm:presLayoutVars>
          <dgm:hierBranch val="init"/>
        </dgm:presLayoutVars>
      </dgm:prSet>
      <dgm:spPr/>
    </dgm:pt>
    <dgm:pt modelId="{8A7332C4-1158-4B72-BA0E-225988CE8B1D}" type="pres">
      <dgm:prSet presAssocID="{0F8F1966-2A75-4105-AD94-51EF4EDAA76A}" presName="rootComposite3" presStyleCnt="0"/>
      <dgm:spPr/>
    </dgm:pt>
    <dgm:pt modelId="{9C10512B-3029-4EB7-8C01-59946DF59509}" type="pres">
      <dgm:prSet presAssocID="{0F8F1966-2A75-4105-AD94-51EF4EDAA76A}" presName="rootText3" presStyleLbl="asst1" presStyleIdx="2" presStyleCnt="4" custScaleX="115037" custScaleY="145905">
        <dgm:presLayoutVars>
          <dgm:chPref val="3"/>
        </dgm:presLayoutVars>
      </dgm:prSet>
      <dgm:spPr/>
      <dgm:t>
        <a:bodyPr/>
        <a:lstStyle/>
        <a:p>
          <a:endParaRPr lang="en-US"/>
        </a:p>
      </dgm:t>
    </dgm:pt>
    <dgm:pt modelId="{E7DCC2F4-B2F1-4AD4-A9B2-848D8E0DEE6F}" type="pres">
      <dgm:prSet presAssocID="{0F8F1966-2A75-4105-AD94-51EF4EDAA76A}" presName="rootConnector3" presStyleLbl="asst1" presStyleIdx="2" presStyleCnt="4"/>
      <dgm:spPr/>
      <dgm:t>
        <a:bodyPr/>
        <a:lstStyle/>
        <a:p>
          <a:endParaRPr lang="en-US"/>
        </a:p>
      </dgm:t>
    </dgm:pt>
    <dgm:pt modelId="{AC5D53F3-FD77-44B5-AE70-9B8FE5BA67D5}" type="pres">
      <dgm:prSet presAssocID="{0F8F1966-2A75-4105-AD94-51EF4EDAA76A}" presName="hierChild6" presStyleCnt="0"/>
      <dgm:spPr/>
    </dgm:pt>
    <dgm:pt modelId="{D1250D43-24BE-45F5-8C7C-3F0A5B7908A5}" type="pres">
      <dgm:prSet presAssocID="{0F8F1966-2A75-4105-AD94-51EF4EDAA76A}" presName="hierChild7" presStyleCnt="0"/>
      <dgm:spPr/>
    </dgm:pt>
    <dgm:pt modelId="{2958E4AF-5364-4325-83AE-A45EC4BA03C5}" type="pres">
      <dgm:prSet presAssocID="{556EDE8C-B98D-4871-9B28-C799F84F0CBC}" presName="Name111" presStyleLbl="parChTrans1D3" presStyleIdx="8" presStyleCnt="9"/>
      <dgm:spPr/>
      <dgm:t>
        <a:bodyPr/>
        <a:lstStyle/>
        <a:p>
          <a:endParaRPr lang="en-US"/>
        </a:p>
      </dgm:t>
    </dgm:pt>
    <dgm:pt modelId="{B59DBFE1-8E17-46E3-B6FC-9B378CE099B0}" type="pres">
      <dgm:prSet presAssocID="{160C8BE8-F19E-4A06-AC5B-4ED3724AD524}" presName="hierRoot3" presStyleCnt="0">
        <dgm:presLayoutVars>
          <dgm:hierBranch val="init"/>
        </dgm:presLayoutVars>
      </dgm:prSet>
      <dgm:spPr/>
    </dgm:pt>
    <dgm:pt modelId="{76A8ABE0-F343-4484-8688-11B58C597378}" type="pres">
      <dgm:prSet presAssocID="{160C8BE8-F19E-4A06-AC5B-4ED3724AD524}" presName="rootComposite3" presStyleCnt="0"/>
      <dgm:spPr/>
    </dgm:pt>
    <dgm:pt modelId="{FB59F8E5-D6DF-4191-8FE6-70881DD9B5C6}" type="pres">
      <dgm:prSet presAssocID="{160C8BE8-F19E-4A06-AC5B-4ED3724AD524}" presName="rootText3" presStyleLbl="asst1" presStyleIdx="3" presStyleCnt="4" custScaleX="136813" custScaleY="165622">
        <dgm:presLayoutVars>
          <dgm:chPref val="3"/>
        </dgm:presLayoutVars>
      </dgm:prSet>
      <dgm:spPr/>
      <dgm:t>
        <a:bodyPr/>
        <a:lstStyle/>
        <a:p>
          <a:endParaRPr lang="en-US"/>
        </a:p>
      </dgm:t>
    </dgm:pt>
    <dgm:pt modelId="{5020AC10-0172-4273-BD10-90D14660F3D8}" type="pres">
      <dgm:prSet presAssocID="{160C8BE8-F19E-4A06-AC5B-4ED3724AD524}" presName="rootConnector3" presStyleLbl="asst1" presStyleIdx="3" presStyleCnt="4"/>
      <dgm:spPr/>
      <dgm:t>
        <a:bodyPr/>
        <a:lstStyle/>
        <a:p>
          <a:endParaRPr lang="en-US"/>
        </a:p>
      </dgm:t>
    </dgm:pt>
    <dgm:pt modelId="{EC09CFD2-1B68-4186-987E-D6FF36D9267E}" type="pres">
      <dgm:prSet presAssocID="{160C8BE8-F19E-4A06-AC5B-4ED3724AD524}" presName="hierChild6" presStyleCnt="0"/>
      <dgm:spPr/>
    </dgm:pt>
    <dgm:pt modelId="{407D4BBE-CD9B-4766-BB95-8E5F1566ED59}" type="pres">
      <dgm:prSet presAssocID="{160C8BE8-F19E-4A06-AC5B-4ED3724AD524}" presName="hierChild7" presStyleCnt="0"/>
      <dgm:spPr/>
    </dgm:pt>
  </dgm:ptLst>
  <dgm:cxnLst>
    <dgm:cxn modelId="{AF8D1059-9104-934E-8073-FBBBE1025165}" type="presOf" srcId="{5E95B302-015F-4DBF-A607-CD2E27A8E543}" destId="{B1DC8699-5F31-4D05-8E79-872787D865DC}" srcOrd="0" destOrd="0" presId="urn:microsoft.com/office/officeart/2005/8/layout/orgChart1"/>
    <dgm:cxn modelId="{2B3526E2-B2D0-7041-9F2B-3B2F84099054}" type="presOf" srcId="{BD1479AF-A01C-4AFA-A47B-F4E77788634E}" destId="{9DFDE89A-7C26-4F65-BCA3-885A23099A9C}" srcOrd="1" destOrd="0" presId="urn:microsoft.com/office/officeart/2005/8/layout/orgChart1"/>
    <dgm:cxn modelId="{77968758-29D0-2E40-8541-17BCD06FBB1E}" type="presOf" srcId="{12853341-762B-466B-8F97-E8125FD3AAC2}" destId="{E83BC7A9-C5C7-4568-A66D-1021CF9B9D85}" srcOrd="1" destOrd="0" presId="urn:microsoft.com/office/officeart/2005/8/layout/orgChart1"/>
    <dgm:cxn modelId="{83006C12-FE90-2E49-A578-1F36936A7B3C}" type="presOf" srcId="{31653D78-A411-411C-A30D-E99E3675692D}" destId="{FA4402AB-07C4-4870-B7FB-B2C12F89DD85}" srcOrd="0" destOrd="0" presId="urn:microsoft.com/office/officeart/2005/8/layout/orgChart1"/>
    <dgm:cxn modelId="{7BBB2AC5-DDD1-394A-99F2-6BE6277013C3}" type="presOf" srcId="{1334AE12-4ECF-4E98-8A7F-4AA86DFB0F6B}" destId="{68A28840-7CAD-49E9-9A18-47CC4A8E8B48}" srcOrd="0" destOrd="0" presId="urn:microsoft.com/office/officeart/2005/8/layout/orgChart1"/>
    <dgm:cxn modelId="{3BCB0423-E06F-2F46-B024-6A84EF8BA0F0}" type="presOf" srcId="{556EDE8C-B98D-4871-9B28-C799F84F0CBC}" destId="{2958E4AF-5364-4325-83AE-A45EC4BA03C5}" srcOrd="0" destOrd="0" presId="urn:microsoft.com/office/officeart/2005/8/layout/orgChart1"/>
    <dgm:cxn modelId="{E0A438AC-CE52-A841-A102-1898483DA31B}" type="presOf" srcId="{75D02A52-3F59-4312-BCBB-5ACD68BA0630}" destId="{3CCAC2A2-2225-49CD-8D16-00E3D97D6CBE}" srcOrd="0" destOrd="0" presId="urn:microsoft.com/office/officeart/2005/8/layout/orgChart1"/>
    <dgm:cxn modelId="{7B5B44C8-F933-594D-A8EC-192D3BE9B7C8}" type="presOf" srcId="{0C17E9C6-0DCF-4C58-BB27-05DA0E0734DE}" destId="{022B9AF1-1932-4DF1-AC0A-05BE81874698}" srcOrd="1" destOrd="0" presId="urn:microsoft.com/office/officeart/2005/8/layout/orgChart1"/>
    <dgm:cxn modelId="{53C7298B-EADB-C149-90D8-3D0FFC8DF04D}" type="presOf" srcId="{86BA4E5D-89A1-404D-B223-5EE234100981}" destId="{0FA3E0A2-BC6A-4FE5-97D2-0D92C2E59B2A}" srcOrd="0" destOrd="0" presId="urn:microsoft.com/office/officeart/2005/8/layout/orgChart1"/>
    <dgm:cxn modelId="{7F46A3B8-6620-E041-A4FB-8001EB3F8F7C}" type="presOf" srcId="{86BA4E5D-89A1-404D-B223-5EE234100981}" destId="{B5F0C6CD-267D-472E-9484-828C98D7930C}" srcOrd="1" destOrd="0" presId="urn:microsoft.com/office/officeart/2005/8/layout/orgChart1"/>
    <dgm:cxn modelId="{0549D559-62EA-1946-A9EB-3A2DD74F7E21}" type="presOf" srcId="{ED9FE741-1392-4D4F-A133-E98A04A192DA}" destId="{2E44F67A-6D45-47B2-9B77-D4C008CF7B66}" srcOrd="0" destOrd="0" presId="urn:microsoft.com/office/officeart/2005/8/layout/orgChart1"/>
    <dgm:cxn modelId="{C541CC84-E16E-6347-BEBF-008C34979DD2}" type="presOf" srcId="{BFDA9330-7410-41BD-9310-A5AE5B6CDBA3}" destId="{FA061147-DD87-45F6-BC3C-8B50CCB6802A}" srcOrd="0" destOrd="0" presId="urn:microsoft.com/office/officeart/2005/8/layout/orgChart1"/>
    <dgm:cxn modelId="{6B080DDE-6E92-43D8-966B-69AEC02F66A7}" srcId="{655BD51A-B324-4284-B181-80CE74775464}" destId="{12853341-762B-466B-8F97-E8125FD3AAC2}" srcOrd="0" destOrd="0" parTransId="{D31351E1-FFB9-48E4-8951-14A013FA6D94}" sibTransId="{B298BCC0-56BF-44E7-98ED-8381EEC395DB}"/>
    <dgm:cxn modelId="{87AFAC98-5B11-0B4F-8142-390BE550CEFB}" type="presOf" srcId="{12853341-762B-466B-8F97-E8125FD3AAC2}" destId="{376C5816-D265-42B3-A654-2C213E9FEBE5}" srcOrd="0" destOrd="0" presId="urn:microsoft.com/office/officeart/2005/8/layout/orgChart1"/>
    <dgm:cxn modelId="{C714B812-4001-480F-B5EF-97C7C67D64F4}" srcId="{12853341-762B-466B-8F97-E8125FD3AAC2}" destId="{C1FD0110-042A-4837-8BB6-A27F3C50387B}" srcOrd="1" destOrd="0" parTransId="{4D3BD9D5-564D-41F6-A331-C11EA1620A9F}" sibTransId="{0168A894-04ED-4DB7-8FF1-F352BF38B26C}"/>
    <dgm:cxn modelId="{3E90BF5F-D6F2-8646-945E-B399BFC7533D}" type="presOf" srcId="{8CBBF26D-7636-46B1-9252-0BECB644B028}" destId="{39DE6890-B65E-4A5C-BEA8-5BDE686FAB8F}" srcOrd="1" destOrd="0" presId="urn:microsoft.com/office/officeart/2005/8/layout/orgChart1"/>
    <dgm:cxn modelId="{C211819D-7A45-9646-B853-203C573D4F94}" type="presOf" srcId="{C1FD0110-042A-4837-8BB6-A27F3C50387B}" destId="{51C54C9C-CAFF-4650-B76A-4966AD965A5D}" srcOrd="0" destOrd="0" presId="urn:microsoft.com/office/officeart/2005/8/layout/orgChart1"/>
    <dgm:cxn modelId="{9368E456-EE90-E246-B51B-ABAB84EE16BA}" type="presOf" srcId="{655BD51A-B324-4284-B181-80CE74775464}" destId="{BFBFBB6F-4431-4233-81C6-3EAD48AE6979}" srcOrd="0" destOrd="0" presId="urn:microsoft.com/office/officeart/2005/8/layout/orgChart1"/>
    <dgm:cxn modelId="{3F5E4D5A-4674-C349-9717-AF323FAEF2FE}" type="presOf" srcId="{8CBBF26D-7636-46B1-9252-0BECB644B028}" destId="{9AD4DD9B-A7CE-4EBF-86DC-B6319F297BCC}" srcOrd="0" destOrd="0" presId="urn:microsoft.com/office/officeart/2005/8/layout/orgChart1"/>
    <dgm:cxn modelId="{98AF1F18-6445-4A4B-9713-2479255351FE}" type="presOf" srcId="{D10EFB02-E577-43CD-9E39-598CA12F1F69}" destId="{E8178DC6-2B62-4F2B-B3C5-29D96CD55A93}" srcOrd="0" destOrd="0" presId="urn:microsoft.com/office/officeart/2005/8/layout/orgChart1"/>
    <dgm:cxn modelId="{83A67E30-6C73-4D1D-AAEB-0C94EF04DDCC}" srcId="{12853341-762B-466B-8F97-E8125FD3AAC2}" destId="{3C9FA51F-FFF2-4B14-8B18-3FBBAF5D2922}" srcOrd="2" destOrd="0" parTransId="{ED9FE741-1392-4D4F-A133-E98A04A192DA}" sibTransId="{C7EBD6E6-3F33-4500-878F-2B3C15D0E6BD}"/>
    <dgm:cxn modelId="{7F3D0AAD-80DB-4FA3-B742-25EA94B4AD11}" srcId="{BD1479AF-A01C-4AFA-A47B-F4E77788634E}" destId="{8CBBF26D-7636-46B1-9252-0BECB644B028}" srcOrd="0" destOrd="0" parTransId="{75D02A52-3F59-4312-BCBB-5ACD68BA0630}" sibTransId="{7A42B40B-3204-4EF1-8E44-8A9C29AD41A2}"/>
    <dgm:cxn modelId="{B321E986-2A2B-D244-B28E-47BD1B0593B9}" type="presOf" srcId="{160C8BE8-F19E-4A06-AC5B-4ED3724AD524}" destId="{FB59F8E5-D6DF-4191-8FE6-70881DD9B5C6}" srcOrd="0" destOrd="0" presId="urn:microsoft.com/office/officeart/2005/8/layout/orgChart1"/>
    <dgm:cxn modelId="{2E5F48D2-2365-4800-A83B-B45DCC670408}" srcId="{3C9FA51F-FFF2-4B14-8B18-3FBBAF5D2922}" destId="{BFDA9330-7410-41BD-9310-A5AE5B6CDBA3}" srcOrd="2" destOrd="0" parTransId="{327E7AFA-5D30-47E1-BD8C-B01D10FB7DCF}" sibTransId="{2E7AC3E1-0DCC-4827-9F6E-81BD01F5AE22}"/>
    <dgm:cxn modelId="{4308E8D0-069F-4D60-9143-C37C4A2D5014}" srcId="{3C9FA51F-FFF2-4B14-8B18-3FBBAF5D2922}" destId="{86BA4E5D-89A1-404D-B223-5EE234100981}" srcOrd="3" destOrd="0" parTransId="{97805281-4045-4BA4-B09D-2C9578B3E396}" sibTransId="{887E72E7-AAD7-4A5B-872A-F9DA57B44B61}"/>
    <dgm:cxn modelId="{D2BAB10E-04E7-9140-B3B8-8329DE300EE7}" type="presOf" srcId="{82C447A4-1AB3-49D5-B3CC-BEB95CA9ECC6}" destId="{5A3162BD-BF83-4C40-B62D-079923578406}" srcOrd="1" destOrd="0" presId="urn:microsoft.com/office/officeart/2005/8/layout/orgChart1"/>
    <dgm:cxn modelId="{F3CFA1BF-CBFD-E244-B1B5-334CFB318DFB}" type="presOf" srcId="{0C17E9C6-0DCF-4C58-BB27-05DA0E0734DE}" destId="{CDB3C0CA-DA8E-44DE-AF16-BE4184671A7C}" srcOrd="0" destOrd="0" presId="urn:microsoft.com/office/officeart/2005/8/layout/orgChart1"/>
    <dgm:cxn modelId="{15381E71-D6A9-AF4F-88F1-49F223F7AB8A}" type="presOf" srcId="{E196E8CE-DFDF-4752-A85C-797BB484A9EA}" destId="{866F1C9F-BBF9-48F2-856A-669680B237E6}" srcOrd="1" destOrd="0" presId="urn:microsoft.com/office/officeart/2005/8/layout/orgChart1"/>
    <dgm:cxn modelId="{CCE06222-BE78-4C47-AF10-9477690F08CC}" srcId="{3C9FA51F-FFF2-4B14-8B18-3FBBAF5D2922}" destId="{0D7C9EC2-D72D-4332-BF80-3A611DD729CD}" srcOrd="4" destOrd="0" parTransId="{E36D03F3-9FAE-4321-B0DC-61EEBCDAEF87}" sibTransId="{8FE03481-DEB0-41D2-A0E0-9A9D4D96CDFD}"/>
    <dgm:cxn modelId="{B863B54F-A3A9-1746-95E2-4379E321A46C}" type="presOf" srcId="{0F8F1966-2A75-4105-AD94-51EF4EDAA76A}" destId="{E7DCC2F4-B2F1-4AD4-A9B2-848D8E0DEE6F}" srcOrd="1" destOrd="0" presId="urn:microsoft.com/office/officeart/2005/8/layout/orgChart1"/>
    <dgm:cxn modelId="{7987406E-B833-4EED-9BAC-ADF167379EC8}" srcId="{3C9FA51F-FFF2-4B14-8B18-3FBBAF5D2922}" destId="{E196E8CE-DFDF-4752-A85C-797BB484A9EA}" srcOrd="1" destOrd="0" parTransId="{EC8BA2A6-3F65-48F1-81E7-2BC77348D954}" sibTransId="{FA6DFACB-5F5B-4823-A86C-ED7A302B04D3}"/>
    <dgm:cxn modelId="{343E88BD-B527-4D84-8E6C-A3E75292AA95}" srcId="{12853341-762B-466B-8F97-E8125FD3AAC2}" destId="{BD1479AF-A01C-4AFA-A47B-F4E77788634E}" srcOrd="0" destOrd="0" parTransId="{D10EFB02-E577-43CD-9E39-598CA12F1F69}" sibTransId="{16795C79-1253-4B3E-BCDC-CDDD8824CED2}"/>
    <dgm:cxn modelId="{969ED302-AE38-3D44-84CF-E1C3829F20E9}" type="presOf" srcId="{3C9FA51F-FFF2-4B14-8B18-3FBBAF5D2922}" destId="{4E6A8F91-5973-45E3-A221-685225FDA7D1}" srcOrd="1" destOrd="0" presId="urn:microsoft.com/office/officeart/2005/8/layout/orgChart1"/>
    <dgm:cxn modelId="{0148B89D-7E92-4E89-B33E-CB122FA823A2}" srcId="{3C9FA51F-FFF2-4B14-8B18-3FBBAF5D2922}" destId="{0C17E9C6-0DCF-4C58-BB27-05DA0E0734DE}" srcOrd="0" destOrd="0" parTransId="{A00E6852-B561-4415-BABA-6150FA774AEA}" sibTransId="{141ADE5B-498E-4D65-AF78-3DC23AC4E05C}"/>
    <dgm:cxn modelId="{662354B0-0231-4067-8449-C36FA407D6F9}" srcId="{C1FD0110-042A-4837-8BB6-A27F3C50387B}" destId="{230BF020-6E93-40A2-8700-7E3B64CC4E66}" srcOrd="0" destOrd="0" parTransId="{1334AE12-4ECF-4E98-8A7F-4AA86DFB0F6B}" sibTransId="{5A0F22F8-04BE-45CC-8522-0E29C7F6D286}"/>
    <dgm:cxn modelId="{54C71264-BBC8-6546-BCA5-DA29E6E4726E}" type="presOf" srcId="{BFDA9330-7410-41BD-9310-A5AE5B6CDBA3}" destId="{846F393F-5359-4757-B59D-DC3F236BB26F}" srcOrd="1" destOrd="0" presId="urn:microsoft.com/office/officeart/2005/8/layout/orgChart1"/>
    <dgm:cxn modelId="{7E171B2C-5965-074A-994F-18610A12B8FF}" type="presOf" srcId="{4D3BD9D5-564D-41F6-A331-C11EA1620A9F}" destId="{9BB202C0-A897-4E89-B415-553A0F2D7810}" srcOrd="0" destOrd="0" presId="urn:microsoft.com/office/officeart/2005/8/layout/orgChart1"/>
    <dgm:cxn modelId="{92028268-DA77-B246-B3EC-E33FE7C78E38}" type="presOf" srcId="{C1FD0110-042A-4837-8BB6-A27F3C50387B}" destId="{06BD7EDD-E723-4BDF-805C-248E05447F0F}" srcOrd="1" destOrd="0" presId="urn:microsoft.com/office/officeart/2005/8/layout/orgChart1"/>
    <dgm:cxn modelId="{A34D73BB-5D13-8C43-AA39-0863DD7B02B0}" type="presOf" srcId="{160C8BE8-F19E-4A06-AC5B-4ED3724AD524}" destId="{5020AC10-0172-4273-BD10-90D14660F3D8}" srcOrd="1" destOrd="0" presId="urn:microsoft.com/office/officeart/2005/8/layout/orgChart1"/>
    <dgm:cxn modelId="{B79842B0-F1CC-764C-8262-34D485B90D98}" type="presOf" srcId="{3C9FA51F-FFF2-4B14-8B18-3FBBAF5D2922}" destId="{6E97E65E-1497-40B0-AE6C-FC6765E908B1}" srcOrd="0" destOrd="0" presId="urn:microsoft.com/office/officeart/2005/8/layout/orgChart1"/>
    <dgm:cxn modelId="{58D437C8-57C1-4ADD-82A1-924FFE2B8AAC}" srcId="{BD1479AF-A01C-4AFA-A47B-F4E77788634E}" destId="{160C8BE8-F19E-4A06-AC5B-4ED3724AD524}" srcOrd="1" destOrd="0" parTransId="{556EDE8C-B98D-4871-9B28-C799F84F0CBC}" sibTransId="{392F39E6-2D05-4C7A-8FBA-E6F9FEDFC93A}"/>
    <dgm:cxn modelId="{38985D27-EA35-CC4A-A11B-669AFE7560F6}" type="presOf" srcId="{E196E8CE-DFDF-4752-A85C-797BB484A9EA}" destId="{4C4D2F66-BCAF-4E76-B0BD-2C73CD7BE77C}" srcOrd="0" destOrd="0" presId="urn:microsoft.com/office/officeart/2005/8/layout/orgChart1"/>
    <dgm:cxn modelId="{26CABF37-6D31-5442-B1B9-0A73D0667F04}" type="presOf" srcId="{0F8F1966-2A75-4105-AD94-51EF4EDAA76A}" destId="{9C10512B-3029-4EB7-8C01-59946DF59509}" srcOrd="0" destOrd="0" presId="urn:microsoft.com/office/officeart/2005/8/layout/orgChart1"/>
    <dgm:cxn modelId="{9E3CA37A-8463-1B42-A19E-3CCDD9B42B0B}" type="presOf" srcId="{327E7AFA-5D30-47E1-BD8C-B01D10FB7DCF}" destId="{ADDF3633-0D0F-498C-B3BC-BAAF69546B7D}" srcOrd="0" destOrd="0" presId="urn:microsoft.com/office/officeart/2005/8/layout/orgChart1"/>
    <dgm:cxn modelId="{CA383E4D-0D53-0E43-8CC6-490577D5CC16}" type="presOf" srcId="{82C447A4-1AB3-49D5-B3CC-BEB95CA9ECC6}" destId="{57AB7816-5264-4328-AE1D-0433DBC8B845}" srcOrd="0" destOrd="0" presId="urn:microsoft.com/office/officeart/2005/8/layout/orgChart1"/>
    <dgm:cxn modelId="{D6307564-87D6-F34B-B6C8-21CFAA3CC467}" type="presOf" srcId="{BD1479AF-A01C-4AFA-A47B-F4E77788634E}" destId="{8CEF0B9D-2906-40A9-AAD4-765449C1DDAE}" srcOrd="0" destOrd="0" presId="urn:microsoft.com/office/officeart/2005/8/layout/orgChart1"/>
    <dgm:cxn modelId="{B0A30ECD-10C2-544F-A325-77DFE651531C}" type="presOf" srcId="{0D7C9EC2-D72D-4332-BF80-3A611DD729CD}" destId="{042D00AB-3901-40E3-ADF8-969A5FF542F6}" srcOrd="0" destOrd="0" presId="urn:microsoft.com/office/officeart/2005/8/layout/orgChart1"/>
    <dgm:cxn modelId="{DF72D3C8-AA81-5044-AC2F-2E021EF1ECE1}" type="presOf" srcId="{0D7C9EC2-D72D-4332-BF80-3A611DD729CD}" destId="{55D97DAC-0847-4292-AC8E-352FA420B2BB}" srcOrd="1" destOrd="0" presId="urn:microsoft.com/office/officeart/2005/8/layout/orgChart1"/>
    <dgm:cxn modelId="{20BFBFDA-1E19-4B94-9973-12E8219EFA47}" srcId="{8CBBF26D-7636-46B1-9252-0BECB644B028}" destId="{0F8F1966-2A75-4105-AD94-51EF4EDAA76A}" srcOrd="0" destOrd="0" parTransId="{5E95B302-015F-4DBF-A607-CD2E27A8E543}" sibTransId="{94CCE9D0-1C1B-465E-B721-B25560C1D2AE}"/>
    <dgm:cxn modelId="{8AE02D3E-5200-A245-A038-A7C6B766C1D4}" type="presOf" srcId="{230BF020-6E93-40A2-8700-7E3B64CC4E66}" destId="{6FB4B1D1-BDB7-47B0-85AB-91AD9AA1B862}" srcOrd="0" destOrd="0" presId="urn:microsoft.com/office/officeart/2005/8/layout/orgChart1"/>
    <dgm:cxn modelId="{514E8DAA-9E95-EC47-AB99-FFDF8260CDB9}" type="presOf" srcId="{E36D03F3-9FAE-4321-B0DC-61EEBCDAEF87}" destId="{81F357CF-C91A-4ED2-8775-866652739F6D}" srcOrd="0" destOrd="0" presId="urn:microsoft.com/office/officeart/2005/8/layout/orgChart1"/>
    <dgm:cxn modelId="{A939EAFE-1333-475C-BC40-2970C9039961}" srcId="{C1FD0110-042A-4837-8BB6-A27F3C50387B}" destId="{82C447A4-1AB3-49D5-B3CC-BEB95CA9ECC6}" srcOrd="1" destOrd="0" parTransId="{31653D78-A411-411C-A30D-E99E3675692D}" sibTransId="{603F8120-63A4-4EB7-A89F-0C3B5054C5F2}"/>
    <dgm:cxn modelId="{85F7CDEF-28B5-BD40-A959-12854CE57016}" type="presOf" srcId="{A00E6852-B561-4415-BABA-6150FA774AEA}" destId="{B2BD551F-A190-4B5A-9275-31BA7A23B335}" srcOrd="0" destOrd="0" presId="urn:microsoft.com/office/officeart/2005/8/layout/orgChart1"/>
    <dgm:cxn modelId="{33F9A06C-86B9-4D49-A19E-F3004EB2E5A3}" type="presOf" srcId="{EC8BA2A6-3F65-48F1-81E7-2BC77348D954}" destId="{D05130B5-41EE-452C-B85B-A830298A8DBB}" srcOrd="0" destOrd="0" presId="urn:microsoft.com/office/officeart/2005/8/layout/orgChart1"/>
    <dgm:cxn modelId="{73AC91D9-EA0B-014E-B862-326645FAB400}" type="presOf" srcId="{230BF020-6E93-40A2-8700-7E3B64CC4E66}" destId="{E6FDBD1D-4427-4232-8E9B-6BBE888AB4D1}" srcOrd="1" destOrd="0" presId="urn:microsoft.com/office/officeart/2005/8/layout/orgChart1"/>
    <dgm:cxn modelId="{7809331D-1BC5-E345-A4EF-1DE9DBD308E0}" type="presOf" srcId="{97805281-4045-4BA4-B09D-2C9578B3E396}" destId="{309AAA87-480C-470A-B457-B748F210565E}" srcOrd="0" destOrd="0" presId="urn:microsoft.com/office/officeart/2005/8/layout/orgChart1"/>
    <dgm:cxn modelId="{5AC796BA-35EA-C04F-B09D-74103BF1BF24}" type="presParOf" srcId="{BFBFBB6F-4431-4233-81C6-3EAD48AE6979}" destId="{E865705D-C4B2-4D89-AEAA-35EA2392C14D}" srcOrd="0" destOrd="0" presId="urn:microsoft.com/office/officeart/2005/8/layout/orgChart1"/>
    <dgm:cxn modelId="{174EEE94-5D67-7F49-AE53-B28F4E69FA1E}" type="presParOf" srcId="{E865705D-C4B2-4D89-AEAA-35EA2392C14D}" destId="{6C9953C8-ACCE-45E1-AAB4-E65FA85ED062}" srcOrd="0" destOrd="0" presId="urn:microsoft.com/office/officeart/2005/8/layout/orgChart1"/>
    <dgm:cxn modelId="{BD90B002-539B-E44A-8A74-3DBFB2419A27}" type="presParOf" srcId="{6C9953C8-ACCE-45E1-AAB4-E65FA85ED062}" destId="{376C5816-D265-42B3-A654-2C213E9FEBE5}" srcOrd="0" destOrd="0" presId="urn:microsoft.com/office/officeart/2005/8/layout/orgChart1"/>
    <dgm:cxn modelId="{BB9B0999-EE9F-7747-968E-4C2BEA6EEF0E}" type="presParOf" srcId="{6C9953C8-ACCE-45E1-AAB4-E65FA85ED062}" destId="{E83BC7A9-C5C7-4568-A66D-1021CF9B9D85}" srcOrd="1" destOrd="0" presId="urn:microsoft.com/office/officeart/2005/8/layout/orgChart1"/>
    <dgm:cxn modelId="{A70B558E-76A1-AD49-B1B8-4D0F07F256F5}" type="presParOf" srcId="{E865705D-C4B2-4D89-AEAA-35EA2392C14D}" destId="{30B358BC-A56A-4B55-B196-FFC33D0DE94C}" srcOrd="1" destOrd="0" presId="urn:microsoft.com/office/officeart/2005/8/layout/orgChart1"/>
    <dgm:cxn modelId="{52BF1F63-039C-A443-AFC2-FA3C4B61D6AD}" type="presParOf" srcId="{30B358BC-A56A-4B55-B196-FFC33D0DE94C}" destId="{9BB202C0-A897-4E89-B415-553A0F2D7810}" srcOrd="0" destOrd="0" presId="urn:microsoft.com/office/officeart/2005/8/layout/orgChart1"/>
    <dgm:cxn modelId="{774A6B25-7AC5-0249-87C4-F8F6A864B38D}" type="presParOf" srcId="{30B358BC-A56A-4B55-B196-FFC33D0DE94C}" destId="{5F73FED8-8125-4ACE-8C34-3DC4945D5C69}" srcOrd="1" destOrd="0" presId="urn:microsoft.com/office/officeart/2005/8/layout/orgChart1"/>
    <dgm:cxn modelId="{C8DD155E-6262-7D44-A586-0B1E8B012AD3}" type="presParOf" srcId="{5F73FED8-8125-4ACE-8C34-3DC4945D5C69}" destId="{5C6F2517-DB1A-42DD-BCD1-894B8DDEF04A}" srcOrd="0" destOrd="0" presId="urn:microsoft.com/office/officeart/2005/8/layout/orgChart1"/>
    <dgm:cxn modelId="{7A1C5300-6537-C54E-B3CB-09F4F75F20D2}" type="presParOf" srcId="{5C6F2517-DB1A-42DD-BCD1-894B8DDEF04A}" destId="{51C54C9C-CAFF-4650-B76A-4966AD965A5D}" srcOrd="0" destOrd="0" presId="urn:microsoft.com/office/officeart/2005/8/layout/orgChart1"/>
    <dgm:cxn modelId="{16A8D5B7-B338-3846-B4BA-9456DA90DFA7}" type="presParOf" srcId="{5C6F2517-DB1A-42DD-BCD1-894B8DDEF04A}" destId="{06BD7EDD-E723-4BDF-805C-248E05447F0F}" srcOrd="1" destOrd="0" presId="urn:microsoft.com/office/officeart/2005/8/layout/orgChart1"/>
    <dgm:cxn modelId="{132F0F02-CCCB-DD44-8214-D04E9A60B2A8}" type="presParOf" srcId="{5F73FED8-8125-4ACE-8C34-3DC4945D5C69}" destId="{C7C3551E-3707-498C-9471-FF75E36417DA}" srcOrd="1" destOrd="0" presId="urn:microsoft.com/office/officeart/2005/8/layout/orgChart1"/>
    <dgm:cxn modelId="{4D9D8879-BB4F-864A-B2C7-A22DA8D4771C}" type="presParOf" srcId="{C7C3551E-3707-498C-9471-FF75E36417DA}" destId="{68A28840-7CAD-49E9-9A18-47CC4A8E8B48}" srcOrd="0" destOrd="0" presId="urn:microsoft.com/office/officeart/2005/8/layout/orgChart1"/>
    <dgm:cxn modelId="{96E82601-FB57-DF42-9191-2269D7E50CDE}" type="presParOf" srcId="{C7C3551E-3707-498C-9471-FF75E36417DA}" destId="{AE363DFD-414E-41F6-92B8-1E04D768A6C6}" srcOrd="1" destOrd="0" presId="urn:microsoft.com/office/officeart/2005/8/layout/orgChart1"/>
    <dgm:cxn modelId="{AFA416F3-F313-9046-9AEB-57FFDA8F9C96}" type="presParOf" srcId="{AE363DFD-414E-41F6-92B8-1E04D768A6C6}" destId="{58E63602-64D8-4183-B36B-400349197913}" srcOrd="0" destOrd="0" presId="urn:microsoft.com/office/officeart/2005/8/layout/orgChart1"/>
    <dgm:cxn modelId="{89FEEE82-CD7A-F141-9921-16F40F1B9338}" type="presParOf" srcId="{58E63602-64D8-4183-B36B-400349197913}" destId="{6FB4B1D1-BDB7-47B0-85AB-91AD9AA1B862}" srcOrd="0" destOrd="0" presId="urn:microsoft.com/office/officeart/2005/8/layout/orgChart1"/>
    <dgm:cxn modelId="{6A2C0180-EB16-1B4F-908A-F7C2026F25F2}" type="presParOf" srcId="{58E63602-64D8-4183-B36B-400349197913}" destId="{E6FDBD1D-4427-4232-8E9B-6BBE888AB4D1}" srcOrd="1" destOrd="0" presId="urn:microsoft.com/office/officeart/2005/8/layout/orgChart1"/>
    <dgm:cxn modelId="{4146DA56-2864-2E4F-A8BA-843EFAF552C8}" type="presParOf" srcId="{AE363DFD-414E-41F6-92B8-1E04D768A6C6}" destId="{AE041D7F-1FAA-41E1-B04A-AA270AC44EFF}" srcOrd="1" destOrd="0" presId="urn:microsoft.com/office/officeart/2005/8/layout/orgChart1"/>
    <dgm:cxn modelId="{5B07B209-644B-F644-8D40-1A578BF6C7AC}" type="presParOf" srcId="{AE363DFD-414E-41F6-92B8-1E04D768A6C6}" destId="{2846C6A1-4186-4A76-A055-08541C68A00D}" srcOrd="2" destOrd="0" presId="urn:microsoft.com/office/officeart/2005/8/layout/orgChart1"/>
    <dgm:cxn modelId="{2FDD3DB1-F659-8F43-9FF6-A109FDDA48B7}" type="presParOf" srcId="{C7C3551E-3707-498C-9471-FF75E36417DA}" destId="{FA4402AB-07C4-4870-B7FB-B2C12F89DD85}" srcOrd="2" destOrd="0" presId="urn:microsoft.com/office/officeart/2005/8/layout/orgChart1"/>
    <dgm:cxn modelId="{EDB539A6-AE89-974D-B78B-0D3D23841704}" type="presParOf" srcId="{C7C3551E-3707-498C-9471-FF75E36417DA}" destId="{F8C842A1-6D3D-412C-A374-2977F708C374}" srcOrd="3" destOrd="0" presId="urn:microsoft.com/office/officeart/2005/8/layout/orgChart1"/>
    <dgm:cxn modelId="{FFE53176-B7C6-134A-A2CD-049A991D9549}" type="presParOf" srcId="{F8C842A1-6D3D-412C-A374-2977F708C374}" destId="{91CF3236-B1DB-42B9-8213-024250841819}" srcOrd="0" destOrd="0" presId="urn:microsoft.com/office/officeart/2005/8/layout/orgChart1"/>
    <dgm:cxn modelId="{FE7E3185-C47F-7442-A276-6C0F19D552C9}" type="presParOf" srcId="{91CF3236-B1DB-42B9-8213-024250841819}" destId="{57AB7816-5264-4328-AE1D-0433DBC8B845}" srcOrd="0" destOrd="0" presId="urn:microsoft.com/office/officeart/2005/8/layout/orgChart1"/>
    <dgm:cxn modelId="{23C5A7E5-CA15-364B-87C4-8ED8B4A2A655}" type="presParOf" srcId="{91CF3236-B1DB-42B9-8213-024250841819}" destId="{5A3162BD-BF83-4C40-B62D-079923578406}" srcOrd="1" destOrd="0" presId="urn:microsoft.com/office/officeart/2005/8/layout/orgChart1"/>
    <dgm:cxn modelId="{A927D251-C8AA-D940-AD88-BB2A88868EC4}" type="presParOf" srcId="{F8C842A1-6D3D-412C-A374-2977F708C374}" destId="{94D335CC-F884-4D3A-BCE3-D9A68E5C5ABD}" srcOrd="1" destOrd="0" presId="urn:microsoft.com/office/officeart/2005/8/layout/orgChart1"/>
    <dgm:cxn modelId="{65E5BEE9-6BB4-4B47-BD2C-7F4F4F1E6FE6}" type="presParOf" srcId="{F8C842A1-6D3D-412C-A374-2977F708C374}" destId="{97A8CFDA-80CF-46BB-9BC6-0A277D9253DB}" srcOrd="2" destOrd="0" presId="urn:microsoft.com/office/officeart/2005/8/layout/orgChart1"/>
    <dgm:cxn modelId="{854A76CD-AEAD-5B4E-B339-3FAD46E7EFBB}" type="presParOf" srcId="{5F73FED8-8125-4ACE-8C34-3DC4945D5C69}" destId="{9C023C73-02D3-407B-8633-8BBA316B3AF4}" srcOrd="2" destOrd="0" presId="urn:microsoft.com/office/officeart/2005/8/layout/orgChart1"/>
    <dgm:cxn modelId="{CBA6C141-E817-D943-84D0-6055560E8E10}" type="presParOf" srcId="{30B358BC-A56A-4B55-B196-FFC33D0DE94C}" destId="{2E44F67A-6D45-47B2-9B77-D4C008CF7B66}" srcOrd="2" destOrd="0" presId="urn:microsoft.com/office/officeart/2005/8/layout/orgChart1"/>
    <dgm:cxn modelId="{B75D1BFA-393F-2148-AF89-624FB7554D72}" type="presParOf" srcId="{30B358BC-A56A-4B55-B196-FFC33D0DE94C}" destId="{8B6D26B8-5BD4-43DE-8A8C-2A9372D32E18}" srcOrd="3" destOrd="0" presId="urn:microsoft.com/office/officeart/2005/8/layout/orgChart1"/>
    <dgm:cxn modelId="{D03B0E1A-5952-E144-86C5-BD1C1B34F2DD}" type="presParOf" srcId="{8B6D26B8-5BD4-43DE-8A8C-2A9372D32E18}" destId="{314DD855-B160-438F-99D4-8D7BEB187BEA}" srcOrd="0" destOrd="0" presId="urn:microsoft.com/office/officeart/2005/8/layout/orgChart1"/>
    <dgm:cxn modelId="{676683BF-80CB-A04F-A610-9637257AA89F}" type="presParOf" srcId="{314DD855-B160-438F-99D4-8D7BEB187BEA}" destId="{6E97E65E-1497-40B0-AE6C-FC6765E908B1}" srcOrd="0" destOrd="0" presId="urn:microsoft.com/office/officeart/2005/8/layout/orgChart1"/>
    <dgm:cxn modelId="{53E07378-0C7F-2C4B-927F-20B0B0B88764}" type="presParOf" srcId="{314DD855-B160-438F-99D4-8D7BEB187BEA}" destId="{4E6A8F91-5973-45E3-A221-685225FDA7D1}" srcOrd="1" destOrd="0" presId="urn:microsoft.com/office/officeart/2005/8/layout/orgChart1"/>
    <dgm:cxn modelId="{9E644865-14AD-9C46-8B69-48195F1DE40A}" type="presParOf" srcId="{8B6D26B8-5BD4-43DE-8A8C-2A9372D32E18}" destId="{6B9A24FC-4D92-4774-A416-16D9BACB749E}" srcOrd="1" destOrd="0" presId="urn:microsoft.com/office/officeart/2005/8/layout/orgChart1"/>
    <dgm:cxn modelId="{BF1150A8-D5F5-BD4E-B5F7-E8838B717024}" type="presParOf" srcId="{6B9A24FC-4D92-4774-A416-16D9BACB749E}" destId="{B2BD551F-A190-4B5A-9275-31BA7A23B335}" srcOrd="0" destOrd="0" presId="urn:microsoft.com/office/officeart/2005/8/layout/orgChart1"/>
    <dgm:cxn modelId="{D81F680B-2192-814D-8169-5023EEE43D35}" type="presParOf" srcId="{6B9A24FC-4D92-4774-A416-16D9BACB749E}" destId="{B49AA5DF-5D04-463B-BB2B-0D7575AE87F8}" srcOrd="1" destOrd="0" presId="urn:microsoft.com/office/officeart/2005/8/layout/orgChart1"/>
    <dgm:cxn modelId="{6D512EFE-9429-C546-A199-D8460A56B77B}" type="presParOf" srcId="{B49AA5DF-5D04-463B-BB2B-0D7575AE87F8}" destId="{F3E7E5DD-2A41-4C92-AC0C-7F2942BF8BC0}" srcOrd="0" destOrd="0" presId="urn:microsoft.com/office/officeart/2005/8/layout/orgChart1"/>
    <dgm:cxn modelId="{09ED9220-1E87-9349-BC1F-026DBCB00549}" type="presParOf" srcId="{F3E7E5DD-2A41-4C92-AC0C-7F2942BF8BC0}" destId="{CDB3C0CA-DA8E-44DE-AF16-BE4184671A7C}" srcOrd="0" destOrd="0" presId="urn:microsoft.com/office/officeart/2005/8/layout/orgChart1"/>
    <dgm:cxn modelId="{1BBCA8FB-671B-7D4C-A641-E44FD09FFF28}" type="presParOf" srcId="{F3E7E5DD-2A41-4C92-AC0C-7F2942BF8BC0}" destId="{022B9AF1-1932-4DF1-AC0A-05BE81874698}" srcOrd="1" destOrd="0" presId="urn:microsoft.com/office/officeart/2005/8/layout/orgChart1"/>
    <dgm:cxn modelId="{1CC26334-B076-7940-8175-3CA121844171}" type="presParOf" srcId="{B49AA5DF-5D04-463B-BB2B-0D7575AE87F8}" destId="{55EF63A6-1A0E-4552-BF7F-4738219A9E41}" srcOrd="1" destOrd="0" presId="urn:microsoft.com/office/officeart/2005/8/layout/orgChart1"/>
    <dgm:cxn modelId="{E565BBA1-7060-DF47-9E07-7D46CC2C40F2}" type="presParOf" srcId="{B49AA5DF-5D04-463B-BB2B-0D7575AE87F8}" destId="{6BA8E74F-66FA-4D96-8B8C-89711EDB6F60}" srcOrd="2" destOrd="0" presId="urn:microsoft.com/office/officeart/2005/8/layout/orgChart1"/>
    <dgm:cxn modelId="{978A13EF-0302-A447-9966-6B793170894C}" type="presParOf" srcId="{6B9A24FC-4D92-4774-A416-16D9BACB749E}" destId="{D05130B5-41EE-452C-B85B-A830298A8DBB}" srcOrd="2" destOrd="0" presId="urn:microsoft.com/office/officeart/2005/8/layout/orgChart1"/>
    <dgm:cxn modelId="{FA0D60CE-2318-F748-BAA1-E2DE7C7570F9}" type="presParOf" srcId="{6B9A24FC-4D92-4774-A416-16D9BACB749E}" destId="{42275250-52F9-48C2-8330-67F9AB81E332}" srcOrd="3" destOrd="0" presId="urn:microsoft.com/office/officeart/2005/8/layout/orgChart1"/>
    <dgm:cxn modelId="{21626DED-3952-EA48-B260-39B2B15A463E}" type="presParOf" srcId="{42275250-52F9-48C2-8330-67F9AB81E332}" destId="{8AC2584F-8646-404F-82F9-7F0D25669FEC}" srcOrd="0" destOrd="0" presId="urn:microsoft.com/office/officeart/2005/8/layout/orgChart1"/>
    <dgm:cxn modelId="{D0FB769F-2397-CF45-BBEE-E93742F6320E}" type="presParOf" srcId="{8AC2584F-8646-404F-82F9-7F0D25669FEC}" destId="{4C4D2F66-BCAF-4E76-B0BD-2C73CD7BE77C}" srcOrd="0" destOrd="0" presId="urn:microsoft.com/office/officeart/2005/8/layout/orgChart1"/>
    <dgm:cxn modelId="{1F3C2ECE-ECB3-DE48-9AF2-404B55BCCC45}" type="presParOf" srcId="{8AC2584F-8646-404F-82F9-7F0D25669FEC}" destId="{866F1C9F-BBF9-48F2-856A-669680B237E6}" srcOrd="1" destOrd="0" presId="urn:microsoft.com/office/officeart/2005/8/layout/orgChart1"/>
    <dgm:cxn modelId="{B1958CD8-43E9-4E4F-9836-400E6B6AD371}" type="presParOf" srcId="{42275250-52F9-48C2-8330-67F9AB81E332}" destId="{1EC9D199-6981-46E1-9A58-9EE054BA5F6B}" srcOrd="1" destOrd="0" presId="urn:microsoft.com/office/officeart/2005/8/layout/orgChart1"/>
    <dgm:cxn modelId="{827B5E9E-41C0-5B4D-B290-4FDAD4CDCAE9}" type="presParOf" srcId="{42275250-52F9-48C2-8330-67F9AB81E332}" destId="{5E5E3423-ABAA-41D9-A543-69F633C4ADB2}" srcOrd="2" destOrd="0" presId="urn:microsoft.com/office/officeart/2005/8/layout/orgChart1"/>
    <dgm:cxn modelId="{C8FD4005-C506-9B4B-A21D-B5A1254B2270}" type="presParOf" srcId="{6B9A24FC-4D92-4774-A416-16D9BACB749E}" destId="{ADDF3633-0D0F-498C-B3BC-BAAF69546B7D}" srcOrd="4" destOrd="0" presId="urn:microsoft.com/office/officeart/2005/8/layout/orgChart1"/>
    <dgm:cxn modelId="{00195690-3C0D-2446-BA92-8AFDF0834EBB}" type="presParOf" srcId="{6B9A24FC-4D92-4774-A416-16D9BACB749E}" destId="{65E06656-D327-40A8-A1C8-2CF2339E9AFB}" srcOrd="5" destOrd="0" presId="urn:microsoft.com/office/officeart/2005/8/layout/orgChart1"/>
    <dgm:cxn modelId="{8A8A274E-DF65-B24C-933F-151EC401090B}" type="presParOf" srcId="{65E06656-D327-40A8-A1C8-2CF2339E9AFB}" destId="{3E091EF0-81B1-4062-8381-DC9FC5684CA2}" srcOrd="0" destOrd="0" presId="urn:microsoft.com/office/officeart/2005/8/layout/orgChart1"/>
    <dgm:cxn modelId="{0422E5E2-0011-884A-90A8-17816471C01D}" type="presParOf" srcId="{3E091EF0-81B1-4062-8381-DC9FC5684CA2}" destId="{FA061147-DD87-45F6-BC3C-8B50CCB6802A}" srcOrd="0" destOrd="0" presId="urn:microsoft.com/office/officeart/2005/8/layout/orgChart1"/>
    <dgm:cxn modelId="{CBE9AA32-E81D-4C45-B9AF-960DAFAFBE2A}" type="presParOf" srcId="{3E091EF0-81B1-4062-8381-DC9FC5684CA2}" destId="{846F393F-5359-4757-B59D-DC3F236BB26F}" srcOrd="1" destOrd="0" presId="urn:microsoft.com/office/officeart/2005/8/layout/orgChart1"/>
    <dgm:cxn modelId="{62861833-D341-224B-8DBF-AC46A877F92A}" type="presParOf" srcId="{65E06656-D327-40A8-A1C8-2CF2339E9AFB}" destId="{3F7A9A49-F27C-4F24-A95F-38812DCA8839}" srcOrd="1" destOrd="0" presId="urn:microsoft.com/office/officeart/2005/8/layout/orgChart1"/>
    <dgm:cxn modelId="{5CD9744E-F5B9-9D4E-BDF9-6EDA12C56B28}" type="presParOf" srcId="{65E06656-D327-40A8-A1C8-2CF2339E9AFB}" destId="{BE82A68F-A6A2-4F94-8B09-CE42450960BB}" srcOrd="2" destOrd="0" presId="urn:microsoft.com/office/officeart/2005/8/layout/orgChart1"/>
    <dgm:cxn modelId="{C893D7A3-CA4E-724C-BB70-70BF5A1AB692}" type="presParOf" srcId="{6B9A24FC-4D92-4774-A416-16D9BACB749E}" destId="{309AAA87-480C-470A-B457-B748F210565E}" srcOrd="6" destOrd="0" presId="urn:microsoft.com/office/officeart/2005/8/layout/orgChart1"/>
    <dgm:cxn modelId="{B7CDC515-61FE-4745-8583-08317CF681F2}" type="presParOf" srcId="{6B9A24FC-4D92-4774-A416-16D9BACB749E}" destId="{963AFF7E-7FDD-4E07-83E1-27BA716273E4}" srcOrd="7" destOrd="0" presId="urn:microsoft.com/office/officeart/2005/8/layout/orgChart1"/>
    <dgm:cxn modelId="{7A57D7F8-4F0A-B645-9C96-2B4C3ECE4B55}" type="presParOf" srcId="{963AFF7E-7FDD-4E07-83E1-27BA716273E4}" destId="{3BB2DDB3-662B-48B8-9DD5-F2115D6AFBD7}" srcOrd="0" destOrd="0" presId="urn:microsoft.com/office/officeart/2005/8/layout/orgChart1"/>
    <dgm:cxn modelId="{34C35797-1E4D-A84E-AC06-5C8E20EB17ED}" type="presParOf" srcId="{3BB2DDB3-662B-48B8-9DD5-F2115D6AFBD7}" destId="{0FA3E0A2-BC6A-4FE5-97D2-0D92C2E59B2A}" srcOrd="0" destOrd="0" presId="urn:microsoft.com/office/officeart/2005/8/layout/orgChart1"/>
    <dgm:cxn modelId="{E06E8067-3C46-4248-98EE-07DA0B243550}" type="presParOf" srcId="{3BB2DDB3-662B-48B8-9DD5-F2115D6AFBD7}" destId="{B5F0C6CD-267D-472E-9484-828C98D7930C}" srcOrd="1" destOrd="0" presId="urn:microsoft.com/office/officeart/2005/8/layout/orgChart1"/>
    <dgm:cxn modelId="{92773A7F-0CEC-D645-9857-B97954FE4B3C}" type="presParOf" srcId="{963AFF7E-7FDD-4E07-83E1-27BA716273E4}" destId="{B6498EAA-CEB9-4848-87AE-428E7F174B02}" srcOrd="1" destOrd="0" presId="urn:microsoft.com/office/officeart/2005/8/layout/orgChart1"/>
    <dgm:cxn modelId="{3135C430-9421-0E43-AB1D-9C08B082BC36}" type="presParOf" srcId="{963AFF7E-7FDD-4E07-83E1-27BA716273E4}" destId="{0A53B129-A241-4347-A1F5-A36B08527C97}" srcOrd="2" destOrd="0" presId="urn:microsoft.com/office/officeart/2005/8/layout/orgChart1"/>
    <dgm:cxn modelId="{4E79AA07-9513-1148-8704-65A3A1A4B487}" type="presParOf" srcId="{6B9A24FC-4D92-4774-A416-16D9BACB749E}" destId="{81F357CF-C91A-4ED2-8775-866652739F6D}" srcOrd="8" destOrd="0" presId="urn:microsoft.com/office/officeart/2005/8/layout/orgChart1"/>
    <dgm:cxn modelId="{5BDB339F-7E4D-FE4C-BA00-D68A9EF8A779}" type="presParOf" srcId="{6B9A24FC-4D92-4774-A416-16D9BACB749E}" destId="{AA43D082-6D59-4969-9B0F-5BB93DBC45AB}" srcOrd="9" destOrd="0" presId="urn:microsoft.com/office/officeart/2005/8/layout/orgChart1"/>
    <dgm:cxn modelId="{DF74019C-C8A2-3340-BD85-F6DC7A5C2459}" type="presParOf" srcId="{AA43D082-6D59-4969-9B0F-5BB93DBC45AB}" destId="{9C1BF64E-8293-4D7D-BE62-20630676FEA7}" srcOrd="0" destOrd="0" presId="urn:microsoft.com/office/officeart/2005/8/layout/orgChart1"/>
    <dgm:cxn modelId="{F21615DB-8267-D043-A1A2-4B46DE21B693}" type="presParOf" srcId="{9C1BF64E-8293-4D7D-BE62-20630676FEA7}" destId="{042D00AB-3901-40E3-ADF8-969A5FF542F6}" srcOrd="0" destOrd="0" presId="urn:microsoft.com/office/officeart/2005/8/layout/orgChart1"/>
    <dgm:cxn modelId="{F1FF1B6F-9E98-014C-8458-67E364CA86D2}" type="presParOf" srcId="{9C1BF64E-8293-4D7D-BE62-20630676FEA7}" destId="{55D97DAC-0847-4292-AC8E-352FA420B2BB}" srcOrd="1" destOrd="0" presId="urn:microsoft.com/office/officeart/2005/8/layout/orgChart1"/>
    <dgm:cxn modelId="{43505882-1EE2-CA4F-A700-9E0A73E5B5AF}" type="presParOf" srcId="{AA43D082-6D59-4969-9B0F-5BB93DBC45AB}" destId="{5EF1275A-F019-4AC4-970C-3C5B40B304FB}" srcOrd="1" destOrd="0" presId="urn:microsoft.com/office/officeart/2005/8/layout/orgChart1"/>
    <dgm:cxn modelId="{E1E0D5B1-2871-0D4A-A9B7-400450FFC87D}" type="presParOf" srcId="{AA43D082-6D59-4969-9B0F-5BB93DBC45AB}" destId="{91D6E7FE-D5A3-44DE-9B17-F4DBB6E02DA7}" srcOrd="2" destOrd="0" presId="urn:microsoft.com/office/officeart/2005/8/layout/orgChart1"/>
    <dgm:cxn modelId="{7015A863-16A2-784B-B875-6725CF3B5690}" type="presParOf" srcId="{8B6D26B8-5BD4-43DE-8A8C-2A9372D32E18}" destId="{9B189867-597C-4882-AA1A-4F8F7957CF9D}" srcOrd="2" destOrd="0" presId="urn:microsoft.com/office/officeart/2005/8/layout/orgChart1"/>
    <dgm:cxn modelId="{D77A25D0-D253-5845-8E53-5707617D1649}" type="presParOf" srcId="{E865705D-C4B2-4D89-AEAA-35EA2392C14D}" destId="{1CB8ED41-A650-46E4-8063-8397722CC5F1}" srcOrd="2" destOrd="0" presId="urn:microsoft.com/office/officeart/2005/8/layout/orgChart1"/>
    <dgm:cxn modelId="{9B4E11C2-BB39-5049-9D33-B10D0C92E958}" type="presParOf" srcId="{1CB8ED41-A650-46E4-8063-8397722CC5F1}" destId="{E8178DC6-2B62-4F2B-B3C5-29D96CD55A93}" srcOrd="0" destOrd="0" presId="urn:microsoft.com/office/officeart/2005/8/layout/orgChart1"/>
    <dgm:cxn modelId="{A7B6D6E7-C65F-5F40-938E-EB60421E06CC}" type="presParOf" srcId="{1CB8ED41-A650-46E4-8063-8397722CC5F1}" destId="{CAFBEBE3-AAD7-4A40-B131-0F7047B766C9}" srcOrd="1" destOrd="0" presId="urn:microsoft.com/office/officeart/2005/8/layout/orgChart1"/>
    <dgm:cxn modelId="{B1B773A2-436B-3742-B319-BCF89E49CCAB}" type="presParOf" srcId="{CAFBEBE3-AAD7-4A40-B131-0F7047B766C9}" destId="{FAAE6569-6303-421F-9339-176E6B15C0AC}" srcOrd="0" destOrd="0" presId="urn:microsoft.com/office/officeart/2005/8/layout/orgChart1"/>
    <dgm:cxn modelId="{C0DA5AE9-90A4-324A-91D2-B03DF132AB76}" type="presParOf" srcId="{FAAE6569-6303-421F-9339-176E6B15C0AC}" destId="{8CEF0B9D-2906-40A9-AAD4-765449C1DDAE}" srcOrd="0" destOrd="0" presId="urn:microsoft.com/office/officeart/2005/8/layout/orgChart1"/>
    <dgm:cxn modelId="{E16029FE-E1EF-F945-A4F7-3B55FEF4910A}" type="presParOf" srcId="{FAAE6569-6303-421F-9339-176E6B15C0AC}" destId="{9DFDE89A-7C26-4F65-BCA3-885A23099A9C}" srcOrd="1" destOrd="0" presId="urn:microsoft.com/office/officeart/2005/8/layout/orgChart1"/>
    <dgm:cxn modelId="{A23A8B53-9A01-224D-8F41-3AB5847B6D12}" type="presParOf" srcId="{CAFBEBE3-AAD7-4A40-B131-0F7047B766C9}" destId="{E1FE3979-AA81-4955-8CA3-E13483F667C6}" srcOrd="1" destOrd="0" presId="urn:microsoft.com/office/officeart/2005/8/layout/orgChart1"/>
    <dgm:cxn modelId="{CB572CCD-1EA4-4F46-9F57-A02944AE063E}" type="presParOf" srcId="{CAFBEBE3-AAD7-4A40-B131-0F7047B766C9}" destId="{8241ABE7-956B-4FE5-8795-4819426FF7A3}" srcOrd="2" destOrd="0" presId="urn:microsoft.com/office/officeart/2005/8/layout/orgChart1"/>
    <dgm:cxn modelId="{9D343003-312D-2549-B0BE-B760B1C0B943}" type="presParOf" srcId="{8241ABE7-956B-4FE5-8795-4819426FF7A3}" destId="{3CCAC2A2-2225-49CD-8D16-00E3D97D6CBE}" srcOrd="0" destOrd="0" presId="urn:microsoft.com/office/officeart/2005/8/layout/orgChart1"/>
    <dgm:cxn modelId="{B46E294B-6754-4F46-A312-DC0EEEAED573}" type="presParOf" srcId="{8241ABE7-956B-4FE5-8795-4819426FF7A3}" destId="{3C854D23-AB1F-4D7C-B9EA-EB114B8BF288}" srcOrd="1" destOrd="0" presId="urn:microsoft.com/office/officeart/2005/8/layout/orgChart1"/>
    <dgm:cxn modelId="{A3289FBE-2053-C94A-BE76-31D1D12EB6B3}" type="presParOf" srcId="{3C854D23-AB1F-4D7C-B9EA-EB114B8BF288}" destId="{C7FD2216-AAEF-4827-9F7B-BFC247859632}" srcOrd="0" destOrd="0" presId="urn:microsoft.com/office/officeart/2005/8/layout/orgChart1"/>
    <dgm:cxn modelId="{B6FEB70F-C58D-EE46-B523-B692B6C469E5}" type="presParOf" srcId="{C7FD2216-AAEF-4827-9F7B-BFC247859632}" destId="{9AD4DD9B-A7CE-4EBF-86DC-B6319F297BCC}" srcOrd="0" destOrd="0" presId="urn:microsoft.com/office/officeart/2005/8/layout/orgChart1"/>
    <dgm:cxn modelId="{23D24009-B5CC-E642-BB34-36A5EAC959D2}" type="presParOf" srcId="{C7FD2216-AAEF-4827-9F7B-BFC247859632}" destId="{39DE6890-B65E-4A5C-BEA8-5BDE686FAB8F}" srcOrd="1" destOrd="0" presId="urn:microsoft.com/office/officeart/2005/8/layout/orgChart1"/>
    <dgm:cxn modelId="{641D9365-2B9A-EF4C-A1BB-E7AA53C05D52}" type="presParOf" srcId="{3C854D23-AB1F-4D7C-B9EA-EB114B8BF288}" destId="{24F967A6-42A6-49BF-A2A7-B6A529D974B1}" srcOrd="1" destOrd="0" presId="urn:microsoft.com/office/officeart/2005/8/layout/orgChart1"/>
    <dgm:cxn modelId="{CEE5D5A8-4425-3241-B29D-44FF8A5185AC}" type="presParOf" srcId="{3C854D23-AB1F-4D7C-B9EA-EB114B8BF288}" destId="{906D11F1-34F6-416E-8F98-AECE1FD2043C}" srcOrd="2" destOrd="0" presId="urn:microsoft.com/office/officeart/2005/8/layout/orgChart1"/>
    <dgm:cxn modelId="{DA255234-6614-0B46-868E-EB5856CC1ED7}" type="presParOf" srcId="{906D11F1-34F6-416E-8F98-AECE1FD2043C}" destId="{B1DC8699-5F31-4D05-8E79-872787D865DC}" srcOrd="0" destOrd="0" presId="urn:microsoft.com/office/officeart/2005/8/layout/orgChart1"/>
    <dgm:cxn modelId="{0DB0B838-9409-7C48-BE89-D1951D503BB3}" type="presParOf" srcId="{906D11F1-34F6-416E-8F98-AECE1FD2043C}" destId="{71E8B432-7FBC-46D8-9065-A49AD8026650}" srcOrd="1" destOrd="0" presId="urn:microsoft.com/office/officeart/2005/8/layout/orgChart1"/>
    <dgm:cxn modelId="{07A61F9C-98D1-4245-8F7B-083FF40FB0F8}" type="presParOf" srcId="{71E8B432-7FBC-46D8-9065-A49AD8026650}" destId="{8A7332C4-1158-4B72-BA0E-225988CE8B1D}" srcOrd="0" destOrd="0" presId="urn:microsoft.com/office/officeart/2005/8/layout/orgChart1"/>
    <dgm:cxn modelId="{482EA595-2258-7E42-986C-6E9D12F3146B}" type="presParOf" srcId="{8A7332C4-1158-4B72-BA0E-225988CE8B1D}" destId="{9C10512B-3029-4EB7-8C01-59946DF59509}" srcOrd="0" destOrd="0" presId="urn:microsoft.com/office/officeart/2005/8/layout/orgChart1"/>
    <dgm:cxn modelId="{BC64CC5C-91CA-374D-8560-52F9EA1BBDE3}" type="presParOf" srcId="{8A7332C4-1158-4B72-BA0E-225988CE8B1D}" destId="{E7DCC2F4-B2F1-4AD4-A9B2-848D8E0DEE6F}" srcOrd="1" destOrd="0" presId="urn:microsoft.com/office/officeart/2005/8/layout/orgChart1"/>
    <dgm:cxn modelId="{90CCC78A-A7FE-1749-A97D-AD6422502330}" type="presParOf" srcId="{71E8B432-7FBC-46D8-9065-A49AD8026650}" destId="{AC5D53F3-FD77-44B5-AE70-9B8FE5BA67D5}" srcOrd="1" destOrd="0" presId="urn:microsoft.com/office/officeart/2005/8/layout/orgChart1"/>
    <dgm:cxn modelId="{3E423F8E-7EB0-B64F-B5BE-D48CB8D46570}" type="presParOf" srcId="{71E8B432-7FBC-46D8-9065-A49AD8026650}" destId="{D1250D43-24BE-45F5-8C7C-3F0A5B7908A5}" srcOrd="2" destOrd="0" presId="urn:microsoft.com/office/officeart/2005/8/layout/orgChart1"/>
    <dgm:cxn modelId="{9EFBBCD8-287C-834F-8E94-25F91510DC83}" type="presParOf" srcId="{8241ABE7-956B-4FE5-8795-4819426FF7A3}" destId="{2958E4AF-5364-4325-83AE-A45EC4BA03C5}" srcOrd="2" destOrd="0" presId="urn:microsoft.com/office/officeart/2005/8/layout/orgChart1"/>
    <dgm:cxn modelId="{4731D1FB-5341-2C45-B2C0-8B2D754E4161}" type="presParOf" srcId="{8241ABE7-956B-4FE5-8795-4819426FF7A3}" destId="{B59DBFE1-8E17-46E3-B6FC-9B378CE099B0}" srcOrd="3" destOrd="0" presId="urn:microsoft.com/office/officeart/2005/8/layout/orgChart1"/>
    <dgm:cxn modelId="{CA33C0D4-FE00-4F4E-976C-6DFAAA1CEAE8}" type="presParOf" srcId="{B59DBFE1-8E17-46E3-B6FC-9B378CE099B0}" destId="{76A8ABE0-F343-4484-8688-11B58C597378}" srcOrd="0" destOrd="0" presId="urn:microsoft.com/office/officeart/2005/8/layout/orgChart1"/>
    <dgm:cxn modelId="{5827FA49-3162-7D46-820F-1649B90E8112}" type="presParOf" srcId="{76A8ABE0-F343-4484-8688-11B58C597378}" destId="{FB59F8E5-D6DF-4191-8FE6-70881DD9B5C6}" srcOrd="0" destOrd="0" presId="urn:microsoft.com/office/officeart/2005/8/layout/orgChart1"/>
    <dgm:cxn modelId="{D133405B-3C3B-B340-814E-733BFA3C4E4A}" type="presParOf" srcId="{76A8ABE0-F343-4484-8688-11B58C597378}" destId="{5020AC10-0172-4273-BD10-90D14660F3D8}" srcOrd="1" destOrd="0" presId="urn:microsoft.com/office/officeart/2005/8/layout/orgChart1"/>
    <dgm:cxn modelId="{B812BFF9-0DFC-EE4D-AB3D-8A1CAE6C3EAA}" type="presParOf" srcId="{B59DBFE1-8E17-46E3-B6FC-9B378CE099B0}" destId="{EC09CFD2-1B68-4186-987E-D6FF36D9267E}" srcOrd="1" destOrd="0" presId="urn:microsoft.com/office/officeart/2005/8/layout/orgChart1"/>
    <dgm:cxn modelId="{B148BAC9-37DF-9B4C-819D-82C5D667463E}" type="presParOf" srcId="{B59DBFE1-8E17-46E3-B6FC-9B378CE099B0}" destId="{407D4BBE-CD9B-4766-BB95-8E5F1566ED59}" srcOrd="2" destOrd="0" presId="urn:microsoft.com/office/officeart/2005/8/layout/orgChart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B9C9BBB-51BD-46A5-A9AE-C491192C45EE}" type="doc">
      <dgm:prSet loTypeId="urn:microsoft.com/office/officeart/2005/8/layout/hierarchy2" loCatId="hierarchy" qsTypeId="urn:microsoft.com/office/officeart/2005/8/quickstyle/simple3" qsCatId="simple" csTypeId="urn:microsoft.com/office/officeart/2005/8/colors/accent1_2" csCatId="accent1" phldr="1"/>
      <dgm:spPr/>
      <dgm:t>
        <a:bodyPr/>
        <a:lstStyle/>
        <a:p>
          <a:endParaRPr lang="en-US"/>
        </a:p>
      </dgm:t>
    </dgm:pt>
    <dgm:pt modelId="{FCB53413-4A3F-475E-9DFA-F3B4977B5876}">
      <dgm:prSet phldrT="[Text]" custT="1"/>
      <dgm:spPr/>
      <dgm:t>
        <a:bodyPr/>
        <a:lstStyle/>
        <a:p>
          <a:pPr algn="ctr"/>
          <a:r>
            <a:rPr lang="en-US" sz="800" b="1"/>
            <a:t>Development partners </a:t>
          </a:r>
          <a:r>
            <a:rPr lang="en-US" sz="800" b="0"/>
            <a:t>(Donor contributions)</a:t>
          </a:r>
        </a:p>
      </dgm:t>
    </dgm:pt>
    <dgm:pt modelId="{541755FB-679D-4992-A3B8-20D8F959CCE2}" type="parTrans" cxnId="{39D546E2-DB3C-4A7C-B51A-108D6D7E32B0}">
      <dgm:prSet/>
      <dgm:spPr/>
      <dgm:t>
        <a:bodyPr/>
        <a:lstStyle/>
        <a:p>
          <a:pPr algn="ctr"/>
          <a:endParaRPr lang="en-US" sz="800"/>
        </a:p>
      </dgm:t>
    </dgm:pt>
    <dgm:pt modelId="{797EA08F-63D4-4C65-82DE-E3DBF69299C5}" type="sibTrans" cxnId="{39D546E2-DB3C-4A7C-B51A-108D6D7E32B0}">
      <dgm:prSet/>
      <dgm:spPr/>
      <dgm:t>
        <a:bodyPr/>
        <a:lstStyle/>
        <a:p>
          <a:pPr algn="ctr"/>
          <a:endParaRPr lang="en-US" sz="800"/>
        </a:p>
      </dgm:t>
    </dgm:pt>
    <dgm:pt modelId="{61650669-650A-4D50-8438-3DBE4DCA821F}">
      <dgm:prSet phldrT="[Text]" custT="1"/>
      <dgm:spPr/>
      <dgm:t>
        <a:bodyPr/>
        <a:lstStyle/>
        <a:p>
          <a:pPr algn="ctr"/>
          <a:r>
            <a:rPr lang="en-US" sz="800" b="1"/>
            <a:t>World Bank </a:t>
          </a:r>
        </a:p>
        <a:p>
          <a:pPr algn="ctr"/>
          <a:r>
            <a:rPr lang="en-US" sz="800"/>
            <a:t>(Manages Onchocerciasis Fund)</a:t>
          </a:r>
        </a:p>
      </dgm:t>
    </dgm:pt>
    <dgm:pt modelId="{415F2430-43E6-4633-8512-4FB656E1A3B5}" type="parTrans" cxnId="{523DDBF0-0C99-4311-9F7F-45FF80F81174}">
      <dgm:prSet custT="1"/>
      <dgm:spPr>
        <a:ln w="12700">
          <a:prstDash val="solid"/>
        </a:ln>
      </dgm:spPr>
      <dgm:t>
        <a:bodyPr/>
        <a:lstStyle/>
        <a:p>
          <a:pPr algn="ctr"/>
          <a:endParaRPr lang="en-US" sz="800"/>
        </a:p>
      </dgm:t>
    </dgm:pt>
    <dgm:pt modelId="{E3901BAC-4F94-4645-98C8-4EABEDD81A69}" type="sibTrans" cxnId="{523DDBF0-0C99-4311-9F7F-45FF80F81174}">
      <dgm:prSet/>
      <dgm:spPr/>
      <dgm:t>
        <a:bodyPr/>
        <a:lstStyle/>
        <a:p>
          <a:pPr algn="ctr"/>
          <a:endParaRPr lang="en-US" sz="800"/>
        </a:p>
      </dgm:t>
    </dgm:pt>
    <dgm:pt modelId="{81C02D2C-C13B-499B-A186-2533B4A93058}">
      <dgm:prSet phldrT="[Text]" custT="1"/>
      <dgm:spPr/>
      <dgm:t>
        <a:bodyPr/>
        <a:lstStyle/>
        <a:p>
          <a:pPr algn="ctr"/>
          <a:r>
            <a:rPr lang="en-US" sz="800" b="1"/>
            <a:t>World Health Organization</a:t>
          </a:r>
        </a:p>
        <a:p>
          <a:pPr algn="ctr"/>
          <a:r>
            <a:rPr lang="en-US" sz="800"/>
            <a:t>(Develops plan of action &amp; budget) </a:t>
          </a:r>
        </a:p>
      </dgm:t>
    </dgm:pt>
    <dgm:pt modelId="{F4422B6C-7D25-47F0-8567-E564CCD7920D}" type="parTrans" cxnId="{D6566D9A-5E80-4F4C-AEA0-0CD2C134635B}">
      <dgm:prSet custT="1"/>
      <dgm:spPr>
        <a:ln w="12700">
          <a:prstDash val="solid"/>
        </a:ln>
      </dgm:spPr>
      <dgm:t>
        <a:bodyPr/>
        <a:lstStyle/>
        <a:p>
          <a:pPr algn="ctr"/>
          <a:endParaRPr lang="en-US" sz="800"/>
        </a:p>
      </dgm:t>
    </dgm:pt>
    <dgm:pt modelId="{08463FD4-1A09-4CBE-B032-3006196B5722}" type="sibTrans" cxnId="{D6566D9A-5E80-4F4C-AEA0-0CD2C134635B}">
      <dgm:prSet/>
      <dgm:spPr/>
      <dgm:t>
        <a:bodyPr/>
        <a:lstStyle/>
        <a:p>
          <a:pPr algn="ctr"/>
          <a:endParaRPr lang="en-US" sz="800"/>
        </a:p>
      </dgm:t>
    </dgm:pt>
    <dgm:pt modelId="{952CB706-8B46-499B-909E-3F86C6D892D5}">
      <dgm:prSet phldrT="[Text]" custT="1"/>
      <dgm:spPr/>
      <dgm:t>
        <a:bodyPr/>
        <a:lstStyle/>
        <a:p>
          <a:pPr algn="ctr"/>
          <a:r>
            <a:rPr lang="en-US" sz="800" b="1"/>
            <a:t>OCP Secretariat  </a:t>
          </a:r>
          <a:r>
            <a:rPr lang="en-US" sz="800"/>
            <a:t>Ouagadougou (Implements plan of action)</a:t>
          </a:r>
        </a:p>
      </dgm:t>
    </dgm:pt>
    <dgm:pt modelId="{561620AD-2D8F-41F6-AD68-4EAB86FD1E0B}" type="parTrans" cxnId="{3203CFA0-2F72-4471-9C4C-DF4AAC5D500A}">
      <dgm:prSet custT="1"/>
      <dgm:spPr>
        <a:ln w="12700">
          <a:prstDash val="solid"/>
        </a:ln>
      </dgm:spPr>
      <dgm:t>
        <a:bodyPr/>
        <a:lstStyle/>
        <a:p>
          <a:pPr algn="ctr"/>
          <a:endParaRPr lang="en-US" sz="800"/>
        </a:p>
      </dgm:t>
    </dgm:pt>
    <dgm:pt modelId="{33C6AE67-E9BF-4E32-A09C-5B23C211C741}" type="sibTrans" cxnId="{3203CFA0-2F72-4471-9C4C-DF4AAC5D500A}">
      <dgm:prSet/>
      <dgm:spPr/>
      <dgm:t>
        <a:bodyPr/>
        <a:lstStyle/>
        <a:p>
          <a:pPr algn="ctr"/>
          <a:endParaRPr lang="en-US" sz="800"/>
        </a:p>
      </dgm:t>
    </dgm:pt>
    <dgm:pt modelId="{648F8F0A-CD09-445E-9002-8BF888F13875}">
      <dgm:prSet phldrT="[Text]" custT="1"/>
      <dgm:spPr/>
      <dgm:t>
        <a:bodyPr/>
        <a:lstStyle/>
        <a:p>
          <a:pPr algn="ctr"/>
          <a:r>
            <a:rPr lang="en-US" sz="800" b="1"/>
            <a:t>Committee of Sponsoring Agencies </a:t>
          </a:r>
          <a:r>
            <a:rPr lang="en-US" sz="800"/>
            <a:t>(Oversees/evaluates implementation)</a:t>
          </a:r>
        </a:p>
      </dgm:t>
    </dgm:pt>
    <dgm:pt modelId="{85F812AD-9748-4732-8E02-5B9899344645}" type="parTrans" cxnId="{419A9168-9A7F-4E45-8C95-D0AFDAAF922D}">
      <dgm:prSet custT="1"/>
      <dgm:spPr>
        <a:ln w="12700">
          <a:prstDash val="solid"/>
        </a:ln>
      </dgm:spPr>
      <dgm:t>
        <a:bodyPr/>
        <a:lstStyle/>
        <a:p>
          <a:pPr algn="ctr"/>
          <a:endParaRPr lang="en-US" sz="800"/>
        </a:p>
      </dgm:t>
    </dgm:pt>
    <dgm:pt modelId="{6D5793EF-D1C2-42D7-9C50-66ADE47324DA}" type="sibTrans" cxnId="{419A9168-9A7F-4E45-8C95-D0AFDAAF922D}">
      <dgm:prSet/>
      <dgm:spPr/>
      <dgm:t>
        <a:bodyPr/>
        <a:lstStyle/>
        <a:p>
          <a:pPr algn="ctr"/>
          <a:endParaRPr lang="en-US" sz="800"/>
        </a:p>
      </dgm:t>
    </dgm:pt>
    <dgm:pt modelId="{579E9CE4-B38A-4F0C-A8CE-AEF6A12CB523}">
      <dgm:prSet phldrT="[Text]" custT="1"/>
      <dgm:spPr/>
      <dgm:t>
        <a:bodyPr/>
        <a:lstStyle/>
        <a:p>
          <a:pPr algn="ctr">
            <a:lnSpc>
              <a:spcPct val="100000"/>
            </a:lnSpc>
            <a:spcAft>
              <a:spcPts val="0"/>
            </a:spcAft>
          </a:pPr>
          <a:r>
            <a:rPr lang="en-US" sz="800" b="1"/>
            <a:t>Joint Programme Commission </a:t>
          </a:r>
        </a:p>
        <a:p>
          <a:pPr algn="ctr">
            <a:lnSpc>
              <a:spcPct val="100000"/>
            </a:lnSpc>
            <a:spcAft>
              <a:spcPts val="0"/>
            </a:spcAft>
          </a:pPr>
          <a:r>
            <a:rPr lang="en-US" sz="800"/>
            <a:t>(Approves plan of action &amp; budget)</a:t>
          </a:r>
        </a:p>
      </dgm:t>
    </dgm:pt>
    <dgm:pt modelId="{1115684F-DEB8-422A-A154-30E5A5759AEE}" type="parTrans" cxnId="{E866A290-3BAC-45E5-9F5D-119638E17EC7}">
      <dgm:prSet custT="1"/>
      <dgm:spPr>
        <a:ln w="12700">
          <a:prstDash val="solid"/>
        </a:ln>
      </dgm:spPr>
      <dgm:t>
        <a:bodyPr/>
        <a:lstStyle/>
        <a:p>
          <a:pPr algn="ctr"/>
          <a:endParaRPr lang="en-US" sz="800"/>
        </a:p>
      </dgm:t>
    </dgm:pt>
    <dgm:pt modelId="{9A7B8346-524F-4E9C-BC5F-156612600D9A}" type="sibTrans" cxnId="{E866A290-3BAC-45E5-9F5D-119638E17EC7}">
      <dgm:prSet/>
      <dgm:spPr/>
      <dgm:t>
        <a:bodyPr/>
        <a:lstStyle/>
        <a:p>
          <a:pPr algn="ctr"/>
          <a:endParaRPr lang="en-US" sz="800"/>
        </a:p>
      </dgm:t>
    </dgm:pt>
    <dgm:pt modelId="{F272A9AE-F0D4-43BC-AD65-38CD97E060AA}" type="pres">
      <dgm:prSet presAssocID="{0B9C9BBB-51BD-46A5-A9AE-C491192C45EE}" presName="diagram" presStyleCnt="0">
        <dgm:presLayoutVars>
          <dgm:chPref val="1"/>
          <dgm:dir/>
          <dgm:animOne val="branch"/>
          <dgm:animLvl val="lvl"/>
          <dgm:resizeHandles val="exact"/>
        </dgm:presLayoutVars>
      </dgm:prSet>
      <dgm:spPr/>
      <dgm:t>
        <a:bodyPr/>
        <a:lstStyle/>
        <a:p>
          <a:endParaRPr lang="en-US"/>
        </a:p>
      </dgm:t>
    </dgm:pt>
    <dgm:pt modelId="{832C600A-AE92-4DB4-A6EE-ADC5173FE7E0}" type="pres">
      <dgm:prSet presAssocID="{FCB53413-4A3F-475E-9DFA-F3B4977B5876}" presName="root1" presStyleCnt="0"/>
      <dgm:spPr/>
    </dgm:pt>
    <dgm:pt modelId="{8137EB92-9B2D-44F8-B5AF-EB607FCEAB56}" type="pres">
      <dgm:prSet presAssocID="{FCB53413-4A3F-475E-9DFA-F3B4977B5876}" presName="LevelOneTextNode" presStyleLbl="node0" presStyleIdx="0" presStyleCnt="1">
        <dgm:presLayoutVars>
          <dgm:chPref val="3"/>
        </dgm:presLayoutVars>
      </dgm:prSet>
      <dgm:spPr/>
      <dgm:t>
        <a:bodyPr/>
        <a:lstStyle/>
        <a:p>
          <a:endParaRPr lang="en-US"/>
        </a:p>
      </dgm:t>
    </dgm:pt>
    <dgm:pt modelId="{C0E9665B-B368-4D3F-8845-326E82C61E37}" type="pres">
      <dgm:prSet presAssocID="{FCB53413-4A3F-475E-9DFA-F3B4977B5876}" presName="level2hierChild" presStyleCnt="0"/>
      <dgm:spPr/>
    </dgm:pt>
    <dgm:pt modelId="{57A6A24D-2ACB-449A-AF89-CD83909F999D}" type="pres">
      <dgm:prSet presAssocID="{415F2430-43E6-4633-8512-4FB656E1A3B5}" presName="conn2-1" presStyleLbl="parChTrans1D2" presStyleIdx="0" presStyleCnt="1"/>
      <dgm:spPr>
        <a:prstGeom prst="rightArrow">
          <a:avLst/>
        </a:prstGeom>
      </dgm:spPr>
      <dgm:t>
        <a:bodyPr/>
        <a:lstStyle/>
        <a:p>
          <a:endParaRPr lang="en-US"/>
        </a:p>
      </dgm:t>
    </dgm:pt>
    <dgm:pt modelId="{FF1041B5-87B0-4A60-8D0E-805357133C19}" type="pres">
      <dgm:prSet presAssocID="{415F2430-43E6-4633-8512-4FB656E1A3B5}" presName="connTx" presStyleLbl="parChTrans1D2" presStyleIdx="0" presStyleCnt="1"/>
      <dgm:spPr/>
      <dgm:t>
        <a:bodyPr/>
        <a:lstStyle/>
        <a:p>
          <a:endParaRPr lang="en-US"/>
        </a:p>
      </dgm:t>
    </dgm:pt>
    <dgm:pt modelId="{544A9ECE-C7D5-4BA9-ABE4-22C8659182EE}" type="pres">
      <dgm:prSet presAssocID="{61650669-650A-4D50-8438-3DBE4DCA821F}" presName="root2" presStyleCnt="0"/>
      <dgm:spPr/>
    </dgm:pt>
    <dgm:pt modelId="{39EDF9C6-EB26-4A3A-BD5B-D636A552DABC}" type="pres">
      <dgm:prSet presAssocID="{61650669-650A-4D50-8438-3DBE4DCA821F}" presName="LevelTwoTextNode" presStyleLbl="node2" presStyleIdx="0" presStyleCnt="1">
        <dgm:presLayoutVars>
          <dgm:chPref val="3"/>
        </dgm:presLayoutVars>
      </dgm:prSet>
      <dgm:spPr/>
      <dgm:t>
        <a:bodyPr/>
        <a:lstStyle/>
        <a:p>
          <a:endParaRPr lang="en-US"/>
        </a:p>
      </dgm:t>
    </dgm:pt>
    <dgm:pt modelId="{8572ED10-9D5F-461B-A7E4-8065AEE3EE26}" type="pres">
      <dgm:prSet presAssocID="{61650669-650A-4D50-8438-3DBE4DCA821F}" presName="level3hierChild" presStyleCnt="0"/>
      <dgm:spPr/>
    </dgm:pt>
    <dgm:pt modelId="{D14D49CB-CC0A-4ECA-8F15-1C53E703920E}" type="pres">
      <dgm:prSet presAssocID="{F4422B6C-7D25-47F0-8567-E564CCD7920D}" presName="conn2-1" presStyleLbl="parChTrans1D3" presStyleIdx="0" presStyleCnt="1"/>
      <dgm:spPr>
        <a:prstGeom prst="rightArrow">
          <a:avLst/>
        </a:prstGeom>
      </dgm:spPr>
      <dgm:t>
        <a:bodyPr/>
        <a:lstStyle/>
        <a:p>
          <a:endParaRPr lang="en-US"/>
        </a:p>
      </dgm:t>
    </dgm:pt>
    <dgm:pt modelId="{A9AE3EBD-A862-4D61-B23F-970D0128F085}" type="pres">
      <dgm:prSet presAssocID="{F4422B6C-7D25-47F0-8567-E564CCD7920D}" presName="connTx" presStyleLbl="parChTrans1D3" presStyleIdx="0" presStyleCnt="1"/>
      <dgm:spPr/>
      <dgm:t>
        <a:bodyPr/>
        <a:lstStyle/>
        <a:p>
          <a:endParaRPr lang="en-US"/>
        </a:p>
      </dgm:t>
    </dgm:pt>
    <dgm:pt modelId="{1A15F174-DC9F-4F06-9BAE-4878F69C7E53}" type="pres">
      <dgm:prSet presAssocID="{81C02D2C-C13B-499B-A186-2533B4A93058}" presName="root2" presStyleCnt="0"/>
      <dgm:spPr/>
    </dgm:pt>
    <dgm:pt modelId="{17C5696B-E6FA-4E40-BF55-2ACD81AF592C}" type="pres">
      <dgm:prSet presAssocID="{81C02D2C-C13B-499B-A186-2533B4A93058}" presName="LevelTwoTextNode" presStyleLbl="node3" presStyleIdx="0" presStyleCnt="1">
        <dgm:presLayoutVars>
          <dgm:chPref val="3"/>
        </dgm:presLayoutVars>
      </dgm:prSet>
      <dgm:spPr/>
      <dgm:t>
        <a:bodyPr/>
        <a:lstStyle/>
        <a:p>
          <a:endParaRPr lang="en-US"/>
        </a:p>
      </dgm:t>
    </dgm:pt>
    <dgm:pt modelId="{8CE0D882-32CC-4BBF-8947-01B5F22CAD12}" type="pres">
      <dgm:prSet presAssocID="{81C02D2C-C13B-499B-A186-2533B4A93058}" presName="level3hierChild" presStyleCnt="0"/>
      <dgm:spPr/>
    </dgm:pt>
    <dgm:pt modelId="{BBCE85EE-5524-4E41-A44B-D589AAA6DAA0}" type="pres">
      <dgm:prSet presAssocID="{561620AD-2D8F-41F6-AD68-4EAB86FD1E0B}" presName="conn2-1" presStyleLbl="parChTrans1D4" presStyleIdx="0" presStyleCnt="3"/>
      <dgm:spPr>
        <a:prstGeom prst="rightArrow">
          <a:avLst/>
        </a:prstGeom>
      </dgm:spPr>
      <dgm:t>
        <a:bodyPr/>
        <a:lstStyle/>
        <a:p>
          <a:endParaRPr lang="en-US"/>
        </a:p>
      </dgm:t>
    </dgm:pt>
    <dgm:pt modelId="{0222B497-54E6-46B5-92BE-B2F15E678A88}" type="pres">
      <dgm:prSet presAssocID="{561620AD-2D8F-41F6-AD68-4EAB86FD1E0B}" presName="connTx" presStyleLbl="parChTrans1D4" presStyleIdx="0" presStyleCnt="3"/>
      <dgm:spPr/>
      <dgm:t>
        <a:bodyPr/>
        <a:lstStyle/>
        <a:p>
          <a:endParaRPr lang="en-US"/>
        </a:p>
      </dgm:t>
    </dgm:pt>
    <dgm:pt modelId="{C4B61809-2F32-44D3-AAC3-DA4895C8DEF2}" type="pres">
      <dgm:prSet presAssocID="{952CB706-8B46-499B-909E-3F86C6D892D5}" presName="root2" presStyleCnt="0"/>
      <dgm:spPr/>
    </dgm:pt>
    <dgm:pt modelId="{D6465CB0-66ED-449C-AAD0-78905F6FF9C6}" type="pres">
      <dgm:prSet presAssocID="{952CB706-8B46-499B-909E-3F86C6D892D5}" presName="LevelTwoTextNode" presStyleLbl="node4" presStyleIdx="0" presStyleCnt="3">
        <dgm:presLayoutVars>
          <dgm:chPref val="3"/>
        </dgm:presLayoutVars>
      </dgm:prSet>
      <dgm:spPr/>
      <dgm:t>
        <a:bodyPr/>
        <a:lstStyle/>
        <a:p>
          <a:endParaRPr lang="en-US"/>
        </a:p>
      </dgm:t>
    </dgm:pt>
    <dgm:pt modelId="{C90F5E68-0054-4B09-BDCF-70BCD0D24827}" type="pres">
      <dgm:prSet presAssocID="{952CB706-8B46-499B-909E-3F86C6D892D5}" presName="level3hierChild" presStyleCnt="0"/>
      <dgm:spPr/>
    </dgm:pt>
    <dgm:pt modelId="{AEA2F1A2-391D-461C-8A7E-A2C9A4CA5222}" type="pres">
      <dgm:prSet presAssocID="{85F812AD-9748-4732-8E02-5B9899344645}" presName="conn2-1" presStyleLbl="parChTrans1D4" presStyleIdx="1" presStyleCnt="3"/>
      <dgm:spPr>
        <a:prstGeom prst="rightArrow">
          <a:avLst/>
        </a:prstGeom>
      </dgm:spPr>
      <dgm:t>
        <a:bodyPr/>
        <a:lstStyle/>
        <a:p>
          <a:endParaRPr lang="en-US"/>
        </a:p>
      </dgm:t>
    </dgm:pt>
    <dgm:pt modelId="{4CE9A9AE-3846-400F-9B29-13C53ED55583}" type="pres">
      <dgm:prSet presAssocID="{85F812AD-9748-4732-8E02-5B9899344645}" presName="connTx" presStyleLbl="parChTrans1D4" presStyleIdx="1" presStyleCnt="3"/>
      <dgm:spPr/>
      <dgm:t>
        <a:bodyPr/>
        <a:lstStyle/>
        <a:p>
          <a:endParaRPr lang="en-US"/>
        </a:p>
      </dgm:t>
    </dgm:pt>
    <dgm:pt modelId="{30573058-3C6C-443D-9175-F5BEC05AA888}" type="pres">
      <dgm:prSet presAssocID="{648F8F0A-CD09-445E-9002-8BF888F13875}" presName="root2" presStyleCnt="0"/>
      <dgm:spPr/>
    </dgm:pt>
    <dgm:pt modelId="{A08D0474-C8F1-48F5-A3FB-34C4EBBE7BD0}" type="pres">
      <dgm:prSet presAssocID="{648F8F0A-CD09-445E-9002-8BF888F13875}" presName="LevelTwoTextNode" presStyleLbl="node4" presStyleIdx="1" presStyleCnt="3">
        <dgm:presLayoutVars>
          <dgm:chPref val="3"/>
        </dgm:presLayoutVars>
      </dgm:prSet>
      <dgm:spPr/>
      <dgm:t>
        <a:bodyPr/>
        <a:lstStyle/>
        <a:p>
          <a:endParaRPr lang="en-US"/>
        </a:p>
      </dgm:t>
    </dgm:pt>
    <dgm:pt modelId="{942F4727-B46C-470E-B4A8-5A8824403B0F}" type="pres">
      <dgm:prSet presAssocID="{648F8F0A-CD09-445E-9002-8BF888F13875}" presName="level3hierChild" presStyleCnt="0"/>
      <dgm:spPr/>
    </dgm:pt>
    <dgm:pt modelId="{20549610-AA56-4EA1-B613-8C7CF796226A}" type="pres">
      <dgm:prSet presAssocID="{1115684F-DEB8-422A-A154-30E5A5759AEE}" presName="conn2-1" presStyleLbl="parChTrans1D4" presStyleIdx="2" presStyleCnt="3"/>
      <dgm:spPr>
        <a:prstGeom prst="rightArrow">
          <a:avLst/>
        </a:prstGeom>
      </dgm:spPr>
      <dgm:t>
        <a:bodyPr/>
        <a:lstStyle/>
        <a:p>
          <a:endParaRPr lang="en-US"/>
        </a:p>
      </dgm:t>
    </dgm:pt>
    <dgm:pt modelId="{0D6098F4-CFCB-474A-9B50-98FF402D9B4A}" type="pres">
      <dgm:prSet presAssocID="{1115684F-DEB8-422A-A154-30E5A5759AEE}" presName="connTx" presStyleLbl="parChTrans1D4" presStyleIdx="2" presStyleCnt="3"/>
      <dgm:spPr/>
      <dgm:t>
        <a:bodyPr/>
        <a:lstStyle/>
        <a:p>
          <a:endParaRPr lang="en-US"/>
        </a:p>
      </dgm:t>
    </dgm:pt>
    <dgm:pt modelId="{09CCC9A3-7D28-4F7F-9615-B4878668114E}" type="pres">
      <dgm:prSet presAssocID="{579E9CE4-B38A-4F0C-A8CE-AEF6A12CB523}" presName="root2" presStyleCnt="0"/>
      <dgm:spPr/>
    </dgm:pt>
    <dgm:pt modelId="{7875C5CE-C99B-484C-A3B3-77B8BCC7301F}" type="pres">
      <dgm:prSet presAssocID="{579E9CE4-B38A-4F0C-A8CE-AEF6A12CB523}" presName="LevelTwoTextNode" presStyleLbl="node4" presStyleIdx="2" presStyleCnt="3">
        <dgm:presLayoutVars>
          <dgm:chPref val="3"/>
        </dgm:presLayoutVars>
      </dgm:prSet>
      <dgm:spPr/>
      <dgm:t>
        <a:bodyPr/>
        <a:lstStyle/>
        <a:p>
          <a:endParaRPr lang="en-US"/>
        </a:p>
      </dgm:t>
    </dgm:pt>
    <dgm:pt modelId="{6BDD9A7D-FA5B-4389-BC63-9EF9424C6384}" type="pres">
      <dgm:prSet presAssocID="{579E9CE4-B38A-4F0C-A8CE-AEF6A12CB523}" presName="level3hierChild" presStyleCnt="0"/>
      <dgm:spPr/>
    </dgm:pt>
  </dgm:ptLst>
  <dgm:cxnLst>
    <dgm:cxn modelId="{0DD51343-C96C-4942-A368-D0AF0FA5771F}" type="presOf" srcId="{FCB53413-4A3F-475E-9DFA-F3B4977B5876}" destId="{8137EB92-9B2D-44F8-B5AF-EB607FCEAB56}" srcOrd="0" destOrd="0" presId="urn:microsoft.com/office/officeart/2005/8/layout/hierarchy2"/>
    <dgm:cxn modelId="{39D546E2-DB3C-4A7C-B51A-108D6D7E32B0}" srcId="{0B9C9BBB-51BD-46A5-A9AE-C491192C45EE}" destId="{FCB53413-4A3F-475E-9DFA-F3B4977B5876}" srcOrd="0" destOrd="0" parTransId="{541755FB-679D-4992-A3B8-20D8F959CCE2}" sibTransId="{797EA08F-63D4-4C65-82DE-E3DBF69299C5}"/>
    <dgm:cxn modelId="{5235A0DC-2C68-464A-8730-970F9D8F2184}" type="presOf" srcId="{415F2430-43E6-4633-8512-4FB656E1A3B5}" destId="{FF1041B5-87B0-4A60-8D0E-805357133C19}" srcOrd="1" destOrd="0" presId="urn:microsoft.com/office/officeart/2005/8/layout/hierarchy2"/>
    <dgm:cxn modelId="{7270ECF8-2B11-CC47-9CDE-154E019A7817}" type="presOf" srcId="{952CB706-8B46-499B-909E-3F86C6D892D5}" destId="{D6465CB0-66ED-449C-AAD0-78905F6FF9C6}" srcOrd="0" destOrd="0" presId="urn:microsoft.com/office/officeart/2005/8/layout/hierarchy2"/>
    <dgm:cxn modelId="{29186694-8CC5-124E-8193-5F9D1FED5FF4}" type="presOf" srcId="{81C02D2C-C13B-499B-A186-2533B4A93058}" destId="{17C5696B-E6FA-4E40-BF55-2ACD81AF592C}" srcOrd="0" destOrd="0" presId="urn:microsoft.com/office/officeart/2005/8/layout/hierarchy2"/>
    <dgm:cxn modelId="{05BA2C37-B8BB-0B43-8B2D-191B672B6994}" type="presOf" srcId="{561620AD-2D8F-41F6-AD68-4EAB86FD1E0B}" destId="{0222B497-54E6-46B5-92BE-B2F15E678A88}" srcOrd="1" destOrd="0" presId="urn:microsoft.com/office/officeart/2005/8/layout/hierarchy2"/>
    <dgm:cxn modelId="{CFD3ABCB-5694-6449-AD20-0F23E2767993}" type="presOf" srcId="{61650669-650A-4D50-8438-3DBE4DCA821F}" destId="{39EDF9C6-EB26-4A3A-BD5B-D636A552DABC}" srcOrd="0" destOrd="0" presId="urn:microsoft.com/office/officeart/2005/8/layout/hierarchy2"/>
    <dgm:cxn modelId="{50063EA5-ACCB-E84F-8702-176F7C82AF4D}" type="presOf" srcId="{85F812AD-9748-4732-8E02-5B9899344645}" destId="{AEA2F1A2-391D-461C-8A7E-A2C9A4CA5222}" srcOrd="0" destOrd="0" presId="urn:microsoft.com/office/officeart/2005/8/layout/hierarchy2"/>
    <dgm:cxn modelId="{FFE287CF-6FAF-C042-8733-C71E6C489C28}" type="presOf" srcId="{561620AD-2D8F-41F6-AD68-4EAB86FD1E0B}" destId="{BBCE85EE-5524-4E41-A44B-D589AAA6DAA0}" srcOrd="0" destOrd="0" presId="urn:microsoft.com/office/officeart/2005/8/layout/hierarchy2"/>
    <dgm:cxn modelId="{DE2E9FD2-7493-9044-9AC6-6A1E0167132F}" type="presOf" srcId="{F4422B6C-7D25-47F0-8567-E564CCD7920D}" destId="{A9AE3EBD-A862-4D61-B23F-970D0128F085}" srcOrd="1" destOrd="0" presId="urn:microsoft.com/office/officeart/2005/8/layout/hierarchy2"/>
    <dgm:cxn modelId="{523DDBF0-0C99-4311-9F7F-45FF80F81174}" srcId="{FCB53413-4A3F-475E-9DFA-F3B4977B5876}" destId="{61650669-650A-4D50-8438-3DBE4DCA821F}" srcOrd="0" destOrd="0" parTransId="{415F2430-43E6-4633-8512-4FB656E1A3B5}" sibTransId="{E3901BAC-4F94-4645-98C8-4EABEDD81A69}"/>
    <dgm:cxn modelId="{3203CFA0-2F72-4471-9C4C-DF4AAC5D500A}" srcId="{81C02D2C-C13B-499B-A186-2533B4A93058}" destId="{952CB706-8B46-499B-909E-3F86C6D892D5}" srcOrd="0" destOrd="0" parTransId="{561620AD-2D8F-41F6-AD68-4EAB86FD1E0B}" sibTransId="{33C6AE67-E9BF-4E32-A09C-5B23C211C741}"/>
    <dgm:cxn modelId="{14D0DD2C-85F5-0341-8C32-CE90957C6BBC}" type="presOf" srcId="{85F812AD-9748-4732-8E02-5B9899344645}" destId="{4CE9A9AE-3846-400F-9B29-13C53ED55583}" srcOrd="1" destOrd="0" presId="urn:microsoft.com/office/officeart/2005/8/layout/hierarchy2"/>
    <dgm:cxn modelId="{60197867-821A-AF4D-8A8C-6C778CFFA11B}" type="presOf" srcId="{1115684F-DEB8-422A-A154-30E5A5759AEE}" destId="{20549610-AA56-4EA1-B613-8C7CF796226A}" srcOrd="0" destOrd="0" presId="urn:microsoft.com/office/officeart/2005/8/layout/hierarchy2"/>
    <dgm:cxn modelId="{DCD72257-7B68-FD40-A458-C75FC3EC3E84}" type="presOf" srcId="{F4422B6C-7D25-47F0-8567-E564CCD7920D}" destId="{D14D49CB-CC0A-4ECA-8F15-1C53E703920E}" srcOrd="0" destOrd="0" presId="urn:microsoft.com/office/officeart/2005/8/layout/hierarchy2"/>
    <dgm:cxn modelId="{D6566D9A-5E80-4F4C-AEA0-0CD2C134635B}" srcId="{61650669-650A-4D50-8438-3DBE4DCA821F}" destId="{81C02D2C-C13B-499B-A186-2533B4A93058}" srcOrd="0" destOrd="0" parTransId="{F4422B6C-7D25-47F0-8567-E564CCD7920D}" sibTransId="{08463FD4-1A09-4CBE-B032-3006196B5722}"/>
    <dgm:cxn modelId="{8A8F81CD-57C6-DA49-8ADD-E761DF82483C}" type="presOf" srcId="{1115684F-DEB8-422A-A154-30E5A5759AEE}" destId="{0D6098F4-CFCB-474A-9B50-98FF402D9B4A}" srcOrd="1" destOrd="0" presId="urn:microsoft.com/office/officeart/2005/8/layout/hierarchy2"/>
    <dgm:cxn modelId="{66DA7946-8DA8-9E44-9A04-789A17EF0B67}" type="presOf" srcId="{0B9C9BBB-51BD-46A5-A9AE-C491192C45EE}" destId="{F272A9AE-F0D4-43BC-AD65-38CD97E060AA}" srcOrd="0" destOrd="0" presId="urn:microsoft.com/office/officeart/2005/8/layout/hierarchy2"/>
    <dgm:cxn modelId="{419A9168-9A7F-4E45-8C95-D0AFDAAF922D}" srcId="{81C02D2C-C13B-499B-A186-2533B4A93058}" destId="{648F8F0A-CD09-445E-9002-8BF888F13875}" srcOrd="1" destOrd="0" parTransId="{85F812AD-9748-4732-8E02-5B9899344645}" sibTransId="{6D5793EF-D1C2-42D7-9C50-66ADE47324DA}"/>
    <dgm:cxn modelId="{6D37E5CC-5CC0-A04E-A585-0AA63819850A}" type="presOf" srcId="{415F2430-43E6-4633-8512-4FB656E1A3B5}" destId="{57A6A24D-2ACB-449A-AF89-CD83909F999D}" srcOrd="0" destOrd="0" presId="urn:microsoft.com/office/officeart/2005/8/layout/hierarchy2"/>
    <dgm:cxn modelId="{E866A290-3BAC-45E5-9F5D-119638E17EC7}" srcId="{81C02D2C-C13B-499B-A186-2533B4A93058}" destId="{579E9CE4-B38A-4F0C-A8CE-AEF6A12CB523}" srcOrd="2" destOrd="0" parTransId="{1115684F-DEB8-422A-A154-30E5A5759AEE}" sibTransId="{9A7B8346-524F-4E9C-BC5F-156612600D9A}"/>
    <dgm:cxn modelId="{E1A38D86-E82D-694D-9A2E-58349F2C4B4B}" type="presOf" srcId="{648F8F0A-CD09-445E-9002-8BF888F13875}" destId="{A08D0474-C8F1-48F5-A3FB-34C4EBBE7BD0}" srcOrd="0" destOrd="0" presId="urn:microsoft.com/office/officeart/2005/8/layout/hierarchy2"/>
    <dgm:cxn modelId="{C91AD414-373E-9344-BF3E-9657DAA35CD1}" type="presOf" srcId="{579E9CE4-B38A-4F0C-A8CE-AEF6A12CB523}" destId="{7875C5CE-C99B-484C-A3B3-77B8BCC7301F}" srcOrd="0" destOrd="0" presId="urn:microsoft.com/office/officeart/2005/8/layout/hierarchy2"/>
    <dgm:cxn modelId="{FC882234-C25B-3F47-838E-2EF75691D8B0}" type="presParOf" srcId="{F272A9AE-F0D4-43BC-AD65-38CD97E060AA}" destId="{832C600A-AE92-4DB4-A6EE-ADC5173FE7E0}" srcOrd="0" destOrd="0" presId="urn:microsoft.com/office/officeart/2005/8/layout/hierarchy2"/>
    <dgm:cxn modelId="{A59DF738-EA50-1741-9C3C-C18BD0841BEB}" type="presParOf" srcId="{832C600A-AE92-4DB4-A6EE-ADC5173FE7E0}" destId="{8137EB92-9B2D-44F8-B5AF-EB607FCEAB56}" srcOrd="0" destOrd="0" presId="urn:microsoft.com/office/officeart/2005/8/layout/hierarchy2"/>
    <dgm:cxn modelId="{F8AE8974-6652-1A40-8562-AF5F6F9FF76E}" type="presParOf" srcId="{832C600A-AE92-4DB4-A6EE-ADC5173FE7E0}" destId="{C0E9665B-B368-4D3F-8845-326E82C61E37}" srcOrd="1" destOrd="0" presId="urn:microsoft.com/office/officeart/2005/8/layout/hierarchy2"/>
    <dgm:cxn modelId="{AFC3AE32-F336-2E47-A562-E831617BB140}" type="presParOf" srcId="{C0E9665B-B368-4D3F-8845-326E82C61E37}" destId="{57A6A24D-2ACB-449A-AF89-CD83909F999D}" srcOrd="0" destOrd="0" presId="urn:microsoft.com/office/officeart/2005/8/layout/hierarchy2"/>
    <dgm:cxn modelId="{4C9C6F48-417E-D642-99C7-837A01EBB81C}" type="presParOf" srcId="{57A6A24D-2ACB-449A-AF89-CD83909F999D}" destId="{FF1041B5-87B0-4A60-8D0E-805357133C19}" srcOrd="0" destOrd="0" presId="urn:microsoft.com/office/officeart/2005/8/layout/hierarchy2"/>
    <dgm:cxn modelId="{E8F62BB5-CB87-3D45-9282-94694ECFDFB9}" type="presParOf" srcId="{C0E9665B-B368-4D3F-8845-326E82C61E37}" destId="{544A9ECE-C7D5-4BA9-ABE4-22C8659182EE}" srcOrd="1" destOrd="0" presId="urn:microsoft.com/office/officeart/2005/8/layout/hierarchy2"/>
    <dgm:cxn modelId="{B123C238-05DD-2241-9CA7-2B28E4519DFE}" type="presParOf" srcId="{544A9ECE-C7D5-4BA9-ABE4-22C8659182EE}" destId="{39EDF9C6-EB26-4A3A-BD5B-D636A552DABC}" srcOrd="0" destOrd="0" presId="urn:microsoft.com/office/officeart/2005/8/layout/hierarchy2"/>
    <dgm:cxn modelId="{106764A9-6217-DC46-BF05-1BB8C375D923}" type="presParOf" srcId="{544A9ECE-C7D5-4BA9-ABE4-22C8659182EE}" destId="{8572ED10-9D5F-461B-A7E4-8065AEE3EE26}" srcOrd="1" destOrd="0" presId="urn:microsoft.com/office/officeart/2005/8/layout/hierarchy2"/>
    <dgm:cxn modelId="{EDEEC0D8-65E3-3B48-BB5D-F8EC62417BAC}" type="presParOf" srcId="{8572ED10-9D5F-461B-A7E4-8065AEE3EE26}" destId="{D14D49CB-CC0A-4ECA-8F15-1C53E703920E}" srcOrd="0" destOrd="0" presId="urn:microsoft.com/office/officeart/2005/8/layout/hierarchy2"/>
    <dgm:cxn modelId="{8722C46F-9736-5949-880E-AF974B9C8AB4}" type="presParOf" srcId="{D14D49CB-CC0A-4ECA-8F15-1C53E703920E}" destId="{A9AE3EBD-A862-4D61-B23F-970D0128F085}" srcOrd="0" destOrd="0" presId="urn:microsoft.com/office/officeart/2005/8/layout/hierarchy2"/>
    <dgm:cxn modelId="{3D7E3A10-AAEF-B044-8DC9-5889DB4B8C27}" type="presParOf" srcId="{8572ED10-9D5F-461B-A7E4-8065AEE3EE26}" destId="{1A15F174-DC9F-4F06-9BAE-4878F69C7E53}" srcOrd="1" destOrd="0" presId="urn:microsoft.com/office/officeart/2005/8/layout/hierarchy2"/>
    <dgm:cxn modelId="{A0C994B9-F99F-5949-BE62-95DB17CBE586}" type="presParOf" srcId="{1A15F174-DC9F-4F06-9BAE-4878F69C7E53}" destId="{17C5696B-E6FA-4E40-BF55-2ACD81AF592C}" srcOrd="0" destOrd="0" presId="urn:microsoft.com/office/officeart/2005/8/layout/hierarchy2"/>
    <dgm:cxn modelId="{978F4963-F86C-9A4C-9FEF-48AEA5BD7A88}" type="presParOf" srcId="{1A15F174-DC9F-4F06-9BAE-4878F69C7E53}" destId="{8CE0D882-32CC-4BBF-8947-01B5F22CAD12}" srcOrd="1" destOrd="0" presId="urn:microsoft.com/office/officeart/2005/8/layout/hierarchy2"/>
    <dgm:cxn modelId="{E0AE85E2-2284-A246-AACA-EAE09BAA76A4}" type="presParOf" srcId="{8CE0D882-32CC-4BBF-8947-01B5F22CAD12}" destId="{BBCE85EE-5524-4E41-A44B-D589AAA6DAA0}" srcOrd="0" destOrd="0" presId="urn:microsoft.com/office/officeart/2005/8/layout/hierarchy2"/>
    <dgm:cxn modelId="{D73DCF29-55A4-D449-B9A0-34DA7A721D58}" type="presParOf" srcId="{BBCE85EE-5524-4E41-A44B-D589AAA6DAA0}" destId="{0222B497-54E6-46B5-92BE-B2F15E678A88}" srcOrd="0" destOrd="0" presId="urn:microsoft.com/office/officeart/2005/8/layout/hierarchy2"/>
    <dgm:cxn modelId="{A483AF4C-BDE4-E841-8B84-B884E7B19DC3}" type="presParOf" srcId="{8CE0D882-32CC-4BBF-8947-01B5F22CAD12}" destId="{C4B61809-2F32-44D3-AAC3-DA4895C8DEF2}" srcOrd="1" destOrd="0" presId="urn:microsoft.com/office/officeart/2005/8/layout/hierarchy2"/>
    <dgm:cxn modelId="{3ABAED6A-107B-9044-A626-FE107E447149}" type="presParOf" srcId="{C4B61809-2F32-44D3-AAC3-DA4895C8DEF2}" destId="{D6465CB0-66ED-449C-AAD0-78905F6FF9C6}" srcOrd="0" destOrd="0" presId="urn:microsoft.com/office/officeart/2005/8/layout/hierarchy2"/>
    <dgm:cxn modelId="{B13FDCED-6331-B941-8D78-0DC2E3DC146B}" type="presParOf" srcId="{C4B61809-2F32-44D3-AAC3-DA4895C8DEF2}" destId="{C90F5E68-0054-4B09-BDCF-70BCD0D24827}" srcOrd="1" destOrd="0" presId="urn:microsoft.com/office/officeart/2005/8/layout/hierarchy2"/>
    <dgm:cxn modelId="{30CA5D94-7BF5-0448-830C-52301329E377}" type="presParOf" srcId="{8CE0D882-32CC-4BBF-8947-01B5F22CAD12}" destId="{AEA2F1A2-391D-461C-8A7E-A2C9A4CA5222}" srcOrd="2" destOrd="0" presId="urn:microsoft.com/office/officeart/2005/8/layout/hierarchy2"/>
    <dgm:cxn modelId="{46F73773-F85C-2D48-80A1-4C9408ED043C}" type="presParOf" srcId="{AEA2F1A2-391D-461C-8A7E-A2C9A4CA5222}" destId="{4CE9A9AE-3846-400F-9B29-13C53ED55583}" srcOrd="0" destOrd="0" presId="urn:microsoft.com/office/officeart/2005/8/layout/hierarchy2"/>
    <dgm:cxn modelId="{D0A3ECF2-8682-B242-BD16-4ABE3E0333C8}" type="presParOf" srcId="{8CE0D882-32CC-4BBF-8947-01B5F22CAD12}" destId="{30573058-3C6C-443D-9175-F5BEC05AA888}" srcOrd="3" destOrd="0" presId="urn:microsoft.com/office/officeart/2005/8/layout/hierarchy2"/>
    <dgm:cxn modelId="{C3B9F480-2EB4-1D44-9544-B82B71AE6AC6}" type="presParOf" srcId="{30573058-3C6C-443D-9175-F5BEC05AA888}" destId="{A08D0474-C8F1-48F5-A3FB-34C4EBBE7BD0}" srcOrd="0" destOrd="0" presId="urn:microsoft.com/office/officeart/2005/8/layout/hierarchy2"/>
    <dgm:cxn modelId="{EACD6284-7F66-9540-91EE-2B127FDC427B}" type="presParOf" srcId="{30573058-3C6C-443D-9175-F5BEC05AA888}" destId="{942F4727-B46C-470E-B4A8-5A8824403B0F}" srcOrd="1" destOrd="0" presId="urn:microsoft.com/office/officeart/2005/8/layout/hierarchy2"/>
    <dgm:cxn modelId="{223B449D-436B-1648-80A0-08B0B4EF59AB}" type="presParOf" srcId="{8CE0D882-32CC-4BBF-8947-01B5F22CAD12}" destId="{20549610-AA56-4EA1-B613-8C7CF796226A}" srcOrd="4" destOrd="0" presId="urn:microsoft.com/office/officeart/2005/8/layout/hierarchy2"/>
    <dgm:cxn modelId="{2ECF768F-2D34-3A4C-B9F7-7B04A99E3B6C}" type="presParOf" srcId="{20549610-AA56-4EA1-B613-8C7CF796226A}" destId="{0D6098F4-CFCB-474A-9B50-98FF402D9B4A}" srcOrd="0" destOrd="0" presId="urn:microsoft.com/office/officeart/2005/8/layout/hierarchy2"/>
    <dgm:cxn modelId="{0207387C-CFA2-3348-8989-208D1E58730A}" type="presParOf" srcId="{8CE0D882-32CC-4BBF-8947-01B5F22CAD12}" destId="{09CCC9A3-7D28-4F7F-9615-B4878668114E}" srcOrd="5" destOrd="0" presId="urn:microsoft.com/office/officeart/2005/8/layout/hierarchy2"/>
    <dgm:cxn modelId="{A9410CDD-CE98-B94A-95C4-76F46A2B3AB0}" type="presParOf" srcId="{09CCC9A3-7D28-4F7F-9615-B4878668114E}" destId="{7875C5CE-C99B-484C-A3B3-77B8BCC7301F}" srcOrd="0" destOrd="0" presId="urn:microsoft.com/office/officeart/2005/8/layout/hierarchy2"/>
    <dgm:cxn modelId="{01E92874-8D1D-964B-8842-EE35EC9492FD}" type="presParOf" srcId="{09CCC9A3-7D28-4F7F-9615-B4878668114E}" destId="{6BDD9A7D-FA5B-4389-BC63-9EF9424C6384}" srcOrd="1" destOrd="0" presId="urn:microsoft.com/office/officeart/2005/8/layout/hierarchy2"/>
  </dgm:cxnLst>
  <dgm:bg/>
  <dgm:whole/>
  <dgm:extLst>
    <a:ext uri="http://schemas.microsoft.com/office/drawing/2008/diagram">
      <dsp:dataModelExt xmlns:dsp="http://schemas.microsoft.com/office/drawing/2008/diagram" relId="rId61"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B397D409-711B-490E-A31E-325D3107C138}" type="doc">
      <dgm:prSet loTypeId="urn:microsoft.com/office/officeart/2005/8/layout/list1" loCatId="list" qsTypeId="urn:microsoft.com/office/officeart/2005/8/quickstyle/simple3" qsCatId="simple" csTypeId="urn:microsoft.com/office/officeart/2005/8/colors/accent1_2" csCatId="accent1" phldr="1"/>
      <dgm:spPr/>
      <dgm:t>
        <a:bodyPr/>
        <a:lstStyle/>
        <a:p>
          <a:endParaRPr lang="en-US"/>
        </a:p>
      </dgm:t>
    </dgm:pt>
    <dgm:pt modelId="{53C9F62D-A3CA-BA48-B627-3D35E8007213}">
      <dgm:prSet/>
      <dgm:spPr/>
      <dgm:t>
        <a:bodyPr/>
        <a:lstStyle/>
        <a:p>
          <a:r>
            <a:rPr lang="en-US"/>
            <a:t>1: Power of public relations</a:t>
          </a:r>
        </a:p>
      </dgm:t>
    </dgm:pt>
    <dgm:pt modelId="{4CF3CD92-90CB-154B-9B06-6CF5DBA4FED1}" type="parTrans" cxnId="{21E40C65-40B7-554E-A662-E2126ADB65B1}">
      <dgm:prSet/>
      <dgm:spPr/>
      <dgm:t>
        <a:bodyPr/>
        <a:lstStyle/>
        <a:p>
          <a:endParaRPr lang="en-US"/>
        </a:p>
      </dgm:t>
    </dgm:pt>
    <dgm:pt modelId="{465A541A-C1A1-EF46-98C9-4E82EB79A296}" type="sibTrans" cxnId="{21E40C65-40B7-554E-A662-E2126ADB65B1}">
      <dgm:prSet/>
      <dgm:spPr/>
      <dgm:t>
        <a:bodyPr/>
        <a:lstStyle/>
        <a:p>
          <a:endParaRPr lang="en-US"/>
        </a:p>
      </dgm:t>
    </dgm:pt>
    <dgm:pt modelId="{1E6D13A9-093E-BF42-8B08-C437909437BC}">
      <dgm:prSet/>
      <dgm:spPr/>
      <dgm:t>
        <a:bodyPr/>
        <a:lstStyle/>
        <a:p>
          <a:r>
            <a:rPr lang="en-US"/>
            <a:t>Programmes can be 'sold' to donors - irrespective of disease burden - with the right combination of metrics and media</a:t>
          </a:r>
        </a:p>
      </dgm:t>
    </dgm:pt>
    <dgm:pt modelId="{DC76E980-FEEC-8F4C-8433-C1CA64771A55}" type="parTrans" cxnId="{0304983F-AF44-504B-921F-8C7247BF43E2}">
      <dgm:prSet/>
      <dgm:spPr/>
      <dgm:t>
        <a:bodyPr/>
        <a:lstStyle/>
        <a:p>
          <a:endParaRPr lang="en-US"/>
        </a:p>
      </dgm:t>
    </dgm:pt>
    <dgm:pt modelId="{E7D16F2C-4529-7840-BF87-CD35B8578D87}" type="sibTrans" cxnId="{0304983F-AF44-504B-921F-8C7247BF43E2}">
      <dgm:prSet/>
      <dgm:spPr/>
      <dgm:t>
        <a:bodyPr/>
        <a:lstStyle/>
        <a:p>
          <a:endParaRPr lang="en-US"/>
        </a:p>
      </dgm:t>
    </dgm:pt>
    <dgm:pt modelId="{EE0677EE-1DF5-9649-A9B1-2AC32507379E}">
      <dgm:prSet/>
      <dgm:spPr/>
      <dgm:t>
        <a:bodyPr/>
        <a:lstStyle/>
        <a:p>
          <a:r>
            <a:rPr lang="en-US"/>
            <a:t>2. Leader/celebrity buy-in</a:t>
          </a:r>
        </a:p>
      </dgm:t>
    </dgm:pt>
    <dgm:pt modelId="{99DA27E5-3170-BC4D-B7BB-87659036CAED}" type="parTrans" cxnId="{30F9F633-02B9-AC48-81BC-7E633827EC8F}">
      <dgm:prSet/>
      <dgm:spPr/>
      <dgm:t>
        <a:bodyPr/>
        <a:lstStyle/>
        <a:p>
          <a:endParaRPr lang="en-US"/>
        </a:p>
      </dgm:t>
    </dgm:pt>
    <dgm:pt modelId="{7CA0E017-8774-9D4C-A642-530042CF4982}" type="sibTrans" cxnId="{30F9F633-02B9-AC48-81BC-7E633827EC8F}">
      <dgm:prSet/>
      <dgm:spPr/>
      <dgm:t>
        <a:bodyPr/>
        <a:lstStyle/>
        <a:p>
          <a:endParaRPr lang="en-US"/>
        </a:p>
      </dgm:t>
    </dgm:pt>
    <dgm:pt modelId="{68E99082-0F86-BA42-9355-F7130328FC5C}">
      <dgm:prSet/>
      <dgm:spPr/>
      <dgm:t>
        <a:bodyPr/>
        <a:lstStyle/>
        <a:p>
          <a:r>
            <a:rPr lang="en-US"/>
            <a:t>Well-placed intra- and extra-institutional individuals can be crucial for financing flexibility</a:t>
          </a:r>
        </a:p>
      </dgm:t>
    </dgm:pt>
    <dgm:pt modelId="{B00594AA-27FE-1F4D-ACF0-E367D9CD406B}" type="parTrans" cxnId="{535D9E31-A871-2444-843B-965429FF2B5A}">
      <dgm:prSet/>
      <dgm:spPr/>
      <dgm:t>
        <a:bodyPr/>
        <a:lstStyle/>
        <a:p>
          <a:endParaRPr lang="en-US"/>
        </a:p>
      </dgm:t>
    </dgm:pt>
    <dgm:pt modelId="{DBD1B250-0FE3-5C4A-968C-49A1DEA7732E}" type="sibTrans" cxnId="{535D9E31-A871-2444-843B-965429FF2B5A}">
      <dgm:prSet/>
      <dgm:spPr/>
      <dgm:t>
        <a:bodyPr/>
        <a:lstStyle/>
        <a:p>
          <a:endParaRPr lang="en-US"/>
        </a:p>
      </dgm:t>
    </dgm:pt>
    <dgm:pt modelId="{953FDAEF-8EC7-5B4F-A20B-0BCE1DA9F546}">
      <dgm:prSet/>
      <dgm:spPr/>
      <dgm:t>
        <a:bodyPr/>
        <a:lstStyle/>
        <a:p>
          <a:r>
            <a:rPr lang="en-US"/>
            <a:t>3. Flexible pledging</a:t>
          </a:r>
        </a:p>
      </dgm:t>
    </dgm:pt>
    <dgm:pt modelId="{95D7A367-B793-D241-B40A-6CEA127086BB}" type="parTrans" cxnId="{4FC96F2C-7791-C04C-9FF7-AAC868E784F7}">
      <dgm:prSet/>
      <dgm:spPr/>
      <dgm:t>
        <a:bodyPr/>
        <a:lstStyle/>
        <a:p>
          <a:endParaRPr lang="en-US"/>
        </a:p>
      </dgm:t>
    </dgm:pt>
    <dgm:pt modelId="{1F3092DA-BBF1-6041-88B9-28E779E63CE6}" type="sibTrans" cxnId="{4FC96F2C-7791-C04C-9FF7-AAC868E784F7}">
      <dgm:prSet/>
      <dgm:spPr/>
      <dgm:t>
        <a:bodyPr/>
        <a:lstStyle/>
        <a:p>
          <a:endParaRPr lang="en-US"/>
        </a:p>
      </dgm:t>
    </dgm:pt>
    <dgm:pt modelId="{245BEA82-EAC2-0642-AE78-52CABA55BF46}">
      <dgm:prSet/>
      <dgm:spPr/>
      <dgm:t>
        <a:bodyPr/>
        <a:lstStyle/>
        <a:p>
          <a:r>
            <a:rPr lang="en-US"/>
            <a:t>More donors may be captured with flexible pledging and monetary transfer periods</a:t>
          </a:r>
        </a:p>
      </dgm:t>
    </dgm:pt>
    <dgm:pt modelId="{BC38B55A-ECC3-2D4F-AC8A-1292AACD4A74}" type="parTrans" cxnId="{2C44A6D4-1567-AC41-9543-C8F0648BD09E}">
      <dgm:prSet/>
      <dgm:spPr/>
      <dgm:t>
        <a:bodyPr/>
        <a:lstStyle/>
        <a:p>
          <a:endParaRPr lang="en-US"/>
        </a:p>
      </dgm:t>
    </dgm:pt>
    <dgm:pt modelId="{40039B4E-9947-7B44-BB63-0A9BF6907010}" type="sibTrans" cxnId="{2C44A6D4-1567-AC41-9543-C8F0648BD09E}">
      <dgm:prSet/>
      <dgm:spPr/>
      <dgm:t>
        <a:bodyPr/>
        <a:lstStyle/>
        <a:p>
          <a:endParaRPr lang="en-US"/>
        </a:p>
      </dgm:t>
    </dgm:pt>
    <dgm:pt modelId="{1BCD5A1A-FE1C-F441-A683-8EE0DCD718B6}">
      <dgm:prSet/>
      <dgm:spPr/>
      <dgm:t>
        <a:bodyPr/>
        <a:lstStyle/>
        <a:p>
          <a:r>
            <a:rPr lang="en-US"/>
            <a:t>4. Separating budgetary lines</a:t>
          </a:r>
        </a:p>
      </dgm:t>
    </dgm:pt>
    <dgm:pt modelId="{97C9DDA8-F679-0145-9937-16EFE5B79952}" type="parTrans" cxnId="{EC295B87-D442-0D40-80A7-22CD8EEEE952}">
      <dgm:prSet/>
      <dgm:spPr/>
      <dgm:t>
        <a:bodyPr/>
        <a:lstStyle/>
        <a:p>
          <a:endParaRPr lang="en-US"/>
        </a:p>
      </dgm:t>
    </dgm:pt>
    <dgm:pt modelId="{D9BB54DE-A1DE-F840-BE98-8CB52A215720}" type="sibTrans" cxnId="{EC295B87-D442-0D40-80A7-22CD8EEEE952}">
      <dgm:prSet/>
      <dgm:spPr/>
      <dgm:t>
        <a:bodyPr/>
        <a:lstStyle/>
        <a:p>
          <a:endParaRPr lang="en-US"/>
        </a:p>
      </dgm:t>
    </dgm:pt>
    <dgm:pt modelId="{A5B3B3DB-CC94-714A-BAAA-DA9F29B03ACD}">
      <dgm:prSet/>
      <dgm:spPr/>
      <dgm:t>
        <a:bodyPr/>
        <a:lstStyle/>
        <a:p>
          <a:r>
            <a:rPr lang="en-US"/>
            <a:t>Small amounts of internal earmarking may help promote programme aspects that must be prioritised</a:t>
          </a:r>
        </a:p>
      </dgm:t>
    </dgm:pt>
    <dgm:pt modelId="{72DA1A75-A38D-A143-B05B-111F081D6135}" type="parTrans" cxnId="{B75677A2-8E29-534D-BDBF-8D5F4235702F}">
      <dgm:prSet/>
      <dgm:spPr/>
      <dgm:t>
        <a:bodyPr/>
        <a:lstStyle/>
        <a:p>
          <a:endParaRPr lang="en-US"/>
        </a:p>
      </dgm:t>
    </dgm:pt>
    <dgm:pt modelId="{0D7F7200-3EB3-AC44-AC60-FF39F773FA27}" type="sibTrans" cxnId="{B75677A2-8E29-534D-BDBF-8D5F4235702F}">
      <dgm:prSet/>
      <dgm:spPr/>
      <dgm:t>
        <a:bodyPr/>
        <a:lstStyle/>
        <a:p>
          <a:endParaRPr lang="en-US"/>
        </a:p>
      </dgm:t>
    </dgm:pt>
    <dgm:pt modelId="{ABE91E58-090D-7A49-B800-C25433D5D4D6}">
      <dgm:prSet/>
      <dgm:spPr/>
      <dgm:t>
        <a:bodyPr/>
        <a:lstStyle/>
        <a:p>
          <a:r>
            <a:rPr lang="en-US"/>
            <a:t>5. Frequent donor meetings</a:t>
          </a:r>
        </a:p>
      </dgm:t>
    </dgm:pt>
    <dgm:pt modelId="{B48473B4-4C3B-1846-8433-746AFEFB1D5E}" type="parTrans" cxnId="{C90B54F5-9868-C84B-A2FB-CD6811E0D1D7}">
      <dgm:prSet/>
      <dgm:spPr/>
      <dgm:t>
        <a:bodyPr/>
        <a:lstStyle/>
        <a:p>
          <a:endParaRPr lang="en-US"/>
        </a:p>
      </dgm:t>
    </dgm:pt>
    <dgm:pt modelId="{6E6CDCFF-7431-0942-B28B-A396316071C9}" type="sibTrans" cxnId="{C90B54F5-9868-C84B-A2FB-CD6811E0D1D7}">
      <dgm:prSet/>
      <dgm:spPr/>
      <dgm:t>
        <a:bodyPr/>
        <a:lstStyle/>
        <a:p>
          <a:endParaRPr lang="en-US"/>
        </a:p>
      </dgm:t>
    </dgm:pt>
    <dgm:pt modelId="{F35842B8-1BD8-5549-8481-2E8B48959260}">
      <dgm:prSet/>
      <dgm:spPr/>
      <dgm:t>
        <a:bodyPr/>
        <a:lstStyle/>
        <a:p>
          <a:r>
            <a:rPr lang="en-US"/>
            <a:t>Meetings are important not just in times of crisis, to maintain stability</a:t>
          </a:r>
        </a:p>
      </dgm:t>
    </dgm:pt>
    <dgm:pt modelId="{62CA04A1-C891-6647-99FE-F891813AE3F6}" type="parTrans" cxnId="{7209536D-288F-6443-B0B5-FF0414D55237}">
      <dgm:prSet/>
      <dgm:spPr/>
      <dgm:t>
        <a:bodyPr/>
        <a:lstStyle/>
        <a:p>
          <a:endParaRPr lang="en-US"/>
        </a:p>
      </dgm:t>
    </dgm:pt>
    <dgm:pt modelId="{90C694AA-4D3E-724F-BB43-1AE263EC1B10}" type="sibTrans" cxnId="{7209536D-288F-6443-B0B5-FF0414D55237}">
      <dgm:prSet/>
      <dgm:spPr/>
      <dgm:t>
        <a:bodyPr/>
        <a:lstStyle/>
        <a:p>
          <a:endParaRPr lang="en-US"/>
        </a:p>
      </dgm:t>
    </dgm:pt>
    <dgm:pt modelId="{B8AB2F86-2FFF-C04C-9F72-0FBE1935AC62}">
      <dgm:prSet/>
      <dgm:spPr/>
      <dgm:t>
        <a:bodyPr/>
        <a:lstStyle/>
        <a:p>
          <a:r>
            <a:rPr lang="en-US"/>
            <a:t>6. Staffing consistency</a:t>
          </a:r>
        </a:p>
      </dgm:t>
    </dgm:pt>
    <dgm:pt modelId="{C0F4A517-A62E-5442-B2E1-0FCC93A95BAA}" type="parTrans" cxnId="{9E1642EB-BE9C-BF48-BD60-F5CBD968B939}">
      <dgm:prSet/>
      <dgm:spPr/>
      <dgm:t>
        <a:bodyPr/>
        <a:lstStyle/>
        <a:p>
          <a:endParaRPr lang="en-US"/>
        </a:p>
      </dgm:t>
    </dgm:pt>
    <dgm:pt modelId="{A2C57D62-A101-124D-9DBB-BD17334FE7EE}" type="sibTrans" cxnId="{9E1642EB-BE9C-BF48-BD60-F5CBD968B939}">
      <dgm:prSet/>
      <dgm:spPr/>
      <dgm:t>
        <a:bodyPr/>
        <a:lstStyle/>
        <a:p>
          <a:endParaRPr lang="en-US"/>
        </a:p>
      </dgm:t>
    </dgm:pt>
    <dgm:pt modelId="{48281E04-C413-6147-8262-48F3DB24B1BB}">
      <dgm:prSet/>
      <dgm:spPr/>
      <dgm:t>
        <a:bodyPr/>
        <a:lstStyle/>
        <a:p>
          <a:r>
            <a:rPr lang="en-US"/>
            <a:t>Donor relationships benefit from Bank fundraising staff stability - even if this goes against typical Bank staffing efficiency models</a:t>
          </a:r>
        </a:p>
      </dgm:t>
    </dgm:pt>
    <dgm:pt modelId="{153A4717-A806-6445-A40D-95554950C14F}" type="parTrans" cxnId="{9EDD8328-E4F0-D548-8723-95F43FC20ECF}">
      <dgm:prSet/>
      <dgm:spPr/>
      <dgm:t>
        <a:bodyPr/>
        <a:lstStyle/>
        <a:p>
          <a:endParaRPr lang="en-US"/>
        </a:p>
      </dgm:t>
    </dgm:pt>
    <dgm:pt modelId="{50636447-BE7E-DB4F-B170-2CAC89B68B55}" type="sibTrans" cxnId="{9EDD8328-E4F0-D548-8723-95F43FC20ECF}">
      <dgm:prSet/>
      <dgm:spPr/>
      <dgm:t>
        <a:bodyPr/>
        <a:lstStyle/>
        <a:p>
          <a:endParaRPr lang="en-US"/>
        </a:p>
      </dgm:t>
    </dgm:pt>
    <dgm:pt modelId="{B154D020-C9D3-7B4A-8A5A-E165B10EF74A}">
      <dgm:prSet/>
      <dgm:spPr/>
      <dgm:t>
        <a:bodyPr/>
        <a:lstStyle/>
        <a:p>
          <a:r>
            <a:rPr lang="en-US"/>
            <a:t>Operational research budget</a:t>
          </a:r>
        </a:p>
      </dgm:t>
    </dgm:pt>
    <dgm:pt modelId="{1ABFBAEF-FFCD-BD44-B018-7A9D85316866}" type="parTrans" cxnId="{F7AA7EF2-BBF8-D84E-886C-2464A0029B7F}">
      <dgm:prSet/>
      <dgm:spPr/>
      <dgm:t>
        <a:bodyPr/>
        <a:lstStyle/>
        <a:p>
          <a:endParaRPr lang="en-US"/>
        </a:p>
      </dgm:t>
    </dgm:pt>
    <dgm:pt modelId="{64779418-9D29-5240-A4EB-4D4B954317DB}" type="sibTrans" cxnId="{F7AA7EF2-BBF8-D84E-886C-2464A0029B7F}">
      <dgm:prSet/>
      <dgm:spPr/>
      <dgm:t>
        <a:bodyPr/>
        <a:lstStyle/>
        <a:p>
          <a:endParaRPr lang="en-US"/>
        </a:p>
      </dgm:t>
    </dgm:pt>
    <dgm:pt modelId="{0BBC35AC-A3F8-1C43-A22E-4B8DF04B39C2}">
      <dgm:prSet/>
      <dgm:spPr/>
      <dgm:t>
        <a:bodyPr/>
        <a:lstStyle/>
        <a:p>
          <a:r>
            <a:rPr lang="en-US"/>
            <a:t>Building this in - especially for technologically-heavy programmes - is key to long-term stability</a:t>
          </a:r>
        </a:p>
      </dgm:t>
    </dgm:pt>
    <dgm:pt modelId="{874C567A-2C6B-514D-B886-49CB31B3190B}" type="parTrans" cxnId="{8ACCA57E-0446-0A4A-8F7D-C865A2F00012}">
      <dgm:prSet/>
      <dgm:spPr/>
      <dgm:t>
        <a:bodyPr/>
        <a:lstStyle/>
        <a:p>
          <a:endParaRPr lang="en-US"/>
        </a:p>
      </dgm:t>
    </dgm:pt>
    <dgm:pt modelId="{14DD5C3A-2DB0-DE45-8842-DED2C86E236E}" type="sibTrans" cxnId="{8ACCA57E-0446-0A4A-8F7D-C865A2F00012}">
      <dgm:prSet/>
      <dgm:spPr/>
      <dgm:t>
        <a:bodyPr/>
        <a:lstStyle/>
        <a:p>
          <a:endParaRPr lang="en-US"/>
        </a:p>
      </dgm:t>
    </dgm:pt>
    <dgm:pt modelId="{CBE2C946-2BCB-5F4A-A0B7-D0494151A131}">
      <dgm:prSet/>
      <dgm:spPr/>
      <dgm:t>
        <a:bodyPr/>
        <a:lstStyle/>
        <a:p>
          <a:r>
            <a:rPr lang="en-US"/>
            <a:t>Budgetary transparency</a:t>
          </a:r>
        </a:p>
      </dgm:t>
    </dgm:pt>
    <dgm:pt modelId="{A8454072-FDF6-4A47-BE1A-04B551A132A8}" type="parTrans" cxnId="{2DEB67CD-F904-2647-A722-E9DEE415E53C}">
      <dgm:prSet/>
      <dgm:spPr/>
      <dgm:t>
        <a:bodyPr/>
        <a:lstStyle/>
        <a:p>
          <a:endParaRPr lang="en-US"/>
        </a:p>
      </dgm:t>
    </dgm:pt>
    <dgm:pt modelId="{A2825D63-96E2-724B-A3E0-AB245950EC20}" type="sibTrans" cxnId="{2DEB67CD-F904-2647-A722-E9DEE415E53C}">
      <dgm:prSet/>
      <dgm:spPr/>
      <dgm:t>
        <a:bodyPr/>
        <a:lstStyle/>
        <a:p>
          <a:endParaRPr lang="en-US"/>
        </a:p>
      </dgm:t>
    </dgm:pt>
    <dgm:pt modelId="{857DDDB5-962C-1748-AAF8-36EFF9C1AA2B}">
      <dgm:prSet/>
      <dgm:spPr/>
      <dgm:t>
        <a:bodyPr/>
        <a:lstStyle/>
        <a:p>
          <a:r>
            <a:rPr lang="en-US"/>
            <a:t>Donors like direct links to programme outputs, including both metrics and itemized costs</a:t>
          </a:r>
        </a:p>
      </dgm:t>
    </dgm:pt>
    <dgm:pt modelId="{C8420949-FD13-8442-8642-6E7273922160}" type="parTrans" cxnId="{BEE8BF40-A40D-0142-868F-5E9A2C1264F2}">
      <dgm:prSet/>
      <dgm:spPr/>
      <dgm:t>
        <a:bodyPr/>
        <a:lstStyle/>
        <a:p>
          <a:endParaRPr lang="en-US"/>
        </a:p>
      </dgm:t>
    </dgm:pt>
    <dgm:pt modelId="{70AB38DD-CBEE-A548-B3F6-FE626FC4C7E5}" type="sibTrans" cxnId="{BEE8BF40-A40D-0142-868F-5E9A2C1264F2}">
      <dgm:prSet/>
      <dgm:spPr/>
      <dgm:t>
        <a:bodyPr/>
        <a:lstStyle/>
        <a:p>
          <a:endParaRPr lang="en-US"/>
        </a:p>
      </dgm:t>
    </dgm:pt>
    <dgm:pt modelId="{903DD818-3F93-405E-AA16-D40D84B77B69}" type="pres">
      <dgm:prSet presAssocID="{B397D409-711B-490E-A31E-325D3107C138}" presName="linear" presStyleCnt="0">
        <dgm:presLayoutVars>
          <dgm:dir/>
          <dgm:animLvl val="lvl"/>
          <dgm:resizeHandles val="exact"/>
        </dgm:presLayoutVars>
      </dgm:prSet>
      <dgm:spPr/>
      <dgm:t>
        <a:bodyPr/>
        <a:lstStyle/>
        <a:p>
          <a:endParaRPr lang="en-US"/>
        </a:p>
      </dgm:t>
    </dgm:pt>
    <dgm:pt modelId="{4BE4F4E9-693F-F04C-902A-7B2D5087FD89}" type="pres">
      <dgm:prSet presAssocID="{53C9F62D-A3CA-BA48-B627-3D35E8007213}" presName="parentLin" presStyleCnt="0"/>
      <dgm:spPr/>
    </dgm:pt>
    <dgm:pt modelId="{D135C30C-04E7-3E45-9EE1-222A2F5A0E6B}" type="pres">
      <dgm:prSet presAssocID="{53C9F62D-A3CA-BA48-B627-3D35E8007213}" presName="parentLeftMargin" presStyleLbl="node1" presStyleIdx="0" presStyleCnt="8"/>
      <dgm:spPr/>
      <dgm:t>
        <a:bodyPr/>
        <a:lstStyle/>
        <a:p>
          <a:endParaRPr lang="en-US"/>
        </a:p>
      </dgm:t>
    </dgm:pt>
    <dgm:pt modelId="{3262CCA1-A4FC-6542-ABEF-F40CA0E8AD5E}" type="pres">
      <dgm:prSet presAssocID="{53C9F62D-A3CA-BA48-B627-3D35E8007213}" presName="parentText" presStyleLbl="node1" presStyleIdx="0" presStyleCnt="8">
        <dgm:presLayoutVars>
          <dgm:chMax val="0"/>
          <dgm:bulletEnabled val="1"/>
        </dgm:presLayoutVars>
      </dgm:prSet>
      <dgm:spPr/>
      <dgm:t>
        <a:bodyPr/>
        <a:lstStyle/>
        <a:p>
          <a:endParaRPr lang="en-US"/>
        </a:p>
      </dgm:t>
    </dgm:pt>
    <dgm:pt modelId="{EA9FFB89-BC1D-DE46-B93D-FA9239373680}" type="pres">
      <dgm:prSet presAssocID="{53C9F62D-A3CA-BA48-B627-3D35E8007213}" presName="negativeSpace" presStyleCnt="0"/>
      <dgm:spPr/>
    </dgm:pt>
    <dgm:pt modelId="{F317D4D6-0D19-0743-A9BA-A5BBCF909E3F}" type="pres">
      <dgm:prSet presAssocID="{53C9F62D-A3CA-BA48-B627-3D35E8007213}" presName="childText" presStyleLbl="conFgAcc1" presStyleIdx="0" presStyleCnt="8">
        <dgm:presLayoutVars>
          <dgm:bulletEnabled val="1"/>
        </dgm:presLayoutVars>
      </dgm:prSet>
      <dgm:spPr/>
      <dgm:t>
        <a:bodyPr/>
        <a:lstStyle/>
        <a:p>
          <a:endParaRPr lang="en-US"/>
        </a:p>
      </dgm:t>
    </dgm:pt>
    <dgm:pt modelId="{03A38121-ECE4-F844-9DCC-2EC1CF4C2F4D}" type="pres">
      <dgm:prSet presAssocID="{465A541A-C1A1-EF46-98C9-4E82EB79A296}" presName="spaceBetweenRectangles" presStyleCnt="0"/>
      <dgm:spPr/>
    </dgm:pt>
    <dgm:pt modelId="{89BC5E4F-4F6D-D94C-8613-B05D12294E3F}" type="pres">
      <dgm:prSet presAssocID="{EE0677EE-1DF5-9649-A9B1-2AC32507379E}" presName="parentLin" presStyleCnt="0"/>
      <dgm:spPr/>
    </dgm:pt>
    <dgm:pt modelId="{D24F2870-D622-8442-BABA-C5FE29B79D2D}" type="pres">
      <dgm:prSet presAssocID="{EE0677EE-1DF5-9649-A9B1-2AC32507379E}" presName="parentLeftMargin" presStyleLbl="node1" presStyleIdx="0" presStyleCnt="8"/>
      <dgm:spPr/>
      <dgm:t>
        <a:bodyPr/>
        <a:lstStyle/>
        <a:p>
          <a:endParaRPr lang="en-US"/>
        </a:p>
      </dgm:t>
    </dgm:pt>
    <dgm:pt modelId="{7EAD6C94-B067-354C-AE50-1896A26183D9}" type="pres">
      <dgm:prSet presAssocID="{EE0677EE-1DF5-9649-A9B1-2AC32507379E}" presName="parentText" presStyleLbl="node1" presStyleIdx="1" presStyleCnt="8">
        <dgm:presLayoutVars>
          <dgm:chMax val="0"/>
          <dgm:bulletEnabled val="1"/>
        </dgm:presLayoutVars>
      </dgm:prSet>
      <dgm:spPr/>
      <dgm:t>
        <a:bodyPr/>
        <a:lstStyle/>
        <a:p>
          <a:endParaRPr lang="en-US"/>
        </a:p>
      </dgm:t>
    </dgm:pt>
    <dgm:pt modelId="{1146373E-6BCF-9649-9D3D-C9F41C434F57}" type="pres">
      <dgm:prSet presAssocID="{EE0677EE-1DF5-9649-A9B1-2AC32507379E}" presName="negativeSpace" presStyleCnt="0"/>
      <dgm:spPr/>
    </dgm:pt>
    <dgm:pt modelId="{50BF2072-FB2E-C943-87AA-51F51B31420C}" type="pres">
      <dgm:prSet presAssocID="{EE0677EE-1DF5-9649-A9B1-2AC32507379E}" presName="childText" presStyleLbl="conFgAcc1" presStyleIdx="1" presStyleCnt="8">
        <dgm:presLayoutVars>
          <dgm:bulletEnabled val="1"/>
        </dgm:presLayoutVars>
      </dgm:prSet>
      <dgm:spPr/>
      <dgm:t>
        <a:bodyPr/>
        <a:lstStyle/>
        <a:p>
          <a:endParaRPr lang="en-US"/>
        </a:p>
      </dgm:t>
    </dgm:pt>
    <dgm:pt modelId="{5116F7A2-B639-314C-AA0E-5411DA7022D0}" type="pres">
      <dgm:prSet presAssocID="{7CA0E017-8774-9D4C-A642-530042CF4982}" presName="spaceBetweenRectangles" presStyleCnt="0"/>
      <dgm:spPr/>
    </dgm:pt>
    <dgm:pt modelId="{331EFA73-7EBC-3841-AFBF-47ED1E3EED37}" type="pres">
      <dgm:prSet presAssocID="{953FDAEF-8EC7-5B4F-A20B-0BCE1DA9F546}" presName="parentLin" presStyleCnt="0"/>
      <dgm:spPr/>
    </dgm:pt>
    <dgm:pt modelId="{FFF9F11D-13DF-B24C-BAF6-44D7807E28BC}" type="pres">
      <dgm:prSet presAssocID="{953FDAEF-8EC7-5B4F-A20B-0BCE1DA9F546}" presName="parentLeftMargin" presStyleLbl="node1" presStyleIdx="1" presStyleCnt="8"/>
      <dgm:spPr/>
      <dgm:t>
        <a:bodyPr/>
        <a:lstStyle/>
        <a:p>
          <a:endParaRPr lang="en-US"/>
        </a:p>
      </dgm:t>
    </dgm:pt>
    <dgm:pt modelId="{C97D82C3-D549-FC46-8916-7A108A9888F0}" type="pres">
      <dgm:prSet presAssocID="{953FDAEF-8EC7-5B4F-A20B-0BCE1DA9F546}" presName="parentText" presStyleLbl="node1" presStyleIdx="2" presStyleCnt="8">
        <dgm:presLayoutVars>
          <dgm:chMax val="0"/>
          <dgm:bulletEnabled val="1"/>
        </dgm:presLayoutVars>
      </dgm:prSet>
      <dgm:spPr/>
      <dgm:t>
        <a:bodyPr/>
        <a:lstStyle/>
        <a:p>
          <a:endParaRPr lang="en-US"/>
        </a:p>
      </dgm:t>
    </dgm:pt>
    <dgm:pt modelId="{8EFCA2AD-AE91-5445-A54D-74C15925E3D6}" type="pres">
      <dgm:prSet presAssocID="{953FDAEF-8EC7-5B4F-A20B-0BCE1DA9F546}" presName="negativeSpace" presStyleCnt="0"/>
      <dgm:spPr/>
    </dgm:pt>
    <dgm:pt modelId="{0EB112DD-7083-A743-993B-A840FBE0D1FA}" type="pres">
      <dgm:prSet presAssocID="{953FDAEF-8EC7-5B4F-A20B-0BCE1DA9F546}" presName="childText" presStyleLbl="conFgAcc1" presStyleIdx="2" presStyleCnt="8">
        <dgm:presLayoutVars>
          <dgm:bulletEnabled val="1"/>
        </dgm:presLayoutVars>
      </dgm:prSet>
      <dgm:spPr/>
      <dgm:t>
        <a:bodyPr/>
        <a:lstStyle/>
        <a:p>
          <a:endParaRPr lang="en-US"/>
        </a:p>
      </dgm:t>
    </dgm:pt>
    <dgm:pt modelId="{39994A5C-8582-0443-9F24-7154C2AF07C7}" type="pres">
      <dgm:prSet presAssocID="{1F3092DA-BBF1-6041-88B9-28E779E63CE6}" presName="spaceBetweenRectangles" presStyleCnt="0"/>
      <dgm:spPr/>
    </dgm:pt>
    <dgm:pt modelId="{7C9FABA7-9255-6E45-9B03-756408301362}" type="pres">
      <dgm:prSet presAssocID="{1BCD5A1A-FE1C-F441-A683-8EE0DCD718B6}" presName="parentLin" presStyleCnt="0"/>
      <dgm:spPr/>
    </dgm:pt>
    <dgm:pt modelId="{4C2F5DAE-CDD3-C54B-93A4-524EBB70B809}" type="pres">
      <dgm:prSet presAssocID="{1BCD5A1A-FE1C-F441-A683-8EE0DCD718B6}" presName="parentLeftMargin" presStyleLbl="node1" presStyleIdx="2" presStyleCnt="8"/>
      <dgm:spPr/>
      <dgm:t>
        <a:bodyPr/>
        <a:lstStyle/>
        <a:p>
          <a:endParaRPr lang="en-US"/>
        </a:p>
      </dgm:t>
    </dgm:pt>
    <dgm:pt modelId="{9285FA70-3CA2-4047-A488-6A18A55F9958}" type="pres">
      <dgm:prSet presAssocID="{1BCD5A1A-FE1C-F441-A683-8EE0DCD718B6}" presName="parentText" presStyleLbl="node1" presStyleIdx="3" presStyleCnt="8">
        <dgm:presLayoutVars>
          <dgm:chMax val="0"/>
          <dgm:bulletEnabled val="1"/>
        </dgm:presLayoutVars>
      </dgm:prSet>
      <dgm:spPr/>
      <dgm:t>
        <a:bodyPr/>
        <a:lstStyle/>
        <a:p>
          <a:endParaRPr lang="en-US"/>
        </a:p>
      </dgm:t>
    </dgm:pt>
    <dgm:pt modelId="{2A06F32A-BF14-A44D-A7B4-E2D1D2DD3740}" type="pres">
      <dgm:prSet presAssocID="{1BCD5A1A-FE1C-F441-A683-8EE0DCD718B6}" presName="negativeSpace" presStyleCnt="0"/>
      <dgm:spPr/>
    </dgm:pt>
    <dgm:pt modelId="{3D6B36B8-A34A-5D48-B1D0-1DEC7C076F34}" type="pres">
      <dgm:prSet presAssocID="{1BCD5A1A-FE1C-F441-A683-8EE0DCD718B6}" presName="childText" presStyleLbl="conFgAcc1" presStyleIdx="3" presStyleCnt="8">
        <dgm:presLayoutVars>
          <dgm:bulletEnabled val="1"/>
        </dgm:presLayoutVars>
      </dgm:prSet>
      <dgm:spPr/>
      <dgm:t>
        <a:bodyPr/>
        <a:lstStyle/>
        <a:p>
          <a:endParaRPr lang="en-US"/>
        </a:p>
      </dgm:t>
    </dgm:pt>
    <dgm:pt modelId="{F5E3A0FA-8296-BE48-B42D-24E5D4684DB5}" type="pres">
      <dgm:prSet presAssocID="{D9BB54DE-A1DE-F840-BE98-8CB52A215720}" presName="spaceBetweenRectangles" presStyleCnt="0"/>
      <dgm:spPr/>
    </dgm:pt>
    <dgm:pt modelId="{97B2034D-BC47-9348-9F48-C03BC66F50CE}" type="pres">
      <dgm:prSet presAssocID="{ABE91E58-090D-7A49-B800-C25433D5D4D6}" presName="parentLin" presStyleCnt="0"/>
      <dgm:spPr/>
    </dgm:pt>
    <dgm:pt modelId="{94EB2776-0DE8-0B4B-A3C0-6D392A8B9596}" type="pres">
      <dgm:prSet presAssocID="{ABE91E58-090D-7A49-B800-C25433D5D4D6}" presName="parentLeftMargin" presStyleLbl="node1" presStyleIdx="3" presStyleCnt="8"/>
      <dgm:spPr/>
      <dgm:t>
        <a:bodyPr/>
        <a:lstStyle/>
        <a:p>
          <a:endParaRPr lang="en-US"/>
        </a:p>
      </dgm:t>
    </dgm:pt>
    <dgm:pt modelId="{014CF4FE-C407-B840-A1E5-ECE4483ECADE}" type="pres">
      <dgm:prSet presAssocID="{ABE91E58-090D-7A49-B800-C25433D5D4D6}" presName="parentText" presStyleLbl="node1" presStyleIdx="4" presStyleCnt="8">
        <dgm:presLayoutVars>
          <dgm:chMax val="0"/>
          <dgm:bulletEnabled val="1"/>
        </dgm:presLayoutVars>
      </dgm:prSet>
      <dgm:spPr/>
      <dgm:t>
        <a:bodyPr/>
        <a:lstStyle/>
        <a:p>
          <a:endParaRPr lang="en-US"/>
        </a:p>
      </dgm:t>
    </dgm:pt>
    <dgm:pt modelId="{8E08EFDD-E6E0-2E4B-9462-F140A8B3780E}" type="pres">
      <dgm:prSet presAssocID="{ABE91E58-090D-7A49-B800-C25433D5D4D6}" presName="negativeSpace" presStyleCnt="0"/>
      <dgm:spPr/>
    </dgm:pt>
    <dgm:pt modelId="{B4BA0F7D-4E0F-A74D-AE23-1F411FEC2463}" type="pres">
      <dgm:prSet presAssocID="{ABE91E58-090D-7A49-B800-C25433D5D4D6}" presName="childText" presStyleLbl="conFgAcc1" presStyleIdx="4" presStyleCnt="8">
        <dgm:presLayoutVars>
          <dgm:bulletEnabled val="1"/>
        </dgm:presLayoutVars>
      </dgm:prSet>
      <dgm:spPr/>
      <dgm:t>
        <a:bodyPr/>
        <a:lstStyle/>
        <a:p>
          <a:endParaRPr lang="en-US"/>
        </a:p>
      </dgm:t>
    </dgm:pt>
    <dgm:pt modelId="{113AD0A8-A3FC-334C-830E-A0B3D581E62C}" type="pres">
      <dgm:prSet presAssocID="{6E6CDCFF-7431-0942-B28B-A396316071C9}" presName="spaceBetweenRectangles" presStyleCnt="0"/>
      <dgm:spPr/>
    </dgm:pt>
    <dgm:pt modelId="{55B64DA6-B41C-7E4F-A5C6-BDC3E630D640}" type="pres">
      <dgm:prSet presAssocID="{B8AB2F86-2FFF-C04C-9F72-0FBE1935AC62}" presName="parentLin" presStyleCnt="0"/>
      <dgm:spPr/>
    </dgm:pt>
    <dgm:pt modelId="{81602AC5-9976-5247-BCEB-85E2B8B29951}" type="pres">
      <dgm:prSet presAssocID="{B8AB2F86-2FFF-C04C-9F72-0FBE1935AC62}" presName="parentLeftMargin" presStyleLbl="node1" presStyleIdx="4" presStyleCnt="8"/>
      <dgm:spPr/>
      <dgm:t>
        <a:bodyPr/>
        <a:lstStyle/>
        <a:p>
          <a:endParaRPr lang="en-US"/>
        </a:p>
      </dgm:t>
    </dgm:pt>
    <dgm:pt modelId="{78AEB62D-F0BF-4B41-9C63-180C4677B767}" type="pres">
      <dgm:prSet presAssocID="{B8AB2F86-2FFF-C04C-9F72-0FBE1935AC62}" presName="parentText" presStyleLbl="node1" presStyleIdx="5" presStyleCnt="8">
        <dgm:presLayoutVars>
          <dgm:chMax val="0"/>
          <dgm:bulletEnabled val="1"/>
        </dgm:presLayoutVars>
      </dgm:prSet>
      <dgm:spPr/>
      <dgm:t>
        <a:bodyPr/>
        <a:lstStyle/>
        <a:p>
          <a:endParaRPr lang="en-US"/>
        </a:p>
      </dgm:t>
    </dgm:pt>
    <dgm:pt modelId="{C4DF6BE4-16D2-9943-8314-08B0DF3D7909}" type="pres">
      <dgm:prSet presAssocID="{B8AB2F86-2FFF-C04C-9F72-0FBE1935AC62}" presName="negativeSpace" presStyleCnt="0"/>
      <dgm:spPr/>
    </dgm:pt>
    <dgm:pt modelId="{ED19BE7E-E107-214B-AC94-F021FD58A4EB}" type="pres">
      <dgm:prSet presAssocID="{B8AB2F86-2FFF-C04C-9F72-0FBE1935AC62}" presName="childText" presStyleLbl="conFgAcc1" presStyleIdx="5" presStyleCnt="8">
        <dgm:presLayoutVars>
          <dgm:bulletEnabled val="1"/>
        </dgm:presLayoutVars>
      </dgm:prSet>
      <dgm:spPr/>
      <dgm:t>
        <a:bodyPr/>
        <a:lstStyle/>
        <a:p>
          <a:endParaRPr lang="en-US"/>
        </a:p>
      </dgm:t>
    </dgm:pt>
    <dgm:pt modelId="{7D062D28-3B69-6145-AA28-B9513AAA9FA7}" type="pres">
      <dgm:prSet presAssocID="{A2C57D62-A101-124D-9DBB-BD17334FE7EE}" presName="spaceBetweenRectangles" presStyleCnt="0"/>
      <dgm:spPr/>
    </dgm:pt>
    <dgm:pt modelId="{E6032BED-FCC3-3442-AB19-817EB7B647DF}" type="pres">
      <dgm:prSet presAssocID="{B154D020-C9D3-7B4A-8A5A-E165B10EF74A}" presName="parentLin" presStyleCnt="0"/>
      <dgm:spPr/>
    </dgm:pt>
    <dgm:pt modelId="{E344E82A-A928-3349-BE80-B0A40EABB923}" type="pres">
      <dgm:prSet presAssocID="{B154D020-C9D3-7B4A-8A5A-E165B10EF74A}" presName="parentLeftMargin" presStyleLbl="node1" presStyleIdx="5" presStyleCnt="8"/>
      <dgm:spPr/>
      <dgm:t>
        <a:bodyPr/>
        <a:lstStyle/>
        <a:p>
          <a:endParaRPr lang="en-US"/>
        </a:p>
      </dgm:t>
    </dgm:pt>
    <dgm:pt modelId="{26AB7402-A061-BB4D-8E90-9C4F6AF315AA}" type="pres">
      <dgm:prSet presAssocID="{B154D020-C9D3-7B4A-8A5A-E165B10EF74A}" presName="parentText" presStyleLbl="node1" presStyleIdx="6" presStyleCnt="8">
        <dgm:presLayoutVars>
          <dgm:chMax val="0"/>
          <dgm:bulletEnabled val="1"/>
        </dgm:presLayoutVars>
      </dgm:prSet>
      <dgm:spPr/>
      <dgm:t>
        <a:bodyPr/>
        <a:lstStyle/>
        <a:p>
          <a:endParaRPr lang="en-US"/>
        </a:p>
      </dgm:t>
    </dgm:pt>
    <dgm:pt modelId="{55F08B0B-23A0-5545-8211-FAA0A9BAD2ED}" type="pres">
      <dgm:prSet presAssocID="{B154D020-C9D3-7B4A-8A5A-E165B10EF74A}" presName="negativeSpace" presStyleCnt="0"/>
      <dgm:spPr/>
    </dgm:pt>
    <dgm:pt modelId="{589FE64F-DBBA-9342-8F92-D23F324110A1}" type="pres">
      <dgm:prSet presAssocID="{B154D020-C9D3-7B4A-8A5A-E165B10EF74A}" presName="childText" presStyleLbl="conFgAcc1" presStyleIdx="6" presStyleCnt="8">
        <dgm:presLayoutVars>
          <dgm:bulletEnabled val="1"/>
        </dgm:presLayoutVars>
      </dgm:prSet>
      <dgm:spPr/>
      <dgm:t>
        <a:bodyPr/>
        <a:lstStyle/>
        <a:p>
          <a:endParaRPr lang="en-US"/>
        </a:p>
      </dgm:t>
    </dgm:pt>
    <dgm:pt modelId="{01D613A3-BF65-B442-906A-C44E0267351F}" type="pres">
      <dgm:prSet presAssocID="{64779418-9D29-5240-A4EB-4D4B954317DB}" presName="spaceBetweenRectangles" presStyleCnt="0"/>
      <dgm:spPr/>
    </dgm:pt>
    <dgm:pt modelId="{7720C4B4-B0B8-7048-98AF-67FB7E22B66A}" type="pres">
      <dgm:prSet presAssocID="{CBE2C946-2BCB-5F4A-A0B7-D0494151A131}" presName="parentLin" presStyleCnt="0"/>
      <dgm:spPr/>
    </dgm:pt>
    <dgm:pt modelId="{9964BEA6-87CE-4846-B413-8FDDF7AF7392}" type="pres">
      <dgm:prSet presAssocID="{CBE2C946-2BCB-5F4A-A0B7-D0494151A131}" presName="parentLeftMargin" presStyleLbl="node1" presStyleIdx="6" presStyleCnt="8"/>
      <dgm:spPr/>
      <dgm:t>
        <a:bodyPr/>
        <a:lstStyle/>
        <a:p>
          <a:endParaRPr lang="en-US"/>
        </a:p>
      </dgm:t>
    </dgm:pt>
    <dgm:pt modelId="{CA668EDB-63CB-B44E-A2D5-87A8EECA304F}" type="pres">
      <dgm:prSet presAssocID="{CBE2C946-2BCB-5F4A-A0B7-D0494151A131}" presName="parentText" presStyleLbl="node1" presStyleIdx="7" presStyleCnt="8">
        <dgm:presLayoutVars>
          <dgm:chMax val="0"/>
          <dgm:bulletEnabled val="1"/>
        </dgm:presLayoutVars>
      </dgm:prSet>
      <dgm:spPr/>
      <dgm:t>
        <a:bodyPr/>
        <a:lstStyle/>
        <a:p>
          <a:endParaRPr lang="en-US"/>
        </a:p>
      </dgm:t>
    </dgm:pt>
    <dgm:pt modelId="{4B784B9B-8F55-A945-85EB-742B4D83DDC6}" type="pres">
      <dgm:prSet presAssocID="{CBE2C946-2BCB-5F4A-A0B7-D0494151A131}" presName="negativeSpace" presStyleCnt="0"/>
      <dgm:spPr/>
    </dgm:pt>
    <dgm:pt modelId="{530A985B-D129-3D45-922C-D6F683A6D1E2}" type="pres">
      <dgm:prSet presAssocID="{CBE2C946-2BCB-5F4A-A0B7-D0494151A131}" presName="childText" presStyleLbl="conFgAcc1" presStyleIdx="7" presStyleCnt="8">
        <dgm:presLayoutVars>
          <dgm:bulletEnabled val="1"/>
        </dgm:presLayoutVars>
      </dgm:prSet>
      <dgm:spPr/>
      <dgm:t>
        <a:bodyPr/>
        <a:lstStyle/>
        <a:p>
          <a:endParaRPr lang="en-US"/>
        </a:p>
      </dgm:t>
    </dgm:pt>
  </dgm:ptLst>
  <dgm:cxnLst>
    <dgm:cxn modelId="{047F9B57-70CE-2946-B6FD-797805B5FB16}" type="presOf" srcId="{857DDDB5-962C-1748-AAF8-36EFF9C1AA2B}" destId="{530A985B-D129-3D45-922C-D6F683A6D1E2}" srcOrd="0" destOrd="0" presId="urn:microsoft.com/office/officeart/2005/8/layout/list1"/>
    <dgm:cxn modelId="{21E40C65-40B7-554E-A662-E2126ADB65B1}" srcId="{B397D409-711B-490E-A31E-325D3107C138}" destId="{53C9F62D-A3CA-BA48-B627-3D35E8007213}" srcOrd="0" destOrd="0" parTransId="{4CF3CD92-90CB-154B-9B06-6CF5DBA4FED1}" sibTransId="{465A541A-C1A1-EF46-98C9-4E82EB79A296}"/>
    <dgm:cxn modelId="{CA50169E-7CB0-3141-9E6E-77BAAA8C8875}" type="presOf" srcId="{953FDAEF-8EC7-5B4F-A20B-0BCE1DA9F546}" destId="{FFF9F11D-13DF-B24C-BAF6-44D7807E28BC}" srcOrd="0" destOrd="0" presId="urn:microsoft.com/office/officeart/2005/8/layout/list1"/>
    <dgm:cxn modelId="{2DEB67CD-F904-2647-A722-E9DEE415E53C}" srcId="{B397D409-711B-490E-A31E-325D3107C138}" destId="{CBE2C946-2BCB-5F4A-A0B7-D0494151A131}" srcOrd="7" destOrd="0" parTransId="{A8454072-FDF6-4A47-BE1A-04B551A132A8}" sibTransId="{A2825D63-96E2-724B-A3E0-AB245950EC20}"/>
    <dgm:cxn modelId="{DFA31E94-C122-F849-AED7-07473DB826F6}" type="presOf" srcId="{68E99082-0F86-BA42-9355-F7130328FC5C}" destId="{50BF2072-FB2E-C943-87AA-51F51B31420C}" srcOrd="0" destOrd="0" presId="urn:microsoft.com/office/officeart/2005/8/layout/list1"/>
    <dgm:cxn modelId="{3413AB8F-3F06-1D4E-A6A8-76DD51CF091B}" type="presOf" srcId="{1E6D13A9-093E-BF42-8B08-C437909437BC}" destId="{F317D4D6-0D19-0743-A9BA-A5BBCF909E3F}" srcOrd="0" destOrd="0" presId="urn:microsoft.com/office/officeart/2005/8/layout/list1"/>
    <dgm:cxn modelId="{2D389CE3-AFC8-4547-BDE0-D4CBDE19B4ED}" type="presOf" srcId="{0BBC35AC-A3F8-1C43-A22E-4B8DF04B39C2}" destId="{589FE64F-DBBA-9342-8F92-D23F324110A1}" srcOrd="0" destOrd="0" presId="urn:microsoft.com/office/officeart/2005/8/layout/list1"/>
    <dgm:cxn modelId="{10521743-9CED-CD47-85A6-0890ED0459B7}" type="presOf" srcId="{F35842B8-1BD8-5549-8481-2E8B48959260}" destId="{B4BA0F7D-4E0F-A74D-AE23-1F411FEC2463}" srcOrd="0" destOrd="0" presId="urn:microsoft.com/office/officeart/2005/8/layout/list1"/>
    <dgm:cxn modelId="{749DF715-DBFE-CB48-B468-F3618D3A24D5}" type="presOf" srcId="{B8AB2F86-2FFF-C04C-9F72-0FBE1935AC62}" destId="{78AEB62D-F0BF-4B41-9C63-180C4677B767}" srcOrd="1" destOrd="0" presId="urn:microsoft.com/office/officeart/2005/8/layout/list1"/>
    <dgm:cxn modelId="{4FC96F2C-7791-C04C-9FF7-AAC868E784F7}" srcId="{B397D409-711B-490E-A31E-325D3107C138}" destId="{953FDAEF-8EC7-5B4F-A20B-0BCE1DA9F546}" srcOrd="2" destOrd="0" parTransId="{95D7A367-B793-D241-B40A-6CEA127086BB}" sibTransId="{1F3092DA-BBF1-6041-88B9-28E779E63CE6}"/>
    <dgm:cxn modelId="{9EDD8328-E4F0-D548-8723-95F43FC20ECF}" srcId="{B8AB2F86-2FFF-C04C-9F72-0FBE1935AC62}" destId="{48281E04-C413-6147-8262-48F3DB24B1BB}" srcOrd="0" destOrd="0" parTransId="{153A4717-A806-6445-A40D-95554950C14F}" sibTransId="{50636447-BE7E-DB4F-B170-2CAC89B68B55}"/>
    <dgm:cxn modelId="{E8BF5B1D-ED50-8145-A60E-31E8CC6F73F6}" type="presOf" srcId="{B8AB2F86-2FFF-C04C-9F72-0FBE1935AC62}" destId="{81602AC5-9976-5247-BCEB-85E2B8B29951}" srcOrd="0" destOrd="0" presId="urn:microsoft.com/office/officeart/2005/8/layout/list1"/>
    <dgm:cxn modelId="{2BBAFDC8-4A96-D340-AC4D-F71070CEE0FF}" type="presOf" srcId="{EE0677EE-1DF5-9649-A9B1-2AC32507379E}" destId="{7EAD6C94-B067-354C-AE50-1896A26183D9}" srcOrd="1" destOrd="0" presId="urn:microsoft.com/office/officeart/2005/8/layout/list1"/>
    <dgm:cxn modelId="{C90B54F5-9868-C84B-A2FB-CD6811E0D1D7}" srcId="{B397D409-711B-490E-A31E-325D3107C138}" destId="{ABE91E58-090D-7A49-B800-C25433D5D4D6}" srcOrd="4" destOrd="0" parTransId="{B48473B4-4C3B-1846-8433-746AFEFB1D5E}" sibTransId="{6E6CDCFF-7431-0942-B28B-A396316071C9}"/>
    <dgm:cxn modelId="{B75677A2-8E29-534D-BDBF-8D5F4235702F}" srcId="{1BCD5A1A-FE1C-F441-A683-8EE0DCD718B6}" destId="{A5B3B3DB-CC94-714A-BAAA-DA9F29B03ACD}" srcOrd="0" destOrd="0" parTransId="{72DA1A75-A38D-A143-B05B-111F081D6135}" sibTransId="{0D7F7200-3EB3-AC44-AC60-FF39F773FA27}"/>
    <dgm:cxn modelId="{CA35CC93-A2B2-D44B-90DD-F799CDB179AD}" type="presOf" srcId="{48281E04-C413-6147-8262-48F3DB24B1BB}" destId="{ED19BE7E-E107-214B-AC94-F021FD58A4EB}" srcOrd="0" destOrd="0" presId="urn:microsoft.com/office/officeart/2005/8/layout/list1"/>
    <dgm:cxn modelId="{2C44A6D4-1567-AC41-9543-C8F0648BD09E}" srcId="{953FDAEF-8EC7-5B4F-A20B-0BCE1DA9F546}" destId="{245BEA82-EAC2-0642-AE78-52CABA55BF46}" srcOrd="0" destOrd="0" parTransId="{BC38B55A-ECC3-2D4F-AC8A-1292AACD4A74}" sibTransId="{40039B4E-9947-7B44-BB63-0A9BF6907010}"/>
    <dgm:cxn modelId="{58832C7D-06B9-094C-BFEB-7EB5DA03DFE8}" type="presOf" srcId="{1BCD5A1A-FE1C-F441-A683-8EE0DCD718B6}" destId="{4C2F5DAE-CDD3-C54B-93A4-524EBB70B809}" srcOrd="0" destOrd="0" presId="urn:microsoft.com/office/officeart/2005/8/layout/list1"/>
    <dgm:cxn modelId="{628FC86F-414B-C142-A3B8-1ED1F133E877}" type="presOf" srcId="{B397D409-711B-490E-A31E-325D3107C138}" destId="{903DD818-3F93-405E-AA16-D40D84B77B69}" srcOrd="0" destOrd="0" presId="urn:microsoft.com/office/officeart/2005/8/layout/list1"/>
    <dgm:cxn modelId="{7BBE361A-DF65-244B-BFB4-4FEBC10FC895}" type="presOf" srcId="{B154D020-C9D3-7B4A-8A5A-E165B10EF74A}" destId="{26AB7402-A061-BB4D-8E90-9C4F6AF315AA}" srcOrd="1" destOrd="0" presId="urn:microsoft.com/office/officeart/2005/8/layout/list1"/>
    <dgm:cxn modelId="{03FF0087-C74A-EF4D-8EC0-5494D16D6C99}" type="presOf" srcId="{245BEA82-EAC2-0642-AE78-52CABA55BF46}" destId="{0EB112DD-7083-A743-993B-A840FBE0D1FA}" srcOrd="0" destOrd="0" presId="urn:microsoft.com/office/officeart/2005/8/layout/list1"/>
    <dgm:cxn modelId="{0304983F-AF44-504B-921F-8C7247BF43E2}" srcId="{53C9F62D-A3CA-BA48-B627-3D35E8007213}" destId="{1E6D13A9-093E-BF42-8B08-C437909437BC}" srcOrd="0" destOrd="0" parTransId="{DC76E980-FEEC-8F4C-8433-C1CA64771A55}" sibTransId="{E7D16F2C-4529-7840-BF87-CD35B8578D87}"/>
    <dgm:cxn modelId="{BEE8BF40-A40D-0142-868F-5E9A2C1264F2}" srcId="{CBE2C946-2BCB-5F4A-A0B7-D0494151A131}" destId="{857DDDB5-962C-1748-AAF8-36EFF9C1AA2B}" srcOrd="0" destOrd="0" parTransId="{C8420949-FD13-8442-8642-6E7273922160}" sibTransId="{70AB38DD-CBEE-A548-B3F6-FE626FC4C7E5}"/>
    <dgm:cxn modelId="{0215A68B-313D-CC41-8D5D-980091A28D30}" type="presOf" srcId="{A5B3B3DB-CC94-714A-BAAA-DA9F29B03ACD}" destId="{3D6B36B8-A34A-5D48-B1D0-1DEC7C076F34}" srcOrd="0" destOrd="0" presId="urn:microsoft.com/office/officeart/2005/8/layout/list1"/>
    <dgm:cxn modelId="{5EA9BD38-1406-2D42-9DF3-E79938B53D7A}" type="presOf" srcId="{53C9F62D-A3CA-BA48-B627-3D35E8007213}" destId="{D135C30C-04E7-3E45-9EE1-222A2F5A0E6B}" srcOrd="0" destOrd="0" presId="urn:microsoft.com/office/officeart/2005/8/layout/list1"/>
    <dgm:cxn modelId="{2DD66D22-39E3-814B-88F8-24DAA27F2720}" type="presOf" srcId="{953FDAEF-8EC7-5B4F-A20B-0BCE1DA9F546}" destId="{C97D82C3-D549-FC46-8916-7A108A9888F0}" srcOrd="1" destOrd="0" presId="urn:microsoft.com/office/officeart/2005/8/layout/list1"/>
    <dgm:cxn modelId="{691C8E0F-B15D-4546-A853-3645C8496C2D}" type="presOf" srcId="{EE0677EE-1DF5-9649-A9B1-2AC32507379E}" destId="{D24F2870-D622-8442-BABA-C5FE29B79D2D}" srcOrd="0" destOrd="0" presId="urn:microsoft.com/office/officeart/2005/8/layout/list1"/>
    <dgm:cxn modelId="{C213A7E1-7B13-DA47-9E9B-272075ADA109}" type="presOf" srcId="{B154D020-C9D3-7B4A-8A5A-E165B10EF74A}" destId="{E344E82A-A928-3349-BE80-B0A40EABB923}" srcOrd="0" destOrd="0" presId="urn:microsoft.com/office/officeart/2005/8/layout/list1"/>
    <dgm:cxn modelId="{6580420B-CA26-B84D-B3D5-BCE7D1F0108D}" type="presOf" srcId="{ABE91E58-090D-7A49-B800-C25433D5D4D6}" destId="{014CF4FE-C407-B840-A1E5-ECE4483ECADE}" srcOrd="1" destOrd="0" presId="urn:microsoft.com/office/officeart/2005/8/layout/list1"/>
    <dgm:cxn modelId="{9E1642EB-BE9C-BF48-BD60-F5CBD968B939}" srcId="{B397D409-711B-490E-A31E-325D3107C138}" destId="{B8AB2F86-2FFF-C04C-9F72-0FBE1935AC62}" srcOrd="5" destOrd="0" parTransId="{C0F4A517-A62E-5442-B2E1-0FCC93A95BAA}" sibTransId="{A2C57D62-A101-124D-9DBB-BD17334FE7EE}"/>
    <dgm:cxn modelId="{30F9F633-02B9-AC48-81BC-7E633827EC8F}" srcId="{B397D409-711B-490E-A31E-325D3107C138}" destId="{EE0677EE-1DF5-9649-A9B1-2AC32507379E}" srcOrd="1" destOrd="0" parTransId="{99DA27E5-3170-BC4D-B7BB-87659036CAED}" sibTransId="{7CA0E017-8774-9D4C-A642-530042CF4982}"/>
    <dgm:cxn modelId="{535D9E31-A871-2444-843B-965429FF2B5A}" srcId="{EE0677EE-1DF5-9649-A9B1-2AC32507379E}" destId="{68E99082-0F86-BA42-9355-F7130328FC5C}" srcOrd="0" destOrd="0" parTransId="{B00594AA-27FE-1F4D-ACF0-E367D9CD406B}" sibTransId="{DBD1B250-0FE3-5C4A-968C-49A1DEA7732E}"/>
    <dgm:cxn modelId="{AA78ACDE-7C71-A643-94A2-157594C086B6}" type="presOf" srcId="{CBE2C946-2BCB-5F4A-A0B7-D0494151A131}" destId="{9964BEA6-87CE-4846-B413-8FDDF7AF7392}" srcOrd="0" destOrd="0" presId="urn:microsoft.com/office/officeart/2005/8/layout/list1"/>
    <dgm:cxn modelId="{81F8FEA6-5012-F24C-8603-0BFE45FF26E5}" type="presOf" srcId="{53C9F62D-A3CA-BA48-B627-3D35E8007213}" destId="{3262CCA1-A4FC-6542-ABEF-F40CA0E8AD5E}" srcOrd="1" destOrd="0" presId="urn:microsoft.com/office/officeart/2005/8/layout/list1"/>
    <dgm:cxn modelId="{8ACCA57E-0446-0A4A-8F7D-C865A2F00012}" srcId="{B154D020-C9D3-7B4A-8A5A-E165B10EF74A}" destId="{0BBC35AC-A3F8-1C43-A22E-4B8DF04B39C2}" srcOrd="0" destOrd="0" parTransId="{874C567A-2C6B-514D-B886-49CB31B3190B}" sibTransId="{14DD5C3A-2DB0-DE45-8842-DED2C86E236E}"/>
    <dgm:cxn modelId="{7209536D-288F-6443-B0B5-FF0414D55237}" srcId="{ABE91E58-090D-7A49-B800-C25433D5D4D6}" destId="{F35842B8-1BD8-5549-8481-2E8B48959260}" srcOrd="0" destOrd="0" parTransId="{62CA04A1-C891-6647-99FE-F891813AE3F6}" sibTransId="{90C694AA-4D3E-724F-BB43-1AE263EC1B10}"/>
    <dgm:cxn modelId="{78BD936C-286F-C24A-8FAF-457A90E04805}" type="presOf" srcId="{ABE91E58-090D-7A49-B800-C25433D5D4D6}" destId="{94EB2776-0DE8-0B4B-A3C0-6D392A8B9596}" srcOrd="0" destOrd="0" presId="urn:microsoft.com/office/officeart/2005/8/layout/list1"/>
    <dgm:cxn modelId="{F7AA7EF2-BBF8-D84E-886C-2464A0029B7F}" srcId="{B397D409-711B-490E-A31E-325D3107C138}" destId="{B154D020-C9D3-7B4A-8A5A-E165B10EF74A}" srcOrd="6" destOrd="0" parTransId="{1ABFBAEF-FFCD-BD44-B018-7A9D85316866}" sibTransId="{64779418-9D29-5240-A4EB-4D4B954317DB}"/>
    <dgm:cxn modelId="{FC5049C0-F090-C446-9989-3CAF637E6D50}" type="presOf" srcId="{CBE2C946-2BCB-5F4A-A0B7-D0494151A131}" destId="{CA668EDB-63CB-B44E-A2D5-87A8EECA304F}" srcOrd="1" destOrd="0" presId="urn:microsoft.com/office/officeart/2005/8/layout/list1"/>
    <dgm:cxn modelId="{980C28CD-5D71-A346-B59B-979F08A148E6}" type="presOf" srcId="{1BCD5A1A-FE1C-F441-A683-8EE0DCD718B6}" destId="{9285FA70-3CA2-4047-A488-6A18A55F9958}" srcOrd="1" destOrd="0" presId="urn:microsoft.com/office/officeart/2005/8/layout/list1"/>
    <dgm:cxn modelId="{EC295B87-D442-0D40-80A7-22CD8EEEE952}" srcId="{B397D409-711B-490E-A31E-325D3107C138}" destId="{1BCD5A1A-FE1C-F441-A683-8EE0DCD718B6}" srcOrd="3" destOrd="0" parTransId="{97C9DDA8-F679-0145-9937-16EFE5B79952}" sibTransId="{D9BB54DE-A1DE-F840-BE98-8CB52A215720}"/>
    <dgm:cxn modelId="{76E38EE9-78FE-2143-ABFE-9D8654E0B482}" type="presParOf" srcId="{903DD818-3F93-405E-AA16-D40D84B77B69}" destId="{4BE4F4E9-693F-F04C-902A-7B2D5087FD89}" srcOrd="0" destOrd="0" presId="urn:microsoft.com/office/officeart/2005/8/layout/list1"/>
    <dgm:cxn modelId="{29B07A20-B7CB-BD43-81DC-B7016770A7CB}" type="presParOf" srcId="{4BE4F4E9-693F-F04C-902A-7B2D5087FD89}" destId="{D135C30C-04E7-3E45-9EE1-222A2F5A0E6B}" srcOrd="0" destOrd="0" presId="urn:microsoft.com/office/officeart/2005/8/layout/list1"/>
    <dgm:cxn modelId="{E4870B99-315C-B245-8EFA-8BCF25FB950E}" type="presParOf" srcId="{4BE4F4E9-693F-F04C-902A-7B2D5087FD89}" destId="{3262CCA1-A4FC-6542-ABEF-F40CA0E8AD5E}" srcOrd="1" destOrd="0" presId="urn:microsoft.com/office/officeart/2005/8/layout/list1"/>
    <dgm:cxn modelId="{889013AF-43C5-FC49-B362-966388BDED99}" type="presParOf" srcId="{903DD818-3F93-405E-AA16-D40D84B77B69}" destId="{EA9FFB89-BC1D-DE46-B93D-FA9239373680}" srcOrd="1" destOrd="0" presId="urn:microsoft.com/office/officeart/2005/8/layout/list1"/>
    <dgm:cxn modelId="{3B12B2E6-B9DB-BC45-84E5-6688DA3727BC}" type="presParOf" srcId="{903DD818-3F93-405E-AA16-D40D84B77B69}" destId="{F317D4D6-0D19-0743-A9BA-A5BBCF909E3F}" srcOrd="2" destOrd="0" presId="urn:microsoft.com/office/officeart/2005/8/layout/list1"/>
    <dgm:cxn modelId="{F1CB52CE-CAC4-7847-A939-23D315D2A336}" type="presParOf" srcId="{903DD818-3F93-405E-AA16-D40D84B77B69}" destId="{03A38121-ECE4-F844-9DCC-2EC1CF4C2F4D}" srcOrd="3" destOrd="0" presId="urn:microsoft.com/office/officeart/2005/8/layout/list1"/>
    <dgm:cxn modelId="{8C3DC432-8C2A-B745-8069-32073FB58464}" type="presParOf" srcId="{903DD818-3F93-405E-AA16-D40D84B77B69}" destId="{89BC5E4F-4F6D-D94C-8613-B05D12294E3F}" srcOrd="4" destOrd="0" presId="urn:microsoft.com/office/officeart/2005/8/layout/list1"/>
    <dgm:cxn modelId="{682C34DC-7D59-4C40-A7DE-339ECB4A412D}" type="presParOf" srcId="{89BC5E4F-4F6D-D94C-8613-B05D12294E3F}" destId="{D24F2870-D622-8442-BABA-C5FE29B79D2D}" srcOrd="0" destOrd="0" presId="urn:microsoft.com/office/officeart/2005/8/layout/list1"/>
    <dgm:cxn modelId="{9CE83010-6627-E74A-B5B8-4EDDDB1EFE88}" type="presParOf" srcId="{89BC5E4F-4F6D-D94C-8613-B05D12294E3F}" destId="{7EAD6C94-B067-354C-AE50-1896A26183D9}" srcOrd="1" destOrd="0" presId="urn:microsoft.com/office/officeart/2005/8/layout/list1"/>
    <dgm:cxn modelId="{CFA9A749-B90A-CE45-B135-BC160488EC8B}" type="presParOf" srcId="{903DD818-3F93-405E-AA16-D40D84B77B69}" destId="{1146373E-6BCF-9649-9D3D-C9F41C434F57}" srcOrd="5" destOrd="0" presId="urn:microsoft.com/office/officeart/2005/8/layout/list1"/>
    <dgm:cxn modelId="{BBD3DA6B-8070-5145-8FDB-9F1978F4186E}" type="presParOf" srcId="{903DD818-3F93-405E-AA16-D40D84B77B69}" destId="{50BF2072-FB2E-C943-87AA-51F51B31420C}" srcOrd="6" destOrd="0" presId="urn:microsoft.com/office/officeart/2005/8/layout/list1"/>
    <dgm:cxn modelId="{2B61214C-F6F3-2246-8E4F-75B1F1D613B9}" type="presParOf" srcId="{903DD818-3F93-405E-AA16-D40D84B77B69}" destId="{5116F7A2-B639-314C-AA0E-5411DA7022D0}" srcOrd="7" destOrd="0" presId="urn:microsoft.com/office/officeart/2005/8/layout/list1"/>
    <dgm:cxn modelId="{6127CA2D-A95B-034D-BD90-B18D74A705C9}" type="presParOf" srcId="{903DD818-3F93-405E-AA16-D40D84B77B69}" destId="{331EFA73-7EBC-3841-AFBF-47ED1E3EED37}" srcOrd="8" destOrd="0" presId="urn:microsoft.com/office/officeart/2005/8/layout/list1"/>
    <dgm:cxn modelId="{DAEA5012-D76A-A64D-A2DD-0D77268384B2}" type="presParOf" srcId="{331EFA73-7EBC-3841-AFBF-47ED1E3EED37}" destId="{FFF9F11D-13DF-B24C-BAF6-44D7807E28BC}" srcOrd="0" destOrd="0" presId="urn:microsoft.com/office/officeart/2005/8/layout/list1"/>
    <dgm:cxn modelId="{C56C5924-9A2B-EC45-98D5-541C558247D3}" type="presParOf" srcId="{331EFA73-7EBC-3841-AFBF-47ED1E3EED37}" destId="{C97D82C3-D549-FC46-8916-7A108A9888F0}" srcOrd="1" destOrd="0" presId="urn:microsoft.com/office/officeart/2005/8/layout/list1"/>
    <dgm:cxn modelId="{5621E253-EDEF-4948-9C55-819FB8848FD6}" type="presParOf" srcId="{903DD818-3F93-405E-AA16-D40D84B77B69}" destId="{8EFCA2AD-AE91-5445-A54D-74C15925E3D6}" srcOrd="9" destOrd="0" presId="urn:microsoft.com/office/officeart/2005/8/layout/list1"/>
    <dgm:cxn modelId="{418AA3A7-3F11-E04C-971A-E58104125DAB}" type="presParOf" srcId="{903DD818-3F93-405E-AA16-D40D84B77B69}" destId="{0EB112DD-7083-A743-993B-A840FBE0D1FA}" srcOrd="10" destOrd="0" presId="urn:microsoft.com/office/officeart/2005/8/layout/list1"/>
    <dgm:cxn modelId="{D536B4C0-7775-1242-86E0-F76385917D9A}" type="presParOf" srcId="{903DD818-3F93-405E-AA16-D40D84B77B69}" destId="{39994A5C-8582-0443-9F24-7154C2AF07C7}" srcOrd="11" destOrd="0" presId="urn:microsoft.com/office/officeart/2005/8/layout/list1"/>
    <dgm:cxn modelId="{CDDCE669-A322-3E48-814A-EB8248AC451A}" type="presParOf" srcId="{903DD818-3F93-405E-AA16-D40D84B77B69}" destId="{7C9FABA7-9255-6E45-9B03-756408301362}" srcOrd="12" destOrd="0" presId="urn:microsoft.com/office/officeart/2005/8/layout/list1"/>
    <dgm:cxn modelId="{424781B7-E139-B04D-8647-B6D62393ADE4}" type="presParOf" srcId="{7C9FABA7-9255-6E45-9B03-756408301362}" destId="{4C2F5DAE-CDD3-C54B-93A4-524EBB70B809}" srcOrd="0" destOrd="0" presId="urn:microsoft.com/office/officeart/2005/8/layout/list1"/>
    <dgm:cxn modelId="{8566D194-251E-4647-98D9-96F3FA80B3FF}" type="presParOf" srcId="{7C9FABA7-9255-6E45-9B03-756408301362}" destId="{9285FA70-3CA2-4047-A488-6A18A55F9958}" srcOrd="1" destOrd="0" presId="urn:microsoft.com/office/officeart/2005/8/layout/list1"/>
    <dgm:cxn modelId="{CF9239CB-E1F1-594E-AB2C-C82997326F42}" type="presParOf" srcId="{903DD818-3F93-405E-AA16-D40D84B77B69}" destId="{2A06F32A-BF14-A44D-A7B4-E2D1D2DD3740}" srcOrd="13" destOrd="0" presId="urn:microsoft.com/office/officeart/2005/8/layout/list1"/>
    <dgm:cxn modelId="{2FDD794C-7DA8-D243-84BA-4531AD4BAF82}" type="presParOf" srcId="{903DD818-3F93-405E-AA16-D40D84B77B69}" destId="{3D6B36B8-A34A-5D48-B1D0-1DEC7C076F34}" srcOrd="14" destOrd="0" presId="urn:microsoft.com/office/officeart/2005/8/layout/list1"/>
    <dgm:cxn modelId="{C120F8BD-7876-1641-AE59-13943E464978}" type="presParOf" srcId="{903DD818-3F93-405E-AA16-D40D84B77B69}" destId="{F5E3A0FA-8296-BE48-B42D-24E5D4684DB5}" srcOrd="15" destOrd="0" presId="urn:microsoft.com/office/officeart/2005/8/layout/list1"/>
    <dgm:cxn modelId="{6FB71757-4224-BF41-A9A8-D1E794829199}" type="presParOf" srcId="{903DD818-3F93-405E-AA16-D40D84B77B69}" destId="{97B2034D-BC47-9348-9F48-C03BC66F50CE}" srcOrd="16" destOrd="0" presId="urn:microsoft.com/office/officeart/2005/8/layout/list1"/>
    <dgm:cxn modelId="{3318AE31-A86F-484F-965F-40A99A7390F2}" type="presParOf" srcId="{97B2034D-BC47-9348-9F48-C03BC66F50CE}" destId="{94EB2776-0DE8-0B4B-A3C0-6D392A8B9596}" srcOrd="0" destOrd="0" presId="urn:microsoft.com/office/officeart/2005/8/layout/list1"/>
    <dgm:cxn modelId="{DDB42983-D89B-3A40-9C91-2E1BA9AB531A}" type="presParOf" srcId="{97B2034D-BC47-9348-9F48-C03BC66F50CE}" destId="{014CF4FE-C407-B840-A1E5-ECE4483ECADE}" srcOrd="1" destOrd="0" presId="urn:microsoft.com/office/officeart/2005/8/layout/list1"/>
    <dgm:cxn modelId="{77AA8345-7146-7544-B005-892AE8494E65}" type="presParOf" srcId="{903DD818-3F93-405E-AA16-D40D84B77B69}" destId="{8E08EFDD-E6E0-2E4B-9462-F140A8B3780E}" srcOrd="17" destOrd="0" presId="urn:microsoft.com/office/officeart/2005/8/layout/list1"/>
    <dgm:cxn modelId="{CE7E24F4-CD9C-7F44-AEBA-9DC647E4834D}" type="presParOf" srcId="{903DD818-3F93-405E-AA16-D40D84B77B69}" destId="{B4BA0F7D-4E0F-A74D-AE23-1F411FEC2463}" srcOrd="18" destOrd="0" presId="urn:microsoft.com/office/officeart/2005/8/layout/list1"/>
    <dgm:cxn modelId="{B2B3C129-4DA6-E542-8010-7CDA09DB65A6}" type="presParOf" srcId="{903DD818-3F93-405E-AA16-D40D84B77B69}" destId="{113AD0A8-A3FC-334C-830E-A0B3D581E62C}" srcOrd="19" destOrd="0" presId="urn:microsoft.com/office/officeart/2005/8/layout/list1"/>
    <dgm:cxn modelId="{5EA784F9-AB64-FA4A-AD06-091863626CB7}" type="presParOf" srcId="{903DD818-3F93-405E-AA16-D40D84B77B69}" destId="{55B64DA6-B41C-7E4F-A5C6-BDC3E630D640}" srcOrd="20" destOrd="0" presId="urn:microsoft.com/office/officeart/2005/8/layout/list1"/>
    <dgm:cxn modelId="{88D79E22-EFE0-E546-8C0C-1E76D8B6924E}" type="presParOf" srcId="{55B64DA6-B41C-7E4F-A5C6-BDC3E630D640}" destId="{81602AC5-9976-5247-BCEB-85E2B8B29951}" srcOrd="0" destOrd="0" presId="urn:microsoft.com/office/officeart/2005/8/layout/list1"/>
    <dgm:cxn modelId="{B07A8CFA-D5DB-8746-AAC7-E314AC6E1313}" type="presParOf" srcId="{55B64DA6-B41C-7E4F-A5C6-BDC3E630D640}" destId="{78AEB62D-F0BF-4B41-9C63-180C4677B767}" srcOrd="1" destOrd="0" presId="urn:microsoft.com/office/officeart/2005/8/layout/list1"/>
    <dgm:cxn modelId="{8DE5C241-5FCD-D346-A7F9-46BAC626D168}" type="presParOf" srcId="{903DD818-3F93-405E-AA16-D40D84B77B69}" destId="{C4DF6BE4-16D2-9943-8314-08B0DF3D7909}" srcOrd="21" destOrd="0" presId="urn:microsoft.com/office/officeart/2005/8/layout/list1"/>
    <dgm:cxn modelId="{E430A9AD-3F89-FD4F-B4C9-539D28FDE516}" type="presParOf" srcId="{903DD818-3F93-405E-AA16-D40D84B77B69}" destId="{ED19BE7E-E107-214B-AC94-F021FD58A4EB}" srcOrd="22" destOrd="0" presId="urn:microsoft.com/office/officeart/2005/8/layout/list1"/>
    <dgm:cxn modelId="{DFA9019F-C201-1C4E-82DF-B348FC00DC6E}" type="presParOf" srcId="{903DD818-3F93-405E-AA16-D40D84B77B69}" destId="{7D062D28-3B69-6145-AA28-B9513AAA9FA7}" srcOrd="23" destOrd="0" presId="urn:microsoft.com/office/officeart/2005/8/layout/list1"/>
    <dgm:cxn modelId="{95477705-1E48-4944-93A9-B3F2DB20DB40}" type="presParOf" srcId="{903DD818-3F93-405E-AA16-D40D84B77B69}" destId="{E6032BED-FCC3-3442-AB19-817EB7B647DF}" srcOrd="24" destOrd="0" presId="urn:microsoft.com/office/officeart/2005/8/layout/list1"/>
    <dgm:cxn modelId="{BDA15D8D-142A-7F47-9238-8E19BA8F4AF9}" type="presParOf" srcId="{E6032BED-FCC3-3442-AB19-817EB7B647DF}" destId="{E344E82A-A928-3349-BE80-B0A40EABB923}" srcOrd="0" destOrd="0" presId="urn:microsoft.com/office/officeart/2005/8/layout/list1"/>
    <dgm:cxn modelId="{9BD65CC7-30D7-614D-8205-C1C72EDF10A5}" type="presParOf" srcId="{E6032BED-FCC3-3442-AB19-817EB7B647DF}" destId="{26AB7402-A061-BB4D-8E90-9C4F6AF315AA}" srcOrd="1" destOrd="0" presId="urn:microsoft.com/office/officeart/2005/8/layout/list1"/>
    <dgm:cxn modelId="{4C6CAFB0-341F-574C-9E32-359EB58CA783}" type="presParOf" srcId="{903DD818-3F93-405E-AA16-D40D84B77B69}" destId="{55F08B0B-23A0-5545-8211-FAA0A9BAD2ED}" srcOrd="25" destOrd="0" presId="urn:microsoft.com/office/officeart/2005/8/layout/list1"/>
    <dgm:cxn modelId="{3632D1D6-8EF3-FC42-856C-798FC765E2EF}" type="presParOf" srcId="{903DD818-3F93-405E-AA16-D40D84B77B69}" destId="{589FE64F-DBBA-9342-8F92-D23F324110A1}" srcOrd="26" destOrd="0" presId="urn:microsoft.com/office/officeart/2005/8/layout/list1"/>
    <dgm:cxn modelId="{580DADCA-B1DF-0D4F-96FA-45DB91A59894}" type="presParOf" srcId="{903DD818-3F93-405E-AA16-D40D84B77B69}" destId="{01D613A3-BF65-B442-906A-C44E0267351F}" srcOrd="27" destOrd="0" presId="urn:microsoft.com/office/officeart/2005/8/layout/list1"/>
    <dgm:cxn modelId="{9D039EF9-3BBD-B441-A896-A941D42ECD2F}" type="presParOf" srcId="{903DD818-3F93-405E-AA16-D40D84B77B69}" destId="{7720C4B4-B0B8-7048-98AF-67FB7E22B66A}" srcOrd="28" destOrd="0" presId="urn:microsoft.com/office/officeart/2005/8/layout/list1"/>
    <dgm:cxn modelId="{5D5E629E-7402-4E4E-B20C-08EAEC71C4B0}" type="presParOf" srcId="{7720C4B4-B0B8-7048-98AF-67FB7E22B66A}" destId="{9964BEA6-87CE-4846-B413-8FDDF7AF7392}" srcOrd="0" destOrd="0" presId="urn:microsoft.com/office/officeart/2005/8/layout/list1"/>
    <dgm:cxn modelId="{8901EC41-3BF2-1248-8A58-0B210DBF1EB5}" type="presParOf" srcId="{7720C4B4-B0B8-7048-98AF-67FB7E22B66A}" destId="{CA668EDB-63CB-B44E-A2D5-87A8EECA304F}" srcOrd="1" destOrd="0" presId="urn:microsoft.com/office/officeart/2005/8/layout/list1"/>
    <dgm:cxn modelId="{6496534B-C58B-E04E-AE21-CBDBF9B9A2F8}" type="presParOf" srcId="{903DD818-3F93-405E-AA16-D40D84B77B69}" destId="{4B784B9B-8F55-A945-85EB-742B4D83DDC6}" srcOrd="29" destOrd="0" presId="urn:microsoft.com/office/officeart/2005/8/layout/list1"/>
    <dgm:cxn modelId="{593179E7-5BA1-8D46-B9A6-DB2A6914F032}" type="presParOf" srcId="{903DD818-3F93-405E-AA16-D40D84B77B69}" destId="{530A985B-D129-3D45-922C-D6F683A6D1E2}" srcOrd="30" destOrd="0" presId="urn:microsoft.com/office/officeart/2005/8/layout/list1"/>
  </dgm:cxnLst>
  <dgm:bg/>
  <dgm:whole/>
  <dgm:extLst>
    <a:ext uri="http://schemas.microsoft.com/office/drawing/2008/diagram">
      <dsp:dataModelExt xmlns:dsp="http://schemas.microsoft.com/office/drawing/2008/diagram" relId="rId86"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87565879-0A67-AF4A-A847-CBC63BFDC8DC}" type="doc">
      <dgm:prSet loTypeId="urn:microsoft.com/office/officeart/2005/8/layout/hList3" loCatId="" qsTypeId="urn:microsoft.com/office/officeart/2005/8/quickstyle/simple1" qsCatId="simple" csTypeId="urn:microsoft.com/office/officeart/2005/8/colors/accent1_2" csCatId="accent1" phldr="1"/>
      <dgm:spPr/>
      <dgm:t>
        <a:bodyPr/>
        <a:lstStyle/>
        <a:p>
          <a:endParaRPr lang="en-US"/>
        </a:p>
      </dgm:t>
    </dgm:pt>
    <dgm:pt modelId="{E9F9CEA4-C2A1-D143-938A-AB668227AE13}">
      <dgm:prSet phldrT="[Text]" custT="1"/>
      <dgm:spPr>
        <a:solidFill>
          <a:schemeClr val="bg1"/>
        </a:solidFill>
        <a:ln>
          <a:noFill/>
        </a:ln>
      </dgm:spPr>
      <dgm:t>
        <a:bodyPr/>
        <a:lstStyle/>
        <a:p>
          <a:r>
            <a:rPr lang="en-US" sz="1000" b="1">
              <a:solidFill>
                <a:sysClr val="windowText" lastClr="000000"/>
              </a:solidFill>
            </a:rPr>
            <a:t>General objective: Promote research capacity and innovation for new drugs and control tools, including field research, for the control of 8 tropical diseases</a:t>
          </a:r>
          <a:endParaRPr lang="en-US" sz="1000">
            <a:solidFill>
              <a:sysClr val="windowText" lastClr="000000"/>
            </a:solidFill>
          </a:endParaRPr>
        </a:p>
        <a:p>
          <a:r>
            <a:rPr lang="en-US" sz="900" b="0" i="0">
              <a:solidFill>
                <a:sysClr val="windowText" lastClr="000000"/>
              </a:solidFill>
            </a:rPr>
            <a:t>-Est. 1974 at request of World Health Assembly</a:t>
          </a:r>
        </a:p>
        <a:p>
          <a:r>
            <a:rPr lang="en-US" sz="900" b="0" i="0">
              <a:solidFill>
                <a:sysClr val="windowText" lastClr="000000"/>
              </a:solidFill>
            </a:rPr>
            <a:t>-Composed of sponsoring agencies, scientists, public health experts, institutions, and donor/developing countries</a:t>
          </a:r>
        </a:p>
        <a:p>
          <a:r>
            <a:rPr lang="en-US" sz="900" b="0" i="0">
              <a:solidFill>
                <a:sysClr val="windowText" lastClr="000000"/>
              </a:solidFill>
            </a:rPr>
            <a:t>-Sponsored by WHO (1974-onwards), UNDP (1976-onwards), World Bank (1977-onwards)</a:t>
          </a:r>
        </a:p>
        <a:p>
          <a:r>
            <a:rPr lang="en-US" sz="900" b="0" i="0">
              <a:solidFill>
                <a:sysClr val="windowText" lastClr="000000"/>
              </a:solidFill>
            </a:rPr>
            <a:t>-Most funds earmarked for 'research capacity strengthening'</a:t>
          </a:r>
        </a:p>
        <a:p>
          <a:r>
            <a:rPr lang="en-US" sz="900" b="0" i="0">
              <a:solidFill>
                <a:sysClr val="windowText" lastClr="000000"/>
              </a:solidFill>
            </a:rPr>
            <a:t>-Intended to compensate for poor private pharmaceutical company incentives to invest in research &amp; development for tropical disease drugs and control technology</a:t>
          </a:r>
        </a:p>
      </dgm:t>
    </dgm:pt>
    <dgm:pt modelId="{094FE4C8-B10A-6246-BBD1-B837D258B29B}" type="parTrans" cxnId="{ED41CAB2-B2E6-6946-8D3A-878866292381}">
      <dgm:prSet/>
      <dgm:spPr/>
      <dgm:t>
        <a:bodyPr/>
        <a:lstStyle/>
        <a:p>
          <a:endParaRPr lang="en-US">
            <a:solidFill>
              <a:sysClr val="windowText" lastClr="000000"/>
            </a:solidFill>
          </a:endParaRPr>
        </a:p>
      </dgm:t>
    </dgm:pt>
    <dgm:pt modelId="{5E139339-F8A7-C444-8D63-9B312EE2E8EE}" type="sibTrans" cxnId="{ED41CAB2-B2E6-6946-8D3A-878866292381}">
      <dgm:prSet/>
      <dgm:spPr/>
      <dgm:t>
        <a:bodyPr/>
        <a:lstStyle/>
        <a:p>
          <a:endParaRPr lang="en-US">
            <a:solidFill>
              <a:sysClr val="windowText" lastClr="000000"/>
            </a:solidFill>
          </a:endParaRPr>
        </a:p>
      </dgm:t>
    </dgm:pt>
    <dgm:pt modelId="{5B064E34-425C-A14F-B134-33AEDFD9969C}">
      <dgm:prSet phldrT="[Text]" custT="1"/>
      <dgm:spPr>
        <a:solidFill>
          <a:schemeClr val="bg1"/>
        </a:solidFill>
        <a:ln>
          <a:solidFill>
            <a:schemeClr val="tx1"/>
          </a:solidFill>
        </a:ln>
      </dgm:spPr>
      <dgm:t>
        <a:bodyPr/>
        <a:lstStyle/>
        <a:p>
          <a:r>
            <a:rPr lang="en-US" sz="900" b="1">
              <a:solidFill>
                <a:sysClr val="windowText" lastClr="000000"/>
              </a:solidFill>
            </a:rPr>
            <a:t>Disease sub-groups: </a:t>
          </a:r>
        </a:p>
        <a:p>
          <a:r>
            <a:rPr lang="en-US" sz="900">
              <a:solidFill>
                <a:sysClr val="windowText" lastClr="000000"/>
              </a:solidFill>
            </a:rPr>
            <a:t>malaria, filariasis (incl. onchoceciasis), trypanosomiasis, leprosy, leishmaniasis</a:t>
          </a:r>
        </a:p>
      </dgm:t>
    </dgm:pt>
    <dgm:pt modelId="{AD101DD5-3E03-9846-AF36-2647D8A2BF2C}" type="parTrans" cxnId="{1A913DA8-E6BF-C244-88C5-E7E992B864E6}">
      <dgm:prSet/>
      <dgm:spPr/>
      <dgm:t>
        <a:bodyPr/>
        <a:lstStyle/>
        <a:p>
          <a:endParaRPr lang="en-US">
            <a:solidFill>
              <a:sysClr val="windowText" lastClr="000000"/>
            </a:solidFill>
          </a:endParaRPr>
        </a:p>
      </dgm:t>
    </dgm:pt>
    <dgm:pt modelId="{D48F176E-5BA4-8047-8D6C-8EB1F57FA927}" type="sibTrans" cxnId="{1A913DA8-E6BF-C244-88C5-E7E992B864E6}">
      <dgm:prSet/>
      <dgm:spPr/>
      <dgm:t>
        <a:bodyPr/>
        <a:lstStyle/>
        <a:p>
          <a:endParaRPr lang="en-US">
            <a:solidFill>
              <a:sysClr val="windowText" lastClr="000000"/>
            </a:solidFill>
          </a:endParaRPr>
        </a:p>
      </dgm:t>
    </dgm:pt>
    <dgm:pt modelId="{80D30ADF-A178-8D42-ABD6-A62C773AA247}">
      <dgm:prSet phldrT="[Text]" custT="1"/>
      <dgm:spPr>
        <a:solidFill>
          <a:schemeClr val="bg1"/>
        </a:solidFill>
        <a:ln>
          <a:solidFill>
            <a:schemeClr val="tx1"/>
          </a:solidFill>
        </a:ln>
      </dgm:spPr>
      <dgm:t>
        <a:bodyPr/>
        <a:lstStyle/>
        <a:p>
          <a:r>
            <a:rPr lang="en-US" sz="900" b="1">
              <a:solidFill>
                <a:sysClr val="windowText" lastClr="000000"/>
              </a:solidFill>
            </a:rPr>
            <a:t>Cross-cutting sub-groups:</a:t>
          </a:r>
        </a:p>
        <a:p>
          <a:r>
            <a:rPr lang="en-US" sz="900">
              <a:solidFill>
                <a:sysClr val="windowText" lastClr="000000"/>
              </a:solidFill>
            </a:rPr>
            <a:t> biomedicine, vector biology control, epidemiology, social/economic research</a:t>
          </a:r>
        </a:p>
      </dgm:t>
    </dgm:pt>
    <dgm:pt modelId="{63771F48-662F-404A-90F6-8CA810B181C8}" type="parTrans" cxnId="{0292F451-E323-3140-BA5B-9D6908FDBC39}">
      <dgm:prSet/>
      <dgm:spPr/>
      <dgm:t>
        <a:bodyPr/>
        <a:lstStyle/>
        <a:p>
          <a:endParaRPr lang="en-US">
            <a:solidFill>
              <a:sysClr val="windowText" lastClr="000000"/>
            </a:solidFill>
          </a:endParaRPr>
        </a:p>
      </dgm:t>
    </dgm:pt>
    <dgm:pt modelId="{5F41C865-440C-3244-97F4-DE102EA371E9}" type="sibTrans" cxnId="{0292F451-E323-3140-BA5B-9D6908FDBC39}">
      <dgm:prSet/>
      <dgm:spPr/>
      <dgm:t>
        <a:bodyPr/>
        <a:lstStyle/>
        <a:p>
          <a:endParaRPr lang="en-US">
            <a:solidFill>
              <a:sysClr val="windowText" lastClr="000000"/>
            </a:solidFill>
          </a:endParaRPr>
        </a:p>
      </dgm:t>
    </dgm:pt>
    <dgm:pt modelId="{14D4B02A-71E9-7C4C-AB73-8F3C458F232C}">
      <dgm:prSet phldrT="[Text]" custT="1"/>
      <dgm:spPr>
        <a:solidFill>
          <a:schemeClr val="bg1"/>
        </a:solidFill>
        <a:ln>
          <a:solidFill>
            <a:schemeClr val="tx1"/>
          </a:solidFill>
        </a:ln>
      </dgm:spPr>
      <dgm:t>
        <a:bodyPr/>
        <a:lstStyle/>
        <a:p>
          <a:r>
            <a:rPr lang="en-US" sz="900" b="1">
              <a:solidFill>
                <a:sysClr val="windowText" lastClr="000000"/>
              </a:solidFill>
            </a:rPr>
            <a:t>Sub-group: </a:t>
          </a:r>
        </a:p>
        <a:p>
          <a:r>
            <a:rPr lang="en-US" sz="900">
              <a:solidFill>
                <a:sysClr val="windowText" lastClr="000000"/>
              </a:solidFill>
            </a:rPr>
            <a:t>strengthening research institutions</a:t>
          </a:r>
        </a:p>
      </dgm:t>
    </dgm:pt>
    <dgm:pt modelId="{CC0264E2-2231-1342-A751-808F6314B1D2}" type="parTrans" cxnId="{3063AC74-FD91-3C43-96BB-4C23EAB8874D}">
      <dgm:prSet/>
      <dgm:spPr/>
      <dgm:t>
        <a:bodyPr/>
        <a:lstStyle/>
        <a:p>
          <a:endParaRPr lang="en-US">
            <a:solidFill>
              <a:sysClr val="windowText" lastClr="000000"/>
            </a:solidFill>
          </a:endParaRPr>
        </a:p>
      </dgm:t>
    </dgm:pt>
    <dgm:pt modelId="{D0C4858C-D2EB-2F45-8F4E-B1D9E46E1042}" type="sibTrans" cxnId="{3063AC74-FD91-3C43-96BB-4C23EAB8874D}">
      <dgm:prSet/>
      <dgm:spPr/>
      <dgm:t>
        <a:bodyPr/>
        <a:lstStyle/>
        <a:p>
          <a:endParaRPr lang="en-US">
            <a:solidFill>
              <a:sysClr val="windowText" lastClr="000000"/>
            </a:solidFill>
          </a:endParaRPr>
        </a:p>
      </dgm:t>
    </dgm:pt>
    <dgm:pt modelId="{B7A5E0DB-BDE3-0348-A22F-78CD97383FD9}">
      <dgm:prSet/>
      <dgm:spPr/>
      <dgm:t>
        <a:bodyPr/>
        <a:lstStyle/>
        <a:p>
          <a:endParaRPr lang="en-US"/>
        </a:p>
      </dgm:t>
    </dgm:pt>
    <dgm:pt modelId="{2ECC752B-1272-AF45-ACB5-601E956EF7B1}" type="parTrans" cxnId="{9C43B0A2-2F8D-5343-BB35-E105E1DEB8A2}">
      <dgm:prSet/>
      <dgm:spPr/>
      <dgm:t>
        <a:bodyPr/>
        <a:lstStyle/>
        <a:p>
          <a:endParaRPr lang="en-US"/>
        </a:p>
      </dgm:t>
    </dgm:pt>
    <dgm:pt modelId="{16350B24-9896-0C4A-B33B-7810326BDB56}" type="sibTrans" cxnId="{9C43B0A2-2F8D-5343-BB35-E105E1DEB8A2}">
      <dgm:prSet/>
      <dgm:spPr/>
      <dgm:t>
        <a:bodyPr/>
        <a:lstStyle/>
        <a:p>
          <a:endParaRPr lang="en-US"/>
        </a:p>
      </dgm:t>
    </dgm:pt>
    <dgm:pt modelId="{4181FBA4-EB9F-C748-B905-1A1965D13DB4}" type="pres">
      <dgm:prSet presAssocID="{87565879-0A67-AF4A-A847-CBC63BFDC8DC}" presName="composite" presStyleCnt="0">
        <dgm:presLayoutVars>
          <dgm:chMax val="1"/>
          <dgm:dir/>
          <dgm:resizeHandles val="exact"/>
        </dgm:presLayoutVars>
      </dgm:prSet>
      <dgm:spPr/>
      <dgm:t>
        <a:bodyPr/>
        <a:lstStyle/>
        <a:p>
          <a:endParaRPr lang="en-US"/>
        </a:p>
      </dgm:t>
    </dgm:pt>
    <dgm:pt modelId="{97EF0205-F5D1-6141-90A1-E4FD011F9F7B}" type="pres">
      <dgm:prSet presAssocID="{E9F9CEA4-C2A1-D143-938A-AB668227AE13}" presName="roof" presStyleLbl="dkBgShp" presStyleIdx="0" presStyleCnt="2" custScaleX="92373" custScaleY="257317"/>
      <dgm:spPr/>
      <dgm:t>
        <a:bodyPr/>
        <a:lstStyle/>
        <a:p>
          <a:endParaRPr lang="en-US"/>
        </a:p>
      </dgm:t>
    </dgm:pt>
    <dgm:pt modelId="{40B0D99B-E5DE-AF4A-971C-248A74CDFF22}" type="pres">
      <dgm:prSet presAssocID="{E9F9CEA4-C2A1-D143-938A-AB668227AE13}" presName="pillars" presStyleCnt="0"/>
      <dgm:spPr/>
    </dgm:pt>
    <dgm:pt modelId="{497882C7-CCCB-AB4E-AB67-170FEE9CA024}" type="pres">
      <dgm:prSet presAssocID="{E9F9CEA4-C2A1-D143-938A-AB668227AE13}" presName="pillar1" presStyleLbl="node1" presStyleIdx="0" presStyleCnt="3" custScaleY="59021" custLinFactNeighborX="-58721" custLinFactNeighborY="674">
        <dgm:presLayoutVars>
          <dgm:bulletEnabled val="1"/>
        </dgm:presLayoutVars>
      </dgm:prSet>
      <dgm:spPr/>
      <dgm:t>
        <a:bodyPr/>
        <a:lstStyle/>
        <a:p>
          <a:endParaRPr lang="en-US"/>
        </a:p>
      </dgm:t>
    </dgm:pt>
    <dgm:pt modelId="{267D8217-4DC5-5340-8F19-B3097AFC4ADD}" type="pres">
      <dgm:prSet presAssocID="{80D30ADF-A178-8D42-ABD6-A62C773AA247}" presName="pillarX" presStyleLbl="node1" presStyleIdx="1" presStyleCnt="3" custScaleY="59053" custLinFactNeighborY="0">
        <dgm:presLayoutVars>
          <dgm:bulletEnabled val="1"/>
        </dgm:presLayoutVars>
      </dgm:prSet>
      <dgm:spPr/>
      <dgm:t>
        <a:bodyPr/>
        <a:lstStyle/>
        <a:p>
          <a:endParaRPr lang="en-US"/>
        </a:p>
      </dgm:t>
    </dgm:pt>
    <dgm:pt modelId="{CBF17F10-41E5-9C47-9A0B-776120DDF17E}" type="pres">
      <dgm:prSet presAssocID="{14D4B02A-71E9-7C4C-AB73-8F3C458F232C}" presName="pillarX" presStyleLbl="node1" presStyleIdx="2" presStyleCnt="3" custScaleY="57673">
        <dgm:presLayoutVars>
          <dgm:bulletEnabled val="1"/>
        </dgm:presLayoutVars>
      </dgm:prSet>
      <dgm:spPr/>
      <dgm:t>
        <a:bodyPr/>
        <a:lstStyle/>
        <a:p>
          <a:endParaRPr lang="en-US"/>
        </a:p>
      </dgm:t>
    </dgm:pt>
    <dgm:pt modelId="{719FEC48-7FAB-8A41-A4A9-A06A8A0BF2F1}" type="pres">
      <dgm:prSet presAssocID="{E9F9CEA4-C2A1-D143-938A-AB668227AE13}" presName="base" presStyleLbl="dkBgShp" presStyleIdx="1" presStyleCnt="2" custScaleY="20571"/>
      <dgm:spPr>
        <a:solidFill>
          <a:schemeClr val="tx1"/>
        </a:solidFill>
        <a:ln>
          <a:solidFill>
            <a:schemeClr val="tx1"/>
          </a:solidFill>
        </a:ln>
      </dgm:spPr>
    </dgm:pt>
  </dgm:ptLst>
  <dgm:cxnLst>
    <dgm:cxn modelId="{1689EC84-1502-124A-A89B-B6312904B55B}" type="presOf" srcId="{87565879-0A67-AF4A-A847-CBC63BFDC8DC}" destId="{4181FBA4-EB9F-C748-B905-1A1965D13DB4}" srcOrd="0" destOrd="0" presId="urn:microsoft.com/office/officeart/2005/8/layout/hList3"/>
    <dgm:cxn modelId="{B2F803EC-F36A-B54F-B447-A050B4C9CDC1}" type="presOf" srcId="{5B064E34-425C-A14F-B134-33AEDFD9969C}" destId="{497882C7-CCCB-AB4E-AB67-170FEE9CA024}" srcOrd="0" destOrd="0" presId="urn:microsoft.com/office/officeart/2005/8/layout/hList3"/>
    <dgm:cxn modelId="{1A913DA8-E6BF-C244-88C5-E7E992B864E6}" srcId="{E9F9CEA4-C2A1-D143-938A-AB668227AE13}" destId="{5B064E34-425C-A14F-B134-33AEDFD9969C}" srcOrd="0" destOrd="0" parTransId="{AD101DD5-3E03-9846-AF36-2647D8A2BF2C}" sibTransId="{D48F176E-5BA4-8047-8D6C-8EB1F57FA927}"/>
    <dgm:cxn modelId="{8BC90B96-F08E-B44C-8606-96B7210D4B2F}" type="presOf" srcId="{E9F9CEA4-C2A1-D143-938A-AB668227AE13}" destId="{97EF0205-F5D1-6141-90A1-E4FD011F9F7B}" srcOrd="0" destOrd="0" presId="urn:microsoft.com/office/officeart/2005/8/layout/hList3"/>
    <dgm:cxn modelId="{9C43B0A2-2F8D-5343-BB35-E105E1DEB8A2}" srcId="{87565879-0A67-AF4A-A847-CBC63BFDC8DC}" destId="{B7A5E0DB-BDE3-0348-A22F-78CD97383FD9}" srcOrd="1" destOrd="0" parTransId="{2ECC752B-1272-AF45-ACB5-601E956EF7B1}" sibTransId="{16350B24-9896-0C4A-B33B-7810326BDB56}"/>
    <dgm:cxn modelId="{450B4A7E-2341-DE4B-865A-AB9B60E1D2B7}" type="presOf" srcId="{14D4B02A-71E9-7C4C-AB73-8F3C458F232C}" destId="{CBF17F10-41E5-9C47-9A0B-776120DDF17E}" srcOrd="0" destOrd="0" presId="urn:microsoft.com/office/officeart/2005/8/layout/hList3"/>
    <dgm:cxn modelId="{3063AC74-FD91-3C43-96BB-4C23EAB8874D}" srcId="{E9F9CEA4-C2A1-D143-938A-AB668227AE13}" destId="{14D4B02A-71E9-7C4C-AB73-8F3C458F232C}" srcOrd="2" destOrd="0" parTransId="{CC0264E2-2231-1342-A751-808F6314B1D2}" sibTransId="{D0C4858C-D2EB-2F45-8F4E-B1D9E46E1042}"/>
    <dgm:cxn modelId="{ED41CAB2-B2E6-6946-8D3A-878866292381}" srcId="{87565879-0A67-AF4A-A847-CBC63BFDC8DC}" destId="{E9F9CEA4-C2A1-D143-938A-AB668227AE13}" srcOrd="0" destOrd="0" parTransId="{094FE4C8-B10A-6246-BBD1-B837D258B29B}" sibTransId="{5E139339-F8A7-C444-8D63-9B312EE2E8EE}"/>
    <dgm:cxn modelId="{580A26CE-6755-7E47-BEAC-0A3AC2AEC9C0}" type="presOf" srcId="{80D30ADF-A178-8D42-ABD6-A62C773AA247}" destId="{267D8217-4DC5-5340-8F19-B3097AFC4ADD}" srcOrd="0" destOrd="0" presId="urn:microsoft.com/office/officeart/2005/8/layout/hList3"/>
    <dgm:cxn modelId="{0292F451-E323-3140-BA5B-9D6908FDBC39}" srcId="{E9F9CEA4-C2A1-D143-938A-AB668227AE13}" destId="{80D30ADF-A178-8D42-ABD6-A62C773AA247}" srcOrd="1" destOrd="0" parTransId="{63771F48-662F-404A-90F6-8CA810B181C8}" sibTransId="{5F41C865-440C-3244-97F4-DE102EA371E9}"/>
    <dgm:cxn modelId="{8CAFA9B0-1635-4E40-B3EC-5485D93E5555}" type="presParOf" srcId="{4181FBA4-EB9F-C748-B905-1A1965D13DB4}" destId="{97EF0205-F5D1-6141-90A1-E4FD011F9F7B}" srcOrd="0" destOrd="0" presId="urn:microsoft.com/office/officeart/2005/8/layout/hList3"/>
    <dgm:cxn modelId="{A2C9486A-D474-2E4E-8C11-39076C58EFCB}" type="presParOf" srcId="{4181FBA4-EB9F-C748-B905-1A1965D13DB4}" destId="{40B0D99B-E5DE-AF4A-971C-248A74CDFF22}" srcOrd="1" destOrd="0" presId="urn:microsoft.com/office/officeart/2005/8/layout/hList3"/>
    <dgm:cxn modelId="{F5BB293B-6152-6E42-83CB-6363CC3C039B}" type="presParOf" srcId="{40B0D99B-E5DE-AF4A-971C-248A74CDFF22}" destId="{497882C7-CCCB-AB4E-AB67-170FEE9CA024}" srcOrd="0" destOrd="0" presId="urn:microsoft.com/office/officeart/2005/8/layout/hList3"/>
    <dgm:cxn modelId="{2E5508C9-A15B-3B4C-B6C7-675DB5581685}" type="presParOf" srcId="{40B0D99B-E5DE-AF4A-971C-248A74CDFF22}" destId="{267D8217-4DC5-5340-8F19-B3097AFC4ADD}" srcOrd="1" destOrd="0" presId="urn:microsoft.com/office/officeart/2005/8/layout/hList3"/>
    <dgm:cxn modelId="{2BB67A04-7579-514A-8F3B-330E6D8D359D}" type="presParOf" srcId="{40B0D99B-E5DE-AF4A-971C-248A74CDFF22}" destId="{CBF17F10-41E5-9C47-9A0B-776120DDF17E}" srcOrd="2" destOrd="0" presId="urn:microsoft.com/office/officeart/2005/8/layout/hList3"/>
    <dgm:cxn modelId="{DD5F38B8-27E0-D944-944C-3A1949F9F87E}" type="presParOf" srcId="{4181FBA4-EB9F-C748-B905-1A1965D13DB4}" destId="{719FEC48-7FAB-8A41-A4A9-A06A8A0BF2F1}" srcOrd="2" destOrd="0" presId="urn:microsoft.com/office/officeart/2005/8/layout/hList3"/>
  </dgm:cxnLst>
  <dgm:bg>
    <a:solidFill>
      <a:schemeClr val="bg1"/>
    </a:solidFill>
  </dgm:bg>
  <dgm:whole>
    <a:ln w="9525" cap="flat" cmpd="sng" algn="ctr">
      <a:noFill/>
      <a:prstDash val="solid"/>
      <a:round/>
      <a:headEnd type="none" w="med" len="med"/>
      <a:tailEnd type="none" w="med" len="med"/>
    </a:ln>
  </dgm:whole>
  <dgm:extLst>
    <a:ext uri="http://schemas.microsoft.com/office/drawing/2008/diagram">
      <dsp:dataModelExt xmlns:dsp="http://schemas.microsoft.com/office/drawing/2008/diagram" relId="rId100"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7B31D2E3-27F4-4162-A58C-2AD0A7EAAFC1}" type="doc">
      <dgm:prSet loTypeId="urn:microsoft.com/office/officeart/2009/3/layout/StepUpProcess" loCatId="process" qsTypeId="urn:microsoft.com/office/officeart/2005/8/quickstyle/simple1" qsCatId="simple" csTypeId="urn:microsoft.com/office/officeart/2005/8/colors/accent1_2" csCatId="accent1" phldr="1"/>
      <dgm:spPr/>
      <dgm:t>
        <a:bodyPr/>
        <a:lstStyle/>
        <a:p>
          <a:endParaRPr lang="en-US"/>
        </a:p>
      </dgm:t>
    </dgm:pt>
    <dgm:pt modelId="{80846DFB-C46D-49B7-B7D5-EF940413F95E}">
      <dgm:prSet phldrT="[Text]" custT="1"/>
      <dgm:spPr/>
      <dgm:t>
        <a:bodyPr/>
        <a:lstStyle/>
        <a:p>
          <a:pPr algn="ctr"/>
          <a:r>
            <a:rPr lang="en-US" sz="900" b="1">
              <a:latin typeface="+mj-lt"/>
            </a:rPr>
            <a:t>Mobile teams (1988-1989)</a:t>
          </a:r>
        </a:p>
      </dgm:t>
    </dgm:pt>
    <dgm:pt modelId="{33E46536-4EA8-49E1-A462-402CDF9A3BF9}" type="parTrans" cxnId="{EA85462C-315A-455D-939D-814995C1D080}">
      <dgm:prSet/>
      <dgm:spPr/>
      <dgm:t>
        <a:bodyPr/>
        <a:lstStyle/>
        <a:p>
          <a:pPr algn="ctr"/>
          <a:endParaRPr lang="en-US" sz="900">
            <a:latin typeface="+mj-lt"/>
          </a:endParaRPr>
        </a:p>
      </dgm:t>
    </dgm:pt>
    <dgm:pt modelId="{3A7600A5-A7F0-4C85-A330-F1007E4231C4}" type="sibTrans" cxnId="{EA85462C-315A-455D-939D-814995C1D080}">
      <dgm:prSet/>
      <dgm:spPr/>
      <dgm:t>
        <a:bodyPr/>
        <a:lstStyle/>
        <a:p>
          <a:pPr algn="ctr"/>
          <a:endParaRPr lang="en-US" sz="900">
            <a:latin typeface="+mj-lt"/>
          </a:endParaRPr>
        </a:p>
      </dgm:t>
    </dgm:pt>
    <dgm:pt modelId="{8A601881-8988-4617-BB7A-DE5CFF0445FA}">
      <dgm:prSet phldrT="[Text]" custT="1"/>
      <dgm:spPr/>
      <dgm:t>
        <a:bodyPr/>
        <a:lstStyle/>
        <a:p>
          <a:pPr algn="ctr"/>
          <a:r>
            <a:rPr lang="en-US" sz="900">
              <a:solidFill>
                <a:srgbClr val="FF0000"/>
              </a:solidFill>
              <a:latin typeface="+mj-lt"/>
            </a:rPr>
            <a:t>OCP informs chief of distribution plans</a:t>
          </a:r>
        </a:p>
      </dgm:t>
    </dgm:pt>
    <dgm:pt modelId="{A087CE83-8E39-4AD8-B424-7C906604CBD8}" type="parTrans" cxnId="{868215A1-E87B-4CA8-949F-5231DA40D43D}">
      <dgm:prSet/>
      <dgm:spPr/>
      <dgm:t>
        <a:bodyPr/>
        <a:lstStyle/>
        <a:p>
          <a:pPr algn="ctr"/>
          <a:endParaRPr lang="en-US" sz="900">
            <a:latin typeface="+mj-lt"/>
          </a:endParaRPr>
        </a:p>
      </dgm:t>
    </dgm:pt>
    <dgm:pt modelId="{CD9CDB3A-8FAF-433E-8998-7D167A292CA3}" type="sibTrans" cxnId="{868215A1-E87B-4CA8-949F-5231DA40D43D}">
      <dgm:prSet/>
      <dgm:spPr/>
      <dgm:t>
        <a:bodyPr/>
        <a:lstStyle/>
        <a:p>
          <a:pPr algn="ctr"/>
          <a:endParaRPr lang="en-US" sz="900">
            <a:latin typeface="+mj-lt"/>
          </a:endParaRPr>
        </a:p>
      </dgm:t>
    </dgm:pt>
    <dgm:pt modelId="{F25C84DA-CC14-4353-B04C-908E13A17708}">
      <dgm:prSet phldrT="[Text]" custT="1"/>
      <dgm:spPr/>
      <dgm:t>
        <a:bodyPr/>
        <a:lstStyle/>
        <a:p>
          <a:pPr algn="ctr"/>
          <a:r>
            <a:rPr lang="en-US" sz="900" b="1">
              <a:latin typeface="+mj-lt"/>
            </a:rPr>
            <a:t>NGO supported outreach (1990)</a:t>
          </a:r>
        </a:p>
      </dgm:t>
    </dgm:pt>
    <dgm:pt modelId="{0F182A6C-E913-423C-82A5-DDAF780E511E}" type="parTrans" cxnId="{D7E79F93-AD92-48E8-B8F3-9D0B5129630C}">
      <dgm:prSet/>
      <dgm:spPr/>
      <dgm:t>
        <a:bodyPr/>
        <a:lstStyle/>
        <a:p>
          <a:pPr algn="ctr"/>
          <a:endParaRPr lang="en-US" sz="900">
            <a:latin typeface="+mj-lt"/>
          </a:endParaRPr>
        </a:p>
      </dgm:t>
    </dgm:pt>
    <dgm:pt modelId="{D06056E3-4E3B-4C36-B52B-369A5C347347}" type="sibTrans" cxnId="{D7E79F93-AD92-48E8-B8F3-9D0B5129630C}">
      <dgm:prSet/>
      <dgm:spPr/>
      <dgm:t>
        <a:bodyPr/>
        <a:lstStyle/>
        <a:p>
          <a:pPr algn="ctr"/>
          <a:endParaRPr lang="en-US" sz="900">
            <a:latin typeface="+mj-lt"/>
          </a:endParaRPr>
        </a:p>
      </dgm:t>
    </dgm:pt>
    <dgm:pt modelId="{E890E05E-076D-4CAA-A9DA-1C06C0D667F4}">
      <dgm:prSet phldrT="[Text]" custT="1"/>
      <dgm:spPr/>
      <dgm:t>
        <a:bodyPr/>
        <a:lstStyle/>
        <a:p>
          <a:pPr algn="ctr"/>
          <a:r>
            <a:rPr lang="en-US" sz="900">
              <a:solidFill>
                <a:srgbClr val="FF0000"/>
              </a:solidFill>
              <a:latin typeface="+mj-lt"/>
            </a:rPr>
            <a:t>Nurses/NGOs inform chief of distribution plans</a:t>
          </a:r>
        </a:p>
      </dgm:t>
    </dgm:pt>
    <dgm:pt modelId="{E9FD4D41-6481-4FF7-8D0D-A4FA0377436F}" type="parTrans" cxnId="{5E1254FA-D562-4419-A1AC-0E879755643A}">
      <dgm:prSet/>
      <dgm:spPr/>
      <dgm:t>
        <a:bodyPr/>
        <a:lstStyle/>
        <a:p>
          <a:pPr algn="ctr"/>
          <a:endParaRPr lang="en-US" sz="900">
            <a:latin typeface="+mj-lt"/>
          </a:endParaRPr>
        </a:p>
      </dgm:t>
    </dgm:pt>
    <dgm:pt modelId="{8AC86548-AF4E-4BA3-93EE-6660064B4040}" type="sibTrans" cxnId="{5E1254FA-D562-4419-A1AC-0E879755643A}">
      <dgm:prSet/>
      <dgm:spPr/>
      <dgm:t>
        <a:bodyPr/>
        <a:lstStyle/>
        <a:p>
          <a:pPr algn="ctr"/>
          <a:endParaRPr lang="en-US" sz="900">
            <a:latin typeface="+mj-lt"/>
          </a:endParaRPr>
        </a:p>
      </dgm:t>
    </dgm:pt>
    <dgm:pt modelId="{AE3F2DFC-B175-4373-9D0A-40483B2A361B}">
      <dgm:prSet phldrT="[Text]" custT="1"/>
      <dgm:spPr/>
      <dgm:t>
        <a:bodyPr/>
        <a:lstStyle/>
        <a:p>
          <a:pPr algn="ctr"/>
          <a:r>
            <a:rPr lang="en-US" sz="900" b="1">
              <a:latin typeface="+mj-lt"/>
            </a:rPr>
            <a:t>Community-based treatment (1991-1995)</a:t>
          </a:r>
        </a:p>
      </dgm:t>
    </dgm:pt>
    <dgm:pt modelId="{063E868C-B1A0-457D-BC3E-CD8116CD8EBF}" type="parTrans" cxnId="{1CDA1A40-A171-41A7-8E1C-FFB37D24CC3C}">
      <dgm:prSet/>
      <dgm:spPr/>
      <dgm:t>
        <a:bodyPr/>
        <a:lstStyle/>
        <a:p>
          <a:pPr algn="ctr"/>
          <a:endParaRPr lang="en-US" sz="900">
            <a:latin typeface="+mj-lt"/>
          </a:endParaRPr>
        </a:p>
      </dgm:t>
    </dgm:pt>
    <dgm:pt modelId="{B0DFAF9C-7808-49F8-B45E-F9FF21B7F607}" type="sibTrans" cxnId="{1CDA1A40-A171-41A7-8E1C-FFB37D24CC3C}">
      <dgm:prSet/>
      <dgm:spPr/>
      <dgm:t>
        <a:bodyPr/>
        <a:lstStyle/>
        <a:p>
          <a:pPr algn="ctr"/>
          <a:endParaRPr lang="en-US" sz="900">
            <a:latin typeface="+mj-lt"/>
          </a:endParaRPr>
        </a:p>
      </dgm:t>
    </dgm:pt>
    <dgm:pt modelId="{CD0D9B2F-877E-489A-9FF9-ACDC79140D0E}">
      <dgm:prSet phldrT="[Text]" custT="1"/>
      <dgm:spPr/>
      <dgm:t>
        <a:bodyPr/>
        <a:lstStyle/>
        <a:p>
          <a:pPr algn="ctr"/>
          <a:r>
            <a:rPr lang="en-US" sz="900">
              <a:solidFill>
                <a:srgbClr val="FF0000"/>
              </a:solidFill>
              <a:latin typeface="+mj-lt"/>
            </a:rPr>
            <a:t>National programs &amp; later communities make distribution plans</a:t>
          </a:r>
        </a:p>
      </dgm:t>
    </dgm:pt>
    <dgm:pt modelId="{21BCA2F6-1022-4860-B637-4B692C9390A0}" type="parTrans" cxnId="{5EDCF55B-16A0-4F61-BF8B-DDC09C2A355A}">
      <dgm:prSet/>
      <dgm:spPr/>
      <dgm:t>
        <a:bodyPr/>
        <a:lstStyle/>
        <a:p>
          <a:pPr algn="ctr"/>
          <a:endParaRPr lang="en-US" sz="900">
            <a:latin typeface="+mj-lt"/>
          </a:endParaRPr>
        </a:p>
      </dgm:t>
    </dgm:pt>
    <dgm:pt modelId="{C3728805-F2C6-4AA8-89D3-CD6C3C04F11E}" type="sibTrans" cxnId="{5EDCF55B-16A0-4F61-BF8B-DDC09C2A355A}">
      <dgm:prSet/>
      <dgm:spPr/>
      <dgm:t>
        <a:bodyPr/>
        <a:lstStyle/>
        <a:p>
          <a:pPr algn="ctr"/>
          <a:endParaRPr lang="en-US" sz="900">
            <a:latin typeface="+mj-lt"/>
          </a:endParaRPr>
        </a:p>
      </dgm:t>
    </dgm:pt>
    <dgm:pt modelId="{09454981-6B8E-44D5-B299-A0E612E0A819}">
      <dgm:prSet phldrT="[Text]" custT="1"/>
      <dgm:spPr/>
      <dgm:t>
        <a:bodyPr/>
        <a:lstStyle/>
        <a:p>
          <a:pPr algn="ctr"/>
          <a:r>
            <a:rPr lang="en-US" sz="900" b="1">
              <a:latin typeface="+mj-lt"/>
            </a:rPr>
            <a:t>Community-directed treatment (1995-onwards)</a:t>
          </a:r>
        </a:p>
      </dgm:t>
    </dgm:pt>
    <dgm:pt modelId="{E808FADE-A33B-48D4-AD80-BDEFE5A21DD8}" type="parTrans" cxnId="{810A6E46-36EF-4F75-B4A6-04F861237D42}">
      <dgm:prSet/>
      <dgm:spPr/>
      <dgm:t>
        <a:bodyPr/>
        <a:lstStyle/>
        <a:p>
          <a:pPr algn="ctr"/>
          <a:endParaRPr lang="en-US" sz="900">
            <a:latin typeface="+mj-lt"/>
          </a:endParaRPr>
        </a:p>
      </dgm:t>
    </dgm:pt>
    <dgm:pt modelId="{A5EB074D-BAB2-4DED-9626-7D3417D7DBCF}" type="sibTrans" cxnId="{810A6E46-36EF-4F75-B4A6-04F861237D42}">
      <dgm:prSet/>
      <dgm:spPr/>
      <dgm:t>
        <a:bodyPr/>
        <a:lstStyle/>
        <a:p>
          <a:pPr algn="ctr"/>
          <a:endParaRPr lang="en-US" sz="900">
            <a:latin typeface="+mj-lt"/>
          </a:endParaRPr>
        </a:p>
      </dgm:t>
    </dgm:pt>
    <dgm:pt modelId="{5B0B34A7-36B4-48F4-ABDC-4CC38EFF572A}">
      <dgm:prSet phldrT="[Text]" custT="1"/>
      <dgm:spPr/>
      <dgm:t>
        <a:bodyPr/>
        <a:lstStyle/>
        <a:p>
          <a:pPr algn="ctr"/>
          <a:r>
            <a:rPr lang="en-US" sz="900">
              <a:latin typeface="+mj-lt"/>
            </a:rPr>
            <a:t>OCP supervision evolves into district supervision</a:t>
          </a:r>
        </a:p>
      </dgm:t>
    </dgm:pt>
    <dgm:pt modelId="{777A06DD-5BC8-4093-8B19-A1CEF97F7D9C}" type="parTrans" cxnId="{8680C204-374D-4306-8E58-DBC7E0634152}">
      <dgm:prSet/>
      <dgm:spPr/>
      <dgm:t>
        <a:bodyPr/>
        <a:lstStyle/>
        <a:p>
          <a:pPr algn="ctr"/>
          <a:endParaRPr lang="en-US" sz="900">
            <a:latin typeface="+mj-lt"/>
          </a:endParaRPr>
        </a:p>
      </dgm:t>
    </dgm:pt>
    <dgm:pt modelId="{625FAC1D-646B-4C16-A522-DEFBC93A4D38}" type="sibTrans" cxnId="{8680C204-374D-4306-8E58-DBC7E0634152}">
      <dgm:prSet/>
      <dgm:spPr/>
      <dgm:t>
        <a:bodyPr/>
        <a:lstStyle/>
        <a:p>
          <a:pPr algn="ctr"/>
          <a:endParaRPr lang="en-US" sz="900">
            <a:latin typeface="+mj-lt"/>
          </a:endParaRPr>
        </a:p>
      </dgm:t>
    </dgm:pt>
    <dgm:pt modelId="{8D84DBC4-2ECE-4F88-8112-32B2A8F65A72}">
      <dgm:prSet phldrT="[Text]" custT="1"/>
      <dgm:spPr/>
      <dgm:t>
        <a:bodyPr/>
        <a:lstStyle/>
        <a:p>
          <a:pPr algn="ctr"/>
          <a:r>
            <a:rPr lang="en-US" sz="900">
              <a:solidFill>
                <a:srgbClr val="7030A0"/>
              </a:solidFill>
              <a:latin typeface="+mj-lt"/>
            </a:rPr>
            <a:t>Nurses/CHWs deliver &amp; distribute IVM to villages</a:t>
          </a:r>
        </a:p>
      </dgm:t>
    </dgm:pt>
    <dgm:pt modelId="{1A1276B4-70BA-4E6C-8306-898CA527596B}" type="parTrans" cxnId="{3A247F03-C9BE-4A4C-AD44-50E11A6573B8}">
      <dgm:prSet/>
      <dgm:spPr/>
      <dgm:t>
        <a:bodyPr/>
        <a:lstStyle/>
        <a:p>
          <a:pPr algn="ctr"/>
          <a:endParaRPr lang="en-US" sz="900">
            <a:latin typeface="+mj-lt"/>
          </a:endParaRPr>
        </a:p>
      </dgm:t>
    </dgm:pt>
    <dgm:pt modelId="{465E7665-FDA1-427B-8937-28EF8CF71ADD}" type="sibTrans" cxnId="{3A247F03-C9BE-4A4C-AD44-50E11A6573B8}">
      <dgm:prSet/>
      <dgm:spPr/>
      <dgm:t>
        <a:bodyPr/>
        <a:lstStyle/>
        <a:p>
          <a:pPr algn="ctr"/>
          <a:endParaRPr lang="en-US" sz="900">
            <a:latin typeface="+mj-lt"/>
          </a:endParaRPr>
        </a:p>
      </dgm:t>
    </dgm:pt>
    <dgm:pt modelId="{047057D5-7334-4D28-9AFE-AF0C530F8878}">
      <dgm:prSet phldrT="[Text]" custT="1"/>
      <dgm:spPr/>
      <dgm:t>
        <a:bodyPr/>
        <a:lstStyle/>
        <a:p>
          <a:pPr algn="ctr"/>
          <a:r>
            <a:rPr lang="en-US" sz="900">
              <a:solidFill>
                <a:srgbClr val="00B050"/>
              </a:solidFill>
              <a:latin typeface="+mj-lt"/>
            </a:rPr>
            <a:t>OCP keeps records</a:t>
          </a:r>
        </a:p>
      </dgm:t>
    </dgm:pt>
    <dgm:pt modelId="{D84924E5-45B5-40B6-8B2A-89138CF55A2F}" type="parTrans" cxnId="{503BFB65-120B-484B-AAB6-5493E9DDC979}">
      <dgm:prSet/>
      <dgm:spPr/>
      <dgm:t>
        <a:bodyPr/>
        <a:lstStyle/>
        <a:p>
          <a:pPr algn="ctr"/>
          <a:endParaRPr lang="en-US" sz="900">
            <a:latin typeface="+mj-lt"/>
          </a:endParaRPr>
        </a:p>
      </dgm:t>
    </dgm:pt>
    <dgm:pt modelId="{BF358699-1E1D-4D12-969F-6AB8A941C152}" type="sibTrans" cxnId="{503BFB65-120B-484B-AAB6-5493E9DDC979}">
      <dgm:prSet/>
      <dgm:spPr/>
      <dgm:t>
        <a:bodyPr/>
        <a:lstStyle/>
        <a:p>
          <a:pPr algn="ctr"/>
          <a:endParaRPr lang="en-US" sz="900">
            <a:latin typeface="+mj-lt"/>
          </a:endParaRPr>
        </a:p>
      </dgm:t>
    </dgm:pt>
    <dgm:pt modelId="{C2375EA0-A9B4-4C1A-8CB9-69467F4847B6}">
      <dgm:prSet phldrT="[Text]" custT="1"/>
      <dgm:spPr/>
      <dgm:t>
        <a:bodyPr/>
        <a:lstStyle/>
        <a:p>
          <a:pPr algn="ctr"/>
          <a:r>
            <a:rPr lang="en-US" sz="900">
              <a:solidFill>
                <a:srgbClr val="7030A0"/>
              </a:solidFill>
              <a:latin typeface="+mj-lt"/>
            </a:rPr>
            <a:t>Nurses/CHWs deliver &amp; distribute IVM to villages</a:t>
          </a:r>
        </a:p>
      </dgm:t>
    </dgm:pt>
    <dgm:pt modelId="{775EF732-6FE3-47A6-9B91-76B62369CF2C}" type="parTrans" cxnId="{8780E4E6-1D74-4A46-A454-4BBEEF66D2C8}">
      <dgm:prSet/>
      <dgm:spPr/>
      <dgm:t>
        <a:bodyPr/>
        <a:lstStyle/>
        <a:p>
          <a:pPr algn="ctr"/>
          <a:endParaRPr lang="en-US" sz="900">
            <a:latin typeface="+mj-lt"/>
          </a:endParaRPr>
        </a:p>
      </dgm:t>
    </dgm:pt>
    <dgm:pt modelId="{7178A37E-41D5-4531-A710-F4F5935508FF}" type="sibTrans" cxnId="{8780E4E6-1D74-4A46-A454-4BBEEF66D2C8}">
      <dgm:prSet/>
      <dgm:spPr/>
      <dgm:t>
        <a:bodyPr/>
        <a:lstStyle/>
        <a:p>
          <a:pPr algn="ctr"/>
          <a:endParaRPr lang="en-US" sz="900">
            <a:latin typeface="+mj-lt"/>
          </a:endParaRPr>
        </a:p>
      </dgm:t>
    </dgm:pt>
    <dgm:pt modelId="{E1DD65A5-39E4-4D2E-B088-C8F687AEBA13}">
      <dgm:prSet phldrT="[Text]" custT="1"/>
      <dgm:spPr/>
      <dgm:t>
        <a:bodyPr/>
        <a:lstStyle/>
        <a:p>
          <a:pPr algn="ctr"/>
          <a:r>
            <a:rPr lang="en-US" sz="900">
              <a:solidFill>
                <a:srgbClr val="00B050"/>
              </a:solidFill>
              <a:latin typeface="+mj-lt"/>
            </a:rPr>
            <a:t>Nurses/CHWs keep records</a:t>
          </a:r>
        </a:p>
      </dgm:t>
    </dgm:pt>
    <dgm:pt modelId="{6A189E4C-598A-4B4E-B2C9-93076E1B6998}" type="parTrans" cxnId="{DA23AC22-83B1-4F8E-9075-B38F0E863E88}">
      <dgm:prSet/>
      <dgm:spPr/>
      <dgm:t>
        <a:bodyPr/>
        <a:lstStyle/>
        <a:p>
          <a:pPr algn="ctr"/>
          <a:endParaRPr lang="en-US" sz="900">
            <a:latin typeface="+mj-lt"/>
          </a:endParaRPr>
        </a:p>
      </dgm:t>
    </dgm:pt>
    <dgm:pt modelId="{F89479BD-2848-47B6-B6E6-E7673811559D}" type="sibTrans" cxnId="{DA23AC22-83B1-4F8E-9075-B38F0E863E88}">
      <dgm:prSet/>
      <dgm:spPr/>
      <dgm:t>
        <a:bodyPr/>
        <a:lstStyle/>
        <a:p>
          <a:pPr algn="ctr"/>
          <a:endParaRPr lang="en-US" sz="900">
            <a:latin typeface="+mj-lt"/>
          </a:endParaRPr>
        </a:p>
      </dgm:t>
    </dgm:pt>
    <dgm:pt modelId="{E40BCA30-C35E-4015-8DD7-3434A41E982C}">
      <dgm:prSet phldrT="[Text]" custT="1"/>
      <dgm:spPr/>
      <dgm:t>
        <a:bodyPr/>
        <a:lstStyle/>
        <a:p>
          <a:pPr algn="ctr"/>
          <a:r>
            <a:rPr lang="en-US" sz="900">
              <a:latin typeface="+mj-lt"/>
            </a:rPr>
            <a:t>NGOs or districts supervise</a:t>
          </a:r>
        </a:p>
      </dgm:t>
    </dgm:pt>
    <dgm:pt modelId="{BB5BBD1D-B49D-4198-A46B-4915C7D1BD8C}" type="parTrans" cxnId="{14ED1B3C-07A5-4B77-A40E-7A53840982EC}">
      <dgm:prSet/>
      <dgm:spPr/>
      <dgm:t>
        <a:bodyPr/>
        <a:lstStyle/>
        <a:p>
          <a:pPr algn="ctr"/>
          <a:endParaRPr lang="en-US" sz="900">
            <a:latin typeface="+mj-lt"/>
          </a:endParaRPr>
        </a:p>
      </dgm:t>
    </dgm:pt>
    <dgm:pt modelId="{A1823CDF-7402-4BA4-81B6-1B9080FD1782}" type="sibTrans" cxnId="{14ED1B3C-07A5-4B77-A40E-7A53840982EC}">
      <dgm:prSet/>
      <dgm:spPr/>
      <dgm:t>
        <a:bodyPr/>
        <a:lstStyle/>
        <a:p>
          <a:pPr algn="ctr"/>
          <a:endParaRPr lang="en-US" sz="900">
            <a:latin typeface="+mj-lt"/>
          </a:endParaRPr>
        </a:p>
      </dgm:t>
    </dgm:pt>
    <dgm:pt modelId="{84E66C02-1522-451F-9784-D8EF28ECBF3B}">
      <dgm:prSet phldrT="[Text]" custT="1"/>
      <dgm:spPr/>
      <dgm:t>
        <a:bodyPr/>
        <a:lstStyle/>
        <a:p>
          <a:pPr algn="ctr"/>
          <a:r>
            <a:rPr lang="en-US" sz="900">
              <a:solidFill>
                <a:srgbClr val="7030A0"/>
              </a:solidFill>
              <a:latin typeface="+mj-lt"/>
            </a:rPr>
            <a:t>CHWs/CBDs (from the health sector) deliver to villages; CBDs distribute IVM </a:t>
          </a:r>
        </a:p>
      </dgm:t>
    </dgm:pt>
    <dgm:pt modelId="{0929DD0A-6E27-429D-A025-F61A81E8F25E}" type="parTrans" cxnId="{712E3C25-5B13-4F72-BD67-E2E2319EBA4F}">
      <dgm:prSet/>
      <dgm:spPr/>
      <dgm:t>
        <a:bodyPr/>
        <a:lstStyle/>
        <a:p>
          <a:pPr algn="ctr"/>
          <a:endParaRPr lang="en-US" sz="900">
            <a:latin typeface="+mj-lt"/>
          </a:endParaRPr>
        </a:p>
      </dgm:t>
    </dgm:pt>
    <dgm:pt modelId="{FDABDADB-335F-45A2-8A07-B1665FD3FD6F}" type="sibTrans" cxnId="{712E3C25-5B13-4F72-BD67-E2E2319EBA4F}">
      <dgm:prSet/>
      <dgm:spPr/>
      <dgm:t>
        <a:bodyPr/>
        <a:lstStyle/>
        <a:p>
          <a:pPr algn="ctr"/>
          <a:endParaRPr lang="en-US" sz="900">
            <a:latin typeface="+mj-lt"/>
          </a:endParaRPr>
        </a:p>
      </dgm:t>
    </dgm:pt>
    <dgm:pt modelId="{C40E1D38-012C-4CC7-9F0B-18717F2653C0}">
      <dgm:prSet phldrT="[Text]" custT="1"/>
      <dgm:spPr/>
      <dgm:t>
        <a:bodyPr/>
        <a:lstStyle/>
        <a:p>
          <a:pPr algn="ctr"/>
          <a:r>
            <a:rPr lang="en-US" sz="900">
              <a:solidFill>
                <a:srgbClr val="00B050"/>
              </a:solidFill>
              <a:latin typeface="+mj-lt"/>
            </a:rPr>
            <a:t>CHWs and later CBDs keep records</a:t>
          </a:r>
        </a:p>
      </dgm:t>
    </dgm:pt>
    <dgm:pt modelId="{1EA3138F-48DC-4038-B4DE-5C7BB8F8A545}" type="parTrans" cxnId="{8E44E3F1-34BE-416A-86C1-B3F5234BB764}">
      <dgm:prSet/>
      <dgm:spPr/>
      <dgm:t>
        <a:bodyPr/>
        <a:lstStyle/>
        <a:p>
          <a:pPr algn="ctr"/>
          <a:endParaRPr lang="en-US" sz="900">
            <a:latin typeface="+mj-lt"/>
          </a:endParaRPr>
        </a:p>
      </dgm:t>
    </dgm:pt>
    <dgm:pt modelId="{BD0F1D56-F836-4215-BB9C-CC988116D29B}" type="sibTrans" cxnId="{8E44E3F1-34BE-416A-86C1-B3F5234BB764}">
      <dgm:prSet/>
      <dgm:spPr/>
      <dgm:t>
        <a:bodyPr/>
        <a:lstStyle/>
        <a:p>
          <a:pPr algn="ctr"/>
          <a:endParaRPr lang="en-US" sz="900">
            <a:latin typeface="+mj-lt"/>
          </a:endParaRPr>
        </a:p>
      </dgm:t>
    </dgm:pt>
    <dgm:pt modelId="{87806266-307A-4BAB-99A0-70E6F17C62B2}">
      <dgm:prSet phldrT="[Text]" custT="1"/>
      <dgm:spPr/>
      <dgm:t>
        <a:bodyPr/>
        <a:lstStyle/>
        <a:p>
          <a:pPr algn="ctr"/>
          <a:r>
            <a:rPr lang="en-US" sz="900">
              <a:latin typeface="+mj-lt"/>
            </a:rPr>
            <a:t>NGOs or districts supervise</a:t>
          </a:r>
        </a:p>
      </dgm:t>
    </dgm:pt>
    <dgm:pt modelId="{D108211A-1218-4CBB-9B20-8AE35303AD05}" type="parTrans" cxnId="{3A512048-569D-4C3D-9F2F-C82E6FFD4C97}">
      <dgm:prSet/>
      <dgm:spPr/>
      <dgm:t>
        <a:bodyPr/>
        <a:lstStyle/>
        <a:p>
          <a:pPr algn="ctr"/>
          <a:endParaRPr lang="en-US" sz="900">
            <a:latin typeface="+mj-lt"/>
          </a:endParaRPr>
        </a:p>
      </dgm:t>
    </dgm:pt>
    <dgm:pt modelId="{91CDF8DF-B997-489B-83F4-1E71768977DB}" type="sibTrans" cxnId="{3A512048-569D-4C3D-9F2F-C82E6FFD4C97}">
      <dgm:prSet/>
      <dgm:spPr/>
      <dgm:t>
        <a:bodyPr/>
        <a:lstStyle/>
        <a:p>
          <a:pPr algn="ctr"/>
          <a:endParaRPr lang="en-US" sz="900">
            <a:latin typeface="+mj-lt"/>
          </a:endParaRPr>
        </a:p>
      </dgm:t>
    </dgm:pt>
    <dgm:pt modelId="{DA6A1F86-B83A-466A-852F-123A0402524E}">
      <dgm:prSet phldrT="[Text]" custT="1"/>
      <dgm:spPr/>
      <dgm:t>
        <a:bodyPr/>
        <a:lstStyle/>
        <a:p>
          <a:pPr algn="ctr"/>
          <a:r>
            <a:rPr lang="en-US" sz="900">
              <a:solidFill>
                <a:srgbClr val="FF0000"/>
              </a:solidFill>
              <a:latin typeface="+mj-lt"/>
            </a:rPr>
            <a:t>Communities make distribution plans</a:t>
          </a:r>
        </a:p>
      </dgm:t>
    </dgm:pt>
    <dgm:pt modelId="{9C2BE526-BF17-465D-AB38-8D0BDF6B4527}" type="parTrans" cxnId="{1B013C2D-794A-4B0A-9AEE-643F8260B9DD}">
      <dgm:prSet/>
      <dgm:spPr/>
      <dgm:t>
        <a:bodyPr/>
        <a:lstStyle/>
        <a:p>
          <a:pPr algn="ctr"/>
          <a:endParaRPr lang="en-US" sz="900">
            <a:latin typeface="+mj-lt"/>
          </a:endParaRPr>
        </a:p>
      </dgm:t>
    </dgm:pt>
    <dgm:pt modelId="{90EF24CA-6F94-4DF3-B75C-CAB9313EF6DF}" type="sibTrans" cxnId="{1B013C2D-794A-4B0A-9AEE-643F8260B9DD}">
      <dgm:prSet/>
      <dgm:spPr/>
      <dgm:t>
        <a:bodyPr/>
        <a:lstStyle/>
        <a:p>
          <a:pPr algn="ctr"/>
          <a:endParaRPr lang="en-US" sz="900">
            <a:latin typeface="+mj-lt"/>
          </a:endParaRPr>
        </a:p>
      </dgm:t>
    </dgm:pt>
    <dgm:pt modelId="{1606E00D-A281-47CF-B3C1-3F1577C3649B}">
      <dgm:prSet phldrT="[Text]" custT="1"/>
      <dgm:spPr/>
      <dgm:t>
        <a:bodyPr/>
        <a:lstStyle/>
        <a:p>
          <a:pPr algn="ctr"/>
          <a:r>
            <a:rPr lang="en-US" sz="900">
              <a:solidFill>
                <a:srgbClr val="7030A0"/>
              </a:solidFill>
              <a:latin typeface="+mj-lt"/>
            </a:rPr>
            <a:t>CDDs (volunteers) deliver and distribute IVM to villages</a:t>
          </a:r>
        </a:p>
      </dgm:t>
    </dgm:pt>
    <dgm:pt modelId="{ED06681A-6C7F-4EC0-896B-3B5AE54EF7C9}" type="parTrans" cxnId="{51DAFAC7-F28F-4436-BB82-72973F40F9AE}">
      <dgm:prSet/>
      <dgm:spPr/>
      <dgm:t>
        <a:bodyPr/>
        <a:lstStyle/>
        <a:p>
          <a:pPr algn="ctr"/>
          <a:endParaRPr lang="en-US" sz="900">
            <a:latin typeface="+mj-lt"/>
          </a:endParaRPr>
        </a:p>
      </dgm:t>
    </dgm:pt>
    <dgm:pt modelId="{4223A025-C29A-43E6-8EEE-B4AC3E245CA9}" type="sibTrans" cxnId="{51DAFAC7-F28F-4436-BB82-72973F40F9AE}">
      <dgm:prSet/>
      <dgm:spPr/>
      <dgm:t>
        <a:bodyPr/>
        <a:lstStyle/>
        <a:p>
          <a:pPr algn="ctr"/>
          <a:endParaRPr lang="en-US" sz="900">
            <a:latin typeface="+mj-lt"/>
          </a:endParaRPr>
        </a:p>
      </dgm:t>
    </dgm:pt>
    <dgm:pt modelId="{8A84B878-0919-4EC7-BB78-F640C69B6E3E}">
      <dgm:prSet phldrT="[Text]" custT="1"/>
      <dgm:spPr/>
      <dgm:t>
        <a:bodyPr/>
        <a:lstStyle/>
        <a:p>
          <a:pPr algn="ctr"/>
          <a:r>
            <a:rPr lang="en-US" sz="900">
              <a:solidFill>
                <a:srgbClr val="00B050"/>
              </a:solidFill>
              <a:latin typeface="+mj-lt"/>
            </a:rPr>
            <a:t>CDDs keep records</a:t>
          </a:r>
        </a:p>
      </dgm:t>
    </dgm:pt>
    <dgm:pt modelId="{630642B3-D8A8-4B0F-AEBC-5CB90DADC877}" type="parTrans" cxnId="{640C91A7-9738-47E2-95C6-52763EB9C1FF}">
      <dgm:prSet/>
      <dgm:spPr/>
      <dgm:t>
        <a:bodyPr/>
        <a:lstStyle/>
        <a:p>
          <a:pPr algn="ctr"/>
          <a:endParaRPr lang="en-US" sz="900">
            <a:latin typeface="+mj-lt"/>
          </a:endParaRPr>
        </a:p>
      </dgm:t>
    </dgm:pt>
    <dgm:pt modelId="{FFA2D8E4-D6E1-4470-A1E3-8EB7B42BDC1C}" type="sibTrans" cxnId="{640C91A7-9738-47E2-95C6-52763EB9C1FF}">
      <dgm:prSet/>
      <dgm:spPr/>
      <dgm:t>
        <a:bodyPr/>
        <a:lstStyle/>
        <a:p>
          <a:pPr algn="ctr"/>
          <a:endParaRPr lang="en-US" sz="900">
            <a:latin typeface="+mj-lt"/>
          </a:endParaRPr>
        </a:p>
      </dgm:t>
    </dgm:pt>
    <dgm:pt modelId="{E2049BAB-1283-47F1-95B7-B781B39634AC}">
      <dgm:prSet phldrT="[Text]" custT="1"/>
      <dgm:spPr/>
      <dgm:t>
        <a:bodyPr/>
        <a:lstStyle/>
        <a:p>
          <a:pPr algn="ctr"/>
          <a:r>
            <a:rPr lang="en-US" sz="900">
              <a:latin typeface="+mj-lt"/>
            </a:rPr>
            <a:t>Districts supervise</a:t>
          </a:r>
        </a:p>
      </dgm:t>
    </dgm:pt>
    <dgm:pt modelId="{5FF03FF3-6D1C-4515-B55A-FE492729A23E}" type="parTrans" cxnId="{5435E89F-F067-4AC6-9CAE-AE80CC118C82}">
      <dgm:prSet/>
      <dgm:spPr/>
      <dgm:t>
        <a:bodyPr/>
        <a:lstStyle/>
        <a:p>
          <a:pPr algn="ctr"/>
          <a:endParaRPr lang="en-US" sz="900">
            <a:latin typeface="+mj-lt"/>
          </a:endParaRPr>
        </a:p>
      </dgm:t>
    </dgm:pt>
    <dgm:pt modelId="{8B8D90C9-DB20-45D7-AB54-885C62A59E74}" type="sibTrans" cxnId="{5435E89F-F067-4AC6-9CAE-AE80CC118C82}">
      <dgm:prSet/>
      <dgm:spPr/>
      <dgm:t>
        <a:bodyPr/>
        <a:lstStyle/>
        <a:p>
          <a:pPr algn="ctr"/>
          <a:endParaRPr lang="en-US" sz="900">
            <a:latin typeface="+mj-lt"/>
          </a:endParaRPr>
        </a:p>
      </dgm:t>
    </dgm:pt>
    <dgm:pt modelId="{4A31D944-BB89-4F79-A412-510D1499D986}" type="pres">
      <dgm:prSet presAssocID="{7B31D2E3-27F4-4162-A58C-2AD0A7EAAFC1}" presName="rootnode" presStyleCnt="0">
        <dgm:presLayoutVars>
          <dgm:chMax/>
          <dgm:chPref/>
          <dgm:dir/>
          <dgm:animLvl val="lvl"/>
        </dgm:presLayoutVars>
      </dgm:prSet>
      <dgm:spPr/>
      <dgm:t>
        <a:bodyPr/>
        <a:lstStyle/>
        <a:p>
          <a:endParaRPr lang="en-US"/>
        </a:p>
      </dgm:t>
    </dgm:pt>
    <dgm:pt modelId="{04BEC910-285B-4037-A929-3D5A927A8361}" type="pres">
      <dgm:prSet presAssocID="{80846DFB-C46D-49B7-B7D5-EF940413F95E}" presName="composite" presStyleCnt="0"/>
      <dgm:spPr/>
    </dgm:pt>
    <dgm:pt modelId="{9245643F-3532-44E9-AFE4-93112C8EDCFF}" type="pres">
      <dgm:prSet presAssocID="{80846DFB-C46D-49B7-B7D5-EF940413F95E}" presName="LShape" presStyleLbl="alignNode1" presStyleIdx="0" presStyleCnt="7"/>
      <dgm:spPr/>
    </dgm:pt>
    <dgm:pt modelId="{96558B96-08C7-47C0-ABD6-1D06C94315A4}" type="pres">
      <dgm:prSet presAssocID="{80846DFB-C46D-49B7-B7D5-EF940413F95E}" presName="ParentText" presStyleLbl="revTx" presStyleIdx="0" presStyleCnt="4">
        <dgm:presLayoutVars>
          <dgm:chMax val="0"/>
          <dgm:chPref val="0"/>
          <dgm:bulletEnabled val="1"/>
        </dgm:presLayoutVars>
      </dgm:prSet>
      <dgm:spPr/>
      <dgm:t>
        <a:bodyPr/>
        <a:lstStyle/>
        <a:p>
          <a:endParaRPr lang="en-US"/>
        </a:p>
      </dgm:t>
    </dgm:pt>
    <dgm:pt modelId="{B5DA23EF-FE64-43CE-9E16-B44BEB4C85B8}" type="pres">
      <dgm:prSet presAssocID="{80846DFB-C46D-49B7-B7D5-EF940413F95E}" presName="Triangle" presStyleLbl="alignNode1" presStyleIdx="1" presStyleCnt="7"/>
      <dgm:spPr/>
    </dgm:pt>
    <dgm:pt modelId="{45E88A24-F26F-4CB0-8DBD-110535578337}" type="pres">
      <dgm:prSet presAssocID="{3A7600A5-A7F0-4C85-A330-F1007E4231C4}" presName="sibTrans" presStyleCnt="0"/>
      <dgm:spPr/>
    </dgm:pt>
    <dgm:pt modelId="{46E5389E-14EF-4316-B87F-2D4FFF7CA0DB}" type="pres">
      <dgm:prSet presAssocID="{3A7600A5-A7F0-4C85-A330-F1007E4231C4}" presName="space" presStyleCnt="0"/>
      <dgm:spPr/>
    </dgm:pt>
    <dgm:pt modelId="{A19722AC-4E7C-4ED0-8FD5-C4D0FB051312}" type="pres">
      <dgm:prSet presAssocID="{F25C84DA-CC14-4353-B04C-908E13A17708}" presName="composite" presStyleCnt="0"/>
      <dgm:spPr/>
    </dgm:pt>
    <dgm:pt modelId="{84D25366-4A17-4745-A3C9-9489BEE8209A}" type="pres">
      <dgm:prSet presAssocID="{F25C84DA-CC14-4353-B04C-908E13A17708}" presName="LShape" presStyleLbl="alignNode1" presStyleIdx="2" presStyleCnt="7"/>
      <dgm:spPr/>
    </dgm:pt>
    <dgm:pt modelId="{03C8049D-91B9-4425-9DAB-F448E463A2D5}" type="pres">
      <dgm:prSet presAssocID="{F25C84DA-CC14-4353-B04C-908E13A17708}" presName="ParentText" presStyleLbl="revTx" presStyleIdx="1" presStyleCnt="4">
        <dgm:presLayoutVars>
          <dgm:chMax val="0"/>
          <dgm:chPref val="0"/>
          <dgm:bulletEnabled val="1"/>
        </dgm:presLayoutVars>
      </dgm:prSet>
      <dgm:spPr/>
      <dgm:t>
        <a:bodyPr/>
        <a:lstStyle/>
        <a:p>
          <a:endParaRPr lang="en-US"/>
        </a:p>
      </dgm:t>
    </dgm:pt>
    <dgm:pt modelId="{23C4B56E-54B4-4CAD-91AB-C28FAD36285D}" type="pres">
      <dgm:prSet presAssocID="{F25C84DA-CC14-4353-B04C-908E13A17708}" presName="Triangle" presStyleLbl="alignNode1" presStyleIdx="3" presStyleCnt="7"/>
      <dgm:spPr/>
    </dgm:pt>
    <dgm:pt modelId="{DD969FC1-7E19-434A-A365-6DEFF954057C}" type="pres">
      <dgm:prSet presAssocID="{D06056E3-4E3B-4C36-B52B-369A5C347347}" presName="sibTrans" presStyleCnt="0"/>
      <dgm:spPr/>
    </dgm:pt>
    <dgm:pt modelId="{27D4F33B-77D9-4F5C-8EDA-616BD1EA8783}" type="pres">
      <dgm:prSet presAssocID="{D06056E3-4E3B-4C36-B52B-369A5C347347}" presName="space" presStyleCnt="0"/>
      <dgm:spPr/>
    </dgm:pt>
    <dgm:pt modelId="{AD128677-8256-4254-8EBA-0B6190815ABD}" type="pres">
      <dgm:prSet presAssocID="{AE3F2DFC-B175-4373-9D0A-40483B2A361B}" presName="composite" presStyleCnt="0"/>
      <dgm:spPr/>
    </dgm:pt>
    <dgm:pt modelId="{56AF4A9D-EA98-425A-9B37-F2484986BB4D}" type="pres">
      <dgm:prSet presAssocID="{AE3F2DFC-B175-4373-9D0A-40483B2A361B}" presName="LShape" presStyleLbl="alignNode1" presStyleIdx="4" presStyleCnt="7"/>
      <dgm:spPr/>
    </dgm:pt>
    <dgm:pt modelId="{2BAE0B87-1DA9-40C4-A833-D0252824EC4E}" type="pres">
      <dgm:prSet presAssocID="{AE3F2DFC-B175-4373-9D0A-40483B2A361B}" presName="ParentText" presStyleLbl="revTx" presStyleIdx="2" presStyleCnt="4">
        <dgm:presLayoutVars>
          <dgm:chMax val="0"/>
          <dgm:chPref val="0"/>
          <dgm:bulletEnabled val="1"/>
        </dgm:presLayoutVars>
      </dgm:prSet>
      <dgm:spPr/>
      <dgm:t>
        <a:bodyPr/>
        <a:lstStyle/>
        <a:p>
          <a:endParaRPr lang="en-US"/>
        </a:p>
      </dgm:t>
    </dgm:pt>
    <dgm:pt modelId="{A6F7D5BC-26E2-4696-A5D8-2E35DC1A78E8}" type="pres">
      <dgm:prSet presAssocID="{AE3F2DFC-B175-4373-9D0A-40483B2A361B}" presName="Triangle" presStyleLbl="alignNode1" presStyleIdx="5" presStyleCnt="7"/>
      <dgm:spPr/>
    </dgm:pt>
    <dgm:pt modelId="{0D898D89-889E-48B0-9A9A-5A1D8564ED9C}" type="pres">
      <dgm:prSet presAssocID="{B0DFAF9C-7808-49F8-B45E-F9FF21B7F607}" presName="sibTrans" presStyleCnt="0"/>
      <dgm:spPr/>
    </dgm:pt>
    <dgm:pt modelId="{F34F2987-722F-4506-9B60-5E0DB6FBF099}" type="pres">
      <dgm:prSet presAssocID="{B0DFAF9C-7808-49F8-B45E-F9FF21B7F607}" presName="space" presStyleCnt="0"/>
      <dgm:spPr/>
    </dgm:pt>
    <dgm:pt modelId="{0B2A7225-FB01-4E4B-AF1D-2A89A5F8AA05}" type="pres">
      <dgm:prSet presAssocID="{09454981-6B8E-44D5-B299-A0E612E0A819}" presName="composite" presStyleCnt="0"/>
      <dgm:spPr/>
    </dgm:pt>
    <dgm:pt modelId="{5DB6F84A-99C2-4B92-9998-07429918A275}" type="pres">
      <dgm:prSet presAssocID="{09454981-6B8E-44D5-B299-A0E612E0A819}" presName="LShape" presStyleLbl="alignNode1" presStyleIdx="6" presStyleCnt="7"/>
      <dgm:spPr/>
    </dgm:pt>
    <dgm:pt modelId="{2FAE87E1-D5A3-4545-BD18-110D1D52614E}" type="pres">
      <dgm:prSet presAssocID="{09454981-6B8E-44D5-B299-A0E612E0A819}" presName="ParentText" presStyleLbl="revTx" presStyleIdx="3" presStyleCnt="4">
        <dgm:presLayoutVars>
          <dgm:chMax val="0"/>
          <dgm:chPref val="0"/>
          <dgm:bulletEnabled val="1"/>
        </dgm:presLayoutVars>
      </dgm:prSet>
      <dgm:spPr/>
      <dgm:t>
        <a:bodyPr/>
        <a:lstStyle/>
        <a:p>
          <a:endParaRPr lang="en-US"/>
        </a:p>
      </dgm:t>
    </dgm:pt>
  </dgm:ptLst>
  <dgm:cxnLst>
    <dgm:cxn modelId="{09BAAC2C-BF46-FC48-B698-35965384EF49}" type="presOf" srcId="{8D84DBC4-2ECE-4F88-8112-32B2A8F65A72}" destId="{96558B96-08C7-47C0-ABD6-1D06C94315A4}" srcOrd="0" destOrd="2" presId="urn:microsoft.com/office/officeart/2009/3/layout/StepUpProcess"/>
    <dgm:cxn modelId="{868215A1-E87B-4CA8-949F-5231DA40D43D}" srcId="{80846DFB-C46D-49B7-B7D5-EF940413F95E}" destId="{8A601881-8988-4617-BB7A-DE5CFF0445FA}" srcOrd="0" destOrd="0" parTransId="{A087CE83-8E39-4AD8-B424-7C906604CBD8}" sibTransId="{CD9CDB3A-8FAF-433E-8998-7D167A292CA3}"/>
    <dgm:cxn modelId="{503BFB65-120B-484B-AAB6-5493E9DDC979}" srcId="{80846DFB-C46D-49B7-B7D5-EF940413F95E}" destId="{047057D5-7334-4D28-9AFE-AF0C530F8878}" srcOrd="2" destOrd="0" parTransId="{D84924E5-45B5-40B6-8B2A-89138CF55A2F}" sibTransId="{BF358699-1E1D-4D12-969F-6AB8A941C152}"/>
    <dgm:cxn modelId="{AD342360-0728-DF43-ADD2-B34193687C5A}" type="presOf" srcId="{DA6A1F86-B83A-466A-852F-123A0402524E}" destId="{2FAE87E1-D5A3-4545-BD18-110D1D52614E}" srcOrd="0" destOrd="1" presId="urn:microsoft.com/office/officeart/2009/3/layout/StepUpProcess"/>
    <dgm:cxn modelId="{44D1D276-68D8-CB45-B0AA-96DEB367F67A}" type="presOf" srcId="{E1DD65A5-39E4-4D2E-B088-C8F687AEBA13}" destId="{03C8049D-91B9-4425-9DAB-F448E463A2D5}" srcOrd="0" destOrd="3" presId="urn:microsoft.com/office/officeart/2009/3/layout/StepUpProcess"/>
    <dgm:cxn modelId="{F2DE51C8-9C36-C94C-B67D-5B3FCF8F56C5}" type="presOf" srcId="{8A84B878-0919-4EC7-BB78-F640C69B6E3E}" destId="{2FAE87E1-D5A3-4545-BD18-110D1D52614E}" srcOrd="0" destOrd="3" presId="urn:microsoft.com/office/officeart/2009/3/layout/StepUpProcess"/>
    <dgm:cxn modelId="{CA8D9EA4-C461-2B47-83A1-0B9786F80ADC}" type="presOf" srcId="{84E66C02-1522-451F-9784-D8EF28ECBF3B}" destId="{2BAE0B87-1DA9-40C4-A833-D0252824EC4E}" srcOrd="0" destOrd="2" presId="urn:microsoft.com/office/officeart/2009/3/layout/StepUpProcess"/>
    <dgm:cxn modelId="{6416DE80-BA95-3947-8AE9-16C2C77A23B1}" type="presOf" srcId="{87806266-307A-4BAB-99A0-70E6F17C62B2}" destId="{2BAE0B87-1DA9-40C4-A833-D0252824EC4E}" srcOrd="0" destOrd="4" presId="urn:microsoft.com/office/officeart/2009/3/layout/StepUpProcess"/>
    <dgm:cxn modelId="{ACBA6958-4F8E-884F-976F-A9224B72BE58}" type="presOf" srcId="{CD0D9B2F-877E-489A-9FF9-ACDC79140D0E}" destId="{2BAE0B87-1DA9-40C4-A833-D0252824EC4E}" srcOrd="0" destOrd="1" presId="urn:microsoft.com/office/officeart/2009/3/layout/StepUpProcess"/>
    <dgm:cxn modelId="{396A13BE-B940-BF40-B9D3-86625EE82B1D}" type="presOf" srcId="{7B31D2E3-27F4-4162-A58C-2AD0A7EAAFC1}" destId="{4A31D944-BB89-4F79-A412-510D1499D986}" srcOrd="0" destOrd="0" presId="urn:microsoft.com/office/officeart/2009/3/layout/StepUpProcess"/>
    <dgm:cxn modelId="{58472F71-CC17-FA4C-A7A2-75DBE5CE28BF}" type="presOf" srcId="{09454981-6B8E-44D5-B299-A0E612E0A819}" destId="{2FAE87E1-D5A3-4545-BD18-110D1D52614E}" srcOrd="0" destOrd="0" presId="urn:microsoft.com/office/officeart/2009/3/layout/StepUpProcess"/>
    <dgm:cxn modelId="{3A247F03-C9BE-4A4C-AD44-50E11A6573B8}" srcId="{80846DFB-C46D-49B7-B7D5-EF940413F95E}" destId="{8D84DBC4-2ECE-4F88-8112-32B2A8F65A72}" srcOrd="1" destOrd="0" parTransId="{1A1276B4-70BA-4E6C-8306-898CA527596B}" sibTransId="{465E7665-FDA1-427B-8937-28EF8CF71ADD}"/>
    <dgm:cxn modelId="{51DAFAC7-F28F-4436-BB82-72973F40F9AE}" srcId="{09454981-6B8E-44D5-B299-A0E612E0A819}" destId="{1606E00D-A281-47CF-B3C1-3F1577C3649B}" srcOrd="1" destOrd="0" parTransId="{ED06681A-6C7F-4EC0-896B-3B5AE54EF7C9}" sibTransId="{4223A025-C29A-43E6-8EEE-B4AC3E245CA9}"/>
    <dgm:cxn modelId="{1CDA1A40-A171-41A7-8E1C-FFB37D24CC3C}" srcId="{7B31D2E3-27F4-4162-A58C-2AD0A7EAAFC1}" destId="{AE3F2DFC-B175-4373-9D0A-40483B2A361B}" srcOrd="2" destOrd="0" parTransId="{063E868C-B1A0-457D-BC3E-CD8116CD8EBF}" sibTransId="{B0DFAF9C-7808-49F8-B45E-F9FF21B7F607}"/>
    <dgm:cxn modelId="{D0E35B51-3578-4C48-BE41-EF29513949C0}" type="presOf" srcId="{E40BCA30-C35E-4015-8DD7-3434A41E982C}" destId="{03C8049D-91B9-4425-9DAB-F448E463A2D5}" srcOrd="0" destOrd="4" presId="urn:microsoft.com/office/officeart/2009/3/layout/StepUpProcess"/>
    <dgm:cxn modelId="{BB5018E5-2DA9-6945-99C5-98641881E0F5}" type="presOf" srcId="{AE3F2DFC-B175-4373-9D0A-40483B2A361B}" destId="{2BAE0B87-1DA9-40C4-A833-D0252824EC4E}" srcOrd="0" destOrd="0" presId="urn:microsoft.com/office/officeart/2009/3/layout/StepUpProcess"/>
    <dgm:cxn modelId="{A20567C8-1510-C842-B8E3-30AA1853D8A4}" type="presOf" srcId="{F25C84DA-CC14-4353-B04C-908E13A17708}" destId="{03C8049D-91B9-4425-9DAB-F448E463A2D5}" srcOrd="0" destOrd="0" presId="urn:microsoft.com/office/officeart/2009/3/layout/StepUpProcess"/>
    <dgm:cxn modelId="{8780E4E6-1D74-4A46-A454-4BBEEF66D2C8}" srcId="{F25C84DA-CC14-4353-B04C-908E13A17708}" destId="{C2375EA0-A9B4-4C1A-8CB9-69467F4847B6}" srcOrd="1" destOrd="0" parTransId="{775EF732-6FE3-47A6-9B91-76B62369CF2C}" sibTransId="{7178A37E-41D5-4531-A710-F4F5935508FF}"/>
    <dgm:cxn modelId="{88615D58-0C5A-FA4F-9C6D-F4C155717A5E}" type="presOf" srcId="{E2049BAB-1283-47F1-95B7-B781B39634AC}" destId="{2FAE87E1-D5A3-4545-BD18-110D1D52614E}" srcOrd="0" destOrd="4" presId="urn:microsoft.com/office/officeart/2009/3/layout/StepUpProcess"/>
    <dgm:cxn modelId="{640C91A7-9738-47E2-95C6-52763EB9C1FF}" srcId="{09454981-6B8E-44D5-B299-A0E612E0A819}" destId="{8A84B878-0919-4EC7-BB78-F640C69B6E3E}" srcOrd="2" destOrd="0" parTransId="{630642B3-D8A8-4B0F-AEBC-5CB90DADC877}" sibTransId="{FFA2D8E4-D6E1-4470-A1E3-8EB7B42BDC1C}"/>
    <dgm:cxn modelId="{3A512048-569D-4C3D-9F2F-C82E6FFD4C97}" srcId="{AE3F2DFC-B175-4373-9D0A-40483B2A361B}" destId="{87806266-307A-4BAB-99A0-70E6F17C62B2}" srcOrd="3" destOrd="0" parTransId="{D108211A-1218-4CBB-9B20-8AE35303AD05}" sibTransId="{91CDF8DF-B997-489B-83F4-1E71768977DB}"/>
    <dgm:cxn modelId="{D7E79F93-AD92-48E8-B8F3-9D0B5129630C}" srcId="{7B31D2E3-27F4-4162-A58C-2AD0A7EAAFC1}" destId="{F25C84DA-CC14-4353-B04C-908E13A17708}" srcOrd="1" destOrd="0" parTransId="{0F182A6C-E913-423C-82A5-DDAF780E511E}" sibTransId="{D06056E3-4E3B-4C36-B52B-369A5C347347}"/>
    <dgm:cxn modelId="{DA23AC22-83B1-4F8E-9075-B38F0E863E88}" srcId="{F25C84DA-CC14-4353-B04C-908E13A17708}" destId="{E1DD65A5-39E4-4D2E-B088-C8F687AEBA13}" srcOrd="2" destOrd="0" parTransId="{6A189E4C-598A-4B4E-B2C9-93076E1B6998}" sibTransId="{F89479BD-2848-47B6-B6E6-E7673811559D}"/>
    <dgm:cxn modelId="{8680C204-374D-4306-8E58-DBC7E0634152}" srcId="{80846DFB-C46D-49B7-B7D5-EF940413F95E}" destId="{5B0B34A7-36B4-48F4-ABDC-4CC38EFF572A}" srcOrd="3" destOrd="0" parTransId="{777A06DD-5BC8-4093-8B19-A1CEF97F7D9C}" sibTransId="{625FAC1D-646B-4C16-A522-DEFBC93A4D38}"/>
    <dgm:cxn modelId="{31C20B55-2404-CE43-9B81-BBA3ECC38F43}" type="presOf" srcId="{C2375EA0-A9B4-4C1A-8CB9-69467F4847B6}" destId="{03C8049D-91B9-4425-9DAB-F448E463A2D5}" srcOrd="0" destOrd="2" presId="urn:microsoft.com/office/officeart/2009/3/layout/StepUpProcess"/>
    <dgm:cxn modelId="{1B013C2D-794A-4B0A-9AEE-643F8260B9DD}" srcId="{09454981-6B8E-44D5-B299-A0E612E0A819}" destId="{DA6A1F86-B83A-466A-852F-123A0402524E}" srcOrd="0" destOrd="0" parTransId="{9C2BE526-BF17-465D-AB38-8D0BDF6B4527}" sibTransId="{90EF24CA-6F94-4DF3-B75C-CAB9313EF6DF}"/>
    <dgm:cxn modelId="{14ED1B3C-07A5-4B77-A40E-7A53840982EC}" srcId="{F25C84DA-CC14-4353-B04C-908E13A17708}" destId="{E40BCA30-C35E-4015-8DD7-3434A41E982C}" srcOrd="3" destOrd="0" parTransId="{BB5BBD1D-B49D-4198-A46B-4915C7D1BD8C}" sibTransId="{A1823CDF-7402-4BA4-81B6-1B9080FD1782}"/>
    <dgm:cxn modelId="{1C94D322-3DDE-5543-9000-DA22C63D3D96}" type="presOf" srcId="{8A601881-8988-4617-BB7A-DE5CFF0445FA}" destId="{96558B96-08C7-47C0-ABD6-1D06C94315A4}" srcOrd="0" destOrd="1" presId="urn:microsoft.com/office/officeart/2009/3/layout/StepUpProcess"/>
    <dgm:cxn modelId="{5EDCF55B-16A0-4F61-BF8B-DDC09C2A355A}" srcId="{AE3F2DFC-B175-4373-9D0A-40483B2A361B}" destId="{CD0D9B2F-877E-489A-9FF9-ACDC79140D0E}" srcOrd="0" destOrd="0" parTransId="{21BCA2F6-1022-4860-B637-4B692C9390A0}" sibTransId="{C3728805-F2C6-4AA8-89D3-CD6C3C04F11E}"/>
    <dgm:cxn modelId="{DDD64E78-15A8-7844-A4AE-E386B0437C0B}" type="presOf" srcId="{047057D5-7334-4D28-9AFE-AF0C530F8878}" destId="{96558B96-08C7-47C0-ABD6-1D06C94315A4}" srcOrd="0" destOrd="3" presId="urn:microsoft.com/office/officeart/2009/3/layout/StepUpProcess"/>
    <dgm:cxn modelId="{AE6763F0-4B20-BF42-9B91-086A16B29B3D}" type="presOf" srcId="{1606E00D-A281-47CF-B3C1-3F1577C3649B}" destId="{2FAE87E1-D5A3-4545-BD18-110D1D52614E}" srcOrd="0" destOrd="2" presId="urn:microsoft.com/office/officeart/2009/3/layout/StepUpProcess"/>
    <dgm:cxn modelId="{5E1254FA-D562-4419-A1AC-0E879755643A}" srcId="{F25C84DA-CC14-4353-B04C-908E13A17708}" destId="{E890E05E-076D-4CAA-A9DA-1C06C0D667F4}" srcOrd="0" destOrd="0" parTransId="{E9FD4D41-6481-4FF7-8D0D-A4FA0377436F}" sibTransId="{8AC86548-AF4E-4BA3-93EE-6660064B4040}"/>
    <dgm:cxn modelId="{712E3C25-5B13-4F72-BD67-E2E2319EBA4F}" srcId="{AE3F2DFC-B175-4373-9D0A-40483B2A361B}" destId="{84E66C02-1522-451F-9784-D8EF28ECBF3B}" srcOrd="1" destOrd="0" parTransId="{0929DD0A-6E27-429D-A025-F61A81E8F25E}" sibTransId="{FDABDADB-335F-45A2-8A07-B1665FD3FD6F}"/>
    <dgm:cxn modelId="{810A6E46-36EF-4F75-B4A6-04F861237D42}" srcId="{7B31D2E3-27F4-4162-A58C-2AD0A7EAAFC1}" destId="{09454981-6B8E-44D5-B299-A0E612E0A819}" srcOrd="3" destOrd="0" parTransId="{E808FADE-A33B-48D4-AD80-BDEFE5A21DD8}" sibTransId="{A5EB074D-BAB2-4DED-9626-7D3417D7DBCF}"/>
    <dgm:cxn modelId="{EA85462C-315A-455D-939D-814995C1D080}" srcId="{7B31D2E3-27F4-4162-A58C-2AD0A7EAAFC1}" destId="{80846DFB-C46D-49B7-B7D5-EF940413F95E}" srcOrd="0" destOrd="0" parTransId="{33E46536-4EA8-49E1-A462-402CDF9A3BF9}" sibTransId="{3A7600A5-A7F0-4C85-A330-F1007E4231C4}"/>
    <dgm:cxn modelId="{8E44E3F1-34BE-416A-86C1-B3F5234BB764}" srcId="{AE3F2DFC-B175-4373-9D0A-40483B2A361B}" destId="{C40E1D38-012C-4CC7-9F0B-18717F2653C0}" srcOrd="2" destOrd="0" parTransId="{1EA3138F-48DC-4038-B4DE-5C7BB8F8A545}" sibTransId="{BD0F1D56-F836-4215-BB9C-CC988116D29B}"/>
    <dgm:cxn modelId="{3E0EEAB3-A585-9546-A8CF-3C0C8399C311}" type="presOf" srcId="{80846DFB-C46D-49B7-B7D5-EF940413F95E}" destId="{96558B96-08C7-47C0-ABD6-1D06C94315A4}" srcOrd="0" destOrd="0" presId="urn:microsoft.com/office/officeart/2009/3/layout/StepUpProcess"/>
    <dgm:cxn modelId="{09DD8B12-185B-AA4C-A279-6C43911ACAC2}" type="presOf" srcId="{5B0B34A7-36B4-48F4-ABDC-4CC38EFF572A}" destId="{96558B96-08C7-47C0-ABD6-1D06C94315A4}" srcOrd="0" destOrd="4" presId="urn:microsoft.com/office/officeart/2009/3/layout/StepUpProcess"/>
    <dgm:cxn modelId="{5435E89F-F067-4AC6-9CAE-AE80CC118C82}" srcId="{09454981-6B8E-44D5-B299-A0E612E0A819}" destId="{E2049BAB-1283-47F1-95B7-B781B39634AC}" srcOrd="3" destOrd="0" parTransId="{5FF03FF3-6D1C-4515-B55A-FE492729A23E}" sibTransId="{8B8D90C9-DB20-45D7-AB54-885C62A59E74}"/>
    <dgm:cxn modelId="{2CBF62A0-1A95-B643-8C44-3B8933C2EF74}" type="presOf" srcId="{E890E05E-076D-4CAA-A9DA-1C06C0D667F4}" destId="{03C8049D-91B9-4425-9DAB-F448E463A2D5}" srcOrd="0" destOrd="1" presId="urn:microsoft.com/office/officeart/2009/3/layout/StepUpProcess"/>
    <dgm:cxn modelId="{3232DF3E-D1D6-3E46-B175-02F57C374523}" type="presOf" srcId="{C40E1D38-012C-4CC7-9F0B-18717F2653C0}" destId="{2BAE0B87-1DA9-40C4-A833-D0252824EC4E}" srcOrd="0" destOrd="3" presId="urn:microsoft.com/office/officeart/2009/3/layout/StepUpProcess"/>
    <dgm:cxn modelId="{BB2988BA-905C-E146-9033-42FD7FAB8813}" type="presParOf" srcId="{4A31D944-BB89-4F79-A412-510D1499D986}" destId="{04BEC910-285B-4037-A929-3D5A927A8361}" srcOrd="0" destOrd="0" presId="urn:microsoft.com/office/officeart/2009/3/layout/StepUpProcess"/>
    <dgm:cxn modelId="{AA6369E5-2D28-BF45-92F3-6A62E989DEBD}" type="presParOf" srcId="{04BEC910-285B-4037-A929-3D5A927A8361}" destId="{9245643F-3532-44E9-AFE4-93112C8EDCFF}" srcOrd="0" destOrd="0" presId="urn:microsoft.com/office/officeart/2009/3/layout/StepUpProcess"/>
    <dgm:cxn modelId="{6DD307E6-8F70-A14E-BF78-2D892922F608}" type="presParOf" srcId="{04BEC910-285B-4037-A929-3D5A927A8361}" destId="{96558B96-08C7-47C0-ABD6-1D06C94315A4}" srcOrd="1" destOrd="0" presId="urn:microsoft.com/office/officeart/2009/3/layout/StepUpProcess"/>
    <dgm:cxn modelId="{B4EFF84F-7205-7A43-BDED-2EAB0BC7862F}" type="presParOf" srcId="{04BEC910-285B-4037-A929-3D5A927A8361}" destId="{B5DA23EF-FE64-43CE-9E16-B44BEB4C85B8}" srcOrd="2" destOrd="0" presId="urn:microsoft.com/office/officeart/2009/3/layout/StepUpProcess"/>
    <dgm:cxn modelId="{55579F03-EDA1-ED47-9C45-3781B327C050}" type="presParOf" srcId="{4A31D944-BB89-4F79-A412-510D1499D986}" destId="{45E88A24-F26F-4CB0-8DBD-110535578337}" srcOrd="1" destOrd="0" presId="urn:microsoft.com/office/officeart/2009/3/layout/StepUpProcess"/>
    <dgm:cxn modelId="{510F23E0-4553-2143-84E3-9713E9A4EB81}" type="presParOf" srcId="{45E88A24-F26F-4CB0-8DBD-110535578337}" destId="{46E5389E-14EF-4316-B87F-2D4FFF7CA0DB}" srcOrd="0" destOrd="0" presId="urn:microsoft.com/office/officeart/2009/3/layout/StepUpProcess"/>
    <dgm:cxn modelId="{29DB13A7-F4DB-6C4D-B91D-4E9F04D46BF7}" type="presParOf" srcId="{4A31D944-BB89-4F79-A412-510D1499D986}" destId="{A19722AC-4E7C-4ED0-8FD5-C4D0FB051312}" srcOrd="2" destOrd="0" presId="urn:microsoft.com/office/officeart/2009/3/layout/StepUpProcess"/>
    <dgm:cxn modelId="{B856583E-1763-5845-BCA0-93DC16F19FEB}" type="presParOf" srcId="{A19722AC-4E7C-4ED0-8FD5-C4D0FB051312}" destId="{84D25366-4A17-4745-A3C9-9489BEE8209A}" srcOrd="0" destOrd="0" presId="urn:microsoft.com/office/officeart/2009/3/layout/StepUpProcess"/>
    <dgm:cxn modelId="{863F83AC-57DE-754C-B185-B5223D924B54}" type="presParOf" srcId="{A19722AC-4E7C-4ED0-8FD5-C4D0FB051312}" destId="{03C8049D-91B9-4425-9DAB-F448E463A2D5}" srcOrd="1" destOrd="0" presId="urn:microsoft.com/office/officeart/2009/3/layout/StepUpProcess"/>
    <dgm:cxn modelId="{AD924505-161D-D745-B705-FC3CBBB66474}" type="presParOf" srcId="{A19722AC-4E7C-4ED0-8FD5-C4D0FB051312}" destId="{23C4B56E-54B4-4CAD-91AB-C28FAD36285D}" srcOrd="2" destOrd="0" presId="urn:microsoft.com/office/officeart/2009/3/layout/StepUpProcess"/>
    <dgm:cxn modelId="{CCE4BAEA-80D5-E744-9DAF-85B369A5FC2E}" type="presParOf" srcId="{4A31D944-BB89-4F79-A412-510D1499D986}" destId="{DD969FC1-7E19-434A-A365-6DEFF954057C}" srcOrd="3" destOrd="0" presId="urn:microsoft.com/office/officeart/2009/3/layout/StepUpProcess"/>
    <dgm:cxn modelId="{15FCC242-AF14-3A45-B813-09223EE81028}" type="presParOf" srcId="{DD969FC1-7E19-434A-A365-6DEFF954057C}" destId="{27D4F33B-77D9-4F5C-8EDA-616BD1EA8783}" srcOrd="0" destOrd="0" presId="urn:microsoft.com/office/officeart/2009/3/layout/StepUpProcess"/>
    <dgm:cxn modelId="{721CFCA7-3604-8A43-B4C5-13C1ADDA8BB1}" type="presParOf" srcId="{4A31D944-BB89-4F79-A412-510D1499D986}" destId="{AD128677-8256-4254-8EBA-0B6190815ABD}" srcOrd="4" destOrd="0" presId="urn:microsoft.com/office/officeart/2009/3/layout/StepUpProcess"/>
    <dgm:cxn modelId="{80EC4803-6CDC-7B47-AB24-6B06BEF5A3DB}" type="presParOf" srcId="{AD128677-8256-4254-8EBA-0B6190815ABD}" destId="{56AF4A9D-EA98-425A-9B37-F2484986BB4D}" srcOrd="0" destOrd="0" presId="urn:microsoft.com/office/officeart/2009/3/layout/StepUpProcess"/>
    <dgm:cxn modelId="{B93E1A18-9FAC-A445-9966-C52B5D638E42}" type="presParOf" srcId="{AD128677-8256-4254-8EBA-0B6190815ABD}" destId="{2BAE0B87-1DA9-40C4-A833-D0252824EC4E}" srcOrd="1" destOrd="0" presId="urn:microsoft.com/office/officeart/2009/3/layout/StepUpProcess"/>
    <dgm:cxn modelId="{82A972B4-A08C-0641-884C-53BA95338511}" type="presParOf" srcId="{AD128677-8256-4254-8EBA-0B6190815ABD}" destId="{A6F7D5BC-26E2-4696-A5D8-2E35DC1A78E8}" srcOrd="2" destOrd="0" presId="urn:microsoft.com/office/officeart/2009/3/layout/StepUpProcess"/>
    <dgm:cxn modelId="{5DF9B696-671E-CE4B-9E14-D661EBD5FE91}" type="presParOf" srcId="{4A31D944-BB89-4F79-A412-510D1499D986}" destId="{0D898D89-889E-48B0-9A9A-5A1D8564ED9C}" srcOrd="5" destOrd="0" presId="urn:microsoft.com/office/officeart/2009/3/layout/StepUpProcess"/>
    <dgm:cxn modelId="{9C006AC9-7061-CA49-9841-7DBA6E254B0C}" type="presParOf" srcId="{0D898D89-889E-48B0-9A9A-5A1D8564ED9C}" destId="{F34F2987-722F-4506-9B60-5E0DB6FBF099}" srcOrd="0" destOrd="0" presId="urn:microsoft.com/office/officeart/2009/3/layout/StepUpProcess"/>
    <dgm:cxn modelId="{B0DF072C-E27D-BC48-B85A-4852FC82B150}" type="presParOf" srcId="{4A31D944-BB89-4F79-A412-510D1499D986}" destId="{0B2A7225-FB01-4E4B-AF1D-2A89A5F8AA05}" srcOrd="6" destOrd="0" presId="urn:microsoft.com/office/officeart/2009/3/layout/StepUpProcess"/>
    <dgm:cxn modelId="{BFE5DC1D-8948-DC40-9CAC-25EDCF493363}" type="presParOf" srcId="{0B2A7225-FB01-4E4B-AF1D-2A89A5F8AA05}" destId="{5DB6F84A-99C2-4B92-9998-07429918A275}" srcOrd="0" destOrd="0" presId="urn:microsoft.com/office/officeart/2009/3/layout/StepUpProcess"/>
    <dgm:cxn modelId="{B18FC4C8-F6FB-6D48-9370-97CAEC01E7B0}" type="presParOf" srcId="{0B2A7225-FB01-4E4B-AF1D-2A89A5F8AA05}" destId="{2FAE87E1-D5A3-4545-BD18-110D1D52614E}" srcOrd="1" destOrd="0" presId="urn:microsoft.com/office/officeart/2009/3/layout/StepUpProcess"/>
  </dgm:cxnLst>
  <dgm:bg/>
  <dgm:whole/>
  <dgm:extLst>
    <a:ext uri="http://schemas.microsoft.com/office/drawing/2008/diagram">
      <dsp:dataModelExt xmlns:dsp="http://schemas.microsoft.com/office/drawing/2008/diagram" relId="rId110"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169DB8CF-F7DE-4455-8E7D-43E86079535F}" type="doc">
      <dgm:prSet loTypeId="urn:microsoft.com/office/officeart/2009/3/layout/HorizontalOrganizationChart" loCatId="hierarchy" qsTypeId="urn:microsoft.com/office/officeart/2005/8/quickstyle/3d4" qsCatId="3D" csTypeId="urn:microsoft.com/office/officeart/2005/8/colors/accent1_1" csCatId="accent1" phldr="1"/>
      <dgm:spPr/>
      <dgm:t>
        <a:bodyPr/>
        <a:lstStyle/>
        <a:p>
          <a:endParaRPr lang="fr-CH"/>
        </a:p>
      </dgm:t>
    </dgm:pt>
    <dgm:pt modelId="{7A26552F-776B-4D8C-9CEE-25DD21FEEAAC}">
      <dgm:prSet phldrT="[Text]" custT="1"/>
      <dgm:spPr/>
      <dgm:t>
        <a:bodyPr/>
        <a:lstStyle/>
        <a:p>
          <a:pPr algn="ctr">
            <a:spcAft>
              <a:spcPts val="0"/>
            </a:spcAft>
          </a:pPr>
          <a:r>
            <a:rPr lang="fr-CH" sz="1200" b="1"/>
            <a:t>Board of Governors (123)</a:t>
          </a:r>
        </a:p>
      </dgm:t>
    </dgm:pt>
    <dgm:pt modelId="{B64469C3-9629-4952-9859-E188974333A4}" type="parTrans" cxnId="{F7046998-A972-4078-8204-175FF7E78FCD}">
      <dgm:prSet/>
      <dgm:spPr/>
      <dgm:t>
        <a:bodyPr/>
        <a:lstStyle/>
        <a:p>
          <a:pPr algn="ctr"/>
          <a:endParaRPr lang="fr-CH"/>
        </a:p>
      </dgm:t>
    </dgm:pt>
    <dgm:pt modelId="{F053D33D-030D-4EBB-A558-AF4EA53D90D8}" type="sibTrans" cxnId="{F7046998-A972-4078-8204-175FF7E78FCD}">
      <dgm:prSet/>
      <dgm:spPr/>
      <dgm:t>
        <a:bodyPr/>
        <a:lstStyle/>
        <a:p>
          <a:pPr algn="ctr"/>
          <a:endParaRPr lang="fr-CH"/>
        </a:p>
      </dgm:t>
    </dgm:pt>
    <dgm:pt modelId="{D339B5F0-61B0-4E05-AAA0-EB4D233C8D45}">
      <dgm:prSet phldrT="[Text]" custT="1"/>
      <dgm:spPr/>
      <dgm:t>
        <a:bodyPr/>
        <a:lstStyle/>
        <a:p>
          <a:pPr algn="ctr"/>
          <a:r>
            <a:rPr lang="fr-CH" sz="900" b="1"/>
            <a:t>VP &amp; General Counsel (Legal)</a:t>
          </a:r>
          <a:endParaRPr lang="fr-CH" sz="700"/>
        </a:p>
      </dgm:t>
    </dgm:pt>
    <dgm:pt modelId="{6AE0D976-FBE3-4FFB-8F12-C0D1092FF0C7}" type="parTrans" cxnId="{23637D41-7220-42C6-8BE0-12A0EEF48106}">
      <dgm:prSet/>
      <dgm:spPr/>
      <dgm:t>
        <a:bodyPr/>
        <a:lstStyle/>
        <a:p>
          <a:pPr algn="ctr"/>
          <a:endParaRPr lang="fr-CH"/>
        </a:p>
      </dgm:t>
    </dgm:pt>
    <dgm:pt modelId="{AB007EE0-8935-4431-93BA-CB2C0F1DCCE0}" type="sibTrans" cxnId="{23637D41-7220-42C6-8BE0-12A0EEF48106}">
      <dgm:prSet/>
      <dgm:spPr/>
      <dgm:t>
        <a:bodyPr/>
        <a:lstStyle/>
        <a:p>
          <a:pPr algn="ctr"/>
          <a:endParaRPr lang="fr-CH"/>
        </a:p>
      </dgm:t>
    </dgm:pt>
    <dgm:pt modelId="{06582A8D-D22C-4DCC-90FD-720881C96886}">
      <dgm:prSet phldrT="[Text]" custT="1"/>
      <dgm:spPr/>
      <dgm:t>
        <a:bodyPr/>
        <a:lstStyle/>
        <a:p>
          <a:pPr algn="ctr">
            <a:spcAft>
              <a:spcPts val="0"/>
            </a:spcAft>
          </a:pPr>
          <a:r>
            <a:rPr lang="fr-CH" sz="1200" b="1"/>
            <a:t>Board of Executive </a:t>
          </a:r>
        </a:p>
        <a:p>
          <a:pPr algn="ctr">
            <a:spcAft>
              <a:spcPts val="0"/>
            </a:spcAft>
          </a:pPr>
          <a:r>
            <a:rPr lang="fr-CH" sz="1200" b="1"/>
            <a:t>Directors (20)</a:t>
          </a:r>
        </a:p>
      </dgm:t>
    </dgm:pt>
    <dgm:pt modelId="{12CDD76C-8A13-45D9-AF81-BF1D60FEE723}" type="parTrans" cxnId="{9D2E986B-1D39-47DA-9780-E05063A27F9D}">
      <dgm:prSet/>
      <dgm:spPr/>
      <dgm:t>
        <a:bodyPr/>
        <a:lstStyle/>
        <a:p>
          <a:pPr algn="ctr"/>
          <a:endParaRPr lang="fr-CH"/>
        </a:p>
      </dgm:t>
    </dgm:pt>
    <dgm:pt modelId="{DC907C92-52FA-4749-8210-E50A52533009}" type="sibTrans" cxnId="{9D2E986B-1D39-47DA-9780-E05063A27F9D}">
      <dgm:prSet/>
      <dgm:spPr/>
      <dgm:t>
        <a:bodyPr/>
        <a:lstStyle/>
        <a:p>
          <a:pPr algn="ctr"/>
          <a:endParaRPr lang="fr-CH"/>
        </a:p>
      </dgm:t>
    </dgm:pt>
    <dgm:pt modelId="{1C883CFC-D379-47C6-91CA-71401CB287CC}">
      <dgm:prSet phldrT="[Text]" custT="1"/>
      <dgm:spPr/>
      <dgm:t>
        <a:bodyPr/>
        <a:lstStyle/>
        <a:p>
          <a:pPr algn="ctr"/>
          <a:r>
            <a:rPr lang="fr-CH" sz="1200" b="1"/>
            <a:t>President</a:t>
          </a:r>
        </a:p>
      </dgm:t>
    </dgm:pt>
    <dgm:pt modelId="{2A14CAA7-195D-4435-B9E6-8DCDC919E4E2}" type="parTrans" cxnId="{5FBF0EC7-2300-49E6-A2BB-FB90194D1889}">
      <dgm:prSet/>
      <dgm:spPr/>
      <dgm:t>
        <a:bodyPr/>
        <a:lstStyle/>
        <a:p>
          <a:pPr algn="ctr"/>
          <a:endParaRPr lang="fr-CH"/>
        </a:p>
      </dgm:t>
    </dgm:pt>
    <dgm:pt modelId="{B5BA7654-A676-4272-9173-9F3B3A85726D}" type="sibTrans" cxnId="{5FBF0EC7-2300-49E6-A2BB-FB90194D1889}">
      <dgm:prSet/>
      <dgm:spPr/>
      <dgm:t>
        <a:bodyPr/>
        <a:lstStyle/>
        <a:p>
          <a:pPr algn="ctr"/>
          <a:endParaRPr lang="fr-CH"/>
        </a:p>
      </dgm:t>
    </dgm:pt>
    <dgm:pt modelId="{8B5DEB5C-8C55-4276-BD54-CCBDD98051B4}">
      <dgm:prSet phldrT="[Text]" custT="1"/>
      <dgm:spPr/>
      <dgm:t>
        <a:bodyPr/>
        <a:lstStyle/>
        <a:p>
          <a:pPr algn="ctr"/>
          <a:r>
            <a:rPr lang="fr-CH" sz="900" b="1"/>
            <a:t>VP Finance</a:t>
          </a:r>
          <a:endParaRPr lang="fr-CH" sz="600"/>
        </a:p>
      </dgm:t>
    </dgm:pt>
    <dgm:pt modelId="{DF6FBED4-A08E-4889-80CF-45F5E8F49DDC}" type="parTrans" cxnId="{4E63E82B-B088-4A1A-A8A0-3754CE9758EE}">
      <dgm:prSet/>
      <dgm:spPr/>
      <dgm:t>
        <a:bodyPr/>
        <a:lstStyle/>
        <a:p>
          <a:pPr algn="ctr"/>
          <a:endParaRPr lang="fr-CH"/>
        </a:p>
      </dgm:t>
    </dgm:pt>
    <dgm:pt modelId="{15956FEC-BD1C-44E2-BF03-CA7EEAC8CD2D}" type="sibTrans" cxnId="{4E63E82B-B088-4A1A-A8A0-3754CE9758EE}">
      <dgm:prSet/>
      <dgm:spPr/>
      <dgm:t>
        <a:bodyPr/>
        <a:lstStyle/>
        <a:p>
          <a:pPr algn="ctr"/>
          <a:endParaRPr lang="fr-CH"/>
        </a:p>
      </dgm:t>
    </dgm:pt>
    <dgm:pt modelId="{4F026230-1A2F-49B3-8DED-90DC775A5C5D}">
      <dgm:prSet phldrT="[Text]" custT="1"/>
      <dgm:spPr/>
      <dgm:t>
        <a:bodyPr/>
        <a:lstStyle/>
        <a:p>
          <a:pPr algn="ctr"/>
          <a:r>
            <a:rPr lang="fr-CH" sz="900" b="1"/>
            <a:t>VP Development Policy</a:t>
          </a:r>
          <a:endParaRPr lang="fr-CH" sz="700"/>
        </a:p>
      </dgm:t>
    </dgm:pt>
    <dgm:pt modelId="{E3A1DDE3-59E0-4C11-94F2-A506C0BA0765}" type="parTrans" cxnId="{B464D5E0-A2B7-4F6B-A36C-914CD8BC1284}">
      <dgm:prSet/>
      <dgm:spPr/>
      <dgm:t>
        <a:bodyPr/>
        <a:lstStyle/>
        <a:p>
          <a:pPr algn="ctr"/>
          <a:endParaRPr lang="fr-CH"/>
        </a:p>
      </dgm:t>
    </dgm:pt>
    <dgm:pt modelId="{6D3815D4-8672-4D31-B765-0395A539B3FD}" type="sibTrans" cxnId="{B464D5E0-A2B7-4F6B-A36C-914CD8BC1284}">
      <dgm:prSet/>
      <dgm:spPr/>
      <dgm:t>
        <a:bodyPr/>
        <a:lstStyle/>
        <a:p>
          <a:pPr algn="ctr"/>
          <a:endParaRPr lang="fr-CH"/>
        </a:p>
      </dgm:t>
    </dgm:pt>
    <dgm:pt modelId="{D668721C-61DC-4361-AC82-4B213134CB9A}">
      <dgm:prSet phldrT="[Text]" custT="1"/>
      <dgm:spPr/>
      <dgm:t>
        <a:bodyPr/>
        <a:lstStyle/>
        <a:p>
          <a:pPr algn="ctr"/>
          <a:r>
            <a:rPr lang="fr-CH" sz="900" b="1"/>
            <a:t>Senior Vice President of Operations</a:t>
          </a:r>
        </a:p>
      </dgm:t>
    </dgm:pt>
    <dgm:pt modelId="{0722BBFA-71B1-4E5C-94FF-0C0457A116D6}" type="parTrans" cxnId="{A6E6A610-1C5E-4645-9AFF-DA49BB1E4AE1}">
      <dgm:prSet/>
      <dgm:spPr/>
      <dgm:t>
        <a:bodyPr/>
        <a:lstStyle/>
        <a:p>
          <a:pPr algn="ctr"/>
          <a:endParaRPr lang="fr-CH"/>
        </a:p>
      </dgm:t>
    </dgm:pt>
    <dgm:pt modelId="{FA956699-8259-418F-82D7-563A46C36F8A}" type="sibTrans" cxnId="{A6E6A610-1C5E-4645-9AFF-DA49BB1E4AE1}">
      <dgm:prSet/>
      <dgm:spPr/>
      <dgm:t>
        <a:bodyPr/>
        <a:lstStyle/>
        <a:p>
          <a:pPr algn="ctr"/>
          <a:endParaRPr lang="fr-CH"/>
        </a:p>
      </dgm:t>
    </dgm:pt>
    <dgm:pt modelId="{AA3C9250-957D-4E96-9FBA-F35A68D69CA5}">
      <dgm:prSet phldrT="[Text]" custT="1"/>
      <dgm:spPr/>
      <dgm:t>
        <a:bodyPr/>
        <a:lstStyle/>
        <a:p>
          <a:pPr algn="ctr"/>
          <a:r>
            <a:rPr lang="fr-CH" sz="900"/>
            <a:t>VP Projects Staff</a:t>
          </a:r>
        </a:p>
      </dgm:t>
    </dgm:pt>
    <dgm:pt modelId="{3CBF6A4C-AAA7-457B-8195-01F10B5F9017}" type="parTrans" cxnId="{BCE706C9-10AB-4976-92D7-379F86042EEF}">
      <dgm:prSet/>
      <dgm:spPr/>
      <dgm:t>
        <a:bodyPr/>
        <a:lstStyle/>
        <a:p>
          <a:pPr algn="ctr"/>
          <a:endParaRPr lang="fr-CH"/>
        </a:p>
      </dgm:t>
    </dgm:pt>
    <dgm:pt modelId="{877B6772-6F9B-4DDE-B62A-D77924EF267B}" type="sibTrans" cxnId="{BCE706C9-10AB-4976-92D7-379F86042EEF}">
      <dgm:prSet/>
      <dgm:spPr/>
      <dgm:t>
        <a:bodyPr/>
        <a:lstStyle/>
        <a:p>
          <a:pPr algn="ctr"/>
          <a:endParaRPr lang="fr-CH"/>
        </a:p>
      </dgm:t>
    </dgm:pt>
    <dgm:pt modelId="{9F4506BE-8F3E-4B56-8B65-6F060A9DF9D3}">
      <dgm:prSet phldrT="[Text]" custT="1"/>
      <dgm:spPr/>
      <dgm:t>
        <a:bodyPr/>
        <a:lstStyle/>
        <a:p>
          <a:pPr algn="ctr"/>
          <a:r>
            <a:rPr lang="fr-CH" sz="900"/>
            <a:t>Regional VP Eastern Africa</a:t>
          </a:r>
        </a:p>
      </dgm:t>
    </dgm:pt>
    <dgm:pt modelId="{619C3A6C-D860-4AB5-9585-513E23EF09B1}" type="parTrans" cxnId="{F09D2C92-E251-4A30-80F1-60CAB98B6005}">
      <dgm:prSet/>
      <dgm:spPr/>
      <dgm:t>
        <a:bodyPr/>
        <a:lstStyle/>
        <a:p>
          <a:pPr algn="ctr"/>
          <a:endParaRPr lang="fr-CH"/>
        </a:p>
      </dgm:t>
    </dgm:pt>
    <dgm:pt modelId="{B38F92B1-03F2-4888-A4E8-4B41122F830E}" type="sibTrans" cxnId="{F09D2C92-E251-4A30-80F1-60CAB98B6005}">
      <dgm:prSet/>
      <dgm:spPr/>
      <dgm:t>
        <a:bodyPr/>
        <a:lstStyle/>
        <a:p>
          <a:pPr algn="ctr"/>
          <a:endParaRPr lang="fr-CH"/>
        </a:p>
      </dgm:t>
    </dgm:pt>
    <dgm:pt modelId="{D5E36A28-99B6-4FC0-9070-7ED02FC29250}">
      <dgm:prSet phldrT="[Text]" custT="1"/>
      <dgm:spPr>
        <a:solidFill>
          <a:srgbClr val="FF0000"/>
        </a:solidFill>
      </dgm:spPr>
      <dgm:t>
        <a:bodyPr/>
        <a:lstStyle/>
        <a:p>
          <a:pPr algn="ctr"/>
          <a:r>
            <a:rPr lang="fr-CH" sz="900"/>
            <a:t>Regional VP Western Africa</a:t>
          </a:r>
        </a:p>
      </dgm:t>
    </dgm:pt>
    <dgm:pt modelId="{D07BD4C7-505E-4B38-BDF3-D9405F73D623}" type="parTrans" cxnId="{9972CBA2-CAF3-492E-9770-7AA95A781411}">
      <dgm:prSet/>
      <dgm:spPr/>
      <dgm:t>
        <a:bodyPr/>
        <a:lstStyle/>
        <a:p>
          <a:pPr algn="ctr"/>
          <a:endParaRPr lang="fr-CH"/>
        </a:p>
      </dgm:t>
    </dgm:pt>
    <dgm:pt modelId="{C4BB30F7-68A3-495B-BC18-A9CB89440538}" type="sibTrans" cxnId="{9972CBA2-CAF3-492E-9770-7AA95A781411}">
      <dgm:prSet/>
      <dgm:spPr/>
      <dgm:t>
        <a:bodyPr/>
        <a:lstStyle/>
        <a:p>
          <a:pPr algn="ctr"/>
          <a:endParaRPr lang="fr-CH"/>
        </a:p>
      </dgm:t>
    </dgm:pt>
    <dgm:pt modelId="{225E7B83-25BC-4AF6-BC49-6B15D7D4251C}">
      <dgm:prSet phldrT="[Text]" custT="1"/>
      <dgm:spPr/>
      <dgm:t>
        <a:bodyPr/>
        <a:lstStyle/>
        <a:p>
          <a:pPr algn="ctr"/>
          <a:r>
            <a:rPr lang="fr-CH" sz="900"/>
            <a:t>Regional VP Asia</a:t>
          </a:r>
        </a:p>
      </dgm:t>
    </dgm:pt>
    <dgm:pt modelId="{AF5A16E7-274D-47F0-8441-9AB8EAD5BA58}" type="parTrans" cxnId="{C810E94D-A578-4008-BF2A-93F22556C082}">
      <dgm:prSet/>
      <dgm:spPr/>
      <dgm:t>
        <a:bodyPr/>
        <a:lstStyle/>
        <a:p>
          <a:pPr algn="ctr"/>
          <a:endParaRPr lang="fr-CH"/>
        </a:p>
      </dgm:t>
    </dgm:pt>
    <dgm:pt modelId="{8013A000-BBD1-480E-BA23-6E960B5EC69B}" type="sibTrans" cxnId="{C810E94D-A578-4008-BF2A-93F22556C082}">
      <dgm:prSet/>
      <dgm:spPr/>
      <dgm:t>
        <a:bodyPr/>
        <a:lstStyle/>
        <a:p>
          <a:pPr algn="ctr"/>
          <a:endParaRPr lang="fr-CH"/>
        </a:p>
      </dgm:t>
    </dgm:pt>
    <dgm:pt modelId="{72D0F7D4-88A2-4ACA-9F54-BCEC289A3E69}">
      <dgm:prSet phldrT="[Text]" custT="1"/>
      <dgm:spPr/>
      <dgm:t>
        <a:bodyPr/>
        <a:lstStyle/>
        <a:p>
          <a:pPr algn="ctr"/>
          <a:r>
            <a:rPr lang="fr-CH" sz="900"/>
            <a:t>Regional VP Europe, Middle East &amp; N Africa</a:t>
          </a:r>
        </a:p>
      </dgm:t>
    </dgm:pt>
    <dgm:pt modelId="{44E1D15E-C70A-4CCD-85A8-B39C1FD0761C}" type="parTrans" cxnId="{D031C4C1-5773-452D-9FBB-EC5AD22AD958}">
      <dgm:prSet/>
      <dgm:spPr/>
      <dgm:t>
        <a:bodyPr/>
        <a:lstStyle/>
        <a:p>
          <a:pPr algn="ctr"/>
          <a:endParaRPr lang="fr-CH"/>
        </a:p>
      </dgm:t>
    </dgm:pt>
    <dgm:pt modelId="{65F9B17C-3851-4F75-B7FE-DC789ECE82B3}" type="sibTrans" cxnId="{D031C4C1-5773-452D-9FBB-EC5AD22AD958}">
      <dgm:prSet/>
      <dgm:spPr/>
      <dgm:t>
        <a:bodyPr/>
        <a:lstStyle/>
        <a:p>
          <a:pPr algn="ctr"/>
          <a:endParaRPr lang="fr-CH"/>
        </a:p>
      </dgm:t>
    </dgm:pt>
    <dgm:pt modelId="{7B489007-80AD-4185-A4B7-E66F8EF0A52E}">
      <dgm:prSet phldrT="[Text]" custT="1"/>
      <dgm:spPr/>
      <dgm:t>
        <a:bodyPr/>
        <a:lstStyle/>
        <a:p>
          <a:pPr algn="ctr"/>
          <a:r>
            <a:rPr lang="fr-CH" sz="900"/>
            <a:t>Regional VP Latin America &amp; Caribbean</a:t>
          </a:r>
        </a:p>
      </dgm:t>
    </dgm:pt>
    <dgm:pt modelId="{0849E6CB-F745-45AE-BAE0-58C68E5E5123}" type="parTrans" cxnId="{D073D4DF-86DD-4DF3-8052-C2E1EE9F6D55}">
      <dgm:prSet/>
      <dgm:spPr/>
      <dgm:t>
        <a:bodyPr/>
        <a:lstStyle/>
        <a:p>
          <a:pPr algn="ctr"/>
          <a:endParaRPr lang="fr-CH"/>
        </a:p>
      </dgm:t>
    </dgm:pt>
    <dgm:pt modelId="{3D58EA39-6A3F-4579-93B2-310F08C58100}" type="sibTrans" cxnId="{D073D4DF-86DD-4DF3-8052-C2E1EE9F6D55}">
      <dgm:prSet/>
      <dgm:spPr/>
      <dgm:t>
        <a:bodyPr/>
        <a:lstStyle/>
        <a:p>
          <a:pPr algn="ctr"/>
          <a:endParaRPr lang="fr-CH"/>
        </a:p>
      </dgm:t>
    </dgm:pt>
    <dgm:pt modelId="{18EF6BC0-ED52-4DBE-9249-0D072B4977F9}">
      <dgm:prSet phldrT="[Text]" custT="1"/>
      <dgm:spPr/>
      <dgm:t>
        <a:bodyPr/>
        <a:lstStyle/>
        <a:p>
          <a:pPr algn="ctr"/>
          <a:r>
            <a:rPr lang="fr-CH" sz="900" b="1"/>
            <a:t>VP Organization Planning &amp; Personnel Management</a:t>
          </a:r>
        </a:p>
      </dgm:t>
    </dgm:pt>
    <dgm:pt modelId="{775BE6A7-2EEF-4FFA-AA36-8440054441DD}" type="parTrans" cxnId="{836E5496-0302-483B-9F57-8197158C4F51}">
      <dgm:prSet/>
      <dgm:spPr/>
      <dgm:t>
        <a:bodyPr/>
        <a:lstStyle/>
        <a:p>
          <a:pPr algn="ctr"/>
          <a:endParaRPr lang="fr-CH"/>
        </a:p>
      </dgm:t>
    </dgm:pt>
    <dgm:pt modelId="{CBC50CB9-218D-403E-B125-7289F8F1FA42}" type="sibTrans" cxnId="{836E5496-0302-483B-9F57-8197158C4F51}">
      <dgm:prSet/>
      <dgm:spPr/>
      <dgm:t>
        <a:bodyPr/>
        <a:lstStyle/>
        <a:p>
          <a:pPr algn="ctr"/>
          <a:endParaRPr lang="fr-CH"/>
        </a:p>
      </dgm:t>
    </dgm:pt>
    <dgm:pt modelId="{43AB1B5A-297D-4CA4-BA31-314C89D8E4E0}">
      <dgm:prSet phldrT="[Text]" custT="1"/>
      <dgm:spPr>
        <a:solidFill>
          <a:srgbClr val="FF0000"/>
        </a:solidFill>
      </dgm:spPr>
      <dgm:t>
        <a:bodyPr/>
        <a:lstStyle/>
        <a:p>
          <a:pPr algn="ctr"/>
          <a:r>
            <a:rPr lang="fr-CH" sz="900"/>
            <a:t>Country Programs I</a:t>
          </a:r>
        </a:p>
      </dgm:t>
    </dgm:pt>
    <dgm:pt modelId="{D835EDB0-9CB2-42E7-867B-C4ECAF462EDB}" type="parTrans" cxnId="{470B64D7-5E37-4336-8CB3-D27C33A9C70C}">
      <dgm:prSet/>
      <dgm:spPr/>
      <dgm:t>
        <a:bodyPr/>
        <a:lstStyle/>
        <a:p>
          <a:pPr algn="ctr"/>
          <a:endParaRPr lang="fr-CH"/>
        </a:p>
      </dgm:t>
    </dgm:pt>
    <dgm:pt modelId="{76FBA8E8-B7E9-4AAC-B2F0-C51AD31A3F13}" type="sibTrans" cxnId="{470B64D7-5E37-4336-8CB3-D27C33A9C70C}">
      <dgm:prSet/>
      <dgm:spPr/>
      <dgm:t>
        <a:bodyPr/>
        <a:lstStyle/>
        <a:p>
          <a:pPr algn="ctr"/>
          <a:endParaRPr lang="fr-CH"/>
        </a:p>
      </dgm:t>
    </dgm:pt>
    <dgm:pt modelId="{5295C353-352C-476C-B51F-1BD002154315}">
      <dgm:prSet phldrT="[Text]" custT="1"/>
      <dgm:spPr/>
      <dgm:t>
        <a:bodyPr/>
        <a:lstStyle/>
        <a:p>
          <a:pPr algn="ctr"/>
          <a:r>
            <a:rPr lang="fr-CH" sz="900"/>
            <a:t>Country Programs 2</a:t>
          </a:r>
        </a:p>
      </dgm:t>
    </dgm:pt>
    <dgm:pt modelId="{DD753F1C-638B-47BD-8886-0AE272FD6A1A}" type="parTrans" cxnId="{ABAA8352-E370-4BF0-B504-5D1B8FD4EAE5}">
      <dgm:prSet/>
      <dgm:spPr/>
      <dgm:t>
        <a:bodyPr/>
        <a:lstStyle/>
        <a:p>
          <a:pPr algn="ctr"/>
          <a:endParaRPr lang="fr-CH"/>
        </a:p>
      </dgm:t>
    </dgm:pt>
    <dgm:pt modelId="{F423763D-7E86-41A2-8A81-940649B273DA}" type="sibTrans" cxnId="{ABAA8352-E370-4BF0-B504-5D1B8FD4EAE5}">
      <dgm:prSet/>
      <dgm:spPr/>
      <dgm:t>
        <a:bodyPr/>
        <a:lstStyle/>
        <a:p>
          <a:pPr algn="ctr"/>
          <a:endParaRPr lang="fr-CH"/>
        </a:p>
      </dgm:t>
    </dgm:pt>
    <dgm:pt modelId="{36ADB002-E3F4-435F-8C08-13843DA5A1B0}">
      <dgm:prSet phldrT="[Text]" custT="1"/>
      <dgm:spPr/>
      <dgm:t>
        <a:bodyPr/>
        <a:lstStyle/>
        <a:p>
          <a:pPr algn="ctr"/>
          <a:r>
            <a:rPr lang="fr-CH" sz="900"/>
            <a:t>Projects</a:t>
          </a:r>
        </a:p>
      </dgm:t>
    </dgm:pt>
    <dgm:pt modelId="{D0987B24-62F3-4598-A87C-A9EF6774101B}" type="parTrans" cxnId="{0672A330-6665-4301-99DA-B7464699F65F}">
      <dgm:prSet/>
      <dgm:spPr/>
      <dgm:t>
        <a:bodyPr/>
        <a:lstStyle/>
        <a:p>
          <a:pPr algn="ctr"/>
          <a:endParaRPr lang="fr-CH"/>
        </a:p>
      </dgm:t>
    </dgm:pt>
    <dgm:pt modelId="{FA4AFC52-3F4C-4070-8A75-2EBD875ABEEF}" type="sibTrans" cxnId="{0672A330-6665-4301-99DA-B7464699F65F}">
      <dgm:prSet/>
      <dgm:spPr/>
      <dgm:t>
        <a:bodyPr/>
        <a:lstStyle/>
        <a:p>
          <a:pPr algn="ctr"/>
          <a:endParaRPr lang="fr-CH"/>
        </a:p>
      </dgm:t>
    </dgm:pt>
    <dgm:pt modelId="{C86F1F34-ED01-45D4-AE7D-8EF8AB8D6684}">
      <dgm:prSet phldrT="[Text]" custT="1"/>
      <dgm:spPr/>
      <dgm:t>
        <a:bodyPr/>
        <a:lstStyle/>
        <a:p>
          <a:pPr algn="ctr"/>
          <a:r>
            <a:rPr lang="fr-CH" sz="900" b="1"/>
            <a:t>VP Audits &amp; Evaluation</a:t>
          </a:r>
        </a:p>
      </dgm:t>
    </dgm:pt>
    <dgm:pt modelId="{0CADAFAF-B632-427F-B53D-9D97B98BBC5F}" type="parTrans" cxnId="{F6AA05C2-FE4F-4B4A-B1EA-6FB2141C43CC}">
      <dgm:prSet/>
      <dgm:spPr/>
      <dgm:t>
        <a:bodyPr/>
        <a:lstStyle/>
        <a:p>
          <a:pPr algn="ctr"/>
          <a:endParaRPr lang="fr-CH"/>
        </a:p>
      </dgm:t>
    </dgm:pt>
    <dgm:pt modelId="{FA2200C3-44BA-49CB-B52E-4A490E7F1970}" type="sibTrans" cxnId="{F6AA05C2-FE4F-4B4A-B1EA-6FB2141C43CC}">
      <dgm:prSet/>
      <dgm:spPr/>
      <dgm:t>
        <a:bodyPr/>
        <a:lstStyle/>
        <a:p>
          <a:pPr algn="ctr"/>
          <a:endParaRPr lang="fr-CH"/>
        </a:p>
      </dgm:t>
    </dgm:pt>
    <dgm:pt modelId="{C537F909-03A4-49C7-BE55-3D3018AA6364}">
      <dgm:prSet phldrT="[Text]" custT="1"/>
      <dgm:spPr/>
      <dgm:t>
        <a:bodyPr/>
        <a:lstStyle/>
        <a:p>
          <a:pPr algn="ctr"/>
          <a:r>
            <a:rPr lang="fr-CH" sz="900" b="1"/>
            <a:t>Director External Relations</a:t>
          </a:r>
        </a:p>
      </dgm:t>
    </dgm:pt>
    <dgm:pt modelId="{B9495F51-A02C-42F6-9A5B-33C970FD0D50}" type="parTrans" cxnId="{B511A0A2-2753-498C-B1B3-03BEF9910F77}">
      <dgm:prSet/>
      <dgm:spPr/>
      <dgm:t>
        <a:bodyPr/>
        <a:lstStyle/>
        <a:p>
          <a:pPr algn="ctr"/>
          <a:endParaRPr lang="fr-CH"/>
        </a:p>
      </dgm:t>
    </dgm:pt>
    <dgm:pt modelId="{67C8C0F8-358D-4AAF-B7EA-92AE0FCB3917}" type="sibTrans" cxnId="{B511A0A2-2753-498C-B1B3-03BEF9910F77}">
      <dgm:prSet/>
      <dgm:spPr/>
      <dgm:t>
        <a:bodyPr/>
        <a:lstStyle/>
        <a:p>
          <a:pPr algn="ctr"/>
          <a:endParaRPr lang="fr-CH"/>
        </a:p>
      </dgm:t>
    </dgm:pt>
    <dgm:pt modelId="{2E789311-55D6-4ACC-9037-AF2FA7EDF128}">
      <dgm:prSet phldrT="[Text]" custT="1"/>
      <dgm:spPr>
        <a:solidFill>
          <a:srgbClr val="FF0000"/>
        </a:solidFill>
      </dgm:spPr>
      <dgm:t>
        <a:bodyPr/>
        <a:lstStyle/>
        <a:p>
          <a:pPr algn="ctr"/>
          <a:r>
            <a:rPr lang="fr-CH" sz="900"/>
            <a:t>Information &amp; Public Affairs</a:t>
          </a:r>
        </a:p>
      </dgm:t>
    </dgm:pt>
    <dgm:pt modelId="{D3D94E57-9E07-4EAB-8BB1-CF6B022E1B6C}" type="parTrans" cxnId="{6A381167-F6AD-4497-8B16-A425EA26D435}">
      <dgm:prSet/>
      <dgm:spPr/>
      <dgm:t>
        <a:bodyPr/>
        <a:lstStyle/>
        <a:p>
          <a:pPr algn="ctr"/>
          <a:endParaRPr lang="fr-CH"/>
        </a:p>
      </dgm:t>
    </dgm:pt>
    <dgm:pt modelId="{90FDC9E0-C2F1-424C-952F-58A6D9FB33C2}" type="sibTrans" cxnId="{6A381167-F6AD-4497-8B16-A425EA26D435}">
      <dgm:prSet/>
      <dgm:spPr/>
      <dgm:t>
        <a:bodyPr/>
        <a:lstStyle/>
        <a:p>
          <a:pPr algn="ctr"/>
          <a:endParaRPr lang="fr-CH"/>
        </a:p>
      </dgm:t>
    </dgm:pt>
    <dgm:pt modelId="{D199A273-E2B2-427A-B79D-3938575849C8}">
      <dgm:prSet phldrT="[Text]" custT="1"/>
      <dgm:spPr/>
      <dgm:t>
        <a:bodyPr/>
        <a:lstStyle/>
        <a:p>
          <a:pPr algn="ctr"/>
          <a:r>
            <a:rPr lang="fr-CH" sz="900"/>
            <a:t>International Relations</a:t>
          </a:r>
        </a:p>
      </dgm:t>
    </dgm:pt>
    <dgm:pt modelId="{2158C0E0-4665-4FDE-96B1-4EA2550DE356}" type="parTrans" cxnId="{A9862ABF-25FB-49B6-A733-042B8CE72882}">
      <dgm:prSet/>
      <dgm:spPr/>
      <dgm:t>
        <a:bodyPr/>
        <a:lstStyle/>
        <a:p>
          <a:pPr algn="ctr"/>
          <a:endParaRPr lang="fr-CH"/>
        </a:p>
      </dgm:t>
    </dgm:pt>
    <dgm:pt modelId="{C925EDC9-F100-4417-A5FD-1BC6769901E7}" type="sibTrans" cxnId="{A9862ABF-25FB-49B6-A733-042B8CE72882}">
      <dgm:prSet/>
      <dgm:spPr/>
      <dgm:t>
        <a:bodyPr/>
        <a:lstStyle/>
        <a:p>
          <a:pPr algn="ctr"/>
          <a:endParaRPr lang="fr-CH"/>
        </a:p>
      </dgm:t>
    </dgm:pt>
    <dgm:pt modelId="{ABA40515-5DF0-4E5E-954F-1AD039035CF9}">
      <dgm:prSet phldrT="[Text]" custT="1"/>
      <dgm:spPr/>
      <dgm:t>
        <a:bodyPr/>
        <a:lstStyle/>
        <a:p>
          <a:pPr algn="ctr"/>
          <a:r>
            <a:rPr lang="fr-CH" sz="900"/>
            <a:t>European Office</a:t>
          </a:r>
        </a:p>
      </dgm:t>
    </dgm:pt>
    <dgm:pt modelId="{EADC1FF3-DBAE-49C0-A381-657E7C1A2372}" type="parTrans" cxnId="{3CF1A039-1701-42DC-873C-3E124D9D10B6}">
      <dgm:prSet/>
      <dgm:spPr/>
      <dgm:t>
        <a:bodyPr/>
        <a:lstStyle/>
        <a:p>
          <a:pPr algn="ctr"/>
          <a:endParaRPr lang="fr-CH"/>
        </a:p>
      </dgm:t>
    </dgm:pt>
    <dgm:pt modelId="{25FBC350-8EE8-45B9-9214-D1C49121FDA2}" type="sibTrans" cxnId="{3CF1A039-1701-42DC-873C-3E124D9D10B6}">
      <dgm:prSet/>
      <dgm:spPr/>
      <dgm:t>
        <a:bodyPr/>
        <a:lstStyle/>
        <a:p>
          <a:pPr algn="ctr"/>
          <a:endParaRPr lang="fr-CH"/>
        </a:p>
      </dgm:t>
    </dgm:pt>
    <dgm:pt modelId="{7D6F0DD1-9A79-4F62-8AD7-3EDDC69B447D}">
      <dgm:prSet phldrT="[Text]" custT="1"/>
      <dgm:spPr/>
      <dgm:t>
        <a:bodyPr/>
        <a:lstStyle/>
        <a:p>
          <a:pPr algn="ctr"/>
          <a:r>
            <a:rPr lang="fr-CH" sz="1200" b="1"/>
            <a:t>World Bank governance, 1974</a:t>
          </a:r>
        </a:p>
      </dgm:t>
    </dgm:pt>
    <dgm:pt modelId="{D7B40607-DFE4-4676-850E-EBE16F6D7EAD}" type="parTrans" cxnId="{469EF1DB-1D08-4F2A-8635-41A9522ACBE8}">
      <dgm:prSet/>
      <dgm:spPr/>
      <dgm:t>
        <a:bodyPr/>
        <a:lstStyle/>
        <a:p>
          <a:pPr algn="ctr"/>
          <a:endParaRPr lang="en-GB"/>
        </a:p>
      </dgm:t>
    </dgm:pt>
    <dgm:pt modelId="{0CC7871F-8475-42FB-B5B5-0317F1DB2DC7}" type="sibTrans" cxnId="{469EF1DB-1D08-4F2A-8635-41A9522ACBE8}">
      <dgm:prSet/>
      <dgm:spPr/>
      <dgm:t>
        <a:bodyPr/>
        <a:lstStyle/>
        <a:p>
          <a:pPr algn="ctr"/>
          <a:endParaRPr lang="en-GB"/>
        </a:p>
      </dgm:t>
    </dgm:pt>
    <dgm:pt modelId="{24CF89FA-C85C-4ED3-B662-034FC8C0643E}" type="pres">
      <dgm:prSet presAssocID="{169DB8CF-F7DE-4455-8E7D-43E86079535F}" presName="hierChild1" presStyleCnt="0">
        <dgm:presLayoutVars>
          <dgm:orgChart val="1"/>
          <dgm:chPref val="1"/>
          <dgm:dir/>
          <dgm:animOne val="branch"/>
          <dgm:animLvl val="lvl"/>
          <dgm:resizeHandles/>
        </dgm:presLayoutVars>
      </dgm:prSet>
      <dgm:spPr/>
      <dgm:t>
        <a:bodyPr/>
        <a:lstStyle/>
        <a:p>
          <a:endParaRPr lang="en-US"/>
        </a:p>
      </dgm:t>
    </dgm:pt>
    <dgm:pt modelId="{28F0C9CF-CC30-490A-BBD1-DF3306BDEDEC}" type="pres">
      <dgm:prSet presAssocID="{7D6F0DD1-9A79-4F62-8AD7-3EDDC69B447D}" presName="hierRoot1" presStyleCnt="0">
        <dgm:presLayoutVars>
          <dgm:hierBranch val="init"/>
        </dgm:presLayoutVars>
      </dgm:prSet>
      <dgm:spPr/>
    </dgm:pt>
    <dgm:pt modelId="{904339F3-5DFA-4D6F-910C-09298F874BA5}" type="pres">
      <dgm:prSet presAssocID="{7D6F0DD1-9A79-4F62-8AD7-3EDDC69B447D}" presName="rootComposite1" presStyleCnt="0"/>
      <dgm:spPr/>
    </dgm:pt>
    <dgm:pt modelId="{DAEA0156-4E92-4C0E-B2AF-9A145C13569D}" type="pres">
      <dgm:prSet presAssocID="{7D6F0DD1-9A79-4F62-8AD7-3EDDC69B447D}" presName="rootText1" presStyleLbl="node0" presStyleIdx="0" presStyleCnt="4" custScaleX="468114">
        <dgm:presLayoutVars>
          <dgm:chPref val="3"/>
        </dgm:presLayoutVars>
      </dgm:prSet>
      <dgm:spPr/>
      <dgm:t>
        <a:bodyPr/>
        <a:lstStyle/>
        <a:p>
          <a:endParaRPr lang="en-US"/>
        </a:p>
      </dgm:t>
    </dgm:pt>
    <dgm:pt modelId="{D1AA9763-7028-434D-B94F-7F995E9F6636}" type="pres">
      <dgm:prSet presAssocID="{7D6F0DD1-9A79-4F62-8AD7-3EDDC69B447D}" presName="rootConnector1" presStyleLbl="node1" presStyleIdx="0" presStyleCnt="0"/>
      <dgm:spPr/>
      <dgm:t>
        <a:bodyPr/>
        <a:lstStyle/>
        <a:p>
          <a:endParaRPr lang="en-US"/>
        </a:p>
      </dgm:t>
    </dgm:pt>
    <dgm:pt modelId="{B83FAE5F-98F4-4470-99A1-BE61C4E409F2}" type="pres">
      <dgm:prSet presAssocID="{7D6F0DD1-9A79-4F62-8AD7-3EDDC69B447D}" presName="hierChild2" presStyleCnt="0"/>
      <dgm:spPr/>
    </dgm:pt>
    <dgm:pt modelId="{9FE34E37-8D4A-4A2B-B043-68381316566B}" type="pres">
      <dgm:prSet presAssocID="{7D6F0DD1-9A79-4F62-8AD7-3EDDC69B447D}" presName="hierChild3" presStyleCnt="0"/>
      <dgm:spPr/>
    </dgm:pt>
    <dgm:pt modelId="{DA3BDD7B-6F94-4642-9235-EF7F540D8947}" type="pres">
      <dgm:prSet presAssocID="{7A26552F-776B-4D8C-9CEE-25DD21FEEAAC}" presName="hierRoot1" presStyleCnt="0">
        <dgm:presLayoutVars>
          <dgm:hierBranch val="init"/>
        </dgm:presLayoutVars>
      </dgm:prSet>
      <dgm:spPr/>
    </dgm:pt>
    <dgm:pt modelId="{AC2EA94D-BC33-419F-8C8E-5B8E6BF96263}" type="pres">
      <dgm:prSet presAssocID="{7A26552F-776B-4D8C-9CEE-25DD21FEEAAC}" presName="rootComposite1" presStyleCnt="0"/>
      <dgm:spPr/>
    </dgm:pt>
    <dgm:pt modelId="{A57FD8C0-4DA2-4ED4-BA08-8E2D35379ACF}" type="pres">
      <dgm:prSet presAssocID="{7A26552F-776B-4D8C-9CEE-25DD21FEEAAC}" presName="rootText1" presStyleLbl="node0" presStyleIdx="1" presStyleCnt="4" custScaleX="185363" custScaleY="95693" custLinFactNeighborX="-2076" custLinFactNeighborY="-4118">
        <dgm:presLayoutVars>
          <dgm:chPref val="3"/>
        </dgm:presLayoutVars>
      </dgm:prSet>
      <dgm:spPr/>
      <dgm:t>
        <a:bodyPr/>
        <a:lstStyle/>
        <a:p>
          <a:endParaRPr lang="en-US"/>
        </a:p>
      </dgm:t>
    </dgm:pt>
    <dgm:pt modelId="{896AF813-4488-4B34-8987-143649A410A1}" type="pres">
      <dgm:prSet presAssocID="{7A26552F-776B-4D8C-9CEE-25DD21FEEAAC}" presName="rootConnector1" presStyleLbl="node1" presStyleIdx="0" presStyleCnt="0"/>
      <dgm:spPr/>
      <dgm:t>
        <a:bodyPr/>
        <a:lstStyle/>
        <a:p>
          <a:endParaRPr lang="en-US"/>
        </a:p>
      </dgm:t>
    </dgm:pt>
    <dgm:pt modelId="{5055FC6E-5A48-4350-8E9A-1A6B4C2DF32A}" type="pres">
      <dgm:prSet presAssocID="{7A26552F-776B-4D8C-9CEE-25DD21FEEAAC}" presName="hierChild2" presStyleCnt="0"/>
      <dgm:spPr/>
    </dgm:pt>
    <dgm:pt modelId="{36C16CAE-F42F-401E-8BC9-741BF3793355}" type="pres">
      <dgm:prSet presAssocID="{7A26552F-776B-4D8C-9CEE-25DD21FEEAAC}" presName="hierChild3" presStyleCnt="0"/>
      <dgm:spPr/>
    </dgm:pt>
    <dgm:pt modelId="{3269DDFD-FC2D-4083-8F5D-60E406D155BD}" type="pres">
      <dgm:prSet presAssocID="{06582A8D-D22C-4DCC-90FD-720881C96886}" presName="hierRoot1" presStyleCnt="0">
        <dgm:presLayoutVars>
          <dgm:hierBranch val="init"/>
        </dgm:presLayoutVars>
      </dgm:prSet>
      <dgm:spPr/>
    </dgm:pt>
    <dgm:pt modelId="{5793BDC1-3960-451B-8B7E-8D6363963165}" type="pres">
      <dgm:prSet presAssocID="{06582A8D-D22C-4DCC-90FD-720881C96886}" presName="rootComposite1" presStyleCnt="0"/>
      <dgm:spPr/>
    </dgm:pt>
    <dgm:pt modelId="{B4AA179A-838B-46CB-837C-393B91356768}" type="pres">
      <dgm:prSet presAssocID="{06582A8D-D22C-4DCC-90FD-720881C96886}" presName="rootText1" presStyleLbl="node0" presStyleIdx="2" presStyleCnt="4" custScaleX="176397" custScaleY="101385" custLinFactNeighborX="-818" custLinFactNeighborY="-5228">
        <dgm:presLayoutVars>
          <dgm:chPref val="3"/>
        </dgm:presLayoutVars>
      </dgm:prSet>
      <dgm:spPr/>
      <dgm:t>
        <a:bodyPr/>
        <a:lstStyle/>
        <a:p>
          <a:endParaRPr lang="en-US"/>
        </a:p>
      </dgm:t>
    </dgm:pt>
    <dgm:pt modelId="{B74D5B61-55AD-4B5C-902C-23841A227AC0}" type="pres">
      <dgm:prSet presAssocID="{06582A8D-D22C-4DCC-90FD-720881C96886}" presName="rootConnector1" presStyleLbl="node1" presStyleIdx="0" presStyleCnt="0"/>
      <dgm:spPr/>
      <dgm:t>
        <a:bodyPr/>
        <a:lstStyle/>
        <a:p>
          <a:endParaRPr lang="en-US"/>
        </a:p>
      </dgm:t>
    </dgm:pt>
    <dgm:pt modelId="{4B2519E4-7A74-4FBF-92F4-80C393E144BC}" type="pres">
      <dgm:prSet presAssocID="{06582A8D-D22C-4DCC-90FD-720881C96886}" presName="hierChild2" presStyleCnt="0"/>
      <dgm:spPr/>
    </dgm:pt>
    <dgm:pt modelId="{5C7AD0CF-9783-4A89-9ECD-8F657A072138}" type="pres">
      <dgm:prSet presAssocID="{06582A8D-D22C-4DCC-90FD-720881C96886}" presName="hierChild3" presStyleCnt="0"/>
      <dgm:spPr/>
    </dgm:pt>
    <dgm:pt modelId="{77CE714F-EB7B-486A-BFBA-7E2C4E764F54}" type="pres">
      <dgm:prSet presAssocID="{1C883CFC-D379-47C6-91CA-71401CB287CC}" presName="hierRoot1" presStyleCnt="0">
        <dgm:presLayoutVars>
          <dgm:hierBranch val="init"/>
        </dgm:presLayoutVars>
      </dgm:prSet>
      <dgm:spPr/>
    </dgm:pt>
    <dgm:pt modelId="{C2A11C06-C27C-40A4-8691-6922F826A97B}" type="pres">
      <dgm:prSet presAssocID="{1C883CFC-D379-47C6-91CA-71401CB287CC}" presName="rootComposite1" presStyleCnt="0"/>
      <dgm:spPr/>
    </dgm:pt>
    <dgm:pt modelId="{7474C64F-F3D4-4617-99E1-F32B43144C36}" type="pres">
      <dgm:prSet presAssocID="{1C883CFC-D379-47C6-91CA-71401CB287CC}" presName="rootText1" presStyleLbl="node0" presStyleIdx="3" presStyleCnt="4" custScaleX="69800" custScaleY="104988" custLinFactY="-100000" custLinFactNeighborX="3765" custLinFactNeighborY="-160057">
        <dgm:presLayoutVars>
          <dgm:chPref val="3"/>
        </dgm:presLayoutVars>
      </dgm:prSet>
      <dgm:spPr/>
      <dgm:t>
        <a:bodyPr/>
        <a:lstStyle/>
        <a:p>
          <a:endParaRPr lang="en-US"/>
        </a:p>
      </dgm:t>
    </dgm:pt>
    <dgm:pt modelId="{4BA97711-1D24-4B12-9947-43F032A7F234}" type="pres">
      <dgm:prSet presAssocID="{1C883CFC-D379-47C6-91CA-71401CB287CC}" presName="rootConnector1" presStyleLbl="node1" presStyleIdx="0" presStyleCnt="0"/>
      <dgm:spPr/>
      <dgm:t>
        <a:bodyPr/>
        <a:lstStyle/>
        <a:p>
          <a:endParaRPr lang="en-US"/>
        </a:p>
      </dgm:t>
    </dgm:pt>
    <dgm:pt modelId="{491162A1-D52A-4141-8CCC-B68599E0DCAE}" type="pres">
      <dgm:prSet presAssocID="{1C883CFC-D379-47C6-91CA-71401CB287CC}" presName="hierChild2" presStyleCnt="0"/>
      <dgm:spPr/>
    </dgm:pt>
    <dgm:pt modelId="{8FB7DF26-94F1-473B-91C2-FC72C39CC9B6}" type="pres">
      <dgm:prSet presAssocID="{0722BBFA-71B1-4E5C-94FF-0C0457A116D6}" presName="Name64" presStyleLbl="parChTrans1D2" presStyleIdx="0" presStyleCnt="7"/>
      <dgm:spPr/>
      <dgm:t>
        <a:bodyPr/>
        <a:lstStyle/>
        <a:p>
          <a:endParaRPr lang="en-US"/>
        </a:p>
      </dgm:t>
    </dgm:pt>
    <dgm:pt modelId="{C1D4BF1F-8994-4241-992F-DFD40DF12CBA}" type="pres">
      <dgm:prSet presAssocID="{D668721C-61DC-4361-AC82-4B213134CB9A}" presName="hierRoot2" presStyleCnt="0">
        <dgm:presLayoutVars>
          <dgm:hierBranch val="init"/>
        </dgm:presLayoutVars>
      </dgm:prSet>
      <dgm:spPr/>
    </dgm:pt>
    <dgm:pt modelId="{6ABA61F4-FF3A-44C7-A642-6352FD48134E}" type="pres">
      <dgm:prSet presAssocID="{D668721C-61DC-4361-AC82-4B213134CB9A}" presName="rootComposite" presStyleCnt="0"/>
      <dgm:spPr/>
    </dgm:pt>
    <dgm:pt modelId="{7ABB9496-7179-433E-BE54-AA118BA165FC}" type="pres">
      <dgm:prSet presAssocID="{D668721C-61DC-4361-AC82-4B213134CB9A}" presName="rootText" presStyleLbl="node2" presStyleIdx="0" presStyleCnt="7">
        <dgm:presLayoutVars>
          <dgm:chPref val="3"/>
        </dgm:presLayoutVars>
      </dgm:prSet>
      <dgm:spPr/>
      <dgm:t>
        <a:bodyPr/>
        <a:lstStyle/>
        <a:p>
          <a:endParaRPr lang="en-US"/>
        </a:p>
      </dgm:t>
    </dgm:pt>
    <dgm:pt modelId="{D0DBF6D6-A102-4D81-95E7-2A1A40EF51B4}" type="pres">
      <dgm:prSet presAssocID="{D668721C-61DC-4361-AC82-4B213134CB9A}" presName="rootConnector" presStyleLbl="node2" presStyleIdx="0" presStyleCnt="7"/>
      <dgm:spPr/>
      <dgm:t>
        <a:bodyPr/>
        <a:lstStyle/>
        <a:p>
          <a:endParaRPr lang="en-US"/>
        </a:p>
      </dgm:t>
    </dgm:pt>
    <dgm:pt modelId="{2E0C3B5C-9B22-48DD-A4AD-29FC3760DD3C}" type="pres">
      <dgm:prSet presAssocID="{D668721C-61DC-4361-AC82-4B213134CB9A}" presName="hierChild4" presStyleCnt="0"/>
      <dgm:spPr/>
    </dgm:pt>
    <dgm:pt modelId="{2B97D1FB-0DDB-4CA1-8B58-C12AC31C93C0}" type="pres">
      <dgm:prSet presAssocID="{3CBF6A4C-AAA7-457B-8195-01F10B5F9017}" presName="Name64" presStyleLbl="parChTrans1D3" presStyleIdx="0" presStyleCnt="9"/>
      <dgm:spPr/>
      <dgm:t>
        <a:bodyPr/>
        <a:lstStyle/>
        <a:p>
          <a:endParaRPr lang="en-US"/>
        </a:p>
      </dgm:t>
    </dgm:pt>
    <dgm:pt modelId="{D9E97DB3-70D3-47E4-BC75-605AE57F5E62}" type="pres">
      <dgm:prSet presAssocID="{AA3C9250-957D-4E96-9FBA-F35A68D69CA5}" presName="hierRoot2" presStyleCnt="0">
        <dgm:presLayoutVars>
          <dgm:hierBranch val="init"/>
        </dgm:presLayoutVars>
      </dgm:prSet>
      <dgm:spPr/>
    </dgm:pt>
    <dgm:pt modelId="{00F7766B-A049-4CCF-B14B-05A0759EF5F5}" type="pres">
      <dgm:prSet presAssocID="{AA3C9250-957D-4E96-9FBA-F35A68D69CA5}" presName="rootComposite" presStyleCnt="0"/>
      <dgm:spPr/>
    </dgm:pt>
    <dgm:pt modelId="{FCD0F5F6-2FB2-4258-9641-421C803F64C3}" type="pres">
      <dgm:prSet presAssocID="{AA3C9250-957D-4E96-9FBA-F35A68D69CA5}" presName="rootText" presStyleLbl="node3" presStyleIdx="0" presStyleCnt="9">
        <dgm:presLayoutVars>
          <dgm:chPref val="3"/>
        </dgm:presLayoutVars>
      </dgm:prSet>
      <dgm:spPr/>
      <dgm:t>
        <a:bodyPr/>
        <a:lstStyle/>
        <a:p>
          <a:endParaRPr lang="en-US"/>
        </a:p>
      </dgm:t>
    </dgm:pt>
    <dgm:pt modelId="{5E810AB2-EC29-47F3-AEB1-C31D0500A728}" type="pres">
      <dgm:prSet presAssocID="{AA3C9250-957D-4E96-9FBA-F35A68D69CA5}" presName="rootConnector" presStyleLbl="node3" presStyleIdx="0" presStyleCnt="9"/>
      <dgm:spPr/>
      <dgm:t>
        <a:bodyPr/>
        <a:lstStyle/>
        <a:p>
          <a:endParaRPr lang="en-US"/>
        </a:p>
      </dgm:t>
    </dgm:pt>
    <dgm:pt modelId="{8DF5C803-0C1B-45F8-8D63-C150FF833BEB}" type="pres">
      <dgm:prSet presAssocID="{AA3C9250-957D-4E96-9FBA-F35A68D69CA5}" presName="hierChild4" presStyleCnt="0"/>
      <dgm:spPr/>
    </dgm:pt>
    <dgm:pt modelId="{2AEB6F31-0372-4F38-B59E-EC4A4F755323}" type="pres">
      <dgm:prSet presAssocID="{AA3C9250-957D-4E96-9FBA-F35A68D69CA5}" presName="hierChild5" presStyleCnt="0"/>
      <dgm:spPr/>
    </dgm:pt>
    <dgm:pt modelId="{E114FE5C-A8F5-4F3E-81FF-48DA14E6D140}" type="pres">
      <dgm:prSet presAssocID="{619C3A6C-D860-4AB5-9585-513E23EF09B1}" presName="Name64" presStyleLbl="parChTrans1D3" presStyleIdx="1" presStyleCnt="9"/>
      <dgm:spPr/>
      <dgm:t>
        <a:bodyPr/>
        <a:lstStyle/>
        <a:p>
          <a:endParaRPr lang="en-US"/>
        </a:p>
      </dgm:t>
    </dgm:pt>
    <dgm:pt modelId="{0BB098C6-6409-4320-8857-5B4277CF3B4B}" type="pres">
      <dgm:prSet presAssocID="{9F4506BE-8F3E-4B56-8B65-6F060A9DF9D3}" presName="hierRoot2" presStyleCnt="0">
        <dgm:presLayoutVars>
          <dgm:hierBranch val="init"/>
        </dgm:presLayoutVars>
      </dgm:prSet>
      <dgm:spPr/>
    </dgm:pt>
    <dgm:pt modelId="{709A4DFE-15C1-4943-B020-99BEAA1C7281}" type="pres">
      <dgm:prSet presAssocID="{9F4506BE-8F3E-4B56-8B65-6F060A9DF9D3}" presName="rootComposite" presStyleCnt="0"/>
      <dgm:spPr/>
    </dgm:pt>
    <dgm:pt modelId="{B84A46DC-014D-44A9-A435-7FBB638C2D46}" type="pres">
      <dgm:prSet presAssocID="{9F4506BE-8F3E-4B56-8B65-6F060A9DF9D3}" presName="rootText" presStyleLbl="node3" presStyleIdx="1" presStyleCnt="9">
        <dgm:presLayoutVars>
          <dgm:chPref val="3"/>
        </dgm:presLayoutVars>
      </dgm:prSet>
      <dgm:spPr/>
      <dgm:t>
        <a:bodyPr/>
        <a:lstStyle/>
        <a:p>
          <a:endParaRPr lang="en-US"/>
        </a:p>
      </dgm:t>
    </dgm:pt>
    <dgm:pt modelId="{9C047A81-39B5-42E9-9953-1B09011389A3}" type="pres">
      <dgm:prSet presAssocID="{9F4506BE-8F3E-4B56-8B65-6F060A9DF9D3}" presName="rootConnector" presStyleLbl="node3" presStyleIdx="1" presStyleCnt="9"/>
      <dgm:spPr/>
      <dgm:t>
        <a:bodyPr/>
        <a:lstStyle/>
        <a:p>
          <a:endParaRPr lang="en-US"/>
        </a:p>
      </dgm:t>
    </dgm:pt>
    <dgm:pt modelId="{BFAE2354-54E5-439D-93FF-916FF2B258C3}" type="pres">
      <dgm:prSet presAssocID="{9F4506BE-8F3E-4B56-8B65-6F060A9DF9D3}" presName="hierChild4" presStyleCnt="0"/>
      <dgm:spPr/>
    </dgm:pt>
    <dgm:pt modelId="{21BA336D-1690-4BFB-8218-2D11260514A4}" type="pres">
      <dgm:prSet presAssocID="{9F4506BE-8F3E-4B56-8B65-6F060A9DF9D3}" presName="hierChild5" presStyleCnt="0"/>
      <dgm:spPr/>
    </dgm:pt>
    <dgm:pt modelId="{8DBCCFC9-0D57-410D-9622-8E377354D04E}" type="pres">
      <dgm:prSet presAssocID="{D07BD4C7-505E-4B38-BDF3-D9405F73D623}" presName="Name64" presStyleLbl="parChTrans1D3" presStyleIdx="2" presStyleCnt="9"/>
      <dgm:spPr/>
      <dgm:t>
        <a:bodyPr/>
        <a:lstStyle/>
        <a:p>
          <a:endParaRPr lang="en-US"/>
        </a:p>
      </dgm:t>
    </dgm:pt>
    <dgm:pt modelId="{179D44FE-000D-491C-934D-B29D01DF2629}" type="pres">
      <dgm:prSet presAssocID="{D5E36A28-99B6-4FC0-9070-7ED02FC29250}" presName="hierRoot2" presStyleCnt="0">
        <dgm:presLayoutVars>
          <dgm:hierBranch val="init"/>
        </dgm:presLayoutVars>
      </dgm:prSet>
      <dgm:spPr/>
    </dgm:pt>
    <dgm:pt modelId="{1E404F0A-C680-458C-B18A-0AFCD0547F0A}" type="pres">
      <dgm:prSet presAssocID="{D5E36A28-99B6-4FC0-9070-7ED02FC29250}" presName="rootComposite" presStyleCnt="0"/>
      <dgm:spPr/>
    </dgm:pt>
    <dgm:pt modelId="{8909094D-14E7-4B59-BD58-63DBAC7704C8}" type="pres">
      <dgm:prSet presAssocID="{D5E36A28-99B6-4FC0-9070-7ED02FC29250}" presName="rootText" presStyleLbl="node3" presStyleIdx="2" presStyleCnt="9">
        <dgm:presLayoutVars>
          <dgm:chPref val="3"/>
        </dgm:presLayoutVars>
      </dgm:prSet>
      <dgm:spPr/>
      <dgm:t>
        <a:bodyPr/>
        <a:lstStyle/>
        <a:p>
          <a:endParaRPr lang="en-US"/>
        </a:p>
      </dgm:t>
    </dgm:pt>
    <dgm:pt modelId="{6A042EA3-8716-49DA-93C0-912149C23394}" type="pres">
      <dgm:prSet presAssocID="{D5E36A28-99B6-4FC0-9070-7ED02FC29250}" presName="rootConnector" presStyleLbl="node3" presStyleIdx="2" presStyleCnt="9"/>
      <dgm:spPr/>
      <dgm:t>
        <a:bodyPr/>
        <a:lstStyle/>
        <a:p>
          <a:endParaRPr lang="en-US"/>
        </a:p>
      </dgm:t>
    </dgm:pt>
    <dgm:pt modelId="{60DB3516-D486-42A3-ADEE-8BB4D782882D}" type="pres">
      <dgm:prSet presAssocID="{D5E36A28-99B6-4FC0-9070-7ED02FC29250}" presName="hierChild4" presStyleCnt="0"/>
      <dgm:spPr/>
    </dgm:pt>
    <dgm:pt modelId="{9C74335F-F3A3-499E-A007-CC6E32BAC2D3}" type="pres">
      <dgm:prSet presAssocID="{D835EDB0-9CB2-42E7-867B-C4ECAF462EDB}" presName="Name64" presStyleLbl="parChTrans1D4" presStyleIdx="0" presStyleCnt="3"/>
      <dgm:spPr/>
      <dgm:t>
        <a:bodyPr/>
        <a:lstStyle/>
        <a:p>
          <a:endParaRPr lang="en-US"/>
        </a:p>
      </dgm:t>
    </dgm:pt>
    <dgm:pt modelId="{AC92FA24-619D-4A48-B208-71574E2BB1C4}" type="pres">
      <dgm:prSet presAssocID="{43AB1B5A-297D-4CA4-BA31-314C89D8E4E0}" presName="hierRoot2" presStyleCnt="0">
        <dgm:presLayoutVars>
          <dgm:hierBranch val="init"/>
        </dgm:presLayoutVars>
      </dgm:prSet>
      <dgm:spPr/>
    </dgm:pt>
    <dgm:pt modelId="{50927FE7-F1E1-4B49-BC22-0D008E881ED0}" type="pres">
      <dgm:prSet presAssocID="{43AB1B5A-297D-4CA4-BA31-314C89D8E4E0}" presName="rootComposite" presStyleCnt="0"/>
      <dgm:spPr/>
    </dgm:pt>
    <dgm:pt modelId="{DBBB1DD9-1DAA-42F3-880F-160159515FE0}" type="pres">
      <dgm:prSet presAssocID="{43AB1B5A-297D-4CA4-BA31-314C89D8E4E0}" presName="rootText" presStyleLbl="node4" presStyleIdx="0" presStyleCnt="3">
        <dgm:presLayoutVars>
          <dgm:chPref val="3"/>
        </dgm:presLayoutVars>
      </dgm:prSet>
      <dgm:spPr/>
      <dgm:t>
        <a:bodyPr/>
        <a:lstStyle/>
        <a:p>
          <a:endParaRPr lang="en-US"/>
        </a:p>
      </dgm:t>
    </dgm:pt>
    <dgm:pt modelId="{4F05C935-0E39-41DE-936B-E1A8193718FB}" type="pres">
      <dgm:prSet presAssocID="{43AB1B5A-297D-4CA4-BA31-314C89D8E4E0}" presName="rootConnector" presStyleLbl="node4" presStyleIdx="0" presStyleCnt="3"/>
      <dgm:spPr/>
      <dgm:t>
        <a:bodyPr/>
        <a:lstStyle/>
        <a:p>
          <a:endParaRPr lang="en-US"/>
        </a:p>
      </dgm:t>
    </dgm:pt>
    <dgm:pt modelId="{81132845-A8D1-4D01-BAEC-382FAD05734B}" type="pres">
      <dgm:prSet presAssocID="{43AB1B5A-297D-4CA4-BA31-314C89D8E4E0}" presName="hierChild4" presStyleCnt="0"/>
      <dgm:spPr/>
    </dgm:pt>
    <dgm:pt modelId="{DB2E7033-8B6B-4752-AF0B-D264D8E3EC20}" type="pres">
      <dgm:prSet presAssocID="{43AB1B5A-297D-4CA4-BA31-314C89D8E4E0}" presName="hierChild5" presStyleCnt="0"/>
      <dgm:spPr/>
    </dgm:pt>
    <dgm:pt modelId="{468C2440-19A1-453B-80DF-543A8590892D}" type="pres">
      <dgm:prSet presAssocID="{DD753F1C-638B-47BD-8886-0AE272FD6A1A}" presName="Name64" presStyleLbl="parChTrans1D4" presStyleIdx="1" presStyleCnt="3"/>
      <dgm:spPr/>
      <dgm:t>
        <a:bodyPr/>
        <a:lstStyle/>
        <a:p>
          <a:endParaRPr lang="en-US"/>
        </a:p>
      </dgm:t>
    </dgm:pt>
    <dgm:pt modelId="{D869675C-BEE4-40DC-8B22-A93B0BE4A623}" type="pres">
      <dgm:prSet presAssocID="{5295C353-352C-476C-B51F-1BD002154315}" presName="hierRoot2" presStyleCnt="0">
        <dgm:presLayoutVars>
          <dgm:hierBranch val="init"/>
        </dgm:presLayoutVars>
      </dgm:prSet>
      <dgm:spPr/>
    </dgm:pt>
    <dgm:pt modelId="{1F3F7F87-8DEC-47CB-974D-28FE3324A3DB}" type="pres">
      <dgm:prSet presAssocID="{5295C353-352C-476C-B51F-1BD002154315}" presName="rootComposite" presStyleCnt="0"/>
      <dgm:spPr/>
    </dgm:pt>
    <dgm:pt modelId="{6D24DB05-3AF8-4695-9441-986E3247FEA0}" type="pres">
      <dgm:prSet presAssocID="{5295C353-352C-476C-B51F-1BD002154315}" presName="rootText" presStyleLbl="node4" presStyleIdx="1" presStyleCnt="3">
        <dgm:presLayoutVars>
          <dgm:chPref val="3"/>
        </dgm:presLayoutVars>
      </dgm:prSet>
      <dgm:spPr/>
      <dgm:t>
        <a:bodyPr/>
        <a:lstStyle/>
        <a:p>
          <a:endParaRPr lang="en-US"/>
        </a:p>
      </dgm:t>
    </dgm:pt>
    <dgm:pt modelId="{5F65BD8A-F557-486F-8363-48B85324CF5A}" type="pres">
      <dgm:prSet presAssocID="{5295C353-352C-476C-B51F-1BD002154315}" presName="rootConnector" presStyleLbl="node4" presStyleIdx="1" presStyleCnt="3"/>
      <dgm:spPr/>
      <dgm:t>
        <a:bodyPr/>
        <a:lstStyle/>
        <a:p>
          <a:endParaRPr lang="en-US"/>
        </a:p>
      </dgm:t>
    </dgm:pt>
    <dgm:pt modelId="{D04964F4-767D-44D6-8756-CA31518DC4E2}" type="pres">
      <dgm:prSet presAssocID="{5295C353-352C-476C-B51F-1BD002154315}" presName="hierChild4" presStyleCnt="0"/>
      <dgm:spPr/>
    </dgm:pt>
    <dgm:pt modelId="{A180ECA6-2849-4525-86FC-A02278E4163B}" type="pres">
      <dgm:prSet presAssocID="{5295C353-352C-476C-B51F-1BD002154315}" presName="hierChild5" presStyleCnt="0"/>
      <dgm:spPr/>
    </dgm:pt>
    <dgm:pt modelId="{598C75D8-1D1D-42A5-92AC-4096CF3E6E35}" type="pres">
      <dgm:prSet presAssocID="{D0987B24-62F3-4598-A87C-A9EF6774101B}" presName="Name64" presStyleLbl="parChTrans1D4" presStyleIdx="2" presStyleCnt="3"/>
      <dgm:spPr/>
      <dgm:t>
        <a:bodyPr/>
        <a:lstStyle/>
        <a:p>
          <a:endParaRPr lang="en-US"/>
        </a:p>
      </dgm:t>
    </dgm:pt>
    <dgm:pt modelId="{3F130E00-B761-41A6-8C58-BEC45C8A3F4F}" type="pres">
      <dgm:prSet presAssocID="{36ADB002-E3F4-435F-8C08-13843DA5A1B0}" presName="hierRoot2" presStyleCnt="0">
        <dgm:presLayoutVars>
          <dgm:hierBranch val="init"/>
        </dgm:presLayoutVars>
      </dgm:prSet>
      <dgm:spPr/>
    </dgm:pt>
    <dgm:pt modelId="{7197E586-E0FF-462F-9ACD-DB5503F26681}" type="pres">
      <dgm:prSet presAssocID="{36ADB002-E3F4-435F-8C08-13843DA5A1B0}" presName="rootComposite" presStyleCnt="0"/>
      <dgm:spPr/>
    </dgm:pt>
    <dgm:pt modelId="{5EA6F373-B08B-43BA-98BE-A4DC43113878}" type="pres">
      <dgm:prSet presAssocID="{36ADB002-E3F4-435F-8C08-13843DA5A1B0}" presName="rootText" presStyleLbl="node4" presStyleIdx="2" presStyleCnt="3">
        <dgm:presLayoutVars>
          <dgm:chPref val="3"/>
        </dgm:presLayoutVars>
      </dgm:prSet>
      <dgm:spPr/>
      <dgm:t>
        <a:bodyPr/>
        <a:lstStyle/>
        <a:p>
          <a:endParaRPr lang="en-US"/>
        </a:p>
      </dgm:t>
    </dgm:pt>
    <dgm:pt modelId="{24732936-6C53-4998-809C-9742E1254D26}" type="pres">
      <dgm:prSet presAssocID="{36ADB002-E3F4-435F-8C08-13843DA5A1B0}" presName="rootConnector" presStyleLbl="node4" presStyleIdx="2" presStyleCnt="3"/>
      <dgm:spPr/>
      <dgm:t>
        <a:bodyPr/>
        <a:lstStyle/>
        <a:p>
          <a:endParaRPr lang="en-US"/>
        </a:p>
      </dgm:t>
    </dgm:pt>
    <dgm:pt modelId="{749B8C93-DA64-491B-88FA-DE12D3615FE5}" type="pres">
      <dgm:prSet presAssocID="{36ADB002-E3F4-435F-8C08-13843DA5A1B0}" presName="hierChild4" presStyleCnt="0"/>
      <dgm:spPr/>
    </dgm:pt>
    <dgm:pt modelId="{063B85A7-78A3-41EE-8FCF-F355F84BD619}" type="pres">
      <dgm:prSet presAssocID="{36ADB002-E3F4-435F-8C08-13843DA5A1B0}" presName="hierChild5" presStyleCnt="0"/>
      <dgm:spPr/>
    </dgm:pt>
    <dgm:pt modelId="{3053B33E-C6BC-4E59-8942-3B158F033235}" type="pres">
      <dgm:prSet presAssocID="{D5E36A28-99B6-4FC0-9070-7ED02FC29250}" presName="hierChild5" presStyleCnt="0"/>
      <dgm:spPr/>
    </dgm:pt>
    <dgm:pt modelId="{D5357351-A9EE-4C88-AF2E-B84ED0E56048}" type="pres">
      <dgm:prSet presAssocID="{AF5A16E7-274D-47F0-8441-9AB8EAD5BA58}" presName="Name64" presStyleLbl="parChTrans1D3" presStyleIdx="3" presStyleCnt="9"/>
      <dgm:spPr/>
      <dgm:t>
        <a:bodyPr/>
        <a:lstStyle/>
        <a:p>
          <a:endParaRPr lang="en-US"/>
        </a:p>
      </dgm:t>
    </dgm:pt>
    <dgm:pt modelId="{51D79FC8-44C5-4340-A4D8-34627818EB6B}" type="pres">
      <dgm:prSet presAssocID="{225E7B83-25BC-4AF6-BC49-6B15D7D4251C}" presName="hierRoot2" presStyleCnt="0">
        <dgm:presLayoutVars>
          <dgm:hierBranch val="init"/>
        </dgm:presLayoutVars>
      </dgm:prSet>
      <dgm:spPr/>
    </dgm:pt>
    <dgm:pt modelId="{37726F67-475E-4F23-A518-EA4C150FC984}" type="pres">
      <dgm:prSet presAssocID="{225E7B83-25BC-4AF6-BC49-6B15D7D4251C}" presName="rootComposite" presStyleCnt="0"/>
      <dgm:spPr/>
    </dgm:pt>
    <dgm:pt modelId="{E5D07C8D-C74B-4703-B024-68C22C15E953}" type="pres">
      <dgm:prSet presAssocID="{225E7B83-25BC-4AF6-BC49-6B15D7D4251C}" presName="rootText" presStyleLbl="node3" presStyleIdx="3" presStyleCnt="9">
        <dgm:presLayoutVars>
          <dgm:chPref val="3"/>
        </dgm:presLayoutVars>
      </dgm:prSet>
      <dgm:spPr/>
      <dgm:t>
        <a:bodyPr/>
        <a:lstStyle/>
        <a:p>
          <a:endParaRPr lang="en-US"/>
        </a:p>
      </dgm:t>
    </dgm:pt>
    <dgm:pt modelId="{9D2C79AD-8A9B-468E-B0D7-48CC30B8B49F}" type="pres">
      <dgm:prSet presAssocID="{225E7B83-25BC-4AF6-BC49-6B15D7D4251C}" presName="rootConnector" presStyleLbl="node3" presStyleIdx="3" presStyleCnt="9"/>
      <dgm:spPr/>
      <dgm:t>
        <a:bodyPr/>
        <a:lstStyle/>
        <a:p>
          <a:endParaRPr lang="en-US"/>
        </a:p>
      </dgm:t>
    </dgm:pt>
    <dgm:pt modelId="{40D52B6D-556B-4439-9C81-63BCE0019D84}" type="pres">
      <dgm:prSet presAssocID="{225E7B83-25BC-4AF6-BC49-6B15D7D4251C}" presName="hierChild4" presStyleCnt="0"/>
      <dgm:spPr/>
    </dgm:pt>
    <dgm:pt modelId="{A115A980-5FC2-496D-A1F7-66DBF85DF729}" type="pres">
      <dgm:prSet presAssocID="{225E7B83-25BC-4AF6-BC49-6B15D7D4251C}" presName="hierChild5" presStyleCnt="0"/>
      <dgm:spPr/>
    </dgm:pt>
    <dgm:pt modelId="{5A2C961C-D4C7-459A-9F6D-FE2E687AB6BC}" type="pres">
      <dgm:prSet presAssocID="{44E1D15E-C70A-4CCD-85A8-B39C1FD0761C}" presName="Name64" presStyleLbl="parChTrans1D3" presStyleIdx="4" presStyleCnt="9"/>
      <dgm:spPr/>
      <dgm:t>
        <a:bodyPr/>
        <a:lstStyle/>
        <a:p>
          <a:endParaRPr lang="en-US"/>
        </a:p>
      </dgm:t>
    </dgm:pt>
    <dgm:pt modelId="{78D9F9D9-760A-4783-B592-F472BA2E2F3D}" type="pres">
      <dgm:prSet presAssocID="{72D0F7D4-88A2-4ACA-9F54-BCEC289A3E69}" presName="hierRoot2" presStyleCnt="0">
        <dgm:presLayoutVars>
          <dgm:hierBranch val="init"/>
        </dgm:presLayoutVars>
      </dgm:prSet>
      <dgm:spPr/>
    </dgm:pt>
    <dgm:pt modelId="{C527FFAB-D430-47D4-878F-44FC07192E27}" type="pres">
      <dgm:prSet presAssocID="{72D0F7D4-88A2-4ACA-9F54-BCEC289A3E69}" presName="rootComposite" presStyleCnt="0"/>
      <dgm:spPr/>
    </dgm:pt>
    <dgm:pt modelId="{31AC8CB5-8ACB-4234-8CCD-536EBF72B931}" type="pres">
      <dgm:prSet presAssocID="{72D0F7D4-88A2-4ACA-9F54-BCEC289A3E69}" presName="rootText" presStyleLbl="node3" presStyleIdx="4" presStyleCnt="9">
        <dgm:presLayoutVars>
          <dgm:chPref val="3"/>
        </dgm:presLayoutVars>
      </dgm:prSet>
      <dgm:spPr/>
      <dgm:t>
        <a:bodyPr/>
        <a:lstStyle/>
        <a:p>
          <a:endParaRPr lang="en-US"/>
        </a:p>
      </dgm:t>
    </dgm:pt>
    <dgm:pt modelId="{4FAF366C-4DD3-47EC-B84C-013FBEB576D8}" type="pres">
      <dgm:prSet presAssocID="{72D0F7D4-88A2-4ACA-9F54-BCEC289A3E69}" presName="rootConnector" presStyleLbl="node3" presStyleIdx="4" presStyleCnt="9"/>
      <dgm:spPr/>
      <dgm:t>
        <a:bodyPr/>
        <a:lstStyle/>
        <a:p>
          <a:endParaRPr lang="en-US"/>
        </a:p>
      </dgm:t>
    </dgm:pt>
    <dgm:pt modelId="{161E616E-DA1D-4B2E-9363-81AFECCC0BF4}" type="pres">
      <dgm:prSet presAssocID="{72D0F7D4-88A2-4ACA-9F54-BCEC289A3E69}" presName="hierChild4" presStyleCnt="0"/>
      <dgm:spPr/>
    </dgm:pt>
    <dgm:pt modelId="{1311D486-B181-47F3-AA0A-D8A753883DCE}" type="pres">
      <dgm:prSet presAssocID="{72D0F7D4-88A2-4ACA-9F54-BCEC289A3E69}" presName="hierChild5" presStyleCnt="0"/>
      <dgm:spPr/>
    </dgm:pt>
    <dgm:pt modelId="{2DE4D13C-002A-4821-A131-1E213E75A72C}" type="pres">
      <dgm:prSet presAssocID="{0849E6CB-F745-45AE-BAE0-58C68E5E5123}" presName="Name64" presStyleLbl="parChTrans1D3" presStyleIdx="5" presStyleCnt="9"/>
      <dgm:spPr/>
      <dgm:t>
        <a:bodyPr/>
        <a:lstStyle/>
        <a:p>
          <a:endParaRPr lang="en-US"/>
        </a:p>
      </dgm:t>
    </dgm:pt>
    <dgm:pt modelId="{F586FA39-AC61-4693-9490-E3CF67D4DC57}" type="pres">
      <dgm:prSet presAssocID="{7B489007-80AD-4185-A4B7-E66F8EF0A52E}" presName="hierRoot2" presStyleCnt="0">
        <dgm:presLayoutVars>
          <dgm:hierBranch val="init"/>
        </dgm:presLayoutVars>
      </dgm:prSet>
      <dgm:spPr/>
    </dgm:pt>
    <dgm:pt modelId="{7E145C87-7734-429E-BDD4-11A91F7E5379}" type="pres">
      <dgm:prSet presAssocID="{7B489007-80AD-4185-A4B7-E66F8EF0A52E}" presName="rootComposite" presStyleCnt="0"/>
      <dgm:spPr/>
    </dgm:pt>
    <dgm:pt modelId="{7C5517C4-3757-473A-A2AB-C23307A8C026}" type="pres">
      <dgm:prSet presAssocID="{7B489007-80AD-4185-A4B7-E66F8EF0A52E}" presName="rootText" presStyleLbl="node3" presStyleIdx="5" presStyleCnt="9">
        <dgm:presLayoutVars>
          <dgm:chPref val="3"/>
        </dgm:presLayoutVars>
      </dgm:prSet>
      <dgm:spPr/>
      <dgm:t>
        <a:bodyPr/>
        <a:lstStyle/>
        <a:p>
          <a:endParaRPr lang="en-US"/>
        </a:p>
      </dgm:t>
    </dgm:pt>
    <dgm:pt modelId="{8F848BFC-04CC-4971-AC80-A0EFB3406FAB}" type="pres">
      <dgm:prSet presAssocID="{7B489007-80AD-4185-A4B7-E66F8EF0A52E}" presName="rootConnector" presStyleLbl="node3" presStyleIdx="5" presStyleCnt="9"/>
      <dgm:spPr/>
      <dgm:t>
        <a:bodyPr/>
        <a:lstStyle/>
        <a:p>
          <a:endParaRPr lang="en-US"/>
        </a:p>
      </dgm:t>
    </dgm:pt>
    <dgm:pt modelId="{C38B9FFD-2399-49D1-8AF4-1768EAFBBBB3}" type="pres">
      <dgm:prSet presAssocID="{7B489007-80AD-4185-A4B7-E66F8EF0A52E}" presName="hierChild4" presStyleCnt="0"/>
      <dgm:spPr/>
    </dgm:pt>
    <dgm:pt modelId="{3D535D68-42FC-4AD6-8E3B-7E90CBE4A9AB}" type="pres">
      <dgm:prSet presAssocID="{7B489007-80AD-4185-A4B7-E66F8EF0A52E}" presName="hierChild5" presStyleCnt="0"/>
      <dgm:spPr/>
    </dgm:pt>
    <dgm:pt modelId="{2B67057C-6138-4DA4-AF77-4585862FC2BE}" type="pres">
      <dgm:prSet presAssocID="{D668721C-61DC-4361-AC82-4B213134CB9A}" presName="hierChild5" presStyleCnt="0"/>
      <dgm:spPr/>
    </dgm:pt>
    <dgm:pt modelId="{0B014F54-7F96-4874-8A15-16D1E730A64E}" type="pres">
      <dgm:prSet presAssocID="{0CADAFAF-B632-427F-B53D-9D97B98BBC5F}" presName="Name64" presStyleLbl="parChTrans1D2" presStyleIdx="1" presStyleCnt="7"/>
      <dgm:spPr/>
      <dgm:t>
        <a:bodyPr/>
        <a:lstStyle/>
        <a:p>
          <a:endParaRPr lang="en-US"/>
        </a:p>
      </dgm:t>
    </dgm:pt>
    <dgm:pt modelId="{F10A37C5-6D1C-4E42-849D-8EE113B85781}" type="pres">
      <dgm:prSet presAssocID="{C86F1F34-ED01-45D4-AE7D-8EF8AB8D6684}" presName="hierRoot2" presStyleCnt="0">
        <dgm:presLayoutVars>
          <dgm:hierBranch val="init"/>
        </dgm:presLayoutVars>
      </dgm:prSet>
      <dgm:spPr/>
    </dgm:pt>
    <dgm:pt modelId="{7B5A06CE-FCC0-4AA5-B466-A6E2185C7F15}" type="pres">
      <dgm:prSet presAssocID="{C86F1F34-ED01-45D4-AE7D-8EF8AB8D6684}" presName="rootComposite" presStyleCnt="0"/>
      <dgm:spPr/>
    </dgm:pt>
    <dgm:pt modelId="{97803CDD-1BB4-4967-AE3C-FE8FE0B88C86}" type="pres">
      <dgm:prSet presAssocID="{C86F1F34-ED01-45D4-AE7D-8EF8AB8D6684}" presName="rootText" presStyleLbl="node2" presStyleIdx="1" presStyleCnt="7">
        <dgm:presLayoutVars>
          <dgm:chPref val="3"/>
        </dgm:presLayoutVars>
      </dgm:prSet>
      <dgm:spPr/>
      <dgm:t>
        <a:bodyPr/>
        <a:lstStyle/>
        <a:p>
          <a:endParaRPr lang="en-US"/>
        </a:p>
      </dgm:t>
    </dgm:pt>
    <dgm:pt modelId="{7DD676B3-DDB5-42A6-9CC2-DB4D82FB445E}" type="pres">
      <dgm:prSet presAssocID="{C86F1F34-ED01-45D4-AE7D-8EF8AB8D6684}" presName="rootConnector" presStyleLbl="node2" presStyleIdx="1" presStyleCnt="7"/>
      <dgm:spPr/>
      <dgm:t>
        <a:bodyPr/>
        <a:lstStyle/>
        <a:p>
          <a:endParaRPr lang="en-US"/>
        </a:p>
      </dgm:t>
    </dgm:pt>
    <dgm:pt modelId="{599EBB4E-4735-41B1-BF9A-51CCEE3C9C74}" type="pres">
      <dgm:prSet presAssocID="{C86F1F34-ED01-45D4-AE7D-8EF8AB8D6684}" presName="hierChild4" presStyleCnt="0"/>
      <dgm:spPr/>
    </dgm:pt>
    <dgm:pt modelId="{52B18533-7351-4A34-85B7-891EC03619E2}" type="pres">
      <dgm:prSet presAssocID="{C86F1F34-ED01-45D4-AE7D-8EF8AB8D6684}" presName="hierChild5" presStyleCnt="0"/>
      <dgm:spPr/>
    </dgm:pt>
    <dgm:pt modelId="{9DB90A71-986B-4ED4-8051-6934BA87DBF0}" type="pres">
      <dgm:prSet presAssocID="{B9495F51-A02C-42F6-9A5B-33C970FD0D50}" presName="Name64" presStyleLbl="parChTrans1D2" presStyleIdx="2" presStyleCnt="7"/>
      <dgm:spPr/>
      <dgm:t>
        <a:bodyPr/>
        <a:lstStyle/>
        <a:p>
          <a:endParaRPr lang="en-US"/>
        </a:p>
      </dgm:t>
    </dgm:pt>
    <dgm:pt modelId="{B201656D-DB87-413E-95F0-9338A033BD86}" type="pres">
      <dgm:prSet presAssocID="{C537F909-03A4-49C7-BE55-3D3018AA6364}" presName="hierRoot2" presStyleCnt="0">
        <dgm:presLayoutVars>
          <dgm:hierBranch val="init"/>
        </dgm:presLayoutVars>
      </dgm:prSet>
      <dgm:spPr/>
    </dgm:pt>
    <dgm:pt modelId="{995608E2-8F5F-41EA-8034-CD477F4271B6}" type="pres">
      <dgm:prSet presAssocID="{C537F909-03A4-49C7-BE55-3D3018AA6364}" presName="rootComposite" presStyleCnt="0"/>
      <dgm:spPr/>
    </dgm:pt>
    <dgm:pt modelId="{835D03BE-BF24-4016-AF9C-369B42FC1CC2}" type="pres">
      <dgm:prSet presAssocID="{C537F909-03A4-49C7-BE55-3D3018AA6364}" presName="rootText" presStyleLbl="node2" presStyleIdx="2" presStyleCnt="7">
        <dgm:presLayoutVars>
          <dgm:chPref val="3"/>
        </dgm:presLayoutVars>
      </dgm:prSet>
      <dgm:spPr/>
      <dgm:t>
        <a:bodyPr/>
        <a:lstStyle/>
        <a:p>
          <a:endParaRPr lang="en-US"/>
        </a:p>
      </dgm:t>
    </dgm:pt>
    <dgm:pt modelId="{C3DEE968-220F-4034-82ED-76E0597FC97C}" type="pres">
      <dgm:prSet presAssocID="{C537F909-03A4-49C7-BE55-3D3018AA6364}" presName="rootConnector" presStyleLbl="node2" presStyleIdx="2" presStyleCnt="7"/>
      <dgm:spPr/>
      <dgm:t>
        <a:bodyPr/>
        <a:lstStyle/>
        <a:p>
          <a:endParaRPr lang="en-US"/>
        </a:p>
      </dgm:t>
    </dgm:pt>
    <dgm:pt modelId="{7BC032AB-D704-464F-A8BE-B0F43E87DA28}" type="pres">
      <dgm:prSet presAssocID="{C537F909-03A4-49C7-BE55-3D3018AA6364}" presName="hierChild4" presStyleCnt="0"/>
      <dgm:spPr/>
    </dgm:pt>
    <dgm:pt modelId="{E1D19CB7-429C-4768-AC9F-694B39F48CFC}" type="pres">
      <dgm:prSet presAssocID="{D3D94E57-9E07-4EAB-8BB1-CF6B022E1B6C}" presName="Name64" presStyleLbl="parChTrans1D3" presStyleIdx="6" presStyleCnt="9"/>
      <dgm:spPr/>
      <dgm:t>
        <a:bodyPr/>
        <a:lstStyle/>
        <a:p>
          <a:endParaRPr lang="en-US"/>
        </a:p>
      </dgm:t>
    </dgm:pt>
    <dgm:pt modelId="{7A3B8103-4B42-40CD-91BF-E2C04045A045}" type="pres">
      <dgm:prSet presAssocID="{2E789311-55D6-4ACC-9037-AF2FA7EDF128}" presName="hierRoot2" presStyleCnt="0">
        <dgm:presLayoutVars>
          <dgm:hierBranch val="init"/>
        </dgm:presLayoutVars>
      </dgm:prSet>
      <dgm:spPr/>
    </dgm:pt>
    <dgm:pt modelId="{258D57D9-96AE-47D1-9E01-B1EB49EC0339}" type="pres">
      <dgm:prSet presAssocID="{2E789311-55D6-4ACC-9037-AF2FA7EDF128}" presName="rootComposite" presStyleCnt="0"/>
      <dgm:spPr/>
    </dgm:pt>
    <dgm:pt modelId="{6DA230CD-DA1D-4E10-94B6-19540BA1644F}" type="pres">
      <dgm:prSet presAssocID="{2E789311-55D6-4ACC-9037-AF2FA7EDF128}" presName="rootText" presStyleLbl="node3" presStyleIdx="6" presStyleCnt="9">
        <dgm:presLayoutVars>
          <dgm:chPref val="3"/>
        </dgm:presLayoutVars>
      </dgm:prSet>
      <dgm:spPr/>
      <dgm:t>
        <a:bodyPr/>
        <a:lstStyle/>
        <a:p>
          <a:endParaRPr lang="en-US"/>
        </a:p>
      </dgm:t>
    </dgm:pt>
    <dgm:pt modelId="{E2A56376-99A5-4121-A4A4-BD4B1C2269CB}" type="pres">
      <dgm:prSet presAssocID="{2E789311-55D6-4ACC-9037-AF2FA7EDF128}" presName="rootConnector" presStyleLbl="node3" presStyleIdx="6" presStyleCnt="9"/>
      <dgm:spPr/>
      <dgm:t>
        <a:bodyPr/>
        <a:lstStyle/>
        <a:p>
          <a:endParaRPr lang="en-US"/>
        </a:p>
      </dgm:t>
    </dgm:pt>
    <dgm:pt modelId="{04E42105-F5C4-49B3-AA27-96E6D2256ABC}" type="pres">
      <dgm:prSet presAssocID="{2E789311-55D6-4ACC-9037-AF2FA7EDF128}" presName="hierChild4" presStyleCnt="0"/>
      <dgm:spPr/>
    </dgm:pt>
    <dgm:pt modelId="{CC20261F-3A6E-4B90-A643-1EE97ADF6422}" type="pres">
      <dgm:prSet presAssocID="{2E789311-55D6-4ACC-9037-AF2FA7EDF128}" presName="hierChild5" presStyleCnt="0"/>
      <dgm:spPr/>
    </dgm:pt>
    <dgm:pt modelId="{D7A1FA5E-292A-4745-9E01-BFFDDB5D9512}" type="pres">
      <dgm:prSet presAssocID="{2158C0E0-4665-4FDE-96B1-4EA2550DE356}" presName="Name64" presStyleLbl="parChTrans1D3" presStyleIdx="7" presStyleCnt="9"/>
      <dgm:spPr/>
      <dgm:t>
        <a:bodyPr/>
        <a:lstStyle/>
        <a:p>
          <a:endParaRPr lang="en-US"/>
        </a:p>
      </dgm:t>
    </dgm:pt>
    <dgm:pt modelId="{33A8A157-FAE2-4A8C-90DF-6B6E61F87639}" type="pres">
      <dgm:prSet presAssocID="{D199A273-E2B2-427A-B79D-3938575849C8}" presName="hierRoot2" presStyleCnt="0">
        <dgm:presLayoutVars>
          <dgm:hierBranch val="init"/>
        </dgm:presLayoutVars>
      </dgm:prSet>
      <dgm:spPr/>
    </dgm:pt>
    <dgm:pt modelId="{765D4BB9-71E0-4E1B-8E94-41104B7E9688}" type="pres">
      <dgm:prSet presAssocID="{D199A273-E2B2-427A-B79D-3938575849C8}" presName="rootComposite" presStyleCnt="0"/>
      <dgm:spPr/>
    </dgm:pt>
    <dgm:pt modelId="{8E50368C-CBD7-4AD4-A4DA-B99BDDB52838}" type="pres">
      <dgm:prSet presAssocID="{D199A273-E2B2-427A-B79D-3938575849C8}" presName="rootText" presStyleLbl="node3" presStyleIdx="7" presStyleCnt="9">
        <dgm:presLayoutVars>
          <dgm:chPref val="3"/>
        </dgm:presLayoutVars>
      </dgm:prSet>
      <dgm:spPr/>
      <dgm:t>
        <a:bodyPr/>
        <a:lstStyle/>
        <a:p>
          <a:endParaRPr lang="en-US"/>
        </a:p>
      </dgm:t>
    </dgm:pt>
    <dgm:pt modelId="{F4D141B2-29FD-4ACE-B513-E8B071878177}" type="pres">
      <dgm:prSet presAssocID="{D199A273-E2B2-427A-B79D-3938575849C8}" presName="rootConnector" presStyleLbl="node3" presStyleIdx="7" presStyleCnt="9"/>
      <dgm:spPr/>
      <dgm:t>
        <a:bodyPr/>
        <a:lstStyle/>
        <a:p>
          <a:endParaRPr lang="en-US"/>
        </a:p>
      </dgm:t>
    </dgm:pt>
    <dgm:pt modelId="{CD407F06-BF7F-4C07-983D-1F2246087248}" type="pres">
      <dgm:prSet presAssocID="{D199A273-E2B2-427A-B79D-3938575849C8}" presName="hierChild4" presStyleCnt="0"/>
      <dgm:spPr/>
    </dgm:pt>
    <dgm:pt modelId="{EF27C446-15DF-4920-A09F-292C43D987D4}" type="pres">
      <dgm:prSet presAssocID="{D199A273-E2B2-427A-B79D-3938575849C8}" presName="hierChild5" presStyleCnt="0"/>
      <dgm:spPr/>
    </dgm:pt>
    <dgm:pt modelId="{1A54BBD2-CBEE-420C-B4B4-26A219D4DBE9}" type="pres">
      <dgm:prSet presAssocID="{EADC1FF3-DBAE-49C0-A381-657E7C1A2372}" presName="Name64" presStyleLbl="parChTrans1D3" presStyleIdx="8" presStyleCnt="9"/>
      <dgm:spPr/>
      <dgm:t>
        <a:bodyPr/>
        <a:lstStyle/>
        <a:p>
          <a:endParaRPr lang="en-US"/>
        </a:p>
      </dgm:t>
    </dgm:pt>
    <dgm:pt modelId="{3A6BE9B7-E7E7-4F4B-9FE7-0AF2DD68E798}" type="pres">
      <dgm:prSet presAssocID="{ABA40515-5DF0-4E5E-954F-1AD039035CF9}" presName="hierRoot2" presStyleCnt="0">
        <dgm:presLayoutVars>
          <dgm:hierBranch val="init"/>
        </dgm:presLayoutVars>
      </dgm:prSet>
      <dgm:spPr/>
    </dgm:pt>
    <dgm:pt modelId="{A48440EE-5548-4B31-8920-03E27A0DBDD1}" type="pres">
      <dgm:prSet presAssocID="{ABA40515-5DF0-4E5E-954F-1AD039035CF9}" presName="rootComposite" presStyleCnt="0"/>
      <dgm:spPr/>
    </dgm:pt>
    <dgm:pt modelId="{07D6A8ED-EBA2-4BBD-B5C5-FD291404DCA1}" type="pres">
      <dgm:prSet presAssocID="{ABA40515-5DF0-4E5E-954F-1AD039035CF9}" presName="rootText" presStyleLbl="node3" presStyleIdx="8" presStyleCnt="9">
        <dgm:presLayoutVars>
          <dgm:chPref val="3"/>
        </dgm:presLayoutVars>
      </dgm:prSet>
      <dgm:spPr/>
      <dgm:t>
        <a:bodyPr/>
        <a:lstStyle/>
        <a:p>
          <a:endParaRPr lang="en-US"/>
        </a:p>
      </dgm:t>
    </dgm:pt>
    <dgm:pt modelId="{4B3F665A-E4E7-4C36-A39E-382E5CC7B3BF}" type="pres">
      <dgm:prSet presAssocID="{ABA40515-5DF0-4E5E-954F-1AD039035CF9}" presName="rootConnector" presStyleLbl="node3" presStyleIdx="8" presStyleCnt="9"/>
      <dgm:spPr/>
      <dgm:t>
        <a:bodyPr/>
        <a:lstStyle/>
        <a:p>
          <a:endParaRPr lang="en-US"/>
        </a:p>
      </dgm:t>
    </dgm:pt>
    <dgm:pt modelId="{2165B611-1E33-4A44-94F8-48C0F7B5A758}" type="pres">
      <dgm:prSet presAssocID="{ABA40515-5DF0-4E5E-954F-1AD039035CF9}" presName="hierChild4" presStyleCnt="0"/>
      <dgm:spPr/>
    </dgm:pt>
    <dgm:pt modelId="{890BE84B-B3EA-41A2-82D8-5C00D6EE5378}" type="pres">
      <dgm:prSet presAssocID="{ABA40515-5DF0-4E5E-954F-1AD039035CF9}" presName="hierChild5" presStyleCnt="0"/>
      <dgm:spPr/>
    </dgm:pt>
    <dgm:pt modelId="{62B29826-C7A2-410E-B8E6-9CD25D6A8D25}" type="pres">
      <dgm:prSet presAssocID="{C537F909-03A4-49C7-BE55-3D3018AA6364}" presName="hierChild5" presStyleCnt="0"/>
      <dgm:spPr/>
    </dgm:pt>
    <dgm:pt modelId="{5395E469-C271-4B00-80EF-AD4872B9D4BC}" type="pres">
      <dgm:prSet presAssocID="{DF6FBED4-A08E-4889-80CF-45F5E8F49DDC}" presName="Name64" presStyleLbl="parChTrans1D2" presStyleIdx="3" presStyleCnt="7"/>
      <dgm:spPr/>
      <dgm:t>
        <a:bodyPr/>
        <a:lstStyle/>
        <a:p>
          <a:endParaRPr lang="en-US"/>
        </a:p>
      </dgm:t>
    </dgm:pt>
    <dgm:pt modelId="{53FB2D17-B223-444B-AD06-9BC1BDF4BC4C}" type="pres">
      <dgm:prSet presAssocID="{8B5DEB5C-8C55-4276-BD54-CCBDD98051B4}" presName="hierRoot2" presStyleCnt="0">
        <dgm:presLayoutVars>
          <dgm:hierBranch val="init"/>
        </dgm:presLayoutVars>
      </dgm:prSet>
      <dgm:spPr/>
    </dgm:pt>
    <dgm:pt modelId="{E139C089-2E7C-4B8B-842D-4BCF371BA50A}" type="pres">
      <dgm:prSet presAssocID="{8B5DEB5C-8C55-4276-BD54-CCBDD98051B4}" presName="rootComposite" presStyleCnt="0"/>
      <dgm:spPr/>
    </dgm:pt>
    <dgm:pt modelId="{EB843BC1-50A2-474A-9FCF-B88EA72F36AB}" type="pres">
      <dgm:prSet presAssocID="{8B5DEB5C-8C55-4276-BD54-CCBDD98051B4}" presName="rootText" presStyleLbl="node2" presStyleIdx="3" presStyleCnt="7">
        <dgm:presLayoutVars>
          <dgm:chPref val="3"/>
        </dgm:presLayoutVars>
      </dgm:prSet>
      <dgm:spPr/>
      <dgm:t>
        <a:bodyPr/>
        <a:lstStyle/>
        <a:p>
          <a:endParaRPr lang="en-US"/>
        </a:p>
      </dgm:t>
    </dgm:pt>
    <dgm:pt modelId="{F9DF4423-22C1-4A2D-879A-AD2149697DF9}" type="pres">
      <dgm:prSet presAssocID="{8B5DEB5C-8C55-4276-BD54-CCBDD98051B4}" presName="rootConnector" presStyleLbl="node2" presStyleIdx="3" presStyleCnt="7"/>
      <dgm:spPr/>
      <dgm:t>
        <a:bodyPr/>
        <a:lstStyle/>
        <a:p>
          <a:endParaRPr lang="en-US"/>
        </a:p>
      </dgm:t>
    </dgm:pt>
    <dgm:pt modelId="{83657993-A6F7-4A62-8DDD-4931A4BB99E0}" type="pres">
      <dgm:prSet presAssocID="{8B5DEB5C-8C55-4276-BD54-CCBDD98051B4}" presName="hierChild4" presStyleCnt="0"/>
      <dgm:spPr/>
    </dgm:pt>
    <dgm:pt modelId="{778BF581-6BB3-414A-8130-1B7618948C56}" type="pres">
      <dgm:prSet presAssocID="{8B5DEB5C-8C55-4276-BD54-CCBDD98051B4}" presName="hierChild5" presStyleCnt="0"/>
      <dgm:spPr/>
    </dgm:pt>
    <dgm:pt modelId="{F066A4C4-0B6F-4956-AE2D-4C3227D118DC}" type="pres">
      <dgm:prSet presAssocID="{6AE0D976-FBE3-4FFB-8F12-C0D1092FF0C7}" presName="Name64" presStyleLbl="parChTrans1D2" presStyleIdx="4" presStyleCnt="7"/>
      <dgm:spPr/>
      <dgm:t>
        <a:bodyPr/>
        <a:lstStyle/>
        <a:p>
          <a:endParaRPr lang="en-US"/>
        </a:p>
      </dgm:t>
    </dgm:pt>
    <dgm:pt modelId="{2E1A648F-7E23-4921-8A16-88F7DA85774B}" type="pres">
      <dgm:prSet presAssocID="{D339B5F0-61B0-4E05-AAA0-EB4D233C8D45}" presName="hierRoot2" presStyleCnt="0">
        <dgm:presLayoutVars>
          <dgm:hierBranch val="init"/>
        </dgm:presLayoutVars>
      </dgm:prSet>
      <dgm:spPr/>
    </dgm:pt>
    <dgm:pt modelId="{253062BC-537F-4201-BDFC-06FAA1C65C96}" type="pres">
      <dgm:prSet presAssocID="{D339B5F0-61B0-4E05-AAA0-EB4D233C8D45}" presName="rootComposite" presStyleCnt="0"/>
      <dgm:spPr/>
    </dgm:pt>
    <dgm:pt modelId="{C80CDAEC-83A5-438D-823E-64A22651EBBC}" type="pres">
      <dgm:prSet presAssocID="{D339B5F0-61B0-4E05-AAA0-EB4D233C8D45}" presName="rootText" presStyleLbl="node2" presStyleIdx="4" presStyleCnt="7">
        <dgm:presLayoutVars>
          <dgm:chPref val="3"/>
        </dgm:presLayoutVars>
      </dgm:prSet>
      <dgm:spPr/>
      <dgm:t>
        <a:bodyPr/>
        <a:lstStyle/>
        <a:p>
          <a:endParaRPr lang="en-US"/>
        </a:p>
      </dgm:t>
    </dgm:pt>
    <dgm:pt modelId="{A565B523-B336-4572-8029-03531730DDEA}" type="pres">
      <dgm:prSet presAssocID="{D339B5F0-61B0-4E05-AAA0-EB4D233C8D45}" presName="rootConnector" presStyleLbl="node2" presStyleIdx="4" presStyleCnt="7"/>
      <dgm:spPr/>
      <dgm:t>
        <a:bodyPr/>
        <a:lstStyle/>
        <a:p>
          <a:endParaRPr lang="en-US"/>
        </a:p>
      </dgm:t>
    </dgm:pt>
    <dgm:pt modelId="{DC699B3B-8357-427D-A54C-F4237939E8CD}" type="pres">
      <dgm:prSet presAssocID="{D339B5F0-61B0-4E05-AAA0-EB4D233C8D45}" presName="hierChild4" presStyleCnt="0"/>
      <dgm:spPr/>
    </dgm:pt>
    <dgm:pt modelId="{8CE8FA04-7321-4DC0-82A9-347854F8B28F}" type="pres">
      <dgm:prSet presAssocID="{D339B5F0-61B0-4E05-AAA0-EB4D233C8D45}" presName="hierChild5" presStyleCnt="0"/>
      <dgm:spPr/>
    </dgm:pt>
    <dgm:pt modelId="{E0E454BF-3E58-4ABD-8DA2-FD7A1696F981}" type="pres">
      <dgm:prSet presAssocID="{E3A1DDE3-59E0-4C11-94F2-A506C0BA0765}" presName="Name64" presStyleLbl="parChTrans1D2" presStyleIdx="5" presStyleCnt="7"/>
      <dgm:spPr/>
      <dgm:t>
        <a:bodyPr/>
        <a:lstStyle/>
        <a:p>
          <a:endParaRPr lang="en-US"/>
        </a:p>
      </dgm:t>
    </dgm:pt>
    <dgm:pt modelId="{A098452D-A4CA-4D4A-A3D7-08216BB68326}" type="pres">
      <dgm:prSet presAssocID="{4F026230-1A2F-49B3-8DED-90DC775A5C5D}" presName="hierRoot2" presStyleCnt="0">
        <dgm:presLayoutVars>
          <dgm:hierBranch val="init"/>
        </dgm:presLayoutVars>
      </dgm:prSet>
      <dgm:spPr/>
    </dgm:pt>
    <dgm:pt modelId="{4898BF26-9A99-4A99-A10F-F2300D59D0A5}" type="pres">
      <dgm:prSet presAssocID="{4F026230-1A2F-49B3-8DED-90DC775A5C5D}" presName="rootComposite" presStyleCnt="0"/>
      <dgm:spPr/>
    </dgm:pt>
    <dgm:pt modelId="{5B673C44-C66F-4A02-84DF-F23700B48042}" type="pres">
      <dgm:prSet presAssocID="{4F026230-1A2F-49B3-8DED-90DC775A5C5D}" presName="rootText" presStyleLbl="node2" presStyleIdx="5" presStyleCnt="7">
        <dgm:presLayoutVars>
          <dgm:chPref val="3"/>
        </dgm:presLayoutVars>
      </dgm:prSet>
      <dgm:spPr/>
      <dgm:t>
        <a:bodyPr/>
        <a:lstStyle/>
        <a:p>
          <a:endParaRPr lang="en-US"/>
        </a:p>
      </dgm:t>
    </dgm:pt>
    <dgm:pt modelId="{3AA98633-91A4-4DC1-A389-D0B149161CF8}" type="pres">
      <dgm:prSet presAssocID="{4F026230-1A2F-49B3-8DED-90DC775A5C5D}" presName="rootConnector" presStyleLbl="node2" presStyleIdx="5" presStyleCnt="7"/>
      <dgm:spPr/>
      <dgm:t>
        <a:bodyPr/>
        <a:lstStyle/>
        <a:p>
          <a:endParaRPr lang="en-US"/>
        </a:p>
      </dgm:t>
    </dgm:pt>
    <dgm:pt modelId="{FD8146CF-6723-4768-9AD5-4AC249BD7C13}" type="pres">
      <dgm:prSet presAssocID="{4F026230-1A2F-49B3-8DED-90DC775A5C5D}" presName="hierChild4" presStyleCnt="0"/>
      <dgm:spPr/>
    </dgm:pt>
    <dgm:pt modelId="{6D389838-31D9-48DB-97A9-EE38D3EF79E0}" type="pres">
      <dgm:prSet presAssocID="{4F026230-1A2F-49B3-8DED-90DC775A5C5D}" presName="hierChild5" presStyleCnt="0"/>
      <dgm:spPr/>
    </dgm:pt>
    <dgm:pt modelId="{478AD498-9E85-471B-8190-17489A76B93C}" type="pres">
      <dgm:prSet presAssocID="{775BE6A7-2EEF-4FFA-AA36-8440054441DD}" presName="Name64" presStyleLbl="parChTrans1D2" presStyleIdx="6" presStyleCnt="7"/>
      <dgm:spPr/>
      <dgm:t>
        <a:bodyPr/>
        <a:lstStyle/>
        <a:p>
          <a:endParaRPr lang="en-US"/>
        </a:p>
      </dgm:t>
    </dgm:pt>
    <dgm:pt modelId="{E461E629-B012-4D20-9D29-31084DDAF9D0}" type="pres">
      <dgm:prSet presAssocID="{18EF6BC0-ED52-4DBE-9249-0D072B4977F9}" presName="hierRoot2" presStyleCnt="0">
        <dgm:presLayoutVars>
          <dgm:hierBranch val="init"/>
        </dgm:presLayoutVars>
      </dgm:prSet>
      <dgm:spPr/>
    </dgm:pt>
    <dgm:pt modelId="{B54EBBEF-DBAD-4B6A-B04D-3B2110EDE80E}" type="pres">
      <dgm:prSet presAssocID="{18EF6BC0-ED52-4DBE-9249-0D072B4977F9}" presName="rootComposite" presStyleCnt="0"/>
      <dgm:spPr/>
    </dgm:pt>
    <dgm:pt modelId="{094BF983-C5B0-4D6A-9942-685EAE00A553}" type="pres">
      <dgm:prSet presAssocID="{18EF6BC0-ED52-4DBE-9249-0D072B4977F9}" presName="rootText" presStyleLbl="node2" presStyleIdx="6" presStyleCnt="7" custScaleX="124325" custScaleY="122231">
        <dgm:presLayoutVars>
          <dgm:chPref val="3"/>
        </dgm:presLayoutVars>
      </dgm:prSet>
      <dgm:spPr/>
      <dgm:t>
        <a:bodyPr/>
        <a:lstStyle/>
        <a:p>
          <a:endParaRPr lang="en-US"/>
        </a:p>
      </dgm:t>
    </dgm:pt>
    <dgm:pt modelId="{546AABF9-A3A4-4AFE-B414-D263F876FEBA}" type="pres">
      <dgm:prSet presAssocID="{18EF6BC0-ED52-4DBE-9249-0D072B4977F9}" presName="rootConnector" presStyleLbl="node2" presStyleIdx="6" presStyleCnt="7"/>
      <dgm:spPr/>
      <dgm:t>
        <a:bodyPr/>
        <a:lstStyle/>
        <a:p>
          <a:endParaRPr lang="en-US"/>
        </a:p>
      </dgm:t>
    </dgm:pt>
    <dgm:pt modelId="{BE6141AA-681D-49BE-9D9D-AA4AAD03F684}" type="pres">
      <dgm:prSet presAssocID="{18EF6BC0-ED52-4DBE-9249-0D072B4977F9}" presName="hierChild4" presStyleCnt="0"/>
      <dgm:spPr/>
    </dgm:pt>
    <dgm:pt modelId="{DC48A1B3-4D49-42D0-8E0F-3C1851A8A476}" type="pres">
      <dgm:prSet presAssocID="{18EF6BC0-ED52-4DBE-9249-0D072B4977F9}" presName="hierChild5" presStyleCnt="0"/>
      <dgm:spPr/>
    </dgm:pt>
    <dgm:pt modelId="{59A845EF-8F09-4224-8D26-19B61044F09A}" type="pres">
      <dgm:prSet presAssocID="{1C883CFC-D379-47C6-91CA-71401CB287CC}" presName="hierChild3" presStyleCnt="0"/>
      <dgm:spPr/>
    </dgm:pt>
  </dgm:ptLst>
  <dgm:cxnLst>
    <dgm:cxn modelId="{9D2E986B-1D39-47DA-9780-E05063A27F9D}" srcId="{169DB8CF-F7DE-4455-8E7D-43E86079535F}" destId="{06582A8D-D22C-4DCC-90FD-720881C96886}" srcOrd="2" destOrd="0" parTransId="{12CDD76C-8A13-45D9-AF81-BF1D60FEE723}" sibTransId="{DC907C92-52FA-4749-8210-E50A52533009}"/>
    <dgm:cxn modelId="{F1D803D5-CEE4-074C-95FD-4401E0D15B8C}" type="presOf" srcId="{E3A1DDE3-59E0-4C11-94F2-A506C0BA0765}" destId="{E0E454BF-3E58-4ABD-8DA2-FD7A1696F981}" srcOrd="0" destOrd="0" presId="urn:microsoft.com/office/officeart/2009/3/layout/HorizontalOrganizationChart"/>
    <dgm:cxn modelId="{B0950AF5-DDDF-B545-AFCF-ADF66DCAA7BD}" type="presOf" srcId="{4F026230-1A2F-49B3-8DED-90DC775A5C5D}" destId="{3AA98633-91A4-4DC1-A389-D0B149161CF8}" srcOrd="1" destOrd="0" presId="urn:microsoft.com/office/officeart/2009/3/layout/HorizontalOrganizationChart"/>
    <dgm:cxn modelId="{A4CC04EC-E215-474C-9A59-303BF438092C}" type="presOf" srcId="{43AB1B5A-297D-4CA4-BA31-314C89D8E4E0}" destId="{4F05C935-0E39-41DE-936B-E1A8193718FB}" srcOrd="1" destOrd="0" presId="urn:microsoft.com/office/officeart/2009/3/layout/HorizontalOrganizationChart"/>
    <dgm:cxn modelId="{470B64D7-5E37-4336-8CB3-D27C33A9C70C}" srcId="{D5E36A28-99B6-4FC0-9070-7ED02FC29250}" destId="{43AB1B5A-297D-4CA4-BA31-314C89D8E4E0}" srcOrd="0" destOrd="0" parTransId="{D835EDB0-9CB2-42E7-867B-C4ECAF462EDB}" sibTransId="{76FBA8E8-B7E9-4AAC-B2F0-C51AD31A3F13}"/>
    <dgm:cxn modelId="{6C6135A6-5952-EA48-A58E-67D40BA499ED}" type="presOf" srcId="{EADC1FF3-DBAE-49C0-A381-657E7C1A2372}" destId="{1A54BBD2-CBEE-420C-B4B4-26A219D4DBE9}" srcOrd="0" destOrd="0" presId="urn:microsoft.com/office/officeart/2009/3/layout/HorizontalOrganizationChart"/>
    <dgm:cxn modelId="{B511A0A2-2753-498C-B1B3-03BEF9910F77}" srcId="{1C883CFC-D379-47C6-91CA-71401CB287CC}" destId="{C537F909-03A4-49C7-BE55-3D3018AA6364}" srcOrd="2" destOrd="0" parTransId="{B9495F51-A02C-42F6-9A5B-33C970FD0D50}" sibTransId="{67C8C0F8-358D-4AAF-B7EA-92AE0FCB3917}"/>
    <dgm:cxn modelId="{44844FFD-1B8E-B749-BE82-E22653B92D06}" type="presOf" srcId="{225E7B83-25BC-4AF6-BC49-6B15D7D4251C}" destId="{E5D07C8D-C74B-4703-B024-68C22C15E953}" srcOrd="0" destOrd="0" presId="urn:microsoft.com/office/officeart/2009/3/layout/HorizontalOrganizationChart"/>
    <dgm:cxn modelId="{A9862ABF-25FB-49B6-A733-042B8CE72882}" srcId="{C537F909-03A4-49C7-BE55-3D3018AA6364}" destId="{D199A273-E2B2-427A-B79D-3938575849C8}" srcOrd="1" destOrd="0" parTransId="{2158C0E0-4665-4FDE-96B1-4EA2550DE356}" sibTransId="{C925EDC9-F100-4417-A5FD-1BC6769901E7}"/>
    <dgm:cxn modelId="{B3C5D066-B0CA-5942-A496-09742BC7542C}" type="presOf" srcId="{D0987B24-62F3-4598-A87C-A9EF6774101B}" destId="{598C75D8-1D1D-42A5-92AC-4096CF3E6E35}" srcOrd="0" destOrd="0" presId="urn:microsoft.com/office/officeart/2009/3/layout/HorizontalOrganizationChart"/>
    <dgm:cxn modelId="{E464A697-F043-9A4A-85FB-A9DF533E8DAE}" type="presOf" srcId="{B9495F51-A02C-42F6-9A5B-33C970FD0D50}" destId="{9DB90A71-986B-4ED4-8051-6934BA87DBF0}" srcOrd="0" destOrd="0" presId="urn:microsoft.com/office/officeart/2009/3/layout/HorizontalOrganizationChart"/>
    <dgm:cxn modelId="{48E133C2-C8A4-924E-AF6C-EFF4A3B3E57C}" type="presOf" srcId="{C86F1F34-ED01-45D4-AE7D-8EF8AB8D6684}" destId="{97803CDD-1BB4-4967-AE3C-FE8FE0B88C86}" srcOrd="0" destOrd="0" presId="urn:microsoft.com/office/officeart/2009/3/layout/HorizontalOrganizationChart"/>
    <dgm:cxn modelId="{54C69711-A0F3-3243-A88D-53C49688B5FE}" type="presOf" srcId="{6AE0D976-FBE3-4FFB-8F12-C0D1092FF0C7}" destId="{F066A4C4-0B6F-4956-AE2D-4C3227D118DC}" srcOrd="0" destOrd="0" presId="urn:microsoft.com/office/officeart/2009/3/layout/HorizontalOrganizationChart"/>
    <dgm:cxn modelId="{23637D41-7220-42C6-8BE0-12A0EEF48106}" srcId="{1C883CFC-D379-47C6-91CA-71401CB287CC}" destId="{D339B5F0-61B0-4E05-AAA0-EB4D233C8D45}" srcOrd="4" destOrd="0" parTransId="{6AE0D976-FBE3-4FFB-8F12-C0D1092FF0C7}" sibTransId="{AB007EE0-8935-4431-93BA-CB2C0F1DCCE0}"/>
    <dgm:cxn modelId="{C3FBD8BE-A75F-254A-B783-3135D02B08C7}" type="presOf" srcId="{C537F909-03A4-49C7-BE55-3D3018AA6364}" destId="{835D03BE-BF24-4016-AF9C-369B42FC1CC2}" srcOrd="0" destOrd="0" presId="urn:microsoft.com/office/officeart/2009/3/layout/HorizontalOrganizationChart"/>
    <dgm:cxn modelId="{469EF1DB-1D08-4F2A-8635-41A9522ACBE8}" srcId="{169DB8CF-F7DE-4455-8E7D-43E86079535F}" destId="{7D6F0DD1-9A79-4F62-8AD7-3EDDC69B447D}" srcOrd="0" destOrd="0" parTransId="{D7B40607-DFE4-4676-850E-EBE16F6D7EAD}" sibTransId="{0CC7871F-8475-42FB-B5B5-0317F1DB2DC7}"/>
    <dgm:cxn modelId="{1E08AF1B-A356-0543-B27F-6FA67F5AA238}" type="presOf" srcId="{1C883CFC-D379-47C6-91CA-71401CB287CC}" destId="{4BA97711-1D24-4B12-9947-43F032A7F234}" srcOrd="1" destOrd="0" presId="urn:microsoft.com/office/officeart/2009/3/layout/HorizontalOrganizationChart"/>
    <dgm:cxn modelId="{3CF1A039-1701-42DC-873C-3E124D9D10B6}" srcId="{C537F909-03A4-49C7-BE55-3D3018AA6364}" destId="{ABA40515-5DF0-4E5E-954F-1AD039035CF9}" srcOrd="2" destOrd="0" parTransId="{EADC1FF3-DBAE-49C0-A381-657E7C1A2372}" sibTransId="{25FBC350-8EE8-45B9-9214-D1C49121FDA2}"/>
    <dgm:cxn modelId="{DCF0242A-284D-4046-AEA0-4101BD841A41}" type="presOf" srcId="{169DB8CF-F7DE-4455-8E7D-43E86079535F}" destId="{24CF89FA-C85C-4ED3-B662-034FC8C0643E}" srcOrd="0" destOrd="0" presId="urn:microsoft.com/office/officeart/2009/3/layout/HorizontalOrganizationChart"/>
    <dgm:cxn modelId="{F1240D9E-58D7-F745-A24E-E4808D0D9FFF}" type="presOf" srcId="{775BE6A7-2EEF-4FFA-AA36-8440054441DD}" destId="{478AD498-9E85-471B-8190-17489A76B93C}" srcOrd="0" destOrd="0" presId="urn:microsoft.com/office/officeart/2009/3/layout/HorizontalOrganizationChart"/>
    <dgm:cxn modelId="{F41D0720-38CF-6E46-8342-EF9E08D2C131}" type="presOf" srcId="{43AB1B5A-297D-4CA4-BA31-314C89D8E4E0}" destId="{DBBB1DD9-1DAA-42F3-880F-160159515FE0}" srcOrd="0" destOrd="0" presId="urn:microsoft.com/office/officeart/2009/3/layout/HorizontalOrganizationChart"/>
    <dgm:cxn modelId="{5FBF0EC7-2300-49E6-A2BB-FB90194D1889}" srcId="{169DB8CF-F7DE-4455-8E7D-43E86079535F}" destId="{1C883CFC-D379-47C6-91CA-71401CB287CC}" srcOrd="3" destOrd="0" parTransId="{2A14CAA7-195D-4435-B9E6-8DCDC919E4E2}" sibTransId="{B5BA7654-A676-4272-9173-9F3B3A85726D}"/>
    <dgm:cxn modelId="{C750C828-C4F2-4A4C-98EF-9889B594D441}" type="presOf" srcId="{D668721C-61DC-4361-AC82-4B213134CB9A}" destId="{7ABB9496-7179-433E-BE54-AA118BA165FC}" srcOrd="0" destOrd="0" presId="urn:microsoft.com/office/officeart/2009/3/layout/HorizontalOrganizationChart"/>
    <dgm:cxn modelId="{9972CBA2-CAF3-492E-9770-7AA95A781411}" srcId="{D668721C-61DC-4361-AC82-4B213134CB9A}" destId="{D5E36A28-99B6-4FC0-9070-7ED02FC29250}" srcOrd="2" destOrd="0" parTransId="{D07BD4C7-505E-4B38-BDF3-D9405F73D623}" sibTransId="{C4BB30F7-68A3-495B-BC18-A9CB89440538}"/>
    <dgm:cxn modelId="{F09D2C92-E251-4A30-80F1-60CAB98B6005}" srcId="{D668721C-61DC-4361-AC82-4B213134CB9A}" destId="{9F4506BE-8F3E-4B56-8B65-6F060A9DF9D3}" srcOrd="1" destOrd="0" parTransId="{619C3A6C-D860-4AB5-9585-513E23EF09B1}" sibTransId="{B38F92B1-03F2-4888-A4E8-4B41122F830E}"/>
    <dgm:cxn modelId="{F7046998-A972-4078-8204-175FF7E78FCD}" srcId="{169DB8CF-F7DE-4455-8E7D-43E86079535F}" destId="{7A26552F-776B-4D8C-9CEE-25DD21FEEAAC}" srcOrd="1" destOrd="0" parTransId="{B64469C3-9629-4952-9859-E188974333A4}" sibTransId="{F053D33D-030D-4EBB-A558-AF4EA53D90D8}"/>
    <dgm:cxn modelId="{BCE706C9-10AB-4976-92D7-379F86042EEF}" srcId="{D668721C-61DC-4361-AC82-4B213134CB9A}" destId="{AA3C9250-957D-4E96-9FBA-F35A68D69CA5}" srcOrd="0" destOrd="0" parTransId="{3CBF6A4C-AAA7-457B-8195-01F10B5F9017}" sibTransId="{877B6772-6F9B-4DDE-B62A-D77924EF267B}"/>
    <dgm:cxn modelId="{A1DFB19C-B7F3-4F41-A660-6B59A4D345C0}" type="presOf" srcId="{0722BBFA-71B1-4E5C-94FF-0C0457A116D6}" destId="{8FB7DF26-94F1-473B-91C2-FC72C39CC9B6}" srcOrd="0" destOrd="0" presId="urn:microsoft.com/office/officeart/2009/3/layout/HorizontalOrganizationChart"/>
    <dgm:cxn modelId="{F93F4144-3F03-0743-ADD4-B78E1CC1D0ED}" type="presOf" srcId="{7D6F0DD1-9A79-4F62-8AD7-3EDDC69B447D}" destId="{D1AA9763-7028-434D-B94F-7F995E9F6636}" srcOrd="1" destOrd="0" presId="urn:microsoft.com/office/officeart/2009/3/layout/HorizontalOrganizationChart"/>
    <dgm:cxn modelId="{0EEE3C18-ADE8-374C-808F-A1E56B45546F}" type="presOf" srcId="{DF6FBED4-A08E-4889-80CF-45F5E8F49DDC}" destId="{5395E469-C271-4B00-80EF-AD4872B9D4BC}" srcOrd="0" destOrd="0" presId="urn:microsoft.com/office/officeart/2009/3/layout/HorizontalOrganizationChart"/>
    <dgm:cxn modelId="{E5BA24AE-C4F0-774F-ADEE-5B46ABE2EDA2}" type="presOf" srcId="{D199A273-E2B2-427A-B79D-3938575849C8}" destId="{8E50368C-CBD7-4AD4-A4DA-B99BDDB52838}" srcOrd="0" destOrd="0" presId="urn:microsoft.com/office/officeart/2009/3/layout/HorizontalOrganizationChart"/>
    <dgm:cxn modelId="{F097D460-7199-B040-86A0-134A8214B75A}" type="presOf" srcId="{9F4506BE-8F3E-4B56-8B65-6F060A9DF9D3}" destId="{9C047A81-39B5-42E9-9953-1B09011389A3}" srcOrd="1" destOrd="0" presId="urn:microsoft.com/office/officeart/2009/3/layout/HorizontalOrganizationChart"/>
    <dgm:cxn modelId="{F04B638A-578D-4749-83AB-E3A694BA8CF6}" type="presOf" srcId="{18EF6BC0-ED52-4DBE-9249-0D072B4977F9}" destId="{546AABF9-A3A4-4AFE-B414-D263F876FEBA}" srcOrd="1" destOrd="0" presId="urn:microsoft.com/office/officeart/2009/3/layout/HorizontalOrganizationChart"/>
    <dgm:cxn modelId="{61A9E51A-BB2C-A14C-B962-67C9ACE95EC0}" type="presOf" srcId="{7A26552F-776B-4D8C-9CEE-25DD21FEEAAC}" destId="{A57FD8C0-4DA2-4ED4-BA08-8E2D35379ACF}" srcOrd="0" destOrd="0" presId="urn:microsoft.com/office/officeart/2009/3/layout/HorizontalOrganizationChart"/>
    <dgm:cxn modelId="{062D24B6-C9F0-CD48-B6CC-373F8B523A68}" type="presOf" srcId="{AA3C9250-957D-4E96-9FBA-F35A68D69CA5}" destId="{5E810AB2-EC29-47F3-AEB1-C31D0500A728}" srcOrd="1" destOrd="0" presId="urn:microsoft.com/office/officeart/2009/3/layout/HorizontalOrganizationChart"/>
    <dgm:cxn modelId="{84EB3985-93AA-A94F-8D4E-A447FA00C143}" type="presOf" srcId="{9F4506BE-8F3E-4B56-8B65-6F060A9DF9D3}" destId="{B84A46DC-014D-44A9-A435-7FBB638C2D46}" srcOrd="0" destOrd="0" presId="urn:microsoft.com/office/officeart/2009/3/layout/HorizontalOrganizationChart"/>
    <dgm:cxn modelId="{CD1DD9E4-D78D-C34D-B2A1-54ACF4BB035D}" type="presOf" srcId="{06582A8D-D22C-4DCC-90FD-720881C96886}" destId="{B74D5B61-55AD-4B5C-902C-23841A227AC0}" srcOrd="1" destOrd="0" presId="urn:microsoft.com/office/officeart/2009/3/layout/HorizontalOrganizationChart"/>
    <dgm:cxn modelId="{2BACA1CB-44A7-1847-96E0-17FC056DF978}" type="presOf" srcId="{5295C353-352C-476C-B51F-1BD002154315}" destId="{6D24DB05-3AF8-4695-9441-986E3247FEA0}" srcOrd="0" destOrd="0" presId="urn:microsoft.com/office/officeart/2009/3/layout/HorizontalOrganizationChart"/>
    <dgm:cxn modelId="{BF221A84-B820-B24C-9AF3-BECE58ECF7EE}" type="presOf" srcId="{225E7B83-25BC-4AF6-BC49-6B15D7D4251C}" destId="{9D2C79AD-8A9B-468E-B0D7-48CC30B8B49F}" srcOrd="1" destOrd="0" presId="urn:microsoft.com/office/officeart/2009/3/layout/HorizontalOrganizationChart"/>
    <dgm:cxn modelId="{D6E5FE47-FFD9-8747-81F4-320A9CAA102C}" type="presOf" srcId="{5295C353-352C-476C-B51F-1BD002154315}" destId="{5F65BD8A-F557-486F-8363-48B85324CF5A}" srcOrd="1" destOrd="0" presId="urn:microsoft.com/office/officeart/2009/3/layout/HorizontalOrganizationChart"/>
    <dgm:cxn modelId="{0672A330-6665-4301-99DA-B7464699F65F}" srcId="{D5E36A28-99B6-4FC0-9070-7ED02FC29250}" destId="{36ADB002-E3F4-435F-8C08-13843DA5A1B0}" srcOrd="2" destOrd="0" parTransId="{D0987B24-62F3-4598-A87C-A9EF6774101B}" sibTransId="{FA4AFC52-3F4C-4070-8A75-2EBD875ABEEF}"/>
    <dgm:cxn modelId="{AAC890F9-9C60-754D-9819-7E4557306FAB}" type="presOf" srcId="{18EF6BC0-ED52-4DBE-9249-0D072B4977F9}" destId="{094BF983-C5B0-4D6A-9942-685EAE00A553}" srcOrd="0" destOrd="0" presId="urn:microsoft.com/office/officeart/2009/3/layout/HorizontalOrganizationChart"/>
    <dgm:cxn modelId="{B2FCAF30-6D68-984C-B873-5ED557FF426A}" type="presOf" srcId="{D339B5F0-61B0-4E05-AAA0-EB4D233C8D45}" destId="{C80CDAEC-83A5-438D-823E-64A22651EBBC}" srcOrd="0" destOrd="0" presId="urn:microsoft.com/office/officeart/2009/3/layout/HorizontalOrganizationChart"/>
    <dgm:cxn modelId="{F6AA05C2-FE4F-4B4A-B1EA-6FB2141C43CC}" srcId="{1C883CFC-D379-47C6-91CA-71401CB287CC}" destId="{C86F1F34-ED01-45D4-AE7D-8EF8AB8D6684}" srcOrd="1" destOrd="0" parTransId="{0CADAFAF-B632-427F-B53D-9D97B98BBC5F}" sibTransId="{FA2200C3-44BA-49CB-B52E-4A490E7F1970}"/>
    <dgm:cxn modelId="{3B212674-93AC-6E44-986D-1652E020A96F}" type="presOf" srcId="{44E1D15E-C70A-4CCD-85A8-B39C1FD0761C}" destId="{5A2C961C-D4C7-459A-9F6D-FE2E687AB6BC}" srcOrd="0" destOrd="0" presId="urn:microsoft.com/office/officeart/2009/3/layout/HorizontalOrganizationChart"/>
    <dgm:cxn modelId="{C96AB530-54FC-E546-A908-E9FF0A9EEA97}" type="presOf" srcId="{619C3A6C-D860-4AB5-9585-513E23EF09B1}" destId="{E114FE5C-A8F5-4F3E-81FF-48DA14E6D140}" srcOrd="0" destOrd="0" presId="urn:microsoft.com/office/officeart/2009/3/layout/HorizontalOrganizationChart"/>
    <dgm:cxn modelId="{4E63E82B-B088-4A1A-A8A0-3754CE9758EE}" srcId="{1C883CFC-D379-47C6-91CA-71401CB287CC}" destId="{8B5DEB5C-8C55-4276-BD54-CCBDD98051B4}" srcOrd="3" destOrd="0" parTransId="{DF6FBED4-A08E-4889-80CF-45F5E8F49DDC}" sibTransId="{15956FEC-BD1C-44E2-BF03-CA7EEAC8CD2D}"/>
    <dgm:cxn modelId="{CB54BE4C-974F-8140-BAFB-EF0063AB7660}" type="presOf" srcId="{0CADAFAF-B632-427F-B53D-9D97B98BBC5F}" destId="{0B014F54-7F96-4874-8A15-16D1E730A64E}" srcOrd="0" destOrd="0" presId="urn:microsoft.com/office/officeart/2009/3/layout/HorizontalOrganizationChart"/>
    <dgm:cxn modelId="{A6E6A610-1C5E-4645-9AFF-DA49BB1E4AE1}" srcId="{1C883CFC-D379-47C6-91CA-71401CB287CC}" destId="{D668721C-61DC-4361-AC82-4B213134CB9A}" srcOrd="0" destOrd="0" parTransId="{0722BBFA-71B1-4E5C-94FF-0C0457A116D6}" sibTransId="{FA956699-8259-418F-82D7-563A46C36F8A}"/>
    <dgm:cxn modelId="{C810E94D-A578-4008-BF2A-93F22556C082}" srcId="{D668721C-61DC-4361-AC82-4B213134CB9A}" destId="{225E7B83-25BC-4AF6-BC49-6B15D7D4251C}" srcOrd="3" destOrd="0" parTransId="{AF5A16E7-274D-47F0-8441-9AB8EAD5BA58}" sibTransId="{8013A000-BBD1-480E-BA23-6E960B5EC69B}"/>
    <dgm:cxn modelId="{D073D4DF-86DD-4DF3-8052-C2E1EE9F6D55}" srcId="{D668721C-61DC-4361-AC82-4B213134CB9A}" destId="{7B489007-80AD-4185-A4B7-E66F8EF0A52E}" srcOrd="5" destOrd="0" parTransId="{0849E6CB-F745-45AE-BAE0-58C68E5E5123}" sibTransId="{3D58EA39-6A3F-4579-93B2-310F08C58100}"/>
    <dgm:cxn modelId="{D0802A6E-BC9A-134A-835A-4CA78C22EF1E}" type="presOf" srcId="{AA3C9250-957D-4E96-9FBA-F35A68D69CA5}" destId="{FCD0F5F6-2FB2-4258-9641-421C803F64C3}" srcOrd="0" destOrd="0" presId="urn:microsoft.com/office/officeart/2009/3/layout/HorizontalOrganizationChart"/>
    <dgm:cxn modelId="{CC8BB617-E7F7-C943-9FE7-E58474A567B1}" type="presOf" srcId="{D3D94E57-9E07-4EAB-8BB1-CF6B022E1B6C}" destId="{E1D19CB7-429C-4768-AC9F-694B39F48CFC}" srcOrd="0" destOrd="0" presId="urn:microsoft.com/office/officeart/2009/3/layout/HorizontalOrganizationChart"/>
    <dgm:cxn modelId="{F75B4D1D-D508-8447-ADF2-9575D7614D73}" type="presOf" srcId="{D668721C-61DC-4361-AC82-4B213134CB9A}" destId="{D0DBF6D6-A102-4D81-95E7-2A1A40EF51B4}" srcOrd="1" destOrd="0" presId="urn:microsoft.com/office/officeart/2009/3/layout/HorizontalOrganizationChart"/>
    <dgm:cxn modelId="{DADA2E7F-F5C5-AE49-B403-80B2498E32F7}" type="presOf" srcId="{36ADB002-E3F4-435F-8C08-13843DA5A1B0}" destId="{24732936-6C53-4998-809C-9742E1254D26}" srcOrd="1" destOrd="0" presId="urn:microsoft.com/office/officeart/2009/3/layout/HorizontalOrganizationChart"/>
    <dgm:cxn modelId="{3758C949-2F28-FC47-A472-7DB4713E839E}" type="presOf" srcId="{7A26552F-776B-4D8C-9CEE-25DD21FEEAAC}" destId="{896AF813-4488-4B34-8987-143649A410A1}" srcOrd="1" destOrd="0" presId="urn:microsoft.com/office/officeart/2009/3/layout/HorizontalOrganizationChart"/>
    <dgm:cxn modelId="{D22BB998-BFA6-B846-B015-AFE4E85DE71A}" type="presOf" srcId="{3CBF6A4C-AAA7-457B-8195-01F10B5F9017}" destId="{2B97D1FB-0DDB-4CA1-8B58-C12AC31C93C0}" srcOrd="0" destOrd="0" presId="urn:microsoft.com/office/officeart/2009/3/layout/HorizontalOrganizationChart"/>
    <dgm:cxn modelId="{5BD42229-3BD9-204A-A732-9DE5F8E276E7}" type="presOf" srcId="{4F026230-1A2F-49B3-8DED-90DC775A5C5D}" destId="{5B673C44-C66F-4A02-84DF-F23700B48042}" srcOrd="0" destOrd="0" presId="urn:microsoft.com/office/officeart/2009/3/layout/HorizontalOrganizationChart"/>
    <dgm:cxn modelId="{2C37ECDB-BDA2-D34F-9F92-E70136AFFC1D}" type="presOf" srcId="{D5E36A28-99B6-4FC0-9070-7ED02FC29250}" destId="{6A042EA3-8716-49DA-93C0-912149C23394}" srcOrd="1" destOrd="0" presId="urn:microsoft.com/office/officeart/2009/3/layout/HorizontalOrganizationChart"/>
    <dgm:cxn modelId="{0B839B8E-03A1-0246-97A3-4E15510B3512}" type="presOf" srcId="{8B5DEB5C-8C55-4276-BD54-CCBDD98051B4}" destId="{F9DF4423-22C1-4A2D-879A-AD2149697DF9}" srcOrd="1" destOrd="0" presId="urn:microsoft.com/office/officeart/2009/3/layout/HorizontalOrganizationChart"/>
    <dgm:cxn modelId="{7F4B6662-EC58-3A4F-9E50-3FB9D09F7720}" type="presOf" srcId="{DD753F1C-638B-47BD-8886-0AE272FD6A1A}" destId="{468C2440-19A1-453B-80DF-543A8590892D}" srcOrd="0" destOrd="0" presId="urn:microsoft.com/office/officeart/2009/3/layout/HorizontalOrganizationChart"/>
    <dgm:cxn modelId="{A0D8EF78-EBEF-A842-BC0D-B561DBC4961E}" type="presOf" srcId="{06582A8D-D22C-4DCC-90FD-720881C96886}" destId="{B4AA179A-838B-46CB-837C-393B91356768}" srcOrd="0" destOrd="0" presId="urn:microsoft.com/office/officeart/2009/3/layout/HorizontalOrganizationChart"/>
    <dgm:cxn modelId="{6A381167-F6AD-4497-8B16-A425EA26D435}" srcId="{C537F909-03A4-49C7-BE55-3D3018AA6364}" destId="{2E789311-55D6-4ACC-9037-AF2FA7EDF128}" srcOrd="0" destOrd="0" parTransId="{D3D94E57-9E07-4EAB-8BB1-CF6B022E1B6C}" sibTransId="{90FDC9E0-C2F1-424C-952F-58A6D9FB33C2}"/>
    <dgm:cxn modelId="{D85B225E-7D90-F74B-8FD6-00D777F146F8}" type="presOf" srcId="{D5E36A28-99B6-4FC0-9070-7ED02FC29250}" destId="{8909094D-14E7-4B59-BD58-63DBAC7704C8}" srcOrd="0" destOrd="0" presId="urn:microsoft.com/office/officeart/2009/3/layout/HorizontalOrganizationChart"/>
    <dgm:cxn modelId="{9B9FB556-C576-CE47-8F9B-77B0227BEA35}" type="presOf" srcId="{7D6F0DD1-9A79-4F62-8AD7-3EDDC69B447D}" destId="{DAEA0156-4E92-4C0E-B2AF-9A145C13569D}" srcOrd="0" destOrd="0" presId="urn:microsoft.com/office/officeart/2009/3/layout/HorizontalOrganizationChart"/>
    <dgm:cxn modelId="{B4D04980-3EE6-6244-BB14-0D8E09267886}" type="presOf" srcId="{2E789311-55D6-4ACC-9037-AF2FA7EDF128}" destId="{E2A56376-99A5-4121-A4A4-BD4B1C2269CB}" srcOrd="1" destOrd="0" presId="urn:microsoft.com/office/officeart/2009/3/layout/HorizontalOrganizationChart"/>
    <dgm:cxn modelId="{3B431E49-D4E3-224D-9C44-A036AEF93DE8}" type="presOf" srcId="{ABA40515-5DF0-4E5E-954F-1AD039035CF9}" destId="{07D6A8ED-EBA2-4BBD-B5C5-FD291404DCA1}" srcOrd="0" destOrd="0" presId="urn:microsoft.com/office/officeart/2009/3/layout/HorizontalOrganizationChart"/>
    <dgm:cxn modelId="{ED4122A1-BBB7-AB48-8E8C-D33F0035EDBB}" type="presOf" srcId="{ABA40515-5DF0-4E5E-954F-1AD039035CF9}" destId="{4B3F665A-E4E7-4C36-A39E-382E5CC7B3BF}" srcOrd="1" destOrd="0" presId="urn:microsoft.com/office/officeart/2009/3/layout/HorizontalOrganizationChart"/>
    <dgm:cxn modelId="{B464D5E0-A2B7-4F6B-A36C-914CD8BC1284}" srcId="{1C883CFC-D379-47C6-91CA-71401CB287CC}" destId="{4F026230-1A2F-49B3-8DED-90DC775A5C5D}" srcOrd="5" destOrd="0" parTransId="{E3A1DDE3-59E0-4C11-94F2-A506C0BA0765}" sibTransId="{6D3815D4-8672-4D31-B765-0395A539B3FD}"/>
    <dgm:cxn modelId="{ABAA8352-E370-4BF0-B504-5D1B8FD4EAE5}" srcId="{D5E36A28-99B6-4FC0-9070-7ED02FC29250}" destId="{5295C353-352C-476C-B51F-1BD002154315}" srcOrd="1" destOrd="0" parTransId="{DD753F1C-638B-47BD-8886-0AE272FD6A1A}" sibTransId="{F423763D-7E86-41A2-8A81-940649B273DA}"/>
    <dgm:cxn modelId="{1C4E49A6-8A50-3747-8E37-36FAC39A5429}" type="presOf" srcId="{7B489007-80AD-4185-A4B7-E66F8EF0A52E}" destId="{7C5517C4-3757-473A-A2AB-C23307A8C026}" srcOrd="0" destOrd="0" presId="urn:microsoft.com/office/officeart/2009/3/layout/HorizontalOrganizationChart"/>
    <dgm:cxn modelId="{97249998-B149-4C4A-81A7-0439406BB6F3}" type="presOf" srcId="{C86F1F34-ED01-45D4-AE7D-8EF8AB8D6684}" destId="{7DD676B3-DDB5-42A6-9CC2-DB4D82FB445E}" srcOrd="1" destOrd="0" presId="urn:microsoft.com/office/officeart/2009/3/layout/HorizontalOrganizationChart"/>
    <dgm:cxn modelId="{15C979FA-4283-F24A-8D56-76623CDF5B87}" type="presOf" srcId="{7B489007-80AD-4185-A4B7-E66F8EF0A52E}" destId="{8F848BFC-04CC-4971-AC80-A0EFB3406FAB}" srcOrd="1" destOrd="0" presId="urn:microsoft.com/office/officeart/2009/3/layout/HorizontalOrganizationChart"/>
    <dgm:cxn modelId="{32665196-D1C1-774F-BE53-F501BB47D6D5}" type="presOf" srcId="{36ADB002-E3F4-435F-8C08-13843DA5A1B0}" destId="{5EA6F373-B08B-43BA-98BE-A4DC43113878}" srcOrd="0" destOrd="0" presId="urn:microsoft.com/office/officeart/2009/3/layout/HorizontalOrganizationChart"/>
    <dgm:cxn modelId="{53782F5E-F271-7847-8CBC-F78C0D3C353A}" type="presOf" srcId="{72D0F7D4-88A2-4ACA-9F54-BCEC289A3E69}" destId="{4FAF366C-4DD3-47EC-B84C-013FBEB576D8}" srcOrd="1" destOrd="0" presId="urn:microsoft.com/office/officeart/2009/3/layout/HorizontalOrganizationChart"/>
    <dgm:cxn modelId="{8B69D4E3-C08B-ED41-9233-F9151295F65D}" type="presOf" srcId="{1C883CFC-D379-47C6-91CA-71401CB287CC}" destId="{7474C64F-F3D4-4617-99E1-F32B43144C36}" srcOrd="0" destOrd="0" presId="urn:microsoft.com/office/officeart/2009/3/layout/HorizontalOrganizationChart"/>
    <dgm:cxn modelId="{CFF8205C-34E2-4E49-AB5F-3C87B13C7ACA}" type="presOf" srcId="{2E789311-55D6-4ACC-9037-AF2FA7EDF128}" destId="{6DA230CD-DA1D-4E10-94B6-19540BA1644F}" srcOrd="0" destOrd="0" presId="urn:microsoft.com/office/officeart/2009/3/layout/HorizontalOrganizationChart"/>
    <dgm:cxn modelId="{DB128853-C78E-D14E-961D-50FBBC0F93AC}" type="presOf" srcId="{AF5A16E7-274D-47F0-8441-9AB8EAD5BA58}" destId="{D5357351-A9EE-4C88-AF2E-B84ED0E56048}" srcOrd="0" destOrd="0" presId="urn:microsoft.com/office/officeart/2009/3/layout/HorizontalOrganizationChart"/>
    <dgm:cxn modelId="{D031C4C1-5773-452D-9FBB-EC5AD22AD958}" srcId="{D668721C-61DC-4361-AC82-4B213134CB9A}" destId="{72D0F7D4-88A2-4ACA-9F54-BCEC289A3E69}" srcOrd="4" destOrd="0" parTransId="{44E1D15E-C70A-4CCD-85A8-B39C1FD0761C}" sibTransId="{65F9B17C-3851-4F75-B7FE-DC789ECE82B3}"/>
    <dgm:cxn modelId="{C0DED69B-F960-1540-AF44-C2F772614680}" type="presOf" srcId="{0849E6CB-F745-45AE-BAE0-58C68E5E5123}" destId="{2DE4D13C-002A-4821-A131-1E213E75A72C}" srcOrd="0" destOrd="0" presId="urn:microsoft.com/office/officeart/2009/3/layout/HorizontalOrganizationChart"/>
    <dgm:cxn modelId="{FFCE7332-CB8F-D746-A18B-CFB3526B8DE5}" type="presOf" srcId="{72D0F7D4-88A2-4ACA-9F54-BCEC289A3E69}" destId="{31AC8CB5-8ACB-4234-8CCD-536EBF72B931}" srcOrd="0" destOrd="0" presId="urn:microsoft.com/office/officeart/2009/3/layout/HorizontalOrganizationChart"/>
    <dgm:cxn modelId="{FFB0E423-D865-E24E-A235-9D18E5AC37DF}" type="presOf" srcId="{8B5DEB5C-8C55-4276-BD54-CCBDD98051B4}" destId="{EB843BC1-50A2-474A-9FCF-B88EA72F36AB}" srcOrd="0" destOrd="0" presId="urn:microsoft.com/office/officeart/2009/3/layout/HorizontalOrganizationChart"/>
    <dgm:cxn modelId="{7389B451-ED1B-4240-A55E-FDA9D4A6D27E}" type="presOf" srcId="{D199A273-E2B2-427A-B79D-3938575849C8}" destId="{F4D141B2-29FD-4ACE-B513-E8B071878177}" srcOrd="1" destOrd="0" presId="urn:microsoft.com/office/officeart/2009/3/layout/HorizontalOrganizationChart"/>
    <dgm:cxn modelId="{F855D76B-32FC-F043-B8FA-4FA1F806B268}" type="presOf" srcId="{2158C0E0-4665-4FDE-96B1-4EA2550DE356}" destId="{D7A1FA5E-292A-4745-9E01-BFFDDB5D9512}" srcOrd="0" destOrd="0" presId="urn:microsoft.com/office/officeart/2009/3/layout/HorizontalOrganizationChart"/>
    <dgm:cxn modelId="{836E5496-0302-483B-9F57-8197158C4F51}" srcId="{1C883CFC-D379-47C6-91CA-71401CB287CC}" destId="{18EF6BC0-ED52-4DBE-9249-0D072B4977F9}" srcOrd="6" destOrd="0" parTransId="{775BE6A7-2EEF-4FFA-AA36-8440054441DD}" sibTransId="{CBC50CB9-218D-403E-B125-7289F8F1FA42}"/>
    <dgm:cxn modelId="{84BBBB64-73A9-C943-B56E-2AEC9CD20592}" type="presOf" srcId="{D07BD4C7-505E-4B38-BDF3-D9405F73D623}" destId="{8DBCCFC9-0D57-410D-9622-8E377354D04E}" srcOrd="0" destOrd="0" presId="urn:microsoft.com/office/officeart/2009/3/layout/HorizontalOrganizationChart"/>
    <dgm:cxn modelId="{80FFB3A4-0408-E94C-972E-CA5E73250A69}" type="presOf" srcId="{C537F909-03A4-49C7-BE55-3D3018AA6364}" destId="{C3DEE968-220F-4034-82ED-76E0597FC97C}" srcOrd="1" destOrd="0" presId="urn:microsoft.com/office/officeart/2009/3/layout/HorizontalOrganizationChart"/>
    <dgm:cxn modelId="{457B1A55-4869-654E-936F-7874573186F8}" type="presOf" srcId="{D835EDB0-9CB2-42E7-867B-C4ECAF462EDB}" destId="{9C74335F-F3A3-499E-A007-CC6E32BAC2D3}" srcOrd="0" destOrd="0" presId="urn:microsoft.com/office/officeart/2009/3/layout/HorizontalOrganizationChart"/>
    <dgm:cxn modelId="{225256A5-336B-3B4D-B29B-7FB7374E98C5}" type="presOf" srcId="{D339B5F0-61B0-4E05-AAA0-EB4D233C8D45}" destId="{A565B523-B336-4572-8029-03531730DDEA}" srcOrd="1" destOrd="0" presId="urn:microsoft.com/office/officeart/2009/3/layout/HorizontalOrganizationChart"/>
    <dgm:cxn modelId="{CA1C1352-F610-3245-86BE-0E873D2942A2}" type="presParOf" srcId="{24CF89FA-C85C-4ED3-B662-034FC8C0643E}" destId="{28F0C9CF-CC30-490A-BBD1-DF3306BDEDEC}" srcOrd="0" destOrd="0" presId="urn:microsoft.com/office/officeart/2009/3/layout/HorizontalOrganizationChart"/>
    <dgm:cxn modelId="{A9C389C4-BF19-0946-A278-9321B12435F4}" type="presParOf" srcId="{28F0C9CF-CC30-490A-BBD1-DF3306BDEDEC}" destId="{904339F3-5DFA-4D6F-910C-09298F874BA5}" srcOrd="0" destOrd="0" presId="urn:microsoft.com/office/officeart/2009/3/layout/HorizontalOrganizationChart"/>
    <dgm:cxn modelId="{65DF7A72-2C65-024C-A33B-965F555DA5D0}" type="presParOf" srcId="{904339F3-5DFA-4D6F-910C-09298F874BA5}" destId="{DAEA0156-4E92-4C0E-B2AF-9A145C13569D}" srcOrd="0" destOrd="0" presId="urn:microsoft.com/office/officeart/2009/3/layout/HorizontalOrganizationChart"/>
    <dgm:cxn modelId="{BFD23135-A886-A645-812A-0EFCADD28B2E}" type="presParOf" srcId="{904339F3-5DFA-4D6F-910C-09298F874BA5}" destId="{D1AA9763-7028-434D-B94F-7F995E9F6636}" srcOrd="1" destOrd="0" presId="urn:microsoft.com/office/officeart/2009/3/layout/HorizontalOrganizationChart"/>
    <dgm:cxn modelId="{5CE65995-B316-B54C-BD41-0447FB268242}" type="presParOf" srcId="{28F0C9CF-CC30-490A-BBD1-DF3306BDEDEC}" destId="{B83FAE5F-98F4-4470-99A1-BE61C4E409F2}" srcOrd="1" destOrd="0" presId="urn:microsoft.com/office/officeart/2009/3/layout/HorizontalOrganizationChart"/>
    <dgm:cxn modelId="{1007661B-B491-6440-882A-9354ED5041A8}" type="presParOf" srcId="{28F0C9CF-CC30-490A-BBD1-DF3306BDEDEC}" destId="{9FE34E37-8D4A-4A2B-B043-68381316566B}" srcOrd="2" destOrd="0" presId="urn:microsoft.com/office/officeart/2009/3/layout/HorizontalOrganizationChart"/>
    <dgm:cxn modelId="{463BC157-74FE-694C-8EA7-CB4C4B88BF68}" type="presParOf" srcId="{24CF89FA-C85C-4ED3-B662-034FC8C0643E}" destId="{DA3BDD7B-6F94-4642-9235-EF7F540D8947}" srcOrd="1" destOrd="0" presId="urn:microsoft.com/office/officeart/2009/3/layout/HorizontalOrganizationChart"/>
    <dgm:cxn modelId="{42B06DE7-115F-F944-8402-11C81603FA90}" type="presParOf" srcId="{DA3BDD7B-6F94-4642-9235-EF7F540D8947}" destId="{AC2EA94D-BC33-419F-8C8E-5B8E6BF96263}" srcOrd="0" destOrd="0" presId="urn:microsoft.com/office/officeart/2009/3/layout/HorizontalOrganizationChart"/>
    <dgm:cxn modelId="{038DEFFE-86C8-994F-AA32-CABB3763FF59}" type="presParOf" srcId="{AC2EA94D-BC33-419F-8C8E-5B8E6BF96263}" destId="{A57FD8C0-4DA2-4ED4-BA08-8E2D35379ACF}" srcOrd="0" destOrd="0" presId="urn:microsoft.com/office/officeart/2009/3/layout/HorizontalOrganizationChart"/>
    <dgm:cxn modelId="{C85D4FDF-EAF1-4D42-9A98-DE77BCD3EA79}" type="presParOf" srcId="{AC2EA94D-BC33-419F-8C8E-5B8E6BF96263}" destId="{896AF813-4488-4B34-8987-143649A410A1}" srcOrd="1" destOrd="0" presId="urn:microsoft.com/office/officeart/2009/3/layout/HorizontalOrganizationChart"/>
    <dgm:cxn modelId="{D4D64D15-7CC5-4440-9C97-97E218BB26BB}" type="presParOf" srcId="{DA3BDD7B-6F94-4642-9235-EF7F540D8947}" destId="{5055FC6E-5A48-4350-8E9A-1A6B4C2DF32A}" srcOrd="1" destOrd="0" presId="urn:microsoft.com/office/officeart/2009/3/layout/HorizontalOrganizationChart"/>
    <dgm:cxn modelId="{5402C54C-4A06-994C-969A-33C656741E24}" type="presParOf" srcId="{DA3BDD7B-6F94-4642-9235-EF7F540D8947}" destId="{36C16CAE-F42F-401E-8BC9-741BF3793355}" srcOrd="2" destOrd="0" presId="urn:microsoft.com/office/officeart/2009/3/layout/HorizontalOrganizationChart"/>
    <dgm:cxn modelId="{ECF6EFE2-4BEA-714F-B3C3-0A6D9E9126AD}" type="presParOf" srcId="{24CF89FA-C85C-4ED3-B662-034FC8C0643E}" destId="{3269DDFD-FC2D-4083-8F5D-60E406D155BD}" srcOrd="2" destOrd="0" presId="urn:microsoft.com/office/officeart/2009/3/layout/HorizontalOrganizationChart"/>
    <dgm:cxn modelId="{B51CD738-A1E8-9740-BB40-6E8236897E3C}" type="presParOf" srcId="{3269DDFD-FC2D-4083-8F5D-60E406D155BD}" destId="{5793BDC1-3960-451B-8B7E-8D6363963165}" srcOrd="0" destOrd="0" presId="urn:microsoft.com/office/officeart/2009/3/layout/HorizontalOrganizationChart"/>
    <dgm:cxn modelId="{1580C7D3-C2C1-A043-B31E-BE091E4E26DF}" type="presParOf" srcId="{5793BDC1-3960-451B-8B7E-8D6363963165}" destId="{B4AA179A-838B-46CB-837C-393B91356768}" srcOrd="0" destOrd="0" presId="urn:microsoft.com/office/officeart/2009/3/layout/HorizontalOrganizationChart"/>
    <dgm:cxn modelId="{4B51E13F-A1F9-C942-9799-EAD5E963B956}" type="presParOf" srcId="{5793BDC1-3960-451B-8B7E-8D6363963165}" destId="{B74D5B61-55AD-4B5C-902C-23841A227AC0}" srcOrd="1" destOrd="0" presId="urn:microsoft.com/office/officeart/2009/3/layout/HorizontalOrganizationChart"/>
    <dgm:cxn modelId="{67462F1D-2D37-594F-AB07-28DD41AB5EF6}" type="presParOf" srcId="{3269DDFD-FC2D-4083-8F5D-60E406D155BD}" destId="{4B2519E4-7A74-4FBF-92F4-80C393E144BC}" srcOrd="1" destOrd="0" presId="urn:microsoft.com/office/officeart/2009/3/layout/HorizontalOrganizationChart"/>
    <dgm:cxn modelId="{9F4495A0-3A3D-7745-812A-FF5D871C0BBF}" type="presParOf" srcId="{3269DDFD-FC2D-4083-8F5D-60E406D155BD}" destId="{5C7AD0CF-9783-4A89-9ECD-8F657A072138}" srcOrd="2" destOrd="0" presId="urn:microsoft.com/office/officeart/2009/3/layout/HorizontalOrganizationChart"/>
    <dgm:cxn modelId="{2B5E0195-72B2-E449-B6F5-40002C636A79}" type="presParOf" srcId="{24CF89FA-C85C-4ED3-B662-034FC8C0643E}" destId="{77CE714F-EB7B-486A-BFBA-7E2C4E764F54}" srcOrd="3" destOrd="0" presId="urn:microsoft.com/office/officeart/2009/3/layout/HorizontalOrganizationChart"/>
    <dgm:cxn modelId="{8BD3FA13-2A95-9544-AE5C-9A5ACD1EDBDC}" type="presParOf" srcId="{77CE714F-EB7B-486A-BFBA-7E2C4E764F54}" destId="{C2A11C06-C27C-40A4-8691-6922F826A97B}" srcOrd="0" destOrd="0" presId="urn:microsoft.com/office/officeart/2009/3/layout/HorizontalOrganizationChart"/>
    <dgm:cxn modelId="{B3A7C163-DEC3-8D42-BF8C-5E13D2739537}" type="presParOf" srcId="{C2A11C06-C27C-40A4-8691-6922F826A97B}" destId="{7474C64F-F3D4-4617-99E1-F32B43144C36}" srcOrd="0" destOrd="0" presId="urn:microsoft.com/office/officeart/2009/3/layout/HorizontalOrganizationChart"/>
    <dgm:cxn modelId="{2A903C95-64F9-E444-AA51-E623E8171811}" type="presParOf" srcId="{C2A11C06-C27C-40A4-8691-6922F826A97B}" destId="{4BA97711-1D24-4B12-9947-43F032A7F234}" srcOrd="1" destOrd="0" presId="urn:microsoft.com/office/officeart/2009/3/layout/HorizontalOrganizationChart"/>
    <dgm:cxn modelId="{7F40744A-C7C3-594E-95D8-CE6DC64208C4}" type="presParOf" srcId="{77CE714F-EB7B-486A-BFBA-7E2C4E764F54}" destId="{491162A1-D52A-4141-8CCC-B68599E0DCAE}" srcOrd="1" destOrd="0" presId="urn:microsoft.com/office/officeart/2009/3/layout/HorizontalOrganizationChart"/>
    <dgm:cxn modelId="{07AB78DE-412F-BC4D-A226-4F89BB1BC641}" type="presParOf" srcId="{491162A1-D52A-4141-8CCC-B68599E0DCAE}" destId="{8FB7DF26-94F1-473B-91C2-FC72C39CC9B6}" srcOrd="0" destOrd="0" presId="urn:microsoft.com/office/officeart/2009/3/layout/HorizontalOrganizationChart"/>
    <dgm:cxn modelId="{3594502F-7AF5-8540-9B93-C79849CF3FA8}" type="presParOf" srcId="{491162A1-D52A-4141-8CCC-B68599E0DCAE}" destId="{C1D4BF1F-8994-4241-992F-DFD40DF12CBA}" srcOrd="1" destOrd="0" presId="urn:microsoft.com/office/officeart/2009/3/layout/HorizontalOrganizationChart"/>
    <dgm:cxn modelId="{5B08FD53-38FB-FE42-BC11-E6FDF1D523D1}" type="presParOf" srcId="{C1D4BF1F-8994-4241-992F-DFD40DF12CBA}" destId="{6ABA61F4-FF3A-44C7-A642-6352FD48134E}" srcOrd="0" destOrd="0" presId="urn:microsoft.com/office/officeart/2009/3/layout/HorizontalOrganizationChart"/>
    <dgm:cxn modelId="{8EB1BF36-4505-1545-989D-70B728471B2F}" type="presParOf" srcId="{6ABA61F4-FF3A-44C7-A642-6352FD48134E}" destId="{7ABB9496-7179-433E-BE54-AA118BA165FC}" srcOrd="0" destOrd="0" presId="urn:microsoft.com/office/officeart/2009/3/layout/HorizontalOrganizationChart"/>
    <dgm:cxn modelId="{E83BEDB1-5B92-D04A-ADCC-DF55F487C897}" type="presParOf" srcId="{6ABA61F4-FF3A-44C7-A642-6352FD48134E}" destId="{D0DBF6D6-A102-4D81-95E7-2A1A40EF51B4}" srcOrd="1" destOrd="0" presId="urn:microsoft.com/office/officeart/2009/3/layout/HorizontalOrganizationChart"/>
    <dgm:cxn modelId="{6C1CF76F-62CE-DE43-B59F-A658F9216011}" type="presParOf" srcId="{C1D4BF1F-8994-4241-992F-DFD40DF12CBA}" destId="{2E0C3B5C-9B22-48DD-A4AD-29FC3760DD3C}" srcOrd="1" destOrd="0" presId="urn:microsoft.com/office/officeart/2009/3/layout/HorizontalOrganizationChart"/>
    <dgm:cxn modelId="{2D303D04-969D-5A49-8E32-8D765AD88587}" type="presParOf" srcId="{2E0C3B5C-9B22-48DD-A4AD-29FC3760DD3C}" destId="{2B97D1FB-0DDB-4CA1-8B58-C12AC31C93C0}" srcOrd="0" destOrd="0" presId="urn:microsoft.com/office/officeart/2009/3/layout/HorizontalOrganizationChart"/>
    <dgm:cxn modelId="{D4569AA5-0FD0-894A-94AF-5B880CF8252A}" type="presParOf" srcId="{2E0C3B5C-9B22-48DD-A4AD-29FC3760DD3C}" destId="{D9E97DB3-70D3-47E4-BC75-605AE57F5E62}" srcOrd="1" destOrd="0" presId="urn:microsoft.com/office/officeart/2009/3/layout/HorizontalOrganizationChart"/>
    <dgm:cxn modelId="{23507BE4-1429-1945-993A-0562B32A0312}" type="presParOf" srcId="{D9E97DB3-70D3-47E4-BC75-605AE57F5E62}" destId="{00F7766B-A049-4CCF-B14B-05A0759EF5F5}" srcOrd="0" destOrd="0" presId="urn:microsoft.com/office/officeart/2009/3/layout/HorizontalOrganizationChart"/>
    <dgm:cxn modelId="{059F6749-B50E-E441-8056-0FE2EB3124B8}" type="presParOf" srcId="{00F7766B-A049-4CCF-B14B-05A0759EF5F5}" destId="{FCD0F5F6-2FB2-4258-9641-421C803F64C3}" srcOrd="0" destOrd="0" presId="urn:microsoft.com/office/officeart/2009/3/layout/HorizontalOrganizationChart"/>
    <dgm:cxn modelId="{505DE2F1-77CE-514F-9EB2-B057C2DC6FE4}" type="presParOf" srcId="{00F7766B-A049-4CCF-B14B-05A0759EF5F5}" destId="{5E810AB2-EC29-47F3-AEB1-C31D0500A728}" srcOrd="1" destOrd="0" presId="urn:microsoft.com/office/officeart/2009/3/layout/HorizontalOrganizationChart"/>
    <dgm:cxn modelId="{F905DF78-A1F7-0F4F-81C1-3C765A8DBA6D}" type="presParOf" srcId="{D9E97DB3-70D3-47E4-BC75-605AE57F5E62}" destId="{8DF5C803-0C1B-45F8-8D63-C150FF833BEB}" srcOrd="1" destOrd="0" presId="urn:microsoft.com/office/officeart/2009/3/layout/HorizontalOrganizationChart"/>
    <dgm:cxn modelId="{58F70D41-4C7C-6547-8C33-2373F73D0937}" type="presParOf" srcId="{D9E97DB3-70D3-47E4-BC75-605AE57F5E62}" destId="{2AEB6F31-0372-4F38-B59E-EC4A4F755323}" srcOrd="2" destOrd="0" presId="urn:microsoft.com/office/officeart/2009/3/layout/HorizontalOrganizationChart"/>
    <dgm:cxn modelId="{CD26F790-4310-A24F-B6A2-699C88A2745F}" type="presParOf" srcId="{2E0C3B5C-9B22-48DD-A4AD-29FC3760DD3C}" destId="{E114FE5C-A8F5-4F3E-81FF-48DA14E6D140}" srcOrd="2" destOrd="0" presId="urn:microsoft.com/office/officeart/2009/3/layout/HorizontalOrganizationChart"/>
    <dgm:cxn modelId="{6C9AF27B-9C33-9F42-99AC-6797D2395AC3}" type="presParOf" srcId="{2E0C3B5C-9B22-48DD-A4AD-29FC3760DD3C}" destId="{0BB098C6-6409-4320-8857-5B4277CF3B4B}" srcOrd="3" destOrd="0" presId="urn:microsoft.com/office/officeart/2009/3/layout/HorizontalOrganizationChart"/>
    <dgm:cxn modelId="{15F8EA83-EDF4-EF41-9A3F-DCBD6543B54C}" type="presParOf" srcId="{0BB098C6-6409-4320-8857-5B4277CF3B4B}" destId="{709A4DFE-15C1-4943-B020-99BEAA1C7281}" srcOrd="0" destOrd="0" presId="urn:microsoft.com/office/officeart/2009/3/layout/HorizontalOrganizationChart"/>
    <dgm:cxn modelId="{BDEC1D67-50CB-454B-B21A-A805120A990A}" type="presParOf" srcId="{709A4DFE-15C1-4943-B020-99BEAA1C7281}" destId="{B84A46DC-014D-44A9-A435-7FBB638C2D46}" srcOrd="0" destOrd="0" presId="urn:microsoft.com/office/officeart/2009/3/layout/HorizontalOrganizationChart"/>
    <dgm:cxn modelId="{EC66E657-C049-0B49-B9AB-B2C694656A04}" type="presParOf" srcId="{709A4DFE-15C1-4943-B020-99BEAA1C7281}" destId="{9C047A81-39B5-42E9-9953-1B09011389A3}" srcOrd="1" destOrd="0" presId="urn:microsoft.com/office/officeart/2009/3/layout/HorizontalOrganizationChart"/>
    <dgm:cxn modelId="{8CECBB03-A285-FB45-92C8-4647E5829B40}" type="presParOf" srcId="{0BB098C6-6409-4320-8857-5B4277CF3B4B}" destId="{BFAE2354-54E5-439D-93FF-916FF2B258C3}" srcOrd="1" destOrd="0" presId="urn:microsoft.com/office/officeart/2009/3/layout/HorizontalOrganizationChart"/>
    <dgm:cxn modelId="{7ACF6763-1A9C-CE44-881F-98838F3DED76}" type="presParOf" srcId="{0BB098C6-6409-4320-8857-5B4277CF3B4B}" destId="{21BA336D-1690-4BFB-8218-2D11260514A4}" srcOrd="2" destOrd="0" presId="urn:microsoft.com/office/officeart/2009/3/layout/HorizontalOrganizationChart"/>
    <dgm:cxn modelId="{36E56DCC-3F6B-3045-8466-B7EC60486E82}" type="presParOf" srcId="{2E0C3B5C-9B22-48DD-A4AD-29FC3760DD3C}" destId="{8DBCCFC9-0D57-410D-9622-8E377354D04E}" srcOrd="4" destOrd="0" presId="urn:microsoft.com/office/officeart/2009/3/layout/HorizontalOrganizationChart"/>
    <dgm:cxn modelId="{50DEAEC8-54B1-2F4C-8076-B32A5A152228}" type="presParOf" srcId="{2E0C3B5C-9B22-48DD-A4AD-29FC3760DD3C}" destId="{179D44FE-000D-491C-934D-B29D01DF2629}" srcOrd="5" destOrd="0" presId="urn:microsoft.com/office/officeart/2009/3/layout/HorizontalOrganizationChart"/>
    <dgm:cxn modelId="{5FF6D020-895D-AB40-9CA1-1AE8B88497E7}" type="presParOf" srcId="{179D44FE-000D-491C-934D-B29D01DF2629}" destId="{1E404F0A-C680-458C-B18A-0AFCD0547F0A}" srcOrd="0" destOrd="0" presId="urn:microsoft.com/office/officeart/2009/3/layout/HorizontalOrganizationChart"/>
    <dgm:cxn modelId="{C40A0A8D-BA5F-D144-B412-F921CC39EAE9}" type="presParOf" srcId="{1E404F0A-C680-458C-B18A-0AFCD0547F0A}" destId="{8909094D-14E7-4B59-BD58-63DBAC7704C8}" srcOrd="0" destOrd="0" presId="urn:microsoft.com/office/officeart/2009/3/layout/HorizontalOrganizationChart"/>
    <dgm:cxn modelId="{E0BD51EF-49B6-AE47-B8BF-993AFDDF9E22}" type="presParOf" srcId="{1E404F0A-C680-458C-B18A-0AFCD0547F0A}" destId="{6A042EA3-8716-49DA-93C0-912149C23394}" srcOrd="1" destOrd="0" presId="urn:microsoft.com/office/officeart/2009/3/layout/HorizontalOrganizationChart"/>
    <dgm:cxn modelId="{FCE5F3C7-4D0C-1442-B29B-9B6457D1564C}" type="presParOf" srcId="{179D44FE-000D-491C-934D-B29D01DF2629}" destId="{60DB3516-D486-42A3-ADEE-8BB4D782882D}" srcOrd="1" destOrd="0" presId="urn:microsoft.com/office/officeart/2009/3/layout/HorizontalOrganizationChart"/>
    <dgm:cxn modelId="{D7578288-8CCF-EA43-86DD-5AE1BA1E9A40}" type="presParOf" srcId="{60DB3516-D486-42A3-ADEE-8BB4D782882D}" destId="{9C74335F-F3A3-499E-A007-CC6E32BAC2D3}" srcOrd="0" destOrd="0" presId="urn:microsoft.com/office/officeart/2009/3/layout/HorizontalOrganizationChart"/>
    <dgm:cxn modelId="{C7F3C89B-274B-6740-BE3F-BC710BD0F837}" type="presParOf" srcId="{60DB3516-D486-42A3-ADEE-8BB4D782882D}" destId="{AC92FA24-619D-4A48-B208-71574E2BB1C4}" srcOrd="1" destOrd="0" presId="urn:microsoft.com/office/officeart/2009/3/layout/HorizontalOrganizationChart"/>
    <dgm:cxn modelId="{315E7D01-5020-CB49-A393-46B20AFBBF70}" type="presParOf" srcId="{AC92FA24-619D-4A48-B208-71574E2BB1C4}" destId="{50927FE7-F1E1-4B49-BC22-0D008E881ED0}" srcOrd="0" destOrd="0" presId="urn:microsoft.com/office/officeart/2009/3/layout/HorizontalOrganizationChart"/>
    <dgm:cxn modelId="{3E05A762-3AEE-D24B-B2AE-A64B9BA7A917}" type="presParOf" srcId="{50927FE7-F1E1-4B49-BC22-0D008E881ED0}" destId="{DBBB1DD9-1DAA-42F3-880F-160159515FE0}" srcOrd="0" destOrd="0" presId="urn:microsoft.com/office/officeart/2009/3/layout/HorizontalOrganizationChart"/>
    <dgm:cxn modelId="{CA5C8FDF-4D7D-9647-A6A5-441EB93834F8}" type="presParOf" srcId="{50927FE7-F1E1-4B49-BC22-0D008E881ED0}" destId="{4F05C935-0E39-41DE-936B-E1A8193718FB}" srcOrd="1" destOrd="0" presId="urn:microsoft.com/office/officeart/2009/3/layout/HorizontalOrganizationChart"/>
    <dgm:cxn modelId="{BE736779-D873-D74C-87D9-31863131FA64}" type="presParOf" srcId="{AC92FA24-619D-4A48-B208-71574E2BB1C4}" destId="{81132845-A8D1-4D01-BAEC-382FAD05734B}" srcOrd="1" destOrd="0" presId="urn:microsoft.com/office/officeart/2009/3/layout/HorizontalOrganizationChart"/>
    <dgm:cxn modelId="{96A1403C-4F7D-9445-85F4-74B6B7E82EA6}" type="presParOf" srcId="{AC92FA24-619D-4A48-B208-71574E2BB1C4}" destId="{DB2E7033-8B6B-4752-AF0B-D264D8E3EC20}" srcOrd="2" destOrd="0" presId="urn:microsoft.com/office/officeart/2009/3/layout/HorizontalOrganizationChart"/>
    <dgm:cxn modelId="{84F7F210-3DFC-594E-A9CE-A75AF16F90A1}" type="presParOf" srcId="{60DB3516-D486-42A3-ADEE-8BB4D782882D}" destId="{468C2440-19A1-453B-80DF-543A8590892D}" srcOrd="2" destOrd="0" presId="urn:microsoft.com/office/officeart/2009/3/layout/HorizontalOrganizationChart"/>
    <dgm:cxn modelId="{7C164861-5238-5A49-9F07-F0E5FA35A0B5}" type="presParOf" srcId="{60DB3516-D486-42A3-ADEE-8BB4D782882D}" destId="{D869675C-BEE4-40DC-8B22-A93B0BE4A623}" srcOrd="3" destOrd="0" presId="urn:microsoft.com/office/officeart/2009/3/layout/HorizontalOrganizationChart"/>
    <dgm:cxn modelId="{83F60C67-EB82-6846-A90D-C4D21FE35F86}" type="presParOf" srcId="{D869675C-BEE4-40DC-8B22-A93B0BE4A623}" destId="{1F3F7F87-8DEC-47CB-974D-28FE3324A3DB}" srcOrd="0" destOrd="0" presId="urn:microsoft.com/office/officeart/2009/3/layout/HorizontalOrganizationChart"/>
    <dgm:cxn modelId="{ACB4BB60-0FDC-9941-AE87-5AF4649885D3}" type="presParOf" srcId="{1F3F7F87-8DEC-47CB-974D-28FE3324A3DB}" destId="{6D24DB05-3AF8-4695-9441-986E3247FEA0}" srcOrd="0" destOrd="0" presId="urn:microsoft.com/office/officeart/2009/3/layout/HorizontalOrganizationChart"/>
    <dgm:cxn modelId="{BC8E70DD-5E7D-4F47-B372-F7B02A613C30}" type="presParOf" srcId="{1F3F7F87-8DEC-47CB-974D-28FE3324A3DB}" destId="{5F65BD8A-F557-486F-8363-48B85324CF5A}" srcOrd="1" destOrd="0" presId="urn:microsoft.com/office/officeart/2009/3/layout/HorizontalOrganizationChart"/>
    <dgm:cxn modelId="{7D5C580E-F710-8442-9A55-93623F38060A}" type="presParOf" srcId="{D869675C-BEE4-40DC-8B22-A93B0BE4A623}" destId="{D04964F4-767D-44D6-8756-CA31518DC4E2}" srcOrd="1" destOrd="0" presId="urn:microsoft.com/office/officeart/2009/3/layout/HorizontalOrganizationChart"/>
    <dgm:cxn modelId="{5DC5E21E-8933-3545-BFDD-4CF2D90B0DFA}" type="presParOf" srcId="{D869675C-BEE4-40DC-8B22-A93B0BE4A623}" destId="{A180ECA6-2849-4525-86FC-A02278E4163B}" srcOrd="2" destOrd="0" presId="urn:microsoft.com/office/officeart/2009/3/layout/HorizontalOrganizationChart"/>
    <dgm:cxn modelId="{0A8056CE-6AE4-2449-9B2F-BDBC4F01B812}" type="presParOf" srcId="{60DB3516-D486-42A3-ADEE-8BB4D782882D}" destId="{598C75D8-1D1D-42A5-92AC-4096CF3E6E35}" srcOrd="4" destOrd="0" presId="urn:microsoft.com/office/officeart/2009/3/layout/HorizontalOrganizationChart"/>
    <dgm:cxn modelId="{7F1212CB-9CAF-264F-BCB1-739E44B66DC2}" type="presParOf" srcId="{60DB3516-D486-42A3-ADEE-8BB4D782882D}" destId="{3F130E00-B761-41A6-8C58-BEC45C8A3F4F}" srcOrd="5" destOrd="0" presId="urn:microsoft.com/office/officeart/2009/3/layout/HorizontalOrganizationChart"/>
    <dgm:cxn modelId="{815757BF-1DBC-7441-8418-BE9249882DFF}" type="presParOf" srcId="{3F130E00-B761-41A6-8C58-BEC45C8A3F4F}" destId="{7197E586-E0FF-462F-9ACD-DB5503F26681}" srcOrd="0" destOrd="0" presId="urn:microsoft.com/office/officeart/2009/3/layout/HorizontalOrganizationChart"/>
    <dgm:cxn modelId="{41C21486-22F5-D94A-95E2-49016A354909}" type="presParOf" srcId="{7197E586-E0FF-462F-9ACD-DB5503F26681}" destId="{5EA6F373-B08B-43BA-98BE-A4DC43113878}" srcOrd="0" destOrd="0" presId="urn:microsoft.com/office/officeart/2009/3/layout/HorizontalOrganizationChart"/>
    <dgm:cxn modelId="{3231DBED-7EB9-2A43-8596-1545669F8AB3}" type="presParOf" srcId="{7197E586-E0FF-462F-9ACD-DB5503F26681}" destId="{24732936-6C53-4998-809C-9742E1254D26}" srcOrd="1" destOrd="0" presId="urn:microsoft.com/office/officeart/2009/3/layout/HorizontalOrganizationChart"/>
    <dgm:cxn modelId="{BFD036B8-5C1C-1242-8482-EF34A0CA7085}" type="presParOf" srcId="{3F130E00-B761-41A6-8C58-BEC45C8A3F4F}" destId="{749B8C93-DA64-491B-88FA-DE12D3615FE5}" srcOrd="1" destOrd="0" presId="urn:microsoft.com/office/officeart/2009/3/layout/HorizontalOrganizationChart"/>
    <dgm:cxn modelId="{227653A6-0ABE-B84B-9764-45C463A809AC}" type="presParOf" srcId="{3F130E00-B761-41A6-8C58-BEC45C8A3F4F}" destId="{063B85A7-78A3-41EE-8FCF-F355F84BD619}" srcOrd="2" destOrd="0" presId="urn:microsoft.com/office/officeart/2009/3/layout/HorizontalOrganizationChart"/>
    <dgm:cxn modelId="{AF46EC94-7C11-E648-A383-96B2774A9DA6}" type="presParOf" srcId="{179D44FE-000D-491C-934D-B29D01DF2629}" destId="{3053B33E-C6BC-4E59-8942-3B158F033235}" srcOrd="2" destOrd="0" presId="urn:microsoft.com/office/officeart/2009/3/layout/HorizontalOrganizationChart"/>
    <dgm:cxn modelId="{99DFBE2D-06AA-E244-9679-798A8FD49674}" type="presParOf" srcId="{2E0C3B5C-9B22-48DD-A4AD-29FC3760DD3C}" destId="{D5357351-A9EE-4C88-AF2E-B84ED0E56048}" srcOrd="6" destOrd="0" presId="urn:microsoft.com/office/officeart/2009/3/layout/HorizontalOrganizationChart"/>
    <dgm:cxn modelId="{75124DAB-B52F-7342-8CAF-56079C9968E1}" type="presParOf" srcId="{2E0C3B5C-9B22-48DD-A4AD-29FC3760DD3C}" destId="{51D79FC8-44C5-4340-A4D8-34627818EB6B}" srcOrd="7" destOrd="0" presId="urn:microsoft.com/office/officeart/2009/3/layout/HorizontalOrganizationChart"/>
    <dgm:cxn modelId="{1DFBD50F-F4CD-0E40-8CE1-B0EC39512288}" type="presParOf" srcId="{51D79FC8-44C5-4340-A4D8-34627818EB6B}" destId="{37726F67-475E-4F23-A518-EA4C150FC984}" srcOrd="0" destOrd="0" presId="urn:microsoft.com/office/officeart/2009/3/layout/HorizontalOrganizationChart"/>
    <dgm:cxn modelId="{AEAFD365-9BFB-2646-9A9D-5929819F64FC}" type="presParOf" srcId="{37726F67-475E-4F23-A518-EA4C150FC984}" destId="{E5D07C8D-C74B-4703-B024-68C22C15E953}" srcOrd="0" destOrd="0" presId="urn:microsoft.com/office/officeart/2009/3/layout/HorizontalOrganizationChart"/>
    <dgm:cxn modelId="{C6E992C9-ABDC-9248-AD9A-AB6A5C08DEAE}" type="presParOf" srcId="{37726F67-475E-4F23-A518-EA4C150FC984}" destId="{9D2C79AD-8A9B-468E-B0D7-48CC30B8B49F}" srcOrd="1" destOrd="0" presId="urn:microsoft.com/office/officeart/2009/3/layout/HorizontalOrganizationChart"/>
    <dgm:cxn modelId="{DB4A202E-F355-3B4F-9010-BD0B0C10B166}" type="presParOf" srcId="{51D79FC8-44C5-4340-A4D8-34627818EB6B}" destId="{40D52B6D-556B-4439-9C81-63BCE0019D84}" srcOrd="1" destOrd="0" presId="urn:microsoft.com/office/officeart/2009/3/layout/HorizontalOrganizationChart"/>
    <dgm:cxn modelId="{667017E9-9C1F-7044-BBD3-EA098BF53CD9}" type="presParOf" srcId="{51D79FC8-44C5-4340-A4D8-34627818EB6B}" destId="{A115A980-5FC2-496D-A1F7-66DBF85DF729}" srcOrd="2" destOrd="0" presId="urn:microsoft.com/office/officeart/2009/3/layout/HorizontalOrganizationChart"/>
    <dgm:cxn modelId="{577BE53E-0976-C54B-9BD8-FF67474A5410}" type="presParOf" srcId="{2E0C3B5C-9B22-48DD-A4AD-29FC3760DD3C}" destId="{5A2C961C-D4C7-459A-9F6D-FE2E687AB6BC}" srcOrd="8" destOrd="0" presId="urn:microsoft.com/office/officeart/2009/3/layout/HorizontalOrganizationChart"/>
    <dgm:cxn modelId="{DEAD1E90-3618-A349-ADC7-425A2389420D}" type="presParOf" srcId="{2E0C3B5C-9B22-48DD-A4AD-29FC3760DD3C}" destId="{78D9F9D9-760A-4783-B592-F472BA2E2F3D}" srcOrd="9" destOrd="0" presId="urn:microsoft.com/office/officeart/2009/3/layout/HorizontalOrganizationChart"/>
    <dgm:cxn modelId="{CD1C2129-85E0-CA48-99F6-E27AC9762F38}" type="presParOf" srcId="{78D9F9D9-760A-4783-B592-F472BA2E2F3D}" destId="{C527FFAB-D430-47D4-878F-44FC07192E27}" srcOrd="0" destOrd="0" presId="urn:microsoft.com/office/officeart/2009/3/layout/HorizontalOrganizationChart"/>
    <dgm:cxn modelId="{06468824-A8E6-B54F-BCCB-8811A8B8E1CA}" type="presParOf" srcId="{C527FFAB-D430-47D4-878F-44FC07192E27}" destId="{31AC8CB5-8ACB-4234-8CCD-536EBF72B931}" srcOrd="0" destOrd="0" presId="urn:microsoft.com/office/officeart/2009/3/layout/HorizontalOrganizationChart"/>
    <dgm:cxn modelId="{1FCC3BDA-E589-3548-9826-6A8A651C7AE4}" type="presParOf" srcId="{C527FFAB-D430-47D4-878F-44FC07192E27}" destId="{4FAF366C-4DD3-47EC-B84C-013FBEB576D8}" srcOrd="1" destOrd="0" presId="urn:microsoft.com/office/officeart/2009/3/layout/HorizontalOrganizationChart"/>
    <dgm:cxn modelId="{6F1D4A1D-EB73-8741-816D-9163DFEBE00F}" type="presParOf" srcId="{78D9F9D9-760A-4783-B592-F472BA2E2F3D}" destId="{161E616E-DA1D-4B2E-9363-81AFECCC0BF4}" srcOrd="1" destOrd="0" presId="urn:microsoft.com/office/officeart/2009/3/layout/HorizontalOrganizationChart"/>
    <dgm:cxn modelId="{517E3477-935A-FA46-B394-54241413BBC8}" type="presParOf" srcId="{78D9F9D9-760A-4783-B592-F472BA2E2F3D}" destId="{1311D486-B181-47F3-AA0A-D8A753883DCE}" srcOrd="2" destOrd="0" presId="urn:microsoft.com/office/officeart/2009/3/layout/HorizontalOrganizationChart"/>
    <dgm:cxn modelId="{33191E1C-6C7C-0945-BECA-26D3AFEE10DB}" type="presParOf" srcId="{2E0C3B5C-9B22-48DD-A4AD-29FC3760DD3C}" destId="{2DE4D13C-002A-4821-A131-1E213E75A72C}" srcOrd="10" destOrd="0" presId="urn:microsoft.com/office/officeart/2009/3/layout/HorizontalOrganizationChart"/>
    <dgm:cxn modelId="{2236345C-9A4F-1942-B665-9E911659CFDE}" type="presParOf" srcId="{2E0C3B5C-9B22-48DD-A4AD-29FC3760DD3C}" destId="{F586FA39-AC61-4693-9490-E3CF67D4DC57}" srcOrd="11" destOrd="0" presId="urn:microsoft.com/office/officeart/2009/3/layout/HorizontalOrganizationChart"/>
    <dgm:cxn modelId="{F378D871-C022-9847-897B-994843ADD0CF}" type="presParOf" srcId="{F586FA39-AC61-4693-9490-E3CF67D4DC57}" destId="{7E145C87-7734-429E-BDD4-11A91F7E5379}" srcOrd="0" destOrd="0" presId="urn:microsoft.com/office/officeart/2009/3/layout/HorizontalOrganizationChart"/>
    <dgm:cxn modelId="{3CA6F412-986C-4849-82A9-68B1959714D4}" type="presParOf" srcId="{7E145C87-7734-429E-BDD4-11A91F7E5379}" destId="{7C5517C4-3757-473A-A2AB-C23307A8C026}" srcOrd="0" destOrd="0" presId="urn:microsoft.com/office/officeart/2009/3/layout/HorizontalOrganizationChart"/>
    <dgm:cxn modelId="{9FA2512E-67B3-064E-B85F-177B69880588}" type="presParOf" srcId="{7E145C87-7734-429E-BDD4-11A91F7E5379}" destId="{8F848BFC-04CC-4971-AC80-A0EFB3406FAB}" srcOrd="1" destOrd="0" presId="urn:microsoft.com/office/officeart/2009/3/layout/HorizontalOrganizationChart"/>
    <dgm:cxn modelId="{684E3009-C242-5B4F-8ABB-F85A1AD5EA1F}" type="presParOf" srcId="{F586FA39-AC61-4693-9490-E3CF67D4DC57}" destId="{C38B9FFD-2399-49D1-8AF4-1768EAFBBBB3}" srcOrd="1" destOrd="0" presId="urn:microsoft.com/office/officeart/2009/3/layout/HorizontalOrganizationChart"/>
    <dgm:cxn modelId="{4A55A57C-6A73-044F-919A-FD14B0D13780}" type="presParOf" srcId="{F586FA39-AC61-4693-9490-E3CF67D4DC57}" destId="{3D535D68-42FC-4AD6-8E3B-7E90CBE4A9AB}" srcOrd="2" destOrd="0" presId="urn:microsoft.com/office/officeart/2009/3/layout/HorizontalOrganizationChart"/>
    <dgm:cxn modelId="{1588FB4A-7858-A641-B8C6-2739E11373FA}" type="presParOf" srcId="{C1D4BF1F-8994-4241-992F-DFD40DF12CBA}" destId="{2B67057C-6138-4DA4-AF77-4585862FC2BE}" srcOrd="2" destOrd="0" presId="urn:microsoft.com/office/officeart/2009/3/layout/HorizontalOrganizationChart"/>
    <dgm:cxn modelId="{02190893-163B-E649-8A05-36F249E779B2}" type="presParOf" srcId="{491162A1-D52A-4141-8CCC-B68599E0DCAE}" destId="{0B014F54-7F96-4874-8A15-16D1E730A64E}" srcOrd="2" destOrd="0" presId="urn:microsoft.com/office/officeart/2009/3/layout/HorizontalOrganizationChart"/>
    <dgm:cxn modelId="{C24D2279-3BFB-1647-AAF4-E4AE557DD7B1}" type="presParOf" srcId="{491162A1-D52A-4141-8CCC-B68599E0DCAE}" destId="{F10A37C5-6D1C-4E42-849D-8EE113B85781}" srcOrd="3" destOrd="0" presId="urn:microsoft.com/office/officeart/2009/3/layout/HorizontalOrganizationChart"/>
    <dgm:cxn modelId="{F0921DD1-A297-6946-87F0-F1BFD0A3DA7D}" type="presParOf" srcId="{F10A37C5-6D1C-4E42-849D-8EE113B85781}" destId="{7B5A06CE-FCC0-4AA5-B466-A6E2185C7F15}" srcOrd="0" destOrd="0" presId="urn:microsoft.com/office/officeart/2009/3/layout/HorizontalOrganizationChart"/>
    <dgm:cxn modelId="{63FF7439-29FA-204C-92FF-E8F98DD5D9B8}" type="presParOf" srcId="{7B5A06CE-FCC0-4AA5-B466-A6E2185C7F15}" destId="{97803CDD-1BB4-4967-AE3C-FE8FE0B88C86}" srcOrd="0" destOrd="0" presId="urn:microsoft.com/office/officeart/2009/3/layout/HorizontalOrganizationChart"/>
    <dgm:cxn modelId="{DC845659-E2E8-F949-A9D5-D6B804BB1BA1}" type="presParOf" srcId="{7B5A06CE-FCC0-4AA5-B466-A6E2185C7F15}" destId="{7DD676B3-DDB5-42A6-9CC2-DB4D82FB445E}" srcOrd="1" destOrd="0" presId="urn:microsoft.com/office/officeart/2009/3/layout/HorizontalOrganizationChart"/>
    <dgm:cxn modelId="{67AF79B5-46DD-9941-A600-F08D2FE67BAB}" type="presParOf" srcId="{F10A37C5-6D1C-4E42-849D-8EE113B85781}" destId="{599EBB4E-4735-41B1-BF9A-51CCEE3C9C74}" srcOrd="1" destOrd="0" presId="urn:microsoft.com/office/officeart/2009/3/layout/HorizontalOrganizationChart"/>
    <dgm:cxn modelId="{F0CE2DE2-E71A-F746-9DC5-AFFA4F794C22}" type="presParOf" srcId="{F10A37C5-6D1C-4E42-849D-8EE113B85781}" destId="{52B18533-7351-4A34-85B7-891EC03619E2}" srcOrd="2" destOrd="0" presId="urn:microsoft.com/office/officeart/2009/3/layout/HorizontalOrganizationChart"/>
    <dgm:cxn modelId="{707A6786-5367-3F41-9D4F-C746F36087C6}" type="presParOf" srcId="{491162A1-D52A-4141-8CCC-B68599E0DCAE}" destId="{9DB90A71-986B-4ED4-8051-6934BA87DBF0}" srcOrd="4" destOrd="0" presId="urn:microsoft.com/office/officeart/2009/3/layout/HorizontalOrganizationChart"/>
    <dgm:cxn modelId="{36A77001-E3E8-6745-A87A-2F153AA61D9C}" type="presParOf" srcId="{491162A1-D52A-4141-8CCC-B68599E0DCAE}" destId="{B201656D-DB87-413E-95F0-9338A033BD86}" srcOrd="5" destOrd="0" presId="urn:microsoft.com/office/officeart/2009/3/layout/HorizontalOrganizationChart"/>
    <dgm:cxn modelId="{B51076C4-1CC0-C849-B2E6-78E8B76DDEF1}" type="presParOf" srcId="{B201656D-DB87-413E-95F0-9338A033BD86}" destId="{995608E2-8F5F-41EA-8034-CD477F4271B6}" srcOrd="0" destOrd="0" presId="urn:microsoft.com/office/officeart/2009/3/layout/HorizontalOrganizationChart"/>
    <dgm:cxn modelId="{858F92C9-DFE7-0847-9862-EF6B1E00A4B6}" type="presParOf" srcId="{995608E2-8F5F-41EA-8034-CD477F4271B6}" destId="{835D03BE-BF24-4016-AF9C-369B42FC1CC2}" srcOrd="0" destOrd="0" presId="urn:microsoft.com/office/officeart/2009/3/layout/HorizontalOrganizationChart"/>
    <dgm:cxn modelId="{0D17A3E9-2748-124A-BCC9-F4D5486288BA}" type="presParOf" srcId="{995608E2-8F5F-41EA-8034-CD477F4271B6}" destId="{C3DEE968-220F-4034-82ED-76E0597FC97C}" srcOrd="1" destOrd="0" presId="urn:microsoft.com/office/officeart/2009/3/layout/HorizontalOrganizationChart"/>
    <dgm:cxn modelId="{22F74DFC-1AFE-A34E-BF62-89B98564E74A}" type="presParOf" srcId="{B201656D-DB87-413E-95F0-9338A033BD86}" destId="{7BC032AB-D704-464F-A8BE-B0F43E87DA28}" srcOrd="1" destOrd="0" presId="urn:microsoft.com/office/officeart/2009/3/layout/HorizontalOrganizationChart"/>
    <dgm:cxn modelId="{98A6DFCC-9CE5-FD4C-A980-8FA18DA5FB4F}" type="presParOf" srcId="{7BC032AB-D704-464F-A8BE-B0F43E87DA28}" destId="{E1D19CB7-429C-4768-AC9F-694B39F48CFC}" srcOrd="0" destOrd="0" presId="urn:microsoft.com/office/officeart/2009/3/layout/HorizontalOrganizationChart"/>
    <dgm:cxn modelId="{FF02A5A9-4487-F641-AD44-60F28A9BC340}" type="presParOf" srcId="{7BC032AB-D704-464F-A8BE-B0F43E87DA28}" destId="{7A3B8103-4B42-40CD-91BF-E2C04045A045}" srcOrd="1" destOrd="0" presId="urn:microsoft.com/office/officeart/2009/3/layout/HorizontalOrganizationChart"/>
    <dgm:cxn modelId="{0082063C-8A16-FD48-B59E-1FA677A110DC}" type="presParOf" srcId="{7A3B8103-4B42-40CD-91BF-E2C04045A045}" destId="{258D57D9-96AE-47D1-9E01-B1EB49EC0339}" srcOrd="0" destOrd="0" presId="urn:microsoft.com/office/officeart/2009/3/layout/HorizontalOrganizationChart"/>
    <dgm:cxn modelId="{AF0ED053-BACA-2942-828C-5ED3D76B96B0}" type="presParOf" srcId="{258D57D9-96AE-47D1-9E01-B1EB49EC0339}" destId="{6DA230CD-DA1D-4E10-94B6-19540BA1644F}" srcOrd="0" destOrd="0" presId="urn:microsoft.com/office/officeart/2009/3/layout/HorizontalOrganizationChart"/>
    <dgm:cxn modelId="{03701CED-BF42-4942-A64C-180147181B2B}" type="presParOf" srcId="{258D57D9-96AE-47D1-9E01-B1EB49EC0339}" destId="{E2A56376-99A5-4121-A4A4-BD4B1C2269CB}" srcOrd="1" destOrd="0" presId="urn:microsoft.com/office/officeart/2009/3/layout/HorizontalOrganizationChart"/>
    <dgm:cxn modelId="{B6BD62E6-3338-0E42-91CC-906378B641F1}" type="presParOf" srcId="{7A3B8103-4B42-40CD-91BF-E2C04045A045}" destId="{04E42105-F5C4-49B3-AA27-96E6D2256ABC}" srcOrd="1" destOrd="0" presId="urn:microsoft.com/office/officeart/2009/3/layout/HorizontalOrganizationChart"/>
    <dgm:cxn modelId="{EF003F63-40F8-FF40-A4A2-5F9C012B879B}" type="presParOf" srcId="{7A3B8103-4B42-40CD-91BF-E2C04045A045}" destId="{CC20261F-3A6E-4B90-A643-1EE97ADF6422}" srcOrd="2" destOrd="0" presId="urn:microsoft.com/office/officeart/2009/3/layout/HorizontalOrganizationChart"/>
    <dgm:cxn modelId="{894AD8E3-69A5-EB4A-9DEA-265436463EF8}" type="presParOf" srcId="{7BC032AB-D704-464F-A8BE-B0F43E87DA28}" destId="{D7A1FA5E-292A-4745-9E01-BFFDDB5D9512}" srcOrd="2" destOrd="0" presId="urn:microsoft.com/office/officeart/2009/3/layout/HorizontalOrganizationChart"/>
    <dgm:cxn modelId="{369EC93C-7AB1-464E-B547-5A168CE928E6}" type="presParOf" srcId="{7BC032AB-D704-464F-A8BE-B0F43E87DA28}" destId="{33A8A157-FAE2-4A8C-90DF-6B6E61F87639}" srcOrd="3" destOrd="0" presId="urn:microsoft.com/office/officeart/2009/3/layout/HorizontalOrganizationChart"/>
    <dgm:cxn modelId="{C35C0262-07FC-D447-A0B8-EF49F68E722D}" type="presParOf" srcId="{33A8A157-FAE2-4A8C-90DF-6B6E61F87639}" destId="{765D4BB9-71E0-4E1B-8E94-41104B7E9688}" srcOrd="0" destOrd="0" presId="urn:microsoft.com/office/officeart/2009/3/layout/HorizontalOrganizationChart"/>
    <dgm:cxn modelId="{F434D0BE-F699-8B43-BD94-9DB3AEC7D7C7}" type="presParOf" srcId="{765D4BB9-71E0-4E1B-8E94-41104B7E9688}" destId="{8E50368C-CBD7-4AD4-A4DA-B99BDDB52838}" srcOrd="0" destOrd="0" presId="urn:microsoft.com/office/officeart/2009/3/layout/HorizontalOrganizationChart"/>
    <dgm:cxn modelId="{D6E61591-874F-0D4C-BADC-ECBF6CA00C0C}" type="presParOf" srcId="{765D4BB9-71E0-4E1B-8E94-41104B7E9688}" destId="{F4D141B2-29FD-4ACE-B513-E8B071878177}" srcOrd="1" destOrd="0" presId="urn:microsoft.com/office/officeart/2009/3/layout/HorizontalOrganizationChart"/>
    <dgm:cxn modelId="{1681C6C1-126B-0840-8A4B-A5EB2D41973A}" type="presParOf" srcId="{33A8A157-FAE2-4A8C-90DF-6B6E61F87639}" destId="{CD407F06-BF7F-4C07-983D-1F2246087248}" srcOrd="1" destOrd="0" presId="urn:microsoft.com/office/officeart/2009/3/layout/HorizontalOrganizationChart"/>
    <dgm:cxn modelId="{521D106C-0A70-A24F-8A3A-A5E773D8B898}" type="presParOf" srcId="{33A8A157-FAE2-4A8C-90DF-6B6E61F87639}" destId="{EF27C446-15DF-4920-A09F-292C43D987D4}" srcOrd="2" destOrd="0" presId="urn:microsoft.com/office/officeart/2009/3/layout/HorizontalOrganizationChart"/>
    <dgm:cxn modelId="{92AEE970-A37E-3943-8A1B-53D01EBCFC72}" type="presParOf" srcId="{7BC032AB-D704-464F-A8BE-B0F43E87DA28}" destId="{1A54BBD2-CBEE-420C-B4B4-26A219D4DBE9}" srcOrd="4" destOrd="0" presId="urn:microsoft.com/office/officeart/2009/3/layout/HorizontalOrganizationChart"/>
    <dgm:cxn modelId="{41449DA0-2ABF-4246-9AE7-9D584F3D47AB}" type="presParOf" srcId="{7BC032AB-D704-464F-A8BE-B0F43E87DA28}" destId="{3A6BE9B7-E7E7-4F4B-9FE7-0AF2DD68E798}" srcOrd="5" destOrd="0" presId="urn:microsoft.com/office/officeart/2009/3/layout/HorizontalOrganizationChart"/>
    <dgm:cxn modelId="{7151D8D0-8865-4C42-A0B2-69A7D87489EB}" type="presParOf" srcId="{3A6BE9B7-E7E7-4F4B-9FE7-0AF2DD68E798}" destId="{A48440EE-5548-4B31-8920-03E27A0DBDD1}" srcOrd="0" destOrd="0" presId="urn:microsoft.com/office/officeart/2009/3/layout/HorizontalOrganizationChart"/>
    <dgm:cxn modelId="{E1B8A6A6-AD5C-4144-A705-42FB8756BA75}" type="presParOf" srcId="{A48440EE-5548-4B31-8920-03E27A0DBDD1}" destId="{07D6A8ED-EBA2-4BBD-B5C5-FD291404DCA1}" srcOrd="0" destOrd="0" presId="urn:microsoft.com/office/officeart/2009/3/layout/HorizontalOrganizationChart"/>
    <dgm:cxn modelId="{9DB43B50-EB7C-7C44-9984-57B28B5859D3}" type="presParOf" srcId="{A48440EE-5548-4B31-8920-03E27A0DBDD1}" destId="{4B3F665A-E4E7-4C36-A39E-382E5CC7B3BF}" srcOrd="1" destOrd="0" presId="urn:microsoft.com/office/officeart/2009/3/layout/HorizontalOrganizationChart"/>
    <dgm:cxn modelId="{FCA400E1-F019-7542-8985-995514C1205F}" type="presParOf" srcId="{3A6BE9B7-E7E7-4F4B-9FE7-0AF2DD68E798}" destId="{2165B611-1E33-4A44-94F8-48C0F7B5A758}" srcOrd="1" destOrd="0" presId="urn:microsoft.com/office/officeart/2009/3/layout/HorizontalOrganizationChart"/>
    <dgm:cxn modelId="{D05C5FCA-F793-294A-90F3-A347D5FDD3F0}" type="presParOf" srcId="{3A6BE9B7-E7E7-4F4B-9FE7-0AF2DD68E798}" destId="{890BE84B-B3EA-41A2-82D8-5C00D6EE5378}" srcOrd="2" destOrd="0" presId="urn:microsoft.com/office/officeart/2009/3/layout/HorizontalOrganizationChart"/>
    <dgm:cxn modelId="{465A659A-AF2A-DB4F-9133-01A33E054BE1}" type="presParOf" srcId="{B201656D-DB87-413E-95F0-9338A033BD86}" destId="{62B29826-C7A2-410E-B8E6-9CD25D6A8D25}" srcOrd="2" destOrd="0" presId="urn:microsoft.com/office/officeart/2009/3/layout/HorizontalOrganizationChart"/>
    <dgm:cxn modelId="{819F99C2-923D-DD48-9702-7F583AB088B9}" type="presParOf" srcId="{491162A1-D52A-4141-8CCC-B68599E0DCAE}" destId="{5395E469-C271-4B00-80EF-AD4872B9D4BC}" srcOrd="6" destOrd="0" presId="urn:microsoft.com/office/officeart/2009/3/layout/HorizontalOrganizationChart"/>
    <dgm:cxn modelId="{AB4A9915-91DC-B14A-80CE-94BC22F08FCD}" type="presParOf" srcId="{491162A1-D52A-4141-8CCC-B68599E0DCAE}" destId="{53FB2D17-B223-444B-AD06-9BC1BDF4BC4C}" srcOrd="7" destOrd="0" presId="urn:microsoft.com/office/officeart/2009/3/layout/HorizontalOrganizationChart"/>
    <dgm:cxn modelId="{13872F90-D9A7-FF44-984D-339B8AF42255}" type="presParOf" srcId="{53FB2D17-B223-444B-AD06-9BC1BDF4BC4C}" destId="{E139C089-2E7C-4B8B-842D-4BCF371BA50A}" srcOrd="0" destOrd="0" presId="urn:microsoft.com/office/officeart/2009/3/layout/HorizontalOrganizationChart"/>
    <dgm:cxn modelId="{8D07DDE6-5F8E-8444-AAF4-F106CF6DBBEE}" type="presParOf" srcId="{E139C089-2E7C-4B8B-842D-4BCF371BA50A}" destId="{EB843BC1-50A2-474A-9FCF-B88EA72F36AB}" srcOrd="0" destOrd="0" presId="urn:microsoft.com/office/officeart/2009/3/layout/HorizontalOrganizationChart"/>
    <dgm:cxn modelId="{CD17390E-FEB9-6547-B5F9-E276DFD58880}" type="presParOf" srcId="{E139C089-2E7C-4B8B-842D-4BCF371BA50A}" destId="{F9DF4423-22C1-4A2D-879A-AD2149697DF9}" srcOrd="1" destOrd="0" presId="urn:microsoft.com/office/officeart/2009/3/layout/HorizontalOrganizationChart"/>
    <dgm:cxn modelId="{717E3153-568F-BE4B-86B7-FAB46D229537}" type="presParOf" srcId="{53FB2D17-B223-444B-AD06-9BC1BDF4BC4C}" destId="{83657993-A6F7-4A62-8DDD-4931A4BB99E0}" srcOrd="1" destOrd="0" presId="urn:microsoft.com/office/officeart/2009/3/layout/HorizontalOrganizationChart"/>
    <dgm:cxn modelId="{E848F740-BBCB-A146-B22E-5202220B1F8F}" type="presParOf" srcId="{53FB2D17-B223-444B-AD06-9BC1BDF4BC4C}" destId="{778BF581-6BB3-414A-8130-1B7618948C56}" srcOrd="2" destOrd="0" presId="urn:microsoft.com/office/officeart/2009/3/layout/HorizontalOrganizationChart"/>
    <dgm:cxn modelId="{B7050F5E-3DB2-AA43-96F2-EBFAE4073943}" type="presParOf" srcId="{491162A1-D52A-4141-8CCC-B68599E0DCAE}" destId="{F066A4C4-0B6F-4956-AE2D-4C3227D118DC}" srcOrd="8" destOrd="0" presId="urn:microsoft.com/office/officeart/2009/3/layout/HorizontalOrganizationChart"/>
    <dgm:cxn modelId="{124FDB86-677E-F842-AF2D-8E492CB2B4FE}" type="presParOf" srcId="{491162A1-D52A-4141-8CCC-B68599E0DCAE}" destId="{2E1A648F-7E23-4921-8A16-88F7DA85774B}" srcOrd="9" destOrd="0" presId="urn:microsoft.com/office/officeart/2009/3/layout/HorizontalOrganizationChart"/>
    <dgm:cxn modelId="{E710DE90-4294-2F49-9D45-822189A57C39}" type="presParOf" srcId="{2E1A648F-7E23-4921-8A16-88F7DA85774B}" destId="{253062BC-537F-4201-BDFC-06FAA1C65C96}" srcOrd="0" destOrd="0" presId="urn:microsoft.com/office/officeart/2009/3/layout/HorizontalOrganizationChart"/>
    <dgm:cxn modelId="{E5AC3FB0-9CA1-094F-9103-B78C9D8F88BC}" type="presParOf" srcId="{253062BC-537F-4201-BDFC-06FAA1C65C96}" destId="{C80CDAEC-83A5-438D-823E-64A22651EBBC}" srcOrd="0" destOrd="0" presId="urn:microsoft.com/office/officeart/2009/3/layout/HorizontalOrganizationChart"/>
    <dgm:cxn modelId="{8D8202ED-04AD-3D41-BF8D-7D68CF53B188}" type="presParOf" srcId="{253062BC-537F-4201-BDFC-06FAA1C65C96}" destId="{A565B523-B336-4572-8029-03531730DDEA}" srcOrd="1" destOrd="0" presId="urn:microsoft.com/office/officeart/2009/3/layout/HorizontalOrganizationChart"/>
    <dgm:cxn modelId="{00C64933-510A-BE48-BCAE-2FEB2F92CB5B}" type="presParOf" srcId="{2E1A648F-7E23-4921-8A16-88F7DA85774B}" destId="{DC699B3B-8357-427D-A54C-F4237939E8CD}" srcOrd="1" destOrd="0" presId="urn:microsoft.com/office/officeart/2009/3/layout/HorizontalOrganizationChart"/>
    <dgm:cxn modelId="{13CEF036-DF96-9145-946B-0E0DCB5E6A1D}" type="presParOf" srcId="{2E1A648F-7E23-4921-8A16-88F7DA85774B}" destId="{8CE8FA04-7321-4DC0-82A9-347854F8B28F}" srcOrd="2" destOrd="0" presId="urn:microsoft.com/office/officeart/2009/3/layout/HorizontalOrganizationChart"/>
    <dgm:cxn modelId="{A8E47EDE-694E-124D-8E01-F533F4CEE0AE}" type="presParOf" srcId="{491162A1-D52A-4141-8CCC-B68599E0DCAE}" destId="{E0E454BF-3E58-4ABD-8DA2-FD7A1696F981}" srcOrd="10" destOrd="0" presId="urn:microsoft.com/office/officeart/2009/3/layout/HorizontalOrganizationChart"/>
    <dgm:cxn modelId="{FF10B5B5-FE52-0942-839D-99B54B184410}" type="presParOf" srcId="{491162A1-D52A-4141-8CCC-B68599E0DCAE}" destId="{A098452D-A4CA-4D4A-A3D7-08216BB68326}" srcOrd="11" destOrd="0" presId="urn:microsoft.com/office/officeart/2009/3/layout/HorizontalOrganizationChart"/>
    <dgm:cxn modelId="{ED49BB39-0353-6C47-A65E-18ECFA00D98A}" type="presParOf" srcId="{A098452D-A4CA-4D4A-A3D7-08216BB68326}" destId="{4898BF26-9A99-4A99-A10F-F2300D59D0A5}" srcOrd="0" destOrd="0" presId="urn:microsoft.com/office/officeart/2009/3/layout/HorizontalOrganizationChart"/>
    <dgm:cxn modelId="{446CC2FD-1F6C-7B49-9D97-3BA904E127C3}" type="presParOf" srcId="{4898BF26-9A99-4A99-A10F-F2300D59D0A5}" destId="{5B673C44-C66F-4A02-84DF-F23700B48042}" srcOrd="0" destOrd="0" presId="urn:microsoft.com/office/officeart/2009/3/layout/HorizontalOrganizationChart"/>
    <dgm:cxn modelId="{96DD3EF5-CE33-9D4C-998A-43E86F745EE1}" type="presParOf" srcId="{4898BF26-9A99-4A99-A10F-F2300D59D0A5}" destId="{3AA98633-91A4-4DC1-A389-D0B149161CF8}" srcOrd="1" destOrd="0" presId="urn:microsoft.com/office/officeart/2009/3/layout/HorizontalOrganizationChart"/>
    <dgm:cxn modelId="{20776233-8F34-3142-81E1-E33517DC4917}" type="presParOf" srcId="{A098452D-A4CA-4D4A-A3D7-08216BB68326}" destId="{FD8146CF-6723-4768-9AD5-4AC249BD7C13}" srcOrd="1" destOrd="0" presId="urn:microsoft.com/office/officeart/2009/3/layout/HorizontalOrganizationChart"/>
    <dgm:cxn modelId="{1C170986-5A73-124F-BA31-212132E48DCA}" type="presParOf" srcId="{A098452D-A4CA-4D4A-A3D7-08216BB68326}" destId="{6D389838-31D9-48DB-97A9-EE38D3EF79E0}" srcOrd="2" destOrd="0" presId="urn:microsoft.com/office/officeart/2009/3/layout/HorizontalOrganizationChart"/>
    <dgm:cxn modelId="{EBDEB471-B956-E44F-A3F5-EA490E9F3744}" type="presParOf" srcId="{491162A1-D52A-4141-8CCC-B68599E0DCAE}" destId="{478AD498-9E85-471B-8190-17489A76B93C}" srcOrd="12" destOrd="0" presId="urn:microsoft.com/office/officeart/2009/3/layout/HorizontalOrganizationChart"/>
    <dgm:cxn modelId="{56E3F909-C7AA-C941-A4C9-02C728169C9B}" type="presParOf" srcId="{491162A1-D52A-4141-8CCC-B68599E0DCAE}" destId="{E461E629-B012-4D20-9D29-31084DDAF9D0}" srcOrd="13" destOrd="0" presId="urn:microsoft.com/office/officeart/2009/3/layout/HorizontalOrganizationChart"/>
    <dgm:cxn modelId="{B556BD46-69E7-E147-ACFC-1CA978507A55}" type="presParOf" srcId="{E461E629-B012-4D20-9D29-31084DDAF9D0}" destId="{B54EBBEF-DBAD-4B6A-B04D-3B2110EDE80E}" srcOrd="0" destOrd="0" presId="urn:microsoft.com/office/officeart/2009/3/layout/HorizontalOrganizationChart"/>
    <dgm:cxn modelId="{27C53C8F-0FCA-6A41-B9E4-5A5494176C37}" type="presParOf" srcId="{B54EBBEF-DBAD-4B6A-B04D-3B2110EDE80E}" destId="{094BF983-C5B0-4D6A-9942-685EAE00A553}" srcOrd="0" destOrd="0" presId="urn:microsoft.com/office/officeart/2009/3/layout/HorizontalOrganizationChart"/>
    <dgm:cxn modelId="{433CA312-298A-FC4A-9904-05816AFC3EF5}" type="presParOf" srcId="{B54EBBEF-DBAD-4B6A-B04D-3B2110EDE80E}" destId="{546AABF9-A3A4-4AFE-B414-D263F876FEBA}" srcOrd="1" destOrd="0" presId="urn:microsoft.com/office/officeart/2009/3/layout/HorizontalOrganizationChart"/>
    <dgm:cxn modelId="{63325E16-6D0F-3645-B817-D9434C5A4A14}" type="presParOf" srcId="{E461E629-B012-4D20-9D29-31084DDAF9D0}" destId="{BE6141AA-681D-49BE-9D9D-AA4AAD03F684}" srcOrd="1" destOrd="0" presId="urn:microsoft.com/office/officeart/2009/3/layout/HorizontalOrganizationChart"/>
    <dgm:cxn modelId="{5E272CD1-FC41-7E43-886B-23B9CC4DD269}" type="presParOf" srcId="{E461E629-B012-4D20-9D29-31084DDAF9D0}" destId="{DC48A1B3-4D49-42D0-8E0F-3C1851A8A476}" srcOrd="2" destOrd="0" presId="urn:microsoft.com/office/officeart/2009/3/layout/HorizontalOrganizationChart"/>
    <dgm:cxn modelId="{52383533-3C50-8743-A1A3-4F28DCC96486}" type="presParOf" srcId="{77CE714F-EB7B-486A-BFBA-7E2C4E764F54}" destId="{59A845EF-8F09-4224-8D26-19B61044F09A}" srcOrd="2" destOrd="0" presId="urn:microsoft.com/office/officeart/2009/3/layout/HorizontalOrganizationChart"/>
  </dgm:cxnLst>
  <dgm:bg/>
  <dgm:whole/>
  <dgm:extLst>
    <a:ext uri="http://schemas.microsoft.com/office/drawing/2008/diagram">
      <dsp:dataModelExt xmlns:dsp="http://schemas.microsoft.com/office/drawing/2008/diagram" relId="rId147" minVer="http://schemas.openxmlformats.org/drawingml/2006/diagram"/>
    </a:ext>
    <a:ext uri="{C62137D5-CB1D-491B-B009-E17868A290BF}">
      <dgm14:recolorImg xmlns:dgm14="http://schemas.microsoft.com/office/drawing/2010/diagram" val="1"/>
    </a:ext>
  </dgm:extLst>
</dgm:dataModel>
</file>

<file path=word/diagrams/data9.xml><?xml version="1.0" encoding="utf-8"?>
<dgm:dataModel xmlns:dgm="http://schemas.openxmlformats.org/drawingml/2006/diagram" xmlns:a="http://schemas.openxmlformats.org/drawingml/2006/main">
  <dgm:ptLst>
    <dgm:pt modelId="{169DB8CF-F7DE-4455-8E7D-43E86079535F}" type="doc">
      <dgm:prSet loTypeId="urn:microsoft.com/office/officeart/2009/3/layout/HorizontalOrganizationChart" loCatId="hierarchy" qsTypeId="urn:microsoft.com/office/officeart/2005/8/quickstyle/3d4" qsCatId="3D" csTypeId="urn:microsoft.com/office/officeart/2005/8/colors/accent1_1" csCatId="accent1" phldr="1"/>
      <dgm:spPr/>
      <dgm:t>
        <a:bodyPr/>
        <a:lstStyle/>
        <a:p>
          <a:endParaRPr lang="fr-CH"/>
        </a:p>
      </dgm:t>
    </dgm:pt>
    <dgm:pt modelId="{7A26552F-776B-4D8C-9CEE-25DD21FEEAAC}">
      <dgm:prSet phldrT="[Text]" custT="1"/>
      <dgm:spPr/>
      <dgm:t>
        <a:bodyPr/>
        <a:lstStyle/>
        <a:p>
          <a:pPr algn="ctr"/>
          <a:r>
            <a:rPr lang="fr-CH" sz="1200" b="1"/>
            <a:t>Board of Governors (189)</a:t>
          </a:r>
        </a:p>
      </dgm:t>
    </dgm:pt>
    <dgm:pt modelId="{B64469C3-9629-4952-9859-E188974333A4}" type="parTrans" cxnId="{F7046998-A972-4078-8204-175FF7E78FCD}">
      <dgm:prSet/>
      <dgm:spPr/>
      <dgm:t>
        <a:bodyPr/>
        <a:lstStyle/>
        <a:p>
          <a:pPr algn="ctr"/>
          <a:endParaRPr lang="fr-CH"/>
        </a:p>
      </dgm:t>
    </dgm:pt>
    <dgm:pt modelId="{F053D33D-030D-4EBB-A558-AF4EA53D90D8}" type="sibTrans" cxnId="{F7046998-A972-4078-8204-175FF7E78FCD}">
      <dgm:prSet/>
      <dgm:spPr/>
      <dgm:t>
        <a:bodyPr/>
        <a:lstStyle/>
        <a:p>
          <a:pPr algn="ctr"/>
          <a:endParaRPr lang="fr-CH"/>
        </a:p>
      </dgm:t>
    </dgm:pt>
    <dgm:pt modelId="{D339B5F0-61B0-4E05-AAA0-EB4D233C8D45}">
      <dgm:prSet phldrT="[Text]" custT="1"/>
      <dgm:spPr/>
      <dgm:t>
        <a:bodyPr/>
        <a:lstStyle/>
        <a:p>
          <a:pPr algn="ctr"/>
          <a:r>
            <a:rPr lang="fr-CH" sz="900" b="1"/>
            <a:t>Managing Director &amp; WBG Chief Financial Officer                            </a:t>
          </a:r>
        </a:p>
        <a:p>
          <a:pPr algn="ctr"/>
          <a:r>
            <a:rPr lang="fr-CH" sz="700"/>
            <a:t>(Oversees 4 finance-related Vice Presidents)</a:t>
          </a:r>
        </a:p>
      </dgm:t>
    </dgm:pt>
    <dgm:pt modelId="{6AE0D976-FBE3-4FFB-8F12-C0D1092FF0C7}" type="parTrans" cxnId="{23637D41-7220-42C6-8BE0-12A0EEF48106}">
      <dgm:prSet/>
      <dgm:spPr/>
      <dgm:t>
        <a:bodyPr/>
        <a:lstStyle/>
        <a:p>
          <a:pPr algn="ctr"/>
          <a:endParaRPr lang="fr-CH"/>
        </a:p>
      </dgm:t>
    </dgm:pt>
    <dgm:pt modelId="{AB007EE0-8935-4431-93BA-CB2C0F1DCCE0}" type="sibTrans" cxnId="{23637D41-7220-42C6-8BE0-12A0EEF48106}">
      <dgm:prSet/>
      <dgm:spPr/>
      <dgm:t>
        <a:bodyPr/>
        <a:lstStyle/>
        <a:p>
          <a:pPr algn="ctr"/>
          <a:endParaRPr lang="fr-CH"/>
        </a:p>
      </dgm:t>
    </dgm:pt>
    <dgm:pt modelId="{06582A8D-D22C-4DCC-90FD-720881C96886}">
      <dgm:prSet phldrT="[Text]" custT="1"/>
      <dgm:spPr/>
      <dgm:t>
        <a:bodyPr/>
        <a:lstStyle/>
        <a:p>
          <a:pPr algn="ctr"/>
          <a:r>
            <a:rPr lang="fr-CH" sz="1200" b="1"/>
            <a:t>Board of Executive </a:t>
          </a:r>
        </a:p>
        <a:p>
          <a:pPr algn="ctr"/>
          <a:r>
            <a:rPr lang="fr-CH" sz="1200" b="1"/>
            <a:t>Directors (25)</a:t>
          </a:r>
        </a:p>
      </dgm:t>
    </dgm:pt>
    <dgm:pt modelId="{12CDD76C-8A13-45D9-AF81-BF1D60FEE723}" type="parTrans" cxnId="{9D2E986B-1D39-47DA-9780-E05063A27F9D}">
      <dgm:prSet/>
      <dgm:spPr/>
      <dgm:t>
        <a:bodyPr/>
        <a:lstStyle/>
        <a:p>
          <a:pPr algn="ctr"/>
          <a:endParaRPr lang="fr-CH"/>
        </a:p>
      </dgm:t>
    </dgm:pt>
    <dgm:pt modelId="{DC907C92-52FA-4749-8210-E50A52533009}" type="sibTrans" cxnId="{9D2E986B-1D39-47DA-9780-E05063A27F9D}">
      <dgm:prSet/>
      <dgm:spPr/>
      <dgm:t>
        <a:bodyPr/>
        <a:lstStyle/>
        <a:p>
          <a:pPr algn="ctr"/>
          <a:endParaRPr lang="fr-CH"/>
        </a:p>
      </dgm:t>
    </dgm:pt>
    <dgm:pt modelId="{1C883CFC-D379-47C6-91CA-71401CB287CC}">
      <dgm:prSet phldrT="[Text]" custT="1"/>
      <dgm:spPr/>
      <dgm:t>
        <a:bodyPr/>
        <a:lstStyle/>
        <a:p>
          <a:pPr algn="ctr"/>
          <a:r>
            <a:rPr lang="fr-CH" sz="1200" b="1"/>
            <a:t>President</a:t>
          </a:r>
        </a:p>
      </dgm:t>
    </dgm:pt>
    <dgm:pt modelId="{2A14CAA7-195D-4435-B9E6-8DCDC919E4E2}" type="parTrans" cxnId="{5FBF0EC7-2300-49E6-A2BB-FB90194D1889}">
      <dgm:prSet/>
      <dgm:spPr/>
      <dgm:t>
        <a:bodyPr/>
        <a:lstStyle/>
        <a:p>
          <a:pPr algn="ctr"/>
          <a:endParaRPr lang="fr-CH"/>
        </a:p>
      </dgm:t>
    </dgm:pt>
    <dgm:pt modelId="{B5BA7654-A676-4272-9173-9F3B3A85726D}" type="sibTrans" cxnId="{5FBF0EC7-2300-49E6-A2BB-FB90194D1889}">
      <dgm:prSet/>
      <dgm:spPr/>
      <dgm:t>
        <a:bodyPr/>
        <a:lstStyle/>
        <a:p>
          <a:pPr algn="ctr"/>
          <a:endParaRPr lang="fr-CH"/>
        </a:p>
      </dgm:t>
    </dgm:pt>
    <dgm:pt modelId="{4D6FB199-3EC5-45D4-BBAA-AAF877E42257}">
      <dgm:prSet phldrT="[Text]" custT="1"/>
      <dgm:spPr/>
      <dgm:t>
        <a:bodyPr/>
        <a:lstStyle/>
        <a:p>
          <a:pPr algn="ctr"/>
          <a:r>
            <a:rPr lang="fr-CH" sz="900" b="1"/>
            <a:t>Independent Evaluation Group (Chairperson)</a:t>
          </a:r>
        </a:p>
      </dgm:t>
    </dgm:pt>
    <dgm:pt modelId="{6C5E3BD3-1785-49B1-97B3-8BAA2AE4B745}" type="parTrans" cxnId="{45678A27-AD1B-4BF1-9AE9-9839F5709F33}">
      <dgm:prSet/>
      <dgm:spPr/>
      <dgm:t>
        <a:bodyPr/>
        <a:lstStyle/>
        <a:p>
          <a:pPr algn="ctr"/>
          <a:endParaRPr lang="fr-CH"/>
        </a:p>
      </dgm:t>
    </dgm:pt>
    <dgm:pt modelId="{64D33893-ED95-43B4-9CC7-CEDCEBF41150}" type="sibTrans" cxnId="{45678A27-AD1B-4BF1-9AE9-9839F5709F33}">
      <dgm:prSet/>
      <dgm:spPr/>
      <dgm:t>
        <a:bodyPr/>
        <a:lstStyle/>
        <a:p>
          <a:pPr algn="ctr"/>
          <a:endParaRPr lang="fr-CH"/>
        </a:p>
      </dgm:t>
    </dgm:pt>
    <dgm:pt modelId="{289E9C1B-FD01-4AE2-8373-90D94D1D538E}">
      <dgm:prSet phldrT="[Text]" custT="1"/>
      <dgm:spPr/>
      <dgm:t>
        <a:bodyPr/>
        <a:lstStyle/>
        <a:p>
          <a:pPr algn="ctr"/>
          <a:r>
            <a:rPr lang="fr-CH" sz="900" b="1"/>
            <a:t>Inspection Panel (Chairperson)</a:t>
          </a:r>
        </a:p>
      </dgm:t>
    </dgm:pt>
    <dgm:pt modelId="{A70EA13A-C138-4BE6-ACC9-719CF29197F4}" type="parTrans" cxnId="{EB1D5FFB-B46C-4142-8D50-DFDE86EBB648}">
      <dgm:prSet/>
      <dgm:spPr/>
      <dgm:t>
        <a:bodyPr/>
        <a:lstStyle/>
        <a:p>
          <a:pPr algn="ctr"/>
          <a:endParaRPr lang="fr-CH"/>
        </a:p>
      </dgm:t>
    </dgm:pt>
    <dgm:pt modelId="{5A10805C-F552-4060-B225-510C5ECE8BC0}" type="sibTrans" cxnId="{EB1D5FFB-B46C-4142-8D50-DFDE86EBB648}">
      <dgm:prSet/>
      <dgm:spPr/>
      <dgm:t>
        <a:bodyPr/>
        <a:lstStyle/>
        <a:p>
          <a:pPr algn="ctr"/>
          <a:endParaRPr lang="fr-CH"/>
        </a:p>
      </dgm:t>
    </dgm:pt>
    <dgm:pt modelId="{8B5DEB5C-8C55-4276-BD54-CCBDD98051B4}">
      <dgm:prSet phldrT="[Text]" custT="1"/>
      <dgm:spPr/>
      <dgm:t>
        <a:bodyPr/>
        <a:lstStyle/>
        <a:p>
          <a:pPr algn="ctr"/>
          <a:r>
            <a:rPr lang="fr-CH" sz="900" b="1"/>
            <a:t>Various Vice Presidents        </a:t>
          </a:r>
        </a:p>
        <a:p>
          <a:pPr algn="ctr"/>
          <a:r>
            <a:rPr lang="fr-CH" sz="600" b="1"/>
            <a:t>   </a:t>
          </a:r>
          <a:r>
            <a:rPr lang="fr-CH" sz="600"/>
            <a:t>(Corporate Secreatary, Auditor-General, WBG General Counsel, Chief Economist, 2030 Development Agenda, WBG Human Resources, WBG External &amp; Corporate Relations)</a:t>
          </a:r>
        </a:p>
      </dgm:t>
    </dgm:pt>
    <dgm:pt modelId="{DF6FBED4-A08E-4889-80CF-45F5E8F49DDC}" type="parTrans" cxnId="{4E63E82B-B088-4A1A-A8A0-3754CE9758EE}">
      <dgm:prSet/>
      <dgm:spPr/>
      <dgm:t>
        <a:bodyPr/>
        <a:lstStyle/>
        <a:p>
          <a:pPr algn="ctr"/>
          <a:endParaRPr lang="fr-CH"/>
        </a:p>
      </dgm:t>
    </dgm:pt>
    <dgm:pt modelId="{15956FEC-BD1C-44E2-BF03-CA7EEAC8CD2D}" type="sibTrans" cxnId="{4E63E82B-B088-4A1A-A8A0-3754CE9758EE}">
      <dgm:prSet/>
      <dgm:spPr/>
      <dgm:t>
        <a:bodyPr/>
        <a:lstStyle/>
        <a:p>
          <a:pPr algn="ctr"/>
          <a:endParaRPr lang="fr-CH"/>
        </a:p>
      </dgm:t>
    </dgm:pt>
    <dgm:pt modelId="{4F026230-1A2F-49B3-8DED-90DC775A5C5D}">
      <dgm:prSet phldrT="[Text]" custT="1"/>
      <dgm:spPr/>
      <dgm:t>
        <a:bodyPr/>
        <a:lstStyle/>
        <a:p>
          <a:pPr algn="ctr"/>
          <a:r>
            <a:rPr lang="fr-CH" sz="900" b="1"/>
            <a:t>Managing Director &amp; WB Chief Administrative Officer             </a:t>
          </a:r>
        </a:p>
        <a:p>
          <a:pPr algn="ctr"/>
          <a:r>
            <a:rPr lang="fr-CH" sz="700"/>
            <a:t> (Oversees 5 budget, ethics, and IT Vice Presidents)</a:t>
          </a:r>
        </a:p>
      </dgm:t>
    </dgm:pt>
    <dgm:pt modelId="{E3A1DDE3-59E0-4C11-94F2-A506C0BA0765}" type="parTrans" cxnId="{B464D5E0-A2B7-4F6B-A36C-914CD8BC1284}">
      <dgm:prSet/>
      <dgm:spPr/>
      <dgm:t>
        <a:bodyPr/>
        <a:lstStyle/>
        <a:p>
          <a:pPr algn="ctr"/>
          <a:endParaRPr lang="fr-CH"/>
        </a:p>
      </dgm:t>
    </dgm:pt>
    <dgm:pt modelId="{6D3815D4-8672-4D31-B765-0395A539B3FD}" type="sibTrans" cxnId="{B464D5E0-A2B7-4F6B-A36C-914CD8BC1284}">
      <dgm:prSet/>
      <dgm:spPr/>
      <dgm:t>
        <a:bodyPr/>
        <a:lstStyle/>
        <a:p>
          <a:pPr algn="ctr"/>
          <a:endParaRPr lang="fr-CH"/>
        </a:p>
      </dgm:t>
    </dgm:pt>
    <dgm:pt modelId="{D668721C-61DC-4361-AC82-4B213134CB9A}">
      <dgm:prSet phldrT="[Text]" custT="1"/>
      <dgm:spPr/>
      <dgm:t>
        <a:bodyPr/>
        <a:lstStyle/>
        <a:p>
          <a:pPr algn="ctr"/>
          <a:r>
            <a:rPr lang="fr-CH" sz="900" b="1"/>
            <a:t>IBRD/IDA CEO</a:t>
          </a:r>
        </a:p>
      </dgm:t>
    </dgm:pt>
    <dgm:pt modelId="{0722BBFA-71B1-4E5C-94FF-0C0457A116D6}" type="parTrans" cxnId="{A6E6A610-1C5E-4645-9AFF-DA49BB1E4AE1}">
      <dgm:prSet/>
      <dgm:spPr/>
      <dgm:t>
        <a:bodyPr/>
        <a:lstStyle/>
        <a:p>
          <a:pPr algn="ctr"/>
          <a:endParaRPr lang="fr-CH"/>
        </a:p>
      </dgm:t>
    </dgm:pt>
    <dgm:pt modelId="{FA956699-8259-418F-82D7-563A46C36F8A}" type="sibTrans" cxnId="{A6E6A610-1C5E-4645-9AFF-DA49BB1E4AE1}">
      <dgm:prSet/>
      <dgm:spPr/>
      <dgm:t>
        <a:bodyPr/>
        <a:lstStyle/>
        <a:p>
          <a:pPr algn="ctr"/>
          <a:endParaRPr lang="fr-CH"/>
        </a:p>
      </dgm:t>
    </dgm:pt>
    <dgm:pt modelId="{AA3C9250-957D-4E96-9FBA-F35A68D69CA5}">
      <dgm:prSet phldrT="[Text]" custT="1"/>
      <dgm:spPr/>
      <dgm:t>
        <a:bodyPr/>
        <a:lstStyle/>
        <a:p>
          <a:pPr algn="ctr"/>
          <a:r>
            <a:rPr lang="fr-CH" sz="900"/>
            <a:t>Global Themes Vice President</a:t>
          </a:r>
        </a:p>
      </dgm:t>
    </dgm:pt>
    <dgm:pt modelId="{3CBF6A4C-AAA7-457B-8195-01F10B5F9017}" type="parTrans" cxnId="{BCE706C9-10AB-4976-92D7-379F86042EEF}">
      <dgm:prSet/>
      <dgm:spPr/>
      <dgm:t>
        <a:bodyPr/>
        <a:lstStyle/>
        <a:p>
          <a:pPr algn="ctr"/>
          <a:endParaRPr lang="fr-CH"/>
        </a:p>
      </dgm:t>
    </dgm:pt>
    <dgm:pt modelId="{877B6772-6F9B-4DDE-B62A-D77924EF267B}" type="sibTrans" cxnId="{BCE706C9-10AB-4976-92D7-379F86042EEF}">
      <dgm:prSet/>
      <dgm:spPr/>
      <dgm:t>
        <a:bodyPr/>
        <a:lstStyle/>
        <a:p>
          <a:pPr algn="ctr"/>
          <a:endParaRPr lang="fr-CH"/>
        </a:p>
      </dgm:t>
    </dgm:pt>
    <dgm:pt modelId="{9F4506BE-8F3E-4B56-8B65-6F060A9DF9D3}">
      <dgm:prSet phldrT="[Text]" custT="1"/>
      <dgm:spPr/>
      <dgm:t>
        <a:bodyPr/>
        <a:lstStyle/>
        <a:p>
          <a:pPr algn="ctr"/>
          <a:r>
            <a:rPr lang="fr-CH" sz="900"/>
            <a:t>Operations Policy &amp; Country Services Vice President</a:t>
          </a:r>
        </a:p>
      </dgm:t>
    </dgm:pt>
    <dgm:pt modelId="{619C3A6C-D860-4AB5-9585-513E23EF09B1}" type="parTrans" cxnId="{F09D2C92-E251-4A30-80F1-60CAB98B6005}">
      <dgm:prSet/>
      <dgm:spPr/>
      <dgm:t>
        <a:bodyPr/>
        <a:lstStyle/>
        <a:p>
          <a:pPr algn="ctr"/>
          <a:endParaRPr lang="fr-CH"/>
        </a:p>
      </dgm:t>
    </dgm:pt>
    <dgm:pt modelId="{B38F92B1-03F2-4888-A4E8-4B41122F830E}" type="sibTrans" cxnId="{F09D2C92-E251-4A30-80F1-60CAB98B6005}">
      <dgm:prSet/>
      <dgm:spPr/>
      <dgm:t>
        <a:bodyPr/>
        <a:lstStyle/>
        <a:p>
          <a:pPr algn="ctr"/>
          <a:endParaRPr lang="fr-CH"/>
        </a:p>
      </dgm:t>
    </dgm:pt>
    <dgm:pt modelId="{D5E36A28-99B6-4FC0-9070-7ED02FC29250}">
      <dgm:prSet phldrT="[Text]" custT="1"/>
      <dgm:spPr/>
      <dgm:t>
        <a:bodyPr/>
        <a:lstStyle/>
        <a:p>
          <a:pPr algn="ctr"/>
          <a:r>
            <a:rPr lang="fr-CH" sz="900"/>
            <a:t>Africa Vice President</a:t>
          </a:r>
        </a:p>
      </dgm:t>
    </dgm:pt>
    <dgm:pt modelId="{D07BD4C7-505E-4B38-BDF3-D9405F73D623}" type="parTrans" cxnId="{9972CBA2-CAF3-492E-9770-7AA95A781411}">
      <dgm:prSet/>
      <dgm:spPr/>
      <dgm:t>
        <a:bodyPr/>
        <a:lstStyle/>
        <a:p>
          <a:pPr algn="ctr"/>
          <a:endParaRPr lang="fr-CH"/>
        </a:p>
      </dgm:t>
    </dgm:pt>
    <dgm:pt modelId="{C4BB30F7-68A3-495B-BC18-A9CB89440538}" type="sibTrans" cxnId="{9972CBA2-CAF3-492E-9770-7AA95A781411}">
      <dgm:prSet/>
      <dgm:spPr/>
      <dgm:t>
        <a:bodyPr/>
        <a:lstStyle/>
        <a:p>
          <a:pPr algn="ctr"/>
          <a:endParaRPr lang="fr-CH"/>
        </a:p>
      </dgm:t>
    </dgm:pt>
    <dgm:pt modelId="{225E7B83-25BC-4AF6-BC49-6B15D7D4251C}">
      <dgm:prSet phldrT="[Text]" custT="1"/>
      <dgm:spPr/>
      <dgm:t>
        <a:bodyPr/>
        <a:lstStyle/>
        <a:p>
          <a:pPr algn="ctr"/>
          <a:r>
            <a:rPr lang="fr-CH" sz="900"/>
            <a:t>East Asia and Pacific Vice President</a:t>
          </a:r>
        </a:p>
      </dgm:t>
    </dgm:pt>
    <dgm:pt modelId="{AF5A16E7-274D-47F0-8441-9AB8EAD5BA58}" type="parTrans" cxnId="{C810E94D-A578-4008-BF2A-93F22556C082}">
      <dgm:prSet/>
      <dgm:spPr/>
      <dgm:t>
        <a:bodyPr/>
        <a:lstStyle/>
        <a:p>
          <a:pPr algn="ctr"/>
          <a:endParaRPr lang="fr-CH"/>
        </a:p>
      </dgm:t>
    </dgm:pt>
    <dgm:pt modelId="{8013A000-BBD1-480E-BA23-6E960B5EC69B}" type="sibTrans" cxnId="{C810E94D-A578-4008-BF2A-93F22556C082}">
      <dgm:prSet/>
      <dgm:spPr/>
      <dgm:t>
        <a:bodyPr/>
        <a:lstStyle/>
        <a:p>
          <a:pPr algn="ctr"/>
          <a:endParaRPr lang="fr-CH"/>
        </a:p>
      </dgm:t>
    </dgm:pt>
    <dgm:pt modelId="{72D0F7D4-88A2-4ACA-9F54-BCEC289A3E69}">
      <dgm:prSet phldrT="[Text]" custT="1"/>
      <dgm:spPr/>
      <dgm:t>
        <a:bodyPr/>
        <a:lstStyle/>
        <a:p>
          <a:pPr algn="ctr"/>
          <a:r>
            <a:rPr lang="fr-CH" sz="900"/>
            <a:t>Europe and Central Asia Vice President</a:t>
          </a:r>
        </a:p>
      </dgm:t>
    </dgm:pt>
    <dgm:pt modelId="{44E1D15E-C70A-4CCD-85A8-B39C1FD0761C}" type="parTrans" cxnId="{D031C4C1-5773-452D-9FBB-EC5AD22AD958}">
      <dgm:prSet/>
      <dgm:spPr/>
      <dgm:t>
        <a:bodyPr/>
        <a:lstStyle/>
        <a:p>
          <a:pPr algn="ctr"/>
          <a:endParaRPr lang="fr-CH"/>
        </a:p>
      </dgm:t>
    </dgm:pt>
    <dgm:pt modelId="{65F9B17C-3851-4F75-B7FE-DC789ECE82B3}" type="sibTrans" cxnId="{D031C4C1-5773-452D-9FBB-EC5AD22AD958}">
      <dgm:prSet/>
      <dgm:spPr/>
      <dgm:t>
        <a:bodyPr/>
        <a:lstStyle/>
        <a:p>
          <a:pPr algn="ctr"/>
          <a:endParaRPr lang="fr-CH"/>
        </a:p>
      </dgm:t>
    </dgm:pt>
    <dgm:pt modelId="{7B489007-80AD-4185-A4B7-E66F8EF0A52E}">
      <dgm:prSet phldrT="[Text]" custT="1"/>
      <dgm:spPr/>
      <dgm:t>
        <a:bodyPr/>
        <a:lstStyle/>
        <a:p>
          <a:pPr algn="ctr"/>
          <a:r>
            <a:rPr lang="fr-CH" sz="900"/>
            <a:t>Latin America and Carribean Vice President</a:t>
          </a:r>
        </a:p>
      </dgm:t>
    </dgm:pt>
    <dgm:pt modelId="{0849E6CB-F745-45AE-BAE0-58C68E5E5123}" type="parTrans" cxnId="{D073D4DF-86DD-4DF3-8052-C2E1EE9F6D55}">
      <dgm:prSet/>
      <dgm:spPr/>
      <dgm:t>
        <a:bodyPr/>
        <a:lstStyle/>
        <a:p>
          <a:pPr algn="ctr"/>
          <a:endParaRPr lang="fr-CH"/>
        </a:p>
      </dgm:t>
    </dgm:pt>
    <dgm:pt modelId="{3D58EA39-6A3F-4579-93B2-310F08C58100}" type="sibTrans" cxnId="{D073D4DF-86DD-4DF3-8052-C2E1EE9F6D55}">
      <dgm:prSet/>
      <dgm:spPr/>
      <dgm:t>
        <a:bodyPr/>
        <a:lstStyle/>
        <a:p>
          <a:pPr algn="ctr"/>
          <a:endParaRPr lang="fr-CH"/>
        </a:p>
      </dgm:t>
    </dgm:pt>
    <dgm:pt modelId="{B3BFB203-D8C1-4049-AD8A-2466AC36A6F2}">
      <dgm:prSet phldrT="[Text]" custT="1"/>
      <dgm:spPr/>
      <dgm:t>
        <a:bodyPr/>
        <a:lstStyle/>
        <a:p>
          <a:pPr algn="ctr"/>
          <a:r>
            <a:rPr lang="fr-CH" sz="900"/>
            <a:t>South Asia Vice President</a:t>
          </a:r>
        </a:p>
      </dgm:t>
    </dgm:pt>
    <dgm:pt modelId="{4AA90043-300A-4AEF-AC3C-230E959E0BAF}" type="parTrans" cxnId="{0A5EB972-0901-4BCA-8FDF-00170C0750FF}">
      <dgm:prSet/>
      <dgm:spPr/>
      <dgm:t>
        <a:bodyPr/>
        <a:lstStyle/>
        <a:p>
          <a:pPr algn="ctr"/>
          <a:endParaRPr lang="fr-CH"/>
        </a:p>
      </dgm:t>
    </dgm:pt>
    <dgm:pt modelId="{62641ECA-7969-4C32-868F-1427F07FD3C7}" type="sibTrans" cxnId="{0A5EB972-0901-4BCA-8FDF-00170C0750FF}">
      <dgm:prSet/>
      <dgm:spPr/>
      <dgm:t>
        <a:bodyPr/>
        <a:lstStyle/>
        <a:p>
          <a:pPr algn="ctr"/>
          <a:endParaRPr lang="fr-CH"/>
        </a:p>
      </dgm:t>
    </dgm:pt>
    <dgm:pt modelId="{D71D4A63-325F-4889-899B-C52E8A3C0B79}">
      <dgm:prSet phldrT="[Text]" custT="1"/>
      <dgm:spPr/>
      <dgm:t>
        <a:bodyPr/>
        <a:lstStyle/>
        <a:p>
          <a:pPr algn="ctr"/>
          <a:r>
            <a:rPr lang="fr-CH" sz="900"/>
            <a:t>Human Development Vice President</a:t>
          </a:r>
        </a:p>
      </dgm:t>
    </dgm:pt>
    <dgm:pt modelId="{5804392F-04CB-47EB-A959-0EBE7B71EEC2}" type="parTrans" cxnId="{3B88F417-FEAA-4A1A-9D60-8C69F62D7F9A}">
      <dgm:prSet/>
      <dgm:spPr/>
      <dgm:t>
        <a:bodyPr/>
        <a:lstStyle/>
        <a:p>
          <a:pPr algn="ctr"/>
          <a:endParaRPr lang="fr-CH"/>
        </a:p>
      </dgm:t>
    </dgm:pt>
    <dgm:pt modelId="{D7F030D8-BC02-4ACB-8B37-0DB86C3F0621}" type="sibTrans" cxnId="{3B88F417-FEAA-4A1A-9D60-8C69F62D7F9A}">
      <dgm:prSet/>
      <dgm:spPr/>
      <dgm:t>
        <a:bodyPr/>
        <a:lstStyle/>
        <a:p>
          <a:pPr algn="ctr"/>
          <a:endParaRPr lang="fr-CH"/>
        </a:p>
      </dgm:t>
    </dgm:pt>
    <dgm:pt modelId="{53468306-B9C7-4DB7-B739-32AA3F7ACF45}">
      <dgm:prSet phldrT="[Text]" custT="1"/>
      <dgm:spPr/>
      <dgm:t>
        <a:bodyPr/>
        <a:lstStyle/>
        <a:p>
          <a:pPr algn="ctr"/>
          <a:r>
            <a:rPr lang="fr-CH" sz="900"/>
            <a:t>Sustainable Development Vice President</a:t>
          </a:r>
        </a:p>
      </dgm:t>
    </dgm:pt>
    <dgm:pt modelId="{DD341D47-5D33-4A6B-A359-B533A269B242}" type="parTrans" cxnId="{63E23206-E7EF-4C9F-85F1-2069BB808D99}">
      <dgm:prSet/>
      <dgm:spPr/>
      <dgm:t>
        <a:bodyPr/>
        <a:lstStyle/>
        <a:p>
          <a:pPr algn="ctr"/>
          <a:endParaRPr lang="fr-CH"/>
        </a:p>
      </dgm:t>
    </dgm:pt>
    <dgm:pt modelId="{2C62E7F4-B575-40B8-8FFE-3019F78887A7}" type="sibTrans" cxnId="{63E23206-E7EF-4C9F-85F1-2069BB808D99}">
      <dgm:prSet/>
      <dgm:spPr/>
      <dgm:t>
        <a:bodyPr/>
        <a:lstStyle/>
        <a:p>
          <a:pPr algn="ctr"/>
          <a:endParaRPr lang="fr-CH"/>
        </a:p>
      </dgm:t>
    </dgm:pt>
    <dgm:pt modelId="{24C4DB58-1AF5-4C9E-B5C7-DA9AD0FA7312}">
      <dgm:prSet phldrT="[Text]" custT="1"/>
      <dgm:spPr/>
      <dgm:t>
        <a:bodyPr/>
        <a:lstStyle/>
        <a:p>
          <a:pPr algn="ctr"/>
          <a:r>
            <a:rPr lang="fr-CH" sz="900"/>
            <a:t>Equitable Growth, Finance &amp; Institutions Vice President</a:t>
          </a:r>
        </a:p>
      </dgm:t>
    </dgm:pt>
    <dgm:pt modelId="{C9DB87CE-AD79-4171-B7F8-CE1CF093ADE5}" type="parTrans" cxnId="{0AFE841E-9656-4C9C-9E58-A07F8CF2F2C6}">
      <dgm:prSet/>
      <dgm:spPr/>
      <dgm:t>
        <a:bodyPr/>
        <a:lstStyle/>
        <a:p>
          <a:pPr algn="ctr"/>
          <a:endParaRPr lang="fr-CH"/>
        </a:p>
      </dgm:t>
    </dgm:pt>
    <dgm:pt modelId="{B7E3AA78-BF13-4B4B-8449-2BE314A63F36}" type="sibTrans" cxnId="{0AFE841E-9656-4C9C-9E58-A07F8CF2F2C6}">
      <dgm:prSet/>
      <dgm:spPr/>
      <dgm:t>
        <a:bodyPr/>
        <a:lstStyle/>
        <a:p>
          <a:pPr algn="ctr"/>
          <a:endParaRPr lang="fr-CH"/>
        </a:p>
      </dgm:t>
    </dgm:pt>
    <dgm:pt modelId="{DE5187DA-D0B4-4702-9A86-89D6D2D04507}">
      <dgm:prSet phldrT="[Text]" custT="1"/>
      <dgm:spPr/>
      <dgm:t>
        <a:bodyPr/>
        <a:lstStyle/>
        <a:p>
          <a:pPr algn="ctr"/>
          <a:r>
            <a:rPr lang="fr-CH" sz="1200" b="1"/>
            <a:t>World Bank governance, 2017</a:t>
          </a:r>
        </a:p>
      </dgm:t>
    </dgm:pt>
    <dgm:pt modelId="{4FAD4521-026B-4D16-8AF0-B3FCFCC99499}" type="parTrans" cxnId="{F1EAC7B8-B54E-4669-8E37-058EBB6E46D3}">
      <dgm:prSet/>
      <dgm:spPr/>
      <dgm:t>
        <a:bodyPr/>
        <a:lstStyle/>
        <a:p>
          <a:pPr algn="ctr"/>
          <a:endParaRPr lang="en-GB"/>
        </a:p>
      </dgm:t>
    </dgm:pt>
    <dgm:pt modelId="{E8658068-BEFC-48E1-A582-580865821DE0}" type="sibTrans" cxnId="{F1EAC7B8-B54E-4669-8E37-058EBB6E46D3}">
      <dgm:prSet/>
      <dgm:spPr/>
      <dgm:t>
        <a:bodyPr/>
        <a:lstStyle/>
        <a:p>
          <a:pPr algn="ctr"/>
          <a:endParaRPr lang="en-GB"/>
        </a:p>
      </dgm:t>
    </dgm:pt>
    <dgm:pt modelId="{24CF89FA-C85C-4ED3-B662-034FC8C0643E}" type="pres">
      <dgm:prSet presAssocID="{169DB8CF-F7DE-4455-8E7D-43E86079535F}" presName="hierChild1" presStyleCnt="0">
        <dgm:presLayoutVars>
          <dgm:orgChart val="1"/>
          <dgm:chPref val="1"/>
          <dgm:dir/>
          <dgm:animOne val="branch"/>
          <dgm:animLvl val="lvl"/>
          <dgm:resizeHandles/>
        </dgm:presLayoutVars>
      </dgm:prSet>
      <dgm:spPr/>
      <dgm:t>
        <a:bodyPr/>
        <a:lstStyle/>
        <a:p>
          <a:endParaRPr lang="en-US"/>
        </a:p>
      </dgm:t>
    </dgm:pt>
    <dgm:pt modelId="{ADC7AEE3-6505-4CD4-9E9C-8B8C8D1D9AC5}" type="pres">
      <dgm:prSet presAssocID="{DE5187DA-D0B4-4702-9A86-89D6D2D04507}" presName="hierRoot1" presStyleCnt="0">
        <dgm:presLayoutVars>
          <dgm:hierBranch val="init"/>
        </dgm:presLayoutVars>
      </dgm:prSet>
      <dgm:spPr/>
    </dgm:pt>
    <dgm:pt modelId="{8199E75E-35D1-4A67-9F96-7950A7D29783}" type="pres">
      <dgm:prSet presAssocID="{DE5187DA-D0B4-4702-9A86-89D6D2D04507}" presName="rootComposite1" presStyleCnt="0"/>
      <dgm:spPr/>
    </dgm:pt>
    <dgm:pt modelId="{DC076DCF-7AC8-47A0-A0DA-2972CC559EAE}" type="pres">
      <dgm:prSet presAssocID="{DE5187DA-D0B4-4702-9A86-89D6D2D04507}" presName="rootText1" presStyleLbl="node0" presStyleIdx="0" presStyleCnt="4" custScaleX="488346">
        <dgm:presLayoutVars>
          <dgm:chPref val="3"/>
        </dgm:presLayoutVars>
      </dgm:prSet>
      <dgm:spPr/>
      <dgm:t>
        <a:bodyPr/>
        <a:lstStyle/>
        <a:p>
          <a:endParaRPr lang="en-US"/>
        </a:p>
      </dgm:t>
    </dgm:pt>
    <dgm:pt modelId="{3BC108AB-FE95-40A3-9F38-43465DE3777C}" type="pres">
      <dgm:prSet presAssocID="{DE5187DA-D0B4-4702-9A86-89D6D2D04507}" presName="rootConnector1" presStyleLbl="node1" presStyleIdx="0" presStyleCnt="0"/>
      <dgm:spPr/>
      <dgm:t>
        <a:bodyPr/>
        <a:lstStyle/>
        <a:p>
          <a:endParaRPr lang="en-US"/>
        </a:p>
      </dgm:t>
    </dgm:pt>
    <dgm:pt modelId="{A95FF262-7E38-4E1F-899A-14485F452766}" type="pres">
      <dgm:prSet presAssocID="{DE5187DA-D0B4-4702-9A86-89D6D2D04507}" presName="hierChild2" presStyleCnt="0"/>
      <dgm:spPr/>
    </dgm:pt>
    <dgm:pt modelId="{3D70D601-6E0B-4AEF-B07A-3E9D7EC64A58}" type="pres">
      <dgm:prSet presAssocID="{DE5187DA-D0B4-4702-9A86-89D6D2D04507}" presName="hierChild3" presStyleCnt="0"/>
      <dgm:spPr/>
    </dgm:pt>
    <dgm:pt modelId="{DA3BDD7B-6F94-4642-9235-EF7F540D8947}" type="pres">
      <dgm:prSet presAssocID="{7A26552F-776B-4D8C-9CEE-25DD21FEEAAC}" presName="hierRoot1" presStyleCnt="0">
        <dgm:presLayoutVars>
          <dgm:hierBranch val="init"/>
        </dgm:presLayoutVars>
      </dgm:prSet>
      <dgm:spPr/>
    </dgm:pt>
    <dgm:pt modelId="{AC2EA94D-BC33-419F-8C8E-5B8E6BF96263}" type="pres">
      <dgm:prSet presAssocID="{7A26552F-776B-4D8C-9CEE-25DD21FEEAAC}" presName="rootComposite1" presStyleCnt="0"/>
      <dgm:spPr/>
    </dgm:pt>
    <dgm:pt modelId="{A57FD8C0-4DA2-4ED4-BA08-8E2D35379ACF}" type="pres">
      <dgm:prSet presAssocID="{7A26552F-776B-4D8C-9CEE-25DD21FEEAAC}" presName="rootText1" presStyleLbl="node0" presStyleIdx="1" presStyleCnt="4" custScaleX="176277" custScaleY="237690" custLinFactNeighborX="-12630" custLinFactNeighborY="-2697">
        <dgm:presLayoutVars>
          <dgm:chPref val="3"/>
        </dgm:presLayoutVars>
      </dgm:prSet>
      <dgm:spPr/>
      <dgm:t>
        <a:bodyPr/>
        <a:lstStyle/>
        <a:p>
          <a:endParaRPr lang="en-US"/>
        </a:p>
      </dgm:t>
    </dgm:pt>
    <dgm:pt modelId="{896AF813-4488-4B34-8987-143649A410A1}" type="pres">
      <dgm:prSet presAssocID="{7A26552F-776B-4D8C-9CEE-25DD21FEEAAC}" presName="rootConnector1" presStyleLbl="node1" presStyleIdx="0" presStyleCnt="0"/>
      <dgm:spPr/>
      <dgm:t>
        <a:bodyPr/>
        <a:lstStyle/>
        <a:p>
          <a:endParaRPr lang="en-US"/>
        </a:p>
      </dgm:t>
    </dgm:pt>
    <dgm:pt modelId="{5055FC6E-5A48-4350-8E9A-1A6B4C2DF32A}" type="pres">
      <dgm:prSet presAssocID="{7A26552F-776B-4D8C-9CEE-25DD21FEEAAC}" presName="hierChild2" presStyleCnt="0"/>
      <dgm:spPr/>
    </dgm:pt>
    <dgm:pt modelId="{36C16CAE-F42F-401E-8BC9-741BF3793355}" type="pres">
      <dgm:prSet presAssocID="{7A26552F-776B-4D8C-9CEE-25DD21FEEAAC}" presName="hierChild3" presStyleCnt="0"/>
      <dgm:spPr/>
    </dgm:pt>
    <dgm:pt modelId="{3269DDFD-FC2D-4083-8F5D-60E406D155BD}" type="pres">
      <dgm:prSet presAssocID="{06582A8D-D22C-4DCC-90FD-720881C96886}" presName="hierRoot1" presStyleCnt="0">
        <dgm:presLayoutVars>
          <dgm:hierBranch val="init"/>
        </dgm:presLayoutVars>
      </dgm:prSet>
      <dgm:spPr/>
    </dgm:pt>
    <dgm:pt modelId="{5793BDC1-3960-451B-8B7E-8D6363963165}" type="pres">
      <dgm:prSet presAssocID="{06582A8D-D22C-4DCC-90FD-720881C96886}" presName="rootComposite1" presStyleCnt="0"/>
      <dgm:spPr/>
    </dgm:pt>
    <dgm:pt modelId="{B4AA179A-838B-46CB-837C-393B91356768}" type="pres">
      <dgm:prSet presAssocID="{06582A8D-D22C-4DCC-90FD-720881C96886}" presName="rootText1" presStyleLbl="node0" presStyleIdx="2" presStyleCnt="4" custScaleX="133301" custScaleY="218411">
        <dgm:presLayoutVars>
          <dgm:chPref val="3"/>
        </dgm:presLayoutVars>
      </dgm:prSet>
      <dgm:spPr/>
      <dgm:t>
        <a:bodyPr/>
        <a:lstStyle/>
        <a:p>
          <a:endParaRPr lang="en-US"/>
        </a:p>
      </dgm:t>
    </dgm:pt>
    <dgm:pt modelId="{B74D5B61-55AD-4B5C-902C-23841A227AC0}" type="pres">
      <dgm:prSet presAssocID="{06582A8D-D22C-4DCC-90FD-720881C96886}" presName="rootConnector1" presStyleLbl="node1" presStyleIdx="0" presStyleCnt="0"/>
      <dgm:spPr/>
      <dgm:t>
        <a:bodyPr/>
        <a:lstStyle/>
        <a:p>
          <a:endParaRPr lang="en-US"/>
        </a:p>
      </dgm:t>
    </dgm:pt>
    <dgm:pt modelId="{4B2519E4-7A74-4FBF-92F4-80C393E144BC}" type="pres">
      <dgm:prSet presAssocID="{06582A8D-D22C-4DCC-90FD-720881C96886}" presName="hierChild2" presStyleCnt="0"/>
      <dgm:spPr/>
    </dgm:pt>
    <dgm:pt modelId="{26D23BE1-DC77-49A4-9EF5-78C844E54DDD}" type="pres">
      <dgm:prSet presAssocID="{6C5E3BD3-1785-49B1-97B3-8BAA2AE4B745}" presName="Name64" presStyleLbl="parChTrans1D2" presStyleIdx="0" presStyleCnt="6"/>
      <dgm:spPr/>
      <dgm:t>
        <a:bodyPr/>
        <a:lstStyle/>
        <a:p>
          <a:endParaRPr lang="en-US"/>
        </a:p>
      </dgm:t>
    </dgm:pt>
    <dgm:pt modelId="{1D8DED43-E375-473A-9187-EB4CA52DE47F}" type="pres">
      <dgm:prSet presAssocID="{4D6FB199-3EC5-45D4-BBAA-AAF877E42257}" presName="hierRoot2" presStyleCnt="0">
        <dgm:presLayoutVars>
          <dgm:hierBranch val="init"/>
        </dgm:presLayoutVars>
      </dgm:prSet>
      <dgm:spPr/>
    </dgm:pt>
    <dgm:pt modelId="{EA89271A-5F86-4243-9E71-F0576E5D6A3E}" type="pres">
      <dgm:prSet presAssocID="{4D6FB199-3EC5-45D4-BBAA-AAF877E42257}" presName="rootComposite" presStyleCnt="0"/>
      <dgm:spPr/>
    </dgm:pt>
    <dgm:pt modelId="{E476F090-9FCF-4888-9343-D26B8186F443}" type="pres">
      <dgm:prSet presAssocID="{4D6FB199-3EC5-45D4-BBAA-AAF877E42257}" presName="rootText" presStyleLbl="node2" presStyleIdx="0" presStyleCnt="6">
        <dgm:presLayoutVars>
          <dgm:chPref val="3"/>
        </dgm:presLayoutVars>
      </dgm:prSet>
      <dgm:spPr/>
      <dgm:t>
        <a:bodyPr/>
        <a:lstStyle/>
        <a:p>
          <a:endParaRPr lang="en-US"/>
        </a:p>
      </dgm:t>
    </dgm:pt>
    <dgm:pt modelId="{4D8221AB-CC84-4FBF-8EFD-D1B74CD74EC8}" type="pres">
      <dgm:prSet presAssocID="{4D6FB199-3EC5-45D4-BBAA-AAF877E42257}" presName="rootConnector" presStyleLbl="node2" presStyleIdx="0" presStyleCnt="6"/>
      <dgm:spPr/>
      <dgm:t>
        <a:bodyPr/>
        <a:lstStyle/>
        <a:p>
          <a:endParaRPr lang="en-US"/>
        </a:p>
      </dgm:t>
    </dgm:pt>
    <dgm:pt modelId="{ABF96B3F-EED1-4267-BBF6-3F02D220E94E}" type="pres">
      <dgm:prSet presAssocID="{4D6FB199-3EC5-45D4-BBAA-AAF877E42257}" presName="hierChild4" presStyleCnt="0"/>
      <dgm:spPr/>
    </dgm:pt>
    <dgm:pt modelId="{90BE182B-A725-44AB-95D3-48066F4041BA}" type="pres">
      <dgm:prSet presAssocID="{4D6FB199-3EC5-45D4-BBAA-AAF877E42257}" presName="hierChild5" presStyleCnt="0"/>
      <dgm:spPr/>
    </dgm:pt>
    <dgm:pt modelId="{4D466FC6-8D07-4663-9D24-0A23BA68C334}" type="pres">
      <dgm:prSet presAssocID="{A70EA13A-C138-4BE6-ACC9-719CF29197F4}" presName="Name64" presStyleLbl="parChTrans1D2" presStyleIdx="1" presStyleCnt="6"/>
      <dgm:spPr/>
      <dgm:t>
        <a:bodyPr/>
        <a:lstStyle/>
        <a:p>
          <a:endParaRPr lang="en-US"/>
        </a:p>
      </dgm:t>
    </dgm:pt>
    <dgm:pt modelId="{1B3DAC7D-6F42-4EDE-BC91-948A1809C318}" type="pres">
      <dgm:prSet presAssocID="{289E9C1B-FD01-4AE2-8373-90D94D1D538E}" presName="hierRoot2" presStyleCnt="0">
        <dgm:presLayoutVars>
          <dgm:hierBranch val="init"/>
        </dgm:presLayoutVars>
      </dgm:prSet>
      <dgm:spPr/>
    </dgm:pt>
    <dgm:pt modelId="{48CBB17B-E066-4458-8FC4-50ADE7162056}" type="pres">
      <dgm:prSet presAssocID="{289E9C1B-FD01-4AE2-8373-90D94D1D538E}" presName="rootComposite" presStyleCnt="0"/>
      <dgm:spPr/>
    </dgm:pt>
    <dgm:pt modelId="{4977BD67-D08D-4E5F-9B4F-017AC57A0B93}" type="pres">
      <dgm:prSet presAssocID="{289E9C1B-FD01-4AE2-8373-90D94D1D538E}" presName="rootText" presStyleLbl="node2" presStyleIdx="1" presStyleCnt="6">
        <dgm:presLayoutVars>
          <dgm:chPref val="3"/>
        </dgm:presLayoutVars>
      </dgm:prSet>
      <dgm:spPr/>
      <dgm:t>
        <a:bodyPr/>
        <a:lstStyle/>
        <a:p>
          <a:endParaRPr lang="en-US"/>
        </a:p>
      </dgm:t>
    </dgm:pt>
    <dgm:pt modelId="{A5F21BFD-CA99-4237-823E-162F74699B96}" type="pres">
      <dgm:prSet presAssocID="{289E9C1B-FD01-4AE2-8373-90D94D1D538E}" presName="rootConnector" presStyleLbl="node2" presStyleIdx="1" presStyleCnt="6"/>
      <dgm:spPr/>
      <dgm:t>
        <a:bodyPr/>
        <a:lstStyle/>
        <a:p>
          <a:endParaRPr lang="en-US"/>
        </a:p>
      </dgm:t>
    </dgm:pt>
    <dgm:pt modelId="{9267001E-E39B-4D22-BF65-A082A86D7888}" type="pres">
      <dgm:prSet presAssocID="{289E9C1B-FD01-4AE2-8373-90D94D1D538E}" presName="hierChild4" presStyleCnt="0"/>
      <dgm:spPr/>
    </dgm:pt>
    <dgm:pt modelId="{EEC9F240-61D1-44A7-9E54-15A9326E9B9A}" type="pres">
      <dgm:prSet presAssocID="{289E9C1B-FD01-4AE2-8373-90D94D1D538E}" presName="hierChild5" presStyleCnt="0"/>
      <dgm:spPr/>
    </dgm:pt>
    <dgm:pt modelId="{5C7AD0CF-9783-4A89-9ECD-8F657A072138}" type="pres">
      <dgm:prSet presAssocID="{06582A8D-D22C-4DCC-90FD-720881C96886}" presName="hierChild3" presStyleCnt="0"/>
      <dgm:spPr/>
    </dgm:pt>
    <dgm:pt modelId="{77CE714F-EB7B-486A-BFBA-7E2C4E764F54}" type="pres">
      <dgm:prSet presAssocID="{1C883CFC-D379-47C6-91CA-71401CB287CC}" presName="hierRoot1" presStyleCnt="0">
        <dgm:presLayoutVars>
          <dgm:hierBranch val="init"/>
        </dgm:presLayoutVars>
      </dgm:prSet>
      <dgm:spPr/>
    </dgm:pt>
    <dgm:pt modelId="{C2A11C06-C27C-40A4-8691-6922F826A97B}" type="pres">
      <dgm:prSet presAssocID="{1C883CFC-D379-47C6-91CA-71401CB287CC}" presName="rootComposite1" presStyleCnt="0"/>
      <dgm:spPr/>
    </dgm:pt>
    <dgm:pt modelId="{7474C64F-F3D4-4617-99E1-F32B43144C36}" type="pres">
      <dgm:prSet presAssocID="{1C883CFC-D379-47C6-91CA-71401CB287CC}" presName="rootText1" presStyleLbl="node0" presStyleIdx="3" presStyleCnt="4" custScaleX="162743" custScaleY="285301">
        <dgm:presLayoutVars>
          <dgm:chPref val="3"/>
        </dgm:presLayoutVars>
      </dgm:prSet>
      <dgm:spPr/>
      <dgm:t>
        <a:bodyPr/>
        <a:lstStyle/>
        <a:p>
          <a:endParaRPr lang="en-US"/>
        </a:p>
      </dgm:t>
    </dgm:pt>
    <dgm:pt modelId="{4BA97711-1D24-4B12-9947-43F032A7F234}" type="pres">
      <dgm:prSet presAssocID="{1C883CFC-D379-47C6-91CA-71401CB287CC}" presName="rootConnector1" presStyleLbl="node1" presStyleIdx="0" presStyleCnt="0"/>
      <dgm:spPr/>
      <dgm:t>
        <a:bodyPr/>
        <a:lstStyle/>
        <a:p>
          <a:endParaRPr lang="en-US"/>
        </a:p>
      </dgm:t>
    </dgm:pt>
    <dgm:pt modelId="{491162A1-D52A-4141-8CCC-B68599E0DCAE}" type="pres">
      <dgm:prSet presAssocID="{1C883CFC-D379-47C6-91CA-71401CB287CC}" presName="hierChild2" presStyleCnt="0"/>
      <dgm:spPr/>
    </dgm:pt>
    <dgm:pt modelId="{8FB7DF26-94F1-473B-91C2-FC72C39CC9B6}" type="pres">
      <dgm:prSet presAssocID="{0722BBFA-71B1-4E5C-94FF-0C0457A116D6}" presName="Name64" presStyleLbl="parChTrans1D2" presStyleIdx="2" presStyleCnt="6"/>
      <dgm:spPr/>
      <dgm:t>
        <a:bodyPr/>
        <a:lstStyle/>
        <a:p>
          <a:endParaRPr lang="en-US"/>
        </a:p>
      </dgm:t>
    </dgm:pt>
    <dgm:pt modelId="{C1D4BF1F-8994-4241-992F-DFD40DF12CBA}" type="pres">
      <dgm:prSet presAssocID="{D668721C-61DC-4361-AC82-4B213134CB9A}" presName="hierRoot2" presStyleCnt="0">
        <dgm:presLayoutVars>
          <dgm:hierBranch val="init"/>
        </dgm:presLayoutVars>
      </dgm:prSet>
      <dgm:spPr/>
    </dgm:pt>
    <dgm:pt modelId="{6ABA61F4-FF3A-44C7-A642-6352FD48134E}" type="pres">
      <dgm:prSet presAssocID="{D668721C-61DC-4361-AC82-4B213134CB9A}" presName="rootComposite" presStyleCnt="0"/>
      <dgm:spPr/>
    </dgm:pt>
    <dgm:pt modelId="{7ABB9496-7179-433E-BE54-AA118BA165FC}" type="pres">
      <dgm:prSet presAssocID="{D668721C-61DC-4361-AC82-4B213134CB9A}" presName="rootText" presStyleLbl="node2" presStyleIdx="2" presStyleCnt="6">
        <dgm:presLayoutVars>
          <dgm:chPref val="3"/>
        </dgm:presLayoutVars>
      </dgm:prSet>
      <dgm:spPr/>
      <dgm:t>
        <a:bodyPr/>
        <a:lstStyle/>
        <a:p>
          <a:endParaRPr lang="en-US"/>
        </a:p>
      </dgm:t>
    </dgm:pt>
    <dgm:pt modelId="{D0DBF6D6-A102-4D81-95E7-2A1A40EF51B4}" type="pres">
      <dgm:prSet presAssocID="{D668721C-61DC-4361-AC82-4B213134CB9A}" presName="rootConnector" presStyleLbl="node2" presStyleIdx="2" presStyleCnt="6"/>
      <dgm:spPr/>
      <dgm:t>
        <a:bodyPr/>
        <a:lstStyle/>
        <a:p>
          <a:endParaRPr lang="en-US"/>
        </a:p>
      </dgm:t>
    </dgm:pt>
    <dgm:pt modelId="{2E0C3B5C-9B22-48DD-A4AD-29FC3760DD3C}" type="pres">
      <dgm:prSet presAssocID="{D668721C-61DC-4361-AC82-4B213134CB9A}" presName="hierChild4" presStyleCnt="0"/>
      <dgm:spPr/>
    </dgm:pt>
    <dgm:pt modelId="{2B97D1FB-0DDB-4CA1-8B58-C12AC31C93C0}" type="pres">
      <dgm:prSet presAssocID="{3CBF6A4C-AAA7-457B-8195-01F10B5F9017}" presName="Name64" presStyleLbl="parChTrans1D3" presStyleIdx="0" presStyleCnt="10"/>
      <dgm:spPr/>
      <dgm:t>
        <a:bodyPr/>
        <a:lstStyle/>
        <a:p>
          <a:endParaRPr lang="en-US"/>
        </a:p>
      </dgm:t>
    </dgm:pt>
    <dgm:pt modelId="{D9E97DB3-70D3-47E4-BC75-605AE57F5E62}" type="pres">
      <dgm:prSet presAssocID="{AA3C9250-957D-4E96-9FBA-F35A68D69CA5}" presName="hierRoot2" presStyleCnt="0">
        <dgm:presLayoutVars>
          <dgm:hierBranch val="init"/>
        </dgm:presLayoutVars>
      </dgm:prSet>
      <dgm:spPr/>
    </dgm:pt>
    <dgm:pt modelId="{00F7766B-A049-4CCF-B14B-05A0759EF5F5}" type="pres">
      <dgm:prSet presAssocID="{AA3C9250-957D-4E96-9FBA-F35A68D69CA5}" presName="rootComposite" presStyleCnt="0"/>
      <dgm:spPr/>
    </dgm:pt>
    <dgm:pt modelId="{FCD0F5F6-2FB2-4258-9641-421C803F64C3}" type="pres">
      <dgm:prSet presAssocID="{AA3C9250-957D-4E96-9FBA-F35A68D69CA5}" presName="rootText" presStyleLbl="node3" presStyleIdx="0" presStyleCnt="10">
        <dgm:presLayoutVars>
          <dgm:chPref val="3"/>
        </dgm:presLayoutVars>
      </dgm:prSet>
      <dgm:spPr/>
      <dgm:t>
        <a:bodyPr/>
        <a:lstStyle/>
        <a:p>
          <a:endParaRPr lang="en-US"/>
        </a:p>
      </dgm:t>
    </dgm:pt>
    <dgm:pt modelId="{5E810AB2-EC29-47F3-AEB1-C31D0500A728}" type="pres">
      <dgm:prSet presAssocID="{AA3C9250-957D-4E96-9FBA-F35A68D69CA5}" presName="rootConnector" presStyleLbl="node3" presStyleIdx="0" presStyleCnt="10"/>
      <dgm:spPr/>
      <dgm:t>
        <a:bodyPr/>
        <a:lstStyle/>
        <a:p>
          <a:endParaRPr lang="en-US"/>
        </a:p>
      </dgm:t>
    </dgm:pt>
    <dgm:pt modelId="{8DF5C803-0C1B-45F8-8D63-C150FF833BEB}" type="pres">
      <dgm:prSet presAssocID="{AA3C9250-957D-4E96-9FBA-F35A68D69CA5}" presName="hierChild4" presStyleCnt="0"/>
      <dgm:spPr/>
    </dgm:pt>
    <dgm:pt modelId="{2AEB6F31-0372-4F38-B59E-EC4A4F755323}" type="pres">
      <dgm:prSet presAssocID="{AA3C9250-957D-4E96-9FBA-F35A68D69CA5}" presName="hierChild5" presStyleCnt="0"/>
      <dgm:spPr/>
    </dgm:pt>
    <dgm:pt modelId="{E114FE5C-A8F5-4F3E-81FF-48DA14E6D140}" type="pres">
      <dgm:prSet presAssocID="{619C3A6C-D860-4AB5-9585-513E23EF09B1}" presName="Name64" presStyleLbl="parChTrans1D3" presStyleIdx="1" presStyleCnt="10"/>
      <dgm:spPr/>
      <dgm:t>
        <a:bodyPr/>
        <a:lstStyle/>
        <a:p>
          <a:endParaRPr lang="en-US"/>
        </a:p>
      </dgm:t>
    </dgm:pt>
    <dgm:pt modelId="{0BB098C6-6409-4320-8857-5B4277CF3B4B}" type="pres">
      <dgm:prSet presAssocID="{9F4506BE-8F3E-4B56-8B65-6F060A9DF9D3}" presName="hierRoot2" presStyleCnt="0">
        <dgm:presLayoutVars>
          <dgm:hierBranch val="init"/>
        </dgm:presLayoutVars>
      </dgm:prSet>
      <dgm:spPr/>
    </dgm:pt>
    <dgm:pt modelId="{709A4DFE-15C1-4943-B020-99BEAA1C7281}" type="pres">
      <dgm:prSet presAssocID="{9F4506BE-8F3E-4B56-8B65-6F060A9DF9D3}" presName="rootComposite" presStyleCnt="0"/>
      <dgm:spPr/>
    </dgm:pt>
    <dgm:pt modelId="{B84A46DC-014D-44A9-A435-7FBB638C2D46}" type="pres">
      <dgm:prSet presAssocID="{9F4506BE-8F3E-4B56-8B65-6F060A9DF9D3}" presName="rootText" presStyleLbl="node3" presStyleIdx="1" presStyleCnt="10">
        <dgm:presLayoutVars>
          <dgm:chPref val="3"/>
        </dgm:presLayoutVars>
      </dgm:prSet>
      <dgm:spPr/>
      <dgm:t>
        <a:bodyPr/>
        <a:lstStyle/>
        <a:p>
          <a:endParaRPr lang="en-US"/>
        </a:p>
      </dgm:t>
    </dgm:pt>
    <dgm:pt modelId="{9C047A81-39B5-42E9-9953-1B09011389A3}" type="pres">
      <dgm:prSet presAssocID="{9F4506BE-8F3E-4B56-8B65-6F060A9DF9D3}" presName="rootConnector" presStyleLbl="node3" presStyleIdx="1" presStyleCnt="10"/>
      <dgm:spPr/>
      <dgm:t>
        <a:bodyPr/>
        <a:lstStyle/>
        <a:p>
          <a:endParaRPr lang="en-US"/>
        </a:p>
      </dgm:t>
    </dgm:pt>
    <dgm:pt modelId="{BFAE2354-54E5-439D-93FF-916FF2B258C3}" type="pres">
      <dgm:prSet presAssocID="{9F4506BE-8F3E-4B56-8B65-6F060A9DF9D3}" presName="hierChild4" presStyleCnt="0"/>
      <dgm:spPr/>
    </dgm:pt>
    <dgm:pt modelId="{21BA336D-1690-4BFB-8218-2D11260514A4}" type="pres">
      <dgm:prSet presAssocID="{9F4506BE-8F3E-4B56-8B65-6F060A9DF9D3}" presName="hierChild5" presStyleCnt="0"/>
      <dgm:spPr/>
    </dgm:pt>
    <dgm:pt modelId="{8DBCCFC9-0D57-410D-9622-8E377354D04E}" type="pres">
      <dgm:prSet presAssocID="{D07BD4C7-505E-4B38-BDF3-D9405F73D623}" presName="Name64" presStyleLbl="parChTrans1D3" presStyleIdx="2" presStyleCnt="10"/>
      <dgm:spPr/>
      <dgm:t>
        <a:bodyPr/>
        <a:lstStyle/>
        <a:p>
          <a:endParaRPr lang="en-US"/>
        </a:p>
      </dgm:t>
    </dgm:pt>
    <dgm:pt modelId="{179D44FE-000D-491C-934D-B29D01DF2629}" type="pres">
      <dgm:prSet presAssocID="{D5E36A28-99B6-4FC0-9070-7ED02FC29250}" presName="hierRoot2" presStyleCnt="0">
        <dgm:presLayoutVars>
          <dgm:hierBranch val="init"/>
        </dgm:presLayoutVars>
      </dgm:prSet>
      <dgm:spPr/>
    </dgm:pt>
    <dgm:pt modelId="{1E404F0A-C680-458C-B18A-0AFCD0547F0A}" type="pres">
      <dgm:prSet presAssocID="{D5E36A28-99B6-4FC0-9070-7ED02FC29250}" presName="rootComposite" presStyleCnt="0"/>
      <dgm:spPr/>
    </dgm:pt>
    <dgm:pt modelId="{8909094D-14E7-4B59-BD58-63DBAC7704C8}" type="pres">
      <dgm:prSet presAssocID="{D5E36A28-99B6-4FC0-9070-7ED02FC29250}" presName="rootText" presStyleLbl="node3" presStyleIdx="2" presStyleCnt="10">
        <dgm:presLayoutVars>
          <dgm:chPref val="3"/>
        </dgm:presLayoutVars>
      </dgm:prSet>
      <dgm:spPr/>
      <dgm:t>
        <a:bodyPr/>
        <a:lstStyle/>
        <a:p>
          <a:endParaRPr lang="en-US"/>
        </a:p>
      </dgm:t>
    </dgm:pt>
    <dgm:pt modelId="{6A042EA3-8716-49DA-93C0-912149C23394}" type="pres">
      <dgm:prSet presAssocID="{D5E36A28-99B6-4FC0-9070-7ED02FC29250}" presName="rootConnector" presStyleLbl="node3" presStyleIdx="2" presStyleCnt="10"/>
      <dgm:spPr/>
      <dgm:t>
        <a:bodyPr/>
        <a:lstStyle/>
        <a:p>
          <a:endParaRPr lang="en-US"/>
        </a:p>
      </dgm:t>
    </dgm:pt>
    <dgm:pt modelId="{60DB3516-D486-42A3-ADEE-8BB4D782882D}" type="pres">
      <dgm:prSet presAssocID="{D5E36A28-99B6-4FC0-9070-7ED02FC29250}" presName="hierChild4" presStyleCnt="0"/>
      <dgm:spPr/>
    </dgm:pt>
    <dgm:pt modelId="{3053B33E-C6BC-4E59-8942-3B158F033235}" type="pres">
      <dgm:prSet presAssocID="{D5E36A28-99B6-4FC0-9070-7ED02FC29250}" presName="hierChild5" presStyleCnt="0"/>
      <dgm:spPr/>
    </dgm:pt>
    <dgm:pt modelId="{D5357351-A9EE-4C88-AF2E-B84ED0E56048}" type="pres">
      <dgm:prSet presAssocID="{AF5A16E7-274D-47F0-8441-9AB8EAD5BA58}" presName="Name64" presStyleLbl="parChTrans1D3" presStyleIdx="3" presStyleCnt="10"/>
      <dgm:spPr/>
      <dgm:t>
        <a:bodyPr/>
        <a:lstStyle/>
        <a:p>
          <a:endParaRPr lang="en-US"/>
        </a:p>
      </dgm:t>
    </dgm:pt>
    <dgm:pt modelId="{51D79FC8-44C5-4340-A4D8-34627818EB6B}" type="pres">
      <dgm:prSet presAssocID="{225E7B83-25BC-4AF6-BC49-6B15D7D4251C}" presName="hierRoot2" presStyleCnt="0">
        <dgm:presLayoutVars>
          <dgm:hierBranch val="init"/>
        </dgm:presLayoutVars>
      </dgm:prSet>
      <dgm:spPr/>
    </dgm:pt>
    <dgm:pt modelId="{37726F67-475E-4F23-A518-EA4C150FC984}" type="pres">
      <dgm:prSet presAssocID="{225E7B83-25BC-4AF6-BC49-6B15D7D4251C}" presName="rootComposite" presStyleCnt="0"/>
      <dgm:spPr/>
    </dgm:pt>
    <dgm:pt modelId="{E5D07C8D-C74B-4703-B024-68C22C15E953}" type="pres">
      <dgm:prSet presAssocID="{225E7B83-25BC-4AF6-BC49-6B15D7D4251C}" presName="rootText" presStyleLbl="node3" presStyleIdx="3" presStyleCnt="10">
        <dgm:presLayoutVars>
          <dgm:chPref val="3"/>
        </dgm:presLayoutVars>
      </dgm:prSet>
      <dgm:spPr/>
      <dgm:t>
        <a:bodyPr/>
        <a:lstStyle/>
        <a:p>
          <a:endParaRPr lang="en-US"/>
        </a:p>
      </dgm:t>
    </dgm:pt>
    <dgm:pt modelId="{9D2C79AD-8A9B-468E-B0D7-48CC30B8B49F}" type="pres">
      <dgm:prSet presAssocID="{225E7B83-25BC-4AF6-BC49-6B15D7D4251C}" presName="rootConnector" presStyleLbl="node3" presStyleIdx="3" presStyleCnt="10"/>
      <dgm:spPr/>
      <dgm:t>
        <a:bodyPr/>
        <a:lstStyle/>
        <a:p>
          <a:endParaRPr lang="en-US"/>
        </a:p>
      </dgm:t>
    </dgm:pt>
    <dgm:pt modelId="{40D52B6D-556B-4439-9C81-63BCE0019D84}" type="pres">
      <dgm:prSet presAssocID="{225E7B83-25BC-4AF6-BC49-6B15D7D4251C}" presName="hierChild4" presStyleCnt="0"/>
      <dgm:spPr/>
    </dgm:pt>
    <dgm:pt modelId="{A115A980-5FC2-496D-A1F7-66DBF85DF729}" type="pres">
      <dgm:prSet presAssocID="{225E7B83-25BC-4AF6-BC49-6B15D7D4251C}" presName="hierChild5" presStyleCnt="0"/>
      <dgm:spPr/>
    </dgm:pt>
    <dgm:pt modelId="{5A2C961C-D4C7-459A-9F6D-FE2E687AB6BC}" type="pres">
      <dgm:prSet presAssocID="{44E1D15E-C70A-4CCD-85A8-B39C1FD0761C}" presName="Name64" presStyleLbl="parChTrans1D3" presStyleIdx="4" presStyleCnt="10"/>
      <dgm:spPr/>
      <dgm:t>
        <a:bodyPr/>
        <a:lstStyle/>
        <a:p>
          <a:endParaRPr lang="en-US"/>
        </a:p>
      </dgm:t>
    </dgm:pt>
    <dgm:pt modelId="{78D9F9D9-760A-4783-B592-F472BA2E2F3D}" type="pres">
      <dgm:prSet presAssocID="{72D0F7D4-88A2-4ACA-9F54-BCEC289A3E69}" presName="hierRoot2" presStyleCnt="0">
        <dgm:presLayoutVars>
          <dgm:hierBranch val="init"/>
        </dgm:presLayoutVars>
      </dgm:prSet>
      <dgm:spPr/>
    </dgm:pt>
    <dgm:pt modelId="{C527FFAB-D430-47D4-878F-44FC07192E27}" type="pres">
      <dgm:prSet presAssocID="{72D0F7D4-88A2-4ACA-9F54-BCEC289A3E69}" presName="rootComposite" presStyleCnt="0"/>
      <dgm:spPr/>
    </dgm:pt>
    <dgm:pt modelId="{31AC8CB5-8ACB-4234-8CCD-536EBF72B931}" type="pres">
      <dgm:prSet presAssocID="{72D0F7D4-88A2-4ACA-9F54-BCEC289A3E69}" presName="rootText" presStyleLbl="node3" presStyleIdx="4" presStyleCnt="10">
        <dgm:presLayoutVars>
          <dgm:chPref val="3"/>
        </dgm:presLayoutVars>
      </dgm:prSet>
      <dgm:spPr/>
      <dgm:t>
        <a:bodyPr/>
        <a:lstStyle/>
        <a:p>
          <a:endParaRPr lang="en-US"/>
        </a:p>
      </dgm:t>
    </dgm:pt>
    <dgm:pt modelId="{4FAF366C-4DD3-47EC-B84C-013FBEB576D8}" type="pres">
      <dgm:prSet presAssocID="{72D0F7D4-88A2-4ACA-9F54-BCEC289A3E69}" presName="rootConnector" presStyleLbl="node3" presStyleIdx="4" presStyleCnt="10"/>
      <dgm:spPr/>
      <dgm:t>
        <a:bodyPr/>
        <a:lstStyle/>
        <a:p>
          <a:endParaRPr lang="en-US"/>
        </a:p>
      </dgm:t>
    </dgm:pt>
    <dgm:pt modelId="{161E616E-DA1D-4B2E-9363-81AFECCC0BF4}" type="pres">
      <dgm:prSet presAssocID="{72D0F7D4-88A2-4ACA-9F54-BCEC289A3E69}" presName="hierChild4" presStyleCnt="0"/>
      <dgm:spPr/>
    </dgm:pt>
    <dgm:pt modelId="{1311D486-B181-47F3-AA0A-D8A753883DCE}" type="pres">
      <dgm:prSet presAssocID="{72D0F7D4-88A2-4ACA-9F54-BCEC289A3E69}" presName="hierChild5" presStyleCnt="0"/>
      <dgm:spPr/>
    </dgm:pt>
    <dgm:pt modelId="{2DE4D13C-002A-4821-A131-1E213E75A72C}" type="pres">
      <dgm:prSet presAssocID="{0849E6CB-F745-45AE-BAE0-58C68E5E5123}" presName="Name64" presStyleLbl="parChTrans1D3" presStyleIdx="5" presStyleCnt="10"/>
      <dgm:spPr/>
      <dgm:t>
        <a:bodyPr/>
        <a:lstStyle/>
        <a:p>
          <a:endParaRPr lang="en-US"/>
        </a:p>
      </dgm:t>
    </dgm:pt>
    <dgm:pt modelId="{F586FA39-AC61-4693-9490-E3CF67D4DC57}" type="pres">
      <dgm:prSet presAssocID="{7B489007-80AD-4185-A4B7-E66F8EF0A52E}" presName="hierRoot2" presStyleCnt="0">
        <dgm:presLayoutVars>
          <dgm:hierBranch val="init"/>
        </dgm:presLayoutVars>
      </dgm:prSet>
      <dgm:spPr/>
    </dgm:pt>
    <dgm:pt modelId="{7E145C87-7734-429E-BDD4-11A91F7E5379}" type="pres">
      <dgm:prSet presAssocID="{7B489007-80AD-4185-A4B7-E66F8EF0A52E}" presName="rootComposite" presStyleCnt="0"/>
      <dgm:spPr/>
    </dgm:pt>
    <dgm:pt modelId="{7C5517C4-3757-473A-A2AB-C23307A8C026}" type="pres">
      <dgm:prSet presAssocID="{7B489007-80AD-4185-A4B7-E66F8EF0A52E}" presName="rootText" presStyleLbl="node3" presStyleIdx="5" presStyleCnt="10">
        <dgm:presLayoutVars>
          <dgm:chPref val="3"/>
        </dgm:presLayoutVars>
      </dgm:prSet>
      <dgm:spPr/>
      <dgm:t>
        <a:bodyPr/>
        <a:lstStyle/>
        <a:p>
          <a:endParaRPr lang="en-US"/>
        </a:p>
      </dgm:t>
    </dgm:pt>
    <dgm:pt modelId="{8F848BFC-04CC-4971-AC80-A0EFB3406FAB}" type="pres">
      <dgm:prSet presAssocID="{7B489007-80AD-4185-A4B7-E66F8EF0A52E}" presName="rootConnector" presStyleLbl="node3" presStyleIdx="5" presStyleCnt="10"/>
      <dgm:spPr/>
      <dgm:t>
        <a:bodyPr/>
        <a:lstStyle/>
        <a:p>
          <a:endParaRPr lang="en-US"/>
        </a:p>
      </dgm:t>
    </dgm:pt>
    <dgm:pt modelId="{C38B9FFD-2399-49D1-8AF4-1768EAFBBBB3}" type="pres">
      <dgm:prSet presAssocID="{7B489007-80AD-4185-A4B7-E66F8EF0A52E}" presName="hierChild4" presStyleCnt="0"/>
      <dgm:spPr/>
    </dgm:pt>
    <dgm:pt modelId="{3D535D68-42FC-4AD6-8E3B-7E90CBE4A9AB}" type="pres">
      <dgm:prSet presAssocID="{7B489007-80AD-4185-A4B7-E66F8EF0A52E}" presName="hierChild5" presStyleCnt="0"/>
      <dgm:spPr/>
    </dgm:pt>
    <dgm:pt modelId="{10F420C2-83C1-461F-B1EB-168847E4349D}" type="pres">
      <dgm:prSet presAssocID="{4AA90043-300A-4AEF-AC3C-230E959E0BAF}" presName="Name64" presStyleLbl="parChTrans1D3" presStyleIdx="6" presStyleCnt="10"/>
      <dgm:spPr/>
      <dgm:t>
        <a:bodyPr/>
        <a:lstStyle/>
        <a:p>
          <a:endParaRPr lang="en-US"/>
        </a:p>
      </dgm:t>
    </dgm:pt>
    <dgm:pt modelId="{A6C0AB9A-0C55-4B52-B32D-D45979307EE8}" type="pres">
      <dgm:prSet presAssocID="{B3BFB203-D8C1-4049-AD8A-2466AC36A6F2}" presName="hierRoot2" presStyleCnt="0">
        <dgm:presLayoutVars>
          <dgm:hierBranch val="init"/>
        </dgm:presLayoutVars>
      </dgm:prSet>
      <dgm:spPr/>
    </dgm:pt>
    <dgm:pt modelId="{FB7F27CA-9B8A-46B6-BCBB-9233B87C5521}" type="pres">
      <dgm:prSet presAssocID="{B3BFB203-D8C1-4049-AD8A-2466AC36A6F2}" presName="rootComposite" presStyleCnt="0"/>
      <dgm:spPr/>
    </dgm:pt>
    <dgm:pt modelId="{31909FF8-01F2-4BA5-AF7A-6934458BC7B0}" type="pres">
      <dgm:prSet presAssocID="{B3BFB203-D8C1-4049-AD8A-2466AC36A6F2}" presName="rootText" presStyleLbl="node3" presStyleIdx="6" presStyleCnt="10">
        <dgm:presLayoutVars>
          <dgm:chPref val="3"/>
        </dgm:presLayoutVars>
      </dgm:prSet>
      <dgm:spPr/>
      <dgm:t>
        <a:bodyPr/>
        <a:lstStyle/>
        <a:p>
          <a:endParaRPr lang="en-US"/>
        </a:p>
      </dgm:t>
    </dgm:pt>
    <dgm:pt modelId="{C2D3B102-E2CF-4DEA-8BD6-B1A15EB1B428}" type="pres">
      <dgm:prSet presAssocID="{B3BFB203-D8C1-4049-AD8A-2466AC36A6F2}" presName="rootConnector" presStyleLbl="node3" presStyleIdx="6" presStyleCnt="10"/>
      <dgm:spPr/>
      <dgm:t>
        <a:bodyPr/>
        <a:lstStyle/>
        <a:p>
          <a:endParaRPr lang="en-US"/>
        </a:p>
      </dgm:t>
    </dgm:pt>
    <dgm:pt modelId="{55E4FE51-64FA-4069-AE52-03AF80DB2AEF}" type="pres">
      <dgm:prSet presAssocID="{B3BFB203-D8C1-4049-AD8A-2466AC36A6F2}" presName="hierChild4" presStyleCnt="0"/>
      <dgm:spPr/>
    </dgm:pt>
    <dgm:pt modelId="{0AEBA27B-2B16-4F4E-9F73-82E676CE7BCA}" type="pres">
      <dgm:prSet presAssocID="{B3BFB203-D8C1-4049-AD8A-2466AC36A6F2}" presName="hierChild5" presStyleCnt="0"/>
      <dgm:spPr/>
    </dgm:pt>
    <dgm:pt modelId="{C7D956E4-6DED-4AF0-BEF8-D0A2C8414468}" type="pres">
      <dgm:prSet presAssocID="{5804392F-04CB-47EB-A959-0EBE7B71EEC2}" presName="Name64" presStyleLbl="parChTrans1D3" presStyleIdx="7" presStyleCnt="10"/>
      <dgm:spPr/>
      <dgm:t>
        <a:bodyPr/>
        <a:lstStyle/>
        <a:p>
          <a:endParaRPr lang="en-US"/>
        </a:p>
      </dgm:t>
    </dgm:pt>
    <dgm:pt modelId="{18F4AC75-F065-43A2-BC00-8C1BB11E236D}" type="pres">
      <dgm:prSet presAssocID="{D71D4A63-325F-4889-899B-C52E8A3C0B79}" presName="hierRoot2" presStyleCnt="0">
        <dgm:presLayoutVars>
          <dgm:hierBranch val="init"/>
        </dgm:presLayoutVars>
      </dgm:prSet>
      <dgm:spPr/>
    </dgm:pt>
    <dgm:pt modelId="{8BF141A4-1E02-4084-A68E-3FA25B2411AF}" type="pres">
      <dgm:prSet presAssocID="{D71D4A63-325F-4889-899B-C52E8A3C0B79}" presName="rootComposite" presStyleCnt="0"/>
      <dgm:spPr/>
    </dgm:pt>
    <dgm:pt modelId="{2880E98C-A175-469A-9081-2CDBA5B04A73}" type="pres">
      <dgm:prSet presAssocID="{D71D4A63-325F-4889-899B-C52E8A3C0B79}" presName="rootText" presStyleLbl="node3" presStyleIdx="7" presStyleCnt="10">
        <dgm:presLayoutVars>
          <dgm:chPref val="3"/>
        </dgm:presLayoutVars>
      </dgm:prSet>
      <dgm:spPr/>
      <dgm:t>
        <a:bodyPr/>
        <a:lstStyle/>
        <a:p>
          <a:endParaRPr lang="en-US"/>
        </a:p>
      </dgm:t>
    </dgm:pt>
    <dgm:pt modelId="{8EC8D8DA-514E-4B3A-AA8B-AE97015DD6CE}" type="pres">
      <dgm:prSet presAssocID="{D71D4A63-325F-4889-899B-C52E8A3C0B79}" presName="rootConnector" presStyleLbl="node3" presStyleIdx="7" presStyleCnt="10"/>
      <dgm:spPr/>
      <dgm:t>
        <a:bodyPr/>
        <a:lstStyle/>
        <a:p>
          <a:endParaRPr lang="en-US"/>
        </a:p>
      </dgm:t>
    </dgm:pt>
    <dgm:pt modelId="{32AB363D-90DE-4AA6-89F4-6BE391DFC417}" type="pres">
      <dgm:prSet presAssocID="{D71D4A63-325F-4889-899B-C52E8A3C0B79}" presName="hierChild4" presStyleCnt="0"/>
      <dgm:spPr/>
    </dgm:pt>
    <dgm:pt modelId="{7FC5E3BC-83A2-49BD-8E6C-501274ED2117}" type="pres">
      <dgm:prSet presAssocID="{D71D4A63-325F-4889-899B-C52E8A3C0B79}" presName="hierChild5" presStyleCnt="0"/>
      <dgm:spPr/>
    </dgm:pt>
    <dgm:pt modelId="{87154F6B-B97D-4309-B096-2D5400DFD7CD}" type="pres">
      <dgm:prSet presAssocID="{DD341D47-5D33-4A6B-A359-B533A269B242}" presName="Name64" presStyleLbl="parChTrans1D3" presStyleIdx="8" presStyleCnt="10"/>
      <dgm:spPr/>
      <dgm:t>
        <a:bodyPr/>
        <a:lstStyle/>
        <a:p>
          <a:endParaRPr lang="en-US"/>
        </a:p>
      </dgm:t>
    </dgm:pt>
    <dgm:pt modelId="{B09E8F4E-F00C-43DC-9D5D-018F83EA67BF}" type="pres">
      <dgm:prSet presAssocID="{53468306-B9C7-4DB7-B739-32AA3F7ACF45}" presName="hierRoot2" presStyleCnt="0">
        <dgm:presLayoutVars>
          <dgm:hierBranch val="init"/>
        </dgm:presLayoutVars>
      </dgm:prSet>
      <dgm:spPr/>
    </dgm:pt>
    <dgm:pt modelId="{38B0C24E-6A7E-4813-8075-069B0BFFD2CE}" type="pres">
      <dgm:prSet presAssocID="{53468306-B9C7-4DB7-B739-32AA3F7ACF45}" presName="rootComposite" presStyleCnt="0"/>
      <dgm:spPr/>
    </dgm:pt>
    <dgm:pt modelId="{67807186-DCF8-419F-8643-38DFEBF8794E}" type="pres">
      <dgm:prSet presAssocID="{53468306-B9C7-4DB7-B739-32AA3F7ACF45}" presName="rootText" presStyleLbl="node3" presStyleIdx="8" presStyleCnt="10">
        <dgm:presLayoutVars>
          <dgm:chPref val="3"/>
        </dgm:presLayoutVars>
      </dgm:prSet>
      <dgm:spPr/>
      <dgm:t>
        <a:bodyPr/>
        <a:lstStyle/>
        <a:p>
          <a:endParaRPr lang="en-US"/>
        </a:p>
      </dgm:t>
    </dgm:pt>
    <dgm:pt modelId="{11BCC598-E54E-4016-86D2-7F2DE3D29CD2}" type="pres">
      <dgm:prSet presAssocID="{53468306-B9C7-4DB7-B739-32AA3F7ACF45}" presName="rootConnector" presStyleLbl="node3" presStyleIdx="8" presStyleCnt="10"/>
      <dgm:spPr/>
      <dgm:t>
        <a:bodyPr/>
        <a:lstStyle/>
        <a:p>
          <a:endParaRPr lang="en-US"/>
        </a:p>
      </dgm:t>
    </dgm:pt>
    <dgm:pt modelId="{725FBDBF-2103-48FB-B34A-4E8F49217B0D}" type="pres">
      <dgm:prSet presAssocID="{53468306-B9C7-4DB7-B739-32AA3F7ACF45}" presName="hierChild4" presStyleCnt="0"/>
      <dgm:spPr/>
    </dgm:pt>
    <dgm:pt modelId="{805D2CB4-0B8E-40E2-9C1C-AA4DB3D1CA78}" type="pres">
      <dgm:prSet presAssocID="{53468306-B9C7-4DB7-B739-32AA3F7ACF45}" presName="hierChild5" presStyleCnt="0"/>
      <dgm:spPr/>
    </dgm:pt>
    <dgm:pt modelId="{856B9346-4E36-48C0-B084-F9C483036895}" type="pres">
      <dgm:prSet presAssocID="{C9DB87CE-AD79-4171-B7F8-CE1CF093ADE5}" presName="Name64" presStyleLbl="parChTrans1D3" presStyleIdx="9" presStyleCnt="10"/>
      <dgm:spPr/>
      <dgm:t>
        <a:bodyPr/>
        <a:lstStyle/>
        <a:p>
          <a:endParaRPr lang="en-US"/>
        </a:p>
      </dgm:t>
    </dgm:pt>
    <dgm:pt modelId="{013A842A-BFA7-4559-B68A-4B6812DD4497}" type="pres">
      <dgm:prSet presAssocID="{24C4DB58-1AF5-4C9E-B5C7-DA9AD0FA7312}" presName="hierRoot2" presStyleCnt="0">
        <dgm:presLayoutVars>
          <dgm:hierBranch val="init"/>
        </dgm:presLayoutVars>
      </dgm:prSet>
      <dgm:spPr/>
    </dgm:pt>
    <dgm:pt modelId="{C9C712D6-0E4A-4CA5-9CDA-F70DAD597EB3}" type="pres">
      <dgm:prSet presAssocID="{24C4DB58-1AF5-4C9E-B5C7-DA9AD0FA7312}" presName="rootComposite" presStyleCnt="0"/>
      <dgm:spPr/>
    </dgm:pt>
    <dgm:pt modelId="{15C5811B-0966-48C4-B6CD-96FCBA1542B6}" type="pres">
      <dgm:prSet presAssocID="{24C4DB58-1AF5-4C9E-B5C7-DA9AD0FA7312}" presName="rootText" presStyleLbl="node3" presStyleIdx="9" presStyleCnt="10">
        <dgm:presLayoutVars>
          <dgm:chPref val="3"/>
        </dgm:presLayoutVars>
      </dgm:prSet>
      <dgm:spPr/>
      <dgm:t>
        <a:bodyPr/>
        <a:lstStyle/>
        <a:p>
          <a:endParaRPr lang="en-US"/>
        </a:p>
      </dgm:t>
    </dgm:pt>
    <dgm:pt modelId="{79FA191F-E87C-4021-AFA5-30090EEFD3BE}" type="pres">
      <dgm:prSet presAssocID="{24C4DB58-1AF5-4C9E-B5C7-DA9AD0FA7312}" presName="rootConnector" presStyleLbl="node3" presStyleIdx="9" presStyleCnt="10"/>
      <dgm:spPr/>
      <dgm:t>
        <a:bodyPr/>
        <a:lstStyle/>
        <a:p>
          <a:endParaRPr lang="en-US"/>
        </a:p>
      </dgm:t>
    </dgm:pt>
    <dgm:pt modelId="{DB940AF4-FFD0-4B82-8A47-930016CAE8F9}" type="pres">
      <dgm:prSet presAssocID="{24C4DB58-1AF5-4C9E-B5C7-DA9AD0FA7312}" presName="hierChild4" presStyleCnt="0"/>
      <dgm:spPr/>
    </dgm:pt>
    <dgm:pt modelId="{BD48BD92-4F9B-41CA-A483-303DA076236E}" type="pres">
      <dgm:prSet presAssocID="{24C4DB58-1AF5-4C9E-B5C7-DA9AD0FA7312}" presName="hierChild5" presStyleCnt="0"/>
      <dgm:spPr/>
    </dgm:pt>
    <dgm:pt modelId="{2B67057C-6138-4DA4-AF77-4585862FC2BE}" type="pres">
      <dgm:prSet presAssocID="{D668721C-61DC-4361-AC82-4B213134CB9A}" presName="hierChild5" presStyleCnt="0"/>
      <dgm:spPr/>
    </dgm:pt>
    <dgm:pt modelId="{01572B25-4040-4E44-A14A-1224CB57FC80}" type="pres">
      <dgm:prSet presAssocID="{DF6FBED4-A08E-4889-80CF-45F5E8F49DDC}" presName="Name64" presStyleLbl="parChTrans1D2" presStyleIdx="3" presStyleCnt="6"/>
      <dgm:spPr/>
      <dgm:t>
        <a:bodyPr/>
        <a:lstStyle/>
        <a:p>
          <a:endParaRPr lang="en-US"/>
        </a:p>
      </dgm:t>
    </dgm:pt>
    <dgm:pt modelId="{754366DE-605D-4809-B884-6562EC3C5879}" type="pres">
      <dgm:prSet presAssocID="{8B5DEB5C-8C55-4276-BD54-CCBDD98051B4}" presName="hierRoot2" presStyleCnt="0">
        <dgm:presLayoutVars>
          <dgm:hierBranch val="init"/>
        </dgm:presLayoutVars>
      </dgm:prSet>
      <dgm:spPr/>
    </dgm:pt>
    <dgm:pt modelId="{38C99795-7678-4D89-84A9-52460B5EB996}" type="pres">
      <dgm:prSet presAssocID="{8B5DEB5C-8C55-4276-BD54-CCBDD98051B4}" presName="rootComposite" presStyleCnt="0"/>
      <dgm:spPr/>
    </dgm:pt>
    <dgm:pt modelId="{A405772F-BB13-473B-B1EF-0365BCC09CB4}" type="pres">
      <dgm:prSet presAssocID="{8B5DEB5C-8C55-4276-BD54-CCBDD98051B4}" presName="rootText" presStyleLbl="node2" presStyleIdx="3" presStyleCnt="6" custScaleY="319445">
        <dgm:presLayoutVars>
          <dgm:chPref val="3"/>
        </dgm:presLayoutVars>
      </dgm:prSet>
      <dgm:spPr/>
      <dgm:t>
        <a:bodyPr/>
        <a:lstStyle/>
        <a:p>
          <a:endParaRPr lang="en-US"/>
        </a:p>
      </dgm:t>
    </dgm:pt>
    <dgm:pt modelId="{E717F643-E1D6-4B47-92CB-697A9A23A685}" type="pres">
      <dgm:prSet presAssocID="{8B5DEB5C-8C55-4276-BD54-CCBDD98051B4}" presName="rootConnector" presStyleLbl="node2" presStyleIdx="3" presStyleCnt="6"/>
      <dgm:spPr/>
      <dgm:t>
        <a:bodyPr/>
        <a:lstStyle/>
        <a:p>
          <a:endParaRPr lang="en-US"/>
        </a:p>
      </dgm:t>
    </dgm:pt>
    <dgm:pt modelId="{EF0EB82B-4B58-4180-82D9-4AEE3385E112}" type="pres">
      <dgm:prSet presAssocID="{8B5DEB5C-8C55-4276-BD54-CCBDD98051B4}" presName="hierChild4" presStyleCnt="0"/>
      <dgm:spPr/>
    </dgm:pt>
    <dgm:pt modelId="{585E465E-9D51-4063-9E45-2C07B319CCDA}" type="pres">
      <dgm:prSet presAssocID="{8B5DEB5C-8C55-4276-BD54-CCBDD98051B4}" presName="hierChild5" presStyleCnt="0"/>
      <dgm:spPr/>
    </dgm:pt>
    <dgm:pt modelId="{F066A4C4-0B6F-4956-AE2D-4C3227D118DC}" type="pres">
      <dgm:prSet presAssocID="{6AE0D976-FBE3-4FFB-8F12-C0D1092FF0C7}" presName="Name64" presStyleLbl="parChTrans1D2" presStyleIdx="4" presStyleCnt="6"/>
      <dgm:spPr/>
      <dgm:t>
        <a:bodyPr/>
        <a:lstStyle/>
        <a:p>
          <a:endParaRPr lang="en-US"/>
        </a:p>
      </dgm:t>
    </dgm:pt>
    <dgm:pt modelId="{2E1A648F-7E23-4921-8A16-88F7DA85774B}" type="pres">
      <dgm:prSet presAssocID="{D339B5F0-61B0-4E05-AAA0-EB4D233C8D45}" presName="hierRoot2" presStyleCnt="0">
        <dgm:presLayoutVars>
          <dgm:hierBranch val="init"/>
        </dgm:presLayoutVars>
      </dgm:prSet>
      <dgm:spPr/>
    </dgm:pt>
    <dgm:pt modelId="{253062BC-537F-4201-BDFC-06FAA1C65C96}" type="pres">
      <dgm:prSet presAssocID="{D339B5F0-61B0-4E05-AAA0-EB4D233C8D45}" presName="rootComposite" presStyleCnt="0"/>
      <dgm:spPr/>
    </dgm:pt>
    <dgm:pt modelId="{C80CDAEC-83A5-438D-823E-64A22651EBBC}" type="pres">
      <dgm:prSet presAssocID="{D339B5F0-61B0-4E05-AAA0-EB4D233C8D45}" presName="rootText" presStyleLbl="node2" presStyleIdx="4" presStyleCnt="6" custScaleX="89198" custScaleY="291788">
        <dgm:presLayoutVars>
          <dgm:chPref val="3"/>
        </dgm:presLayoutVars>
      </dgm:prSet>
      <dgm:spPr/>
      <dgm:t>
        <a:bodyPr/>
        <a:lstStyle/>
        <a:p>
          <a:endParaRPr lang="en-US"/>
        </a:p>
      </dgm:t>
    </dgm:pt>
    <dgm:pt modelId="{A565B523-B336-4572-8029-03531730DDEA}" type="pres">
      <dgm:prSet presAssocID="{D339B5F0-61B0-4E05-AAA0-EB4D233C8D45}" presName="rootConnector" presStyleLbl="node2" presStyleIdx="4" presStyleCnt="6"/>
      <dgm:spPr/>
      <dgm:t>
        <a:bodyPr/>
        <a:lstStyle/>
        <a:p>
          <a:endParaRPr lang="en-US"/>
        </a:p>
      </dgm:t>
    </dgm:pt>
    <dgm:pt modelId="{DC699B3B-8357-427D-A54C-F4237939E8CD}" type="pres">
      <dgm:prSet presAssocID="{D339B5F0-61B0-4E05-AAA0-EB4D233C8D45}" presName="hierChild4" presStyleCnt="0"/>
      <dgm:spPr/>
    </dgm:pt>
    <dgm:pt modelId="{8CE8FA04-7321-4DC0-82A9-347854F8B28F}" type="pres">
      <dgm:prSet presAssocID="{D339B5F0-61B0-4E05-AAA0-EB4D233C8D45}" presName="hierChild5" presStyleCnt="0"/>
      <dgm:spPr/>
    </dgm:pt>
    <dgm:pt modelId="{E0E454BF-3E58-4ABD-8DA2-FD7A1696F981}" type="pres">
      <dgm:prSet presAssocID="{E3A1DDE3-59E0-4C11-94F2-A506C0BA0765}" presName="Name64" presStyleLbl="parChTrans1D2" presStyleIdx="5" presStyleCnt="6"/>
      <dgm:spPr/>
      <dgm:t>
        <a:bodyPr/>
        <a:lstStyle/>
        <a:p>
          <a:endParaRPr lang="en-US"/>
        </a:p>
      </dgm:t>
    </dgm:pt>
    <dgm:pt modelId="{A098452D-A4CA-4D4A-A3D7-08216BB68326}" type="pres">
      <dgm:prSet presAssocID="{4F026230-1A2F-49B3-8DED-90DC775A5C5D}" presName="hierRoot2" presStyleCnt="0">
        <dgm:presLayoutVars>
          <dgm:hierBranch val="init"/>
        </dgm:presLayoutVars>
      </dgm:prSet>
      <dgm:spPr/>
    </dgm:pt>
    <dgm:pt modelId="{4898BF26-9A99-4A99-A10F-F2300D59D0A5}" type="pres">
      <dgm:prSet presAssocID="{4F026230-1A2F-49B3-8DED-90DC775A5C5D}" presName="rootComposite" presStyleCnt="0"/>
      <dgm:spPr/>
    </dgm:pt>
    <dgm:pt modelId="{5B673C44-C66F-4A02-84DF-F23700B48042}" type="pres">
      <dgm:prSet presAssocID="{4F026230-1A2F-49B3-8DED-90DC775A5C5D}" presName="rootText" presStyleLbl="node2" presStyleIdx="5" presStyleCnt="6" custScaleY="188096">
        <dgm:presLayoutVars>
          <dgm:chPref val="3"/>
        </dgm:presLayoutVars>
      </dgm:prSet>
      <dgm:spPr/>
      <dgm:t>
        <a:bodyPr/>
        <a:lstStyle/>
        <a:p>
          <a:endParaRPr lang="en-US"/>
        </a:p>
      </dgm:t>
    </dgm:pt>
    <dgm:pt modelId="{3AA98633-91A4-4DC1-A389-D0B149161CF8}" type="pres">
      <dgm:prSet presAssocID="{4F026230-1A2F-49B3-8DED-90DC775A5C5D}" presName="rootConnector" presStyleLbl="node2" presStyleIdx="5" presStyleCnt="6"/>
      <dgm:spPr/>
      <dgm:t>
        <a:bodyPr/>
        <a:lstStyle/>
        <a:p>
          <a:endParaRPr lang="en-US"/>
        </a:p>
      </dgm:t>
    </dgm:pt>
    <dgm:pt modelId="{FD8146CF-6723-4768-9AD5-4AC249BD7C13}" type="pres">
      <dgm:prSet presAssocID="{4F026230-1A2F-49B3-8DED-90DC775A5C5D}" presName="hierChild4" presStyleCnt="0"/>
      <dgm:spPr/>
    </dgm:pt>
    <dgm:pt modelId="{6D389838-31D9-48DB-97A9-EE38D3EF79E0}" type="pres">
      <dgm:prSet presAssocID="{4F026230-1A2F-49B3-8DED-90DC775A5C5D}" presName="hierChild5" presStyleCnt="0"/>
      <dgm:spPr/>
    </dgm:pt>
    <dgm:pt modelId="{59A845EF-8F09-4224-8D26-19B61044F09A}" type="pres">
      <dgm:prSet presAssocID="{1C883CFC-D379-47C6-91CA-71401CB287CC}" presName="hierChild3" presStyleCnt="0"/>
      <dgm:spPr/>
    </dgm:pt>
  </dgm:ptLst>
  <dgm:cxnLst>
    <dgm:cxn modelId="{3BDDF2B3-DF30-384A-AA26-6967AE8FF038}" type="presOf" srcId="{A70EA13A-C138-4BE6-ACC9-719CF29197F4}" destId="{4D466FC6-8D07-4663-9D24-0A23BA68C334}" srcOrd="0" destOrd="0" presId="urn:microsoft.com/office/officeart/2009/3/layout/HorizontalOrganizationChart"/>
    <dgm:cxn modelId="{82596D14-188A-9B49-AE91-664D9B7FF6A9}" type="presOf" srcId="{9F4506BE-8F3E-4B56-8B65-6F060A9DF9D3}" destId="{9C047A81-39B5-42E9-9953-1B09011389A3}" srcOrd="1" destOrd="0" presId="urn:microsoft.com/office/officeart/2009/3/layout/HorizontalOrganizationChart"/>
    <dgm:cxn modelId="{45678A27-AD1B-4BF1-9AE9-9839F5709F33}" srcId="{06582A8D-D22C-4DCC-90FD-720881C96886}" destId="{4D6FB199-3EC5-45D4-BBAA-AAF877E42257}" srcOrd="0" destOrd="0" parTransId="{6C5E3BD3-1785-49B1-97B3-8BAA2AE4B745}" sibTransId="{64D33893-ED95-43B4-9CC7-CEDCEBF41150}"/>
    <dgm:cxn modelId="{51C3848A-1AE6-6641-80AF-49C141813229}" type="presOf" srcId="{E3A1DDE3-59E0-4C11-94F2-A506C0BA0765}" destId="{E0E454BF-3E58-4ABD-8DA2-FD7A1696F981}" srcOrd="0" destOrd="0" presId="urn:microsoft.com/office/officeart/2009/3/layout/HorizontalOrganizationChart"/>
    <dgm:cxn modelId="{67B3AA1D-C14F-E449-B4FB-AC1272C9E141}" type="presOf" srcId="{D339B5F0-61B0-4E05-AAA0-EB4D233C8D45}" destId="{A565B523-B336-4572-8029-03531730DDEA}" srcOrd="1" destOrd="0" presId="urn:microsoft.com/office/officeart/2009/3/layout/HorizontalOrganizationChart"/>
    <dgm:cxn modelId="{9882B360-BD8A-7943-925B-E5916B7EAED4}" type="presOf" srcId="{DE5187DA-D0B4-4702-9A86-89D6D2D04507}" destId="{3BC108AB-FE95-40A3-9F38-43465DE3777C}" srcOrd="1" destOrd="0" presId="urn:microsoft.com/office/officeart/2009/3/layout/HorizontalOrganizationChart"/>
    <dgm:cxn modelId="{0A5EB972-0901-4BCA-8FDF-00170C0750FF}" srcId="{D668721C-61DC-4361-AC82-4B213134CB9A}" destId="{B3BFB203-D8C1-4049-AD8A-2466AC36A6F2}" srcOrd="6" destOrd="0" parTransId="{4AA90043-300A-4AEF-AC3C-230E959E0BAF}" sibTransId="{62641ECA-7969-4C32-868F-1427F07FD3C7}"/>
    <dgm:cxn modelId="{5B93F91C-7486-C24E-8B75-22919D3BF2D2}" type="presOf" srcId="{AF5A16E7-274D-47F0-8441-9AB8EAD5BA58}" destId="{D5357351-A9EE-4C88-AF2E-B84ED0E56048}" srcOrd="0" destOrd="0" presId="urn:microsoft.com/office/officeart/2009/3/layout/HorizontalOrganizationChart"/>
    <dgm:cxn modelId="{D073D4DF-86DD-4DF3-8052-C2E1EE9F6D55}" srcId="{D668721C-61DC-4361-AC82-4B213134CB9A}" destId="{7B489007-80AD-4185-A4B7-E66F8EF0A52E}" srcOrd="5" destOrd="0" parTransId="{0849E6CB-F745-45AE-BAE0-58C68E5E5123}" sibTransId="{3D58EA39-6A3F-4579-93B2-310F08C58100}"/>
    <dgm:cxn modelId="{F09D2C92-E251-4A30-80F1-60CAB98B6005}" srcId="{D668721C-61DC-4361-AC82-4B213134CB9A}" destId="{9F4506BE-8F3E-4B56-8B65-6F060A9DF9D3}" srcOrd="1" destOrd="0" parTransId="{619C3A6C-D860-4AB5-9585-513E23EF09B1}" sibTransId="{B38F92B1-03F2-4888-A4E8-4B41122F830E}"/>
    <dgm:cxn modelId="{C810E94D-A578-4008-BF2A-93F22556C082}" srcId="{D668721C-61DC-4361-AC82-4B213134CB9A}" destId="{225E7B83-25BC-4AF6-BC49-6B15D7D4251C}" srcOrd="3" destOrd="0" parTransId="{AF5A16E7-274D-47F0-8441-9AB8EAD5BA58}" sibTransId="{8013A000-BBD1-480E-BA23-6E960B5EC69B}"/>
    <dgm:cxn modelId="{B60E82E2-CDB6-2147-AA30-387552A3B181}" type="presOf" srcId="{6AE0D976-FBE3-4FFB-8F12-C0D1092FF0C7}" destId="{F066A4C4-0B6F-4956-AE2D-4C3227D118DC}" srcOrd="0" destOrd="0" presId="urn:microsoft.com/office/officeart/2009/3/layout/HorizontalOrganizationChart"/>
    <dgm:cxn modelId="{AD6EC990-1BDC-9340-9521-DA9D0437CAA0}" type="presOf" srcId="{7A26552F-776B-4D8C-9CEE-25DD21FEEAAC}" destId="{896AF813-4488-4B34-8987-143649A410A1}" srcOrd="1" destOrd="0" presId="urn:microsoft.com/office/officeart/2009/3/layout/HorizontalOrganizationChart"/>
    <dgm:cxn modelId="{08944B89-C08F-F648-B5E1-B7173D91784F}" type="presOf" srcId="{4D6FB199-3EC5-45D4-BBAA-AAF877E42257}" destId="{E476F090-9FCF-4888-9343-D26B8186F443}" srcOrd="0" destOrd="0" presId="urn:microsoft.com/office/officeart/2009/3/layout/HorizontalOrganizationChart"/>
    <dgm:cxn modelId="{9972CBA2-CAF3-492E-9770-7AA95A781411}" srcId="{D668721C-61DC-4361-AC82-4B213134CB9A}" destId="{D5E36A28-99B6-4FC0-9070-7ED02FC29250}" srcOrd="2" destOrd="0" parTransId="{D07BD4C7-505E-4B38-BDF3-D9405F73D623}" sibTransId="{C4BB30F7-68A3-495B-BC18-A9CB89440538}"/>
    <dgm:cxn modelId="{6176CD0B-EC4A-E243-95F3-442364AF7F06}" type="presOf" srcId="{4AA90043-300A-4AEF-AC3C-230E959E0BAF}" destId="{10F420C2-83C1-461F-B1EB-168847E4349D}" srcOrd="0" destOrd="0" presId="urn:microsoft.com/office/officeart/2009/3/layout/HorizontalOrganizationChart"/>
    <dgm:cxn modelId="{7D868DEA-9FA2-E943-8B54-D973FB405624}" type="presOf" srcId="{9F4506BE-8F3E-4B56-8B65-6F060A9DF9D3}" destId="{B84A46DC-014D-44A9-A435-7FBB638C2D46}" srcOrd="0" destOrd="0" presId="urn:microsoft.com/office/officeart/2009/3/layout/HorizontalOrganizationChart"/>
    <dgm:cxn modelId="{8B1BF263-5FF4-D044-B05A-48D723198CC7}" type="presOf" srcId="{D71D4A63-325F-4889-899B-C52E8A3C0B79}" destId="{8EC8D8DA-514E-4B3A-AA8B-AE97015DD6CE}" srcOrd="1" destOrd="0" presId="urn:microsoft.com/office/officeart/2009/3/layout/HorizontalOrganizationChart"/>
    <dgm:cxn modelId="{9D2E986B-1D39-47DA-9780-E05063A27F9D}" srcId="{169DB8CF-F7DE-4455-8E7D-43E86079535F}" destId="{06582A8D-D22C-4DCC-90FD-720881C96886}" srcOrd="2" destOrd="0" parTransId="{12CDD76C-8A13-45D9-AF81-BF1D60FEE723}" sibTransId="{DC907C92-52FA-4749-8210-E50A52533009}"/>
    <dgm:cxn modelId="{FF7C9619-FEE2-5C40-A3F3-14815F13A49A}" type="presOf" srcId="{72D0F7D4-88A2-4ACA-9F54-BCEC289A3E69}" destId="{31AC8CB5-8ACB-4234-8CCD-536EBF72B931}" srcOrd="0" destOrd="0" presId="urn:microsoft.com/office/officeart/2009/3/layout/HorizontalOrganizationChart"/>
    <dgm:cxn modelId="{BF9F8AEE-C9EC-D140-9FF2-977505C12D08}" type="presOf" srcId="{4F026230-1A2F-49B3-8DED-90DC775A5C5D}" destId="{5B673C44-C66F-4A02-84DF-F23700B48042}" srcOrd="0" destOrd="0" presId="urn:microsoft.com/office/officeart/2009/3/layout/HorizontalOrganizationChart"/>
    <dgm:cxn modelId="{EB1D5FFB-B46C-4142-8D50-DFDE86EBB648}" srcId="{06582A8D-D22C-4DCC-90FD-720881C96886}" destId="{289E9C1B-FD01-4AE2-8373-90D94D1D538E}" srcOrd="1" destOrd="0" parTransId="{A70EA13A-C138-4BE6-ACC9-719CF29197F4}" sibTransId="{5A10805C-F552-4060-B225-510C5ECE8BC0}"/>
    <dgm:cxn modelId="{2D49517F-B6F7-4E42-9CF3-FCF1DFF58EA1}" type="presOf" srcId="{7B489007-80AD-4185-A4B7-E66F8EF0A52E}" destId="{8F848BFC-04CC-4971-AC80-A0EFB3406FAB}" srcOrd="1" destOrd="0" presId="urn:microsoft.com/office/officeart/2009/3/layout/HorizontalOrganizationChart"/>
    <dgm:cxn modelId="{1336BC2F-ECDC-6840-A75A-1BF912EC9959}" type="presOf" srcId="{289E9C1B-FD01-4AE2-8373-90D94D1D538E}" destId="{4977BD67-D08D-4E5F-9B4F-017AC57A0B93}" srcOrd="0" destOrd="0" presId="urn:microsoft.com/office/officeart/2009/3/layout/HorizontalOrganizationChart"/>
    <dgm:cxn modelId="{D6CF3D75-B9D6-A946-B282-FB0B2DC4F42C}" type="presOf" srcId="{24C4DB58-1AF5-4C9E-B5C7-DA9AD0FA7312}" destId="{79FA191F-E87C-4021-AFA5-30090EEFD3BE}" srcOrd="1" destOrd="0" presId="urn:microsoft.com/office/officeart/2009/3/layout/HorizontalOrganizationChart"/>
    <dgm:cxn modelId="{DA5A930B-79A6-8C46-A4FC-2AF4CC6F38EF}" type="presOf" srcId="{4F026230-1A2F-49B3-8DED-90DC775A5C5D}" destId="{3AA98633-91A4-4DC1-A389-D0B149161CF8}" srcOrd="1" destOrd="0" presId="urn:microsoft.com/office/officeart/2009/3/layout/HorizontalOrganizationChart"/>
    <dgm:cxn modelId="{23307AD4-7355-1E41-8275-F2E05E0F81E5}" type="presOf" srcId="{53468306-B9C7-4DB7-B739-32AA3F7ACF45}" destId="{67807186-DCF8-419F-8643-38DFEBF8794E}" srcOrd="0" destOrd="0" presId="urn:microsoft.com/office/officeart/2009/3/layout/HorizontalOrganizationChart"/>
    <dgm:cxn modelId="{858329E3-2189-EC49-BA77-21699D9DEDF9}" type="presOf" srcId="{06582A8D-D22C-4DCC-90FD-720881C96886}" destId="{B4AA179A-838B-46CB-837C-393B91356768}" srcOrd="0" destOrd="0" presId="urn:microsoft.com/office/officeart/2009/3/layout/HorizontalOrganizationChart"/>
    <dgm:cxn modelId="{23637D41-7220-42C6-8BE0-12A0EEF48106}" srcId="{1C883CFC-D379-47C6-91CA-71401CB287CC}" destId="{D339B5F0-61B0-4E05-AAA0-EB4D233C8D45}" srcOrd="2" destOrd="0" parTransId="{6AE0D976-FBE3-4FFB-8F12-C0D1092FF0C7}" sibTransId="{AB007EE0-8935-4431-93BA-CB2C0F1DCCE0}"/>
    <dgm:cxn modelId="{010E67BF-6007-DB48-9883-BC655FC26F9C}" type="presOf" srcId="{53468306-B9C7-4DB7-B739-32AA3F7ACF45}" destId="{11BCC598-E54E-4016-86D2-7F2DE3D29CD2}" srcOrd="1" destOrd="0" presId="urn:microsoft.com/office/officeart/2009/3/layout/HorizontalOrganizationChart"/>
    <dgm:cxn modelId="{8D082E59-D49E-754B-9CC4-08E6B3F7475E}" type="presOf" srcId="{24C4DB58-1AF5-4C9E-B5C7-DA9AD0FA7312}" destId="{15C5811B-0966-48C4-B6CD-96FCBA1542B6}" srcOrd="0" destOrd="0" presId="urn:microsoft.com/office/officeart/2009/3/layout/HorizontalOrganizationChart"/>
    <dgm:cxn modelId="{CAF22011-7698-9048-837B-E371ED17F4B2}" type="presOf" srcId="{D339B5F0-61B0-4E05-AAA0-EB4D233C8D45}" destId="{C80CDAEC-83A5-438D-823E-64A22651EBBC}" srcOrd="0" destOrd="0" presId="urn:microsoft.com/office/officeart/2009/3/layout/HorizontalOrganizationChart"/>
    <dgm:cxn modelId="{5EA44064-B099-E646-8CC1-917CC5A36FF4}" type="presOf" srcId="{D5E36A28-99B6-4FC0-9070-7ED02FC29250}" destId="{6A042EA3-8716-49DA-93C0-912149C23394}" srcOrd="1" destOrd="0" presId="urn:microsoft.com/office/officeart/2009/3/layout/HorizontalOrganizationChart"/>
    <dgm:cxn modelId="{9196B206-3467-334A-BC21-B48C5B8A80C8}" type="presOf" srcId="{3CBF6A4C-AAA7-457B-8195-01F10B5F9017}" destId="{2B97D1FB-0DDB-4CA1-8B58-C12AC31C93C0}" srcOrd="0" destOrd="0" presId="urn:microsoft.com/office/officeart/2009/3/layout/HorizontalOrganizationChart"/>
    <dgm:cxn modelId="{7B4AD949-0BB2-A64F-8319-5888F1D0C454}" type="presOf" srcId="{72D0F7D4-88A2-4ACA-9F54-BCEC289A3E69}" destId="{4FAF366C-4DD3-47EC-B84C-013FBEB576D8}" srcOrd="1" destOrd="0" presId="urn:microsoft.com/office/officeart/2009/3/layout/HorizontalOrganizationChart"/>
    <dgm:cxn modelId="{93A25B2D-CC0B-834D-8330-A03409BAF939}" type="presOf" srcId="{D668721C-61DC-4361-AC82-4B213134CB9A}" destId="{D0DBF6D6-A102-4D81-95E7-2A1A40EF51B4}" srcOrd="1" destOrd="0" presId="urn:microsoft.com/office/officeart/2009/3/layout/HorizontalOrganizationChart"/>
    <dgm:cxn modelId="{6FBA11B8-69B8-1D4C-86D8-B1C6AB9DD7AB}" type="presOf" srcId="{DD341D47-5D33-4A6B-A359-B533A269B242}" destId="{87154F6B-B97D-4309-B096-2D5400DFD7CD}" srcOrd="0" destOrd="0" presId="urn:microsoft.com/office/officeart/2009/3/layout/HorizontalOrganizationChart"/>
    <dgm:cxn modelId="{5A427EDB-CBE7-DA45-81DB-7EDB1CB0B6F5}" type="presOf" srcId="{B3BFB203-D8C1-4049-AD8A-2466AC36A6F2}" destId="{31909FF8-01F2-4BA5-AF7A-6934458BC7B0}" srcOrd="0" destOrd="0" presId="urn:microsoft.com/office/officeart/2009/3/layout/HorizontalOrganizationChart"/>
    <dgm:cxn modelId="{F1EAC7B8-B54E-4669-8E37-058EBB6E46D3}" srcId="{169DB8CF-F7DE-4455-8E7D-43E86079535F}" destId="{DE5187DA-D0B4-4702-9A86-89D6D2D04507}" srcOrd="0" destOrd="0" parTransId="{4FAD4521-026B-4D16-8AF0-B3FCFCC99499}" sibTransId="{E8658068-BEFC-48E1-A582-580865821DE0}"/>
    <dgm:cxn modelId="{7E839261-0B54-B84B-AC0B-18E00905BEE1}" type="presOf" srcId="{0722BBFA-71B1-4E5C-94FF-0C0457A116D6}" destId="{8FB7DF26-94F1-473B-91C2-FC72C39CC9B6}" srcOrd="0" destOrd="0" presId="urn:microsoft.com/office/officeart/2009/3/layout/HorizontalOrganizationChart"/>
    <dgm:cxn modelId="{63E23206-E7EF-4C9F-85F1-2069BB808D99}" srcId="{D668721C-61DC-4361-AC82-4B213134CB9A}" destId="{53468306-B9C7-4DB7-B739-32AA3F7ACF45}" srcOrd="8" destOrd="0" parTransId="{DD341D47-5D33-4A6B-A359-B533A269B242}" sibTransId="{2C62E7F4-B575-40B8-8FFE-3019F78887A7}"/>
    <dgm:cxn modelId="{0DC3E3AB-8F67-564D-8B69-3E3AA6093682}" type="presOf" srcId="{D07BD4C7-505E-4B38-BDF3-D9405F73D623}" destId="{8DBCCFC9-0D57-410D-9622-8E377354D04E}" srcOrd="0" destOrd="0" presId="urn:microsoft.com/office/officeart/2009/3/layout/HorizontalOrganizationChart"/>
    <dgm:cxn modelId="{C6E88885-F55B-E74A-9032-5E96FC919899}" type="presOf" srcId="{DF6FBED4-A08E-4889-80CF-45F5E8F49DDC}" destId="{01572B25-4040-4E44-A14A-1224CB57FC80}" srcOrd="0" destOrd="0" presId="urn:microsoft.com/office/officeart/2009/3/layout/HorizontalOrganizationChart"/>
    <dgm:cxn modelId="{08E2DBB1-EDFF-3645-BB2A-6AEC85BFE5EA}" type="presOf" srcId="{4D6FB199-3EC5-45D4-BBAA-AAF877E42257}" destId="{4D8221AB-CC84-4FBF-8EFD-D1B74CD74EC8}" srcOrd="1" destOrd="0" presId="urn:microsoft.com/office/officeart/2009/3/layout/HorizontalOrganizationChart"/>
    <dgm:cxn modelId="{A36E38A5-1D2D-8348-B1F4-97016B9140E9}" type="presOf" srcId="{D5E36A28-99B6-4FC0-9070-7ED02FC29250}" destId="{8909094D-14E7-4B59-BD58-63DBAC7704C8}" srcOrd="0" destOrd="0" presId="urn:microsoft.com/office/officeart/2009/3/layout/HorizontalOrganizationChart"/>
    <dgm:cxn modelId="{906469CC-C42B-604D-9AF3-9EFCDA48E9AF}" type="presOf" srcId="{7A26552F-776B-4D8C-9CEE-25DD21FEEAAC}" destId="{A57FD8C0-4DA2-4ED4-BA08-8E2D35379ACF}" srcOrd="0" destOrd="0" presId="urn:microsoft.com/office/officeart/2009/3/layout/HorizontalOrganizationChart"/>
    <dgm:cxn modelId="{2353746F-D14B-B04C-B43B-9D7DA0404217}" type="presOf" srcId="{C9DB87CE-AD79-4171-B7F8-CE1CF093ADE5}" destId="{856B9346-4E36-48C0-B084-F9C483036895}" srcOrd="0" destOrd="0" presId="urn:microsoft.com/office/officeart/2009/3/layout/HorizontalOrganizationChart"/>
    <dgm:cxn modelId="{09F03EBB-1623-334E-ADD1-B771152F6794}" type="presOf" srcId="{0849E6CB-F745-45AE-BAE0-58C68E5E5123}" destId="{2DE4D13C-002A-4821-A131-1E213E75A72C}" srcOrd="0" destOrd="0" presId="urn:microsoft.com/office/officeart/2009/3/layout/HorizontalOrganizationChart"/>
    <dgm:cxn modelId="{CB9592D5-E99A-3B4F-B920-281739975DE4}" type="presOf" srcId="{225E7B83-25BC-4AF6-BC49-6B15D7D4251C}" destId="{9D2C79AD-8A9B-468E-B0D7-48CC30B8B49F}" srcOrd="1" destOrd="0" presId="urn:microsoft.com/office/officeart/2009/3/layout/HorizontalOrganizationChart"/>
    <dgm:cxn modelId="{1F35B6F4-3A86-A942-A531-05619DE63432}" type="presOf" srcId="{6C5E3BD3-1785-49B1-97B3-8BAA2AE4B745}" destId="{26D23BE1-DC77-49A4-9EF5-78C844E54DDD}" srcOrd="0" destOrd="0" presId="urn:microsoft.com/office/officeart/2009/3/layout/HorizontalOrganizationChart"/>
    <dgm:cxn modelId="{052CB029-7491-924A-86CD-20C0E498E30B}" type="presOf" srcId="{1C883CFC-D379-47C6-91CA-71401CB287CC}" destId="{4BA97711-1D24-4B12-9947-43F032A7F234}" srcOrd="1" destOrd="0" presId="urn:microsoft.com/office/officeart/2009/3/layout/HorizontalOrganizationChart"/>
    <dgm:cxn modelId="{0821D24D-29E0-0A42-82AE-BCAAC9C2378B}" type="presOf" srcId="{D668721C-61DC-4361-AC82-4B213134CB9A}" destId="{7ABB9496-7179-433E-BE54-AA118BA165FC}" srcOrd="0" destOrd="0" presId="urn:microsoft.com/office/officeart/2009/3/layout/HorizontalOrganizationChart"/>
    <dgm:cxn modelId="{8FE03AA4-8015-304B-AB7C-CFCEDDAD1318}" type="presOf" srcId="{AA3C9250-957D-4E96-9FBA-F35A68D69CA5}" destId="{FCD0F5F6-2FB2-4258-9641-421C803F64C3}" srcOrd="0" destOrd="0" presId="urn:microsoft.com/office/officeart/2009/3/layout/HorizontalOrganizationChart"/>
    <dgm:cxn modelId="{B464D5E0-A2B7-4F6B-A36C-914CD8BC1284}" srcId="{1C883CFC-D379-47C6-91CA-71401CB287CC}" destId="{4F026230-1A2F-49B3-8DED-90DC775A5C5D}" srcOrd="3" destOrd="0" parTransId="{E3A1DDE3-59E0-4C11-94F2-A506C0BA0765}" sibTransId="{6D3815D4-8672-4D31-B765-0395A539B3FD}"/>
    <dgm:cxn modelId="{805B903F-38DC-C744-8BEC-47D35A8DE4A9}" type="presOf" srcId="{1C883CFC-D379-47C6-91CA-71401CB287CC}" destId="{7474C64F-F3D4-4617-99E1-F32B43144C36}" srcOrd="0" destOrd="0" presId="urn:microsoft.com/office/officeart/2009/3/layout/HorizontalOrganizationChart"/>
    <dgm:cxn modelId="{0AFE841E-9656-4C9C-9E58-A07F8CF2F2C6}" srcId="{D668721C-61DC-4361-AC82-4B213134CB9A}" destId="{24C4DB58-1AF5-4C9E-B5C7-DA9AD0FA7312}" srcOrd="9" destOrd="0" parTransId="{C9DB87CE-AD79-4171-B7F8-CE1CF093ADE5}" sibTransId="{B7E3AA78-BF13-4B4B-8449-2BE314A63F36}"/>
    <dgm:cxn modelId="{D499F25B-05C5-5A41-B663-E1D3DC658A62}" type="presOf" srcId="{7B489007-80AD-4185-A4B7-E66F8EF0A52E}" destId="{7C5517C4-3757-473A-A2AB-C23307A8C026}" srcOrd="0" destOrd="0" presId="urn:microsoft.com/office/officeart/2009/3/layout/HorizontalOrganizationChart"/>
    <dgm:cxn modelId="{58945A43-8E04-AB4C-8CFD-578084C51B44}" type="presOf" srcId="{225E7B83-25BC-4AF6-BC49-6B15D7D4251C}" destId="{E5D07C8D-C74B-4703-B024-68C22C15E953}" srcOrd="0" destOrd="0" presId="urn:microsoft.com/office/officeart/2009/3/layout/HorizontalOrganizationChart"/>
    <dgm:cxn modelId="{A6E6A610-1C5E-4645-9AFF-DA49BB1E4AE1}" srcId="{1C883CFC-D379-47C6-91CA-71401CB287CC}" destId="{D668721C-61DC-4361-AC82-4B213134CB9A}" srcOrd="0" destOrd="0" parTransId="{0722BBFA-71B1-4E5C-94FF-0C0457A116D6}" sibTransId="{FA956699-8259-418F-82D7-563A46C36F8A}"/>
    <dgm:cxn modelId="{8E534549-E0D9-354D-A648-08F64C79F8D6}" type="presOf" srcId="{169DB8CF-F7DE-4455-8E7D-43E86079535F}" destId="{24CF89FA-C85C-4ED3-B662-034FC8C0643E}" srcOrd="0" destOrd="0" presId="urn:microsoft.com/office/officeart/2009/3/layout/HorizontalOrganizationChart"/>
    <dgm:cxn modelId="{014B4FBF-6E38-264B-8D9C-AA86E90B824E}" type="presOf" srcId="{D71D4A63-325F-4889-899B-C52E8A3C0B79}" destId="{2880E98C-A175-469A-9081-2CDBA5B04A73}" srcOrd="0" destOrd="0" presId="urn:microsoft.com/office/officeart/2009/3/layout/HorizontalOrganizationChart"/>
    <dgm:cxn modelId="{EFF3DF6F-A125-D844-8EE6-68EBD74D53A5}" type="presOf" srcId="{8B5DEB5C-8C55-4276-BD54-CCBDD98051B4}" destId="{E717F643-E1D6-4B47-92CB-697A9A23A685}" srcOrd="1" destOrd="0" presId="urn:microsoft.com/office/officeart/2009/3/layout/HorizontalOrganizationChart"/>
    <dgm:cxn modelId="{9D554BE0-60EB-864B-9E3F-FF5CE3FF09E2}" type="presOf" srcId="{44E1D15E-C70A-4CCD-85A8-B39C1FD0761C}" destId="{5A2C961C-D4C7-459A-9F6D-FE2E687AB6BC}" srcOrd="0" destOrd="0" presId="urn:microsoft.com/office/officeart/2009/3/layout/HorizontalOrganizationChart"/>
    <dgm:cxn modelId="{6F333CB8-6BCC-0C48-8193-5A52B9065F5A}" type="presOf" srcId="{AA3C9250-957D-4E96-9FBA-F35A68D69CA5}" destId="{5E810AB2-EC29-47F3-AEB1-C31D0500A728}" srcOrd="1" destOrd="0" presId="urn:microsoft.com/office/officeart/2009/3/layout/HorizontalOrganizationChart"/>
    <dgm:cxn modelId="{539C1EA9-9E1C-064C-99CF-FD640B50D46B}" type="presOf" srcId="{06582A8D-D22C-4DCC-90FD-720881C96886}" destId="{B74D5B61-55AD-4B5C-902C-23841A227AC0}" srcOrd="1" destOrd="0" presId="urn:microsoft.com/office/officeart/2009/3/layout/HorizontalOrganizationChart"/>
    <dgm:cxn modelId="{F7046998-A972-4078-8204-175FF7E78FCD}" srcId="{169DB8CF-F7DE-4455-8E7D-43E86079535F}" destId="{7A26552F-776B-4D8C-9CEE-25DD21FEEAAC}" srcOrd="1" destOrd="0" parTransId="{B64469C3-9629-4952-9859-E188974333A4}" sibTransId="{F053D33D-030D-4EBB-A558-AF4EA53D90D8}"/>
    <dgm:cxn modelId="{BCE706C9-10AB-4976-92D7-379F86042EEF}" srcId="{D668721C-61DC-4361-AC82-4B213134CB9A}" destId="{AA3C9250-957D-4E96-9FBA-F35A68D69CA5}" srcOrd="0" destOrd="0" parTransId="{3CBF6A4C-AAA7-457B-8195-01F10B5F9017}" sibTransId="{877B6772-6F9B-4DDE-B62A-D77924EF267B}"/>
    <dgm:cxn modelId="{D031C4C1-5773-452D-9FBB-EC5AD22AD958}" srcId="{D668721C-61DC-4361-AC82-4B213134CB9A}" destId="{72D0F7D4-88A2-4ACA-9F54-BCEC289A3E69}" srcOrd="4" destOrd="0" parTransId="{44E1D15E-C70A-4CCD-85A8-B39C1FD0761C}" sibTransId="{65F9B17C-3851-4F75-B7FE-DC789ECE82B3}"/>
    <dgm:cxn modelId="{03D7B713-D4AF-D340-B10E-958DDFF1C2E8}" type="presOf" srcId="{8B5DEB5C-8C55-4276-BD54-CCBDD98051B4}" destId="{A405772F-BB13-473B-B1EF-0365BCC09CB4}" srcOrd="0" destOrd="0" presId="urn:microsoft.com/office/officeart/2009/3/layout/HorizontalOrganizationChart"/>
    <dgm:cxn modelId="{F55FF394-7053-7F46-B9A8-9F7361216F4E}" type="presOf" srcId="{289E9C1B-FD01-4AE2-8373-90D94D1D538E}" destId="{A5F21BFD-CA99-4237-823E-162F74699B96}" srcOrd="1" destOrd="0" presId="urn:microsoft.com/office/officeart/2009/3/layout/HorizontalOrganizationChart"/>
    <dgm:cxn modelId="{4E63E82B-B088-4A1A-A8A0-3754CE9758EE}" srcId="{1C883CFC-D379-47C6-91CA-71401CB287CC}" destId="{8B5DEB5C-8C55-4276-BD54-CCBDD98051B4}" srcOrd="1" destOrd="0" parTransId="{DF6FBED4-A08E-4889-80CF-45F5E8F49DDC}" sibTransId="{15956FEC-BD1C-44E2-BF03-CA7EEAC8CD2D}"/>
    <dgm:cxn modelId="{DB4F9D6C-E8C7-154D-8EF6-1A9F1F58028A}" type="presOf" srcId="{DE5187DA-D0B4-4702-9A86-89D6D2D04507}" destId="{DC076DCF-7AC8-47A0-A0DA-2972CC559EAE}" srcOrd="0" destOrd="0" presId="urn:microsoft.com/office/officeart/2009/3/layout/HorizontalOrganizationChart"/>
    <dgm:cxn modelId="{B179D527-672F-154D-9357-65602A5B3586}" type="presOf" srcId="{5804392F-04CB-47EB-A959-0EBE7B71EEC2}" destId="{C7D956E4-6DED-4AF0-BEF8-D0A2C8414468}" srcOrd="0" destOrd="0" presId="urn:microsoft.com/office/officeart/2009/3/layout/HorizontalOrganizationChart"/>
    <dgm:cxn modelId="{A847F7CF-3BFB-9C44-AC9E-5F2905F2839C}" type="presOf" srcId="{B3BFB203-D8C1-4049-AD8A-2466AC36A6F2}" destId="{C2D3B102-E2CF-4DEA-8BD6-B1A15EB1B428}" srcOrd="1" destOrd="0" presId="urn:microsoft.com/office/officeart/2009/3/layout/HorizontalOrganizationChart"/>
    <dgm:cxn modelId="{3B88F417-FEAA-4A1A-9D60-8C69F62D7F9A}" srcId="{D668721C-61DC-4361-AC82-4B213134CB9A}" destId="{D71D4A63-325F-4889-899B-C52E8A3C0B79}" srcOrd="7" destOrd="0" parTransId="{5804392F-04CB-47EB-A959-0EBE7B71EEC2}" sibTransId="{D7F030D8-BC02-4ACB-8B37-0DB86C3F0621}"/>
    <dgm:cxn modelId="{DC7A4FC5-E042-C54F-AAB2-FD719C2BB598}" type="presOf" srcId="{619C3A6C-D860-4AB5-9585-513E23EF09B1}" destId="{E114FE5C-A8F5-4F3E-81FF-48DA14E6D140}" srcOrd="0" destOrd="0" presId="urn:microsoft.com/office/officeart/2009/3/layout/HorizontalOrganizationChart"/>
    <dgm:cxn modelId="{5FBF0EC7-2300-49E6-A2BB-FB90194D1889}" srcId="{169DB8CF-F7DE-4455-8E7D-43E86079535F}" destId="{1C883CFC-D379-47C6-91CA-71401CB287CC}" srcOrd="3" destOrd="0" parTransId="{2A14CAA7-195D-4435-B9E6-8DCDC919E4E2}" sibTransId="{B5BA7654-A676-4272-9173-9F3B3A85726D}"/>
    <dgm:cxn modelId="{A354A53B-7BE6-5D4C-8BF3-4FD6ABAEF6ED}" type="presParOf" srcId="{24CF89FA-C85C-4ED3-B662-034FC8C0643E}" destId="{ADC7AEE3-6505-4CD4-9E9C-8B8C8D1D9AC5}" srcOrd="0" destOrd="0" presId="urn:microsoft.com/office/officeart/2009/3/layout/HorizontalOrganizationChart"/>
    <dgm:cxn modelId="{5CA8AA8D-4D16-C041-AC3B-B8361AEC01DA}" type="presParOf" srcId="{ADC7AEE3-6505-4CD4-9E9C-8B8C8D1D9AC5}" destId="{8199E75E-35D1-4A67-9F96-7950A7D29783}" srcOrd="0" destOrd="0" presId="urn:microsoft.com/office/officeart/2009/3/layout/HorizontalOrganizationChart"/>
    <dgm:cxn modelId="{8E508C6D-7472-FA4C-AB94-089BFB9F38D8}" type="presParOf" srcId="{8199E75E-35D1-4A67-9F96-7950A7D29783}" destId="{DC076DCF-7AC8-47A0-A0DA-2972CC559EAE}" srcOrd="0" destOrd="0" presId="urn:microsoft.com/office/officeart/2009/3/layout/HorizontalOrganizationChart"/>
    <dgm:cxn modelId="{BBEAD760-5735-8545-9FF5-BE091B6A8ACC}" type="presParOf" srcId="{8199E75E-35D1-4A67-9F96-7950A7D29783}" destId="{3BC108AB-FE95-40A3-9F38-43465DE3777C}" srcOrd="1" destOrd="0" presId="urn:microsoft.com/office/officeart/2009/3/layout/HorizontalOrganizationChart"/>
    <dgm:cxn modelId="{CE2CADA1-8D6A-E145-9A4A-0FA572F79320}" type="presParOf" srcId="{ADC7AEE3-6505-4CD4-9E9C-8B8C8D1D9AC5}" destId="{A95FF262-7E38-4E1F-899A-14485F452766}" srcOrd="1" destOrd="0" presId="urn:microsoft.com/office/officeart/2009/3/layout/HorizontalOrganizationChart"/>
    <dgm:cxn modelId="{B5BF0F74-16A7-004E-A0ED-1FD564AF96EE}" type="presParOf" srcId="{ADC7AEE3-6505-4CD4-9E9C-8B8C8D1D9AC5}" destId="{3D70D601-6E0B-4AEF-B07A-3E9D7EC64A58}" srcOrd="2" destOrd="0" presId="urn:microsoft.com/office/officeart/2009/3/layout/HorizontalOrganizationChart"/>
    <dgm:cxn modelId="{BDD6E4A2-0490-CB46-B931-8CBD4009CCB8}" type="presParOf" srcId="{24CF89FA-C85C-4ED3-B662-034FC8C0643E}" destId="{DA3BDD7B-6F94-4642-9235-EF7F540D8947}" srcOrd="1" destOrd="0" presId="urn:microsoft.com/office/officeart/2009/3/layout/HorizontalOrganizationChart"/>
    <dgm:cxn modelId="{203845FC-60F5-4A4D-AC99-75A9A6EA0C17}" type="presParOf" srcId="{DA3BDD7B-6F94-4642-9235-EF7F540D8947}" destId="{AC2EA94D-BC33-419F-8C8E-5B8E6BF96263}" srcOrd="0" destOrd="0" presId="urn:microsoft.com/office/officeart/2009/3/layout/HorizontalOrganizationChart"/>
    <dgm:cxn modelId="{F8BC0D13-5AE2-FF42-A402-7AF8BE3EF30D}" type="presParOf" srcId="{AC2EA94D-BC33-419F-8C8E-5B8E6BF96263}" destId="{A57FD8C0-4DA2-4ED4-BA08-8E2D35379ACF}" srcOrd="0" destOrd="0" presId="urn:microsoft.com/office/officeart/2009/3/layout/HorizontalOrganizationChart"/>
    <dgm:cxn modelId="{DF513360-A725-7A4D-87C4-4EA35380EB42}" type="presParOf" srcId="{AC2EA94D-BC33-419F-8C8E-5B8E6BF96263}" destId="{896AF813-4488-4B34-8987-143649A410A1}" srcOrd="1" destOrd="0" presId="urn:microsoft.com/office/officeart/2009/3/layout/HorizontalOrganizationChart"/>
    <dgm:cxn modelId="{6043EA28-ACA5-964B-BE34-DF0777497DF6}" type="presParOf" srcId="{DA3BDD7B-6F94-4642-9235-EF7F540D8947}" destId="{5055FC6E-5A48-4350-8E9A-1A6B4C2DF32A}" srcOrd="1" destOrd="0" presId="urn:microsoft.com/office/officeart/2009/3/layout/HorizontalOrganizationChart"/>
    <dgm:cxn modelId="{41ED8EAA-DD78-9E45-B7FB-33EFB4405BBE}" type="presParOf" srcId="{DA3BDD7B-6F94-4642-9235-EF7F540D8947}" destId="{36C16CAE-F42F-401E-8BC9-741BF3793355}" srcOrd="2" destOrd="0" presId="urn:microsoft.com/office/officeart/2009/3/layout/HorizontalOrganizationChart"/>
    <dgm:cxn modelId="{BF999515-5804-CD4A-A591-2DBBFD96FD86}" type="presParOf" srcId="{24CF89FA-C85C-4ED3-B662-034FC8C0643E}" destId="{3269DDFD-FC2D-4083-8F5D-60E406D155BD}" srcOrd="2" destOrd="0" presId="urn:microsoft.com/office/officeart/2009/3/layout/HorizontalOrganizationChart"/>
    <dgm:cxn modelId="{ED70273B-788A-FC49-9DBA-458DBBA894FE}" type="presParOf" srcId="{3269DDFD-FC2D-4083-8F5D-60E406D155BD}" destId="{5793BDC1-3960-451B-8B7E-8D6363963165}" srcOrd="0" destOrd="0" presId="urn:microsoft.com/office/officeart/2009/3/layout/HorizontalOrganizationChart"/>
    <dgm:cxn modelId="{9941A674-4654-3948-AA4E-D497038BBE39}" type="presParOf" srcId="{5793BDC1-3960-451B-8B7E-8D6363963165}" destId="{B4AA179A-838B-46CB-837C-393B91356768}" srcOrd="0" destOrd="0" presId="urn:microsoft.com/office/officeart/2009/3/layout/HorizontalOrganizationChart"/>
    <dgm:cxn modelId="{3C80F410-15EA-7A45-8665-4C0B498BC426}" type="presParOf" srcId="{5793BDC1-3960-451B-8B7E-8D6363963165}" destId="{B74D5B61-55AD-4B5C-902C-23841A227AC0}" srcOrd="1" destOrd="0" presId="urn:microsoft.com/office/officeart/2009/3/layout/HorizontalOrganizationChart"/>
    <dgm:cxn modelId="{C8AFF0DD-D2F6-7443-B1A8-59CA57A83470}" type="presParOf" srcId="{3269DDFD-FC2D-4083-8F5D-60E406D155BD}" destId="{4B2519E4-7A74-4FBF-92F4-80C393E144BC}" srcOrd="1" destOrd="0" presId="urn:microsoft.com/office/officeart/2009/3/layout/HorizontalOrganizationChart"/>
    <dgm:cxn modelId="{FF79579D-2BCD-784F-83BC-5761F3031490}" type="presParOf" srcId="{4B2519E4-7A74-4FBF-92F4-80C393E144BC}" destId="{26D23BE1-DC77-49A4-9EF5-78C844E54DDD}" srcOrd="0" destOrd="0" presId="urn:microsoft.com/office/officeart/2009/3/layout/HorizontalOrganizationChart"/>
    <dgm:cxn modelId="{976BE2B4-BF89-F44D-8292-2A8F9BBBC1B9}" type="presParOf" srcId="{4B2519E4-7A74-4FBF-92F4-80C393E144BC}" destId="{1D8DED43-E375-473A-9187-EB4CA52DE47F}" srcOrd="1" destOrd="0" presId="urn:microsoft.com/office/officeart/2009/3/layout/HorizontalOrganizationChart"/>
    <dgm:cxn modelId="{3F45744B-2099-9742-80DF-B82386E0CD5E}" type="presParOf" srcId="{1D8DED43-E375-473A-9187-EB4CA52DE47F}" destId="{EA89271A-5F86-4243-9E71-F0576E5D6A3E}" srcOrd="0" destOrd="0" presId="urn:microsoft.com/office/officeart/2009/3/layout/HorizontalOrganizationChart"/>
    <dgm:cxn modelId="{58360F19-7D5C-DE42-8B6C-711CB1AE6854}" type="presParOf" srcId="{EA89271A-5F86-4243-9E71-F0576E5D6A3E}" destId="{E476F090-9FCF-4888-9343-D26B8186F443}" srcOrd="0" destOrd="0" presId="urn:microsoft.com/office/officeart/2009/3/layout/HorizontalOrganizationChart"/>
    <dgm:cxn modelId="{E8505FBB-1B44-AC4B-88C1-43CB42431A80}" type="presParOf" srcId="{EA89271A-5F86-4243-9E71-F0576E5D6A3E}" destId="{4D8221AB-CC84-4FBF-8EFD-D1B74CD74EC8}" srcOrd="1" destOrd="0" presId="urn:microsoft.com/office/officeart/2009/3/layout/HorizontalOrganizationChart"/>
    <dgm:cxn modelId="{F6DF5377-4ABD-EF4E-91CD-233AE609CD19}" type="presParOf" srcId="{1D8DED43-E375-473A-9187-EB4CA52DE47F}" destId="{ABF96B3F-EED1-4267-BBF6-3F02D220E94E}" srcOrd="1" destOrd="0" presId="urn:microsoft.com/office/officeart/2009/3/layout/HorizontalOrganizationChart"/>
    <dgm:cxn modelId="{75658DA0-9760-DC47-858F-D6ADE421899F}" type="presParOf" srcId="{1D8DED43-E375-473A-9187-EB4CA52DE47F}" destId="{90BE182B-A725-44AB-95D3-48066F4041BA}" srcOrd="2" destOrd="0" presId="urn:microsoft.com/office/officeart/2009/3/layout/HorizontalOrganizationChart"/>
    <dgm:cxn modelId="{91825271-6A7A-0748-BE4E-4D4E85E71022}" type="presParOf" srcId="{4B2519E4-7A74-4FBF-92F4-80C393E144BC}" destId="{4D466FC6-8D07-4663-9D24-0A23BA68C334}" srcOrd="2" destOrd="0" presId="urn:microsoft.com/office/officeart/2009/3/layout/HorizontalOrganizationChart"/>
    <dgm:cxn modelId="{C1DC5C8A-CE97-924C-BD4E-7D59450CA610}" type="presParOf" srcId="{4B2519E4-7A74-4FBF-92F4-80C393E144BC}" destId="{1B3DAC7D-6F42-4EDE-BC91-948A1809C318}" srcOrd="3" destOrd="0" presId="urn:microsoft.com/office/officeart/2009/3/layout/HorizontalOrganizationChart"/>
    <dgm:cxn modelId="{8EA2CAB3-C5BD-3D40-81D5-A4370A99BCC2}" type="presParOf" srcId="{1B3DAC7D-6F42-4EDE-BC91-948A1809C318}" destId="{48CBB17B-E066-4458-8FC4-50ADE7162056}" srcOrd="0" destOrd="0" presId="urn:microsoft.com/office/officeart/2009/3/layout/HorizontalOrganizationChart"/>
    <dgm:cxn modelId="{0A67470B-E5AA-5E43-8968-862BD3DBDB5F}" type="presParOf" srcId="{48CBB17B-E066-4458-8FC4-50ADE7162056}" destId="{4977BD67-D08D-4E5F-9B4F-017AC57A0B93}" srcOrd="0" destOrd="0" presId="urn:microsoft.com/office/officeart/2009/3/layout/HorizontalOrganizationChart"/>
    <dgm:cxn modelId="{98E43CC6-9685-B740-AB01-4E3CC3268F89}" type="presParOf" srcId="{48CBB17B-E066-4458-8FC4-50ADE7162056}" destId="{A5F21BFD-CA99-4237-823E-162F74699B96}" srcOrd="1" destOrd="0" presId="urn:microsoft.com/office/officeart/2009/3/layout/HorizontalOrganizationChart"/>
    <dgm:cxn modelId="{E1B0D4B9-D0A3-CA4C-B449-314996B56C50}" type="presParOf" srcId="{1B3DAC7D-6F42-4EDE-BC91-948A1809C318}" destId="{9267001E-E39B-4D22-BF65-A082A86D7888}" srcOrd="1" destOrd="0" presId="urn:microsoft.com/office/officeart/2009/3/layout/HorizontalOrganizationChart"/>
    <dgm:cxn modelId="{A5D5436A-DBDF-7D47-8915-00B6ABD14FF7}" type="presParOf" srcId="{1B3DAC7D-6F42-4EDE-BC91-948A1809C318}" destId="{EEC9F240-61D1-44A7-9E54-15A9326E9B9A}" srcOrd="2" destOrd="0" presId="urn:microsoft.com/office/officeart/2009/3/layout/HorizontalOrganizationChart"/>
    <dgm:cxn modelId="{C2BD29AB-95EF-C748-841A-517EA37FC155}" type="presParOf" srcId="{3269DDFD-FC2D-4083-8F5D-60E406D155BD}" destId="{5C7AD0CF-9783-4A89-9ECD-8F657A072138}" srcOrd="2" destOrd="0" presId="urn:microsoft.com/office/officeart/2009/3/layout/HorizontalOrganizationChart"/>
    <dgm:cxn modelId="{AF4104D1-21D4-7144-80E5-645C728C9F31}" type="presParOf" srcId="{24CF89FA-C85C-4ED3-B662-034FC8C0643E}" destId="{77CE714F-EB7B-486A-BFBA-7E2C4E764F54}" srcOrd="3" destOrd="0" presId="urn:microsoft.com/office/officeart/2009/3/layout/HorizontalOrganizationChart"/>
    <dgm:cxn modelId="{C2EE8452-E7E3-3440-8718-5F4DD3A30591}" type="presParOf" srcId="{77CE714F-EB7B-486A-BFBA-7E2C4E764F54}" destId="{C2A11C06-C27C-40A4-8691-6922F826A97B}" srcOrd="0" destOrd="0" presId="urn:microsoft.com/office/officeart/2009/3/layout/HorizontalOrganizationChart"/>
    <dgm:cxn modelId="{A1AED7DA-841F-204B-88BD-276759D09B82}" type="presParOf" srcId="{C2A11C06-C27C-40A4-8691-6922F826A97B}" destId="{7474C64F-F3D4-4617-99E1-F32B43144C36}" srcOrd="0" destOrd="0" presId="urn:microsoft.com/office/officeart/2009/3/layout/HorizontalOrganizationChart"/>
    <dgm:cxn modelId="{914CA387-00A7-8548-AE7D-C0FD3AB7CDC0}" type="presParOf" srcId="{C2A11C06-C27C-40A4-8691-6922F826A97B}" destId="{4BA97711-1D24-4B12-9947-43F032A7F234}" srcOrd="1" destOrd="0" presId="urn:microsoft.com/office/officeart/2009/3/layout/HorizontalOrganizationChart"/>
    <dgm:cxn modelId="{8F0E4EFF-0697-384E-B9FD-771C647686D0}" type="presParOf" srcId="{77CE714F-EB7B-486A-BFBA-7E2C4E764F54}" destId="{491162A1-D52A-4141-8CCC-B68599E0DCAE}" srcOrd="1" destOrd="0" presId="urn:microsoft.com/office/officeart/2009/3/layout/HorizontalOrganizationChart"/>
    <dgm:cxn modelId="{C244F9D4-220D-4649-88CB-1B5D3A439EA7}" type="presParOf" srcId="{491162A1-D52A-4141-8CCC-B68599E0DCAE}" destId="{8FB7DF26-94F1-473B-91C2-FC72C39CC9B6}" srcOrd="0" destOrd="0" presId="urn:microsoft.com/office/officeart/2009/3/layout/HorizontalOrganizationChart"/>
    <dgm:cxn modelId="{67108928-A895-7342-AF8C-4E95131F1ED0}" type="presParOf" srcId="{491162A1-D52A-4141-8CCC-B68599E0DCAE}" destId="{C1D4BF1F-8994-4241-992F-DFD40DF12CBA}" srcOrd="1" destOrd="0" presId="urn:microsoft.com/office/officeart/2009/3/layout/HorizontalOrganizationChart"/>
    <dgm:cxn modelId="{31A1622B-0F20-F44D-959E-FF3BD9479639}" type="presParOf" srcId="{C1D4BF1F-8994-4241-992F-DFD40DF12CBA}" destId="{6ABA61F4-FF3A-44C7-A642-6352FD48134E}" srcOrd="0" destOrd="0" presId="urn:microsoft.com/office/officeart/2009/3/layout/HorizontalOrganizationChart"/>
    <dgm:cxn modelId="{9F54CB6F-2A60-5046-A66F-4FA2059528EC}" type="presParOf" srcId="{6ABA61F4-FF3A-44C7-A642-6352FD48134E}" destId="{7ABB9496-7179-433E-BE54-AA118BA165FC}" srcOrd="0" destOrd="0" presId="urn:microsoft.com/office/officeart/2009/3/layout/HorizontalOrganizationChart"/>
    <dgm:cxn modelId="{645D2C04-AB2E-974A-AE06-B00F41B23300}" type="presParOf" srcId="{6ABA61F4-FF3A-44C7-A642-6352FD48134E}" destId="{D0DBF6D6-A102-4D81-95E7-2A1A40EF51B4}" srcOrd="1" destOrd="0" presId="urn:microsoft.com/office/officeart/2009/3/layout/HorizontalOrganizationChart"/>
    <dgm:cxn modelId="{A4CB2418-070F-1146-9F2B-F402B49A5963}" type="presParOf" srcId="{C1D4BF1F-8994-4241-992F-DFD40DF12CBA}" destId="{2E0C3B5C-9B22-48DD-A4AD-29FC3760DD3C}" srcOrd="1" destOrd="0" presId="urn:microsoft.com/office/officeart/2009/3/layout/HorizontalOrganizationChart"/>
    <dgm:cxn modelId="{FDA9DBAE-F2C5-044F-864E-B961F07F4BB1}" type="presParOf" srcId="{2E0C3B5C-9B22-48DD-A4AD-29FC3760DD3C}" destId="{2B97D1FB-0DDB-4CA1-8B58-C12AC31C93C0}" srcOrd="0" destOrd="0" presId="urn:microsoft.com/office/officeart/2009/3/layout/HorizontalOrganizationChart"/>
    <dgm:cxn modelId="{BC3E4EEE-ACBD-DA4A-912B-126C3A341E42}" type="presParOf" srcId="{2E0C3B5C-9B22-48DD-A4AD-29FC3760DD3C}" destId="{D9E97DB3-70D3-47E4-BC75-605AE57F5E62}" srcOrd="1" destOrd="0" presId="urn:microsoft.com/office/officeart/2009/3/layout/HorizontalOrganizationChart"/>
    <dgm:cxn modelId="{1BA2AF1F-66AF-A643-AE7F-3F09738194E3}" type="presParOf" srcId="{D9E97DB3-70D3-47E4-BC75-605AE57F5E62}" destId="{00F7766B-A049-4CCF-B14B-05A0759EF5F5}" srcOrd="0" destOrd="0" presId="urn:microsoft.com/office/officeart/2009/3/layout/HorizontalOrganizationChart"/>
    <dgm:cxn modelId="{0714B891-9F92-3542-8475-D41A04E0354F}" type="presParOf" srcId="{00F7766B-A049-4CCF-B14B-05A0759EF5F5}" destId="{FCD0F5F6-2FB2-4258-9641-421C803F64C3}" srcOrd="0" destOrd="0" presId="urn:microsoft.com/office/officeart/2009/3/layout/HorizontalOrganizationChart"/>
    <dgm:cxn modelId="{7BF44307-97A7-AB4F-B3BD-79D5166871EB}" type="presParOf" srcId="{00F7766B-A049-4CCF-B14B-05A0759EF5F5}" destId="{5E810AB2-EC29-47F3-AEB1-C31D0500A728}" srcOrd="1" destOrd="0" presId="urn:microsoft.com/office/officeart/2009/3/layout/HorizontalOrganizationChart"/>
    <dgm:cxn modelId="{5FE21971-1716-244A-A55C-CCB56765904F}" type="presParOf" srcId="{D9E97DB3-70D3-47E4-BC75-605AE57F5E62}" destId="{8DF5C803-0C1B-45F8-8D63-C150FF833BEB}" srcOrd="1" destOrd="0" presId="urn:microsoft.com/office/officeart/2009/3/layout/HorizontalOrganizationChart"/>
    <dgm:cxn modelId="{76928966-8EBF-DB48-AB4D-13F9D8F4FE9C}" type="presParOf" srcId="{D9E97DB3-70D3-47E4-BC75-605AE57F5E62}" destId="{2AEB6F31-0372-4F38-B59E-EC4A4F755323}" srcOrd="2" destOrd="0" presId="urn:microsoft.com/office/officeart/2009/3/layout/HorizontalOrganizationChart"/>
    <dgm:cxn modelId="{F88E6E05-CCC6-4843-BDAC-D6E2AB0F4041}" type="presParOf" srcId="{2E0C3B5C-9B22-48DD-A4AD-29FC3760DD3C}" destId="{E114FE5C-A8F5-4F3E-81FF-48DA14E6D140}" srcOrd="2" destOrd="0" presId="urn:microsoft.com/office/officeart/2009/3/layout/HorizontalOrganizationChart"/>
    <dgm:cxn modelId="{8661A85E-B005-D441-8A0D-8302FD85733F}" type="presParOf" srcId="{2E0C3B5C-9B22-48DD-A4AD-29FC3760DD3C}" destId="{0BB098C6-6409-4320-8857-5B4277CF3B4B}" srcOrd="3" destOrd="0" presId="urn:microsoft.com/office/officeart/2009/3/layout/HorizontalOrganizationChart"/>
    <dgm:cxn modelId="{70A9923C-762D-5B46-A2DD-04638E4DCBCB}" type="presParOf" srcId="{0BB098C6-6409-4320-8857-5B4277CF3B4B}" destId="{709A4DFE-15C1-4943-B020-99BEAA1C7281}" srcOrd="0" destOrd="0" presId="urn:microsoft.com/office/officeart/2009/3/layout/HorizontalOrganizationChart"/>
    <dgm:cxn modelId="{3ABD8E10-A5BF-9148-BF01-FE596B2B8EE0}" type="presParOf" srcId="{709A4DFE-15C1-4943-B020-99BEAA1C7281}" destId="{B84A46DC-014D-44A9-A435-7FBB638C2D46}" srcOrd="0" destOrd="0" presId="urn:microsoft.com/office/officeart/2009/3/layout/HorizontalOrganizationChart"/>
    <dgm:cxn modelId="{79F8DE6F-DCDC-184F-93B5-56C6922341C2}" type="presParOf" srcId="{709A4DFE-15C1-4943-B020-99BEAA1C7281}" destId="{9C047A81-39B5-42E9-9953-1B09011389A3}" srcOrd="1" destOrd="0" presId="urn:microsoft.com/office/officeart/2009/3/layout/HorizontalOrganizationChart"/>
    <dgm:cxn modelId="{4AD2CEF9-1077-2543-92EB-78D3F11B96BB}" type="presParOf" srcId="{0BB098C6-6409-4320-8857-5B4277CF3B4B}" destId="{BFAE2354-54E5-439D-93FF-916FF2B258C3}" srcOrd="1" destOrd="0" presId="urn:microsoft.com/office/officeart/2009/3/layout/HorizontalOrganizationChart"/>
    <dgm:cxn modelId="{4BB92A27-2912-7B49-9584-C1F7558F40E9}" type="presParOf" srcId="{0BB098C6-6409-4320-8857-5B4277CF3B4B}" destId="{21BA336D-1690-4BFB-8218-2D11260514A4}" srcOrd="2" destOrd="0" presId="urn:microsoft.com/office/officeart/2009/3/layout/HorizontalOrganizationChart"/>
    <dgm:cxn modelId="{2391132B-B818-524B-9E67-20463D0FA736}" type="presParOf" srcId="{2E0C3B5C-9B22-48DD-A4AD-29FC3760DD3C}" destId="{8DBCCFC9-0D57-410D-9622-8E377354D04E}" srcOrd="4" destOrd="0" presId="urn:microsoft.com/office/officeart/2009/3/layout/HorizontalOrganizationChart"/>
    <dgm:cxn modelId="{F5F4B8A8-601C-2742-8175-162726B800A2}" type="presParOf" srcId="{2E0C3B5C-9B22-48DD-A4AD-29FC3760DD3C}" destId="{179D44FE-000D-491C-934D-B29D01DF2629}" srcOrd="5" destOrd="0" presId="urn:microsoft.com/office/officeart/2009/3/layout/HorizontalOrganizationChart"/>
    <dgm:cxn modelId="{29DF4743-3E22-0B4B-8216-C098BE1E162F}" type="presParOf" srcId="{179D44FE-000D-491C-934D-B29D01DF2629}" destId="{1E404F0A-C680-458C-B18A-0AFCD0547F0A}" srcOrd="0" destOrd="0" presId="urn:microsoft.com/office/officeart/2009/3/layout/HorizontalOrganizationChart"/>
    <dgm:cxn modelId="{E0D34AFD-1F1B-8E43-A11A-9E9D676DF56C}" type="presParOf" srcId="{1E404F0A-C680-458C-B18A-0AFCD0547F0A}" destId="{8909094D-14E7-4B59-BD58-63DBAC7704C8}" srcOrd="0" destOrd="0" presId="urn:microsoft.com/office/officeart/2009/3/layout/HorizontalOrganizationChart"/>
    <dgm:cxn modelId="{0EBFA708-CE01-A246-B241-17A7C8B21190}" type="presParOf" srcId="{1E404F0A-C680-458C-B18A-0AFCD0547F0A}" destId="{6A042EA3-8716-49DA-93C0-912149C23394}" srcOrd="1" destOrd="0" presId="urn:microsoft.com/office/officeart/2009/3/layout/HorizontalOrganizationChart"/>
    <dgm:cxn modelId="{EA61773D-5B9C-0449-9A7D-1C7374D4B67A}" type="presParOf" srcId="{179D44FE-000D-491C-934D-B29D01DF2629}" destId="{60DB3516-D486-42A3-ADEE-8BB4D782882D}" srcOrd="1" destOrd="0" presId="urn:microsoft.com/office/officeart/2009/3/layout/HorizontalOrganizationChart"/>
    <dgm:cxn modelId="{AE9EAD68-11B0-0844-B84E-CC7CFB8B5A05}" type="presParOf" srcId="{179D44FE-000D-491C-934D-B29D01DF2629}" destId="{3053B33E-C6BC-4E59-8942-3B158F033235}" srcOrd="2" destOrd="0" presId="urn:microsoft.com/office/officeart/2009/3/layout/HorizontalOrganizationChart"/>
    <dgm:cxn modelId="{7AF87A27-41D3-5747-AA07-06247C27EBD8}" type="presParOf" srcId="{2E0C3B5C-9B22-48DD-A4AD-29FC3760DD3C}" destId="{D5357351-A9EE-4C88-AF2E-B84ED0E56048}" srcOrd="6" destOrd="0" presId="urn:microsoft.com/office/officeart/2009/3/layout/HorizontalOrganizationChart"/>
    <dgm:cxn modelId="{2681B4A6-22B1-4842-9BF9-21D687E8B93F}" type="presParOf" srcId="{2E0C3B5C-9B22-48DD-A4AD-29FC3760DD3C}" destId="{51D79FC8-44C5-4340-A4D8-34627818EB6B}" srcOrd="7" destOrd="0" presId="urn:microsoft.com/office/officeart/2009/3/layout/HorizontalOrganizationChart"/>
    <dgm:cxn modelId="{95A2C7D7-145F-7040-8820-C2D179F533A4}" type="presParOf" srcId="{51D79FC8-44C5-4340-A4D8-34627818EB6B}" destId="{37726F67-475E-4F23-A518-EA4C150FC984}" srcOrd="0" destOrd="0" presId="urn:microsoft.com/office/officeart/2009/3/layout/HorizontalOrganizationChart"/>
    <dgm:cxn modelId="{18AB156C-9955-564A-B3CE-6EE169066E19}" type="presParOf" srcId="{37726F67-475E-4F23-A518-EA4C150FC984}" destId="{E5D07C8D-C74B-4703-B024-68C22C15E953}" srcOrd="0" destOrd="0" presId="urn:microsoft.com/office/officeart/2009/3/layout/HorizontalOrganizationChart"/>
    <dgm:cxn modelId="{8EA8F0AE-FB46-4042-BF02-BE00F2425A97}" type="presParOf" srcId="{37726F67-475E-4F23-A518-EA4C150FC984}" destId="{9D2C79AD-8A9B-468E-B0D7-48CC30B8B49F}" srcOrd="1" destOrd="0" presId="urn:microsoft.com/office/officeart/2009/3/layout/HorizontalOrganizationChart"/>
    <dgm:cxn modelId="{DB99300B-0E5C-6344-9BC1-7A2950AFB9C3}" type="presParOf" srcId="{51D79FC8-44C5-4340-A4D8-34627818EB6B}" destId="{40D52B6D-556B-4439-9C81-63BCE0019D84}" srcOrd="1" destOrd="0" presId="urn:microsoft.com/office/officeart/2009/3/layout/HorizontalOrganizationChart"/>
    <dgm:cxn modelId="{7F40FCF8-9399-2442-9B11-014318379A07}" type="presParOf" srcId="{51D79FC8-44C5-4340-A4D8-34627818EB6B}" destId="{A115A980-5FC2-496D-A1F7-66DBF85DF729}" srcOrd="2" destOrd="0" presId="urn:microsoft.com/office/officeart/2009/3/layout/HorizontalOrganizationChart"/>
    <dgm:cxn modelId="{EE910B3A-3CD2-1241-A826-D7721B67F070}" type="presParOf" srcId="{2E0C3B5C-9B22-48DD-A4AD-29FC3760DD3C}" destId="{5A2C961C-D4C7-459A-9F6D-FE2E687AB6BC}" srcOrd="8" destOrd="0" presId="urn:microsoft.com/office/officeart/2009/3/layout/HorizontalOrganizationChart"/>
    <dgm:cxn modelId="{0E2E74FF-0D3C-104F-BDEC-86AD9DBE9E81}" type="presParOf" srcId="{2E0C3B5C-9B22-48DD-A4AD-29FC3760DD3C}" destId="{78D9F9D9-760A-4783-B592-F472BA2E2F3D}" srcOrd="9" destOrd="0" presId="urn:microsoft.com/office/officeart/2009/3/layout/HorizontalOrganizationChart"/>
    <dgm:cxn modelId="{003001C3-CA38-3841-BFC5-39A3E5F31D0B}" type="presParOf" srcId="{78D9F9D9-760A-4783-B592-F472BA2E2F3D}" destId="{C527FFAB-D430-47D4-878F-44FC07192E27}" srcOrd="0" destOrd="0" presId="urn:microsoft.com/office/officeart/2009/3/layout/HorizontalOrganizationChart"/>
    <dgm:cxn modelId="{DAFD5C38-6CFF-0D48-8068-9165613610BC}" type="presParOf" srcId="{C527FFAB-D430-47D4-878F-44FC07192E27}" destId="{31AC8CB5-8ACB-4234-8CCD-536EBF72B931}" srcOrd="0" destOrd="0" presId="urn:microsoft.com/office/officeart/2009/3/layout/HorizontalOrganizationChart"/>
    <dgm:cxn modelId="{4C34CF71-199B-974B-B881-B05564DDF71F}" type="presParOf" srcId="{C527FFAB-D430-47D4-878F-44FC07192E27}" destId="{4FAF366C-4DD3-47EC-B84C-013FBEB576D8}" srcOrd="1" destOrd="0" presId="urn:microsoft.com/office/officeart/2009/3/layout/HorizontalOrganizationChart"/>
    <dgm:cxn modelId="{2DB454A9-9279-3E4F-AF38-77A5AED34498}" type="presParOf" srcId="{78D9F9D9-760A-4783-B592-F472BA2E2F3D}" destId="{161E616E-DA1D-4B2E-9363-81AFECCC0BF4}" srcOrd="1" destOrd="0" presId="urn:microsoft.com/office/officeart/2009/3/layout/HorizontalOrganizationChart"/>
    <dgm:cxn modelId="{2FD7D3DC-4267-0644-A866-9E9A1272C06C}" type="presParOf" srcId="{78D9F9D9-760A-4783-B592-F472BA2E2F3D}" destId="{1311D486-B181-47F3-AA0A-D8A753883DCE}" srcOrd="2" destOrd="0" presId="urn:microsoft.com/office/officeart/2009/3/layout/HorizontalOrganizationChart"/>
    <dgm:cxn modelId="{F9A1A8C9-9D0B-8E46-A24A-BB7D66DC9508}" type="presParOf" srcId="{2E0C3B5C-9B22-48DD-A4AD-29FC3760DD3C}" destId="{2DE4D13C-002A-4821-A131-1E213E75A72C}" srcOrd="10" destOrd="0" presId="urn:microsoft.com/office/officeart/2009/3/layout/HorizontalOrganizationChart"/>
    <dgm:cxn modelId="{4FC446BE-FFCF-E942-BF1B-AF57490D9CE3}" type="presParOf" srcId="{2E0C3B5C-9B22-48DD-A4AD-29FC3760DD3C}" destId="{F586FA39-AC61-4693-9490-E3CF67D4DC57}" srcOrd="11" destOrd="0" presId="urn:microsoft.com/office/officeart/2009/3/layout/HorizontalOrganizationChart"/>
    <dgm:cxn modelId="{B2540B9A-E741-F54F-BFE5-37E615C61F33}" type="presParOf" srcId="{F586FA39-AC61-4693-9490-E3CF67D4DC57}" destId="{7E145C87-7734-429E-BDD4-11A91F7E5379}" srcOrd="0" destOrd="0" presId="urn:microsoft.com/office/officeart/2009/3/layout/HorizontalOrganizationChart"/>
    <dgm:cxn modelId="{8D88036A-85E6-004C-84A5-9D2B76601507}" type="presParOf" srcId="{7E145C87-7734-429E-BDD4-11A91F7E5379}" destId="{7C5517C4-3757-473A-A2AB-C23307A8C026}" srcOrd="0" destOrd="0" presId="urn:microsoft.com/office/officeart/2009/3/layout/HorizontalOrganizationChart"/>
    <dgm:cxn modelId="{81820F02-BFA0-E945-9B95-50884A8397D1}" type="presParOf" srcId="{7E145C87-7734-429E-BDD4-11A91F7E5379}" destId="{8F848BFC-04CC-4971-AC80-A0EFB3406FAB}" srcOrd="1" destOrd="0" presId="urn:microsoft.com/office/officeart/2009/3/layout/HorizontalOrganizationChart"/>
    <dgm:cxn modelId="{347CBA34-E8FF-5644-9392-4C7CFBD8BF5F}" type="presParOf" srcId="{F586FA39-AC61-4693-9490-E3CF67D4DC57}" destId="{C38B9FFD-2399-49D1-8AF4-1768EAFBBBB3}" srcOrd="1" destOrd="0" presId="urn:microsoft.com/office/officeart/2009/3/layout/HorizontalOrganizationChart"/>
    <dgm:cxn modelId="{307C7D32-F009-7A4C-912B-74EE566B3C15}" type="presParOf" srcId="{F586FA39-AC61-4693-9490-E3CF67D4DC57}" destId="{3D535D68-42FC-4AD6-8E3B-7E90CBE4A9AB}" srcOrd="2" destOrd="0" presId="urn:microsoft.com/office/officeart/2009/3/layout/HorizontalOrganizationChart"/>
    <dgm:cxn modelId="{42FEA0C2-61E2-AF42-ABE3-962121BD7A00}" type="presParOf" srcId="{2E0C3B5C-9B22-48DD-A4AD-29FC3760DD3C}" destId="{10F420C2-83C1-461F-B1EB-168847E4349D}" srcOrd="12" destOrd="0" presId="urn:microsoft.com/office/officeart/2009/3/layout/HorizontalOrganizationChart"/>
    <dgm:cxn modelId="{1678F772-DCBF-9B4F-A14E-70484C8BC0B2}" type="presParOf" srcId="{2E0C3B5C-9B22-48DD-A4AD-29FC3760DD3C}" destId="{A6C0AB9A-0C55-4B52-B32D-D45979307EE8}" srcOrd="13" destOrd="0" presId="urn:microsoft.com/office/officeart/2009/3/layout/HorizontalOrganizationChart"/>
    <dgm:cxn modelId="{DE32F9CA-5DF3-E142-BF9F-9294A6C91743}" type="presParOf" srcId="{A6C0AB9A-0C55-4B52-B32D-D45979307EE8}" destId="{FB7F27CA-9B8A-46B6-BCBB-9233B87C5521}" srcOrd="0" destOrd="0" presId="urn:microsoft.com/office/officeart/2009/3/layout/HorizontalOrganizationChart"/>
    <dgm:cxn modelId="{6684AC2D-ACD0-F541-B504-9DEC7AD6EC5A}" type="presParOf" srcId="{FB7F27CA-9B8A-46B6-BCBB-9233B87C5521}" destId="{31909FF8-01F2-4BA5-AF7A-6934458BC7B0}" srcOrd="0" destOrd="0" presId="urn:microsoft.com/office/officeart/2009/3/layout/HorizontalOrganizationChart"/>
    <dgm:cxn modelId="{1AADB0C7-AEE6-AB4D-BDB3-5930E2ABD4BE}" type="presParOf" srcId="{FB7F27CA-9B8A-46B6-BCBB-9233B87C5521}" destId="{C2D3B102-E2CF-4DEA-8BD6-B1A15EB1B428}" srcOrd="1" destOrd="0" presId="urn:microsoft.com/office/officeart/2009/3/layout/HorizontalOrganizationChart"/>
    <dgm:cxn modelId="{6FF69D56-8D77-634E-8773-220473B9E796}" type="presParOf" srcId="{A6C0AB9A-0C55-4B52-B32D-D45979307EE8}" destId="{55E4FE51-64FA-4069-AE52-03AF80DB2AEF}" srcOrd="1" destOrd="0" presId="urn:microsoft.com/office/officeart/2009/3/layout/HorizontalOrganizationChart"/>
    <dgm:cxn modelId="{51BA74C2-109F-9743-B7EF-7235051C2865}" type="presParOf" srcId="{A6C0AB9A-0C55-4B52-B32D-D45979307EE8}" destId="{0AEBA27B-2B16-4F4E-9F73-82E676CE7BCA}" srcOrd="2" destOrd="0" presId="urn:microsoft.com/office/officeart/2009/3/layout/HorizontalOrganizationChart"/>
    <dgm:cxn modelId="{E1F24FA1-F9D3-3D49-B0F5-17D05BF987EA}" type="presParOf" srcId="{2E0C3B5C-9B22-48DD-A4AD-29FC3760DD3C}" destId="{C7D956E4-6DED-4AF0-BEF8-D0A2C8414468}" srcOrd="14" destOrd="0" presId="urn:microsoft.com/office/officeart/2009/3/layout/HorizontalOrganizationChart"/>
    <dgm:cxn modelId="{5B485570-366B-FE4E-85C5-3F5C10325F4F}" type="presParOf" srcId="{2E0C3B5C-9B22-48DD-A4AD-29FC3760DD3C}" destId="{18F4AC75-F065-43A2-BC00-8C1BB11E236D}" srcOrd="15" destOrd="0" presId="urn:microsoft.com/office/officeart/2009/3/layout/HorizontalOrganizationChart"/>
    <dgm:cxn modelId="{3F45AF26-DAA0-184D-82B2-8F5611EE46D2}" type="presParOf" srcId="{18F4AC75-F065-43A2-BC00-8C1BB11E236D}" destId="{8BF141A4-1E02-4084-A68E-3FA25B2411AF}" srcOrd="0" destOrd="0" presId="urn:microsoft.com/office/officeart/2009/3/layout/HorizontalOrganizationChart"/>
    <dgm:cxn modelId="{AD320C96-FBA1-4246-92FA-8D2E2DDA243D}" type="presParOf" srcId="{8BF141A4-1E02-4084-A68E-3FA25B2411AF}" destId="{2880E98C-A175-469A-9081-2CDBA5B04A73}" srcOrd="0" destOrd="0" presId="urn:microsoft.com/office/officeart/2009/3/layout/HorizontalOrganizationChart"/>
    <dgm:cxn modelId="{28246FF1-1670-F448-81F4-92588D5A83C2}" type="presParOf" srcId="{8BF141A4-1E02-4084-A68E-3FA25B2411AF}" destId="{8EC8D8DA-514E-4B3A-AA8B-AE97015DD6CE}" srcOrd="1" destOrd="0" presId="urn:microsoft.com/office/officeart/2009/3/layout/HorizontalOrganizationChart"/>
    <dgm:cxn modelId="{E57DAA0B-664B-8546-A517-8E2E980138FF}" type="presParOf" srcId="{18F4AC75-F065-43A2-BC00-8C1BB11E236D}" destId="{32AB363D-90DE-4AA6-89F4-6BE391DFC417}" srcOrd="1" destOrd="0" presId="urn:microsoft.com/office/officeart/2009/3/layout/HorizontalOrganizationChart"/>
    <dgm:cxn modelId="{641D139B-7BA5-5D42-9A36-41CBAC628DFD}" type="presParOf" srcId="{18F4AC75-F065-43A2-BC00-8C1BB11E236D}" destId="{7FC5E3BC-83A2-49BD-8E6C-501274ED2117}" srcOrd="2" destOrd="0" presId="urn:microsoft.com/office/officeart/2009/3/layout/HorizontalOrganizationChart"/>
    <dgm:cxn modelId="{A0EBF42A-244B-3849-8E47-7EF1EEC60A07}" type="presParOf" srcId="{2E0C3B5C-9B22-48DD-A4AD-29FC3760DD3C}" destId="{87154F6B-B97D-4309-B096-2D5400DFD7CD}" srcOrd="16" destOrd="0" presId="urn:microsoft.com/office/officeart/2009/3/layout/HorizontalOrganizationChart"/>
    <dgm:cxn modelId="{DF563A7E-3C3F-0847-905B-CDE66F8AE060}" type="presParOf" srcId="{2E0C3B5C-9B22-48DD-A4AD-29FC3760DD3C}" destId="{B09E8F4E-F00C-43DC-9D5D-018F83EA67BF}" srcOrd="17" destOrd="0" presId="urn:microsoft.com/office/officeart/2009/3/layout/HorizontalOrganizationChart"/>
    <dgm:cxn modelId="{4E7A1E9C-57DE-1940-9E97-B17AD1D1E09B}" type="presParOf" srcId="{B09E8F4E-F00C-43DC-9D5D-018F83EA67BF}" destId="{38B0C24E-6A7E-4813-8075-069B0BFFD2CE}" srcOrd="0" destOrd="0" presId="urn:microsoft.com/office/officeart/2009/3/layout/HorizontalOrganizationChart"/>
    <dgm:cxn modelId="{BB3E230F-97B4-4B48-A953-80E39F5538B3}" type="presParOf" srcId="{38B0C24E-6A7E-4813-8075-069B0BFFD2CE}" destId="{67807186-DCF8-419F-8643-38DFEBF8794E}" srcOrd="0" destOrd="0" presId="urn:microsoft.com/office/officeart/2009/3/layout/HorizontalOrganizationChart"/>
    <dgm:cxn modelId="{846F3030-DC77-4844-8DFD-07206142662E}" type="presParOf" srcId="{38B0C24E-6A7E-4813-8075-069B0BFFD2CE}" destId="{11BCC598-E54E-4016-86D2-7F2DE3D29CD2}" srcOrd="1" destOrd="0" presId="urn:microsoft.com/office/officeart/2009/3/layout/HorizontalOrganizationChart"/>
    <dgm:cxn modelId="{9050F707-E572-9A4C-99BC-E4BAC85510BA}" type="presParOf" srcId="{B09E8F4E-F00C-43DC-9D5D-018F83EA67BF}" destId="{725FBDBF-2103-48FB-B34A-4E8F49217B0D}" srcOrd="1" destOrd="0" presId="urn:microsoft.com/office/officeart/2009/3/layout/HorizontalOrganizationChart"/>
    <dgm:cxn modelId="{2999BFB0-799C-B140-B935-4303A08A29C0}" type="presParOf" srcId="{B09E8F4E-F00C-43DC-9D5D-018F83EA67BF}" destId="{805D2CB4-0B8E-40E2-9C1C-AA4DB3D1CA78}" srcOrd="2" destOrd="0" presId="urn:microsoft.com/office/officeart/2009/3/layout/HorizontalOrganizationChart"/>
    <dgm:cxn modelId="{26CCC2A2-EA15-9542-A09C-57DC7A5F9E07}" type="presParOf" srcId="{2E0C3B5C-9B22-48DD-A4AD-29FC3760DD3C}" destId="{856B9346-4E36-48C0-B084-F9C483036895}" srcOrd="18" destOrd="0" presId="urn:microsoft.com/office/officeart/2009/3/layout/HorizontalOrganizationChart"/>
    <dgm:cxn modelId="{F6A160E4-B557-4F41-8376-F85C493478A9}" type="presParOf" srcId="{2E0C3B5C-9B22-48DD-A4AD-29FC3760DD3C}" destId="{013A842A-BFA7-4559-B68A-4B6812DD4497}" srcOrd="19" destOrd="0" presId="urn:microsoft.com/office/officeart/2009/3/layout/HorizontalOrganizationChart"/>
    <dgm:cxn modelId="{45D83F84-1B16-0D46-9AAF-C8399A9D7E7A}" type="presParOf" srcId="{013A842A-BFA7-4559-B68A-4B6812DD4497}" destId="{C9C712D6-0E4A-4CA5-9CDA-F70DAD597EB3}" srcOrd="0" destOrd="0" presId="urn:microsoft.com/office/officeart/2009/3/layout/HorizontalOrganizationChart"/>
    <dgm:cxn modelId="{D50F1358-FE60-8C48-A095-56324015F067}" type="presParOf" srcId="{C9C712D6-0E4A-4CA5-9CDA-F70DAD597EB3}" destId="{15C5811B-0966-48C4-B6CD-96FCBA1542B6}" srcOrd="0" destOrd="0" presId="urn:microsoft.com/office/officeart/2009/3/layout/HorizontalOrganizationChart"/>
    <dgm:cxn modelId="{304D5A85-A270-9644-B9C6-C056DB32BC91}" type="presParOf" srcId="{C9C712D6-0E4A-4CA5-9CDA-F70DAD597EB3}" destId="{79FA191F-E87C-4021-AFA5-30090EEFD3BE}" srcOrd="1" destOrd="0" presId="urn:microsoft.com/office/officeart/2009/3/layout/HorizontalOrganizationChart"/>
    <dgm:cxn modelId="{00362C6D-8193-C14E-AD1A-3C35591C15C2}" type="presParOf" srcId="{013A842A-BFA7-4559-B68A-4B6812DD4497}" destId="{DB940AF4-FFD0-4B82-8A47-930016CAE8F9}" srcOrd="1" destOrd="0" presId="urn:microsoft.com/office/officeart/2009/3/layout/HorizontalOrganizationChart"/>
    <dgm:cxn modelId="{0DA30CB8-0846-BE49-A2A9-2C363167BB17}" type="presParOf" srcId="{013A842A-BFA7-4559-B68A-4B6812DD4497}" destId="{BD48BD92-4F9B-41CA-A483-303DA076236E}" srcOrd="2" destOrd="0" presId="urn:microsoft.com/office/officeart/2009/3/layout/HorizontalOrganizationChart"/>
    <dgm:cxn modelId="{A31C89DA-1F0E-9F4F-A650-CA1D51D442E2}" type="presParOf" srcId="{C1D4BF1F-8994-4241-992F-DFD40DF12CBA}" destId="{2B67057C-6138-4DA4-AF77-4585862FC2BE}" srcOrd="2" destOrd="0" presId="urn:microsoft.com/office/officeart/2009/3/layout/HorizontalOrganizationChart"/>
    <dgm:cxn modelId="{DE1D4D72-0FC3-1741-978C-C118C4FAABD9}" type="presParOf" srcId="{491162A1-D52A-4141-8CCC-B68599E0DCAE}" destId="{01572B25-4040-4E44-A14A-1224CB57FC80}" srcOrd="2" destOrd="0" presId="urn:microsoft.com/office/officeart/2009/3/layout/HorizontalOrganizationChart"/>
    <dgm:cxn modelId="{EF4C1308-1272-C244-8128-F5106D5C1364}" type="presParOf" srcId="{491162A1-D52A-4141-8CCC-B68599E0DCAE}" destId="{754366DE-605D-4809-B884-6562EC3C5879}" srcOrd="3" destOrd="0" presId="urn:microsoft.com/office/officeart/2009/3/layout/HorizontalOrganizationChart"/>
    <dgm:cxn modelId="{1F554464-F596-F041-960F-C739C5A356CD}" type="presParOf" srcId="{754366DE-605D-4809-B884-6562EC3C5879}" destId="{38C99795-7678-4D89-84A9-52460B5EB996}" srcOrd="0" destOrd="0" presId="urn:microsoft.com/office/officeart/2009/3/layout/HorizontalOrganizationChart"/>
    <dgm:cxn modelId="{084B279F-686C-1B46-B097-B624D2103DAA}" type="presParOf" srcId="{38C99795-7678-4D89-84A9-52460B5EB996}" destId="{A405772F-BB13-473B-B1EF-0365BCC09CB4}" srcOrd="0" destOrd="0" presId="urn:microsoft.com/office/officeart/2009/3/layout/HorizontalOrganizationChart"/>
    <dgm:cxn modelId="{4D7234F4-22AB-BB4A-AD29-4E55847A91E8}" type="presParOf" srcId="{38C99795-7678-4D89-84A9-52460B5EB996}" destId="{E717F643-E1D6-4B47-92CB-697A9A23A685}" srcOrd="1" destOrd="0" presId="urn:microsoft.com/office/officeart/2009/3/layout/HorizontalOrganizationChart"/>
    <dgm:cxn modelId="{F2393A8F-8287-7B4A-A08D-9E48F880F6F1}" type="presParOf" srcId="{754366DE-605D-4809-B884-6562EC3C5879}" destId="{EF0EB82B-4B58-4180-82D9-4AEE3385E112}" srcOrd="1" destOrd="0" presId="urn:microsoft.com/office/officeart/2009/3/layout/HorizontalOrganizationChart"/>
    <dgm:cxn modelId="{76AA06D0-6CD4-8A45-AB50-8055C1B38CAA}" type="presParOf" srcId="{754366DE-605D-4809-B884-6562EC3C5879}" destId="{585E465E-9D51-4063-9E45-2C07B319CCDA}" srcOrd="2" destOrd="0" presId="urn:microsoft.com/office/officeart/2009/3/layout/HorizontalOrganizationChart"/>
    <dgm:cxn modelId="{D09A86F6-8EB0-3A48-AB7F-B4F328BE0D29}" type="presParOf" srcId="{491162A1-D52A-4141-8CCC-B68599E0DCAE}" destId="{F066A4C4-0B6F-4956-AE2D-4C3227D118DC}" srcOrd="4" destOrd="0" presId="urn:microsoft.com/office/officeart/2009/3/layout/HorizontalOrganizationChart"/>
    <dgm:cxn modelId="{52E3AA2D-EF2D-1149-B39D-3A839DF6F0AC}" type="presParOf" srcId="{491162A1-D52A-4141-8CCC-B68599E0DCAE}" destId="{2E1A648F-7E23-4921-8A16-88F7DA85774B}" srcOrd="5" destOrd="0" presId="urn:microsoft.com/office/officeart/2009/3/layout/HorizontalOrganizationChart"/>
    <dgm:cxn modelId="{8F3B055B-72D1-A74C-94CC-D9C38012B69A}" type="presParOf" srcId="{2E1A648F-7E23-4921-8A16-88F7DA85774B}" destId="{253062BC-537F-4201-BDFC-06FAA1C65C96}" srcOrd="0" destOrd="0" presId="urn:microsoft.com/office/officeart/2009/3/layout/HorizontalOrganizationChart"/>
    <dgm:cxn modelId="{CE936C12-F6DF-5E4E-9623-F697B928B4BC}" type="presParOf" srcId="{253062BC-537F-4201-BDFC-06FAA1C65C96}" destId="{C80CDAEC-83A5-438D-823E-64A22651EBBC}" srcOrd="0" destOrd="0" presId="urn:microsoft.com/office/officeart/2009/3/layout/HorizontalOrganizationChart"/>
    <dgm:cxn modelId="{D5FB5BB0-CBC3-2441-9D98-BFB8C5A1D5CB}" type="presParOf" srcId="{253062BC-537F-4201-BDFC-06FAA1C65C96}" destId="{A565B523-B336-4572-8029-03531730DDEA}" srcOrd="1" destOrd="0" presId="urn:microsoft.com/office/officeart/2009/3/layout/HorizontalOrganizationChart"/>
    <dgm:cxn modelId="{E1695D0B-C4F1-4E41-B056-E2715D6BBAB5}" type="presParOf" srcId="{2E1A648F-7E23-4921-8A16-88F7DA85774B}" destId="{DC699B3B-8357-427D-A54C-F4237939E8CD}" srcOrd="1" destOrd="0" presId="urn:microsoft.com/office/officeart/2009/3/layout/HorizontalOrganizationChart"/>
    <dgm:cxn modelId="{0AF52DFE-0C38-8640-BC53-844A26D237D9}" type="presParOf" srcId="{2E1A648F-7E23-4921-8A16-88F7DA85774B}" destId="{8CE8FA04-7321-4DC0-82A9-347854F8B28F}" srcOrd="2" destOrd="0" presId="urn:microsoft.com/office/officeart/2009/3/layout/HorizontalOrganizationChart"/>
    <dgm:cxn modelId="{E9BD637D-CEC1-984C-BCE9-626620AFFD60}" type="presParOf" srcId="{491162A1-D52A-4141-8CCC-B68599E0DCAE}" destId="{E0E454BF-3E58-4ABD-8DA2-FD7A1696F981}" srcOrd="6" destOrd="0" presId="urn:microsoft.com/office/officeart/2009/3/layout/HorizontalOrganizationChart"/>
    <dgm:cxn modelId="{448E98F3-2C3D-F84E-82AE-2148BC0937D3}" type="presParOf" srcId="{491162A1-D52A-4141-8CCC-B68599E0DCAE}" destId="{A098452D-A4CA-4D4A-A3D7-08216BB68326}" srcOrd="7" destOrd="0" presId="urn:microsoft.com/office/officeart/2009/3/layout/HorizontalOrganizationChart"/>
    <dgm:cxn modelId="{29C0710E-3228-5B45-BCBB-EB56A7ADEF81}" type="presParOf" srcId="{A098452D-A4CA-4D4A-A3D7-08216BB68326}" destId="{4898BF26-9A99-4A99-A10F-F2300D59D0A5}" srcOrd="0" destOrd="0" presId="urn:microsoft.com/office/officeart/2009/3/layout/HorizontalOrganizationChart"/>
    <dgm:cxn modelId="{F0D4EE37-2C6A-8D4E-8E6C-7D7A75A651EE}" type="presParOf" srcId="{4898BF26-9A99-4A99-A10F-F2300D59D0A5}" destId="{5B673C44-C66F-4A02-84DF-F23700B48042}" srcOrd="0" destOrd="0" presId="urn:microsoft.com/office/officeart/2009/3/layout/HorizontalOrganizationChart"/>
    <dgm:cxn modelId="{BB17880F-038A-F744-B96B-A441535E635D}" type="presParOf" srcId="{4898BF26-9A99-4A99-A10F-F2300D59D0A5}" destId="{3AA98633-91A4-4DC1-A389-D0B149161CF8}" srcOrd="1" destOrd="0" presId="urn:microsoft.com/office/officeart/2009/3/layout/HorizontalOrganizationChart"/>
    <dgm:cxn modelId="{851C2BAF-9625-BD48-A86C-3CAB1BA37D58}" type="presParOf" srcId="{A098452D-A4CA-4D4A-A3D7-08216BB68326}" destId="{FD8146CF-6723-4768-9AD5-4AC249BD7C13}" srcOrd="1" destOrd="0" presId="urn:microsoft.com/office/officeart/2009/3/layout/HorizontalOrganizationChart"/>
    <dgm:cxn modelId="{B7D06276-033A-2340-8E48-B1C44D3B612D}" type="presParOf" srcId="{A098452D-A4CA-4D4A-A3D7-08216BB68326}" destId="{6D389838-31D9-48DB-97A9-EE38D3EF79E0}" srcOrd="2" destOrd="0" presId="urn:microsoft.com/office/officeart/2009/3/layout/HorizontalOrganizationChart"/>
    <dgm:cxn modelId="{0C049678-0468-AC49-A1CD-2477C7D9225B}" type="presParOf" srcId="{77CE714F-EB7B-486A-BFBA-7E2C4E764F54}" destId="{59A845EF-8F09-4224-8D26-19B61044F09A}" srcOrd="2" destOrd="0" presId="urn:microsoft.com/office/officeart/2009/3/layout/HorizontalOrganizationChart"/>
  </dgm:cxnLst>
  <dgm:bg/>
  <dgm:whole/>
  <dgm:extLst>
    <a:ext uri="http://schemas.microsoft.com/office/drawing/2008/diagram">
      <dsp:dataModelExt xmlns:dsp="http://schemas.microsoft.com/office/drawing/2008/diagram" relId="rId152" minVer="http://schemas.openxmlformats.org/drawingml/2006/diagram"/>
    </a:ext>
    <a:ext uri="{C62137D5-CB1D-491B-B009-E17868A290BF}">
      <dgm14:recolorImg xmlns:dgm14="http://schemas.microsoft.com/office/drawing/2010/diagram" val="1"/>
    </a:ext>
  </dgm:extLst>
</dgm:dataModel>
</file>

<file path=word/diagrams/data10.xml><?xml version="1.0" encoding="utf-8"?>
<dgm:dataModel xmlns:dgm="http://schemas.openxmlformats.org/drawingml/2006/diagram" xmlns:a="http://schemas.openxmlformats.org/drawingml/2006/main">
  <dgm:ptLst>
    <dgm:pt modelId="{F36BD97E-EC0A-426E-B034-FF4C8A9AEB6D}"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en-US"/>
        </a:p>
      </dgm:t>
    </dgm:pt>
    <dgm:pt modelId="{2B4BA670-A1E4-4E06-925B-FD9583C17AFD}">
      <dgm:prSet phldrT="[Text]" custT="1">
        <dgm:style>
          <a:lnRef idx="2">
            <a:schemeClr val="dk1"/>
          </a:lnRef>
          <a:fillRef idx="1">
            <a:schemeClr val="lt1"/>
          </a:fillRef>
          <a:effectRef idx="0">
            <a:schemeClr val="dk1"/>
          </a:effectRef>
          <a:fontRef idx="minor">
            <a:schemeClr val="dk1"/>
          </a:fontRef>
        </dgm:style>
      </dgm:prSet>
      <dgm:spPr>
        <a:solidFill>
          <a:schemeClr val="accent2">
            <a:lumMod val="60000"/>
            <a:lumOff val="40000"/>
          </a:schemeClr>
        </a:solidFill>
      </dgm:spPr>
      <dgm:t>
        <a:bodyPr/>
        <a:lstStyle/>
        <a:p>
          <a:pPr algn="ctr"/>
          <a:r>
            <a:rPr lang="en-US" sz="800" b="1"/>
            <a:t>Elimination of oncho &amp; removal of reinfestation risk</a:t>
          </a:r>
        </a:p>
      </dgm:t>
    </dgm:pt>
    <dgm:pt modelId="{A2329931-334D-4AA8-AE1F-1E8EC2282835}" type="parTrans" cxnId="{AB6E2007-4564-48EF-BC5E-8DE9AF93B2EF}">
      <dgm:prSet/>
      <dgm:spPr/>
      <dgm:t>
        <a:bodyPr/>
        <a:lstStyle/>
        <a:p>
          <a:pPr algn="ctr"/>
          <a:endParaRPr lang="en-US" sz="800"/>
        </a:p>
      </dgm:t>
    </dgm:pt>
    <dgm:pt modelId="{28401D95-0ADD-40B9-A670-A8094F003AD9}" type="sibTrans" cxnId="{AB6E2007-4564-48EF-BC5E-8DE9AF93B2EF}">
      <dgm:prSet/>
      <dgm:spPr/>
      <dgm:t>
        <a:bodyPr/>
        <a:lstStyle/>
        <a:p>
          <a:pPr algn="ctr"/>
          <a:endParaRPr lang="en-US" sz="800"/>
        </a:p>
      </dgm:t>
    </dgm:pt>
    <dgm:pt modelId="{07E7FB1C-0620-4FC4-B633-89F172419D71}">
      <dgm:prSet phldrT="[Text]" custT="1">
        <dgm:style>
          <a:lnRef idx="2">
            <a:schemeClr val="dk1"/>
          </a:lnRef>
          <a:fillRef idx="1">
            <a:schemeClr val="lt1"/>
          </a:fillRef>
          <a:effectRef idx="0">
            <a:schemeClr val="dk1"/>
          </a:effectRef>
          <a:fontRef idx="minor">
            <a:schemeClr val="dk1"/>
          </a:fontRef>
        </dgm:style>
      </dgm:prSet>
      <dgm:spPr>
        <a:solidFill>
          <a:schemeClr val="accent6">
            <a:lumMod val="60000"/>
            <a:lumOff val="40000"/>
          </a:schemeClr>
        </a:solidFill>
      </dgm:spPr>
      <dgm:t>
        <a:bodyPr/>
        <a:lstStyle/>
        <a:p>
          <a:pPr algn="ctr"/>
          <a:r>
            <a:rPr lang="en-US" sz="800"/>
            <a:t>DURING OCP: reduce onchocerciasis transmission to interruption level</a:t>
          </a:r>
        </a:p>
      </dgm:t>
    </dgm:pt>
    <dgm:pt modelId="{5B20050B-1016-48F4-A7CD-C4B360660178}" type="parTrans" cxnId="{EBC00A5F-F6F0-4969-B222-AE3A648C642D}">
      <dgm:prSet>
        <dgm:style>
          <a:lnRef idx="2">
            <a:schemeClr val="dk1"/>
          </a:lnRef>
          <a:fillRef idx="1">
            <a:schemeClr val="lt1"/>
          </a:fillRef>
          <a:effectRef idx="0">
            <a:schemeClr val="dk1"/>
          </a:effectRef>
          <a:fontRef idx="minor">
            <a:schemeClr val="dk1"/>
          </a:fontRef>
        </dgm:style>
      </dgm:prSet>
      <dgm:spPr>
        <a:solidFill>
          <a:schemeClr val="accent1">
            <a:lumMod val="60000"/>
            <a:lumOff val="40000"/>
          </a:schemeClr>
        </a:solidFill>
      </dgm:spPr>
      <dgm:t>
        <a:bodyPr/>
        <a:lstStyle/>
        <a:p>
          <a:pPr algn="ctr"/>
          <a:endParaRPr lang="en-US" sz="800"/>
        </a:p>
      </dgm:t>
    </dgm:pt>
    <dgm:pt modelId="{C68E2DDC-3692-4C25-BCFC-29013B0399A0}" type="sibTrans" cxnId="{EBC00A5F-F6F0-4969-B222-AE3A648C642D}">
      <dgm:prSet/>
      <dgm:spPr/>
      <dgm:t>
        <a:bodyPr/>
        <a:lstStyle/>
        <a:p>
          <a:pPr algn="ctr"/>
          <a:endParaRPr lang="en-US" sz="800"/>
        </a:p>
      </dgm:t>
    </dgm:pt>
    <dgm:pt modelId="{BB2A20A1-0764-4FB6-A790-87E9513CF010}">
      <dgm:prSet phldrT="[Text]" custT="1">
        <dgm:style>
          <a:lnRef idx="2">
            <a:schemeClr val="dk1"/>
          </a:lnRef>
          <a:fillRef idx="1">
            <a:schemeClr val="lt1"/>
          </a:fillRef>
          <a:effectRef idx="0">
            <a:schemeClr val="dk1"/>
          </a:effectRef>
          <a:fontRef idx="minor">
            <a:schemeClr val="dk1"/>
          </a:fontRef>
        </dgm:style>
      </dgm:prSet>
      <dgm:spPr>
        <a:solidFill>
          <a:schemeClr val="accent6">
            <a:lumMod val="60000"/>
            <a:lumOff val="40000"/>
          </a:schemeClr>
        </a:solidFill>
      </dgm:spPr>
      <dgm:t>
        <a:bodyPr/>
        <a:lstStyle/>
        <a:p>
          <a:pPr algn="ctr"/>
          <a:r>
            <a:rPr lang="en-US" sz="800"/>
            <a:t>DURING OCP: safeguard against reintroduction of transmission</a:t>
          </a:r>
        </a:p>
      </dgm:t>
    </dgm:pt>
    <dgm:pt modelId="{22B7223E-8F0B-472B-A1A2-505BFE57092D}" type="sibTrans" cxnId="{719D434E-3E96-4114-A860-897A1F0D0EB9}">
      <dgm:prSet/>
      <dgm:spPr/>
      <dgm:t>
        <a:bodyPr/>
        <a:lstStyle/>
        <a:p>
          <a:pPr algn="ctr"/>
          <a:endParaRPr lang="en-US" sz="800"/>
        </a:p>
      </dgm:t>
    </dgm:pt>
    <dgm:pt modelId="{3983D9E7-A8BC-497F-AA30-C2BB8F300000}" type="parTrans" cxnId="{719D434E-3E96-4114-A860-897A1F0D0EB9}">
      <dgm:prSet>
        <dgm:style>
          <a:lnRef idx="2">
            <a:schemeClr val="dk1"/>
          </a:lnRef>
          <a:fillRef idx="1">
            <a:schemeClr val="lt1"/>
          </a:fillRef>
          <a:effectRef idx="0">
            <a:schemeClr val="dk1"/>
          </a:effectRef>
          <a:fontRef idx="minor">
            <a:schemeClr val="dk1"/>
          </a:fontRef>
        </dgm:style>
      </dgm:prSet>
      <dgm:spPr>
        <a:solidFill>
          <a:schemeClr val="accent1">
            <a:lumMod val="60000"/>
            <a:lumOff val="40000"/>
          </a:schemeClr>
        </a:solidFill>
      </dgm:spPr>
      <dgm:t>
        <a:bodyPr/>
        <a:lstStyle/>
        <a:p>
          <a:pPr algn="ctr"/>
          <a:endParaRPr lang="en-US" sz="800"/>
        </a:p>
      </dgm:t>
    </dgm:pt>
    <dgm:pt modelId="{9B70810A-3268-41E1-90E2-747CC14DD872}">
      <dgm:prSet phldrT="[Text]" custT="1">
        <dgm:style>
          <a:lnRef idx="2">
            <a:schemeClr val="dk1"/>
          </a:lnRef>
          <a:fillRef idx="1">
            <a:schemeClr val="lt1"/>
          </a:fillRef>
          <a:effectRef idx="0">
            <a:schemeClr val="dk1"/>
          </a:effectRef>
          <a:fontRef idx="minor">
            <a:schemeClr val="dk1"/>
          </a:fontRef>
        </dgm:style>
      </dgm:prSet>
      <dgm:spPr>
        <a:solidFill>
          <a:schemeClr val="accent6">
            <a:lumMod val="60000"/>
            <a:lumOff val="40000"/>
          </a:schemeClr>
        </a:solidFill>
      </dgm:spPr>
      <dgm:t>
        <a:bodyPr/>
        <a:lstStyle/>
        <a:p>
          <a:pPr algn="ctr"/>
          <a:r>
            <a:rPr lang="en-US" sz="800"/>
            <a:t>DURING OCP: build-up national health structures</a:t>
          </a:r>
        </a:p>
      </dgm:t>
    </dgm:pt>
    <dgm:pt modelId="{9336080C-0218-4546-A869-8555C9F69A07}" type="parTrans" cxnId="{C86D140B-B15A-42D3-A0CC-C633ECF96104}">
      <dgm:prSet>
        <dgm:style>
          <a:lnRef idx="2">
            <a:schemeClr val="dk1"/>
          </a:lnRef>
          <a:fillRef idx="1">
            <a:schemeClr val="lt1"/>
          </a:fillRef>
          <a:effectRef idx="0">
            <a:schemeClr val="dk1"/>
          </a:effectRef>
          <a:fontRef idx="minor">
            <a:schemeClr val="dk1"/>
          </a:fontRef>
        </dgm:style>
      </dgm:prSet>
      <dgm:spPr>
        <a:solidFill>
          <a:schemeClr val="accent1">
            <a:lumMod val="60000"/>
            <a:lumOff val="40000"/>
          </a:schemeClr>
        </a:solidFill>
      </dgm:spPr>
      <dgm:t>
        <a:bodyPr/>
        <a:lstStyle/>
        <a:p>
          <a:pPr algn="ctr"/>
          <a:endParaRPr lang="en-US" sz="800"/>
        </a:p>
      </dgm:t>
    </dgm:pt>
    <dgm:pt modelId="{8EE045DB-21CF-4045-AB91-691014B47827}" type="sibTrans" cxnId="{C86D140B-B15A-42D3-A0CC-C633ECF96104}">
      <dgm:prSet/>
      <dgm:spPr/>
      <dgm:t>
        <a:bodyPr/>
        <a:lstStyle/>
        <a:p>
          <a:pPr algn="ctr"/>
          <a:endParaRPr lang="en-US" sz="800"/>
        </a:p>
      </dgm:t>
    </dgm:pt>
    <dgm:pt modelId="{6CE1B338-0A0E-4932-85AF-B2785AA0E00D}">
      <dgm:prSet phldrT="[Text]" custT="1">
        <dgm:style>
          <a:lnRef idx="2">
            <a:schemeClr val="dk1"/>
          </a:lnRef>
          <a:fillRef idx="1">
            <a:schemeClr val="lt1"/>
          </a:fillRef>
          <a:effectRef idx="0">
            <a:schemeClr val="dk1"/>
          </a:effectRef>
          <a:fontRef idx="minor">
            <a:schemeClr val="dk1"/>
          </a:fontRef>
        </dgm:style>
      </dgm:prSet>
      <dgm:spPr>
        <a:solidFill>
          <a:schemeClr val="accent6">
            <a:lumMod val="60000"/>
            <a:lumOff val="40000"/>
          </a:schemeClr>
        </a:solidFill>
      </dgm:spPr>
      <dgm:t>
        <a:bodyPr/>
        <a:lstStyle/>
        <a:p>
          <a:pPr algn="ctr"/>
          <a:r>
            <a:rPr lang="en-US" sz="800"/>
            <a:t>DURING OCP: identify/establish inter-country facility</a:t>
          </a:r>
        </a:p>
      </dgm:t>
    </dgm:pt>
    <dgm:pt modelId="{5336FE9F-E9B9-4BE5-9828-11DE6110330F}" type="parTrans" cxnId="{C6F36A56-F61F-468F-B320-994D10C2DEEA}">
      <dgm:prSet>
        <dgm:style>
          <a:lnRef idx="2">
            <a:schemeClr val="dk1"/>
          </a:lnRef>
          <a:fillRef idx="1">
            <a:schemeClr val="lt1"/>
          </a:fillRef>
          <a:effectRef idx="0">
            <a:schemeClr val="dk1"/>
          </a:effectRef>
          <a:fontRef idx="minor">
            <a:schemeClr val="dk1"/>
          </a:fontRef>
        </dgm:style>
      </dgm:prSet>
      <dgm:spPr>
        <a:solidFill>
          <a:schemeClr val="accent1">
            <a:lumMod val="60000"/>
            <a:lumOff val="40000"/>
          </a:schemeClr>
        </a:solidFill>
      </dgm:spPr>
      <dgm:t>
        <a:bodyPr/>
        <a:lstStyle/>
        <a:p>
          <a:pPr algn="ctr"/>
          <a:endParaRPr lang="en-US" sz="800"/>
        </a:p>
      </dgm:t>
    </dgm:pt>
    <dgm:pt modelId="{A6671592-A4A9-4335-859C-A5B7424695B4}" type="sibTrans" cxnId="{C6F36A56-F61F-468F-B320-994D10C2DEEA}">
      <dgm:prSet/>
      <dgm:spPr/>
      <dgm:t>
        <a:bodyPr/>
        <a:lstStyle/>
        <a:p>
          <a:pPr algn="ctr"/>
          <a:endParaRPr lang="en-US" sz="800"/>
        </a:p>
      </dgm:t>
    </dgm:pt>
    <dgm:pt modelId="{18021B8B-F01E-4A61-9C45-1D6D7ABD8072}">
      <dgm:prSet phldrT="[Text]" custT="1">
        <dgm:style>
          <a:lnRef idx="2">
            <a:schemeClr val="dk1"/>
          </a:lnRef>
          <a:fillRef idx="1">
            <a:schemeClr val="lt1"/>
          </a:fillRef>
          <a:effectRef idx="0">
            <a:schemeClr val="dk1"/>
          </a:effectRef>
          <a:fontRef idx="minor">
            <a:schemeClr val="dk1"/>
          </a:fontRef>
        </dgm:style>
      </dgm:prSet>
      <dgm:spPr>
        <a:solidFill>
          <a:schemeClr val="accent6">
            <a:lumMod val="60000"/>
            <a:lumOff val="40000"/>
          </a:schemeClr>
        </a:solidFill>
      </dgm:spPr>
      <dgm:t>
        <a:bodyPr/>
        <a:lstStyle/>
        <a:p>
          <a:pPr algn="ctr"/>
          <a:r>
            <a:rPr lang="en-US" sz="800"/>
            <a:t>AFTER OCP: continue surveillance/suppression of possible reinfestation</a:t>
          </a:r>
        </a:p>
      </dgm:t>
    </dgm:pt>
    <dgm:pt modelId="{46F23FF0-04CB-4D87-8C80-34FBBE1B2AEA}" type="parTrans" cxnId="{21EB9259-0315-446B-94C7-C2EED166A5B7}">
      <dgm:prSet>
        <dgm:style>
          <a:lnRef idx="2">
            <a:schemeClr val="dk1"/>
          </a:lnRef>
          <a:fillRef idx="1">
            <a:schemeClr val="lt1"/>
          </a:fillRef>
          <a:effectRef idx="0">
            <a:schemeClr val="dk1"/>
          </a:effectRef>
          <a:fontRef idx="minor">
            <a:schemeClr val="dk1"/>
          </a:fontRef>
        </dgm:style>
      </dgm:prSet>
      <dgm:spPr>
        <a:solidFill>
          <a:schemeClr val="accent1">
            <a:lumMod val="60000"/>
            <a:lumOff val="40000"/>
          </a:schemeClr>
        </a:solidFill>
      </dgm:spPr>
      <dgm:t>
        <a:bodyPr/>
        <a:lstStyle/>
        <a:p>
          <a:pPr algn="ctr"/>
          <a:endParaRPr lang="en-US" sz="800"/>
        </a:p>
      </dgm:t>
    </dgm:pt>
    <dgm:pt modelId="{E336974C-3C24-46D7-9E2A-718C87B5D201}" type="sibTrans" cxnId="{21EB9259-0315-446B-94C7-C2EED166A5B7}">
      <dgm:prSet/>
      <dgm:spPr/>
      <dgm:t>
        <a:bodyPr/>
        <a:lstStyle/>
        <a:p>
          <a:pPr algn="ctr"/>
          <a:endParaRPr lang="en-US" sz="800"/>
        </a:p>
      </dgm:t>
    </dgm:pt>
    <dgm:pt modelId="{138DB855-6320-422F-A3D4-DBAF18DD15F1}">
      <dgm:prSet phldrT="[Text]" custT="1">
        <dgm:style>
          <a:lnRef idx="2">
            <a:schemeClr val="dk1"/>
          </a:lnRef>
          <a:fillRef idx="1">
            <a:schemeClr val="lt1"/>
          </a:fillRef>
          <a:effectRef idx="0">
            <a:schemeClr val="dk1"/>
          </a:effectRef>
          <a:fontRef idx="minor">
            <a:schemeClr val="dk1"/>
          </a:fontRef>
        </dgm:style>
      </dgm:prSet>
      <dgm:spPr>
        <a:solidFill>
          <a:schemeClr val="accent1">
            <a:lumMod val="60000"/>
            <a:lumOff val="40000"/>
          </a:schemeClr>
        </a:solidFill>
      </dgm:spPr>
      <dgm:t>
        <a:bodyPr/>
        <a:lstStyle/>
        <a:p>
          <a:pPr algn="ctr"/>
          <a:r>
            <a:rPr lang="en-US" sz="800"/>
            <a:t>Bring prevalence &amp; ABR/ATP to maintenance-phase levels (to eventually allow for full devolution)</a:t>
          </a:r>
        </a:p>
      </dgm:t>
    </dgm:pt>
    <dgm:pt modelId="{C5D77E87-8060-4AE2-8731-1C2F2608FE2B}" type="parTrans" cxnId="{E13A2C6B-CEF1-4A2A-AC98-02CF32DFFDC2}">
      <dgm:prSet>
        <dgm:style>
          <a:lnRef idx="2">
            <a:schemeClr val="dk1"/>
          </a:lnRef>
          <a:fillRef idx="1">
            <a:schemeClr val="lt1"/>
          </a:fillRef>
          <a:effectRef idx="0">
            <a:schemeClr val="dk1"/>
          </a:effectRef>
          <a:fontRef idx="minor">
            <a:schemeClr val="dk1"/>
          </a:fontRef>
        </dgm:style>
      </dgm:prSet>
      <dgm:spPr>
        <a:solidFill>
          <a:schemeClr val="accent1">
            <a:lumMod val="60000"/>
            <a:lumOff val="40000"/>
          </a:schemeClr>
        </a:solidFill>
      </dgm:spPr>
      <dgm:t>
        <a:bodyPr/>
        <a:lstStyle/>
        <a:p>
          <a:pPr algn="ctr"/>
          <a:endParaRPr lang="en-US" sz="800"/>
        </a:p>
      </dgm:t>
    </dgm:pt>
    <dgm:pt modelId="{F9CDC3E6-9DB2-4E8C-B4E7-E5DF714A0810}" type="sibTrans" cxnId="{E13A2C6B-CEF1-4A2A-AC98-02CF32DFFDC2}">
      <dgm:prSet/>
      <dgm:spPr/>
      <dgm:t>
        <a:bodyPr/>
        <a:lstStyle/>
        <a:p>
          <a:pPr algn="ctr"/>
          <a:endParaRPr lang="en-US" sz="800"/>
        </a:p>
      </dgm:t>
    </dgm:pt>
    <dgm:pt modelId="{E7C6FF05-2997-454D-A2D5-096CC14D8D12}">
      <dgm:prSet phldrT="[Text]" custT="1">
        <dgm:style>
          <a:lnRef idx="2">
            <a:schemeClr val="dk1"/>
          </a:lnRef>
          <a:fillRef idx="1">
            <a:schemeClr val="lt1"/>
          </a:fillRef>
          <a:effectRef idx="0">
            <a:schemeClr val="dk1"/>
          </a:effectRef>
          <a:fontRef idx="minor">
            <a:schemeClr val="dk1"/>
          </a:fontRef>
        </dgm:style>
      </dgm:prSet>
      <dgm:spPr>
        <a:solidFill>
          <a:schemeClr val="accent1">
            <a:lumMod val="60000"/>
            <a:lumOff val="40000"/>
          </a:schemeClr>
        </a:solidFill>
      </dgm:spPr>
      <dgm:t>
        <a:bodyPr/>
        <a:lstStyle/>
        <a:p>
          <a:pPr algn="ctr"/>
          <a:r>
            <a:rPr lang="en-US" sz="800"/>
            <a:t>Western operations to reach maintenance</a:t>
          </a:r>
        </a:p>
      </dgm:t>
    </dgm:pt>
    <dgm:pt modelId="{F68A9EA0-396C-4EEA-944A-BFAA2299822B}" type="parTrans" cxnId="{B071DA40-F576-4CE2-B2F1-4DDA18E92C9C}">
      <dgm:prSet>
        <dgm:style>
          <a:lnRef idx="2">
            <a:schemeClr val="dk1"/>
          </a:lnRef>
          <a:fillRef idx="1">
            <a:schemeClr val="lt1"/>
          </a:fillRef>
          <a:effectRef idx="0">
            <a:schemeClr val="dk1"/>
          </a:effectRef>
          <a:fontRef idx="minor">
            <a:schemeClr val="dk1"/>
          </a:fontRef>
        </dgm:style>
      </dgm:prSet>
      <dgm:spPr>
        <a:solidFill>
          <a:schemeClr val="accent1">
            <a:lumMod val="60000"/>
            <a:lumOff val="40000"/>
          </a:schemeClr>
        </a:solidFill>
      </dgm:spPr>
      <dgm:t>
        <a:bodyPr/>
        <a:lstStyle/>
        <a:p>
          <a:pPr algn="ctr"/>
          <a:endParaRPr lang="en-US" sz="800"/>
        </a:p>
      </dgm:t>
    </dgm:pt>
    <dgm:pt modelId="{653394A9-B52C-4299-8CA3-3FD8A99A0A59}" type="sibTrans" cxnId="{B071DA40-F576-4CE2-B2F1-4DDA18E92C9C}">
      <dgm:prSet/>
      <dgm:spPr/>
      <dgm:t>
        <a:bodyPr/>
        <a:lstStyle/>
        <a:p>
          <a:pPr algn="ctr"/>
          <a:endParaRPr lang="en-US" sz="800"/>
        </a:p>
      </dgm:t>
    </dgm:pt>
    <dgm:pt modelId="{AAEBEFF4-5EBF-4526-A58E-43BEAC4395E6}">
      <dgm:prSet phldrT="[Text]" custT="1">
        <dgm:style>
          <a:lnRef idx="2">
            <a:schemeClr val="dk1"/>
          </a:lnRef>
          <a:fillRef idx="1">
            <a:schemeClr val="lt1"/>
          </a:fillRef>
          <a:effectRef idx="0">
            <a:schemeClr val="dk1"/>
          </a:effectRef>
          <a:fontRef idx="minor">
            <a:schemeClr val="dk1"/>
          </a:fontRef>
        </dgm:style>
      </dgm:prSet>
      <dgm:spPr>
        <a:solidFill>
          <a:schemeClr val="accent1">
            <a:lumMod val="60000"/>
            <a:lumOff val="40000"/>
          </a:schemeClr>
        </a:solidFill>
      </dgm:spPr>
      <dgm:t>
        <a:bodyPr/>
        <a:lstStyle/>
        <a:p>
          <a:pPr algn="ctr"/>
          <a:r>
            <a:rPr lang="en-US" sz="800"/>
            <a:t>Reinforce control in the 'inner periphery' of the 7-country (1983) OCP area</a:t>
          </a:r>
        </a:p>
      </dgm:t>
    </dgm:pt>
    <dgm:pt modelId="{1E561736-2328-48C7-9342-64AADEA3FA0A}" type="parTrans" cxnId="{B02F2319-3CBD-4711-9706-163A1A8DC3E7}">
      <dgm:prSet>
        <dgm:style>
          <a:lnRef idx="2">
            <a:schemeClr val="dk1"/>
          </a:lnRef>
          <a:fillRef idx="1">
            <a:schemeClr val="lt1"/>
          </a:fillRef>
          <a:effectRef idx="0">
            <a:schemeClr val="dk1"/>
          </a:effectRef>
          <a:fontRef idx="minor">
            <a:schemeClr val="dk1"/>
          </a:fontRef>
        </dgm:style>
      </dgm:prSet>
      <dgm:spPr>
        <a:solidFill>
          <a:schemeClr val="accent1">
            <a:lumMod val="60000"/>
            <a:lumOff val="40000"/>
          </a:schemeClr>
        </a:solidFill>
      </dgm:spPr>
      <dgm:t>
        <a:bodyPr/>
        <a:lstStyle/>
        <a:p>
          <a:pPr algn="ctr"/>
          <a:endParaRPr lang="en-US" sz="800"/>
        </a:p>
      </dgm:t>
    </dgm:pt>
    <dgm:pt modelId="{B750F980-5450-4B84-AEE8-F1389260835E}" type="sibTrans" cxnId="{B02F2319-3CBD-4711-9706-163A1A8DC3E7}">
      <dgm:prSet/>
      <dgm:spPr/>
      <dgm:t>
        <a:bodyPr/>
        <a:lstStyle/>
        <a:p>
          <a:pPr algn="ctr"/>
          <a:endParaRPr lang="en-US" sz="800"/>
        </a:p>
      </dgm:t>
    </dgm:pt>
    <dgm:pt modelId="{A43B0F0F-8D3B-42F8-B038-1A7680BCAC1D}">
      <dgm:prSet phldrT="[Text]" custT="1">
        <dgm:style>
          <a:lnRef idx="2">
            <a:schemeClr val="dk1"/>
          </a:lnRef>
          <a:fillRef idx="1">
            <a:schemeClr val="lt1"/>
          </a:fillRef>
          <a:effectRef idx="0">
            <a:schemeClr val="dk1"/>
          </a:effectRef>
          <a:fontRef idx="minor">
            <a:schemeClr val="dk1"/>
          </a:fontRef>
        </dgm:style>
      </dgm:prSet>
      <dgm:spPr>
        <a:solidFill>
          <a:schemeClr val="accent1">
            <a:lumMod val="60000"/>
            <a:lumOff val="40000"/>
          </a:schemeClr>
        </a:solidFill>
      </dgm:spPr>
      <dgm:t>
        <a:bodyPr/>
        <a:lstStyle/>
        <a:p>
          <a:pPr algn="ctr"/>
          <a:r>
            <a:rPr lang="en-US" sz="800"/>
            <a:t>Make participating countries capable of maintenance, supported by inter-country facility</a:t>
          </a:r>
        </a:p>
      </dgm:t>
    </dgm:pt>
    <dgm:pt modelId="{E5784744-9FBA-4ABB-8254-9E80FC104456}" type="parTrans" cxnId="{A9AFA367-DE6F-452B-A3D4-CFCE0B49E0ED}">
      <dgm:prSet>
        <dgm:style>
          <a:lnRef idx="2">
            <a:schemeClr val="dk1"/>
          </a:lnRef>
          <a:fillRef idx="1">
            <a:schemeClr val="lt1"/>
          </a:fillRef>
          <a:effectRef idx="0">
            <a:schemeClr val="dk1"/>
          </a:effectRef>
          <a:fontRef idx="minor">
            <a:schemeClr val="dk1"/>
          </a:fontRef>
        </dgm:style>
      </dgm:prSet>
      <dgm:spPr>
        <a:solidFill>
          <a:schemeClr val="accent1">
            <a:lumMod val="60000"/>
            <a:lumOff val="40000"/>
          </a:schemeClr>
        </a:solidFill>
      </dgm:spPr>
      <dgm:t>
        <a:bodyPr/>
        <a:lstStyle/>
        <a:p>
          <a:pPr algn="ctr"/>
          <a:endParaRPr lang="en-US" sz="800"/>
        </a:p>
      </dgm:t>
    </dgm:pt>
    <dgm:pt modelId="{1BD159EE-7340-40E3-A783-53DBD26D4322}" type="sibTrans" cxnId="{A9AFA367-DE6F-452B-A3D4-CFCE0B49E0ED}">
      <dgm:prSet/>
      <dgm:spPr/>
      <dgm:t>
        <a:bodyPr/>
        <a:lstStyle/>
        <a:p>
          <a:pPr algn="ctr"/>
          <a:endParaRPr lang="en-US" sz="800"/>
        </a:p>
      </dgm:t>
    </dgm:pt>
    <dgm:pt modelId="{B623D4BA-ED2A-4202-859E-DD183EEEFB04}">
      <dgm:prSet phldrT="[Text]" custT="1">
        <dgm:style>
          <a:lnRef idx="2">
            <a:schemeClr val="dk1"/>
          </a:lnRef>
          <a:fillRef idx="1">
            <a:schemeClr val="lt1"/>
          </a:fillRef>
          <a:effectRef idx="0">
            <a:schemeClr val="dk1"/>
          </a:effectRef>
          <a:fontRef idx="minor">
            <a:schemeClr val="dk1"/>
          </a:fontRef>
        </dgm:style>
      </dgm:prSet>
      <dgm:spPr>
        <a:solidFill>
          <a:schemeClr val="accent1">
            <a:lumMod val="60000"/>
            <a:lumOff val="40000"/>
          </a:schemeClr>
        </a:solidFill>
      </dgm:spPr>
      <dgm:t>
        <a:bodyPr/>
        <a:lstStyle/>
        <a:p>
          <a:pPr algn="ctr"/>
          <a:r>
            <a:rPr lang="en-US" sz="800"/>
            <a:t>Train nations for devolution activities</a:t>
          </a:r>
        </a:p>
      </dgm:t>
    </dgm:pt>
    <dgm:pt modelId="{8AEBEB7F-2AC3-4E7C-A711-18ECE24EFDF9}" type="parTrans" cxnId="{2C4AC0ED-5F25-47B9-99F6-7786EA8E0E81}">
      <dgm:prSet>
        <dgm:style>
          <a:lnRef idx="2">
            <a:schemeClr val="dk1"/>
          </a:lnRef>
          <a:fillRef idx="1">
            <a:schemeClr val="lt1"/>
          </a:fillRef>
          <a:effectRef idx="0">
            <a:schemeClr val="dk1"/>
          </a:effectRef>
          <a:fontRef idx="minor">
            <a:schemeClr val="dk1"/>
          </a:fontRef>
        </dgm:style>
      </dgm:prSet>
      <dgm:spPr>
        <a:solidFill>
          <a:schemeClr val="accent1">
            <a:lumMod val="60000"/>
            <a:lumOff val="40000"/>
          </a:schemeClr>
        </a:solidFill>
      </dgm:spPr>
      <dgm:t>
        <a:bodyPr/>
        <a:lstStyle/>
        <a:p>
          <a:pPr algn="ctr"/>
          <a:endParaRPr lang="en-US" sz="800"/>
        </a:p>
      </dgm:t>
    </dgm:pt>
    <dgm:pt modelId="{16BADA93-121F-4703-8C63-95B5CBC50AF0}" type="sibTrans" cxnId="{2C4AC0ED-5F25-47B9-99F6-7786EA8E0E81}">
      <dgm:prSet/>
      <dgm:spPr/>
      <dgm:t>
        <a:bodyPr/>
        <a:lstStyle/>
        <a:p>
          <a:pPr algn="ctr"/>
          <a:endParaRPr lang="en-US" sz="800"/>
        </a:p>
      </dgm:t>
    </dgm:pt>
    <dgm:pt modelId="{40405B5F-F4AE-4051-9723-954377108BB0}">
      <dgm:prSet phldrT="[Text]" custT="1">
        <dgm:style>
          <a:lnRef idx="2">
            <a:schemeClr val="dk1"/>
          </a:lnRef>
          <a:fillRef idx="1">
            <a:schemeClr val="lt1"/>
          </a:fillRef>
          <a:effectRef idx="0">
            <a:schemeClr val="dk1"/>
          </a:effectRef>
          <a:fontRef idx="minor">
            <a:schemeClr val="dk1"/>
          </a:fontRef>
        </dgm:style>
      </dgm:prSet>
      <dgm:spPr>
        <a:solidFill>
          <a:schemeClr val="accent1">
            <a:lumMod val="60000"/>
            <a:lumOff val="40000"/>
          </a:schemeClr>
        </a:solidFill>
      </dgm:spPr>
      <dgm:t>
        <a:bodyPr/>
        <a:lstStyle/>
        <a:p>
          <a:pPr algn="ctr"/>
          <a:r>
            <a:rPr lang="en-US" sz="800"/>
            <a:t>Make countries capable of maintenance with support of facility</a:t>
          </a:r>
        </a:p>
      </dgm:t>
    </dgm:pt>
    <dgm:pt modelId="{4E013843-01FC-4C31-9BFC-6ED11DC85965}" type="parTrans" cxnId="{2776B130-FE21-40B2-AA28-6AE659DD1443}">
      <dgm:prSet>
        <dgm:style>
          <a:lnRef idx="2">
            <a:schemeClr val="dk1"/>
          </a:lnRef>
          <a:fillRef idx="1">
            <a:schemeClr val="lt1"/>
          </a:fillRef>
          <a:effectRef idx="0">
            <a:schemeClr val="dk1"/>
          </a:effectRef>
          <a:fontRef idx="minor">
            <a:schemeClr val="dk1"/>
          </a:fontRef>
        </dgm:style>
      </dgm:prSet>
      <dgm:spPr>
        <a:solidFill>
          <a:schemeClr val="accent1">
            <a:lumMod val="60000"/>
            <a:lumOff val="40000"/>
          </a:schemeClr>
        </a:solidFill>
      </dgm:spPr>
      <dgm:t>
        <a:bodyPr/>
        <a:lstStyle/>
        <a:p>
          <a:pPr algn="ctr"/>
          <a:endParaRPr lang="en-US" sz="800"/>
        </a:p>
      </dgm:t>
    </dgm:pt>
    <dgm:pt modelId="{69C9EFD6-A4B5-4446-8D17-90EF4ABB85C9}" type="sibTrans" cxnId="{2776B130-FE21-40B2-AA28-6AE659DD1443}">
      <dgm:prSet/>
      <dgm:spPr/>
      <dgm:t>
        <a:bodyPr/>
        <a:lstStyle/>
        <a:p>
          <a:pPr algn="ctr"/>
          <a:endParaRPr lang="en-US" sz="800"/>
        </a:p>
      </dgm:t>
    </dgm:pt>
    <dgm:pt modelId="{35C61D91-C9A0-4AE7-897C-8AA1E12E52B3}">
      <dgm:prSet phldrT="[Text]" custT="1">
        <dgm:style>
          <a:lnRef idx="2">
            <a:schemeClr val="dk1"/>
          </a:lnRef>
          <a:fillRef idx="1">
            <a:schemeClr val="lt1"/>
          </a:fillRef>
          <a:effectRef idx="0">
            <a:schemeClr val="dk1"/>
          </a:effectRef>
          <a:fontRef idx="minor">
            <a:schemeClr val="dk1"/>
          </a:fontRef>
        </dgm:style>
      </dgm:prSet>
      <dgm:spPr>
        <a:solidFill>
          <a:schemeClr val="accent1">
            <a:lumMod val="60000"/>
            <a:lumOff val="40000"/>
          </a:schemeClr>
        </a:solidFill>
      </dgm:spPr>
      <dgm:t>
        <a:bodyPr/>
        <a:lstStyle/>
        <a:p>
          <a:pPr algn="ctr"/>
          <a:r>
            <a:rPr lang="en-US" sz="800"/>
            <a:t>Continue maintenance activities until elimination of oncho is achieved</a:t>
          </a:r>
        </a:p>
      </dgm:t>
    </dgm:pt>
    <dgm:pt modelId="{5F0AFCB3-4E3A-498B-B526-A31DE6AAA340}" type="parTrans" cxnId="{499E9CC8-7AB5-47BB-A8EB-8689B852C832}">
      <dgm:prSet>
        <dgm:style>
          <a:lnRef idx="2">
            <a:schemeClr val="dk1"/>
          </a:lnRef>
          <a:fillRef idx="1">
            <a:schemeClr val="lt1"/>
          </a:fillRef>
          <a:effectRef idx="0">
            <a:schemeClr val="dk1"/>
          </a:effectRef>
          <a:fontRef idx="minor">
            <a:schemeClr val="dk1"/>
          </a:fontRef>
        </dgm:style>
      </dgm:prSet>
      <dgm:spPr>
        <a:solidFill>
          <a:schemeClr val="accent1">
            <a:lumMod val="60000"/>
            <a:lumOff val="40000"/>
          </a:schemeClr>
        </a:solidFill>
      </dgm:spPr>
      <dgm:t>
        <a:bodyPr/>
        <a:lstStyle/>
        <a:p>
          <a:pPr algn="ctr"/>
          <a:endParaRPr lang="en-US" sz="800"/>
        </a:p>
      </dgm:t>
    </dgm:pt>
    <dgm:pt modelId="{DAEF592A-7C9F-4B57-B6E4-B5620F4A3416}" type="sibTrans" cxnId="{499E9CC8-7AB5-47BB-A8EB-8689B852C832}">
      <dgm:prSet/>
      <dgm:spPr/>
      <dgm:t>
        <a:bodyPr/>
        <a:lstStyle/>
        <a:p>
          <a:pPr algn="ctr"/>
          <a:endParaRPr lang="en-US" sz="800"/>
        </a:p>
      </dgm:t>
    </dgm:pt>
    <dgm:pt modelId="{1DB39D2A-262C-4D2C-B4CE-F08F85FD284C}" type="pres">
      <dgm:prSet presAssocID="{F36BD97E-EC0A-426E-B034-FF4C8A9AEB6D}" presName="mainComposite" presStyleCnt="0">
        <dgm:presLayoutVars>
          <dgm:chPref val="1"/>
          <dgm:dir/>
          <dgm:animOne val="branch"/>
          <dgm:animLvl val="lvl"/>
          <dgm:resizeHandles val="exact"/>
        </dgm:presLayoutVars>
      </dgm:prSet>
      <dgm:spPr/>
      <dgm:t>
        <a:bodyPr/>
        <a:lstStyle/>
        <a:p>
          <a:endParaRPr lang="en-US"/>
        </a:p>
      </dgm:t>
    </dgm:pt>
    <dgm:pt modelId="{A2CCBF67-C5F4-44F0-8FF0-9FB47F17E78E}" type="pres">
      <dgm:prSet presAssocID="{F36BD97E-EC0A-426E-B034-FF4C8A9AEB6D}" presName="hierFlow" presStyleCnt="0"/>
      <dgm:spPr/>
    </dgm:pt>
    <dgm:pt modelId="{1C8B9F36-C966-4594-887B-9E2DFB28DBDA}" type="pres">
      <dgm:prSet presAssocID="{F36BD97E-EC0A-426E-B034-FF4C8A9AEB6D}" presName="hierChild1" presStyleCnt="0">
        <dgm:presLayoutVars>
          <dgm:chPref val="1"/>
          <dgm:animOne val="branch"/>
          <dgm:animLvl val="lvl"/>
        </dgm:presLayoutVars>
      </dgm:prSet>
      <dgm:spPr/>
    </dgm:pt>
    <dgm:pt modelId="{DA900D51-4D90-46CA-9898-A074E4B0A670}" type="pres">
      <dgm:prSet presAssocID="{2B4BA670-A1E4-4E06-925B-FD9583C17AFD}" presName="Name14" presStyleCnt="0"/>
      <dgm:spPr/>
    </dgm:pt>
    <dgm:pt modelId="{E3C6048A-2511-485C-8783-E0335D12B78B}" type="pres">
      <dgm:prSet presAssocID="{2B4BA670-A1E4-4E06-925B-FD9583C17AFD}" presName="level1Shape" presStyleLbl="node0" presStyleIdx="0" presStyleCnt="1" custScaleX="215500" custScaleY="160421">
        <dgm:presLayoutVars>
          <dgm:chPref val="3"/>
        </dgm:presLayoutVars>
      </dgm:prSet>
      <dgm:spPr/>
      <dgm:t>
        <a:bodyPr/>
        <a:lstStyle/>
        <a:p>
          <a:endParaRPr lang="en-US"/>
        </a:p>
      </dgm:t>
    </dgm:pt>
    <dgm:pt modelId="{9E3ED1C9-6FE0-4701-9520-BC094C148D04}" type="pres">
      <dgm:prSet presAssocID="{2B4BA670-A1E4-4E06-925B-FD9583C17AFD}" presName="hierChild2" presStyleCnt="0"/>
      <dgm:spPr/>
    </dgm:pt>
    <dgm:pt modelId="{7D63F2EA-538D-440E-BC0E-6695D71DB056}" type="pres">
      <dgm:prSet presAssocID="{5B20050B-1016-48F4-A7CD-C4B360660178}" presName="Name19" presStyleLbl="parChTrans1D2" presStyleIdx="0" presStyleCnt="5"/>
      <dgm:spPr/>
      <dgm:t>
        <a:bodyPr/>
        <a:lstStyle/>
        <a:p>
          <a:endParaRPr lang="en-US"/>
        </a:p>
      </dgm:t>
    </dgm:pt>
    <dgm:pt modelId="{04872C97-BD95-44FE-9098-5F1984A4B6B1}" type="pres">
      <dgm:prSet presAssocID="{07E7FB1C-0620-4FC4-B633-89F172419D71}" presName="Name21" presStyleCnt="0"/>
      <dgm:spPr/>
    </dgm:pt>
    <dgm:pt modelId="{C307E069-A738-40AE-885F-B90EAA12791D}" type="pres">
      <dgm:prSet presAssocID="{07E7FB1C-0620-4FC4-B633-89F172419D71}" presName="level2Shape" presStyleLbl="node2" presStyleIdx="0" presStyleCnt="5" custScaleX="182869" custScaleY="236597"/>
      <dgm:spPr/>
      <dgm:t>
        <a:bodyPr/>
        <a:lstStyle/>
        <a:p>
          <a:endParaRPr lang="en-US"/>
        </a:p>
      </dgm:t>
    </dgm:pt>
    <dgm:pt modelId="{BAE549DB-3A0C-4025-9DA8-CD7E59541C1B}" type="pres">
      <dgm:prSet presAssocID="{07E7FB1C-0620-4FC4-B633-89F172419D71}" presName="hierChild3" presStyleCnt="0"/>
      <dgm:spPr/>
    </dgm:pt>
    <dgm:pt modelId="{E56A42C8-211A-4BF3-9EEE-1006715FBA70}" type="pres">
      <dgm:prSet presAssocID="{C5D77E87-8060-4AE2-8731-1C2F2608FE2B}" presName="Name19" presStyleLbl="parChTrans1D3" presStyleIdx="0" presStyleCnt="7"/>
      <dgm:spPr/>
      <dgm:t>
        <a:bodyPr/>
        <a:lstStyle/>
        <a:p>
          <a:endParaRPr lang="en-US"/>
        </a:p>
      </dgm:t>
    </dgm:pt>
    <dgm:pt modelId="{1E966A6C-848C-4497-ABE5-DA04EDBC0FC7}" type="pres">
      <dgm:prSet presAssocID="{138DB855-6320-422F-A3D4-DBAF18DD15F1}" presName="Name21" presStyleCnt="0"/>
      <dgm:spPr/>
    </dgm:pt>
    <dgm:pt modelId="{2F58826E-884A-4CA3-B85C-D45BB02DDC08}" type="pres">
      <dgm:prSet presAssocID="{138DB855-6320-422F-A3D4-DBAF18DD15F1}" presName="level2Shape" presStyleLbl="node3" presStyleIdx="0" presStyleCnt="7" custScaleX="149562" custScaleY="325416"/>
      <dgm:spPr/>
      <dgm:t>
        <a:bodyPr/>
        <a:lstStyle/>
        <a:p>
          <a:endParaRPr lang="en-US"/>
        </a:p>
      </dgm:t>
    </dgm:pt>
    <dgm:pt modelId="{C3DDFD9E-059C-4A68-9286-F286CD4B2BC3}" type="pres">
      <dgm:prSet presAssocID="{138DB855-6320-422F-A3D4-DBAF18DD15F1}" presName="hierChild3" presStyleCnt="0"/>
      <dgm:spPr/>
    </dgm:pt>
    <dgm:pt modelId="{0085001E-2861-4B4B-BA65-FFC7137C1142}" type="pres">
      <dgm:prSet presAssocID="{3983D9E7-A8BC-497F-AA30-C2BB8F300000}" presName="Name19" presStyleLbl="parChTrans1D2" presStyleIdx="1" presStyleCnt="5"/>
      <dgm:spPr/>
      <dgm:t>
        <a:bodyPr/>
        <a:lstStyle/>
        <a:p>
          <a:endParaRPr lang="en-US"/>
        </a:p>
      </dgm:t>
    </dgm:pt>
    <dgm:pt modelId="{4E9E6A71-9CE9-4D8F-AA59-85BAA436F319}" type="pres">
      <dgm:prSet presAssocID="{BB2A20A1-0764-4FB6-A790-87E9513CF010}" presName="Name21" presStyleCnt="0"/>
      <dgm:spPr/>
    </dgm:pt>
    <dgm:pt modelId="{569D4D7A-8B47-42D1-994B-2B95E6A9A72C}" type="pres">
      <dgm:prSet presAssocID="{BB2A20A1-0764-4FB6-A790-87E9513CF010}" presName="level2Shape" presStyleLbl="node2" presStyleIdx="1" presStyleCnt="5" custScaleX="160053" custScaleY="260739"/>
      <dgm:spPr/>
      <dgm:t>
        <a:bodyPr/>
        <a:lstStyle/>
        <a:p>
          <a:endParaRPr lang="en-US"/>
        </a:p>
      </dgm:t>
    </dgm:pt>
    <dgm:pt modelId="{CE7EDBE0-4B81-4534-9CCA-1B5450237974}" type="pres">
      <dgm:prSet presAssocID="{BB2A20A1-0764-4FB6-A790-87E9513CF010}" presName="hierChild3" presStyleCnt="0"/>
      <dgm:spPr/>
    </dgm:pt>
    <dgm:pt modelId="{E89DCC02-59F4-45C3-8144-9D41A29CAB90}" type="pres">
      <dgm:prSet presAssocID="{F68A9EA0-396C-4EEA-944A-BFAA2299822B}" presName="Name19" presStyleLbl="parChTrans1D3" presStyleIdx="1" presStyleCnt="7"/>
      <dgm:spPr/>
      <dgm:t>
        <a:bodyPr/>
        <a:lstStyle/>
        <a:p>
          <a:endParaRPr lang="en-US"/>
        </a:p>
      </dgm:t>
    </dgm:pt>
    <dgm:pt modelId="{EC587B81-70AD-4353-9CE5-FAC47F0B22A2}" type="pres">
      <dgm:prSet presAssocID="{E7C6FF05-2997-454D-A2D5-096CC14D8D12}" presName="Name21" presStyleCnt="0"/>
      <dgm:spPr/>
    </dgm:pt>
    <dgm:pt modelId="{20B6954B-0F09-45D5-8564-1C98FEC9D7AB}" type="pres">
      <dgm:prSet presAssocID="{E7C6FF05-2997-454D-A2D5-096CC14D8D12}" presName="level2Shape" presStyleLbl="node3" presStyleIdx="1" presStyleCnt="7" custScaleX="134104" custScaleY="180158"/>
      <dgm:spPr/>
      <dgm:t>
        <a:bodyPr/>
        <a:lstStyle/>
        <a:p>
          <a:endParaRPr lang="en-US"/>
        </a:p>
      </dgm:t>
    </dgm:pt>
    <dgm:pt modelId="{B06C5DD9-81DC-4EB7-8FB0-6AC62871E67B}" type="pres">
      <dgm:prSet presAssocID="{E7C6FF05-2997-454D-A2D5-096CC14D8D12}" presName="hierChild3" presStyleCnt="0"/>
      <dgm:spPr/>
    </dgm:pt>
    <dgm:pt modelId="{9E65E49F-6BA3-424D-9C96-8D1CF7D7D591}" type="pres">
      <dgm:prSet presAssocID="{1E561736-2328-48C7-9342-64AADEA3FA0A}" presName="Name19" presStyleLbl="parChTrans1D3" presStyleIdx="2" presStyleCnt="7"/>
      <dgm:spPr/>
      <dgm:t>
        <a:bodyPr/>
        <a:lstStyle/>
        <a:p>
          <a:endParaRPr lang="en-US"/>
        </a:p>
      </dgm:t>
    </dgm:pt>
    <dgm:pt modelId="{47FC51DE-7270-485C-91B9-5B70E600B40B}" type="pres">
      <dgm:prSet presAssocID="{AAEBEFF4-5EBF-4526-A58E-43BEAC4395E6}" presName="Name21" presStyleCnt="0"/>
      <dgm:spPr/>
    </dgm:pt>
    <dgm:pt modelId="{B64D41BA-F986-4C9E-B403-CFB8DB18F84F}" type="pres">
      <dgm:prSet presAssocID="{AAEBEFF4-5EBF-4526-A58E-43BEAC4395E6}" presName="level2Shape" presStyleLbl="node3" presStyleIdx="2" presStyleCnt="7" custScaleX="156987" custScaleY="294490"/>
      <dgm:spPr/>
      <dgm:t>
        <a:bodyPr/>
        <a:lstStyle/>
        <a:p>
          <a:endParaRPr lang="en-US"/>
        </a:p>
      </dgm:t>
    </dgm:pt>
    <dgm:pt modelId="{AD440192-7908-46D3-A199-08808B785DE9}" type="pres">
      <dgm:prSet presAssocID="{AAEBEFF4-5EBF-4526-A58E-43BEAC4395E6}" presName="hierChild3" presStyleCnt="0"/>
      <dgm:spPr/>
    </dgm:pt>
    <dgm:pt modelId="{43847447-6A0B-46AA-A897-3D96FE1C66DD}" type="pres">
      <dgm:prSet presAssocID="{9336080C-0218-4546-A869-8555C9F69A07}" presName="Name19" presStyleLbl="parChTrans1D2" presStyleIdx="2" presStyleCnt="5"/>
      <dgm:spPr/>
      <dgm:t>
        <a:bodyPr/>
        <a:lstStyle/>
        <a:p>
          <a:endParaRPr lang="en-US"/>
        </a:p>
      </dgm:t>
    </dgm:pt>
    <dgm:pt modelId="{7B0B9FE7-6417-48ED-B865-52CC9B043F32}" type="pres">
      <dgm:prSet presAssocID="{9B70810A-3268-41E1-90E2-747CC14DD872}" presName="Name21" presStyleCnt="0"/>
      <dgm:spPr/>
    </dgm:pt>
    <dgm:pt modelId="{C80CC5EE-FB12-4CD4-B487-D986AF863E4E}" type="pres">
      <dgm:prSet presAssocID="{9B70810A-3268-41E1-90E2-747CC14DD872}" presName="level2Shape" presStyleLbl="node2" presStyleIdx="2" presStyleCnt="5" custScaleX="132892" custScaleY="215644"/>
      <dgm:spPr/>
      <dgm:t>
        <a:bodyPr/>
        <a:lstStyle/>
        <a:p>
          <a:endParaRPr lang="en-US"/>
        </a:p>
      </dgm:t>
    </dgm:pt>
    <dgm:pt modelId="{B7E4964B-C8BD-4F39-BEEE-A7D68143EADE}" type="pres">
      <dgm:prSet presAssocID="{9B70810A-3268-41E1-90E2-747CC14DD872}" presName="hierChild3" presStyleCnt="0"/>
      <dgm:spPr/>
    </dgm:pt>
    <dgm:pt modelId="{3CF0D90E-7F4A-43AD-8744-5D99080CD5EC}" type="pres">
      <dgm:prSet presAssocID="{E5784744-9FBA-4ABB-8254-9E80FC104456}" presName="Name19" presStyleLbl="parChTrans1D3" presStyleIdx="3" presStyleCnt="7"/>
      <dgm:spPr/>
      <dgm:t>
        <a:bodyPr/>
        <a:lstStyle/>
        <a:p>
          <a:endParaRPr lang="en-US"/>
        </a:p>
      </dgm:t>
    </dgm:pt>
    <dgm:pt modelId="{876520F7-765D-4544-9ADA-459FA78CF9F3}" type="pres">
      <dgm:prSet presAssocID="{A43B0F0F-8D3B-42F8-B038-1A7680BCAC1D}" presName="Name21" presStyleCnt="0"/>
      <dgm:spPr/>
    </dgm:pt>
    <dgm:pt modelId="{F001D873-3644-4362-9312-30E2F5F44443}" type="pres">
      <dgm:prSet presAssocID="{A43B0F0F-8D3B-42F8-B038-1A7680BCAC1D}" presName="level2Shape" presStyleLbl="node3" presStyleIdx="3" presStyleCnt="7" custScaleX="194820" custScaleY="265528"/>
      <dgm:spPr/>
      <dgm:t>
        <a:bodyPr/>
        <a:lstStyle/>
        <a:p>
          <a:endParaRPr lang="en-US"/>
        </a:p>
      </dgm:t>
    </dgm:pt>
    <dgm:pt modelId="{66D0F048-333E-4988-AD44-2A9EDBE25A74}" type="pres">
      <dgm:prSet presAssocID="{A43B0F0F-8D3B-42F8-B038-1A7680BCAC1D}" presName="hierChild3" presStyleCnt="0"/>
      <dgm:spPr/>
    </dgm:pt>
    <dgm:pt modelId="{7895FD45-5983-443E-8565-629E1460C7B7}" type="pres">
      <dgm:prSet presAssocID="{8AEBEB7F-2AC3-4E7C-A711-18ECE24EFDF9}" presName="Name19" presStyleLbl="parChTrans1D3" presStyleIdx="4" presStyleCnt="7"/>
      <dgm:spPr/>
      <dgm:t>
        <a:bodyPr/>
        <a:lstStyle/>
        <a:p>
          <a:endParaRPr lang="en-US"/>
        </a:p>
      </dgm:t>
    </dgm:pt>
    <dgm:pt modelId="{0A1E85C3-0944-4410-AE6B-24F3C56F5AF2}" type="pres">
      <dgm:prSet presAssocID="{B623D4BA-ED2A-4202-859E-DD183EEEFB04}" presName="Name21" presStyleCnt="0"/>
      <dgm:spPr/>
    </dgm:pt>
    <dgm:pt modelId="{8FC0B4CE-390A-40B5-8EA6-F675C8B75491}" type="pres">
      <dgm:prSet presAssocID="{B623D4BA-ED2A-4202-859E-DD183EEEFB04}" presName="level2Shape" presStyleLbl="node3" presStyleIdx="4" presStyleCnt="7" custScaleX="118895" custScaleY="223700"/>
      <dgm:spPr/>
      <dgm:t>
        <a:bodyPr/>
        <a:lstStyle/>
        <a:p>
          <a:endParaRPr lang="en-US"/>
        </a:p>
      </dgm:t>
    </dgm:pt>
    <dgm:pt modelId="{8DBD3595-599E-4DAB-BE85-3A82FEBF60C8}" type="pres">
      <dgm:prSet presAssocID="{B623D4BA-ED2A-4202-859E-DD183EEEFB04}" presName="hierChild3" presStyleCnt="0"/>
      <dgm:spPr/>
    </dgm:pt>
    <dgm:pt modelId="{67EBF05C-535C-43B7-85A1-06F7B37D75B2}" type="pres">
      <dgm:prSet presAssocID="{5336FE9F-E9B9-4BE5-9828-11DE6110330F}" presName="Name19" presStyleLbl="parChTrans1D2" presStyleIdx="3" presStyleCnt="5"/>
      <dgm:spPr/>
      <dgm:t>
        <a:bodyPr/>
        <a:lstStyle/>
        <a:p>
          <a:endParaRPr lang="en-US"/>
        </a:p>
      </dgm:t>
    </dgm:pt>
    <dgm:pt modelId="{11FA4BF9-372C-4190-A799-C85778B4D4F7}" type="pres">
      <dgm:prSet presAssocID="{6CE1B338-0A0E-4932-85AF-B2785AA0E00D}" presName="Name21" presStyleCnt="0"/>
      <dgm:spPr/>
    </dgm:pt>
    <dgm:pt modelId="{1579D14A-76FD-4BB1-A4F7-9A899AA72884}" type="pres">
      <dgm:prSet presAssocID="{6CE1B338-0A0E-4932-85AF-B2785AA0E00D}" presName="level2Shape" presStyleLbl="node2" presStyleIdx="3" presStyleCnt="5" custScaleX="133456" custScaleY="259509"/>
      <dgm:spPr/>
      <dgm:t>
        <a:bodyPr/>
        <a:lstStyle/>
        <a:p>
          <a:endParaRPr lang="en-US"/>
        </a:p>
      </dgm:t>
    </dgm:pt>
    <dgm:pt modelId="{EA1B28F3-38CB-4912-BEF2-2E113A2D01A7}" type="pres">
      <dgm:prSet presAssocID="{6CE1B338-0A0E-4932-85AF-B2785AA0E00D}" presName="hierChild3" presStyleCnt="0"/>
      <dgm:spPr/>
    </dgm:pt>
    <dgm:pt modelId="{E7AE646A-1481-449D-BDA3-C9B17E6E43EC}" type="pres">
      <dgm:prSet presAssocID="{4E013843-01FC-4C31-9BFC-6ED11DC85965}" presName="Name19" presStyleLbl="parChTrans1D3" presStyleIdx="5" presStyleCnt="7"/>
      <dgm:spPr/>
      <dgm:t>
        <a:bodyPr/>
        <a:lstStyle/>
        <a:p>
          <a:endParaRPr lang="en-US"/>
        </a:p>
      </dgm:t>
    </dgm:pt>
    <dgm:pt modelId="{FD797963-32FC-42B0-A0F5-1FEE91DB9113}" type="pres">
      <dgm:prSet presAssocID="{40405B5F-F4AE-4051-9723-954377108BB0}" presName="Name21" presStyleCnt="0"/>
      <dgm:spPr/>
    </dgm:pt>
    <dgm:pt modelId="{62E11380-600D-411C-92A4-4B2EA7D84DE6}" type="pres">
      <dgm:prSet presAssocID="{40405B5F-F4AE-4051-9723-954377108BB0}" presName="level2Shape" presStyleLbl="node3" presStyleIdx="5" presStyleCnt="7" custScaleX="159961" custScaleY="246037"/>
      <dgm:spPr/>
      <dgm:t>
        <a:bodyPr/>
        <a:lstStyle/>
        <a:p>
          <a:endParaRPr lang="en-US"/>
        </a:p>
      </dgm:t>
    </dgm:pt>
    <dgm:pt modelId="{EFCC9939-A497-4097-BBEF-170F5014557B}" type="pres">
      <dgm:prSet presAssocID="{40405B5F-F4AE-4051-9723-954377108BB0}" presName="hierChild3" presStyleCnt="0"/>
      <dgm:spPr/>
    </dgm:pt>
    <dgm:pt modelId="{5DD61DA3-0890-4017-906D-FC5E64F3763D}" type="pres">
      <dgm:prSet presAssocID="{46F23FF0-04CB-4D87-8C80-34FBBE1B2AEA}" presName="Name19" presStyleLbl="parChTrans1D2" presStyleIdx="4" presStyleCnt="5"/>
      <dgm:spPr/>
      <dgm:t>
        <a:bodyPr/>
        <a:lstStyle/>
        <a:p>
          <a:endParaRPr lang="en-US"/>
        </a:p>
      </dgm:t>
    </dgm:pt>
    <dgm:pt modelId="{76245DD6-6B67-4171-BFDF-2C16959D47B3}" type="pres">
      <dgm:prSet presAssocID="{18021B8B-F01E-4A61-9C45-1D6D7ABD8072}" presName="Name21" presStyleCnt="0"/>
      <dgm:spPr/>
    </dgm:pt>
    <dgm:pt modelId="{27AE317B-93C7-48FB-9F15-ED3F7AF5D8E1}" type="pres">
      <dgm:prSet presAssocID="{18021B8B-F01E-4A61-9C45-1D6D7ABD8072}" presName="level2Shape" presStyleLbl="node2" presStyleIdx="4" presStyleCnt="5" custScaleX="160744" custScaleY="347652"/>
      <dgm:spPr/>
      <dgm:t>
        <a:bodyPr/>
        <a:lstStyle/>
        <a:p>
          <a:endParaRPr lang="en-US"/>
        </a:p>
      </dgm:t>
    </dgm:pt>
    <dgm:pt modelId="{E2004AD0-2489-494E-9665-59FB3EEFE9A0}" type="pres">
      <dgm:prSet presAssocID="{18021B8B-F01E-4A61-9C45-1D6D7ABD8072}" presName="hierChild3" presStyleCnt="0"/>
      <dgm:spPr/>
    </dgm:pt>
    <dgm:pt modelId="{0998877C-2FDA-4E77-8926-4CDDFCD8654E}" type="pres">
      <dgm:prSet presAssocID="{5F0AFCB3-4E3A-498B-B526-A31DE6AAA340}" presName="Name19" presStyleLbl="parChTrans1D3" presStyleIdx="6" presStyleCnt="7"/>
      <dgm:spPr/>
      <dgm:t>
        <a:bodyPr/>
        <a:lstStyle/>
        <a:p>
          <a:endParaRPr lang="en-US"/>
        </a:p>
      </dgm:t>
    </dgm:pt>
    <dgm:pt modelId="{F22FD6A3-1FAE-4202-B65F-9C903913F6F8}" type="pres">
      <dgm:prSet presAssocID="{35C61D91-C9A0-4AE7-897C-8AA1E12E52B3}" presName="Name21" presStyleCnt="0"/>
      <dgm:spPr/>
    </dgm:pt>
    <dgm:pt modelId="{0B2AC52A-9C19-4116-BE3B-DD200C94EF95}" type="pres">
      <dgm:prSet presAssocID="{35C61D91-C9A0-4AE7-897C-8AA1E12E52B3}" presName="level2Shape" presStyleLbl="node3" presStyleIdx="6" presStyleCnt="7" custScaleX="139418" custScaleY="322529"/>
      <dgm:spPr/>
      <dgm:t>
        <a:bodyPr/>
        <a:lstStyle/>
        <a:p>
          <a:endParaRPr lang="en-US"/>
        </a:p>
      </dgm:t>
    </dgm:pt>
    <dgm:pt modelId="{6B83EBB2-0A72-47BE-9D87-9F8C8C826DF9}" type="pres">
      <dgm:prSet presAssocID="{35C61D91-C9A0-4AE7-897C-8AA1E12E52B3}" presName="hierChild3" presStyleCnt="0"/>
      <dgm:spPr/>
    </dgm:pt>
    <dgm:pt modelId="{53CCF53A-60BE-4173-8BD5-F7620E4DBC9F}" type="pres">
      <dgm:prSet presAssocID="{F36BD97E-EC0A-426E-B034-FF4C8A9AEB6D}" presName="bgShapesFlow" presStyleCnt="0"/>
      <dgm:spPr/>
    </dgm:pt>
  </dgm:ptLst>
  <dgm:cxnLst>
    <dgm:cxn modelId="{73766626-CCBE-AD4C-B662-AC0C698A3A7A}" type="presOf" srcId="{6CE1B338-0A0E-4932-85AF-B2785AA0E00D}" destId="{1579D14A-76FD-4BB1-A4F7-9A899AA72884}" srcOrd="0" destOrd="0" presId="urn:microsoft.com/office/officeart/2005/8/layout/hierarchy6"/>
    <dgm:cxn modelId="{2ABF2678-9469-C544-A418-79C1034EF1A2}" type="presOf" srcId="{9B70810A-3268-41E1-90E2-747CC14DD872}" destId="{C80CC5EE-FB12-4CD4-B487-D986AF863E4E}" srcOrd="0" destOrd="0" presId="urn:microsoft.com/office/officeart/2005/8/layout/hierarchy6"/>
    <dgm:cxn modelId="{AFD32F15-2110-D743-B152-11901FB0EFB7}" type="presOf" srcId="{1E561736-2328-48C7-9342-64AADEA3FA0A}" destId="{9E65E49F-6BA3-424D-9C96-8D1CF7D7D591}" srcOrd="0" destOrd="0" presId="urn:microsoft.com/office/officeart/2005/8/layout/hierarchy6"/>
    <dgm:cxn modelId="{C86D140B-B15A-42D3-A0CC-C633ECF96104}" srcId="{2B4BA670-A1E4-4E06-925B-FD9583C17AFD}" destId="{9B70810A-3268-41E1-90E2-747CC14DD872}" srcOrd="2" destOrd="0" parTransId="{9336080C-0218-4546-A869-8555C9F69A07}" sibTransId="{8EE045DB-21CF-4045-AB91-691014B47827}"/>
    <dgm:cxn modelId="{B02F2319-3CBD-4711-9706-163A1A8DC3E7}" srcId="{BB2A20A1-0764-4FB6-A790-87E9513CF010}" destId="{AAEBEFF4-5EBF-4526-A58E-43BEAC4395E6}" srcOrd="1" destOrd="0" parTransId="{1E561736-2328-48C7-9342-64AADEA3FA0A}" sibTransId="{B750F980-5450-4B84-AEE8-F1389260835E}"/>
    <dgm:cxn modelId="{ADDE2404-6825-6C46-9401-6C6A29E0E610}" type="presOf" srcId="{5F0AFCB3-4E3A-498B-B526-A31DE6AAA340}" destId="{0998877C-2FDA-4E77-8926-4CDDFCD8654E}" srcOrd="0" destOrd="0" presId="urn:microsoft.com/office/officeart/2005/8/layout/hierarchy6"/>
    <dgm:cxn modelId="{DCAEE7A2-09F0-534E-8367-B345114B9A54}" type="presOf" srcId="{4E013843-01FC-4C31-9BFC-6ED11DC85965}" destId="{E7AE646A-1481-449D-BDA3-C9B17E6E43EC}" srcOrd="0" destOrd="0" presId="urn:microsoft.com/office/officeart/2005/8/layout/hierarchy6"/>
    <dgm:cxn modelId="{846089A2-8D8D-3749-8E26-897702C502E6}" type="presOf" srcId="{18021B8B-F01E-4A61-9C45-1D6D7ABD8072}" destId="{27AE317B-93C7-48FB-9F15-ED3F7AF5D8E1}" srcOrd="0" destOrd="0" presId="urn:microsoft.com/office/officeart/2005/8/layout/hierarchy6"/>
    <dgm:cxn modelId="{EFE8B07B-DCD8-9944-9A33-91C8B489CD61}" type="presOf" srcId="{5336FE9F-E9B9-4BE5-9828-11DE6110330F}" destId="{67EBF05C-535C-43B7-85A1-06F7B37D75B2}" srcOrd="0" destOrd="0" presId="urn:microsoft.com/office/officeart/2005/8/layout/hierarchy6"/>
    <dgm:cxn modelId="{2776B130-FE21-40B2-AA28-6AE659DD1443}" srcId="{6CE1B338-0A0E-4932-85AF-B2785AA0E00D}" destId="{40405B5F-F4AE-4051-9723-954377108BB0}" srcOrd="0" destOrd="0" parTransId="{4E013843-01FC-4C31-9BFC-6ED11DC85965}" sibTransId="{69C9EFD6-A4B5-4446-8D17-90EF4ABB85C9}"/>
    <dgm:cxn modelId="{C7817777-80D4-8E4C-9513-424FC6124E57}" type="presOf" srcId="{B623D4BA-ED2A-4202-859E-DD183EEEFB04}" destId="{8FC0B4CE-390A-40B5-8EA6-F675C8B75491}" srcOrd="0" destOrd="0" presId="urn:microsoft.com/office/officeart/2005/8/layout/hierarchy6"/>
    <dgm:cxn modelId="{F34B2A34-51C5-3F4F-A9F5-C5374173E1F5}" type="presOf" srcId="{C5D77E87-8060-4AE2-8731-1C2F2608FE2B}" destId="{E56A42C8-211A-4BF3-9EEE-1006715FBA70}" srcOrd="0" destOrd="0" presId="urn:microsoft.com/office/officeart/2005/8/layout/hierarchy6"/>
    <dgm:cxn modelId="{9420644E-782A-BA49-B484-AB8B7DBED937}" type="presOf" srcId="{46F23FF0-04CB-4D87-8C80-34FBBE1B2AEA}" destId="{5DD61DA3-0890-4017-906D-FC5E64F3763D}" srcOrd="0" destOrd="0" presId="urn:microsoft.com/office/officeart/2005/8/layout/hierarchy6"/>
    <dgm:cxn modelId="{AB6E2007-4564-48EF-BC5E-8DE9AF93B2EF}" srcId="{F36BD97E-EC0A-426E-B034-FF4C8A9AEB6D}" destId="{2B4BA670-A1E4-4E06-925B-FD9583C17AFD}" srcOrd="0" destOrd="0" parTransId="{A2329931-334D-4AA8-AE1F-1E8EC2282835}" sibTransId="{28401D95-0ADD-40B9-A670-A8094F003AD9}"/>
    <dgm:cxn modelId="{111E94BB-C460-FC42-9293-1BF265C78369}" type="presOf" srcId="{E7C6FF05-2997-454D-A2D5-096CC14D8D12}" destId="{20B6954B-0F09-45D5-8564-1C98FEC9D7AB}" srcOrd="0" destOrd="0" presId="urn:microsoft.com/office/officeart/2005/8/layout/hierarchy6"/>
    <dgm:cxn modelId="{B071DA40-F576-4CE2-B2F1-4DDA18E92C9C}" srcId="{BB2A20A1-0764-4FB6-A790-87E9513CF010}" destId="{E7C6FF05-2997-454D-A2D5-096CC14D8D12}" srcOrd="0" destOrd="0" parTransId="{F68A9EA0-396C-4EEA-944A-BFAA2299822B}" sibTransId="{653394A9-B52C-4299-8CA3-3FD8A99A0A59}"/>
    <dgm:cxn modelId="{A9AFA367-DE6F-452B-A3D4-CFCE0B49E0ED}" srcId="{9B70810A-3268-41E1-90E2-747CC14DD872}" destId="{A43B0F0F-8D3B-42F8-B038-1A7680BCAC1D}" srcOrd="0" destOrd="0" parTransId="{E5784744-9FBA-4ABB-8254-9E80FC104456}" sibTransId="{1BD159EE-7340-40E3-A783-53DBD26D4322}"/>
    <dgm:cxn modelId="{1FB4E1D5-B436-D446-8682-68D807FE4187}" type="presOf" srcId="{BB2A20A1-0764-4FB6-A790-87E9513CF010}" destId="{569D4D7A-8B47-42D1-994B-2B95E6A9A72C}" srcOrd="0" destOrd="0" presId="urn:microsoft.com/office/officeart/2005/8/layout/hierarchy6"/>
    <dgm:cxn modelId="{FC1CC8C6-B166-0A43-9B46-DA466DBBA3EE}" type="presOf" srcId="{07E7FB1C-0620-4FC4-B633-89F172419D71}" destId="{C307E069-A738-40AE-885F-B90EAA12791D}" srcOrd="0" destOrd="0" presId="urn:microsoft.com/office/officeart/2005/8/layout/hierarchy6"/>
    <dgm:cxn modelId="{D2C59D5E-DF8B-1840-B026-947E594687A3}" type="presOf" srcId="{40405B5F-F4AE-4051-9723-954377108BB0}" destId="{62E11380-600D-411C-92A4-4B2EA7D84DE6}" srcOrd="0" destOrd="0" presId="urn:microsoft.com/office/officeart/2005/8/layout/hierarchy6"/>
    <dgm:cxn modelId="{2C4AC0ED-5F25-47B9-99F6-7786EA8E0E81}" srcId="{9B70810A-3268-41E1-90E2-747CC14DD872}" destId="{B623D4BA-ED2A-4202-859E-DD183EEEFB04}" srcOrd="1" destOrd="0" parTransId="{8AEBEB7F-2AC3-4E7C-A711-18ECE24EFDF9}" sibTransId="{16BADA93-121F-4703-8C63-95B5CBC50AF0}"/>
    <dgm:cxn modelId="{4959EA39-686D-A142-AB74-0BDF0BD17A71}" type="presOf" srcId="{F36BD97E-EC0A-426E-B034-FF4C8A9AEB6D}" destId="{1DB39D2A-262C-4D2C-B4CE-F08F85FD284C}" srcOrd="0" destOrd="0" presId="urn:microsoft.com/office/officeart/2005/8/layout/hierarchy6"/>
    <dgm:cxn modelId="{43E0B0ED-E657-F24D-AD82-2FFD743A473A}" type="presOf" srcId="{35C61D91-C9A0-4AE7-897C-8AA1E12E52B3}" destId="{0B2AC52A-9C19-4116-BE3B-DD200C94EF95}" srcOrd="0" destOrd="0" presId="urn:microsoft.com/office/officeart/2005/8/layout/hierarchy6"/>
    <dgm:cxn modelId="{24BC572E-BB1A-8C43-AF82-2856B4A076FC}" type="presOf" srcId="{AAEBEFF4-5EBF-4526-A58E-43BEAC4395E6}" destId="{B64D41BA-F986-4C9E-B403-CFB8DB18F84F}" srcOrd="0" destOrd="0" presId="urn:microsoft.com/office/officeart/2005/8/layout/hierarchy6"/>
    <dgm:cxn modelId="{529BF60F-7D72-D242-B9C8-CABE25C82761}" type="presOf" srcId="{138DB855-6320-422F-A3D4-DBAF18DD15F1}" destId="{2F58826E-884A-4CA3-B85C-D45BB02DDC08}" srcOrd="0" destOrd="0" presId="urn:microsoft.com/office/officeart/2005/8/layout/hierarchy6"/>
    <dgm:cxn modelId="{EBC00A5F-F6F0-4969-B222-AE3A648C642D}" srcId="{2B4BA670-A1E4-4E06-925B-FD9583C17AFD}" destId="{07E7FB1C-0620-4FC4-B633-89F172419D71}" srcOrd="0" destOrd="0" parTransId="{5B20050B-1016-48F4-A7CD-C4B360660178}" sibTransId="{C68E2DDC-3692-4C25-BCFC-29013B0399A0}"/>
    <dgm:cxn modelId="{FBA33F42-EA25-614C-A3EC-2282C795AC92}" type="presOf" srcId="{9336080C-0218-4546-A869-8555C9F69A07}" destId="{43847447-6A0B-46AA-A897-3D96FE1C66DD}" srcOrd="0" destOrd="0" presId="urn:microsoft.com/office/officeart/2005/8/layout/hierarchy6"/>
    <dgm:cxn modelId="{719D434E-3E96-4114-A860-897A1F0D0EB9}" srcId="{2B4BA670-A1E4-4E06-925B-FD9583C17AFD}" destId="{BB2A20A1-0764-4FB6-A790-87E9513CF010}" srcOrd="1" destOrd="0" parTransId="{3983D9E7-A8BC-497F-AA30-C2BB8F300000}" sibTransId="{22B7223E-8F0B-472B-A1A2-505BFE57092D}"/>
    <dgm:cxn modelId="{EF6F9DDA-F9A8-AF4F-89BC-AB2C0BB44930}" type="presOf" srcId="{3983D9E7-A8BC-497F-AA30-C2BB8F300000}" destId="{0085001E-2861-4B4B-BA65-FFC7137C1142}" srcOrd="0" destOrd="0" presId="urn:microsoft.com/office/officeart/2005/8/layout/hierarchy6"/>
    <dgm:cxn modelId="{ABFBA054-1753-EF48-BF2C-1DB06EB0FC26}" type="presOf" srcId="{8AEBEB7F-2AC3-4E7C-A711-18ECE24EFDF9}" destId="{7895FD45-5983-443E-8565-629E1460C7B7}" srcOrd="0" destOrd="0" presId="urn:microsoft.com/office/officeart/2005/8/layout/hierarchy6"/>
    <dgm:cxn modelId="{605D9ABF-52AA-6D4C-8082-F91AC61E197D}" type="presOf" srcId="{E5784744-9FBA-4ABB-8254-9E80FC104456}" destId="{3CF0D90E-7F4A-43AD-8744-5D99080CD5EC}" srcOrd="0" destOrd="0" presId="urn:microsoft.com/office/officeart/2005/8/layout/hierarchy6"/>
    <dgm:cxn modelId="{499E9CC8-7AB5-47BB-A8EB-8689B852C832}" srcId="{18021B8B-F01E-4A61-9C45-1D6D7ABD8072}" destId="{35C61D91-C9A0-4AE7-897C-8AA1E12E52B3}" srcOrd="0" destOrd="0" parTransId="{5F0AFCB3-4E3A-498B-B526-A31DE6AAA340}" sibTransId="{DAEF592A-7C9F-4B57-B6E4-B5620F4A3416}"/>
    <dgm:cxn modelId="{21EB9259-0315-446B-94C7-C2EED166A5B7}" srcId="{2B4BA670-A1E4-4E06-925B-FD9583C17AFD}" destId="{18021B8B-F01E-4A61-9C45-1D6D7ABD8072}" srcOrd="4" destOrd="0" parTransId="{46F23FF0-04CB-4D87-8C80-34FBBE1B2AEA}" sibTransId="{E336974C-3C24-46D7-9E2A-718C87B5D201}"/>
    <dgm:cxn modelId="{C6F36A56-F61F-468F-B320-994D10C2DEEA}" srcId="{2B4BA670-A1E4-4E06-925B-FD9583C17AFD}" destId="{6CE1B338-0A0E-4932-85AF-B2785AA0E00D}" srcOrd="3" destOrd="0" parTransId="{5336FE9F-E9B9-4BE5-9828-11DE6110330F}" sibTransId="{A6671592-A4A9-4335-859C-A5B7424695B4}"/>
    <dgm:cxn modelId="{DA1D04AF-DAC7-E44D-BAD8-5DFCAD7C1843}" type="presOf" srcId="{2B4BA670-A1E4-4E06-925B-FD9583C17AFD}" destId="{E3C6048A-2511-485C-8783-E0335D12B78B}" srcOrd="0" destOrd="0" presId="urn:microsoft.com/office/officeart/2005/8/layout/hierarchy6"/>
    <dgm:cxn modelId="{9BDE82F6-ACE3-AB45-AD51-FFA28199598D}" type="presOf" srcId="{5B20050B-1016-48F4-A7CD-C4B360660178}" destId="{7D63F2EA-538D-440E-BC0E-6695D71DB056}" srcOrd="0" destOrd="0" presId="urn:microsoft.com/office/officeart/2005/8/layout/hierarchy6"/>
    <dgm:cxn modelId="{086288B3-CBCC-1041-A15D-05578D64605B}" type="presOf" srcId="{F68A9EA0-396C-4EEA-944A-BFAA2299822B}" destId="{E89DCC02-59F4-45C3-8144-9D41A29CAB90}" srcOrd="0" destOrd="0" presId="urn:microsoft.com/office/officeart/2005/8/layout/hierarchy6"/>
    <dgm:cxn modelId="{E13A2C6B-CEF1-4A2A-AC98-02CF32DFFDC2}" srcId="{07E7FB1C-0620-4FC4-B633-89F172419D71}" destId="{138DB855-6320-422F-A3D4-DBAF18DD15F1}" srcOrd="0" destOrd="0" parTransId="{C5D77E87-8060-4AE2-8731-1C2F2608FE2B}" sibTransId="{F9CDC3E6-9DB2-4E8C-B4E7-E5DF714A0810}"/>
    <dgm:cxn modelId="{21AAA282-268D-F84F-9C06-530C71B0A006}" type="presOf" srcId="{A43B0F0F-8D3B-42F8-B038-1A7680BCAC1D}" destId="{F001D873-3644-4362-9312-30E2F5F44443}" srcOrd="0" destOrd="0" presId="urn:microsoft.com/office/officeart/2005/8/layout/hierarchy6"/>
    <dgm:cxn modelId="{25A1D3C5-28B3-6149-BFB1-A85EBCF2666E}" type="presParOf" srcId="{1DB39D2A-262C-4D2C-B4CE-F08F85FD284C}" destId="{A2CCBF67-C5F4-44F0-8FF0-9FB47F17E78E}" srcOrd="0" destOrd="0" presId="urn:microsoft.com/office/officeart/2005/8/layout/hierarchy6"/>
    <dgm:cxn modelId="{4613DA15-7C8D-774E-8D9A-392AB2FED72C}" type="presParOf" srcId="{A2CCBF67-C5F4-44F0-8FF0-9FB47F17E78E}" destId="{1C8B9F36-C966-4594-887B-9E2DFB28DBDA}" srcOrd="0" destOrd="0" presId="urn:microsoft.com/office/officeart/2005/8/layout/hierarchy6"/>
    <dgm:cxn modelId="{61B24D45-C1AB-FB4D-A5B0-B4F35EAFF5CF}" type="presParOf" srcId="{1C8B9F36-C966-4594-887B-9E2DFB28DBDA}" destId="{DA900D51-4D90-46CA-9898-A074E4B0A670}" srcOrd="0" destOrd="0" presId="urn:microsoft.com/office/officeart/2005/8/layout/hierarchy6"/>
    <dgm:cxn modelId="{DAD4290A-C3E8-6A4E-83AA-CC22CA29F0D8}" type="presParOf" srcId="{DA900D51-4D90-46CA-9898-A074E4B0A670}" destId="{E3C6048A-2511-485C-8783-E0335D12B78B}" srcOrd="0" destOrd="0" presId="urn:microsoft.com/office/officeart/2005/8/layout/hierarchy6"/>
    <dgm:cxn modelId="{159A6CB6-A0F0-3643-ACE9-757813CDC410}" type="presParOf" srcId="{DA900D51-4D90-46CA-9898-A074E4B0A670}" destId="{9E3ED1C9-6FE0-4701-9520-BC094C148D04}" srcOrd="1" destOrd="0" presId="urn:microsoft.com/office/officeart/2005/8/layout/hierarchy6"/>
    <dgm:cxn modelId="{8B4FB254-CB97-A545-ACBE-B9F36186A1F2}" type="presParOf" srcId="{9E3ED1C9-6FE0-4701-9520-BC094C148D04}" destId="{7D63F2EA-538D-440E-BC0E-6695D71DB056}" srcOrd="0" destOrd="0" presId="urn:microsoft.com/office/officeart/2005/8/layout/hierarchy6"/>
    <dgm:cxn modelId="{4258B461-DE73-384F-9EF1-7DF8711AB6D5}" type="presParOf" srcId="{9E3ED1C9-6FE0-4701-9520-BC094C148D04}" destId="{04872C97-BD95-44FE-9098-5F1984A4B6B1}" srcOrd="1" destOrd="0" presId="urn:microsoft.com/office/officeart/2005/8/layout/hierarchy6"/>
    <dgm:cxn modelId="{56FAEEFF-1674-2C4B-AB6C-D1839F9F7C87}" type="presParOf" srcId="{04872C97-BD95-44FE-9098-5F1984A4B6B1}" destId="{C307E069-A738-40AE-885F-B90EAA12791D}" srcOrd="0" destOrd="0" presId="urn:microsoft.com/office/officeart/2005/8/layout/hierarchy6"/>
    <dgm:cxn modelId="{F870B8CB-A7B9-A849-9A42-A24BE3AEEC40}" type="presParOf" srcId="{04872C97-BD95-44FE-9098-5F1984A4B6B1}" destId="{BAE549DB-3A0C-4025-9DA8-CD7E59541C1B}" srcOrd="1" destOrd="0" presId="urn:microsoft.com/office/officeart/2005/8/layout/hierarchy6"/>
    <dgm:cxn modelId="{9746534E-68EA-2248-B030-399CDE4CEE69}" type="presParOf" srcId="{BAE549DB-3A0C-4025-9DA8-CD7E59541C1B}" destId="{E56A42C8-211A-4BF3-9EEE-1006715FBA70}" srcOrd="0" destOrd="0" presId="urn:microsoft.com/office/officeart/2005/8/layout/hierarchy6"/>
    <dgm:cxn modelId="{D564C50E-8E6D-4547-BE42-863F95629D17}" type="presParOf" srcId="{BAE549DB-3A0C-4025-9DA8-CD7E59541C1B}" destId="{1E966A6C-848C-4497-ABE5-DA04EDBC0FC7}" srcOrd="1" destOrd="0" presId="urn:microsoft.com/office/officeart/2005/8/layout/hierarchy6"/>
    <dgm:cxn modelId="{4A386AAA-2D82-2E4F-92CA-3A3F6FDDC309}" type="presParOf" srcId="{1E966A6C-848C-4497-ABE5-DA04EDBC0FC7}" destId="{2F58826E-884A-4CA3-B85C-D45BB02DDC08}" srcOrd="0" destOrd="0" presId="urn:microsoft.com/office/officeart/2005/8/layout/hierarchy6"/>
    <dgm:cxn modelId="{E3E42613-6C6D-9C4D-9A24-68098BCC6093}" type="presParOf" srcId="{1E966A6C-848C-4497-ABE5-DA04EDBC0FC7}" destId="{C3DDFD9E-059C-4A68-9286-F286CD4B2BC3}" srcOrd="1" destOrd="0" presId="urn:microsoft.com/office/officeart/2005/8/layout/hierarchy6"/>
    <dgm:cxn modelId="{06AD7669-E244-DB40-B96A-9647D0349246}" type="presParOf" srcId="{9E3ED1C9-6FE0-4701-9520-BC094C148D04}" destId="{0085001E-2861-4B4B-BA65-FFC7137C1142}" srcOrd="2" destOrd="0" presId="urn:microsoft.com/office/officeart/2005/8/layout/hierarchy6"/>
    <dgm:cxn modelId="{D1A9B1F8-76C2-F44D-B01A-D9368A02D944}" type="presParOf" srcId="{9E3ED1C9-6FE0-4701-9520-BC094C148D04}" destId="{4E9E6A71-9CE9-4D8F-AA59-85BAA436F319}" srcOrd="3" destOrd="0" presId="urn:microsoft.com/office/officeart/2005/8/layout/hierarchy6"/>
    <dgm:cxn modelId="{FB49C7A3-E4EE-DB41-B745-A68B66FB564E}" type="presParOf" srcId="{4E9E6A71-9CE9-4D8F-AA59-85BAA436F319}" destId="{569D4D7A-8B47-42D1-994B-2B95E6A9A72C}" srcOrd="0" destOrd="0" presId="urn:microsoft.com/office/officeart/2005/8/layout/hierarchy6"/>
    <dgm:cxn modelId="{0B19D670-6EF2-A741-A364-502AFA7C82E5}" type="presParOf" srcId="{4E9E6A71-9CE9-4D8F-AA59-85BAA436F319}" destId="{CE7EDBE0-4B81-4534-9CCA-1B5450237974}" srcOrd="1" destOrd="0" presId="urn:microsoft.com/office/officeart/2005/8/layout/hierarchy6"/>
    <dgm:cxn modelId="{C683D135-363F-234B-8DE2-AF7C1A01354D}" type="presParOf" srcId="{CE7EDBE0-4B81-4534-9CCA-1B5450237974}" destId="{E89DCC02-59F4-45C3-8144-9D41A29CAB90}" srcOrd="0" destOrd="0" presId="urn:microsoft.com/office/officeart/2005/8/layout/hierarchy6"/>
    <dgm:cxn modelId="{B69ACE2B-1E47-084F-B4B3-0B31C07CB747}" type="presParOf" srcId="{CE7EDBE0-4B81-4534-9CCA-1B5450237974}" destId="{EC587B81-70AD-4353-9CE5-FAC47F0B22A2}" srcOrd="1" destOrd="0" presId="urn:microsoft.com/office/officeart/2005/8/layout/hierarchy6"/>
    <dgm:cxn modelId="{178622AC-9F5F-5F4C-9546-EB49D259118F}" type="presParOf" srcId="{EC587B81-70AD-4353-9CE5-FAC47F0B22A2}" destId="{20B6954B-0F09-45D5-8564-1C98FEC9D7AB}" srcOrd="0" destOrd="0" presId="urn:microsoft.com/office/officeart/2005/8/layout/hierarchy6"/>
    <dgm:cxn modelId="{52C8AD69-14D3-5044-9E71-05167CC26A76}" type="presParOf" srcId="{EC587B81-70AD-4353-9CE5-FAC47F0B22A2}" destId="{B06C5DD9-81DC-4EB7-8FB0-6AC62871E67B}" srcOrd="1" destOrd="0" presId="urn:microsoft.com/office/officeart/2005/8/layout/hierarchy6"/>
    <dgm:cxn modelId="{1FFAA8BB-1B3A-5248-B27E-1DE853FE8913}" type="presParOf" srcId="{CE7EDBE0-4B81-4534-9CCA-1B5450237974}" destId="{9E65E49F-6BA3-424D-9C96-8D1CF7D7D591}" srcOrd="2" destOrd="0" presId="urn:microsoft.com/office/officeart/2005/8/layout/hierarchy6"/>
    <dgm:cxn modelId="{964F1B12-5F7A-F247-895E-FA312E962693}" type="presParOf" srcId="{CE7EDBE0-4B81-4534-9CCA-1B5450237974}" destId="{47FC51DE-7270-485C-91B9-5B70E600B40B}" srcOrd="3" destOrd="0" presId="urn:microsoft.com/office/officeart/2005/8/layout/hierarchy6"/>
    <dgm:cxn modelId="{CD147568-F02A-854F-9545-EFB77F1C253D}" type="presParOf" srcId="{47FC51DE-7270-485C-91B9-5B70E600B40B}" destId="{B64D41BA-F986-4C9E-B403-CFB8DB18F84F}" srcOrd="0" destOrd="0" presId="urn:microsoft.com/office/officeart/2005/8/layout/hierarchy6"/>
    <dgm:cxn modelId="{22F504E0-6B4B-8247-AA9F-13222AC0039E}" type="presParOf" srcId="{47FC51DE-7270-485C-91B9-5B70E600B40B}" destId="{AD440192-7908-46D3-A199-08808B785DE9}" srcOrd="1" destOrd="0" presId="urn:microsoft.com/office/officeart/2005/8/layout/hierarchy6"/>
    <dgm:cxn modelId="{F942F637-20A6-F146-97C3-D4A17249D3E2}" type="presParOf" srcId="{9E3ED1C9-6FE0-4701-9520-BC094C148D04}" destId="{43847447-6A0B-46AA-A897-3D96FE1C66DD}" srcOrd="4" destOrd="0" presId="urn:microsoft.com/office/officeart/2005/8/layout/hierarchy6"/>
    <dgm:cxn modelId="{0A8E39F1-24A6-F045-80C7-099FECC3F3E0}" type="presParOf" srcId="{9E3ED1C9-6FE0-4701-9520-BC094C148D04}" destId="{7B0B9FE7-6417-48ED-B865-52CC9B043F32}" srcOrd="5" destOrd="0" presId="urn:microsoft.com/office/officeart/2005/8/layout/hierarchy6"/>
    <dgm:cxn modelId="{8C8A7BD2-3D91-9D44-A774-6CFA56162A54}" type="presParOf" srcId="{7B0B9FE7-6417-48ED-B865-52CC9B043F32}" destId="{C80CC5EE-FB12-4CD4-B487-D986AF863E4E}" srcOrd="0" destOrd="0" presId="urn:microsoft.com/office/officeart/2005/8/layout/hierarchy6"/>
    <dgm:cxn modelId="{EB4893C2-8CB4-6C4A-96CD-71269B48C7B4}" type="presParOf" srcId="{7B0B9FE7-6417-48ED-B865-52CC9B043F32}" destId="{B7E4964B-C8BD-4F39-BEEE-A7D68143EADE}" srcOrd="1" destOrd="0" presId="urn:microsoft.com/office/officeart/2005/8/layout/hierarchy6"/>
    <dgm:cxn modelId="{5EAC2901-BFCF-9F40-B642-A5EA404B4F78}" type="presParOf" srcId="{B7E4964B-C8BD-4F39-BEEE-A7D68143EADE}" destId="{3CF0D90E-7F4A-43AD-8744-5D99080CD5EC}" srcOrd="0" destOrd="0" presId="urn:microsoft.com/office/officeart/2005/8/layout/hierarchy6"/>
    <dgm:cxn modelId="{87189F0B-99E8-984B-B8B6-C4DBA062C2C2}" type="presParOf" srcId="{B7E4964B-C8BD-4F39-BEEE-A7D68143EADE}" destId="{876520F7-765D-4544-9ADA-459FA78CF9F3}" srcOrd="1" destOrd="0" presId="urn:microsoft.com/office/officeart/2005/8/layout/hierarchy6"/>
    <dgm:cxn modelId="{C9A9EAC7-8BC9-2140-AF77-9A1A3C6A6D69}" type="presParOf" srcId="{876520F7-765D-4544-9ADA-459FA78CF9F3}" destId="{F001D873-3644-4362-9312-30E2F5F44443}" srcOrd="0" destOrd="0" presId="urn:microsoft.com/office/officeart/2005/8/layout/hierarchy6"/>
    <dgm:cxn modelId="{7280A413-A5B7-274C-8F62-92CE36FA0BC8}" type="presParOf" srcId="{876520F7-765D-4544-9ADA-459FA78CF9F3}" destId="{66D0F048-333E-4988-AD44-2A9EDBE25A74}" srcOrd="1" destOrd="0" presId="urn:microsoft.com/office/officeart/2005/8/layout/hierarchy6"/>
    <dgm:cxn modelId="{08D78CD0-F6EA-8345-9A3C-495D000C4A8B}" type="presParOf" srcId="{B7E4964B-C8BD-4F39-BEEE-A7D68143EADE}" destId="{7895FD45-5983-443E-8565-629E1460C7B7}" srcOrd="2" destOrd="0" presId="urn:microsoft.com/office/officeart/2005/8/layout/hierarchy6"/>
    <dgm:cxn modelId="{768D322F-BAF2-DD42-BD21-A18E041FF5C1}" type="presParOf" srcId="{B7E4964B-C8BD-4F39-BEEE-A7D68143EADE}" destId="{0A1E85C3-0944-4410-AE6B-24F3C56F5AF2}" srcOrd="3" destOrd="0" presId="urn:microsoft.com/office/officeart/2005/8/layout/hierarchy6"/>
    <dgm:cxn modelId="{34467678-E52E-894F-8A35-4D21706EF91C}" type="presParOf" srcId="{0A1E85C3-0944-4410-AE6B-24F3C56F5AF2}" destId="{8FC0B4CE-390A-40B5-8EA6-F675C8B75491}" srcOrd="0" destOrd="0" presId="urn:microsoft.com/office/officeart/2005/8/layout/hierarchy6"/>
    <dgm:cxn modelId="{CAE97772-552A-5345-A2AF-47460BF21DE8}" type="presParOf" srcId="{0A1E85C3-0944-4410-AE6B-24F3C56F5AF2}" destId="{8DBD3595-599E-4DAB-BE85-3A82FEBF60C8}" srcOrd="1" destOrd="0" presId="urn:microsoft.com/office/officeart/2005/8/layout/hierarchy6"/>
    <dgm:cxn modelId="{3C8E495D-1F66-A445-A39E-B33CC6D1A116}" type="presParOf" srcId="{9E3ED1C9-6FE0-4701-9520-BC094C148D04}" destId="{67EBF05C-535C-43B7-85A1-06F7B37D75B2}" srcOrd="6" destOrd="0" presId="urn:microsoft.com/office/officeart/2005/8/layout/hierarchy6"/>
    <dgm:cxn modelId="{B40B40C0-FC6C-0344-AA70-E1E704D4630D}" type="presParOf" srcId="{9E3ED1C9-6FE0-4701-9520-BC094C148D04}" destId="{11FA4BF9-372C-4190-A799-C85778B4D4F7}" srcOrd="7" destOrd="0" presId="urn:microsoft.com/office/officeart/2005/8/layout/hierarchy6"/>
    <dgm:cxn modelId="{51734EB9-0249-D64C-A890-A0C5BBEF19D2}" type="presParOf" srcId="{11FA4BF9-372C-4190-A799-C85778B4D4F7}" destId="{1579D14A-76FD-4BB1-A4F7-9A899AA72884}" srcOrd="0" destOrd="0" presId="urn:microsoft.com/office/officeart/2005/8/layout/hierarchy6"/>
    <dgm:cxn modelId="{6F5383DB-38D8-8F49-BF03-1FF9D0ABFB52}" type="presParOf" srcId="{11FA4BF9-372C-4190-A799-C85778B4D4F7}" destId="{EA1B28F3-38CB-4912-BEF2-2E113A2D01A7}" srcOrd="1" destOrd="0" presId="urn:microsoft.com/office/officeart/2005/8/layout/hierarchy6"/>
    <dgm:cxn modelId="{FE5787A7-DAD0-C041-A7F9-7D5BD50E2B9E}" type="presParOf" srcId="{EA1B28F3-38CB-4912-BEF2-2E113A2D01A7}" destId="{E7AE646A-1481-449D-BDA3-C9B17E6E43EC}" srcOrd="0" destOrd="0" presId="urn:microsoft.com/office/officeart/2005/8/layout/hierarchy6"/>
    <dgm:cxn modelId="{6BD69339-6185-FF43-80F5-98AB5B6BC13D}" type="presParOf" srcId="{EA1B28F3-38CB-4912-BEF2-2E113A2D01A7}" destId="{FD797963-32FC-42B0-A0F5-1FEE91DB9113}" srcOrd="1" destOrd="0" presId="urn:microsoft.com/office/officeart/2005/8/layout/hierarchy6"/>
    <dgm:cxn modelId="{665D1F72-AA25-2E47-8DDA-7749B4071673}" type="presParOf" srcId="{FD797963-32FC-42B0-A0F5-1FEE91DB9113}" destId="{62E11380-600D-411C-92A4-4B2EA7D84DE6}" srcOrd="0" destOrd="0" presId="urn:microsoft.com/office/officeart/2005/8/layout/hierarchy6"/>
    <dgm:cxn modelId="{EBAA50DF-51FF-4543-9D2F-B6D06B03A6FB}" type="presParOf" srcId="{FD797963-32FC-42B0-A0F5-1FEE91DB9113}" destId="{EFCC9939-A497-4097-BBEF-170F5014557B}" srcOrd="1" destOrd="0" presId="urn:microsoft.com/office/officeart/2005/8/layout/hierarchy6"/>
    <dgm:cxn modelId="{C70D0935-2A7A-5942-BA46-4C0455499C36}" type="presParOf" srcId="{9E3ED1C9-6FE0-4701-9520-BC094C148D04}" destId="{5DD61DA3-0890-4017-906D-FC5E64F3763D}" srcOrd="8" destOrd="0" presId="urn:microsoft.com/office/officeart/2005/8/layout/hierarchy6"/>
    <dgm:cxn modelId="{521B5EDA-1DE7-2948-AAF6-BA6847330C21}" type="presParOf" srcId="{9E3ED1C9-6FE0-4701-9520-BC094C148D04}" destId="{76245DD6-6B67-4171-BFDF-2C16959D47B3}" srcOrd="9" destOrd="0" presId="urn:microsoft.com/office/officeart/2005/8/layout/hierarchy6"/>
    <dgm:cxn modelId="{E3259A36-D52F-D041-902C-2960CADECDC8}" type="presParOf" srcId="{76245DD6-6B67-4171-BFDF-2C16959D47B3}" destId="{27AE317B-93C7-48FB-9F15-ED3F7AF5D8E1}" srcOrd="0" destOrd="0" presId="urn:microsoft.com/office/officeart/2005/8/layout/hierarchy6"/>
    <dgm:cxn modelId="{86BBCEB0-C899-1347-98A8-73F01B999969}" type="presParOf" srcId="{76245DD6-6B67-4171-BFDF-2C16959D47B3}" destId="{E2004AD0-2489-494E-9665-59FB3EEFE9A0}" srcOrd="1" destOrd="0" presId="urn:microsoft.com/office/officeart/2005/8/layout/hierarchy6"/>
    <dgm:cxn modelId="{F7B03F0E-972D-7442-90A8-858277E7A457}" type="presParOf" srcId="{E2004AD0-2489-494E-9665-59FB3EEFE9A0}" destId="{0998877C-2FDA-4E77-8926-4CDDFCD8654E}" srcOrd="0" destOrd="0" presId="urn:microsoft.com/office/officeart/2005/8/layout/hierarchy6"/>
    <dgm:cxn modelId="{D1548C62-E592-404C-B698-B2C87B86EE07}" type="presParOf" srcId="{E2004AD0-2489-494E-9665-59FB3EEFE9A0}" destId="{F22FD6A3-1FAE-4202-B65F-9C903913F6F8}" srcOrd="1" destOrd="0" presId="urn:microsoft.com/office/officeart/2005/8/layout/hierarchy6"/>
    <dgm:cxn modelId="{98DF2F31-F15F-5F45-B1A0-B7C42FE8AC8E}" type="presParOf" srcId="{F22FD6A3-1FAE-4202-B65F-9C903913F6F8}" destId="{0B2AC52A-9C19-4116-BE3B-DD200C94EF95}" srcOrd="0" destOrd="0" presId="urn:microsoft.com/office/officeart/2005/8/layout/hierarchy6"/>
    <dgm:cxn modelId="{8FF92144-3687-EC49-A2AE-BB268D1ECB28}" type="presParOf" srcId="{F22FD6A3-1FAE-4202-B65F-9C903913F6F8}" destId="{6B83EBB2-0A72-47BE-9D87-9F8C8C826DF9}" srcOrd="1" destOrd="0" presId="urn:microsoft.com/office/officeart/2005/8/layout/hierarchy6"/>
    <dgm:cxn modelId="{21D84257-4E91-184F-BFE3-A1797A7E6CD8}" type="presParOf" srcId="{1DB39D2A-262C-4D2C-B4CE-F08F85FD284C}" destId="{53CCF53A-60BE-4173-8BD5-F7620E4DBC9F}" srcOrd="1" destOrd="0" presId="urn:microsoft.com/office/officeart/2005/8/layout/hierarchy6"/>
  </dgm:cxnLst>
  <dgm:bg>
    <a:noFill/>
  </dgm:bg>
  <dgm:whole>
    <a:ln>
      <a:solidFill>
        <a:schemeClr val="bg1"/>
      </a:solidFill>
    </a:ln>
  </dgm:whole>
  <dgm:extLst>
    <a:ext uri="http://schemas.microsoft.com/office/drawing/2008/diagram">
      <dsp:dataModelExt xmlns:dsp="http://schemas.microsoft.com/office/drawing/2008/diagram" relId="rId157"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3EBEFDDE-FC47-4BFA-B3AA-37ADCD65CE27}" type="doc">
      <dgm:prSet loTypeId="urn:microsoft.com/office/officeart/2005/8/layout/hList9" loCatId="list" qsTypeId="urn:microsoft.com/office/officeart/2005/8/quickstyle/simple5" qsCatId="simple" csTypeId="urn:microsoft.com/office/officeart/2005/8/colors/accent1_4" csCatId="accent1" phldr="1"/>
      <dgm:spPr/>
      <dgm:t>
        <a:bodyPr/>
        <a:lstStyle/>
        <a:p>
          <a:endParaRPr lang="en-US"/>
        </a:p>
      </dgm:t>
    </dgm:pt>
    <dgm:pt modelId="{486F952D-24A6-461B-BAEA-53D1661C72D2}">
      <dgm:prSet phldrT="[Text]"/>
      <dgm:spPr/>
      <dgm:t>
        <a:bodyPr/>
        <a:lstStyle/>
        <a:p>
          <a:r>
            <a:rPr lang="en-US"/>
            <a:t>Organization</a:t>
          </a:r>
        </a:p>
      </dgm:t>
    </dgm:pt>
    <dgm:pt modelId="{E3868E02-85FE-4DA4-9D8F-9A6A6933535A}" type="parTrans" cxnId="{7E0E5098-CDB7-41AE-BD94-6841E53000EE}">
      <dgm:prSet/>
      <dgm:spPr/>
      <dgm:t>
        <a:bodyPr/>
        <a:lstStyle/>
        <a:p>
          <a:endParaRPr lang="en-US"/>
        </a:p>
      </dgm:t>
    </dgm:pt>
    <dgm:pt modelId="{329A5099-A900-4242-BF5A-0C10223B8816}" type="sibTrans" cxnId="{7E0E5098-CDB7-41AE-BD94-6841E53000EE}">
      <dgm:prSet/>
      <dgm:spPr/>
      <dgm:t>
        <a:bodyPr/>
        <a:lstStyle/>
        <a:p>
          <a:endParaRPr lang="en-US"/>
        </a:p>
      </dgm:t>
    </dgm:pt>
    <dgm:pt modelId="{1CE90367-BA40-48A0-BE79-7F198EAD9C68}">
      <dgm:prSet phldrT="[Text]" custT="1"/>
      <dgm:spPr/>
      <dgm:t>
        <a:bodyPr/>
        <a:lstStyle/>
        <a:p>
          <a:r>
            <a:rPr lang="en-US" sz="800" b="1"/>
            <a:t>Variants</a:t>
          </a:r>
          <a:r>
            <a:rPr lang="en-US" sz="800"/>
            <a:t> - Keep current centralised structure (WHO executed) or progressively devolve structure (individually or collectively)?</a:t>
          </a:r>
        </a:p>
      </dgm:t>
    </dgm:pt>
    <dgm:pt modelId="{6F0566B0-DBBA-489C-8EFE-43D6ACADD4B0}" type="parTrans" cxnId="{5E92935D-8342-404A-BF59-170B3AB62FED}">
      <dgm:prSet/>
      <dgm:spPr/>
      <dgm:t>
        <a:bodyPr/>
        <a:lstStyle/>
        <a:p>
          <a:endParaRPr lang="en-US"/>
        </a:p>
      </dgm:t>
    </dgm:pt>
    <dgm:pt modelId="{170C51D2-1069-4F22-BFB7-7F3B01295264}" type="sibTrans" cxnId="{5E92935D-8342-404A-BF59-170B3AB62FED}">
      <dgm:prSet/>
      <dgm:spPr/>
      <dgm:t>
        <a:bodyPr/>
        <a:lstStyle/>
        <a:p>
          <a:endParaRPr lang="en-US"/>
        </a:p>
      </dgm:t>
    </dgm:pt>
    <dgm:pt modelId="{710FCBC8-4825-4762-BDE9-35CA7B4B69F7}">
      <dgm:prSet phldrT="[Text]"/>
      <dgm:spPr/>
      <dgm:t>
        <a:bodyPr/>
        <a:lstStyle/>
        <a:p>
          <a:r>
            <a:rPr lang="en-US"/>
            <a:t>Scale</a:t>
          </a:r>
        </a:p>
      </dgm:t>
    </dgm:pt>
    <dgm:pt modelId="{F5AFF84E-0176-44D6-A563-A6125F030AB4}" type="parTrans" cxnId="{0196559C-FD1C-479C-9406-81921F9F4B40}">
      <dgm:prSet/>
      <dgm:spPr/>
      <dgm:t>
        <a:bodyPr/>
        <a:lstStyle/>
        <a:p>
          <a:endParaRPr lang="en-US"/>
        </a:p>
      </dgm:t>
    </dgm:pt>
    <dgm:pt modelId="{6381F1A7-5444-40F1-B9FE-5987940B019F}" type="sibTrans" cxnId="{0196559C-FD1C-479C-9406-81921F9F4B40}">
      <dgm:prSet/>
      <dgm:spPr/>
      <dgm:t>
        <a:bodyPr/>
        <a:lstStyle/>
        <a:p>
          <a:endParaRPr lang="en-US"/>
        </a:p>
      </dgm:t>
    </dgm:pt>
    <dgm:pt modelId="{AF7D615A-C93D-4769-B543-7A177D8A756F}">
      <dgm:prSet phldrT="[Text]" custT="1"/>
      <dgm:spPr/>
      <dgm:t>
        <a:bodyPr/>
        <a:lstStyle/>
        <a:p>
          <a:r>
            <a:rPr lang="en-US" sz="800" b="1"/>
            <a:t>Variants</a:t>
          </a:r>
          <a:r>
            <a:rPr lang="en-US" sz="800"/>
            <a:t> - Continue large scale vector control operations or limit vector control to areas of significant transmission?</a:t>
          </a:r>
        </a:p>
      </dgm:t>
    </dgm:pt>
    <dgm:pt modelId="{D787C603-2C3E-4631-BFF8-9BEEF373FCEA}" type="parTrans" cxnId="{18BF5376-5864-42D4-B947-AAEC9E86EB68}">
      <dgm:prSet/>
      <dgm:spPr/>
      <dgm:t>
        <a:bodyPr/>
        <a:lstStyle/>
        <a:p>
          <a:endParaRPr lang="en-US"/>
        </a:p>
      </dgm:t>
    </dgm:pt>
    <dgm:pt modelId="{F9B18E9D-9C47-4B4A-B25F-CC6CB3C675F6}" type="sibTrans" cxnId="{18BF5376-5864-42D4-B947-AAEC9E86EB68}">
      <dgm:prSet/>
      <dgm:spPr/>
      <dgm:t>
        <a:bodyPr/>
        <a:lstStyle/>
        <a:p>
          <a:endParaRPr lang="en-US"/>
        </a:p>
      </dgm:t>
    </dgm:pt>
    <dgm:pt modelId="{DDEAE71D-FFE2-4729-A2CC-0CE980FBDEEC}">
      <dgm:prSet phldrT="[Text]" custT="1"/>
      <dgm:spPr/>
      <dgm:t>
        <a:bodyPr/>
        <a:lstStyle/>
        <a:p>
          <a:r>
            <a:rPr lang="en-US" sz="800" b="1"/>
            <a:t>Analysis</a:t>
          </a:r>
          <a:r>
            <a:rPr lang="en-US" sz="800"/>
            <a:t> - Needs to have very good ABR and ATP data</a:t>
          </a:r>
        </a:p>
      </dgm:t>
    </dgm:pt>
    <dgm:pt modelId="{0141946D-68ED-42C7-B1F7-41DC22D81045}" type="parTrans" cxnId="{53CEE4DE-1D36-4118-9011-9369644273BF}">
      <dgm:prSet/>
      <dgm:spPr/>
      <dgm:t>
        <a:bodyPr/>
        <a:lstStyle/>
        <a:p>
          <a:endParaRPr lang="en-US"/>
        </a:p>
      </dgm:t>
    </dgm:pt>
    <dgm:pt modelId="{1840D337-02C7-4327-A4D3-E1001D7BD5B0}" type="sibTrans" cxnId="{53CEE4DE-1D36-4118-9011-9369644273BF}">
      <dgm:prSet/>
      <dgm:spPr/>
      <dgm:t>
        <a:bodyPr/>
        <a:lstStyle/>
        <a:p>
          <a:endParaRPr lang="en-US"/>
        </a:p>
      </dgm:t>
    </dgm:pt>
    <dgm:pt modelId="{B8BD70D0-C246-4EF8-857D-05C59EF9E7CC}">
      <dgm:prSet phldrT="[Text]"/>
      <dgm:spPr/>
      <dgm:t>
        <a:bodyPr/>
        <a:lstStyle/>
        <a:p>
          <a:r>
            <a:rPr lang="en-US"/>
            <a:t>Delivery</a:t>
          </a:r>
        </a:p>
      </dgm:t>
    </dgm:pt>
    <dgm:pt modelId="{5118F3C6-76C0-40D5-AFFF-797C88027131}" type="parTrans" cxnId="{1861DA83-98ED-4B9C-85BF-B231A4F995CA}">
      <dgm:prSet/>
      <dgm:spPr/>
      <dgm:t>
        <a:bodyPr/>
        <a:lstStyle/>
        <a:p>
          <a:endParaRPr lang="en-US"/>
        </a:p>
      </dgm:t>
    </dgm:pt>
    <dgm:pt modelId="{B88AAD9E-DF3C-4E92-8C84-757AC946EE6F}" type="sibTrans" cxnId="{1861DA83-98ED-4B9C-85BF-B231A4F995CA}">
      <dgm:prSet/>
      <dgm:spPr/>
      <dgm:t>
        <a:bodyPr/>
        <a:lstStyle/>
        <a:p>
          <a:endParaRPr lang="en-US"/>
        </a:p>
      </dgm:t>
    </dgm:pt>
    <dgm:pt modelId="{6C590A6C-279F-4B60-B38E-712B1A81CC1F}">
      <dgm:prSet phldrT="[Text]" custT="1"/>
      <dgm:spPr/>
      <dgm:t>
        <a:bodyPr/>
        <a:lstStyle/>
        <a:p>
          <a:r>
            <a:rPr lang="en-US" sz="800" b="1"/>
            <a:t>Variants</a:t>
          </a:r>
          <a:r>
            <a:rPr lang="en-US" sz="800"/>
            <a:t>: Focus on vector control and oncho alone, or 'piggyback' medical teams &amp; basic health services to epidemiological monitoring?</a:t>
          </a:r>
        </a:p>
      </dgm:t>
    </dgm:pt>
    <dgm:pt modelId="{AAE5B1F0-97CB-48FD-B2FC-7B6928AAAFB5}" type="parTrans" cxnId="{FEF0013B-3CB2-45C5-BBBA-7ABDEFC940D1}">
      <dgm:prSet/>
      <dgm:spPr/>
      <dgm:t>
        <a:bodyPr/>
        <a:lstStyle/>
        <a:p>
          <a:endParaRPr lang="en-US"/>
        </a:p>
      </dgm:t>
    </dgm:pt>
    <dgm:pt modelId="{8B39948B-1300-4248-A3EF-7023B0C15375}" type="sibTrans" cxnId="{FEF0013B-3CB2-45C5-BBBA-7ABDEFC940D1}">
      <dgm:prSet/>
      <dgm:spPr/>
      <dgm:t>
        <a:bodyPr/>
        <a:lstStyle/>
        <a:p>
          <a:endParaRPr lang="en-US"/>
        </a:p>
      </dgm:t>
    </dgm:pt>
    <dgm:pt modelId="{9EB8174F-E1C5-47BC-B60A-1503ED6766F4}">
      <dgm:prSet phldrT="[Text]" custT="1"/>
      <dgm:spPr/>
      <dgm:t>
        <a:bodyPr/>
        <a:lstStyle/>
        <a:p>
          <a:r>
            <a:rPr lang="en-US" sz="800" b="1"/>
            <a:t>Analysis</a:t>
          </a:r>
          <a:r>
            <a:rPr lang="en-US" sz="800"/>
            <a:t> - Should answer question: Are the extra benefits of piggybacking these health services into epidemiological teams worth the additional costs?</a:t>
          </a:r>
        </a:p>
      </dgm:t>
    </dgm:pt>
    <dgm:pt modelId="{9D540CAA-4A1D-46FC-974F-3789F35651E8}" type="parTrans" cxnId="{2526AD10-AD8E-4899-9B05-282CAF71710D}">
      <dgm:prSet/>
      <dgm:spPr/>
      <dgm:t>
        <a:bodyPr/>
        <a:lstStyle/>
        <a:p>
          <a:endParaRPr lang="en-US"/>
        </a:p>
      </dgm:t>
    </dgm:pt>
    <dgm:pt modelId="{1E3C3B32-E3D5-480F-803A-6DEB03F6C25F}" type="sibTrans" cxnId="{2526AD10-AD8E-4899-9B05-282CAF71710D}">
      <dgm:prSet/>
      <dgm:spPr/>
      <dgm:t>
        <a:bodyPr/>
        <a:lstStyle/>
        <a:p>
          <a:endParaRPr lang="en-US"/>
        </a:p>
      </dgm:t>
    </dgm:pt>
    <dgm:pt modelId="{06A543D7-4E8B-4F82-8C01-7A796CA1490E}">
      <dgm:prSet phldrT="[Text]" custT="1"/>
      <dgm:spPr/>
      <dgm:t>
        <a:bodyPr/>
        <a:lstStyle/>
        <a:p>
          <a:r>
            <a:rPr lang="en-US" sz="800" b="1"/>
            <a:t>Analysis</a:t>
          </a:r>
          <a:r>
            <a:rPr lang="en-US" sz="800"/>
            <a:t> - Needs to consider affordability of oncho control (compared to local government health sector budgets/ priorities); compromises in technical &amp; epidemiological implementation</a:t>
          </a:r>
        </a:p>
      </dgm:t>
    </dgm:pt>
    <dgm:pt modelId="{9C55F0B3-EE74-4E14-9182-9CD994C87796}" type="parTrans" cxnId="{430A7E51-56ED-41D7-A99C-60B30EAF7506}">
      <dgm:prSet/>
      <dgm:spPr/>
      <dgm:t>
        <a:bodyPr/>
        <a:lstStyle/>
        <a:p>
          <a:endParaRPr lang="en-US"/>
        </a:p>
      </dgm:t>
    </dgm:pt>
    <dgm:pt modelId="{6E1DC238-326E-491F-8998-5F65F32AB79F}" type="sibTrans" cxnId="{430A7E51-56ED-41D7-A99C-60B30EAF7506}">
      <dgm:prSet/>
      <dgm:spPr/>
      <dgm:t>
        <a:bodyPr/>
        <a:lstStyle/>
        <a:p>
          <a:endParaRPr lang="en-US"/>
        </a:p>
      </dgm:t>
    </dgm:pt>
    <dgm:pt modelId="{A2F5C6C4-6F89-4C78-AE7F-5574A0B98FDC}" type="pres">
      <dgm:prSet presAssocID="{3EBEFDDE-FC47-4BFA-B3AA-37ADCD65CE27}" presName="list" presStyleCnt="0">
        <dgm:presLayoutVars>
          <dgm:dir/>
          <dgm:animLvl val="lvl"/>
        </dgm:presLayoutVars>
      </dgm:prSet>
      <dgm:spPr/>
      <dgm:t>
        <a:bodyPr/>
        <a:lstStyle/>
        <a:p>
          <a:endParaRPr lang="en-US"/>
        </a:p>
      </dgm:t>
    </dgm:pt>
    <dgm:pt modelId="{F46F068F-B95F-4287-B9E0-359EDC3AAB50}" type="pres">
      <dgm:prSet presAssocID="{486F952D-24A6-461B-BAEA-53D1661C72D2}" presName="posSpace" presStyleCnt="0"/>
      <dgm:spPr/>
    </dgm:pt>
    <dgm:pt modelId="{253596DD-EBE1-455D-B547-FCAC5ED95D8F}" type="pres">
      <dgm:prSet presAssocID="{486F952D-24A6-461B-BAEA-53D1661C72D2}" presName="vertFlow" presStyleCnt="0"/>
      <dgm:spPr/>
    </dgm:pt>
    <dgm:pt modelId="{D24BD8F2-5EC1-49E9-8C81-D21154917102}" type="pres">
      <dgm:prSet presAssocID="{486F952D-24A6-461B-BAEA-53D1661C72D2}" presName="topSpace" presStyleCnt="0"/>
      <dgm:spPr/>
    </dgm:pt>
    <dgm:pt modelId="{FF8AA60F-12DF-451A-B50A-3CB88BE05155}" type="pres">
      <dgm:prSet presAssocID="{486F952D-24A6-461B-BAEA-53D1661C72D2}" presName="firstComp" presStyleCnt="0"/>
      <dgm:spPr/>
    </dgm:pt>
    <dgm:pt modelId="{1F090EDC-46B2-447C-8D84-CD1C03BC3851}" type="pres">
      <dgm:prSet presAssocID="{486F952D-24A6-461B-BAEA-53D1661C72D2}" presName="firstChild" presStyleLbl="bgAccFollowNode1" presStyleIdx="0" presStyleCnt="6"/>
      <dgm:spPr/>
      <dgm:t>
        <a:bodyPr/>
        <a:lstStyle/>
        <a:p>
          <a:endParaRPr lang="en-US"/>
        </a:p>
      </dgm:t>
    </dgm:pt>
    <dgm:pt modelId="{24C9CFFA-DC06-4806-AA12-68CFF82CEB48}" type="pres">
      <dgm:prSet presAssocID="{486F952D-24A6-461B-BAEA-53D1661C72D2}" presName="firstChildTx" presStyleLbl="bgAccFollowNode1" presStyleIdx="0" presStyleCnt="6">
        <dgm:presLayoutVars>
          <dgm:bulletEnabled val="1"/>
        </dgm:presLayoutVars>
      </dgm:prSet>
      <dgm:spPr/>
      <dgm:t>
        <a:bodyPr/>
        <a:lstStyle/>
        <a:p>
          <a:endParaRPr lang="en-US"/>
        </a:p>
      </dgm:t>
    </dgm:pt>
    <dgm:pt modelId="{B7496144-B361-4F7F-8F51-2C66ED497E93}" type="pres">
      <dgm:prSet presAssocID="{06A543D7-4E8B-4F82-8C01-7A796CA1490E}" presName="comp" presStyleCnt="0"/>
      <dgm:spPr/>
    </dgm:pt>
    <dgm:pt modelId="{01B02848-BFD7-4CFF-A871-55800C3DDDE3}" type="pres">
      <dgm:prSet presAssocID="{06A543D7-4E8B-4F82-8C01-7A796CA1490E}" presName="child" presStyleLbl="bgAccFollowNode1" presStyleIdx="1" presStyleCnt="6" custScaleY="178481"/>
      <dgm:spPr/>
      <dgm:t>
        <a:bodyPr/>
        <a:lstStyle/>
        <a:p>
          <a:endParaRPr lang="en-US"/>
        </a:p>
      </dgm:t>
    </dgm:pt>
    <dgm:pt modelId="{6EE2EB53-30CF-41DF-8A4A-FA4B933545FC}" type="pres">
      <dgm:prSet presAssocID="{06A543D7-4E8B-4F82-8C01-7A796CA1490E}" presName="childTx" presStyleLbl="bgAccFollowNode1" presStyleIdx="1" presStyleCnt="6">
        <dgm:presLayoutVars>
          <dgm:bulletEnabled val="1"/>
        </dgm:presLayoutVars>
      </dgm:prSet>
      <dgm:spPr/>
      <dgm:t>
        <a:bodyPr/>
        <a:lstStyle/>
        <a:p>
          <a:endParaRPr lang="en-US"/>
        </a:p>
      </dgm:t>
    </dgm:pt>
    <dgm:pt modelId="{ECB6BF2E-58A3-4ECA-BC91-BA6779971EF3}" type="pres">
      <dgm:prSet presAssocID="{486F952D-24A6-461B-BAEA-53D1661C72D2}" presName="negSpace" presStyleCnt="0"/>
      <dgm:spPr/>
    </dgm:pt>
    <dgm:pt modelId="{674677DA-C446-4A44-9F34-7546B2432FDA}" type="pres">
      <dgm:prSet presAssocID="{486F952D-24A6-461B-BAEA-53D1661C72D2}" presName="circle" presStyleLbl="node1" presStyleIdx="0" presStyleCnt="3"/>
      <dgm:spPr/>
      <dgm:t>
        <a:bodyPr/>
        <a:lstStyle/>
        <a:p>
          <a:endParaRPr lang="en-US"/>
        </a:p>
      </dgm:t>
    </dgm:pt>
    <dgm:pt modelId="{43C1E900-74E7-4941-8AA4-930CD272C911}" type="pres">
      <dgm:prSet presAssocID="{329A5099-A900-4242-BF5A-0C10223B8816}" presName="transSpace" presStyleCnt="0"/>
      <dgm:spPr/>
    </dgm:pt>
    <dgm:pt modelId="{179BF213-F212-4772-A20B-BB76B351027A}" type="pres">
      <dgm:prSet presAssocID="{710FCBC8-4825-4762-BDE9-35CA7B4B69F7}" presName="posSpace" presStyleCnt="0"/>
      <dgm:spPr/>
    </dgm:pt>
    <dgm:pt modelId="{E99A0A48-8CA0-45F5-B4F1-3F8D5108B2E4}" type="pres">
      <dgm:prSet presAssocID="{710FCBC8-4825-4762-BDE9-35CA7B4B69F7}" presName="vertFlow" presStyleCnt="0"/>
      <dgm:spPr/>
    </dgm:pt>
    <dgm:pt modelId="{5236A0CE-8353-4A07-B8CA-CFE04D5172EE}" type="pres">
      <dgm:prSet presAssocID="{710FCBC8-4825-4762-BDE9-35CA7B4B69F7}" presName="topSpace" presStyleCnt="0"/>
      <dgm:spPr/>
    </dgm:pt>
    <dgm:pt modelId="{0853A921-CBF8-4C7F-AA45-D39BBFFCD221}" type="pres">
      <dgm:prSet presAssocID="{710FCBC8-4825-4762-BDE9-35CA7B4B69F7}" presName="firstComp" presStyleCnt="0"/>
      <dgm:spPr/>
    </dgm:pt>
    <dgm:pt modelId="{891AF975-4CDB-4D41-B470-13822AB9626B}" type="pres">
      <dgm:prSet presAssocID="{710FCBC8-4825-4762-BDE9-35CA7B4B69F7}" presName="firstChild" presStyleLbl="bgAccFollowNode1" presStyleIdx="2" presStyleCnt="6" custScaleY="122588"/>
      <dgm:spPr/>
      <dgm:t>
        <a:bodyPr/>
        <a:lstStyle/>
        <a:p>
          <a:endParaRPr lang="en-US"/>
        </a:p>
      </dgm:t>
    </dgm:pt>
    <dgm:pt modelId="{1FA1EBC1-B46C-43D9-81B5-6854C1373A12}" type="pres">
      <dgm:prSet presAssocID="{710FCBC8-4825-4762-BDE9-35CA7B4B69F7}" presName="firstChildTx" presStyleLbl="bgAccFollowNode1" presStyleIdx="2" presStyleCnt="6">
        <dgm:presLayoutVars>
          <dgm:bulletEnabled val="1"/>
        </dgm:presLayoutVars>
      </dgm:prSet>
      <dgm:spPr/>
      <dgm:t>
        <a:bodyPr/>
        <a:lstStyle/>
        <a:p>
          <a:endParaRPr lang="en-US"/>
        </a:p>
      </dgm:t>
    </dgm:pt>
    <dgm:pt modelId="{87BEC84C-BCCA-4B83-A00F-D86DDF2362BE}" type="pres">
      <dgm:prSet presAssocID="{DDEAE71D-FFE2-4729-A2CC-0CE980FBDEEC}" presName="comp" presStyleCnt="0"/>
      <dgm:spPr/>
    </dgm:pt>
    <dgm:pt modelId="{D0CF01D0-0D54-49CE-A6C0-A50C9F8129C7}" type="pres">
      <dgm:prSet presAssocID="{DDEAE71D-FFE2-4729-A2CC-0CE980FBDEEC}" presName="child" presStyleLbl="bgAccFollowNode1" presStyleIdx="3" presStyleCnt="6" custScaleY="54694"/>
      <dgm:spPr/>
      <dgm:t>
        <a:bodyPr/>
        <a:lstStyle/>
        <a:p>
          <a:endParaRPr lang="en-US"/>
        </a:p>
      </dgm:t>
    </dgm:pt>
    <dgm:pt modelId="{4D12492C-BA91-410C-B3FE-9D437CD0CCDD}" type="pres">
      <dgm:prSet presAssocID="{DDEAE71D-FFE2-4729-A2CC-0CE980FBDEEC}" presName="childTx" presStyleLbl="bgAccFollowNode1" presStyleIdx="3" presStyleCnt="6">
        <dgm:presLayoutVars>
          <dgm:bulletEnabled val="1"/>
        </dgm:presLayoutVars>
      </dgm:prSet>
      <dgm:spPr/>
      <dgm:t>
        <a:bodyPr/>
        <a:lstStyle/>
        <a:p>
          <a:endParaRPr lang="en-US"/>
        </a:p>
      </dgm:t>
    </dgm:pt>
    <dgm:pt modelId="{B2057EC7-0D1A-4613-9F12-7AE360ACAD33}" type="pres">
      <dgm:prSet presAssocID="{710FCBC8-4825-4762-BDE9-35CA7B4B69F7}" presName="negSpace" presStyleCnt="0"/>
      <dgm:spPr/>
    </dgm:pt>
    <dgm:pt modelId="{85A1E6B6-230D-434F-8FA6-5266DC3F020C}" type="pres">
      <dgm:prSet presAssocID="{710FCBC8-4825-4762-BDE9-35CA7B4B69F7}" presName="circle" presStyleLbl="node1" presStyleIdx="1" presStyleCnt="3"/>
      <dgm:spPr/>
      <dgm:t>
        <a:bodyPr/>
        <a:lstStyle/>
        <a:p>
          <a:endParaRPr lang="en-US"/>
        </a:p>
      </dgm:t>
    </dgm:pt>
    <dgm:pt modelId="{13403742-57B0-4B5B-92F5-244DC98289EA}" type="pres">
      <dgm:prSet presAssocID="{6381F1A7-5444-40F1-B9FE-5987940B019F}" presName="transSpace" presStyleCnt="0"/>
      <dgm:spPr/>
    </dgm:pt>
    <dgm:pt modelId="{911111C6-FCC8-483D-810D-8A45E75723D8}" type="pres">
      <dgm:prSet presAssocID="{B8BD70D0-C246-4EF8-857D-05C59EF9E7CC}" presName="posSpace" presStyleCnt="0"/>
      <dgm:spPr/>
    </dgm:pt>
    <dgm:pt modelId="{7EC29A58-9A7D-4866-A1A9-E685908351F5}" type="pres">
      <dgm:prSet presAssocID="{B8BD70D0-C246-4EF8-857D-05C59EF9E7CC}" presName="vertFlow" presStyleCnt="0"/>
      <dgm:spPr/>
    </dgm:pt>
    <dgm:pt modelId="{D7157B1E-65C4-46E5-A256-F48BBE80CDF8}" type="pres">
      <dgm:prSet presAssocID="{B8BD70D0-C246-4EF8-857D-05C59EF9E7CC}" presName="topSpace" presStyleCnt="0"/>
      <dgm:spPr/>
    </dgm:pt>
    <dgm:pt modelId="{1D665B3D-D545-4917-A133-B79DD858186E}" type="pres">
      <dgm:prSet presAssocID="{B8BD70D0-C246-4EF8-857D-05C59EF9E7CC}" presName="firstComp" presStyleCnt="0"/>
      <dgm:spPr/>
    </dgm:pt>
    <dgm:pt modelId="{955CC197-A46E-4EEE-8338-9D0932C32D8C}" type="pres">
      <dgm:prSet presAssocID="{B8BD70D0-C246-4EF8-857D-05C59EF9E7CC}" presName="firstChild" presStyleLbl="bgAccFollowNode1" presStyleIdx="4" presStyleCnt="6" custScaleY="129961"/>
      <dgm:spPr/>
      <dgm:t>
        <a:bodyPr/>
        <a:lstStyle/>
        <a:p>
          <a:endParaRPr lang="en-US"/>
        </a:p>
      </dgm:t>
    </dgm:pt>
    <dgm:pt modelId="{F937D608-6973-4D08-86D0-8C8F78D5C430}" type="pres">
      <dgm:prSet presAssocID="{B8BD70D0-C246-4EF8-857D-05C59EF9E7CC}" presName="firstChildTx" presStyleLbl="bgAccFollowNode1" presStyleIdx="4" presStyleCnt="6">
        <dgm:presLayoutVars>
          <dgm:bulletEnabled val="1"/>
        </dgm:presLayoutVars>
      </dgm:prSet>
      <dgm:spPr/>
      <dgm:t>
        <a:bodyPr/>
        <a:lstStyle/>
        <a:p>
          <a:endParaRPr lang="en-US"/>
        </a:p>
      </dgm:t>
    </dgm:pt>
    <dgm:pt modelId="{C5A6576D-B2ED-44E1-8A78-EBFDE0040E68}" type="pres">
      <dgm:prSet presAssocID="{9EB8174F-E1C5-47BC-B60A-1503ED6766F4}" presName="comp" presStyleCnt="0"/>
      <dgm:spPr/>
    </dgm:pt>
    <dgm:pt modelId="{3CA224BF-8567-4124-8E6D-903E98A76856}" type="pres">
      <dgm:prSet presAssocID="{9EB8174F-E1C5-47BC-B60A-1503ED6766F4}" presName="child" presStyleLbl="bgAccFollowNode1" presStyleIdx="5" presStyleCnt="6" custScaleY="141147"/>
      <dgm:spPr/>
      <dgm:t>
        <a:bodyPr/>
        <a:lstStyle/>
        <a:p>
          <a:endParaRPr lang="en-US"/>
        </a:p>
      </dgm:t>
    </dgm:pt>
    <dgm:pt modelId="{68578B8E-14E0-42CC-B9D8-F48B5B7E2E91}" type="pres">
      <dgm:prSet presAssocID="{9EB8174F-E1C5-47BC-B60A-1503ED6766F4}" presName="childTx" presStyleLbl="bgAccFollowNode1" presStyleIdx="5" presStyleCnt="6">
        <dgm:presLayoutVars>
          <dgm:bulletEnabled val="1"/>
        </dgm:presLayoutVars>
      </dgm:prSet>
      <dgm:spPr/>
      <dgm:t>
        <a:bodyPr/>
        <a:lstStyle/>
        <a:p>
          <a:endParaRPr lang="en-US"/>
        </a:p>
      </dgm:t>
    </dgm:pt>
    <dgm:pt modelId="{128DF011-8718-4AFD-8EFD-6C93E07362AE}" type="pres">
      <dgm:prSet presAssocID="{B8BD70D0-C246-4EF8-857D-05C59EF9E7CC}" presName="negSpace" presStyleCnt="0"/>
      <dgm:spPr/>
    </dgm:pt>
    <dgm:pt modelId="{B3DD7354-4001-4FEE-86F1-6B15C15B4043}" type="pres">
      <dgm:prSet presAssocID="{B8BD70D0-C246-4EF8-857D-05C59EF9E7CC}" presName="circle" presStyleLbl="node1" presStyleIdx="2" presStyleCnt="3"/>
      <dgm:spPr/>
      <dgm:t>
        <a:bodyPr/>
        <a:lstStyle/>
        <a:p>
          <a:endParaRPr lang="en-US"/>
        </a:p>
      </dgm:t>
    </dgm:pt>
  </dgm:ptLst>
  <dgm:cxnLst>
    <dgm:cxn modelId="{C84C846A-80B5-0344-A8C4-3AAA03708577}" type="presOf" srcId="{710FCBC8-4825-4762-BDE9-35CA7B4B69F7}" destId="{85A1E6B6-230D-434F-8FA6-5266DC3F020C}" srcOrd="0" destOrd="0" presId="urn:microsoft.com/office/officeart/2005/8/layout/hList9"/>
    <dgm:cxn modelId="{3DA21CF2-926A-1C4F-BD0B-3CB6FEF555A5}" type="presOf" srcId="{9EB8174F-E1C5-47BC-B60A-1503ED6766F4}" destId="{68578B8E-14E0-42CC-B9D8-F48B5B7E2E91}" srcOrd="1" destOrd="0" presId="urn:microsoft.com/office/officeart/2005/8/layout/hList9"/>
    <dgm:cxn modelId="{8E4AA0D7-DE17-1E48-A038-6682E8F5BA97}" type="presOf" srcId="{AF7D615A-C93D-4769-B543-7A177D8A756F}" destId="{1FA1EBC1-B46C-43D9-81B5-6854C1373A12}" srcOrd="1" destOrd="0" presId="urn:microsoft.com/office/officeart/2005/8/layout/hList9"/>
    <dgm:cxn modelId="{FEF0013B-3CB2-45C5-BBBA-7ABDEFC940D1}" srcId="{B8BD70D0-C246-4EF8-857D-05C59EF9E7CC}" destId="{6C590A6C-279F-4B60-B38E-712B1A81CC1F}" srcOrd="0" destOrd="0" parTransId="{AAE5B1F0-97CB-48FD-B2FC-7B6928AAAFB5}" sibTransId="{8B39948B-1300-4248-A3EF-7023B0C15375}"/>
    <dgm:cxn modelId="{7E0E5098-CDB7-41AE-BD94-6841E53000EE}" srcId="{3EBEFDDE-FC47-4BFA-B3AA-37ADCD65CE27}" destId="{486F952D-24A6-461B-BAEA-53D1661C72D2}" srcOrd="0" destOrd="0" parTransId="{E3868E02-85FE-4DA4-9D8F-9A6A6933535A}" sibTransId="{329A5099-A900-4242-BF5A-0C10223B8816}"/>
    <dgm:cxn modelId="{B07673C4-6A34-9B4B-93C5-1E3E59CC0148}" type="presOf" srcId="{9EB8174F-E1C5-47BC-B60A-1503ED6766F4}" destId="{3CA224BF-8567-4124-8E6D-903E98A76856}" srcOrd="0" destOrd="0" presId="urn:microsoft.com/office/officeart/2005/8/layout/hList9"/>
    <dgm:cxn modelId="{A3F106E9-D096-BF4E-B076-95C2E7615A5E}" type="presOf" srcId="{1CE90367-BA40-48A0-BE79-7F198EAD9C68}" destId="{1F090EDC-46B2-447C-8D84-CD1C03BC3851}" srcOrd="0" destOrd="0" presId="urn:microsoft.com/office/officeart/2005/8/layout/hList9"/>
    <dgm:cxn modelId="{0AD1C898-ECD3-FA40-966A-138BCBFF581C}" type="presOf" srcId="{B8BD70D0-C246-4EF8-857D-05C59EF9E7CC}" destId="{B3DD7354-4001-4FEE-86F1-6B15C15B4043}" srcOrd="0" destOrd="0" presId="urn:microsoft.com/office/officeart/2005/8/layout/hList9"/>
    <dgm:cxn modelId="{5E92935D-8342-404A-BF59-170B3AB62FED}" srcId="{486F952D-24A6-461B-BAEA-53D1661C72D2}" destId="{1CE90367-BA40-48A0-BE79-7F198EAD9C68}" srcOrd="0" destOrd="0" parTransId="{6F0566B0-DBBA-489C-8EFE-43D6ACADD4B0}" sibTransId="{170C51D2-1069-4F22-BFB7-7F3B01295264}"/>
    <dgm:cxn modelId="{D6A9A6CC-B1F2-BD42-8B73-ED46944A14C9}" type="presOf" srcId="{DDEAE71D-FFE2-4729-A2CC-0CE980FBDEEC}" destId="{D0CF01D0-0D54-49CE-A6C0-A50C9F8129C7}" srcOrd="0" destOrd="0" presId="urn:microsoft.com/office/officeart/2005/8/layout/hList9"/>
    <dgm:cxn modelId="{0BE99E86-C952-9F45-A75F-3AF6CBF06C03}" type="presOf" srcId="{6C590A6C-279F-4B60-B38E-712B1A81CC1F}" destId="{955CC197-A46E-4EEE-8338-9D0932C32D8C}" srcOrd="0" destOrd="0" presId="urn:microsoft.com/office/officeart/2005/8/layout/hList9"/>
    <dgm:cxn modelId="{07C80820-BEB8-E748-8BF9-D484693170EF}" type="presOf" srcId="{486F952D-24A6-461B-BAEA-53D1661C72D2}" destId="{674677DA-C446-4A44-9F34-7546B2432FDA}" srcOrd="0" destOrd="0" presId="urn:microsoft.com/office/officeart/2005/8/layout/hList9"/>
    <dgm:cxn modelId="{9A6DD287-2695-D148-8ADD-270124B804D0}" type="presOf" srcId="{DDEAE71D-FFE2-4729-A2CC-0CE980FBDEEC}" destId="{4D12492C-BA91-410C-B3FE-9D437CD0CCDD}" srcOrd="1" destOrd="0" presId="urn:microsoft.com/office/officeart/2005/8/layout/hList9"/>
    <dgm:cxn modelId="{998BC755-EDB2-0A46-8EE7-CCA139DCF1EE}" type="presOf" srcId="{06A543D7-4E8B-4F82-8C01-7A796CA1490E}" destId="{01B02848-BFD7-4CFF-A871-55800C3DDDE3}" srcOrd="0" destOrd="0" presId="urn:microsoft.com/office/officeart/2005/8/layout/hList9"/>
    <dgm:cxn modelId="{3D070E8C-FDC9-1B4B-9CD8-DD91FBB80F9F}" type="presOf" srcId="{06A543D7-4E8B-4F82-8C01-7A796CA1490E}" destId="{6EE2EB53-30CF-41DF-8A4A-FA4B933545FC}" srcOrd="1" destOrd="0" presId="urn:microsoft.com/office/officeart/2005/8/layout/hList9"/>
    <dgm:cxn modelId="{1861DA83-98ED-4B9C-85BF-B231A4F995CA}" srcId="{3EBEFDDE-FC47-4BFA-B3AA-37ADCD65CE27}" destId="{B8BD70D0-C246-4EF8-857D-05C59EF9E7CC}" srcOrd="2" destOrd="0" parTransId="{5118F3C6-76C0-40D5-AFFF-797C88027131}" sibTransId="{B88AAD9E-DF3C-4E92-8C84-757AC946EE6F}"/>
    <dgm:cxn modelId="{18BF5376-5864-42D4-B947-AAEC9E86EB68}" srcId="{710FCBC8-4825-4762-BDE9-35CA7B4B69F7}" destId="{AF7D615A-C93D-4769-B543-7A177D8A756F}" srcOrd="0" destOrd="0" parTransId="{D787C603-2C3E-4631-BFF8-9BEEF373FCEA}" sibTransId="{F9B18E9D-9C47-4B4A-B25F-CC6CB3C675F6}"/>
    <dgm:cxn modelId="{430A7E51-56ED-41D7-A99C-60B30EAF7506}" srcId="{486F952D-24A6-461B-BAEA-53D1661C72D2}" destId="{06A543D7-4E8B-4F82-8C01-7A796CA1490E}" srcOrd="1" destOrd="0" parTransId="{9C55F0B3-EE74-4E14-9182-9CD994C87796}" sibTransId="{6E1DC238-326E-491F-8998-5F65F32AB79F}"/>
    <dgm:cxn modelId="{C757280D-4B2A-C045-A996-40823DA3DFA8}" type="presOf" srcId="{6C590A6C-279F-4B60-B38E-712B1A81CC1F}" destId="{F937D608-6973-4D08-86D0-8C8F78D5C430}" srcOrd="1" destOrd="0" presId="urn:microsoft.com/office/officeart/2005/8/layout/hList9"/>
    <dgm:cxn modelId="{943298FF-7F8A-A346-8D68-2189528781A2}" type="presOf" srcId="{AF7D615A-C93D-4769-B543-7A177D8A756F}" destId="{891AF975-4CDB-4D41-B470-13822AB9626B}" srcOrd="0" destOrd="0" presId="urn:microsoft.com/office/officeart/2005/8/layout/hList9"/>
    <dgm:cxn modelId="{53CEE4DE-1D36-4118-9011-9369644273BF}" srcId="{710FCBC8-4825-4762-BDE9-35CA7B4B69F7}" destId="{DDEAE71D-FFE2-4729-A2CC-0CE980FBDEEC}" srcOrd="1" destOrd="0" parTransId="{0141946D-68ED-42C7-B1F7-41DC22D81045}" sibTransId="{1840D337-02C7-4327-A4D3-E1001D7BD5B0}"/>
    <dgm:cxn modelId="{AEC982AB-C7B9-3446-8DA2-62D83AE2312C}" type="presOf" srcId="{1CE90367-BA40-48A0-BE79-7F198EAD9C68}" destId="{24C9CFFA-DC06-4806-AA12-68CFF82CEB48}" srcOrd="1" destOrd="0" presId="urn:microsoft.com/office/officeart/2005/8/layout/hList9"/>
    <dgm:cxn modelId="{0196559C-FD1C-479C-9406-81921F9F4B40}" srcId="{3EBEFDDE-FC47-4BFA-B3AA-37ADCD65CE27}" destId="{710FCBC8-4825-4762-BDE9-35CA7B4B69F7}" srcOrd="1" destOrd="0" parTransId="{F5AFF84E-0176-44D6-A563-A6125F030AB4}" sibTransId="{6381F1A7-5444-40F1-B9FE-5987940B019F}"/>
    <dgm:cxn modelId="{2526AD10-AD8E-4899-9B05-282CAF71710D}" srcId="{B8BD70D0-C246-4EF8-857D-05C59EF9E7CC}" destId="{9EB8174F-E1C5-47BC-B60A-1503ED6766F4}" srcOrd="1" destOrd="0" parTransId="{9D540CAA-4A1D-46FC-974F-3789F35651E8}" sibTransId="{1E3C3B32-E3D5-480F-803A-6DEB03F6C25F}"/>
    <dgm:cxn modelId="{5BEDDC1C-9B91-404D-9F24-21473BB04625}" type="presOf" srcId="{3EBEFDDE-FC47-4BFA-B3AA-37ADCD65CE27}" destId="{A2F5C6C4-6F89-4C78-AE7F-5574A0B98FDC}" srcOrd="0" destOrd="0" presId="urn:microsoft.com/office/officeart/2005/8/layout/hList9"/>
    <dgm:cxn modelId="{984011FC-D6D9-8844-BF32-AE4C8A7D32E6}" type="presParOf" srcId="{A2F5C6C4-6F89-4C78-AE7F-5574A0B98FDC}" destId="{F46F068F-B95F-4287-B9E0-359EDC3AAB50}" srcOrd="0" destOrd="0" presId="urn:microsoft.com/office/officeart/2005/8/layout/hList9"/>
    <dgm:cxn modelId="{6810CEB2-F8A9-F944-B16E-A5BA11E76745}" type="presParOf" srcId="{A2F5C6C4-6F89-4C78-AE7F-5574A0B98FDC}" destId="{253596DD-EBE1-455D-B547-FCAC5ED95D8F}" srcOrd="1" destOrd="0" presId="urn:microsoft.com/office/officeart/2005/8/layout/hList9"/>
    <dgm:cxn modelId="{B8437FE9-26F5-894A-8C0D-9CC54765F7D0}" type="presParOf" srcId="{253596DD-EBE1-455D-B547-FCAC5ED95D8F}" destId="{D24BD8F2-5EC1-49E9-8C81-D21154917102}" srcOrd="0" destOrd="0" presId="urn:microsoft.com/office/officeart/2005/8/layout/hList9"/>
    <dgm:cxn modelId="{65B27305-081C-3A49-9D45-69D44D24F4DD}" type="presParOf" srcId="{253596DD-EBE1-455D-B547-FCAC5ED95D8F}" destId="{FF8AA60F-12DF-451A-B50A-3CB88BE05155}" srcOrd="1" destOrd="0" presId="urn:microsoft.com/office/officeart/2005/8/layout/hList9"/>
    <dgm:cxn modelId="{0772512B-6F6E-D24D-AA51-0B2E06E7E3D1}" type="presParOf" srcId="{FF8AA60F-12DF-451A-B50A-3CB88BE05155}" destId="{1F090EDC-46B2-447C-8D84-CD1C03BC3851}" srcOrd="0" destOrd="0" presId="urn:microsoft.com/office/officeart/2005/8/layout/hList9"/>
    <dgm:cxn modelId="{2959451E-4126-DB4D-A83E-AA0340F9A342}" type="presParOf" srcId="{FF8AA60F-12DF-451A-B50A-3CB88BE05155}" destId="{24C9CFFA-DC06-4806-AA12-68CFF82CEB48}" srcOrd="1" destOrd="0" presId="urn:microsoft.com/office/officeart/2005/8/layout/hList9"/>
    <dgm:cxn modelId="{9C0150F5-F61A-AE4C-82F4-908C477A222F}" type="presParOf" srcId="{253596DD-EBE1-455D-B547-FCAC5ED95D8F}" destId="{B7496144-B361-4F7F-8F51-2C66ED497E93}" srcOrd="2" destOrd="0" presId="urn:microsoft.com/office/officeart/2005/8/layout/hList9"/>
    <dgm:cxn modelId="{C62A8635-CACC-B742-A89E-AA785E6FF186}" type="presParOf" srcId="{B7496144-B361-4F7F-8F51-2C66ED497E93}" destId="{01B02848-BFD7-4CFF-A871-55800C3DDDE3}" srcOrd="0" destOrd="0" presId="urn:microsoft.com/office/officeart/2005/8/layout/hList9"/>
    <dgm:cxn modelId="{7F349D60-8FE6-134F-97DC-F3D4829A34A3}" type="presParOf" srcId="{B7496144-B361-4F7F-8F51-2C66ED497E93}" destId="{6EE2EB53-30CF-41DF-8A4A-FA4B933545FC}" srcOrd="1" destOrd="0" presId="urn:microsoft.com/office/officeart/2005/8/layout/hList9"/>
    <dgm:cxn modelId="{B569A9DC-7692-F548-9652-48E3812DBE9E}" type="presParOf" srcId="{A2F5C6C4-6F89-4C78-AE7F-5574A0B98FDC}" destId="{ECB6BF2E-58A3-4ECA-BC91-BA6779971EF3}" srcOrd="2" destOrd="0" presId="urn:microsoft.com/office/officeart/2005/8/layout/hList9"/>
    <dgm:cxn modelId="{D62D325F-FA6C-FF44-AF0B-1FB4D5572A92}" type="presParOf" srcId="{A2F5C6C4-6F89-4C78-AE7F-5574A0B98FDC}" destId="{674677DA-C446-4A44-9F34-7546B2432FDA}" srcOrd="3" destOrd="0" presId="urn:microsoft.com/office/officeart/2005/8/layout/hList9"/>
    <dgm:cxn modelId="{59851080-4926-DA4C-A77B-D986897145CC}" type="presParOf" srcId="{A2F5C6C4-6F89-4C78-AE7F-5574A0B98FDC}" destId="{43C1E900-74E7-4941-8AA4-930CD272C911}" srcOrd="4" destOrd="0" presId="urn:microsoft.com/office/officeart/2005/8/layout/hList9"/>
    <dgm:cxn modelId="{A83765F8-DB10-704C-851D-D8C0F98C64CF}" type="presParOf" srcId="{A2F5C6C4-6F89-4C78-AE7F-5574A0B98FDC}" destId="{179BF213-F212-4772-A20B-BB76B351027A}" srcOrd="5" destOrd="0" presId="urn:microsoft.com/office/officeart/2005/8/layout/hList9"/>
    <dgm:cxn modelId="{0B9E1FDD-5D30-C54F-AD13-117D095B1A9B}" type="presParOf" srcId="{A2F5C6C4-6F89-4C78-AE7F-5574A0B98FDC}" destId="{E99A0A48-8CA0-45F5-B4F1-3F8D5108B2E4}" srcOrd="6" destOrd="0" presId="urn:microsoft.com/office/officeart/2005/8/layout/hList9"/>
    <dgm:cxn modelId="{46E87CC8-2457-7F4D-B138-39C1699417F8}" type="presParOf" srcId="{E99A0A48-8CA0-45F5-B4F1-3F8D5108B2E4}" destId="{5236A0CE-8353-4A07-B8CA-CFE04D5172EE}" srcOrd="0" destOrd="0" presId="urn:microsoft.com/office/officeart/2005/8/layout/hList9"/>
    <dgm:cxn modelId="{90FB2E79-7DAF-3545-AF98-D059DC282AE0}" type="presParOf" srcId="{E99A0A48-8CA0-45F5-B4F1-3F8D5108B2E4}" destId="{0853A921-CBF8-4C7F-AA45-D39BBFFCD221}" srcOrd="1" destOrd="0" presId="urn:microsoft.com/office/officeart/2005/8/layout/hList9"/>
    <dgm:cxn modelId="{584031AB-43FE-A645-9E11-579E0D3EF214}" type="presParOf" srcId="{0853A921-CBF8-4C7F-AA45-D39BBFFCD221}" destId="{891AF975-4CDB-4D41-B470-13822AB9626B}" srcOrd="0" destOrd="0" presId="urn:microsoft.com/office/officeart/2005/8/layout/hList9"/>
    <dgm:cxn modelId="{34489A4C-6F47-894C-82C7-AC1C90E04BFB}" type="presParOf" srcId="{0853A921-CBF8-4C7F-AA45-D39BBFFCD221}" destId="{1FA1EBC1-B46C-43D9-81B5-6854C1373A12}" srcOrd="1" destOrd="0" presId="urn:microsoft.com/office/officeart/2005/8/layout/hList9"/>
    <dgm:cxn modelId="{8E909637-43FA-474C-BFDA-08255EF3B943}" type="presParOf" srcId="{E99A0A48-8CA0-45F5-B4F1-3F8D5108B2E4}" destId="{87BEC84C-BCCA-4B83-A00F-D86DDF2362BE}" srcOrd="2" destOrd="0" presId="urn:microsoft.com/office/officeart/2005/8/layout/hList9"/>
    <dgm:cxn modelId="{16DF3503-0188-6E48-8927-FD01F21EFBC3}" type="presParOf" srcId="{87BEC84C-BCCA-4B83-A00F-D86DDF2362BE}" destId="{D0CF01D0-0D54-49CE-A6C0-A50C9F8129C7}" srcOrd="0" destOrd="0" presId="urn:microsoft.com/office/officeart/2005/8/layout/hList9"/>
    <dgm:cxn modelId="{0552408B-14DE-ED47-BEE3-2DD7F18D94E7}" type="presParOf" srcId="{87BEC84C-BCCA-4B83-A00F-D86DDF2362BE}" destId="{4D12492C-BA91-410C-B3FE-9D437CD0CCDD}" srcOrd="1" destOrd="0" presId="urn:microsoft.com/office/officeart/2005/8/layout/hList9"/>
    <dgm:cxn modelId="{F1EF9DA7-D388-B644-BB23-A45B51A362FA}" type="presParOf" srcId="{A2F5C6C4-6F89-4C78-AE7F-5574A0B98FDC}" destId="{B2057EC7-0D1A-4613-9F12-7AE360ACAD33}" srcOrd="7" destOrd="0" presId="urn:microsoft.com/office/officeart/2005/8/layout/hList9"/>
    <dgm:cxn modelId="{BF55C1C7-A3F1-4644-BB56-58A04219B86E}" type="presParOf" srcId="{A2F5C6C4-6F89-4C78-AE7F-5574A0B98FDC}" destId="{85A1E6B6-230D-434F-8FA6-5266DC3F020C}" srcOrd="8" destOrd="0" presId="urn:microsoft.com/office/officeart/2005/8/layout/hList9"/>
    <dgm:cxn modelId="{EEBEE9D1-5525-4941-9FFB-977C804BDEDA}" type="presParOf" srcId="{A2F5C6C4-6F89-4C78-AE7F-5574A0B98FDC}" destId="{13403742-57B0-4B5B-92F5-244DC98289EA}" srcOrd="9" destOrd="0" presId="urn:microsoft.com/office/officeart/2005/8/layout/hList9"/>
    <dgm:cxn modelId="{45922F91-68C8-2044-B290-80A5A3BA7D06}" type="presParOf" srcId="{A2F5C6C4-6F89-4C78-AE7F-5574A0B98FDC}" destId="{911111C6-FCC8-483D-810D-8A45E75723D8}" srcOrd="10" destOrd="0" presId="urn:microsoft.com/office/officeart/2005/8/layout/hList9"/>
    <dgm:cxn modelId="{EFD562B1-B350-5047-8EDD-3E57F68A40D3}" type="presParOf" srcId="{A2F5C6C4-6F89-4C78-AE7F-5574A0B98FDC}" destId="{7EC29A58-9A7D-4866-A1A9-E685908351F5}" srcOrd="11" destOrd="0" presId="urn:microsoft.com/office/officeart/2005/8/layout/hList9"/>
    <dgm:cxn modelId="{DD1F06D3-D09C-6B43-AC85-223690463E5D}" type="presParOf" srcId="{7EC29A58-9A7D-4866-A1A9-E685908351F5}" destId="{D7157B1E-65C4-46E5-A256-F48BBE80CDF8}" srcOrd="0" destOrd="0" presId="urn:microsoft.com/office/officeart/2005/8/layout/hList9"/>
    <dgm:cxn modelId="{F11C9B0E-DD3F-DF43-BDD7-CFA3A9F7E5C5}" type="presParOf" srcId="{7EC29A58-9A7D-4866-A1A9-E685908351F5}" destId="{1D665B3D-D545-4917-A133-B79DD858186E}" srcOrd="1" destOrd="0" presId="urn:microsoft.com/office/officeart/2005/8/layout/hList9"/>
    <dgm:cxn modelId="{3AB74722-8F55-D145-B873-B39EFDD6B392}" type="presParOf" srcId="{1D665B3D-D545-4917-A133-B79DD858186E}" destId="{955CC197-A46E-4EEE-8338-9D0932C32D8C}" srcOrd="0" destOrd="0" presId="urn:microsoft.com/office/officeart/2005/8/layout/hList9"/>
    <dgm:cxn modelId="{A4D46078-2DF5-9F42-9801-6E7517664EDB}" type="presParOf" srcId="{1D665B3D-D545-4917-A133-B79DD858186E}" destId="{F937D608-6973-4D08-86D0-8C8F78D5C430}" srcOrd="1" destOrd="0" presId="urn:microsoft.com/office/officeart/2005/8/layout/hList9"/>
    <dgm:cxn modelId="{6CBCE465-7263-2140-A731-CF6841970DB3}" type="presParOf" srcId="{7EC29A58-9A7D-4866-A1A9-E685908351F5}" destId="{C5A6576D-B2ED-44E1-8A78-EBFDE0040E68}" srcOrd="2" destOrd="0" presId="urn:microsoft.com/office/officeart/2005/8/layout/hList9"/>
    <dgm:cxn modelId="{7E6E8962-00A3-3C4A-A116-56CE3CFF52C0}" type="presParOf" srcId="{C5A6576D-B2ED-44E1-8A78-EBFDE0040E68}" destId="{3CA224BF-8567-4124-8E6D-903E98A76856}" srcOrd="0" destOrd="0" presId="urn:microsoft.com/office/officeart/2005/8/layout/hList9"/>
    <dgm:cxn modelId="{0C15E5BC-89F7-AE4A-805C-EA53EB187D01}" type="presParOf" srcId="{C5A6576D-B2ED-44E1-8A78-EBFDE0040E68}" destId="{68578B8E-14E0-42CC-B9D8-F48B5B7E2E91}" srcOrd="1" destOrd="0" presId="urn:microsoft.com/office/officeart/2005/8/layout/hList9"/>
    <dgm:cxn modelId="{49F77D5F-FC88-C741-8762-CE7714CD59BD}" type="presParOf" srcId="{A2F5C6C4-6F89-4C78-AE7F-5574A0B98FDC}" destId="{128DF011-8718-4AFD-8EFD-6C93E07362AE}" srcOrd="12" destOrd="0" presId="urn:microsoft.com/office/officeart/2005/8/layout/hList9"/>
    <dgm:cxn modelId="{A758ACD5-0F52-6445-A7A5-BDA631B4B0D4}" type="presParOf" srcId="{A2F5C6C4-6F89-4C78-AE7F-5574A0B98FDC}" destId="{B3DD7354-4001-4FEE-86F1-6B15C15B4043}" srcOrd="13" destOrd="0" presId="urn:microsoft.com/office/officeart/2005/8/layout/hList9"/>
  </dgm:cxnLst>
  <dgm:bg/>
  <dgm:whole/>
  <dgm:extLst>
    <a:ext uri="http://schemas.microsoft.com/office/drawing/2008/diagram">
      <dsp:dataModelExt xmlns:dsp="http://schemas.microsoft.com/office/drawing/2008/diagram" relId="rId16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A8B8C94-BA95-415C-938A-86AB1881D650}">
      <dsp:nvSpPr>
        <dsp:cNvPr id="0" name=""/>
        <dsp:cNvSpPr/>
      </dsp:nvSpPr>
      <dsp:spPr>
        <a:xfrm>
          <a:off x="0" y="218192"/>
          <a:ext cx="4603805" cy="4851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57306" tIns="145796" rIns="357306" bIns="64008" numCol="1" spcCol="1270" anchor="t" anchorCtr="0">
          <a:noAutofit/>
        </a:bodyPr>
        <a:lstStyle/>
        <a:p>
          <a:pPr marL="57150" lvl="1" indent="-57150" algn="l" defTabSz="400050">
            <a:lnSpc>
              <a:spcPct val="90000"/>
            </a:lnSpc>
            <a:spcBef>
              <a:spcPct val="0"/>
            </a:spcBef>
            <a:spcAft>
              <a:spcPct val="15000"/>
            </a:spcAft>
            <a:buChar char="••"/>
          </a:pPr>
          <a:r>
            <a:rPr lang="en-US" sz="900" kern="1200">
              <a:latin typeface="+mj-lt"/>
            </a:rPr>
            <a:t>What frameworks can be used to study global health programme success?</a:t>
          </a:r>
        </a:p>
        <a:p>
          <a:pPr marL="57150" lvl="1" indent="-57150" algn="l" defTabSz="400050">
            <a:lnSpc>
              <a:spcPct val="90000"/>
            </a:lnSpc>
            <a:spcBef>
              <a:spcPct val="0"/>
            </a:spcBef>
            <a:spcAft>
              <a:spcPct val="15000"/>
            </a:spcAft>
            <a:buChar char="••"/>
          </a:pPr>
          <a:r>
            <a:rPr lang="en-US" sz="900" kern="1200">
              <a:latin typeface="+mj-lt"/>
            </a:rPr>
            <a:t>What methodologies does the dissertation use, and what are their limitations?</a:t>
          </a:r>
        </a:p>
      </dsp:txBody>
      <dsp:txXfrm>
        <a:off x="0" y="218192"/>
        <a:ext cx="4603805" cy="485100"/>
      </dsp:txXfrm>
    </dsp:sp>
    <dsp:sp modelId="{CA0624A3-D1BF-478E-B8E2-624F4B2F3A7A}">
      <dsp:nvSpPr>
        <dsp:cNvPr id="0" name=""/>
        <dsp:cNvSpPr/>
      </dsp:nvSpPr>
      <dsp:spPr>
        <a:xfrm>
          <a:off x="230190" y="114872"/>
          <a:ext cx="3222663" cy="20664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1809" tIns="0" rIns="121809" bIns="0" numCol="1" spcCol="1270" anchor="ctr" anchorCtr="0">
          <a:noAutofit/>
        </a:bodyPr>
        <a:lstStyle/>
        <a:p>
          <a:pPr lvl="0" algn="l" defTabSz="400050">
            <a:lnSpc>
              <a:spcPct val="90000"/>
            </a:lnSpc>
            <a:spcBef>
              <a:spcPct val="0"/>
            </a:spcBef>
            <a:spcAft>
              <a:spcPct val="35000"/>
            </a:spcAft>
          </a:pPr>
          <a:r>
            <a:rPr lang="en-US" sz="900" b="1" kern="1200">
              <a:latin typeface="+mj-lt"/>
            </a:rPr>
            <a:t>Chapter 2</a:t>
          </a:r>
        </a:p>
      </dsp:txBody>
      <dsp:txXfrm>
        <a:off x="240277" y="124959"/>
        <a:ext cx="3202489" cy="186466"/>
      </dsp:txXfrm>
    </dsp:sp>
    <dsp:sp modelId="{74352BAA-DF13-422A-957F-A4DC23E4F200}">
      <dsp:nvSpPr>
        <dsp:cNvPr id="0" name=""/>
        <dsp:cNvSpPr/>
      </dsp:nvSpPr>
      <dsp:spPr>
        <a:xfrm>
          <a:off x="0" y="844412"/>
          <a:ext cx="4603805" cy="46305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57306" tIns="145796" rIns="357306" bIns="64008" numCol="1" spcCol="1270" anchor="t" anchorCtr="0">
          <a:noAutofit/>
        </a:bodyPr>
        <a:lstStyle/>
        <a:p>
          <a:pPr marL="57150" lvl="1" indent="-57150" algn="l" defTabSz="400050">
            <a:lnSpc>
              <a:spcPct val="90000"/>
            </a:lnSpc>
            <a:spcBef>
              <a:spcPct val="0"/>
            </a:spcBef>
            <a:spcAft>
              <a:spcPct val="15000"/>
            </a:spcAft>
            <a:buChar char="••"/>
          </a:pPr>
          <a:r>
            <a:rPr lang="en-US" sz="900" kern="1200">
              <a:latin typeface="+mj-lt"/>
            </a:rPr>
            <a:t>When did the OCP become a success in the eyes of the Bank and global health community, and in what specific ways is it seen as a success?</a:t>
          </a:r>
        </a:p>
      </dsp:txBody>
      <dsp:txXfrm>
        <a:off x="0" y="844412"/>
        <a:ext cx="4603805" cy="463050"/>
      </dsp:txXfrm>
    </dsp:sp>
    <dsp:sp modelId="{5BB30BD0-605F-4E03-B6F5-57DFA7E876E3}">
      <dsp:nvSpPr>
        <dsp:cNvPr id="0" name=""/>
        <dsp:cNvSpPr/>
      </dsp:nvSpPr>
      <dsp:spPr>
        <a:xfrm>
          <a:off x="230190" y="741092"/>
          <a:ext cx="3222663" cy="20664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1809" tIns="0" rIns="121809" bIns="0" numCol="1" spcCol="1270" anchor="ctr" anchorCtr="0">
          <a:noAutofit/>
        </a:bodyPr>
        <a:lstStyle/>
        <a:p>
          <a:pPr lvl="0" algn="l" defTabSz="400050">
            <a:lnSpc>
              <a:spcPct val="90000"/>
            </a:lnSpc>
            <a:spcBef>
              <a:spcPct val="0"/>
            </a:spcBef>
            <a:spcAft>
              <a:spcPct val="35000"/>
            </a:spcAft>
          </a:pPr>
          <a:r>
            <a:rPr lang="en-US" sz="900" b="1" kern="1200">
              <a:latin typeface="+mj-lt"/>
            </a:rPr>
            <a:t>Chapter 3</a:t>
          </a:r>
        </a:p>
      </dsp:txBody>
      <dsp:txXfrm>
        <a:off x="240277" y="751179"/>
        <a:ext cx="3202489" cy="186466"/>
      </dsp:txXfrm>
    </dsp:sp>
    <dsp:sp modelId="{3439561B-1822-4DE3-8FA2-5DD979AC4674}">
      <dsp:nvSpPr>
        <dsp:cNvPr id="0" name=""/>
        <dsp:cNvSpPr/>
      </dsp:nvSpPr>
      <dsp:spPr>
        <a:xfrm>
          <a:off x="0" y="1448582"/>
          <a:ext cx="4603805" cy="336262"/>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57306" tIns="145796" rIns="357306" bIns="64008" numCol="1" spcCol="1270" anchor="t" anchorCtr="0">
          <a:noAutofit/>
        </a:bodyPr>
        <a:lstStyle/>
        <a:p>
          <a:pPr marL="57150" lvl="1" indent="-57150" algn="l" defTabSz="400050">
            <a:lnSpc>
              <a:spcPct val="90000"/>
            </a:lnSpc>
            <a:spcBef>
              <a:spcPct val="0"/>
            </a:spcBef>
            <a:spcAft>
              <a:spcPct val="15000"/>
            </a:spcAft>
            <a:buChar char="••"/>
          </a:pPr>
          <a:r>
            <a:rPr lang="en-US" sz="900" kern="1200">
              <a:latin typeface="+mj-lt"/>
            </a:rPr>
            <a:t>What objectives and metrics were used to justify the OCP to donors?</a:t>
          </a:r>
        </a:p>
      </dsp:txBody>
      <dsp:txXfrm>
        <a:off x="0" y="1448582"/>
        <a:ext cx="4603805" cy="336262"/>
      </dsp:txXfrm>
    </dsp:sp>
    <dsp:sp modelId="{F17B1E1E-FAFE-45A0-A3E3-2BD2CD5147F8}">
      <dsp:nvSpPr>
        <dsp:cNvPr id="0" name=""/>
        <dsp:cNvSpPr/>
      </dsp:nvSpPr>
      <dsp:spPr>
        <a:xfrm>
          <a:off x="230190" y="1345262"/>
          <a:ext cx="3222663" cy="20664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1809" tIns="0" rIns="121809" bIns="0" numCol="1" spcCol="1270" anchor="ctr" anchorCtr="0">
          <a:noAutofit/>
        </a:bodyPr>
        <a:lstStyle/>
        <a:p>
          <a:pPr lvl="0" algn="l" defTabSz="400050">
            <a:lnSpc>
              <a:spcPct val="90000"/>
            </a:lnSpc>
            <a:spcBef>
              <a:spcPct val="0"/>
            </a:spcBef>
            <a:spcAft>
              <a:spcPct val="35000"/>
            </a:spcAft>
          </a:pPr>
          <a:r>
            <a:rPr lang="en-US" sz="900" b="1" kern="1200">
              <a:latin typeface="+mj-lt"/>
            </a:rPr>
            <a:t>Chapter 4</a:t>
          </a:r>
        </a:p>
      </dsp:txBody>
      <dsp:txXfrm>
        <a:off x="240277" y="1355349"/>
        <a:ext cx="3202489" cy="186466"/>
      </dsp:txXfrm>
    </dsp:sp>
    <dsp:sp modelId="{325F4320-DC44-4A88-A058-938794C50DA5}">
      <dsp:nvSpPr>
        <dsp:cNvPr id="0" name=""/>
        <dsp:cNvSpPr/>
      </dsp:nvSpPr>
      <dsp:spPr>
        <a:xfrm>
          <a:off x="0" y="1925965"/>
          <a:ext cx="4603805" cy="336262"/>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57306" tIns="145796" rIns="357306" bIns="64008" numCol="1" spcCol="1270" anchor="t" anchorCtr="0">
          <a:noAutofit/>
        </a:bodyPr>
        <a:lstStyle/>
        <a:p>
          <a:pPr marL="57150" lvl="1" indent="-57150" algn="l" defTabSz="400050">
            <a:lnSpc>
              <a:spcPct val="90000"/>
            </a:lnSpc>
            <a:spcBef>
              <a:spcPct val="0"/>
            </a:spcBef>
            <a:spcAft>
              <a:spcPct val="15000"/>
            </a:spcAft>
            <a:buChar char="••"/>
          </a:pPr>
          <a:r>
            <a:rPr lang="en-US" sz="900" kern="1200">
              <a:latin typeface="+mj-lt"/>
            </a:rPr>
            <a:t>How did the Bank govern the OCP's finances?</a:t>
          </a:r>
        </a:p>
      </dsp:txBody>
      <dsp:txXfrm>
        <a:off x="0" y="1925965"/>
        <a:ext cx="4603805" cy="336262"/>
      </dsp:txXfrm>
    </dsp:sp>
    <dsp:sp modelId="{3F23C9DF-1522-4E49-A153-312720E67AC4}">
      <dsp:nvSpPr>
        <dsp:cNvPr id="0" name=""/>
        <dsp:cNvSpPr/>
      </dsp:nvSpPr>
      <dsp:spPr>
        <a:xfrm>
          <a:off x="230190" y="1822645"/>
          <a:ext cx="3222663" cy="20664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1809" tIns="0" rIns="121809" bIns="0" numCol="1" spcCol="1270" anchor="ctr" anchorCtr="0">
          <a:noAutofit/>
        </a:bodyPr>
        <a:lstStyle/>
        <a:p>
          <a:pPr lvl="0" algn="l" defTabSz="400050">
            <a:lnSpc>
              <a:spcPct val="90000"/>
            </a:lnSpc>
            <a:spcBef>
              <a:spcPct val="0"/>
            </a:spcBef>
            <a:spcAft>
              <a:spcPct val="35000"/>
            </a:spcAft>
          </a:pPr>
          <a:r>
            <a:rPr lang="en-US" sz="900" b="1" kern="1200">
              <a:latin typeface="+mj-lt"/>
            </a:rPr>
            <a:t>Chapter 5</a:t>
          </a:r>
        </a:p>
      </dsp:txBody>
      <dsp:txXfrm>
        <a:off x="240277" y="1832732"/>
        <a:ext cx="3202489" cy="186466"/>
      </dsp:txXfrm>
    </dsp:sp>
    <dsp:sp modelId="{237B25B1-0EFC-42C6-8D03-79445237131A}">
      <dsp:nvSpPr>
        <dsp:cNvPr id="0" name=""/>
        <dsp:cNvSpPr/>
      </dsp:nvSpPr>
      <dsp:spPr>
        <a:xfrm>
          <a:off x="0" y="2403347"/>
          <a:ext cx="4603805" cy="336262"/>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57306" tIns="145796" rIns="357306" bIns="64008" numCol="1" spcCol="1270" anchor="t" anchorCtr="0">
          <a:noAutofit/>
        </a:bodyPr>
        <a:lstStyle/>
        <a:p>
          <a:pPr marL="57150" lvl="1" indent="-57150" algn="l" defTabSz="400050">
            <a:lnSpc>
              <a:spcPct val="90000"/>
            </a:lnSpc>
            <a:spcBef>
              <a:spcPct val="0"/>
            </a:spcBef>
            <a:spcAft>
              <a:spcPct val="15000"/>
            </a:spcAft>
            <a:buChar char="••"/>
          </a:pPr>
          <a:r>
            <a:rPr lang="en-US" sz="900" kern="1200">
              <a:latin typeface="+mj-lt"/>
            </a:rPr>
            <a:t>How did sponsoring agencies cooperate during the programme?</a:t>
          </a:r>
        </a:p>
      </dsp:txBody>
      <dsp:txXfrm>
        <a:off x="0" y="2403347"/>
        <a:ext cx="4603805" cy="336262"/>
      </dsp:txXfrm>
    </dsp:sp>
    <dsp:sp modelId="{140B4EBE-9AC5-44B0-855B-947C87B5FF63}">
      <dsp:nvSpPr>
        <dsp:cNvPr id="0" name=""/>
        <dsp:cNvSpPr/>
      </dsp:nvSpPr>
      <dsp:spPr>
        <a:xfrm>
          <a:off x="230190" y="2300027"/>
          <a:ext cx="3222663" cy="20664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1809" tIns="0" rIns="121809" bIns="0" numCol="1" spcCol="1270" anchor="ctr" anchorCtr="0">
          <a:noAutofit/>
        </a:bodyPr>
        <a:lstStyle/>
        <a:p>
          <a:pPr lvl="0" algn="l" defTabSz="400050">
            <a:lnSpc>
              <a:spcPct val="90000"/>
            </a:lnSpc>
            <a:spcBef>
              <a:spcPct val="0"/>
            </a:spcBef>
            <a:spcAft>
              <a:spcPct val="35000"/>
            </a:spcAft>
          </a:pPr>
          <a:r>
            <a:rPr lang="en-US" sz="900" b="1" kern="1200">
              <a:latin typeface="+mj-lt"/>
            </a:rPr>
            <a:t>Chapter 6</a:t>
          </a:r>
        </a:p>
      </dsp:txBody>
      <dsp:txXfrm>
        <a:off x="240277" y="2310114"/>
        <a:ext cx="3202489" cy="186466"/>
      </dsp:txXfrm>
    </dsp:sp>
    <dsp:sp modelId="{2A9F8B0E-DD01-4329-A18F-C8FEC59FE0BD}">
      <dsp:nvSpPr>
        <dsp:cNvPr id="0" name=""/>
        <dsp:cNvSpPr/>
      </dsp:nvSpPr>
      <dsp:spPr>
        <a:xfrm>
          <a:off x="0" y="2880730"/>
          <a:ext cx="4603805" cy="336262"/>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57306" tIns="145796" rIns="357306" bIns="64008" numCol="1" spcCol="1270" anchor="t" anchorCtr="0">
          <a:noAutofit/>
        </a:bodyPr>
        <a:lstStyle/>
        <a:p>
          <a:pPr marL="57150" lvl="1" indent="-57150" algn="l" defTabSz="400050">
            <a:lnSpc>
              <a:spcPct val="90000"/>
            </a:lnSpc>
            <a:spcBef>
              <a:spcPct val="0"/>
            </a:spcBef>
            <a:spcAft>
              <a:spcPct val="15000"/>
            </a:spcAft>
            <a:buChar char="••"/>
          </a:pPr>
          <a:r>
            <a:rPr lang="en-US" sz="900" kern="1200">
              <a:latin typeface="+mj-lt"/>
            </a:rPr>
            <a:t>What did the research partnership with pharmaceutical companies look like?</a:t>
          </a:r>
        </a:p>
      </dsp:txBody>
      <dsp:txXfrm>
        <a:off x="0" y="2880730"/>
        <a:ext cx="4603805" cy="336262"/>
      </dsp:txXfrm>
    </dsp:sp>
    <dsp:sp modelId="{903B6DB3-1142-42BF-BCF6-161E83F5B51F}">
      <dsp:nvSpPr>
        <dsp:cNvPr id="0" name=""/>
        <dsp:cNvSpPr/>
      </dsp:nvSpPr>
      <dsp:spPr>
        <a:xfrm>
          <a:off x="230190" y="2777410"/>
          <a:ext cx="3222663" cy="20664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1809" tIns="0" rIns="121809" bIns="0" numCol="1" spcCol="1270" anchor="ctr" anchorCtr="0">
          <a:noAutofit/>
        </a:bodyPr>
        <a:lstStyle/>
        <a:p>
          <a:pPr lvl="0" algn="l" defTabSz="400050">
            <a:lnSpc>
              <a:spcPct val="90000"/>
            </a:lnSpc>
            <a:spcBef>
              <a:spcPct val="0"/>
            </a:spcBef>
            <a:spcAft>
              <a:spcPct val="35000"/>
            </a:spcAft>
          </a:pPr>
          <a:r>
            <a:rPr lang="en-US" sz="900" b="1" kern="1200">
              <a:latin typeface="+mj-lt"/>
            </a:rPr>
            <a:t>Chapter 7</a:t>
          </a:r>
        </a:p>
      </dsp:txBody>
      <dsp:txXfrm>
        <a:off x="240277" y="2787497"/>
        <a:ext cx="3202489" cy="186466"/>
      </dsp:txXfrm>
    </dsp:sp>
    <dsp:sp modelId="{96ED3FBC-3DC5-4CFF-8B72-02EFDD0C2F9B}">
      <dsp:nvSpPr>
        <dsp:cNvPr id="0" name=""/>
        <dsp:cNvSpPr/>
      </dsp:nvSpPr>
      <dsp:spPr>
        <a:xfrm>
          <a:off x="0" y="3358112"/>
          <a:ext cx="4603805" cy="46305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57306" tIns="145796" rIns="357306" bIns="64008" numCol="1" spcCol="1270" anchor="t" anchorCtr="0">
          <a:noAutofit/>
        </a:bodyPr>
        <a:lstStyle/>
        <a:p>
          <a:pPr marL="57150" lvl="1" indent="-57150" algn="l" defTabSz="400050">
            <a:lnSpc>
              <a:spcPct val="90000"/>
            </a:lnSpc>
            <a:spcBef>
              <a:spcPct val="0"/>
            </a:spcBef>
            <a:spcAft>
              <a:spcPct val="15000"/>
            </a:spcAft>
            <a:buChar char="••"/>
          </a:pPr>
          <a:r>
            <a:rPr lang="en-US" sz="900" kern="1200">
              <a:latin typeface="+mj-lt"/>
            </a:rPr>
            <a:t>How was the OCP delivered, in terms of participating country health systems and community involvement?</a:t>
          </a:r>
        </a:p>
      </dsp:txBody>
      <dsp:txXfrm>
        <a:off x="0" y="3358112"/>
        <a:ext cx="4603805" cy="463050"/>
      </dsp:txXfrm>
    </dsp:sp>
    <dsp:sp modelId="{E2380D5F-69EB-423E-BDF0-409A14B3629B}">
      <dsp:nvSpPr>
        <dsp:cNvPr id="0" name=""/>
        <dsp:cNvSpPr/>
      </dsp:nvSpPr>
      <dsp:spPr>
        <a:xfrm>
          <a:off x="230190" y="3254792"/>
          <a:ext cx="3222663" cy="20664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1809" tIns="0" rIns="121809" bIns="0" numCol="1" spcCol="1270" anchor="ctr" anchorCtr="0">
          <a:noAutofit/>
        </a:bodyPr>
        <a:lstStyle/>
        <a:p>
          <a:pPr lvl="0" algn="l" defTabSz="400050">
            <a:lnSpc>
              <a:spcPct val="90000"/>
            </a:lnSpc>
            <a:spcBef>
              <a:spcPct val="0"/>
            </a:spcBef>
            <a:spcAft>
              <a:spcPct val="35000"/>
            </a:spcAft>
          </a:pPr>
          <a:r>
            <a:rPr lang="en-US" sz="900" b="1" kern="1200">
              <a:latin typeface="+mj-lt"/>
            </a:rPr>
            <a:t>Chapter 8</a:t>
          </a:r>
        </a:p>
      </dsp:txBody>
      <dsp:txXfrm>
        <a:off x="240277" y="3264879"/>
        <a:ext cx="3202489" cy="186466"/>
      </dsp:txXfrm>
    </dsp:sp>
    <dsp:sp modelId="{B8C00E89-1DB5-432E-8674-AEB7C3FDCCD9}">
      <dsp:nvSpPr>
        <dsp:cNvPr id="0" name=""/>
        <dsp:cNvSpPr/>
      </dsp:nvSpPr>
      <dsp:spPr>
        <a:xfrm>
          <a:off x="0" y="3962282"/>
          <a:ext cx="4603805" cy="6174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57306" tIns="145796" rIns="357306" bIns="64008" numCol="1" spcCol="1270" anchor="t" anchorCtr="0">
          <a:noAutofit/>
        </a:bodyPr>
        <a:lstStyle/>
        <a:p>
          <a:pPr marL="57150" lvl="1" indent="-57150" algn="l" defTabSz="400050">
            <a:lnSpc>
              <a:spcPct val="90000"/>
            </a:lnSpc>
            <a:spcBef>
              <a:spcPct val="0"/>
            </a:spcBef>
            <a:spcAft>
              <a:spcPct val="15000"/>
            </a:spcAft>
            <a:buChar char="••"/>
          </a:pPr>
          <a:r>
            <a:rPr lang="en-US" sz="900" kern="1200">
              <a:latin typeface="+mj-lt"/>
            </a:rPr>
            <a:t>What themes in global health governance do the underlying OCP narratives raise?  </a:t>
          </a:r>
        </a:p>
        <a:p>
          <a:pPr marL="57150" lvl="1" indent="-57150" algn="l" defTabSz="400050">
            <a:lnSpc>
              <a:spcPct val="90000"/>
            </a:lnSpc>
            <a:spcBef>
              <a:spcPct val="0"/>
            </a:spcBef>
            <a:spcAft>
              <a:spcPct val="15000"/>
            </a:spcAft>
            <a:buChar char="••"/>
          </a:pPr>
          <a:r>
            <a:rPr lang="en-US" sz="900" kern="1200">
              <a:latin typeface="+mj-lt"/>
            </a:rPr>
            <a:t>What does the case study of the OCP illuminate about how success stories are defined and spread in the global health community?</a:t>
          </a:r>
        </a:p>
      </dsp:txBody>
      <dsp:txXfrm>
        <a:off x="0" y="3962282"/>
        <a:ext cx="4603805" cy="617400"/>
      </dsp:txXfrm>
    </dsp:sp>
    <dsp:sp modelId="{650DD5E9-2D06-4EE0-A373-1D7C435D09B7}">
      <dsp:nvSpPr>
        <dsp:cNvPr id="0" name=""/>
        <dsp:cNvSpPr/>
      </dsp:nvSpPr>
      <dsp:spPr>
        <a:xfrm>
          <a:off x="230190" y="3858962"/>
          <a:ext cx="3222663" cy="20664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1809" tIns="0" rIns="121809" bIns="0" numCol="1" spcCol="1270" anchor="ctr" anchorCtr="0">
          <a:noAutofit/>
        </a:bodyPr>
        <a:lstStyle/>
        <a:p>
          <a:pPr lvl="0" algn="l" defTabSz="400050">
            <a:lnSpc>
              <a:spcPct val="90000"/>
            </a:lnSpc>
            <a:spcBef>
              <a:spcPct val="0"/>
            </a:spcBef>
            <a:spcAft>
              <a:spcPct val="35000"/>
            </a:spcAft>
          </a:pPr>
          <a:r>
            <a:rPr lang="en-US" sz="900" b="1" kern="1200">
              <a:latin typeface="+mj-lt"/>
            </a:rPr>
            <a:t>Chapter 9</a:t>
          </a:r>
        </a:p>
      </dsp:txBody>
      <dsp:txXfrm>
        <a:off x="240277" y="3869049"/>
        <a:ext cx="3202489" cy="18646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6137A04-D78F-4D90-8069-4CB704145B7A}">
      <dsp:nvSpPr>
        <dsp:cNvPr id="0" name=""/>
        <dsp:cNvSpPr/>
      </dsp:nvSpPr>
      <dsp:spPr>
        <a:xfrm>
          <a:off x="1345" y="0"/>
          <a:ext cx="1320530" cy="3890038"/>
        </a:xfrm>
        <a:prstGeom prst="roundRect">
          <a:avLst>
            <a:gd name="adj" fmla="val 10000"/>
          </a:avLst>
        </a:prstGeom>
        <a:solidFill>
          <a:schemeClr val="dk1">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txBody>
        <a:bodyPr spcFirstLastPara="0" vert="horz" wrap="square" lIns="205740" tIns="205740" rIns="205740" bIns="205740" numCol="1" spcCol="1270" anchor="ctr" anchorCtr="0">
          <a:noAutofit/>
        </a:bodyPr>
        <a:lstStyle/>
        <a:p>
          <a:pPr lvl="0" algn="ctr" defTabSz="2400300">
            <a:lnSpc>
              <a:spcPct val="90000"/>
            </a:lnSpc>
            <a:spcBef>
              <a:spcPct val="0"/>
            </a:spcBef>
            <a:spcAft>
              <a:spcPct val="35000"/>
            </a:spcAft>
          </a:pPr>
          <a:endParaRPr lang="en-GB" sz="5400" kern="1200">
            <a:latin typeface="+mj-lt"/>
          </a:endParaRPr>
        </a:p>
      </dsp:txBody>
      <dsp:txXfrm>
        <a:off x="1345" y="0"/>
        <a:ext cx="1320530" cy="1167011"/>
      </dsp:txXfrm>
    </dsp:sp>
    <dsp:sp modelId="{A4FC00B2-E98F-424D-9962-137AAFD8F7AD}">
      <dsp:nvSpPr>
        <dsp:cNvPr id="0" name=""/>
        <dsp:cNvSpPr/>
      </dsp:nvSpPr>
      <dsp:spPr>
        <a:xfrm>
          <a:off x="141184" y="1164558"/>
          <a:ext cx="1056424" cy="2528524"/>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5400" tIns="19050" rIns="25400" bIns="19050" numCol="1" spcCol="1270" anchor="ctr" anchorCtr="0">
          <a:noAutofit/>
        </a:bodyPr>
        <a:lstStyle/>
        <a:p>
          <a:pPr lvl="0" algn="ctr" defTabSz="444500">
            <a:lnSpc>
              <a:spcPct val="90000"/>
            </a:lnSpc>
            <a:spcBef>
              <a:spcPct val="0"/>
            </a:spcBef>
            <a:spcAft>
              <a:spcPct val="35000"/>
            </a:spcAft>
          </a:pPr>
          <a:endParaRPr lang="en-GB" sz="1000" b="1" kern="1200">
            <a:latin typeface="+mj-lt"/>
          </a:endParaRPr>
        </a:p>
        <a:p>
          <a:pPr lvl="0" algn="ctr" defTabSz="444500">
            <a:lnSpc>
              <a:spcPct val="90000"/>
            </a:lnSpc>
            <a:spcBef>
              <a:spcPct val="0"/>
            </a:spcBef>
            <a:spcAft>
              <a:spcPct val="35000"/>
            </a:spcAft>
          </a:pPr>
          <a:r>
            <a:rPr lang="en-GB" sz="1000" b="1" kern="1200">
              <a:latin typeface="+mj-lt"/>
            </a:rPr>
            <a:t>Definition of success</a:t>
          </a:r>
          <a:endParaRPr lang="en-GB" sz="1000" kern="1200">
            <a:latin typeface="+mj-lt"/>
          </a:endParaRPr>
        </a:p>
        <a:p>
          <a:pPr lvl="0" algn="ctr" defTabSz="444500">
            <a:lnSpc>
              <a:spcPct val="90000"/>
            </a:lnSpc>
            <a:spcBef>
              <a:spcPct val="0"/>
            </a:spcBef>
            <a:spcAft>
              <a:spcPct val="35000"/>
            </a:spcAft>
          </a:pPr>
          <a:endParaRPr lang="en-GB" sz="1000" b="1" kern="1200">
            <a:latin typeface="+mj-lt"/>
          </a:endParaRPr>
        </a:p>
        <a:p>
          <a:pPr lvl="0" algn="ctr" defTabSz="444500">
            <a:lnSpc>
              <a:spcPct val="90000"/>
            </a:lnSpc>
            <a:spcBef>
              <a:spcPct val="0"/>
            </a:spcBef>
            <a:spcAft>
              <a:spcPct val="35000"/>
            </a:spcAft>
          </a:pPr>
          <a:endParaRPr lang="en-GB" sz="1000" b="1" kern="1200">
            <a:latin typeface="+mj-lt"/>
          </a:endParaRPr>
        </a:p>
        <a:p>
          <a:pPr lvl="0" algn="ctr" defTabSz="444500">
            <a:lnSpc>
              <a:spcPct val="90000"/>
            </a:lnSpc>
            <a:spcBef>
              <a:spcPct val="0"/>
            </a:spcBef>
            <a:spcAft>
              <a:spcPct val="35000"/>
            </a:spcAft>
          </a:pPr>
          <a:r>
            <a:rPr lang="en-GB" sz="1000" b="1" kern="1200">
              <a:latin typeface="+mj-lt"/>
            </a:rPr>
            <a:t>Role of metrics</a:t>
          </a:r>
          <a:endParaRPr lang="en-GB" sz="1000" kern="1200">
            <a:latin typeface="+mj-lt"/>
          </a:endParaRPr>
        </a:p>
        <a:p>
          <a:pPr lvl="0" algn="ctr" defTabSz="444500">
            <a:lnSpc>
              <a:spcPct val="90000"/>
            </a:lnSpc>
            <a:spcBef>
              <a:spcPct val="0"/>
            </a:spcBef>
            <a:spcAft>
              <a:spcPct val="35000"/>
            </a:spcAft>
          </a:pPr>
          <a:endParaRPr lang="en-GB" sz="1000" kern="1200">
            <a:latin typeface="+mj-lt"/>
          </a:endParaRPr>
        </a:p>
        <a:p>
          <a:pPr lvl="0" algn="ctr" defTabSz="444500">
            <a:lnSpc>
              <a:spcPct val="90000"/>
            </a:lnSpc>
            <a:spcBef>
              <a:spcPct val="0"/>
            </a:spcBef>
            <a:spcAft>
              <a:spcPct val="35000"/>
            </a:spcAft>
          </a:pPr>
          <a:endParaRPr lang="en-GB" sz="1000" kern="1200">
            <a:latin typeface="+mj-lt"/>
          </a:endParaRPr>
        </a:p>
        <a:p>
          <a:pPr lvl="0" algn="ctr" defTabSz="444500">
            <a:lnSpc>
              <a:spcPct val="90000"/>
            </a:lnSpc>
            <a:spcBef>
              <a:spcPct val="0"/>
            </a:spcBef>
            <a:spcAft>
              <a:spcPct val="35000"/>
            </a:spcAft>
          </a:pPr>
          <a:endParaRPr lang="en-GB" sz="1000" kern="1200">
            <a:latin typeface="+mj-lt"/>
          </a:endParaRPr>
        </a:p>
        <a:p>
          <a:pPr lvl="0" algn="ctr" defTabSz="444500">
            <a:lnSpc>
              <a:spcPct val="90000"/>
            </a:lnSpc>
            <a:spcBef>
              <a:spcPct val="0"/>
            </a:spcBef>
            <a:spcAft>
              <a:spcPct val="35000"/>
            </a:spcAft>
          </a:pPr>
          <a:r>
            <a:rPr lang="en-GB" sz="1000" b="1" kern="1200">
              <a:latin typeface="+mj-lt"/>
            </a:rPr>
            <a:t>Attributes of success</a:t>
          </a:r>
        </a:p>
      </dsp:txBody>
      <dsp:txXfrm>
        <a:off x="172126" y="1195500"/>
        <a:ext cx="994540" cy="2466640"/>
      </dsp:txXfrm>
    </dsp:sp>
    <dsp:sp modelId="{4F437858-28D6-41AF-9ABB-CBDD818C5507}">
      <dsp:nvSpPr>
        <dsp:cNvPr id="0" name=""/>
        <dsp:cNvSpPr/>
      </dsp:nvSpPr>
      <dsp:spPr>
        <a:xfrm>
          <a:off x="1420916" y="0"/>
          <a:ext cx="1320530" cy="3890038"/>
        </a:xfrm>
        <a:prstGeom prst="roundRect">
          <a:avLst>
            <a:gd name="adj" fmla="val 10000"/>
          </a:avLst>
        </a:prstGeom>
        <a:solidFill>
          <a:schemeClr val="dk1">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b="1" kern="1200">
              <a:latin typeface="+mj-lt"/>
            </a:rPr>
            <a:t>Impact/Evidence-Based </a:t>
          </a:r>
        </a:p>
      </dsp:txBody>
      <dsp:txXfrm>
        <a:off x="1420916" y="0"/>
        <a:ext cx="1320530" cy="1167011"/>
      </dsp:txXfrm>
    </dsp:sp>
    <dsp:sp modelId="{8550599A-58F6-49EE-9E7F-492EC1079355}">
      <dsp:nvSpPr>
        <dsp:cNvPr id="0" name=""/>
        <dsp:cNvSpPr/>
      </dsp:nvSpPr>
      <dsp:spPr>
        <a:xfrm>
          <a:off x="1562804" y="1182830"/>
          <a:ext cx="1056424" cy="764236"/>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0320" tIns="15240" rIns="20320" bIns="15240" numCol="1" spcCol="1270" anchor="ctr" anchorCtr="0">
          <a:noAutofit/>
        </a:bodyPr>
        <a:lstStyle/>
        <a:p>
          <a:pPr lvl="0" algn="ctr" defTabSz="355600">
            <a:lnSpc>
              <a:spcPct val="90000"/>
            </a:lnSpc>
            <a:spcBef>
              <a:spcPct val="0"/>
            </a:spcBef>
            <a:spcAft>
              <a:spcPct val="35000"/>
            </a:spcAft>
          </a:pPr>
          <a:r>
            <a:rPr lang="en-GB" sz="800" kern="1200">
              <a:latin typeface="+mj-lt"/>
            </a:rPr>
            <a:t> Meeting specific objectives in the long-term</a:t>
          </a:r>
        </a:p>
      </dsp:txBody>
      <dsp:txXfrm>
        <a:off x="1585188" y="1205214"/>
        <a:ext cx="1011656" cy="719468"/>
      </dsp:txXfrm>
    </dsp:sp>
    <dsp:sp modelId="{BB494E56-171E-489A-800E-7CFD5DFB90F7}">
      <dsp:nvSpPr>
        <dsp:cNvPr id="0" name=""/>
        <dsp:cNvSpPr/>
      </dsp:nvSpPr>
      <dsp:spPr>
        <a:xfrm>
          <a:off x="1552969" y="2049155"/>
          <a:ext cx="1056424" cy="764236"/>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0320" tIns="15240" rIns="20320" bIns="15240" numCol="1" spcCol="1270" anchor="ctr" anchorCtr="0">
          <a:noAutofit/>
        </a:bodyPr>
        <a:lstStyle/>
        <a:p>
          <a:pPr lvl="0" algn="ctr" defTabSz="355600">
            <a:lnSpc>
              <a:spcPct val="90000"/>
            </a:lnSpc>
            <a:spcBef>
              <a:spcPct val="0"/>
            </a:spcBef>
            <a:spcAft>
              <a:spcPct val="35000"/>
            </a:spcAft>
          </a:pPr>
          <a:r>
            <a:rPr lang="en-GB" sz="800" kern="1200">
              <a:latin typeface="+mj-lt"/>
            </a:rPr>
            <a:t>Essential - only valid way to determine success is through clear statistics (disease prevalence, drugs distributed, etc.)</a:t>
          </a:r>
        </a:p>
      </dsp:txBody>
      <dsp:txXfrm>
        <a:off x="1575353" y="2071539"/>
        <a:ext cx="1011656" cy="719468"/>
      </dsp:txXfrm>
    </dsp:sp>
    <dsp:sp modelId="{3E8D90A5-6D99-4E7F-BF54-BEC726ECDDBC}">
      <dsp:nvSpPr>
        <dsp:cNvPr id="0" name=""/>
        <dsp:cNvSpPr/>
      </dsp:nvSpPr>
      <dsp:spPr>
        <a:xfrm>
          <a:off x="1552969" y="2930966"/>
          <a:ext cx="1056424" cy="764236"/>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0320" tIns="15240" rIns="20320" bIns="15240" numCol="1" spcCol="1270" anchor="ctr" anchorCtr="0">
          <a:noAutofit/>
        </a:bodyPr>
        <a:lstStyle/>
        <a:p>
          <a:pPr lvl="0" algn="ctr" defTabSz="355600">
            <a:lnSpc>
              <a:spcPct val="90000"/>
            </a:lnSpc>
            <a:spcBef>
              <a:spcPct val="0"/>
            </a:spcBef>
            <a:spcAft>
              <a:spcPct val="35000"/>
            </a:spcAft>
          </a:pPr>
          <a:r>
            <a:rPr lang="en-GB" sz="800" kern="1200">
              <a:latin typeface="+mj-lt"/>
            </a:rPr>
            <a:t>Stand-alone (endpoint, intrinsic); Absolute; Non-contestible</a:t>
          </a:r>
        </a:p>
      </dsp:txBody>
      <dsp:txXfrm>
        <a:off x="1575353" y="2953350"/>
        <a:ext cx="1011656" cy="719468"/>
      </dsp:txXfrm>
    </dsp:sp>
    <dsp:sp modelId="{4162B84C-C4F8-41F6-B6BB-AEB63F7237BA}">
      <dsp:nvSpPr>
        <dsp:cNvPr id="0" name=""/>
        <dsp:cNvSpPr/>
      </dsp:nvSpPr>
      <dsp:spPr>
        <a:xfrm>
          <a:off x="2840486" y="0"/>
          <a:ext cx="1320530" cy="3890038"/>
        </a:xfrm>
        <a:prstGeom prst="roundRect">
          <a:avLst>
            <a:gd name="adj" fmla="val 10000"/>
          </a:avLst>
        </a:prstGeom>
        <a:solidFill>
          <a:schemeClr val="dk1">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b="1" kern="1200">
              <a:latin typeface="+mj-lt"/>
            </a:rPr>
            <a:t>Marketing</a:t>
          </a:r>
        </a:p>
      </dsp:txBody>
      <dsp:txXfrm>
        <a:off x="2840486" y="0"/>
        <a:ext cx="1320530" cy="1167011"/>
      </dsp:txXfrm>
    </dsp:sp>
    <dsp:sp modelId="{1E23C50D-0A55-478F-98C2-DA6DC8B362ED}">
      <dsp:nvSpPr>
        <dsp:cNvPr id="0" name=""/>
        <dsp:cNvSpPr/>
      </dsp:nvSpPr>
      <dsp:spPr>
        <a:xfrm>
          <a:off x="2972539" y="1167343"/>
          <a:ext cx="1056424" cy="764236"/>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0320" tIns="15240" rIns="20320" bIns="15240" numCol="1" spcCol="1270" anchor="ctr" anchorCtr="0">
          <a:noAutofit/>
        </a:bodyPr>
        <a:lstStyle/>
        <a:p>
          <a:pPr lvl="0" algn="ctr" defTabSz="355600">
            <a:lnSpc>
              <a:spcPct val="90000"/>
            </a:lnSpc>
            <a:spcBef>
              <a:spcPct val="0"/>
            </a:spcBef>
            <a:spcAft>
              <a:spcPct val="35000"/>
            </a:spcAft>
          </a:pPr>
          <a:r>
            <a:rPr lang="en-GB" sz="800" kern="1200">
              <a:latin typeface="+mj-lt"/>
            </a:rPr>
            <a:t>Product of both meeting objectives </a:t>
          </a:r>
          <a:r>
            <a:rPr lang="en-GB" sz="800" i="1" kern="1200">
              <a:latin typeface="+mj-lt"/>
            </a:rPr>
            <a:t>and</a:t>
          </a:r>
          <a:r>
            <a:rPr lang="en-GB" sz="800" kern="1200">
              <a:latin typeface="+mj-lt"/>
            </a:rPr>
            <a:t> political precedent (consensus decision-making)</a:t>
          </a:r>
        </a:p>
      </dsp:txBody>
      <dsp:txXfrm>
        <a:off x="2994923" y="1189727"/>
        <a:ext cx="1011656" cy="719468"/>
      </dsp:txXfrm>
    </dsp:sp>
    <dsp:sp modelId="{A88B3940-4A4F-40D4-9A13-EC6FDD9CB73E}">
      <dsp:nvSpPr>
        <dsp:cNvPr id="0" name=""/>
        <dsp:cNvSpPr/>
      </dsp:nvSpPr>
      <dsp:spPr>
        <a:xfrm>
          <a:off x="2972539" y="2049155"/>
          <a:ext cx="1056424" cy="764236"/>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0320" tIns="15240" rIns="20320" bIns="15240" numCol="1" spcCol="1270" anchor="ctr" anchorCtr="0">
          <a:noAutofit/>
        </a:bodyPr>
        <a:lstStyle/>
        <a:p>
          <a:pPr lvl="0" algn="ctr" defTabSz="355600">
            <a:lnSpc>
              <a:spcPct val="90000"/>
            </a:lnSpc>
            <a:spcBef>
              <a:spcPct val="0"/>
            </a:spcBef>
            <a:spcAft>
              <a:spcPct val="35000"/>
            </a:spcAft>
          </a:pPr>
          <a:r>
            <a:rPr lang="en-GB" sz="800" kern="1200">
              <a:latin typeface="+mj-lt"/>
            </a:rPr>
            <a:t>Important - but marketing and political landscape are at least equally important</a:t>
          </a:r>
        </a:p>
      </dsp:txBody>
      <dsp:txXfrm>
        <a:off x="2994923" y="2071539"/>
        <a:ext cx="1011656" cy="719468"/>
      </dsp:txXfrm>
    </dsp:sp>
    <dsp:sp modelId="{2BC50938-E920-4412-9918-39E49ECBE4D3}">
      <dsp:nvSpPr>
        <dsp:cNvPr id="0" name=""/>
        <dsp:cNvSpPr/>
      </dsp:nvSpPr>
      <dsp:spPr>
        <a:xfrm>
          <a:off x="2972539" y="2930966"/>
          <a:ext cx="1056424" cy="764236"/>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0320" tIns="15240" rIns="20320" bIns="15240" numCol="1" spcCol="1270" anchor="ctr" anchorCtr="0">
          <a:noAutofit/>
        </a:bodyPr>
        <a:lstStyle/>
        <a:p>
          <a:pPr lvl="0" algn="ctr" defTabSz="355600">
            <a:lnSpc>
              <a:spcPct val="90000"/>
            </a:lnSpc>
            <a:spcBef>
              <a:spcPct val="0"/>
            </a:spcBef>
            <a:spcAft>
              <a:spcPct val="35000"/>
            </a:spcAft>
          </a:pPr>
          <a:r>
            <a:rPr lang="en-GB" sz="800" kern="1200">
              <a:latin typeface="+mj-lt"/>
            </a:rPr>
            <a:t>Absolute; Contestible; Re-framable (non-intrinsic)</a:t>
          </a:r>
        </a:p>
      </dsp:txBody>
      <dsp:txXfrm>
        <a:off x="2994923" y="2953350"/>
        <a:ext cx="1011656" cy="719468"/>
      </dsp:txXfrm>
    </dsp:sp>
    <dsp:sp modelId="{A244D738-2BB0-423F-A38D-FA7A507D9AD3}">
      <dsp:nvSpPr>
        <dsp:cNvPr id="0" name=""/>
        <dsp:cNvSpPr/>
      </dsp:nvSpPr>
      <dsp:spPr>
        <a:xfrm>
          <a:off x="4260057" y="0"/>
          <a:ext cx="1320530" cy="3890038"/>
        </a:xfrm>
        <a:prstGeom prst="roundRect">
          <a:avLst>
            <a:gd name="adj" fmla="val 10000"/>
          </a:avLst>
        </a:prstGeom>
        <a:solidFill>
          <a:schemeClr val="dk1">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b="1" kern="1200">
              <a:latin typeface="+mj-lt"/>
            </a:rPr>
            <a:t>Constructivist</a:t>
          </a:r>
        </a:p>
      </dsp:txBody>
      <dsp:txXfrm>
        <a:off x="4260057" y="0"/>
        <a:ext cx="1320530" cy="1167011"/>
      </dsp:txXfrm>
    </dsp:sp>
    <dsp:sp modelId="{70188C39-A46E-4D68-B7F8-6C5CE8D18957}">
      <dsp:nvSpPr>
        <dsp:cNvPr id="0" name=""/>
        <dsp:cNvSpPr/>
      </dsp:nvSpPr>
      <dsp:spPr>
        <a:xfrm>
          <a:off x="4392110" y="1167343"/>
          <a:ext cx="1056424" cy="764236"/>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0320" tIns="15240" rIns="20320" bIns="15240" numCol="1" spcCol="1270" anchor="ctr" anchorCtr="0">
          <a:noAutofit/>
        </a:bodyPr>
        <a:lstStyle/>
        <a:p>
          <a:pPr lvl="0" algn="ctr" defTabSz="355600">
            <a:lnSpc>
              <a:spcPct val="90000"/>
            </a:lnSpc>
            <a:spcBef>
              <a:spcPct val="0"/>
            </a:spcBef>
            <a:spcAft>
              <a:spcPct val="35000"/>
            </a:spcAft>
          </a:pPr>
          <a:r>
            <a:rPr lang="en-GB" sz="800" kern="1200">
              <a:latin typeface="+mj-lt"/>
            </a:rPr>
            <a:t>Less about meeting objectives than about a programme's match with the agendas of powerful stakeholders</a:t>
          </a:r>
        </a:p>
      </dsp:txBody>
      <dsp:txXfrm>
        <a:off x="4414494" y="1189727"/>
        <a:ext cx="1011656" cy="719468"/>
      </dsp:txXfrm>
    </dsp:sp>
    <dsp:sp modelId="{4F96FEF8-A67E-4C54-B2E6-84AB654E27DB}">
      <dsp:nvSpPr>
        <dsp:cNvPr id="0" name=""/>
        <dsp:cNvSpPr/>
      </dsp:nvSpPr>
      <dsp:spPr>
        <a:xfrm>
          <a:off x="4392110" y="2049155"/>
          <a:ext cx="1056424" cy="764236"/>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0320" tIns="15240" rIns="20320" bIns="15240" numCol="1" spcCol="1270" anchor="ctr" anchorCtr="0">
          <a:noAutofit/>
        </a:bodyPr>
        <a:lstStyle/>
        <a:p>
          <a:pPr lvl="0" algn="ctr" defTabSz="355600">
            <a:lnSpc>
              <a:spcPct val="90000"/>
            </a:lnSpc>
            <a:spcBef>
              <a:spcPct val="0"/>
            </a:spcBef>
            <a:spcAft>
              <a:spcPct val="35000"/>
            </a:spcAft>
          </a:pPr>
          <a:r>
            <a:rPr lang="en-GB" sz="800" kern="1200">
              <a:latin typeface="+mj-lt"/>
            </a:rPr>
            <a:t>Largely immaterial - metrics are constructible by influential actors</a:t>
          </a:r>
        </a:p>
      </dsp:txBody>
      <dsp:txXfrm>
        <a:off x="4414494" y="2071539"/>
        <a:ext cx="1011656" cy="719468"/>
      </dsp:txXfrm>
    </dsp:sp>
    <dsp:sp modelId="{92555CC9-4D4F-485C-8EA9-ED6E89178B17}">
      <dsp:nvSpPr>
        <dsp:cNvPr id="0" name=""/>
        <dsp:cNvSpPr/>
      </dsp:nvSpPr>
      <dsp:spPr>
        <a:xfrm>
          <a:off x="4392110" y="2930966"/>
          <a:ext cx="1056424" cy="764236"/>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0320" tIns="15240" rIns="20320" bIns="15240" numCol="1" spcCol="1270" anchor="ctr" anchorCtr="0">
          <a:noAutofit/>
        </a:bodyPr>
        <a:lstStyle/>
        <a:p>
          <a:pPr lvl="0" algn="ctr" defTabSz="355600">
            <a:lnSpc>
              <a:spcPct val="90000"/>
            </a:lnSpc>
            <a:spcBef>
              <a:spcPct val="0"/>
            </a:spcBef>
            <a:spcAft>
              <a:spcPct val="35000"/>
            </a:spcAft>
          </a:pPr>
          <a:r>
            <a:rPr lang="en-GB" sz="800" kern="1200">
              <a:latin typeface="+mj-lt"/>
            </a:rPr>
            <a:t>Non-absolute; Re-interpretable; Contestible</a:t>
          </a:r>
        </a:p>
      </dsp:txBody>
      <dsp:txXfrm>
        <a:off x="4414494" y="2953350"/>
        <a:ext cx="1011656" cy="71946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58E4AF-5364-4325-83AE-A45EC4BA03C5}">
      <dsp:nvSpPr>
        <dsp:cNvPr id="0" name=""/>
        <dsp:cNvSpPr/>
      </dsp:nvSpPr>
      <dsp:spPr>
        <a:xfrm>
          <a:off x="2608707" y="1422311"/>
          <a:ext cx="91440" cy="452554"/>
        </a:xfrm>
        <a:custGeom>
          <a:avLst/>
          <a:gdLst/>
          <a:ahLst/>
          <a:cxnLst/>
          <a:rect l="0" t="0" r="0" b="0"/>
          <a:pathLst>
            <a:path>
              <a:moveTo>
                <a:pt x="45720" y="0"/>
              </a:moveTo>
              <a:lnTo>
                <a:pt x="45720" y="452554"/>
              </a:lnTo>
              <a:lnTo>
                <a:pt x="121864" y="452554"/>
              </a:lnTo>
            </a:path>
          </a:pathLst>
        </a:custGeom>
        <a:noFill/>
        <a:ln w="12700" cap="flat" cmpd="sng" algn="ctr">
          <a:solidFill>
            <a:schemeClr val="dk1">
              <a:shade val="8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B1DC8699-5F31-4D05-8E79-872787D865DC}">
      <dsp:nvSpPr>
        <dsp:cNvPr id="0" name=""/>
        <dsp:cNvSpPr/>
      </dsp:nvSpPr>
      <dsp:spPr>
        <a:xfrm>
          <a:off x="1933640" y="2221968"/>
          <a:ext cx="91440" cy="416808"/>
        </a:xfrm>
        <a:custGeom>
          <a:avLst/>
          <a:gdLst/>
          <a:ahLst/>
          <a:cxnLst/>
          <a:rect l="0" t="0" r="0" b="0"/>
          <a:pathLst>
            <a:path>
              <a:moveTo>
                <a:pt x="121864" y="0"/>
              </a:moveTo>
              <a:lnTo>
                <a:pt x="121864" y="416808"/>
              </a:lnTo>
              <a:lnTo>
                <a:pt x="45720" y="416808"/>
              </a:lnTo>
            </a:path>
          </a:pathLst>
        </a:custGeom>
        <a:noFill/>
        <a:ln w="12700" cap="flat" cmpd="sng" algn="ctr">
          <a:solidFill>
            <a:schemeClr val="dk1">
              <a:shade val="8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3CCAC2A2-2225-49CD-8D16-00E3D97D6CBE}">
      <dsp:nvSpPr>
        <dsp:cNvPr id="0" name=""/>
        <dsp:cNvSpPr/>
      </dsp:nvSpPr>
      <dsp:spPr>
        <a:xfrm>
          <a:off x="2532562" y="1422311"/>
          <a:ext cx="91440" cy="475972"/>
        </a:xfrm>
        <a:custGeom>
          <a:avLst/>
          <a:gdLst/>
          <a:ahLst/>
          <a:cxnLst/>
          <a:rect l="0" t="0" r="0" b="0"/>
          <a:pathLst>
            <a:path>
              <a:moveTo>
                <a:pt x="121864" y="0"/>
              </a:moveTo>
              <a:lnTo>
                <a:pt x="121864" y="475972"/>
              </a:lnTo>
              <a:lnTo>
                <a:pt x="45720" y="475972"/>
              </a:lnTo>
            </a:path>
          </a:pathLst>
        </a:custGeom>
        <a:noFill/>
        <a:ln w="12700" cap="flat" cmpd="sng" algn="ctr">
          <a:solidFill>
            <a:schemeClr val="dk1">
              <a:shade val="8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E8178DC6-2B62-4F2B-B3C5-29D96CD55A93}">
      <dsp:nvSpPr>
        <dsp:cNvPr id="0" name=""/>
        <dsp:cNvSpPr/>
      </dsp:nvSpPr>
      <dsp:spPr>
        <a:xfrm>
          <a:off x="3235227" y="587439"/>
          <a:ext cx="563635" cy="493580"/>
        </a:xfrm>
        <a:custGeom>
          <a:avLst/>
          <a:gdLst/>
          <a:ahLst/>
          <a:cxnLst/>
          <a:rect l="0" t="0" r="0" b="0"/>
          <a:pathLst>
            <a:path>
              <a:moveTo>
                <a:pt x="563635" y="0"/>
              </a:moveTo>
              <a:lnTo>
                <a:pt x="563635" y="493580"/>
              </a:lnTo>
              <a:lnTo>
                <a:pt x="0" y="493580"/>
              </a:lnTo>
            </a:path>
          </a:pathLst>
        </a:custGeom>
        <a:noFill/>
        <a:ln w="12700" cap="flat" cmpd="sng" algn="ctr">
          <a:solidFill>
            <a:schemeClr val="dk1">
              <a:shade val="6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81F357CF-C91A-4ED2-8775-866652739F6D}">
      <dsp:nvSpPr>
        <dsp:cNvPr id="0" name=""/>
        <dsp:cNvSpPr/>
      </dsp:nvSpPr>
      <dsp:spPr>
        <a:xfrm>
          <a:off x="3866079" y="3569959"/>
          <a:ext cx="182915" cy="2607264"/>
        </a:xfrm>
        <a:custGeom>
          <a:avLst/>
          <a:gdLst/>
          <a:ahLst/>
          <a:cxnLst/>
          <a:rect l="0" t="0" r="0" b="0"/>
          <a:pathLst>
            <a:path>
              <a:moveTo>
                <a:pt x="0" y="0"/>
              </a:moveTo>
              <a:lnTo>
                <a:pt x="0" y="2607264"/>
              </a:lnTo>
              <a:lnTo>
                <a:pt x="182915" y="2607264"/>
              </a:lnTo>
            </a:path>
          </a:pathLst>
        </a:custGeom>
        <a:noFill/>
        <a:ln w="12700" cap="flat" cmpd="sng" algn="ctr">
          <a:solidFill>
            <a:schemeClr val="dk1">
              <a:shade val="8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309AAA87-480C-470A-B457-B748F210565E}">
      <dsp:nvSpPr>
        <dsp:cNvPr id="0" name=""/>
        <dsp:cNvSpPr/>
      </dsp:nvSpPr>
      <dsp:spPr>
        <a:xfrm>
          <a:off x="3866079" y="3569959"/>
          <a:ext cx="182915" cy="2069609"/>
        </a:xfrm>
        <a:custGeom>
          <a:avLst/>
          <a:gdLst/>
          <a:ahLst/>
          <a:cxnLst/>
          <a:rect l="0" t="0" r="0" b="0"/>
          <a:pathLst>
            <a:path>
              <a:moveTo>
                <a:pt x="0" y="0"/>
              </a:moveTo>
              <a:lnTo>
                <a:pt x="0" y="2069609"/>
              </a:lnTo>
              <a:lnTo>
                <a:pt x="182915" y="2069609"/>
              </a:lnTo>
            </a:path>
          </a:pathLst>
        </a:custGeom>
        <a:noFill/>
        <a:ln w="12700" cap="flat" cmpd="sng" algn="ctr">
          <a:solidFill>
            <a:schemeClr val="dk1">
              <a:shade val="8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ADDF3633-0D0F-498C-B3BC-BAAF69546B7D}">
      <dsp:nvSpPr>
        <dsp:cNvPr id="0" name=""/>
        <dsp:cNvSpPr/>
      </dsp:nvSpPr>
      <dsp:spPr>
        <a:xfrm>
          <a:off x="3866079" y="3569959"/>
          <a:ext cx="182915" cy="1538765"/>
        </a:xfrm>
        <a:custGeom>
          <a:avLst/>
          <a:gdLst/>
          <a:ahLst/>
          <a:cxnLst/>
          <a:rect l="0" t="0" r="0" b="0"/>
          <a:pathLst>
            <a:path>
              <a:moveTo>
                <a:pt x="0" y="0"/>
              </a:moveTo>
              <a:lnTo>
                <a:pt x="0" y="1538765"/>
              </a:lnTo>
              <a:lnTo>
                <a:pt x="182915" y="1538765"/>
              </a:lnTo>
            </a:path>
          </a:pathLst>
        </a:custGeom>
        <a:noFill/>
        <a:ln w="12700" cap="flat" cmpd="sng" algn="ctr">
          <a:solidFill>
            <a:schemeClr val="dk1">
              <a:shade val="8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D05130B5-41EE-452C-B85B-A830298A8DBB}">
      <dsp:nvSpPr>
        <dsp:cNvPr id="0" name=""/>
        <dsp:cNvSpPr/>
      </dsp:nvSpPr>
      <dsp:spPr>
        <a:xfrm>
          <a:off x="3866079" y="3569959"/>
          <a:ext cx="182915" cy="984775"/>
        </a:xfrm>
        <a:custGeom>
          <a:avLst/>
          <a:gdLst/>
          <a:ahLst/>
          <a:cxnLst/>
          <a:rect l="0" t="0" r="0" b="0"/>
          <a:pathLst>
            <a:path>
              <a:moveTo>
                <a:pt x="0" y="0"/>
              </a:moveTo>
              <a:lnTo>
                <a:pt x="0" y="984775"/>
              </a:lnTo>
              <a:lnTo>
                <a:pt x="182915" y="984775"/>
              </a:lnTo>
            </a:path>
          </a:pathLst>
        </a:custGeom>
        <a:noFill/>
        <a:ln w="12700" cap="flat" cmpd="sng" algn="ctr">
          <a:solidFill>
            <a:schemeClr val="dk1">
              <a:shade val="8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B2BD551F-A190-4B5A-9275-31BA7A23B335}">
      <dsp:nvSpPr>
        <dsp:cNvPr id="0" name=""/>
        <dsp:cNvSpPr/>
      </dsp:nvSpPr>
      <dsp:spPr>
        <a:xfrm>
          <a:off x="3866079" y="3569959"/>
          <a:ext cx="182915" cy="389784"/>
        </a:xfrm>
        <a:custGeom>
          <a:avLst/>
          <a:gdLst/>
          <a:ahLst/>
          <a:cxnLst/>
          <a:rect l="0" t="0" r="0" b="0"/>
          <a:pathLst>
            <a:path>
              <a:moveTo>
                <a:pt x="0" y="0"/>
              </a:moveTo>
              <a:lnTo>
                <a:pt x="0" y="389784"/>
              </a:lnTo>
              <a:lnTo>
                <a:pt x="182915" y="389784"/>
              </a:lnTo>
            </a:path>
          </a:pathLst>
        </a:custGeom>
        <a:noFill/>
        <a:ln w="12700" cap="flat" cmpd="sng" algn="ctr">
          <a:solidFill>
            <a:schemeClr val="dk1">
              <a:shade val="8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2E44F67A-6D45-47B2-9B77-D4C008CF7B66}">
      <dsp:nvSpPr>
        <dsp:cNvPr id="0" name=""/>
        <dsp:cNvSpPr/>
      </dsp:nvSpPr>
      <dsp:spPr>
        <a:xfrm>
          <a:off x="3798862" y="587439"/>
          <a:ext cx="554990" cy="2468147"/>
        </a:xfrm>
        <a:custGeom>
          <a:avLst/>
          <a:gdLst/>
          <a:ahLst/>
          <a:cxnLst/>
          <a:rect l="0" t="0" r="0" b="0"/>
          <a:pathLst>
            <a:path>
              <a:moveTo>
                <a:pt x="0" y="0"/>
              </a:moveTo>
              <a:lnTo>
                <a:pt x="0" y="2392002"/>
              </a:lnTo>
              <a:lnTo>
                <a:pt x="554990" y="2392002"/>
              </a:lnTo>
              <a:lnTo>
                <a:pt x="554990" y="2468147"/>
              </a:lnTo>
            </a:path>
          </a:pathLst>
        </a:custGeom>
        <a:noFill/>
        <a:ln w="12700" cap="flat" cmpd="sng" algn="ctr">
          <a:solidFill>
            <a:schemeClr val="dk1">
              <a:shade val="6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FA4402AB-07C4-4870-B7FB-B2C12F89DD85}">
      <dsp:nvSpPr>
        <dsp:cNvPr id="0" name=""/>
        <dsp:cNvSpPr/>
      </dsp:nvSpPr>
      <dsp:spPr>
        <a:xfrm>
          <a:off x="2729923" y="3544977"/>
          <a:ext cx="143653" cy="1047951"/>
        </a:xfrm>
        <a:custGeom>
          <a:avLst/>
          <a:gdLst/>
          <a:ahLst/>
          <a:cxnLst/>
          <a:rect l="0" t="0" r="0" b="0"/>
          <a:pathLst>
            <a:path>
              <a:moveTo>
                <a:pt x="0" y="0"/>
              </a:moveTo>
              <a:lnTo>
                <a:pt x="0" y="1047951"/>
              </a:lnTo>
              <a:lnTo>
                <a:pt x="143653" y="1047951"/>
              </a:lnTo>
            </a:path>
          </a:pathLst>
        </a:custGeom>
        <a:noFill/>
        <a:ln w="12700" cap="flat" cmpd="sng" algn="ctr">
          <a:solidFill>
            <a:schemeClr val="dk1">
              <a:shade val="8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68A28840-7CAD-49E9-9A18-47CC4A8E8B48}">
      <dsp:nvSpPr>
        <dsp:cNvPr id="0" name=""/>
        <dsp:cNvSpPr/>
      </dsp:nvSpPr>
      <dsp:spPr>
        <a:xfrm>
          <a:off x="2729923" y="3544977"/>
          <a:ext cx="143653" cy="385239"/>
        </a:xfrm>
        <a:custGeom>
          <a:avLst/>
          <a:gdLst/>
          <a:ahLst/>
          <a:cxnLst/>
          <a:rect l="0" t="0" r="0" b="0"/>
          <a:pathLst>
            <a:path>
              <a:moveTo>
                <a:pt x="0" y="0"/>
              </a:moveTo>
              <a:lnTo>
                <a:pt x="0" y="385239"/>
              </a:lnTo>
              <a:lnTo>
                <a:pt x="143653" y="385239"/>
              </a:lnTo>
            </a:path>
          </a:pathLst>
        </a:custGeom>
        <a:noFill/>
        <a:ln w="12700" cap="flat" cmpd="sng" algn="ctr">
          <a:solidFill>
            <a:schemeClr val="dk1">
              <a:shade val="8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9BB202C0-A897-4E89-B415-553A0F2D7810}">
      <dsp:nvSpPr>
        <dsp:cNvPr id="0" name=""/>
        <dsp:cNvSpPr/>
      </dsp:nvSpPr>
      <dsp:spPr>
        <a:xfrm>
          <a:off x="3113001" y="587439"/>
          <a:ext cx="685861" cy="2468147"/>
        </a:xfrm>
        <a:custGeom>
          <a:avLst/>
          <a:gdLst/>
          <a:ahLst/>
          <a:cxnLst/>
          <a:rect l="0" t="0" r="0" b="0"/>
          <a:pathLst>
            <a:path>
              <a:moveTo>
                <a:pt x="685861" y="0"/>
              </a:moveTo>
              <a:lnTo>
                <a:pt x="685861" y="2392002"/>
              </a:lnTo>
              <a:lnTo>
                <a:pt x="0" y="2392002"/>
              </a:lnTo>
              <a:lnTo>
                <a:pt x="0" y="2468147"/>
              </a:lnTo>
            </a:path>
          </a:pathLst>
        </a:custGeom>
        <a:noFill/>
        <a:ln w="12700" cap="flat" cmpd="sng" algn="ctr">
          <a:solidFill>
            <a:schemeClr val="dk1">
              <a:shade val="6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376C5816-D265-42B3-A654-2C213E9FEBE5}">
      <dsp:nvSpPr>
        <dsp:cNvPr id="0" name=""/>
        <dsp:cNvSpPr/>
      </dsp:nvSpPr>
      <dsp:spPr>
        <a:xfrm>
          <a:off x="3077235" y="812"/>
          <a:ext cx="1443254" cy="586627"/>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latin typeface="+mj-lt"/>
            </a:rPr>
            <a:t>Joint Programme Committee </a:t>
          </a:r>
          <a:r>
            <a:rPr lang="en-US" sz="900" kern="1200">
              <a:latin typeface="+mj-lt"/>
            </a:rPr>
            <a:t>(Joint Coordinating Committee)</a:t>
          </a:r>
        </a:p>
      </dsp:txBody>
      <dsp:txXfrm>
        <a:off x="3077235" y="812"/>
        <a:ext cx="1443254" cy="586627"/>
      </dsp:txXfrm>
    </dsp:sp>
    <dsp:sp modelId="{51C54C9C-CAFF-4650-B76A-4966AD965A5D}">
      <dsp:nvSpPr>
        <dsp:cNvPr id="0" name=""/>
        <dsp:cNvSpPr/>
      </dsp:nvSpPr>
      <dsp:spPr>
        <a:xfrm>
          <a:off x="2634154" y="3055586"/>
          <a:ext cx="957693" cy="489390"/>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latin typeface="+mj-lt"/>
            </a:rPr>
            <a:t>World Health Organization</a:t>
          </a:r>
        </a:p>
      </dsp:txBody>
      <dsp:txXfrm>
        <a:off x="2634154" y="3055586"/>
        <a:ext cx="957693" cy="489390"/>
      </dsp:txXfrm>
    </dsp:sp>
    <dsp:sp modelId="{6FB4B1D1-BDB7-47B0-85AB-91AD9AA1B862}">
      <dsp:nvSpPr>
        <dsp:cNvPr id="0" name=""/>
        <dsp:cNvSpPr/>
      </dsp:nvSpPr>
      <dsp:spPr>
        <a:xfrm>
          <a:off x="2873577" y="3697265"/>
          <a:ext cx="798913" cy="465901"/>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mj-lt"/>
            </a:rPr>
            <a:t>Office of the Director</a:t>
          </a:r>
        </a:p>
      </dsp:txBody>
      <dsp:txXfrm>
        <a:off x="2873577" y="3697265"/>
        <a:ext cx="798913" cy="465901"/>
      </dsp:txXfrm>
    </dsp:sp>
    <dsp:sp modelId="{57AB7816-5264-4328-AE1D-0433DBC8B845}">
      <dsp:nvSpPr>
        <dsp:cNvPr id="0" name=""/>
        <dsp:cNvSpPr/>
      </dsp:nvSpPr>
      <dsp:spPr>
        <a:xfrm>
          <a:off x="2873577" y="4315456"/>
          <a:ext cx="837334" cy="554943"/>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mj-lt"/>
            </a:rPr>
            <a:t>National Onchocerciasis Committee</a:t>
          </a:r>
        </a:p>
      </dsp:txBody>
      <dsp:txXfrm>
        <a:off x="2873577" y="4315456"/>
        <a:ext cx="837334" cy="554943"/>
      </dsp:txXfrm>
    </dsp:sp>
    <dsp:sp modelId="{6E97E65E-1497-40B0-AE6C-FC6765E908B1}">
      <dsp:nvSpPr>
        <dsp:cNvPr id="0" name=""/>
        <dsp:cNvSpPr/>
      </dsp:nvSpPr>
      <dsp:spPr>
        <a:xfrm>
          <a:off x="3744136" y="3055586"/>
          <a:ext cx="1219433" cy="514373"/>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latin typeface="+mj-lt"/>
            </a:rPr>
            <a:t>Programme Director</a:t>
          </a:r>
        </a:p>
      </dsp:txBody>
      <dsp:txXfrm>
        <a:off x="3744136" y="3055586"/>
        <a:ext cx="1219433" cy="514373"/>
      </dsp:txXfrm>
    </dsp:sp>
    <dsp:sp modelId="{CDB3C0CA-DA8E-44DE-AF16-BE4184671A7C}">
      <dsp:nvSpPr>
        <dsp:cNvPr id="0" name=""/>
        <dsp:cNvSpPr/>
      </dsp:nvSpPr>
      <dsp:spPr>
        <a:xfrm>
          <a:off x="4048994" y="3722248"/>
          <a:ext cx="891440" cy="474992"/>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mj-lt"/>
            </a:rPr>
            <a:t>Administration and Management</a:t>
          </a:r>
        </a:p>
      </dsp:txBody>
      <dsp:txXfrm>
        <a:off x="4048994" y="3722248"/>
        <a:ext cx="891440" cy="474992"/>
      </dsp:txXfrm>
    </dsp:sp>
    <dsp:sp modelId="{4C4D2F66-BCAF-4E76-B0BD-2C73CD7BE77C}">
      <dsp:nvSpPr>
        <dsp:cNvPr id="0" name=""/>
        <dsp:cNvSpPr/>
      </dsp:nvSpPr>
      <dsp:spPr>
        <a:xfrm>
          <a:off x="4048994" y="4349529"/>
          <a:ext cx="908953" cy="410410"/>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mj-lt"/>
            </a:rPr>
            <a:t>Epidemiological Evaluation Unit</a:t>
          </a:r>
        </a:p>
      </dsp:txBody>
      <dsp:txXfrm>
        <a:off x="4048994" y="4349529"/>
        <a:ext cx="908953" cy="410410"/>
      </dsp:txXfrm>
    </dsp:sp>
    <dsp:sp modelId="{FA061147-DD87-45F6-BC3C-8B50CCB6802A}">
      <dsp:nvSpPr>
        <dsp:cNvPr id="0" name=""/>
        <dsp:cNvSpPr/>
      </dsp:nvSpPr>
      <dsp:spPr>
        <a:xfrm>
          <a:off x="4048994" y="4912228"/>
          <a:ext cx="907894" cy="392991"/>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mj-lt"/>
            </a:rPr>
            <a:t>Vector Control Unit</a:t>
          </a:r>
        </a:p>
      </dsp:txBody>
      <dsp:txXfrm>
        <a:off x="4048994" y="4912228"/>
        <a:ext cx="907894" cy="392991"/>
      </dsp:txXfrm>
    </dsp:sp>
    <dsp:sp modelId="{0FA3E0A2-BC6A-4FE5-97D2-0D92C2E59B2A}">
      <dsp:nvSpPr>
        <dsp:cNvPr id="0" name=""/>
        <dsp:cNvSpPr/>
      </dsp:nvSpPr>
      <dsp:spPr>
        <a:xfrm>
          <a:off x="4048994" y="5457509"/>
          <a:ext cx="880975" cy="364118"/>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mj-lt"/>
            </a:rPr>
            <a:t>Applied Research </a:t>
          </a:r>
        </a:p>
      </dsp:txBody>
      <dsp:txXfrm>
        <a:off x="4048994" y="5457509"/>
        <a:ext cx="880975" cy="364118"/>
      </dsp:txXfrm>
    </dsp:sp>
    <dsp:sp modelId="{042D00AB-3901-40E3-ADF8-969A5FF542F6}">
      <dsp:nvSpPr>
        <dsp:cNvPr id="0" name=""/>
        <dsp:cNvSpPr/>
      </dsp:nvSpPr>
      <dsp:spPr>
        <a:xfrm>
          <a:off x="4048994" y="5973917"/>
          <a:ext cx="881722" cy="406614"/>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mj-lt"/>
            </a:rPr>
            <a:t>Socioeconomic Development Unit</a:t>
          </a:r>
        </a:p>
      </dsp:txBody>
      <dsp:txXfrm>
        <a:off x="4048994" y="5973917"/>
        <a:ext cx="881722" cy="406614"/>
      </dsp:txXfrm>
    </dsp:sp>
    <dsp:sp modelId="{8CEF0B9D-2906-40A9-AAD4-765449C1DDAE}">
      <dsp:nvSpPr>
        <dsp:cNvPr id="0" name=""/>
        <dsp:cNvSpPr/>
      </dsp:nvSpPr>
      <dsp:spPr>
        <a:xfrm>
          <a:off x="2073626" y="739728"/>
          <a:ext cx="1161600" cy="682583"/>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latin typeface="+mj-lt"/>
            </a:rPr>
            <a:t>Committee of Sponsoring Agencies </a:t>
          </a:r>
          <a:r>
            <a:rPr lang="en-US" sz="900" kern="1200">
              <a:latin typeface="+mj-lt"/>
            </a:rPr>
            <a:t>(Steering Committee)</a:t>
          </a:r>
        </a:p>
      </dsp:txBody>
      <dsp:txXfrm>
        <a:off x="2073626" y="739728"/>
        <a:ext cx="1161600" cy="682583"/>
      </dsp:txXfrm>
    </dsp:sp>
    <dsp:sp modelId="{9AD4DD9B-A7CE-4EBF-86DC-B6319F297BCC}">
      <dsp:nvSpPr>
        <dsp:cNvPr id="0" name=""/>
        <dsp:cNvSpPr/>
      </dsp:nvSpPr>
      <dsp:spPr>
        <a:xfrm>
          <a:off x="1532726" y="1574600"/>
          <a:ext cx="1045556" cy="647368"/>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latin typeface="+mj-lt"/>
            </a:rPr>
            <a:t>Expert Advisory Committee </a:t>
          </a:r>
          <a:r>
            <a:rPr lang="en-US" sz="900" kern="1200">
              <a:latin typeface="+mj-lt"/>
            </a:rPr>
            <a:t>(Science and Technology Advisory Committee)</a:t>
          </a:r>
        </a:p>
      </dsp:txBody>
      <dsp:txXfrm>
        <a:off x="1532726" y="1574600"/>
        <a:ext cx="1045556" cy="647368"/>
      </dsp:txXfrm>
    </dsp:sp>
    <dsp:sp modelId="{9C10512B-3029-4EB7-8C01-59946DF59509}">
      <dsp:nvSpPr>
        <dsp:cNvPr id="0" name=""/>
        <dsp:cNvSpPr/>
      </dsp:nvSpPr>
      <dsp:spPr>
        <a:xfrm>
          <a:off x="1145129" y="2374257"/>
          <a:ext cx="834230" cy="529040"/>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latin typeface="+mj-lt"/>
            </a:rPr>
            <a:t>Ecological Group </a:t>
          </a:r>
          <a:r>
            <a:rPr lang="en-US" sz="900" kern="1200">
              <a:latin typeface="+mj-lt"/>
            </a:rPr>
            <a:t>(Ecological Panel)</a:t>
          </a:r>
        </a:p>
      </dsp:txBody>
      <dsp:txXfrm>
        <a:off x="1145129" y="2374257"/>
        <a:ext cx="834230" cy="529040"/>
      </dsp:txXfrm>
    </dsp:sp>
    <dsp:sp modelId="{FB59F8E5-D6DF-4191-8FE6-70881DD9B5C6}">
      <dsp:nvSpPr>
        <dsp:cNvPr id="0" name=""/>
        <dsp:cNvSpPr/>
      </dsp:nvSpPr>
      <dsp:spPr>
        <a:xfrm>
          <a:off x="2730571" y="1574600"/>
          <a:ext cx="992146" cy="600532"/>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mj-lt"/>
            </a:rPr>
            <a:t>World Bank: </a:t>
          </a:r>
          <a:r>
            <a:rPr lang="en-US" sz="900" b="1" kern="1200">
              <a:latin typeface="+mj-lt"/>
            </a:rPr>
            <a:t>Onchoerciasis Fund</a:t>
          </a:r>
        </a:p>
      </dsp:txBody>
      <dsp:txXfrm>
        <a:off x="2730571" y="1574600"/>
        <a:ext cx="992146" cy="60053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37EB92-9B2D-44F8-B5AF-EB607FCEAB56}">
      <dsp:nvSpPr>
        <dsp:cNvPr id="0" name=""/>
        <dsp:cNvSpPr/>
      </dsp:nvSpPr>
      <dsp:spPr>
        <a:xfrm>
          <a:off x="174043" y="568962"/>
          <a:ext cx="986730" cy="49336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kern="1200"/>
            <a:t>Development partners </a:t>
          </a:r>
          <a:r>
            <a:rPr lang="en-US" sz="800" b="0" kern="1200"/>
            <a:t>(Donor contributions)</a:t>
          </a:r>
        </a:p>
      </dsp:txBody>
      <dsp:txXfrm>
        <a:off x="188493" y="583412"/>
        <a:ext cx="957830" cy="464465"/>
      </dsp:txXfrm>
    </dsp:sp>
    <dsp:sp modelId="{57A6A24D-2ACB-449A-AF89-CD83909F999D}">
      <dsp:nvSpPr>
        <dsp:cNvPr id="0" name=""/>
        <dsp:cNvSpPr/>
      </dsp:nvSpPr>
      <dsp:spPr>
        <a:xfrm>
          <a:off x="1160773" y="788425"/>
          <a:ext cx="394692" cy="54438"/>
        </a:xfrm>
        <a:prstGeom prst="rightArrow">
          <a:avLst/>
        </a:prstGeom>
        <a:noFill/>
        <a:ln w="12700" cap="flat" cmpd="sng" algn="ctr">
          <a:solidFill>
            <a:scrgbClr r="0" g="0" b="0"/>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pPr>
          <a:endParaRPr lang="en-US" sz="800" kern="1200"/>
        </a:p>
      </dsp:txBody>
      <dsp:txXfrm>
        <a:off x="1348252" y="805777"/>
        <a:ext cx="19734" cy="19734"/>
      </dsp:txXfrm>
    </dsp:sp>
    <dsp:sp modelId="{39EDF9C6-EB26-4A3A-BD5B-D636A552DABC}">
      <dsp:nvSpPr>
        <dsp:cNvPr id="0" name=""/>
        <dsp:cNvSpPr/>
      </dsp:nvSpPr>
      <dsp:spPr>
        <a:xfrm>
          <a:off x="1555465" y="568962"/>
          <a:ext cx="986730" cy="49336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kern="1200"/>
            <a:t>World Bank </a:t>
          </a:r>
        </a:p>
        <a:p>
          <a:pPr lvl="0" algn="ctr" defTabSz="355600">
            <a:lnSpc>
              <a:spcPct val="90000"/>
            </a:lnSpc>
            <a:spcBef>
              <a:spcPct val="0"/>
            </a:spcBef>
            <a:spcAft>
              <a:spcPct val="35000"/>
            </a:spcAft>
          </a:pPr>
          <a:r>
            <a:rPr lang="en-US" sz="800" kern="1200"/>
            <a:t>(Manages Onchocerciasis Fund)</a:t>
          </a:r>
        </a:p>
      </dsp:txBody>
      <dsp:txXfrm>
        <a:off x="1569915" y="583412"/>
        <a:ext cx="957830" cy="464465"/>
      </dsp:txXfrm>
    </dsp:sp>
    <dsp:sp modelId="{D14D49CB-CC0A-4ECA-8F15-1C53E703920E}">
      <dsp:nvSpPr>
        <dsp:cNvPr id="0" name=""/>
        <dsp:cNvSpPr/>
      </dsp:nvSpPr>
      <dsp:spPr>
        <a:xfrm>
          <a:off x="2542196" y="788425"/>
          <a:ext cx="394692" cy="54438"/>
        </a:xfrm>
        <a:prstGeom prst="rightArrow">
          <a:avLst/>
        </a:prstGeom>
        <a:noFill/>
        <a:ln w="12700" cap="flat" cmpd="sng" algn="ctr">
          <a:solidFill>
            <a:scrgbClr r="0" g="0" b="0"/>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pPr>
          <a:endParaRPr lang="en-US" sz="800" kern="1200"/>
        </a:p>
      </dsp:txBody>
      <dsp:txXfrm>
        <a:off x="2729675" y="805777"/>
        <a:ext cx="19734" cy="19734"/>
      </dsp:txXfrm>
    </dsp:sp>
    <dsp:sp modelId="{17C5696B-E6FA-4E40-BF55-2ACD81AF592C}">
      <dsp:nvSpPr>
        <dsp:cNvPr id="0" name=""/>
        <dsp:cNvSpPr/>
      </dsp:nvSpPr>
      <dsp:spPr>
        <a:xfrm>
          <a:off x="2936888" y="568962"/>
          <a:ext cx="986730" cy="49336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kern="1200"/>
            <a:t>World Health Organization</a:t>
          </a:r>
        </a:p>
        <a:p>
          <a:pPr lvl="0" algn="ctr" defTabSz="355600">
            <a:lnSpc>
              <a:spcPct val="90000"/>
            </a:lnSpc>
            <a:spcBef>
              <a:spcPct val="0"/>
            </a:spcBef>
            <a:spcAft>
              <a:spcPct val="35000"/>
            </a:spcAft>
          </a:pPr>
          <a:r>
            <a:rPr lang="en-US" sz="800" kern="1200"/>
            <a:t>(Develops plan of action &amp; budget) </a:t>
          </a:r>
        </a:p>
      </dsp:txBody>
      <dsp:txXfrm>
        <a:off x="2951338" y="583412"/>
        <a:ext cx="957830" cy="464465"/>
      </dsp:txXfrm>
    </dsp:sp>
    <dsp:sp modelId="{BBCE85EE-5524-4E41-A44B-D589AAA6DAA0}">
      <dsp:nvSpPr>
        <dsp:cNvPr id="0" name=""/>
        <dsp:cNvSpPr/>
      </dsp:nvSpPr>
      <dsp:spPr>
        <a:xfrm rot="18289469">
          <a:off x="3775389" y="504740"/>
          <a:ext cx="691151" cy="54438"/>
        </a:xfrm>
        <a:prstGeom prst="rightArrow">
          <a:avLst/>
        </a:prstGeom>
        <a:noFill/>
        <a:ln w="12700" cap="flat" cmpd="sng" algn="ctr">
          <a:solidFill>
            <a:scrgbClr r="0" g="0" b="0"/>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pPr>
          <a:endParaRPr lang="en-US" sz="800" kern="1200"/>
        </a:p>
      </dsp:txBody>
      <dsp:txXfrm>
        <a:off x="4103686" y="514681"/>
        <a:ext cx="34557" cy="34557"/>
      </dsp:txXfrm>
    </dsp:sp>
    <dsp:sp modelId="{D6465CB0-66ED-449C-AAD0-78905F6FF9C6}">
      <dsp:nvSpPr>
        <dsp:cNvPr id="0" name=""/>
        <dsp:cNvSpPr/>
      </dsp:nvSpPr>
      <dsp:spPr>
        <a:xfrm>
          <a:off x="4318311" y="1592"/>
          <a:ext cx="986730" cy="49336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kern="1200"/>
            <a:t>OCP Secretariat  </a:t>
          </a:r>
          <a:r>
            <a:rPr lang="en-US" sz="800" kern="1200"/>
            <a:t>Ouagadougou (Implements plan of action)</a:t>
          </a:r>
        </a:p>
      </dsp:txBody>
      <dsp:txXfrm>
        <a:off x="4332761" y="16042"/>
        <a:ext cx="957830" cy="464465"/>
      </dsp:txXfrm>
    </dsp:sp>
    <dsp:sp modelId="{AEA2F1A2-391D-461C-8A7E-A2C9A4CA5222}">
      <dsp:nvSpPr>
        <dsp:cNvPr id="0" name=""/>
        <dsp:cNvSpPr/>
      </dsp:nvSpPr>
      <dsp:spPr>
        <a:xfrm>
          <a:off x="3923619" y="788425"/>
          <a:ext cx="394692" cy="54438"/>
        </a:xfrm>
        <a:prstGeom prst="rightArrow">
          <a:avLst/>
        </a:prstGeom>
        <a:noFill/>
        <a:ln w="12700" cap="flat" cmpd="sng" algn="ctr">
          <a:solidFill>
            <a:scrgbClr r="0" g="0" b="0"/>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pPr>
          <a:endParaRPr lang="en-US" sz="800" kern="1200"/>
        </a:p>
      </dsp:txBody>
      <dsp:txXfrm>
        <a:off x="4111097" y="805777"/>
        <a:ext cx="19734" cy="19734"/>
      </dsp:txXfrm>
    </dsp:sp>
    <dsp:sp modelId="{A08D0474-C8F1-48F5-A3FB-34C4EBBE7BD0}">
      <dsp:nvSpPr>
        <dsp:cNvPr id="0" name=""/>
        <dsp:cNvSpPr/>
      </dsp:nvSpPr>
      <dsp:spPr>
        <a:xfrm>
          <a:off x="4318311" y="568962"/>
          <a:ext cx="986730" cy="49336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kern="1200"/>
            <a:t>Committee of Sponsoring Agencies </a:t>
          </a:r>
          <a:r>
            <a:rPr lang="en-US" sz="800" kern="1200"/>
            <a:t>(Oversees/evaluates implementation)</a:t>
          </a:r>
        </a:p>
      </dsp:txBody>
      <dsp:txXfrm>
        <a:off x="4332761" y="583412"/>
        <a:ext cx="957830" cy="464465"/>
      </dsp:txXfrm>
    </dsp:sp>
    <dsp:sp modelId="{20549610-AA56-4EA1-B613-8C7CF796226A}">
      <dsp:nvSpPr>
        <dsp:cNvPr id="0" name=""/>
        <dsp:cNvSpPr/>
      </dsp:nvSpPr>
      <dsp:spPr>
        <a:xfrm rot="3310531">
          <a:off x="3775389" y="1072110"/>
          <a:ext cx="691151" cy="54438"/>
        </a:xfrm>
        <a:prstGeom prst="rightArrow">
          <a:avLst/>
        </a:prstGeom>
        <a:noFill/>
        <a:ln w="12700" cap="flat" cmpd="sng" algn="ctr">
          <a:solidFill>
            <a:scrgbClr r="0" g="0" b="0"/>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pPr>
          <a:endParaRPr lang="en-US" sz="800" kern="1200"/>
        </a:p>
      </dsp:txBody>
      <dsp:txXfrm>
        <a:off x="4103686" y="1082051"/>
        <a:ext cx="34557" cy="34557"/>
      </dsp:txXfrm>
    </dsp:sp>
    <dsp:sp modelId="{7875C5CE-C99B-484C-A3B3-77B8BCC7301F}">
      <dsp:nvSpPr>
        <dsp:cNvPr id="0" name=""/>
        <dsp:cNvSpPr/>
      </dsp:nvSpPr>
      <dsp:spPr>
        <a:xfrm>
          <a:off x="4318311" y="1136332"/>
          <a:ext cx="986730" cy="49336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100000"/>
            </a:lnSpc>
            <a:spcBef>
              <a:spcPct val="0"/>
            </a:spcBef>
            <a:spcAft>
              <a:spcPts val="0"/>
            </a:spcAft>
          </a:pPr>
          <a:r>
            <a:rPr lang="en-US" sz="800" b="1" kern="1200"/>
            <a:t>Joint Programme Commission </a:t>
          </a:r>
        </a:p>
        <a:p>
          <a:pPr lvl="0" algn="ctr" defTabSz="355600">
            <a:lnSpc>
              <a:spcPct val="100000"/>
            </a:lnSpc>
            <a:spcBef>
              <a:spcPct val="0"/>
            </a:spcBef>
            <a:spcAft>
              <a:spcPts val="0"/>
            </a:spcAft>
          </a:pPr>
          <a:r>
            <a:rPr lang="en-US" sz="800" kern="1200"/>
            <a:t>(Approves plan of action &amp; budget)</a:t>
          </a:r>
        </a:p>
      </dsp:txBody>
      <dsp:txXfrm>
        <a:off x="4332761" y="1150782"/>
        <a:ext cx="957830" cy="464465"/>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17D4D6-0D19-0743-A9BA-A5BBCF909E3F}">
      <dsp:nvSpPr>
        <dsp:cNvPr id="0" name=""/>
        <dsp:cNvSpPr/>
      </dsp:nvSpPr>
      <dsp:spPr>
        <a:xfrm>
          <a:off x="0" y="280867"/>
          <a:ext cx="5334000" cy="5103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13978" tIns="187452" rIns="413978" bIns="64008" numCol="1" spcCol="1270" anchor="t" anchorCtr="0">
          <a:noAutofit/>
        </a:bodyPr>
        <a:lstStyle/>
        <a:p>
          <a:pPr marL="57150" lvl="1" indent="-57150" algn="l" defTabSz="400050">
            <a:lnSpc>
              <a:spcPct val="90000"/>
            </a:lnSpc>
            <a:spcBef>
              <a:spcPct val="0"/>
            </a:spcBef>
            <a:spcAft>
              <a:spcPct val="15000"/>
            </a:spcAft>
            <a:buChar char="••"/>
          </a:pPr>
          <a:r>
            <a:rPr lang="en-US" sz="900" kern="1200"/>
            <a:t>Programmes can be 'sold' to donors - irrespective of disease burden - with the right combination of metrics and media</a:t>
          </a:r>
        </a:p>
      </dsp:txBody>
      <dsp:txXfrm>
        <a:off x="0" y="280867"/>
        <a:ext cx="5334000" cy="510300"/>
      </dsp:txXfrm>
    </dsp:sp>
    <dsp:sp modelId="{3262CCA1-A4FC-6542-ABEF-F40CA0E8AD5E}">
      <dsp:nvSpPr>
        <dsp:cNvPr id="0" name=""/>
        <dsp:cNvSpPr/>
      </dsp:nvSpPr>
      <dsp:spPr>
        <a:xfrm>
          <a:off x="266700" y="148027"/>
          <a:ext cx="3733800" cy="26568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1129" tIns="0" rIns="141129" bIns="0" numCol="1" spcCol="1270" anchor="ctr" anchorCtr="0">
          <a:noAutofit/>
        </a:bodyPr>
        <a:lstStyle/>
        <a:p>
          <a:pPr lvl="0" algn="l" defTabSz="400050">
            <a:lnSpc>
              <a:spcPct val="90000"/>
            </a:lnSpc>
            <a:spcBef>
              <a:spcPct val="0"/>
            </a:spcBef>
            <a:spcAft>
              <a:spcPct val="35000"/>
            </a:spcAft>
          </a:pPr>
          <a:r>
            <a:rPr lang="en-US" sz="900" kern="1200"/>
            <a:t>1: Power of public relations</a:t>
          </a:r>
        </a:p>
      </dsp:txBody>
      <dsp:txXfrm>
        <a:off x="279669" y="160996"/>
        <a:ext cx="3707862" cy="239742"/>
      </dsp:txXfrm>
    </dsp:sp>
    <dsp:sp modelId="{50BF2072-FB2E-C943-87AA-51F51B31420C}">
      <dsp:nvSpPr>
        <dsp:cNvPr id="0" name=""/>
        <dsp:cNvSpPr/>
      </dsp:nvSpPr>
      <dsp:spPr>
        <a:xfrm>
          <a:off x="0" y="972607"/>
          <a:ext cx="5334000" cy="382725"/>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13978" tIns="187452" rIns="413978" bIns="64008" numCol="1" spcCol="1270" anchor="t" anchorCtr="0">
          <a:noAutofit/>
        </a:bodyPr>
        <a:lstStyle/>
        <a:p>
          <a:pPr marL="57150" lvl="1" indent="-57150" algn="l" defTabSz="400050">
            <a:lnSpc>
              <a:spcPct val="90000"/>
            </a:lnSpc>
            <a:spcBef>
              <a:spcPct val="0"/>
            </a:spcBef>
            <a:spcAft>
              <a:spcPct val="15000"/>
            </a:spcAft>
            <a:buChar char="••"/>
          </a:pPr>
          <a:r>
            <a:rPr lang="en-US" sz="900" kern="1200"/>
            <a:t>Well-placed intra- and extra-institutional individuals can be crucial for financing flexibility</a:t>
          </a:r>
        </a:p>
      </dsp:txBody>
      <dsp:txXfrm>
        <a:off x="0" y="972607"/>
        <a:ext cx="5334000" cy="382725"/>
      </dsp:txXfrm>
    </dsp:sp>
    <dsp:sp modelId="{7EAD6C94-B067-354C-AE50-1896A26183D9}">
      <dsp:nvSpPr>
        <dsp:cNvPr id="0" name=""/>
        <dsp:cNvSpPr/>
      </dsp:nvSpPr>
      <dsp:spPr>
        <a:xfrm>
          <a:off x="266700" y="839767"/>
          <a:ext cx="3733800" cy="26568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1129" tIns="0" rIns="141129" bIns="0" numCol="1" spcCol="1270" anchor="ctr" anchorCtr="0">
          <a:noAutofit/>
        </a:bodyPr>
        <a:lstStyle/>
        <a:p>
          <a:pPr lvl="0" algn="l" defTabSz="400050">
            <a:lnSpc>
              <a:spcPct val="90000"/>
            </a:lnSpc>
            <a:spcBef>
              <a:spcPct val="0"/>
            </a:spcBef>
            <a:spcAft>
              <a:spcPct val="35000"/>
            </a:spcAft>
          </a:pPr>
          <a:r>
            <a:rPr lang="en-US" sz="900" kern="1200"/>
            <a:t>2. Leader/celebrity buy-in</a:t>
          </a:r>
        </a:p>
      </dsp:txBody>
      <dsp:txXfrm>
        <a:off x="279669" y="852736"/>
        <a:ext cx="3707862" cy="239742"/>
      </dsp:txXfrm>
    </dsp:sp>
    <dsp:sp modelId="{0EB112DD-7083-A743-993B-A840FBE0D1FA}">
      <dsp:nvSpPr>
        <dsp:cNvPr id="0" name=""/>
        <dsp:cNvSpPr/>
      </dsp:nvSpPr>
      <dsp:spPr>
        <a:xfrm>
          <a:off x="0" y="1536772"/>
          <a:ext cx="5334000" cy="382725"/>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13978" tIns="187452" rIns="413978" bIns="64008" numCol="1" spcCol="1270" anchor="t" anchorCtr="0">
          <a:noAutofit/>
        </a:bodyPr>
        <a:lstStyle/>
        <a:p>
          <a:pPr marL="57150" lvl="1" indent="-57150" algn="l" defTabSz="400050">
            <a:lnSpc>
              <a:spcPct val="90000"/>
            </a:lnSpc>
            <a:spcBef>
              <a:spcPct val="0"/>
            </a:spcBef>
            <a:spcAft>
              <a:spcPct val="15000"/>
            </a:spcAft>
            <a:buChar char="••"/>
          </a:pPr>
          <a:r>
            <a:rPr lang="en-US" sz="900" kern="1200"/>
            <a:t>More donors may be captured with flexible pledging and monetary transfer periods</a:t>
          </a:r>
        </a:p>
      </dsp:txBody>
      <dsp:txXfrm>
        <a:off x="0" y="1536772"/>
        <a:ext cx="5334000" cy="382725"/>
      </dsp:txXfrm>
    </dsp:sp>
    <dsp:sp modelId="{C97D82C3-D549-FC46-8916-7A108A9888F0}">
      <dsp:nvSpPr>
        <dsp:cNvPr id="0" name=""/>
        <dsp:cNvSpPr/>
      </dsp:nvSpPr>
      <dsp:spPr>
        <a:xfrm>
          <a:off x="266700" y="1403932"/>
          <a:ext cx="3733800" cy="26568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1129" tIns="0" rIns="141129" bIns="0" numCol="1" spcCol="1270" anchor="ctr" anchorCtr="0">
          <a:noAutofit/>
        </a:bodyPr>
        <a:lstStyle/>
        <a:p>
          <a:pPr lvl="0" algn="l" defTabSz="400050">
            <a:lnSpc>
              <a:spcPct val="90000"/>
            </a:lnSpc>
            <a:spcBef>
              <a:spcPct val="0"/>
            </a:spcBef>
            <a:spcAft>
              <a:spcPct val="35000"/>
            </a:spcAft>
          </a:pPr>
          <a:r>
            <a:rPr lang="en-US" sz="900" kern="1200"/>
            <a:t>3. Flexible pledging</a:t>
          </a:r>
        </a:p>
      </dsp:txBody>
      <dsp:txXfrm>
        <a:off x="279669" y="1416901"/>
        <a:ext cx="3707862" cy="239742"/>
      </dsp:txXfrm>
    </dsp:sp>
    <dsp:sp modelId="{3D6B36B8-A34A-5D48-B1D0-1DEC7C076F34}">
      <dsp:nvSpPr>
        <dsp:cNvPr id="0" name=""/>
        <dsp:cNvSpPr/>
      </dsp:nvSpPr>
      <dsp:spPr>
        <a:xfrm>
          <a:off x="0" y="2100937"/>
          <a:ext cx="5334000" cy="5103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13978" tIns="187452" rIns="413978" bIns="64008" numCol="1" spcCol="1270" anchor="t" anchorCtr="0">
          <a:noAutofit/>
        </a:bodyPr>
        <a:lstStyle/>
        <a:p>
          <a:pPr marL="57150" lvl="1" indent="-57150" algn="l" defTabSz="400050">
            <a:lnSpc>
              <a:spcPct val="90000"/>
            </a:lnSpc>
            <a:spcBef>
              <a:spcPct val="0"/>
            </a:spcBef>
            <a:spcAft>
              <a:spcPct val="15000"/>
            </a:spcAft>
            <a:buChar char="••"/>
          </a:pPr>
          <a:r>
            <a:rPr lang="en-US" sz="900" kern="1200"/>
            <a:t>Small amounts of internal earmarking may help promote programme aspects that must be prioritised</a:t>
          </a:r>
        </a:p>
      </dsp:txBody>
      <dsp:txXfrm>
        <a:off x="0" y="2100937"/>
        <a:ext cx="5334000" cy="510300"/>
      </dsp:txXfrm>
    </dsp:sp>
    <dsp:sp modelId="{9285FA70-3CA2-4047-A488-6A18A55F9958}">
      <dsp:nvSpPr>
        <dsp:cNvPr id="0" name=""/>
        <dsp:cNvSpPr/>
      </dsp:nvSpPr>
      <dsp:spPr>
        <a:xfrm>
          <a:off x="266700" y="1968097"/>
          <a:ext cx="3733800" cy="26568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1129" tIns="0" rIns="141129" bIns="0" numCol="1" spcCol="1270" anchor="ctr" anchorCtr="0">
          <a:noAutofit/>
        </a:bodyPr>
        <a:lstStyle/>
        <a:p>
          <a:pPr lvl="0" algn="l" defTabSz="400050">
            <a:lnSpc>
              <a:spcPct val="90000"/>
            </a:lnSpc>
            <a:spcBef>
              <a:spcPct val="0"/>
            </a:spcBef>
            <a:spcAft>
              <a:spcPct val="35000"/>
            </a:spcAft>
          </a:pPr>
          <a:r>
            <a:rPr lang="en-US" sz="900" kern="1200"/>
            <a:t>4. Separating budgetary lines</a:t>
          </a:r>
        </a:p>
      </dsp:txBody>
      <dsp:txXfrm>
        <a:off x="279669" y="1981066"/>
        <a:ext cx="3707862" cy="239742"/>
      </dsp:txXfrm>
    </dsp:sp>
    <dsp:sp modelId="{B4BA0F7D-4E0F-A74D-AE23-1F411FEC2463}">
      <dsp:nvSpPr>
        <dsp:cNvPr id="0" name=""/>
        <dsp:cNvSpPr/>
      </dsp:nvSpPr>
      <dsp:spPr>
        <a:xfrm>
          <a:off x="0" y="2792677"/>
          <a:ext cx="5334000" cy="382725"/>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13978" tIns="187452" rIns="413978" bIns="64008" numCol="1" spcCol="1270" anchor="t" anchorCtr="0">
          <a:noAutofit/>
        </a:bodyPr>
        <a:lstStyle/>
        <a:p>
          <a:pPr marL="57150" lvl="1" indent="-57150" algn="l" defTabSz="400050">
            <a:lnSpc>
              <a:spcPct val="90000"/>
            </a:lnSpc>
            <a:spcBef>
              <a:spcPct val="0"/>
            </a:spcBef>
            <a:spcAft>
              <a:spcPct val="15000"/>
            </a:spcAft>
            <a:buChar char="••"/>
          </a:pPr>
          <a:r>
            <a:rPr lang="en-US" sz="900" kern="1200"/>
            <a:t>Meetings are important not just in times of crisis, to maintain stability</a:t>
          </a:r>
        </a:p>
      </dsp:txBody>
      <dsp:txXfrm>
        <a:off x="0" y="2792677"/>
        <a:ext cx="5334000" cy="382725"/>
      </dsp:txXfrm>
    </dsp:sp>
    <dsp:sp modelId="{014CF4FE-C407-B840-A1E5-ECE4483ECADE}">
      <dsp:nvSpPr>
        <dsp:cNvPr id="0" name=""/>
        <dsp:cNvSpPr/>
      </dsp:nvSpPr>
      <dsp:spPr>
        <a:xfrm>
          <a:off x="266700" y="2659837"/>
          <a:ext cx="3733800" cy="26568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1129" tIns="0" rIns="141129" bIns="0" numCol="1" spcCol="1270" anchor="ctr" anchorCtr="0">
          <a:noAutofit/>
        </a:bodyPr>
        <a:lstStyle/>
        <a:p>
          <a:pPr lvl="0" algn="l" defTabSz="400050">
            <a:lnSpc>
              <a:spcPct val="90000"/>
            </a:lnSpc>
            <a:spcBef>
              <a:spcPct val="0"/>
            </a:spcBef>
            <a:spcAft>
              <a:spcPct val="35000"/>
            </a:spcAft>
          </a:pPr>
          <a:r>
            <a:rPr lang="en-US" sz="900" kern="1200"/>
            <a:t>5. Frequent donor meetings</a:t>
          </a:r>
        </a:p>
      </dsp:txBody>
      <dsp:txXfrm>
        <a:off x="279669" y="2672806"/>
        <a:ext cx="3707862" cy="239742"/>
      </dsp:txXfrm>
    </dsp:sp>
    <dsp:sp modelId="{ED19BE7E-E107-214B-AC94-F021FD58A4EB}">
      <dsp:nvSpPr>
        <dsp:cNvPr id="0" name=""/>
        <dsp:cNvSpPr/>
      </dsp:nvSpPr>
      <dsp:spPr>
        <a:xfrm>
          <a:off x="0" y="3356842"/>
          <a:ext cx="5334000" cy="5103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13978" tIns="187452" rIns="413978" bIns="64008" numCol="1" spcCol="1270" anchor="t" anchorCtr="0">
          <a:noAutofit/>
        </a:bodyPr>
        <a:lstStyle/>
        <a:p>
          <a:pPr marL="57150" lvl="1" indent="-57150" algn="l" defTabSz="400050">
            <a:lnSpc>
              <a:spcPct val="90000"/>
            </a:lnSpc>
            <a:spcBef>
              <a:spcPct val="0"/>
            </a:spcBef>
            <a:spcAft>
              <a:spcPct val="15000"/>
            </a:spcAft>
            <a:buChar char="••"/>
          </a:pPr>
          <a:r>
            <a:rPr lang="en-US" sz="900" kern="1200"/>
            <a:t>Donor relationships benefit from Bank fundraising staff stability - even if this goes against typical Bank staffing efficiency models</a:t>
          </a:r>
        </a:p>
      </dsp:txBody>
      <dsp:txXfrm>
        <a:off x="0" y="3356842"/>
        <a:ext cx="5334000" cy="510300"/>
      </dsp:txXfrm>
    </dsp:sp>
    <dsp:sp modelId="{78AEB62D-F0BF-4B41-9C63-180C4677B767}">
      <dsp:nvSpPr>
        <dsp:cNvPr id="0" name=""/>
        <dsp:cNvSpPr/>
      </dsp:nvSpPr>
      <dsp:spPr>
        <a:xfrm>
          <a:off x="266700" y="3224002"/>
          <a:ext cx="3733800" cy="26568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1129" tIns="0" rIns="141129" bIns="0" numCol="1" spcCol="1270" anchor="ctr" anchorCtr="0">
          <a:noAutofit/>
        </a:bodyPr>
        <a:lstStyle/>
        <a:p>
          <a:pPr lvl="0" algn="l" defTabSz="400050">
            <a:lnSpc>
              <a:spcPct val="90000"/>
            </a:lnSpc>
            <a:spcBef>
              <a:spcPct val="0"/>
            </a:spcBef>
            <a:spcAft>
              <a:spcPct val="35000"/>
            </a:spcAft>
          </a:pPr>
          <a:r>
            <a:rPr lang="en-US" sz="900" kern="1200"/>
            <a:t>6. Staffing consistency</a:t>
          </a:r>
        </a:p>
      </dsp:txBody>
      <dsp:txXfrm>
        <a:off x="279669" y="3236971"/>
        <a:ext cx="3707862" cy="239742"/>
      </dsp:txXfrm>
    </dsp:sp>
    <dsp:sp modelId="{589FE64F-DBBA-9342-8F92-D23F324110A1}">
      <dsp:nvSpPr>
        <dsp:cNvPr id="0" name=""/>
        <dsp:cNvSpPr/>
      </dsp:nvSpPr>
      <dsp:spPr>
        <a:xfrm>
          <a:off x="0" y="4048582"/>
          <a:ext cx="5334000" cy="382725"/>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13978" tIns="187452" rIns="413978" bIns="64008" numCol="1" spcCol="1270" anchor="t" anchorCtr="0">
          <a:noAutofit/>
        </a:bodyPr>
        <a:lstStyle/>
        <a:p>
          <a:pPr marL="57150" lvl="1" indent="-57150" algn="l" defTabSz="400050">
            <a:lnSpc>
              <a:spcPct val="90000"/>
            </a:lnSpc>
            <a:spcBef>
              <a:spcPct val="0"/>
            </a:spcBef>
            <a:spcAft>
              <a:spcPct val="15000"/>
            </a:spcAft>
            <a:buChar char="••"/>
          </a:pPr>
          <a:r>
            <a:rPr lang="en-US" sz="900" kern="1200"/>
            <a:t>Building this in - especially for technologically-heavy programmes - is key to long-term stability</a:t>
          </a:r>
        </a:p>
      </dsp:txBody>
      <dsp:txXfrm>
        <a:off x="0" y="4048582"/>
        <a:ext cx="5334000" cy="382725"/>
      </dsp:txXfrm>
    </dsp:sp>
    <dsp:sp modelId="{26AB7402-A061-BB4D-8E90-9C4F6AF315AA}">
      <dsp:nvSpPr>
        <dsp:cNvPr id="0" name=""/>
        <dsp:cNvSpPr/>
      </dsp:nvSpPr>
      <dsp:spPr>
        <a:xfrm>
          <a:off x="266700" y="3915742"/>
          <a:ext cx="3733800" cy="26568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1129" tIns="0" rIns="141129" bIns="0" numCol="1" spcCol="1270" anchor="ctr" anchorCtr="0">
          <a:noAutofit/>
        </a:bodyPr>
        <a:lstStyle/>
        <a:p>
          <a:pPr lvl="0" algn="l" defTabSz="400050">
            <a:lnSpc>
              <a:spcPct val="90000"/>
            </a:lnSpc>
            <a:spcBef>
              <a:spcPct val="0"/>
            </a:spcBef>
            <a:spcAft>
              <a:spcPct val="35000"/>
            </a:spcAft>
          </a:pPr>
          <a:r>
            <a:rPr lang="en-US" sz="900" kern="1200"/>
            <a:t>Operational research budget</a:t>
          </a:r>
        </a:p>
      </dsp:txBody>
      <dsp:txXfrm>
        <a:off x="279669" y="3928711"/>
        <a:ext cx="3707862" cy="239742"/>
      </dsp:txXfrm>
    </dsp:sp>
    <dsp:sp modelId="{530A985B-D129-3D45-922C-D6F683A6D1E2}">
      <dsp:nvSpPr>
        <dsp:cNvPr id="0" name=""/>
        <dsp:cNvSpPr/>
      </dsp:nvSpPr>
      <dsp:spPr>
        <a:xfrm>
          <a:off x="0" y="4612747"/>
          <a:ext cx="5334000" cy="382725"/>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13978" tIns="187452" rIns="413978" bIns="64008" numCol="1" spcCol="1270" anchor="t" anchorCtr="0">
          <a:noAutofit/>
        </a:bodyPr>
        <a:lstStyle/>
        <a:p>
          <a:pPr marL="57150" lvl="1" indent="-57150" algn="l" defTabSz="400050">
            <a:lnSpc>
              <a:spcPct val="90000"/>
            </a:lnSpc>
            <a:spcBef>
              <a:spcPct val="0"/>
            </a:spcBef>
            <a:spcAft>
              <a:spcPct val="15000"/>
            </a:spcAft>
            <a:buChar char="••"/>
          </a:pPr>
          <a:r>
            <a:rPr lang="en-US" sz="900" kern="1200"/>
            <a:t>Donors like direct links to programme outputs, including both metrics and itemized costs</a:t>
          </a:r>
        </a:p>
      </dsp:txBody>
      <dsp:txXfrm>
        <a:off x="0" y="4612747"/>
        <a:ext cx="5334000" cy="382725"/>
      </dsp:txXfrm>
    </dsp:sp>
    <dsp:sp modelId="{CA668EDB-63CB-B44E-A2D5-87A8EECA304F}">
      <dsp:nvSpPr>
        <dsp:cNvPr id="0" name=""/>
        <dsp:cNvSpPr/>
      </dsp:nvSpPr>
      <dsp:spPr>
        <a:xfrm>
          <a:off x="266700" y="4479907"/>
          <a:ext cx="3733800" cy="26568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1129" tIns="0" rIns="141129" bIns="0" numCol="1" spcCol="1270" anchor="ctr" anchorCtr="0">
          <a:noAutofit/>
        </a:bodyPr>
        <a:lstStyle/>
        <a:p>
          <a:pPr lvl="0" algn="l" defTabSz="400050">
            <a:lnSpc>
              <a:spcPct val="90000"/>
            </a:lnSpc>
            <a:spcBef>
              <a:spcPct val="0"/>
            </a:spcBef>
            <a:spcAft>
              <a:spcPct val="35000"/>
            </a:spcAft>
          </a:pPr>
          <a:r>
            <a:rPr lang="en-US" sz="900" kern="1200"/>
            <a:t>Budgetary transparency</a:t>
          </a:r>
        </a:p>
      </dsp:txBody>
      <dsp:txXfrm>
        <a:off x="279669" y="4492876"/>
        <a:ext cx="3707862" cy="239742"/>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EF0205-F5D1-6141-90A1-E4FD011F9F7B}">
      <dsp:nvSpPr>
        <dsp:cNvPr id="0" name=""/>
        <dsp:cNvSpPr/>
      </dsp:nvSpPr>
      <dsp:spPr>
        <a:xfrm>
          <a:off x="215035" y="-304040"/>
          <a:ext cx="5208728" cy="2254868"/>
        </a:xfrm>
        <a:prstGeom prst="rect">
          <a:avLst/>
        </a:prstGeom>
        <a:solidFill>
          <a:schemeClr val="bg1"/>
        </a:solidFill>
        <a:ln>
          <a:noFill/>
        </a:ln>
        <a:effectLst/>
      </dsp:spPr>
      <dsp:style>
        <a:lnRef idx="0">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solidFill>
                <a:sysClr val="windowText" lastClr="000000"/>
              </a:solidFill>
            </a:rPr>
            <a:t>General objective: Promote research capacity and innovation for new drugs and control tools, including field research, for the control of 8 tropical diseases</a:t>
          </a:r>
          <a:endParaRPr lang="en-US" sz="1000" kern="1200">
            <a:solidFill>
              <a:sysClr val="windowText" lastClr="000000"/>
            </a:solidFill>
          </a:endParaRPr>
        </a:p>
        <a:p>
          <a:pPr lvl="0" algn="ctr" defTabSz="444500">
            <a:lnSpc>
              <a:spcPct val="90000"/>
            </a:lnSpc>
            <a:spcBef>
              <a:spcPct val="0"/>
            </a:spcBef>
            <a:spcAft>
              <a:spcPct val="35000"/>
            </a:spcAft>
          </a:pPr>
          <a:r>
            <a:rPr lang="en-US" sz="900" b="0" i="0" kern="1200">
              <a:solidFill>
                <a:sysClr val="windowText" lastClr="000000"/>
              </a:solidFill>
            </a:rPr>
            <a:t>-Est. 1974 at request of World Health Assembly</a:t>
          </a:r>
        </a:p>
        <a:p>
          <a:pPr lvl="0" algn="ctr" defTabSz="444500">
            <a:lnSpc>
              <a:spcPct val="90000"/>
            </a:lnSpc>
            <a:spcBef>
              <a:spcPct val="0"/>
            </a:spcBef>
            <a:spcAft>
              <a:spcPct val="35000"/>
            </a:spcAft>
          </a:pPr>
          <a:r>
            <a:rPr lang="en-US" sz="900" b="0" i="0" kern="1200">
              <a:solidFill>
                <a:sysClr val="windowText" lastClr="000000"/>
              </a:solidFill>
            </a:rPr>
            <a:t>-Composed of sponsoring agencies, scientists, public health experts, institutions, and donor/developing countries</a:t>
          </a:r>
        </a:p>
        <a:p>
          <a:pPr lvl="0" algn="ctr" defTabSz="444500">
            <a:lnSpc>
              <a:spcPct val="90000"/>
            </a:lnSpc>
            <a:spcBef>
              <a:spcPct val="0"/>
            </a:spcBef>
            <a:spcAft>
              <a:spcPct val="35000"/>
            </a:spcAft>
          </a:pPr>
          <a:r>
            <a:rPr lang="en-US" sz="900" b="0" i="0" kern="1200">
              <a:solidFill>
                <a:sysClr val="windowText" lastClr="000000"/>
              </a:solidFill>
            </a:rPr>
            <a:t>-Sponsored by WHO (1974-onwards), UNDP (1976-onwards), World Bank (1977-onwards)</a:t>
          </a:r>
        </a:p>
        <a:p>
          <a:pPr lvl="0" algn="ctr" defTabSz="444500">
            <a:lnSpc>
              <a:spcPct val="90000"/>
            </a:lnSpc>
            <a:spcBef>
              <a:spcPct val="0"/>
            </a:spcBef>
            <a:spcAft>
              <a:spcPct val="35000"/>
            </a:spcAft>
          </a:pPr>
          <a:r>
            <a:rPr lang="en-US" sz="900" b="0" i="0" kern="1200">
              <a:solidFill>
                <a:sysClr val="windowText" lastClr="000000"/>
              </a:solidFill>
            </a:rPr>
            <a:t>-Most funds earmarked for 'research capacity strengthening'</a:t>
          </a:r>
        </a:p>
        <a:p>
          <a:pPr lvl="0" algn="ctr" defTabSz="444500">
            <a:lnSpc>
              <a:spcPct val="90000"/>
            </a:lnSpc>
            <a:spcBef>
              <a:spcPct val="0"/>
            </a:spcBef>
            <a:spcAft>
              <a:spcPct val="35000"/>
            </a:spcAft>
          </a:pPr>
          <a:r>
            <a:rPr lang="en-US" sz="900" b="0" i="0" kern="1200">
              <a:solidFill>
                <a:sysClr val="windowText" lastClr="000000"/>
              </a:solidFill>
            </a:rPr>
            <a:t>-Intended to compensate for poor private pharmaceutical company incentives to invest in research &amp; development for tropical disease drugs and control technology</a:t>
          </a:r>
        </a:p>
      </dsp:txBody>
      <dsp:txXfrm>
        <a:off x="215035" y="-304040"/>
        <a:ext cx="5208728" cy="2254868"/>
      </dsp:txXfrm>
    </dsp:sp>
    <dsp:sp modelId="{497882C7-CCCB-AB4E-AB67-170FEE9CA024}">
      <dsp:nvSpPr>
        <dsp:cNvPr id="0" name=""/>
        <dsp:cNvSpPr/>
      </dsp:nvSpPr>
      <dsp:spPr>
        <a:xfrm>
          <a:off x="0" y="1651001"/>
          <a:ext cx="1877764" cy="1086122"/>
        </a:xfrm>
        <a:prstGeom prst="rect">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solidFill>
                <a:sysClr val="windowText" lastClr="000000"/>
              </a:solidFill>
            </a:rPr>
            <a:t>Disease sub-groups: </a:t>
          </a:r>
        </a:p>
        <a:p>
          <a:pPr lvl="0" algn="ctr" defTabSz="400050">
            <a:lnSpc>
              <a:spcPct val="90000"/>
            </a:lnSpc>
            <a:spcBef>
              <a:spcPct val="0"/>
            </a:spcBef>
            <a:spcAft>
              <a:spcPct val="35000"/>
            </a:spcAft>
          </a:pPr>
          <a:r>
            <a:rPr lang="en-US" sz="900" kern="1200">
              <a:solidFill>
                <a:sysClr val="windowText" lastClr="000000"/>
              </a:solidFill>
            </a:rPr>
            <a:t>malaria, filariasis (incl. onchoceciasis), trypanosomiasis, leprosy, leishmaniasis</a:t>
          </a:r>
        </a:p>
      </dsp:txBody>
      <dsp:txXfrm>
        <a:off x="0" y="1651001"/>
        <a:ext cx="1877764" cy="1086122"/>
      </dsp:txXfrm>
    </dsp:sp>
    <dsp:sp modelId="{267D8217-4DC5-5340-8F19-B3097AFC4ADD}">
      <dsp:nvSpPr>
        <dsp:cNvPr id="0" name=""/>
        <dsp:cNvSpPr/>
      </dsp:nvSpPr>
      <dsp:spPr>
        <a:xfrm>
          <a:off x="1880517" y="1638303"/>
          <a:ext cx="1877764" cy="1086711"/>
        </a:xfrm>
        <a:prstGeom prst="rect">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solidFill>
                <a:sysClr val="windowText" lastClr="000000"/>
              </a:solidFill>
            </a:rPr>
            <a:t>Cross-cutting sub-groups:</a:t>
          </a:r>
        </a:p>
        <a:p>
          <a:pPr lvl="0" algn="ctr" defTabSz="400050">
            <a:lnSpc>
              <a:spcPct val="90000"/>
            </a:lnSpc>
            <a:spcBef>
              <a:spcPct val="0"/>
            </a:spcBef>
            <a:spcAft>
              <a:spcPct val="35000"/>
            </a:spcAft>
          </a:pPr>
          <a:r>
            <a:rPr lang="en-US" sz="900" kern="1200">
              <a:solidFill>
                <a:sysClr val="windowText" lastClr="000000"/>
              </a:solidFill>
            </a:rPr>
            <a:t> biomedicine, vector biology control, epidemiology, social/economic research</a:t>
          </a:r>
        </a:p>
      </dsp:txBody>
      <dsp:txXfrm>
        <a:off x="1880517" y="1638303"/>
        <a:ext cx="1877764" cy="1086711"/>
      </dsp:txXfrm>
    </dsp:sp>
    <dsp:sp modelId="{CBF17F10-41E5-9C47-9A0B-776120DDF17E}">
      <dsp:nvSpPr>
        <dsp:cNvPr id="0" name=""/>
        <dsp:cNvSpPr/>
      </dsp:nvSpPr>
      <dsp:spPr>
        <a:xfrm>
          <a:off x="3758282" y="1651001"/>
          <a:ext cx="1877764" cy="1061315"/>
        </a:xfrm>
        <a:prstGeom prst="rect">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solidFill>
                <a:sysClr val="windowText" lastClr="000000"/>
              </a:solidFill>
            </a:rPr>
            <a:t>Sub-group: </a:t>
          </a:r>
        </a:p>
        <a:p>
          <a:pPr lvl="0" algn="ctr" defTabSz="400050">
            <a:lnSpc>
              <a:spcPct val="90000"/>
            </a:lnSpc>
            <a:spcBef>
              <a:spcPct val="0"/>
            </a:spcBef>
            <a:spcAft>
              <a:spcPct val="35000"/>
            </a:spcAft>
          </a:pPr>
          <a:r>
            <a:rPr lang="en-US" sz="900" kern="1200">
              <a:solidFill>
                <a:sysClr val="windowText" lastClr="000000"/>
              </a:solidFill>
            </a:rPr>
            <a:t>strengthening research institutions</a:t>
          </a:r>
        </a:p>
      </dsp:txBody>
      <dsp:txXfrm>
        <a:off x="3758282" y="1651001"/>
        <a:ext cx="1877764" cy="1061315"/>
      </dsp:txXfrm>
    </dsp:sp>
    <dsp:sp modelId="{719FEC48-7FAB-8A41-A4A9-A06A8A0BF2F1}">
      <dsp:nvSpPr>
        <dsp:cNvPr id="0" name=""/>
        <dsp:cNvSpPr/>
      </dsp:nvSpPr>
      <dsp:spPr>
        <a:xfrm>
          <a:off x="0" y="3182978"/>
          <a:ext cx="5638800" cy="42061"/>
        </a:xfrm>
        <a:prstGeom prst="rect">
          <a:avLst/>
        </a:prstGeom>
        <a:solidFill>
          <a:schemeClr val="tx1"/>
        </a:solidFill>
        <a:ln>
          <a:solidFill>
            <a:schemeClr val="tx1"/>
          </a:solidFill>
        </a:ln>
        <a:effectLst/>
      </dsp:spPr>
      <dsp:style>
        <a:lnRef idx="0">
          <a:scrgbClr r="0" g="0" b="0"/>
        </a:lnRef>
        <a:fillRef idx="1">
          <a:scrgbClr r="0" g="0" b="0"/>
        </a:fillRef>
        <a:effectRef idx="0">
          <a:scrgbClr r="0" g="0" b="0"/>
        </a:effectRef>
        <a:fontRef idx="minor"/>
      </dsp:style>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45643F-3532-44E9-AFE4-93112C8EDCFF}">
      <dsp:nvSpPr>
        <dsp:cNvPr id="0" name=""/>
        <dsp:cNvSpPr/>
      </dsp:nvSpPr>
      <dsp:spPr>
        <a:xfrm rot="5400000">
          <a:off x="258814" y="722598"/>
          <a:ext cx="698725" cy="1162664"/>
        </a:xfrm>
        <a:prstGeom prst="corner">
          <a:avLst>
            <a:gd name="adj1" fmla="val 16120"/>
            <a:gd name="adj2" fmla="val 1611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6558B96-08C7-47C0-ABD6-1D06C94315A4}">
      <dsp:nvSpPr>
        <dsp:cNvPr id="0" name=""/>
        <dsp:cNvSpPr/>
      </dsp:nvSpPr>
      <dsp:spPr>
        <a:xfrm>
          <a:off x="142179" y="1069984"/>
          <a:ext cx="1049659" cy="92008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lvl="0" algn="ctr" defTabSz="400050">
            <a:lnSpc>
              <a:spcPct val="90000"/>
            </a:lnSpc>
            <a:spcBef>
              <a:spcPct val="0"/>
            </a:spcBef>
            <a:spcAft>
              <a:spcPct val="35000"/>
            </a:spcAft>
          </a:pPr>
          <a:r>
            <a:rPr lang="en-US" sz="900" b="1" kern="1200">
              <a:latin typeface="+mj-lt"/>
            </a:rPr>
            <a:t>Mobile teams (1988-1989)</a:t>
          </a:r>
        </a:p>
        <a:p>
          <a:pPr marL="57150" lvl="1" indent="-57150" algn="ctr" defTabSz="400050">
            <a:lnSpc>
              <a:spcPct val="90000"/>
            </a:lnSpc>
            <a:spcBef>
              <a:spcPct val="0"/>
            </a:spcBef>
            <a:spcAft>
              <a:spcPct val="15000"/>
            </a:spcAft>
            <a:buChar char="••"/>
          </a:pPr>
          <a:r>
            <a:rPr lang="en-US" sz="900" kern="1200">
              <a:solidFill>
                <a:srgbClr val="FF0000"/>
              </a:solidFill>
              <a:latin typeface="+mj-lt"/>
            </a:rPr>
            <a:t>OCP informs chief of distribution plans</a:t>
          </a:r>
        </a:p>
        <a:p>
          <a:pPr marL="57150" lvl="1" indent="-57150" algn="ctr" defTabSz="400050">
            <a:lnSpc>
              <a:spcPct val="90000"/>
            </a:lnSpc>
            <a:spcBef>
              <a:spcPct val="0"/>
            </a:spcBef>
            <a:spcAft>
              <a:spcPct val="15000"/>
            </a:spcAft>
            <a:buChar char="••"/>
          </a:pPr>
          <a:r>
            <a:rPr lang="en-US" sz="900" kern="1200">
              <a:solidFill>
                <a:srgbClr val="7030A0"/>
              </a:solidFill>
              <a:latin typeface="+mj-lt"/>
            </a:rPr>
            <a:t>Nurses/CHWs deliver &amp; distribute IVM to villages</a:t>
          </a:r>
        </a:p>
        <a:p>
          <a:pPr marL="57150" lvl="1" indent="-57150" algn="ctr" defTabSz="400050">
            <a:lnSpc>
              <a:spcPct val="90000"/>
            </a:lnSpc>
            <a:spcBef>
              <a:spcPct val="0"/>
            </a:spcBef>
            <a:spcAft>
              <a:spcPct val="15000"/>
            </a:spcAft>
            <a:buChar char="••"/>
          </a:pPr>
          <a:r>
            <a:rPr lang="en-US" sz="900" kern="1200">
              <a:solidFill>
                <a:srgbClr val="00B050"/>
              </a:solidFill>
              <a:latin typeface="+mj-lt"/>
            </a:rPr>
            <a:t>OCP keeps records</a:t>
          </a:r>
        </a:p>
        <a:p>
          <a:pPr marL="57150" lvl="1" indent="-57150" algn="ctr" defTabSz="400050">
            <a:lnSpc>
              <a:spcPct val="90000"/>
            </a:lnSpc>
            <a:spcBef>
              <a:spcPct val="0"/>
            </a:spcBef>
            <a:spcAft>
              <a:spcPct val="15000"/>
            </a:spcAft>
            <a:buChar char="••"/>
          </a:pPr>
          <a:r>
            <a:rPr lang="en-US" sz="900" kern="1200">
              <a:latin typeface="+mj-lt"/>
            </a:rPr>
            <a:t>OCP supervision evolves into district supervision</a:t>
          </a:r>
        </a:p>
      </dsp:txBody>
      <dsp:txXfrm>
        <a:off x="142179" y="1069984"/>
        <a:ext cx="1049659" cy="920088"/>
      </dsp:txXfrm>
    </dsp:sp>
    <dsp:sp modelId="{B5DA23EF-FE64-43CE-9E16-B44BEB4C85B8}">
      <dsp:nvSpPr>
        <dsp:cNvPr id="0" name=""/>
        <dsp:cNvSpPr/>
      </dsp:nvSpPr>
      <dsp:spPr>
        <a:xfrm>
          <a:off x="993790" y="637001"/>
          <a:ext cx="198048" cy="198048"/>
        </a:xfrm>
        <a:prstGeom prst="triangle">
          <a:avLst>
            <a:gd name="adj" fmla="val 10000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4D25366-4A17-4745-A3C9-9489BEE8209A}">
      <dsp:nvSpPr>
        <dsp:cNvPr id="0" name=""/>
        <dsp:cNvSpPr/>
      </dsp:nvSpPr>
      <dsp:spPr>
        <a:xfrm rot="5400000">
          <a:off x="1543802" y="404626"/>
          <a:ext cx="698725" cy="1162664"/>
        </a:xfrm>
        <a:prstGeom prst="corner">
          <a:avLst>
            <a:gd name="adj1" fmla="val 16120"/>
            <a:gd name="adj2" fmla="val 1611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3C8049D-91B9-4425-9DAB-F448E463A2D5}">
      <dsp:nvSpPr>
        <dsp:cNvPr id="0" name=""/>
        <dsp:cNvSpPr/>
      </dsp:nvSpPr>
      <dsp:spPr>
        <a:xfrm>
          <a:off x="1427168" y="752012"/>
          <a:ext cx="1049659" cy="92008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lvl="0" algn="ctr" defTabSz="400050">
            <a:lnSpc>
              <a:spcPct val="90000"/>
            </a:lnSpc>
            <a:spcBef>
              <a:spcPct val="0"/>
            </a:spcBef>
            <a:spcAft>
              <a:spcPct val="35000"/>
            </a:spcAft>
          </a:pPr>
          <a:r>
            <a:rPr lang="en-US" sz="900" b="1" kern="1200">
              <a:latin typeface="+mj-lt"/>
            </a:rPr>
            <a:t>NGO supported outreach (1990)</a:t>
          </a:r>
        </a:p>
        <a:p>
          <a:pPr marL="57150" lvl="1" indent="-57150" algn="ctr" defTabSz="400050">
            <a:lnSpc>
              <a:spcPct val="90000"/>
            </a:lnSpc>
            <a:spcBef>
              <a:spcPct val="0"/>
            </a:spcBef>
            <a:spcAft>
              <a:spcPct val="15000"/>
            </a:spcAft>
            <a:buChar char="••"/>
          </a:pPr>
          <a:r>
            <a:rPr lang="en-US" sz="900" kern="1200">
              <a:solidFill>
                <a:srgbClr val="FF0000"/>
              </a:solidFill>
              <a:latin typeface="+mj-lt"/>
            </a:rPr>
            <a:t>Nurses/NGOs inform chief of distribution plans</a:t>
          </a:r>
        </a:p>
        <a:p>
          <a:pPr marL="57150" lvl="1" indent="-57150" algn="ctr" defTabSz="400050">
            <a:lnSpc>
              <a:spcPct val="90000"/>
            </a:lnSpc>
            <a:spcBef>
              <a:spcPct val="0"/>
            </a:spcBef>
            <a:spcAft>
              <a:spcPct val="15000"/>
            </a:spcAft>
            <a:buChar char="••"/>
          </a:pPr>
          <a:r>
            <a:rPr lang="en-US" sz="900" kern="1200">
              <a:solidFill>
                <a:srgbClr val="7030A0"/>
              </a:solidFill>
              <a:latin typeface="+mj-lt"/>
            </a:rPr>
            <a:t>Nurses/CHWs deliver &amp; distribute IVM to villages</a:t>
          </a:r>
        </a:p>
        <a:p>
          <a:pPr marL="57150" lvl="1" indent="-57150" algn="ctr" defTabSz="400050">
            <a:lnSpc>
              <a:spcPct val="90000"/>
            </a:lnSpc>
            <a:spcBef>
              <a:spcPct val="0"/>
            </a:spcBef>
            <a:spcAft>
              <a:spcPct val="15000"/>
            </a:spcAft>
            <a:buChar char="••"/>
          </a:pPr>
          <a:r>
            <a:rPr lang="en-US" sz="900" kern="1200">
              <a:solidFill>
                <a:srgbClr val="00B050"/>
              </a:solidFill>
              <a:latin typeface="+mj-lt"/>
            </a:rPr>
            <a:t>Nurses/CHWs keep records</a:t>
          </a:r>
        </a:p>
        <a:p>
          <a:pPr marL="57150" lvl="1" indent="-57150" algn="ctr" defTabSz="400050">
            <a:lnSpc>
              <a:spcPct val="90000"/>
            </a:lnSpc>
            <a:spcBef>
              <a:spcPct val="0"/>
            </a:spcBef>
            <a:spcAft>
              <a:spcPct val="15000"/>
            </a:spcAft>
            <a:buChar char="••"/>
          </a:pPr>
          <a:r>
            <a:rPr lang="en-US" sz="900" kern="1200">
              <a:latin typeface="+mj-lt"/>
            </a:rPr>
            <a:t>NGOs or districts supervise</a:t>
          </a:r>
        </a:p>
      </dsp:txBody>
      <dsp:txXfrm>
        <a:off x="1427168" y="752012"/>
        <a:ext cx="1049659" cy="920088"/>
      </dsp:txXfrm>
    </dsp:sp>
    <dsp:sp modelId="{23C4B56E-54B4-4CAD-91AB-C28FAD36285D}">
      <dsp:nvSpPr>
        <dsp:cNvPr id="0" name=""/>
        <dsp:cNvSpPr/>
      </dsp:nvSpPr>
      <dsp:spPr>
        <a:xfrm>
          <a:off x="2278778" y="319030"/>
          <a:ext cx="198048" cy="198048"/>
        </a:xfrm>
        <a:prstGeom prst="triangle">
          <a:avLst>
            <a:gd name="adj" fmla="val 10000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6AF4A9D-EA98-425A-9B37-F2484986BB4D}">
      <dsp:nvSpPr>
        <dsp:cNvPr id="0" name=""/>
        <dsp:cNvSpPr/>
      </dsp:nvSpPr>
      <dsp:spPr>
        <a:xfrm rot="5400000">
          <a:off x="2828791" y="86654"/>
          <a:ext cx="698725" cy="1162664"/>
        </a:xfrm>
        <a:prstGeom prst="corner">
          <a:avLst>
            <a:gd name="adj1" fmla="val 16120"/>
            <a:gd name="adj2" fmla="val 1611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BAE0B87-1DA9-40C4-A833-D0252824EC4E}">
      <dsp:nvSpPr>
        <dsp:cNvPr id="0" name=""/>
        <dsp:cNvSpPr/>
      </dsp:nvSpPr>
      <dsp:spPr>
        <a:xfrm>
          <a:off x="2712156" y="434041"/>
          <a:ext cx="1049659" cy="92008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lvl="0" algn="ctr" defTabSz="400050">
            <a:lnSpc>
              <a:spcPct val="90000"/>
            </a:lnSpc>
            <a:spcBef>
              <a:spcPct val="0"/>
            </a:spcBef>
            <a:spcAft>
              <a:spcPct val="35000"/>
            </a:spcAft>
          </a:pPr>
          <a:r>
            <a:rPr lang="en-US" sz="900" b="1" kern="1200">
              <a:latin typeface="+mj-lt"/>
            </a:rPr>
            <a:t>Community-based treatment (1991-1995)</a:t>
          </a:r>
        </a:p>
        <a:p>
          <a:pPr marL="57150" lvl="1" indent="-57150" algn="ctr" defTabSz="400050">
            <a:lnSpc>
              <a:spcPct val="90000"/>
            </a:lnSpc>
            <a:spcBef>
              <a:spcPct val="0"/>
            </a:spcBef>
            <a:spcAft>
              <a:spcPct val="15000"/>
            </a:spcAft>
            <a:buChar char="••"/>
          </a:pPr>
          <a:r>
            <a:rPr lang="en-US" sz="900" kern="1200">
              <a:solidFill>
                <a:srgbClr val="FF0000"/>
              </a:solidFill>
              <a:latin typeface="+mj-lt"/>
            </a:rPr>
            <a:t>National programs &amp; later communities make distribution plans</a:t>
          </a:r>
        </a:p>
        <a:p>
          <a:pPr marL="57150" lvl="1" indent="-57150" algn="ctr" defTabSz="400050">
            <a:lnSpc>
              <a:spcPct val="90000"/>
            </a:lnSpc>
            <a:spcBef>
              <a:spcPct val="0"/>
            </a:spcBef>
            <a:spcAft>
              <a:spcPct val="15000"/>
            </a:spcAft>
            <a:buChar char="••"/>
          </a:pPr>
          <a:r>
            <a:rPr lang="en-US" sz="900" kern="1200">
              <a:solidFill>
                <a:srgbClr val="7030A0"/>
              </a:solidFill>
              <a:latin typeface="+mj-lt"/>
            </a:rPr>
            <a:t>CHWs/CBDs (from the health sector) deliver to villages; CBDs distribute IVM </a:t>
          </a:r>
        </a:p>
        <a:p>
          <a:pPr marL="57150" lvl="1" indent="-57150" algn="ctr" defTabSz="400050">
            <a:lnSpc>
              <a:spcPct val="90000"/>
            </a:lnSpc>
            <a:spcBef>
              <a:spcPct val="0"/>
            </a:spcBef>
            <a:spcAft>
              <a:spcPct val="15000"/>
            </a:spcAft>
            <a:buChar char="••"/>
          </a:pPr>
          <a:r>
            <a:rPr lang="en-US" sz="900" kern="1200">
              <a:solidFill>
                <a:srgbClr val="00B050"/>
              </a:solidFill>
              <a:latin typeface="+mj-lt"/>
            </a:rPr>
            <a:t>CHWs and later CBDs keep records</a:t>
          </a:r>
        </a:p>
        <a:p>
          <a:pPr marL="57150" lvl="1" indent="-57150" algn="ctr" defTabSz="400050">
            <a:lnSpc>
              <a:spcPct val="90000"/>
            </a:lnSpc>
            <a:spcBef>
              <a:spcPct val="0"/>
            </a:spcBef>
            <a:spcAft>
              <a:spcPct val="15000"/>
            </a:spcAft>
            <a:buChar char="••"/>
          </a:pPr>
          <a:r>
            <a:rPr lang="en-US" sz="900" kern="1200">
              <a:latin typeface="+mj-lt"/>
            </a:rPr>
            <a:t>NGOs or districts supervise</a:t>
          </a:r>
        </a:p>
      </dsp:txBody>
      <dsp:txXfrm>
        <a:off x="2712156" y="434041"/>
        <a:ext cx="1049659" cy="920088"/>
      </dsp:txXfrm>
    </dsp:sp>
    <dsp:sp modelId="{A6F7D5BC-26E2-4696-A5D8-2E35DC1A78E8}">
      <dsp:nvSpPr>
        <dsp:cNvPr id="0" name=""/>
        <dsp:cNvSpPr/>
      </dsp:nvSpPr>
      <dsp:spPr>
        <a:xfrm>
          <a:off x="3563767" y="1058"/>
          <a:ext cx="198048" cy="198048"/>
        </a:xfrm>
        <a:prstGeom prst="triangle">
          <a:avLst>
            <a:gd name="adj" fmla="val 10000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DB6F84A-99C2-4B92-9998-07429918A275}">
      <dsp:nvSpPr>
        <dsp:cNvPr id="0" name=""/>
        <dsp:cNvSpPr/>
      </dsp:nvSpPr>
      <dsp:spPr>
        <a:xfrm rot="5400000">
          <a:off x="4113779" y="-231316"/>
          <a:ext cx="698725" cy="1162664"/>
        </a:xfrm>
        <a:prstGeom prst="corner">
          <a:avLst>
            <a:gd name="adj1" fmla="val 16120"/>
            <a:gd name="adj2" fmla="val 1611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FAE87E1-D5A3-4545-BD18-110D1D52614E}">
      <dsp:nvSpPr>
        <dsp:cNvPr id="0" name=""/>
        <dsp:cNvSpPr/>
      </dsp:nvSpPr>
      <dsp:spPr>
        <a:xfrm>
          <a:off x="3997145" y="116069"/>
          <a:ext cx="1049659" cy="92008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lvl="0" algn="ctr" defTabSz="400050">
            <a:lnSpc>
              <a:spcPct val="90000"/>
            </a:lnSpc>
            <a:spcBef>
              <a:spcPct val="0"/>
            </a:spcBef>
            <a:spcAft>
              <a:spcPct val="35000"/>
            </a:spcAft>
          </a:pPr>
          <a:r>
            <a:rPr lang="en-US" sz="900" b="1" kern="1200">
              <a:latin typeface="+mj-lt"/>
            </a:rPr>
            <a:t>Community-directed treatment (1995-onwards)</a:t>
          </a:r>
        </a:p>
        <a:p>
          <a:pPr marL="57150" lvl="1" indent="-57150" algn="ctr" defTabSz="400050">
            <a:lnSpc>
              <a:spcPct val="90000"/>
            </a:lnSpc>
            <a:spcBef>
              <a:spcPct val="0"/>
            </a:spcBef>
            <a:spcAft>
              <a:spcPct val="15000"/>
            </a:spcAft>
            <a:buChar char="••"/>
          </a:pPr>
          <a:r>
            <a:rPr lang="en-US" sz="900" kern="1200">
              <a:solidFill>
                <a:srgbClr val="FF0000"/>
              </a:solidFill>
              <a:latin typeface="+mj-lt"/>
            </a:rPr>
            <a:t>Communities make distribution plans</a:t>
          </a:r>
        </a:p>
        <a:p>
          <a:pPr marL="57150" lvl="1" indent="-57150" algn="ctr" defTabSz="400050">
            <a:lnSpc>
              <a:spcPct val="90000"/>
            </a:lnSpc>
            <a:spcBef>
              <a:spcPct val="0"/>
            </a:spcBef>
            <a:spcAft>
              <a:spcPct val="15000"/>
            </a:spcAft>
            <a:buChar char="••"/>
          </a:pPr>
          <a:r>
            <a:rPr lang="en-US" sz="900" kern="1200">
              <a:solidFill>
                <a:srgbClr val="7030A0"/>
              </a:solidFill>
              <a:latin typeface="+mj-lt"/>
            </a:rPr>
            <a:t>CDDs (volunteers) deliver and distribute IVM to villages</a:t>
          </a:r>
        </a:p>
        <a:p>
          <a:pPr marL="57150" lvl="1" indent="-57150" algn="ctr" defTabSz="400050">
            <a:lnSpc>
              <a:spcPct val="90000"/>
            </a:lnSpc>
            <a:spcBef>
              <a:spcPct val="0"/>
            </a:spcBef>
            <a:spcAft>
              <a:spcPct val="15000"/>
            </a:spcAft>
            <a:buChar char="••"/>
          </a:pPr>
          <a:r>
            <a:rPr lang="en-US" sz="900" kern="1200">
              <a:solidFill>
                <a:srgbClr val="00B050"/>
              </a:solidFill>
              <a:latin typeface="+mj-lt"/>
            </a:rPr>
            <a:t>CDDs keep records</a:t>
          </a:r>
        </a:p>
        <a:p>
          <a:pPr marL="57150" lvl="1" indent="-57150" algn="ctr" defTabSz="400050">
            <a:lnSpc>
              <a:spcPct val="90000"/>
            </a:lnSpc>
            <a:spcBef>
              <a:spcPct val="0"/>
            </a:spcBef>
            <a:spcAft>
              <a:spcPct val="15000"/>
            </a:spcAft>
            <a:buChar char="••"/>
          </a:pPr>
          <a:r>
            <a:rPr lang="en-US" sz="900" kern="1200">
              <a:latin typeface="+mj-lt"/>
            </a:rPr>
            <a:t>Districts supervise</a:t>
          </a:r>
        </a:p>
      </dsp:txBody>
      <dsp:txXfrm>
        <a:off x="3997145" y="116069"/>
        <a:ext cx="1049659" cy="920088"/>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8AD498-9E85-471B-8190-17489A76B93C}">
      <dsp:nvSpPr>
        <dsp:cNvPr id="0" name=""/>
        <dsp:cNvSpPr/>
      </dsp:nvSpPr>
      <dsp:spPr>
        <a:xfrm>
          <a:off x="949616" y="3233421"/>
          <a:ext cx="192483" cy="3107088"/>
        </a:xfrm>
        <a:custGeom>
          <a:avLst/>
          <a:gdLst/>
          <a:ahLst/>
          <a:cxnLst/>
          <a:rect l="0" t="0" r="0" b="0"/>
          <a:pathLst>
            <a:path>
              <a:moveTo>
                <a:pt x="0" y="0"/>
              </a:moveTo>
              <a:lnTo>
                <a:pt x="73922" y="0"/>
              </a:lnTo>
              <a:lnTo>
                <a:pt x="73922" y="3107088"/>
              </a:lnTo>
              <a:lnTo>
                <a:pt x="192483" y="3107088"/>
              </a:lnTo>
            </a:path>
          </a:pathLst>
        </a:custGeom>
        <a:noFill/>
        <a:ln w="1270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E0E454BF-3E58-4ABD-8DA2-FD7A1696F981}">
      <dsp:nvSpPr>
        <dsp:cNvPr id="0" name=""/>
        <dsp:cNvSpPr/>
      </dsp:nvSpPr>
      <dsp:spPr>
        <a:xfrm>
          <a:off x="949616" y="3233421"/>
          <a:ext cx="192483" cy="2557082"/>
        </a:xfrm>
        <a:custGeom>
          <a:avLst/>
          <a:gdLst/>
          <a:ahLst/>
          <a:cxnLst/>
          <a:rect l="0" t="0" r="0" b="0"/>
          <a:pathLst>
            <a:path>
              <a:moveTo>
                <a:pt x="0" y="0"/>
              </a:moveTo>
              <a:lnTo>
                <a:pt x="73922" y="0"/>
              </a:lnTo>
              <a:lnTo>
                <a:pt x="73922" y="2557082"/>
              </a:lnTo>
              <a:lnTo>
                <a:pt x="192483" y="2557082"/>
              </a:lnTo>
            </a:path>
          </a:pathLst>
        </a:custGeom>
        <a:noFill/>
        <a:ln w="1270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F066A4C4-0B6F-4956-AE2D-4C3227D118DC}">
      <dsp:nvSpPr>
        <dsp:cNvPr id="0" name=""/>
        <dsp:cNvSpPr/>
      </dsp:nvSpPr>
      <dsp:spPr>
        <a:xfrm>
          <a:off x="949616" y="3233421"/>
          <a:ext cx="192483" cy="2047271"/>
        </a:xfrm>
        <a:custGeom>
          <a:avLst/>
          <a:gdLst/>
          <a:ahLst/>
          <a:cxnLst/>
          <a:rect l="0" t="0" r="0" b="0"/>
          <a:pathLst>
            <a:path>
              <a:moveTo>
                <a:pt x="0" y="0"/>
              </a:moveTo>
              <a:lnTo>
                <a:pt x="73922" y="0"/>
              </a:lnTo>
              <a:lnTo>
                <a:pt x="73922" y="2047271"/>
              </a:lnTo>
              <a:lnTo>
                <a:pt x="192483" y="2047271"/>
              </a:lnTo>
            </a:path>
          </a:pathLst>
        </a:custGeom>
        <a:noFill/>
        <a:ln w="1270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5395E469-C271-4B00-80EF-AD4872B9D4BC}">
      <dsp:nvSpPr>
        <dsp:cNvPr id="0" name=""/>
        <dsp:cNvSpPr/>
      </dsp:nvSpPr>
      <dsp:spPr>
        <a:xfrm>
          <a:off x="949616" y="3233421"/>
          <a:ext cx="192483" cy="1537461"/>
        </a:xfrm>
        <a:custGeom>
          <a:avLst/>
          <a:gdLst/>
          <a:ahLst/>
          <a:cxnLst/>
          <a:rect l="0" t="0" r="0" b="0"/>
          <a:pathLst>
            <a:path>
              <a:moveTo>
                <a:pt x="0" y="0"/>
              </a:moveTo>
              <a:lnTo>
                <a:pt x="73922" y="0"/>
              </a:lnTo>
              <a:lnTo>
                <a:pt x="73922" y="1537461"/>
              </a:lnTo>
              <a:lnTo>
                <a:pt x="192483" y="1537461"/>
              </a:lnTo>
            </a:path>
          </a:pathLst>
        </a:custGeom>
        <a:noFill/>
        <a:ln w="1270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1A54BBD2-CBEE-420C-B4B4-26A219D4DBE9}">
      <dsp:nvSpPr>
        <dsp:cNvPr id="0" name=""/>
        <dsp:cNvSpPr/>
      </dsp:nvSpPr>
      <dsp:spPr>
        <a:xfrm>
          <a:off x="2327706" y="4261071"/>
          <a:ext cx="237121" cy="509810"/>
        </a:xfrm>
        <a:custGeom>
          <a:avLst/>
          <a:gdLst/>
          <a:ahLst/>
          <a:cxnLst/>
          <a:rect l="0" t="0" r="0" b="0"/>
          <a:pathLst>
            <a:path>
              <a:moveTo>
                <a:pt x="0" y="0"/>
              </a:moveTo>
              <a:lnTo>
                <a:pt x="118560" y="0"/>
              </a:lnTo>
              <a:lnTo>
                <a:pt x="118560" y="509810"/>
              </a:lnTo>
              <a:lnTo>
                <a:pt x="237121" y="509810"/>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D7A1FA5E-292A-4745-9E01-BFFDDB5D9512}">
      <dsp:nvSpPr>
        <dsp:cNvPr id="0" name=""/>
        <dsp:cNvSpPr/>
      </dsp:nvSpPr>
      <dsp:spPr>
        <a:xfrm>
          <a:off x="2327706" y="4215351"/>
          <a:ext cx="237121" cy="91440"/>
        </a:xfrm>
        <a:custGeom>
          <a:avLst/>
          <a:gdLst/>
          <a:ahLst/>
          <a:cxnLst/>
          <a:rect l="0" t="0" r="0" b="0"/>
          <a:pathLst>
            <a:path>
              <a:moveTo>
                <a:pt x="0" y="45720"/>
              </a:moveTo>
              <a:lnTo>
                <a:pt x="237121" y="45720"/>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E1D19CB7-429C-4768-AC9F-694B39F48CFC}">
      <dsp:nvSpPr>
        <dsp:cNvPr id="0" name=""/>
        <dsp:cNvSpPr/>
      </dsp:nvSpPr>
      <dsp:spPr>
        <a:xfrm>
          <a:off x="2327706" y="3751261"/>
          <a:ext cx="237121" cy="509810"/>
        </a:xfrm>
        <a:custGeom>
          <a:avLst/>
          <a:gdLst/>
          <a:ahLst/>
          <a:cxnLst/>
          <a:rect l="0" t="0" r="0" b="0"/>
          <a:pathLst>
            <a:path>
              <a:moveTo>
                <a:pt x="0" y="509810"/>
              </a:moveTo>
              <a:lnTo>
                <a:pt x="118560" y="509810"/>
              </a:lnTo>
              <a:lnTo>
                <a:pt x="118560" y="0"/>
              </a:lnTo>
              <a:lnTo>
                <a:pt x="237121" y="0"/>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9DB90A71-986B-4ED4-8051-6934BA87DBF0}">
      <dsp:nvSpPr>
        <dsp:cNvPr id="0" name=""/>
        <dsp:cNvSpPr/>
      </dsp:nvSpPr>
      <dsp:spPr>
        <a:xfrm>
          <a:off x="949616" y="3233421"/>
          <a:ext cx="192483" cy="1027650"/>
        </a:xfrm>
        <a:custGeom>
          <a:avLst/>
          <a:gdLst/>
          <a:ahLst/>
          <a:cxnLst/>
          <a:rect l="0" t="0" r="0" b="0"/>
          <a:pathLst>
            <a:path>
              <a:moveTo>
                <a:pt x="0" y="0"/>
              </a:moveTo>
              <a:lnTo>
                <a:pt x="73922" y="0"/>
              </a:lnTo>
              <a:lnTo>
                <a:pt x="73922" y="1027650"/>
              </a:lnTo>
              <a:lnTo>
                <a:pt x="192483" y="1027650"/>
              </a:lnTo>
            </a:path>
          </a:pathLst>
        </a:custGeom>
        <a:noFill/>
        <a:ln w="1270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0B014F54-7F96-4874-8A15-16D1E730A64E}">
      <dsp:nvSpPr>
        <dsp:cNvPr id="0" name=""/>
        <dsp:cNvSpPr/>
      </dsp:nvSpPr>
      <dsp:spPr>
        <a:xfrm>
          <a:off x="949616" y="2476733"/>
          <a:ext cx="192483" cy="756687"/>
        </a:xfrm>
        <a:custGeom>
          <a:avLst/>
          <a:gdLst/>
          <a:ahLst/>
          <a:cxnLst/>
          <a:rect l="0" t="0" r="0" b="0"/>
          <a:pathLst>
            <a:path>
              <a:moveTo>
                <a:pt x="0" y="756687"/>
              </a:moveTo>
              <a:lnTo>
                <a:pt x="73922" y="756687"/>
              </a:lnTo>
              <a:lnTo>
                <a:pt x="73922" y="0"/>
              </a:lnTo>
              <a:lnTo>
                <a:pt x="192483" y="0"/>
              </a:lnTo>
            </a:path>
          </a:pathLst>
        </a:custGeom>
        <a:noFill/>
        <a:ln w="1270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2DE4D13C-002A-4821-A131-1E213E75A72C}">
      <dsp:nvSpPr>
        <dsp:cNvPr id="0" name=""/>
        <dsp:cNvSpPr/>
      </dsp:nvSpPr>
      <dsp:spPr>
        <a:xfrm>
          <a:off x="2327706" y="1966923"/>
          <a:ext cx="237121" cy="1274527"/>
        </a:xfrm>
        <a:custGeom>
          <a:avLst/>
          <a:gdLst/>
          <a:ahLst/>
          <a:cxnLst/>
          <a:rect l="0" t="0" r="0" b="0"/>
          <a:pathLst>
            <a:path>
              <a:moveTo>
                <a:pt x="0" y="0"/>
              </a:moveTo>
              <a:lnTo>
                <a:pt x="118560" y="0"/>
              </a:lnTo>
              <a:lnTo>
                <a:pt x="118560" y="1274527"/>
              </a:lnTo>
              <a:lnTo>
                <a:pt x="237121" y="1274527"/>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5A2C961C-D4C7-459A-9F6D-FE2E687AB6BC}">
      <dsp:nvSpPr>
        <dsp:cNvPr id="0" name=""/>
        <dsp:cNvSpPr/>
      </dsp:nvSpPr>
      <dsp:spPr>
        <a:xfrm>
          <a:off x="2327706" y="1966923"/>
          <a:ext cx="237121" cy="764716"/>
        </a:xfrm>
        <a:custGeom>
          <a:avLst/>
          <a:gdLst/>
          <a:ahLst/>
          <a:cxnLst/>
          <a:rect l="0" t="0" r="0" b="0"/>
          <a:pathLst>
            <a:path>
              <a:moveTo>
                <a:pt x="0" y="0"/>
              </a:moveTo>
              <a:lnTo>
                <a:pt x="118560" y="0"/>
              </a:lnTo>
              <a:lnTo>
                <a:pt x="118560" y="764716"/>
              </a:lnTo>
              <a:lnTo>
                <a:pt x="237121" y="764716"/>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D5357351-A9EE-4C88-AF2E-B84ED0E56048}">
      <dsp:nvSpPr>
        <dsp:cNvPr id="0" name=""/>
        <dsp:cNvSpPr/>
      </dsp:nvSpPr>
      <dsp:spPr>
        <a:xfrm>
          <a:off x="2327706" y="1966923"/>
          <a:ext cx="237121" cy="254905"/>
        </a:xfrm>
        <a:custGeom>
          <a:avLst/>
          <a:gdLst/>
          <a:ahLst/>
          <a:cxnLst/>
          <a:rect l="0" t="0" r="0" b="0"/>
          <a:pathLst>
            <a:path>
              <a:moveTo>
                <a:pt x="0" y="0"/>
              </a:moveTo>
              <a:lnTo>
                <a:pt x="118560" y="0"/>
              </a:lnTo>
              <a:lnTo>
                <a:pt x="118560" y="254905"/>
              </a:lnTo>
              <a:lnTo>
                <a:pt x="237121" y="254905"/>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598C75D8-1D1D-42A5-92AC-4096CF3E6E35}">
      <dsp:nvSpPr>
        <dsp:cNvPr id="0" name=""/>
        <dsp:cNvSpPr/>
      </dsp:nvSpPr>
      <dsp:spPr>
        <a:xfrm>
          <a:off x="3750434" y="1712017"/>
          <a:ext cx="237121" cy="509810"/>
        </a:xfrm>
        <a:custGeom>
          <a:avLst/>
          <a:gdLst/>
          <a:ahLst/>
          <a:cxnLst/>
          <a:rect l="0" t="0" r="0" b="0"/>
          <a:pathLst>
            <a:path>
              <a:moveTo>
                <a:pt x="0" y="0"/>
              </a:moveTo>
              <a:lnTo>
                <a:pt x="118560" y="0"/>
              </a:lnTo>
              <a:lnTo>
                <a:pt x="118560" y="509810"/>
              </a:lnTo>
              <a:lnTo>
                <a:pt x="237121" y="509810"/>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468C2440-19A1-453B-80DF-543A8590892D}">
      <dsp:nvSpPr>
        <dsp:cNvPr id="0" name=""/>
        <dsp:cNvSpPr/>
      </dsp:nvSpPr>
      <dsp:spPr>
        <a:xfrm>
          <a:off x="3750434" y="1666297"/>
          <a:ext cx="237121" cy="91440"/>
        </a:xfrm>
        <a:custGeom>
          <a:avLst/>
          <a:gdLst/>
          <a:ahLst/>
          <a:cxnLst/>
          <a:rect l="0" t="0" r="0" b="0"/>
          <a:pathLst>
            <a:path>
              <a:moveTo>
                <a:pt x="0" y="45720"/>
              </a:moveTo>
              <a:lnTo>
                <a:pt x="237121" y="45720"/>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9C74335F-F3A3-499E-A007-CC6E32BAC2D3}">
      <dsp:nvSpPr>
        <dsp:cNvPr id="0" name=""/>
        <dsp:cNvSpPr/>
      </dsp:nvSpPr>
      <dsp:spPr>
        <a:xfrm>
          <a:off x="3750434" y="1202206"/>
          <a:ext cx="237121" cy="509810"/>
        </a:xfrm>
        <a:custGeom>
          <a:avLst/>
          <a:gdLst/>
          <a:ahLst/>
          <a:cxnLst/>
          <a:rect l="0" t="0" r="0" b="0"/>
          <a:pathLst>
            <a:path>
              <a:moveTo>
                <a:pt x="0" y="509810"/>
              </a:moveTo>
              <a:lnTo>
                <a:pt x="118560" y="509810"/>
              </a:lnTo>
              <a:lnTo>
                <a:pt x="118560" y="0"/>
              </a:lnTo>
              <a:lnTo>
                <a:pt x="237121" y="0"/>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8DBCCFC9-0D57-410D-9622-8E377354D04E}">
      <dsp:nvSpPr>
        <dsp:cNvPr id="0" name=""/>
        <dsp:cNvSpPr/>
      </dsp:nvSpPr>
      <dsp:spPr>
        <a:xfrm>
          <a:off x="2327706" y="1712017"/>
          <a:ext cx="237121" cy="254905"/>
        </a:xfrm>
        <a:custGeom>
          <a:avLst/>
          <a:gdLst/>
          <a:ahLst/>
          <a:cxnLst/>
          <a:rect l="0" t="0" r="0" b="0"/>
          <a:pathLst>
            <a:path>
              <a:moveTo>
                <a:pt x="0" y="254905"/>
              </a:moveTo>
              <a:lnTo>
                <a:pt x="118560" y="254905"/>
              </a:lnTo>
              <a:lnTo>
                <a:pt x="118560" y="0"/>
              </a:lnTo>
              <a:lnTo>
                <a:pt x="237121" y="0"/>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E114FE5C-A8F5-4F3E-81FF-48DA14E6D140}">
      <dsp:nvSpPr>
        <dsp:cNvPr id="0" name=""/>
        <dsp:cNvSpPr/>
      </dsp:nvSpPr>
      <dsp:spPr>
        <a:xfrm>
          <a:off x="2327706" y="1202206"/>
          <a:ext cx="237121" cy="764716"/>
        </a:xfrm>
        <a:custGeom>
          <a:avLst/>
          <a:gdLst/>
          <a:ahLst/>
          <a:cxnLst/>
          <a:rect l="0" t="0" r="0" b="0"/>
          <a:pathLst>
            <a:path>
              <a:moveTo>
                <a:pt x="0" y="764716"/>
              </a:moveTo>
              <a:lnTo>
                <a:pt x="118560" y="764716"/>
              </a:lnTo>
              <a:lnTo>
                <a:pt x="118560" y="0"/>
              </a:lnTo>
              <a:lnTo>
                <a:pt x="237121" y="0"/>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2B97D1FB-0DDB-4CA1-8B58-C12AC31C93C0}">
      <dsp:nvSpPr>
        <dsp:cNvPr id="0" name=""/>
        <dsp:cNvSpPr/>
      </dsp:nvSpPr>
      <dsp:spPr>
        <a:xfrm>
          <a:off x="2327706" y="692395"/>
          <a:ext cx="237121" cy="1274527"/>
        </a:xfrm>
        <a:custGeom>
          <a:avLst/>
          <a:gdLst/>
          <a:ahLst/>
          <a:cxnLst/>
          <a:rect l="0" t="0" r="0" b="0"/>
          <a:pathLst>
            <a:path>
              <a:moveTo>
                <a:pt x="0" y="1274527"/>
              </a:moveTo>
              <a:lnTo>
                <a:pt x="118560" y="1274527"/>
              </a:lnTo>
              <a:lnTo>
                <a:pt x="118560" y="0"/>
              </a:lnTo>
              <a:lnTo>
                <a:pt x="237121" y="0"/>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8FB7DF26-94F1-473B-91C2-FC72C39CC9B6}">
      <dsp:nvSpPr>
        <dsp:cNvPr id="0" name=""/>
        <dsp:cNvSpPr/>
      </dsp:nvSpPr>
      <dsp:spPr>
        <a:xfrm>
          <a:off x="949616" y="1966923"/>
          <a:ext cx="192483" cy="1266498"/>
        </a:xfrm>
        <a:custGeom>
          <a:avLst/>
          <a:gdLst/>
          <a:ahLst/>
          <a:cxnLst/>
          <a:rect l="0" t="0" r="0" b="0"/>
          <a:pathLst>
            <a:path>
              <a:moveTo>
                <a:pt x="0" y="1266498"/>
              </a:moveTo>
              <a:lnTo>
                <a:pt x="73922" y="1266498"/>
              </a:lnTo>
              <a:lnTo>
                <a:pt x="73922" y="0"/>
              </a:lnTo>
              <a:lnTo>
                <a:pt x="192483" y="0"/>
              </a:lnTo>
            </a:path>
          </a:pathLst>
        </a:custGeom>
        <a:noFill/>
        <a:ln w="1270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DAEA0156-4E92-4C0E-B2AF-9A145C13569D}">
      <dsp:nvSpPr>
        <dsp:cNvPr id="0" name=""/>
        <dsp:cNvSpPr/>
      </dsp:nvSpPr>
      <dsp:spPr>
        <a:xfrm>
          <a:off x="77424" y="1779"/>
          <a:ext cx="5549990" cy="36161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fr-CH" sz="1200" b="1" kern="1200"/>
            <a:t>World Bank governance, 1974</a:t>
          </a:r>
        </a:p>
      </dsp:txBody>
      <dsp:txXfrm>
        <a:off x="77424" y="1779"/>
        <a:ext cx="5549990" cy="361610"/>
      </dsp:txXfrm>
    </dsp:sp>
    <dsp:sp modelId="{A57FD8C0-4DA2-4ED4-BA08-8E2D35379ACF}">
      <dsp:nvSpPr>
        <dsp:cNvPr id="0" name=""/>
        <dsp:cNvSpPr/>
      </dsp:nvSpPr>
      <dsp:spPr>
        <a:xfrm>
          <a:off x="52811" y="496699"/>
          <a:ext cx="2197676" cy="346035"/>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ts val="0"/>
            </a:spcAft>
          </a:pPr>
          <a:r>
            <a:rPr lang="fr-CH" sz="1200" b="1" kern="1200"/>
            <a:t>Board of Governors (123)</a:t>
          </a:r>
        </a:p>
      </dsp:txBody>
      <dsp:txXfrm>
        <a:off x="52811" y="496699"/>
        <a:ext cx="2197676" cy="346035"/>
      </dsp:txXfrm>
    </dsp:sp>
    <dsp:sp modelId="{B4AA179A-838B-46CB-837C-393B91356768}">
      <dsp:nvSpPr>
        <dsp:cNvPr id="0" name=""/>
        <dsp:cNvSpPr/>
      </dsp:nvSpPr>
      <dsp:spPr>
        <a:xfrm>
          <a:off x="67726" y="986922"/>
          <a:ext cx="2091374" cy="366618"/>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ts val="0"/>
            </a:spcAft>
          </a:pPr>
          <a:r>
            <a:rPr lang="fr-CH" sz="1200" b="1" kern="1200"/>
            <a:t>Board of Executive </a:t>
          </a:r>
        </a:p>
        <a:p>
          <a:pPr lvl="0" algn="ctr" defTabSz="533400">
            <a:lnSpc>
              <a:spcPct val="90000"/>
            </a:lnSpc>
            <a:spcBef>
              <a:spcPct val="0"/>
            </a:spcBef>
            <a:spcAft>
              <a:spcPts val="0"/>
            </a:spcAft>
          </a:pPr>
          <a:r>
            <a:rPr lang="fr-CH" sz="1200" b="1" kern="1200"/>
            <a:t>Directors (20)</a:t>
          </a:r>
        </a:p>
      </dsp:txBody>
      <dsp:txXfrm>
        <a:off x="67726" y="986922"/>
        <a:ext cx="2091374" cy="366618"/>
      </dsp:txXfrm>
    </dsp:sp>
    <dsp:sp modelId="{7474C64F-F3D4-4617-99E1-F32B43144C36}">
      <dsp:nvSpPr>
        <dsp:cNvPr id="0" name=""/>
        <dsp:cNvSpPr/>
      </dsp:nvSpPr>
      <dsp:spPr>
        <a:xfrm>
          <a:off x="122062" y="3043598"/>
          <a:ext cx="827553" cy="379647"/>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fr-CH" sz="1200" b="1" kern="1200"/>
            <a:t>President</a:t>
          </a:r>
        </a:p>
      </dsp:txBody>
      <dsp:txXfrm>
        <a:off x="122062" y="3043598"/>
        <a:ext cx="827553" cy="379647"/>
      </dsp:txXfrm>
    </dsp:sp>
    <dsp:sp modelId="{7ABB9496-7179-433E-BE54-AA118BA165FC}">
      <dsp:nvSpPr>
        <dsp:cNvPr id="0" name=""/>
        <dsp:cNvSpPr/>
      </dsp:nvSpPr>
      <dsp:spPr>
        <a:xfrm>
          <a:off x="1142099" y="1786118"/>
          <a:ext cx="1185606" cy="36161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b="1" kern="1200"/>
            <a:t>Senior Vice President of Operations</a:t>
          </a:r>
        </a:p>
      </dsp:txBody>
      <dsp:txXfrm>
        <a:off x="1142099" y="1786118"/>
        <a:ext cx="1185606" cy="361610"/>
      </dsp:txXfrm>
    </dsp:sp>
    <dsp:sp modelId="{FCD0F5F6-2FB2-4258-9641-421C803F64C3}">
      <dsp:nvSpPr>
        <dsp:cNvPr id="0" name=""/>
        <dsp:cNvSpPr/>
      </dsp:nvSpPr>
      <dsp:spPr>
        <a:xfrm>
          <a:off x="2564827" y="511590"/>
          <a:ext cx="1185606" cy="36161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kern="1200"/>
            <a:t>VP Projects Staff</a:t>
          </a:r>
        </a:p>
      </dsp:txBody>
      <dsp:txXfrm>
        <a:off x="2564827" y="511590"/>
        <a:ext cx="1185606" cy="361610"/>
      </dsp:txXfrm>
    </dsp:sp>
    <dsp:sp modelId="{B84A46DC-014D-44A9-A435-7FBB638C2D46}">
      <dsp:nvSpPr>
        <dsp:cNvPr id="0" name=""/>
        <dsp:cNvSpPr/>
      </dsp:nvSpPr>
      <dsp:spPr>
        <a:xfrm>
          <a:off x="2564827" y="1021401"/>
          <a:ext cx="1185606" cy="36161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kern="1200"/>
            <a:t>Regional VP Eastern Africa</a:t>
          </a:r>
        </a:p>
      </dsp:txBody>
      <dsp:txXfrm>
        <a:off x="2564827" y="1021401"/>
        <a:ext cx="1185606" cy="361610"/>
      </dsp:txXfrm>
    </dsp:sp>
    <dsp:sp modelId="{8909094D-14E7-4B59-BD58-63DBAC7704C8}">
      <dsp:nvSpPr>
        <dsp:cNvPr id="0" name=""/>
        <dsp:cNvSpPr/>
      </dsp:nvSpPr>
      <dsp:spPr>
        <a:xfrm>
          <a:off x="2564827" y="1531212"/>
          <a:ext cx="1185606" cy="361610"/>
        </a:xfrm>
        <a:prstGeom prst="rect">
          <a:avLst/>
        </a:prstGeom>
        <a:solidFill>
          <a:srgbClr val="FF0000"/>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kern="1200"/>
            <a:t>Regional VP Western Africa</a:t>
          </a:r>
        </a:p>
      </dsp:txBody>
      <dsp:txXfrm>
        <a:off x="2564827" y="1531212"/>
        <a:ext cx="1185606" cy="361610"/>
      </dsp:txXfrm>
    </dsp:sp>
    <dsp:sp modelId="{DBBB1DD9-1DAA-42F3-880F-160159515FE0}">
      <dsp:nvSpPr>
        <dsp:cNvPr id="0" name=""/>
        <dsp:cNvSpPr/>
      </dsp:nvSpPr>
      <dsp:spPr>
        <a:xfrm>
          <a:off x="3987555" y="1021401"/>
          <a:ext cx="1185606" cy="361610"/>
        </a:xfrm>
        <a:prstGeom prst="rect">
          <a:avLst/>
        </a:prstGeom>
        <a:solidFill>
          <a:srgbClr val="FF0000"/>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kern="1200"/>
            <a:t>Country Programs I</a:t>
          </a:r>
        </a:p>
      </dsp:txBody>
      <dsp:txXfrm>
        <a:off x="3987555" y="1021401"/>
        <a:ext cx="1185606" cy="361610"/>
      </dsp:txXfrm>
    </dsp:sp>
    <dsp:sp modelId="{6D24DB05-3AF8-4695-9441-986E3247FEA0}">
      <dsp:nvSpPr>
        <dsp:cNvPr id="0" name=""/>
        <dsp:cNvSpPr/>
      </dsp:nvSpPr>
      <dsp:spPr>
        <a:xfrm>
          <a:off x="3987555" y="1531212"/>
          <a:ext cx="1185606" cy="36161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kern="1200"/>
            <a:t>Country Programs 2</a:t>
          </a:r>
        </a:p>
      </dsp:txBody>
      <dsp:txXfrm>
        <a:off x="3987555" y="1531212"/>
        <a:ext cx="1185606" cy="361610"/>
      </dsp:txXfrm>
    </dsp:sp>
    <dsp:sp modelId="{5EA6F373-B08B-43BA-98BE-A4DC43113878}">
      <dsp:nvSpPr>
        <dsp:cNvPr id="0" name=""/>
        <dsp:cNvSpPr/>
      </dsp:nvSpPr>
      <dsp:spPr>
        <a:xfrm>
          <a:off x="3987555" y="2041023"/>
          <a:ext cx="1185606" cy="36161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kern="1200"/>
            <a:t>Projects</a:t>
          </a:r>
        </a:p>
      </dsp:txBody>
      <dsp:txXfrm>
        <a:off x="3987555" y="2041023"/>
        <a:ext cx="1185606" cy="361610"/>
      </dsp:txXfrm>
    </dsp:sp>
    <dsp:sp modelId="{E5D07C8D-C74B-4703-B024-68C22C15E953}">
      <dsp:nvSpPr>
        <dsp:cNvPr id="0" name=""/>
        <dsp:cNvSpPr/>
      </dsp:nvSpPr>
      <dsp:spPr>
        <a:xfrm>
          <a:off x="2564827" y="2041023"/>
          <a:ext cx="1185606" cy="36161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kern="1200"/>
            <a:t>Regional VP Asia</a:t>
          </a:r>
        </a:p>
      </dsp:txBody>
      <dsp:txXfrm>
        <a:off x="2564827" y="2041023"/>
        <a:ext cx="1185606" cy="361610"/>
      </dsp:txXfrm>
    </dsp:sp>
    <dsp:sp modelId="{31AC8CB5-8ACB-4234-8CCD-536EBF72B931}">
      <dsp:nvSpPr>
        <dsp:cNvPr id="0" name=""/>
        <dsp:cNvSpPr/>
      </dsp:nvSpPr>
      <dsp:spPr>
        <a:xfrm>
          <a:off x="2564827" y="2550834"/>
          <a:ext cx="1185606" cy="36161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kern="1200"/>
            <a:t>Regional VP Europe, Middle East &amp; N Africa</a:t>
          </a:r>
        </a:p>
      </dsp:txBody>
      <dsp:txXfrm>
        <a:off x="2564827" y="2550834"/>
        <a:ext cx="1185606" cy="361610"/>
      </dsp:txXfrm>
    </dsp:sp>
    <dsp:sp modelId="{7C5517C4-3757-473A-A2AB-C23307A8C026}">
      <dsp:nvSpPr>
        <dsp:cNvPr id="0" name=""/>
        <dsp:cNvSpPr/>
      </dsp:nvSpPr>
      <dsp:spPr>
        <a:xfrm>
          <a:off x="2564827" y="3060645"/>
          <a:ext cx="1185606" cy="36161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kern="1200"/>
            <a:t>Regional VP Latin America &amp; Caribbean</a:t>
          </a:r>
        </a:p>
      </dsp:txBody>
      <dsp:txXfrm>
        <a:off x="2564827" y="3060645"/>
        <a:ext cx="1185606" cy="361610"/>
      </dsp:txXfrm>
    </dsp:sp>
    <dsp:sp modelId="{97803CDD-1BB4-4967-AE3C-FE8FE0B88C86}">
      <dsp:nvSpPr>
        <dsp:cNvPr id="0" name=""/>
        <dsp:cNvSpPr/>
      </dsp:nvSpPr>
      <dsp:spPr>
        <a:xfrm>
          <a:off x="1142099" y="2295928"/>
          <a:ext cx="1185606" cy="36161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b="1" kern="1200"/>
            <a:t>VP Audits &amp; Evaluation</a:t>
          </a:r>
        </a:p>
      </dsp:txBody>
      <dsp:txXfrm>
        <a:off x="1142099" y="2295928"/>
        <a:ext cx="1185606" cy="361610"/>
      </dsp:txXfrm>
    </dsp:sp>
    <dsp:sp modelId="{835D03BE-BF24-4016-AF9C-369B42FC1CC2}">
      <dsp:nvSpPr>
        <dsp:cNvPr id="0" name=""/>
        <dsp:cNvSpPr/>
      </dsp:nvSpPr>
      <dsp:spPr>
        <a:xfrm>
          <a:off x="1142099" y="4080266"/>
          <a:ext cx="1185606" cy="36161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b="1" kern="1200"/>
            <a:t>Director External Relations</a:t>
          </a:r>
        </a:p>
      </dsp:txBody>
      <dsp:txXfrm>
        <a:off x="1142099" y="4080266"/>
        <a:ext cx="1185606" cy="361610"/>
      </dsp:txXfrm>
    </dsp:sp>
    <dsp:sp modelId="{6DA230CD-DA1D-4E10-94B6-19540BA1644F}">
      <dsp:nvSpPr>
        <dsp:cNvPr id="0" name=""/>
        <dsp:cNvSpPr/>
      </dsp:nvSpPr>
      <dsp:spPr>
        <a:xfrm>
          <a:off x="2564827" y="3570456"/>
          <a:ext cx="1185606" cy="361610"/>
        </a:xfrm>
        <a:prstGeom prst="rect">
          <a:avLst/>
        </a:prstGeom>
        <a:solidFill>
          <a:srgbClr val="FF0000"/>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kern="1200"/>
            <a:t>Information &amp; Public Affairs</a:t>
          </a:r>
        </a:p>
      </dsp:txBody>
      <dsp:txXfrm>
        <a:off x="2564827" y="3570456"/>
        <a:ext cx="1185606" cy="361610"/>
      </dsp:txXfrm>
    </dsp:sp>
    <dsp:sp modelId="{8E50368C-CBD7-4AD4-A4DA-B99BDDB52838}">
      <dsp:nvSpPr>
        <dsp:cNvPr id="0" name=""/>
        <dsp:cNvSpPr/>
      </dsp:nvSpPr>
      <dsp:spPr>
        <a:xfrm>
          <a:off x="2564827" y="4080266"/>
          <a:ext cx="1185606" cy="36161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kern="1200"/>
            <a:t>International Relations</a:t>
          </a:r>
        </a:p>
      </dsp:txBody>
      <dsp:txXfrm>
        <a:off x="2564827" y="4080266"/>
        <a:ext cx="1185606" cy="361610"/>
      </dsp:txXfrm>
    </dsp:sp>
    <dsp:sp modelId="{07D6A8ED-EBA2-4BBD-B5C5-FD291404DCA1}">
      <dsp:nvSpPr>
        <dsp:cNvPr id="0" name=""/>
        <dsp:cNvSpPr/>
      </dsp:nvSpPr>
      <dsp:spPr>
        <a:xfrm>
          <a:off x="2564827" y="4590077"/>
          <a:ext cx="1185606" cy="36161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kern="1200"/>
            <a:t>European Office</a:t>
          </a:r>
        </a:p>
      </dsp:txBody>
      <dsp:txXfrm>
        <a:off x="2564827" y="4590077"/>
        <a:ext cx="1185606" cy="361610"/>
      </dsp:txXfrm>
    </dsp:sp>
    <dsp:sp modelId="{EB843BC1-50A2-474A-9FCF-B88EA72F36AB}">
      <dsp:nvSpPr>
        <dsp:cNvPr id="0" name=""/>
        <dsp:cNvSpPr/>
      </dsp:nvSpPr>
      <dsp:spPr>
        <a:xfrm>
          <a:off x="1142099" y="4590077"/>
          <a:ext cx="1185606" cy="36161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b="1" kern="1200"/>
            <a:t>VP Finance</a:t>
          </a:r>
          <a:endParaRPr lang="fr-CH" sz="600" kern="1200"/>
        </a:p>
      </dsp:txBody>
      <dsp:txXfrm>
        <a:off x="1142099" y="4590077"/>
        <a:ext cx="1185606" cy="361610"/>
      </dsp:txXfrm>
    </dsp:sp>
    <dsp:sp modelId="{C80CDAEC-83A5-438D-823E-64A22651EBBC}">
      <dsp:nvSpPr>
        <dsp:cNvPr id="0" name=""/>
        <dsp:cNvSpPr/>
      </dsp:nvSpPr>
      <dsp:spPr>
        <a:xfrm>
          <a:off x="1142099" y="5099888"/>
          <a:ext cx="1185606" cy="36161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b="1" kern="1200"/>
            <a:t>VP &amp; General Counsel (Legal)</a:t>
          </a:r>
          <a:endParaRPr lang="fr-CH" sz="700" kern="1200"/>
        </a:p>
      </dsp:txBody>
      <dsp:txXfrm>
        <a:off x="1142099" y="5099888"/>
        <a:ext cx="1185606" cy="361610"/>
      </dsp:txXfrm>
    </dsp:sp>
    <dsp:sp modelId="{5B673C44-C66F-4A02-84DF-F23700B48042}">
      <dsp:nvSpPr>
        <dsp:cNvPr id="0" name=""/>
        <dsp:cNvSpPr/>
      </dsp:nvSpPr>
      <dsp:spPr>
        <a:xfrm>
          <a:off x="1142099" y="5609699"/>
          <a:ext cx="1185606" cy="36161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b="1" kern="1200"/>
            <a:t>VP Development Policy</a:t>
          </a:r>
          <a:endParaRPr lang="fr-CH" sz="700" kern="1200"/>
        </a:p>
      </dsp:txBody>
      <dsp:txXfrm>
        <a:off x="1142099" y="5609699"/>
        <a:ext cx="1185606" cy="361610"/>
      </dsp:txXfrm>
    </dsp:sp>
    <dsp:sp modelId="{094BF983-C5B0-4D6A-9942-685EAE00A553}">
      <dsp:nvSpPr>
        <dsp:cNvPr id="0" name=""/>
        <dsp:cNvSpPr/>
      </dsp:nvSpPr>
      <dsp:spPr>
        <a:xfrm>
          <a:off x="1142099" y="6119510"/>
          <a:ext cx="1474005" cy="441999"/>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b="1" kern="1200"/>
            <a:t>VP Organization Planning &amp; Personnel Management</a:t>
          </a:r>
        </a:p>
      </dsp:txBody>
      <dsp:txXfrm>
        <a:off x="1142099" y="6119510"/>
        <a:ext cx="1474005" cy="441999"/>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E454BF-3E58-4ABD-8DA2-FD7A1696F981}">
      <dsp:nvSpPr>
        <dsp:cNvPr id="0" name=""/>
        <dsp:cNvSpPr/>
      </dsp:nvSpPr>
      <dsp:spPr>
        <a:xfrm>
          <a:off x="1832689" y="5009835"/>
          <a:ext cx="224721" cy="1429377"/>
        </a:xfrm>
        <a:custGeom>
          <a:avLst/>
          <a:gdLst/>
          <a:ahLst/>
          <a:cxnLst/>
          <a:rect l="0" t="0" r="0" b="0"/>
          <a:pathLst>
            <a:path>
              <a:moveTo>
                <a:pt x="0" y="0"/>
              </a:moveTo>
              <a:lnTo>
                <a:pt x="112360" y="0"/>
              </a:lnTo>
              <a:lnTo>
                <a:pt x="112360" y="1429377"/>
              </a:lnTo>
              <a:lnTo>
                <a:pt x="224721" y="1429377"/>
              </a:lnTo>
            </a:path>
          </a:pathLst>
        </a:custGeom>
        <a:noFill/>
        <a:ln w="1270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F066A4C4-0B6F-4956-AE2D-4C3227D118DC}">
      <dsp:nvSpPr>
        <dsp:cNvPr id="0" name=""/>
        <dsp:cNvSpPr/>
      </dsp:nvSpPr>
      <dsp:spPr>
        <a:xfrm>
          <a:off x="1832689" y="5009835"/>
          <a:ext cx="224721" cy="466643"/>
        </a:xfrm>
        <a:custGeom>
          <a:avLst/>
          <a:gdLst/>
          <a:ahLst/>
          <a:cxnLst/>
          <a:rect l="0" t="0" r="0" b="0"/>
          <a:pathLst>
            <a:path>
              <a:moveTo>
                <a:pt x="0" y="0"/>
              </a:moveTo>
              <a:lnTo>
                <a:pt x="112360" y="0"/>
              </a:lnTo>
              <a:lnTo>
                <a:pt x="112360" y="466643"/>
              </a:lnTo>
              <a:lnTo>
                <a:pt x="224721" y="466643"/>
              </a:lnTo>
            </a:path>
          </a:pathLst>
        </a:custGeom>
        <a:noFill/>
        <a:ln w="1270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01572B25-4040-4E44-A14A-1224CB57FC80}">
      <dsp:nvSpPr>
        <dsp:cNvPr id="0" name=""/>
        <dsp:cNvSpPr/>
      </dsp:nvSpPr>
      <dsp:spPr>
        <a:xfrm>
          <a:off x="1832689" y="4288676"/>
          <a:ext cx="224721" cy="721158"/>
        </a:xfrm>
        <a:custGeom>
          <a:avLst/>
          <a:gdLst/>
          <a:ahLst/>
          <a:cxnLst/>
          <a:rect l="0" t="0" r="0" b="0"/>
          <a:pathLst>
            <a:path>
              <a:moveTo>
                <a:pt x="0" y="721158"/>
              </a:moveTo>
              <a:lnTo>
                <a:pt x="112360" y="721158"/>
              </a:lnTo>
              <a:lnTo>
                <a:pt x="112360" y="0"/>
              </a:lnTo>
              <a:lnTo>
                <a:pt x="224721" y="0"/>
              </a:lnTo>
            </a:path>
          </a:pathLst>
        </a:custGeom>
        <a:noFill/>
        <a:ln w="1270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856B9346-4E36-48C0-B084-F9C483036895}">
      <dsp:nvSpPr>
        <dsp:cNvPr id="0" name=""/>
        <dsp:cNvSpPr/>
      </dsp:nvSpPr>
      <dsp:spPr>
        <a:xfrm>
          <a:off x="3181021" y="3429504"/>
          <a:ext cx="224721" cy="2174184"/>
        </a:xfrm>
        <a:custGeom>
          <a:avLst/>
          <a:gdLst/>
          <a:ahLst/>
          <a:cxnLst/>
          <a:rect l="0" t="0" r="0" b="0"/>
          <a:pathLst>
            <a:path>
              <a:moveTo>
                <a:pt x="0" y="0"/>
              </a:moveTo>
              <a:lnTo>
                <a:pt x="112360" y="0"/>
              </a:lnTo>
              <a:lnTo>
                <a:pt x="112360" y="2174184"/>
              </a:lnTo>
              <a:lnTo>
                <a:pt x="224721" y="2174184"/>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87154F6B-B97D-4309-B096-2D5400DFD7CD}">
      <dsp:nvSpPr>
        <dsp:cNvPr id="0" name=""/>
        <dsp:cNvSpPr/>
      </dsp:nvSpPr>
      <dsp:spPr>
        <a:xfrm>
          <a:off x="3181021" y="3429504"/>
          <a:ext cx="224721" cy="1691032"/>
        </a:xfrm>
        <a:custGeom>
          <a:avLst/>
          <a:gdLst/>
          <a:ahLst/>
          <a:cxnLst/>
          <a:rect l="0" t="0" r="0" b="0"/>
          <a:pathLst>
            <a:path>
              <a:moveTo>
                <a:pt x="0" y="0"/>
              </a:moveTo>
              <a:lnTo>
                <a:pt x="112360" y="0"/>
              </a:lnTo>
              <a:lnTo>
                <a:pt x="112360" y="1691032"/>
              </a:lnTo>
              <a:lnTo>
                <a:pt x="224721" y="1691032"/>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C7D956E4-6DED-4AF0-BEF8-D0A2C8414468}">
      <dsp:nvSpPr>
        <dsp:cNvPr id="0" name=""/>
        <dsp:cNvSpPr/>
      </dsp:nvSpPr>
      <dsp:spPr>
        <a:xfrm>
          <a:off x="3181021" y="3429504"/>
          <a:ext cx="224721" cy="1207880"/>
        </a:xfrm>
        <a:custGeom>
          <a:avLst/>
          <a:gdLst/>
          <a:ahLst/>
          <a:cxnLst/>
          <a:rect l="0" t="0" r="0" b="0"/>
          <a:pathLst>
            <a:path>
              <a:moveTo>
                <a:pt x="0" y="0"/>
              </a:moveTo>
              <a:lnTo>
                <a:pt x="112360" y="0"/>
              </a:lnTo>
              <a:lnTo>
                <a:pt x="112360" y="1207880"/>
              </a:lnTo>
              <a:lnTo>
                <a:pt x="224721" y="1207880"/>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10F420C2-83C1-461F-B1EB-168847E4349D}">
      <dsp:nvSpPr>
        <dsp:cNvPr id="0" name=""/>
        <dsp:cNvSpPr/>
      </dsp:nvSpPr>
      <dsp:spPr>
        <a:xfrm>
          <a:off x="3181021" y="3429504"/>
          <a:ext cx="224721" cy="724728"/>
        </a:xfrm>
        <a:custGeom>
          <a:avLst/>
          <a:gdLst/>
          <a:ahLst/>
          <a:cxnLst/>
          <a:rect l="0" t="0" r="0" b="0"/>
          <a:pathLst>
            <a:path>
              <a:moveTo>
                <a:pt x="0" y="0"/>
              </a:moveTo>
              <a:lnTo>
                <a:pt x="112360" y="0"/>
              </a:lnTo>
              <a:lnTo>
                <a:pt x="112360" y="724728"/>
              </a:lnTo>
              <a:lnTo>
                <a:pt x="224721" y="724728"/>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2DE4D13C-002A-4821-A131-1E213E75A72C}">
      <dsp:nvSpPr>
        <dsp:cNvPr id="0" name=""/>
        <dsp:cNvSpPr/>
      </dsp:nvSpPr>
      <dsp:spPr>
        <a:xfrm>
          <a:off x="3181021" y="3429504"/>
          <a:ext cx="224721" cy="241576"/>
        </a:xfrm>
        <a:custGeom>
          <a:avLst/>
          <a:gdLst/>
          <a:ahLst/>
          <a:cxnLst/>
          <a:rect l="0" t="0" r="0" b="0"/>
          <a:pathLst>
            <a:path>
              <a:moveTo>
                <a:pt x="0" y="0"/>
              </a:moveTo>
              <a:lnTo>
                <a:pt x="112360" y="0"/>
              </a:lnTo>
              <a:lnTo>
                <a:pt x="112360" y="241576"/>
              </a:lnTo>
              <a:lnTo>
                <a:pt x="224721" y="241576"/>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5A2C961C-D4C7-459A-9F6D-FE2E687AB6BC}">
      <dsp:nvSpPr>
        <dsp:cNvPr id="0" name=""/>
        <dsp:cNvSpPr/>
      </dsp:nvSpPr>
      <dsp:spPr>
        <a:xfrm>
          <a:off x="3181021" y="3187928"/>
          <a:ext cx="224721" cy="241576"/>
        </a:xfrm>
        <a:custGeom>
          <a:avLst/>
          <a:gdLst/>
          <a:ahLst/>
          <a:cxnLst/>
          <a:rect l="0" t="0" r="0" b="0"/>
          <a:pathLst>
            <a:path>
              <a:moveTo>
                <a:pt x="0" y="241576"/>
              </a:moveTo>
              <a:lnTo>
                <a:pt x="112360" y="241576"/>
              </a:lnTo>
              <a:lnTo>
                <a:pt x="112360" y="0"/>
              </a:lnTo>
              <a:lnTo>
                <a:pt x="224721" y="0"/>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D5357351-A9EE-4C88-AF2E-B84ED0E56048}">
      <dsp:nvSpPr>
        <dsp:cNvPr id="0" name=""/>
        <dsp:cNvSpPr/>
      </dsp:nvSpPr>
      <dsp:spPr>
        <a:xfrm>
          <a:off x="3181021" y="2704776"/>
          <a:ext cx="224721" cy="724728"/>
        </a:xfrm>
        <a:custGeom>
          <a:avLst/>
          <a:gdLst/>
          <a:ahLst/>
          <a:cxnLst/>
          <a:rect l="0" t="0" r="0" b="0"/>
          <a:pathLst>
            <a:path>
              <a:moveTo>
                <a:pt x="0" y="724728"/>
              </a:moveTo>
              <a:lnTo>
                <a:pt x="112360" y="724728"/>
              </a:lnTo>
              <a:lnTo>
                <a:pt x="112360" y="0"/>
              </a:lnTo>
              <a:lnTo>
                <a:pt x="224721" y="0"/>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8DBCCFC9-0D57-410D-9622-8E377354D04E}">
      <dsp:nvSpPr>
        <dsp:cNvPr id="0" name=""/>
        <dsp:cNvSpPr/>
      </dsp:nvSpPr>
      <dsp:spPr>
        <a:xfrm>
          <a:off x="3181021" y="2221624"/>
          <a:ext cx="224721" cy="1207880"/>
        </a:xfrm>
        <a:custGeom>
          <a:avLst/>
          <a:gdLst/>
          <a:ahLst/>
          <a:cxnLst/>
          <a:rect l="0" t="0" r="0" b="0"/>
          <a:pathLst>
            <a:path>
              <a:moveTo>
                <a:pt x="0" y="1207880"/>
              </a:moveTo>
              <a:lnTo>
                <a:pt x="112360" y="1207880"/>
              </a:lnTo>
              <a:lnTo>
                <a:pt x="112360" y="0"/>
              </a:lnTo>
              <a:lnTo>
                <a:pt x="224721" y="0"/>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E114FE5C-A8F5-4F3E-81FF-48DA14E6D140}">
      <dsp:nvSpPr>
        <dsp:cNvPr id="0" name=""/>
        <dsp:cNvSpPr/>
      </dsp:nvSpPr>
      <dsp:spPr>
        <a:xfrm>
          <a:off x="3181021" y="1738471"/>
          <a:ext cx="224721" cy="1691032"/>
        </a:xfrm>
        <a:custGeom>
          <a:avLst/>
          <a:gdLst/>
          <a:ahLst/>
          <a:cxnLst/>
          <a:rect l="0" t="0" r="0" b="0"/>
          <a:pathLst>
            <a:path>
              <a:moveTo>
                <a:pt x="0" y="1691032"/>
              </a:moveTo>
              <a:lnTo>
                <a:pt x="112360" y="1691032"/>
              </a:lnTo>
              <a:lnTo>
                <a:pt x="112360" y="0"/>
              </a:lnTo>
              <a:lnTo>
                <a:pt x="224721" y="0"/>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2B97D1FB-0DDB-4CA1-8B58-C12AC31C93C0}">
      <dsp:nvSpPr>
        <dsp:cNvPr id="0" name=""/>
        <dsp:cNvSpPr/>
      </dsp:nvSpPr>
      <dsp:spPr>
        <a:xfrm>
          <a:off x="3181021" y="1255319"/>
          <a:ext cx="224721" cy="2174184"/>
        </a:xfrm>
        <a:custGeom>
          <a:avLst/>
          <a:gdLst/>
          <a:ahLst/>
          <a:cxnLst/>
          <a:rect l="0" t="0" r="0" b="0"/>
          <a:pathLst>
            <a:path>
              <a:moveTo>
                <a:pt x="0" y="2174184"/>
              </a:moveTo>
              <a:lnTo>
                <a:pt x="112360" y="2174184"/>
              </a:lnTo>
              <a:lnTo>
                <a:pt x="112360" y="0"/>
              </a:lnTo>
              <a:lnTo>
                <a:pt x="224721" y="0"/>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8FB7DF26-94F1-473B-91C2-FC72C39CC9B6}">
      <dsp:nvSpPr>
        <dsp:cNvPr id="0" name=""/>
        <dsp:cNvSpPr/>
      </dsp:nvSpPr>
      <dsp:spPr>
        <a:xfrm>
          <a:off x="1832689" y="3429504"/>
          <a:ext cx="224721" cy="1580330"/>
        </a:xfrm>
        <a:custGeom>
          <a:avLst/>
          <a:gdLst/>
          <a:ahLst/>
          <a:cxnLst/>
          <a:rect l="0" t="0" r="0" b="0"/>
          <a:pathLst>
            <a:path>
              <a:moveTo>
                <a:pt x="0" y="1580330"/>
              </a:moveTo>
              <a:lnTo>
                <a:pt x="112360" y="1580330"/>
              </a:lnTo>
              <a:lnTo>
                <a:pt x="112360" y="0"/>
              </a:lnTo>
              <a:lnTo>
                <a:pt x="224721" y="0"/>
              </a:lnTo>
            </a:path>
          </a:pathLst>
        </a:custGeom>
        <a:noFill/>
        <a:ln w="1270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4D466FC6-8D07-4663-9D24-0A23BA68C334}">
      <dsp:nvSpPr>
        <dsp:cNvPr id="0" name=""/>
        <dsp:cNvSpPr/>
      </dsp:nvSpPr>
      <dsp:spPr>
        <a:xfrm>
          <a:off x="1501876" y="2451913"/>
          <a:ext cx="224721" cy="241576"/>
        </a:xfrm>
        <a:custGeom>
          <a:avLst/>
          <a:gdLst/>
          <a:ahLst/>
          <a:cxnLst/>
          <a:rect l="0" t="0" r="0" b="0"/>
          <a:pathLst>
            <a:path>
              <a:moveTo>
                <a:pt x="0" y="0"/>
              </a:moveTo>
              <a:lnTo>
                <a:pt x="112360" y="0"/>
              </a:lnTo>
              <a:lnTo>
                <a:pt x="112360" y="241576"/>
              </a:lnTo>
              <a:lnTo>
                <a:pt x="224721" y="241576"/>
              </a:lnTo>
            </a:path>
          </a:pathLst>
        </a:custGeom>
        <a:noFill/>
        <a:ln w="1270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26D23BE1-DC77-49A4-9EF5-78C844E54DDD}">
      <dsp:nvSpPr>
        <dsp:cNvPr id="0" name=""/>
        <dsp:cNvSpPr/>
      </dsp:nvSpPr>
      <dsp:spPr>
        <a:xfrm>
          <a:off x="1501876" y="2210336"/>
          <a:ext cx="224721" cy="241576"/>
        </a:xfrm>
        <a:custGeom>
          <a:avLst/>
          <a:gdLst/>
          <a:ahLst/>
          <a:cxnLst/>
          <a:rect l="0" t="0" r="0" b="0"/>
          <a:pathLst>
            <a:path>
              <a:moveTo>
                <a:pt x="0" y="241576"/>
              </a:moveTo>
              <a:lnTo>
                <a:pt x="112360" y="241576"/>
              </a:lnTo>
              <a:lnTo>
                <a:pt x="112360" y="0"/>
              </a:lnTo>
              <a:lnTo>
                <a:pt x="224721" y="0"/>
              </a:lnTo>
            </a:path>
          </a:pathLst>
        </a:custGeom>
        <a:noFill/>
        <a:ln w="1270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DC076DCF-7AC8-47A0-A0DA-2972CC559EAE}">
      <dsp:nvSpPr>
        <dsp:cNvPr id="0" name=""/>
        <dsp:cNvSpPr/>
      </dsp:nvSpPr>
      <dsp:spPr>
        <a:xfrm>
          <a:off x="4093" y="600817"/>
          <a:ext cx="5487103" cy="34270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fr-CH" sz="1200" b="1" kern="1200"/>
            <a:t>World Bank governance, 2017</a:t>
          </a:r>
        </a:p>
      </dsp:txBody>
      <dsp:txXfrm>
        <a:off x="4093" y="600817"/>
        <a:ext cx="5487103" cy="342700"/>
      </dsp:txXfrm>
    </dsp:sp>
    <dsp:sp modelId="{A57FD8C0-4DA2-4ED4-BA08-8E2D35379ACF}">
      <dsp:nvSpPr>
        <dsp:cNvPr id="0" name=""/>
        <dsp:cNvSpPr/>
      </dsp:nvSpPr>
      <dsp:spPr>
        <a:xfrm>
          <a:off x="0" y="1074726"/>
          <a:ext cx="1980665" cy="814565"/>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fr-CH" sz="1200" b="1" kern="1200"/>
            <a:t>Board of Governors (189)</a:t>
          </a:r>
        </a:p>
      </dsp:txBody>
      <dsp:txXfrm>
        <a:off x="0" y="1074726"/>
        <a:ext cx="1980665" cy="814565"/>
      </dsp:txXfrm>
    </dsp:sp>
    <dsp:sp modelId="{B4AA179A-838B-46CB-837C-393B91356768}">
      <dsp:nvSpPr>
        <dsp:cNvPr id="0" name=""/>
        <dsp:cNvSpPr/>
      </dsp:nvSpPr>
      <dsp:spPr>
        <a:xfrm>
          <a:off x="4093" y="2077664"/>
          <a:ext cx="1497782" cy="748496"/>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fr-CH" sz="1200" b="1" kern="1200"/>
            <a:t>Board of Executive </a:t>
          </a:r>
        </a:p>
        <a:p>
          <a:pPr lvl="0" algn="ctr" defTabSz="533400">
            <a:lnSpc>
              <a:spcPct val="90000"/>
            </a:lnSpc>
            <a:spcBef>
              <a:spcPct val="0"/>
            </a:spcBef>
            <a:spcAft>
              <a:spcPct val="35000"/>
            </a:spcAft>
          </a:pPr>
          <a:r>
            <a:rPr lang="fr-CH" sz="1200" b="1" kern="1200"/>
            <a:t>Directors (25)</a:t>
          </a:r>
        </a:p>
      </dsp:txBody>
      <dsp:txXfrm>
        <a:off x="4093" y="2077664"/>
        <a:ext cx="1497782" cy="748496"/>
      </dsp:txXfrm>
    </dsp:sp>
    <dsp:sp modelId="{E476F090-9FCF-4888-9343-D26B8186F443}">
      <dsp:nvSpPr>
        <dsp:cNvPr id="0" name=""/>
        <dsp:cNvSpPr/>
      </dsp:nvSpPr>
      <dsp:spPr>
        <a:xfrm>
          <a:off x="1726598" y="2038986"/>
          <a:ext cx="1123609" cy="34270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b="1" kern="1200"/>
            <a:t>Independent Evaluation Group (Chairperson)</a:t>
          </a:r>
        </a:p>
      </dsp:txBody>
      <dsp:txXfrm>
        <a:off x="1726598" y="2038986"/>
        <a:ext cx="1123609" cy="342700"/>
      </dsp:txXfrm>
    </dsp:sp>
    <dsp:sp modelId="{4977BD67-D08D-4E5F-9B4F-017AC57A0B93}">
      <dsp:nvSpPr>
        <dsp:cNvPr id="0" name=""/>
        <dsp:cNvSpPr/>
      </dsp:nvSpPr>
      <dsp:spPr>
        <a:xfrm>
          <a:off x="1726598" y="2522138"/>
          <a:ext cx="1123609" cy="34270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b="1" kern="1200"/>
            <a:t>Inspection Panel (Chairperson)</a:t>
          </a:r>
        </a:p>
      </dsp:txBody>
      <dsp:txXfrm>
        <a:off x="1726598" y="2522138"/>
        <a:ext cx="1123609" cy="342700"/>
      </dsp:txXfrm>
    </dsp:sp>
    <dsp:sp modelId="{7474C64F-F3D4-4617-99E1-F32B43144C36}">
      <dsp:nvSpPr>
        <dsp:cNvPr id="0" name=""/>
        <dsp:cNvSpPr/>
      </dsp:nvSpPr>
      <dsp:spPr>
        <a:xfrm>
          <a:off x="4093" y="4520970"/>
          <a:ext cx="1828596" cy="977729"/>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fr-CH" sz="1200" b="1" kern="1200"/>
            <a:t>President</a:t>
          </a:r>
        </a:p>
      </dsp:txBody>
      <dsp:txXfrm>
        <a:off x="4093" y="4520970"/>
        <a:ext cx="1828596" cy="977729"/>
      </dsp:txXfrm>
    </dsp:sp>
    <dsp:sp modelId="{7ABB9496-7179-433E-BE54-AA118BA165FC}">
      <dsp:nvSpPr>
        <dsp:cNvPr id="0" name=""/>
        <dsp:cNvSpPr/>
      </dsp:nvSpPr>
      <dsp:spPr>
        <a:xfrm>
          <a:off x="2057411" y="3258154"/>
          <a:ext cx="1123609" cy="34270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b="1" kern="1200"/>
            <a:t>IBRD/IDA CEO</a:t>
          </a:r>
        </a:p>
      </dsp:txBody>
      <dsp:txXfrm>
        <a:off x="2057411" y="3258154"/>
        <a:ext cx="1123609" cy="342700"/>
      </dsp:txXfrm>
    </dsp:sp>
    <dsp:sp modelId="{FCD0F5F6-2FB2-4258-9641-421C803F64C3}">
      <dsp:nvSpPr>
        <dsp:cNvPr id="0" name=""/>
        <dsp:cNvSpPr/>
      </dsp:nvSpPr>
      <dsp:spPr>
        <a:xfrm>
          <a:off x="3405743" y="1083969"/>
          <a:ext cx="1123609" cy="34270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kern="1200"/>
            <a:t>Global Themes Vice President</a:t>
          </a:r>
        </a:p>
      </dsp:txBody>
      <dsp:txXfrm>
        <a:off x="3405743" y="1083969"/>
        <a:ext cx="1123609" cy="342700"/>
      </dsp:txXfrm>
    </dsp:sp>
    <dsp:sp modelId="{B84A46DC-014D-44A9-A435-7FBB638C2D46}">
      <dsp:nvSpPr>
        <dsp:cNvPr id="0" name=""/>
        <dsp:cNvSpPr/>
      </dsp:nvSpPr>
      <dsp:spPr>
        <a:xfrm>
          <a:off x="3405743" y="1567121"/>
          <a:ext cx="1123609" cy="34270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kern="1200"/>
            <a:t>Operations Policy &amp; Country Services Vice President</a:t>
          </a:r>
        </a:p>
      </dsp:txBody>
      <dsp:txXfrm>
        <a:off x="3405743" y="1567121"/>
        <a:ext cx="1123609" cy="342700"/>
      </dsp:txXfrm>
    </dsp:sp>
    <dsp:sp modelId="{8909094D-14E7-4B59-BD58-63DBAC7704C8}">
      <dsp:nvSpPr>
        <dsp:cNvPr id="0" name=""/>
        <dsp:cNvSpPr/>
      </dsp:nvSpPr>
      <dsp:spPr>
        <a:xfrm>
          <a:off x="3405743" y="2050273"/>
          <a:ext cx="1123609" cy="34270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kern="1200"/>
            <a:t>Africa Vice President</a:t>
          </a:r>
        </a:p>
      </dsp:txBody>
      <dsp:txXfrm>
        <a:off x="3405743" y="2050273"/>
        <a:ext cx="1123609" cy="342700"/>
      </dsp:txXfrm>
    </dsp:sp>
    <dsp:sp modelId="{E5D07C8D-C74B-4703-B024-68C22C15E953}">
      <dsp:nvSpPr>
        <dsp:cNvPr id="0" name=""/>
        <dsp:cNvSpPr/>
      </dsp:nvSpPr>
      <dsp:spPr>
        <a:xfrm>
          <a:off x="3405743" y="2533425"/>
          <a:ext cx="1123609" cy="34270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kern="1200"/>
            <a:t>East Asia and Pacific Vice President</a:t>
          </a:r>
        </a:p>
      </dsp:txBody>
      <dsp:txXfrm>
        <a:off x="3405743" y="2533425"/>
        <a:ext cx="1123609" cy="342700"/>
      </dsp:txXfrm>
    </dsp:sp>
    <dsp:sp modelId="{31AC8CB5-8ACB-4234-8CCD-536EBF72B931}">
      <dsp:nvSpPr>
        <dsp:cNvPr id="0" name=""/>
        <dsp:cNvSpPr/>
      </dsp:nvSpPr>
      <dsp:spPr>
        <a:xfrm>
          <a:off x="3405743" y="3016578"/>
          <a:ext cx="1123609" cy="34270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kern="1200"/>
            <a:t>Europe and Central Asia Vice President</a:t>
          </a:r>
        </a:p>
      </dsp:txBody>
      <dsp:txXfrm>
        <a:off x="3405743" y="3016578"/>
        <a:ext cx="1123609" cy="342700"/>
      </dsp:txXfrm>
    </dsp:sp>
    <dsp:sp modelId="{7C5517C4-3757-473A-A2AB-C23307A8C026}">
      <dsp:nvSpPr>
        <dsp:cNvPr id="0" name=""/>
        <dsp:cNvSpPr/>
      </dsp:nvSpPr>
      <dsp:spPr>
        <a:xfrm>
          <a:off x="3405743" y="3499730"/>
          <a:ext cx="1123609" cy="34270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kern="1200"/>
            <a:t>Latin America and Carribean Vice President</a:t>
          </a:r>
        </a:p>
      </dsp:txBody>
      <dsp:txXfrm>
        <a:off x="3405743" y="3499730"/>
        <a:ext cx="1123609" cy="342700"/>
      </dsp:txXfrm>
    </dsp:sp>
    <dsp:sp modelId="{31909FF8-01F2-4BA5-AF7A-6934458BC7B0}">
      <dsp:nvSpPr>
        <dsp:cNvPr id="0" name=""/>
        <dsp:cNvSpPr/>
      </dsp:nvSpPr>
      <dsp:spPr>
        <a:xfrm>
          <a:off x="3405743" y="3982882"/>
          <a:ext cx="1123609" cy="34270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kern="1200"/>
            <a:t>South Asia Vice President</a:t>
          </a:r>
        </a:p>
      </dsp:txBody>
      <dsp:txXfrm>
        <a:off x="3405743" y="3982882"/>
        <a:ext cx="1123609" cy="342700"/>
      </dsp:txXfrm>
    </dsp:sp>
    <dsp:sp modelId="{2880E98C-A175-469A-9081-2CDBA5B04A73}">
      <dsp:nvSpPr>
        <dsp:cNvPr id="0" name=""/>
        <dsp:cNvSpPr/>
      </dsp:nvSpPr>
      <dsp:spPr>
        <a:xfrm>
          <a:off x="3405743" y="4466034"/>
          <a:ext cx="1123609" cy="34270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kern="1200"/>
            <a:t>Human Development Vice President</a:t>
          </a:r>
        </a:p>
      </dsp:txBody>
      <dsp:txXfrm>
        <a:off x="3405743" y="4466034"/>
        <a:ext cx="1123609" cy="342700"/>
      </dsp:txXfrm>
    </dsp:sp>
    <dsp:sp modelId="{67807186-DCF8-419F-8643-38DFEBF8794E}">
      <dsp:nvSpPr>
        <dsp:cNvPr id="0" name=""/>
        <dsp:cNvSpPr/>
      </dsp:nvSpPr>
      <dsp:spPr>
        <a:xfrm>
          <a:off x="3405743" y="4949186"/>
          <a:ext cx="1123609" cy="34270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kern="1200"/>
            <a:t>Sustainable Development Vice President</a:t>
          </a:r>
        </a:p>
      </dsp:txBody>
      <dsp:txXfrm>
        <a:off x="3405743" y="4949186"/>
        <a:ext cx="1123609" cy="342700"/>
      </dsp:txXfrm>
    </dsp:sp>
    <dsp:sp modelId="{15C5811B-0966-48C4-B6CD-96FCBA1542B6}">
      <dsp:nvSpPr>
        <dsp:cNvPr id="0" name=""/>
        <dsp:cNvSpPr/>
      </dsp:nvSpPr>
      <dsp:spPr>
        <a:xfrm>
          <a:off x="3405743" y="5432338"/>
          <a:ext cx="1123609" cy="34270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kern="1200"/>
            <a:t>Equitable Growth, Finance &amp; Institutions Vice President</a:t>
          </a:r>
        </a:p>
      </dsp:txBody>
      <dsp:txXfrm>
        <a:off x="3405743" y="5432338"/>
        <a:ext cx="1123609" cy="342700"/>
      </dsp:txXfrm>
    </dsp:sp>
    <dsp:sp modelId="{A405772F-BB13-473B-B1EF-0365BCC09CB4}">
      <dsp:nvSpPr>
        <dsp:cNvPr id="0" name=""/>
        <dsp:cNvSpPr/>
      </dsp:nvSpPr>
      <dsp:spPr>
        <a:xfrm>
          <a:off x="2057411" y="3741306"/>
          <a:ext cx="1123609" cy="1094741"/>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b="1" kern="1200"/>
            <a:t>Various Vice Presidents        </a:t>
          </a:r>
        </a:p>
        <a:p>
          <a:pPr lvl="0" algn="ctr" defTabSz="400050">
            <a:lnSpc>
              <a:spcPct val="90000"/>
            </a:lnSpc>
            <a:spcBef>
              <a:spcPct val="0"/>
            </a:spcBef>
            <a:spcAft>
              <a:spcPct val="35000"/>
            </a:spcAft>
          </a:pPr>
          <a:r>
            <a:rPr lang="fr-CH" sz="600" b="1" kern="1200"/>
            <a:t>   </a:t>
          </a:r>
          <a:r>
            <a:rPr lang="fr-CH" sz="600" kern="1200"/>
            <a:t>(Corporate Secreatary, Auditor-General, WBG General Counsel, Chief Economist, 2030 Development Agenda, WBG Human Resources, WBG External &amp; Corporate Relations)</a:t>
          </a:r>
        </a:p>
      </dsp:txBody>
      <dsp:txXfrm>
        <a:off x="2057411" y="3741306"/>
        <a:ext cx="1123609" cy="1094741"/>
      </dsp:txXfrm>
    </dsp:sp>
    <dsp:sp modelId="{C80CDAEC-83A5-438D-823E-64A22651EBBC}">
      <dsp:nvSpPr>
        <dsp:cNvPr id="0" name=""/>
        <dsp:cNvSpPr/>
      </dsp:nvSpPr>
      <dsp:spPr>
        <a:xfrm>
          <a:off x="2057411" y="4976498"/>
          <a:ext cx="1002237" cy="999960"/>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b="1" kern="1200"/>
            <a:t>Managing Director &amp; WBG Chief Financial Officer                            </a:t>
          </a:r>
        </a:p>
        <a:p>
          <a:pPr lvl="0" algn="ctr" defTabSz="400050">
            <a:lnSpc>
              <a:spcPct val="90000"/>
            </a:lnSpc>
            <a:spcBef>
              <a:spcPct val="0"/>
            </a:spcBef>
            <a:spcAft>
              <a:spcPct val="35000"/>
            </a:spcAft>
          </a:pPr>
          <a:r>
            <a:rPr lang="fr-CH" sz="700" kern="1200"/>
            <a:t>(Oversees 4 finance-related Vice Presidents)</a:t>
          </a:r>
        </a:p>
      </dsp:txBody>
      <dsp:txXfrm>
        <a:off x="2057411" y="4976498"/>
        <a:ext cx="1002237" cy="999960"/>
      </dsp:txXfrm>
    </dsp:sp>
    <dsp:sp modelId="{5B673C44-C66F-4A02-84DF-F23700B48042}">
      <dsp:nvSpPr>
        <dsp:cNvPr id="0" name=""/>
        <dsp:cNvSpPr/>
      </dsp:nvSpPr>
      <dsp:spPr>
        <a:xfrm>
          <a:off x="2057411" y="6116910"/>
          <a:ext cx="1123609" cy="644606"/>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H" sz="900" b="1" kern="1200"/>
            <a:t>Managing Director &amp; WB Chief Administrative Officer             </a:t>
          </a:r>
        </a:p>
        <a:p>
          <a:pPr lvl="0" algn="ctr" defTabSz="400050">
            <a:lnSpc>
              <a:spcPct val="90000"/>
            </a:lnSpc>
            <a:spcBef>
              <a:spcPct val="0"/>
            </a:spcBef>
            <a:spcAft>
              <a:spcPct val="35000"/>
            </a:spcAft>
          </a:pPr>
          <a:r>
            <a:rPr lang="fr-CH" sz="700" kern="1200"/>
            <a:t> (Oversees 5 budget, ethics, and IT Vice Presidents)</a:t>
          </a:r>
        </a:p>
      </dsp:txBody>
      <dsp:txXfrm>
        <a:off x="2057411" y="6116910"/>
        <a:ext cx="1123609" cy="644606"/>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C6048A-2511-485C-8783-E0335D12B78B}">
      <dsp:nvSpPr>
        <dsp:cNvPr id="0" name=""/>
        <dsp:cNvSpPr/>
      </dsp:nvSpPr>
      <dsp:spPr>
        <a:xfrm>
          <a:off x="2517656" y="282823"/>
          <a:ext cx="1027031" cy="509690"/>
        </a:xfrm>
        <a:prstGeom prst="roundRect">
          <a:avLst>
            <a:gd name="adj" fmla="val 10000"/>
          </a:avLst>
        </a:prstGeom>
        <a:solidFill>
          <a:schemeClr val="accent2">
            <a:lumMod val="60000"/>
            <a:lumOff val="40000"/>
          </a:schemeClr>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1" kern="1200"/>
            <a:t>Elimination of oncho &amp; removal of reinfestation risk</a:t>
          </a:r>
        </a:p>
      </dsp:txBody>
      <dsp:txXfrm>
        <a:off x="2532584" y="297751"/>
        <a:ext cx="997175" cy="479834"/>
      </dsp:txXfrm>
    </dsp:sp>
    <dsp:sp modelId="{7D63F2EA-538D-440E-BC0E-6695D71DB056}">
      <dsp:nvSpPr>
        <dsp:cNvPr id="0" name=""/>
        <dsp:cNvSpPr/>
      </dsp:nvSpPr>
      <dsp:spPr>
        <a:xfrm>
          <a:off x="436529" y="792514"/>
          <a:ext cx="2594643" cy="127088"/>
        </a:xfrm>
        <a:custGeom>
          <a:avLst/>
          <a:gdLst/>
          <a:ahLst/>
          <a:cxnLst/>
          <a:rect l="0" t="0" r="0" b="0"/>
          <a:pathLst>
            <a:path>
              <a:moveTo>
                <a:pt x="2594643" y="0"/>
              </a:moveTo>
              <a:lnTo>
                <a:pt x="2594643" y="63544"/>
              </a:lnTo>
              <a:lnTo>
                <a:pt x="0" y="63544"/>
              </a:lnTo>
              <a:lnTo>
                <a:pt x="0" y="127088"/>
              </a:lnTo>
            </a:path>
          </a:pathLst>
        </a:custGeom>
        <a:no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C307E069-A738-40AE-885F-B90EAA12791D}">
      <dsp:nvSpPr>
        <dsp:cNvPr id="0" name=""/>
        <dsp:cNvSpPr/>
      </dsp:nvSpPr>
      <dsp:spPr>
        <a:xfrm>
          <a:off x="770" y="919602"/>
          <a:ext cx="871518" cy="751717"/>
        </a:xfrm>
        <a:prstGeom prst="roundRect">
          <a:avLst>
            <a:gd name="adj" fmla="val 10000"/>
          </a:avLst>
        </a:prstGeom>
        <a:solidFill>
          <a:schemeClr val="accent6">
            <a:lumMod val="60000"/>
            <a:lumOff val="40000"/>
          </a:schemeClr>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DURING OCP: reduce onchocerciasis transmission to interruption level</a:t>
          </a:r>
        </a:p>
      </dsp:txBody>
      <dsp:txXfrm>
        <a:off x="22787" y="941619"/>
        <a:ext cx="827484" cy="707683"/>
      </dsp:txXfrm>
    </dsp:sp>
    <dsp:sp modelId="{E56A42C8-211A-4BF3-9EEE-1006715FBA70}">
      <dsp:nvSpPr>
        <dsp:cNvPr id="0" name=""/>
        <dsp:cNvSpPr/>
      </dsp:nvSpPr>
      <dsp:spPr>
        <a:xfrm>
          <a:off x="390809" y="1671319"/>
          <a:ext cx="91440" cy="127088"/>
        </a:xfrm>
        <a:custGeom>
          <a:avLst/>
          <a:gdLst/>
          <a:ahLst/>
          <a:cxnLst/>
          <a:rect l="0" t="0" r="0" b="0"/>
          <a:pathLst>
            <a:path>
              <a:moveTo>
                <a:pt x="45720" y="0"/>
              </a:moveTo>
              <a:lnTo>
                <a:pt x="45720" y="127088"/>
              </a:lnTo>
            </a:path>
          </a:pathLst>
        </a:custGeom>
        <a:no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2F58826E-884A-4CA3-B85C-D45BB02DDC08}">
      <dsp:nvSpPr>
        <dsp:cNvPr id="0" name=""/>
        <dsp:cNvSpPr/>
      </dsp:nvSpPr>
      <dsp:spPr>
        <a:xfrm>
          <a:off x="80137" y="1798407"/>
          <a:ext cx="712783" cy="1033913"/>
        </a:xfrm>
        <a:prstGeom prst="roundRect">
          <a:avLst>
            <a:gd name="adj" fmla="val 10000"/>
          </a:avLst>
        </a:prstGeom>
        <a:solidFill>
          <a:schemeClr val="accent1">
            <a:lumMod val="60000"/>
            <a:lumOff val="40000"/>
          </a:schemeClr>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Bring prevalence &amp; ABR/ATP to maintenance-phase levels (to eventually allow for full devolution)</a:t>
          </a:r>
        </a:p>
      </dsp:txBody>
      <dsp:txXfrm>
        <a:off x="101014" y="1819284"/>
        <a:ext cx="671029" cy="992159"/>
      </dsp:txXfrm>
    </dsp:sp>
    <dsp:sp modelId="{0085001E-2861-4B4B-BA65-FFC7137C1142}">
      <dsp:nvSpPr>
        <dsp:cNvPr id="0" name=""/>
        <dsp:cNvSpPr/>
      </dsp:nvSpPr>
      <dsp:spPr>
        <a:xfrm>
          <a:off x="1701024" y="792514"/>
          <a:ext cx="1330147" cy="127088"/>
        </a:xfrm>
        <a:custGeom>
          <a:avLst/>
          <a:gdLst/>
          <a:ahLst/>
          <a:cxnLst/>
          <a:rect l="0" t="0" r="0" b="0"/>
          <a:pathLst>
            <a:path>
              <a:moveTo>
                <a:pt x="1330147" y="0"/>
              </a:moveTo>
              <a:lnTo>
                <a:pt x="1330147" y="63544"/>
              </a:lnTo>
              <a:lnTo>
                <a:pt x="0" y="63544"/>
              </a:lnTo>
              <a:lnTo>
                <a:pt x="0" y="127088"/>
              </a:lnTo>
            </a:path>
          </a:pathLst>
        </a:custGeom>
        <a:no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569D4D7A-8B47-42D1-994B-2B95E6A9A72C}">
      <dsp:nvSpPr>
        <dsp:cNvPr id="0" name=""/>
        <dsp:cNvSpPr/>
      </dsp:nvSpPr>
      <dsp:spPr>
        <a:xfrm>
          <a:off x="1319633" y="919602"/>
          <a:ext cx="762781" cy="828421"/>
        </a:xfrm>
        <a:prstGeom prst="roundRect">
          <a:avLst>
            <a:gd name="adj" fmla="val 10000"/>
          </a:avLst>
        </a:prstGeom>
        <a:solidFill>
          <a:schemeClr val="accent6">
            <a:lumMod val="60000"/>
            <a:lumOff val="40000"/>
          </a:schemeClr>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DURING OCP: safeguard against reintroduction of transmission</a:t>
          </a:r>
        </a:p>
      </dsp:txBody>
      <dsp:txXfrm>
        <a:off x="1341974" y="941943"/>
        <a:ext cx="718099" cy="783739"/>
      </dsp:txXfrm>
    </dsp:sp>
    <dsp:sp modelId="{E89DCC02-59F4-45C3-8144-9D41A29CAB90}">
      <dsp:nvSpPr>
        <dsp:cNvPr id="0" name=""/>
        <dsp:cNvSpPr/>
      </dsp:nvSpPr>
      <dsp:spPr>
        <a:xfrm>
          <a:off x="1255452" y="1748023"/>
          <a:ext cx="445572" cy="127088"/>
        </a:xfrm>
        <a:custGeom>
          <a:avLst/>
          <a:gdLst/>
          <a:ahLst/>
          <a:cxnLst/>
          <a:rect l="0" t="0" r="0" b="0"/>
          <a:pathLst>
            <a:path>
              <a:moveTo>
                <a:pt x="445572" y="0"/>
              </a:moveTo>
              <a:lnTo>
                <a:pt x="445572" y="63544"/>
              </a:lnTo>
              <a:lnTo>
                <a:pt x="0" y="63544"/>
              </a:lnTo>
              <a:lnTo>
                <a:pt x="0" y="127088"/>
              </a:lnTo>
            </a:path>
          </a:pathLst>
        </a:custGeom>
        <a:no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20B6954B-0F09-45D5-8564-1C98FEC9D7AB}">
      <dsp:nvSpPr>
        <dsp:cNvPr id="0" name=""/>
        <dsp:cNvSpPr/>
      </dsp:nvSpPr>
      <dsp:spPr>
        <a:xfrm>
          <a:off x="935895" y="1875111"/>
          <a:ext cx="639113" cy="572398"/>
        </a:xfrm>
        <a:prstGeom prst="roundRect">
          <a:avLst>
            <a:gd name="adj" fmla="val 10000"/>
          </a:avLst>
        </a:prstGeom>
        <a:solidFill>
          <a:schemeClr val="accent1">
            <a:lumMod val="60000"/>
            <a:lumOff val="40000"/>
          </a:schemeClr>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Western operations to reach maintenance</a:t>
          </a:r>
        </a:p>
      </dsp:txBody>
      <dsp:txXfrm>
        <a:off x="952660" y="1891876"/>
        <a:ext cx="605583" cy="538868"/>
      </dsp:txXfrm>
    </dsp:sp>
    <dsp:sp modelId="{9E65E49F-6BA3-424D-9C96-8D1CF7D7D591}">
      <dsp:nvSpPr>
        <dsp:cNvPr id="0" name=""/>
        <dsp:cNvSpPr/>
      </dsp:nvSpPr>
      <dsp:spPr>
        <a:xfrm>
          <a:off x="1701024" y="1748023"/>
          <a:ext cx="391044" cy="127088"/>
        </a:xfrm>
        <a:custGeom>
          <a:avLst/>
          <a:gdLst/>
          <a:ahLst/>
          <a:cxnLst/>
          <a:rect l="0" t="0" r="0" b="0"/>
          <a:pathLst>
            <a:path>
              <a:moveTo>
                <a:pt x="0" y="0"/>
              </a:moveTo>
              <a:lnTo>
                <a:pt x="0" y="63544"/>
              </a:lnTo>
              <a:lnTo>
                <a:pt x="391044" y="63544"/>
              </a:lnTo>
              <a:lnTo>
                <a:pt x="391044" y="127088"/>
              </a:lnTo>
            </a:path>
          </a:pathLst>
        </a:custGeom>
        <a:no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B64D41BA-F986-4C9E-B403-CFB8DB18F84F}">
      <dsp:nvSpPr>
        <dsp:cNvPr id="0" name=""/>
        <dsp:cNvSpPr/>
      </dsp:nvSpPr>
      <dsp:spPr>
        <a:xfrm>
          <a:off x="1717983" y="1875111"/>
          <a:ext cx="748169" cy="935655"/>
        </a:xfrm>
        <a:prstGeom prst="roundRect">
          <a:avLst>
            <a:gd name="adj" fmla="val 10000"/>
          </a:avLst>
        </a:prstGeom>
        <a:solidFill>
          <a:schemeClr val="accent1">
            <a:lumMod val="60000"/>
            <a:lumOff val="40000"/>
          </a:schemeClr>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Reinforce control in the 'inner periphery' of the 7-country (1983) OCP area</a:t>
          </a:r>
        </a:p>
      </dsp:txBody>
      <dsp:txXfrm>
        <a:off x="1739896" y="1897024"/>
        <a:ext cx="704343" cy="891829"/>
      </dsp:txXfrm>
    </dsp:sp>
    <dsp:sp modelId="{43847447-6A0B-46AA-A897-3D96FE1C66DD}">
      <dsp:nvSpPr>
        <dsp:cNvPr id="0" name=""/>
        <dsp:cNvSpPr/>
      </dsp:nvSpPr>
      <dsp:spPr>
        <a:xfrm>
          <a:off x="3031172" y="792514"/>
          <a:ext cx="396995" cy="127088"/>
        </a:xfrm>
        <a:custGeom>
          <a:avLst/>
          <a:gdLst/>
          <a:ahLst/>
          <a:cxnLst/>
          <a:rect l="0" t="0" r="0" b="0"/>
          <a:pathLst>
            <a:path>
              <a:moveTo>
                <a:pt x="0" y="0"/>
              </a:moveTo>
              <a:lnTo>
                <a:pt x="0" y="63544"/>
              </a:lnTo>
              <a:lnTo>
                <a:pt x="396995" y="63544"/>
              </a:lnTo>
              <a:lnTo>
                <a:pt x="396995" y="127088"/>
              </a:lnTo>
            </a:path>
          </a:pathLst>
        </a:custGeom>
        <a:no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C80CC5EE-FB12-4CD4-B487-D986AF863E4E}">
      <dsp:nvSpPr>
        <dsp:cNvPr id="0" name=""/>
        <dsp:cNvSpPr/>
      </dsp:nvSpPr>
      <dsp:spPr>
        <a:xfrm>
          <a:off x="3111499" y="919602"/>
          <a:ext cx="633337" cy="685145"/>
        </a:xfrm>
        <a:prstGeom prst="roundRect">
          <a:avLst>
            <a:gd name="adj" fmla="val 10000"/>
          </a:avLst>
        </a:prstGeom>
        <a:solidFill>
          <a:schemeClr val="accent6">
            <a:lumMod val="60000"/>
            <a:lumOff val="40000"/>
          </a:schemeClr>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DURING OCP: build-up national health structures</a:t>
          </a:r>
        </a:p>
      </dsp:txBody>
      <dsp:txXfrm>
        <a:off x="3130049" y="938152"/>
        <a:ext cx="596237" cy="648045"/>
      </dsp:txXfrm>
    </dsp:sp>
    <dsp:sp modelId="{3CF0D90E-7F4A-43AD-8744-5D99080CD5EC}">
      <dsp:nvSpPr>
        <dsp:cNvPr id="0" name=""/>
        <dsp:cNvSpPr/>
      </dsp:nvSpPr>
      <dsp:spPr>
        <a:xfrm>
          <a:off x="3073365" y="1604747"/>
          <a:ext cx="354802" cy="127088"/>
        </a:xfrm>
        <a:custGeom>
          <a:avLst/>
          <a:gdLst/>
          <a:ahLst/>
          <a:cxnLst/>
          <a:rect l="0" t="0" r="0" b="0"/>
          <a:pathLst>
            <a:path>
              <a:moveTo>
                <a:pt x="354802" y="0"/>
              </a:moveTo>
              <a:lnTo>
                <a:pt x="354802" y="63544"/>
              </a:lnTo>
              <a:lnTo>
                <a:pt x="0" y="63544"/>
              </a:lnTo>
              <a:lnTo>
                <a:pt x="0" y="127088"/>
              </a:lnTo>
            </a:path>
          </a:pathLst>
        </a:custGeom>
        <a:no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F001D873-3644-4362-9312-30E2F5F44443}">
      <dsp:nvSpPr>
        <dsp:cNvPr id="0" name=""/>
        <dsp:cNvSpPr/>
      </dsp:nvSpPr>
      <dsp:spPr>
        <a:xfrm>
          <a:off x="2609128" y="1731835"/>
          <a:ext cx="928474" cy="843637"/>
        </a:xfrm>
        <a:prstGeom prst="roundRect">
          <a:avLst>
            <a:gd name="adj" fmla="val 10000"/>
          </a:avLst>
        </a:prstGeom>
        <a:solidFill>
          <a:schemeClr val="accent1">
            <a:lumMod val="60000"/>
            <a:lumOff val="40000"/>
          </a:schemeClr>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Make participating countries capable of maintenance, supported by inter-country facility</a:t>
          </a:r>
        </a:p>
      </dsp:txBody>
      <dsp:txXfrm>
        <a:off x="2633837" y="1756544"/>
        <a:ext cx="879056" cy="794219"/>
      </dsp:txXfrm>
    </dsp:sp>
    <dsp:sp modelId="{7895FD45-5983-443E-8565-629E1460C7B7}">
      <dsp:nvSpPr>
        <dsp:cNvPr id="0" name=""/>
        <dsp:cNvSpPr/>
      </dsp:nvSpPr>
      <dsp:spPr>
        <a:xfrm>
          <a:off x="3428167" y="1604747"/>
          <a:ext cx="535724" cy="127088"/>
        </a:xfrm>
        <a:custGeom>
          <a:avLst/>
          <a:gdLst/>
          <a:ahLst/>
          <a:cxnLst/>
          <a:rect l="0" t="0" r="0" b="0"/>
          <a:pathLst>
            <a:path>
              <a:moveTo>
                <a:pt x="0" y="0"/>
              </a:moveTo>
              <a:lnTo>
                <a:pt x="0" y="63544"/>
              </a:lnTo>
              <a:lnTo>
                <a:pt x="535724" y="63544"/>
              </a:lnTo>
              <a:lnTo>
                <a:pt x="535724" y="127088"/>
              </a:lnTo>
            </a:path>
          </a:pathLst>
        </a:custGeom>
        <a:no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8FC0B4CE-390A-40B5-8EA6-F675C8B75491}">
      <dsp:nvSpPr>
        <dsp:cNvPr id="0" name=""/>
        <dsp:cNvSpPr/>
      </dsp:nvSpPr>
      <dsp:spPr>
        <a:xfrm>
          <a:off x="3680577" y="1731835"/>
          <a:ext cx="566630" cy="710740"/>
        </a:xfrm>
        <a:prstGeom prst="roundRect">
          <a:avLst>
            <a:gd name="adj" fmla="val 10000"/>
          </a:avLst>
        </a:prstGeom>
        <a:solidFill>
          <a:schemeClr val="accent1">
            <a:lumMod val="60000"/>
            <a:lumOff val="40000"/>
          </a:schemeClr>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Train nations for devolution activities</a:t>
          </a:r>
        </a:p>
      </dsp:txBody>
      <dsp:txXfrm>
        <a:off x="3697173" y="1748431"/>
        <a:ext cx="533438" cy="677548"/>
      </dsp:txXfrm>
    </dsp:sp>
    <dsp:sp modelId="{67EBF05C-535C-43B7-85A1-06F7B37D75B2}">
      <dsp:nvSpPr>
        <dsp:cNvPr id="0" name=""/>
        <dsp:cNvSpPr/>
      </dsp:nvSpPr>
      <dsp:spPr>
        <a:xfrm>
          <a:off x="3031172" y="792514"/>
          <a:ext cx="1740181" cy="127088"/>
        </a:xfrm>
        <a:custGeom>
          <a:avLst/>
          <a:gdLst/>
          <a:ahLst/>
          <a:cxnLst/>
          <a:rect l="0" t="0" r="0" b="0"/>
          <a:pathLst>
            <a:path>
              <a:moveTo>
                <a:pt x="0" y="0"/>
              </a:moveTo>
              <a:lnTo>
                <a:pt x="0" y="63544"/>
              </a:lnTo>
              <a:lnTo>
                <a:pt x="1740181" y="63544"/>
              </a:lnTo>
              <a:lnTo>
                <a:pt x="1740181" y="127088"/>
              </a:lnTo>
            </a:path>
          </a:pathLst>
        </a:custGeom>
        <a:no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1579D14A-76FD-4BB1-A4F7-9A899AA72884}">
      <dsp:nvSpPr>
        <dsp:cNvPr id="0" name=""/>
        <dsp:cNvSpPr/>
      </dsp:nvSpPr>
      <dsp:spPr>
        <a:xfrm>
          <a:off x="4453340" y="919602"/>
          <a:ext cx="636025" cy="824513"/>
        </a:xfrm>
        <a:prstGeom prst="roundRect">
          <a:avLst>
            <a:gd name="adj" fmla="val 10000"/>
          </a:avLst>
        </a:prstGeom>
        <a:solidFill>
          <a:schemeClr val="accent6">
            <a:lumMod val="60000"/>
            <a:lumOff val="40000"/>
          </a:schemeClr>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DURING OCP: identify/establish inter-country facility</a:t>
          </a:r>
        </a:p>
      </dsp:txBody>
      <dsp:txXfrm>
        <a:off x="4471969" y="938231"/>
        <a:ext cx="598767" cy="787255"/>
      </dsp:txXfrm>
    </dsp:sp>
    <dsp:sp modelId="{E7AE646A-1481-449D-BDA3-C9B17E6E43EC}">
      <dsp:nvSpPr>
        <dsp:cNvPr id="0" name=""/>
        <dsp:cNvSpPr/>
      </dsp:nvSpPr>
      <dsp:spPr>
        <a:xfrm>
          <a:off x="4725633" y="1744115"/>
          <a:ext cx="91440" cy="127088"/>
        </a:xfrm>
        <a:custGeom>
          <a:avLst/>
          <a:gdLst/>
          <a:ahLst/>
          <a:cxnLst/>
          <a:rect l="0" t="0" r="0" b="0"/>
          <a:pathLst>
            <a:path>
              <a:moveTo>
                <a:pt x="45720" y="0"/>
              </a:moveTo>
              <a:lnTo>
                <a:pt x="45720" y="127088"/>
              </a:lnTo>
            </a:path>
          </a:pathLst>
        </a:custGeom>
        <a:no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62E11380-600D-411C-92A4-4B2EA7D84DE6}">
      <dsp:nvSpPr>
        <dsp:cNvPr id="0" name=""/>
        <dsp:cNvSpPr/>
      </dsp:nvSpPr>
      <dsp:spPr>
        <a:xfrm>
          <a:off x="4390182" y="1871204"/>
          <a:ext cx="762343" cy="781710"/>
        </a:xfrm>
        <a:prstGeom prst="roundRect">
          <a:avLst>
            <a:gd name="adj" fmla="val 10000"/>
          </a:avLst>
        </a:prstGeom>
        <a:solidFill>
          <a:schemeClr val="accent1">
            <a:lumMod val="60000"/>
            <a:lumOff val="40000"/>
          </a:schemeClr>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Make countries capable of maintenance with support of facility</a:t>
          </a:r>
        </a:p>
      </dsp:txBody>
      <dsp:txXfrm>
        <a:off x="4412510" y="1893532"/>
        <a:ext cx="717687" cy="737054"/>
      </dsp:txXfrm>
    </dsp:sp>
    <dsp:sp modelId="{5DD61DA3-0890-4017-906D-FC5E64F3763D}">
      <dsp:nvSpPr>
        <dsp:cNvPr id="0" name=""/>
        <dsp:cNvSpPr/>
      </dsp:nvSpPr>
      <dsp:spPr>
        <a:xfrm>
          <a:off x="3031172" y="792514"/>
          <a:ext cx="2647364" cy="127088"/>
        </a:xfrm>
        <a:custGeom>
          <a:avLst/>
          <a:gdLst/>
          <a:ahLst/>
          <a:cxnLst/>
          <a:rect l="0" t="0" r="0" b="0"/>
          <a:pathLst>
            <a:path>
              <a:moveTo>
                <a:pt x="0" y="0"/>
              </a:moveTo>
              <a:lnTo>
                <a:pt x="0" y="63544"/>
              </a:lnTo>
              <a:lnTo>
                <a:pt x="2647364" y="63544"/>
              </a:lnTo>
              <a:lnTo>
                <a:pt x="2647364" y="127088"/>
              </a:lnTo>
            </a:path>
          </a:pathLst>
        </a:custGeom>
        <a:no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27AE317B-93C7-48FB-9F15-ED3F7AF5D8E1}">
      <dsp:nvSpPr>
        <dsp:cNvPr id="0" name=""/>
        <dsp:cNvSpPr/>
      </dsp:nvSpPr>
      <dsp:spPr>
        <a:xfrm>
          <a:off x="5295499" y="919602"/>
          <a:ext cx="766075" cy="1104561"/>
        </a:xfrm>
        <a:prstGeom prst="roundRect">
          <a:avLst>
            <a:gd name="adj" fmla="val 10000"/>
          </a:avLst>
        </a:prstGeom>
        <a:solidFill>
          <a:schemeClr val="accent6">
            <a:lumMod val="60000"/>
            <a:lumOff val="40000"/>
          </a:schemeClr>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AFTER OCP: continue surveillance/suppression of possible reinfestation</a:t>
          </a:r>
        </a:p>
      </dsp:txBody>
      <dsp:txXfrm>
        <a:off x="5317937" y="942040"/>
        <a:ext cx="721199" cy="1059685"/>
      </dsp:txXfrm>
    </dsp:sp>
    <dsp:sp modelId="{0998877C-2FDA-4E77-8926-4CDDFCD8654E}">
      <dsp:nvSpPr>
        <dsp:cNvPr id="0" name=""/>
        <dsp:cNvSpPr/>
      </dsp:nvSpPr>
      <dsp:spPr>
        <a:xfrm>
          <a:off x="5632817" y="2024164"/>
          <a:ext cx="91440" cy="127088"/>
        </a:xfrm>
        <a:custGeom>
          <a:avLst/>
          <a:gdLst/>
          <a:ahLst/>
          <a:cxnLst/>
          <a:rect l="0" t="0" r="0" b="0"/>
          <a:pathLst>
            <a:path>
              <a:moveTo>
                <a:pt x="45720" y="0"/>
              </a:moveTo>
              <a:lnTo>
                <a:pt x="45720" y="127088"/>
              </a:lnTo>
            </a:path>
          </a:pathLst>
        </a:custGeom>
        <a:no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0B2AC52A-9C19-4116-BE3B-DD200C94EF95}">
      <dsp:nvSpPr>
        <dsp:cNvPr id="0" name=""/>
        <dsp:cNvSpPr/>
      </dsp:nvSpPr>
      <dsp:spPr>
        <a:xfrm>
          <a:off x="5346317" y="2151252"/>
          <a:ext cx="664439" cy="1024740"/>
        </a:xfrm>
        <a:prstGeom prst="roundRect">
          <a:avLst>
            <a:gd name="adj" fmla="val 10000"/>
          </a:avLst>
        </a:prstGeom>
        <a:solidFill>
          <a:schemeClr val="accent1">
            <a:lumMod val="60000"/>
            <a:lumOff val="40000"/>
          </a:schemeClr>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Continue maintenance activities until elimination of oncho is achieved</a:t>
          </a:r>
        </a:p>
      </dsp:txBody>
      <dsp:txXfrm>
        <a:off x="5365778" y="2170713"/>
        <a:ext cx="625517" cy="985818"/>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090EDC-46B2-447C-8D84-CD1C03BC3851}">
      <dsp:nvSpPr>
        <dsp:cNvPr id="0" name=""/>
        <dsp:cNvSpPr/>
      </dsp:nvSpPr>
      <dsp:spPr>
        <a:xfrm>
          <a:off x="638659" y="498946"/>
          <a:ext cx="1196553" cy="798100"/>
        </a:xfrm>
        <a:prstGeom prst="rect">
          <a:avLst/>
        </a:prstGeom>
        <a:solidFill>
          <a:schemeClr val="accent1">
            <a:alpha val="90000"/>
            <a:tint val="55000"/>
            <a:hueOff val="0"/>
            <a:satOff val="0"/>
            <a:lumOff val="0"/>
            <a:alphaOff val="0"/>
          </a:schemeClr>
        </a:solid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0" tIns="56896" rIns="56896" bIns="56896" numCol="1" spcCol="1270" anchor="ctr" anchorCtr="0">
          <a:noAutofit/>
        </a:bodyPr>
        <a:lstStyle/>
        <a:p>
          <a:pPr lvl="0" algn="l" defTabSz="355600">
            <a:lnSpc>
              <a:spcPct val="90000"/>
            </a:lnSpc>
            <a:spcBef>
              <a:spcPct val="0"/>
            </a:spcBef>
            <a:spcAft>
              <a:spcPct val="35000"/>
            </a:spcAft>
          </a:pPr>
          <a:r>
            <a:rPr lang="en-US" sz="800" b="1" kern="1200"/>
            <a:t>Variants</a:t>
          </a:r>
          <a:r>
            <a:rPr lang="en-US" sz="800" kern="1200"/>
            <a:t> - Keep current centralised structure (WHO executed) or progressively devolve structure (individually or collectively)?</a:t>
          </a:r>
        </a:p>
      </dsp:txBody>
      <dsp:txXfrm>
        <a:off x="830107" y="498946"/>
        <a:ext cx="1005104" cy="798100"/>
      </dsp:txXfrm>
    </dsp:sp>
    <dsp:sp modelId="{01B02848-BFD7-4CFF-A871-55800C3DDDE3}">
      <dsp:nvSpPr>
        <dsp:cNvPr id="0" name=""/>
        <dsp:cNvSpPr/>
      </dsp:nvSpPr>
      <dsp:spPr>
        <a:xfrm>
          <a:off x="638659" y="1297047"/>
          <a:ext cx="1196553" cy="1424458"/>
        </a:xfrm>
        <a:prstGeom prst="rect">
          <a:avLst/>
        </a:prstGeom>
        <a:solidFill>
          <a:schemeClr val="accent1">
            <a:alpha val="90000"/>
            <a:tint val="55000"/>
            <a:hueOff val="0"/>
            <a:satOff val="0"/>
            <a:lumOff val="0"/>
            <a:alphaOff val="0"/>
          </a:schemeClr>
        </a:solid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0" tIns="56896" rIns="56896" bIns="56896" numCol="1" spcCol="1270" anchor="ctr" anchorCtr="0">
          <a:noAutofit/>
        </a:bodyPr>
        <a:lstStyle/>
        <a:p>
          <a:pPr lvl="0" algn="l" defTabSz="355600">
            <a:lnSpc>
              <a:spcPct val="90000"/>
            </a:lnSpc>
            <a:spcBef>
              <a:spcPct val="0"/>
            </a:spcBef>
            <a:spcAft>
              <a:spcPct val="35000"/>
            </a:spcAft>
          </a:pPr>
          <a:r>
            <a:rPr lang="en-US" sz="800" b="1" kern="1200"/>
            <a:t>Analysis</a:t>
          </a:r>
          <a:r>
            <a:rPr lang="en-US" sz="800" kern="1200"/>
            <a:t> - Needs to consider affordability of oncho control (compared to local government health sector budgets/ priorities); compromises in technical &amp; epidemiological implementation</a:t>
          </a:r>
        </a:p>
      </dsp:txBody>
      <dsp:txXfrm>
        <a:off x="830107" y="1297047"/>
        <a:ext cx="1005104" cy="1424458"/>
      </dsp:txXfrm>
    </dsp:sp>
    <dsp:sp modelId="{674677DA-C446-4A44-9F34-7546B2432FDA}">
      <dsp:nvSpPr>
        <dsp:cNvPr id="0" name=""/>
        <dsp:cNvSpPr/>
      </dsp:nvSpPr>
      <dsp:spPr>
        <a:xfrm>
          <a:off x="497" y="179865"/>
          <a:ext cx="797702" cy="797702"/>
        </a:xfrm>
        <a:prstGeom prst="ellipse">
          <a:avLst/>
        </a:prstGeom>
        <a:gradFill rotWithShape="0">
          <a:gsLst>
            <a:gs pos="0">
              <a:schemeClr val="accent1">
                <a:shade val="50000"/>
                <a:hueOff val="0"/>
                <a:satOff val="0"/>
                <a:lumOff val="0"/>
                <a:alphaOff val="0"/>
                <a:satMod val="103000"/>
                <a:lumMod val="102000"/>
                <a:tint val="94000"/>
              </a:schemeClr>
            </a:gs>
            <a:gs pos="50000">
              <a:schemeClr val="accent1">
                <a:shade val="50000"/>
                <a:hueOff val="0"/>
                <a:satOff val="0"/>
                <a:lumOff val="0"/>
                <a:alphaOff val="0"/>
                <a:satMod val="110000"/>
                <a:lumMod val="100000"/>
                <a:shade val="100000"/>
              </a:schemeClr>
            </a:gs>
            <a:gs pos="100000">
              <a:schemeClr val="accent1">
                <a:shade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r>
            <a:rPr lang="en-US" sz="800" kern="1200"/>
            <a:t>Organization</a:t>
          </a:r>
        </a:p>
      </dsp:txBody>
      <dsp:txXfrm>
        <a:off x="117318" y="296686"/>
        <a:ext cx="564060" cy="564060"/>
      </dsp:txXfrm>
    </dsp:sp>
    <dsp:sp modelId="{891AF975-4CDB-4D41-B470-13822AB9626B}">
      <dsp:nvSpPr>
        <dsp:cNvPr id="0" name=""/>
        <dsp:cNvSpPr/>
      </dsp:nvSpPr>
      <dsp:spPr>
        <a:xfrm>
          <a:off x="2632914" y="498946"/>
          <a:ext cx="1196553" cy="978375"/>
        </a:xfrm>
        <a:prstGeom prst="rect">
          <a:avLst/>
        </a:prstGeom>
        <a:solidFill>
          <a:schemeClr val="accent1">
            <a:alpha val="90000"/>
            <a:tint val="55000"/>
            <a:hueOff val="0"/>
            <a:satOff val="0"/>
            <a:lumOff val="0"/>
            <a:alphaOff val="0"/>
          </a:schemeClr>
        </a:solid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0" tIns="56896" rIns="56896" bIns="56896" numCol="1" spcCol="1270" anchor="ctr" anchorCtr="0">
          <a:noAutofit/>
        </a:bodyPr>
        <a:lstStyle/>
        <a:p>
          <a:pPr lvl="0" algn="l" defTabSz="355600">
            <a:lnSpc>
              <a:spcPct val="90000"/>
            </a:lnSpc>
            <a:spcBef>
              <a:spcPct val="0"/>
            </a:spcBef>
            <a:spcAft>
              <a:spcPct val="35000"/>
            </a:spcAft>
          </a:pPr>
          <a:r>
            <a:rPr lang="en-US" sz="800" b="1" kern="1200"/>
            <a:t>Variants</a:t>
          </a:r>
          <a:r>
            <a:rPr lang="en-US" sz="800" kern="1200"/>
            <a:t> - Continue large scale vector control operations or limit vector control to areas of significant transmission?</a:t>
          </a:r>
        </a:p>
      </dsp:txBody>
      <dsp:txXfrm>
        <a:off x="2824362" y="498946"/>
        <a:ext cx="1005104" cy="978375"/>
      </dsp:txXfrm>
    </dsp:sp>
    <dsp:sp modelId="{D0CF01D0-0D54-49CE-A6C0-A50C9F8129C7}">
      <dsp:nvSpPr>
        <dsp:cNvPr id="0" name=""/>
        <dsp:cNvSpPr/>
      </dsp:nvSpPr>
      <dsp:spPr>
        <a:xfrm>
          <a:off x="2632914" y="1477322"/>
          <a:ext cx="1196553" cy="436513"/>
        </a:xfrm>
        <a:prstGeom prst="rect">
          <a:avLst/>
        </a:prstGeom>
        <a:solidFill>
          <a:schemeClr val="accent1">
            <a:alpha val="90000"/>
            <a:tint val="55000"/>
            <a:hueOff val="0"/>
            <a:satOff val="0"/>
            <a:lumOff val="0"/>
            <a:alphaOff val="0"/>
          </a:schemeClr>
        </a:solid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0" tIns="56896" rIns="56896" bIns="56896" numCol="1" spcCol="1270" anchor="ctr" anchorCtr="0">
          <a:noAutofit/>
        </a:bodyPr>
        <a:lstStyle/>
        <a:p>
          <a:pPr lvl="0" algn="l" defTabSz="355600">
            <a:lnSpc>
              <a:spcPct val="90000"/>
            </a:lnSpc>
            <a:spcBef>
              <a:spcPct val="0"/>
            </a:spcBef>
            <a:spcAft>
              <a:spcPct val="35000"/>
            </a:spcAft>
          </a:pPr>
          <a:r>
            <a:rPr lang="en-US" sz="800" b="1" kern="1200"/>
            <a:t>Analysis</a:t>
          </a:r>
          <a:r>
            <a:rPr lang="en-US" sz="800" kern="1200"/>
            <a:t> - Needs to have very good ABR and ATP data</a:t>
          </a:r>
        </a:p>
      </dsp:txBody>
      <dsp:txXfrm>
        <a:off x="2824362" y="1477322"/>
        <a:ext cx="1005104" cy="436513"/>
      </dsp:txXfrm>
    </dsp:sp>
    <dsp:sp modelId="{85A1E6B6-230D-434F-8FA6-5266DC3F020C}">
      <dsp:nvSpPr>
        <dsp:cNvPr id="0" name=""/>
        <dsp:cNvSpPr/>
      </dsp:nvSpPr>
      <dsp:spPr>
        <a:xfrm>
          <a:off x="1994752" y="179865"/>
          <a:ext cx="797702" cy="797702"/>
        </a:xfrm>
        <a:prstGeom prst="ellipse">
          <a:avLst/>
        </a:prstGeom>
        <a:gradFill rotWithShape="0">
          <a:gsLst>
            <a:gs pos="0">
              <a:schemeClr val="accent1">
                <a:shade val="50000"/>
                <a:hueOff val="222839"/>
                <a:satOff val="5970"/>
                <a:lumOff val="26302"/>
                <a:alphaOff val="0"/>
                <a:satMod val="103000"/>
                <a:lumMod val="102000"/>
                <a:tint val="94000"/>
              </a:schemeClr>
            </a:gs>
            <a:gs pos="50000">
              <a:schemeClr val="accent1">
                <a:shade val="50000"/>
                <a:hueOff val="222839"/>
                <a:satOff val="5970"/>
                <a:lumOff val="26302"/>
                <a:alphaOff val="0"/>
                <a:satMod val="110000"/>
                <a:lumMod val="100000"/>
                <a:shade val="100000"/>
              </a:schemeClr>
            </a:gs>
            <a:gs pos="100000">
              <a:schemeClr val="accent1">
                <a:shade val="50000"/>
                <a:hueOff val="222839"/>
                <a:satOff val="5970"/>
                <a:lumOff val="2630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r>
            <a:rPr lang="en-US" sz="800" kern="1200"/>
            <a:t>Scale</a:t>
          </a:r>
        </a:p>
      </dsp:txBody>
      <dsp:txXfrm>
        <a:off x="2111573" y="296686"/>
        <a:ext cx="564060" cy="564060"/>
      </dsp:txXfrm>
    </dsp:sp>
    <dsp:sp modelId="{955CC197-A46E-4EEE-8338-9D0932C32D8C}">
      <dsp:nvSpPr>
        <dsp:cNvPr id="0" name=""/>
        <dsp:cNvSpPr/>
      </dsp:nvSpPr>
      <dsp:spPr>
        <a:xfrm>
          <a:off x="4627169" y="498946"/>
          <a:ext cx="1196553" cy="1037219"/>
        </a:xfrm>
        <a:prstGeom prst="rect">
          <a:avLst/>
        </a:prstGeom>
        <a:solidFill>
          <a:schemeClr val="accent1">
            <a:alpha val="90000"/>
            <a:tint val="55000"/>
            <a:hueOff val="0"/>
            <a:satOff val="0"/>
            <a:lumOff val="0"/>
            <a:alphaOff val="0"/>
          </a:schemeClr>
        </a:solid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0" tIns="56896" rIns="56896" bIns="56896" numCol="1" spcCol="1270" anchor="ctr" anchorCtr="0">
          <a:noAutofit/>
        </a:bodyPr>
        <a:lstStyle/>
        <a:p>
          <a:pPr lvl="0" algn="l" defTabSz="355600">
            <a:lnSpc>
              <a:spcPct val="90000"/>
            </a:lnSpc>
            <a:spcBef>
              <a:spcPct val="0"/>
            </a:spcBef>
            <a:spcAft>
              <a:spcPct val="35000"/>
            </a:spcAft>
          </a:pPr>
          <a:r>
            <a:rPr lang="en-US" sz="800" b="1" kern="1200"/>
            <a:t>Variants</a:t>
          </a:r>
          <a:r>
            <a:rPr lang="en-US" sz="800" kern="1200"/>
            <a:t>: Focus on vector control and oncho alone, or 'piggyback' medical teams &amp; basic health services to epidemiological monitoring?</a:t>
          </a:r>
        </a:p>
      </dsp:txBody>
      <dsp:txXfrm>
        <a:off x="4818617" y="498946"/>
        <a:ext cx="1005104" cy="1037219"/>
      </dsp:txXfrm>
    </dsp:sp>
    <dsp:sp modelId="{3CA224BF-8567-4124-8E6D-903E98A76856}">
      <dsp:nvSpPr>
        <dsp:cNvPr id="0" name=""/>
        <dsp:cNvSpPr/>
      </dsp:nvSpPr>
      <dsp:spPr>
        <a:xfrm>
          <a:off x="4627169" y="1536166"/>
          <a:ext cx="1196553" cy="1126495"/>
        </a:xfrm>
        <a:prstGeom prst="rect">
          <a:avLst/>
        </a:prstGeom>
        <a:solidFill>
          <a:schemeClr val="accent1">
            <a:alpha val="90000"/>
            <a:tint val="55000"/>
            <a:hueOff val="0"/>
            <a:satOff val="0"/>
            <a:lumOff val="0"/>
            <a:alphaOff val="0"/>
          </a:schemeClr>
        </a:solid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0" tIns="56896" rIns="56896" bIns="56896" numCol="1" spcCol="1270" anchor="ctr" anchorCtr="0">
          <a:noAutofit/>
        </a:bodyPr>
        <a:lstStyle/>
        <a:p>
          <a:pPr lvl="0" algn="l" defTabSz="355600">
            <a:lnSpc>
              <a:spcPct val="90000"/>
            </a:lnSpc>
            <a:spcBef>
              <a:spcPct val="0"/>
            </a:spcBef>
            <a:spcAft>
              <a:spcPct val="35000"/>
            </a:spcAft>
          </a:pPr>
          <a:r>
            <a:rPr lang="en-US" sz="800" b="1" kern="1200"/>
            <a:t>Analysis</a:t>
          </a:r>
          <a:r>
            <a:rPr lang="en-US" sz="800" kern="1200"/>
            <a:t> - Should answer question: Are the extra benefits of piggybacking these health services into epidemiological teams worth the additional costs?</a:t>
          </a:r>
        </a:p>
      </dsp:txBody>
      <dsp:txXfrm>
        <a:off x="4818617" y="1536166"/>
        <a:ext cx="1005104" cy="1126495"/>
      </dsp:txXfrm>
    </dsp:sp>
    <dsp:sp modelId="{B3DD7354-4001-4FEE-86F1-6B15C15B4043}">
      <dsp:nvSpPr>
        <dsp:cNvPr id="0" name=""/>
        <dsp:cNvSpPr/>
      </dsp:nvSpPr>
      <dsp:spPr>
        <a:xfrm>
          <a:off x="3989007" y="179865"/>
          <a:ext cx="797702" cy="797702"/>
        </a:xfrm>
        <a:prstGeom prst="ellipse">
          <a:avLst/>
        </a:prstGeom>
        <a:gradFill rotWithShape="0">
          <a:gsLst>
            <a:gs pos="0">
              <a:schemeClr val="accent1">
                <a:shade val="50000"/>
                <a:hueOff val="222839"/>
                <a:satOff val="5970"/>
                <a:lumOff val="26302"/>
                <a:alphaOff val="0"/>
                <a:satMod val="103000"/>
                <a:lumMod val="102000"/>
                <a:tint val="94000"/>
              </a:schemeClr>
            </a:gs>
            <a:gs pos="50000">
              <a:schemeClr val="accent1">
                <a:shade val="50000"/>
                <a:hueOff val="222839"/>
                <a:satOff val="5970"/>
                <a:lumOff val="26302"/>
                <a:alphaOff val="0"/>
                <a:satMod val="110000"/>
                <a:lumMod val="100000"/>
                <a:shade val="100000"/>
              </a:schemeClr>
            </a:gs>
            <a:gs pos="100000">
              <a:schemeClr val="accent1">
                <a:shade val="50000"/>
                <a:hueOff val="222839"/>
                <a:satOff val="5970"/>
                <a:lumOff val="2630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r>
            <a:rPr lang="en-US" sz="800" kern="1200"/>
            <a:t>Delivery</a:t>
          </a:r>
        </a:p>
      </dsp:txBody>
      <dsp:txXfrm>
        <a:off x="4105828" y="296686"/>
        <a:ext cx="564060" cy="56406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layout7.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11.xml><?xml version="1.0" encoding="utf-8"?>
<dgm:layoutDef xmlns:dgm="http://schemas.openxmlformats.org/drawingml/2006/diagram" xmlns:a="http://schemas.openxmlformats.org/drawingml/2006/main" uniqueId="urn:microsoft.com/office/officeart/2005/8/layout/hList9">
  <dgm:title val=""/>
  <dgm:desc val=""/>
  <dgm:catLst>
    <dgm:cat type="list" pri="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3" srcId="0" destId="1" srcOrd="0" destOrd="0"/>
        <dgm:cxn modelId="4"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1" destId="2" srcOrd="0" destOrd="0"/>
      </dgm:cxnLst>
      <dgm:bg/>
      <dgm:whole/>
    </dgm:dataModel>
  </dgm:styleData>
  <dgm:clrData>
    <dgm:dataModel>
      <dgm:ptLst>
        <dgm:pt modelId="0" type="doc"/>
        <dgm:pt modelId="1"/>
        <dgm:pt modelId="11"/>
        <dgm:pt modelId="12"/>
        <dgm:pt modelId="13"/>
        <dgm:pt modelId="14"/>
        <dgm:pt modelId="2"/>
        <dgm:pt modelId="21"/>
        <dgm:pt modelId="22"/>
        <dgm:pt modelId="23"/>
        <dgm:pt modelId="24"/>
        <dgm:pt modelId="3"/>
        <dgm:pt modelId="31"/>
        <dgm:pt modelId="32"/>
        <dgm:pt modelId="33"/>
        <dgm:pt modelId="34"/>
      </dgm:ptLst>
      <dgm:cxnLst>
        <dgm:cxn modelId="4" srcId="0" destId="1" srcOrd="0" destOrd="0"/>
        <dgm:cxn modelId="5" srcId="0" destId="2" srcOrd="1" destOrd="0"/>
        <dgm:cxn modelId="6" srcId="0" destId="3" srcOrd="1" destOrd="0"/>
        <dgm:cxn modelId="15" srcId="1" destId="11" srcOrd="0" destOrd="0"/>
        <dgm:cxn modelId="16" srcId="1" destId="12" srcOrd="0" destOrd="0"/>
        <dgm:cxn modelId="17" srcId="1" destId="13" srcOrd="0" destOrd="0"/>
        <dgm:cxn modelId="18" srcId="1" destId="14" srcOrd="0" destOrd="0"/>
        <dgm:cxn modelId="25" srcId="2" destId="21" srcOrd="0" destOrd="0"/>
        <dgm:cxn modelId="26" srcId="2" destId="22" srcOrd="0" destOrd="0"/>
        <dgm:cxn modelId="27" srcId="2" destId="23" srcOrd="0" destOrd="0"/>
        <dgm:cxn modelId="28" srcId="2" destId="24" srcOrd="0" destOrd="0"/>
        <dgm:cxn modelId="35" srcId="3" destId="31" srcOrd="0" destOrd="0"/>
        <dgm:cxn modelId="36" srcId="3" destId="32" srcOrd="0" destOrd="0"/>
        <dgm:cxn modelId="37" srcId="3" destId="33" srcOrd="0" destOrd="0"/>
        <dgm:cxn modelId="38" srcId="3" destId="34" srcOrd="0" destOrd="0"/>
      </dgm:cxnLst>
      <dgm:bg/>
      <dgm:whole/>
    </dgm:dataModel>
  </dgm:clrData>
  <dgm:layoutNode name="list">
    <dgm:varLst>
      <dgm:dir/>
      <dgm:animLvl val="lvl"/>
    </dgm:varLst>
    <dgm:choose name="Name0">
      <dgm:if name="Name1" func="var" arg="dir" op="equ" val="norm">
        <dgm:alg type="lin">
          <dgm:param type="linDir" val="fromL"/>
          <dgm:param type="fallback" val="2D"/>
          <dgm:param type="nodeVertAlign" val="t"/>
        </dgm:alg>
      </dgm:if>
      <dgm:else name="Name2">
        <dgm:alg type="lin">
          <dgm:param type="linDir" val="fromR"/>
          <dgm:param type="fallback" val="2D"/>
          <dgm:param type="nodeVertAlign" val="t"/>
        </dgm:alg>
      </dgm:else>
    </dgm:choose>
    <dgm:shape xmlns:r="http://schemas.openxmlformats.org/officeDocument/2006/relationships" r:blip="">
      <dgm:adjLst/>
    </dgm:shape>
    <dgm:presOf/>
    <dgm:constrLst>
      <dgm:constr type="w" for="ch" forName="circle" refType="w" fact="0.5"/>
      <dgm:constr type="w" for="ch" forName="vertFlow" refType="w" fact="0.75"/>
      <dgm:constr type="h" for="des" forName="firstComp" refType="w" refFor="ch" refForName="vertFlow" fact="0.667"/>
      <dgm:constr type="h" for="des" forName="comp" refType="h" refFor="des" refForName="firstComp" op="equ"/>
      <dgm:constr type="h" for="des" forName="topSpace" refType="w" refFor="ch" refForName="circle" op="equ" fact="0.4"/>
      <dgm:constr type="w" for="ch" forName="posSpace" refType="w" fact="0.4"/>
      <dgm:constr type="w" for="ch" forName="negSpace" refType="w" fact="-1.15"/>
      <dgm:constr type="w" for="ch" forName="transSpace" refType="w" fact="0.75"/>
      <dgm:constr type="primFontSz" for="ch" forName="circle" op="equ" val="65"/>
      <dgm:constr type="primFontSz" for="des" forName="firstChildTx" val="65"/>
      <dgm:constr type="primFontSz" for="des" forName="childTx" refType="primFontSz" refFor="des" refForName="firstChildTx" op="equ"/>
    </dgm:constrLst>
    <dgm:ruleLst/>
    <dgm:forEach name="Name3" axis="ch" ptType="node">
      <dgm:layoutNode name="posSpace">
        <dgm:alg type="sp"/>
        <dgm:shape xmlns:r="http://schemas.openxmlformats.org/officeDocument/2006/relationships" r:blip="">
          <dgm:adjLst/>
        </dgm:shape>
        <dgm:presOf/>
        <dgm:constrLst/>
        <dgm:ruleLst/>
      </dgm:layoutNode>
      <dgm:layoutNode name="vertFlow">
        <dgm:alg type="lin">
          <dgm:param type="linDir" val="fromT"/>
        </dgm:alg>
        <dgm:shape xmlns:r="http://schemas.openxmlformats.org/officeDocument/2006/relationships" r:blip="">
          <dgm:adjLst/>
        </dgm:shape>
        <dgm:presOf/>
        <dgm:constrLst>
          <dgm:constr type="w" for="ch" forName="firstComp" refType="w"/>
          <dgm:constr type="w" for="ch" forName="comp" refType="w"/>
        </dgm:constrLst>
        <dgm:ruleLst/>
        <dgm:layoutNode name="topSpace">
          <dgm:alg type="sp"/>
          <dgm:shape xmlns:r="http://schemas.openxmlformats.org/officeDocument/2006/relationships" r:blip="">
            <dgm:adjLst/>
          </dgm:shape>
          <dgm:presOf/>
          <dgm:constrLst/>
          <dgm:ruleLst/>
        </dgm:layoutNode>
        <dgm:layoutNode name="firstComp">
          <dgm:alg type="composite"/>
          <dgm:shape xmlns:r="http://schemas.openxmlformats.org/officeDocument/2006/relationships" r:blip="">
            <dgm:adjLst/>
          </dgm:shape>
          <dgm:presOf/>
          <dgm:choose name="Name4">
            <dgm:if name="Name5" func="var" arg="dir" op="equ" val="norm">
              <dgm:constrLst>
                <dgm:constr type="l" for="ch" forName="firstChild"/>
                <dgm:constr type="t" for="ch" forName="firstChild"/>
                <dgm:constr type="w" for="ch" forName="firstChild" refType="w"/>
                <dgm:constr type="h" for="ch" forName="firstChild" refType="h"/>
                <dgm:constr type="l" for="ch" forName="firstChildTx" refType="w" fact="0.16"/>
                <dgm:constr type="r" for="ch" forName="firstChildTx" refType="w"/>
                <dgm:constr type="h" for="ch" forName="firstChildTx" refFor="ch" refForName="firstChild" op="equ"/>
              </dgm:constrLst>
            </dgm:if>
            <dgm:else name="Name6">
              <dgm:constrLst>
                <dgm:constr type="l" for="ch" forName="firstChild"/>
                <dgm:constr type="t" for="ch" forName="firstChild"/>
                <dgm:constr type="w" for="ch" forName="firstChild" refType="w"/>
                <dgm:constr type="h" for="ch" forName="firstChild" refType="h"/>
                <dgm:constr type="l" for="ch" forName="firstChildTx"/>
                <dgm:constr type="r" for="ch" forName="firstChildTx" refType="w" fact="0.825"/>
                <dgm:constr type="h" for="ch" forName="firstChildTx" refFor="ch" refForName="firstChild" op="equ"/>
              </dgm:constrLst>
            </dgm:else>
          </dgm:choose>
          <dgm:ruleLst/>
          <dgm:layoutNode name="firstChild" styleLbl="bgAccFollowNode1">
            <dgm:alg type="sp"/>
            <dgm:shape xmlns:r="http://schemas.openxmlformats.org/officeDocument/2006/relationships" type="rect" r:blip="">
              <dgm:adjLst/>
            </dgm:shape>
            <dgm:presOf axis="ch desOrSelf" ptType="node node" cnt="1 0"/>
            <dgm:constrLst/>
            <dgm:ruleLst/>
          </dgm:layoutNode>
          <dgm:layoutNode name="firstChildTx" styleLbl="bgAccFollowNode1">
            <dgm:varLst>
              <dgm:bulletEnabled val="1"/>
            </dgm:varLst>
            <dgm:alg type="tx">
              <dgm:param type="parTxLTRAlign" val="l"/>
            </dgm:alg>
            <dgm:shape xmlns:r="http://schemas.openxmlformats.org/officeDocument/2006/relationships" type="rect" r:blip="" hideGeom="1">
              <dgm:adjLst/>
            </dgm:shape>
            <dgm:presOf axis="ch desOrSelf" ptType="node node" cnt="1 0"/>
            <dgm:choose name="Name7">
              <dgm:if name="Name8" func="var" arg="dir" op="equ" val="norm">
                <dgm:constrLst>
                  <dgm:constr type="primFontSz" val="65"/>
                  <dgm:constr type="lMarg"/>
                </dgm:constrLst>
              </dgm:if>
              <dgm:else name="Name9">
                <dgm:constrLst>
                  <dgm:constr type="primFontSz" val="65"/>
                  <dgm:constr type="rMarg"/>
                </dgm:constrLst>
              </dgm:else>
            </dgm:choose>
            <dgm:ruleLst>
              <dgm:rule type="primFontSz" val="5" fact="NaN" max="NaN"/>
            </dgm:ruleLst>
          </dgm:layoutNode>
        </dgm:layoutNode>
        <dgm:forEach name="Name10" axis="ch" ptType="node" st="2">
          <dgm:layoutNode name="comp">
            <dgm:alg type="composite"/>
            <dgm:shape xmlns:r="http://schemas.openxmlformats.org/officeDocument/2006/relationships" r:blip="">
              <dgm:adjLst/>
            </dgm:shape>
            <dgm:presOf/>
            <dgm:choose name="Name11">
              <dgm:if name="Name12" func="var" arg="dir" op="equ" val="norm">
                <dgm:constrLst>
                  <dgm:constr type="l" for="ch" forName="child"/>
                  <dgm:constr type="t" for="ch" forName="child"/>
                  <dgm:constr type="w" for="ch" forName="child" refType="w"/>
                  <dgm:constr type="h" for="ch" forName="child" refType="h"/>
                  <dgm:constr type="l" for="ch" forName="childTx" refType="w" fact="0.16"/>
                  <dgm:constr type="r" for="ch" forName="childTx" refType="w"/>
                  <dgm:constr type="h" for="ch" forName="childTx" refFor="ch" refForName="child" op="equ"/>
                </dgm:constrLst>
              </dgm:if>
              <dgm:else name="Name13">
                <dgm:constrLst>
                  <dgm:constr type="l" for="ch" forName="child"/>
                  <dgm:constr type="t" for="ch" forName="child"/>
                  <dgm:constr type="w" for="ch" forName="child" refType="w"/>
                  <dgm:constr type="h" for="ch" forName="child" refType="h"/>
                  <dgm:constr type="l" for="ch" forName="childTx"/>
                  <dgm:constr type="r" for="ch" forName="childTx" refType="w" fact="0.825"/>
                  <dgm:constr type="h" for="ch" forName="childTx" refFor="ch" refForName="child" op="equ"/>
                </dgm:constrLst>
              </dgm:else>
            </dgm:choose>
            <dgm:ruleLst/>
            <dgm:layoutNode name="child" styleLbl="bgAccFollowNode1">
              <dgm:alg type="sp"/>
              <dgm:shape xmlns:r="http://schemas.openxmlformats.org/officeDocument/2006/relationships" type="rect" r:blip="">
                <dgm:adjLst/>
              </dgm:shape>
              <dgm:presOf axis="desOrSelf" ptType="node"/>
              <dgm:constrLst/>
              <dgm:ruleLst/>
            </dgm:layoutNode>
            <dgm:layoutNode name="childTx" styleLbl="bgAccFollowNode1">
              <dgm:varLst>
                <dgm:bulletEnabled val="1"/>
              </dgm:varLst>
              <dgm:alg type="tx">
                <dgm:param type="parTxLTRAlign" val="l"/>
              </dgm:alg>
              <dgm:shape xmlns:r="http://schemas.openxmlformats.org/officeDocument/2006/relationships" type="rect" r:blip="" hideGeom="1">
                <dgm:adjLst/>
              </dgm:shape>
              <dgm:presOf axis="desOrSelf" ptType="node"/>
              <dgm:choose name="Name14">
                <dgm:if name="Name15" func="var" arg="dir" op="equ" val="norm">
                  <dgm:constrLst>
                    <dgm:constr type="primFontSz" val="65"/>
                    <dgm:constr type="lMarg"/>
                  </dgm:constrLst>
                </dgm:if>
                <dgm:else name="Name16">
                  <dgm:constrLst>
                    <dgm:constr type="primFontSz" val="65"/>
                    <dgm:constr type="rMarg"/>
                  </dgm:constrLst>
                </dgm:else>
              </dgm:choose>
              <dgm:ruleLst>
                <dgm:rule type="primFontSz" val="5" fact="NaN" max="NaN"/>
              </dgm:ruleLst>
            </dgm:layoutNode>
          </dgm:layoutNode>
        </dgm:forEach>
      </dgm:layoutNode>
      <dgm:layoutNode name="negSpace">
        <dgm:alg type="sp"/>
        <dgm:shape xmlns:r="http://schemas.openxmlformats.org/officeDocument/2006/relationships" r:blip="">
          <dgm:adjLst/>
        </dgm:shape>
        <dgm:presOf/>
        <dgm:constrLst/>
        <dgm:ruleLst/>
      </dgm:layoutNode>
      <dgm:layoutNode name="circle" styleLbl="node1">
        <dgm:alg type="tx"/>
        <dgm:shape xmlns:r="http://schemas.openxmlformats.org/officeDocument/2006/relationships" type="ellipse" r:blip="">
          <dgm:adjLst/>
        </dgm:shape>
        <dgm:presOf axis="self"/>
        <dgm:constrLst>
          <dgm:constr type="lMarg"/>
          <dgm:constr type="rMarg"/>
          <dgm:constr type="tMarg"/>
          <dgm:constr type="bMarg"/>
          <dgm:constr type="h" refType="w"/>
        </dgm:constrLst>
        <dgm:ruleLst>
          <dgm:rule type="primFontSz" val="5" fact="NaN" max="NaN"/>
        </dgm:ruleLst>
      </dgm:layoutNode>
      <dgm:forEach name="Name17" axis="followSib" ptType="sibTrans" cnt="1">
        <dgm:layoutNode name="trans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Project Timeline V2">
    <a:dk1>
      <a:sysClr val="windowText" lastClr="000000"/>
    </a:dk1>
    <a:lt1>
      <a:sysClr val="window" lastClr="FFFFFF"/>
    </a:lt1>
    <a:dk2>
      <a:srgbClr val="1E1A12"/>
    </a:dk2>
    <a:lt2>
      <a:srgbClr val="FBFCF4"/>
    </a:lt2>
    <a:accent1>
      <a:srgbClr val="F65242"/>
    </a:accent1>
    <a:accent2>
      <a:srgbClr val="70B5CF"/>
    </a:accent2>
    <a:accent3>
      <a:srgbClr val="FFD331"/>
    </a:accent3>
    <a:accent4>
      <a:srgbClr val="60B6AC"/>
    </a:accent4>
    <a:accent5>
      <a:srgbClr val="ED9535"/>
    </a:accent5>
    <a:accent6>
      <a:srgbClr val="AD7A99"/>
    </a:accent6>
    <a:hlink>
      <a:srgbClr val="70B5CF"/>
    </a:hlink>
    <a:folHlink>
      <a:srgbClr val="AD7A99"/>
    </a:folHlink>
  </a:clrScheme>
  <a:fontScheme name="Project Timeline 2">
    <a:majorFont>
      <a:latin typeface="Franklin Gothic Medium"/>
      <a:ea typeface=""/>
      <a:cs typeface=""/>
    </a:majorFont>
    <a:minorFont>
      <a:latin typeface="Bookman Old Style"/>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Project Timeline V2">
    <a:dk1>
      <a:sysClr val="windowText" lastClr="000000"/>
    </a:dk1>
    <a:lt1>
      <a:sysClr val="window" lastClr="FFFFFF"/>
    </a:lt1>
    <a:dk2>
      <a:srgbClr val="1E1A12"/>
    </a:dk2>
    <a:lt2>
      <a:srgbClr val="FBFCF4"/>
    </a:lt2>
    <a:accent1>
      <a:srgbClr val="F65242"/>
    </a:accent1>
    <a:accent2>
      <a:srgbClr val="70B5CF"/>
    </a:accent2>
    <a:accent3>
      <a:srgbClr val="FFD331"/>
    </a:accent3>
    <a:accent4>
      <a:srgbClr val="60B6AC"/>
    </a:accent4>
    <a:accent5>
      <a:srgbClr val="ED9535"/>
    </a:accent5>
    <a:accent6>
      <a:srgbClr val="AD7A99"/>
    </a:accent6>
    <a:hlink>
      <a:srgbClr val="70B5CF"/>
    </a:hlink>
    <a:folHlink>
      <a:srgbClr val="AD7A99"/>
    </a:folHlink>
  </a:clrScheme>
  <a:fontScheme name="Project Timeline 2">
    <a:majorFont>
      <a:latin typeface="Franklin Gothic Medium"/>
      <a:ea typeface=""/>
      <a:cs typeface=""/>
    </a:majorFont>
    <a:minorFont>
      <a:latin typeface="Bookman Old Style"/>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Project Timeline V2">
    <a:dk1>
      <a:sysClr val="windowText" lastClr="000000"/>
    </a:dk1>
    <a:lt1>
      <a:sysClr val="window" lastClr="FFFFFF"/>
    </a:lt1>
    <a:dk2>
      <a:srgbClr val="1E1A12"/>
    </a:dk2>
    <a:lt2>
      <a:srgbClr val="FBFCF4"/>
    </a:lt2>
    <a:accent1>
      <a:srgbClr val="F65242"/>
    </a:accent1>
    <a:accent2>
      <a:srgbClr val="70B5CF"/>
    </a:accent2>
    <a:accent3>
      <a:srgbClr val="FFD331"/>
    </a:accent3>
    <a:accent4>
      <a:srgbClr val="60B6AC"/>
    </a:accent4>
    <a:accent5>
      <a:srgbClr val="ED9535"/>
    </a:accent5>
    <a:accent6>
      <a:srgbClr val="AD7A99"/>
    </a:accent6>
    <a:hlink>
      <a:srgbClr val="70B5CF"/>
    </a:hlink>
    <a:folHlink>
      <a:srgbClr val="AD7A99"/>
    </a:folHlink>
  </a:clrScheme>
  <a:fontScheme name="Project Timeline 2">
    <a:majorFont>
      <a:latin typeface="Franklin Gothic Medium"/>
      <a:ea typeface=""/>
      <a:cs typeface=""/>
    </a:majorFont>
    <a:minorFont>
      <a:latin typeface="Bookman Old Style"/>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Project Timeline V2">
    <a:dk1>
      <a:sysClr val="windowText" lastClr="000000"/>
    </a:dk1>
    <a:lt1>
      <a:sysClr val="window" lastClr="FFFFFF"/>
    </a:lt1>
    <a:dk2>
      <a:srgbClr val="1E1A12"/>
    </a:dk2>
    <a:lt2>
      <a:srgbClr val="FBFCF4"/>
    </a:lt2>
    <a:accent1>
      <a:srgbClr val="F65242"/>
    </a:accent1>
    <a:accent2>
      <a:srgbClr val="70B5CF"/>
    </a:accent2>
    <a:accent3>
      <a:srgbClr val="FFD331"/>
    </a:accent3>
    <a:accent4>
      <a:srgbClr val="60B6AC"/>
    </a:accent4>
    <a:accent5>
      <a:srgbClr val="ED9535"/>
    </a:accent5>
    <a:accent6>
      <a:srgbClr val="AD7A99"/>
    </a:accent6>
    <a:hlink>
      <a:srgbClr val="70B5CF"/>
    </a:hlink>
    <a:folHlink>
      <a:srgbClr val="AD7A99"/>
    </a:folHlink>
  </a:clrScheme>
  <a:fontScheme name="Project Timeline 2">
    <a:majorFont>
      <a:latin typeface="Franklin Gothic Medium"/>
      <a:ea typeface=""/>
      <a:cs typeface=""/>
    </a:majorFont>
    <a:minorFont>
      <a:latin typeface="Bookman Old Style"/>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Project Timeline V2">
    <a:dk1>
      <a:sysClr val="windowText" lastClr="000000"/>
    </a:dk1>
    <a:lt1>
      <a:sysClr val="window" lastClr="FFFFFF"/>
    </a:lt1>
    <a:dk2>
      <a:srgbClr val="1E1A12"/>
    </a:dk2>
    <a:lt2>
      <a:srgbClr val="FBFCF4"/>
    </a:lt2>
    <a:accent1>
      <a:srgbClr val="F65242"/>
    </a:accent1>
    <a:accent2>
      <a:srgbClr val="70B5CF"/>
    </a:accent2>
    <a:accent3>
      <a:srgbClr val="FFD331"/>
    </a:accent3>
    <a:accent4>
      <a:srgbClr val="60B6AC"/>
    </a:accent4>
    <a:accent5>
      <a:srgbClr val="ED9535"/>
    </a:accent5>
    <a:accent6>
      <a:srgbClr val="AD7A99"/>
    </a:accent6>
    <a:hlink>
      <a:srgbClr val="70B5CF"/>
    </a:hlink>
    <a:folHlink>
      <a:srgbClr val="AD7A99"/>
    </a:folHlink>
  </a:clrScheme>
  <a:fontScheme name="Project Timeline 2">
    <a:majorFont>
      <a:latin typeface="Franklin Gothic Medium"/>
      <a:ea typeface=""/>
      <a:cs typeface=""/>
    </a:majorFont>
    <a:minorFont>
      <a:latin typeface="Bookman Old Style"/>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EF1C39-4D71-413A-AA5C-BDA66648D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431</Pages>
  <Words>110244</Words>
  <Characters>628393</Characters>
  <Application>Microsoft Office Word</Application>
  <DocSecurity>0</DocSecurity>
  <Lines>5236</Lines>
  <Paragraphs>1474</Paragraphs>
  <ScaleCrop>false</ScaleCrop>
  <HeadingPairs>
    <vt:vector size="2" baseType="variant">
      <vt:variant>
        <vt:lpstr>Title</vt:lpstr>
      </vt:variant>
      <vt:variant>
        <vt:i4>1</vt:i4>
      </vt:variant>
    </vt:vector>
  </HeadingPairs>
  <TitlesOfParts>
    <vt:vector size="1" baseType="lpstr">
      <vt:lpstr>Constructing Success in Global Health: 
The World Bank and the Onchocerciasis Control Programme in West Africa</vt:lpstr>
    </vt:vector>
  </TitlesOfParts>
  <Company>University of Edinburgh</Company>
  <LinksUpToDate>false</LinksUpToDate>
  <CharactersWithSpaces>737163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Constructing Success in Global Health: 
The World Bank and the Onchocerciasis Control Programme in West Africa</dc:title>
  <dc:subject/>
  <dc:creator>Janelle Winters</dc:creator>
  <cp:keywords/>
  <dc:description/>
  <cp:lastModifiedBy>LOGAN Michael</cp:lastModifiedBy>
  <cp:revision>3</cp:revision>
  <cp:lastPrinted>2020-06-08T21:59:00Z</cp:lastPrinted>
  <dcterms:created xsi:type="dcterms:W3CDTF">2020-07-03T15:49:00Z</dcterms:created>
  <dcterms:modified xsi:type="dcterms:W3CDTF">2020-10-01T09:27:00Z</dcterms:modified>
</cp:coreProperties>
</file>